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DAC4">
      <w:pPr>
        <w:jc w:val="center"/>
        <w:rPr>
          <w:rFonts w:ascii="宋体" w:hAnsi="宋体"/>
          <w:b/>
          <w:color w:val="auto"/>
          <w:sz w:val="36"/>
          <w:szCs w:val="36"/>
        </w:rPr>
      </w:pPr>
    </w:p>
    <w:p w14:paraId="0E798E08">
      <w:pPr>
        <w:jc w:val="center"/>
        <w:rPr>
          <w:rFonts w:ascii="宋体" w:hAnsi="宋体"/>
          <w:b/>
          <w:color w:val="auto"/>
          <w:sz w:val="44"/>
          <w:szCs w:val="44"/>
        </w:rPr>
      </w:pPr>
    </w:p>
    <w:p w14:paraId="1DEC19A7">
      <w:pPr>
        <w:jc w:val="center"/>
        <w:rPr>
          <w:rFonts w:hint="eastAsia" w:ascii="宋体" w:hAnsi="宋体" w:eastAsia="宋体"/>
          <w:b/>
          <w:color w:val="auto"/>
          <w:sz w:val="44"/>
          <w:szCs w:val="44"/>
          <w:lang w:val="en-US" w:eastAsia="zh-CN"/>
        </w:rPr>
      </w:pPr>
      <w:r>
        <w:rPr>
          <w:rFonts w:hint="eastAsia" w:ascii="宋体" w:hAnsi="宋体" w:eastAsia="宋体"/>
          <w:b/>
          <w:color w:val="auto"/>
          <w:sz w:val="44"/>
          <w:szCs w:val="44"/>
          <w:lang w:val="en-US" w:eastAsia="zh-CN"/>
        </w:rPr>
        <w:t>增城区永和中学改扩建项目</w:t>
      </w:r>
    </w:p>
    <w:p w14:paraId="131D64DA">
      <w:pPr>
        <w:jc w:val="center"/>
        <w:rPr>
          <w:rFonts w:ascii="宋体" w:hAnsi="宋体"/>
          <w:b/>
          <w:color w:val="auto"/>
          <w:sz w:val="44"/>
          <w:szCs w:val="44"/>
        </w:rPr>
      </w:pPr>
      <w:r>
        <w:rPr>
          <w:rFonts w:hint="eastAsia" w:ascii="宋体" w:hAnsi="宋体"/>
          <w:b/>
          <w:color w:val="auto"/>
          <w:sz w:val="44"/>
          <w:szCs w:val="44"/>
        </w:rPr>
        <w:t>设计任务书</w:t>
      </w:r>
    </w:p>
    <w:p w14:paraId="0C2B98C8">
      <w:pPr>
        <w:spacing w:line="440" w:lineRule="exact"/>
        <w:ind w:firstLine="105" w:firstLineChars="50"/>
        <w:rPr>
          <w:rFonts w:ascii="宋体" w:hAnsi="宋体"/>
          <w:color w:val="auto"/>
          <w:szCs w:val="21"/>
        </w:rPr>
      </w:pPr>
      <w:bookmarkStart w:id="333" w:name="_GoBack"/>
      <w:bookmarkEnd w:id="333"/>
    </w:p>
    <w:p w14:paraId="79F661F6">
      <w:pPr>
        <w:spacing w:line="440" w:lineRule="exact"/>
        <w:ind w:firstLine="105" w:firstLineChars="50"/>
        <w:rPr>
          <w:rFonts w:ascii="宋体" w:hAnsi="宋体"/>
          <w:color w:val="auto"/>
          <w:szCs w:val="21"/>
        </w:rPr>
      </w:pPr>
    </w:p>
    <w:p w14:paraId="2F34FABD">
      <w:pPr>
        <w:spacing w:line="440" w:lineRule="exact"/>
        <w:ind w:firstLine="105" w:firstLineChars="50"/>
        <w:rPr>
          <w:rFonts w:ascii="宋体" w:hAnsi="宋体"/>
          <w:color w:val="auto"/>
          <w:szCs w:val="21"/>
        </w:rPr>
      </w:pPr>
    </w:p>
    <w:p w14:paraId="5D33480B">
      <w:pPr>
        <w:spacing w:line="440" w:lineRule="exact"/>
        <w:ind w:firstLine="105" w:firstLineChars="50"/>
        <w:rPr>
          <w:rFonts w:ascii="宋体" w:hAnsi="宋体"/>
          <w:color w:val="auto"/>
          <w:szCs w:val="21"/>
        </w:rPr>
      </w:pPr>
    </w:p>
    <w:p w14:paraId="2FEA2085">
      <w:pPr>
        <w:spacing w:line="440" w:lineRule="exact"/>
        <w:ind w:firstLine="105" w:firstLineChars="50"/>
        <w:rPr>
          <w:rFonts w:ascii="宋体" w:hAnsi="宋体"/>
          <w:color w:val="auto"/>
          <w:szCs w:val="21"/>
        </w:rPr>
      </w:pPr>
    </w:p>
    <w:p w14:paraId="1A08F409">
      <w:pPr>
        <w:spacing w:line="440" w:lineRule="exact"/>
        <w:ind w:firstLine="105" w:firstLineChars="50"/>
        <w:rPr>
          <w:rFonts w:ascii="宋体" w:hAnsi="宋体"/>
          <w:color w:val="auto"/>
          <w:szCs w:val="21"/>
        </w:rPr>
      </w:pPr>
    </w:p>
    <w:p w14:paraId="075B4441">
      <w:pPr>
        <w:spacing w:line="440" w:lineRule="exact"/>
        <w:ind w:firstLine="105" w:firstLineChars="50"/>
        <w:rPr>
          <w:rFonts w:ascii="宋体" w:hAnsi="宋体"/>
          <w:color w:val="auto"/>
          <w:szCs w:val="21"/>
        </w:rPr>
      </w:pPr>
    </w:p>
    <w:p w14:paraId="54D638EA">
      <w:pPr>
        <w:spacing w:line="440" w:lineRule="exact"/>
        <w:ind w:firstLine="105" w:firstLineChars="50"/>
        <w:rPr>
          <w:rFonts w:ascii="宋体" w:hAnsi="宋体"/>
          <w:color w:val="auto"/>
          <w:szCs w:val="21"/>
        </w:rPr>
      </w:pPr>
    </w:p>
    <w:p w14:paraId="317849B3">
      <w:pPr>
        <w:spacing w:line="440" w:lineRule="exact"/>
        <w:ind w:firstLine="105" w:firstLineChars="50"/>
        <w:rPr>
          <w:rFonts w:ascii="宋体" w:hAnsi="宋体"/>
          <w:color w:val="auto"/>
          <w:szCs w:val="21"/>
        </w:rPr>
      </w:pPr>
    </w:p>
    <w:p w14:paraId="35094FA9">
      <w:pPr>
        <w:spacing w:line="440" w:lineRule="exact"/>
        <w:ind w:firstLine="105" w:firstLineChars="50"/>
        <w:rPr>
          <w:rFonts w:ascii="宋体" w:hAnsi="宋体"/>
          <w:color w:val="auto"/>
          <w:szCs w:val="21"/>
        </w:rPr>
      </w:pPr>
    </w:p>
    <w:p w14:paraId="5EB240D5">
      <w:pPr>
        <w:spacing w:line="440" w:lineRule="exact"/>
        <w:ind w:firstLine="105" w:firstLineChars="50"/>
        <w:rPr>
          <w:rFonts w:ascii="宋体" w:hAnsi="宋体"/>
          <w:color w:val="auto"/>
          <w:szCs w:val="21"/>
        </w:rPr>
      </w:pPr>
    </w:p>
    <w:p w14:paraId="416B3D5D">
      <w:pPr>
        <w:spacing w:line="440" w:lineRule="exact"/>
        <w:ind w:firstLine="105" w:firstLineChars="50"/>
        <w:rPr>
          <w:rFonts w:ascii="宋体" w:hAnsi="宋体"/>
          <w:color w:val="auto"/>
          <w:szCs w:val="21"/>
        </w:rPr>
      </w:pPr>
    </w:p>
    <w:p w14:paraId="2FA69692">
      <w:pPr>
        <w:spacing w:line="440" w:lineRule="exact"/>
        <w:ind w:firstLine="105" w:firstLineChars="50"/>
        <w:rPr>
          <w:rFonts w:ascii="宋体" w:hAnsi="宋体"/>
          <w:color w:val="auto"/>
          <w:szCs w:val="21"/>
        </w:rPr>
      </w:pPr>
    </w:p>
    <w:p w14:paraId="4604D689">
      <w:pPr>
        <w:spacing w:line="440" w:lineRule="exact"/>
        <w:ind w:firstLine="105" w:firstLineChars="50"/>
        <w:rPr>
          <w:rFonts w:ascii="宋体" w:hAnsi="宋体"/>
          <w:color w:val="auto"/>
          <w:szCs w:val="21"/>
        </w:rPr>
      </w:pPr>
    </w:p>
    <w:p w14:paraId="3F86AAE2">
      <w:pPr>
        <w:spacing w:line="440" w:lineRule="exact"/>
        <w:ind w:firstLine="105" w:firstLineChars="50"/>
        <w:rPr>
          <w:rFonts w:ascii="宋体" w:hAnsi="宋体"/>
          <w:color w:val="auto"/>
          <w:szCs w:val="21"/>
        </w:rPr>
      </w:pPr>
    </w:p>
    <w:p w14:paraId="07C1D90A">
      <w:pPr>
        <w:spacing w:line="440" w:lineRule="exact"/>
        <w:ind w:firstLine="105" w:firstLineChars="50"/>
        <w:rPr>
          <w:rFonts w:ascii="宋体" w:hAnsi="宋体"/>
          <w:color w:val="auto"/>
          <w:szCs w:val="21"/>
        </w:rPr>
      </w:pPr>
    </w:p>
    <w:p w14:paraId="3B7DBE96">
      <w:pPr>
        <w:spacing w:line="440" w:lineRule="exact"/>
        <w:ind w:firstLine="105" w:firstLineChars="50"/>
        <w:rPr>
          <w:rFonts w:ascii="宋体" w:hAnsi="宋体"/>
          <w:color w:val="auto"/>
          <w:szCs w:val="21"/>
        </w:rPr>
      </w:pPr>
    </w:p>
    <w:p w14:paraId="1DDF7A13">
      <w:pPr>
        <w:jc w:val="center"/>
        <w:rPr>
          <w:b/>
          <w:color w:val="auto"/>
          <w:sz w:val="36"/>
          <w:szCs w:val="36"/>
        </w:rPr>
      </w:pPr>
    </w:p>
    <w:p w14:paraId="3985A986">
      <w:pPr>
        <w:jc w:val="center"/>
        <w:rPr>
          <w:b/>
          <w:color w:val="auto"/>
          <w:sz w:val="36"/>
          <w:szCs w:val="36"/>
        </w:rPr>
      </w:pPr>
      <w:r>
        <w:rPr>
          <w:rFonts w:hint="eastAsia"/>
          <w:b/>
          <w:color w:val="auto"/>
          <w:sz w:val="36"/>
          <w:szCs w:val="36"/>
        </w:rPr>
        <w:t xml:space="preserve">    </w:t>
      </w:r>
    </w:p>
    <w:p w14:paraId="12CE1FF6">
      <w:pPr>
        <w:jc w:val="center"/>
        <w:rPr>
          <w:b/>
          <w:color w:val="auto"/>
          <w:sz w:val="36"/>
          <w:szCs w:val="36"/>
        </w:rPr>
      </w:pPr>
      <w:r>
        <w:rPr>
          <w:rFonts w:hint="eastAsia"/>
          <w:b/>
          <w:color w:val="auto"/>
          <w:sz w:val="36"/>
          <w:szCs w:val="36"/>
        </w:rPr>
        <w:t>二〇二五年</w:t>
      </w:r>
      <w:r>
        <w:rPr>
          <w:rFonts w:hint="eastAsia"/>
          <w:b/>
          <w:color w:val="auto"/>
          <w:sz w:val="36"/>
          <w:szCs w:val="36"/>
          <w:lang w:val="en-US" w:eastAsia="zh-CN"/>
        </w:rPr>
        <w:t>九</w:t>
      </w:r>
      <w:r>
        <w:rPr>
          <w:rFonts w:hint="eastAsia"/>
          <w:b/>
          <w:color w:val="auto"/>
          <w:sz w:val="36"/>
          <w:szCs w:val="36"/>
        </w:rPr>
        <w:t>月</w:t>
      </w:r>
    </w:p>
    <w:p w14:paraId="449FA928">
      <w:pPr>
        <w:jc w:val="center"/>
        <w:rPr>
          <w:b/>
          <w:color w:val="auto"/>
          <w:sz w:val="36"/>
          <w:szCs w:val="36"/>
        </w:rPr>
      </w:pPr>
    </w:p>
    <w:p w14:paraId="130C0E96">
      <w:pPr>
        <w:jc w:val="center"/>
        <w:rPr>
          <w:b/>
          <w:color w:val="auto"/>
          <w:sz w:val="36"/>
          <w:szCs w:val="36"/>
        </w:rPr>
      </w:pPr>
    </w:p>
    <w:p w14:paraId="5C60C123">
      <w:pPr>
        <w:pStyle w:val="2"/>
        <w:tabs>
          <w:tab w:val="left" w:pos="3570"/>
        </w:tabs>
        <w:spacing w:before="156" w:beforeLines="50" w:after="156" w:afterLines="50" w:line="240" w:lineRule="auto"/>
        <w:jc w:val="center"/>
        <w:rPr>
          <w:rFonts w:ascii="宋体" w:hAnsi="宋体"/>
          <w:b w:val="0"/>
          <w:color w:val="auto"/>
          <w:sz w:val="32"/>
          <w:szCs w:val="32"/>
        </w:rPr>
      </w:pPr>
      <w:bookmarkStart w:id="0" w:name="_Toc462255814"/>
      <w:bookmarkStart w:id="1" w:name="_Toc462089674"/>
      <w:bookmarkStart w:id="2" w:name="_Toc462261993"/>
      <w:bookmarkStart w:id="3" w:name="_Toc15019"/>
      <w:bookmarkStart w:id="4" w:name="_Toc30321"/>
      <w:bookmarkStart w:id="5" w:name="_Toc462091622"/>
      <w:r>
        <w:rPr>
          <w:rFonts w:hint="eastAsia" w:ascii="宋体" w:hAnsi="宋体"/>
          <w:b w:val="0"/>
          <w:color w:val="auto"/>
          <w:sz w:val="32"/>
          <w:szCs w:val="32"/>
        </w:rPr>
        <w:t>目录</w:t>
      </w:r>
      <w:bookmarkEnd w:id="0"/>
      <w:bookmarkEnd w:id="1"/>
      <w:bookmarkEnd w:id="2"/>
      <w:bookmarkEnd w:id="3"/>
      <w:bookmarkEnd w:id="4"/>
      <w:bookmarkEnd w:id="5"/>
    </w:p>
    <w:p w14:paraId="16648357">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r>
        <w:rPr>
          <w:rFonts w:ascii="宋体" w:hAnsi="宋体"/>
          <w:color w:val="auto"/>
          <w:szCs w:val="21"/>
        </w:rPr>
        <w:fldChar w:fldCharType="begin"/>
      </w:r>
      <w:r>
        <w:rPr>
          <w:rFonts w:ascii="宋体" w:hAnsi="宋体"/>
          <w:color w:val="auto"/>
          <w:szCs w:val="21"/>
        </w:rPr>
        <w:instrText xml:space="preserve"> HYPERLINK \l _Toc20670 </w:instrText>
      </w:r>
      <w:r>
        <w:rPr>
          <w:rFonts w:ascii="宋体" w:hAnsi="宋体"/>
          <w:color w:val="auto"/>
          <w:szCs w:val="21"/>
        </w:rPr>
        <w:fldChar w:fldCharType="separate"/>
      </w:r>
      <w:r>
        <w:rPr>
          <w:rFonts w:hint="eastAsia" w:ascii="宋体" w:hAnsi="宋体"/>
          <w:bCs w:val="0"/>
          <w:color w:val="auto"/>
          <w:szCs w:val="36"/>
        </w:rPr>
        <w:t>第一章</w:t>
      </w:r>
      <w:r>
        <w:rPr>
          <w:rFonts w:ascii="宋体" w:hAnsi="宋体"/>
          <w:bCs w:val="0"/>
          <w:color w:val="auto"/>
          <w:szCs w:val="36"/>
        </w:rPr>
        <w:t xml:space="preserve"> </w:t>
      </w:r>
      <w:r>
        <w:rPr>
          <w:rFonts w:hint="eastAsia" w:ascii="宋体" w:hAnsi="宋体"/>
          <w:bCs w:val="0"/>
          <w:color w:val="auto"/>
          <w:szCs w:val="36"/>
        </w:rPr>
        <w:t>总则</w:t>
      </w:r>
      <w:r>
        <w:rPr>
          <w:color w:val="auto"/>
        </w:rPr>
        <w:tab/>
      </w:r>
      <w:r>
        <w:rPr>
          <w:color w:val="auto"/>
        </w:rPr>
        <w:fldChar w:fldCharType="begin"/>
      </w:r>
      <w:r>
        <w:rPr>
          <w:color w:val="auto"/>
        </w:rPr>
        <w:instrText xml:space="preserve"> PAGEREF _Toc20670 \h </w:instrText>
      </w:r>
      <w:r>
        <w:rPr>
          <w:color w:val="auto"/>
        </w:rPr>
        <w:fldChar w:fldCharType="separate"/>
      </w:r>
      <w:r>
        <w:rPr>
          <w:color w:val="auto"/>
        </w:rPr>
        <w:t>1</w:t>
      </w:r>
      <w:r>
        <w:rPr>
          <w:color w:val="auto"/>
        </w:rPr>
        <w:fldChar w:fldCharType="end"/>
      </w:r>
      <w:r>
        <w:rPr>
          <w:rFonts w:ascii="宋体" w:hAnsi="宋体"/>
          <w:color w:val="auto"/>
          <w:szCs w:val="21"/>
        </w:rPr>
        <w:fldChar w:fldCharType="end"/>
      </w:r>
    </w:p>
    <w:p w14:paraId="5F80967F">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_Toc11182 </w:instrText>
      </w:r>
      <w:r>
        <w:rPr>
          <w:rFonts w:ascii="宋体" w:hAnsi="宋体"/>
          <w:color w:val="auto"/>
          <w:szCs w:val="21"/>
        </w:rPr>
        <w:fldChar w:fldCharType="separate"/>
      </w:r>
      <w:r>
        <w:rPr>
          <w:rFonts w:ascii="宋体" w:hAnsi="宋体"/>
          <w:color w:val="auto"/>
          <w:szCs w:val="21"/>
        </w:rPr>
        <w:t xml:space="preserve">一、 </w:t>
      </w:r>
      <w:r>
        <w:rPr>
          <w:rFonts w:hint="eastAsia" w:ascii="宋体" w:hAnsi="宋体"/>
          <w:color w:val="auto"/>
          <w:szCs w:val="21"/>
        </w:rPr>
        <w:t>项目提出背景</w:t>
      </w:r>
      <w:r>
        <w:rPr>
          <w:color w:val="auto"/>
        </w:rPr>
        <w:tab/>
      </w:r>
      <w:r>
        <w:rPr>
          <w:color w:val="auto"/>
        </w:rPr>
        <w:fldChar w:fldCharType="begin"/>
      </w:r>
      <w:r>
        <w:rPr>
          <w:color w:val="auto"/>
        </w:rPr>
        <w:instrText xml:space="preserve"> PAGEREF _Toc11182 \h </w:instrText>
      </w:r>
      <w:r>
        <w:rPr>
          <w:color w:val="auto"/>
        </w:rPr>
        <w:fldChar w:fldCharType="separate"/>
      </w:r>
      <w:r>
        <w:rPr>
          <w:color w:val="auto"/>
        </w:rPr>
        <w:t>1</w:t>
      </w:r>
      <w:r>
        <w:rPr>
          <w:color w:val="auto"/>
        </w:rPr>
        <w:fldChar w:fldCharType="end"/>
      </w:r>
      <w:r>
        <w:rPr>
          <w:rFonts w:ascii="宋体" w:hAnsi="宋体"/>
          <w:color w:val="auto"/>
          <w:szCs w:val="21"/>
        </w:rPr>
        <w:fldChar w:fldCharType="end"/>
      </w:r>
    </w:p>
    <w:p w14:paraId="0B5E2540">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_Toc6984 </w:instrText>
      </w:r>
      <w:r>
        <w:rPr>
          <w:rFonts w:ascii="宋体" w:hAnsi="宋体"/>
          <w:color w:val="auto"/>
          <w:szCs w:val="21"/>
        </w:rPr>
        <w:fldChar w:fldCharType="separate"/>
      </w:r>
      <w:r>
        <w:rPr>
          <w:rFonts w:ascii="Times New Roman" w:hAnsi="Times New Roman" w:cs="Times New Roman"/>
          <w:bCs w:val="0"/>
          <w:i w:val="0"/>
          <w:iCs w:val="0"/>
          <w:caps w:val="0"/>
          <w:smallCaps w:val="0"/>
          <w:strike w:val="0"/>
          <w:dstrike w:val="0"/>
          <w:color w:val="auto"/>
          <w:spacing w:val="0"/>
          <w:position w:val="0"/>
          <w14:shadow w14:blurRad="0" w14:dist="0" w14:dir="0" w14:sx="0" w14:sy="0" w14:kx="0" w14:ky="0" w14:algn="none">
            <w14:srgbClr w14:val="000000"/>
          </w14:shadow>
        </w:rPr>
        <w:t xml:space="preserve">(一) </w:t>
      </w:r>
      <w:r>
        <w:rPr>
          <w:rFonts w:hint="eastAsia"/>
          <w:color w:val="auto"/>
        </w:rPr>
        <w:t>项目建设背景</w:t>
      </w:r>
      <w:r>
        <w:rPr>
          <w:color w:val="auto"/>
        </w:rPr>
        <w:tab/>
      </w:r>
      <w:r>
        <w:rPr>
          <w:color w:val="auto"/>
        </w:rPr>
        <w:fldChar w:fldCharType="begin"/>
      </w:r>
      <w:r>
        <w:rPr>
          <w:color w:val="auto"/>
        </w:rPr>
        <w:instrText xml:space="preserve"> PAGEREF _Toc6984 \h </w:instrText>
      </w:r>
      <w:r>
        <w:rPr>
          <w:color w:val="auto"/>
        </w:rPr>
        <w:fldChar w:fldCharType="separate"/>
      </w:r>
      <w:r>
        <w:rPr>
          <w:color w:val="auto"/>
        </w:rPr>
        <w:t>1</w:t>
      </w:r>
      <w:r>
        <w:rPr>
          <w:color w:val="auto"/>
        </w:rPr>
        <w:fldChar w:fldCharType="end"/>
      </w:r>
      <w:r>
        <w:rPr>
          <w:rFonts w:ascii="宋体" w:hAnsi="宋体"/>
          <w:color w:val="auto"/>
          <w:szCs w:val="21"/>
        </w:rPr>
        <w:fldChar w:fldCharType="end"/>
      </w:r>
    </w:p>
    <w:p w14:paraId="04F7F597">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_Toc20839 </w:instrText>
      </w:r>
      <w:r>
        <w:rPr>
          <w:rFonts w:ascii="宋体" w:hAnsi="宋体"/>
          <w:color w:val="auto"/>
          <w:szCs w:val="21"/>
        </w:rPr>
        <w:fldChar w:fldCharType="separate"/>
      </w:r>
      <w:r>
        <w:rPr>
          <w:rFonts w:ascii="Times New Roman" w:hAnsi="Times New Roman" w:cs="Times New Roman"/>
          <w:bCs w:val="0"/>
          <w:i w:val="0"/>
          <w:iCs w:val="0"/>
          <w:caps w:val="0"/>
          <w:smallCaps w:val="0"/>
          <w:strike w:val="0"/>
          <w:dstrike w:val="0"/>
          <w:color w:val="auto"/>
          <w:spacing w:val="0"/>
          <w:position w:val="0"/>
          <w14:shadow w14:blurRad="0" w14:dist="0" w14:dir="0" w14:sx="0" w14:sy="0" w14:kx="0" w14:ky="0" w14:algn="none">
            <w14:srgbClr w14:val="000000"/>
          </w14:shadow>
        </w:rPr>
        <w:t xml:space="preserve">(二) </w:t>
      </w:r>
      <w:r>
        <w:rPr>
          <w:rFonts w:hint="eastAsia"/>
          <w:color w:val="auto"/>
        </w:rPr>
        <w:t>项目选址</w:t>
      </w:r>
      <w:r>
        <w:rPr>
          <w:color w:val="auto"/>
        </w:rPr>
        <w:tab/>
      </w:r>
      <w:r>
        <w:rPr>
          <w:color w:val="auto"/>
        </w:rPr>
        <w:fldChar w:fldCharType="begin"/>
      </w:r>
      <w:r>
        <w:rPr>
          <w:color w:val="auto"/>
        </w:rPr>
        <w:instrText xml:space="preserve"> PAGEREF _Toc20839 \h </w:instrText>
      </w:r>
      <w:r>
        <w:rPr>
          <w:color w:val="auto"/>
        </w:rPr>
        <w:fldChar w:fldCharType="separate"/>
      </w:r>
      <w:r>
        <w:rPr>
          <w:color w:val="auto"/>
        </w:rPr>
        <w:t>1</w:t>
      </w:r>
      <w:r>
        <w:rPr>
          <w:color w:val="auto"/>
        </w:rPr>
        <w:fldChar w:fldCharType="end"/>
      </w:r>
      <w:r>
        <w:rPr>
          <w:rFonts w:ascii="宋体" w:hAnsi="宋体"/>
          <w:color w:val="auto"/>
          <w:szCs w:val="21"/>
        </w:rPr>
        <w:fldChar w:fldCharType="end"/>
      </w:r>
    </w:p>
    <w:p w14:paraId="30A14146">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_Toc19891 </w:instrText>
      </w:r>
      <w:r>
        <w:rPr>
          <w:rFonts w:ascii="宋体" w:hAnsi="宋体"/>
          <w:color w:val="auto"/>
          <w:szCs w:val="21"/>
        </w:rPr>
        <w:fldChar w:fldCharType="separate"/>
      </w:r>
      <w:r>
        <w:rPr>
          <w:rFonts w:ascii="宋体" w:hAnsi="宋体"/>
          <w:color w:val="auto"/>
          <w:szCs w:val="21"/>
        </w:rPr>
        <w:t xml:space="preserve">二、 </w:t>
      </w:r>
      <w:r>
        <w:rPr>
          <w:rFonts w:hint="eastAsia" w:ascii="宋体" w:hAnsi="宋体"/>
          <w:color w:val="auto"/>
          <w:szCs w:val="21"/>
        </w:rPr>
        <w:t>设计任务书编制依据</w:t>
      </w:r>
      <w:r>
        <w:rPr>
          <w:color w:val="auto"/>
        </w:rPr>
        <w:tab/>
      </w:r>
      <w:r>
        <w:rPr>
          <w:color w:val="auto"/>
        </w:rPr>
        <w:fldChar w:fldCharType="begin"/>
      </w:r>
      <w:r>
        <w:rPr>
          <w:color w:val="auto"/>
        </w:rPr>
        <w:instrText xml:space="preserve"> PAGEREF _Toc19891 \h </w:instrText>
      </w:r>
      <w:r>
        <w:rPr>
          <w:color w:val="auto"/>
        </w:rPr>
        <w:fldChar w:fldCharType="separate"/>
      </w:r>
      <w:r>
        <w:rPr>
          <w:color w:val="auto"/>
        </w:rPr>
        <w:t>2</w:t>
      </w:r>
      <w:r>
        <w:rPr>
          <w:color w:val="auto"/>
        </w:rPr>
        <w:fldChar w:fldCharType="end"/>
      </w:r>
      <w:r>
        <w:rPr>
          <w:rFonts w:ascii="宋体" w:hAnsi="宋体"/>
          <w:color w:val="auto"/>
          <w:szCs w:val="21"/>
        </w:rPr>
        <w:fldChar w:fldCharType="end"/>
      </w:r>
    </w:p>
    <w:p w14:paraId="5096A91E">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_Toc13441 </w:instrText>
      </w:r>
      <w:r>
        <w:rPr>
          <w:rFonts w:ascii="宋体" w:hAnsi="宋体"/>
          <w:color w:val="auto"/>
          <w:szCs w:val="21"/>
        </w:rPr>
        <w:fldChar w:fldCharType="separate"/>
      </w:r>
      <w:r>
        <w:rPr>
          <w:rFonts w:ascii="Times New Roman" w:hAnsi="Times New Roman" w:cs="Times New Roman"/>
          <w:bCs w:val="0"/>
          <w:i w:val="0"/>
          <w:iCs w:val="0"/>
          <w:caps w:val="0"/>
          <w:smallCaps w:val="0"/>
          <w:strike w:val="0"/>
          <w:dstrike w:val="0"/>
          <w:color w:val="auto"/>
          <w:spacing w:val="0"/>
          <w:position w:val="0"/>
          <w14:shadow w14:blurRad="0" w14:dist="0" w14:dir="0" w14:sx="0" w14:sy="0" w14:kx="0" w14:ky="0" w14:algn="none">
            <w14:srgbClr w14:val="000000"/>
          </w14:shadow>
        </w:rPr>
        <w:t xml:space="preserve">(一) </w:t>
      </w:r>
      <w:r>
        <w:rPr>
          <w:rFonts w:hint="eastAsia"/>
          <w:color w:val="auto"/>
        </w:rPr>
        <w:t>法律法规</w:t>
      </w:r>
      <w:r>
        <w:rPr>
          <w:color w:val="auto"/>
        </w:rPr>
        <w:tab/>
      </w:r>
      <w:r>
        <w:rPr>
          <w:color w:val="auto"/>
        </w:rPr>
        <w:fldChar w:fldCharType="begin"/>
      </w:r>
      <w:r>
        <w:rPr>
          <w:color w:val="auto"/>
        </w:rPr>
        <w:instrText xml:space="preserve"> PAGEREF _Toc13441 \h </w:instrText>
      </w:r>
      <w:r>
        <w:rPr>
          <w:color w:val="auto"/>
        </w:rPr>
        <w:fldChar w:fldCharType="separate"/>
      </w:r>
      <w:r>
        <w:rPr>
          <w:color w:val="auto"/>
        </w:rPr>
        <w:t>2</w:t>
      </w:r>
      <w:r>
        <w:rPr>
          <w:color w:val="auto"/>
        </w:rPr>
        <w:fldChar w:fldCharType="end"/>
      </w:r>
      <w:r>
        <w:rPr>
          <w:rFonts w:ascii="宋体" w:hAnsi="宋体"/>
          <w:color w:val="auto"/>
          <w:szCs w:val="21"/>
        </w:rPr>
        <w:fldChar w:fldCharType="end"/>
      </w:r>
    </w:p>
    <w:p w14:paraId="5490496A">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_Toc1523 </w:instrText>
      </w:r>
      <w:r>
        <w:rPr>
          <w:rFonts w:ascii="宋体" w:hAnsi="宋体"/>
          <w:color w:val="auto"/>
          <w:szCs w:val="21"/>
        </w:rPr>
        <w:fldChar w:fldCharType="separate"/>
      </w:r>
      <w:r>
        <w:rPr>
          <w:rFonts w:hint="eastAsia"/>
          <w:color w:val="auto"/>
        </w:rPr>
        <w:t>(二) 技术标准与规范</w:t>
      </w:r>
      <w:r>
        <w:rPr>
          <w:color w:val="auto"/>
        </w:rPr>
        <w:tab/>
      </w:r>
      <w:r>
        <w:rPr>
          <w:color w:val="auto"/>
        </w:rPr>
        <w:fldChar w:fldCharType="begin"/>
      </w:r>
      <w:r>
        <w:rPr>
          <w:color w:val="auto"/>
        </w:rPr>
        <w:instrText xml:space="preserve"> PAGEREF _Toc1523 \h </w:instrText>
      </w:r>
      <w:r>
        <w:rPr>
          <w:color w:val="auto"/>
        </w:rPr>
        <w:fldChar w:fldCharType="separate"/>
      </w:r>
      <w:r>
        <w:rPr>
          <w:color w:val="auto"/>
        </w:rPr>
        <w:t>2</w:t>
      </w:r>
      <w:r>
        <w:rPr>
          <w:color w:val="auto"/>
        </w:rPr>
        <w:fldChar w:fldCharType="end"/>
      </w:r>
      <w:r>
        <w:rPr>
          <w:rFonts w:ascii="宋体" w:hAnsi="宋体"/>
          <w:color w:val="auto"/>
          <w:szCs w:val="21"/>
        </w:rPr>
        <w:fldChar w:fldCharType="end"/>
      </w:r>
    </w:p>
    <w:p w14:paraId="77D67B01">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_Toc30010 </w:instrText>
      </w:r>
      <w:r>
        <w:rPr>
          <w:rFonts w:ascii="宋体" w:hAnsi="宋体"/>
          <w:color w:val="auto"/>
          <w:szCs w:val="21"/>
        </w:rPr>
        <w:fldChar w:fldCharType="separate"/>
      </w:r>
      <w:r>
        <w:rPr>
          <w:rFonts w:hint="eastAsia"/>
          <w:color w:val="auto"/>
        </w:rPr>
        <w:t>(三) 相关文件</w:t>
      </w:r>
      <w:r>
        <w:rPr>
          <w:color w:val="auto"/>
        </w:rPr>
        <w:tab/>
      </w:r>
      <w:r>
        <w:rPr>
          <w:color w:val="auto"/>
        </w:rPr>
        <w:fldChar w:fldCharType="begin"/>
      </w:r>
      <w:r>
        <w:rPr>
          <w:color w:val="auto"/>
        </w:rPr>
        <w:instrText xml:space="preserve"> PAGEREF _Toc30010 \h </w:instrText>
      </w:r>
      <w:r>
        <w:rPr>
          <w:color w:val="auto"/>
        </w:rPr>
        <w:fldChar w:fldCharType="separate"/>
      </w:r>
      <w:r>
        <w:rPr>
          <w:color w:val="auto"/>
        </w:rPr>
        <w:t>2</w:t>
      </w:r>
      <w:r>
        <w:rPr>
          <w:color w:val="auto"/>
        </w:rPr>
        <w:fldChar w:fldCharType="end"/>
      </w:r>
      <w:r>
        <w:rPr>
          <w:rFonts w:ascii="宋体" w:hAnsi="宋体"/>
          <w:color w:val="auto"/>
          <w:szCs w:val="21"/>
        </w:rPr>
        <w:fldChar w:fldCharType="end"/>
      </w:r>
    </w:p>
    <w:p w14:paraId="648E7F36">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_Toc23806 </w:instrText>
      </w:r>
      <w:r>
        <w:rPr>
          <w:rFonts w:ascii="宋体" w:hAnsi="宋体"/>
          <w:color w:val="auto"/>
          <w:szCs w:val="21"/>
        </w:rPr>
        <w:fldChar w:fldCharType="separate"/>
      </w:r>
      <w:r>
        <w:rPr>
          <w:rFonts w:hint="eastAsia"/>
          <w:color w:val="auto"/>
        </w:rPr>
        <w:t>(四) 上位规划资料</w:t>
      </w:r>
      <w:r>
        <w:rPr>
          <w:color w:val="auto"/>
        </w:rPr>
        <w:tab/>
      </w:r>
      <w:r>
        <w:rPr>
          <w:color w:val="auto"/>
        </w:rPr>
        <w:fldChar w:fldCharType="begin"/>
      </w:r>
      <w:r>
        <w:rPr>
          <w:color w:val="auto"/>
        </w:rPr>
        <w:instrText xml:space="preserve"> PAGEREF _Toc23806 \h </w:instrText>
      </w:r>
      <w:r>
        <w:rPr>
          <w:color w:val="auto"/>
        </w:rPr>
        <w:fldChar w:fldCharType="separate"/>
      </w:r>
      <w:r>
        <w:rPr>
          <w:color w:val="auto"/>
        </w:rPr>
        <w:t>3</w:t>
      </w:r>
      <w:r>
        <w:rPr>
          <w:color w:val="auto"/>
        </w:rPr>
        <w:fldChar w:fldCharType="end"/>
      </w:r>
      <w:r>
        <w:rPr>
          <w:rFonts w:ascii="宋体" w:hAnsi="宋体"/>
          <w:color w:val="auto"/>
          <w:szCs w:val="21"/>
        </w:rPr>
        <w:fldChar w:fldCharType="end"/>
      </w:r>
    </w:p>
    <w:p w14:paraId="14ED166C">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_Toc9115 </w:instrText>
      </w:r>
      <w:r>
        <w:rPr>
          <w:rFonts w:ascii="宋体" w:hAnsi="宋体"/>
          <w:color w:val="auto"/>
          <w:szCs w:val="21"/>
        </w:rPr>
        <w:fldChar w:fldCharType="separate"/>
      </w:r>
      <w:r>
        <w:rPr>
          <w:rFonts w:hint="eastAsia" w:ascii="宋体" w:hAnsi="宋体"/>
          <w:bCs w:val="0"/>
          <w:color w:val="auto"/>
          <w:szCs w:val="36"/>
        </w:rPr>
        <w:t>第二章</w:t>
      </w:r>
      <w:r>
        <w:rPr>
          <w:rFonts w:ascii="宋体" w:hAnsi="宋体"/>
          <w:bCs w:val="0"/>
          <w:color w:val="auto"/>
          <w:szCs w:val="36"/>
        </w:rPr>
        <w:t xml:space="preserve"> </w:t>
      </w:r>
      <w:r>
        <w:rPr>
          <w:rFonts w:hint="eastAsia" w:ascii="宋体" w:hAnsi="宋体"/>
          <w:bCs w:val="0"/>
          <w:color w:val="auto"/>
          <w:szCs w:val="36"/>
        </w:rPr>
        <w:t>项目概况</w:t>
      </w:r>
      <w:r>
        <w:rPr>
          <w:color w:val="auto"/>
        </w:rPr>
        <w:tab/>
      </w:r>
      <w:r>
        <w:rPr>
          <w:color w:val="auto"/>
        </w:rPr>
        <w:fldChar w:fldCharType="begin"/>
      </w:r>
      <w:r>
        <w:rPr>
          <w:color w:val="auto"/>
        </w:rPr>
        <w:instrText xml:space="preserve"> PAGEREF _Toc9115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74048F4C">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_Toc14842 </w:instrText>
      </w:r>
      <w:r>
        <w:rPr>
          <w:rFonts w:ascii="宋体" w:hAnsi="宋体"/>
          <w:color w:val="auto"/>
          <w:szCs w:val="21"/>
        </w:rPr>
        <w:fldChar w:fldCharType="separate"/>
      </w:r>
      <w:r>
        <w:rPr>
          <w:rFonts w:ascii="宋体" w:hAnsi="宋体"/>
          <w:color w:val="auto"/>
          <w:szCs w:val="32"/>
        </w:rPr>
        <w:t xml:space="preserve">一、 </w:t>
      </w:r>
      <w:r>
        <w:rPr>
          <w:rFonts w:hint="eastAsia" w:ascii="宋体" w:hAnsi="宋体"/>
          <w:color w:val="auto"/>
        </w:rPr>
        <w:t>项目基本信息</w:t>
      </w:r>
      <w:r>
        <w:rPr>
          <w:color w:val="auto"/>
        </w:rPr>
        <w:tab/>
      </w:r>
      <w:r>
        <w:rPr>
          <w:color w:val="auto"/>
        </w:rPr>
        <w:fldChar w:fldCharType="begin"/>
      </w:r>
      <w:r>
        <w:rPr>
          <w:color w:val="auto"/>
        </w:rPr>
        <w:instrText xml:space="preserve"> PAGEREF _Toc14842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6F2D2BA8">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_Toc19561 </w:instrText>
      </w:r>
      <w:r>
        <w:rPr>
          <w:rFonts w:ascii="宋体" w:hAnsi="宋体"/>
          <w:color w:val="auto"/>
          <w:szCs w:val="21"/>
        </w:rPr>
        <w:fldChar w:fldCharType="separate"/>
      </w:r>
      <w:r>
        <w:rPr>
          <w:color w:val="auto"/>
        </w:rPr>
        <w:t xml:space="preserve">(一) </w:t>
      </w:r>
      <w:r>
        <w:rPr>
          <w:rFonts w:hint="eastAsia"/>
          <w:color w:val="auto"/>
        </w:rPr>
        <w:t>项目名称</w:t>
      </w:r>
      <w:r>
        <w:rPr>
          <w:color w:val="auto"/>
        </w:rPr>
        <w:tab/>
      </w:r>
      <w:r>
        <w:rPr>
          <w:color w:val="auto"/>
        </w:rPr>
        <w:fldChar w:fldCharType="begin"/>
      </w:r>
      <w:r>
        <w:rPr>
          <w:color w:val="auto"/>
        </w:rPr>
        <w:instrText xml:space="preserve"> PAGEREF _Toc19561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1E0995DF">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_Toc6125 </w:instrText>
      </w:r>
      <w:r>
        <w:rPr>
          <w:rFonts w:ascii="宋体" w:hAnsi="宋体"/>
          <w:color w:val="auto"/>
          <w:szCs w:val="21"/>
        </w:rPr>
        <w:fldChar w:fldCharType="separate"/>
      </w:r>
      <w:r>
        <w:rPr>
          <w:color w:val="auto"/>
        </w:rPr>
        <w:t xml:space="preserve">(二) </w:t>
      </w:r>
      <w:r>
        <w:rPr>
          <w:rFonts w:hint="eastAsia"/>
          <w:color w:val="auto"/>
        </w:rPr>
        <w:t>项目位置</w:t>
      </w:r>
      <w:r>
        <w:rPr>
          <w:color w:val="auto"/>
        </w:rPr>
        <w:tab/>
      </w:r>
      <w:r>
        <w:rPr>
          <w:color w:val="auto"/>
        </w:rPr>
        <w:fldChar w:fldCharType="begin"/>
      </w:r>
      <w:r>
        <w:rPr>
          <w:color w:val="auto"/>
        </w:rPr>
        <w:instrText xml:space="preserve"> PAGEREF _Toc6125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7B907E18">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_Toc25244 </w:instrText>
      </w:r>
      <w:r>
        <w:rPr>
          <w:rFonts w:ascii="宋体" w:hAnsi="宋体"/>
          <w:color w:val="auto"/>
          <w:szCs w:val="21"/>
        </w:rPr>
        <w:fldChar w:fldCharType="separate"/>
      </w:r>
      <w:r>
        <w:rPr>
          <w:color w:val="auto"/>
        </w:rPr>
        <w:t xml:space="preserve">(三) </w:t>
      </w:r>
      <w:r>
        <w:rPr>
          <w:rFonts w:hint="eastAsia"/>
          <w:color w:val="auto"/>
        </w:rPr>
        <w:t>项目建设内容</w:t>
      </w:r>
      <w:r>
        <w:rPr>
          <w:color w:val="auto"/>
        </w:rPr>
        <w:tab/>
      </w:r>
      <w:r>
        <w:rPr>
          <w:color w:val="auto"/>
        </w:rPr>
        <w:fldChar w:fldCharType="begin"/>
      </w:r>
      <w:r>
        <w:rPr>
          <w:color w:val="auto"/>
        </w:rPr>
        <w:instrText xml:space="preserve"> PAGEREF _Toc25244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1E67D92C">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_Toc6604 </w:instrText>
      </w:r>
      <w:r>
        <w:rPr>
          <w:rFonts w:ascii="宋体" w:hAnsi="宋体"/>
          <w:color w:val="auto"/>
          <w:szCs w:val="21"/>
        </w:rPr>
        <w:fldChar w:fldCharType="separate"/>
      </w:r>
      <w:r>
        <w:rPr>
          <w:rFonts w:hint="eastAsia" w:ascii="宋体" w:hAnsi="宋体" w:cs="宋体"/>
          <w:color w:val="auto"/>
          <w:kern w:val="28"/>
        </w:rPr>
        <w:t>二、</w:t>
      </w:r>
      <w:r>
        <w:rPr>
          <w:rFonts w:hint="eastAsia" w:ascii="宋体" w:hAnsi="宋体"/>
          <w:color w:val="auto"/>
        </w:rPr>
        <w:t>项目工作范围和内容</w:t>
      </w:r>
      <w:r>
        <w:rPr>
          <w:color w:val="auto"/>
        </w:rPr>
        <w:tab/>
      </w:r>
      <w:r>
        <w:rPr>
          <w:color w:val="auto"/>
        </w:rPr>
        <w:fldChar w:fldCharType="begin"/>
      </w:r>
      <w:r>
        <w:rPr>
          <w:color w:val="auto"/>
        </w:rPr>
        <w:instrText xml:space="preserve"> PAGEREF _Toc6604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0B07362A">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_Toc4528 </w:instrText>
      </w:r>
      <w:r>
        <w:rPr>
          <w:rFonts w:ascii="宋体" w:hAnsi="宋体"/>
          <w:color w:val="auto"/>
          <w:szCs w:val="21"/>
        </w:rPr>
        <w:fldChar w:fldCharType="separate"/>
      </w:r>
      <w:r>
        <w:rPr>
          <w:color w:val="auto"/>
        </w:rPr>
        <w:t xml:space="preserve">(一) </w:t>
      </w:r>
      <w:r>
        <w:rPr>
          <w:rFonts w:hint="eastAsia"/>
          <w:color w:val="auto"/>
        </w:rPr>
        <w:t>全过程规划建筑设计，设计内容包括：</w:t>
      </w:r>
      <w:r>
        <w:rPr>
          <w:color w:val="auto"/>
        </w:rPr>
        <w:tab/>
      </w:r>
      <w:r>
        <w:rPr>
          <w:color w:val="auto"/>
        </w:rPr>
        <w:fldChar w:fldCharType="begin"/>
      </w:r>
      <w:r>
        <w:rPr>
          <w:color w:val="auto"/>
        </w:rPr>
        <w:instrText xml:space="preserve"> PAGEREF _Toc4528 \h </w:instrText>
      </w:r>
      <w:r>
        <w:rPr>
          <w:color w:val="auto"/>
        </w:rPr>
        <w:fldChar w:fldCharType="separate"/>
      </w:r>
      <w:r>
        <w:rPr>
          <w:color w:val="auto"/>
        </w:rPr>
        <w:t>4</w:t>
      </w:r>
      <w:r>
        <w:rPr>
          <w:color w:val="auto"/>
        </w:rPr>
        <w:fldChar w:fldCharType="end"/>
      </w:r>
      <w:r>
        <w:rPr>
          <w:rFonts w:ascii="宋体" w:hAnsi="宋体"/>
          <w:color w:val="auto"/>
          <w:szCs w:val="21"/>
        </w:rPr>
        <w:fldChar w:fldCharType="end"/>
      </w:r>
    </w:p>
    <w:p w14:paraId="3B9DA015">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_Toc26652 </w:instrText>
      </w:r>
      <w:r>
        <w:rPr>
          <w:rFonts w:ascii="宋体" w:hAnsi="宋体"/>
          <w:color w:val="auto"/>
          <w:szCs w:val="21"/>
        </w:rPr>
        <w:fldChar w:fldCharType="separate"/>
      </w:r>
      <w:r>
        <w:rPr>
          <w:color w:val="auto"/>
        </w:rPr>
        <w:t xml:space="preserve">(二) </w:t>
      </w:r>
      <w:r>
        <w:rPr>
          <w:rFonts w:hint="eastAsia"/>
          <w:color w:val="auto"/>
        </w:rPr>
        <w:t>绿色建筑工程咨询及设计</w:t>
      </w:r>
      <w:r>
        <w:rPr>
          <w:color w:val="auto"/>
        </w:rPr>
        <w:tab/>
      </w:r>
      <w:r>
        <w:rPr>
          <w:color w:val="auto"/>
        </w:rPr>
        <w:fldChar w:fldCharType="begin"/>
      </w:r>
      <w:r>
        <w:rPr>
          <w:color w:val="auto"/>
        </w:rPr>
        <w:instrText xml:space="preserve"> PAGEREF _Toc26652 \h </w:instrText>
      </w:r>
      <w:r>
        <w:rPr>
          <w:color w:val="auto"/>
        </w:rPr>
        <w:fldChar w:fldCharType="separate"/>
      </w:r>
      <w:r>
        <w:rPr>
          <w:color w:val="auto"/>
        </w:rPr>
        <w:t>5</w:t>
      </w:r>
      <w:r>
        <w:rPr>
          <w:color w:val="auto"/>
        </w:rPr>
        <w:fldChar w:fldCharType="end"/>
      </w:r>
      <w:r>
        <w:rPr>
          <w:rFonts w:ascii="宋体" w:hAnsi="宋体"/>
          <w:color w:val="auto"/>
          <w:szCs w:val="21"/>
        </w:rPr>
        <w:fldChar w:fldCharType="end"/>
      </w:r>
    </w:p>
    <w:p w14:paraId="6AC9CFB6">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_Toc10050 </w:instrText>
      </w:r>
      <w:r>
        <w:rPr>
          <w:rFonts w:ascii="宋体" w:hAnsi="宋体"/>
          <w:color w:val="auto"/>
          <w:szCs w:val="21"/>
        </w:rPr>
        <w:fldChar w:fldCharType="separate"/>
      </w:r>
      <w:r>
        <w:rPr>
          <w:rFonts w:hint="eastAsia"/>
          <w:color w:val="auto"/>
        </w:rPr>
        <w:t>(三) 海绵城市建筑工程咨询及设计</w:t>
      </w:r>
      <w:r>
        <w:rPr>
          <w:color w:val="auto"/>
        </w:rPr>
        <w:tab/>
      </w:r>
      <w:r>
        <w:rPr>
          <w:color w:val="auto"/>
        </w:rPr>
        <w:fldChar w:fldCharType="begin"/>
      </w:r>
      <w:r>
        <w:rPr>
          <w:color w:val="auto"/>
        </w:rPr>
        <w:instrText xml:space="preserve"> PAGEREF _Toc10050 \h </w:instrText>
      </w:r>
      <w:r>
        <w:rPr>
          <w:color w:val="auto"/>
        </w:rPr>
        <w:fldChar w:fldCharType="separate"/>
      </w:r>
      <w:r>
        <w:rPr>
          <w:color w:val="auto"/>
        </w:rPr>
        <w:t>6</w:t>
      </w:r>
      <w:r>
        <w:rPr>
          <w:color w:val="auto"/>
        </w:rPr>
        <w:fldChar w:fldCharType="end"/>
      </w:r>
      <w:r>
        <w:rPr>
          <w:rFonts w:ascii="宋体" w:hAnsi="宋体"/>
          <w:color w:val="auto"/>
          <w:szCs w:val="21"/>
        </w:rPr>
        <w:fldChar w:fldCharType="end"/>
      </w:r>
    </w:p>
    <w:p w14:paraId="726DA834">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_Toc27777 </w:instrText>
      </w:r>
      <w:r>
        <w:rPr>
          <w:rFonts w:ascii="宋体" w:hAnsi="宋体"/>
          <w:color w:val="auto"/>
          <w:szCs w:val="21"/>
        </w:rPr>
        <w:fldChar w:fldCharType="separate"/>
      </w:r>
      <w:r>
        <w:rPr>
          <w:rFonts w:hint="eastAsia"/>
          <w:color w:val="auto"/>
        </w:rPr>
        <w:t>(四) 装配式建筑工程咨询及设计</w:t>
      </w:r>
      <w:r>
        <w:rPr>
          <w:color w:val="auto"/>
        </w:rPr>
        <w:tab/>
      </w:r>
      <w:r>
        <w:rPr>
          <w:color w:val="auto"/>
        </w:rPr>
        <w:fldChar w:fldCharType="begin"/>
      </w:r>
      <w:r>
        <w:rPr>
          <w:color w:val="auto"/>
        </w:rPr>
        <w:instrText xml:space="preserve"> PAGEREF _Toc27777 \h </w:instrText>
      </w:r>
      <w:r>
        <w:rPr>
          <w:color w:val="auto"/>
        </w:rPr>
        <w:fldChar w:fldCharType="separate"/>
      </w:r>
      <w:r>
        <w:rPr>
          <w:color w:val="auto"/>
        </w:rPr>
        <w:t>6</w:t>
      </w:r>
      <w:r>
        <w:rPr>
          <w:color w:val="auto"/>
        </w:rPr>
        <w:fldChar w:fldCharType="end"/>
      </w:r>
      <w:r>
        <w:rPr>
          <w:rFonts w:ascii="宋体" w:hAnsi="宋体"/>
          <w:color w:val="auto"/>
          <w:szCs w:val="21"/>
        </w:rPr>
        <w:fldChar w:fldCharType="end"/>
      </w:r>
    </w:p>
    <w:p w14:paraId="3A418BBA">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_Toc30428 </w:instrText>
      </w:r>
      <w:r>
        <w:rPr>
          <w:rFonts w:ascii="宋体" w:hAnsi="宋体"/>
          <w:color w:val="auto"/>
          <w:szCs w:val="21"/>
        </w:rPr>
        <w:fldChar w:fldCharType="separate"/>
      </w:r>
      <w:r>
        <w:rPr>
          <w:rFonts w:hint="eastAsia"/>
          <w:color w:val="auto"/>
          <w:shd w:val="clear" w:fill="auto"/>
        </w:rPr>
        <w:t xml:space="preserve">(五) </w:t>
      </w:r>
      <w:r>
        <w:rPr>
          <w:rFonts w:hint="eastAsia"/>
          <w:color w:val="auto"/>
          <w:shd w:val="clear" w:color="auto" w:fill="auto"/>
        </w:rPr>
        <w:t>BIM设计</w:t>
      </w:r>
      <w:r>
        <w:rPr>
          <w:color w:val="auto"/>
        </w:rPr>
        <w:tab/>
      </w:r>
      <w:r>
        <w:rPr>
          <w:color w:val="auto"/>
        </w:rPr>
        <w:fldChar w:fldCharType="begin"/>
      </w:r>
      <w:r>
        <w:rPr>
          <w:color w:val="auto"/>
        </w:rPr>
        <w:instrText xml:space="preserve"> PAGEREF _Toc30428 \h </w:instrText>
      </w:r>
      <w:r>
        <w:rPr>
          <w:color w:val="auto"/>
        </w:rPr>
        <w:fldChar w:fldCharType="separate"/>
      </w:r>
      <w:r>
        <w:rPr>
          <w:color w:val="auto"/>
        </w:rPr>
        <w:t>7</w:t>
      </w:r>
      <w:r>
        <w:rPr>
          <w:color w:val="auto"/>
        </w:rPr>
        <w:fldChar w:fldCharType="end"/>
      </w:r>
      <w:r>
        <w:rPr>
          <w:rFonts w:ascii="宋体" w:hAnsi="宋体"/>
          <w:color w:val="auto"/>
          <w:szCs w:val="21"/>
        </w:rPr>
        <w:fldChar w:fldCharType="end"/>
      </w:r>
    </w:p>
    <w:p w14:paraId="20CA0791">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_Toc25333 </w:instrText>
      </w:r>
      <w:r>
        <w:rPr>
          <w:rFonts w:ascii="宋体" w:hAnsi="宋体"/>
          <w:color w:val="auto"/>
          <w:szCs w:val="21"/>
        </w:rPr>
        <w:fldChar w:fldCharType="separate"/>
      </w:r>
      <w:r>
        <w:rPr>
          <w:rFonts w:hint="eastAsia" w:ascii="宋体" w:hAnsi="宋体"/>
          <w:color w:val="auto"/>
          <w:szCs w:val="32"/>
        </w:rPr>
        <w:t xml:space="preserve">三、 </w:t>
      </w:r>
      <w:r>
        <w:rPr>
          <w:rFonts w:hint="eastAsia" w:ascii="宋体" w:hAnsi="宋体"/>
          <w:color w:val="auto"/>
        </w:rPr>
        <w:t>建设用地现状情况</w:t>
      </w:r>
      <w:r>
        <w:rPr>
          <w:color w:val="auto"/>
        </w:rPr>
        <w:tab/>
      </w:r>
      <w:r>
        <w:rPr>
          <w:color w:val="auto"/>
        </w:rPr>
        <w:fldChar w:fldCharType="begin"/>
      </w:r>
      <w:r>
        <w:rPr>
          <w:color w:val="auto"/>
        </w:rPr>
        <w:instrText xml:space="preserve"> PAGEREF _Toc25333 \h </w:instrText>
      </w:r>
      <w:r>
        <w:rPr>
          <w:color w:val="auto"/>
        </w:rPr>
        <w:fldChar w:fldCharType="separate"/>
      </w:r>
      <w:r>
        <w:rPr>
          <w:color w:val="auto"/>
        </w:rPr>
        <w:t>8</w:t>
      </w:r>
      <w:r>
        <w:rPr>
          <w:color w:val="auto"/>
        </w:rPr>
        <w:fldChar w:fldCharType="end"/>
      </w:r>
      <w:r>
        <w:rPr>
          <w:rFonts w:ascii="宋体" w:hAnsi="宋体"/>
          <w:color w:val="auto"/>
          <w:szCs w:val="21"/>
        </w:rPr>
        <w:fldChar w:fldCharType="end"/>
      </w:r>
    </w:p>
    <w:p w14:paraId="1CF046E3">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_Toc28893 </w:instrText>
      </w:r>
      <w:r>
        <w:rPr>
          <w:rFonts w:ascii="宋体" w:hAnsi="宋体"/>
          <w:color w:val="auto"/>
          <w:szCs w:val="21"/>
        </w:rPr>
        <w:fldChar w:fldCharType="separate"/>
      </w:r>
      <w:r>
        <w:rPr>
          <w:rFonts w:ascii="宋体" w:hAnsi="宋体" w:eastAsia="宋体" w:cs="黑体"/>
          <w:bCs/>
          <w:color w:val="auto"/>
          <w:szCs w:val="21"/>
        </w:rPr>
        <w:t xml:space="preserve">(一) </w:t>
      </w:r>
      <w:r>
        <w:rPr>
          <w:rFonts w:hint="eastAsia" w:ascii="宋体" w:hAnsi="宋体" w:eastAsia="宋体" w:cs="黑体"/>
          <w:bCs/>
          <w:color w:val="auto"/>
          <w:szCs w:val="21"/>
        </w:rPr>
        <w:t>自然条件</w:t>
      </w:r>
      <w:r>
        <w:rPr>
          <w:color w:val="auto"/>
        </w:rPr>
        <w:tab/>
      </w:r>
      <w:r>
        <w:rPr>
          <w:color w:val="auto"/>
        </w:rPr>
        <w:fldChar w:fldCharType="begin"/>
      </w:r>
      <w:r>
        <w:rPr>
          <w:color w:val="auto"/>
        </w:rPr>
        <w:instrText xml:space="preserve"> PAGEREF _Toc28893 \h </w:instrText>
      </w:r>
      <w:r>
        <w:rPr>
          <w:color w:val="auto"/>
        </w:rPr>
        <w:fldChar w:fldCharType="separate"/>
      </w:r>
      <w:r>
        <w:rPr>
          <w:color w:val="auto"/>
        </w:rPr>
        <w:t>8</w:t>
      </w:r>
      <w:r>
        <w:rPr>
          <w:color w:val="auto"/>
        </w:rPr>
        <w:fldChar w:fldCharType="end"/>
      </w:r>
      <w:r>
        <w:rPr>
          <w:rFonts w:ascii="宋体" w:hAnsi="宋体"/>
          <w:color w:val="auto"/>
          <w:szCs w:val="21"/>
        </w:rPr>
        <w:fldChar w:fldCharType="end"/>
      </w:r>
    </w:p>
    <w:p w14:paraId="6911AB0B">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_Toc13689 </w:instrText>
      </w:r>
      <w:r>
        <w:rPr>
          <w:rFonts w:ascii="宋体" w:hAnsi="宋体"/>
          <w:color w:val="auto"/>
          <w:szCs w:val="21"/>
        </w:rPr>
        <w:fldChar w:fldCharType="separate"/>
      </w:r>
      <w:r>
        <w:rPr>
          <w:rFonts w:ascii="宋体" w:hAnsi="宋体" w:eastAsia="宋体" w:cs="黑体"/>
          <w:bCs/>
          <w:color w:val="auto"/>
          <w:szCs w:val="21"/>
        </w:rPr>
        <w:t xml:space="preserve">(二) </w:t>
      </w:r>
      <w:r>
        <w:rPr>
          <w:rFonts w:hint="eastAsia" w:ascii="宋体" w:hAnsi="宋体" w:eastAsia="宋体" w:cs="黑体"/>
          <w:bCs/>
          <w:color w:val="auto"/>
          <w:szCs w:val="21"/>
        </w:rPr>
        <w:t>气候条件</w:t>
      </w:r>
      <w:r>
        <w:rPr>
          <w:color w:val="auto"/>
        </w:rPr>
        <w:tab/>
      </w:r>
      <w:r>
        <w:rPr>
          <w:color w:val="auto"/>
        </w:rPr>
        <w:fldChar w:fldCharType="begin"/>
      </w:r>
      <w:r>
        <w:rPr>
          <w:color w:val="auto"/>
        </w:rPr>
        <w:instrText xml:space="preserve"> PAGEREF _Toc13689 \h </w:instrText>
      </w:r>
      <w:r>
        <w:rPr>
          <w:color w:val="auto"/>
        </w:rPr>
        <w:fldChar w:fldCharType="separate"/>
      </w:r>
      <w:r>
        <w:rPr>
          <w:color w:val="auto"/>
        </w:rPr>
        <w:t>10</w:t>
      </w:r>
      <w:r>
        <w:rPr>
          <w:color w:val="auto"/>
        </w:rPr>
        <w:fldChar w:fldCharType="end"/>
      </w:r>
      <w:r>
        <w:rPr>
          <w:rFonts w:ascii="宋体" w:hAnsi="宋体"/>
          <w:color w:val="auto"/>
          <w:szCs w:val="21"/>
        </w:rPr>
        <w:fldChar w:fldCharType="end"/>
      </w:r>
    </w:p>
    <w:p w14:paraId="18F085F9">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_Toc11741 </w:instrText>
      </w:r>
      <w:r>
        <w:rPr>
          <w:rFonts w:ascii="宋体" w:hAnsi="宋体"/>
          <w:color w:val="auto"/>
          <w:szCs w:val="21"/>
        </w:rPr>
        <w:fldChar w:fldCharType="separate"/>
      </w:r>
      <w:r>
        <w:rPr>
          <w:rFonts w:ascii="宋体" w:hAnsi="宋体" w:eastAsia="宋体" w:cs="黑体"/>
          <w:bCs/>
          <w:color w:val="auto"/>
          <w:szCs w:val="21"/>
        </w:rPr>
        <w:t xml:space="preserve">(三) </w:t>
      </w:r>
      <w:r>
        <w:rPr>
          <w:rFonts w:hint="eastAsia" w:ascii="宋体" w:hAnsi="宋体" w:eastAsia="宋体" w:cs="黑体"/>
          <w:bCs/>
          <w:color w:val="auto"/>
          <w:szCs w:val="21"/>
        </w:rPr>
        <w:t>工程地质和水文地质条件</w:t>
      </w:r>
      <w:r>
        <w:rPr>
          <w:color w:val="auto"/>
        </w:rPr>
        <w:tab/>
      </w:r>
      <w:r>
        <w:rPr>
          <w:color w:val="auto"/>
        </w:rPr>
        <w:fldChar w:fldCharType="begin"/>
      </w:r>
      <w:r>
        <w:rPr>
          <w:color w:val="auto"/>
        </w:rPr>
        <w:instrText xml:space="preserve"> PAGEREF _Toc11741 \h </w:instrText>
      </w:r>
      <w:r>
        <w:rPr>
          <w:color w:val="auto"/>
        </w:rPr>
        <w:fldChar w:fldCharType="separate"/>
      </w:r>
      <w:r>
        <w:rPr>
          <w:color w:val="auto"/>
        </w:rPr>
        <w:t>10</w:t>
      </w:r>
      <w:r>
        <w:rPr>
          <w:color w:val="auto"/>
        </w:rPr>
        <w:fldChar w:fldCharType="end"/>
      </w:r>
      <w:r>
        <w:rPr>
          <w:rFonts w:ascii="宋体" w:hAnsi="宋体"/>
          <w:color w:val="auto"/>
          <w:szCs w:val="21"/>
        </w:rPr>
        <w:fldChar w:fldCharType="end"/>
      </w:r>
    </w:p>
    <w:p w14:paraId="38EC7133">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_Toc32376 </w:instrText>
      </w:r>
      <w:r>
        <w:rPr>
          <w:rFonts w:ascii="宋体" w:hAnsi="宋体"/>
          <w:color w:val="auto"/>
          <w:szCs w:val="21"/>
        </w:rPr>
        <w:fldChar w:fldCharType="separate"/>
      </w:r>
      <w:r>
        <w:rPr>
          <w:rFonts w:ascii="宋体" w:hAnsi="宋体" w:eastAsia="宋体" w:cs="黑体"/>
          <w:bCs/>
          <w:color w:val="auto"/>
          <w:szCs w:val="21"/>
        </w:rPr>
        <w:t xml:space="preserve">(四) </w:t>
      </w:r>
      <w:r>
        <w:rPr>
          <w:rFonts w:hint="eastAsia" w:ascii="宋体" w:hAnsi="宋体" w:eastAsia="宋体" w:cs="黑体"/>
          <w:bCs/>
          <w:color w:val="auto"/>
          <w:szCs w:val="21"/>
        </w:rPr>
        <w:t>交通条件</w:t>
      </w:r>
      <w:r>
        <w:rPr>
          <w:color w:val="auto"/>
        </w:rPr>
        <w:tab/>
      </w:r>
      <w:r>
        <w:rPr>
          <w:color w:val="auto"/>
        </w:rPr>
        <w:fldChar w:fldCharType="begin"/>
      </w:r>
      <w:r>
        <w:rPr>
          <w:color w:val="auto"/>
        </w:rPr>
        <w:instrText xml:space="preserve"> PAGEREF _Toc32376 \h </w:instrText>
      </w:r>
      <w:r>
        <w:rPr>
          <w:color w:val="auto"/>
        </w:rPr>
        <w:fldChar w:fldCharType="separate"/>
      </w:r>
      <w:r>
        <w:rPr>
          <w:color w:val="auto"/>
        </w:rPr>
        <w:t>10</w:t>
      </w:r>
      <w:r>
        <w:rPr>
          <w:color w:val="auto"/>
        </w:rPr>
        <w:fldChar w:fldCharType="end"/>
      </w:r>
      <w:r>
        <w:rPr>
          <w:rFonts w:ascii="宋体" w:hAnsi="宋体"/>
          <w:color w:val="auto"/>
          <w:szCs w:val="21"/>
        </w:rPr>
        <w:fldChar w:fldCharType="end"/>
      </w:r>
    </w:p>
    <w:p w14:paraId="13324E06">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_Toc31235 </w:instrText>
      </w:r>
      <w:r>
        <w:rPr>
          <w:rFonts w:ascii="宋体" w:hAnsi="宋体"/>
          <w:color w:val="auto"/>
          <w:szCs w:val="21"/>
        </w:rPr>
        <w:fldChar w:fldCharType="separate"/>
      </w:r>
      <w:r>
        <w:rPr>
          <w:rFonts w:hint="eastAsia" w:ascii="宋体" w:hAnsi="宋体" w:eastAsia="宋体" w:cs="黑体"/>
          <w:bCs/>
          <w:color w:val="auto"/>
          <w:szCs w:val="21"/>
        </w:rPr>
        <w:t>（五）社会经济条件</w:t>
      </w:r>
      <w:r>
        <w:rPr>
          <w:color w:val="auto"/>
        </w:rPr>
        <w:tab/>
      </w:r>
      <w:r>
        <w:rPr>
          <w:color w:val="auto"/>
        </w:rPr>
        <w:fldChar w:fldCharType="begin"/>
      </w:r>
      <w:r>
        <w:rPr>
          <w:color w:val="auto"/>
        </w:rPr>
        <w:instrText xml:space="preserve"> PAGEREF _Toc31235 \h </w:instrText>
      </w:r>
      <w:r>
        <w:rPr>
          <w:color w:val="auto"/>
        </w:rPr>
        <w:fldChar w:fldCharType="separate"/>
      </w:r>
      <w:r>
        <w:rPr>
          <w:color w:val="auto"/>
        </w:rPr>
        <w:t>10</w:t>
      </w:r>
      <w:r>
        <w:rPr>
          <w:color w:val="auto"/>
        </w:rPr>
        <w:fldChar w:fldCharType="end"/>
      </w:r>
      <w:r>
        <w:rPr>
          <w:rFonts w:ascii="宋体" w:hAnsi="宋体"/>
          <w:color w:val="auto"/>
          <w:szCs w:val="21"/>
        </w:rPr>
        <w:fldChar w:fldCharType="end"/>
      </w:r>
    </w:p>
    <w:p w14:paraId="5EF87382">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_Toc12096 </w:instrText>
      </w:r>
      <w:r>
        <w:rPr>
          <w:rFonts w:ascii="宋体" w:hAnsi="宋体"/>
          <w:color w:val="auto"/>
          <w:szCs w:val="21"/>
        </w:rPr>
        <w:fldChar w:fldCharType="separate"/>
      </w:r>
      <w:r>
        <w:rPr>
          <w:rFonts w:hint="eastAsia" w:ascii="宋体" w:hAnsi="宋体" w:eastAsia="宋体" w:cs="黑体"/>
          <w:bCs/>
          <w:color w:val="auto"/>
          <w:szCs w:val="21"/>
        </w:rPr>
        <w:t>（六）项目周边公共设施条件</w:t>
      </w:r>
      <w:r>
        <w:rPr>
          <w:color w:val="auto"/>
        </w:rPr>
        <w:tab/>
      </w:r>
      <w:r>
        <w:rPr>
          <w:color w:val="auto"/>
        </w:rPr>
        <w:fldChar w:fldCharType="begin"/>
      </w:r>
      <w:r>
        <w:rPr>
          <w:color w:val="auto"/>
        </w:rPr>
        <w:instrText xml:space="preserve"> PAGEREF _Toc12096 \h </w:instrText>
      </w:r>
      <w:r>
        <w:rPr>
          <w:color w:val="auto"/>
        </w:rPr>
        <w:fldChar w:fldCharType="separate"/>
      </w:r>
      <w:r>
        <w:rPr>
          <w:color w:val="auto"/>
        </w:rPr>
        <w:t>11</w:t>
      </w:r>
      <w:r>
        <w:rPr>
          <w:color w:val="auto"/>
        </w:rPr>
        <w:fldChar w:fldCharType="end"/>
      </w:r>
      <w:r>
        <w:rPr>
          <w:rFonts w:ascii="宋体" w:hAnsi="宋体"/>
          <w:color w:val="auto"/>
          <w:szCs w:val="21"/>
        </w:rPr>
        <w:fldChar w:fldCharType="end"/>
      </w:r>
    </w:p>
    <w:p w14:paraId="2BB9A12F">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_Toc2077 </w:instrText>
      </w:r>
      <w:r>
        <w:rPr>
          <w:rFonts w:ascii="宋体" w:hAnsi="宋体"/>
          <w:color w:val="auto"/>
          <w:szCs w:val="21"/>
        </w:rPr>
        <w:fldChar w:fldCharType="separate"/>
      </w:r>
      <w:r>
        <w:rPr>
          <w:rFonts w:hint="eastAsia" w:ascii="宋体" w:hAnsi="宋体"/>
          <w:color w:val="auto"/>
          <w:szCs w:val="36"/>
        </w:rPr>
        <w:t>第三章</w:t>
      </w:r>
      <w:r>
        <w:rPr>
          <w:rFonts w:ascii="宋体" w:hAnsi="宋体"/>
          <w:color w:val="auto"/>
          <w:szCs w:val="36"/>
        </w:rPr>
        <w:t xml:space="preserve"> </w:t>
      </w:r>
      <w:r>
        <w:rPr>
          <w:rFonts w:hint="eastAsia" w:ascii="宋体" w:hAnsi="宋体"/>
          <w:color w:val="auto"/>
          <w:szCs w:val="36"/>
        </w:rPr>
        <w:t>设计目标及原则</w:t>
      </w:r>
      <w:r>
        <w:rPr>
          <w:color w:val="auto"/>
        </w:rPr>
        <w:tab/>
      </w:r>
      <w:r>
        <w:rPr>
          <w:color w:val="auto"/>
        </w:rPr>
        <w:fldChar w:fldCharType="begin"/>
      </w:r>
      <w:r>
        <w:rPr>
          <w:color w:val="auto"/>
        </w:rPr>
        <w:instrText xml:space="preserve"> PAGEREF _Toc2077 \h </w:instrText>
      </w:r>
      <w:r>
        <w:rPr>
          <w:color w:val="auto"/>
        </w:rPr>
        <w:fldChar w:fldCharType="separate"/>
      </w:r>
      <w:r>
        <w:rPr>
          <w:color w:val="auto"/>
        </w:rPr>
        <w:t>13</w:t>
      </w:r>
      <w:r>
        <w:rPr>
          <w:color w:val="auto"/>
        </w:rPr>
        <w:fldChar w:fldCharType="end"/>
      </w:r>
      <w:r>
        <w:rPr>
          <w:rFonts w:ascii="宋体" w:hAnsi="宋体"/>
          <w:color w:val="auto"/>
          <w:szCs w:val="21"/>
        </w:rPr>
        <w:fldChar w:fldCharType="end"/>
      </w:r>
    </w:p>
    <w:p w14:paraId="04595191">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_Toc824 </w:instrText>
      </w:r>
      <w:r>
        <w:rPr>
          <w:rFonts w:ascii="宋体" w:hAnsi="宋体"/>
          <w:color w:val="auto"/>
          <w:szCs w:val="21"/>
        </w:rPr>
        <w:fldChar w:fldCharType="separate"/>
      </w:r>
      <w:r>
        <w:rPr>
          <w:rFonts w:ascii="宋体" w:hAnsi="宋体"/>
          <w:color w:val="auto"/>
        </w:rPr>
        <w:t xml:space="preserve">一、 </w:t>
      </w:r>
      <w:r>
        <w:rPr>
          <w:rFonts w:hint="eastAsia" w:ascii="宋体" w:hAnsi="宋体"/>
          <w:color w:val="auto"/>
        </w:rPr>
        <w:t>设计目标</w:t>
      </w:r>
      <w:r>
        <w:rPr>
          <w:color w:val="auto"/>
        </w:rPr>
        <w:tab/>
      </w:r>
      <w:r>
        <w:rPr>
          <w:color w:val="auto"/>
        </w:rPr>
        <w:fldChar w:fldCharType="begin"/>
      </w:r>
      <w:r>
        <w:rPr>
          <w:color w:val="auto"/>
        </w:rPr>
        <w:instrText xml:space="preserve"> PAGEREF _Toc824 \h </w:instrText>
      </w:r>
      <w:r>
        <w:rPr>
          <w:color w:val="auto"/>
        </w:rPr>
        <w:fldChar w:fldCharType="separate"/>
      </w:r>
      <w:r>
        <w:rPr>
          <w:color w:val="auto"/>
        </w:rPr>
        <w:t>13</w:t>
      </w:r>
      <w:r>
        <w:rPr>
          <w:color w:val="auto"/>
        </w:rPr>
        <w:fldChar w:fldCharType="end"/>
      </w:r>
      <w:r>
        <w:rPr>
          <w:rFonts w:ascii="宋体" w:hAnsi="宋体"/>
          <w:color w:val="auto"/>
          <w:szCs w:val="21"/>
        </w:rPr>
        <w:fldChar w:fldCharType="end"/>
      </w:r>
    </w:p>
    <w:p w14:paraId="58FA3C9F">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_Toc29316 </w:instrText>
      </w:r>
      <w:r>
        <w:rPr>
          <w:rFonts w:ascii="宋体" w:hAnsi="宋体"/>
          <w:color w:val="auto"/>
          <w:szCs w:val="21"/>
        </w:rPr>
        <w:fldChar w:fldCharType="separate"/>
      </w:r>
      <w:r>
        <w:rPr>
          <w:rFonts w:ascii="宋体" w:hAnsi="宋体"/>
          <w:color w:val="auto"/>
        </w:rPr>
        <w:t xml:space="preserve">二、 </w:t>
      </w:r>
      <w:r>
        <w:rPr>
          <w:rFonts w:hint="eastAsia" w:ascii="宋体" w:hAnsi="宋体"/>
          <w:color w:val="auto"/>
        </w:rPr>
        <w:t>设计原则</w:t>
      </w:r>
      <w:r>
        <w:rPr>
          <w:color w:val="auto"/>
        </w:rPr>
        <w:tab/>
      </w:r>
      <w:r>
        <w:rPr>
          <w:color w:val="auto"/>
        </w:rPr>
        <w:fldChar w:fldCharType="begin"/>
      </w:r>
      <w:r>
        <w:rPr>
          <w:color w:val="auto"/>
        </w:rPr>
        <w:instrText xml:space="preserve"> PAGEREF _Toc29316 \h </w:instrText>
      </w:r>
      <w:r>
        <w:rPr>
          <w:color w:val="auto"/>
        </w:rPr>
        <w:fldChar w:fldCharType="separate"/>
      </w:r>
      <w:r>
        <w:rPr>
          <w:color w:val="auto"/>
        </w:rPr>
        <w:t>13</w:t>
      </w:r>
      <w:r>
        <w:rPr>
          <w:color w:val="auto"/>
        </w:rPr>
        <w:fldChar w:fldCharType="end"/>
      </w:r>
      <w:r>
        <w:rPr>
          <w:rFonts w:ascii="宋体" w:hAnsi="宋体"/>
          <w:color w:val="auto"/>
          <w:szCs w:val="21"/>
        </w:rPr>
        <w:fldChar w:fldCharType="end"/>
      </w:r>
    </w:p>
    <w:p w14:paraId="0E76E616">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_Toc28085 </w:instrText>
      </w:r>
      <w:r>
        <w:rPr>
          <w:rFonts w:ascii="宋体" w:hAnsi="宋体"/>
          <w:color w:val="auto"/>
          <w:szCs w:val="21"/>
        </w:rPr>
        <w:fldChar w:fldCharType="separate"/>
      </w:r>
      <w:r>
        <w:rPr>
          <w:color w:val="auto"/>
        </w:rPr>
        <w:t xml:space="preserve">(一) </w:t>
      </w:r>
      <w:r>
        <w:rPr>
          <w:rFonts w:hint="eastAsia"/>
          <w:color w:val="auto"/>
        </w:rPr>
        <w:t>基本原则</w:t>
      </w:r>
      <w:r>
        <w:rPr>
          <w:color w:val="auto"/>
        </w:rPr>
        <w:tab/>
      </w:r>
      <w:r>
        <w:rPr>
          <w:color w:val="auto"/>
        </w:rPr>
        <w:fldChar w:fldCharType="begin"/>
      </w:r>
      <w:r>
        <w:rPr>
          <w:color w:val="auto"/>
        </w:rPr>
        <w:instrText xml:space="preserve"> PAGEREF _Toc28085 \h </w:instrText>
      </w:r>
      <w:r>
        <w:rPr>
          <w:color w:val="auto"/>
        </w:rPr>
        <w:fldChar w:fldCharType="separate"/>
      </w:r>
      <w:r>
        <w:rPr>
          <w:color w:val="auto"/>
        </w:rPr>
        <w:t>13</w:t>
      </w:r>
      <w:r>
        <w:rPr>
          <w:color w:val="auto"/>
        </w:rPr>
        <w:fldChar w:fldCharType="end"/>
      </w:r>
      <w:r>
        <w:rPr>
          <w:rFonts w:ascii="宋体" w:hAnsi="宋体"/>
          <w:color w:val="auto"/>
          <w:szCs w:val="21"/>
        </w:rPr>
        <w:fldChar w:fldCharType="end"/>
      </w:r>
    </w:p>
    <w:p w14:paraId="76785375">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_Toc8208 </w:instrText>
      </w:r>
      <w:r>
        <w:rPr>
          <w:rFonts w:ascii="宋体" w:hAnsi="宋体"/>
          <w:color w:val="auto"/>
          <w:szCs w:val="21"/>
        </w:rPr>
        <w:fldChar w:fldCharType="separate"/>
      </w:r>
      <w:r>
        <w:rPr>
          <w:color w:val="auto"/>
        </w:rPr>
        <w:t xml:space="preserve">(二) </w:t>
      </w:r>
      <w:r>
        <w:rPr>
          <w:rFonts w:hint="eastAsia"/>
          <w:color w:val="auto"/>
        </w:rPr>
        <w:t>其他相关要求</w:t>
      </w:r>
      <w:r>
        <w:rPr>
          <w:color w:val="auto"/>
        </w:rPr>
        <w:tab/>
      </w:r>
      <w:r>
        <w:rPr>
          <w:color w:val="auto"/>
        </w:rPr>
        <w:fldChar w:fldCharType="begin"/>
      </w:r>
      <w:r>
        <w:rPr>
          <w:color w:val="auto"/>
        </w:rPr>
        <w:instrText xml:space="preserve"> PAGEREF _Toc8208 \h </w:instrText>
      </w:r>
      <w:r>
        <w:rPr>
          <w:color w:val="auto"/>
        </w:rPr>
        <w:fldChar w:fldCharType="separate"/>
      </w:r>
      <w:r>
        <w:rPr>
          <w:color w:val="auto"/>
        </w:rPr>
        <w:t>16</w:t>
      </w:r>
      <w:r>
        <w:rPr>
          <w:color w:val="auto"/>
        </w:rPr>
        <w:fldChar w:fldCharType="end"/>
      </w:r>
      <w:r>
        <w:rPr>
          <w:rFonts w:ascii="宋体" w:hAnsi="宋体"/>
          <w:color w:val="auto"/>
          <w:szCs w:val="21"/>
        </w:rPr>
        <w:fldChar w:fldCharType="end"/>
      </w:r>
    </w:p>
    <w:p w14:paraId="409071EE">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_Toc24486 </w:instrText>
      </w:r>
      <w:r>
        <w:rPr>
          <w:rFonts w:ascii="宋体" w:hAnsi="宋体"/>
          <w:color w:val="auto"/>
          <w:szCs w:val="21"/>
        </w:rPr>
        <w:fldChar w:fldCharType="separate"/>
      </w:r>
      <w:r>
        <w:rPr>
          <w:rFonts w:hint="eastAsia" w:ascii="宋体" w:hAnsi="宋体"/>
          <w:color w:val="auto"/>
          <w:szCs w:val="36"/>
        </w:rPr>
        <w:t>第四章</w:t>
      </w:r>
      <w:r>
        <w:rPr>
          <w:rFonts w:ascii="宋体" w:hAnsi="宋体"/>
          <w:color w:val="auto"/>
          <w:szCs w:val="36"/>
        </w:rPr>
        <w:t xml:space="preserve"> </w:t>
      </w:r>
      <w:r>
        <w:rPr>
          <w:rFonts w:hint="eastAsia" w:ascii="宋体" w:hAnsi="宋体"/>
          <w:color w:val="auto"/>
          <w:szCs w:val="36"/>
        </w:rPr>
        <w:t>规划设计要求</w:t>
      </w:r>
      <w:r>
        <w:rPr>
          <w:color w:val="auto"/>
        </w:rPr>
        <w:tab/>
      </w:r>
      <w:r>
        <w:rPr>
          <w:color w:val="auto"/>
        </w:rPr>
        <w:fldChar w:fldCharType="begin"/>
      </w:r>
      <w:r>
        <w:rPr>
          <w:color w:val="auto"/>
        </w:rPr>
        <w:instrText xml:space="preserve"> PAGEREF _Toc24486 \h </w:instrText>
      </w:r>
      <w:r>
        <w:rPr>
          <w:color w:val="auto"/>
        </w:rPr>
        <w:fldChar w:fldCharType="separate"/>
      </w:r>
      <w:r>
        <w:rPr>
          <w:color w:val="auto"/>
        </w:rPr>
        <w:t>18</w:t>
      </w:r>
      <w:r>
        <w:rPr>
          <w:color w:val="auto"/>
        </w:rPr>
        <w:fldChar w:fldCharType="end"/>
      </w:r>
      <w:r>
        <w:rPr>
          <w:rFonts w:ascii="宋体" w:hAnsi="宋体"/>
          <w:color w:val="auto"/>
          <w:szCs w:val="21"/>
        </w:rPr>
        <w:fldChar w:fldCharType="end"/>
      </w:r>
    </w:p>
    <w:p w14:paraId="275C48EC">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_Toc5536 </w:instrText>
      </w:r>
      <w:r>
        <w:rPr>
          <w:rFonts w:ascii="宋体" w:hAnsi="宋体"/>
          <w:color w:val="auto"/>
          <w:szCs w:val="21"/>
        </w:rPr>
        <w:fldChar w:fldCharType="separate"/>
      </w:r>
      <w:r>
        <w:rPr>
          <w:rFonts w:ascii="宋体" w:hAnsi="宋体"/>
          <w:color w:val="auto"/>
          <w:szCs w:val="21"/>
        </w:rPr>
        <w:t xml:space="preserve">一、 </w:t>
      </w:r>
      <w:r>
        <w:rPr>
          <w:rFonts w:hint="eastAsia" w:ascii="宋体" w:hAnsi="宋体"/>
          <w:color w:val="auto"/>
          <w:szCs w:val="21"/>
        </w:rPr>
        <w:t>规划范围</w:t>
      </w:r>
      <w:r>
        <w:rPr>
          <w:color w:val="auto"/>
        </w:rPr>
        <w:tab/>
      </w:r>
      <w:r>
        <w:rPr>
          <w:color w:val="auto"/>
        </w:rPr>
        <w:fldChar w:fldCharType="begin"/>
      </w:r>
      <w:r>
        <w:rPr>
          <w:color w:val="auto"/>
        </w:rPr>
        <w:instrText xml:space="preserve"> PAGEREF _Toc5536 \h </w:instrText>
      </w:r>
      <w:r>
        <w:rPr>
          <w:color w:val="auto"/>
        </w:rPr>
        <w:fldChar w:fldCharType="separate"/>
      </w:r>
      <w:r>
        <w:rPr>
          <w:color w:val="auto"/>
        </w:rPr>
        <w:t>18</w:t>
      </w:r>
      <w:r>
        <w:rPr>
          <w:color w:val="auto"/>
        </w:rPr>
        <w:fldChar w:fldCharType="end"/>
      </w:r>
      <w:r>
        <w:rPr>
          <w:rFonts w:ascii="宋体" w:hAnsi="宋体"/>
          <w:color w:val="auto"/>
          <w:szCs w:val="21"/>
        </w:rPr>
        <w:fldChar w:fldCharType="end"/>
      </w:r>
    </w:p>
    <w:p w14:paraId="384ECBB2">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_Toc27500 </w:instrText>
      </w:r>
      <w:r>
        <w:rPr>
          <w:rFonts w:ascii="宋体" w:hAnsi="宋体"/>
          <w:color w:val="auto"/>
          <w:szCs w:val="21"/>
        </w:rPr>
        <w:fldChar w:fldCharType="separate"/>
      </w:r>
      <w:r>
        <w:rPr>
          <w:rFonts w:hint="eastAsia" w:ascii="宋体" w:hAnsi="宋体"/>
          <w:color w:val="auto"/>
        </w:rPr>
        <w:t>二、总平面布局</w:t>
      </w:r>
      <w:r>
        <w:rPr>
          <w:color w:val="auto"/>
        </w:rPr>
        <w:tab/>
      </w:r>
      <w:r>
        <w:rPr>
          <w:color w:val="auto"/>
        </w:rPr>
        <w:fldChar w:fldCharType="begin"/>
      </w:r>
      <w:r>
        <w:rPr>
          <w:color w:val="auto"/>
        </w:rPr>
        <w:instrText xml:space="preserve"> PAGEREF _Toc27500 \h </w:instrText>
      </w:r>
      <w:r>
        <w:rPr>
          <w:color w:val="auto"/>
        </w:rPr>
        <w:fldChar w:fldCharType="separate"/>
      </w:r>
      <w:r>
        <w:rPr>
          <w:color w:val="auto"/>
        </w:rPr>
        <w:t>18</w:t>
      </w:r>
      <w:r>
        <w:rPr>
          <w:color w:val="auto"/>
        </w:rPr>
        <w:fldChar w:fldCharType="end"/>
      </w:r>
      <w:r>
        <w:rPr>
          <w:rFonts w:ascii="宋体" w:hAnsi="宋体"/>
          <w:color w:val="auto"/>
          <w:szCs w:val="21"/>
        </w:rPr>
        <w:fldChar w:fldCharType="end"/>
      </w:r>
    </w:p>
    <w:p w14:paraId="7D3B8162">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_Toc16653 </w:instrText>
      </w:r>
      <w:r>
        <w:rPr>
          <w:rFonts w:ascii="宋体" w:hAnsi="宋体"/>
          <w:color w:val="auto"/>
          <w:szCs w:val="21"/>
        </w:rPr>
        <w:fldChar w:fldCharType="separate"/>
      </w:r>
      <w:r>
        <w:rPr>
          <w:rFonts w:hint="eastAsia" w:ascii="宋体" w:hAnsi="宋体"/>
          <w:color w:val="auto"/>
          <w:szCs w:val="21"/>
        </w:rPr>
        <w:t>三、 规划设计要求</w:t>
      </w:r>
      <w:r>
        <w:rPr>
          <w:color w:val="auto"/>
        </w:rPr>
        <w:tab/>
      </w:r>
      <w:r>
        <w:rPr>
          <w:color w:val="auto"/>
        </w:rPr>
        <w:fldChar w:fldCharType="begin"/>
      </w:r>
      <w:r>
        <w:rPr>
          <w:color w:val="auto"/>
        </w:rPr>
        <w:instrText xml:space="preserve"> PAGEREF _Toc16653 \h </w:instrText>
      </w:r>
      <w:r>
        <w:rPr>
          <w:color w:val="auto"/>
        </w:rPr>
        <w:fldChar w:fldCharType="separate"/>
      </w:r>
      <w:r>
        <w:rPr>
          <w:color w:val="auto"/>
        </w:rPr>
        <w:t>21</w:t>
      </w:r>
      <w:r>
        <w:rPr>
          <w:color w:val="auto"/>
        </w:rPr>
        <w:fldChar w:fldCharType="end"/>
      </w:r>
      <w:r>
        <w:rPr>
          <w:rFonts w:ascii="宋体" w:hAnsi="宋体"/>
          <w:color w:val="auto"/>
          <w:szCs w:val="21"/>
        </w:rPr>
        <w:fldChar w:fldCharType="end"/>
      </w:r>
    </w:p>
    <w:p w14:paraId="1F06EB4F">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_Toc16530 </w:instrText>
      </w:r>
      <w:r>
        <w:rPr>
          <w:rFonts w:ascii="宋体" w:hAnsi="宋体"/>
          <w:color w:val="auto"/>
          <w:szCs w:val="21"/>
        </w:rPr>
        <w:fldChar w:fldCharType="separate"/>
      </w:r>
      <w:r>
        <w:rPr>
          <w:rFonts w:hint="eastAsia"/>
          <w:color w:val="auto"/>
        </w:rPr>
        <w:t>(一) 建筑退缩</w:t>
      </w:r>
      <w:r>
        <w:rPr>
          <w:color w:val="auto"/>
        </w:rPr>
        <w:tab/>
      </w:r>
      <w:r>
        <w:rPr>
          <w:color w:val="auto"/>
        </w:rPr>
        <w:fldChar w:fldCharType="begin"/>
      </w:r>
      <w:r>
        <w:rPr>
          <w:color w:val="auto"/>
        </w:rPr>
        <w:instrText xml:space="preserve"> PAGEREF _Toc16530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183E9224">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_Toc28792 </w:instrText>
      </w:r>
      <w:r>
        <w:rPr>
          <w:rFonts w:ascii="宋体" w:hAnsi="宋体"/>
          <w:color w:val="auto"/>
          <w:szCs w:val="21"/>
        </w:rPr>
        <w:fldChar w:fldCharType="separate"/>
      </w:r>
      <w:r>
        <w:rPr>
          <w:rFonts w:hint="eastAsia"/>
          <w:color w:val="auto"/>
        </w:rPr>
        <w:t>(二) 开发强度</w:t>
      </w:r>
      <w:r>
        <w:rPr>
          <w:color w:val="auto"/>
        </w:rPr>
        <w:tab/>
      </w:r>
      <w:r>
        <w:rPr>
          <w:color w:val="auto"/>
        </w:rPr>
        <w:fldChar w:fldCharType="begin"/>
      </w:r>
      <w:r>
        <w:rPr>
          <w:color w:val="auto"/>
        </w:rPr>
        <w:instrText xml:space="preserve"> PAGEREF _Toc28792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52C84753">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_Toc1616 </w:instrText>
      </w:r>
      <w:r>
        <w:rPr>
          <w:rFonts w:ascii="宋体" w:hAnsi="宋体"/>
          <w:color w:val="auto"/>
          <w:szCs w:val="21"/>
        </w:rPr>
        <w:fldChar w:fldCharType="separate"/>
      </w:r>
      <w:r>
        <w:rPr>
          <w:rFonts w:hint="eastAsia"/>
          <w:color w:val="auto"/>
        </w:rPr>
        <w:t>(三) 建筑间距</w:t>
      </w:r>
      <w:r>
        <w:rPr>
          <w:color w:val="auto"/>
        </w:rPr>
        <w:tab/>
      </w:r>
      <w:r>
        <w:rPr>
          <w:color w:val="auto"/>
        </w:rPr>
        <w:fldChar w:fldCharType="begin"/>
      </w:r>
      <w:r>
        <w:rPr>
          <w:color w:val="auto"/>
        </w:rPr>
        <w:instrText xml:space="preserve"> PAGEREF _Toc1616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2573E6F6">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_Toc348 </w:instrText>
      </w:r>
      <w:r>
        <w:rPr>
          <w:rFonts w:ascii="宋体" w:hAnsi="宋体"/>
          <w:color w:val="auto"/>
          <w:szCs w:val="21"/>
        </w:rPr>
        <w:fldChar w:fldCharType="separate"/>
      </w:r>
      <w:r>
        <w:rPr>
          <w:rFonts w:hint="eastAsia" w:ascii="宋体" w:hAnsi="宋体"/>
          <w:color w:val="auto"/>
          <w:szCs w:val="28"/>
          <w:shd w:val="clear" w:fill="auto"/>
        </w:rPr>
        <w:t xml:space="preserve">四、 </w:t>
      </w:r>
      <w:r>
        <w:rPr>
          <w:rFonts w:hint="eastAsia" w:ascii="宋体" w:hAnsi="宋体"/>
          <w:color w:val="auto"/>
          <w:szCs w:val="28"/>
          <w:shd w:val="clear" w:color="auto" w:fill="auto"/>
        </w:rPr>
        <w:t>道路交通系统</w:t>
      </w:r>
      <w:r>
        <w:rPr>
          <w:color w:val="auto"/>
        </w:rPr>
        <w:tab/>
      </w:r>
      <w:r>
        <w:rPr>
          <w:color w:val="auto"/>
        </w:rPr>
        <w:fldChar w:fldCharType="begin"/>
      </w:r>
      <w:r>
        <w:rPr>
          <w:color w:val="auto"/>
        </w:rPr>
        <w:instrText xml:space="preserve"> PAGEREF _Toc348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4A74A704">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_Toc4847 </w:instrText>
      </w:r>
      <w:r>
        <w:rPr>
          <w:rFonts w:ascii="宋体" w:hAnsi="宋体"/>
          <w:color w:val="auto"/>
          <w:szCs w:val="21"/>
        </w:rPr>
        <w:fldChar w:fldCharType="separate"/>
      </w:r>
      <w:r>
        <w:rPr>
          <w:rFonts w:hint="eastAsia" w:ascii="宋体" w:hAnsi="宋体"/>
          <w:color w:val="auto"/>
          <w:szCs w:val="28"/>
        </w:rPr>
        <w:t>五、地下空间与人防工程</w:t>
      </w:r>
      <w:r>
        <w:rPr>
          <w:color w:val="auto"/>
        </w:rPr>
        <w:tab/>
      </w:r>
      <w:r>
        <w:rPr>
          <w:color w:val="auto"/>
        </w:rPr>
        <w:fldChar w:fldCharType="begin"/>
      </w:r>
      <w:r>
        <w:rPr>
          <w:color w:val="auto"/>
        </w:rPr>
        <w:instrText xml:space="preserve"> PAGEREF _Toc4847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254CC3BE">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_Toc27843 </w:instrText>
      </w:r>
      <w:r>
        <w:rPr>
          <w:rFonts w:ascii="宋体" w:hAnsi="宋体"/>
          <w:color w:val="auto"/>
          <w:szCs w:val="21"/>
        </w:rPr>
        <w:fldChar w:fldCharType="separate"/>
      </w:r>
      <w:r>
        <w:rPr>
          <w:rFonts w:hint="eastAsia" w:ascii="宋体" w:hAnsi="宋体"/>
          <w:color w:val="auto"/>
          <w:szCs w:val="24"/>
        </w:rPr>
        <w:t>六、竖向设计</w:t>
      </w:r>
      <w:r>
        <w:rPr>
          <w:color w:val="auto"/>
        </w:rPr>
        <w:tab/>
      </w:r>
      <w:r>
        <w:rPr>
          <w:color w:val="auto"/>
        </w:rPr>
        <w:fldChar w:fldCharType="begin"/>
      </w:r>
      <w:r>
        <w:rPr>
          <w:color w:val="auto"/>
        </w:rPr>
        <w:instrText xml:space="preserve"> PAGEREF _Toc27843 \h </w:instrText>
      </w:r>
      <w:r>
        <w:rPr>
          <w:color w:val="auto"/>
        </w:rPr>
        <w:fldChar w:fldCharType="separate"/>
      </w:r>
      <w:r>
        <w:rPr>
          <w:color w:val="auto"/>
        </w:rPr>
        <w:t>22</w:t>
      </w:r>
      <w:r>
        <w:rPr>
          <w:color w:val="auto"/>
        </w:rPr>
        <w:fldChar w:fldCharType="end"/>
      </w:r>
      <w:r>
        <w:rPr>
          <w:rFonts w:ascii="宋体" w:hAnsi="宋体"/>
          <w:color w:val="auto"/>
          <w:szCs w:val="21"/>
        </w:rPr>
        <w:fldChar w:fldCharType="end"/>
      </w:r>
    </w:p>
    <w:p w14:paraId="364FFC4A">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_Toc12173 </w:instrText>
      </w:r>
      <w:r>
        <w:rPr>
          <w:rFonts w:ascii="宋体" w:hAnsi="宋体"/>
          <w:color w:val="auto"/>
          <w:szCs w:val="21"/>
        </w:rPr>
        <w:fldChar w:fldCharType="separate"/>
      </w:r>
      <w:r>
        <w:rPr>
          <w:rFonts w:hint="default" w:ascii="宋体" w:hAnsi="宋体" w:eastAsia="宋体" w:cs="黑体"/>
          <w:bCs/>
          <w:color w:val="auto"/>
          <w:szCs w:val="24"/>
        </w:rPr>
        <w:t xml:space="preserve">七、 </w:t>
      </w:r>
      <w:r>
        <w:rPr>
          <w:rFonts w:hint="eastAsia" w:ascii="宋体" w:hAnsi="宋体" w:eastAsia="宋体" w:cs="黑体"/>
          <w:bCs/>
          <w:color w:val="auto"/>
          <w:szCs w:val="24"/>
        </w:rPr>
        <w:t>绿化景观系统</w:t>
      </w:r>
      <w:r>
        <w:rPr>
          <w:color w:val="auto"/>
        </w:rPr>
        <w:tab/>
      </w:r>
      <w:r>
        <w:rPr>
          <w:color w:val="auto"/>
        </w:rPr>
        <w:fldChar w:fldCharType="begin"/>
      </w:r>
      <w:r>
        <w:rPr>
          <w:color w:val="auto"/>
        </w:rPr>
        <w:instrText xml:space="preserve"> PAGEREF _Toc12173 \h </w:instrText>
      </w:r>
      <w:r>
        <w:rPr>
          <w:color w:val="auto"/>
        </w:rPr>
        <w:fldChar w:fldCharType="separate"/>
      </w:r>
      <w:r>
        <w:rPr>
          <w:color w:val="auto"/>
        </w:rPr>
        <w:t>23</w:t>
      </w:r>
      <w:r>
        <w:rPr>
          <w:color w:val="auto"/>
        </w:rPr>
        <w:fldChar w:fldCharType="end"/>
      </w:r>
      <w:r>
        <w:rPr>
          <w:rFonts w:ascii="宋体" w:hAnsi="宋体"/>
          <w:color w:val="auto"/>
          <w:szCs w:val="21"/>
        </w:rPr>
        <w:fldChar w:fldCharType="end"/>
      </w:r>
    </w:p>
    <w:p w14:paraId="460F24E7">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_Toc17040 </w:instrText>
      </w:r>
      <w:r>
        <w:rPr>
          <w:rFonts w:ascii="宋体" w:hAnsi="宋体"/>
          <w:color w:val="auto"/>
          <w:szCs w:val="21"/>
        </w:rPr>
        <w:fldChar w:fldCharType="separate"/>
      </w:r>
      <w:r>
        <w:rPr>
          <w:rFonts w:hint="default" w:ascii="宋体" w:hAnsi="宋体" w:eastAsia="宋体"/>
          <w:color w:val="auto"/>
          <w:szCs w:val="24"/>
        </w:rPr>
        <w:t xml:space="preserve">八、 </w:t>
      </w:r>
      <w:r>
        <w:rPr>
          <w:rFonts w:hint="eastAsia" w:ascii="宋体" w:hAnsi="宋体" w:eastAsia="宋体" w:cs="黑体"/>
          <w:bCs/>
          <w:color w:val="auto"/>
          <w:szCs w:val="24"/>
        </w:rPr>
        <w:t>体育</w:t>
      </w:r>
      <w:r>
        <w:rPr>
          <w:rFonts w:hint="eastAsia" w:ascii="宋体" w:hAnsi="宋体" w:eastAsia="宋体"/>
          <w:color w:val="auto"/>
          <w:szCs w:val="24"/>
        </w:rPr>
        <w:t>设施</w:t>
      </w:r>
      <w:r>
        <w:rPr>
          <w:color w:val="auto"/>
        </w:rPr>
        <w:tab/>
      </w:r>
      <w:r>
        <w:rPr>
          <w:color w:val="auto"/>
        </w:rPr>
        <w:fldChar w:fldCharType="begin"/>
      </w:r>
      <w:r>
        <w:rPr>
          <w:color w:val="auto"/>
        </w:rPr>
        <w:instrText xml:space="preserve"> PAGEREF _Toc17040 \h </w:instrText>
      </w:r>
      <w:r>
        <w:rPr>
          <w:color w:val="auto"/>
        </w:rPr>
        <w:fldChar w:fldCharType="separate"/>
      </w:r>
      <w:r>
        <w:rPr>
          <w:color w:val="auto"/>
        </w:rPr>
        <w:t>23</w:t>
      </w:r>
      <w:r>
        <w:rPr>
          <w:color w:val="auto"/>
        </w:rPr>
        <w:fldChar w:fldCharType="end"/>
      </w:r>
      <w:r>
        <w:rPr>
          <w:rFonts w:ascii="宋体" w:hAnsi="宋体"/>
          <w:color w:val="auto"/>
          <w:szCs w:val="21"/>
        </w:rPr>
        <w:fldChar w:fldCharType="end"/>
      </w:r>
    </w:p>
    <w:p w14:paraId="0E78A2D5">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_Toc21207 </w:instrText>
      </w:r>
      <w:r>
        <w:rPr>
          <w:rFonts w:ascii="宋体" w:hAnsi="宋体"/>
          <w:color w:val="auto"/>
          <w:szCs w:val="21"/>
        </w:rPr>
        <w:fldChar w:fldCharType="separate"/>
      </w:r>
      <w:r>
        <w:rPr>
          <w:rFonts w:hint="eastAsia" w:ascii="宋体" w:hAnsi="宋体"/>
          <w:color w:val="auto"/>
          <w:szCs w:val="36"/>
        </w:rPr>
        <w:t>第五章</w:t>
      </w:r>
      <w:r>
        <w:rPr>
          <w:rFonts w:ascii="宋体" w:hAnsi="宋体"/>
          <w:color w:val="auto"/>
          <w:szCs w:val="36"/>
        </w:rPr>
        <w:t xml:space="preserve"> </w:t>
      </w:r>
      <w:r>
        <w:rPr>
          <w:rFonts w:hint="eastAsia" w:ascii="宋体" w:hAnsi="宋体"/>
          <w:color w:val="auto"/>
          <w:szCs w:val="36"/>
        </w:rPr>
        <w:t>建筑设计要求</w:t>
      </w:r>
      <w:r>
        <w:rPr>
          <w:color w:val="auto"/>
        </w:rPr>
        <w:tab/>
      </w:r>
      <w:r>
        <w:rPr>
          <w:color w:val="auto"/>
        </w:rPr>
        <w:fldChar w:fldCharType="begin"/>
      </w:r>
      <w:r>
        <w:rPr>
          <w:color w:val="auto"/>
        </w:rPr>
        <w:instrText xml:space="preserve"> PAGEREF _Toc21207 \h </w:instrText>
      </w:r>
      <w:r>
        <w:rPr>
          <w:color w:val="auto"/>
        </w:rPr>
        <w:fldChar w:fldCharType="separate"/>
      </w:r>
      <w:r>
        <w:rPr>
          <w:color w:val="auto"/>
        </w:rPr>
        <w:t>24</w:t>
      </w:r>
      <w:r>
        <w:rPr>
          <w:color w:val="auto"/>
        </w:rPr>
        <w:fldChar w:fldCharType="end"/>
      </w:r>
      <w:r>
        <w:rPr>
          <w:rFonts w:ascii="宋体" w:hAnsi="宋体"/>
          <w:color w:val="auto"/>
          <w:szCs w:val="21"/>
        </w:rPr>
        <w:fldChar w:fldCharType="end"/>
      </w:r>
    </w:p>
    <w:p w14:paraId="0BD3ADE8">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_Toc29634 </w:instrText>
      </w:r>
      <w:r>
        <w:rPr>
          <w:rFonts w:ascii="宋体" w:hAnsi="宋体"/>
          <w:color w:val="auto"/>
          <w:szCs w:val="21"/>
        </w:rPr>
        <w:fldChar w:fldCharType="separate"/>
      </w:r>
      <w:r>
        <w:rPr>
          <w:rFonts w:ascii="宋体" w:hAnsi="宋体"/>
          <w:color w:val="auto"/>
        </w:rPr>
        <w:t xml:space="preserve">一、 </w:t>
      </w:r>
      <w:r>
        <w:rPr>
          <w:rFonts w:hint="eastAsia" w:ascii="宋体" w:hAnsi="宋体"/>
          <w:color w:val="auto"/>
        </w:rPr>
        <w:t>建设规模</w:t>
      </w:r>
      <w:r>
        <w:rPr>
          <w:color w:val="auto"/>
        </w:rPr>
        <w:tab/>
      </w:r>
      <w:r>
        <w:rPr>
          <w:color w:val="auto"/>
        </w:rPr>
        <w:fldChar w:fldCharType="begin"/>
      </w:r>
      <w:r>
        <w:rPr>
          <w:color w:val="auto"/>
        </w:rPr>
        <w:instrText xml:space="preserve"> PAGEREF _Toc29634 \h </w:instrText>
      </w:r>
      <w:r>
        <w:rPr>
          <w:color w:val="auto"/>
        </w:rPr>
        <w:fldChar w:fldCharType="separate"/>
      </w:r>
      <w:r>
        <w:rPr>
          <w:color w:val="auto"/>
        </w:rPr>
        <w:t>24</w:t>
      </w:r>
      <w:r>
        <w:rPr>
          <w:color w:val="auto"/>
        </w:rPr>
        <w:fldChar w:fldCharType="end"/>
      </w:r>
      <w:r>
        <w:rPr>
          <w:rFonts w:ascii="宋体" w:hAnsi="宋体"/>
          <w:color w:val="auto"/>
          <w:szCs w:val="21"/>
        </w:rPr>
        <w:fldChar w:fldCharType="end"/>
      </w:r>
    </w:p>
    <w:p w14:paraId="71A30097">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_Toc21165 </w:instrText>
      </w:r>
      <w:r>
        <w:rPr>
          <w:rFonts w:ascii="宋体" w:hAnsi="宋体"/>
          <w:color w:val="auto"/>
          <w:szCs w:val="21"/>
        </w:rPr>
        <w:fldChar w:fldCharType="separate"/>
      </w:r>
      <w:r>
        <w:rPr>
          <w:rFonts w:ascii="宋体" w:hAnsi="宋体"/>
          <w:color w:val="auto"/>
          <w:szCs w:val="21"/>
        </w:rPr>
        <w:t xml:space="preserve">二、 </w:t>
      </w:r>
      <w:r>
        <w:rPr>
          <w:rFonts w:hint="eastAsia" w:ascii="宋体" w:hAnsi="宋体"/>
          <w:color w:val="auto"/>
          <w:szCs w:val="21"/>
        </w:rPr>
        <w:t>总平面布置规划</w:t>
      </w:r>
      <w:r>
        <w:rPr>
          <w:color w:val="auto"/>
        </w:rPr>
        <w:tab/>
      </w:r>
      <w:r>
        <w:rPr>
          <w:color w:val="auto"/>
        </w:rPr>
        <w:fldChar w:fldCharType="begin"/>
      </w:r>
      <w:r>
        <w:rPr>
          <w:color w:val="auto"/>
        </w:rPr>
        <w:instrText xml:space="preserve"> PAGEREF _Toc21165 \h </w:instrText>
      </w:r>
      <w:r>
        <w:rPr>
          <w:color w:val="auto"/>
        </w:rPr>
        <w:fldChar w:fldCharType="separate"/>
      </w:r>
      <w:r>
        <w:rPr>
          <w:color w:val="auto"/>
        </w:rPr>
        <w:t>24</w:t>
      </w:r>
      <w:r>
        <w:rPr>
          <w:color w:val="auto"/>
        </w:rPr>
        <w:fldChar w:fldCharType="end"/>
      </w:r>
      <w:r>
        <w:rPr>
          <w:rFonts w:ascii="宋体" w:hAnsi="宋体"/>
          <w:color w:val="auto"/>
          <w:szCs w:val="21"/>
        </w:rPr>
        <w:fldChar w:fldCharType="end"/>
      </w:r>
    </w:p>
    <w:p w14:paraId="0763B695">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_Toc3094 </w:instrText>
      </w:r>
      <w:r>
        <w:rPr>
          <w:rFonts w:ascii="宋体" w:hAnsi="宋体"/>
          <w:color w:val="auto"/>
          <w:szCs w:val="21"/>
        </w:rPr>
        <w:fldChar w:fldCharType="separate"/>
      </w:r>
      <w:r>
        <w:rPr>
          <w:color w:val="auto"/>
          <w:szCs w:val="24"/>
        </w:rPr>
        <w:t xml:space="preserve">(一) </w:t>
      </w:r>
      <w:r>
        <w:rPr>
          <w:rFonts w:hint="eastAsia"/>
          <w:color w:val="auto"/>
        </w:rPr>
        <w:t>项目主要建筑设施</w:t>
      </w:r>
      <w:r>
        <w:rPr>
          <w:color w:val="auto"/>
        </w:rPr>
        <w:tab/>
      </w:r>
      <w:r>
        <w:rPr>
          <w:color w:val="auto"/>
        </w:rPr>
        <w:fldChar w:fldCharType="begin"/>
      </w:r>
      <w:r>
        <w:rPr>
          <w:color w:val="auto"/>
        </w:rPr>
        <w:instrText xml:space="preserve"> PAGEREF _Toc3094 \h </w:instrText>
      </w:r>
      <w:r>
        <w:rPr>
          <w:color w:val="auto"/>
        </w:rPr>
        <w:fldChar w:fldCharType="separate"/>
      </w:r>
      <w:r>
        <w:rPr>
          <w:color w:val="auto"/>
        </w:rPr>
        <w:t>24</w:t>
      </w:r>
      <w:r>
        <w:rPr>
          <w:color w:val="auto"/>
        </w:rPr>
        <w:fldChar w:fldCharType="end"/>
      </w:r>
      <w:r>
        <w:rPr>
          <w:rFonts w:ascii="宋体" w:hAnsi="宋体"/>
          <w:color w:val="auto"/>
          <w:szCs w:val="21"/>
        </w:rPr>
        <w:fldChar w:fldCharType="end"/>
      </w:r>
    </w:p>
    <w:p w14:paraId="4C0C14BE">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_Toc19407 </w:instrText>
      </w:r>
      <w:r>
        <w:rPr>
          <w:rFonts w:ascii="宋体" w:hAnsi="宋体"/>
          <w:color w:val="auto"/>
          <w:szCs w:val="21"/>
        </w:rPr>
        <w:fldChar w:fldCharType="separate"/>
      </w:r>
      <w:r>
        <w:rPr>
          <w:rFonts w:ascii="宋体" w:hAnsi="宋体"/>
          <w:color w:val="auto"/>
          <w:szCs w:val="24"/>
        </w:rPr>
        <w:t xml:space="preserve">(二) </w:t>
      </w:r>
      <w:r>
        <w:rPr>
          <w:rFonts w:hint="eastAsia" w:ascii="宋体" w:hAnsi="宋体"/>
          <w:color w:val="auto"/>
          <w:szCs w:val="28"/>
        </w:rPr>
        <w:t>道路</w:t>
      </w:r>
      <w:r>
        <w:rPr>
          <w:color w:val="auto"/>
        </w:rPr>
        <w:tab/>
      </w:r>
      <w:r>
        <w:rPr>
          <w:color w:val="auto"/>
        </w:rPr>
        <w:fldChar w:fldCharType="begin"/>
      </w:r>
      <w:r>
        <w:rPr>
          <w:color w:val="auto"/>
        </w:rPr>
        <w:instrText xml:space="preserve"> PAGEREF _Toc19407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50E42D70">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_Toc15734 </w:instrText>
      </w:r>
      <w:r>
        <w:rPr>
          <w:rFonts w:ascii="宋体" w:hAnsi="宋体"/>
          <w:color w:val="auto"/>
          <w:szCs w:val="21"/>
        </w:rPr>
        <w:fldChar w:fldCharType="separate"/>
      </w:r>
      <w:r>
        <w:rPr>
          <w:rFonts w:ascii="宋体" w:hAnsi="宋体"/>
          <w:color w:val="auto"/>
          <w:szCs w:val="24"/>
        </w:rPr>
        <w:t xml:space="preserve">(三) </w:t>
      </w:r>
      <w:r>
        <w:rPr>
          <w:rFonts w:hint="eastAsia" w:ascii="宋体" w:hAnsi="宋体"/>
          <w:color w:val="auto"/>
          <w:szCs w:val="28"/>
        </w:rPr>
        <w:t>配套设施建设项目</w:t>
      </w:r>
      <w:r>
        <w:rPr>
          <w:color w:val="auto"/>
        </w:rPr>
        <w:tab/>
      </w:r>
      <w:r>
        <w:rPr>
          <w:color w:val="auto"/>
        </w:rPr>
        <w:fldChar w:fldCharType="begin"/>
      </w:r>
      <w:r>
        <w:rPr>
          <w:color w:val="auto"/>
        </w:rPr>
        <w:instrText xml:space="preserve"> PAGEREF _Toc15734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22A5BD4C">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_Toc26178 </w:instrText>
      </w:r>
      <w:r>
        <w:rPr>
          <w:rFonts w:ascii="宋体" w:hAnsi="宋体"/>
          <w:color w:val="auto"/>
          <w:szCs w:val="21"/>
        </w:rPr>
        <w:fldChar w:fldCharType="separate"/>
      </w:r>
      <w:r>
        <w:rPr>
          <w:rFonts w:ascii="宋体" w:hAnsi="宋体" w:eastAsia="宋体"/>
          <w:color w:val="auto"/>
          <w:szCs w:val="24"/>
        </w:rPr>
        <w:t xml:space="preserve">三、 </w:t>
      </w:r>
      <w:r>
        <w:rPr>
          <w:rFonts w:hint="eastAsia" w:ascii="宋体" w:hAnsi="宋体" w:eastAsia="宋体"/>
          <w:color w:val="auto"/>
          <w:szCs w:val="24"/>
        </w:rPr>
        <w:t>建设工程建筑设计具体要求</w:t>
      </w:r>
      <w:r>
        <w:rPr>
          <w:color w:val="auto"/>
        </w:rPr>
        <w:tab/>
      </w:r>
      <w:r>
        <w:rPr>
          <w:color w:val="auto"/>
        </w:rPr>
        <w:fldChar w:fldCharType="begin"/>
      </w:r>
      <w:r>
        <w:rPr>
          <w:color w:val="auto"/>
        </w:rPr>
        <w:instrText xml:space="preserve"> PAGEREF _Toc26178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0206AEC9">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_Toc2651 </w:instrText>
      </w:r>
      <w:r>
        <w:rPr>
          <w:rFonts w:ascii="宋体" w:hAnsi="宋体"/>
          <w:color w:val="auto"/>
          <w:szCs w:val="21"/>
        </w:rPr>
        <w:fldChar w:fldCharType="separate"/>
      </w:r>
      <w:r>
        <w:rPr>
          <w:rFonts w:hAnsi="宋体" w:cs="仿宋_GB2312"/>
          <w:color w:val="auto"/>
          <w:szCs w:val="28"/>
        </w:rPr>
        <w:t xml:space="preserve">(一) </w:t>
      </w:r>
      <w:r>
        <w:rPr>
          <w:rFonts w:hint="eastAsia" w:hAnsi="宋体" w:cs="仿宋_GB2312"/>
          <w:color w:val="auto"/>
          <w:szCs w:val="28"/>
        </w:rPr>
        <w:t>环保要求</w:t>
      </w:r>
      <w:r>
        <w:rPr>
          <w:color w:val="auto"/>
        </w:rPr>
        <w:tab/>
      </w:r>
      <w:r>
        <w:rPr>
          <w:color w:val="auto"/>
        </w:rPr>
        <w:fldChar w:fldCharType="begin"/>
      </w:r>
      <w:r>
        <w:rPr>
          <w:color w:val="auto"/>
        </w:rPr>
        <w:instrText xml:space="preserve"> PAGEREF _Toc2651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6C085F69">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_Toc7797 </w:instrText>
      </w:r>
      <w:r>
        <w:rPr>
          <w:rFonts w:ascii="宋体" w:hAnsi="宋体"/>
          <w:color w:val="auto"/>
          <w:szCs w:val="21"/>
        </w:rPr>
        <w:fldChar w:fldCharType="separate"/>
      </w:r>
      <w:r>
        <w:rPr>
          <w:rFonts w:hAnsi="宋体" w:cs="仿宋_GB2312"/>
          <w:color w:val="auto"/>
          <w:szCs w:val="28"/>
        </w:rPr>
        <w:t xml:space="preserve">(二) </w:t>
      </w:r>
      <w:r>
        <w:rPr>
          <w:rFonts w:hint="eastAsia" w:hAnsi="宋体" w:cs="仿宋_GB2312"/>
          <w:color w:val="auto"/>
          <w:szCs w:val="28"/>
        </w:rPr>
        <w:t>节能</w:t>
      </w:r>
      <w:r>
        <w:rPr>
          <w:color w:val="auto"/>
        </w:rPr>
        <w:tab/>
      </w:r>
      <w:r>
        <w:rPr>
          <w:color w:val="auto"/>
        </w:rPr>
        <w:fldChar w:fldCharType="begin"/>
      </w:r>
      <w:r>
        <w:rPr>
          <w:color w:val="auto"/>
        </w:rPr>
        <w:instrText xml:space="preserve"> PAGEREF _Toc7797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055F1648">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_Toc29609 </w:instrText>
      </w:r>
      <w:r>
        <w:rPr>
          <w:rFonts w:ascii="宋体" w:hAnsi="宋体"/>
          <w:color w:val="auto"/>
          <w:szCs w:val="21"/>
        </w:rPr>
        <w:fldChar w:fldCharType="separate"/>
      </w:r>
      <w:r>
        <w:rPr>
          <w:rFonts w:hAnsi="宋体" w:cs="仿宋_GB2312"/>
          <w:color w:val="auto"/>
          <w:szCs w:val="28"/>
        </w:rPr>
        <w:t xml:space="preserve">(三) </w:t>
      </w:r>
      <w:r>
        <w:rPr>
          <w:rFonts w:hint="eastAsia" w:hAnsi="宋体" w:cs="仿宋_GB2312"/>
          <w:color w:val="auto"/>
          <w:szCs w:val="28"/>
        </w:rPr>
        <w:t>绿色建筑</w:t>
      </w:r>
      <w:r>
        <w:rPr>
          <w:color w:val="auto"/>
        </w:rPr>
        <w:tab/>
      </w:r>
      <w:r>
        <w:rPr>
          <w:color w:val="auto"/>
        </w:rPr>
        <w:fldChar w:fldCharType="begin"/>
      </w:r>
      <w:r>
        <w:rPr>
          <w:color w:val="auto"/>
        </w:rPr>
        <w:instrText xml:space="preserve"> PAGEREF _Toc29609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0AF5B934">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_Toc18296 </w:instrText>
      </w:r>
      <w:r>
        <w:rPr>
          <w:rFonts w:ascii="宋体" w:hAnsi="宋体"/>
          <w:color w:val="auto"/>
          <w:szCs w:val="21"/>
        </w:rPr>
        <w:fldChar w:fldCharType="separate"/>
      </w:r>
      <w:r>
        <w:rPr>
          <w:rFonts w:hAnsi="宋体" w:cs="仿宋_GB2312"/>
          <w:color w:val="auto"/>
          <w:szCs w:val="28"/>
        </w:rPr>
        <w:t xml:space="preserve">(四) </w:t>
      </w:r>
      <w:r>
        <w:rPr>
          <w:rFonts w:hint="eastAsia" w:hAnsi="宋体" w:cs="仿宋_GB2312"/>
          <w:color w:val="auto"/>
          <w:szCs w:val="28"/>
        </w:rPr>
        <w:t>结构及基础形式</w:t>
      </w:r>
      <w:r>
        <w:rPr>
          <w:color w:val="auto"/>
        </w:rPr>
        <w:tab/>
      </w:r>
      <w:r>
        <w:rPr>
          <w:color w:val="auto"/>
        </w:rPr>
        <w:fldChar w:fldCharType="begin"/>
      </w:r>
      <w:r>
        <w:rPr>
          <w:color w:val="auto"/>
        </w:rPr>
        <w:instrText xml:space="preserve"> PAGEREF _Toc18296 \h </w:instrText>
      </w:r>
      <w:r>
        <w:rPr>
          <w:color w:val="auto"/>
        </w:rPr>
        <w:fldChar w:fldCharType="separate"/>
      </w:r>
      <w:r>
        <w:rPr>
          <w:color w:val="auto"/>
        </w:rPr>
        <w:t>25</w:t>
      </w:r>
      <w:r>
        <w:rPr>
          <w:color w:val="auto"/>
        </w:rPr>
        <w:fldChar w:fldCharType="end"/>
      </w:r>
      <w:r>
        <w:rPr>
          <w:rFonts w:ascii="宋体" w:hAnsi="宋体"/>
          <w:color w:val="auto"/>
          <w:szCs w:val="21"/>
        </w:rPr>
        <w:fldChar w:fldCharType="end"/>
      </w:r>
    </w:p>
    <w:p w14:paraId="37B4BFC1">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_Toc31222 </w:instrText>
      </w:r>
      <w:r>
        <w:rPr>
          <w:rFonts w:ascii="宋体" w:hAnsi="宋体"/>
          <w:color w:val="auto"/>
          <w:szCs w:val="21"/>
        </w:rPr>
        <w:fldChar w:fldCharType="separate"/>
      </w:r>
      <w:r>
        <w:rPr>
          <w:rFonts w:hAnsi="宋体" w:cs="仿宋_GB2312"/>
          <w:color w:val="auto"/>
          <w:szCs w:val="28"/>
        </w:rPr>
        <w:t xml:space="preserve">(五) </w:t>
      </w:r>
      <w:r>
        <w:rPr>
          <w:rFonts w:hint="eastAsia" w:hAnsi="宋体" w:cs="仿宋_GB2312"/>
          <w:color w:val="auto"/>
          <w:szCs w:val="28"/>
        </w:rPr>
        <w:t>给排水及消防系统</w:t>
      </w:r>
      <w:r>
        <w:rPr>
          <w:color w:val="auto"/>
        </w:rPr>
        <w:tab/>
      </w:r>
      <w:r>
        <w:rPr>
          <w:color w:val="auto"/>
        </w:rPr>
        <w:fldChar w:fldCharType="begin"/>
      </w:r>
      <w:r>
        <w:rPr>
          <w:color w:val="auto"/>
        </w:rPr>
        <w:instrText xml:space="preserve"> PAGEREF _Toc31222 \h </w:instrText>
      </w:r>
      <w:r>
        <w:rPr>
          <w:color w:val="auto"/>
        </w:rPr>
        <w:fldChar w:fldCharType="separate"/>
      </w:r>
      <w:r>
        <w:rPr>
          <w:color w:val="auto"/>
        </w:rPr>
        <w:t>26</w:t>
      </w:r>
      <w:r>
        <w:rPr>
          <w:color w:val="auto"/>
        </w:rPr>
        <w:fldChar w:fldCharType="end"/>
      </w:r>
      <w:r>
        <w:rPr>
          <w:rFonts w:ascii="宋体" w:hAnsi="宋体"/>
          <w:color w:val="auto"/>
          <w:szCs w:val="21"/>
        </w:rPr>
        <w:fldChar w:fldCharType="end"/>
      </w:r>
    </w:p>
    <w:p w14:paraId="437C42AB">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_Toc8234 </w:instrText>
      </w:r>
      <w:r>
        <w:rPr>
          <w:rFonts w:ascii="宋体" w:hAnsi="宋体"/>
          <w:color w:val="auto"/>
          <w:szCs w:val="21"/>
        </w:rPr>
        <w:fldChar w:fldCharType="separate"/>
      </w:r>
      <w:r>
        <w:rPr>
          <w:rFonts w:hAnsi="宋体" w:cs="仿宋_GB2312"/>
          <w:color w:val="auto"/>
          <w:szCs w:val="28"/>
        </w:rPr>
        <w:t xml:space="preserve">(六) </w:t>
      </w:r>
      <w:r>
        <w:rPr>
          <w:rFonts w:hint="eastAsia" w:hAnsi="宋体" w:cs="仿宋_GB2312"/>
          <w:color w:val="auto"/>
          <w:szCs w:val="28"/>
        </w:rPr>
        <w:t>电气工程</w:t>
      </w:r>
      <w:r>
        <w:rPr>
          <w:color w:val="auto"/>
        </w:rPr>
        <w:tab/>
      </w:r>
      <w:r>
        <w:rPr>
          <w:color w:val="auto"/>
        </w:rPr>
        <w:fldChar w:fldCharType="begin"/>
      </w:r>
      <w:r>
        <w:rPr>
          <w:color w:val="auto"/>
        </w:rPr>
        <w:instrText xml:space="preserve"> PAGEREF _Toc8234 \h </w:instrText>
      </w:r>
      <w:r>
        <w:rPr>
          <w:color w:val="auto"/>
        </w:rPr>
        <w:fldChar w:fldCharType="separate"/>
      </w:r>
      <w:r>
        <w:rPr>
          <w:color w:val="auto"/>
        </w:rPr>
        <w:t>26</w:t>
      </w:r>
      <w:r>
        <w:rPr>
          <w:color w:val="auto"/>
        </w:rPr>
        <w:fldChar w:fldCharType="end"/>
      </w:r>
      <w:r>
        <w:rPr>
          <w:rFonts w:ascii="宋体" w:hAnsi="宋体"/>
          <w:color w:val="auto"/>
          <w:szCs w:val="21"/>
        </w:rPr>
        <w:fldChar w:fldCharType="end"/>
      </w:r>
    </w:p>
    <w:p w14:paraId="1E787FEC">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_Toc24115 </w:instrText>
      </w:r>
      <w:r>
        <w:rPr>
          <w:rFonts w:ascii="宋体" w:hAnsi="宋体"/>
          <w:color w:val="auto"/>
          <w:szCs w:val="21"/>
        </w:rPr>
        <w:fldChar w:fldCharType="separate"/>
      </w:r>
      <w:r>
        <w:rPr>
          <w:rFonts w:hAnsi="宋体" w:cs="仿宋_GB2312"/>
          <w:color w:val="auto"/>
          <w:szCs w:val="28"/>
        </w:rPr>
        <w:t xml:space="preserve">(七) </w:t>
      </w:r>
      <w:r>
        <w:rPr>
          <w:rFonts w:hint="eastAsia" w:hAnsi="宋体" w:cs="仿宋_GB2312"/>
          <w:color w:val="auto"/>
          <w:szCs w:val="28"/>
        </w:rPr>
        <w:t>通风空调系统</w:t>
      </w:r>
      <w:r>
        <w:rPr>
          <w:color w:val="auto"/>
        </w:rPr>
        <w:tab/>
      </w:r>
      <w:r>
        <w:rPr>
          <w:color w:val="auto"/>
        </w:rPr>
        <w:fldChar w:fldCharType="begin"/>
      </w:r>
      <w:r>
        <w:rPr>
          <w:color w:val="auto"/>
        </w:rPr>
        <w:instrText xml:space="preserve"> PAGEREF _Toc24115 \h </w:instrText>
      </w:r>
      <w:r>
        <w:rPr>
          <w:color w:val="auto"/>
        </w:rPr>
        <w:fldChar w:fldCharType="separate"/>
      </w:r>
      <w:r>
        <w:rPr>
          <w:color w:val="auto"/>
        </w:rPr>
        <w:t>26</w:t>
      </w:r>
      <w:r>
        <w:rPr>
          <w:color w:val="auto"/>
        </w:rPr>
        <w:fldChar w:fldCharType="end"/>
      </w:r>
      <w:r>
        <w:rPr>
          <w:rFonts w:ascii="宋体" w:hAnsi="宋体"/>
          <w:color w:val="auto"/>
          <w:szCs w:val="21"/>
        </w:rPr>
        <w:fldChar w:fldCharType="end"/>
      </w:r>
    </w:p>
    <w:p w14:paraId="6E564911">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_Toc5403 </w:instrText>
      </w:r>
      <w:r>
        <w:rPr>
          <w:rFonts w:ascii="宋体" w:hAnsi="宋体"/>
          <w:color w:val="auto"/>
          <w:szCs w:val="21"/>
        </w:rPr>
        <w:fldChar w:fldCharType="separate"/>
      </w:r>
      <w:r>
        <w:rPr>
          <w:rFonts w:hAnsi="宋体" w:cs="仿宋_GB2312"/>
          <w:color w:val="auto"/>
          <w:szCs w:val="28"/>
        </w:rPr>
        <w:t xml:space="preserve">(八) </w:t>
      </w:r>
      <w:r>
        <w:rPr>
          <w:rFonts w:hint="eastAsia" w:hAnsi="宋体" w:cs="仿宋_GB2312"/>
          <w:color w:val="auto"/>
          <w:szCs w:val="28"/>
        </w:rPr>
        <w:t>弱电方案</w:t>
      </w:r>
      <w:r>
        <w:rPr>
          <w:color w:val="auto"/>
        </w:rPr>
        <w:tab/>
      </w:r>
      <w:r>
        <w:rPr>
          <w:color w:val="auto"/>
        </w:rPr>
        <w:fldChar w:fldCharType="begin"/>
      </w:r>
      <w:r>
        <w:rPr>
          <w:color w:val="auto"/>
        </w:rPr>
        <w:instrText xml:space="preserve"> PAGEREF _Toc5403 \h </w:instrText>
      </w:r>
      <w:r>
        <w:rPr>
          <w:color w:val="auto"/>
        </w:rPr>
        <w:fldChar w:fldCharType="separate"/>
      </w:r>
      <w:r>
        <w:rPr>
          <w:color w:val="auto"/>
        </w:rPr>
        <w:t>27</w:t>
      </w:r>
      <w:r>
        <w:rPr>
          <w:color w:val="auto"/>
        </w:rPr>
        <w:fldChar w:fldCharType="end"/>
      </w:r>
      <w:r>
        <w:rPr>
          <w:rFonts w:ascii="宋体" w:hAnsi="宋体"/>
          <w:color w:val="auto"/>
          <w:szCs w:val="21"/>
        </w:rPr>
        <w:fldChar w:fldCharType="end"/>
      </w:r>
    </w:p>
    <w:p w14:paraId="4ADE54EE">
      <w:pPr>
        <w:pStyle w:val="15"/>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_Toc21640 </w:instrText>
      </w:r>
      <w:r>
        <w:rPr>
          <w:rFonts w:ascii="宋体" w:hAnsi="宋体"/>
          <w:color w:val="auto"/>
          <w:szCs w:val="21"/>
        </w:rPr>
        <w:fldChar w:fldCharType="separate"/>
      </w:r>
      <w:r>
        <w:rPr>
          <w:rFonts w:hint="eastAsia" w:ascii="宋体" w:hAnsi="宋体"/>
          <w:color w:val="auto"/>
          <w:szCs w:val="36"/>
        </w:rPr>
        <w:t>第六章</w:t>
      </w:r>
      <w:r>
        <w:rPr>
          <w:rFonts w:ascii="宋体" w:hAnsi="宋体"/>
          <w:color w:val="auto"/>
          <w:szCs w:val="36"/>
        </w:rPr>
        <w:t xml:space="preserve"> </w:t>
      </w:r>
      <w:r>
        <w:rPr>
          <w:rFonts w:hint="eastAsia" w:ascii="宋体" w:hAnsi="宋体"/>
          <w:color w:val="auto"/>
          <w:szCs w:val="36"/>
        </w:rPr>
        <w:t>工程图纸设计深度</w:t>
      </w:r>
      <w:r>
        <w:rPr>
          <w:color w:val="auto"/>
        </w:rPr>
        <w:tab/>
      </w:r>
      <w:r>
        <w:rPr>
          <w:color w:val="auto"/>
        </w:rPr>
        <w:fldChar w:fldCharType="begin"/>
      </w:r>
      <w:r>
        <w:rPr>
          <w:color w:val="auto"/>
        </w:rPr>
        <w:instrText xml:space="preserve"> PAGEREF _Toc21640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4F32A0B4">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_Toc1093 </w:instrText>
      </w:r>
      <w:r>
        <w:rPr>
          <w:rFonts w:ascii="宋体" w:hAnsi="宋体"/>
          <w:color w:val="auto"/>
          <w:szCs w:val="21"/>
        </w:rPr>
        <w:fldChar w:fldCharType="separate"/>
      </w:r>
      <w:r>
        <w:rPr>
          <w:rFonts w:hint="eastAsia" w:ascii="宋体" w:hAnsi="宋体"/>
          <w:color w:val="auto"/>
        </w:rPr>
        <w:t>一、一般要求</w:t>
      </w:r>
      <w:r>
        <w:rPr>
          <w:color w:val="auto"/>
        </w:rPr>
        <w:tab/>
      </w:r>
      <w:r>
        <w:rPr>
          <w:color w:val="auto"/>
        </w:rPr>
        <w:fldChar w:fldCharType="begin"/>
      </w:r>
      <w:r>
        <w:rPr>
          <w:color w:val="auto"/>
        </w:rPr>
        <w:instrText xml:space="preserve"> PAGEREF _Toc1093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0781DF4A">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_Toc7088 </w:instrText>
      </w:r>
      <w:r>
        <w:rPr>
          <w:rFonts w:ascii="宋体" w:hAnsi="宋体"/>
          <w:color w:val="auto"/>
          <w:szCs w:val="21"/>
        </w:rPr>
        <w:fldChar w:fldCharType="separate"/>
      </w:r>
      <w:r>
        <w:rPr>
          <w:color w:val="auto"/>
        </w:rPr>
        <w:t>(一) 建筑方案设计的设计文件包括：</w:t>
      </w:r>
      <w:r>
        <w:rPr>
          <w:color w:val="auto"/>
        </w:rPr>
        <w:tab/>
      </w:r>
      <w:r>
        <w:rPr>
          <w:color w:val="auto"/>
        </w:rPr>
        <w:fldChar w:fldCharType="begin"/>
      </w:r>
      <w:r>
        <w:rPr>
          <w:color w:val="auto"/>
        </w:rPr>
        <w:instrText xml:space="preserve"> PAGEREF _Toc7088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7C9E5959">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_Toc20344 </w:instrText>
      </w:r>
      <w:r>
        <w:rPr>
          <w:rFonts w:ascii="宋体" w:hAnsi="宋体"/>
          <w:color w:val="auto"/>
          <w:szCs w:val="21"/>
        </w:rPr>
        <w:fldChar w:fldCharType="separate"/>
      </w:r>
      <w:r>
        <w:rPr>
          <w:rFonts w:hint="eastAsia" w:ascii="宋体" w:hAnsi="宋体" w:eastAsia="宋体"/>
          <w:color w:val="auto"/>
          <w:szCs w:val="21"/>
          <w:shd w:val="clear" w:fill="auto"/>
        </w:rPr>
        <w:t xml:space="preserve">(二) </w:t>
      </w:r>
      <w:r>
        <w:rPr>
          <w:rFonts w:ascii="宋体" w:hAnsi="宋体" w:eastAsia="宋体"/>
          <w:color w:val="auto"/>
          <w:szCs w:val="21"/>
          <w:shd w:val="clear" w:color="auto" w:fill="auto"/>
        </w:rPr>
        <w:t>文件编排顺序</w:t>
      </w:r>
      <w:r>
        <w:rPr>
          <w:color w:val="auto"/>
        </w:rPr>
        <w:tab/>
      </w:r>
      <w:r>
        <w:rPr>
          <w:color w:val="auto"/>
        </w:rPr>
        <w:fldChar w:fldCharType="begin"/>
      </w:r>
      <w:r>
        <w:rPr>
          <w:color w:val="auto"/>
        </w:rPr>
        <w:instrText xml:space="preserve"> PAGEREF _Toc20344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33E1AFC2">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_Toc15415 </w:instrText>
      </w:r>
      <w:r>
        <w:rPr>
          <w:rFonts w:ascii="宋体" w:hAnsi="宋体"/>
          <w:color w:val="auto"/>
          <w:szCs w:val="21"/>
        </w:rPr>
        <w:fldChar w:fldCharType="separate"/>
      </w:r>
      <w:r>
        <w:rPr>
          <w:rFonts w:hint="eastAsia" w:ascii="宋体" w:hAnsi="宋体"/>
          <w:color w:val="auto"/>
        </w:rPr>
        <w:t>二、</w:t>
      </w:r>
      <w:r>
        <w:rPr>
          <w:rFonts w:ascii="宋体" w:hAnsi="宋体"/>
          <w:color w:val="auto"/>
        </w:rPr>
        <w:t>设计说明</w:t>
      </w:r>
      <w:r>
        <w:rPr>
          <w:color w:val="auto"/>
        </w:rPr>
        <w:tab/>
      </w:r>
      <w:r>
        <w:rPr>
          <w:color w:val="auto"/>
        </w:rPr>
        <w:fldChar w:fldCharType="begin"/>
      </w:r>
      <w:r>
        <w:rPr>
          <w:color w:val="auto"/>
        </w:rPr>
        <w:instrText xml:space="preserve"> PAGEREF _Toc15415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76C31F37">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_Toc15137 </w:instrText>
      </w:r>
      <w:r>
        <w:rPr>
          <w:rFonts w:ascii="宋体" w:hAnsi="宋体"/>
          <w:color w:val="auto"/>
          <w:szCs w:val="21"/>
        </w:rPr>
        <w:fldChar w:fldCharType="separate"/>
      </w:r>
      <w:r>
        <w:rPr>
          <w:rFonts w:ascii="宋体" w:hAnsi="宋体" w:eastAsia="宋体"/>
          <w:color w:val="auto"/>
          <w:szCs w:val="21"/>
        </w:rPr>
        <w:t xml:space="preserve">(一) </w:t>
      </w:r>
      <w:r>
        <w:rPr>
          <w:rFonts w:hint="eastAsia" w:ascii="宋体" w:hAnsi="宋体" w:eastAsia="宋体"/>
          <w:color w:val="auto"/>
          <w:szCs w:val="21"/>
        </w:rPr>
        <w:t>设计依据和设计要求</w:t>
      </w:r>
      <w:r>
        <w:rPr>
          <w:color w:val="auto"/>
        </w:rPr>
        <w:tab/>
      </w:r>
      <w:r>
        <w:rPr>
          <w:color w:val="auto"/>
        </w:rPr>
        <w:fldChar w:fldCharType="begin"/>
      </w:r>
      <w:r>
        <w:rPr>
          <w:color w:val="auto"/>
        </w:rPr>
        <w:instrText xml:space="preserve"> PAGEREF _Toc15137 \h </w:instrText>
      </w:r>
      <w:r>
        <w:rPr>
          <w:color w:val="auto"/>
        </w:rPr>
        <w:fldChar w:fldCharType="separate"/>
      </w:r>
      <w:r>
        <w:rPr>
          <w:color w:val="auto"/>
        </w:rPr>
        <w:t>32</w:t>
      </w:r>
      <w:r>
        <w:rPr>
          <w:color w:val="auto"/>
        </w:rPr>
        <w:fldChar w:fldCharType="end"/>
      </w:r>
      <w:r>
        <w:rPr>
          <w:rFonts w:ascii="宋体" w:hAnsi="宋体"/>
          <w:color w:val="auto"/>
          <w:szCs w:val="21"/>
        </w:rPr>
        <w:fldChar w:fldCharType="end"/>
      </w:r>
    </w:p>
    <w:p w14:paraId="5DB9EED0">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_Toc5794 </w:instrText>
      </w:r>
      <w:r>
        <w:rPr>
          <w:rFonts w:ascii="宋体" w:hAnsi="宋体"/>
          <w:color w:val="auto"/>
          <w:szCs w:val="21"/>
        </w:rPr>
        <w:fldChar w:fldCharType="separate"/>
      </w:r>
      <w:r>
        <w:rPr>
          <w:rFonts w:ascii="宋体" w:hAnsi="宋体" w:eastAsia="宋体"/>
          <w:color w:val="auto"/>
          <w:szCs w:val="21"/>
        </w:rPr>
        <w:t xml:space="preserve">(二) </w:t>
      </w:r>
      <w:r>
        <w:rPr>
          <w:rFonts w:hint="eastAsia" w:ascii="宋体" w:hAnsi="宋体" w:eastAsia="宋体"/>
          <w:color w:val="auto"/>
          <w:szCs w:val="21"/>
          <w:shd w:val="clear" w:color="auto" w:fill="auto"/>
        </w:rPr>
        <w:t>建筑设计说明</w:t>
      </w:r>
      <w:r>
        <w:rPr>
          <w:color w:val="auto"/>
        </w:rPr>
        <w:tab/>
      </w:r>
      <w:r>
        <w:rPr>
          <w:color w:val="auto"/>
        </w:rPr>
        <w:fldChar w:fldCharType="begin"/>
      </w:r>
      <w:r>
        <w:rPr>
          <w:color w:val="auto"/>
        </w:rPr>
        <w:instrText xml:space="preserve"> PAGEREF _Toc5794 \h </w:instrText>
      </w:r>
      <w:r>
        <w:rPr>
          <w:color w:val="auto"/>
        </w:rPr>
        <w:fldChar w:fldCharType="separate"/>
      </w:r>
      <w:r>
        <w:rPr>
          <w:color w:val="auto"/>
        </w:rPr>
        <w:t>33</w:t>
      </w:r>
      <w:r>
        <w:rPr>
          <w:color w:val="auto"/>
        </w:rPr>
        <w:fldChar w:fldCharType="end"/>
      </w:r>
      <w:r>
        <w:rPr>
          <w:rFonts w:ascii="宋体" w:hAnsi="宋体"/>
          <w:color w:val="auto"/>
          <w:szCs w:val="21"/>
        </w:rPr>
        <w:fldChar w:fldCharType="end"/>
      </w:r>
    </w:p>
    <w:p w14:paraId="3617326F">
      <w:pPr>
        <w:pStyle w:val="17"/>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_Toc17495 </w:instrText>
      </w:r>
      <w:r>
        <w:rPr>
          <w:rFonts w:ascii="宋体" w:hAnsi="宋体"/>
          <w:color w:val="auto"/>
          <w:szCs w:val="21"/>
        </w:rPr>
        <w:fldChar w:fldCharType="separate"/>
      </w:r>
      <w:r>
        <w:rPr>
          <w:rFonts w:hint="eastAsia" w:ascii="宋体" w:hAnsi="宋体" w:cs="Times New Roman"/>
          <w:color w:val="auto"/>
        </w:rPr>
        <w:t>三、</w:t>
      </w:r>
      <w:r>
        <w:rPr>
          <w:rFonts w:ascii="宋体" w:hAnsi="宋体" w:cs="Times New Roman"/>
          <w:color w:val="auto"/>
        </w:rPr>
        <w:t>图纸文件</w:t>
      </w:r>
      <w:r>
        <w:rPr>
          <w:color w:val="auto"/>
        </w:rPr>
        <w:tab/>
      </w:r>
      <w:r>
        <w:rPr>
          <w:color w:val="auto"/>
        </w:rPr>
        <w:fldChar w:fldCharType="begin"/>
      </w:r>
      <w:r>
        <w:rPr>
          <w:color w:val="auto"/>
        </w:rPr>
        <w:instrText xml:space="preserve"> PAGEREF _Toc17495 \h </w:instrText>
      </w:r>
      <w:r>
        <w:rPr>
          <w:color w:val="auto"/>
        </w:rPr>
        <w:fldChar w:fldCharType="separate"/>
      </w:r>
      <w:r>
        <w:rPr>
          <w:color w:val="auto"/>
        </w:rPr>
        <w:t>33</w:t>
      </w:r>
      <w:r>
        <w:rPr>
          <w:color w:val="auto"/>
        </w:rPr>
        <w:fldChar w:fldCharType="end"/>
      </w:r>
      <w:r>
        <w:rPr>
          <w:rFonts w:ascii="宋体" w:hAnsi="宋体"/>
          <w:color w:val="auto"/>
          <w:szCs w:val="21"/>
        </w:rPr>
        <w:fldChar w:fldCharType="end"/>
      </w:r>
    </w:p>
    <w:p w14:paraId="7A42BEDD">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_Toc24512 </w:instrText>
      </w:r>
      <w:r>
        <w:rPr>
          <w:rFonts w:ascii="宋体" w:hAnsi="宋体"/>
          <w:color w:val="auto"/>
          <w:szCs w:val="21"/>
        </w:rPr>
        <w:fldChar w:fldCharType="separate"/>
      </w:r>
      <w:r>
        <w:rPr>
          <w:rFonts w:ascii="宋体" w:hAnsi="宋体" w:eastAsia="宋体"/>
          <w:bCs/>
          <w:color w:val="auto"/>
          <w:szCs w:val="21"/>
        </w:rPr>
        <w:t xml:space="preserve">(一) </w:t>
      </w:r>
      <w:r>
        <w:rPr>
          <w:rFonts w:hint="eastAsia" w:ascii="宋体" w:hAnsi="宋体" w:eastAsia="宋体"/>
          <w:bCs/>
          <w:color w:val="auto"/>
          <w:szCs w:val="21"/>
        </w:rPr>
        <w:t>方案设计阶段的成果内容应包括但不限于以下内容：</w:t>
      </w:r>
      <w:r>
        <w:rPr>
          <w:color w:val="auto"/>
        </w:rPr>
        <w:tab/>
      </w:r>
      <w:r>
        <w:rPr>
          <w:color w:val="auto"/>
        </w:rPr>
        <w:fldChar w:fldCharType="begin"/>
      </w:r>
      <w:r>
        <w:rPr>
          <w:color w:val="auto"/>
        </w:rPr>
        <w:instrText xml:space="preserve"> PAGEREF _Toc24512 \h </w:instrText>
      </w:r>
      <w:r>
        <w:rPr>
          <w:color w:val="auto"/>
        </w:rPr>
        <w:fldChar w:fldCharType="separate"/>
      </w:r>
      <w:r>
        <w:rPr>
          <w:color w:val="auto"/>
        </w:rPr>
        <w:t>33</w:t>
      </w:r>
      <w:r>
        <w:rPr>
          <w:color w:val="auto"/>
        </w:rPr>
        <w:fldChar w:fldCharType="end"/>
      </w:r>
      <w:r>
        <w:rPr>
          <w:rFonts w:ascii="宋体" w:hAnsi="宋体"/>
          <w:color w:val="auto"/>
          <w:szCs w:val="21"/>
        </w:rPr>
        <w:fldChar w:fldCharType="end"/>
      </w:r>
    </w:p>
    <w:p w14:paraId="38F57EFB">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_Toc12377 </w:instrText>
      </w:r>
      <w:r>
        <w:rPr>
          <w:rFonts w:ascii="宋体" w:hAnsi="宋体"/>
          <w:color w:val="auto"/>
          <w:szCs w:val="21"/>
        </w:rPr>
        <w:fldChar w:fldCharType="separate"/>
      </w:r>
      <w:r>
        <w:rPr>
          <w:rFonts w:ascii="宋体" w:hAnsi="宋体" w:eastAsia="宋体"/>
          <w:bCs/>
          <w:color w:val="auto"/>
          <w:szCs w:val="21"/>
        </w:rPr>
        <w:t xml:space="preserve">(二) </w:t>
      </w:r>
      <w:r>
        <w:rPr>
          <w:rFonts w:hint="eastAsia" w:ascii="宋体" w:hAnsi="宋体" w:eastAsia="宋体"/>
          <w:bCs/>
          <w:color w:val="auto"/>
          <w:szCs w:val="21"/>
        </w:rPr>
        <w:t>方案深化设计阶段</w:t>
      </w:r>
      <w:r>
        <w:rPr>
          <w:color w:val="auto"/>
        </w:rPr>
        <w:tab/>
      </w:r>
      <w:r>
        <w:rPr>
          <w:color w:val="auto"/>
        </w:rPr>
        <w:fldChar w:fldCharType="begin"/>
      </w:r>
      <w:r>
        <w:rPr>
          <w:color w:val="auto"/>
        </w:rPr>
        <w:instrText xml:space="preserve"> PAGEREF _Toc12377 \h </w:instrText>
      </w:r>
      <w:r>
        <w:rPr>
          <w:color w:val="auto"/>
        </w:rPr>
        <w:fldChar w:fldCharType="separate"/>
      </w:r>
      <w:r>
        <w:rPr>
          <w:color w:val="auto"/>
        </w:rPr>
        <w:t>35</w:t>
      </w:r>
      <w:r>
        <w:rPr>
          <w:color w:val="auto"/>
        </w:rPr>
        <w:fldChar w:fldCharType="end"/>
      </w:r>
      <w:r>
        <w:rPr>
          <w:rFonts w:ascii="宋体" w:hAnsi="宋体"/>
          <w:color w:val="auto"/>
          <w:szCs w:val="21"/>
        </w:rPr>
        <w:fldChar w:fldCharType="end"/>
      </w:r>
    </w:p>
    <w:p w14:paraId="586CF52F">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_Toc25794 </w:instrText>
      </w:r>
      <w:r>
        <w:rPr>
          <w:rFonts w:ascii="宋体" w:hAnsi="宋体"/>
          <w:color w:val="auto"/>
          <w:szCs w:val="21"/>
        </w:rPr>
        <w:fldChar w:fldCharType="separate"/>
      </w:r>
      <w:r>
        <w:rPr>
          <w:rFonts w:ascii="宋体" w:hAnsi="宋体" w:eastAsia="宋体"/>
          <w:bCs/>
          <w:color w:val="auto"/>
          <w:szCs w:val="21"/>
        </w:rPr>
        <w:t xml:space="preserve">(三) </w:t>
      </w:r>
      <w:r>
        <w:rPr>
          <w:rFonts w:hint="eastAsia" w:ascii="宋体" w:hAnsi="宋体" w:eastAsia="宋体"/>
          <w:bCs/>
          <w:color w:val="auto"/>
          <w:szCs w:val="21"/>
        </w:rPr>
        <w:t>施工图设计阶段</w:t>
      </w:r>
      <w:r>
        <w:rPr>
          <w:color w:val="auto"/>
        </w:rPr>
        <w:tab/>
      </w:r>
      <w:r>
        <w:rPr>
          <w:color w:val="auto"/>
        </w:rPr>
        <w:fldChar w:fldCharType="begin"/>
      </w:r>
      <w:r>
        <w:rPr>
          <w:color w:val="auto"/>
        </w:rPr>
        <w:instrText xml:space="preserve"> PAGEREF _Toc25794 \h </w:instrText>
      </w:r>
      <w:r>
        <w:rPr>
          <w:color w:val="auto"/>
        </w:rPr>
        <w:fldChar w:fldCharType="separate"/>
      </w:r>
      <w:r>
        <w:rPr>
          <w:color w:val="auto"/>
        </w:rPr>
        <w:t>37</w:t>
      </w:r>
      <w:r>
        <w:rPr>
          <w:color w:val="auto"/>
        </w:rPr>
        <w:fldChar w:fldCharType="end"/>
      </w:r>
      <w:r>
        <w:rPr>
          <w:rFonts w:ascii="宋体" w:hAnsi="宋体"/>
          <w:color w:val="auto"/>
          <w:szCs w:val="21"/>
        </w:rPr>
        <w:fldChar w:fldCharType="end"/>
      </w:r>
    </w:p>
    <w:p w14:paraId="506ECC1C">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_Toc26843 </w:instrText>
      </w:r>
      <w:r>
        <w:rPr>
          <w:rFonts w:ascii="宋体" w:hAnsi="宋体"/>
          <w:color w:val="auto"/>
          <w:szCs w:val="21"/>
        </w:rPr>
        <w:fldChar w:fldCharType="separate"/>
      </w:r>
      <w:r>
        <w:rPr>
          <w:rFonts w:hint="eastAsia"/>
          <w:color w:val="auto"/>
        </w:rPr>
        <w:t xml:space="preserve">（四） </w:t>
      </w:r>
      <w:r>
        <w:rPr>
          <w:color w:val="auto"/>
        </w:rPr>
        <w:t>工程造价估算</w:t>
      </w:r>
      <w:r>
        <w:rPr>
          <w:color w:val="auto"/>
        </w:rPr>
        <w:tab/>
      </w:r>
      <w:r>
        <w:rPr>
          <w:color w:val="auto"/>
        </w:rPr>
        <w:fldChar w:fldCharType="begin"/>
      </w:r>
      <w:r>
        <w:rPr>
          <w:color w:val="auto"/>
        </w:rPr>
        <w:instrText xml:space="preserve"> PAGEREF _Toc26843 \h </w:instrText>
      </w:r>
      <w:r>
        <w:rPr>
          <w:color w:val="auto"/>
        </w:rPr>
        <w:fldChar w:fldCharType="separate"/>
      </w:r>
      <w:r>
        <w:rPr>
          <w:color w:val="auto"/>
        </w:rPr>
        <w:t>39</w:t>
      </w:r>
      <w:r>
        <w:rPr>
          <w:color w:val="auto"/>
        </w:rPr>
        <w:fldChar w:fldCharType="end"/>
      </w:r>
      <w:r>
        <w:rPr>
          <w:rFonts w:ascii="宋体" w:hAnsi="宋体"/>
          <w:color w:val="auto"/>
          <w:szCs w:val="21"/>
        </w:rPr>
        <w:fldChar w:fldCharType="end"/>
      </w:r>
    </w:p>
    <w:p w14:paraId="6CB50820">
      <w:pPr>
        <w:pStyle w:val="9"/>
        <w:tabs>
          <w:tab w:val="right" w:leader="dot" w:pos="8306"/>
        </w:tabs>
        <w:rPr>
          <w:color w:val="auto"/>
        </w:rPr>
      </w:pPr>
      <w:r>
        <w:rPr>
          <w:rFonts w:ascii="宋体" w:hAnsi="宋体"/>
          <w:color w:val="auto"/>
          <w:szCs w:val="21"/>
        </w:rPr>
        <w:fldChar w:fldCharType="begin"/>
      </w:r>
      <w:r>
        <w:rPr>
          <w:rFonts w:ascii="宋体" w:hAnsi="宋体"/>
          <w:color w:val="auto"/>
          <w:szCs w:val="21"/>
        </w:rPr>
        <w:instrText xml:space="preserve"> HYPERLINK \l _Toc31942 </w:instrText>
      </w:r>
      <w:r>
        <w:rPr>
          <w:rFonts w:ascii="宋体" w:hAnsi="宋体"/>
          <w:color w:val="auto"/>
          <w:szCs w:val="21"/>
        </w:rPr>
        <w:fldChar w:fldCharType="separate"/>
      </w:r>
      <w:r>
        <w:rPr>
          <w:rFonts w:hint="eastAsia"/>
          <w:color w:val="auto"/>
        </w:rPr>
        <w:t>（五）设计依据与规划建筑设计投标方案成果文件要求</w:t>
      </w:r>
      <w:r>
        <w:rPr>
          <w:color w:val="auto"/>
        </w:rPr>
        <w:tab/>
      </w:r>
      <w:r>
        <w:rPr>
          <w:color w:val="auto"/>
        </w:rPr>
        <w:fldChar w:fldCharType="begin"/>
      </w:r>
      <w:r>
        <w:rPr>
          <w:color w:val="auto"/>
        </w:rPr>
        <w:instrText xml:space="preserve"> PAGEREF _Toc31942 \h </w:instrText>
      </w:r>
      <w:r>
        <w:rPr>
          <w:color w:val="auto"/>
        </w:rPr>
        <w:fldChar w:fldCharType="separate"/>
      </w:r>
      <w:r>
        <w:rPr>
          <w:color w:val="auto"/>
        </w:rPr>
        <w:t>40</w:t>
      </w:r>
      <w:r>
        <w:rPr>
          <w:color w:val="auto"/>
        </w:rPr>
        <w:fldChar w:fldCharType="end"/>
      </w:r>
      <w:r>
        <w:rPr>
          <w:rFonts w:ascii="宋体" w:hAnsi="宋体"/>
          <w:color w:val="auto"/>
          <w:szCs w:val="21"/>
        </w:rPr>
        <w:fldChar w:fldCharType="end"/>
      </w:r>
    </w:p>
    <w:p w14:paraId="6C10B8DD">
      <w:pPr>
        <w:spacing w:line="440" w:lineRule="exact"/>
        <w:ind w:firstLine="105" w:firstLineChars="50"/>
        <w:rPr>
          <w:rFonts w:ascii="宋体" w:hAnsi="宋体"/>
          <w:color w:val="auto"/>
          <w:szCs w:val="21"/>
        </w:rPr>
      </w:pPr>
      <w:r>
        <w:rPr>
          <w:rFonts w:ascii="宋体" w:hAnsi="宋体"/>
          <w:color w:val="auto"/>
          <w:szCs w:val="21"/>
        </w:rPr>
        <w:fldChar w:fldCharType="end"/>
      </w:r>
    </w:p>
    <w:p w14:paraId="2B80E1DE">
      <w:pPr>
        <w:rPr>
          <w:color w:val="auto"/>
        </w:rPr>
        <w:sectPr>
          <w:headerReference r:id="rId5" w:type="default"/>
          <w:headerReference r:id="rId6" w:type="even"/>
          <w:type w:val="continuous"/>
          <w:pgSz w:w="11906" w:h="16838"/>
          <w:pgMar w:top="1440" w:right="1800" w:bottom="1440" w:left="1800" w:header="851" w:footer="992" w:gutter="0"/>
          <w:pgNumType w:start="1"/>
          <w:cols w:space="720" w:num="1"/>
          <w:docGrid w:type="lines" w:linePitch="312" w:charSpace="0"/>
        </w:sectPr>
      </w:pPr>
    </w:p>
    <w:p w14:paraId="4F4B428F">
      <w:pPr>
        <w:spacing w:line="440" w:lineRule="exact"/>
        <w:rPr>
          <w:rFonts w:ascii="宋体" w:hAnsi="宋体"/>
          <w:color w:val="auto"/>
          <w:szCs w:val="21"/>
        </w:rPr>
      </w:pPr>
    </w:p>
    <w:p w14:paraId="72C238E4">
      <w:pPr>
        <w:pStyle w:val="2"/>
        <w:tabs>
          <w:tab w:val="left" w:pos="3570"/>
        </w:tabs>
        <w:spacing w:before="156" w:beforeLines="50" w:after="156" w:afterLines="50" w:line="360" w:lineRule="auto"/>
        <w:jc w:val="center"/>
        <w:rPr>
          <w:rFonts w:ascii="宋体" w:hAnsi="宋体"/>
          <w:bCs w:val="0"/>
          <w:color w:val="auto"/>
          <w:sz w:val="36"/>
          <w:szCs w:val="36"/>
        </w:rPr>
      </w:pPr>
      <w:bookmarkStart w:id="6" w:name="_Toc462255815"/>
      <w:bookmarkStart w:id="7" w:name="_Toc20670"/>
      <w:bookmarkStart w:id="8" w:name="_Toc27603"/>
      <w:r>
        <w:rPr>
          <w:rFonts w:hint="eastAsia" w:ascii="宋体" w:hAnsi="宋体"/>
          <w:bCs w:val="0"/>
          <w:color w:val="auto"/>
          <w:sz w:val="36"/>
          <w:szCs w:val="36"/>
        </w:rPr>
        <w:t>第一章</w:t>
      </w:r>
      <w:r>
        <w:rPr>
          <w:rFonts w:ascii="宋体" w:hAnsi="宋体"/>
          <w:bCs w:val="0"/>
          <w:color w:val="auto"/>
          <w:sz w:val="36"/>
          <w:szCs w:val="36"/>
        </w:rPr>
        <w:t xml:space="preserve"> </w:t>
      </w:r>
      <w:r>
        <w:rPr>
          <w:rFonts w:hint="eastAsia" w:ascii="宋体" w:hAnsi="宋体"/>
          <w:bCs w:val="0"/>
          <w:color w:val="auto"/>
          <w:sz w:val="36"/>
          <w:szCs w:val="36"/>
        </w:rPr>
        <w:t>总则</w:t>
      </w:r>
      <w:bookmarkEnd w:id="6"/>
      <w:bookmarkEnd w:id="7"/>
      <w:bookmarkEnd w:id="8"/>
    </w:p>
    <w:p w14:paraId="0E4E8A29">
      <w:pPr>
        <w:pStyle w:val="3"/>
        <w:numPr>
          <w:ilvl w:val="0"/>
          <w:numId w:val="2"/>
        </w:numPr>
        <w:spacing w:before="120" w:after="120" w:line="360" w:lineRule="auto"/>
        <w:ind w:left="0" w:firstLine="0"/>
        <w:contextualSpacing/>
        <w:rPr>
          <w:rFonts w:ascii="宋体" w:hAnsi="宋体"/>
          <w:color w:val="auto"/>
          <w:sz w:val="21"/>
          <w:szCs w:val="21"/>
        </w:rPr>
      </w:pPr>
      <w:bookmarkStart w:id="9" w:name="_Toc462255816"/>
      <w:bookmarkStart w:id="10" w:name="_Toc23148"/>
      <w:bookmarkStart w:id="11" w:name="_Toc11182"/>
      <w:r>
        <w:rPr>
          <w:rFonts w:hint="eastAsia" w:ascii="宋体" w:hAnsi="宋体"/>
          <w:color w:val="auto"/>
          <w:szCs w:val="21"/>
        </w:rPr>
        <w:t>项目提出背景</w:t>
      </w:r>
      <w:bookmarkEnd w:id="9"/>
      <w:bookmarkEnd w:id="10"/>
      <w:bookmarkEnd w:id="11"/>
    </w:p>
    <w:p w14:paraId="54B1A92B">
      <w:pPr>
        <w:pStyle w:val="4"/>
        <w:spacing w:before="156" w:after="156"/>
        <w:ind w:firstLine="378" w:firstLineChars="135"/>
        <w:rPr>
          <w:color w:val="auto"/>
          <w:sz w:val="21"/>
        </w:rPr>
      </w:pPr>
      <w:bookmarkStart w:id="12" w:name="_Toc23233"/>
      <w:bookmarkStart w:id="13" w:name="_Toc462255817"/>
      <w:bookmarkStart w:id="14" w:name="_Toc6984"/>
      <w:r>
        <w:rPr>
          <w:rFonts w:hint="eastAsia"/>
          <w:color w:val="auto"/>
        </w:rPr>
        <w:t>项目建设背景</w:t>
      </w:r>
      <w:bookmarkEnd w:id="12"/>
      <w:bookmarkEnd w:id="13"/>
      <w:bookmarkEnd w:id="14"/>
    </w:p>
    <w:p w14:paraId="7E896B47">
      <w:pPr>
        <w:pBdr>
          <w:bottom w:val="none" w:color="auto" w:sz="0" w:space="0"/>
        </w:pBdr>
        <w:ind w:firstLine="480" w:firstLineChars="200"/>
        <w:contextualSpacing/>
        <w:rPr>
          <w:rFonts w:hint="eastAsia" w:ascii="宋体" w:hAnsi="宋体" w:cs="宋体"/>
          <w:color w:val="auto"/>
          <w:kern w:val="28"/>
          <w:sz w:val="24"/>
          <w:szCs w:val="21"/>
          <w:lang w:eastAsia="zh-CN"/>
        </w:rPr>
      </w:pPr>
      <w:r>
        <w:rPr>
          <w:rFonts w:hint="default" w:ascii="宋体" w:hAnsi="宋体" w:cs="宋体"/>
          <w:color w:val="auto"/>
          <w:kern w:val="28"/>
          <w:sz w:val="24"/>
          <w:szCs w:val="21"/>
          <w:lang w:val="en-US" w:eastAsia="zh-CN"/>
        </w:rPr>
        <w:t>广州市增城区永和中学，又名广州市第七中学教育集团永和中学，学校创办于1976年8月</w:t>
      </w:r>
      <w:r>
        <w:rPr>
          <w:rFonts w:hint="eastAsia" w:ascii="宋体" w:hAnsi="宋体" w:cs="宋体"/>
          <w:color w:val="auto"/>
          <w:kern w:val="28"/>
          <w:sz w:val="24"/>
          <w:szCs w:val="21"/>
          <w:lang w:val="en-US" w:eastAsia="zh-CN"/>
        </w:rPr>
        <w:t>。学校</w:t>
      </w:r>
      <w:r>
        <w:rPr>
          <w:rFonts w:hint="default" w:ascii="宋体" w:hAnsi="宋体" w:cs="宋体"/>
          <w:color w:val="auto"/>
          <w:kern w:val="28"/>
          <w:sz w:val="24"/>
          <w:szCs w:val="21"/>
          <w:lang w:val="en-US" w:eastAsia="zh-CN"/>
        </w:rPr>
        <w:t>坐落于广东省广州市增城区，是一所公办普通高级中学。</w:t>
      </w:r>
      <w:r>
        <w:rPr>
          <w:rFonts w:hint="eastAsia" w:ascii="宋体" w:hAnsi="宋体" w:cs="宋体"/>
          <w:color w:val="auto"/>
          <w:kern w:val="28"/>
          <w:sz w:val="24"/>
          <w:szCs w:val="21"/>
        </w:rPr>
        <w:t>学校现有建筑面积28701.3</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，2022年经市教育局设定高中办学规模为24个教学班，具体包括教学及辅助用房7261</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、行政办公用房696</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、生活服务用房20744.3</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，其中学生宿舍9057</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，教职工宿舍8901.3</w:t>
      </w:r>
      <w:r>
        <w:rPr>
          <w:rFonts w:hint="eastAsia" w:ascii="宋体" w:hAnsi="宋体" w:cs="宋体"/>
          <w:color w:val="auto"/>
          <w:kern w:val="28"/>
          <w:sz w:val="24"/>
          <w:szCs w:val="21"/>
          <w:lang w:eastAsia="zh-CN"/>
        </w:rPr>
        <w:t>㎡</w:t>
      </w:r>
      <w:r>
        <w:rPr>
          <w:rFonts w:hint="eastAsia" w:ascii="宋体" w:hAnsi="宋体" w:cs="宋体"/>
          <w:color w:val="auto"/>
          <w:kern w:val="28"/>
          <w:sz w:val="24"/>
          <w:szCs w:val="21"/>
        </w:rPr>
        <w:t>。有1块400米环形跑道(包括100米直跑道、一个11人足球场)、有5个篮球场，2个排球场，1个5人足球场</w:t>
      </w:r>
      <w:r>
        <w:rPr>
          <w:rFonts w:hint="eastAsia" w:ascii="宋体" w:hAnsi="宋体" w:cs="宋体"/>
          <w:color w:val="auto"/>
          <w:kern w:val="28"/>
          <w:sz w:val="24"/>
          <w:szCs w:val="21"/>
          <w:lang w:eastAsia="zh-CN"/>
        </w:rPr>
        <w:t>。学校现有（</w:t>
      </w:r>
      <w:r>
        <w:rPr>
          <w:rFonts w:hint="eastAsia" w:ascii="宋体" w:hAnsi="宋体" w:cs="宋体"/>
          <w:color w:val="auto"/>
          <w:kern w:val="28"/>
          <w:sz w:val="24"/>
          <w:szCs w:val="21"/>
          <w:lang w:val="en-US" w:eastAsia="zh-CN"/>
        </w:rPr>
        <w:t>2025年</w:t>
      </w:r>
      <w:r>
        <w:rPr>
          <w:rFonts w:hint="eastAsia" w:ascii="宋体" w:hAnsi="宋体" w:cs="宋体"/>
          <w:color w:val="auto"/>
          <w:kern w:val="28"/>
          <w:sz w:val="24"/>
          <w:szCs w:val="21"/>
          <w:lang w:eastAsia="zh-CN"/>
        </w:rPr>
        <w:t>）20个行政班，学生980人，教职工：117人，其中：高一8个班380人，高二6个班300人，高三6个班300人。</w:t>
      </w:r>
    </w:p>
    <w:p w14:paraId="650A0A99">
      <w:pPr>
        <w:pBdr>
          <w:bottom w:val="none" w:color="auto" w:sz="0" w:space="0"/>
        </w:pBdr>
        <w:ind w:firstLine="480" w:firstLineChars="200"/>
        <w:contextualSpacing/>
        <w:rPr>
          <w:rFonts w:hint="eastAsia" w:ascii="宋体" w:hAnsi="宋体" w:eastAsia="宋体" w:cs="宋体"/>
          <w:color w:val="auto"/>
          <w:kern w:val="28"/>
          <w:sz w:val="24"/>
          <w:szCs w:val="21"/>
          <w:u w:val="none"/>
          <w:lang w:eastAsia="zh-CN"/>
        </w:rPr>
      </w:pPr>
      <w:r>
        <w:rPr>
          <w:rFonts w:hint="eastAsia" w:ascii="宋体" w:hAnsi="宋体" w:cs="宋体"/>
          <w:color w:val="auto"/>
          <w:kern w:val="28"/>
          <w:sz w:val="24"/>
          <w:szCs w:val="21"/>
          <w:lang w:eastAsia="zh-CN"/>
        </w:rPr>
        <w:t>项目为</w:t>
      </w:r>
      <w:r>
        <w:rPr>
          <w:rFonts w:hint="eastAsia" w:ascii="宋体" w:hAnsi="宋体" w:eastAsia="宋体" w:cs="宋体"/>
          <w:color w:val="auto"/>
          <w:kern w:val="28"/>
          <w:sz w:val="24"/>
          <w:szCs w:val="21"/>
          <w:lang w:eastAsia="zh-CN"/>
        </w:rPr>
        <w:t>改扩建</w:t>
      </w:r>
      <w:r>
        <w:rPr>
          <w:rFonts w:hint="eastAsia" w:ascii="宋体" w:hAnsi="宋体" w:cs="宋体"/>
          <w:color w:val="auto"/>
          <w:kern w:val="28"/>
          <w:sz w:val="24"/>
          <w:szCs w:val="21"/>
          <w:lang w:eastAsia="zh-CN"/>
        </w:rPr>
        <w:t>工程，总用地面积约141亩，拟扩建24班，增加高中学位1200个，达到48班</w:t>
      </w:r>
      <w:r>
        <w:rPr>
          <w:rFonts w:hint="eastAsia" w:ascii="宋体" w:hAnsi="宋体" w:eastAsia="宋体" w:cs="宋体"/>
          <w:color w:val="auto"/>
          <w:kern w:val="28"/>
          <w:sz w:val="24"/>
          <w:szCs w:val="21"/>
          <w:lang w:eastAsia="zh-CN"/>
        </w:rPr>
        <w:t>规模</w:t>
      </w:r>
      <w:r>
        <w:rPr>
          <w:rFonts w:hint="eastAsia" w:ascii="宋体" w:hAnsi="宋体" w:cs="宋体"/>
          <w:color w:val="auto"/>
          <w:kern w:val="28"/>
          <w:sz w:val="24"/>
          <w:szCs w:val="21"/>
          <w:lang w:eastAsia="zh-CN"/>
        </w:rPr>
        <w:t>高级中学总高中学位</w:t>
      </w:r>
      <w:r>
        <w:rPr>
          <w:rFonts w:hint="eastAsia" w:ascii="宋体" w:hAnsi="宋体" w:cs="宋体"/>
          <w:color w:val="auto"/>
          <w:kern w:val="28"/>
          <w:sz w:val="24"/>
          <w:szCs w:val="21"/>
          <w:lang w:val="en-US" w:eastAsia="zh-CN"/>
        </w:rPr>
        <w:t>2400个</w:t>
      </w:r>
      <w:r>
        <w:rPr>
          <w:rFonts w:hint="eastAsia" w:ascii="宋体" w:hAnsi="宋体" w:cs="宋体"/>
          <w:color w:val="auto"/>
          <w:kern w:val="28"/>
          <w:sz w:val="24"/>
          <w:szCs w:val="21"/>
          <w:lang w:eastAsia="zh-CN"/>
        </w:rPr>
        <w:t>。项目拟对局部山体进行平整，使场地高差合理符合消防及使用的要求，再根据建设计划分批次清拆原有建筑对旧有保留建筑进行外立面翻新。拟保留建筑(学生宿舍)面积约为3100㎡，拟新建总建筑面积约为76000㎡，其中新建计容面积约为64800㎡，不计容面积约为11200㎡(含连廊及架空层4000㎡);新建建设内容主要包括教学及辅助用房(约37083㎡)、行政办公用房(约2767㎡)、生活服务用房(约6710㎡)学牛宿舍(约13900㎡)、教职工宿舍(约</w:t>
      </w:r>
      <w:r>
        <w:rPr>
          <w:rFonts w:hint="eastAsia" w:ascii="宋体" w:hAnsi="宋体" w:cs="宋体"/>
          <w:color w:val="auto"/>
          <w:kern w:val="28"/>
          <w:sz w:val="24"/>
          <w:szCs w:val="21"/>
          <w:lang w:val="en-US" w:eastAsia="zh-CN"/>
        </w:rPr>
        <w:t>4340</w:t>
      </w:r>
      <w:r>
        <w:rPr>
          <w:rFonts w:hint="eastAsia" w:ascii="宋体" w:hAnsi="宋体" w:cs="宋体"/>
          <w:color w:val="auto"/>
          <w:kern w:val="28"/>
          <w:sz w:val="24"/>
          <w:szCs w:val="21"/>
          <w:lang w:eastAsia="zh-CN"/>
        </w:rPr>
        <w:t>㎡)、车库及设备用房、400米田径场、室外运动场、绿地、道路广场及充电等。(最终以可行性研究报告批复为准)</w:t>
      </w:r>
    </w:p>
    <w:p w14:paraId="06F59D68">
      <w:pPr>
        <w:pStyle w:val="4"/>
        <w:spacing w:before="156" w:after="156"/>
        <w:ind w:firstLine="282" w:firstLineChars="101"/>
        <w:rPr>
          <w:color w:val="auto"/>
        </w:rPr>
      </w:pPr>
      <w:bookmarkStart w:id="15" w:name="_Toc462255818"/>
      <w:bookmarkStart w:id="16" w:name="_Toc20839"/>
      <w:bookmarkStart w:id="17" w:name="_Toc3286"/>
      <w:r>
        <w:rPr>
          <w:rFonts w:hint="eastAsia"/>
          <w:color w:val="auto"/>
        </w:rPr>
        <w:t>项目选址</w:t>
      </w:r>
      <w:bookmarkEnd w:id="15"/>
      <w:bookmarkEnd w:id="16"/>
      <w:bookmarkEnd w:id="17"/>
    </w:p>
    <w:p w14:paraId="7D5AA339">
      <w:pPr>
        <w:pBdr>
          <w:bottom w:val="none" w:color="auto" w:sz="0" w:space="0"/>
        </w:pBdr>
        <w:ind w:firstLine="480" w:firstLineChars="200"/>
        <w:contextualSpacing/>
        <w:rPr>
          <w:rFonts w:hint="eastAsia" w:ascii="宋体" w:hAnsi="宋体" w:eastAsia="宋体" w:cs="宋体"/>
          <w:color w:val="auto"/>
          <w:kern w:val="28"/>
          <w:sz w:val="24"/>
          <w:szCs w:val="21"/>
        </w:rPr>
      </w:pPr>
      <w:r>
        <w:rPr>
          <w:rFonts w:hint="eastAsia" w:ascii="宋体" w:hAnsi="宋体" w:eastAsia="宋体" w:cs="宋体"/>
          <w:color w:val="auto"/>
          <w:kern w:val="28"/>
          <w:sz w:val="24"/>
          <w:szCs w:val="21"/>
        </w:rPr>
        <w:t>项目拟在广州市增城区永宁街永贤路</w:t>
      </w:r>
      <w:r>
        <w:rPr>
          <w:rFonts w:hint="eastAsia" w:ascii="宋体" w:hAnsi="宋体" w:eastAsia="宋体" w:cs="宋体"/>
          <w:color w:val="auto"/>
          <w:kern w:val="28"/>
          <w:sz w:val="24"/>
          <w:szCs w:val="21"/>
          <w:lang w:eastAsia="zh-CN"/>
        </w:rPr>
        <w:t>西侧原永和中学现状用地进行改扩建</w:t>
      </w:r>
      <w:r>
        <w:rPr>
          <w:rFonts w:hint="eastAsia" w:ascii="宋体" w:hAnsi="宋体" w:eastAsia="宋体" w:cs="宋体"/>
          <w:color w:val="auto"/>
          <w:kern w:val="28"/>
          <w:sz w:val="24"/>
          <w:szCs w:val="21"/>
        </w:rPr>
        <w:t>。</w:t>
      </w:r>
    </w:p>
    <w:p w14:paraId="0EF798ED">
      <w:pPr>
        <w:pStyle w:val="3"/>
        <w:numPr>
          <w:ilvl w:val="0"/>
          <w:numId w:val="2"/>
        </w:numPr>
        <w:spacing w:before="120" w:after="120" w:line="360" w:lineRule="auto"/>
        <w:ind w:left="0" w:firstLine="0"/>
        <w:contextualSpacing/>
        <w:rPr>
          <w:rFonts w:ascii="宋体" w:hAnsi="宋体"/>
          <w:color w:val="auto"/>
          <w:szCs w:val="21"/>
        </w:rPr>
      </w:pPr>
      <w:bookmarkStart w:id="18" w:name="_Toc19891"/>
      <w:r>
        <w:rPr>
          <w:rFonts w:hint="eastAsia" w:ascii="宋体" w:hAnsi="宋体"/>
          <w:color w:val="auto"/>
          <w:szCs w:val="21"/>
        </w:rPr>
        <w:t>设计任务书编制依据</w:t>
      </w:r>
      <w:bookmarkEnd w:id="18"/>
    </w:p>
    <w:p w14:paraId="6CBA6024">
      <w:pPr>
        <w:pStyle w:val="4"/>
        <w:numPr>
          <w:ilvl w:val="0"/>
          <w:numId w:val="3"/>
        </w:numPr>
        <w:spacing w:before="156" w:after="156"/>
        <w:rPr>
          <w:color w:val="auto"/>
        </w:rPr>
      </w:pPr>
      <w:bookmarkStart w:id="19" w:name="_Toc462255820"/>
      <w:bookmarkStart w:id="20" w:name="_Toc13441"/>
      <w:bookmarkStart w:id="21" w:name="_Toc10734"/>
      <w:r>
        <w:rPr>
          <w:rFonts w:hint="eastAsia"/>
          <w:color w:val="auto"/>
        </w:rPr>
        <w:t>法律法规</w:t>
      </w:r>
      <w:bookmarkEnd w:id="19"/>
      <w:bookmarkEnd w:id="20"/>
      <w:bookmarkEnd w:id="21"/>
    </w:p>
    <w:p w14:paraId="6016D6B4">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《中华人民共和国建筑法》（</w:t>
      </w:r>
      <w:r>
        <w:rPr>
          <w:rFonts w:ascii="宋体" w:hAnsi="宋体" w:eastAsia="宋体"/>
          <w:color w:val="auto"/>
          <w:sz w:val="24"/>
          <w:szCs w:val="21"/>
        </w:rPr>
        <w:t>2011年7月1日起</w:t>
      </w:r>
      <w:r>
        <w:rPr>
          <w:rFonts w:hint="eastAsia" w:ascii="宋体" w:hAnsi="宋体" w:eastAsia="宋体"/>
          <w:color w:val="auto"/>
          <w:sz w:val="24"/>
          <w:szCs w:val="21"/>
        </w:rPr>
        <w:t>施行）</w:t>
      </w:r>
    </w:p>
    <w:p w14:paraId="4CFF53F5">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《中华人民共和国城乡规划法》（</w:t>
      </w:r>
      <w:r>
        <w:rPr>
          <w:rFonts w:ascii="宋体" w:hAnsi="宋体" w:eastAsia="宋体"/>
          <w:color w:val="auto"/>
          <w:sz w:val="24"/>
          <w:szCs w:val="21"/>
        </w:rPr>
        <w:t>2008年1月1日起</w:t>
      </w:r>
      <w:r>
        <w:rPr>
          <w:rFonts w:hint="eastAsia" w:ascii="宋体" w:hAnsi="宋体" w:eastAsia="宋体"/>
          <w:color w:val="auto"/>
          <w:sz w:val="24"/>
          <w:szCs w:val="21"/>
        </w:rPr>
        <w:t>施行）</w:t>
      </w:r>
    </w:p>
    <w:p w14:paraId="6CA765FE">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《中华人民共和国环境保护法》（</w:t>
      </w:r>
      <w:r>
        <w:rPr>
          <w:rFonts w:ascii="宋体" w:hAnsi="宋体" w:eastAsia="宋体"/>
          <w:color w:val="auto"/>
          <w:sz w:val="24"/>
          <w:szCs w:val="21"/>
        </w:rPr>
        <w:t>2015年1月1日起</w:t>
      </w:r>
      <w:r>
        <w:rPr>
          <w:rFonts w:hint="eastAsia" w:ascii="宋体" w:hAnsi="宋体" w:eastAsia="宋体"/>
          <w:color w:val="auto"/>
          <w:sz w:val="24"/>
          <w:szCs w:val="21"/>
        </w:rPr>
        <w:t>施行）</w:t>
      </w:r>
    </w:p>
    <w:p w14:paraId="5CF8BD98">
      <w:pPr>
        <w:pStyle w:val="67"/>
        <w:numPr>
          <w:ilvl w:val="0"/>
          <w:numId w:val="4"/>
        </w:numPr>
        <w:ind w:left="0" w:firstLine="566" w:firstLineChars="236"/>
        <w:contextualSpacing/>
        <w:rPr>
          <w:rFonts w:ascii="宋体" w:hAnsi="宋体" w:eastAsia="宋体"/>
          <w:color w:val="auto"/>
          <w:sz w:val="24"/>
          <w:szCs w:val="21"/>
        </w:rPr>
      </w:pPr>
      <w:r>
        <w:rPr>
          <w:rFonts w:ascii="宋体" w:hAnsi="宋体" w:eastAsia="宋体"/>
          <w:color w:val="auto"/>
          <w:sz w:val="24"/>
          <w:szCs w:val="21"/>
        </w:rPr>
        <w:t>中华人民共和国消防法(2019修正)</w:t>
      </w:r>
      <w:r>
        <w:rPr>
          <w:rFonts w:hint="eastAsia" w:ascii="宋体" w:hAnsi="宋体" w:eastAsia="宋体"/>
          <w:color w:val="auto"/>
          <w:sz w:val="24"/>
          <w:szCs w:val="21"/>
        </w:rPr>
        <w:t>（</w:t>
      </w:r>
      <w:r>
        <w:rPr>
          <w:rFonts w:ascii="宋体" w:hAnsi="宋体" w:eastAsia="宋体"/>
          <w:color w:val="auto"/>
          <w:sz w:val="24"/>
          <w:szCs w:val="21"/>
        </w:rPr>
        <w:t>20</w:t>
      </w:r>
      <w:r>
        <w:rPr>
          <w:rFonts w:hint="eastAsia" w:ascii="宋体" w:hAnsi="宋体" w:eastAsia="宋体"/>
          <w:color w:val="auto"/>
          <w:sz w:val="24"/>
          <w:szCs w:val="21"/>
        </w:rPr>
        <w:t>1</w:t>
      </w:r>
      <w:r>
        <w:rPr>
          <w:rFonts w:ascii="宋体" w:hAnsi="宋体" w:eastAsia="宋体"/>
          <w:color w:val="auto"/>
          <w:sz w:val="24"/>
          <w:szCs w:val="21"/>
        </w:rPr>
        <w:t>9年</w:t>
      </w:r>
      <w:r>
        <w:rPr>
          <w:rFonts w:hint="eastAsia" w:ascii="宋体" w:hAnsi="宋体" w:eastAsia="宋体"/>
          <w:color w:val="auto"/>
          <w:sz w:val="24"/>
          <w:szCs w:val="21"/>
        </w:rPr>
        <w:t>4</w:t>
      </w:r>
      <w:r>
        <w:rPr>
          <w:rFonts w:ascii="宋体" w:hAnsi="宋体" w:eastAsia="宋体"/>
          <w:color w:val="auto"/>
          <w:sz w:val="24"/>
          <w:szCs w:val="21"/>
        </w:rPr>
        <w:t>月</w:t>
      </w:r>
      <w:r>
        <w:rPr>
          <w:rFonts w:hint="eastAsia" w:ascii="宋体" w:hAnsi="宋体" w:eastAsia="宋体"/>
          <w:color w:val="auto"/>
          <w:sz w:val="24"/>
          <w:szCs w:val="21"/>
        </w:rPr>
        <w:t>23</w:t>
      </w:r>
      <w:r>
        <w:rPr>
          <w:rFonts w:ascii="宋体" w:hAnsi="宋体" w:eastAsia="宋体"/>
          <w:color w:val="auto"/>
          <w:sz w:val="24"/>
          <w:szCs w:val="21"/>
        </w:rPr>
        <w:t>日起</w:t>
      </w:r>
      <w:r>
        <w:rPr>
          <w:rFonts w:hint="eastAsia" w:ascii="宋体" w:hAnsi="宋体" w:eastAsia="宋体"/>
          <w:color w:val="auto"/>
          <w:sz w:val="24"/>
          <w:szCs w:val="21"/>
        </w:rPr>
        <w:t>施行）</w:t>
      </w:r>
    </w:p>
    <w:p w14:paraId="35B0CAD7">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《建筑工程质量管理条例》（</w:t>
      </w:r>
      <w:r>
        <w:rPr>
          <w:rFonts w:ascii="宋体" w:hAnsi="宋体" w:eastAsia="宋体"/>
          <w:color w:val="auto"/>
          <w:sz w:val="24"/>
          <w:szCs w:val="21"/>
        </w:rPr>
        <w:t>2003年7月1日起</w:t>
      </w:r>
      <w:r>
        <w:rPr>
          <w:rFonts w:hint="eastAsia" w:ascii="宋体" w:hAnsi="宋体" w:eastAsia="宋体"/>
          <w:color w:val="auto"/>
          <w:sz w:val="24"/>
          <w:szCs w:val="21"/>
        </w:rPr>
        <w:t>施行）</w:t>
      </w:r>
    </w:p>
    <w:p w14:paraId="744F9DEE">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建设部《实施工程建设强制性标准监督规定》（</w:t>
      </w:r>
      <w:r>
        <w:rPr>
          <w:rFonts w:ascii="宋体" w:hAnsi="宋体" w:eastAsia="宋体"/>
          <w:color w:val="auto"/>
          <w:sz w:val="24"/>
          <w:szCs w:val="21"/>
        </w:rPr>
        <w:t>2000年8月25日起</w:t>
      </w:r>
      <w:r>
        <w:rPr>
          <w:rFonts w:hint="eastAsia" w:ascii="宋体" w:hAnsi="宋体" w:eastAsia="宋体"/>
          <w:color w:val="auto"/>
          <w:sz w:val="24"/>
          <w:szCs w:val="21"/>
        </w:rPr>
        <w:t>施行）</w:t>
      </w:r>
    </w:p>
    <w:p w14:paraId="519D0190">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其它相关的法律、法规等。</w:t>
      </w:r>
    </w:p>
    <w:p w14:paraId="38EC16A6">
      <w:pPr>
        <w:pStyle w:val="4"/>
        <w:numPr>
          <w:ilvl w:val="0"/>
          <w:numId w:val="5"/>
        </w:numPr>
        <w:spacing w:before="156" w:after="156"/>
        <w:ind w:left="0" w:firstLine="426"/>
        <w:rPr>
          <w:color w:val="auto"/>
        </w:rPr>
      </w:pPr>
      <w:bookmarkStart w:id="22" w:name="_Toc462255821"/>
      <w:bookmarkStart w:id="23" w:name="_Toc25572"/>
      <w:bookmarkStart w:id="24" w:name="_Toc1523"/>
      <w:bookmarkStart w:id="25" w:name="_Toc440300684"/>
      <w:r>
        <w:rPr>
          <w:rFonts w:hint="eastAsia"/>
          <w:color w:val="auto"/>
        </w:rPr>
        <w:t>技术标准与规范</w:t>
      </w:r>
      <w:bookmarkEnd w:id="22"/>
      <w:bookmarkEnd w:id="23"/>
      <w:bookmarkEnd w:id="24"/>
      <w:bookmarkEnd w:id="25"/>
    </w:p>
    <w:p w14:paraId="71891555">
      <w:pPr>
        <w:pStyle w:val="67"/>
        <w:ind w:left="567" w:firstLine="0"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（见附件</w:t>
      </w:r>
      <w:r>
        <w:rPr>
          <w:rFonts w:hint="eastAsia" w:ascii="宋体" w:hAnsi="宋体" w:eastAsia="宋体" w:cs="宋体"/>
          <w:color w:val="auto"/>
          <w:kern w:val="28"/>
          <w:sz w:val="24"/>
          <w:szCs w:val="24"/>
          <w:lang w:val="en-US" w:eastAsia="zh-CN"/>
        </w:rPr>
        <w:t>1</w:t>
      </w:r>
      <w:r>
        <w:rPr>
          <w:rFonts w:hint="eastAsia" w:ascii="宋体" w:hAnsi="宋体" w:eastAsia="宋体" w:cs="宋体"/>
          <w:color w:val="auto"/>
          <w:kern w:val="28"/>
          <w:sz w:val="24"/>
          <w:szCs w:val="24"/>
        </w:rPr>
        <w:t>）</w:t>
      </w:r>
    </w:p>
    <w:p w14:paraId="1AF25245">
      <w:pPr>
        <w:pStyle w:val="4"/>
        <w:numPr>
          <w:ilvl w:val="0"/>
          <w:numId w:val="6"/>
        </w:numPr>
        <w:spacing w:before="156" w:after="156"/>
        <w:ind w:left="0" w:firstLine="425" w:firstLineChars="152"/>
        <w:rPr>
          <w:color w:val="auto"/>
        </w:rPr>
      </w:pPr>
      <w:bookmarkStart w:id="26" w:name="_Toc30010"/>
      <w:bookmarkStart w:id="27" w:name="_Toc462255822"/>
      <w:bookmarkStart w:id="28" w:name="_Toc2219"/>
      <w:r>
        <w:rPr>
          <w:rFonts w:hint="eastAsia"/>
          <w:color w:val="auto"/>
        </w:rPr>
        <w:t>相关文件</w:t>
      </w:r>
      <w:bookmarkEnd w:id="26"/>
      <w:bookmarkEnd w:id="27"/>
      <w:bookmarkEnd w:id="28"/>
    </w:p>
    <w:p w14:paraId="6BF3976F">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《关于学习贯彻&lt;国务院关于基础教育改革与发展的决定&gt;的通知》（教基[2001]19 号）； </w:t>
      </w:r>
    </w:p>
    <w:p w14:paraId="1531DC50">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《城市普通中小学校校舍建设标准》（建标〔2002〕102 号）； </w:t>
      </w:r>
    </w:p>
    <w:p w14:paraId="4615CEF2">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教育部关于进一步加强中小学校校舍建设与管理工作的通知（教发〔2006〕21号）； </w:t>
      </w:r>
    </w:p>
    <w:p w14:paraId="29069846">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《国家中长期教育改革和发展规划纲要(2010-2020 年)》； </w:t>
      </w:r>
    </w:p>
    <w:p w14:paraId="4846AF46">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《广东省中长期教育改革和发展规划纲要（2010-2020）》；</w:t>
      </w:r>
    </w:p>
    <w:p w14:paraId="0181DFFF">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《广东省教育事业“十三五”规划》； </w:t>
      </w:r>
    </w:p>
    <w:p w14:paraId="0E5B500A">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《广东省人民政府办公厅关于关于推进县域义务教育均衡发展的意见义务教育均衡发展的意见》（粤府办〔2009〕26 号）； </w:t>
      </w:r>
    </w:p>
    <w:p w14:paraId="509B56FB">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《广东省义务教育阶段学校办学基本标准（试行）》（2008）； </w:t>
      </w:r>
    </w:p>
    <w:p w14:paraId="1A342D24">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《关于印发《广东省义务教育标准化学校标准》的通知》（粤教基〔2013〕17 号）； </w:t>
      </w:r>
    </w:p>
    <w:p w14:paraId="67B4FCD7">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《广州市建设项目配建停车位指标》；</w:t>
      </w:r>
    </w:p>
    <w:p w14:paraId="23A6B3B1">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《中小学校设计规范》（GB50099-2011）；</w:t>
      </w:r>
    </w:p>
    <w:p w14:paraId="29737CE7">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《广州市示范性普通高中学校认定办法和指标体系》； </w:t>
      </w:r>
    </w:p>
    <w:p w14:paraId="3F438206">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《广州市中小学校基础教育设施三年提升计划（2016—2018 年）》； </w:t>
      </w:r>
    </w:p>
    <w:p w14:paraId="165F8CCC">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《广州市人民防空管理规定》（2013年版）；</w:t>
      </w:r>
    </w:p>
    <w:p w14:paraId="30C0BFEA">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增城区教育局关于商请控制新建学校规划设计技术指标要求的通知（增教函[2017]369号）； </w:t>
      </w:r>
    </w:p>
    <w:p w14:paraId="55E75E51">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增城区教育局关于进一步明确区中小学校三年提升计划若干事项的通知(增教通[2017]134号)； </w:t>
      </w:r>
    </w:p>
    <w:p w14:paraId="2AD481C1">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增城区教育局关于印发《增城区中小学校设施装修标准》的通知（增教通[2017]113号）；</w:t>
      </w:r>
    </w:p>
    <w:p w14:paraId="2D871937">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《广州市增城区国民经济和社会发展第十三个五年规划纲要》；</w:t>
      </w:r>
    </w:p>
    <w:p w14:paraId="488127D4">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增城区人民政府《关于同意增城市中小学建设发展策略研究与布点规划（2014-2020）及控制性导则的批复》（增府复〔2015〕9号）；</w:t>
      </w:r>
    </w:p>
    <w:p w14:paraId="4E86F0F4">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广州市增城区城乡规划局《关于实施〈增城市中小学建设发展策略研究与布点规划及中小学建设控制性导则〉成果的通告》；</w:t>
      </w:r>
    </w:p>
    <w:p w14:paraId="3AC8FAEA">
      <w:pPr>
        <w:pStyle w:val="67"/>
        <w:numPr>
          <w:ilvl w:val="0"/>
          <w:numId w:val="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项目建设单位提供的其他资料。</w:t>
      </w:r>
    </w:p>
    <w:p w14:paraId="60B15B39">
      <w:pPr>
        <w:pStyle w:val="4"/>
        <w:numPr>
          <w:ilvl w:val="0"/>
          <w:numId w:val="6"/>
        </w:numPr>
        <w:spacing w:before="156" w:after="156"/>
        <w:ind w:left="0" w:firstLine="425" w:firstLineChars="152"/>
        <w:rPr>
          <w:color w:val="auto"/>
        </w:rPr>
      </w:pPr>
      <w:bookmarkStart w:id="29" w:name="_Toc23806"/>
      <w:bookmarkStart w:id="30" w:name="_Toc462255823"/>
      <w:bookmarkStart w:id="31" w:name="_Toc8973"/>
      <w:r>
        <w:rPr>
          <w:rFonts w:hint="eastAsia"/>
          <w:color w:val="auto"/>
        </w:rPr>
        <w:t>上位规划资料</w:t>
      </w:r>
      <w:bookmarkEnd w:id="29"/>
      <w:bookmarkEnd w:id="30"/>
      <w:bookmarkEnd w:id="31"/>
    </w:p>
    <w:p w14:paraId="48AB96A2">
      <w:pPr>
        <w:pStyle w:val="67"/>
        <w:numPr>
          <w:ilvl w:val="0"/>
          <w:numId w:val="8"/>
        </w:numPr>
        <w:ind w:left="0" w:firstLine="424" w:firstLineChars="177"/>
        <w:contextualSpacing/>
        <w:rPr>
          <w:rFonts w:ascii="宋体" w:hAnsi="宋体" w:eastAsia="宋体"/>
          <w:color w:val="auto"/>
          <w:sz w:val="24"/>
          <w:szCs w:val="21"/>
        </w:rPr>
      </w:pPr>
      <w:r>
        <w:rPr>
          <w:rFonts w:hint="eastAsia" w:ascii="宋体" w:hAnsi="宋体" w:eastAsia="宋体"/>
          <w:color w:val="auto"/>
          <w:sz w:val="24"/>
          <w:szCs w:val="21"/>
        </w:rPr>
        <w:t>《增城市城市总体规划（</w:t>
      </w:r>
      <w:r>
        <w:rPr>
          <w:rFonts w:ascii="宋体" w:hAnsi="宋体" w:eastAsia="宋体"/>
          <w:color w:val="auto"/>
          <w:sz w:val="24"/>
          <w:szCs w:val="21"/>
        </w:rPr>
        <w:t>2010-2020）》（公示版）</w:t>
      </w:r>
    </w:p>
    <w:p w14:paraId="2C8A1888">
      <w:pPr>
        <w:pStyle w:val="67"/>
        <w:numPr>
          <w:ilvl w:val="0"/>
          <w:numId w:val="8"/>
        </w:numPr>
        <w:ind w:left="0" w:firstLine="426" w:firstLineChars="0"/>
        <w:contextualSpacing/>
        <w:rPr>
          <w:rFonts w:ascii="宋体" w:hAnsi="宋体" w:eastAsia="宋体"/>
          <w:color w:val="auto"/>
          <w:sz w:val="24"/>
          <w:szCs w:val="21"/>
        </w:rPr>
      </w:pPr>
      <w:r>
        <w:rPr>
          <w:rFonts w:hint="eastAsia" w:ascii="宋体" w:hAnsi="宋体" w:eastAsia="宋体"/>
          <w:color w:val="auto"/>
          <w:sz w:val="24"/>
          <w:szCs w:val="21"/>
        </w:rPr>
        <w:t>用地规划条件</w:t>
      </w:r>
    </w:p>
    <w:p w14:paraId="76D9A676">
      <w:pPr>
        <w:widowControl/>
        <w:jc w:val="left"/>
        <w:rPr>
          <w:rFonts w:ascii="宋体" w:hAnsi="宋体"/>
          <w:b/>
          <w:bCs/>
          <w:color w:val="auto"/>
          <w:kern w:val="44"/>
          <w:sz w:val="36"/>
          <w:szCs w:val="36"/>
        </w:rPr>
      </w:pPr>
      <w:r>
        <w:rPr>
          <w:rFonts w:ascii="宋体" w:hAnsi="宋体"/>
          <w:color w:val="auto"/>
          <w:sz w:val="36"/>
          <w:szCs w:val="36"/>
        </w:rPr>
        <w:br w:type="page"/>
      </w:r>
    </w:p>
    <w:p w14:paraId="3CAA5901">
      <w:pPr>
        <w:pStyle w:val="2"/>
        <w:tabs>
          <w:tab w:val="left" w:pos="3570"/>
        </w:tabs>
        <w:spacing w:before="156" w:beforeLines="50" w:after="156" w:afterLines="50" w:line="360" w:lineRule="auto"/>
        <w:jc w:val="center"/>
        <w:rPr>
          <w:rFonts w:ascii="宋体" w:hAnsi="宋体"/>
          <w:bCs w:val="0"/>
          <w:color w:val="auto"/>
          <w:sz w:val="36"/>
          <w:szCs w:val="36"/>
        </w:rPr>
      </w:pPr>
      <w:bookmarkStart w:id="32" w:name="_Toc462255824"/>
      <w:bookmarkStart w:id="33" w:name="_Toc30643"/>
      <w:bookmarkStart w:id="34" w:name="_Toc9115"/>
      <w:r>
        <w:rPr>
          <w:rFonts w:hint="eastAsia" w:ascii="宋体" w:hAnsi="宋体"/>
          <w:bCs w:val="0"/>
          <w:color w:val="auto"/>
          <w:sz w:val="36"/>
          <w:szCs w:val="36"/>
        </w:rPr>
        <w:t>第二章</w:t>
      </w:r>
      <w:r>
        <w:rPr>
          <w:rFonts w:ascii="宋体" w:hAnsi="宋体"/>
          <w:bCs w:val="0"/>
          <w:color w:val="auto"/>
          <w:sz w:val="36"/>
          <w:szCs w:val="36"/>
        </w:rPr>
        <w:t xml:space="preserve"> </w:t>
      </w:r>
      <w:r>
        <w:rPr>
          <w:rFonts w:hint="eastAsia" w:ascii="宋体" w:hAnsi="宋体"/>
          <w:bCs w:val="0"/>
          <w:color w:val="auto"/>
          <w:sz w:val="36"/>
          <w:szCs w:val="36"/>
        </w:rPr>
        <w:t>项目概况</w:t>
      </w:r>
      <w:bookmarkEnd w:id="32"/>
      <w:bookmarkEnd w:id="33"/>
      <w:bookmarkEnd w:id="34"/>
    </w:p>
    <w:p w14:paraId="3AF61DE8">
      <w:pPr>
        <w:pStyle w:val="3"/>
        <w:numPr>
          <w:ilvl w:val="0"/>
          <w:numId w:val="9"/>
        </w:numPr>
        <w:spacing w:before="120" w:after="120" w:line="360" w:lineRule="auto"/>
        <w:ind w:left="0" w:firstLine="0"/>
        <w:rPr>
          <w:rFonts w:ascii="宋体" w:hAnsi="宋体"/>
          <w:color w:val="auto"/>
        </w:rPr>
      </w:pPr>
      <w:bookmarkStart w:id="35" w:name="_Toc5262"/>
      <w:bookmarkStart w:id="36" w:name="_Toc14842"/>
      <w:bookmarkStart w:id="37" w:name="_Toc462255825"/>
      <w:r>
        <w:rPr>
          <w:rFonts w:hint="eastAsia" w:ascii="宋体" w:hAnsi="宋体"/>
          <w:color w:val="auto"/>
        </w:rPr>
        <w:t>项目基本信息</w:t>
      </w:r>
      <w:bookmarkEnd w:id="35"/>
      <w:bookmarkEnd w:id="36"/>
      <w:bookmarkEnd w:id="37"/>
    </w:p>
    <w:p w14:paraId="1A7170AC">
      <w:pPr>
        <w:pStyle w:val="4"/>
        <w:numPr>
          <w:ilvl w:val="0"/>
          <w:numId w:val="10"/>
        </w:numPr>
        <w:spacing w:before="156" w:after="156"/>
        <w:ind w:left="0" w:firstLine="425" w:firstLineChars="152"/>
        <w:rPr>
          <w:color w:val="auto"/>
        </w:rPr>
      </w:pPr>
      <w:bookmarkStart w:id="38" w:name="_Toc19561"/>
      <w:bookmarkStart w:id="39" w:name="_Toc462255826"/>
      <w:bookmarkStart w:id="40" w:name="_Toc6918"/>
      <w:r>
        <w:rPr>
          <w:rFonts w:hint="eastAsia"/>
          <w:color w:val="auto"/>
        </w:rPr>
        <w:t>项目名称</w:t>
      </w:r>
      <w:bookmarkEnd w:id="38"/>
      <w:bookmarkEnd w:id="39"/>
      <w:bookmarkEnd w:id="40"/>
    </w:p>
    <w:p w14:paraId="6A388602">
      <w:pPr>
        <w:pStyle w:val="8"/>
        <w:spacing w:before="178"/>
        <w:ind w:right="476" w:firstLine="561"/>
        <w:rPr>
          <w:rFonts w:ascii="宋体" w:hAnsi="宋体" w:eastAsia="宋体" w:cs="宋体"/>
          <w:i w:val="0"/>
          <w:strike w:val="0"/>
          <w:color w:val="auto"/>
          <w:kern w:val="2"/>
          <w:sz w:val="24"/>
          <w:szCs w:val="24"/>
          <w:u w:val="none"/>
          <w:lang w:val="en-US" w:eastAsia="zh-CN" w:bidi="ar-SA"/>
        </w:rPr>
      </w:pPr>
      <w:r>
        <w:rPr>
          <w:rFonts w:hint="eastAsia" w:ascii="宋体" w:hAnsi="宋体" w:eastAsia="宋体" w:cs="宋体"/>
          <w:i w:val="0"/>
          <w:strike w:val="0"/>
          <w:color w:val="auto"/>
          <w:kern w:val="2"/>
          <w:sz w:val="24"/>
          <w:szCs w:val="24"/>
          <w:u w:val="none"/>
          <w:lang w:val="en-US" w:eastAsia="zh-CN" w:bidi="ar-SA"/>
        </w:rPr>
        <w:t>增城区永和中学改扩建项目</w:t>
      </w:r>
    </w:p>
    <w:p w14:paraId="75006D45">
      <w:pPr>
        <w:pStyle w:val="4"/>
        <w:numPr>
          <w:ilvl w:val="0"/>
          <w:numId w:val="10"/>
        </w:numPr>
        <w:spacing w:before="156" w:after="156"/>
        <w:ind w:left="0" w:firstLine="426"/>
        <w:rPr>
          <w:color w:val="auto"/>
        </w:rPr>
      </w:pPr>
      <w:bookmarkStart w:id="41" w:name="_Toc10289"/>
      <w:bookmarkStart w:id="42" w:name="_Toc6125"/>
      <w:bookmarkStart w:id="43" w:name="_Toc462255827"/>
      <w:r>
        <w:rPr>
          <w:rFonts w:hint="eastAsia"/>
          <w:color w:val="auto"/>
        </w:rPr>
        <w:t>项目位置</w:t>
      </w:r>
      <w:bookmarkEnd w:id="41"/>
      <w:bookmarkEnd w:id="42"/>
      <w:bookmarkEnd w:id="43"/>
    </w:p>
    <w:p w14:paraId="4DB215A6">
      <w:pPr>
        <w:pStyle w:val="8"/>
        <w:spacing w:before="178"/>
        <w:ind w:right="476" w:firstLine="561"/>
        <w:rPr>
          <w:rFonts w:ascii="宋体" w:hAnsi="宋体"/>
          <w:b/>
          <w:color w:val="auto"/>
          <w:sz w:val="24"/>
          <w:szCs w:val="21"/>
        </w:rPr>
      </w:pPr>
      <w:r>
        <w:rPr>
          <w:color w:val="auto"/>
          <w:sz w:val="24"/>
          <w:szCs w:val="24"/>
        </w:rPr>
        <w:t>项目位于</w:t>
      </w:r>
      <w:r>
        <w:rPr>
          <w:rFonts w:hint="eastAsia" w:ascii="宋体" w:hAnsi="宋体" w:eastAsia="宋体" w:cs="宋体"/>
          <w:color w:val="auto"/>
          <w:sz w:val="24"/>
          <w:szCs w:val="24"/>
        </w:rPr>
        <w:t>广州市</w:t>
      </w:r>
      <w:r>
        <w:rPr>
          <w:rFonts w:hint="eastAsia"/>
          <w:color w:val="auto"/>
          <w:sz w:val="24"/>
          <w:szCs w:val="24"/>
        </w:rPr>
        <w:t>增</w:t>
      </w:r>
      <w:r>
        <w:rPr>
          <w:rFonts w:hint="eastAsia" w:ascii="宋体" w:hAnsi="宋体" w:eastAsia="宋体" w:cs="宋体"/>
          <w:i w:val="0"/>
          <w:strike w:val="0"/>
          <w:color w:val="auto"/>
          <w:kern w:val="2"/>
          <w:sz w:val="24"/>
          <w:szCs w:val="24"/>
          <w:u w:val="none"/>
          <w:lang w:val="en-US" w:eastAsia="zh-CN" w:bidi="ar-SA"/>
        </w:rPr>
        <w:t>城区</w:t>
      </w:r>
      <w:r>
        <w:rPr>
          <w:rFonts w:hint="eastAsia"/>
          <w:color w:val="auto"/>
          <w:sz w:val="24"/>
          <w:szCs w:val="24"/>
        </w:rPr>
        <w:t>永宁街永贤路</w:t>
      </w:r>
      <w:r>
        <w:rPr>
          <w:rFonts w:hint="eastAsia"/>
          <w:color w:val="auto"/>
          <w:sz w:val="24"/>
          <w:szCs w:val="24"/>
          <w:lang w:eastAsia="zh-CN"/>
        </w:rPr>
        <w:t>西侧原永和中学</w:t>
      </w:r>
      <w:r>
        <w:rPr>
          <w:rFonts w:hint="eastAsia"/>
          <w:color w:val="auto"/>
          <w:sz w:val="24"/>
          <w:szCs w:val="24"/>
          <w:lang w:eastAsia="zh"/>
        </w:rPr>
        <w:t>。</w:t>
      </w:r>
    </w:p>
    <w:p w14:paraId="165EED52">
      <w:pPr>
        <w:pStyle w:val="4"/>
        <w:numPr>
          <w:ilvl w:val="0"/>
          <w:numId w:val="10"/>
        </w:numPr>
        <w:spacing w:before="156" w:after="156"/>
        <w:ind w:left="0" w:firstLine="426"/>
        <w:rPr>
          <w:color w:val="auto"/>
        </w:rPr>
      </w:pPr>
      <w:bookmarkStart w:id="44" w:name="_Toc462255828"/>
      <w:bookmarkStart w:id="45" w:name="_Toc25244"/>
      <w:r>
        <w:rPr>
          <w:rFonts w:hint="eastAsia"/>
          <w:color w:val="auto"/>
        </w:rPr>
        <w:t>项目建设内容</w:t>
      </w:r>
      <w:bookmarkEnd w:id="44"/>
      <w:bookmarkEnd w:id="45"/>
    </w:p>
    <w:p w14:paraId="42F04346">
      <w:pPr>
        <w:pStyle w:val="8"/>
        <w:spacing w:before="178"/>
        <w:ind w:right="476" w:firstLine="561"/>
        <w:rPr>
          <w:rFonts w:hint="eastAsia" w:ascii="宋体" w:hAnsi="宋体" w:eastAsia="宋体" w:cs="宋体"/>
          <w:color w:val="auto"/>
          <w:kern w:val="28"/>
          <w:sz w:val="24"/>
          <w:szCs w:val="21"/>
          <w:lang w:eastAsia="zh-CN"/>
        </w:rPr>
      </w:pPr>
      <w:r>
        <w:rPr>
          <w:rFonts w:hint="eastAsia" w:ascii="宋体" w:hAnsi="宋体" w:eastAsia="宋体" w:cs="宋体"/>
          <w:color w:val="auto"/>
          <w:kern w:val="28"/>
          <w:sz w:val="24"/>
          <w:szCs w:val="21"/>
          <w:lang w:eastAsia="zh-CN"/>
        </w:rPr>
        <w:t>本项目拟建48个高中班，总规模2400生。项目总用地面积94151.4㎡(约141.227亩)，拟保留建筑(学生宿舍)面积约为3100㎡，拟新建总建筑面积约为76000㎡，其中新建计容面积约为64800㎡，不计容面积约为11200㎡(含连廊及架空层4000㎡)；新建建设内容主要包括教学及辅助用房(约37083㎡)、行政办公用房(约2767㎡)、生活服务用房(约6710㎡)、学生宿舍(约13900㎡)、教职工宿舍(约</w:t>
      </w:r>
      <w:r>
        <w:rPr>
          <w:rFonts w:hint="eastAsia" w:ascii="宋体" w:hAnsi="宋体" w:eastAsia="宋体" w:cs="宋体"/>
          <w:color w:val="auto"/>
          <w:kern w:val="28"/>
          <w:sz w:val="24"/>
          <w:szCs w:val="21"/>
          <w:lang w:val="en-US" w:eastAsia="zh-CN"/>
        </w:rPr>
        <w:t>4340</w:t>
      </w:r>
      <w:r>
        <w:rPr>
          <w:rFonts w:hint="eastAsia" w:ascii="宋体" w:hAnsi="宋体" w:eastAsia="宋体" w:cs="宋体"/>
          <w:color w:val="auto"/>
          <w:kern w:val="28"/>
          <w:sz w:val="24"/>
          <w:szCs w:val="21"/>
          <w:lang w:eastAsia="zh-CN"/>
        </w:rPr>
        <w:t>㎡)、车库及设备用房、400米田径场、体育看台、室外运动场、绿地、道路广场及充电等。(最终以可行性研究报告批复为准)</w:t>
      </w:r>
    </w:p>
    <w:p w14:paraId="378CE6A0">
      <w:pPr>
        <w:pStyle w:val="3"/>
        <w:rPr>
          <w:rFonts w:ascii="宋体" w:hAnsi="宋体"/>
          <w:color w:val="auto"/>
        </w:rPr>
      </w:pPr>
      <w:bookmarkStart w:id="46" w:name="_Toc6604"/>
      <w:r>
        <w:rPr>
          <w:rFonts w:hint="eastAsia" w:ascii="宋体" w:hAnsi="宋体" w:cs="宋体"/>
          <w:color w:val="auto"/>
          <w:kern w:val="28"/>
        </w:rPr>
        <w:t>二、</w:t>
      </w:r>
      <w:bookmarkStart w:id="47" w:name="_Toc462255829"/>
      <w:r>
        <w:rPr>
          <w:rFonts w:hint="eastAsia" w:ascii="宋体" w:hAnsi="宋体"/>
          <w:color w:val="auto"/>
        </w:rPr>
        <w:t>项目工作范围和内容</w:t>
      </w:r>
      <w:bookmarkEnd w:id="46"/>
      <w:bookmarkEnd w:id="47"/>
    </w:p>
    <w:p w14:paraId="6CEBA478">
      <w:pPr>
        <w:pStyle w:val="4"/>
        <w:numPr>
          <w:ilvl w:val="0"/>
          <w:numId w:val="11"/>
        </w:numPr>
        <w:spacing w:before="156" w:after="156"/>
        <w:ind w:left="0" w:firstLine="426"/>
        <w:rPr>
          <w:rFonts w:hint="eastAsia" w:ascii="宋体" w:hAnsi="宋体" w:eastAsia="宋体" w:cs="Times New Roman"/>
          <w:color w:val="auto"/>
        </w:rPr>
      </w:pPr>
      <w:bookmarkStart w:id="48" w:name="_Toc4528"/>
      <w:bookmarkStart w:id="49" w:name="_Toc462255830"/>
      <w:r>
        <w:rPr>
          <w:rFonts w:hint="eastAsia" w:ascii="宋体" w:hAnsi="宋体" w:eastAsia="宋体" w:cs="Times New Roman"/>
          <w:color w:val="auto"/>
        </w:rPr>
        <w:t>设计范围内的工程勘察</w:t>
      </w:r>
    </w:p>
    <w:p w14:paraId="07F7458F">
      <w:pPr>
        <w:pStyle w:val="8"/>
        <w:spacing w:before="178"/>
        <w:ind w:right="476" w:firstLine="561"/>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包括</w:t>
      </w:r>
      <w:r>
        <w:rPr>
          <w:rFonts w:hint="eastAsia" w:ascii="宋体" w:hAnsi="宋体" w:eastAsia="宋体" w:cs="Times New Roman"/>
          <w:color w:val="auto"/>
          <w:sz w:val="24"/>
          <w:szCs w:val="24"/>
        </w:rPr>
        <w:t>不限于岩土工程勘察、工程测量</w:t>
      </w:r>
      <w:r>
        <w:rPr>
          <w:rFonts w:hint="eastAsia" w:ascii="宋体" w:hAnsi="宋体" w:eastAsia="宋体" w:cs="Times New Roman"/>
          <w:color w:val="auto"/>
          <w:sz w:val="24"/>
          <w:szCs w:val="24"/>
          <w:lang w:val="en-US" w:eastAsia="zh-CN"/>
        </w:rPr>
        <w:t>(含</w:t>
      </w:r>
      <w:r>
        <w:rPr>
          <w:rFonts w:hint="eastAsia" w:ascii="宋体" w:hAnsi="宋体" w:eastAsia="宋体" w:cs="Times New Roman"/>
          <w:color w:val="auto"/>
          <w:sz w:val="24"/>
          <w:szCs w:val="24"/>
        </w:rPr>
        <w:t>项目报建时</w:t>
      </w:r>
      <w:r>
        <w:rPr>
          <w:rFonts w:hint="eastAsia" w:ascii="宋体" w:hAnsi="宋体" w:eastAsia="宋体" w:cs="Times New Roman"/>
          <w:color w:val="auto"/>
          <w:sz w:val="24"/>
          <w:szCs w:val="24"/>
          <w:lang w:eastAsia="zh-CN"/>
        </w:rPr>
        <w:t>及办理相关证照业务时涉及</w:t>
      </w:r>
      <w:r>
        <w:rPr>
          <w:rFonts w:hint="eastAsia" w:ascii="宋体" w:hAnsi="宋体" w:eastAsia="宋体" w:cs="Times New Roman"/>
          <w:color w:val="auto"/>
          <w:sz w:val="24"/>
          <w:szCs w:val="24"/>
        </w:rPr>
        <w:t>的测量测绘工作</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、工程物探</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含管线探测</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，并出具地质勘察报告，地质勘察必须满足设计需要</w:t>
      </w:r>
      <w:r>
        <w:rPr>
          <w:rFonts w:hint="eastAsia" w:ascii="宋体" w:hAnsi="宋体" w:eastAsia="宋体" w:cs="Times New Roman"/>
          <w:color w:val="auto"/>
          <w:sz w:val="24"/>
          <w:szCs w:val="24"/>
          <w:lang w:eastAsia="zh-CN"/>
        </w:rPr>
        <w:t>。</w:t>
      </w:r>
    </w:p>
    <w:p w14:paraId="720F576B">
      <w:pPr>
        <w:pStyle w:val="4"/>
        <w:numPr>
          <w:ilvl w:val="0"/>
          <w:numId w:val="11"/>
        </w:numPr>
        <w:spacing w:before="156" w:after="156"/>
        <w:ind w:left="0" w:firstLine="426"/>
        <w:rPr>
          <w:rFonts w:hint="eastAsia" w:ascii="宋体" w:hAnsi="宋体" w:eastAsia="宋体" w:cs="Times New Roman"/>
          <w:color w:val="auto"/>
        </w:rPr>
      </w:pPr>
      <w:r>
        <w:rPr>
          <w:rFonts w:hint="eastAsia"/>
          <w:color w:val="auto"/>
        </w:rPr>
        <w:t>全过程规划</w:t>
      </w:r>
      <w:r>
        <w:rPr>
          <w:rFonts w:hint="eastAsia" w:ascii="宋体" w:hAnsi="宋体" w:eastAsia="宋体" w:cs="Times New Roman"/>
          <w:color w:val="auto"/>
        </w:rPr>
        <w:t>建筑设计，设计内容包括但不限于：</w:t>
      </w:r>
      <w:bookmarkEnd w:id="48"/>
      <w:bookmarkEnd w:id="49"/>
    </w:p>
    <w:p w14:paraId="5A088651">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修建性详细规划：包括总平面规划设计、竖向规划设计、管线综合设计、建筑布局、交通组织、景观绿化、场地分期建设规划等。</w:t>
      </w:r>
    </w:p>
    <w:p w14:paraId="25267C96">
      <w:pPr>
        <w:pStyle w:val="67"/>
        <w:numPr>
          <w:ilvl w:val="0"/>
          <w:numId w:val="12"/>
        </w:numPr>
        <w:ind w:left="0" w:firstLine="462" w:firstLineChars="0"/>
        <w:contextualSpacing/>
        <w:rPr>
          <w:rFonts w:hint="eastAsia" w:ascii="宋体" w:hAnsi="宋体" w:eastAsia="宋体" w:cs="Times New Roman"/>
          <w:color w:val="auto"/>
          <w:sz w:val="24"/>
          <w:szCs w:val="24"/>
        </w:rPr>
      </w:pPr>
      <w:bookmarkStart w:id="50" w:name="_Toc26652"/>
      <w:bookmarkStart w:id="51" w:name="_Toc462255831"/>
      <w:r>
        <w:rPr>
          <w:rFonts w:hint="eastAsia" w:ascii="宋体" w:hAnsi="宋体" w:eastAsia="宋体" w:cs="Times New Roman"/>
          <w:color w:val="auto"/>
          <w:sz w:val="24"/>
          <w:szCs w:val="24"/>
        </w:rPr>
        <w:t>建设方案联审决策：按政府投资工程建设项目建设方案联审决策实施细则要求编制项目建设方案，并在联审过程配合修改完善建设方案。</w:t>
      </w:r>
    </w:p>
    <w:p w14:paraId="3C414446">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项目整体</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含建筑、用地范围内的室外市政等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设计方案及深化、初步设计、施工图设计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含设计变更</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，包括不限于本项目的</w:t>
      </w:r>
      <w:r>
        <w:rPr>
          <w:rFonts w:hint="eastAsia" w:ascii="宋体" w:hAnsi="宋体" w:eastAsia="宋体"/>
          <w:color w:val="auto"/>
          <w:sz w:val="24"/>
          <w:szCs w:val="24"/>
          <w:shd w:val="clear" w:color="auto" w:fill="auto"/>
        </w:rPr>
        <w:t>场地平整、基坑支护及土方工程</w:t>
      </w:r>
      <w:r>
        <w:rPr>
          <w:rFonts w:hint="eastAsia" w:ascii="宋体" w:hAnsi="宋体" w:eastAsia="宋体"/>
          <w:color w:val="auto"/>
          <w:sz w:val="24"/>
          <w:szCs w:val="24"/>
          <w:shd w:val="clear" w:color="auto" w:fill="auto"/>
          <w:lang w:val="en-US" w:eastAsia="zh-CN"/>
        </w:rPr>
        <w:t>设计，</w:t>
      </w:r>
      <w:r>
        <w:rPr>
          <w:rFonts w:hint="eastAsia" w:ascii="宋体" w:hAnsi="宋体" w:eastAsia="宋体" w:cs="Times New Roman"/>
          <w:color w:val="auto"/>
          <w:sz w:val="24"/>
          <w:szCs w:val="24"/>
        </w:rPr>
        <w:t>建</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构</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筑物设计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不限于建筑、结构、给排水、</w:t>
      </w:r>
      <w:r>
        <w:rPr>
          <w:rFonts w:hint="eastAsia" w:ascii="宋体" w:hAnsi="宋体" w:eastAsia="宋体" w:cs="Times New Roman"/>
          <w:color w:val="auto"/>
          <w:sz w:val="24"/>
          <w:szCs w:val="24"/>
          <w:lang w:val="en-US" w:eastAsia="zh-CN"/>
        </w:rPr>
        <w:t>强电、暖通</w:t>
      </w:r>
      <w:r>
        <w:rPr>
          <w:rFonts w:hint="eastAsia" w:ascii="宋体" w:hAnsi="宋体" w:eastAsia="宋体" w:cs="Times New Roman"/>
          <w:color w:val="auto"/>
          <w:sz w:val="24"/>
          <w:szCs w:val="24"/>
        </w:rPr>
        <w:t>、消防、</w:t>
      </w:r>
      <w:r>
        <w:rPr>
          <w:rFonts w:hint="eastAsia" w:ascii="宋体" w:hAnsi="宋体" w:eastAsia="宋体"/>
          <w:color w:val="auto"/>
          <w:sz w:val="24"/>
          <w:szCs w:val="24"/>
          <w:shd w:val="clear" w:color="auto" w:fill="auto"/>
        </w:rPr>
        <w:t>弱电智能化（含智能化系统项目建设方案（如有））</w:t>
      </w:r>
      <w:r>
        <w:rPr>
          <w:rFonts w:hint="eastAsia" w:ascii="宋体" w:hAnsi="宋体" w:eastAsia="宋体"/>
          <w:color w:val="auto"/>
          <w:sz w:val="24"/>
          <w:szCs w:val="24"/>
          <w:shd w:val="clear" w:color="auto" w:fill="auto"/>
          <w:lang w:eastAsia="zh-CN"/>
        </w:rPr>
        <w:t>、</w:t>
      </w:r>
      <w:r>
        <w:rPr>
          <w:rFonts w:hint="eastAsia" w:ascii="宋体" w:hAnsi="宋体" w:eastAsia="宋体" w:cs="Times New Roman"/>
          <w:color w:val="auto"/>
          <w:sz w:val="24"/>
          <w:szCs w:val="24"/>
        </w:rPr>
        <w:t>外立面装饰、防雷、电梯、二星</w:t>
      </w:r>
      <w:r>
        <w:rPr>
          <w:rFonts w:hint="eastAsia" w:ascii="宋体" w:hAnsi="宋体" w:eastAsia="宋体" w:cs="Times New Roman"/>
          <w:color w:val="auto"/>
          <w:sz w:val="24"/>
          <w:szCs w:val="24"/>
          <w:lang w:eastAsia="zh-CN"/>
        </w:rPr>
        <w:t>及以上级别</w:t>
      </w:r>
      <w:r>
        <w:rPr>
          <w:rFonts w:hint="eastAsia" w:ascii="宋体" w:hAnsi="宋体" w:eastAsia="宋体" w:cs="Times New Roman"/>
          <w:color w:val="auto"/>
          <w:sz w:val="24"/>
          <w:szCs w:val="24"/>
        </w:rPr>
        <w:t>绿色建筑、BIM技术应用等工程的方案设计、初步设计、施工图设计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室内工程设计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w:t>
      </w:r>
      <w:r>
        <w:rPr>
          <w:rFonts w:hint="eastAsia" w:ascii="宋体" w:hAnsi="宋体" w:eastAsia="宋体"/>
          <w:color w:val="auto"/>
          <w:sz w:val="24"/>
          <w:szCs w:val="24"/>
          <w:shd w:val="clear" w:color="auto" w:fill="auto"/>
        </w:rPr>
        <w:t>室内二次精装修</w:t>
      </w:r>
      <w:r>
        <w:rPr>
          <w:rFonts w:hint="eastAsia" w:ascii="宋体" w:hAnsi="宋体" w:eastAsia="宋体"/>
          <w:color w:val="auto"/>
          <w:sz w:val="24"/>
          <w:szCs w:val="24"/>
          <w:shd w:val="clear" w:color="auto" w:fill="auto"/>
          <w:lang w:eastAsia="zh-CN"/>
        </w:rPr>
        <w:t>、</w:t>
      </w:r>
      <w:r>
        <w:rPr>
          <w:rFonts w:hint="eastAsia" w:ascii="宋体" w:hAnsi="宋体" w:eastAsia="宋体" w:cs="Times New Roman"/>
          <w:color w:val="auto"/>
          <w:sz w:val="24"/>
          <w:szCs w:val="24"/>
        </w:rPr>
        <w:t>标识系统、环保设施</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，电房配电工程</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人防工程</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地下车库工程</w:t>
      </w:r>
      <w:r>
        <w:rPr>
          <w:rFonts w:hint="eastAsia" w:ascii="宋体" w:hAnsi="宋体" w:eastAsia="宋体" w:cs="Times New Roman"/>
          <w:color w:val="auto"/>
          <w:sz w:val="24"/>
          <w:szCs w:val="24"/>
          <w:lang w:val="en-US" w:eastAsia="zh-CN"/>
        </w:rPr>
        <w:t>设计，</w:t>
      </w:r>
      <w:r>
        <w:rPr>
          <w:rFonts w:hint="eastAsia" w:ascii="宋体" w:hAnsi="宋体" w:eastAsia="宋体" w:cs="Times New Roman"/>
          <w:color w:val="auto"/>
          <w:sz w:val="24"/>
          <w:szCs w:val="24"/>
        </w:rPr>
        <w:t>海绵城市、</w:t>
      </w:r>
      <w:r>
        <w:rPr>
          <w:rFonts w:hint="eastAsia" w:ascii="宋体" w:hAnsi="宋体" w:eastAsia="宋体" w:cs="Times New Roman"/>
          <w:color w:val="auto"/>
          <w:sz w:val="24"/>
          <w:szCs w:val="24"/>
          <w:lang w:val="en-US" w:eastAsia="zh-CN"/>
        </w:rPr>
        <w:t>污水处理</w:t>
      </w:r>
      <w:r>
        <w:rPr>
          <w:rFonts w:hint="eastAsia" w:ascii="宋体" w:hAnsi="宋体" w:eastAsia="宋体" w:cs="Times New Roman"/>
          <w:color w:val="auto"/>
          <w:sz w:val="24"/>
          <w:szCs w:val="24"/>
        </w:rPr>
        <w:t>、围墙</w:t>
      </w:r>
      <w:r>
        <w:rPr>
          <w:rFonts w:hint="eastAsia" w:ascii="宋体" w:hAnsi="宋体" w:eastAsia="宋体" w:cs="Times New Roman"/>
          <w:color w:val="auto"/>
          <w:sz w:val="24"/>
          <w:szCs w:val="24"/>
          <w:lang w:val="en-US" w:eastAsia="zh-CN"/>
        </w:rPr>
        <w:t>等</w:t>
      </w:r>
      <w:r>
        <w:rPr>
          <w:rFonts w:hint="eastAsia" w:ascii="宋体" w:hAnsi="宋体" w:eastAsia="宋体" w:cs="Times New Roman"/>
          <w:color w:val="auto"/>
          <w:sz w:val="24"/>
          <w:szCs w:val="24"/>
        </w:rPr>
        <w:t>工程设计以及上述建筑工程所包含的所有相关专业的设计内容，及包括保证建筑物正常使用的必要的其他专业</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包括供配电等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工程设计；配合厨房二次深化设计，配合教学设施设备</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含可移动体育设施</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、宿舍生活设施、学生桌椅</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相关机电专业预留条件配合</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w:t>
      </w:r>
    </w:p>
    <w:p w14:paraId="4EDC39BE">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项目用地范围内基础配套设施工程设计、室内外管线综合平衡设计、室内外体育设施</w:t>
      </w:r>
      <w:r>
        <w:rPr>
          <w:rFonts w:hint="eastAsia" w:ascii="宋体" w:hAnsi="宋体" w:eastAsia="宋体"/>
          <w:color w:val="auto"/>
          <w:sz w:val="24"/>
          <w:szCs w:val="24"/>
          <w:shd w:val="clear" w:color="auto" w:fill="auto"/>
          <w:lang w:val="en-US" w:eastAsia="zh-CN"/>
        </w:rPr>
        <w:t>设计</w:t>
      </w:r>
      <w:r>
        <w:rPr>
          <w:rFonts w:hint="eastAsia" w:ascii="宋体" w:hAnsi="宋体" w:eastAsia="宋体" w:cs="Times New Roman"/>
          <w:color w:val="auto"/>
          <w:sz w:val="24"/>
          <w:szCs w:val="24"/>
        </w:rPr>
        <w:t>、室外道路广场</w:t>
      </w:r>
      <w:r>
        <w:rPr>
          <w:rFonts w:hint="eastAsia" w:ascii="宋体" w:hAnsi="宋体" w:eastAsia="宋体" w:cs="Times New Roman"/>
          <w:color w:val="auto"/>
          <w:sz w:val="24"/>
          <w:szCs w:val="24"/>
          <w:lang w:val="en-US" w:eastAsia="zh-CN"/>
        </w:rPr>
        <w:t>设计</w:t>
      </w:r>
      <w:r>
        <w:rPr>
          <w:rFonts w:hint="eastAsia" w:ascii="宋体" w:hAnsi="宋体" w:eastAsia="宋体" w:cs="Times New Roman"/>
          <w:color w:val="auto"/>
          <w:sz w:val="24"/>
          <w:szCs w:val="24"/>
        </w:rPr>
        <w:t>、园林</w:t>
      </w:r>
      <w:r>
        <w:rPr>
          <w:rFonts w:hint="eastAsia" w:ascii="宋体" w:hAnsi="宋体" w:eastAsia="宋体" w:cs="Times New Roman"/>
          <w:color w:val="auto"/>
          <w:sz w:val="24"/>
          <w:szCs w:val="24"/>
          <w:lang w:val="en-US" w:eastAsia="zh-CN"/>
        </w:rPr>
        <w:t>景观</w:t>
      </w:r>
      <w:r>
        <w:rPr>
          <w:rFonts w:hint="eastAsia" w:ascii="宋体" w:hAnsi="宋体" w:eastAsia="宋体" w:cs="Times New Roman"/>
          <w:color w:val="auto"/>
          <w:sz w:val="24"/>
          <w:szCs w:val="24"/>
        </w:rPr>
        <w:t>工程设计、室内外标识系统设计的方案设计、初步设计和施工图设计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含设计变更</w:t>
      </w:r>
      <w:r>
        <w:rPr>
          <w:rFonts w:hint="eastAsia" w:ascii="宋体" w:hAnsi="宋体" w:eastAsia="宋体" w:cs="Times New Roman"/>
          <w:color w:val="auto"/>
          <w:sz w:val="24"/>
          <w:szCs w:val="24"/>
          <w:lang w:val="en-US" w:eastAsia="zh-CN"/>
        </w:rPr>
        <w:t>)，初步设计概算</w:t>
      </w:r>
      <w:r>
        <w:rPr>
          <w:rFonts w:hint="eastAsia" w:ascii="宋体" w:hAnsi="宋体" w:eastAsia="宋体" w:cs="Times New Roman"/>
          <w:color w:val="auto"/>
          <w:sz w:val="24"/>
          <w:szCs w:val="24"/>
        </w:rPr>
        <w:t>等。</w:t>
      </w:r>
    </w:p>
    <w:p w14:paraId="77896A7A">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概算编制：以施工图图纸编制项目</w:t>
      </w:r>
      <w:r>
        <w:rPr>
          <w:rFonts w:hint="eastAsia" w:ascii="宋体" w:hAnsi="宋体" w:eastAsia="宋体" w:cs="Times New Roman"/>
          <w:color w:val="auto"/>
          <w:sz w:val="24"/>
          <w:szCs w:val="24"/>
          <w:lang w:val="en-US" w:eastAsia="zh-CN"/>
        </w:rPr>
        <w:t>整体</w:t>
      </w:r>
      <w:r>
        <w:rPr>
          <w:rFonts w:hint="eastAsia" w:ascii="宋体" w:hAnsi="宋体" w:eastAsia="宋体" w:cs="Times New Roman"/>
          <w:color w:val="auto"/>
          <w:sz w:val="24"/>
          <w:szCs w:val="24"/>
        </w:rPr>
        <w:t>概算，需达到财政评审深度要求。</w:t>
      </w:r>
    </w:p>
    <w:p w14:paraId="69E08395">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施工阶段的现场服务：根据工程建设进展情况和招标人的要求提供现场服务，及时派出各专业工程师解决工程中涉及到的设计问题。</w:t>
      </w:r>
    </w:p>
    <w:p w14:paraId="400558D8">
      <w:pPr>
        <w:pStyle w:val="67"/>
        <w:numPr>
          <w:ilvl w:val="0"/>
          <w:numId w:val="12"/>
        </w:numPr>
        <w:ind w:left="0" w:firstLine="516" w:firstLineChars="215"/>
        <w:rPr>
          <w:rFonts w:ascii="宋体" w:hAnsi="宋体" w:eastAsia="宋体"/>
          <w:color w:val="auto"/>
          <w:sz w:val="24"/>
          <w:szCs w:val="24"/>
          <w:shd w:val="clear" w:color="auto" w:fill="auto"/>
        </w:rPr>
      </w:pPr>
      <w:r>
        <w:rPr>
          <w:rFonts w:hint="eastAsia" w:ascii="宋体" w:hAnsi="宋体" w:eastAsia="宋体" w:cs="Times New Roman"/>
          <w:color w:val="auto"/>
          <w:sz w:val="24"/>
          <w:szCs w:val="24"/>
        </w:rPr>
        <w:t>相关配合服务：主要包括报审报建配合服务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提供所需图纸及说明等，包括不限于项目的规划报建</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含技术审查</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、各专项报建、装配式建筑预评价、初步设计审查、概预算评审、消防审查、施工图审查等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、招标配合服务、项目设备</w:t>
      </w:r>
      <w:r>
        <w:rPr>
          <w:rFonts w:hint="eastAsia" w:ascii="宋体" w:hAnsi="宋体" w:eastAsia="宋体" w:cs="Times New Roman"/>
          <w:color w:val="auto"/>
          <w:sz w:val="24"/>
          <w:szCs w:val="24"/>
          <w:lang w:val="en-US" w:eastAsia="zh-CN"/>
        </w:rPr>
        <w:t>选</w:t>
      </w:r>
      <w:r>
        <w:rPr>
          <w:rFonts w:hint="eastAsia" w:ascii="宋体" w:hAnsi="宋体" w:eastAsia="宋体" w:cs="Times New Roman"/>
          <w:color w:val="auto"/>
          <w:sz w:val="24"/>
          <w:szCs w:val="24"/>
        </w:rPr>
        <w:t>型配合服务、工程结</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决</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算配合服务、保修阶段的服务等，服务期至上述工作完成为止。</w:t>
      </w:r>
    </w:p>
    <w:p w14:paraId="528C5053">
      <w:pPr>
        <w:pStyle w:val="67"/>
        <w:numPr>
          <w:ilvl w:val="0"/>
          <w:numId w:val="12"/>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各阶段设计文件深度要求必须满足《建筑工程设计文件编制深度规定》的要求，各专业还应该满足各专业工程设计文件编制深度规范或规定的要求。各单体在方案、概算、竣工阶段要有单体的经济指标表。</w:t>
      </w:r>
    </w:p>
    <w:p w14:paraId="2CA7540B">
      <w:pPr>
        <w:pStyle w:val="4"/>
        <w:numPr>
          <w:ilvl w:val="0"/>
          <w:numId w:val="11"/>
        </w:numPr>
        <w:spacing w:before="156" w:after="156"/>
        <w:ind w:firstLine="426"/>
        <w:rPr>
          <w:rFonts w:hint="eastAsia" w:ascii="宋体" w:hAnsi="宋体" w:eastAsia="宋体"/>
          <w:color w:val="auto"/>
          <w:sz w:val="28"/>
          <w:szCs w:val="21"/>
          <w:shd w:val="clear"/>
        </w:rPr>
      </w:pPr>
      <w:r>
        <w:rPr>
          <w:rFonts w:hint="eastAsia" w:ascii="宋体" w:hAnsi="宋体" w:eastAsia="宋体"/>
          <w:color w:val="auto"/>
          <w:sz w:val="28"/>
          <w:szCs w:val="21"/>
          <w:shd w:val="clear"/>
          <w:lang w:eastAsia="zh-CN"/>
        </w:rPr>
        <w:t>项目建设过程中涉及的相关评估、评价、专项方案编制：交通影响评价、洪涝安全评估、水土保持方案编制、地质灾害危险性评估、海绵城市建设效果评估（以上工作可委托具有相关资质的第三方完成）。</w:t>
      </w:r>
    </w:p>
    <w:bookmarkEnd w:id="50"/>
    <w:bookmarkEnd w:id="51"/>
    <w:p w14:paraId="5E12CCA5">
      <w:pPr>
        <w:pStyle w:val="4"/>
        <w:numPr>
          <w:ilvl w:val="0"/>
          <w:numId w:val="11"/>
        </w:numPr>
        <w:spacing w:before="156" w:after="156"/>
        <w:ind w:firstLine="426"/>
        <w:rPr>
          <w:rFonts w:hint="eastAsia"/>
          <w:color w:val="auto"/>
          <w:lang w:val="en-US" w:eastAsia="zh-CN"/>
        </w:rPr>
      </w:pPr>
      <w:r>
        <w:rPr>
          <w:rFonts w:hint="eastAsia"/>
          <w:color w:val="auto"/>
          <w:lang w:val="en-US" w:eastAsia="zh-CN"/>
        </w:rPr>
        <w:t>根据国家及地方政府部门最新规定规则、工作要点等要求落实项目绿色建筑、</w:t>
      </w:r>
      <w:r>
        <w:rPr>
          <w:rFonts w:hint="eastAsia"/>
          <w:color w:val="auto"/>
        </w:rPr>
        <w:t>装配式建筑</w:t>
      </w:r>
      <w:r>
        <w:rPr>
          <w:rFonts w:hint="eastAsia"/>
          <w:color w:val="auto"/>
          <w:lang w:eastAsia="zh-CN"/>
        </w:rPr>
        <w:t>、</w:t>
      </w:r>
      <w:r>
        <w:rPr>
          <w:rFonts w:hint="eastAsia"/>
          <w:color w:val="auto"/>
        </w:rPr>
        <w:t>装配</w:t>
      </w:r>
      <w:r>
        <w:rPr>
          <w:rFonts w:hint="eastAsia"/>
          <w:color w:val="auto"/>
          <w:lang w:val="en-US" w:eastAsia="zh-CN"/>
        </w:rPr>
        <w:t>化装修、</w:t>
      </w:r>
      <w:r>
        <w:rPr>
          <w:rFonts w:hint="eastAsia"/>
          <w:color w:val="auto"/>
        </w:rPr>
        <w:t>海绵城市</w:t>
      </w:r>
      <w:r>
        <w:rPr>
          <w:rFonts w:hint="eastAsia"/>
          <w:color w:val="auto"/>
          <w:lang w:eastAsia="zh-CN"/>
        </w:rPr>
        <w:t>、</w:t>
      </w:r>
      <w:r>
        <w:rPr>
          <w:rFonts w:hint="eastAsia"/>
          <w:color w:val="auto"/>
          <w:lang w:val="en-US" w:eastAsia="zh-CN"/>
        </w:rPr>
        <w:t>BIM等工程的咨询及设计。</w:t>
      </w:r>
    </w:p>
    <w:p w14:paraId="4E5D627F">
      <w:pPr>
        <w:pStyle w:val="4"/>
        <w:numPr>
          <w:ilvl w:val="0"/>
          <w:numId w:val="11"/>
        </w:numPr>
        <w:spacing w:before="156" w:after="156"/>
        <w:ind w:firstLine="426"/>
        <w:rPr>
          <w:rFonts w:hint="default"/>
          <w:color w:val="auto"/>
          <w:lang w:val="en-US" w:eastAsia="zh-CN"/>
        </w:rPr>
      </w:pPr>
      <w:r>
        <w:rPr>
          <w:rFonts w:hint="eastAsia" w:ascii="宋体" w:hAnsi="宋体" w:eastAsia="宋体" w:cs="Times New Roman"/>
          <w:color w:val="auto"/>
          <w:sz w:val="28"/>
          <w:u w:val="none"/>
        </w:rPr>
        <w:t>缺陷责任期的项目全过程勘察设计。</w:t>
      </w:r>
    </w:p>
    <w:p w14:paraId="2D0017F6">
      <w:pPr>
        <w:pStyle w:val="3"/>
        <w:numPr>
          <w:ilvl w:val="0"/>
          <w:numId w:val="13"/>
        </w:numPr>
        <w:spacing w:before="120" w:after="120" w:line="360" w:lineRule="auto"/>
        <w:ind w:left="0" w:firstLine="0"/>
        <w:rPr>
          <w:rFonts w:ascii="宋体" w:hAnsi="宋体"/>
          <w:color w:val="auto"/>
        </w:rPr>
      </w:pPr>
      <w:bookmarkStart w:id="52" w:name="_Toc26959"/>
      <w:bookmarkStart w:id="53" w:name="_Toc462255832"/>
      <w:bookmarkStart w:id="54" w:name="_Toc25333"/>
      <w:r>
        <w:rPr>
          <w:rFonts w:hint="eastAsia" w:ascii="宋体" w:hAnsi="宋体"/>
          <w:color w:val="auto"/>
        </w:rPr>
        <w:t>建设用地现状情况</w:t>
      </w:r>
      <w:bookmarkEnd w:id="52"/>
      <w:bookmarkEnd w:id="53"/>
      <w:bookmarkEnd w:id="54"/>
    </w:p>
    <w:p w14:paraId="067AFBC0">
      <w:pPr>
        <w:pStyle w:val="67"/>
        <w:numPr>
          <w:ilvl w:val="0"/>
          <w:numId w:val="14"/>
        </w:numPr>
        <w:spacing w:before="240" w:after="120"/>
        <w:ind w:left="0" w:firstLine="425" w:firstLineChars="152"/>
        <w:outlineLvl w:val="2"/>
        <w:rPr>
          <w:rFonts w:ascii="宋体" w:hAnsi="宋体" w:eastAsia="宋体" w:cs="黑体"/>
          <w:bCs/>
          <w:color w:val="auto"/>
          <w:szCs w:val="21"/>
        </w:rPr>
      </w:pPr>
      <w:bookmarkStart w:id="55" w:name="_Toc462255917"/>
      <w:bookmarkStart w:id="56" w:name="_Toc462255833"/>
      <w:bookmarkStart w:id="57" w:name="_Toc28893"/>
      <w:r>
        <w:rPr>
          <w:rFonts w:hint="eastAsia" w:ascii="宋体" w:hAnsi="宋体" w:eastAsia="宋体" w:cs="黑体"/>
          <w:bCs/>
          <w:color w:val="auto"/>
          <w:szCs w:val="21"/>
        </w:rPr>
        <w:t>自然条件</w:t>
      </w:r>
      <w:bookmarkEnd w:id="55"/>
      <w:bookmarkEnd w:id="56"/>
      <w:bookmarkEnd w:id="57"/>
    </w:p>
    <w:p w14:paraId="0F19CFD1">
      <w:pPr>
        <w:ind w:firstLine="480" w:firstLineChars="200"/>
        <w:rPr>
          <w:rFonts w:hint="eastAsia" w:ascii="宋体" w:hAnsi="宋体"/>
          <w:color w:val="auto"/>
          <w:sz w:val="24"/>
          <w:szCs w:val="21"/>
        </w:rPr>
      </w:pPr>
      <w:r>
        <w:rPr>
          <w:rFonts w:hint="eastAsia" w:ascii="宋体" w:hAnsi="宋体"/>
          <w:color w:val="auto"/>
          <w:sz w:val="24"/>
          <w:szCs w:val="21"/>
        </w:rPr>
        <w:t>1.地理位置</w:t>
      </w:r>
    </w:p>
    <w:p w14:paraId="62283362">
      <w:pPr>
        <w:ind w:firstLine="480" w:firstLineChars="200"/>
        <w:jc w:val="left"/>
        <w:rPr>
          <w:rFonts w:hint="eastAsia" w:eastAsia="宋体"/>
          <w:color w:val="auto"/>
          <w:sz w:val="24"/>
          <w:lang w:eastAsia="zh-CN"/>
        </w:rPr>
      </w:pPr>
      <w:r>
        <w:rPr>
          <w:rFonts w:hint="eastAsia" w:ascii="宋体" w:hAnsi="宋体"/>
          <w:color w:val="auto"/>
          <w:sz w:val="24"/>
          <w:szCs w:val="21"/>
        </w:rPr>
        <w:t>项目建设地点位于</w:t>
      </w:r>
      <w:r>
        <w:rPr>
          <w:rFonts w:hint="eastAsia"/>
          <w:color w:val="auto"/>
          <w:sz w:val="24"/>
          <w:szCs w:val="24"/>
        </w:rPr>
        <w:t>永宁街永贤路</w:t>
      </w:r>
      <w:r>
        <w:rPr>
          <w:rFonts w:hint="eastAsia"/>
          <w:color w:val="auto"/>
          <w:sz w:val="24"/>
          <w:szCs w:val="24"/>
          <w:lang w:eastAsia="zh-CN"/>
        </w:rPr>
        <w:t>西侧</w:t>
      </w:r>
      <w:r>
        <w:rPr>
          <w:rFonts w:hint="eastAsia" w:ascii="宋体" w:hAnsi="宋体"/>
          <w:color w:val="auto"/>
          <w:sz w:val="24"/>
          <w:szCs w:val="21"/>
        </w:rPr>
        <w:t>，对外交通</w:t>
      </w:r>
      <w:r>
        <w:rPr>
          <w:rFonts w:hint="eastAsia" w:ascii="宋体" w:hAnsi="宋体"/>
          <w:color w:val="auto"/>
          <w:sz w:val="24"/>
          <w:szCs w:val="21"/>
          <w:lang w:eastAsia="zh-CN"/>
        </w:rPr>
        <w:t>较为</w:t>
      </w:r>
      <w:r>
        <w:rPr>
          <w:rFonts w:hint="eastAsia" w:ascii="宋体" w:hAnsi="宋体"/>
          <w:color w:val="auto"/>
          <w:sz w:val="24"/>
          <w:szCs w:val="21"/>
        </w:rPr>
        <w:t>便利，周边交通较为完善。</w:t>
      </w:r>
    </w:p>
    <w:p w14:paraId="208F39E1">
      <w:pPr>
        <w:ind w:firstLine="0" w:firstLineChars="0"/>
        <w:jc w:val="center"/>
        <w:rPr>
          <w:rFonts w:hint="eastAsia" w:eastAsia="宋体"/>
          <w:color w:val="auto"/>
          <w:sz w:val="24"/>
          <w:lang w:eastAsia="zh-CN"/>
        </w:rPr>
      </w:pPr>
      <w:r>
        <w:rPr>
          <w:rFonts w:hint="eastAsia" w:eastAsia="宋体"/>
          <w:color w:val="auto"/>
          <w:sz w:val="24"/>
          <w:lang w:eastAsia="zh-CN"/>
        </w:rPr>
        <w:drawing>
          <wp:inline distT="0" distB="0" distL="114300" distR="114300">
            <wp:extent cx="4043045" cy="5849620"/>
            <wp:effectExtent l="0" t="0" r="14605" b="17780"/>
            <wp:docPr id="3" name="图片 3" descr="微信图片_2025092512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25121051"/>
                    <pic:cNvPicPr>
                      <a:picLocks noChangeAspect="1"/>
                    </pic:cNvPicPr>
                  </pic:nvPicPr>
                  <pic:blipFill>
                    <a:blip r:embed="rId11"/>
                    <a:srcRect t="698" r="120"/>
                    <a:stretch>
                      <a:fillRect/>
                    </a:stretch>
                  </pic:blipFill>
                  <pic:spPr>
                    <a:xfrm>
                      <a:off x="0" y="0"/>
                      <a:ext cx="4043045" cy="5849620"/>
                    </a:xfrm>
                    <a:prstGeom prst="rect">
                      <a:avLst/>
                    </a:prstGeom>
                  </pic:spPr>
                </pic:pic>
              </a:graphicData>
            </a:graphic>
          </wp:inline>
        </w:drawing>
      </w:r>
    </w:p>
    <w:p w14:paraId="53D48CA4">
      <w:pPr>
        <w:ind w:firstLine="0" w:firstLineChars="0"/>
        <w:jc w:val="center"/>
        <w:rPr>
          <w:rFonts w:hint="eastAsia" w:eastAsia="宋体"/>
          <w:color w:val="auto"/>
          <w:sz w:val="24"/>
          <w:lang w:eastAsia="zh-CN"/>
        </w:rPr>
      </w:pPr>
      <w:r>
        <w:rPr>
          <w:rFonts w:hint="eastAsia" w:eastAsia="宋体"/>
          <w:color w:val="auto"/>
          <w:sz w:val="24"/>
          <w:lang w:eastAsia="zh-CN"/>
        </w:rPr>
        <w:t>学校现状总平面图</w:t>
      </w:r>
    </w:p>
    <w:p w14:paraId="045F34F7">
      <w:pPr>
        <w:ind w:firstLine="0" w:firstLineChars="0"/>
        <w:jc w:val="center"/>
        <w:rPr>
          <w:rFonts w:hint="eastAsia" w:eastAsia="宋体"/>
          <w:color w:val="auto"/>
          <w:sz w:val="24"/>
          <w:lang w:eastAsia="zh-CN"/>
        </w:rPr>
      </w:pPr>
      <w:r>
        <w:rPr>
          <w:rFonts w:hint="eastAsia" w:eastAsia="宋体"/>
          <w:color w:val="auto"/>
          <w:sz w:val="24"/>
          <w:lang w:eastAsia="zh-CN"/>
        </w:rPr>
        <w:drawing>
          <wp:inline distT="0" distB="0" distL="114300" distR="114300">
            <wp:extent cx="4979035" cy="5859145"/>
            <wp:effectExtent l="0" t="0" r="12065" b="8255"/>
            <wp:docPr id="5" name="图片 5" descr="2345截图2025090110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45截图20250901103134"/>
                    <pic:cNvPicPr>
                      <a:picLocks noChangeAspect="1"/>
                    </pic:cNvPicPr>
                  </pic:nvPicPr>
                  <pic:blipFill>
                    <a:blip r:embed="rId12"/>
                    <a:srcRect t="7872" r="204"/>
                    <a:stretch>
                      <a:fillRect/>
                    </a:stretch>
                  </pic:blipFill>
                  <pic:spPr>
                    <a:xfrm>
                      <a:off x="0" y="0"/>
                      <a:ext cx="4979035" cy="5859145"/>
                    </a:xfrm>
                    <a:prstGeom prst="rect">
                      <a:avLst/>
                    </a:prstGeom>
                  </pic:spPr>
                </pic:pic>
              </a:graphicData>
            </a:graphic>
          </wp:inline>
        </w:drawing>
      </w:r>
    </w:p>
    <w:p w14:paraId="210000F8">
      <w:pPr>
        <w:ind w:firstLine="0" w:firstLineChars="0"/>
        <w:jc w:val="center"/>
        <w:rPr>
          <w:rFonts w:hint="eastAsia" w:eastAsia="宋体"/>
          <w:color w:val="auto"/>
          <w:sz w:val="24"/>
          <w:lang w:eastAsia="zh-CN"/>
        </w:rPr>
      </w:pPr>
      <w:r>
        <w:rPr>
          <w:rFonts w:hint="eastAsia"/>
          <w:color w:val="auto"/>
          <w:sz w:val="24"/>
          <w:lang w:eastAsia="zh-CN"/>
        </w:rPr>
        <w:t>建设范围</w:t>
      </w:r>
    </w:p>
    <w:p w14:paraId="2B2E8675">
      <w:pPr>
        <w:ind w:firstLine="0" w:firstLineChars="0"/>
        <w:jc w:val="center"/>
        <w:rPr>
          <w:rFonts w:hint="eastAsia" w:eastAsia="宋体"/>
          <w:color w:val="auto"/>
          <w:sz w:val="24"/>
          <w:lang w:val="en-US" w:eastAsia="zh-CN"/>
        </w:rPr>
      </w:pPr>
    </w:p>
    <w:p w14:paraId="11DB6E0C">
      <w:pPr>
        <w:pStyle w:val="67"/>
        <w:numPr>
          <w:ilvl w:val="0"/>
          <w:numId w:val="15"/>
        </w:numPr>
        <w:ind w:left="0" w:firstLine="480" w:firstLineChars="0"/>
        <w:outlineLvl w:val="3"/>
        <w:rPr>
          <w:rFonts w:ascii="宋体" w:hAnsi="宋体" w:eastAsia="宋体"/>
          <w:color w:val="auto"/>
          <w:kern w:val="28"/>
          <w:sz w:val="24"/>
          <w:szCs w:val="24"/>
        </w:rPr>
      </w:pPr>
      <w:r>
        <w:rPr>
          <w:rFonts w:hint="eastAsia" w:ascii="宋体" w:hAnsi="宋体" w:eastAsia="宋体"/>
          <w:color w:val="auto"/>
          <w:kern w:val="28"/>
          <w:sz w:val="24"/>
          <w:szCs w:val="24"/>
        </w:rPr>
        <w:t>地形地貌及区域地质</w:t>
      </w:r>
    </w:p>
    <w:p w14:paraId="64C4B703">
      <w:pPr>
        <w:ind w:firstLine="480" w:firstLineChars="200"/>
        <w:rPr>
          <w:rFonts w:hint="eastAsia" w:ascii="宋体" w:hAnsi="宋体"/>
          <w:color w:val="auto"/>
          <w:sz w:val="24"/>
          <w:szCs w:val="21"/>
        </w:rPr>
      </w:pPr>
      <w:r>
        <w:rPr>
          <w:rFonts w:hint="eastAsia" w:ascii="宋体" w:hAnsi="宋体"/>
          <w:color w:val="auto"/>
          <w:sz w:val="24"/>
          <w:szCs w:val="21"/>
        </w:rPr>
        <w:t>项目拟建场址地势</w:t>
      </w:r>
      <w:r>
        <w:rPr>
          <w:rFonts w:hint="eastAsia" w:ascii="宋体" w:hAnsi="宋体"/>
          <w:color w:val="auto"/>
          <w:sz w:val="24"/>
          <w:szCs w:val="21"/>
          <w:lang w:eastAsia="zh-CN"/>
        </w:rPr>
        <w:t>高差较大</w:t>
      </w:r>
      <w:r>
        <w:rPr>
          <w:rFonts w:hint="eastAsia" w:ascii="宋体" w:hAnsi="宋体"/>
          <w:color w:val="auto"/>
          <w:sz w:val="24"/>
          <w:szCs w:val="21"/>
        </w:rPr>
        <w:t>，空气清新、</w:t>
      </w:r>
      <w:r>
        <w:rPr>
          <w:rFonts w:hint="eastAsia" w:ascii="宋体" w:hAnsi="宋体"/>
          <w:color w:val="auto"/>
          <w:sz w:val="24"/>
          <w:szCs w:val="21"/>
          <w:lang w:eastAsia="zh-CN"/>
        </w:rPr>
        <w:t>绿化丰茂、</w:t>
      </w:r>
      <w:r>
        <w:rPr>
          <w:rFonts w:hint="eastAsia" w:ascii="宋体" w:hAnsi="宋体"/>
          <w:color w:val="auto"/>
          <w:sz w:val="24"/>
          <w:szCs w:val="21"/>
        </w:rPr>
        <w:t>阳光充足、排水通畅、环境适宜、公用设施比较完善、远离污染源的地段。周围</w:t>
      </w:r>
      <w:r>
        <w:rPr>
          <w:rFonts w:hint="eastAsia" w:ascii="宋体" w:hAnsi="宋体"/>
          <w:color w:val="auto"/>
          <w:sz w:val="24"/>
          <w:szCs w:val="21"/>
          <w:lang w:eastAsia="zh-CN"/>
        </w:rPr>
        <w:t>交通较为便捷，临</w:t>
      </w:r>
      <w:r>
        <w:rPr>
          <w:rFonts w:hint="eastAsia"/>
          <w:color w:val="auto"/>
          <w:sz w:val="24"/>
          <w:szCs w:val="24"/>
        </w:rPr>
        <w:t>永宁街永贤路</w:t>
      </w:r>
      <w:r>
        <w:rPr>
          <w:rFonts w:hint="eastAsia"/>
          <w:color w:val="auto"/>
          <w:sz w:val="24"/>
          <w:szCs w:val="24"/>
          <w:lang w:eastAsia="zh-CN"/>
        </w:rPr>
        <w:t>西侧</w:t>
      </w:r>
      <w:r>
        <w:rPr>
          <w:rFonts w:hint="eastAsia" w:ascii="宋体" w:hAnsi="宋体"/>
          <w:color w:val="auto"/>
          <w:sz w:val="24"/>
          <w:szCs w:val="21"/>
          <w:lang w:eastAsia="zh-CN"/>
        </w:rPr>
        <w:t>；</w:t>
      </w:r>
      <w:r>
        <w:rPr>
          <w:rFonts w:hint="eastAsia" w:ascii="宋体" w:hAnsi="宋体"/>
          <w:color w:val="auto"/>
          <w:sz w:val="24"/>
          <w:szCs w:val="21"/>
        </w:rPr>
        <w:t>无毗邻集贸市场、公共娱乐场所、医院传染病房、太平间、公安看守所等不利于学生学习和身心健康，以及危及学生安全的场所；也没有大型污染严重的厂矿企业，无重大的环境制约因素。</w:t>
      </w:r>
    </w:p>
    <w:p w14:paraId="0EF257BE">
      <w:pPr>
        <w:pStyle w:val="67"/>
        <w:numPr>
          <w:ilvl w:val="0"/>
          <w:numId w:val="14"/>
        </w:numPr>
        <w:spacing w:before="240" w:after="120"/>
        <w:ind w:left="0" w:firstLine="425" w:firstLineChars="152"/>
        <w:outlineLvl w:val="2"/>
        <w:rPr>
          <w:rFonts w:ascii="宋体" w:hAnsi="宋体" w:eastAsia="宋体" w:cs="黑体"/>
          <w:bCs/>
          <w:color w:val="auto"/>
          <w:szCs w:val="21"/>
        </w:rPr>
      </w:pPr>
      <w:bookmarkStart w:id="58" w:name="_Toc13689"/>
      <w:r>
        <w:rPr>
          <w:rFonts w:hint="eastAsia" w:ascii="宋体" w:hAnsi="宋体" w:eastAsia="宋体" w:cs="黑体"/>
          <w:bCs/>
          <w:color w:val="auto"/>
          <w:szCs w:val="21"/>
        </w:rPr>
        <w:t>气候条件</w:t>
      </w:r>
      <w:bookmarkEnd w:id="58"/>
    </w:p>
    <w:p w14:paraId="2D69B7BA">
      <w:pPr>
        <w:ind w:firstLine="480" w:firstLineChars="200"/>
        <w:rPr>
          <w:rFonts w:ascii="宋体" w:hAnsi="宋体"/>
          <w:color w:val="auto"/>
          <w:sz w:val="24"/>
          <w:szCs w:val="21"/>
        </w:rPr>
      </w:pPr>
      <w:r>
        <w:rPr>
          <w:rFonts w:hint="eastAsia" w:ascii="宋体" w:hAnsi="宋体"/>
          <w:color w:val="auto"/>
          <w:sz w:val="24"/>
          <w:szCs w:val="21"/>
        </w:rPr>
        <w:t>增城区属南亚热带海洋性季风气候，北回归线经过增城北部，特点是气温高、雨量充沛、霜日少、光照充足，全年都可栽培作物。但因季风交替迟早及强弱不同，气候多变。受地势影响，北部山区与南部平原气候有差异。一年四季的气候特征：春季，从立春日起，阴雨连绵空气潮湿，温度较低，一般是</w:t>
      </w:r>
      <w:r>
        <w:rPr>
          <w:rFonts w:ascii="宋体" w:hAnsi="宋体"/>
          <w:color w:val="auto"/>
          <w:sz w:val="24"/>
          <w:szCs w:val="21"/>
        </w:rPr>
        <w:t>12.7</w:t>
      </w:r>
      <w:r>
        <w:rPr>
          <w:rFonts w:hint="eastAsia" w:ascii="宋体" w:hAnsi="宋体"/>
          <w:color w:val="auto"/>
          <w:sz w:val="24"/>
          <w:szCs w:val="21"/>
        </w:rPr>
        <w:t>~</w:t>
      </w:r>
      <w:r>
        <w:rPr>
          <w:rFonts w:ascii="宋体" w:hAnsi="宋体"/>
          <w:color w:val="auto"/>
          <w:sz w:val="24"/>
          <w:szCs w:val="21"/>
        </w:rPr>
        <w:t>21.7</w:t>
      </w:r>
      <w:r>
        <w:rPr>
          <w:rFonts w:hint="eastAsia" w:ascii="宋体" w:hAnsi="宋体"/>
          <w:color w:val="auto"/>
          <w:sz w:val="24"/>
          <w:szCs w:val="21"/>
        </w:rPr>
        <w:t>℃之间。夏季，从</w:t>
      </w:r>
      <w:r>
        <w:rPr>
          <w:rFonts w:ascii="宋体" w:hAnsi="宋体"/>
          <w:color w:val="auto"/>
          <w:sz w:val="24"/>
          <w:szCs w:val="21"/>
        </w:rPr>
        <w:t>4</w:t>
      </w:r>
      <w:r>
        <w:rPr>
          <w:rFonts w:hint="eastAsia" w:ascii="宋体" w:hAnsi="宋体"/>
          <w:color w:val="auto"/>
          <w:sz w:val="24"/>
          <w:szCs w:val="21"/>
        </w:rPr>
        <w:t>月中旬始，气温上升，最高气温为</w:t>
      </w:r>
      <w:r>
        <w:rPr>
          <w:rFonts w:ascii="宋体" w:hAnsi="宋体"/>
          <w:color w:val="auto"/>
          <w:sz w:val="24"/>
          <w:szCs w:val="21"/>
        </w:rPr>
        <w:t>28.5</w:t>
      </w:r>
      <w:r>
        <w:rPr>
          <w:rFonts w:hint="eastAsia" w:ascii="宋体" w:hAnsi="宋体"/>
          <w:color w:val="auto"/>
          <w:sz w:val="24"/>
          <w:szCs w:val="21"/>
        </w:rPr>
        <w:t>℃，天气常受副热带高压控制，空气闷热；</w:t>
      </w:r>
      <w:r>
        <w:rPr>
          <w:rFonts w:ascii="宋体" w:hAnsi="宋体"/>
          <w:color w:val="auto"/>
          <w:sz w:val="24"/>
          <w:szCs w:val="21"/>
        </w:rPr>
        <w:t>4~6</w:t>
      </w:r>
      <w:r>
        <w:rPr>
          <w:rFonts w:hint="eastAsia" w:ascii="宋体" w:hAnsi="宋体"/>
          <w:color w:val="auto"/>
          <w:sz w:val="24"/>
          <w:szCs w:val="21"/>
        </w:rPr>
        <w:t>月份多锋面雨，</w:t>
      </w:r>
      <w:r>
        <w:rPr>
          <w:rFonts w:ascii="宋体" w:hAnsi="宋体"/>
          <w:color w:val="auto"/>
          <w:sz w:val="24"/>
          <w:szCs w:val="21"/>
        </w:rPr>
        <w:t>7~9</w:t>
      </w:r>
      <w:r>
        <w:rPr>
          <w:rFonts w:hint="eastAsia" w:ascii="宋体" w:hAnsi="宋体"/>
          <w:color w:val="auto"/>
          <w:sz w:val="24"/>
          <w:szCs w:val="21"/>
        </w:rPr>
        <w:t>月份多台风雨；常发生洪涝灾害。秋季，从</w:t>
      </w:r>
      <w:r>
        <w:rPr>
          <w:rFonts w:ascii="宋体" w:hAnsi="宋体"/>
          <w:color w:val="auto"/>
          <w:sz w:val="24"/>
          <w:szCs w:val="21"/>
        </w:rPr>
        <w:t>10</w:t>
      </w:r>
      <w:r>
        <w:rPr>
          <w:rFonts w:hint="eastAsia" w:ascii="宋体" w:hAnsi="宋体"/>
          <w:color w:val="auto"/>
          <w:sz w:val="24"/>
          <w:szCs w:val="21"/>
        </w:rPr>
        <w:t>月下旬始，受北方干冷空气南下影响，气温下降，干旱少雨，但天气凉爽；</w:t>
      </w:r>
      <w:r>
        <w:rPr>
          <w:rFonts w:ascii="宋体" w:hAnsi="宋体"/>
          <w:color w:val="auto"/>
          <w:sz w:val="24"/>
          <w:szCs w:val="21"/>
        </w:rPr>
        <w:t>12~1</w:t>
      </w:r>
      <w:r>
        <w:rPr>
          <w:rFonts w:hint="eastAsia" w:ascii="宋体" w:hAnsi="宋体"/>
          <w:color w:val="auto"/>
          <w:sz w:val="24"/>
          <w:szCs w:val="21"/>
        </w:rPr>
        <w:t>月，常有寒潮侵袭，偶有霜天。冬季，境内无气候学上的冬季，但人们仍将气温较低的</w:t>
      </w:r>
      <w:r>
        <w:rPr>
          <w:rFonts w:ascii="宋体" w:hAnsi="宋体"/>
          <w:color w:val="auto"/>
          <w:sz w:val="24"/>
          <w:szCs w:val="21"/>
        </w:rPr>
        <w:t>11~1</w:t>
      </w:r>
      <w:r>
        <w:rPr>
          <w:rFonts w:hint="eastAsia" w:ascii="宋体" w:hAnsi="宋体"/>
          <w:color w:val="auto"/>
          <w:sz w:val="24"/>
          <w:szCs w:val="21"/>
        </w:rPr>
        <w:t>月称为冬季。多年平均气压为</w:t>
      </w:r>
      <w:r>
        <w:rPr>
          <w:rFonts w:ascii="宋体" w:hAnsi="宋体"/>
          <w:color w:val="auto"/>
          <w:sz w:val="24"/>
          <w:szCs w:val="21"/>
        </w:rPr>
        <w:t>1012.2</w:t>
      </w:r>
      <w:r>
        <w:rPr>
          <w:rFonts w:hint="eastAsia" w:ascii="宋体" w:hAnsi="宋体"/>
          <w:color w:val="auto"/>
          <w:sz w:val="24"/>
          <w:szCs w:val="21"/>
        </w:rPr>
        <w:t>毫巴，冬夏相差较大。冬季受极地高压控制，气压较高，</w:t>
      </w:r>
      <w:r>
        <w:rPr>
          <w:rFonts w:ascii="宋体" w:hAnsi="宋体"/>
          <w:color w:val="auto"/>
          <w:sz w:val="24"/>
          <w:szCs w:val="21"/>
        </w:rPr>
        <w:t>12~1</w:t>
      </w:r>
      <w:r>
        <w:rPr>
          <w:rFonts w:hint="eastAsia" w:ascii="宋体" w:hAnsi="宋体"/>
          <w:color w:val="auto"/>
          <w:sz w:val="24"/>
          <w:szCs w:val="21"/>
        </w:rPr>
        <w:t>月平均</w:t>
      </w:r>
      <w:r>
        <w:rPr>
          <w:rFonts w:ascii="宋体" w:hAnsi="宋体"/>
          <w:color w:val="auto"/>
          <w:sz w:val="24"/>
          <w:szCs w:val="21"/>
        </w:rPr>
        <w:t>1020</w:t>
      </w:r>
      <w:r>
        <w:rPr>
          <w:rFonts w:hint="eastAsia" w:ascii="宋体" w:hAnsi="宋体"/>
          <w:color w:val="auto"/>
          <w:sz w:val="24"/>
          <w:szCs w:val="21"/>
        </w:rPr>
        <w:t>毫巴左右；夏季受热带气旋影响，气压较低，</w:t>
      </w:r>
      <w:r>
        <w:rPr>
          <w:rFonts w:ascii="宋体" w:hAnsi="宋体"/>
          <w:color w:val="auto"/>
          <w:sz w:val="24"/>
          <w:szCs w:val="21"/>
        </w:rPr>
        <w:t>7~8</w:t>
      </w:r>
      <w:r>
        <w:rPr>
          <w:rFonts w:hint="eastAsia" w:ascii="宋体" w:hAnsi="宋体"/>
          <w:color w:val="auto"/>
          <w:sz w:val="24"/>
          <w:szCs w:val="21"/>
        </w:rPr>
        <w:t>月平均在</w:t>
      </w:r>
      <w:r>
        <w:rPr>
          <w:rFonts w:ascii="宋体" w:hAnsi="宋体"/>
          <w:color w:val="auto"/>
          <w:sz w:val="24"/>
          <w:szCs w:val="21"/>
        </w:rPr>
        <w:t>1003</w:t>
      </w:r>
      <w:r>
        <w:rPr>
          <w:rFonts w:hint="eastAsia" w:ascii="宋体" w:hAnsi="宋体"/>
          <w:color w:val="auto"/>
          <w:sz w:val="24"/>
          <w:szCs w:val="21"/>
        </w:rPr>
        <w:t>毫巴左右。</w:t>
      </w:r>
    </w:p>
    <w:p w14:paraId="0DD9541D">
      <w:pPr>
        <w:pStyle w:val="67"/>
        <w:numPr>
          <w:ilvl w:val="0"/>
          <w:numId w:val="14"/>
        </w:numPr>
        <w:spacing w:before="240" w:after="120"/>
        <w:ind w:left="0" w:firstLine="425" w:firstLineChars="152"/>
        <w:outlineLvl w:val="2"/>
        <w:rPr>
          <w:rFonts w:ascii="宋体" w:hAnsi="宋体" w:eastAsia="宋体" w:cs="黑体"/>
          <w:bCs/>
          <w:color w:val="auto"/>
          <w:szCs w:val="21"/>
        </w:rPr>
      </w:pPr>
      <w:bookmarkStart w:id="59" w:name="_Toc11741"/>
      <w:r>
        <w:rPr>
          <w:rFonts w:hint="eastAsia" w:ascii="宋体" w:hAnsi="宋体" w:eastAsia="宋体" w:cs="黑体"/>
          <w:bCs/>
          <w:color w:val="auto"/>
          <w:szCs w:val="21"/>
        </w:rPr>
        <w:t>工程地质和水文地质条件</w:t>
      </w:r>
      <w:bookmarkEnd w:id="59"/>
    </w:p>
    <w:p w14:paraId="6A90880C">
      <w:pPr>
        <w:adjustRightInd w:val="0"/>
        <w:snapToGrid w:val="0"/>
        <w:ind w:firstLine="480" w:firstLineChars="200"/>
        <w:rPr>
          <w:rFonts w:ascii="宋体" w:hAnsi="宋体"/>
          <w:color w:val="auto"/>
          <w:sz w:val="24"/>
          <w:szCs w:val="21"/>
        </w:rPr>
      </w:pPr>
      <w:r>
        <w:rPr>
          <w:rFonts w:hint="eastAsia" w:ascii="宋体" w:hAnsi="宋体"/>
          <w:color w:val="auto"/>
          <w:sz w:val="24"/>
          <w:szCs w:val="21"/>
        </w:rPr>
        <w:t>具体详后续地质勘察报告。</w:t>
      </w:r>
    </w:p>
    <w:p w14:paraId="1372DA68">
      <w:pPr>
        <w:pStyle w:val="67"/>
        <w:numPr>
          <w:ilvl w:val="0"/>
          <w:numId w:val="14"/>
        </w:numPr>
        <w:ind w:left="0" w:firstLine="426" w:firstLineChars="0"/>
        <w:outlineLvl w:val="2"/>
        <w:rPr>
          <w:rFonts w:ascii="宋体" w:hAnsi="宋体" w:eastAsia="宋体" w:cs="黑体"/>
          <w:bCs/>
          <w:color w:val="auto"/>
          <w:szCs w:val="21"/>
        </w:rPr>
      </w:pPr>
      <w:bookmarkStart w:id="60" w:name="_Toc32376"/>
      <w:r>
        <w:rPr>
          <w:rFonts w:hint="eastAsia" w:ascii="宋体" w:hAnsi="宋体" w:eastAsia="宋体" w:cs="黑体"/>
          <w:bCs/>
          <w:color w:val="auto"/>
          <w:szCs w:val="21"/>
        </w:rPr>
        <w:t>交通条件</w:t>
      </w:r>
      <w:bookmarkEnd w:id="60"/>
    </w:p>
    <w:p w14:paraId="0486C066">
      <w:pPr>
        <w:adjustRightInd w:val="0"/>
        <w:snapToGrid w:val="0"/>
        <w:ind w:firstLine="480" w:firstLineChars="200"/>
        <w:rPr>
          <w:rFonts w:hint="eastAsia" w:ascii="宋体" w:hAnsi="宋体"/>
          <w:color w:val="auto"/>
          <w:sz w:val="24"/>
          <w:szCs w:val="21"/>
        </w:rPr>
      </w:pPr>
      <w:bookmarkStart w:id="61" w:name="_Toc10938"/>
      <w:r>
        <w:rPr>
          <w:rFonts w:hint="eastAsia" w:ascii="宋体" w:hAnsi="宋体"/>
          <w:color w:val="auto"/>
          <w:sz w:val="24"/>
          <w:szCs w:val="21"/>
        </w:rPr>
        <w:t>增城地处穗莞深港黄金走廊和广深科技创新走廊的重要节点，穗莞深城际轨道、广州地铁13号线和21号线，以及广汕客专、东北客货车外绕线等汇集增城，形成广州东部交通枢纽中心和广州新东站；广惠、广深等7条高速公路贯穿全境。30分钟可达广州中心城区，40分钟内坐拥广州、深圳两大空港和黄埔港、新塘港两大海港资源，1小时左右可达珠三角任何一个城市，形成了现代化陆运、海运、空运立体式“大交通”网络。</w:t>
      </w:r>
      <w:bookmarkEnd w:id="61"/>
    </w:p>
    <w:p w14:paraId="2C40724B">
      <w:pPr>
        <w:pStyle w:val="67"/>
        <w:ind w:left="420" w:firstLine="0" w:firstLineChars="0"/>
        <w:outlineLvl w:val="2"/>
        <w:rPr>
          <w:rFonts w:ascii="宋体" w:hAnsi="宋体" w:eastAsia="宋体" w:cs="黑体"/>
          <w:bCs/>
          <w:color w:val="auto"/>
          <w:szCs w:val="21"/>
        </w:rPr>
      </w:pPr>
      <w:bookmarkStart w:id="62" w:name="_Toc31235"/>
      <w:r>
        <w:rPr>
          <w:rFonts w:hint="eastAsia" w:ascii="宋体" w:hAnsi="宋体" w:eastAsia="宋体" w:cs="黑体"/>
          <w:bCs/>
          <w:color w:val="auto"/>
          <w:szCs w:val="21"/>
        </w:rPr>
        <w:t>（五）社会经济条件</w:t>
      </w:r>
      <w:bookmarkEnd w:id="62"/>
    </w:p>
    <w:p w14:paraId="34AF0365">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“十三五”时期，增城区主要目标任务较好完成，经济社会发展取得显著成就。</w:t>
      </w:r>
    </w:p>
    <w:p w14:paraId="3221DF88">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经济综合实力迈上新台阶。五年来，经济保持平稳健康发展。2020年地区生产总值1062.64亿元，同比增长5.1%。固定资产投资连续三年超千亿元，2020年达到1053亿元。2020年地方一般公共预算收入108亿元，地方财政收入连续三年超500亿元。2020年本外币存款余额2129亿元，年均增长13.23%；本外币贷款余额1792亿元，年均增长14.42%。五年累计完成税收收入1230亿元，年均增长8.9%。</w:t>
      </w:r>
    </w:p>
    <w:p w14:paraId="4FB4A419">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基础设施建设取得突破性进展。广州东部交通枢纽新塘站和增城南站动工建设，增城西站建成运营，三大交通枢纽格局基本形成。广州地铁13号线、21号线建成通车，穗深城际、广石铁路开通运营，北三环二期、花莞高速等6条高速公路建成通车，广汕汕铁路、新白广城际、增天高速、广汕路北绕线项目加快建设。全区高快速路及干道公路总里程2248公里,加速融入粤港澳大湾区发展。</w:t>
      </w:r>
    </w:p>
    <w:p w14:paraId="649780F3">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 三大攻坚战取得决定性成就。污染防治攻坚战成效显著，大墩、增江口2个国考断面水质达标，5条国考黑臭河涌和3条市考重点治理河涌全部消除黑臭，实现长制久清。开展污水处理提质增效行动，建成污水处理厂10座，实现污水处理规模56万吨/日，建成污水管网4453公里。空气质量达标天数比例保持90%以上，2020年达标天数比例排名全市第一，“增城蓝”刷屏朋友圈。区内贫困村贫困户全部脱贫，对口扶贫援建工作全面完成。完善防范化解重大风险工作机制，社会治理体系不断健全。</w:t>
      </w:r>
    </w:p>
    <w:p w14:paraId="32FBFE83">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 乡村振兴取得积极进展。成功创建全国休闲农业和乡村旅游示范区、省全域旅游示范区，2019年度全省乡村振兴实绩考核位列珠三角片区第1名。引进培育12家投资超亿元、面积超千亩的优质农业项目，创建5个省级现代农业产业园，建成284个干净整洁村、220个美丽宜居村、36个特色精品村。</w:t>
      </w:r>
    </w:p>
    <w:p w14:paraId="3BD41927">
      <w:pPr>
        <w:adjustRightInd w:val="0"/>
        <w:snapToGrid w:val="0"/>
        <w:ind w:firstLine="480" w:firstLineChars="200"/>
        <w:rPr>
          <w:rFonts w:hint="eastAsia" w:ascii="宋体" w:hAnsi="宋体"/>
          <w:color w:val="auto"/>
          <w:sz w:val="24"/>
          <w:szCs w:val="21"/>
        </w:rPr>
      </w:pPr>
      <w:bookmarkStart w:id="63" w:name="_Toc8948"/>
      <w:r>
        <w:rPr>
          <w:rFonts w:hint="eastAsia" w:ascii="宋体" w:hAnsi="宋体"/>
          <w:color w:val="auto"/>
          <w:sz w:val="24"/>
          <w:szCs w:val="21"/>
        </w:rPr>
        <w:t>—— 民生社会事业快速发展。投入700多亿元发展民生和各项社会事业，占地方一般公共预算支出的比重年均达到84%。引进华师附中等10家优质学校，新扩建、开办中小学校45所，新增学位7.2万个。引进8家优质医疗资源，南方医院增城分院、前海人寿广州总医院等医疗项目建成运营。办成民生实事50件，实现了“小切口、大变化”。</w:t>
      </w:r>
      <w:bookmarkEnd w:id="63"/>
    </w:p>
    <w:p w14:paraId="4ABDA090">
      <w:pPr>
        <w:pStyle w:val="67"/>
        <w:pBdr>
          <w:bottom w:val="none" w:color="auto" w:sz="0" w:space="0"/>
        </w:pBdr>
        <w:ind w:firstLine="0" w:firstLineChars="0"/>
        <w:outlineLvl w:val="2"/>
        <w:rPr>
          <w:rFonts w:ascii="宋体" w:hAnsi="宋体" w:eastAsia="宋体" w:cs="黑体"/>
          <w:bCs/>
          <w:color w:val="auto"/>
          <w:szCs w:val="21"/>
        </w:rPr>
      </w:pPr>
      <w:bookmarkStart w:id="64" w:name="_Toc12096"/>
      <w:r>
        <w:rPr>
          <w:rFonts w:hint="eastAsia" w:ascii="宋体" w:hAnsi="宋体" w:eastAsia="宋体" w:cs="黑体"/>
          <w:bCs/>
          <w:color w:val="auto"/>
          <w:szCs w:val="21"/>
        </w:rPr>
        <w:t>（六）项目周边公共设施条件</w:t>
      </w:r>
      <w:bookmarkEnd w:id="64"/>
    </w:p>
    <w:p w14:paraId="1B5841A2">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1.</w:t>
      </w:r>
      <w:r>
        <w:rPr>
          <w:rFonts w:hint="eastAsia" w:ascii="宋体" w:hAnsi="宋体" w:eastAsia="宋体"/>
          <w:color w:val="auto"/>
          <w:kern w:val="28"/>
          <w:sz w:val="24"/>
          <w:szCs w:val="24"/>
        </w:rPr>
        <w:t>供水</w:t>
      </w:r>
    </w:p>
    <w:p w14:paraId="2FA9FBAC">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校园内现有给排水系统，本项目供水水源为市政自来水，最终以行政主管部门审批为准。</w:t>
      </w:r>
    </w:p>
    <w:p w14:paraId="637C9909">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2.</w:t>
      </w:r>
      <w:r>
        <w:rPr>
          <w:rFonts w:hint="eastAsia" w:ascii="宋体" w:hAnsi="宋体" w:eastAsia="宋体"/>
          <w:color w:val="auto"/>
          <w:kern w:val="28"/>
          <w:sz w:val="24"/>
          <w:szCs w:val="24"/>
        </w:rPr>
        <w:t>排水</w:t>
      </w:r>
    </w:p>
    <w:p w14:paraId="07626323">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排水设计需满足《广州市水务管理条例》《广州市排水管理办法》《广州市建设项目雨水径流控制管理办法》《广州市海绵城市建设管理办法》等法规的要求。</w:t>
      </w:r>
    </w:p>
    <w:p w14:paraId="1F0947CC">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3.</w:t>
      </w:r>
      <w:r>
        <w:rPr>
          <w:rFonts w:hint="eastAsia" w:ascii="宋体" w:hAnsi="宋体" w:eastAsia="宋体"/>
          <w:color w:val="auto"/>
          <w:kern w:val="28"/>
          <w:sz w:val="24"/>
          <w:szCs w:val="24"/>
        </w:rPr>
        <w:t>电力</w:t>
      </w:r>
    </w:p>
    <w:p w14:paraId="3494FF32">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校园内现有供电系统，本项目供电最终以行政主管部门审批为准。</w:t>
      </w:r>
    </w:p>
    <w:p w14:paraId="30AAA697">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4.</w:t>
      </w:r>
      <w:r>
        <w:rPr>
          <w:rFonts w:ascii="宋体" w:hAnsi="宋体" w:eastAsia="宋体"/>
          <w:color w:val="auto"/>
          <w:kern w:val="28"/>
          <w:sz w:val="24"/>
          <w:szCs w:val="24"/>
        </w:rPr>
        <w:t>通信</w:t>
      </w:r>
    </w:p>
    <w:p w14:paraId="1C7D1C4A">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校园内现有通讯系统，本项目通讯系统最终以行政主管部门审批为准。</w:t>
      </w:r>
    </w:p>
    <w:p w14:paraId="6012FD7C">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5.</w:t>
      </w:r>
      <w:r>
        <w:rPr>
          <w:rFonts w:hint="eastAsia" w:ascii="宋体" w:hAnsi="宋体" w:eastAsia="宋体"/>
          <w:color w:val="auto"/>
          <w:kern w:val="28"/>
          <w:sz w:val="24"/>
          <w:szCs w:val="24"/>
        </w:rPr>
        <w:t>燃气</w:t>
      </w:r>
    </w:p>
    <w:p w14:paraId="4EE4ED46">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校园内现有通讯系统，本项目燃气最终以行政主管部门审批为准。</w:t>
      </w:r>
    </w:p>
    <w:p w14:paraId="016B7C85">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6.</w:t>
      </w:r>
      <w:r>
        <w:rPr>
          <w:rFonts w:hint="eastAsia" w:ascii="宋体" w:hAnsi="宋体" w:eastAsia="宋体"/>
          <w:color w:val="auto"/>
          <w:kern w:val="28"/>
          <w:sz w:val="24"/>
          <w:szCs w:val="24"/>
        </w:rPr>
        <w:t>交通</w:t>
      </w:r>
    </w:p>
    <w:p w14:paraId="63727D29">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项目建设地点位于</w:t>
      </w:r>
      <w:r>
        <w:rPr>
          <w:rFonts w:hint="eastAsia" w:ascii="宋体" w:hAnsi="宋体"/>
          <w:color w:val="auto"/>
          <w:sz w:val="24"/>
          <w:szCs w:val="21"/>
          <w:lang w:eastAsia="zh-CN"/>
        </w:rPr>
        <w:t>永和中学</w:t>
      </w:r>
      <w:r>
        <w:rPr>
          <w:rFonts w:hint="eastAsia" w:ascii="宋体" w:hAnsi="宋体"/>
          <w:color w:val="auto"/>
          <w:sz w:val="24"/>
          <w:szCs w:val="21"/>
        </w:rPr>
        <w:t>，</w:t>
      </w:r>
      <w:r>
        <w:rPr>
          <w:rFonts w:hint="eastAsia" w:ascii="宋体" w:hAnsi="宋体"/>
          <w:color w:val="auto"/>
          <w:sz w:val="24"/>
          <w:szCs w:val="21"/>
          <w:lang w:eastAsia="zh-CN"/>
        </w:rPr>
        <w:t>东</w:t>
      </w:r>
      <w:r>
        <w:rPr>
          <w:rFonts w:hint="eastAsia" w:ascii="宋体" w:hAnsi="宋体"/>
          <w:color w:val="auto"/>
          <w:sz w:val="24"/>
          <w:szCs w:val="21"/>
        </w:rPr>
        <w:t>侧有规划道路，对外交通便利，周边交通较为完善。</w:t>
      </w:r>
    </w:p>
    <w:p w14:paraId="25D39AED">
      <w:pPr>
        <w:widowControl/>
        <w:jc w:val="left"/>
        <w:rPr>
          <w:rFonts w:ascii="宋体" w:hAnsi="宋体"/>
          <w:b/>
          <w:bCs/>
          <w:color w:val="auto"/>
          <w:kern w:val="44"/>
          <w:sz w:val="36"/>
          <w:szCs w:val="36"/>
        </w:rPr>
      </w:pPr>
      <w:r>
        <w:rPr>
          <w:rFonts w:ascii="宋体" w:hAnsi="宋体"/>
          <w:color w:val="auto"/>
          <w:sz w:val="36"/>
          <w:szCs w:val="36"/>
        </w:rPr>
        <w:br w:type="page"/>
      </w:r>
    </w:p>
    <w:p w14:paraId="13A10990">
      <w:pPr>
        <w:pStyle w:val="2"/>
        <w:tabs>
          <w:tab w:val="left" w:pos="3570"/>
        </w:tabs>
        <w:spacing w:before="156" w:beforeLines="50" w:after="156" w:afterLines="50" w:line="360" w:lineRule="auto"/>
        <w:jc w:val="center"/>
        <w:rPr>
          <w:rFonts w:ascii="宋体" w:hAnsi="宋体"/>
          <w:color w:val="auto"/>
          <w:sz w:val="36"/>
          <w:szCs w:val="36"/>
        </w:rPr>
      </w:pPr>
      <w:bookmarkStart w:id="65" w:name="_Toc2077"/>
      <w:bookmarkStart w:id="66" w:name="_Toc462255835"/>
      <w:r>
        <w:rPr>
          <w:rFonts w:hint="eastAsia" w:ascii="宋体" w:hAnsi="宋体"/>
          <w:color w:val="auto"/>
          <w:sz w:val="36"/>
          <w:szCs w:val="36"/>
        </w:rPr>
        <w:t>第三章</w:t>
      </w:r>
      <w:r>
        <w:rPr>
          <w:rFonts w:ascii="宋体" w:hAnsi="宋体"/>
          <w:color w:val="auto"/>
          <w:sz w:val="36"/>
          <w:szCs w:val="36"/>
        </w:rPr>
        <w:t xml:space="preserve"> </w:t>
      </w:r>
      <w:r>
        <w:rPr>
          <w:rFonts w:hint="eastAsia" w:ascii="宋体" w:hAnsi="宋体"/>
          <w:color w:val="auto"/>
          <w:sz w:val="36"/>
          <w:szCs w:val="36"/>
        </w:rPr>
        <w:t>设计目标及原则</w:t>
      </w:r>
      <w:bookmarkEnd w:id="65"/>
      <w:bookmarkEnd w:id="66"/>
    </w:p>
    <w:p w14:paraId="2CDDE5B2">
      <w:pPr>
        <w:pStyle w:val="3"/>
        <w:numPr>
          <w:ilvl w:val="0"/>
          <w:numId w:val="16"/>
        </w:numPr>
        <w:spacing w:before="120" w:after="120" w:line="360" w:lineRule="auto"/>
        <w:ind w:left="0" w:firstLine="0"/>
        <w:rPr>
          <w:rFonts w:ascii="宋体" w:hAnsi="宋体"/>
          <w:color w:val="auto"/>
        </w:rPr>
      </w:pPr>
      <w:bookmarkStart w:id="67" w:name="_Toc11512"/>
      <w:bookmarkStart w:id="68" w:name="_Toc462255836"/>
      <w:bookmarkStart w:id="69" w:name="_Toc824"/>
      <w:r>
        <w:rPr>
          <w:rFonts w:hint="eastAsia" w:ascii="宋体" w:hAnsi="宋体"/>
          <w:color w:val="auto"/>
        </w:rPr>
        <w:t>设计目标</w:t>
      </w:r>
      <w:bookmarkEnd w:id="67"/>
      <w:bookmarkEnd w:id="68"/>
      <w:bookmarkEnd w:id="69"/>
    </w:p>
    <w:p w14:paraId="427AD081">
      <w:pPr>
        <w:pBdr>
          <w:bottom w:val="none" w:color="auto" w:sz="0" w:space="0"/>
        </w:pBdr>
        <w:ind w:firstLine="480" w:firstLineChars="200"/>
        <w:contextualSpacing/>
        <w:rPr>
          <w:rFonts w:hint="eastAsia" w:ascii="宋体" w:hAnsi="宋体"/>
          <w:color w:val="auto"/>
          <w:sz w:val="24"/>
        </w:rPr>
      </w:pPr>
      <w:r>
        <w:rPr>
          <w:rFonts w:hint="eastAsia" w:ascii="宋体" w:hAnsi="宋体" w:eastAsia="宋体" w:cs="宋体"/>
          <w:color w:val="auto"/>
          <w:kern w:val="28"/>
          <w:sz w:val="24"/>
          <w:szCs w:val="21"/>
          <w:lang w:eastAsia="zh-CN"/>
        </w:rPr>
        <w:t>本项目拟建48个高中班，总规模2400生。项目总用地面积94151.4㎡(约141.227亩)，拟保留建筑(学生宿舍)面积约为3100㎡，拟新建总建筑面积约</w:t>
      </w:r>
      <w:r>
        <w:rPr>
          <w:rFonts w:hint="eastAsia" w:ascii="宋体" w:hAnsi="宋体" w:cs="宋体"/>
          <w:color w:val="auto"/>
          <w:kern w:val="28"/>
          <w:sz w:val="24"/>
          <w:szCs w:val="21"/>
          <w:lang w:eastAsia="zh-CN"/>
        </w:rPr>
        <w:t>为76000㎡，其中新建计容面积约为64800㎡，不计容面积约为11200㎡(含连廊及架空层4000㎡);新建建设内容主要包括教学及辅助用房(约37083㎡)、行政办公用房(约2767㎡)、生活</w:t>
      </w:r>
      <w:r>
        <w:rPr>
          <w:rFonts w:hint="eastAsia" w:ascii="宋体" w:hAnsi="宋体" w:eastAsia="宋体" w:cs="宋体"/>
          <w:color w:val="auto"/>
          <w:kern w:val="28"/>
          <w:sz w:val="24"/>
          <w:szCs w:val="21"/>
          <w:lang w:eastAsia="zh-CN"/>
        </w:rPr>
        <w:t>服务用房(约6710㎡)、学生宿舍(约13900㎡)、教职工宿舍(约</w:t>
      </w:r>
      <w:r>
        <w:rPr>
          <w:rFonts w:hint="eastAsia" w:ascii="宋体" w:hAnsi="宋体" w:eastAsia="宋体" w:cs="宋体"/>
          <w:color w:val="auto"/>
          <w:kern w:val="28"/>
          <w:sz w:val="24"/>
          <w:szCs w:val="21"/>
          <w:lang w:val="en-US" w:eastAsia="zh-CN"/>
        </w:rPr>
        <w:t>4340</w:t>
      </w:r>
      <w:r>
        <w:rPr>
          <w:rFonts w:hint="eastAsia" w:ascii="宋体" w:hAnsi="宋体" w:eastAsia="宋体" w:cs="宋体"/>
          <w:color w:val="auto"/>
          <w:kern w:val="28"/>
          <w:sz w:val="24"/>
          <w:szCs w:val="21"/>
          <w:lang w:eastAsia="zh-CN"/>
        </w:rPr>
        <w:t>㎡)、车库及</w:t>
      </w:r>
      <w:r>
        <w:rPr>
          <w:rFonts w:hint="eastAsia" w:ascii="宋体" w:hAnsi="宋体" w:cs="宋体"/>
          <w:color w:val="auto"/>
          <w:kern w:val="28"/>
          <w:sz w:val="24"/>
          <w:szCs w:val="21"/>
          <w:lang w:eastAsia="zh-CN"/>
        </w:rPr>
        <w:t>设备用房、400米田径场、室外运动场、绿地、道路广场及充电等。(最终以可行性研究报告批复为准)</w:t>
      </w:r>
    </w:p>
    <w:p w14:paraId="49FAB05E">
      <w:pPr>
        <w:spacing w:line="440" w:lineRule="exact"/>
        <w:ind w:firstLine="482" w:firstLineChars="200"/>
        <w:jc w:val="center"/>
        <w:rPr>
          <w:rFonts w:ascii="宋体" w:hAnsi="宋体"/>
          <w:b/>
          <w:color w:val="auto"/>
          <w:sz w:val="24"/>
        </w:rPr>
      </w:pPr>
      <w:r>
        <w:rPr>
          <w:rFonts w:hint="eastAsia" w:ascii="宋体" w:hAnsi="宋体"/>
          <w:b/>
          <w:color w:val="auto"/>
          <w:sz w:val="24"/>
        </w:rPr>
        <w:t>建筑方案主要技术经济指标表</w:t>
      </w:r>
    </w:p>
    <w:tbl>
      <w:tblPr>
        <w:tblStyle w:val="22"/>
        <w:tblW w:w="0" w:type="auto"/>
        <w:tblInd w:w="0" w:type="dxa"/>
        <w:tblLayout w:type="fixed"/>
        <w:tblCellMar>
          <w:top w:w="0" w:type="dxa"/>
          <w:left w:w="0" w:type="dxa"/>
          <w:bottom w:w="0" w:type="dxa"/>
          <w:right w:w="0" w:type="dxa"/>
        </w:tblCellMar>
      </w:tblPr>
      <w:tblGrid>
        <w:gridCol w:w="1343"/>
        <w:gridCol w:w="2464"/>
        <w:gridCol w:w="2228"/>
        <w:gridCol w:w="2367"/>
      </w:tblGrid>
      <w:tr w14:paraId="6630A25D">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EBE1">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3939">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类别</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05AF">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单位</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BEB7">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数值</w:t>
            </w:r>
          </w:p>
        </w:tc>
      </w:tr>
      <w:tr w14:paraId="2B65520E">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5551EA">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4F5861">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总用地面积</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220AA7">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83B2C5">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eastAsia="宋体" w:cs="仿宋_GB2312"/>
                <w:color w:val="auto"/>
                <w:kern w:val="0"/>
                <w:szCs w:val="21"/>
                <w:lang w:val="en-US" w:eastAsia="zh-CN" w:bidi="ar"/>
              </w:rPr>
              <w:t>94151.4</w:t>
            </w:r>
          </w:p>
        </w:tc>
      </w:tr>
      <w:tr w14:paraId="43B1A4F9">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9A412D">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B9E588">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总建筑面积</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A6590F">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B55AFE">
            <w:pPr>
              <w:keepNext w:val="0"/>
              <w:keepLines w:val="0"/>
              <w:widowControl/>
              <w:suppressLineNumbers w:val="0"/>
              <w:spacing w:before="0" w:beforeAutospacing="0" w:after="0" w:afterAutospacing="0"/>
              <w:ind w:left="0" w:right="0"/>
              <w:jc w:val="center"/>
              <w:textAlignment w:val="center"/>
              <w:rPr>
                <w:rFonts w:hint="default" w:eastAsia="宋体" w:cs="仿宋_GB2312"/>
                <w:color w:val="auto"/>
                <w:kern w:val="0"/>
                <w:szCs w:val="21"/>
                <w:lang w:val="en-US" w:eastAsia="zh-CN" w:bidi="ar"/>
              </w:rPr>
            </w:pPr>
            <w:r>
              <w:rPr>
                <w:rFonts w:hint="eastAsia" w:cs="仿宋_GB2312"/>
                <w:color w:val="auto"/>
                <w:kern w:val="0"/>
                <w:szCs w:val="21"/>
                <w:lang w:val="en-US" w:eastAsia="zh-CN" w:bidi="ar"/>
              </w:rPr>
              <w:t>约79100</w:t>
            </w:r>
          </w:p>
        </w:tc>
      </w:tr>
      <w:tr w14:paraId="285F6D6F">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D1FB7A">
            <w:pPr>
              <w:keepNext w:val="0"/>
              <w:keepLines w:val="0"/>
              <w:widowControl/>
              <w:suppressLineNumbers w:val="0"/>
              <w:spacing w:before="0" w:beforeAutospacing="0" w:after="0" w:afterAutospacing="0"/>
              <w:ind w:left="0" w:right="0"/>
              <w:jc w:val="center"/>
              <w:textAlignment w:val="center"/>
              <w:rPr>
                <w:rFonts w:hint="default" w:eastAsia="宋体" w:cs="仿宋_GB2312"/>
                <w:color w:val="auto"/>
                <w:kern w:val="0"/>
                <w:szCs w:val="21"/>
                <w:lang w:val="en-US" w:eastAsia="zh-CN" w:bidi="ar"/>
              </w:rPr>
            </w:pPr>
            <w:r>
              <w:rPr>
                <w:rFonts w:hint="eastAsia" w:cs="仿宋_GB2312"/>
                <w:color w:val="auto"/>
                <w:kern w:val="0"/>
                <w:szCs w:val="21"/>
                <w:lang w:val="en-US" w:eastAsia="zh-CN" w:bidi="ar"/>
              </w:rPr>
              <w:t>2.1</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419492">
            <w:pPr>
              <w:keepNext w:val="0"/>
              <w:keepLines w:val="0"/>
              <w:widowControl/>
              <w:suppressLineNumbers w:val="0"/>
              <w:spacing w:before="0" w:beforeAutospacing="0" w:after="0" w:afterAutospacing="0"/>
              <w:ind w:left="0" w:right="0"/>
              <w:jc w:val="center"/>
              <w:textAlignment w:val="center"/>
              <w:rPr>
                <w:rFonts w:hint="eastAsia" w:eastAsia="宋体" w:cs="仿宋_GB2312"/>
                <w:color w:val="auto"/>
                <w:kern w:val="0"/>
                <w:szCs w:val="21"/>
                <w:lang w:eastAsia="zh-CN" w:bidi="ar"/>
              </w:rPr>
            </w:pPr>
            <w:r>
              <w:rPr>
                <w:rFonts w:hint="eastAsia" w:cs="仿宋_GB2312"/>
                <w:color w:val="auto"/>
                <w:kern w:val="0"/>
                <w:szCs w:val="21"/>
                <w:lang w:eastAsia="zh-CN" w:bidi="ar"/>
              </w:rPr>
              <w:t>保留建筑面积</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42CDB8">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CA37F4">
            <w:pPr>
              <w:keepNext w:val="0"/>
              <w:keepLines w:val="0"/>
              <w:widowControl/>
              <w:suppressLineNumbers w:val="0"/>
              <w:spacing w:before="0" w:beforeAutospacing="0" w:after="0" w:afterAutospacing="0"/>
              <w:ind w:left="0" w:right="0"/>
              <w:jc w:val="center"/>
              <w:textAlignment w:val="center"/>
              <w:rPr>
                <w:rFonts w:hint="default" w:cs="仿宋_GB2312"/>
                <w:color w:val="auto"/>
                <w:kern w:val="0"/>
                <w:szCs w:val="21"/>
                <w:lang w:val="en-US" w:eastAsia="zh-CN" w:bidi="ar"/>
              </w:rPr>
            </w:pPr>
            <w:r>
              <w:rPr>
                <w:rFonts w:hint="eastAsia" w:cs="仿宋_GB2312"/>
                <w:color w:val="auto"/>
                <w:kern w:val="0"/>
                <w:szCs w:val="21"/>
                <w:lang w:val="en-US" w:eastAsia="zh-CN" w:bidi="ar"/>
              </w:rPr>
              <w:t>3100</w:t>
            </w:r>
          </w:p>
        </w:tc>
      </w:tr>
      <w:tr w14:paraId="64A62899">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A85E61">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2.1</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8CD414">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eastAsia="zh-CN" w:bidi="ar"/>
              </w:rPr>
              <w:t>新增</w:t>
            </w:r>
            <w:r>
              <w:rPr>
                <w:rFonts w:hint="eastAsia" w:cs="仿宋_GB2312"/>
                <w:color w:val="auto"/>
                <w:kern w:val="0"/>
                <w:szCs w:val="21"/>
                <w:lang w:bidi="ar"/>
              </w:rPr>
              <w:t>计容建筑面积</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8E50E2">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4F4616">
            <w:pPr>
              <w:keepNext w:val="0"/>
              <w:keepLines w:val="0"/>
              <w:widowControl/>
              <w:suppressLineNumbers w:val="0"/>
              <w:spacing w:before="0" w:beforeAutospacing="0" w:after="0" w:afterAutospacing="0"/>
              <w:ind w:left="0" w:right="0"/>
              <w:jc w:val="center"/>
              <w:textAlignment w:val="center"/>
              <w:rPr>
                <w:rFonts w:hint="default" w:cs="仿宋_GB2312"/>
                <w:color w:val="auto"/>
                <w:kern w:val="0"/>
                <w:szCs w:val="21"/>
                <w:lang w:val="en-US" w:eastAsia="zh-CN" w:bidi="ar"/>
              </w:rPr>
            </w:pPr>
            <w:r>
              <w:rPr>
                <w:rFonts w:hint="eastAsia" w:cs="仿宋_GB2312"/>
                <w:color w:val="auto"/>
                <w:kern w:val="0"/>
                <w:szCs w:val="21"/>
                <w:lang w:val="en-US" w:eastAsia="zh-CN" w:bidi="ar"/>
              </w:rPr>
              <w:t>约64800</w:t>
            </w:r>
          </w:p>
        </w:tc>
      </w:tr>
      <w:tr w14:paraId="54FFA3E4">
        <w:tblPrEx>
          <w:tblCellMar>
            <w:top w:w="0" w:type="dxa"/>
            <w:left w:w="0" w:type="dxa"/>
            <w:bottom w:w="0" w:type="dxa"/>
            <w:right w:w="0" w:type="dxa"/>
          </w:tblCellMar>
        </w:tblPrEx>
        <w:trPr>
          <w:trHeight w:val="399"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BB494C">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2.2</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C2B3EC">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eastAsia="zh-CN" w:bidi="ar"/>
              </w:rPr>
              <w:t>新增</w:t>
            </w:r>
            <w:r>
              <w:rPr>
                <w:rFonts w:hint="eastAsia" w:cs="仿宋_GB2312"/>
                <w:color w:val="auto"/>
                <w:kern w:val="0"/>
                <w:szCs w:val="21"/>
                <w:lang w:bidi="ar"/>
              </w:rPr>
              <w:t>不计容建筑面积</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EE90BE">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F6A29E">
            <w:pPr>
              <w:keepNext w:val="0"/>
              <w:keepLines w:val="0"/>
              <w:widowControl/>
              <w:suppressLineNumbers w:val="0"/>
              <w:spacing w:before="0" w:beforeAutospacing="0" w:after="0" w:afterAutospacing="0"/>
              <w:ind w:left="0" w:right="0"/>
              <w:jc w:val="center"/>
              <w:textAlignment w:val="center"/>
              <w:rPr>
                <w:rFonts w:hint="default" w:cs="仿宋_GB2312"/>
                <w:color w:val="auto"/>
                <w:kern w:val="0"/>
                <w:szCs w:val="21"/>
                <w:lang w:val="en-US" w:eastAsia="zh-CN" w:bidi="ar"/>
              </w:rPr>
            </w:pPr>
            <w:r>
              <w:rPr>
                <w:rFonts w:hint="eastAsia" w:cs="仿宋_GB2312"/>
                <w:color w:val="auto"/>
                <w:kern w:val="0"/>
                <w:szCs w:val="21"/>
                <w:lang w:val="en-US" w:eastAsia="zh-CN" w:bidi="ar"/>
              </w:rPr>
              <w:t>约11200</w:t>
            </w:r>
          </w:p>
        </w:tc>
      </w:tr>
      <w:tr w14:paraId="4FFA683C">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2ED647">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8B9FFA">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综合容积率</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37F904">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082A10">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≤1.0</w:t>
            </w:r>
          </w:p>
        </w:tc>
      </w:tr>
      <w:tr w14:paraId="715E8030">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364880">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3C7462">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绿化率</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EAA5E6">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07F003">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eastAsia="zh-CN" w:bidi="ar"/>
              </w:rPr>
              <w:t>≥</w:t>
            </w:r>
            <w:r>
              <w:rPr>
                <w:rFonts w:hint="eastAsia" w:cs="仿宋_GB2312"/>
                <w:color w:val="auto"/>
                <w:kern w:val="0"/>
                <w:szCs w:val="21"/>
                <w:lang w:bidi="ar"/>
              </w:rPr>
              <w:t>30.00%</w:t>
            </w:r>
          </w:p>
        </w:tc>
      </w:tr>
      <w:tr w14:paraId="56C23B8E">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EBDB0B">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3E9293">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地下机动车停车位</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C44FB7">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泊</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0FA1AA">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val="en-US" w:eastAsia="zh-CN" w:bidi="ar"/>
              </w:rPr>
              <w:t>满足广州市相关要求</w:t>
            </w:r>
          </w:p>
        </w:tc>
      </w:tr>
      <w:tr w14:paraId="77AABC50">
        <w:tblPrEx>
          <w:tblCellMar>
            <w:top w:w="0" w:type="dxa"/>
            <w:left w:w="0" w:type="dxa"/>
            <w:bottom w:w="0" w:type="dxa"/>
            <w:right w:w="0" w:type="dxa"/>
          </w:tblCellMar>
        </w:tblPrEx>
        <w:trPr>
          <w:trHeight w:val="28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53A811">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7F472B">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充电桩</w:t>
            </w:r>
          </w:p>
        </w:tc>
        <w:tc>
          <w:tcPr>
            <w:tcW w:w="222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62C0AD">
            <w:pPr>
              <w:keepNext w:val="0"/>
              <w:keepLines w:val="0"/>
              <w:widowControl/>
              <w:suppressLineNumbers w:val="0"/>
              <w:spacing w:before="0" w:beforeAutospacing="0" w:after="0" w:afterAutospacing="0"/>
              <w:ind w:left="0" w:right="0"/>
              <w:jc w:val="center"/>
              <w:textAlignment w:val="center"/>
              <w:rPr>
                <w:rFonts w:hint="eastAsia" w:cs="仿宋_GB2312"/>
                <w:color w:val="auto"/>
                <w:kern w:val="0"/>
                <w:szCs w:val="21"/>
                <w:lang w:bidi="ar"/>
              </w:rPr>
            </w:pPr>
            <w:r>
              <w:rPr>
                <w:rFonts w:hint="eastAsia" w:cs="仿宋_GB2312"/>
                <w:color w:val="auto"/>
                <w:kern w:val="0"/>
                <w:szCs w:val="21"/>
                <w:lang w:bidi="ar"/>
              </w:rPr>
              <w:t>套</w:t>
            </w:r>
          </w:p>
        </w:tc>
        <w:tc>
          <w:tcPr>
            <w:tcW w:w="236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F00B9B">
            <w:pPr>
              <w:keepNext w:val="0"/>
              <w:keepLines w:val="0"/>
              <w:widowControl/>
              <w:suppressLineNumbers w:val="0"/>
              <w:spacing w:before="0" w:beforeAutospacing="0" w:after="0" w:afterAutospacing="0"/>
              <w:ind w:left="0" w:right="0"/>
              <w:jc w:val="center"/>
              <w:textAlignment w:val="center"/>
              <w:rPr>
                <w:rFonts w:hint="default" w:eastAsia="宋体" w:cs="仿宋_GB2312"/>
                <w:color w:val="auto"/>
                <w:kern w:val="0"/>
                <w:szCs w:val="21"/>
                <w:lang w:val="en-US" w:eastAsia="zh-CN" w:bidi="ar"/>
              </w:rPr>
            </w:pPr>
            <w:r>
              <w:rPr>
                <w:rFonts w:hint="eastAsia" w:cs="仿宋_GB2312"/>
                <w:color w:val="auto"/>
                <w:kern w:val="0"/>
                <w:szCs w:val="21"/>
                <w:lang w:val="en-US" w:eastAsia="zh-CN" w:bidi="ar"/>
              </w:rPr>
              <w:t>满足广州市相关要求</w:t>
            </w:r>
          </w:p>
        </w:tc>
      </w:tr>
    </w:tbl>
    <w:p w14:paraId="5B4B91CF">
      <w:pPr>
        <w:rPr>
          <w:vanish/>
          <w:color w:val="auto"/>
          <w:sz w:val="24"/>
        </w:rPr>
      </w:pPr>
    </w:p>
    <w:p w14:paraId="14F67C55">
      <w:pPr>
        <w:pStyle w:val="21"/>
        <w:ind w:left="0" w:leftChars="0" w:firstLine="0"/>
        <w:rPr>
          <w:b/>
          <w:bCs/>
          <w:color w:val="auto"/>
        </w:rPr>
      </w:pPr>
      <w:r>
        <w:rPr>
          <w:rFonts w:hint="eastAsia"/>
          <w:b/>
          <w:bCs/>
          <w:color w:val="auto"/>
        </w:rPr>
        <w:t>【以上建设规模仅作为参考，实际以满足学校功能使用设计方案为准】</w:t>
      </w:r>
    </w:p>
    <w:p w14:paraId="68FC0C49">
      <w:pPr>
        <w:pStyle w:val="3"/>
        <w:numPr>
          <w:ilvl w:val="0"/>
          <w:numId w:val="16"/>
        </w:numPr>
        <w:spacing w:before="120" w:after="120" w:line="360" w:lineRule="auto"/>
        <w:ind w:left="0" w:firstLine="0"/>
        <w:rPr>
          <w:rFonts w:ascii="宋体" w:hAnsi="宋体"/>
          <w:color w:val="auto"/>
        </w:rPr>
      </w:pPr>
      <w:bookmarkStart w:id="70" w:name="_Toc29316"/>
      <w:r>
        <w:rPr>
          <w:rFonts w:hint="eastAsia" w:ascii="宋体" w:hAnsi="宋体"/>
          <w:color w:val="auto"/>
        </w:rPr>
        <w:t>设计原则</w:t>
      </w:r>
      <w:bookmarkEnd w:id="70"/>
    </w:p>
    <w:p w14:paraId="26CD69FD">
      <w:pPr>
        <w:pStyle w:val="4"/>
        <w:numPr>
          <w:ilvl w:val="0"/>
          <w:numId w:val="17"/>
        </w:numPr>
        <w:spacing w:before="156" w:after="156"/>
        <w:ind w:left="0" w:firstLine="284"/>
        <w:rPr>
          <w:color w:val="auto"/>
        </w:rPr>
      </w:pPr>
      <w:bookmarkStart w:id="71" w:name="_Toc11071"/>
      <w:bookmarkStart w:id="72" w:name="_Toc28085"/>
      <w:bookmarkStart w:id="73" w:name="_Toc462255921"/>
      <w:bookmarkStart w:id="74" w:name="_Toc462255837"/>
      <w:r>
        <w:rPr>
          <w:rFonts w:hint="eastAsia"/>
          <w:color w:val="auto"/>
        </w:rPr>
        <w:t>基本原则</w:t>
      </w:r>
      <w:bookmarkEnd w:id="71"/>
      <w:bookmarkEnd w:id="72"/>
      <w:bookmarkEnd w:id="73"/>
      <w:bookmarkEnd w:id="74"/>
    </w:p>
    <w:p w14:paraId="373CBDD1">
      <w:pPr>
        <w:pStyle w:val="67"/>
        <w:numPr>
          <w:ilvl w:val="0"/>
          <w:numId w:val="18"/>
        </w:numPr>
        <w:spacing w:before="240" w:after="120"/>
        <w:ind w:left="0" w:firstLine="426" w:firstLineChars="0"/>
        <w:outlineLvl w:val="3"/>
        <w:rPr>
          <w:rFonts w:ascii="宋体" w:hAnsi="宋体" w:eastAsia="宋体" w:cs="黑体"/>
          <w:bCs/>
          <w:color w:val="auto"/>
          <w:sz w:val="24"/>
          <w:szCs w:val="21"/>
        </w:rPr>
      </w:pPr>
      <w:bookmarkStart w:id="75" w:name="_Toc462255838"/>
      <w:bookmarkStart w:id="76" w:name="_Toc462255922"/>
      <w:r>
        <w:rPr>
          <w:rFonts w:hint="eastAsia" w:ascii="宋体" w:hAnsi="宋体" w:eastAsia="宋体" w:cs="黑体"/>
          <w:bCs/>
          <w:color w:val="auto"/>
          <w:sz w:val="24"/>
          <w:szCs w:val="21"/>
        </w:rPr>
        <w:t>规划理念</w:t>
      </w:r>
      <w:bookmarkEnd w:id="75"/>
      <w:bookmarkEnd w:id="76"/>
    </w:p>
    <w:p w14:paraId="08B352A6">
      <w:pPr>
        <w:ind w:firstLine="570"/>
        <w:rPr>
          <w:rFonts w:ascii="宋体" w:hAnsi="宋体"/>
          <w:color w:val="auto"/>
          <w:sz w:val="24"/>
        </w:rPr>
      </w:pPr>
      <w:r>
        <w:rPr>
          <w:rFonts w:hint="eastAsia" w:ascii="宋体" w:hAnsi="宋体"/>
          <w:color w:val="auto"/>
          <w:sz w:val="24"/>
          <w:szCs w:val="21"/>
        </w:rPr>
        <w:t>考虑到拟建项目的建设目标、功能、用途，并根据用地的现状地形地势条件、周边环境等因素，确定拟</w:t>
      </w:r>
      <w:r>
        <w:rPr>
          <w:rFonts w:hint="eastAsia" w:ascii="宋体" w:hAnsi="宋体"/>
          <w:color w:val="auto"/>
          <w:sz w:val="24"/>
        </w:rPr>
        <w:t>理念如下：</w:t>
      </w:r>
    </w:p>
    <w:p w14:paraId="236BF823">
      <w:pPr>
        <w:pStyle w:val="67"/>
        <w:numPr>
          <w:ilvl w:val="1"/>
          <w:numId w:val="18"/>
        </w:numPr>
        <w:ind w:firstLineChars="0"/>
        <w:rPr>
          <w:rFonts w:ascii="宋体" w:hAnsi="宋体" w:eastAsia="宋体"/>
          <w:color w:val="auto"/>
          <w:sz w:val="24"/>
          <w:szCs w:val="24"/>
        </w:rPr>
      </w:pPr>
      <w:r>
        <w:rPr>
          <w:rFonts w:hint="eastAsia" w:ascii="宋体" w:hAnsi="宋体" w:eastAsia="宋体"/>
          <w:color w:val="auto"/>
          <w:sz w:val="24"/>
          <w:szCs w:val="24"/>
        </w:rPr>
        <w:t>现代化校园</w:t>
      </w:r>
    </w:p>
    <w:p w14:paraId="6578D84F">
      <w:pPr>
        <w:ind w:firstLine="570"/>
        <w:rPr>
          <w:rFonts w:ascii="宋体" w:hAnsi="宋体"/>
          <w:color w:val="auto"/>
          <w:sz w:val="24"/>
        </w:rPr>
      </w:pPr>
      <w:r>
        <w:rPr>
          <w:rFonts w:hint="eastAsia" w:ascii="宋体" w:hAnsi="宋体"/>
          <w:color w:val="auto"/>
          <w:sz w:val="24"/>
        </w:rPr>
        <w:t>把握基础教育发展趋势，顺应基础教育内涵变化。基础教育的内涵由传统的教师对学生的单向灌输向以学生为主体的，以人的发展和素质培养为中心的开放式教育转化。规划营造多层次交流空间，通过课堂内外交流环境的潜移默化，促使学生全面素质的提高，使学生养成自觉学习的习惯。</w:t>
      </w:r>
    </w:p>
    <w:p w14:paraId="0F560ACC">
      <w:pPr>
        <w:pStyle w:val="67"/>
        <w:numPr>
          <w:ilvl w:val="1"/>
          <w:numId w:val="18"/>
        </w:numPr>
        <w:ind w:firstLineChars="0"/>
        <w:rPr>
          <w:rFonts w:ascii="宋体" w:hAnsi="宋体" w:eastAsia="宋体"/>
          <w:color w:val="auto"/>
          <w:sz w:val="24"/>
          <w:szCs w:val="24"/>
        </w:rPr>
      </w:pPr>
      <w:r>
        <w:rPr>
          <w:rFonts w:hint="eastAsia" w:ascii="宋体" w:hAnsi="宋体" w:eastAsia="宋体"/>
          <w:color w:val="auto"/>
          <w:sz w:val="24"/>
          <w:szCs w:val="24"/>
        </w:rPr>
        <w:t>生态化校园</w:t>
      </w:r>
    </w:p>
    <w:p w14:paraId="001C3FA5">
      <w:pPr>
        <w:ind w:firstLine="570"/>
        <w:rPr>
          <w:rFonts w:ascii="宋体" w:hAnsi="宋体"/>
          <w:color w:val="auto"/>
          <w:sz w:val="24"/>
        </w:rPr>
      </w:pPr>
      <w:r>
        <w:rPr>
          <w:rFonts w:hint="eastAsia" w:ascii="宋体" w:hAnsi="宋体"/>
          <w:color w:val="auto"/>
          <w:sz w:val="24"/>
        </w:rPr>
        <w:t>以生态环保意识为指导，人与自然共存。充分利用现有地形、地貌营造高雅、有文化氛围、有活力的校园环境，并在单体布局中，尽可能满足节能通风和环保的要求。充分利用场地现有自然条件，因地制宜，人工建筑与自然环境相融合，突出建筑群布置的层次感，同时加强校园环境景观的配套设计，体现校园花园化、生态化。</w:t>
      </w:r>
    </w:p>
    <w:p w14:paraId="79376FED">
      <w:pPr>
        <w:pStyle w:val="67"/>
        <w:numPr>
          <w:ilvl w:val="1"/>
          <w:numId w:val="18"/>
        </w:numPr>
        <w:ind w:firstLineChars="0"/>
        <w:rPr>
          <w:rFonts w:ascii="宋体" w:hAnsi="宋体" w:eastAsia="宋体"/>
          <w:color w:val="auto"/>
          <w:sz w:val="24"/>
          <w:szCs w:val="24"/>
        </w:rPr>
      </w:pPr>
      <w:r>
        <w:rPr>
          <w:rFonts w:hint="eastAsia" w:ascii="宋体" w:hAnsi="宋体" w:eastAsia="宋体"/>
          <w:color w:val="auto"/>
          <w:sz w:val="24"/>
          <w:szCs w:val="24"/>
        </w:rPr>
        <w:t>园林化校园</w:t>
      </w:r>
    </w:p>
    <w:p w14:paraId="1C16E6EE">
      <w:pPr>
        <w:ind w:firstLine="570"/>
        <w:rPr>
          <w:rFonts w:ascii="宋体" w:hAnsi="宋体"/>
          <w:color w:val="auto"/>
          <w:sz w:val="24"/>
        </w:rPr>
      </w:pPr>
      <w:r>
        <w:rPr>
          <w:rFonts w:hint="eastAsia" w:ascii="宋体" w:hAnsi="宋体"/>
          <w:color w:val="auto"/>
          <w:sz w:val="24"/>
        </w:rPr>
        <w:t>以规划、景观、建筑三位一体的整体化校园设计为目标，在外部空间的设计中，从整个校园生态环境到单体建筑内部，营造多层次的园林空间，立足于提高修养，陶冶情操起到“环境育人”的作用，加强校园环境的整体性。</w:t>
      </w:r>
    </w:p>
    <w:p w14:paraId="69B172D1">
      <w:pPr>
        <w:pStyle w:val="67"/>
        <w:numPr>
          <w:ilvl w:val="0"/>
          <w:numId w:val="19"/>
        </w:numPr>
        <w:spacing w:before="240" w:after="120"/>
        <w:ind w:firstLineChars="0"/>
        <w:outlineLvl w:val="3"/>
        <w:rPr>
          <w:rFonts w:ascii="宋体" w:hAnsi="宋体" w:eastAsia="宋体" w:cs="黑体"/>
          <w:bCs/>
          <w:color w:val="auto"/>
          <w:sz w:val="24"/>
          <w:szCs w:val="24"/>
        </w:rPr>
      </w:pPr>
      <w:bookmarkStart w:id="77" w:name="_Toc462255839"/>
      <w:bookmarkStart w:id="78" w:name="_Toc462255923"/>
      <w:r>
        <w:rPr>
          <w:rFonts w:hint="eastAsia" w:ascii="宋体" w:hAnsi="宋体" w:eastAsia="宋体" w:cs="黑体"/>
          <w:bCs/>
          <w:color w:val="auto"/>
          <w:sz w:val="24"/>
          <w:szCs w:val="24"/>
        </w:rPr>
        <w:t>规划构思</w:t>
      </w:r>
      <w:bookmarkEnd w:id="77"/>
      <w:bookmarkEnd w:id="78"/>
    </w:p>
    <w:p w14:paraId="20BC098D">
      <w:pPr>
        <w:ind w:firstLine="570"/>
        <w:rPr>
          <w:rFonts w:ascii="宋体" w:hAnsi="宋体"/>
          <w:color w:val="auto"/>
          <w:sz w:val="24"/>
        </w:rPr>
      </w:pPr>
      <w:r>
        <w:rPr>
          <w:rFonts w:hint="eastAsia" w:ascii="宋体" w:hAnsi="宋体"/>
          <w:color w:val="auto"/>
          <w:sz w:val="24"/>
        </w:rPr>
        <w:t>结合规划设计范围区位条件及现状，充分考虑相应功能发展用地，本着“适用、安全、经济、美观”和适度超前的设计原则，形成布局合理、功能齐全、设施完善、可持续发展的现代化学校，创造出高层次的育人校园环境和一流的新世纪校园建设景观。</w:t>
      </w:r>
    </w:p>
    <w:p w14:paraId="7F17D541">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塑造复合功能结构</w:t>
      </w:r>
    </w:p>
    <w:p w14:paraId="6B7DD9CC">
      <w:pPr>
        <w:ind w:firstLine="480" w:firstLineChars="200"/>
        <w:rPr>
          <w:rFonts w:ascii="宋体" w:hAnsi="宋体"/>
          <w:color w:val="auto"/>
          <w:sz w:val="24"/>
        </w:rPr>
      </w:pPr>
      <w:r>
        <w:rPr>
          <w:rFonts w:hint="eastAsia" w:ascii="宋体" w:hAnsi="宋体"/>
          <w:color w:val="auto"/>
          <w:sz w:val="24"/>
        </w:rPr>
        <w:t>串联式空间模式：将教学楼、艺术楼、学生宿舍等主要建筑单体通过风雨连廊以串联式布局来组合成建筑群体，建筑之间形成空间核心感，各虚实空间相互穿插。广州为多雨地区，建设风雨连廊可以避免风雨侵扰，除避免风雨侵扰、交通联系等主要功能外，还有美化环境、增设休息与嬉戏空间、宣传、展示等功能。</w:t>
      </w:r>
    </w:p>
    <w:p w14:paraId="67BF6444">
      <w:pPr>
        <w:pStyle w:val="67"/>
        <w:numPr>
          <w:ilvl w:val="0"/>
          <w:numId w:val="21"/>
        </w:numPr>
        <w:ind w:left="0" w:firstLine="480" w:firstLineChars="0"/>
        <w:rPr>
          <w:rFonts w:ascii="宋体" w:hAnsi="宋体" w:eastAsia="宋体"/>
          <w:color w:val="auto"/>
          <w:sz w:val="24"/>
          <w:szCs w:val="24"/>
        </w:rPr>
      </w:pPr>
      <w:r>
        <w:rPr>
          <w:rFonts w:hint="eastAsia" w:ascii="宋体" w:hAnsi="宋体" w:eastAsia="宋体"/>
          <w:color w:val="auto"/>
          <w:sz w:val="24"/>
          <w:szCs w:val="24"/>
        </w:rPr>
        <w:t>营造自然生态的空间场所</w:t>
      </w:r>
    </w:p>
    <w:p w14:paraId="067AB38A">
      <w:pPr>
        <w:ind w:firstLine="480" w:firstLineChars="200"/>
        <w:rPr>
          <w:rFonts w:ascii="宋体" w:hAnsi="宋体"/>
          <w:color w:val="auto"/>
          <w:sz w:val="24"/>
        </w:rPr>
      </w:pPr>
      <w:r>
        <w:rPr>
          <w:rFonts w:hint="eastAsia" w:ascii="宋体" w:hAnsi="宋体"/>
          <w:color w:val="auto"/>
          <w:sz w:val="24"/>
        </w:rPr>
        <w:t>设计中仔细研究基地现状，归纳总结，得出合理的整体功能布局，对景观视线进行分析，从而让设计以达到景观最大化，让学校既是学习的园地，又是生活的栖息地。功能与景观、生态及人文协调发展以及人与自然的共生共融。</w:t>
      </w:r>
    </w:p>
    <w:p w14:paraId="42B06BD5">
      <w:pPr>
        <w:pStyle w:val="67"/>
        <w:numPr>
          <w:ilvl w:val="0"/>
          <w:numId w:val="21"/>
        </w:numPr>
        <w:ind w:left="0" w:firstLine="480" w:firstLineChars="0"/>
        <w:rPr>
          <w:rFonts w:ascii="宋体" w:hAnsi="宋体" w:eastAsia="宋体"/>
          <w:color w:val="auto"/>
          <w:sz w:val="24"/>
          <w:szCs w:val="24"/>
        </w:rPr>
      </w:pPr>
      <w:r>
        <w:rPr>
          <w:rFonts w:hint="eastAsia" w:ascii="宋体" w:hAnsi="宋体" w:eastAsia="宋体"/>
          <w:color w:val="auto"/>
          <w:sz w:val="24"/>
          <w:szCs w:val="24"/>
        </w:rPr>
        <w:t>构建和谐理想景观</w:t>
      </w:r>
    </w:p>
    <w:p w14:paraId="3FFFE942">
      <w:pPr>
        <w:ind w:firstLine="480" w:firstLineChars="200"/>
        <w:rPr>
          <w:rFonts w:ascii="宋体" w:hAnsi="宋体"/>
          <w:color w:val="auto"/>
          <w:sz w:val="24"/>
        </w:rPr>
      </w:pPr>
      <w:r>
        <w:rPr>
          <w:rFonts w:hint="eastAsia" w:ascii="宋体" w:hAnsi="宋体"/>
          <w:color w:val="auto"/>
          <w:sz w:val="24"/>
        </w:rPr>
        <w:t>尊重基地自然生态和景观特色。运用生态学理论，实现人与自然、区域与城市的和谐共生，塑造高品位的艺术景观环境，营造充满活力和魅力的义务教育场所和优异的成长空间，树立可持续发展的典范。</w:t>
      </w:r>
    </w:p>
    <w:p w14:paraId="46D15904">
      <w:pPr>
        <w:pStyle w:val="67"/>
        <w:numPr>
          <w:ilvl w:val="0"/>
          <w:numId w:val="21"/>
        </w:numPr>
        <w:ind w:left="0" w:firstLine="480" w:firstLineChars="0"/>
        <w:rPr>
          <w:rFonts w:ascii="宋体" w:hAnsi="宋体" w:eastAsia="宋体"/>
          <w:color w:val="auto"/>
          <w:sz w:val="24"/>
          <w:szCs w:val="24"/>
        </w:rPr>
      </w:pPr>
      <w:r>
        <w:rPr>
          <w:rFonts w:hint="eastAsia" w:ascii="宋体" w:hAnsi="宋体" w:eastAsia="宋体"/>
          <w:color w:val="auto"/>
          <w:sz w:val="24"/>
          <w:szCs w:val="24"/>
        </w:rPr>
        <w:t>绿色节能</w:t>
      </w:r>
    </w:p>
    <w:p w14:paraId="3BDA8183">
      <w:pPr>
        <w:ind w:firstLine="480" w:firstLineChars="200"/>
        <w:rPr>
          <w:rFonts w:ascii="宋体" w:hAnsi="宋体"/>
          <w:color w:val="auto"/>
          <w:sz w:val="24"/>
        </w:rPr>
      </w:pPr>
      <w:r>
        <w:rPr>
          <w:rFonts w:hint="eastAsia" w:ascii="宋体" w:hAnsi="宋体"/>
          <w:color w:val="auto"/>
          <w:sz w:val="24"/>
        </w:rPr>
        <w:t>建筑规划须符合广州市的总体规划的要求，具有鲜明的现代特色并结合岭南建筑特点，为增城区居民营造一个良好的教育场所。满足广州市对公共建筑的绿色节能要求，符合国家绿色建设标准。</w:t>
      </w:r>
    </w:p>
    <w:p w14:paraId="0F635D29">
      <w:pPr>
        <w:numPr>
          <w:ilvl w:val="0"/>
          <w:numId w:val="21"/>
        </w:numPr>
        <w:ind w:left="0" w:firstLine="480"/>
        <w:rPr>
          <w:rFonts w:ascii="宋体" w:hAnsi="宋体"/>
          <w:color w:val="auto"/>
          <w:sz w:val="24"/>
        </w:rPr>
      </w:pPr>
      <w:r>
        <w:rPr>
          <w:rFonts w:hint="eastAsia" w:ascii="宋体" w:hAnsi="宋体"/>
          <w:color w:val="auto"/>
          <w:sz w:val="24"/>
        </w:rPr>
        <w:t>海绵城市</w:t>
      </w:r>
    </w:p>
    <w:p w14:paraId="751BE769">
      <w:pPr>
        <w:ind w:firstLine="570"/>
        <w:rPr>
          <w:rFonts w:ascii="宋体" w:hAnsi="宋体"/>
          <w:color w:val="auto"/>
          <w:sz w:val="24"/>
        </w:rPr>
      </w:pPr>
      <w:r>
        <w:rPr>
          <w:rFonts w:hint="eastAsia" w:ascii="宋体" w:hAnsi="宋体"/>
          <w:color w:val="auto"/>
          <w:sz w:val="24"/>
        </w:rPr>
        <w:t>基于海绵城市低影响开发的理念，将场地地表雨水排放和LID设施相结合，变传统排水系统为可持续水量和水质管理系统，实现对雨水的综合利用。</w:t>
      </w:r>
    </w:p>
    <w:p w14:paraId="72E1D47C">
      <w:pPr>
        <w:pStyle w:val="59"/>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根据《海绵城市建设技术指南—低影响开发雨水系统构建（试行）》，广州市属于年径流总量控制率的Ⅳ区，年径流总量控制率应为（70%≤α≤85%）</w:t>
      </w:r>
    </w:p>
    <w:p w14:paraId="3C5DCCA2">
      <w:pPr>
        <w:pStyle w:val="59"/>
        <w:ind w:firstLine="480" w:firstLineChars="200"/>
        <w:rPr>
          <w:rFonts w:ascii="宋体" w:hAnsi="宋体" w:cs="宋体"/>
          <w:color w:val="auto"/>
          <w:sz w:val="24"/>
          <w:szCs w:val="24"/>
        </w:rPr>
      </w:pPr>
      <w:r>
        <w:rPr>
          <w:rFonts w:hint="eastAsia" w:ascii="宋体" w:hAnsi="宋体" w:cs="宋体"/>
          <w:color w:val="auto"/>
          <w:sz w:val="24"/>
          <w:szCs w:val="24"/>
        </w:rPr>
        <w:t>根据项目用地性质、用地规模、项目定位及规划要求等实际情况合理布置海绵城市设施，对排水系统、绿地系统、道路系统等区域的雨水进行有效吸纳、蓄渗和缓释，有效控制雨水径流，实现海绵建设总体控制目标。</w:t>
      </w:r>
    </w:p>
    <w:p w14:paraId="559EF53D">
      <w:pPr>
        <w:pStyle w:val="59"/>
        <w:ind w:firstLine="480" w:firstLineChars="200"/>
        <w:rPr>
          <w:rFonts w:ascii="宋体" w:hAnsi="宋体" w:cs="宋体"/>
          <w:color w:val="auto"/>
          <w:sz w:val="24"/>
          <w:szCs w:val="24"/>
        </w:rPr>
      </w:pPr>
      <w:r>
        <w:rPr>
          <w:rFonts w:hint="eastAsia" w:ascii="宋体" w:hAnsi="宋体" w:cs="宋体"/>
          <w:color w:val="auto"/>
          <w:sz w:val="24"/>
          <w:szCs w:val="24"/>
        </w:rPr>
        <w:t>本项目属于新建用地，根据《广州市海绵城市建设指标体系（试行）》，建设区域内开发建设后的年径流总量控制率不低于70%，针对本项目，海绵城市的设计思路需要从两个方面进行考虑：雨水的调蓄和雨水的下渗。</w:t>
      </w:r>
    </w:p>
    <w:p w14:paraId="508DD02A">
      <w:pPr>
        <w:numPr>
          <w:ilvl w:val="0"/>
          <w:numId w:val="21"/>
        </w:numPr>
        <w:ind w:left="0" w:firstLine="480"/>
        <w:rPr>
          <w:rFonts w:ascii="宋体" w:hAnsi="宋体"/>
          <w:color w:val="auto"/>
          <w:sz w:val="24"/>
        </w:rPr>
      </w:pPr>
      <w:r>
        <w:rPr>
          <w:rFonts w:hint="eastAsia" w:ascii="宋体" w:hAnsi="宋体"/>
          <w:color w:val="auto"/>
          <w:sz w:val="24"/>
        </w:rPr>
        <w:t>装配式建筑</w:t>
      </w:r>
    </w:p>
    <w:p w14:paraId="3F07C058">
      <w:pPr>
        <w:pStyle w:val="59"/>
        <w:ind w:firstLine="480" w:firstLineChars="200"/>
        <w:rPr>
          <w:rFonts w:ascii="宋体" w:hAnsi="宋体" w:cs="宋体"/>
          <w:color w:val="auto"/>
          <w:sz w:val="24"/>
          <w:szCs w:val="24"/>
        </w:rPr>
      </w:pPr>
      <w:r>
        <w:rPr>
          <w:rFonts w:hint="eastAsia" w:ascii="宋体" w:hAnsi="宋体" w:cs="宋体"/>
          <w:color w:val="auto"/>
          <w:sz w:val="24"/>
          <w:szCs w:val="24"/>
        </w:rPr>
        <w:t>根据中华人民共和国国家标准《装配式建筑评价标准》GB/T51129-2017、广东省装配式建筑评价标准DBJ 15-163-2019、广州市装配式建筑评介标准DB4401/T151-202等设计。</w:t>
      </w:r>
    </w:p>
    <w:p w14:paraId="1A6E6D81">
      <w:pPr>
        <w:pStyle w:val="59"/>
        <w:ind w:firstLine="480" w:firstLineChars="200"/>
        <w:rPr>
          <w:rFonts w:ascii="宋体" w:hAnsi="宋体" w:cs="宋体"/>
          <w:color w:val="auto"/>
          <w:sz w:val="24"/>
          <w:szCs w:val="24"/>
        </w:rPr>
      </w:pPr>
      <w:r>
        <w:rPr>
          <w:rFonts w:hint="eastAsia" w:ascii="宋体" w:hAnsi="宋体" w:cs="宋体"/>
          <w:color w:val="auto"/>
          <w:sz w:val="24"/>
          <w:szCs w:val="24"/>
        </w:rPr>
        <w:t>1）装配率计算和装配式建筑等级评价宜以单体建筑作为计算和评价单元，并应符合下列规定：</w:t>
      </w:r>
    </w:p>
    <w:p w14:paraId="3D1C3174">
      <w:pPr>
        <w:pStyle w:val="59"/>
        <w:ind w:firstLine="480" w:firstLineChars="200"/>
        <w:rPr>
          <w:rFonts w:ascii="宋体" w:hAnsi="宋体" w:cs="宋体"/>
          <w:color w:val="auto"/>
          <w:sz w:val="24"/>
          <w:szCs w:val="24"/>
        </w:rPr>
      </w:pPr>
      <w:r>
        <w:rPr>
          <w:rFonts w:hint="eastAsia" w:ascii="宋体" w:hAnsi="宋体" w:cs="宋体"/>
          <w:color w:val="auto"/>
          <w:sz w:val="24"/>
          <w:szCs w:val="24"/>
        </w:rPr>
        <w:t>1单体建筑应按项目规划批准文件的建筑编号确认；</w:t>
      </w:r>
    </w:p>
    <w:p w14:paraId="595A4F4F">
      <w:pPr>
        <w:pStyle w:val="59"/>
        <w:ind w:firstLine="480" w:firstLineChars="200"/>
        <w:rPr>
          <w:rFonts w:ascii="宋体" w:hAnsi="宋体" w:cs="宋体"/>
          <w:color w:val="auto"/>
          <w:sz w:val="24"/>
          <w:szCs w:val="24"/>
        </w:rPr>
      </w:pPr>
      <w:r>
        <w:rPr>
          <w:rFonts w:hint="eastAsia" w:ascii="宋体" w:hAnsi="宋体" w:cs="宋体"/>
          <w:color w:val="auto"/>
          <w:sz w:val="24"/>
          <w:szCs w:val="24"/>
        </w:rPr>
        <w:t>2单体建筑由主楼和裙楼组成时，主楼和裙楼可按不同的单体建筑进行计算和评价；</w:t>
      </w:r>
    </w:p>
    <w:p w14:paraId="3D76D845">
      <w:pPr>
        <w:pStyle w:val="59"/>
        <w:ind w:firstLine="480" w:firstLineChars="200"/>
        <w:rPr>
          <w:rFonts w:ascii="宋体" w:hAnsi="宋体" w:cs="宋体"/>
          <w:color w:val="auto"/>
          <w:sz w:val="24"/>
          <w:szCs w:val="24"/>
        </w:rPr>
      </w:pPr>
      <w:r>
        <w:rPr>
          <w:rFonts w:hint="eastAsia" w:ascii="宋体" w:hAnsi="宋体" w:cs="宋体"/>
          <w:color w:val="auto"/>
          <w:sz w:val="24"/>
          <w:szCs w:val="24"/>
        </w:rPr>
        <w:t>3 单体建筑的层数不大于3层，且地上建筑面积不超过500m2时，可由多个单体建筑组成建筑组团作为计算和评价单元；</w:t>
      </w:r>
    </w:p>
    <w:p w14:paraId="5F75A063">
      <w:pPr>
        <w:pStyle w:val="59"/>
        <w:ind w:firstLine="480" w:firstLineChars="200"/>
        <w:rPr>
          <w:rFonts w:ascii="宋体" w:hAnsi="宋体" w:cs="宋体"/>
          <w:color w:val="auto"/>
          <w:sz w:val="24"/>
          <w:szCs w:val="24"/>
        </w:rPr>
      </w:pPr>
      <w:r>
        <w:rPr>
          <w:rFonts w:hint="eastAsia" w:ascii="宋体" w:hAnsi="宋体" w:cs="宋体"/>
          <w:color w:val="auto"/>
          <w:sz w:val="24"/>
          <w:szCs w:val="24"/>
        </w:rPr>
        <w:t>2）装配式建筑评价应符合下列规定：</w:t>
      </w:r>
    </w:p>
    <w:p w14:paraId="15F9FB9C">
      <w:pPr>
        <w:pStyle w:val="59"/>
        <w:ind w:firstLine="480" w:firstLineChars="200"/>
        <w:rPr>
          <w:rFonts w:ascii="宋体" w:hAnsi="宋体" w:cs="宋体"/>
          <w:color w:val="auto"/>
          <w:sz w:val="24"/>
          <w:szCs w:val="24"/>
        </w:rPr>
      </w:pPr>
      <w:r>
        <w:rPr>
          <w:rFonts w:hint="eastAsia" w:ascii="宋体" w:hAnsi="宋体" w:cs="宋体"/>
          <w:color w:val="auto"/>
          <w:sz w:val="24"/>
          <w:szCs w:val="24"/>
        </w:rPr>
        <w:t>1设计阶段宜进行预评价，并应按设计文件计算装配率；</w:t>
      </w:r>
    </w:p>
    <w:p w14:paraId="20BD6766">
      <w:pPr>
        <w:pStyle w:val="59"/>
        <w:ind w:firstLine="480" w:firstLineChars="200"/>
        <w:rPr>
          <w:rFonts w:ascii="宋体" w:hAnsi="宋体" w:cs="宋体"/>
          <w:color w:val="auto"/>
          <w:sz w:val="24"/>
          <w:szCs w:val="24"/>
        </w:rPr>
      </w:pPr>
      <w:r>
        <w:rPr>
          <w:rFonts w:hint="eastAsia" w:ascii="宋体" w:hAnsi="宋体" w:cs="宋体"/>
          <w:color w:val="auto"/>
          <w:sz w:val="24"/>
          <w:szCs w:val="24"/>
        </w:rPr>
        <w:t>2项目评价应在项目竣工验收阶段进行，并应按竣工验收资料计算装配率和确定评价等级。</w:t>
      </w:r>
    </w:p>
    <w:p w14:paraId="0FE48098">
      <w:pPr>
        <w:pStyle w:val="59"/>
        <w:ind w:firstLine="480" w:firstLineChars="200"/>
        <w:rPr>
          <w:rFonts w:ascii="宋体" w:hAnsi="宋体" w:cs="宋体"/>
          <w:color w:val="auto"/>
          <w:sz w:val="24"/>
          <w:szCs w:val="24"/>
        </w:rPr>
      </w:pPr>
      <w:r>
        <w:rPr>
          <w:rFonts w:hint="eastAsia" w:ascii="宋体" w:hAnsi="宋体" w:cs="宋体"/>
          <w:color w:val="auto"/>
          <w:sz w:val="24"/>
          <w:szCs w:val="24"/>
        </w:rPr>
        <w:t>3）本项目单体建筑（评价单元）同时满足下列要求时，认定为装配式建筑：</w:t>
      </w:r>
    </w:p>
    <w:p w14:paraId="2DC84C55">
      <w:pPr>
        <w:pStyle w:val="59"/>
        <w:ind w:firstLine="480" w:firstLineChars="200"/>
        <w:rPr>
          <w:rFonts w:ascii="宋体" w:hAnsi="宋体" w:cs="宋体"/>
          <w:color w:val="auto"/>
          <w:sz w:val="24"/>
          <w:szCs w:val="24"/>
        </w:rPr>
      </w:pPr>
      <w:r>
        <w:rPr>
          <w:rFonts w:hint="eastAsia" w:ascii="宋体" w:hAnsi="宋体" w:cs="宋体"/>
          <w:color w:val="auto"/>
          <w:sz w:val="24"/>
          <w:szCs w:val="24"/>
        </w:rPr>
        <w:t>1主体结构部分的评价分值不低于20分；</w:t>
      </w:r>
    </w:p>
    <w:p w14:paraId="254A4033">
      <w:pPr>
        <w:pStyle w:val="59"/>
        <w:ind w:firstLine="480" w:firstLineChars="200"/>
        <w:rPr>
          <w:rFonts w:ascii="宋体" w:hAnsi="宋体" w:cs="宋体"/>
          <w:color w:val="auto"/>
          <w:sz w:val="24"/>
          <w:szCs w:val="24"/>
        </w:rPr>
      </w:pPr>
      <w:r>
        <w:rPr>
          <w:rFonts w:hint="eastAsia" w:ascii="宋体" w:hAnsi="宋体" w:cs="宋体"/>
          <w:color w:val="auto"/>
          <w:sz w:val="24"/>
          <w:szCs w:val="24"/>
        </w:rPr>
        <w:t>2围护墙和内隔墙部分的评价分值不低于10分；</w:t>
      </w:r>
    </w:p>
    <w:p w14:paraId="47DA9EA1">
      <w:pPr>
        <w:pStyle w:val="59"/>
        <w:ind w:firstLine="480" w:firstLineChars="200"/>
        <w:rPr>
          <w:rFonts w:ascii="宋体" w:hAnsi="宋体" w:cs="宋体"/>
          <w:color w:val="auto"/>
          <w:sz w:val="24"/>
          <w:szCs w:val="24"/>
        </w:rPr>
      </w:pPr>
      <w:r>
        <w:rPr>
          <w:rFonts w:hint="eastAsia" w:ascii="宋体" w:hAnsi="宋体" w:cs="宋体"/>
          <w:color w:val="auto"/>
          <w:sz w:val="24"/>
          <w:szCs w:val="24"/>
        </w:rPr>
        <w:t>3采用全装修；</w:t>
      </w:r>
    </w:p>
    <w:p w14:paraId="77A29698">
      <w:pPr>
        <w:pStyle w:val="59"/>
        <w:ind w:firstLine="480" w:firstLineChars="200"/>
        <w:rPr>
          <w:rFonts w:ascii="宋体" w:hAnsi="宋体"/>
          <w:color w:val="auto"/>
          <w:sz w:val="24"/>
        </w:rPr>
      </w:pPr>
      <w:r>
        <w:rPr>
          <w:rFonts w:hint="eastAsia" w:ascii="宋体" w:hAnsi="宋体" w:cs="宋体"/>
          <w:color w:val="auto"/>
          <w:sz w:val="24"/>
          <w:szCs w:val="24"/>
        </w:rPr>
        <w:t>4装配率不低于50%。</w:t>
      </w:r>
    </w:p>
    <w:p w14:paraId="2035DFA4">
      <w:pPr>
        <w:pStyle w:val="67"/>
        <w:numPr>
          <w:ilvl w:val="0"/>
          <w:numId w:val="21"/>
        </w:numPr>
        <w:ind w:left="0" w:firstLine="480" w:firstLineChars="0"/>
        <w:rPr>
          <w:rFonts w:ascii="宋体" w:hAnsi="宋体" w:eastAsia="宋体"/>
          <w:color w:val="auto"/>
          <w:sz w:val="24"/>
          <w:szCs w:val="24"/>
        </w:rPr>
      </w:pPr>
      <w:r>
        <w:rPr>
          <w:rFonts w:hint="eastAsia" w:ascii="宋体" w:hAnsi="宋体" w:eastAsia="宋体"/>
          <w:color w:val="auto"/>
          <w:sz w:val="24"/>
          <w:szCs w:val="24"/>
        </w:rPr>
        <w:t>适当超前</w:t>
      </w:r>
    </w:p>
    <w:p w14:paraId="0C85DE05">
      <w:pPr>
        <w:ind w:firstLine="480" w:firstLineChars="200"/>
        <w:rPr>
          <w:rFonts w:ascii="宋体" w:hAnsi="宋体"/>
          <w:color w:val="auto"/>
          <w:sz w:val="24"/>
        </w:rPr>
      </w:pPr>
      <w:r>
        <w:rPr>
          <w:rFonts w:hint="eastAsia" w:ascii="宋体" w:hAnsi="宋体"/>
          <w:color w:val="auto"/>
          <w:sz w:val="24"/>
        </w:rPr>
        <w:t>设计规划力争体现当今学校建筑先进理念，同时充分考虑校园可持续发展、技术和设备更新发展的需求，给予宽松的空间预留。但超前而不奢华、先进与适用并举。</w:t>
      </w:r>
    </w:p>
    <w:p w14:paraId="4881EFB8">
      <w:pPr>
        <w:pStyle w:val="67"/>
        <w:numPr>
          <w:ilvl w:val="0"/>
          <w:numId w:val="21"/>
        </w:numPr>
        <w:ind w:left="0" w:firstLine="480" w:firstLineChars="0"/>
        <w:rPr>
          <w:rFonts w:ascii="宋体" w:hAnsi="宋体" w:eastAsia="宋体"/>
          <w:color w:val="auto"/>
          <w:sz w:val="24"/>
          <w:szCs w:val="24"/>
        </w:rPr>
      </w:pPr>
      <w:r>
        <w:rPr>
          <w:rFonts w:hint="eastAsia" w:ascii="宋体" w:hAnsi="宋体" w:eastAsia="宋体"/>
          <w:color w:val="auto"/>
          <w:sz w:val="24"/>
          <w:szCs w:val="24"/>
        </w:rPr>
        <w:t>建筑风格</w:t>
      </w:r>
    </w:p>
    <w:p w14:paraId="267125AB">
      <w:pPr>
        <w:pStyle w:val="21"/>
        <w:ind w:left="0" w:leftChars="0" w:firstLine="480" w:firstLineChars="200"/>
        <w:rPr>
          <w:color w:val="auto"/>
        </w:rPr>
      </w:pPr>
      <w:r>
        <w:rPr>
          <w:i w:val="0"/>
          <w:strike w:val="0"/>
          <w:color w:val="auto"/>
          <w:spacing w:val="0"/>
          <w:sz w:val="24"/>
          <w:u w:val="none"/>
        </w:rPr>
        <w:t>反映时代精神、具有创新的风格和意识，体现教育建筑的特色</w:t>
      </w:r>
      <w:r>
        <w:rPr>
          <w:rFonts w:hint="eastAsia" w:ascii="宋体" w:hAnsi="宋体"/>
          <w:color w:val="auto"/>
          <w:sz w:val="24"/>
        </w:rPr>
        <w:t>。</w:t>
      </w:r>
    </w:p>
    <w:p w14:paraId="5095D535">
      <w:pPr>
        <w:pStyle w:val="4"/>
        <w:numPr>
          <w:ilvl w:val="0"/>
          <w:numId w:val="17"/>
        </w:numPr>
        <w:spacing w:before="156" w:after="156"/>
        <w:ind w:left="0" w:firstLine="284"/>
        <w:rPr>
          <w:color w:val="auto"/>
        </w:rPr>
      </w:pPr>
      <w:bookmarkStart w:id="79" w:name="_Toc462255924"/>
      <w:bookmarkStart w:id="80" w:name="_Toc8208"/>
      <w:bookmarkStart w:id="81" w:name="_Toc462255840"/>
      <w:r>
        <w:rPr>
          <w:rFonts w:hint="eastAsia"/>
          <w:color w:val="auto"/>
        </w:rPr>
        <w:t>其他相关要求</w:t>
      </w:r>
      <w:bookmarkEnd w:id="79"/>
      <w:bookmarkEnd w:id="80"/>
      <w:bookmarkEnd w:id="81"/>
    </w:p>
    <w:p w14:paraId="14A4862D">
      <w:pPr>
        <w:pStyle w:val="67"/>
        <w:numPr>
          <w:ilvl w:val="0"/>
          <w:numId w:val="22"/>
        </w:numPr>
        <w:ind w:left="0" w:firstLine="424" w:firstLineChars="177"/>
        <w:rPr>
          <w:rFonts w:ascii="宋体" w:hAnsi="宋体" w:eastAsia="宋体"/>
          <w:color w:val="auto"/>
          <w:sz w:val="24"/>
          <w:szCs w:val="24"/>
        </w:rPr>
      </w:pPr>
      <w:r>
        <w:rPr>
          <w:rFonts w:hint="eastAsia" w:ascii="宋体" w:hAnsi="宋体" w:eastAsia="宋体"/>
          <w:color w:val="auto"/>
          <w:sz w:val="24"/>
          <w:szCs w:val="24"/>
        </w:rPr>
        <w:t>满足业主关于项目投资控制的目标</w:t>
      </w:r>
    </w:p>
    <w:p w14:paraId="75C3EF95">
      <w:pPr>
        <w:ind w:firstLine="480" w:firstLineChars="200"/>
        <w:rPr>
          <w:rFonts w:ascii="宋体" w:hAnsi="宋体"/>
          <w:color w:val="auto"/>
          <w:sz w:val="24"/>
        </w:rPr>
      </w:pPr>
      <w:r>
        <w:rPr>
          <w:rFonts w:hint="eastAsia" w:ascii="宋体" w:hAnsi="宋体"/>
          <w:color w:val="auto"/>
          <w:sz w:val="24"/>
        </w:rPr>
        <w:t>在保证设计质量的前提下，本项目必须按照政府主管部门确定的投资额度和要求严格控制，实行限额设计，严格控制初步设计和施工图设计的变更，确保工程概、预算不突破投资目标。</w:t>
      </w:r>
    </w:p>
    <w:p w14:paraId="41783D60">
      <w:pPr>
        <w:pStyle w:val="67"/>
        <w:numPr>
          <w:ilvl w:val="0"/>
          <w:numId w:val="23"/>
        </w:numPr>
        <w:ind w:left="0" w:firstLine="426" w:firstLineChars="0"/>
        <w:rPr>
          <w:color w:val="auto"/>
        </w:rPr>
      </w:pPr>
      <w:r>
        <w:rPr>
          <w:rFonts w:hint="eastAsia" w:ascii="宋体" w:hAnsi="宋体" w:eastAsia="宋体"/>
          <w:color w:val="auto"/>
          <w:sz w:val="24"/>
          <w:szCs w:val="24"/>
        </w:rPr>
        <w:t>满足国家关于中小学建筑设计的规范标准的要求及设计行业相关技术规范条文的要求，严格执行国家工程建设标准强制性条文。</w:t>
      </w:r>
    </w:p>
    <w:p w14:paraId="7070CD89">
      <w:pPr>
        <w:pStyle w:val="67"/>
        <w:numPr>
          <w:ilvl w:val="0"/>
          <w:numId w:val="23"/>
        </w:numPr>
        <w:ind w:left="0" w:firstLine="426" w:firstLineChars="0"/>
        <w:rPr>
          <w:color w:val="auto"/>
        </w:rPr>
      </w:pPr>
      <w:r>
        <w:rPr>
          <w:rFonts w:hint="eastAsia" w:ascii="宋体" w:hAnsi="宋体" w:eastAsia="宋体"/>
          <w:color w:val="auto"/>
          <w:sz w:val="24"/>
        </w:rPr>
        <w:t>规划与建筑设计应满足建筑功能的要求，在使用上应具有较大的适应性和灵活性，各功能分区既要相对独立，又要有机联系，便于统一管理。按照“分区规划，资</w:t>
      </w:r>
      <w:r>
        <w:rPr>
          <w:rFonts w:hint="eastAsia" w:ascii="宋体" w:hAnsi="宋体" w:eastAsia="宋体" w:cs="Times New Roman"/>
          <w:color w:val="auto"/>
          <w:sz w:val="24"/>
        </w:rPr>
        <w:t>源共享”的原则，分别以教育区、生活区、运动区作为三个相对独立的功能管理分区，绿地、道路广场等设</w:t>
      </w:r>
      <w:r>
        <w:rPr>
          <w:rFonts w:hint="eastAsia" w:ascii="宋体" w:hAnsi="宋体" w:eastAsia="宋体"/>
          <w:color w:val="auto"/>
          <w:sz w:val="24"/>
        </w:rPr>
        <w:t>为共享区域。</w:t>
      </w:r>
    </w:p>
    <w:p w14:paraId="3D41A0AF">
      <w:pPr>
        <w:pStyle w:val="67"/>
        <w:numPr>
          <w:ilvl w:val="0"/>
          <w:numId w:val="23"/>
        </w:numPr>
        <w:ind w:left="0" w:firstLine="426" w:firstLineChars="0"/>
        <w:rPr>
          <w:rFonts w:ascii="宋体" w:hAnsi="宋体" w:eastAsia="宋体"/>
          <w:color w:val="auto"/>
          <w:sz w:val="24"/>
          <w:szCs w:val="24"/>
        </w:rPr>
      </w:pPr>
      <w:r>
        <w:rPr>
          <w:rFonts w:hint="eastAsia" w:ascii="宋体" w:hAnsi="宋体" w:eastAsia="宋体"/>
          <w:color w:val="auto"/>
          <w:sz w:val="24"/>
        </w:rPr>
        <w:t>项目的设计方案，应严格以经批准的可行性研究报告关于项目的建设规模及标准作为设计的刚性指标，以批准的投资估算作为刚性的设计限额指标。对于设计标准应在此基础上予以明确，并以规划等相关职能部门审核为准，最终以使用单位、建设单位和行业主管部门盖章确认的《功能需求书》为基础，以设计方案及初步设计的审核结果作为施工图设计依据。</w:t>
      </w:r>
    </w:p>
    <w:p w14:paraId="6CFD8F04">
      <w:pPr>
        <w:widowControl/>
        <w:jc w:val="left"/>
        <w:rPr>
          <w:rFonts w:ascii="宋体" w:hAnsi="宋体"/>
          <w:color w:val="auto"/>
          <w:sz w:val="24"/>
        </w:rPr>
      </w:pPr>
    </w:p>
    <w:p w14:paraId="3153AA38">
      <w:pPr>
        <w:rPr>
          <w:rFonts w:hint="eastAsia" w:ascii="宋体" w:hAnsi="宋体"/>
          <w:color w:val="auto"/>
          <w:sz w:val="36"/>
          <w:szCs w:val="36"/>
        </w:rPr>
      </w:pPr>
      <w:bookmarkStart w:id="82" w:name="_Toc24486"/>
      <w:bookmarkStart w:id="83" w:name="_Toc462255841"/>
      <w:r>
        <w:rPr>
          <w:rFonts w:hint="eastAsia" w:ascii="宋体" w:hAnsi="宋体"/>
          <w:color w:val="auto"/>
          <w:sz w:val="36"/>
          <w:szCs w:val="36"/>
        </w:rPr>
        <w:br w:type="page"/>
      </w:r>
    </w:p>
    <w:p w14:paraId="490BB199">
      <w:pPr>
        <w:pStyle w:val="2"/>
        <w:tabs>
          <w:tab w:val="left" w:pos="3570"/>
        </w:tabs>
        <w:spacing w:before="156" w:beforeLines="50" w:after="156" w:afterLines="50" w:line="360" w:lineRule="auto"/>
        <w:jc w:val="center"/>
        <w:rPr>
          <w:rFonts w:ascii="宋体" w:hAnsi="宋体"/>
          <w:color w:val="auto"/>
          <w:sz w:val="36"/>
          <w:szCs w:val="36"/>
        </w:rPr>
      </w:pPr>
      <w:r>
        <w:rPr>
          <w:rFonts w:hint="eastAsia" w:ascii="宋体" w:hAnsi="宋体"/>
          <w:color w:val="auto"/>
          <w:sz w:val="36"/>
          <w:szCs w:val="36"/>
        </w:rPr>
        <w:t>第四章</w:t>
      </w:r>
      <w:r>
        <w:rPr>
          <w:rFonts w:ascii="宋体" w:hAnsi="宋体"/>
          <w:color w:val="auto"/>
          <w:sz w:val="36"/>
          <w:szCs w:val="36"/>
        </w:rPr>
        <w:t xml:space="preserve"> </w:t>
      </w:r>
      <w:r>
        <w:rPr>
          <w:rFonts w:hint="eastAsia" w:ascii="宋体" w:hAnsi="宋体"/>
          <w:color w:val="auto"/>
          <w:sz w:val="36"/>
          <w:szCs w:val="36"/>
        </w:rPr>
        <w:t>规划设计要求</w:t>
      </w:r>
      <w:bookmarkEnd w:id="82"/>
      <w:bookmarkEnd w:id="83"/>
    </w:p>
    <w:p w14:paraId="68A3E45A">
      <w:pPr>
        <w:pStyle w:val="3"/>
        <w:numPr>
          <w:ilvl w:val="0"/>
          <w:numId w:val="24"/>
        </w:numPr>
        <w:spacing w:before="120" w:after="120" w:line="360" w:lineRule="auto"/>
        <w:ind w:left="0" w:firstLine="0"/>
        <w:rPr>
          <w:rFonts w:ascii="宋体" w:hAnsi="宋体"/>
          <w:color w:val="auto"/>
          <w:szCs w:val="21"/>
        </w:rPr>
      </w:pPr>
      <w:bookmarkStart w:id="84" w:name="_Toc5536"/>
      <w:bookmarkStart w:id="85" w:name="_Toc462255842"/>
      <w:r>
        <w:rPr>
          <w:rFonts w:hint="eastAsia" w:ascii="宋体" w:hAnsi="宋体"/>
          <w:color w:val="auto"/>
          <w:szCs w:val="21"/>
        </w:rPr>
        <w:t>规划范围</w:t>
      </w:r>
      <w:bookmarkEnd w:id="84"/>
      <w:bookmarkEnd w:id="85"/>
    </w:p>
    <w:p w14:paraId="35F76BBC">
      <w:pPr>
        <w:ind w:firstLine="480" w:firstLineChars="200"/>
        <w:rPr>
          <w:rFonts w:hint="eastAsia" w:ascii="宋体" w:hAnsi="宋体"/>
          <w:color w:val="auto"/>
          <w:sz w:val="24"/>
          <w:szCs w:val="21"/>
        </w:rPr>
      </w:pPr>
      <w:r>
        <w:rPr>
          <w:rFonts w:hint="eastAsia" w:ascii="宋体" w:hAnsi="宋体"/>
          <w:color w:val="auto"/>
          <w:sz w:val="24"/>
          <w:szCs w:val="21"/>
        </w:rPr>
        <w:t>项目建设地点位于</w:t>
      </w:r>
      <w:r>
        <w:rPr>
          <w:rFonts w:hint="eastAsia"/>
          <w:color w:val="auto"/>
          <w:sz w:val="24"/>
          <w:szCs w:val="24"/>
        </w:rPr>
        <w:t>永宁街永贤路</w:t>
      </w:r>
      <w:r>
        <w:rPr>
          <w:rFonts w:hint="eastAsia"/>
          <w:color w:val="auto"/>
          <w:sz w:val="24"/>
          <w:szCs w:val="24"/>
          <w:lang w:eastAsia="zh-CN"/>
        </w:rPr>
        <w:t>西侧</w:t>
      </w:r>
      <w:r>
        <w:rPr>
          <w:rFonts w:hint="eastAsia" w:ascii="宋体" w:hAnsi="宋体"/>
          <w:color w:val="auto"/>
          <w:sz w:val="24"/>
          <w:szCs w:val="21"/>
        </w:rPr>
        <w:t>，对外交通</w:t>
      </w:r>
      <w:r>
        <w:rPr>
          <w:rFonts w:hint="eastAsia" w:ascii="宋体" w:hAnsi="宋体"/>
          <w:color w:val="auto"/>
          <w:sz w:val="24"/>
          <w:szCs w:val="21"/>
          <w:lang w:eastAsia="zh-CN"/>
        </w:rPr>
        <w:t>较为</w:t>
      </w:r>
      <w:r>
        <w:rPr>
          <w:rFonts w:hint="eastAsia" w:ascii="宋体" w:hAnsi="宋体"/>
          <w:color w:val="auto"/>
          <w:sz w:val="24"/>
          <w:szCs w:val="21"/>
        </w:rPr>
        <w:t>便利，周边交通</w:t>
      </w:r>
      <w:r>
        <w:rPr>
          <w:rFonts w:hint="eastAsia" w:ascii="宋体" w:hAnsi="宋体"/>
          <w:color w:val="auto"/>
          <w:sz w:val="24"/>
          <w:szCs w:val="21"/>
          <w:lang w:eastAsia="zh-CN"/>
        </w:rPr>
        <w:t>及基础设施配套</w:t>
      </w:r>
      <w:r>
        <w:rPr>
          <w:rFonts w:hint="eastAsia" w:ascii="宋体" w:hAnsi="宋体"/>
          <w:color w:val="auto"/>
          <w:sz w:val="24"/>
          <w:szCs w:val="21"/>
        </w:rPr>
        <w:t>较为完善。</w:t>
      </w:r>
    </w:p>
    <w:p w14:paraId="2426507B">
      <w:pPr>
        <w:pBdr>
          <w:bottom w:val="none" w:color="auto" w:sz="0" w:space="0"/>
        </w:pBdr>
        <w:ind w:firstLine="480" w:firstLineChars="200"/>
        <w:contextualSpacing/>
        <w:rPr>
          <w:rFonts w:hint="eastAsia" w:ascii="宋体" w:hAnsi="宋体" w:eastAsia="宋体" w:cs="宋体"/>
          <w:color w:val="auto"/>
          <w:kern w:val="28"/>
          <w:sz w:val="24"/>
          <w:szCs w:val="21"/>
          <w:lang w:eastAsia="zh-CN"/>
        </w:rPr>
      </w:pPr>
      <w:r>
        <w:rPr>
          <w:rFonts w:hint="eastAsia" w:ascii="宋体" w:hAnsi="宋体" w:eastAsia="宋体" w:cs="宋体"/>
          <w:color w:val="auto"/>
          <w:kern w:val="28"/>
          <w:sz w:val="24"/>
          <w:szCs w:val="21"/>
          <w:lang w:eastAsia="zh-CN"/>
        </w:rPr>
        <w:t>本项目拟建48个高中班，总规模2400生。项目总用地面积94151.4㎡(约141.227亩)，拟保留建筑(学生宿舍)面积约为3100㎡，拟新建总建筑面积约为76000㎡，其中新建计容面积约为64800㎡，不计容面积约为11200㎡(含连廊及架空层4000㎡)；新建建设内容主要包括教学及辅助用房(约37083㎡)、行政办公用房(约2767㎡)、生活服务用房(约6710㎡)、学生宿舍(约13900㎡)、教职工宿舍(约</w:t>
      </w:r>
      <w:r>
        <w:rPr>
          <w:rFonts w:hint="eastAsia" w:ascii="宋体" w:hAnsi="宋体" w:eastAsia="宋体" w:cs="宋体"/>
          <w:color w:val="auto"/>
          <w:kern w:val="28"/>
          <w:sz w:val="24"/>
          <w:szCs w:val="21"/>
          <w:lang w:val="en-US" w:eastAsia="zh-CN"/>
        </w:rPr>
        <w:t>4340</w:t>
      </w:r>
      <w:r>
        <w:rPr>
          <w:rFonts w:hint="eastAsia" w:ascii="宋体" w:hAnsi="宋体" w:eastAsia="宋体" w:cs="宋体"/>
          <w:color w:val="auto"/>
          <w:kern w:val="28"/>
          <w:sz w:val="24"/>
          <w:szCs w:val="21"/>
          <w:lang w:eastAsia="zh-CN"/>
        </w:rPr>
        <w:t>㎡)、车库及设备用房、400米田径场、室外运动场、绿地、道路广场及充电等。(最终以可行性研究报告批复为准)</w:t>
      </w:r>
    </w:p>
    <w:p w14:paraId="50918437">
      <w:pPr>
        <w:pStyle w:val="3"/>
        <w:spacing w:before="120" w:after="120" w:line="360" w:lineRule="auto"/>
        <w:rPr>
          <w:rFonts w:ascii="宋体" w:hAnsi="宋体"/>
          <w:color w:val="auto"/>
        </w:rPr>
      </w:pPr>
      <w:bookmarkStart w:id="86" w:name="_Toc27500"/>
      <w:r>
        <w:rPr>
          <w:rFonts w:hint="eastAsia" w:ascii="宋体" w:hAnsi="宋体"/>
          <w:color w:val="auto"/>
        </w:rPr>
        <w:t>二、总平面布局</w:t>
      </w:r>
      <w:bookmarkEnd w:id="86"/>
    </w:p>
    <w:p w14:paraId="237DFC15">
      <w:pPr>
        <w:ind w:firstLine="480" w:firstLineChars="200"/>
        <w:rPr>
          <w:rFonts w:hint="eastAsia" w:ascii="宋体" w:hAnsi="宋体"/>
          <w:color w:val="auto"/>
          <w:sz w:val="24"/>
        </w:rPr>
      </w:pPr>
      <w:bookmarkStart w:id="87" w:name="_Toc462262030"/>
      <w:bookmarkEnd w:id="87"/>
      <w:bookmarkStart w:id="88" w:name="_Toc462255858"/>
      <w:bookmarkEnd w:id="88"/>
      <w:bookmarkStart w:id="89" w:name="_Toc462256867"/>
      <w:bookmarkEnd w:id="89"/>
      <w:bookmarkStart w:id="90" w:name="_Toc462255930"/>
      <w:bookmarkEnd w:id="90"/>
      <w:bookmarkStart w:id="91" w:name="_Toc462256875"/>
      <w:bookmarkEnd w:id="91"/>
      <w:bookmarkStart w:id="92" w:name="_Toc462255860"/>
      <w:bookmarkEnd w:id="92"/>
      <w:bookmarkStart w:id="93" w:name="_Toc462255939"/>
      <w:bookmarkEnd w:id="93"/>
      <w:bookmarkStart w:id="94" w:name="_Toc462255850"/>
      <w:bookmarkEnd w:id="94"/>
      <w:bookmarkStart w:id="95" w:name="_Toc462255935"/>
      <w:bookmarkEnd w:id="95"/>
      <w:bookmarkStart w:id="96" w:name="_Toc462255855"/>
      <w:bookmarkEnd w:id="96"/>
      <w:bookmarkStart w:id="97" w:name="_Toc462255486"/>
      <w:bookmarkEnd w:id="97"/>
      <w:bookmarkStart w:id="98" w:name="_Toc462255473"/>
      <w:bookmarkEnd w:id="98"/>
      <w:bookmarkStart w:id="99" w:name="_Toc462255851"/>
      <w:bookmarkEnd w:id="99"/>
      <w:bookmarkStart w:id="100" w:name="_Toc462262033"/>
      <w:bookmarkEnd w:id="100"/>
      <w:bookmarkStart w:id="101" w:name="_Toc462262035"/>
      <w:bookmarkEnd w:id="101"/>
      <w:bookmarkStart w:id="102" w:name="_Toc462255940"/>
      <w:bookmarkEnd w:id="102"/>
      <w:bookmarkStart w:id="103" w:name="_Toc462255859"/>
      <w:bookmarkEnd w:id="103"/>
      <w:bookmarkStart w:id="104" w:name="_Toc462262023"/>
      <w:bookmarkEnd w:id="104"/>
      <w:bookmarkStart w:id="105" w:name="_Toc462255482"/>
      <w:bookmarkEnd w:id="105"/>
      <w:bookmarkStart w:id="106" w:name="_Toc462255474"/>
      <w:bookmarkEnd w:id="106"/>
      <w:bookmarkStart w:id="107" w:name="_Toc462255857"/>
      <w:bookmarkEnd w:id="107"/>
      <w:bookmarkStart w:id="108" w:name="_Toc462255483"/>
      <w:bookmarkEnd w:id="108"/>
      <w:bookmarkStart w:id="109" w:name="_Toc462255472"/>
      <w:bookmarkEnd w:id="109"/>
      <w:bookmarkStart w:id="110" w:name="_Toc462256870"/>
      <w:bookmarkEnd w:id="110"/>
      <w:bookmarkStart w:id="111" w:name="_Toc462255941"/>
      <w:bookmarkEnd w:id="111"/>
      <w:bookmarkStart w:id="112" w:name="_Toc462255862"/>
      <w:bookmarkEnd w:id="112"/>
      <w:bookmarkStart w:id="113" w:name="_Toc462255938"/>
      <w:bookmarkEnd w:id="113"/>
      <w:bookmarkStart w:id="114" w:name="_Toc462256868"/>
      <w:bookmarkEnd w:id="114"/>
      <w:bookmarkStart w:id="115" w:name="_Toc462256863"/>
      <w:bookmarkEnd w:id="115"/>
      <w:bookmarkStart w:id="116" w:name="_Toc462256865"/>
      <w:bookmarkEnd w:id="116"/>
      <w:bookmarkStart w:id="117" w:name="_Toc462255470"/>
      <w:bookmarkEnd w:id="117"/>
      <w:bookmarkStart w:id="118" w:name="_Toc462262041"/>
      <w:bookmarkEnd w:id="118"/>
      <w:bookmarkStart w:id="119" w:name="_Toc462256871"/>
      <w:bookmarkEnd w:id="119"/>
      <w:bookmarkStart w:id="120" w:name="_Toc462262025"/>
      <w:bookmarkEnd w:id="120"/>
      <w:bookmarkStart w:id="121" w:name="_Toc462256872"/>
      <w:bookmarkEnd w:id="121"/>
      <w:bookmarkStart w:id="122" w:name="_Toc462255942"/>
      <w:bookmarkEnd w:id="122"/>
      <w:bookmarkStart w:id="123" w:name="_Toc462255476"/>
      <w:bookmarkEnd w:id="123"/>
      <w:bookmarkStart w:id="124" w:name="_Toc462255863"/>
      <w:bookmarkEnd w:id="124"/>
      <w:bookmarkStart w:id="125" w:name="_Toc462255479"/>
      <w:bookmarkEnd w:id="125"/>
      <w:bookmarkStart w:id="126" w:name="_Toc462256880"/>
      <w:bookmarkEnd w:id="126"/>
      <w:bookmarkStart w:id="127" w:name="_Toc462256873"/>
      <w:bookmarkEnd w:id="127"/>
      <w:bookmarkStart w:id="128" w:name="_Toc462255932"/>
      <w:bookmarkEnd w:id="128"/>
      <w:bookmarkStart w:id="129" w:name="_Toc462256869"/>
      <w:bookmarkEnd w:id="129"/>
      <w:bookmarkStart w:id="130" w:name="_Toc462255944"/>
      <w:bookmarkEnd w:id="130"/>
      <w:bookmarkStart w:id="131" w:name="_Toc462255947"/>
      <w:bookmarkEnd w:id="131"/>
      <w:bookmarkStart w:id="132" w:name="_Toc462255931"/>
      <w:bookmarkEnd w:id="132"/>
      <w:bookmarkStart w:id="133" w:name="_Toc462255846"/>
      <w:bookmarkEnd w:id="133"/>
      <w:bookmarkStart w:id="134" w:name="_Toc462256879"/>
      <w:bookmarkEnd w:id="134"/>
      <w:bookmarkStart w:id="135" w:name="_Toc462262029"/>
      <w:bookmarkEnd w:id="135"/>
      <w:bookmarkStart w:id="136" w:name="_Toc462255852"/>
      <w:bookmarkEnd w:id="136"/>
      <w:bookmarkStart w:id="137" w:name="_Toc462255853"/>
      <w:bookmarkEnd w:id="137"/>
      <w:bookmarkStart w:id="138" w:name="_Toc462255487"/>
      <w:bookmarkEnd w:id="138"/>
      <w:bookmarkStart w:id="139" w:name="_Toc462256877"/>
      <w:bookmarkEnd w:id="139"/>
      <w:bookmarkStart w:id="140" w:name="_Toc462255861"/>
      <w:bookmarkEnd w:id="140"/>
      <w:bookmarkStart w:id="141" w:name="_Toc462255475"/>
      <w:bookmarkEnd w:id="141"/>
      <w:bookmarkStart w:id="142" w:name="_Toc462256876"/>
      <w:bookmarkEnd w:id="142"/>
      <w:bookmarkStart w:id="143" w:name="_Toc462255477"/>
      <w:bookmarkEnd w:id="143"/>
      <w:bookmarkStart w:id="144" w:name="_Toc462262024"/>
      <w:bookmarkEnd w:id="144"/>
      <w:bookmarkStart w:id="145" w:name="_Toc462255469"/>
      <w:bookmarkEnd w:id="145"/>
      <w:bookmarkStart w:id="146" w:name="_Toc462256866"/>
      <w:bookmarkEnd w:id="146"/>
      <w:bookmarkStart w:id="147" w:name="_Toc462262034"/>
      <w:bookmarkEnd w:id="147"/>
      <w:bookmarkStart w:id="148" w:name="_Toc462255856"/>
      <w:bookmarkEnd w:id="148"/>
      <w:bookmarkStart w:id="149" w:name="_Toc462262026"/>
      <w:bookmarkEnd w:id="149"/>
      <w:bookmarkStart w:id="150" w:name="_Toc462256864"/>
      <w:bookmarkEnd w:id="150"/>
      <w:bookmarkStart w:id="151" w:name="_Toc462262036"/>
      <w:bookmarkEnd w:id="151"/>
      <w:bookmarkStart w:id="152" w:name="_Toc462255484"/>
      <w:bookmarkEnd w:id="152"/>
      <w:bookmarkStart w:id="153" w:name="_Toc462255480"/>
      <w:bookmarkEnd w:id="153"/>
      <w:bookmarkStart w:id="154" w:name="_Toc462255937"/>
      <w:bookmarkEnd w:id="154"/>
      <w:bookmarkStart w:id="155" w:name="_Toc462262028"/>
      <w:bookmarkEnd w:id="155"/>
      <w:bookmarkStart w:id="156" w:name="_Toc462256878"/>
      <w:bookmarkEnd w:id="156"/>
      <w:bookmarkStart w:id="157" w:name="_Toc462255933"/>
      <w:bookmarkEnd w:id="157"/>
      <w:bookmarkStart w:id="158" w:name="_Toc462262027"/>
      <w:bookmarkEnd w:id="158"/>
      <w:bookmarkStart w:id="159" w:name="_Toc462255481"/>
      <w:bookmarkEnd w:id="159"/>
      <w:bookmarkStart w:id="160" w:name="_Toc462255943"/>
      <w:bookmarkEnd w:id="160"/>
      <w:bookmarkStart w:id="161" w:name="_Toc462255471"/>
      <w:bookmarkEnd w:id="161"/>
      <w:bookmarkStart w:id="162" w:name="_Toc462262032"/>
      <w:bookmarkEnd w:id="162"/>
      <w:bookmarkStart w:id="163" w:name="_Toc462255929"/>
      <w:bookmarkEnd w:id="163"/>
      <w:bookmarkStart w:id="164" w:name="_Toc462255845"/>
      <w:bookmarkEnd w:id="164"/>
      <w:bookmarkStart w:id="165" w:name="_Toc462256874"/>
      <w:bookmarkEnd w:id="165"/>
      <w:bookmarkStart w:id="166" w:name="_Toc462262039"/>
      <w:bookmarkEnd w:id="166"/>
      <w:bookmarkStart w:id="167" w:name="_Toc462255848"/>
      <w:bookmarkEnd w:id="167"/>
      <w:bookmarkStart w:id="168" w:name="_Toc462255485"/>
      <w:bookmarkEnd w:id="168"/>
      <w:bookmarkStart w:id="169" w:name="_Toc462262040"/>
      <w:bookmarkEnd w:id="169"/>
      <w:bookmarkStart w:id="170" w:name="_Toc462262031"/>
      <w:bookmarkEnd w:id="170"/>
      <w:bookmarkStart w:id="171" w:name="_Toc462256862"/>
      <w:bookmarkEnd w:id="171"/>
      <w:bookmarkStart w:id="172" w:name="_Toc462255945"/>
      <w:bookmarkEnd w:id="172"/>
      <w:bookmarkStart w:id="173" w:name="_Toc462255946"/>
      <w:bookmarkEnd w:id="173"/>
      <w:bookmarkStart w:id="174" w:name="_Toc462262037"/>
      <w:bookmarkEnd w:id="174"/>
      <w:bookmarkStart w:id="175" w:name="_Toc462255849"/>
      <w:bookmarkEnd w:id="175"/>
      <w:bookmarkStart w:id="176" w:name="_Toc462255934"/>
      <w:bookmarkEnd w:id="176"/>
      <w:bookmarkStart w:id="177" w:name="_Toc462255854"/>
      <w:bookmarkEnd w:id="177"/>
      <w:bookmarkStart w:id="178" w:name="_Toc462255478"/>
      <w:bookmarkEnd w:id="178"/>
      <w:bookmarkStart w:id="179" w:name="_Toc462255847"/>
      <w:bookmarkEnd w:id="179"/>
      <w:bookmarkStart w:id="180" w:name="_Toc462262038"/>
      <w:bookmarkEnd w:id="180"/>
      <w:bookmarkStart w:id="181" w:name="_Toc462255936"/>
      <w:bookmarkEnd w:id="181"/>
      <w:r>
        <w:rPr>
          <w:rFonts w:hint="eastAsia" w:ascii="宋体" w:hAnsi="宋体"/>
          <w:color w:val="auto"/>
          <w:sz w:val="24"/>
        </w:rPr>
        <w:t>总平面规划构思为：尊重环境、利用地形，动静分离，疏密有致，形成内外有别而又相互渗透的功能分区及顺应地形的自由式校园布局；适度聚集，形成组团的建筑布局。以体现生态环境，同时结合建筑美学，人文景观等相关科学，创造一个环保、生态、可持续发展的新型现代教学园区和反映人文精神纯净典雅的氛围。</w:t>
      </w:r>
    </w:p>
    <w:p w14:paraId="3DD3D092">
      <w:pPr>
        <w:ind w:firstLine="480" w:firstLineChars="200"/>
        <w:rPr>
          <w:rFonts w:hint="eastAsia" w:ascii="宋体" w:hAnsi="宋体"/>
          <w:color w:val="auto"/>
          <w:sz w:val="24"/>
        </w:rPr>
      </w:pPr>
      <w:r>
        <w:rPr>
          <w:rFonts w:hint="eastAsia" w:ascii="宋体" w:hAnsi="宋体"/>
          <w:color w:val="auto"/>
          <w:sz w:val="24"/>
        </w:rPr>
        <w:t>（1）总平面布置原则</w:t>
      </w:r>
    </w:p>
    <w:p w14:paraId="0839FD22">
      <w:pPr>
        <w:ind w:firstLine="480" w:firstLineChars="200"/>
        <w:rPr>
          <w:rFonts w:hint="eastAsia" w:ascii="宋体" w:hAnsi="宋体"/>
          <w:color w:val="auto"/>
          <w:sz w:val="24"/>
        </w:rPr>
      </w:pPr>
      <w:r>
        <w:rPr>
          <w:rFonts w:hint="eastAsia" w:ascii="宋体" w:hAnsi="宋体"/>
          <w:color w:val="auto"/>
          <w:sz w:val="24"/>
        </w:rPr>
        <w:t>1）贯彻党的基本方针、政策、在设计中遵守国家省市制定的有关设计规范及设计标准；</w:t>
      </w:r>
    </w:p>
    <w:p w14:paraId="7930BE00">
      <w:pPr>
        <w:ind w:firstLine="480" w:firstLineChars="200"/>
        <w:rPr>
          <w:rFonts w:hint="eastAsia" w:ascii="宋体" w:hAnsi="宋体"/>
          <w:color w:val="auto"/>
          <w:sz w:val="24"/>
        </w:rPr>
      </w:pPr>
      <w:r>
        <w:rPr>
          <w:rFonts w:hint="eastAsia" w:ascii="宋体" w:hAnsi="宋体"/>
          <w:color w:val="auto"/>
          <w:sz w:val="24"/>
        </w:rPr>
        <w:t xml:space="preserve">2）遵循“以人为本”的指导思想，创造一个环境优美、功能齐备的教学环境； </w:t>
      </w:r>
    </w:p>
    <w:p w14:paraId="0A010485">
      <w:pPr>
        <w:ind w:firstLine="480" w:firstLineChars="200"/>
        <w:rPr>
          <w:rFonts w:hint="eastAsia" w:ascii="宋体" w:hAnsi="宋体"/>
          <w:color w:val="auto"/>
          <w:sz w:val="24"/>
        </w:rPr>
      </w:pPr>
      <w:r>
        <w:rPr>
          <w:rFonts w:hint="eastAsia" w:ascii="宋体" w:hAnsi="宋体"/>
          <w:color w:val="auto"/>
          <w:sz w:val="24"/>
        </w:rPr>
        <w:t>3）在设计中从该地块地理环境及规划原理入手，从空间形式到内部功能完美的协调起来，体现简洁清新、朴素大方、宁静典雅的特色，做到实用、方便，视风向、水源、阳光合理布局；</w:t>
      </w:r>
    </w:p>
    <w:p w14:paraId="47277601">
      <w:pPr>
        <w:ind w:firstLine="480" w:firstLineChars="200"/>
        <w:rPr>
          <w:rFonts w:hint="eastAsia" w:ascii="宋体" w:hAnsi="宋体"/>
          <w:color w:val="auto"/>
          <w:sz w:val="24"/>
        </w:rPr>
      </w:pPr>
      <w:r>
        <w:rPr>
          <w:rFonts w:hint="eastAsia" w:ascii="宋体" w:hAnsi="宋体"/>
          <w:color w:val="auto"/>
          <w:sz w:val="24"/>
        </w:rPr>
        <w:t>4）功能分区明确，满足学校教学等日常功能需要。</w:t>
      </w:r>
    </w:p>
    <w:p w14:paraId="325C7797">
      <w:pPr>
        <w:ind w:firstLine="480" w:firstLineChars="200"/>
        <w:rPr>
          <w:rFonts w:hint="eastAsia" w:ascii="宋体" w:hAnsi="宋体" w:eastAsia="宋体"/>
          <w:color w:val="auto"/>
          <w:sz w:val="24"/>
          <w:lang w:val="en-US" w:eastAsia="zh-CN"/>
        </w:rPr>
      </w:pPr>
      <w:r>
        <w:rPr>
          <w:rFonts w:hint="eastAsia" w:ascii="宋体" w:hAnsi="宋体"/>
          <w:color w:val="auto"/>
          <w:sz w:val="24"/>
          <w:lang w:val="en-US" w:eastAsia="zh-CN"/>
        </w:rPr>
        <w:t>5）立足学校现状和建设期教学任务开展的实际情况，考虑项目分期分批开发规划和建设的可实施性。</w:t>
      </w:r>
    </w:p>
    <w:p w14:paraId="3BE0629C">
      <w:pPr>
        <w:ind w:firstLine="480" w:firstLineChars="200"/>
        <w:rPr>
          <w:rFonts w:hint="eastAsia" w:ascii="宋体" w:hAnsi="宋体"/>
          <w:color w:val="auto"/>
          <w:sz w:val="24"/>
        </w:rPr>
      </w:pPr>
      <w:r>
        <w:rPr>
          <w:rFonts w:hint="eastAsia" w:ascii="宋体" w:hAnsi="宋体"/>
          <w:color w:val="auto"/>
          <w:sz w:val="24"/>
        </w:rPr>
        <w:t>（2）总平面布置要求</w:t>
      </w:r>
    </w:p>
    <w:p w14:paraId="255F2E91">
      <w:pPr>
        <w:ind w:firstLine="480" w:firstLineChars="200"/>
        <w:rPr>
          <w:rFonts w:hint="eastAsia" w:ascii="宋体" w:hAnsi="宋体"/>
          <w:color w:val="auto"/>
          <w:sz w:val="24"/>
        </w:rPr>
      </w:pPr>
      <w:r>
        <w:rPr>
          <w:rFonts w:hint="eastAsia" w:ascii="宋体" w:hAnsi="宋体"/>
          <w:color w:val="auto"/>
          <w:sz w:val="24"/>
        </w:rPr>
        <w:t>力求在总图规划中实现经济、社会和环境效益的综合优化，达到功能合理，投资经济、节能省地。应该从以下几个方面充分考虑：</w:t>
      </w:r>
    </w:p>
    <w:p w14:paraId="44E63D17">
      <w:pPr>
        <w:ind w:firstLine="480" w:firstLineChars="200"/>
        <w:rPr>
          <w:rFonts w:hint="eastAsia" w:ascii="宋体" w:hAnsi="宋体"/>
          <w:color w:val="auto"/>
          <w:sz w:val="24"/>
        </w:rPr>
      </w:pPr>
      <w:r>
        <w:rPr>
          <w:rFonts w:hint="eastAsia" w:ascii="宋体" w:hAnsi="宋体"/>
          <w:color w:val="auto"/>
          <w:sz w:val="24"/>
        </w:rPr>
        <w:t xml:space="preserve">1）应充分体现“防灾、抗灾、安全第一的”设计思想，在工程设计中适当提高建设标准，同时遵循“确保安全、适用、实用、方便学生”的原则，建筑防火符合现行有关建筑防火标准的规定。 </w:t>
      </w:r>
    </w:p>
    <w:p w14:paraId="53055F2C">
      <w:pPr>
        <w:ind w:firstLine="480" w:firstLineChars="200"/>
        <w:rPr>
          <w:rFonts w:hint="eastAsia" w:ascii="宋体" w:hAnsi="宋体"/>
          <w:color w:val="auto"/>
          <w:sz w:val="24"/>
        </w:rPr>
      </w:pPr>
      <w:r>
        <w:rPr>
          <w:rFonts w:hint="eastAsia" w:ascii="宋体" w:hAnsi="宋体"/>
          <w:color w:val="auto"/>
          <w:sz w:val="24"/>
        </w:rPr>
        <w:t>2）项目建成后学校布局将按照学生教学区、运动区、生活区等不同功能分区合理布局；功能的设置既要满足现实的教育学生的目的，又能做到适度超前。</w:t>
      </w:r>
    </w:p>
    <w:p w14:paraId="2F4BDA8B">
      <w:pPr>
        <w:ind w:firstLine="480" w:firstLineChars="200"/>
        <w:rPr>
          <w:rFonts w:hint="eastAsia" w:ascii="宋体" w:hAnsi="宋体"/>
          <w:color w:val="auto"/>
          <w:sz w:val="24"/>
        </w:rPr>
      </w:pPr>
      <w:r>
        <w:rPr>
          <w:rFonts w:hint="eastAsia" w:ascii="宋体" w:hAnsi="宋体"/>
          <w:color w:val="auto"/>
          <w:sz w:val="24"/>
        </w:rPr>
        <w:t xml:space="preserve">3）场地设计上，充分利用现有基地，满足城市总体规划的要求。根据城市规划的相关要求，合理组织场地内外的各种人流、物流，力求做到内外交通简捷便利，畅通顺达，避免各种流线间的相互干扰。在建筑单体设计上，做到分区明确，流线清晰，布局合理，提高建筑的利用效率。 </w:t>
      </w:r>
    </w:p>
    <w:p w14:paraId="4E9CEE5E">
      <w:pPr>
        <w:ind w:firstLine="480" w:firstLineChars="200"/>
        <w:rPr>
          <w:rFonts w:hint="eastAsia" w:ascii="宋体" w:hAnsi="宋体"/>
          <w:color w:val="auto"/>
          <w:sz w:val="24"/>
        </w:rPr>
      </w:pPr>
      <w:r>
        <w:rPr>
          <w:rFonts w:hint="eastAsia" w:ascii="宋体" w:hAnsi="宋体"/>
          <w:color w:val="auto"/>
          <w:sz w:val="24"/>
        </w:rPr>
        <w:t>4）建筑抗震能力的措施主要包括：提高结构的整体刚度，如楼板和墙；提供多道抗震防线，纵向包括框架和墙，横向包括墙、构架柱和腰箍；走廊加柱；不采用预制板；加强构造柱拉结；不采用悬挑走廊；有条件可采用隔震垫隔震。</w:t>
      </w:r>
    </w:p>
    <w:p w14:paraId="2A5F7AA1">
      <w:pPr>
        <w:ind w:firstLine="480" w:firstLineChars="200"/>
        <w:rPr>
          <w:rFonts w:hint="eastAsia" w:ascii="宋体" w:hAnsi="宋体"/>
          <w:color w:val="auto"/>
          <w:sz w:val="24"/>
        </w:rPr>
      </w:pPr>
      <w:r>
        <w:rPr>
          <w:rFonts w:hint="eastAsia" w:ascii="宋体" w:hAnsi="宋体"/>
          <w:color w:val="auto"/>
          <w:sz w:val="24"/>
        </w:rPr>
        <w:t>5）在场地环境设计上，注重环境的保护和设计，除了对场地环境进行整体设计外，还注重对环境有不利影响的废水、废气、噪音的处理。在减小外界因素对建筑的影响的同时也注重建筑对周边环境的影响，力求做到建筑和周边环境的共生。</w:t>
      </w:r>
    </w:p>
    <w:p w14:paraId="1E662F21">
      <w:pPr>
        <w:ind w:firstLine="480" w:firstLineChars="200"/>
        <w:rPr>
          <w:rFonts w:hint="eastAsia" w:ascii="宋体" w:hAnsi="宋体"/>
          <w:color w:val="auto"/>
          <w:sz w:val="24"/>
        </w:rPr>
      </w:pPr>
      <w:r>
        <w:rPr>
          <w:rFonts w:hint="eastAsia" w:ascii="宋体" w:hAnsi="宋体"/>
          <w:color w:val="auto"/>
          <w:sz w:val="24"/>
        </w:rPr>
        <w:t>6）根据建设场地气候、水文、地质、地貌、植被以及当地的建筑材料施工水平，从学校所处城镇及自身远期发展的角度出发，校区建设不但要满足学校内部的功能，还应当成为所在城镇的有机组成部份，并有利于提升当地文化品位。</w:t>
      </w:r>
    </w:p>
    <w:p w14:paraId="3BEBE77A">
      <w:pPr>
        <w:ind w:firstLine="480" w:firstLineChars="200"/>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）应充分</w:t>
      </w:r>
      <w:r>
        <w:rPr>
          <w:rFonts w:hint="eastAsia" w:ascii="宋体" w:hAnsi="宋体"/>
          <w:color w:val="auto"/>
          <w:sz w:val="24"/>
          <w:lang w:eastAsia="zh-CN"/>
        </w:rPr>
        <w:t>考虑学校现状建筑的实际情况，在总平面规划时，合理地进行规划设计，以便日后工程建设过程中，学校的日常教学任务开展不受影响。教学任务与工程施工互不干扰、互不影响。分期实施过程中，提前完成批次能够很好地衔接后续标段的使用需求，满足师生转场就读。</w:t>
      </w:r>
      <w:r>
        <w:rPr>
          <w:rFonts w:hint="eastAsia" w:ascii="宋体" w:hAnsi="宋体"/>
          <w:color w:val="auto"/>
          <w:sz w:val="24"/>
        </w:rPr>
        <w:t xml:space="preserve"> </w:t>
      </w:r>
    </w:p>
    <w:p w14:paraId="1AEFCA17">
      <w:pPr>
        <w:ind w:firstLine="480" w:firstLineChars="200"/>
        <w:rPr>
          <w:rFonts w:hint="eastAsia" w:ascii="宋体" w:hAnsi="宋体"/>
          <w:color w:val="auto"/>
          <w:sz w:val="24"/>
        </w:rPr>
      </w:pPr>
      <w:r>
        <w:rPr>
          <w:rFonts w:hint="eastAsia" w:ascii="宋体" w:hAnsi="宋体"/>
          <w:color w:val="auto"/>
          <w:sz w:val="24"/>
        </w:rPr>
        <w:t>（3）本项目总平面布置</w:t>
      </w:r>
    </w:p>
    <w:p w14:paraId="2CCAFFD2">
      <w:pPr>
        <w:ind w:firstLine="480" w:firstLineChars="200"/>
        <w:rPr>
          <w:rFonts w:hint="eastAsia" w:ascii="宋体" w:hAnsi="宋体"/>
          <w:color w:val="auto"/>
          <w:sz w:val="24"/>
        </w:rPr>
      </w:pPr>
      <w:r>
        <w:rPr>
          <w:rFonts w:hint="eastAsia" w:ascii="宋体" w:hAnsi="宋体"/>
          <w:color w:val="auto"/>
          <w:sz w:val="24"/>
        </w:rPr>
        <w:t>1）项目建设内容与规模</w:t>
      </w:r>
    </w:p>
    <w:p w14:paraId="7B23D0D2">
      <w:pPr>
        <w:ind w:firstLine="480" w:firstLineChars="200"/>
        <w:rPr>
          <w:rFonts w:hint="eastAsia" w:ascii="宋体" w:hAnsi="宋体"/>
          <w:color w:val="auto"/>
          <w:sz w:val="24"/>
        </w:rPr>
      </w:pPr>
      <w:r>
        <w:rPr>
          <w:rFonts w:hint="eastAsia" w:ascii="宋体" w:hAnsi="宋体"/>
          <w:color w:val="auto"/>
          <w:sz w:val="24"/>
        </w:rPr>
        <w:t>本项目计算指标用地面积</w:t>
      </w:r>
      <w:r>
        <w:rPr>
          <w:rFonts w:hint="eastAsia" w:ascii="宋体" w:hAnsi="宋体"/>
          <w:color w:val="auto"/>
          <w:sz w:val="24"/>
          <w:lang w:val="en-US" w:eastAsia="zh-CN"/>
        </w:rPr>
        <w:t>94151.4</w:t>
      </w:r>
      <w:r>
        <w:rPr>
          <w:rFonts w:hint="eastAsia" w:ascii="宋体" w:hAnsi="宋体"/>
          <w:color w:val="auto"/>
          <w:sz w:val="24"/>
        </w:rPr>
        <w:t>平方米。按现状，本项目建设工程涉及的用地、空间布局条件充足，符合总体规划要求。主要建设内容含</w:t>
      </w:r>
      <w:r>
        <w:rPr>
          <w:rFonts w:hint="eastAsia" w:ascii="宋体" w:hAnsi="宋体" w:cs="宋体"/>
          <w:color w:val="auto"/>
          <w:kern w:val="28"/>
          <w:sz w:val="24"/>
          <w:szCs w:val="21"/>
          <w:lang w:eastAsia="zh-CN"/>
        </w:rPr>
        <w:t>教学及辅助用房、行政办公用房、生活服务用房、学生宿舍、教职工宿舍、车库及设备用房</w:t>
      </w:r>
      <w:r>
        <w:rPr>
          <w:rFonts w:hint="eastAsia" w:ascii="宋体" w:hAnsi="宋体"/>
          <w:color w:val="auto"/>
          <w:sz w:val="24"/>
        </w:rPr>
        <w:t>等，局部采用架空层设计，并拟建一层地下室，总建筑面积约</w:t>
      </w:r>
      <w:r>
        <w:rPr>
          <w:rFonts w:hint="eastAsia" w:ascii="宋体" w:hAnsi="宋体"/>
          <w:color w:val="auto"/>
          <w:sz w:val="24"/>
          <w:lang w:val="en-US" w:eastAsia="zh-CN"/>
        </w:rPr>
        <w:t>7200</w:t>
      </w:r>
      <w:r>
        <w:rPr>
          <w:rFonts w:hint="eastAsia" w:ascii="宋体" w:hAnsi="宋体"/>
          <w:color w:val="auto"/>
          <w:sz w:val="24"/>
        </w:rPr>
        <w:t>平方米。</w:t>
      </w:r>
    </w:p>
    <w:p w14:paraId="5C56262D">
      <w:pPr>
        <w:ind w:firstLine="480" w:firstLineChars="200"/>
        <w:rPr>
          <w:rFonts w:hint="eastAsia" w:ascii="宋体" w:hAnsi="宋体"/>
          <w:color w:val="auto"/>
          <w:sz w:val="24"/>
        </w:rPr>
      </w:pPr>
      <w:r>
        <w:rPr>
          <w:rFonts w:hint="eastAsia" w:ascii="宋体" w:hAnsi="宋体"/>
          <w:color w:val="auto"/>
          <w:sz w:val="24"/>
        </w:rPr>
        <w:t xml:space="preserve">2）环境和绿化设计分析 </w:t>
      </w:r>
    </w:p>
    <w:p w14:paraId="02C43A49">
      <w:pPr>
        <w:ind w:firstLine="480" w:firstLineChars="200"/>
        <w:rPr>
          <w:rFonts w:hint="eastAsia" w:ascii="宋体" w:hAnsi="宋体"/>
          <w:color w:val="auto"/>
          <w:sz w:val="24"/>
        </w:rPr>
      </w:pPr>
      <w:r>
        <w:rPr>
          <w:rFonts w:hint="eastAsia" w:ascii="宋体" w:hAnsi="宋体"/>
          <w:color w:val="auto"/>
          <w:sz w:val="24"/>
        </w:rPr>
        <w:t>建设项目按园林式、生态型学校进行建设。通过大面积的道路绿化，将各建筑组群的庭院绿化联为一体，创造独特的绿化开敞空间和优美的学校环境。在总平面设计和单体设计上，体现“以人为本”的生态设计的根本宗旨。总平面设计结合现状的环境，布置集中绿化广场，密林步道，阳光草坡等生态节点，创造舒适的多种空间环境体验。</w:t>
      </w:r>
    </w:p>
    <w:p w14:paraId="255AC025">
      <w:pPr>
        <w:ind w:firstLine="480" w:firstLineChars="200"/>
        <w:rPr>
          <w:rFonts w:hint="eastAsia" w:ascii="宋体" w:hAnsi="宋体"/>
          <w:color w:val="auto"/>
          <w:sz w:val="24"/>
        </w:rPr>
      </w:pPr>
      <w:r>
        <w:rPr>
          <w:rFonts w:hint="eastAsia" w:ascii="宋体" w:hAnsi="宋体"/>
          <w:color w:val="auto"/>
          <w:sz w:val="24"/>
        </w:rPr>
        <w:t>3）道路交通系统设计分析</w:t>
      </w:r>
    </w:p>
    <w:p w14:paraId="7C628AED">
      <w:pPr>
        <w:ind w:firstLine="480" w:firstLineChars="200"/>
        <w:rPr>
          <w:rFonts w:hint="eastAsia" w:ascii="宋体" w:hAnsi="宋体"/>
          <w:color w:val="auto"/>
          <w:sz w:val="24"/>
        </w:rPr>
      </w:pPr>
      <w:r>
        <w:rPr>
          <w:rFonts w:hint="eastAsia" w:ascii="宋体" w:hAnsi="宋体"/>
          <w:color w:val="auto"/>
          <w:sz w:val="24"/>
        </w:rPr>
        <w:t>拟建校园的交通系统规划以“人车分流，步行优先”为原则，既解决各大功能组团的车行要求，又保证场区内舒适的步行环境。</w:t>
      </w:r>
    </w:p>
    <w:p w14:paraId="6ECE905A">
      <w:pPr>
        <w:ind w:firstLine="480" w:firstLineChars="200"/>
        <w:rPr>
          <w:rFonts w:hint="eastAsia" w:ascii="宋体" w:hAnsi="宋体"/>
          <w:color w:val="auto"/>
          <w:sz w:val="24"/>
        </w:rPr>
      </w:pPr>
      <w:r>
        <w:rPr>
          <w:rFonts w:hint="eastAsia" w:ascii="宋体" w:hAnsi="宋体"/>
          <w:color w:val="auto"/>
          <w:sz w:val="24"/>
        </w:rPr>
        <w:t>①车行系统</w:t>
      </w:r>
    </w:p>
    <w:p w14:paraId="1AD3CEC7">
      <w:pPr>
        <w:ind w:firstLine="480" w:firstLineChars="200"/>
        <w:rPr>
          <w:rFonts w:hint="eastAsia" w:ascii="宋体" w:hAnsi="宋体"/>
          <w:color w:val="auto"/>
          <w:sz w:val="24"/>
        </w:rPr>
      </w:pPr>
      <w:r>
        <w:rPr>
          <w:rFonts w:hint="eastAsia" w:ascii="宋体" w:hAnsi="宋体"/>
          <w:color w:val="auto"/>
          <w:sz w:val="24"/>
        </w:rPr>
        <w:t>拟建场区规划中采用“主道路加支状路网”的模式来组织场地内的车流，既将各功能区有机联接形成一个整体，又使各功能区具有各自的独立功能。所有单体建筑临近场区道路进行布置，便于车辆方便地到达各个功能区。通过环状道路与支状路的敷设以增加道路的通达性，形成多通道的道路系统。</w:t>
      </w:r>
    </w:p>
    <w:p w14:paraId="360D09E9">
      <w:pPr>
        <w:ind w:firstLine="480" w:firstLineChars="200"/>
        <w:rPr>
          <w:rFonts w:hint="eastAsia" w:ascii="宋体" w:hAnsi="宋体"/>
          <w:color w:val="auto"/>
          <w:sz w:val="24"/>
        </w:rPr>
      </w:pPr>
      <w:r>
        <w:rPr>
          <w:rFonts w:hint="eastAsia" w:ascii="宋体" w:hAnsi="宋体"/>
          <w:color w:val="auto"/>
          <w:sz w:val="24"/>
        </w:rPr>
        <w:t>②步行系统</w:t>
      </w:r>
    </w:p>
    <w:p w14:paraId="41358C3C">
      <w:pPr>
        <w:ind w:firstLine="480" w:firstLineChars="200"/>
        <w:rPr>
          <w:rFonts w:hint="eastAsia" w:ascii="宋体" w:hAnsi="宋体"/>
          <w:color w:val="auto"/>
          <w:sz w:val="24"/>
        </w:rPr>
      </w:pPr>
      <w:r>
        <w:rPr>
          <w:rFonts w:hint="eastAsia" w:ascii="宋体" w:hAnsi="宋体"/>
          <w:color w:val="auto"/>
          <w:sz w:val="24"/>
        </w:rPr>
        <w:t>遍布场区的步行道路系统，与车行系统相互协调，并结合绿化和园林小品，给场区创造舒适的多样化的无目的交往空间，增加了学生之间以及学生与教师之间的交流。步行系统和景观系统交叉穿插，营造一种田园牧歌式的生活意境，并有利于形成个性化的景观。</w:t>
      </w:r>
    </w:p>
    <w:p w14:paraId="1E199380">
      <w:pPr>
        <w:ind w:firstLine="480" w:firstLineChars="200"/>
        <w:rPr>
          <w:rFonts w:hint="eastAsia" w:ascii="宋体" w:hAnsi="宋体"/>
          <w:color w:val="auto"/>
          <w:sz w:val="24"/>
        </w:rPr>
      </w:pPr>
      <w:r>
        <w:rPr>
          <w:rFonts w:hint="eastAsia" w:ascii="宋体" w:hAnsi="宋体"/>
          <w:color w:val="auto"/>
          <w:sz w:val="24"/>
        </w:rPr>
        <w:t>③消防交通系统</w:t>
      </w:r>
    </w:p>
    <w:p w14:paraId="2B5BF0CE">
      <w:pPr>
        <w:ind w:firstLine="480" w:firstLineChars="200"/>
        <w:rPr>
          <w:rFonts w:hint="eastAsia" w:ascii="宋体" w:hAnsi="宋体"/>
          <w:color w:val="auto"/>
          <w:sz w:val="24"/>
        </w:rPr>
      </w:pPr>
      <w:r>
        <w:rPr>
          <w:rFonts w:hint="eastAsia" w:ascii="宋体" w:hAnsi="宋体"/>
          <w:color w:val="auto"/>
          <w:sz w:val="24"/>
        </w:rPr>
        <w:t>本项目场地内设置消防车道，满足消防车通行要求，校内各建筑之间距离满足消防规范要求以及火灾扑救要求。</w:t>
      </w:r>
    </w:p>
    <w:p w14:paraId="45AD10A9">
      <w:pPr>
        <w:ind w:firstLine="480" w:firstLineChars="200"/>
        <w:rPr>
          <w:rFonts w:hint="eastAsia" w:ascii="宋体" w:hAnsi="宋体"/>
          <w:color w:val="auto"/>
          <w:sz w:val="24"/>
        </w:rPr>
      </w:pPr>
      <w:r>
        <w:rPr>
          <w:rFonts w:hint="eastAsia" w:ascii="宋体" w:hAnsi="宋体"/>
          <w:color w:val="auto"/>
          <w:sz w:val="24"/>
        </w:rPr>
        <w:t>4）总平面无障碍设计</w:t>
      </w:r>
    </w:p>
    <w:p w14:paraId="1FE390A8">
      <w:pPr>
        <w:ind w:firstLine="480" w:firstLineChars="200"/>
        <w:rPr>
          <w:rFonts w:hint="eastAsia" w:ascii="宋体" w:hAnsi="宋体"/>
          <w:color w:val="auto"/>
          <w:sz w:val="24"/>
        </w:rPr>
      </w:pPr>
      <w:r>
        <w:rPr>
          <w:rFonts w:hint="eastAsia" w:ascii="宋体" w:hAnsi="宋体"/>
          <w:color w:val="auto"/>
          <w:sz w:val="24"/>
        </w:rPr>
        <w:t>A.无障碍设计范围：a.建筑入口；b.入口平台；c.公共走道。</w:t>
      </w:r>
    </w:p>
    <w:p w14:paraId="3A9DED5D">
      <w:pPr>
        <w:ind w:firstLine="480" w:firstLineChars="200"/>
        <w:rPr>
          <w:rFonts w:hint="eastAsia" w:ascii="宋体" w:hAnsi="宋体"/>
          <w:color w:val="auto"/>
          <w:sz w:val="24"/>
        </w:rPr>
      </w:pPr>
      <w:r>
        <w:rPr>
          <w:rFonts w:hint="eastAsia" w:ascii="宋体" w:hAnsi="宋体"/>
          <w:color w:val="auto"/>
          <w:sz w:val="24"/>
        </w:rPr>
        <w:t>B.无障碍设计内容:</w:t>
      </w:r>
    </w:p>
    <w:p w14:paraId="65503178">
      <w:pPr>
        <w:ind w:firstLine="480" w:firstLineChars="200"/>
        <w:rPr>
          <w:rFonts w:hint="eastAsia" w:ascii="宋体" w:hAnsi="宋体"/>
          <w:color w:val="auto"/>
          <w:sz w:val="24"/>
        </w:rPr>
      </w:pPr>
      <w:r>
        <w:rPr>
          <w:rFonts w:hint="eastAsia" w:ascii="宋体" w:hAnsi="宋体"/>
          <w:color w:val="auto"/>
          <w:sz w:val="24"/>
        </w:rPr>
        <w:t>a.无障碍入口：以坡道的形式解决室内外高差，坡度为1/12，净宽大于1.2米。</w:t>
      </w:r>
    </w:p>
    <w:p w14:paraId="45219CC0">
      <w:pPr>
        <w:ind w:firstLine="480" w:firstLineChars="200"/>
        <w:rPr>
          <w:rFonts w:hint="eastAsia" w:ascii="宋体" w:hAnsi="宋体"/>
          <w:color w:val="auto"/>
          <w:sz w:val="24"/>
        </w:rPr>
      </w:pPr>
      <w:r>
        <w:rPr>
          <w:rFonts w:hint="eastAsia" w:ascii="宋体" w:hAnsi="宋体"/>
          <w:color w:val="auto"/>
          <w:sz w:val="24"/>
        </w:rPr>
        <w:t xml:space="preserve">b.通道：考虑到轮椅通行的宽度，建筑公共走道的宽度均大于1800，通道地面平整、防滑、不松动、不积水，以方便坐轮椅人士；不同材料铺装的地面相互取平，走道与卫生间、室外平台的高差不大于 15mm 并以斜面过渡。 </w:t>
      </w:r>
    </w:p>
    <w:p w14:paraId="22DAD8D2">
      <w:pPr>
        <w:ind w:firstLine="480" w:firstLineChars="200"/>
        <w:rPr>
          <w:rFonts w:hint="eastAsia" w:ascii="宋体" w:hAnsi="宋体"/>
          <w:color w:val="auto"/>
          <w:sz w:val="24"/>
        </w:rPr>
      </w:pPr>
      <w:r>
        <w:rPr>
          <w:rFonts w:hint="eastAsia" w:ascii="宋体" w:hAnsi="宋体"/>
          <w:color w:val="auto"/>
          <w:sz w:val="24"/>
        </w:rPr>
        <w:t xml:space="preserve">c.楼梯：楼梯底部及顶部平台设有可触觉的警告条。 </w:t>
      </w:r>
    </w:p>
    <w:p w14:paraId="1CAE3B5D">
      <w:pPr>
        <w:ind w:firstLine="480" w:firstLineChars="200"/>
        <w:rPr>
          <w:rFonts w:hint="eastAsia" w:ascii="宋体" w:hAnsi="宋体"/>
          <w:color w:val="auto"/>
          <w:sz w:val="24"/>
        </w:rPr>
      </w:pPr>
      <w:r>
        <w:rPr>
          <w:rFonts w:hint="eastAsia" w:ascii="宋体" w:hAnsi="宋体"/>
          <w:color w:val="auto"/>
          <w:sz w:val="24"/>
        </w:rPr>
        <w:t xml:space="preserve">d.厕所：设置无障碍专用卫生间，厕所的大小、入口门扇、便器的高度、扶手以及按钮的设置均按照规范进行设计。 </w:t>
      </w:r>
    </w:p>
    <w:p w14:paraId="59096CD6">
      <w:pPr>
        <w:ind w:firstLine="480" w:firstLineChars="200"/>
        <w:rPr>
          <w:rFonts w:hint="eastAsia" w:ascii="宋体" w:hAnsi="宋体"/>
          <w:color w:val="auto"/>
          <w:sz w:val="24"/>
        </w:rPr>
      </w:pPr>
      <w:r>
        <w:rPr>
          <w:rFonts w:hint="eastAsia" w:ascii="宋体" w:hAnsi="宋体"/>
          <w:color w:val="auto"/>
          <w:sz w:val="24"/>
        </w:rPr>
        <w:t>C.无障碍通路、停车位、建筑入口、残疾人厕所等无障碍设施的位置及走向，均设置国际通用的无障碍标志牌。</w:t>
      </w:r>
    </w:p>
    <w:p w14:paraId="60E83264">
      <w:pPr>
        <w:ind w:firstLine="480" w:firstLineChars="200"/>
        <w:rPr>
          <w:rFonts w:hint="eastAsia" w:ascii="宋体" w:hAnsi="宋体"/>
          <w:color w:val="auto"/>
          <w:sz w:val="24"/>
        </w:rPr>
      </w:pPr>
      <w:r>
        <w:rPr>
          <w:rFonts w:hint="eastAsia" w:ascii="宋体" w:hAnsi="宋体"/>
          <w:color w:val="auto"/>
          <w:sz w:val="24"/>
        </w:rPr>
        <w:t>5）竖向规划</w:t>
      </w:r>
    </w:p>
    <w:p w14:paraId="4B275FB4">
      <w:pPr>
        <w:ind w:firstLine="480" w:firstLineChars="200"/>
        <w:rPr>
          <w:rFonts w:hint="eastAsia" w:ascii="宋体" w:hAnsi="宋体"/>
          <w:color w:val="auto"/>
          <w:sz w:val="24"/>
        </w:rPr>
      </w:pPr>
      <w:r>
        <w:rPr>
          <w:rFonts w:hint="eastAsia" w:ascii="宋体" w:hAnsi="宋体"/>
          <w:color w:val="auto"/>
          <w:sz w:val="24"/>
        </w:rPr>
        <w:t xml:space="preserve">竖向设计总的原则是与周围道路的标高相协调，满足管线布置的需要；满足排水排污管道接入市政管道的需要。根据地形变化的实际情况，确定建筑物室内地坪标高与室外地坪标的高差。 </w:t>
      </w:r>
    </w:p>
    <w:p w14:paraId="5DD33F94">
      <w:pPr>
        <w:ind w:firstLine="480" w:firstLineChars="200"/>
        <w:rPr>
          <w:rFonts w:hint="eastAsia" w:ascii="宋体" w:hAnsi="宋体"/>
          <w:color w:val="auto"/>
          <w:sz w:val="24"/>
        </w:rPr>
      </w:pPr>
      <w:r>
        <w:rPr>
          <w:rFonts w:hint="eastAsia" w:ascii="宋体" w:hAnsi="宋体"/>
          <w:color w:val="auto"/>
          <w:sz w:val="24"/>
        </w:rPr>
        <w:t>道路纵坡坡度0.2%至0.3%，道路横坡坡度为1.5%，区域内的消防道路面采用双面坡，地面雨水由雨水口收集经雨水管系统有组织排入市政雨水管。汽车坡道下端均布置有排水明沟，场地内道路也布置有雨水口。</w:t>
      </w:r>
    </w:p>
    <w:p w14:paraId="1A63BAA1">
      <w:pPr>
        <w:pStyle w:val="3"/>
        <w:numPr>
          <w:ilvl w:val="0"/>
          <w:numId w:val="25"/>
        </w:numPr>
        <w:spacing w:before="120" w:after="120" w:line="360" w:lineRule="auto"/>
        <w:rPr>
          <w:rFonts w:ascii="宋体" w:hAnsi="宋体"/>
          <w:color w:val="auto"/>
          <w:szCs w:val="21"/>
        </w:rPr>
      </w:pPr>
      <w:bookmarkStart w:id="182" w:name="_Toc16653"/>
      <w:r>
        <w:rPr>
          <w:rFonts w:hint="eastAsia" w:ascii="宋体" w:hAnsi="宋体"/>
          <w:color w:val="auto"/>
          <w:szCs w:val="21"/>
        </w:rPr>
        <w:t>规划设计要求</w:t>
      </w:r>
      <w:bookmarkEnd w:id="182"/>
    </w:p>
    <w:p w14:paraId="12FD5620">
      <w:pPr>
        <w:pBdr>
          <w:bottom w:val="none" w:color="auto" w:sz="0" w:space="0"/>
        </w:pBdr>
        <w:ind w:firstLine="480" w:firstLineChars="200"/>
        <w:rPr>
          <w:rFonts w:hint="eastAsia" w:ascii="宋体" w:hAnsi="宋体"/>
          <w:color w:val="auto"/>
          <w:sz w:val="24"/>
        </w:rPr>
      </w:pPr>
      <w:r>
        <w:rPr>
          <w:rFonts w:hint="eastAsia" w:ascii="宋体" w:hAnsi="宋体"/>
          <w:color w:val="auto"/>
          <w:sz w:val="24"/>
        </w:rPr>
        <w:t>本项目建筑结构拟采用框架结构，</w:t>
      </w:r>
      <w:r>
        <w:rPr>
          <w:rFonts w:hint="eastAsia" w:ascii="宋体" w:hAnsi="宋体"/>
          <w:color w:val="auto"/>
          <w:sz w:val="24"/>
          <w:lang w:eastAsia="zh-CN"/>
        </w:rPr>
        <w:t>保留建筑</w:t>
      </w:r>
      <w:r>
        <w:rPr>
          <w:rFonts w:hint="eastAsia" w:ascii="宋体" w:hAnsi="宋体"/>
          <w:color w:val="auto"/>
          <w:sz w:val="24"/>
          <w:lang w:val="en-US" w:eastAsia="zh-CN"/>
        </w:rPr>
        <w:t>3600㎡，</w:t>
      </w:r>
      <w:r>
        <w:rPr>
          <w:rFonts w:hint="eastAsia" w:ascii="宋体" w:hAnsi="宋体"/>
          <w:color w:val="auto"/>
          <w:sz w:val="24"/>
          <w:lang w:eastAsia="zh-CN"/>
        </w:rPr>
        <w:t>新建</w:t>
      </w:r>
      <w:r>
        <w:rPr>
          <w:rFonts w:hint="eastAsia" w:ascii="宋体" w:hAnsi="宋体"/>
          <w:color w:val="auto"/>
          <w:sz w:val="24"/>
        </w:rPr>
        <w:t>总建筑面积约</w:t>
      </w:r>
      <w:r>
        <w:rPr>
          <w:rFonts w:hint="eastAsia" w:ascii="宋体" w:hAnsi="宋体"/>
          <w:color w:val="auto"/>
          <w:sz w:val="24"/>
          <w:lang w:val="en-US" w:eastAsia="zh-CN"/>
        </w:rPr>
        <w:t>76000</w:t>
      </w:r>
      <w:r>
        <w:rPr>
          <w:rFonts w:hint="eastAsia" w:ascii="宋体" w:hAnsi="宋体"/>
          <w:color w:val="auto"/>
          <w:sz w:val="24"/>
        </w:rPr>
        <w:t>㎡，计容积率建筑面积约</w:t>
      </w:r>
      <w:r>
        <w:rPr>
          <w:rFonts w:hint="eastAsia" w:ascii="宋体" w:hAnsi="宋体"/>
          <w:color w:val="auto"/>
          <w:sz w:val="24"/>
          <w:lang w:val="en-US" w:eastAsia="zh-CN"/>
        </w:rPr>
        <w:t>64800</w:t>
      </w:r>
      <w:r>
        <w:rPr>
          <w:rFonts w:hint="eastAsia" w:ascii="宋体" w:hAnsi="宋体"/>
          <w:color w:val="auto"/>
          <w:sz w:val="24"/>
        </w:rPr>
        <w:t>㎡，不计容建筑面积约</w:t>
      </w:r>
      <w:r>
        <w:rPr>
          <w:rFonts w:hint="eastAsia" w:ascii="宋体" w:hAnsi="宋体"/>
          <w:color w:val="auto"/>
          <w:sz w:val="24"/>
          <w:lang w:val="en-US" w:eastAsia="zh-CN"/>
        </w:rPr>
        <w:t>11200</w:t>
      </w:r>
      <w:r>
        <w:rPr>
          <w:rFonts w:hint="eastAsia" w:ascii="宋体" w:hAnsi="宋体"/>
          <w:color w:val="auto"/>
          <w:sz w:val="24"/>
        </w:rPr>
        <w:t>㎡。</w:t>
      </w:r>
    </w:p>
    <w:p w14:paraId="42E199C2">
      <w:pPr>
        <w:ind w:firstLine="480" w:firstLineChars="200"/>
        <w:rPr>
          <w:rFonts w:hint="eastAsia" w:ascii="宋体" w:hAnsi="宋体"/>
          <w:color w:val="auto"/>
          <w:sz w:val="24"/>
        </w:rPr>
      </w:pPr>
      <w:r>
        <w:rPr>
          <w:rFonts w:hint="eastAsia" w:ascii="宋体" w:hAnsi="宋体"/>
          <w:color w:val="auto"/>
          <w:sz w:val="24"/>
        </w:rPr>
        <w:t>新楼建筑主立面设计着重体现现代建筑特色，突出学校建筑风格，建筑立面取得良好的视觉效果。</w:t>
      </w:r>
    </w:p>
    <w:p w14:paraId="0045A7E2">
      <w:pPr>
        <w:ind w:firstLine="480" w:firstLineChars="200"/>
        <w:rPr>
          <w:rFonts w:hint="eastAsia" w:ascii="宋体" w:hAnsi="宋体"/>
          <w:color w:val="auto"/>
          <w:sz w:val="24"/>
        </w:rPr>
      </w:pPr>
      <w:r>
        <w:rPr>
          <w:rFonts w:hint="eastAsia" w:ascii="宋体" w:hAnsi="宋体"/>
          <w:color w:val="auto"/>
          <w:sz w:val="24"/>
        </w:rPr>
        <w:t>本项目拟新建</w:t>
      </w:r>
      <w:r>
        <w:rPr>
          <w:rFonts w:hint="eastAsia" w:ascii="宋体" w:hAnsi="宋体" w:cs="宋体"/>
          <w:color w:val="auto"/>
          <w:kern w:val="28"/>
          <w:sz w:val="24"/>
          <w:szCs w:val="21"/>
          <w:lang w:eastAsia="zh-CN"/>
        </w:rPr>
        <w:t>教学及辅助用房、行政办公用房、生活服务用房、学生宿舍、教职工宿舍、车库及设备用</w:t>
      </w:r>
      <w:r>
        <w:rPr>
          <w:rFonts w:hint="eastAsia" w:ascii="宋体" w:hAnsi="宋体" w:cs="宋体"/>
          <w:color w:val="auto"/>
          <w:kern w:val="28"/>
          <w:sz w:val="24"/>
          <w:szCs w:val="21"/>
          <w:highlight w:val="none"/>
          <w:lang w:eastAsia="zh-CN"/>
        </w:rPr>
        <w:t>房</w:t>
      </w:r>
      <w:r>
        <w:rPr>
          <w:rFonts w:hint="eastAsia" w:ascii="宋体" w:hAnsi="宋体"/>
          <w:color w:val="auto"/>
          <w:sz w:val="24"/>
          <w:highlight w:val="none"/>
        </w:rPr>
        <w:t>等建筑。学校设置三个</w:t>
      </w:r>
      <w:r>
        <w:rPr>
          <w:rFonts w:hint="eastAsia" w:ascii="宋体" w:hAnsi="宋体"/>
          <w:color w:val="auto"/>
          <w:sz w:val="24"/>
          <w:highlight w:val="none"/>
          <w:lang w:eastAsia="zh-CN"/>
        </w:rPr>
        <w:t>（暂定）</w:t>
      </w:r>
      <w:r>
        <w:rPr>
          <w:rFonts w:hint="eastAsia" w:ascii="宋体" w:hAnsi="宋体"/>
          <w:color w:val="auto"/>
          <w:sz w:val="24"/>
          <w:highlight w:val="none"/>
        </w:rPr>
        <w:t>出入口，</w:t>
      </w:r>
      <w:r>
        <w:rPr>
          <w:rFonts w:hint="eastAsia" w:ascii="宋体" w:hAnsi="宋体"/>
          <w:color w:val="auto"/>
          <w:sz w:val="24"/>
          <w:lang w:eastAsia="zh-CN"/>
        </w:rPr>
        <w:t>皆规划</w:t>
      </w:r>
      <w:r>
        <w:rPr>
          <w:rFonts w:hint="eastAsia" w:ascii="宋体" w:hAnsi="宋体"/>
          <w:color w:val="auto"/>
          <w:sz w:val="24"/>
          <w:lang w:val="en-US" w:eastAsia="zh-CN"/>
        </w:rPr>
        <w:t>于</w:t>
      </w:r>
      <w:r>
        <w:rPr>
          <w:rFonts w:hint="eastAsia" w:ascii="宋体" w:hAnsi="宋体"/>
          <w:color w:val="auto"/>
          <w:sz w:val="24"/>
          <w:lang w:eastAsia="zh-CN"/>
        </w:rPr>
        <w:t>东侧永贤路上</w:t>
      </w:r>
      <w:r>
        <w:rPr>
          <w:rFonts w:hint="eastAsia" w:ascii="宋体" w:hAnsi="宋体"/>
          <w:color w:val="auto"/>
          <w:sz w:val="24"/>
        </w:rPr>
        <w:t>。教学楼和综合楼通过连廊把每栋建筑有机的串联起来，整体协调美观，还能有助于建筑形成“穿堂风”，有助于空气流通。</w:t>
      </w:r>
    </w:p>
    <w:p w14:paraId="322B187F">
      <w:pPr>
        <w:ind w:firstLine="480" w:firstLineChars="200"/>
        <w:rPr>
          <w:rFonts w:hint="eastAsia" w:ascii="宋体" w:hAnsi="宋体"/>
          <w:color w:val="auto"/>
          <w:sz w:val="24"/>
        </w:rPr>
      </w:pPr>
      <w:r>
        <w:rPr>
          <w:rFonts w:hint="eastAsia" w:ascii="宋体" w:hAnsi="宋体"/>
          <w:color w:val="auto"/>
          <w:sz w:val="24"/>
        </w:rPr>
        <w:t>建筑耐火等级为二级，每栋建筑物周边较空旷，满足防火间距的要求，通过校内道路消防车通道，可以直达建筑物周边。</w:t>
      </w:r>
      <w:r>
        <w:rPr>
          <w:rFonts w:hint="eastAsia" w:ascii="宋体" w:hAnsi="宋体"/>
          <w:color w:val="auto"/>
          <w:sz w:val="24"/>
          <w:lang w:eastAsia="zh-CN"/>
        </w:rPr>
        <w:t>如建筑形成了封闭内院</w:t>
      </w:r>
      <w:r>
        <w:rPr>
          <w:rFonts w:hint="eastAsia" w:ascii="宋体" w:hAnsi="宋体"/>
          <w:color w:val="auto"/>
          <w:sz w:val="24"/>
          <w:lang w:val="en-US" w:eastAsia="zh-CN"/>
        </w:rPr>
        <w:t>,应充分考虑消防车进入的相关措施。</w:t>
      </w:r>
      <w:r>
        <w:rPr>
          <w:rFonts w:hint="eastAsia" w:ascii="宋体" w:hAnsi="宋体"/>
          <w:color w:val="auto"/>
          <w:sz w:val="24"/>
        </w:rPr>
        <w:t>各栋建筑物的楼梯通道直通其楼前广场或空旷地块，集中人流能迅速疏散。日照，通风，卫生等均能满足设计标准。</w:t>
      </w:r>
    </w:p>
    <w:p w14:paraId="1977A3C5">
      <w:pPr>
        <w:pStyle w:val="4"/>
        <w:keepNext/>
        <w:keepLines/>
        <w:pageBreakBefore w:val="0"/>
        <w:widowControl w:val="0"/>
        <w:numPr>
          <w:ilvl w:val="0"/>
          <w:numId w:val="26"/>
        </w:numPr>
        <w:kinsoku/>
        <w:wordWrap/>
        <w:overflowPunct/>
        <w:topLinePunct w:val="0"/>
        <w:autoSpaceDE/>
        <w:autoSpaceDN/>
        <w:bidi w:val="0"/>
        <w:adjustRightInd/>
        <w:snapToGrid/>
        <w:spacing w:beforeLines="0" w:afterLines="0"/>
        <w:ind w:left="0" w:firstLine="283"/>
        <w:textAlignment w:val="top"/>
        <w:rPr>
          <w:color w:val="auto"/>
        </w:rPr>
      </w:pPr>
      <w:bookmarkStart w:id="183" w:name="_Toc462255865"/>
      <w:bookmarkStart w:id="184" w:name="_Toc16530"/>
      <w:bookmarkStart w:id="185" w:name="_Toc462255949"/>
      <w:r>
        <w:rPr>
          <w:rFonts w:hint="eastAsia"/>
          <w:color w:val="auto"/>
        </w:rPr>
        <w:t>建筑退缩</w:t>
      </w:r>
      <w:bookmarkEnd w:id="183"/>
      <w:bookmarkEnd w:id="184"/>
      <w:bookmarkEnd w:id="185"/>
    </w:p>
    <w:p w14:paraId="164A9E6F">
      <w:pPr>
        <w:ind w:firstLine="480" w:firstLineChars="200"/>
        <w:rPr>
          <w:rFonts w:hint="eastAsia" w:ascii="宋体" w:hAnsi="宋体"/>
          <w:color w:val="auto"/>
          <w:sz w:val="24"/>
        </w:rPr>
      </w:pPr>
      <w:r>
        <w:rPr>
          <w:rFonts w:hint="eastAsia" w:ascii="宋体" w:hAnsi="宋体"/>
          <w:color w:val="auto"/>
          <w:sz w:val="24"/>
        </w:rPr>
        <w:t>满足相关规范要求。</w:t>
      </w:r>
    </w:p>
    <w:p w14:paraId="499AABF1">
      <w:pPr>
        <w:pStyle w:val="4"/>
        <w:keepNext/>
        <w:keepLines/>
        <w:pageBreakBefore w:val="0"/>
        <w:widowControl w:val="0"/>
        <w:numPr>
          <w:ilvl w:val="0"/>
          <w:numId w:val="26"/>
        </w:numPr>
        <w:kinsoku/>
        <w:wordWrap/>
        <w:overflowPunct/>
        <w:topLinePunct w:val="0"/>
        <w:autoSpaceDE/>
        <w:autoSpaceDN/>
        <w:bidi w:val="0"/>
        <w:adjustRightInd/>
        <w:snapToGrid/>
        <w:spacing w:beforeLines="0" w:afterLines="0"/>
        <w:ind w:left="0" w:firstLine="283"/>
        <w:textAlignment w:val="top"/>
        <w:rPr>
          <w:color w:val="auto"/>
        </w:rPr>
      </w:pPr>
      <w:bookmarkStart w:id="186" w:name="_Toc462255866"/>
      <w:bookmarkStart w:id="187" w:name="_Toc28792"/>
      <w:bookmarkStart w:id="188" w:name="_Toc462255950"/>
      <w:r>
        <w:rPr>
          <w:rFonts w:hint="eastAsia"/>
          <w:color w:val="auto"/>
        </w:rPr>
        <w:t>开发强度</w:t>
      </w:r>
      <w:bookmarkEnd w:id="186"/>
      <w:bookmarkEnd w:id="187"/>
      <w:bookmarkEnd w:id="188"/>
    </w:p>
    <w:p w14:paraId="0E6FC6F5">
      <w:pPr>
        <w:ind w:firstLine="480" w:firstLineChars="200"/>
        <w:rPr>
          <w:rFonts w:hint="eastAsia" w:ascii="宋体" w:hAnsi="宋体"/>
          <w:color w:val="auto"/>
          <w:sz w:val="24"/>
        </w:rPr>
      </w:pPr>
      <w:r>
        <w:rPr>
          <w:rFonts w:hint="eastAsia" w:ascii="宋体" w:hAnsi="宋体"/>
          <w:color w:val="auto"/>
          <w:sz w:val="24"/>
        </w:rPr>
        <w:t>建筑用地面积约</w:t>
      </w:r>
      <w:r>
        <w:rPr>
          <w:rFonts w:hint="eastAsia" w:ascii="宋体" w:hAnsi="宋体"/>
          <w:color w:val="auto"/>
          <w:sz w:val="24"/>
          <w:lang w:val="en-US" w:eastAsia="zh-CN"/>
        </w:rPr>
        <w:t>141.23</w:t>
      </w:r>
      <w:r>
        <w:rPr>
          <w:rFonts w:hint="eastAsia" w:ascii="宋体" w:hAnsi="宋体"/>
          <w:color w:val="auto"/>
          <w:sz w:val="24"/>
        </w:rPr>
        <w:t>亩，建筑容积率≤1.0，绿地率≥30％。</w:t>
      </w:r>
    </w:p>
    <w:p w14:paraId="6DC8BDD2">
      <w:pPr>
        <w:pStyle w:val="4"/>
        <w:keepNext/>
        <w:keepLines/>
        <w:pageBreakBefore w:val="0"/>
        <w:widowControl w:val="0"/>
        <w:numPr>
          <w:ilvl w:val="0"/>
          <w:numId w:val="26"/>
        </w:numPr>
        <w:kinsoku/>
        <w:wordWrap/>
        <w:overflowPunct/>
        <w:topLinePunct w:val="0"/>
        <w:autoSpaceDE/>
        <w:autoSpaceDN/>
        <w:bidi w:val="0"/>
        <w:adjustRightInd/>
        <w:snapToGrid/>
        <w:spacing w:beforeLines="0" w:afterLines="0"/>
        <w:ind w:left="0" w:firstLine="283"/>
        <w:textAlignment w:val="top"/>
        <w:rPr>
          <w:color w:val="auto"/>
        </w:rPr>
      </w:pPr>
      <w:bookmarkStart w:id="189" w:name="_Toc462255951"/>
      <w:bookmarkStart w:id="190" w:name="_Toc1616"/>
      <w:bookmarkStart w:id="191" w:name="_Toc462255867"/>
      <w:r>
        <w:rPr>
          <w:rFonts w:hint="eastAsia"/>
          <w:color w:val="auto"/>
        </w:rPr>
        <w:t>建筑间距</w:t>
      </w:r>
      <w:bookmarkEnd w:id="189"/>
      <w:bookmarkEnd w:id="190"/>
      <w:bookmarkEnd w:id="191"/>
    </w:p>
    <w:p w14:paraId="60F9618A">
      <w:pPr>
        <w:ind w:firstLine="480" w:firstLineChars="200"/>
        <w:rPr>
          <w:rFonts w:hint="eastAsia" w:ascii="宋体" w:hAnsi="宋体"/>
          <w:color w:val="auto"/>
          <w:sz w:val="24"/>
        </w:rPr>
      </w:pPr>
      <w:r>
        <w:rPr>
          <w:rFonts w:hint="eastAsia" w:ascii="宋体" w:hAnsi="宋体"/>
          <w:color w:val="auto"/>
          <w:sz w:val="24"/>
        </w:rPr>
        <w:t>参考增城区关于建筑工程的建筑间距规定。</w:t>
      </w:r>
    </w:p>
    <w:p w14:paraId="1195F46A">
      <w:pPr>
        <w:ind w:firstLine="480" w:firstLineChars="200"/>
        <w:rPr>
          <w:rFonts w:hint="eastAsia" w:ascii="宋体" w:hAnsi="宋体"/>
          <w:color w:val="auto"/>
          <w:sz w:val="24"/>
        </w:rPr>
      </w:pPr>
      <w:r>
        <w:rPr>
          <w:rFonts w:hint="eastAsia" w:ascii="宋体" w:hAnsi="宋体"/>
          <w:color w:val="auto"/>
          <w:sz w:val="24"/>
        </w:rPr>
        <w:t>《广州市城乡规划技术规定》</w:t>
      </w:r>
    </w:p>
    <w:p w14:paraId="3A737056">
      <w:pPr>
        <w:pStyle w:val="3"/>
        <w:numPr>
          <w:ilvl w:val="0"/>
          <w:numId w:val="25"/>
        </w:numPr>
        <w:spacing w:before="120" w:after="120" w:line="360" w:lineRule="auto"/>
        <w:ind w:left="0" w:firstLine="0"/>
        <w:contextualSpacing/>
        <w:rPr>
          <w:rFonts w:ascii="宋体" w:hAnsi="宋体"/>
          <w:color w:val="auto"/>
          <w:sz w:val="28"/>
          <w:szCs w:val="28"/>
          <w:shd w:val="clear" w:color="auto" w:fill="auto"/>
        </w:rPr>
      </w:pPr>
      <w:bookmarkStart w:id="192" w:name="_Toc462255868"/>
      <w:bookmarkStart w:id="193" w:name="_Toc348"/>
      <w:r>
        <w:rPr>
          <w:rFonts w:hint="eastAsia" w:ascii="宋体" w:hAnsi="宋体"/>
          <w:color w:val="auto"/>
          <w:sz w:val="28"/>
          <w:szCs w:val="28"/>
          <w:shd w:val="clear" w:color="auto" w:fill="auto"/>
        </w:rPr>
        <w:t>道路交通系统</w:t>
      </w:r>
      <w:bookmarkEnd w:id="192"/>
      <w:bookmarkEnd w:id="193"/>
    </w:p>
    <w:p w14:paraId="3EF01C0E">
      <w:pPr>
        <w:ind w:firstLine="570"/>
        <w:contextualSpacing/>
        <w:rPr>
          <w:rFonts w:ascii="宋体" w:hAnsi="宋体"/>
          <w:color w:val="auto"/>
          <w:sz w:val="24"/>
        </w:rPr>
      </w:pPr>
      <w:r>
        <w:rPr>
          <w:rFonts w:hint="eastAsia" w:ascii="宋体" w:hAnsi="宋体"/>
          <w:color w:val="auto"/>
          <w:sz w:val="24"/>
        </w:rPr>
        <w:t>拟建校园的交通系统规划以“人车分流，步行优先”为原则，既解决各大功能组团的车行要求，又保证场区内舒适的步行环境。</w:t>
      </w:r>
    </w:p>
    <w:p w14:paraId="59F207BD">
      <w:pPr>
        <w:pStyle w:val="3"/>
        <w:rPr>
          <w:rFonts w:ascii="宋体" w:hAnsi="宋体"/>
          <w:b w:val="0"/>
          <w:color w:val="auto"/>
          <w:sz w:val="28"/>
          <w:szCs w:val="28"/>
        </w:rPr>
      </w:pPr>
      <w:bookmarkStart w:id="194" w:name="_Toc4847"/>
      <w:r>
        <w:rPr>
          <w:rFonts w:hint="eastAsia" w:ascii="宋体" w:hAnsi="宋体"/>
          <w:color w:val="auto"/>
          <w:sz w:val="28"/>
          <w:szCs w:val="28"/>
        </w:rPr>
        <w:t>五、</w:t>
      </w:r>
      <w:bookmarkStart w:id="195" w:name="_Toc462255869"/>
      <w:r>
        <w:rPr>
          <w:rFonts w:hint="eastAsia" w:ascii="宋体" w:hAnsi="宋体"/>
          <w:color w:val="auto"/>
          <w:sz w:val="28"/>
          <w:szCs w:val="28"/>
        </w:rPr>
        <w:t>地下空间与人防工程</w:t>
      </w:r>
      <w:bookmarkEnd w:id="194"/>
      <w:bookmarkEnd w:id="195"/>
    </w:p>
    <w:p w14:paraId="6C5240F6">
      <w:pPr>
        <w:pStyle w:val="67"/>
        <w:numPr>
          <w:ilvl w:val="0"/>
          <w:numId w:val="27"/>
        </w:numPr>
        <w:ind w:firstLineChars="0"/>
        <w:contextualSpacing/>
        <w:rPr>
          <w:rFonts w:ascii="宋体" w:hAnsi="宋体" w:eastAsia="宋体"/>
          <w:color w:val="auto"/>
          <w:sz w:val="24"/>
          <w:szCs w:val="24"/>
        </w:rPr>
      </w:pPr>
      <w:r>
        <w:rPr>
          <w:rFonts w:hint="eastAsia" w:ascii="宋体" w:hAnsi="宋体" w:eastAsia="宋体"/>
          <w:color w:val="auto"/>
          <w:sz w:val="24"/>
          <w:szCs w:val="24"/>
        </w:rPr>
        <w:t>设计单位根据实际情况考虑设计地下车库；</w:t>
      </w:r>
    </w:p>
    <w:p w14:paraId="4ADBAF43">
      <w:pPr>
        <w:pStyle w:val="67"/>
        <w:numPr>
          <w:ilvl w:val="0"/>
          <w:numId w:val="27"/>
        </w:numPr>
        <w:ind w:firstLineChars="0"/>
        <w:contextualSpacing/>
        <w:rPr>
          <w:rFonts w:ascii="宋体" w:hAnsi="宋体" w:eastAsia="宋体"/>
          <w:color w:val="auto"/>
          <w:sz w:val="24"/>
          <w:szCs w:val="24"/>
        </w:rPr>
      </w:pPr>
      <w:r>
        <w:rPr>
          <w:rFonts w:hint="eastAsia" w:ascii="宋体" w:hAnsi="宋体" w:eastAsia="宋体"/>
          <w:color w:val="auto"/>
          <w:sz w:val="24"/>
          <w:szCs w:val="24"/>
        </w:rPr>
        <w:t>拟建地下室，安排辅助设施、停车库、人防工程等功能。</w:t>
      </w:r>
    </w:p>
    <w:p w14:paraId="00CEC044">
      <w:pPr>
        <w:pStyle w:val="67"/>
        <w:numPr>
          <w:ilvl w:val="0"/>
          <w:numId w:val="27"/>
        </w:numPr>
        <w:ind w:left="0" w:firstLine="490" w:firstLineChars="0"/>
        <w:contextualSpacing/>
        <w:rPr>
          <w:rFonts w:ascii="宋体" w:hAnsi="宋体" w:eastAsia="宋体"/>
          <w:color w:val="auto"/>
          <w:sz w:val="24"/>
          <w:szCs w:val="24"/>
        </w:rPr>
      </w:pPr>
      <w:r>
        <w:rPr>
          <w:rFonts w:hint="eastAsia" w:ascii="宋体" w:hAnsi="宋体" w:eastAsia="宋体"/>
          <w:color w:val="auto"/>
          <w:sz w:val="24"/>
          <w:szCs w:val="24"/>
        </w:rPr>
        <w:t>地下停车库：原则上必须设置在建筑红线图范围内，其出入口坡道也应在红线范围内且与主体工程同时设计、施工及使用。出于人车分流的考虑，机动车出入口应按规范设置；另外地下停车库人、车出入应进行周密的考虑，避免交叉设置，同时考虑地面与地下的交通转换、人流活动的延续与组织。</w:t>
      </w:r>
    </w:p>
    <w:p w14:paraId="15F3041C">
      <w:pPr>
        <w:pStyle w:val="3"/>
        <w:rPr>
          <w:rFonts w:ascii="宋体" w:hAnsi="宋体"/>
          <w:b w:val="0"/>
          <w:color w:val="auto"/>
          <w:sz w:val="28"/>
          <w:szCs w:val="24"/>
        </w:rPr>
      </w:pPr>
      <w:bookmarkStart w:id="196" w:name="_Toc27843"/>
      <w:r>
        <w:rPr>
          <w:rFonts w:hint="eastAsia" w:ascii="宋体" w:hAnsi="宋体"/>
          <w:color w:val="auto"/>
          <w:sz w:val="28"/>
          <w:szCs w:val="24"/>
        </w:rPr>
        <w:t>六、</w:t>
      </w:r>
      <w:bookmarkStart w:id="197" w:name="_Toc462255870"/>
      <w:r>
        <w:rPr>
          <w:rFonts w:hint="eastAsia" w:ascii="宋体" w:hAnsi="宋体"/>
          <w:color w:val="auto"/>
          <w:sz w:val="28"/>
          <w:szCs w:val="24"/>
        </w:rPr>
        <w:t>竖向设计</w:t>
      </w:r>
      <w:bookmarkEnd w:id="196"/>
      <w:bookmarkEnd w:id="197"/>
    </w:p>
    <w:p w14:paraId="3FC2C777">
      <w:pPr>
        <w:ind w:firstLine="480" w:firstLineChars="200"/>
        <w:rPr>
          <w:rFonts w:ascii="宋体" w:hAnsi="宋体" w:cs="宋体"/>
          <w:color w:val="auto"/>
          <w:sz w:val="24"/>
        </w:rPr>
      </w:pPr>
      <w:r>
        <w:rPr>
          <w:rFonts w:hint="eastAsia" w:ascii="宋体" w:hAnsi="宋体" w:cs="宋体"/>
          <w:color w:val="auto"/>
          <w:sz w:val="24"/>
        </w:rPr>
        <w:t>建筑通过绿化，将各建筑组群的庭院绿化联为一体，创造独特的绿化开敞空间和优美的学校环境。在总平面设计和单体设计上，体现“以人为本”的生态设计理念。</w:t>
      </w:r>
    </w:p>
    <w:p w14:paraId="53DDD03C">
      <w:pPr>
        <w:ind w:firstLine="482"/>
        <w:rPr>
          <w:rFonts w:ascii="宋体" w:hAnsi="宋体"/>
          <w:color w:val="auto"/>
          <w:sz w:val="24"/>
        </w:rPr>
      </w:pPr>
      <w:r>
        <w:rPr>
          <w:rFonts w:hint="eastAsia" w:ascii="宋体" w:hAnsi="宋体"/>
          <w:color w:val="auto"/>
          <w:sz w:val="24"/>
        </w:rPr>
        <w:t>建筑总平面设计应提供场地与建筑的竖向标高。规定将建筑首层地面标高定为±</w:t>
      </w:r>
      <w:r>
        <w:rPr>
          <w:rFonts w:ascii="宋体" w:hAnsi="宋体"/>
          <w:color w:val="auto"/>
          <w:sz w:val="24"/>
        </w:rPr>
        <w:t>0.00</w:t>
      </w:r>
      <w:r>
        <w:rPr>
          <w:rFonts w:hint="eastAsia" w:ascii="宋体" w:hAnsi="宋体"/>
          <w:color w:val="auto"/>
          <w:sz w:val="24"/>
        </w:rPr>
        <w:t>标高。建筑物室外地坪标高参照四周道路规划标高确定，满足该地块内雨水排放的要求，且不得影响周围用地的使用。</w:t>
      </w:r>
    </w:p>
    <w:p w14:paraId="0F8D8D27">
      <w:pPr>
        <w:pStyle w:val="67"/>
        <w:numPr>
          <w:ilvl w:val="2"/>
          <w:numId w:val="18"/>
        </w:numPr>
        <w:spacing w:before="240" w:after="120"/>
        <w:ind w:left="0" w:firstLine="0" w:firstLineChars="0"/>
        <w:outlineLvl w:val="1"/>
        <w:rPr>
          <w:rFonts w:ascii="宋体" w:hAnsi="宋体" w:eastAsia="宋体" w:cs="黑体"/>
          <w:b/>
          <w:bCs/>
          <w:color w:val="auto"/>
          <w:szCs w:val="24"/>
        </w:rPr>
      </w:pPr>
      <w:bookmarkStart w:id="198" w:name="_Toc12173"/>
      <w:bookmarkStart w:id="199" w:name="_Toc462255871"/>
      <w:r>
        <w:rPr>
          <w:rFonts w:hint="eastAsia" w:ascii="宋体" w:hAnsi="宋体" w:eastAsia="宋体" w:cs="黑体"/>
          <w:b/>
          <w:bCs/>
          <w:color w:val="auto"/>
          <w:szCs w:val="24"/>
        </w:rPr>
        <w:t>绿化景观系统</w:t>
      </w:r>
      <w:bookmarkEnd w:id="198"/>
      <w:bookmarkEnd w:id="199"/>
    </w:p>
    <w:p w14:paraId="504134A5">
      <w:pPr>
        <w:ind w:firstLine="570"/>
        <w:rPr>
          <w:rFonts w:ascii="宋体" w:hAnsi="宋体"/>
          <w:color w:val="auto"/>
          <w:sz w:val="24"/>
        </w:rPr>
      </w:pPr>
      <w:r>
        <w:rPr>
          <w:rFonts w:hint="eastAsia" w:ascii="宋体" w:hAnsi="宋体"/>
          <w:color w:val="auto"/>
          <w:sz w:val="24"/>
        </w:rPr>
        <w:t>场区绿化主要由自然生态绿化、广场绿化、体育绿化、庭院绿化以及绿化景观道路组成。</w:t>
      </w:r>
    </w:p>
    <w:p w14:paraId="57D32F38">
      <w:pPr>
        <w:pStyle w:val="67"/>
        <w:numPr>
          <w:ilvl w:val="0"/>
          <w:numId w:val="28"/>
        </w:numPr>
        <w:ind w:left="0" w:firstLine="490" w:firstLineChars="0"/>
        <w:rPr>
          <w:rFonts w:ascii="宋体" w:hAnsi="宋体" w:eastAsia="宋体"/>
          <w:color w:val="auto"/>
          <w:sz w:val="24"/>
          <w:szCs w:val="24"/>
        </w:rPr>
      </w:pPr>
      <w:r>
        <w:rPr>
          <w:rFonts w:hint="eastAsia" w:ascii="宋体" w:hAnsi="宋体" w:eastAsia="宋体"/>
          <w:color w:val="auto"/>
          <w:sz w:val="24"/>
          <w:szCs w:val="24"/>
        </w:rPr>
        <w:t>校前区由自然生态绿化、广场绿化、绿化景观道路组成。</w:t>
      </w:r>
    </w:p>
    <w:p w14:paraId="71E37146">
      <w:pPr>
        <w:pStyle w:val="67"/>
        <w:numPr>
          <w:ilvl w:val="0"/>
          <w:numId w:val="28"/>
        </w:numPr>
        <w:ind w:left="0" w:firstLine="490" w:firstLineChars="0"/>
        <w:rPr>
          <w:rFonts w:ascii="宋体" w:hAnsi="宋体" w:eastAsia="宋体"/>
          <w:color w:val="auto"/>
          <w:sz w:val="24"/>
          <w:szCs w:val="24"/>
        </w:rPr>
      </w:pPr>
      <w:r>
        <w:rPr>
          <w:rFonts w:hint="eastAsia" w:ascii="宋体" w:hAnsi="宋体" w:eastAsia="宋体"/>
          <w:color w:val="auto"/>
          <w:sz w:val="24"/>
          <w:szCs w:val="24"/>
        </w:rPr>
        <w:t>教学区由景观绿化、庭院绿化组成。以绿色景观衬托出教学区的书院特色，营造充满诗意的场区核心景观。</w:t>
      </w:r>
    </w:p>
    <w:p w14:paraId="03C18073">
      <w:pPr>
        <w:pStyle w:val="67"/>
        <w:numPr>
          <w:ilvl w:val="0"/>
          <w:numId w:val="28"/>
        </w:numPr>
        <w:ind w:left="0" w:firstLine="490" w:firstLineChars="0"/>
        <w:rPr>
          <w:rFonts w:ascii="宋体" w:hAnsi="宋体" w:eastAsia="宋体"/>
          <w:color w:val="auto"/>
          <w:sz w:val="24"/>
          <w:szCs w:val="24"/>
        </w:rPr>
      </w:pPr>
      <w:r>
        <w:rPr>
          <w:rFonts w:hint="eastAsia" w:ascii="宋体" w:hAnsi="宋体" w:eastAsia="宋体"/>
          <w:color w:val="auto"/>
          <w:sz w:val="24"/>
          <w:szCs w:val="24"/>
        </w:rPr>
        <w:t>体育区由体育绿化、绿化景观道路组成。</w:t>
      </w:r>
    </w:p>
    <w:p w14:paraId="359EE4AB">
      <w:pPr>
        <w:pStyle w:val="67"/>
        <w:numPr>
          <w:ilvl w:val="0"/>
          <w:numId w:val="28"/>
        </w:numPr>
        <w:ind w:left="0" w:firstLine="490" w:firstLineChars="0"/>
        <w:rPr>
          <w:rFonts w:ascii="宋体" w:hAnsi="宋体" w:eastAsia="宋体"/>
          <w:color w:val="auto"/>
          <w:sz w:val="24"/>
          <w:szCs w:val="24"/>
        </w:rPr>
      </w:pPr>
      <w:r>
        <w:rPr>
          <w:rFonts w:hint="eastAsia" w:ascii="宋体" w:hAnsi="宋体" w:eastAsia="宋体"/>
          <w:color w:val="auto"/>
          <w:sz w:val="24"/>
          <w:szCs w:val="24"/>
        </w:rPr>
        <w:t>建筑组团之间的绿化：绿化融入建筑，增强建筑的围合感，并有利于改善建筑周边生态环境。</w:t>
      </w:r>
    </w:p>
    <w:p w14:paraId="773E08C8">
      <w:pPr>
        <w:pStyle w:val="67"/>
        <w:numPr>
          <w:ilvl w:val="2"/>
          <w:numId w:val="18"/>
        </w:numPr>
        <w:spacing w:before="240" w:after="120"/>
        <w:ind w:left="0" w:firstLine="0" w:firstLineChars="0"/>
        <w:outlineLvl w:val="1"/>
        <w:rPr>
          <w:rFonts w:ascii="宋体" w:hAnsi="宋体" w:eastAsia="宋体"/>
          <w:b/>
          <w:color w:val="auto"/>
          <w:szCs w:val="24"/>
        </w:rPr>
      </w:pPr>
      <w:bookmarkStart w:id="200" w:name="_Toc17040"/>
      <w:r>
        <w:rPr>
          <w:rFonts w:hint="eastAsia" w:ascii="宋体" w:hAnsi="宋体" w:eastAsia="宋体" w:cs="黑体"/>
          <w:b/>
          <w:bCs/>
          <w:color w:val="auto"/>
          <w:szCs w:val="24"/>
        </w:rPr>
        <w:t>体育</w:t>
      </w:r>
      <w:r>
        <w:rPr>
          <w:rFonts w:hint="eastAsia" w:ascii="宋体" w:hAnsi="宋体" w:eastAsia="宋体"/>
          <w:b/>
          <w:color w:val="auto"/>
          <w:szCs w:val="24"/>
        </w:rPr>
        <w:t>设施</w:t>
      </w:r>
      <w:bookmarkEnd w:id="200"/>
    </w:p>
    <w:p w14:paraId="72C50EC1">
      <w:pPr>
        <w:ind w:firstLine="570"/>
        <w:rPr>
          <w:rFonts w:ascii="宋体" w:hAnsi="宋体"/>
          <w:color w:val="auto"/>
          <w:sz w:val="24"/>
        </w:rPr>
      </w:pPr>
      <w:r>
        <w:rPr>
          <w:rFonts w:hint="eastAsia" w:ascii="宋体" w:hAnsi="宋体"/>
          <w:color w:val="auto"/>
          <w:sz w:val="24"/>
        </w:rPr>
        <w:t>体育运动区由</w:t>
      </w:r>
      <w:r>
        <w:rPr>
          <w:rFonts w:hint="eastAsia" w:ascii="宋体" w:hAnsi="宋体" w:eastAsia="宋体" w:cs="宋体"/>
          <w:color w:val="auto"/>
          <w:kern w:val="28"/>
          <w:sz w:val="24"/>
          <w:szCs w:val="21"/>
          <w:lang w:eastAsia="zh-CN"/>
        </w:rPr>
        <w:t>田径场、室外运动场</w:t>
      </w:r>
      <w:r>
        <w:rPr>
          <w:rFonts w:hint="eastAsia" w:ascii="宋体" w:hAnsi="宋体"/>
          <w:color w:val="auto"/>
          <w:sz w:val="24"/>
        </w:rPr>
        <w:t>及周边绿化组成。</w:t>
      </w:r>
    </w:p>
    <w:p w14:paraId="2B0310D2">
      <w:pPr>
        <w:rPr>
          <w:color w:val="auto"/>
        </w:rPr>
      </w:pPr>
      <w:bookmarkStart w:id="201" w:name="_Toc462255872"/>
    </w:p>
    <w:p w14:paraId="61117543">
      <w:pPr>
        <w:rPr>
          <w:rFonts w:hint="eastAsia" w:ascii="宋体" w:hAnsi="宋体"/>
          <w:color w:val="auto"/>
          <w:sz w:val="36"/>
          <w:szCs w:val="36"/>
        </w:rPr>
      </w:pPr>
      <w:bookmarkStart w:id="202" w:name="_Toc21207"/>
      <w:r>
        <w:rPr>
          <w:rFonts w:hint="eastAsia" w:ascii="宋体" w:hAnsi="宋体"/>
          <w:color w:val="auto"/>
          <w:sz w:val="36"/>
          <w:szCs w:val="36"/>
        </w:rPr>
        <w:br w:type="page"/>
      </w:r>
    </w:p>
    <w:p w14:paraId="0BB447C4">
      <w:pPr>
        <w:pStyle w:val="2"/>
        <w:tabs>
          <w:tab w:val="left" w:pos="3570"/>
        </w:tabs>
        <w:spacing w:before="156" w:beforeLines="50" w:after="156" w:afterLines="50" w:line="360" w:lineRule="auto"/>
        <w:jc w:val="center"/>
        <w:rPr>
          <w:rFonts w:ascii="宋体" w:hAnsi="宋体"/>
          <w:color w:val="auto"/>
          <w:sz w:val="36"/>
          <w:szCs w:val="36"/>
        </w:rPr>
      </w:pPr>
      <w:r>
        <w:rPr>
          <w:rFonts w:hint="eastAsia" w:ascii="宋体" w:hAnsi="宋体"/>
          <w:color w:val="auto"/>
          <w:sz w:val="36"/>
          <w:szCs w:val="36"/>
        </w:rPr>
        <w:t>第五章</w:t>
      </w:r>
      <w:r>
        <w:rPr>
          <w:rFonts w:ascii="宋体" w:hAnsi="宋体"/>
          <w:color w:val="auto"/>
          <w:sz w:val="36"/>
          <w:szCs w:val="36"/>
        </w:rPr>
        <w:t xml:space="preserve"> </w:t>
      </w:r>
      <w:r>
        <w:rPr>
          <w:rFonts w:hint="eastAsia" w:ascii="宋体" w:hAnsi="宋体"/>
          <w:color w:val="auto"/>
          <w:sz w:val="36"/>
          <w:szCs w:val="36"/>
        </w:rPr>
        <w:t>建筑设计要求</w:t>
      </w:r>
      <w:bookmarkEnd w:id="201"/>
      <w:bookmarkEnd w:id="202"/>
    </w:p>
    <w:p w14:paraId="53E5B3C7">
      <w:pPr>
        <w:pStyle w:val="3"/>
        <w:numPr>
          <w:ilvl w:val="0"/>
          <w:numId w:val="29"/>
        </w:numPr>
        <w:spacing w:before="120" w:after="120" w:line="360" w:lineRule="auto"/>
        <w:ind w:left="0" w:firstLine="0"/>
        <w:rPr>
          <w:rFonts w:ascii="宋体" w:hAnsi="宋体"/>
          <w:color w:val="auto"/>
        </w:rPr>
      </w:pPr>
      <w:bookmarkStart w:id="203" w:name="_Toc462255873"/>
      <w:bookmarkStart w:id="204" w:name="_Toc29634"/>
      <w:r>
        <w:rPr>
          <w:rFonts w:hint="eastAsia" w:ascii="宋体" w:hAnsi="宋体"/>
          <w:color w:val="auto"/>
        </w:rPr>
        <w:t>建设规模</w:t>
      </w:r>
      <w:bookmarkEnd w:id="203"/>
      <w:bookmarkEnd w:id="204"/>
    </w:p>
    <w:p w14:paraId="74BAE11A">
      <w:pPr>
        <w:pBdr>
          <w:bottom w:val="none" w:color="auto" w:sz="0" w:space="0"/>
        </w:pBdr>
        <w:ind w:firstLine="480" w:firstLineChars="200"/>
        <w:contextualSpacing/>
        <w:rPr>
          <w:rFonts w:hint="eastAsia" w:ascii="宋体" w:hAnsi="宋体" w:eastAsia="宋体" w:cs="宋体"/>
          <w:color w:val="auto"/>
          <w:kern w:val="28"/>
          <w:sz w:val="24"/>
          <w:szCs w:val="21"/>
          <w:lang w:eastAsia="zh-CN"/>
        </w:rPr>
      </w:pPr>
      <w:r>
        <w:rPr>
          <w:rFonts w:hint="eastAsia" w:ascii="宋体" w:hAnsi="宋体" w:eastAsia="宋体" w:cs="宋体"/>
          <w:color w:val="auto"/>
          <w:kern w:val="28"/>
          <w:sz w:val="24"/>
          <w:szCs w:val="21"/>
          <w:lang w:eastAsia="zh-CN"/>
        </w:rPr>
        <w:t>本项目拟建48个高中班，总规模2400生。项目总用地面积94151.4㎡(约141.227亩)，拟保留建筑(学生宿舍)面积约为3100㎡，拟新建总建筑面积约为76000㎡，其中新建计容面积约为64800㎡，不计容面积约为11200㎡(含连廊及架空层4000㎡)；新建建设内容主要包括教学及辅助用房(约37083㎡)、行政办公用房(约2767㎡)、生活服务用房(约6710㎡)、学生宿舍(约13900㎡)、教职工宿舍(约</w:t>
      </w:r>
      <w:r>
        <w:rPr>
          <w:rFonts w:hint="eastAsia" w:ascii="宋体" w:hAnsi="宋体" w:eastAsia="宋体" w:cs="宋体"/>
          <w:color w:val="auto"/>
          <w:kern w:val="28"/>
          <w:sz w:val="24"/>
          <w:szCs w:val="21"/>
          <w:lang w:val="en-US" w:eastAsia="zh-CN"/>
        </w:rPr>
        <w:t>4340</w:t>
      </w:r>
      <w:r>
        <w:rPr>
          <w:rFonts w:hint="eastAsia" w:ascii="宋体" w:hAnsi="宋体" w:eastAsia="宋体" w:cs="宋体"/>
          <w:color w:val="auto"/>
          <w:kern w:val="28"/>
          <w:sz w:val="24"/>
          <w:szCs w:val="21"/>
          <w:lang w:eastAsia="zh-CN"/>
        </w:rPr>
        <w:t>㎡)、车库及设备用房、400米田径场、室外运动场、绿地、道路广场及充电等。(最终以可行性研究报告批复为准)</w:t>
      </w:r>
    </w:p>
    <w:p w14:paraId="089B3092">
      <w:pPr>
        <w:pStyle w:val="3"/>
        <w:numPr>
          <w:ilvl w:val="0"/>
          <w:numId w:val="29"/>
        </w:numPr>
        <w:spacing w:line="360" w:lineRule="auto"/>
        <w:ind w:left="0" w:firstLine="0"/>
        <w:rPr>
          <w:rFonts w:ascii="宋体" w:hAnsi="宋体"/>
          <w:color w:val="auto"/>
          <w:szCs w:val="21"/>
        </w:rPr>
      </w:pPr>
      <w:bookmarkStart w:id="205" w:name="_Toc462255874"/>
      <w:bookmarkStart w:id="206" w:name="_Toc21165"/>
      <w:r>
        <w:rPr>
          <w:rFonts w:hint="eastAsia" w:ascii="宋体" w:hAnsi="宋体"/>
          <w:color w:val="auto"/>
          <w:szCs w:val="21"/>
        </w:rPr>
        <w:t>总平面布置规划</w:t>
      </w:r>
      <w:bookmarkEnd w:id="205"/>
      <w:bookmarkEnd w:id="206"/>
    </w:p>
    <w:p w14:paraId="04E4D863">
      <w:pPr>
        <w:pStyle w:val="4"/>
        <w:numPr>
          <w:ilvl w:val="0"/>
          <w:numId w:val="30"/>
        </w:numPr>
        <w:pBdr>
          <w:bottom w:val="none" w:color="auto" w:sz="0" w:space="0"/>
        </w:pBdr>
        <w:spacing w:before="156" w:after="156"/>
        <w:ind w:firstLine="284"/>
        <w:rPr>
          <w:color w:val="auto"/>
        </w:rPr>
      </w:pPr>
      <w:bookmarkStart w:id="207" w:name="_Toc462255959"/>
      <w:bookmarkStart w:id="208" w:name="_Toc3094"/>
      <w:bookmarkStart w:id="209" w:name="_Toc462255875"/>
      <w:r>
        <w:rPr>
          <w:rFonts w:hint="eastAsia"/>
          <w:color w:val="auto"/>
        </w:rPr>
        <w:t>项目主要建筑设施</w:t>
      </w:r>
      <w:bookmarkEnd w:id="207"/>
      <w:bookmarkEnd w:id="208"/>
      <w:bookmarkEnd w:id="209"/>
    </w:p>
    <w:tbl>
      <w:tblPr>
        <w:tblStyle w:val="23"/>
        <w:tblpPr w:leftFromText="180" w:rightFromText="180" w:vertAnchor="page" w:horzAnchor="page" w:tblpX="1797" w:tblpY="3109"/>
        <w:tblOverlap w:val="never"/>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960"/>
        <w:gridCol w:w="2700"/>
        <w:gridCol w:w="1380"/>
        <w:gridCol w:w="1710"/>
        <w:gridCol w:w="1500"/>
      </w:tblGrid>
      <w:tr w14:paraId="0CF1FDD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8" w:space="0"/>
              <w:left w:val="single" w:color="000000" w:sz="8" w:space="0"/>
              <w:bottom w:val="single" w:color="000000" w:sz="8" w:space="0"/>
              <w:right w:val="single" w:color="000000" w:sz="8" w:space="0"/>
            </w:tcBorders>
            <w:tcMar>
              <w:bottom w:w="0" w:type="dxa"/>
            </w:tcMar>
            <w:vAlign w:val="center"/>
          </w:tcPr>
          <w:p w14:paraId="6113A884">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黑体" w:hAnsi="黑体" w:eastAsia="黑体" w:cs="黑体"/>
                <w:i w:val="0"/>
                <w:strike w:val="0"/>
                <w:color w:val="auto"/>
                <w:spacing w:val="0"/>
                <w:sz w:val="21"/>
                <w:highlight w:val="none"/>
                <w:u w:val="none"/>
                <w:vertAlign w:val="baseline"/>
              </w:rPr>
              <w:t>序号</w:t>
            </w:r>
          </w:p>
        </w:tc>
        <w:tc>
          <w:tcPr>
            <w:tcW w:w="2700" w:type="dxa"/>
            <w:tcBorders>
              <w:top w:val="single" w:color="000000" w:sz="8" w:space="0"/>
              <w:left w:val="single" w:color="000000" w:sz="8" w:space="0"/>
              <w:bottom w:val="single" w:color="000000" w:sz="8" w:space="0"/>
              <w:right w:val="single" w:color="000000" w:sz="8" w:space="0"/>
            </w:tcBorders>
            <w:tcMar>
              <w:bottom w:w="0" w:type="dxa"/>
            </w:tcMar>
            <w:vAlign w:val="center"/>
          </w:tcPr>
          <w:p w14:paraId="101FA62F">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黑体" w:hAnsi="黑体" w:eastAsia="黑体" w:cs="黑体"/>
                <w:i w:val="0"/>
                <w:strike w:val="0"/>
                <w:color w:val="auto"/>
                <w:spacing w:val="0"/>
                <w:sz w:val="21"/>
                <w:highlight w:val="none"/>
                <w:u w:val="none"/>
                <w:vertAlign w:val="baseline"/>
              </w:rPr>
              <w:t>内容</w:t>
            </w:r>
          </w:p>
        </w:tc>
        <w:tc>
          <w:tcPr>
            <w:tcW w:w="1380" w:type="dxa"/>
            <w:tcBorders>
              <w:top w:val="single" w:color="000000" w:sz="8" w:space="0"/>
              <w:left w:val="single" w:color="000000" w:sz="8" w:space="0"/>
              <w:bottom w:val="single" w:color="000000" w:sz="8" w:space="0"/>
              <w:right w:val="single" w:color="000000" w:sz="8" w:space="0"/>
            </w:tcBorders>
            <w:tcMar>
              <w:bottom w:w="0" w:type="dxa"/>
            </w:tcMar>
            <w:vAlign w:val="center"/>
          </w:tcPr>
          <w:p w14:paraId="678962FA">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黑体" w:hAnsi="黑体" w:eastAsia="黑体" w:cs="黑体"/>
                <w:i w:val="0"/>
                <w:strike w:val="0"/>
                <w:color w:val="auto"/>
                <w:spacing w:val="0"/>
                <w:sz w:val="21"/>
                <w:highlight w:val="none"/>
                <w:u w:val="none"/>
                <w:vertAlign w:val="baseline"/>
              </w:rPr>
              <w:t>单位</w:t>
            </w:r>
          </w:p>
        </w:tc>
        <w:tc>
          <w:tcPr>
            <w:tcW w:w="1710" w:type="dxa"/>
            <w:tcBorders>
              <w:top w:val="single" w:color="000000" w:sz="8" w:space="0"/>
              <w:left w:val="single" w:color="000000" w:sz="8" w:space="0"/>
              <w:bottom w:val="single" w:color="000000" w:sz="8" w:space="0"/>
              <w:right w:val="single" w:color="000000" w:sz="8" w:space="0"/>
            </w:tcBorders>
            <w:tcMar>
              <w:bottom w:w="0" w:type="dxa"/>
            </w:tcMar>
            <w:vAlign w:val="center"/>
          </w:tcPr>
          <w:p w14:paraId="22397235">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黑体" w:hAnsi="黑体" w:eastAsia="黑体" w:cs="黑体"/>
                <w:i w:val="0"/>
                <w:strike w:val="0"/>
                <w:color w:val="auto"/>
                <w:spacing w:val="0"/>
                <w:sz w:val="21"/>
                <w:highlight w:val="none"/>
                <w:u w:val="none"/>
                <w:vertAlign w:val="baseline"/>
              </w:rPr>
              <w:t>规模</w:t>
            </w:r>
          </w:p>
        </w:tc>
        <w:tc>
          <w:tcPr>
            <w:tcW w:w="1500" w:type="dxa"/>
            <w:tcBorders>
              <w:top w:val="single" w:color="000000" w:sz="8" w:space="0"/>
              <w:left w:val="single" w:color="000000" w:sz="8" w:space="0"/>
              <w:bottom w:val="single" w:color="000000" w:sz="8" w:space="0"/>
              <w:right w:val="single" w:color="000000" w:sz="8" w:space="0"/>
            </w:tcBorders>
            <w:tcMar>
              <w:bottom w:w="0" w:type="dxa"/>
            </w:tcMar>
            <w:vAlign w:val="center"/>
          </w:tcPr>
          <w:p w14:paraId="3A4ED949">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黑体" w:hAnsi="黑体" w:eastAsia="黑体" w:cs="黑体"/>
                <w:i w:val="0"/>
                <w:strike w:val="0"/>
                <w:color w:val="auto"/>
                <w:spacing w:val="0"/>
                <w:sz w:val="21"/>
                <w:highlight w:val="none"/>
                <w:u w:val="none"/>
                <w:vertAlign w:val="baseline"/>
              </w:rPr>
              <w:t>备注</w:t>
            </w:r>
          </w:p>
        </w:tc>
      </w:tr>
      <w:tr w14:paraId="69D79BB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F14DB9E">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1</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E465F72">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用地面积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5EBA2BA">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F25B6F7">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rPr>
            </w:pPr>
            <w:r>
              <w:rPr>
                <w:rFonts w:hint="eastAsia" w:ascii="仿宋" w:hAnsi="仿宋" w:eastAsia="仿宋" w:cs="仿宋"/>
                <w:i w:val="0"/>
                <w:strike w:val="0"/>
                <w:color w:val="auto"/>
                <w:spacing w:val="0"/>
                <w:sz w:val="21"/>
                <w:highlight w:val="none"/>
                <w:u w:val="none"/>
                <w:lang w:val="en-US" w:eastAsia="zh-CN"/>
              </w:rPr>
              <w:t>94151.4</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917AA83">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rPr>
            </w:pPr>
            <w:r>
              <w:rPr>
                <w:rFonts w:hint="eastAsia" w:ascii="仿宋" w:hAnsi="仿宋" w:eastAsia="仿宋" w:cs="仿宋"/>
                <w:i w:val="0"/>
                <w:strike w:val="0"/>
                <w:color w:val="auto"/>
                <w:spacing w:val="0"/>
                <w:sz w:val="21"/>
                <w:highlight w:val="none"/>
                <w:u w:val="none"/>
                <w:lang w:val="en-US" w:eastAsia="zh-CN"/>
              </w:rPr>
              <w:t>约141.227</w:t>
            </w:r>
            <w:r>
              <w:rPr>
                <w:rFonts w:hint="eastAsia" w:ascii="仿宋" w:hAnsi="仿宋" w:eastAsia="仿宋" w:cs="仿宋"/>
                <w:i w:val="0"/>
                <w:strike w:val="0"/>
                <w:color w:val="auto"/>
                <w:spacing w:val="0"/>
                <w:sz w:val="21"/>
                <w:highlight w:val="none"/>
                <w:u w:val="none"/>
              </w:rPr>
              <w:t>亩</w:t>
            </w:r>
          </w:p>
        </w:tc>
      </w:tr>
      <w:tr w14:paraId="02EEC13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BEDA200">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CD24B0A">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总建筑面积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D4C12E8">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7E5CEF2">
            <w:pPr>
              <w:keepNext w:val="0"/>
              <w:keepLines w:val="0"/>
              <w:suppressLineNumbers w:val="0"/>
              <w:snapToGrid/>
              <w:spacing w:before="0" w:beforeAutospacing="0" w:after="0" w:afterAutospacing="0" w:line="240" w:lineRule="auto"/>
              <w:ind w:left="0" w:right="0"/>
              <w:jc w:val="center"/>
              <w:rPr>
                <w:rFonts w:hint="default" w:eastAsia="宋体"/>
                <w:color w:val="auto"/>
                <w:highlight w:val="none"/>
                <w:lang w:val="en-US" w:eastAsia="zh-CN"/>
              </w:rPr>
            </w:pPr>
            <w:r>
              <w:rPr>
                <w:rFonts w:hint="eastAsia" w:ascii="仿宋" w:hAnsi="仿宋" w:eastAsia="仿宋" w:cs="仿宋"/>
                <w:i w:val="0"/>
                <w:strike w:val="0"/>
                <w:color w:val="auto"/>
                <w:spacing w:val="0"/>
                <w:sz w:val="21"/>
                <w:highlight w:val="none"/>
                <w:u w:val="none"/>
                <w:lang w:val="en-US" w:eastAsia="zh-CN"/>
              </w:rPr>
              <w:t>79100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AFB48F4">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23D53C1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B4B6AAE">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vertAlign w:val="baseline"/>
                <w:lang w:val="en-US" w:eastAsia="zh-CN"/>
              </w:rPr>
            </w:pPr>
            <w:r>
              <w:rPr>
                <w:rFonts w:hint="eastAsia" w:ascii="仿宋" w:hAnsi="仿宋" w:eastAsia="仿宋" w:cs="仿宋"/>
                <w:i w:val="0"/>
                <w:strike w:val="0"/>
                <w:color w:val="auto"/>
                <w:spacing w:val="0"/>
                <w:sz w:val="21"/>
                <w:highlight w:val="none"/>
                <w:u w:val="none"/>
                <w:vertAlign w:val="baseline"/>
                <w:lang w:val="en-US" w:eastAsia="zh-CN"/>
              </w:rPr>
              <w:t>2.1</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A774CD8">
            <w:pPr>
              <w:keepNext w:val="0"/>
              <w:keepLines w:val="0"/>
              <w:suppressLineNumbers w:val="0"/>
              <w:snapToGrid/>
              <w:spacing w:before="0" w:beforeAutospacing="0" w:after="0" w:afterAutospacing="0" w:line="240" w:lineRule="auto"/>
              <w:ind w:left="0" w:right="0"/>
              <w:jc w:val="center"/>
              <w:rPr>
                <w:rFonts w:hint="eastAsia" w:ascii="仿宋" w:hAnsi="仿宋" w:eastAsia="仿宋" w:cs="仿宋"/>
                <w:i w:val="0"/>
                <w:strike w:val="0"/>
                <w:color w:val="auto"/>
                <w:spacing w:val="0"/>
                <w:sz w:val="21"/>
                <w:highlight w:val="none"/>
                <w:u w:val="none"/>
                <w:vertAlign w:val="baseline"/>
                <w:lang w:eastAsia="zh-CN"/>
              </w:rPr>
            </w:pPr>
            <w:r>
              <w:rPr>
                <w:rFonts w:hint="eastAsia" w:ascii="仿宋" w:hAnsi="仿宋" w:eastAsia="仿宋" w:cs="仿宋"/>
                <w:i w:val="0"/>
                <w:strike w:val="0"/>
                <w:color w:val="auto"/>
                <w:spacing w:val="0"/>
                <w:sz w:val="21"/>
                <w:highlight w:val="none"/>
                <w:u w:val="none"/>
                <w:vertAlign w:val="baseline"/>
                <w:lang w:eastAsia="zh-CN"/>
              </w:rPr>
              <w:t>保留建筑</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C097B17">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vertAlign w:val="baseli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BE3CCE9">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3100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C810D93">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rPr>
            </w:pPr>
          </w:p>
        </w:tc>
      </w:tr>
      <w:tr w14:paraId="17E0C08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F04E318">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vertAlign w:val="baseline"/>
                <w:lang w:val="en-US" w:eastAsia="zh-CN"/>
              </w:rPr>
            </w:pPr>
            <w:r>
              <w:rPr>
                <w:rFonts w:hint="eastAsia" w:ascii="仿宋" w:hAnsi="仿宋" w:eastAsia="仿宋" w:cs="仿宋"/>
                <w:i w:val="0"/>
                <w:strike w:val="0"/>
                <w:color w:val="auto"/>
                <w:spacing w:val="0"/>
                <w:sz w:val="21"/>
                <w:highlight w:val="none"/>
                <w:u w:val="none"/>
                <w:vertAlign w:val="baseline"/>
                <w:lang w:val="en-US" w:eastAsia="zh-CN"/>
              </w:rPr>
              <w:t>2.2</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1A19FC3">
            <w:pPr>
              <w:keepNext w:val="0"/>
              <w:keepLines w:val="0"/>
              <w:suppressLineNumbers w:val="0"/>
              <w:snapToGrid/>
              <w:spacing w:before="0" w:beforeAutospacing="0" w:after="0" w:afterAutospacing="0" w:line="240" w:lineRule="auto"/>
              <w:ind w:left="0" w:right="0"/>
              <w:jc w:val="center"/>
              <w:rPr>
                <w:rFonts w:hint="eastAsia" w:ascii="仿宋" w:hAnsi="仿宋" w:eastAsia="仿宋" w:cs="仿宋"/>
                <w:i w:val="0"/>
                <w:strike w:val="0"/>
                <w:color w:val="auto"/>
                <w:spacing w:val="0"/>
                <w:sz w:val="21"/>
                <w:highlight w:val="none"/>
                <w:u w:val="none"/>
                <w:vertAlign w:val="baseline"/>
                <w:lang w:eastAsia="zh-CN"/>
              </w:rPr>
            </w:pPr>
            <w:r>
              <w:rPr>
                <w:rFonts w:hint="eastAsia" w:ascii="仿宋" w:hAnsi="仿宋" w:eastAsia="仿宋" w:cs="仿宋"/>
                <w:i w:val="0"/>
                <w:strike w:val="0"/>
                <w:color w:val="auto"/>
                <w:spacing w:val="0"/>
                <w:sz w:val="21"/>
                <w:highlight w:val="none"/>
                <w:u w:val="none"/>
                <w:vertAlign w:val="baseline"/>
                <w:lang w:eastAsia="zh-CN"/>
              </w:rPr>
              <w:t>新建建筑面积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13750B6">
            <w:pPr>
              <w:keepNext w:val="0"/>
              <w:keepLines w:val="0"/>
              <w:suppressLineNumbers w:val="0"/>
              <w:snapToGrid/>
              <w:spacing w:before="0" w:beforeAutospacing="0" w:after="0" w:afterAutospacing="0" w:line="240" w:lineRule="auto"/>
              <w:ind w:left="0" w:leftChars="0" w:right="0" w:rightChars="0"/>
              <w:jc w:val="center"/>
              <w:rPr>
                <w:rFonts w:hint="default" w:ascii="仿宋" w:hAnsi="仿宋" w:eastAsia="仿宋" w:cs="仿宋"/>
                <w:i w:val="0"/>
                <w:strike w:val="0"/>
                <w:color w:val="auto"/>
                <w:spacing w:val="0"/>
                <w:sz w:val="21"/>
                <w:highlight w:val="none"/>
                <w:u w:val="none"/>
                <w:vertAlign w:val="baseli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1A75197">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76000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0211777">
            <w:pPr>
              <w:keepNext w:val="0"/>
              <w:keepLines w:val="0"/>
              <w:suppressLineNumbers w:val="0"/>
              <w:snapToGrid/>
              <w:spacing w:before="0" w:beforeAutospacing="0" w:after="0" w:afterAutospacing="0" w:line="240" w:lineRule="auto"/>
              <w:ind w:left="0" w:right="0"/>
              <w:jc w:val="center"/>
              <w:rPr>
                <w:rFonts w:hint="default" w:ascii="仿宋" w:hAnsi="仿宋" w:eastAsia="仿宋" w:cs="仿宋"/>
                <w:i w:val="0"/>
                <w:strike w:val="0"/>
                <w:color w:val="auto"/>
                <w:spacing w:val="0"/>
                <w:sz w:val="21"/>
                <w:highlight w:val="none"/>
                <w:u w:val="none"/>
              </w:rPr>
            </w:pPr>
          </w:p>
        </w:tc>
      </w:tr>
      <w:tr w14:paraId="323724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92"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67BA9A8">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98E7F65">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eastAsia="zh-CN"/>
              </w:rPr>
              <w:t>新建</w:t>
            </w:r>
            <w:r>
              <w:rPr>
                <w:rFonts w:hint="default" w:ascii="仿宋" w:hAnsi="仿宋" w:eastAsia="仿宋" w:cs="仿宋"/>
                <w:i w:val="0"/>
                <w:strike w:val="0"/>
                <w:color w:val="auto"/>
                <w:spacing w:val="0"/>
                <w:sz w:val="21"/>
                <w:highlight w:val="none"/>
                <w:u w:val="none"/>
                <w:vertAlign w:val="baseline"/>
              </w:rPr>
              <w:t>计容建筑面积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E13732A">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CD5EA81">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64800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980C567">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4FBB0EF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2AF06D2">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2.1</w:t>
            </w:r>
            <w:r>
              <w:rPr>
                <w:rFonts w:hint="default" w:ascii="仿宋" w:hAnsi="仿宋" w:eastAsia="仿宋" w:cs="仿宋"/>
                <w:i w:val="0"/>
                <w:strike w:val="0"/>
                <w:color w:val="auto"/>
                <w:spacing w:val="0"/>
                <w:sz w:val="21"/>
                <w:highlight w:val="none"/>
                <w:u w:val="none"/>
                <w:vertAlign w:val="baseline"/>
              </w:rPr>
              <w:t>.1</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0E2318E">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教学及辅助用房</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769EEDD">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F553A3B">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37083</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1640DD0">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69C3F35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077C1BF">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1.2</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2441571">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行政办公用房</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45018F0">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93F5A21">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2767</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DD2351C">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407762C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3AAC1C1">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.1.3</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651B7F4">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生活服务用房</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CD58DC1">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755F26C">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6710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40E62D4">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024B051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60D7808">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1.4</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6D4726C">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学生宿舍</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14FF15F">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71F9EF8">
            <w:pPr>
              <w:keepNext w:val="0"/>
              <w:keepLines w:val="0"/>
              <w:suppressLineNumbers w:val="0"/>
              <w:snapToGrid/>
              <w:spacing w:before="0" w:beforeAutospacing="0" w:after="0" w:afterAutospacing="0" w:line="240" w:lineRule="auto"/>
              <w:ind w:left="0" w:leftChars="0" w:right="0" w:rightChars="0"/>
              <w:jc w:val="center"/>
              <w:rPr>
                <w:rFonts w:hint="default"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13900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D9C1DB5">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7F64385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AF5728D">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1.5</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27FB321">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教职工宿舍</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753B278">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093EA87">
            <w:pPr>
              <w:keepNext w:val="0"/>
              <w:keepLines w:val="0"/>
              <w:suppressLineNumbers w:val="0"/>
              <w:snapToGrid/>
              <w:spacing w:before="0" w:beforeAutospacing="0" w:after="0" w:afterAutospacing="0" w:line="240" w:lineRule="auto"/>
              <w:ind w:left="0" w:right="0"/>
              <w:jc w:val="center"/>
              <w:rPr>
                <w:rFonts w:hint="default" w:eastAsia="宋体"/>
                <w:color w:val="auto"/>
                <w:highlight w:val="none"/>
                <w:lang w:val="en-US" w:eastAsia="zh-CN"/>
              </w:rPr>
            </w:pPr>
            <w:r>
              <w:rPr>
                <w:rFonts w:hint="eastAsia" w:ascii="仿宋" w:hAnsi="仿宋" w:eastAsia="仿宋" w:cs="仿宋"/>
                <w:i w:val="0"/>
                <w:strike w:val="0"/>
                <w:color w:val="auto"/>
                <w:spacing w:val="0"/>
                <w:sz w:val="21"/>
                <w:highlight w:val="none"/>
                <w:u w:val="none"/>
                <w:lang w:val="en-US" w:eastAsia="zh-CN"/>
              </w:rPr>
              <w:t>4340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34E2537">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5EB6C3A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90"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D489E91">
            <w:pPr>
              <w:keepNext w:val="0"/>
              <w:keepLines w:val="0"/>
              <w:suppressLineNumbers w:val="0"/>
              <w:snapToGrid/>
              <w:spacing w:before="0" w:beforeAutospacing="0" w:after="0" w:afterAutospacing="0" w:line="240" w:lineRule="auto"/>
              <w:ind w:left="0" w:right="0"/>
              <w:jc w:val="center"/>
              <w:rPr>
                <w:rFonts w:hint="default" w:eastAsia="仿宋"/>
                <w:color w:val="auto"/>
                <w:highlight w:val="none"/>
                <w:lang w:val="en-US" w:eastAsia="zh-CN"/>
              </w:rPr>
            </w:pPr>
            <w:r>
              <w:rPr>
                <w:rFonts w:hint="default" w:ascii="仿宋" w:hAnsi="仿宋" w:eastAsia="仿宋" w:cs="仿宋"/>
                <w:i w:val="0"/>
                <w:strike w:val="0"/>
                <w:color w:val="auto"/>
                <w:spacing w:val="0"/>
                <w:sz w:val="21"/>
                <w:highlight w:val="none"/>
                <w:u w:val="none"/>
                <w:vertAlign w:val="baseline"/>
              </w:rPr>
              <w:t>2.2</w:t>
            </w:r>
            <w:r>
              <w:rPr>
                <w:rFonts w:hint="eastAsia" w:ascii="仿宋" w:hAnsi="仿宋" w:eastAsia="仿宋" w:cs="仿宋"/>
                <w:i w:val="0"/>
                <w:strike w:val="0"/>
                <w:color w:val="auto"/>
                <w:spacing w:val="0"/>
                <w:sz w:val="21"/>
                <w:highlight w:val="none"/>
                <w:u w:val="none"/>
                <w:vertAlign w:val="baseline"/>
                <w:lang w:val="en-US" w:eastAsia="zh-CN"/>
              </w:rPr>
              <w:t>.2</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FF645E2">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不计容建筑面积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19E4BE9">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19C9D47">
            <w:pPr>
              <w:keepNext w:val="0"/>
              <w:keepLines w:val="0"/>
              <w:suppressLineNumbers w:val="0"/>
              <w:snapToGrid/>
              <w:spacing w:before="0" w:beforeAutospacing="0" w:after="0" w:afterAutospacing="0" w:line="240" w:lineRule="auto"/>
              <w:ind w:left="0" w:right="0"/>
              <w:jc w:val="center"/>
              <w:rPr>
                <w:rFonts w:hint="default" w:eastAsia="宋体"/>
                <w:color w:val="auto"/>
                <w:highlight w:val="none"/>
                <w:lang w:val="en-US" w:eastAsia="zh-CN"/>
              </w:rPr>
            </w:pPr>
            <w:r>
              <w:rPr>
                <w:rFonts w:hint="eastAsia" w:ascii="仿宋" w:hAnsi="仿宋" w:eastAsia="仿宋" w:cs="仿宋"/>
                <w:i w:val="0"/>
                <w:strike w:val="0"/>
                <w:color w:val="auto"/>
                <w:spacing w:val="0"/>
                <w:sz w:val="21"/>
                <w:highlight w:val="none"/>
                <w:u w:val="none"/>
                <w:lang w:val="en-US" w:eastAsia="zh-CN"/>
              </w:rPr>
              <w:t>11200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FF9435B">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0716ACE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4B5324D">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2.2.</w:t>
            </w:r>
            <w:r>
              <w:rPr>
                <w:rFonts w:hint="eastAsia" w:ascii="仿宋" w:hAnsi="仿宋" w:eastAsia="仿宋" w:cs="仿宋"/>
                <w:i w:val="0"/>
                <w:strike w:val="0"/>
                <w:color w:val="auto"/>
                <w:spacing w:val="0"/>
                <w:sz w:val="21"/>
                <w:highlight w:val="none"/>
                <w:u w:val="none"/>
                <w:vertAlign w:val="baseline"/>
                <w:lang w:val="en-US" w:eastAsia="zh-CN"/>
              </w:rPr>
              <w:t>2.</w:t>
            </w:r>
            <w:r>
              <w:rPr>
                <w:rFonts w:hint="default" w:ascii="仿宋" w:hAnsi="仿宋" w:eastAsia="仿宋" w:cs="仿宋"/>
                <w:i w:val="0"/>
                <w:strike w:val="0"/>
                <w:color w:val="auto"/>
                <w:spacing w:val="0"/>
                <w:sz w:val="21"/>
                <w:highlight w:val="none"/>
                <w:u w:val="none"/>
                <w:vertAlign w:val="baseline"/>
              </w:rPr>
              <w:t>1</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CD20B72">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车库及设备用房</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061EB15">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AA7BF2B">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7200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0F77B4F">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13DEF26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E92DD1E">
            <w:pPr>
              <w:keepNext w:val="0"/>
              <w:keepLines w:val="0"/>
              <w:suppressLineNumbers w:val="0"/>
              <w:snapToGrid/>
              <w:spacing w:before="0" w:beforeAutospacing="0" w:after="0" w:afterAutospacing="0" w:line="240" w:lineRule="auto"/>
              <w:ind w:left="0" w:right="0"/>
              <w:jc w:val="center"/>
              <w:rPr>
                <w:rFonts w:hint="default" w:eastAsia="仿宋"/>
                <w:color w:val="auto"/>
                <w:highlight w:val="none"/>
                <w:lang w:val="en-US" w:eastAsia="zh-CN"/>
              </w:rPr>
            </w:pPr>
            <w:r>
              <w:rPr>
                <w:rFonts w:hint="default" w:ascii="仿宋" w:hAnsi="仿宋" w:eastAsia="仿宋" w:cs="仿宋"/>
                <w:i w:val="0"/>
                <w:strike w:val="0"/>
                <w:color w:val="auto"/>
                <w:spacing w:val="0"/>
                <w:sz w:val="21"/>
                <w:highlight w:val="none"/>
                <w:u w:val="none"/>
                <w:vertAlign w:val="baseline"/>
              </w:rPr>
              <w:t>2.2.2</w:t>
            </w:r>
            <w:r>
              <w:rPr>
                <w:rFonts w:hint="eastAsia" w:ascii="仿宋" w:hAnsi="仿宋" w:eastAsia="仿宋" w:cs="仿宋"/>
                <w:i w:val="0"/>
                <w:strike w:val="0"/>
                <w:color w:val="auto"/>
                <w:spacing w:val="0"/>
                <w:sz w:val="21"/>
                <w:highlight w:val="none"/>
                <w:u w:val="none"/>
                <w:vertAlign w:val="baseline"/>
                <w:lang w:val="en-US" w:eastAsia="zh-CN"/>
              </w:rPr>
              <w:t>.2</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0DEC62B">
            <w:pPr>
              <w:keepNext w:val="0"/>
              <w:keepLines w:val="0"/>
              <w:suppressLineNumbers w:val="0"/>
              <w:snapToGrid/>
              <w:spacing w:before="0" w:beforeAutospacing="0" w:after="0" w:afterAutospacing="0" w:line="240" w:lineRule="auto"/>
              <w:ind w:left="0" w:right="0"/>
              <w:jc w:val="center"/>
              <w:rPr>
                <w:rFonts w:hint="eastAsia" w:eastAsia="仿宋"/>
                <w:color w:val="auto"/>
                <w:highlight w:val="none"/>
                <w:lang w:eastAsia="zh-CN"/>
              </w:rPr>
            </w:pPr>
            <w:r>
              <w:rPr>
                <w:rFonts w:hint="default" w:ascii="仿宋" w:hAnsi="仿宋" w:eastAsia="仿宋" w:cs="仿宋"/>
                <w:i w:val="0"/>
                <w:strike w:val="0"/>
                <w:color w:val="auto"/>
                <w:spacing w:val="0"/>
                <w:sz w:val="21"/>
                <w:highlight w:val="none"/>
                <w:u w:val="none"/>
                <w:vertAlign w:val="baseline"/>
              </w:rPr>
              <w:t>架空层</w:t>
            </w:r>
            <w:r>
              <w:rPr>
                <w:rFonts w:hint="eastAsia" w:ascii="仿宋" w:hAnsi="仿宋" w:eastAsia="仿宋" w:cs="仿宋"/>
                <w:i w:val="0"/>
                <w:strike w:val="0"/>
                <w:color w:val="auto"/>
                <w:spacing w:val="0"/>
                <w:sz w:val="21"/>
                <w:highlight w:val="none"/>
                <w:u w:val="none"/>
                <w:vertAlign w:val="baseline"/>
                <w:lang w:eastAsia="zh-CN"/>
              </w:rPr>
              <w:t>及连廊</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3D38D17">
            <w:pPr>
              <w:keepNext w:val="0"/>
              <w:keepLines w:val="0"/>
              <w:suppressLineNumbers w:val="0"/>
              <w:snapToGrid/>
              <w:spacing w:before="0" w:beforeAutospacing="0" w:after="0" w:afterAutospacing="0" w:line="240" w:lineRule="auto"/>
              <w:ind w:left="0" w:right="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B274564">
            <w:pPr>
              <w:keepNext w:val="0"/>
              <w:keepLines w:val="0"/>
              <w:suppressLineNumbers w:val="0"/>
              <w:snapToGrid/>
              <w:spacing w:before="0" w:beforeAutospacing="0" w:after="0" w:afterAutospacing="0" w:line="240" w:lineRule="auto"/>
              <w:ind w:left="0" w:leftChars="0" w:right="0" w:rightChars="0"/>
              <w:jc w:val="center"/>
              <w:rPr>
                <w:rFonts w:hint="default"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4000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88B00D3">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31B90F0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BF781DF">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3</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ABC4085">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容积率</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0266E22">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rPr>
              <w:t> </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3ED9FD6">
            <w:pPr>
              <w:keepNext w:val="0"/>
              <w:keepLines w:val="0"/>
              <w:suppressLineNumbers w:val="0"/>
              <w:snapToGrid/>
              <w:spacing w:before="0" w:beforeAutospacing="0" w:after="0" w:afterAutospacing="0" w:line="240" w:lineRule="auto"/>
              <w:ind w:left="0" w:leftChars="0" w:right="0" w:rightChars="0"/>
              <w:jc w:val="center"/>
              <w:rPr>
                <w:rFonts w:hint="default"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≤1.0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9E035E0">
            <w:pPr>
              <w:keepNext w:val="0"/>
              <w:keepLines w:val="0"/>
              <w:suppressLineNumbers w:val="0"/>
              <w:snapToGrid/>
              <w:spacing w:before="0" w:beforeAutospacing="0" w:after="0" w:afterAutospacing="0" w:line="240" w:lineRule="auto"/>
              <w:ind w:left="0" w:right="0"/>
              <w:jc w:val="center"/>
              <w:rPr>
                <w:rFonts w:hint="eastAsia" w:eastAsia="仿宋"/>
                <w:color w:val="auto"/>
                <w:highlight w:val="none"/>
                <w:lang w:eastAsia="zh-CN"/>
              </w:rPr>
            </w:pPr>
          </w:p>
        </w:tc>
      </w:tr>
      <w:tr w14:paraId="7225FAF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74"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3C1FB99">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val="en-US" w:eastAsia="zh-CN"/>
              </w:rPr>
              <w:t>4</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7F836D0">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val="en-US" w:eastAsia="zh-CN"/>
              </w:rPr>
              <w:t>4</w:t>
            </w:r>
            <w:r>
              <w:rPr>
                <w:rFonts w:hint="default" w:ascii="仿宋" w:hAnsi="仿宋" w:eastAsia="仿宋" w:cs="仿宋"/>
                <w:i w:val="0"/>
                <w:strike w:val="0"/>
                <w:color w:val="auto"/>
                <w:spacing w:val="0"/>
                <w:sz w:val="21"/>
                <w:highlight w:val="none"/>
                <w:u w:val="none"/>
                <w:vertAlign w:val="baseline"/>
              </w:rPr>
              <w:t>00米田径场</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30AE35EC">
            <w:pPr>
              <w:keepNext w:val="0"/>
              <w:keepLines w:val="0"/>
              <w:suppressLineNumbers w:val="0"/>
              <w:snapToGrid/>
              <w:spacing w:before="0" w:beforeAutospacing="0" w:after="0" w:afterAutospacing="0" w:line="240" w:lineRule="auto"/>
              <w:ind w:left="0" w:leftChars="0" w:right="0" w:rightChars="0"/>
              <w:jc w:val="center"/>
              <w:rPr>
                <w:rFonts w:hint="eastAsia" w:eastAsia="宋体"/>
                <w:color w:val="auto"/>
                <w:highlight w:val="none"/>
                <w:lang w:eastAsia="zh-CN"/>
              </w:rPr>
            </w:pPr>
            <w:r>
              <w:rPr>
                <w:rFonts w:hint="eastAsia" w:ascii="仿宋" w:hAnsi="仿宋" w:eastAsia="仿宋" w:cs="仿宋"/>
                <w:i w:val="0"/>
                <w:strike w:val="0"/>
                <w:color w:val="auto"/>
                <w:spacing w:val="0"/>
                <w:sz w:val="21"/>
                <w:highlight w:val="none"/>
                <w:u w:val="none"/>
                <w:vertAlign w:val="baseline"/>
                <w:lang w:eastAsia="zh-CN"/>
              </w:rPr>
              <w:t>个</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C8D10F4">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1</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ED70096">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3EE16AD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D104889">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val="en-US" w:eastAsia="zh-CN"/>
              </w:rPr>
              <w:t>5</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323CB15">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道路广场</w:t>
            </w:r>
            <w:r>
              <w:rPr>
                <w:rFonts w:hint="eastAsia" w:ascii="仿宋" w:hAnsi="仿宋" w:eastAsia="仿宋" w:cs="仿宋"/>
                <w:i w:val="0"/>
                <w:strike w:val="0"/>
                <w:color w:val="auto"/>
                <w:spacing w:val="0"/>
                <w:sz w:val="21"/>
                <w:highlight w:val="none"/>
                <w:u w:val="none"/>
                <w:vertAlign w:val="baseline"/>
                <w:lang w:eastAsia="zh-CN"/>
              </w:rPr>
              <w:t>及</w:t>
            </w:r>
            <w:r>
              <w:rPr>
                <w:rFonts w:hint="default" w:ascii="仿宋" w:hAnsi="仿宋" w:eastAsia="仿宋" w:cs="仿宋"/>
                <w:i w:val="0"/>
                <w:strike w:val="0"/>
                <w:color w:val="auto"/>
                <w:spacing w:val="0"/>
                <w:sz w:val="21"/>
                <w:highlight w:val="none"/>
                <w:u w:val="none"/>
                <w:vertAlign w:val="baseline"/>
              </w:rPr>
              <w:t>绿地面积</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0C57555C">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平方米</w:t>
            </w:r>
          </w:p>
        </w:tc>
        <w:tc>
          <w:tcPr>
            <w:tcW w:w="1710" w:type="dxa"/>
            <w:tcBorders>
              <w:top w:val="single" w:color="000000" w:sz="0" w:space="0"/>
              <w:left w:val="single" w:color="000000" w:sz="8" w:space="0"/>
              <w:bottom w:val="single" w:color="000000" w:sz="8" w:space="0"/>
              <w:right w:val="single" w:color="000000" w:sz="8" w:space="0"/>
            </w:tcBorders>
            <w:tcMar>
              <w:bottom w:w="0" w:type="dxa"/>
            </w:tcMar>
            <w:vAlign w:val="center"/>
          </w:tcPr>
          <w:p w14:paraId="1FA62C4E">
            <w:pPr>
              <w:keepNext w:val="0"/>
              <w:keepLines w:val="0"/>
              <w:suppressLineNumbers w:val="0"/>
              <w:snapToGrid/>
              <w:spacing w:before="0" w:beforeAutospacing="0" w:after="0" w:afterAutospacing="0" w:line="240" w:lineRule="auto"/>
              <w:ind w:left="0" w:leftChars="0" w:right="0" w:rightChars="0"/>
              <w:jc w:val="center"/>
              <w:rPr>
                <w:rFonts w:hint="default"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约65400</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27A01C4">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4BACCCD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40"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536CA30">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val="en-US" w:eastAsia="zh-CN"/>
              </w:rPr>
              <w:t>6</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205A1D0">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充电桩</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CC13B84">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个</w:t>
            </w:r>
          </w:p>
        </w:tc>
        <w:tc>
          <w:tcPr>
            <w:tcW w:w="1710" w:type="dxa"/>
            <w:vMerge w:val="restart"/>
            <w:tcBorders>
              <w:top w:val="single" w:color="000000" w:sz="0" w:space="0"/>
              <w:left w:val="single" w:color="000000" w:sz="8" w:space="0"/>
              <w:right w:val="single" w:color="000000" w:sz="8" w:space="0"/>
            </w:tcBorders>
            <w:tcMar>
              <w:bottom w:w="0" w:type="dxa"/>
            </w:tcMar>
            <w:vAlign w:val="center"/>
          </w:tcPr>
          <w:p w14:paraId="2FEDD366">
            <w:pPr>
              <w:keepNext w:val="0"/>
              <w:keepLines w:val="0"/>
              <w:suppressLineNumbers w:val="0"/>
              <w:snapToGrid/>
              <w:spacing w:before="0" w:beforeAutospacing="0" w:after="0" w:afterAutospacing="0" w:line="240" w:lineRule="auto"/>
              <w:ind w:left="0" w:leftChars="0" w:right="0" w:rightChars="0"/>
              <w:jc w:val="center"/>
              <w:rPr>
                <w:rFonts w:hint="eastAsia" w:ascii="仿宋" w:hAnsi="仿宋" w:eastAsia="仿宋" w:cs="仿宋"/>
                <w:i w:val="0"/>
                <w:strike w:val="0"/>
                <w:color w:val="auto"/>
                <w:spacing w:val="0"/>
                <w:sz w:val="21"/>
                <w:highlight w:val="none"/>
                <w:u w:val="none"/>
                <w:lang w:val="en-US" w:eastAsia="zh-CN"/>
              </w:rPr>
            </w:pPr>
            <w:r>
              <w:rPr>
                <w:rFonts w:hint="eastAsia" w:ascii="仿宋" w:hAnsi="仿宋" w:eastAsia="仿宋" w:cs="仿宋"/>
                <w:i w:val="0"/>
                <w:strike w:val="0"/>
                <w:color w:val="auto"/>
                <w:spacing w:val="0"/>
                <w:sz w:val="21"/>
                <w:highlight w:val="none"/>
                <w:u w:val="none"/>
                <w:lang w:val="en-US" w:eastAsia="zh-CN"/>
              </w:rPr>
              <w:t>满足广州市相关要求</w:t>
            </w: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2ED35E06">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r w14:paraId="37195D5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3" w:hRule="atLeast"/>
        </w:trPr>
        <w:tc>
          <w:tcPr>
            <w:tcW w:w="960" w:type="dxa"/>
            <w:tcBorders>
              <w:top w:val="single" w:color="000000" w:sz="0" w:space="0"/>
              <w:left w:val="single" w:color="000000" w:sz="8" w:space="0"/>
              <w:bottom w:val="single" w:color="000000" w:sz="8" w:space="0"/>
              <w:right w:val="single" w:color="000000" w:sz="8" w:space="0"/>
            </w:tcBorders>
            <w:tcMar>
              <w:bottom w:w="0" w:type="dxa"/>
            </w:tcMar>
            <w:vAlign w:val="center"/>
          </w:tcPr>
          <w:p w14:paraId="6FEC0333">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eastAsia" w:ascii="仿宋" w:hAnsi="仿宋" w:eastAsia="仿宋" w:cs="仿宋"/>
                <w:i w:val="0"/>
                <w:strike w:val="0"/>
                <w:color w:val="auto"/>
                <w:spacing w:val="0"/>
                <w:sz w:val="21"/>
                <w:highlight w:val="none"/>
                <w:u w:val="none"/>
                <w:vertAlign w:val="baseline"/>
                <w:lang w:val="en-US" w:eastAsia="zh-CN"/>
              </w:rPr>
              <w:t>7</w:t>
            </w:r>
          </w:p>
        </w:tc>
        <w:tc>
          <w:tcPr>
            <w:tcW w:w="27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7A6FB556">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地下机动车停车位</w:t>
            </w:r>
          </w:p>
        </w:tc>
        <w:tc>
          <w:tcPr>
            <w:tcW w:w="1380" w:type="dxa"/>
            <w:tcBorders>
              <w:top w:val="single" w:color="000000" w:sz="0" w:space="0"/>
              <w:left w:val="single" w:color="000000" w:sz="8" w:space="0"/>
              <w:bottom w:val="single" w:color="000000" w:sz="8" w:space="0"/>
              <w:right w:val="single" w:color="000000" w:sz="8" w:space="0"/>
            </w:tcBorders>
            <w:tcMar>
              <w:bottom w:w="0" w:type="dxa"/>
            </w:tcMar>
            <w:vAlign w:val="center"/>
          </w:tcPr>
          <w:p w14:paraId="59E20541">
            <w:pPr>
              <w:keepNext w:val="0"/>
              <w:keepLines w:val="0"/>
              <w:suppressLineNumbers w:val="0"/>
              <w:snapToGrid/>
              <w:spacing w:before="0" w:beforeAutospacing="0" w:after="0" w:afterAutospacing="0" w:line="240" w:lineRule="auto"/>
              <w:ind w:left="0" w:leftChars="0" w:right="0" w:rightChars="0"/>
              <w:jc w:val="center"/>
              <w:rPr>
                <w:rFonts w:hint="default"/>
                <w:color w:val="auto"/>
                <w:highlight w:val="none"/>
              </w:rPr>
            </w:pPr>
            <w:r>
              <w:rPr>
                <w:rFonts w:hint="default" w:ascii="仿宋" w:hAnsi="仿宋" w:eastAsia="仿宋" w:cs="仿宋"/>
                <w:i w:val="0"/>
                <w:strike w:val="0"/>
                <w:color w:val="auto"/>
                <w:spacing w:val="0"/>
                <w:sz w:val="21"/>
                <w:highlight w:val="none"/>
                <w:u w:val="none"/>
                <w:vertAlign w:val="baseline"/>
              </w:rPr>
              <w:t>泊</w:t>
            </w:r>
          </w:p>
        </w:tc>
        <w:tc>
          <w:tcPr>
            <w:tcW w:w="1710" w:type="dxa"/>
            <w:vMerge w:val="continue"/>
            <w:tcBorders>
              <w:left w:val="single" w:color="000000" w:sz="8" w:space="0"/>
              <w:bottom w:val="single" w:color="000000" w:sz="8" w:space="0"/>
              <w:right w:val="single" w:color="000000" w:sz="8" w:space="0"/>
            </w:tcBorders>
            <w:tcMar>
              <w:bottom w:w="0" w:type="dxa"/>
            </w:tcMar>
            <w:vAlign w:val="center"/>
          </w:tcPr>
          <w:p w14:paraId="7EC29D4D">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c>
          <w:tcPr>
            <w:tcW w:w="1500" w:type="dxa"/>
            <w:tcBorders>
              <w:top w:val="single" w:color="000000" w:sz="0" w:space="0"/>
              <w:left w:val="single" w:color="000000" w:sz="8" w:space="0"/>
              <w:bottom w:val="single" w:color="000000" w:sz="8" w:space="0"/>
              <w:right w:val="single" w:color="000000" w:sz="8" w:space="0"/>
            </w:tcBorders>
            <w:tcMar>
              <w:bottom w:w="0" w:type="dxa"/>
            </w:tcMar>
            <w:vAlign w:val="center"/>
          </w:tcPr>
          <w:p w14:paraId="461B3B0B">
            <w:pPr>
              <w:keepNext w:val="0"/>
              <w:keepLines w:val="0"/>
              <w:suppressLineNumbers w:val="0"/>
              <w:snapToGrid/>
              <w:spacing w:before="0" w:beforeAutospacing="0" w:after="0" w:afterAutospacing="0" w:line="240" w:lineRule="auto"/>
              <w:ind w:left="0" w:right="0"/>
              <w:jc w:val="center"/>
              <w:rPr>
                <w:rFonts w:hint="default"/>
                <w:color w:val="auto"/>
                <w:highlight w:val="none"/>
              </w:rPr>
            </w:pPr>
          </w:p>
        </w:tc>
      </w:tr>
    </w:tbl>
    <w:p w14:paraId="05D04E77">
      <w:pPr>
        <w:pBdr>
          <w:bottom w:val="none" w:color="auto" w:sz="0" w:space="0"/>
        </w:pBdr>
        <w:jc w:val="left"/>
        <w:rPr>
          <w:rFonts w:ascii="黑体" w:hAnsi="黑体" w:eastAsia="黑体"/>
          <w:bCs/>
          <w:color w:val="auto"/>
          <w:sz w:val="24"/>
          <w:szCs w:val="28"/>
        </w:rPr>
      </w:pPr>
      <w:r>
        <w:rPr>
          <w:rFonts w:hint="eastAsia"/>
          <w:b/>
          <w:bCs/>
          <w:color w:val="auto"/>
        </w:rPr>
        <w:t>【以上建设规模仅作为参考，实际以满足学校功能使用设计方案为准】</w:t>
      </w:r>
    </w:p>
    <w:p w14:paraId="2F5F0ACC">
      <w:pPr>
        <w:rPr>
          <w:color w:val="auto"/>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306AE4F9">
      <w:pPr>
        <w:pStyle w:val="62"/>
        <w:numPr>
          <w:ilvl w:val="0"/>
          <w:numId w:val="30"/>
        </w:numPr>
        <w:spacing w:beforeLines="0" w:afterLines="0"/>
        <w:ind w:left="0" w:firstLine="560" w:firstLineChars="0"/>
        <w:outlineLvl w:val="2"/>
        <w:rPr>
          <w:rFonts w:ascii="宋体" w:hAnsi="宋体"/>
          <w:color w:val="auto"/>
          <w:sz w:val="28"/>
          <w:szCs w:val="28"/>
        </w:rPr>
      </w:pPr>
      <w:bookmarkStart w:id="210" w:name="_Toc462262435"/>
      <w:bookmarkEnd w:id="210"/>
      <w:bookmarkStart w:id="211" w:name="_Toc462262428"/>
      <w:bookmarkEnd w:id="211"/>
      <w:bookmarkStart w:id="212" w:name="_Toc462262541"/>
      <w:bookmarkEnd w:id="212"/>
      <w:bookmarkStart w:id="213" w:name="_Toc462262549"/>
      <w:bookmarkEnd w:id="213"/>
      <w:bookmarkStart w:id="214" w:name="_Toc462262484"/>
      <w:bookmarkEnd w:id="214"/>
      <w:bookmarkStart w:id="215" w:name="_Toc462262056"/>
      <w:bookmarkEnd w:id="215"/>
      <w:bookmarkStart w:id="216" w:name="_Toc462262542"/>
      <w:bookmarkEnd w:id="216"/>
      <w:bookmarkStart w:id="217" w:name="_Toc462262701"/>
      <w:bookmarkEnd w:id="217"/>
      <w:bookmarkStart w:id="218" w:name="_Toc462255960"/>
      <w:bookmarkStart w:id="219" w:name="_Toc462255876"/>
      <w:bookmarkStart w:id="220" w:name="_Toc19407"/>
      <w:r>
        <w:rPr>
          <w:rFonts w:hint="eastAsia" w:ascii="宋体" w:hAnsi="宋体"/>
          <w:color w:val="auto"/>
          <w:sz w:val="28"/>
          <w:szCs w:val="28"/>
        </w:rPr>
        <w:t>道路</w:t>
      </w:r>
      <w:bookmarkEnd w:id="218"/>
      <w:bookmarkEnd w:id="219"/>
      <w:bookmarkEnd w:id="220"/>
    </w:p>
    <w:p w14:paraId="19B86EF5">
      <w:pPr>
        <w:pStyle w:val="62"/>
        <w:spacing w:beforeLines="0" w:afterLines="0"/>
        <w:rPr>
          <w:rFonts w:ascii="宋体" w:hAnsi="宋体"/>
          <w:color w:val="auto"/>
          <w:szCs w:val="21"/>
        </w:rPr>
      </w:pPr>
      <w:r>
        <w:rPr>
          <w:rFonts w:hint="eastAsia" w:ascii="宋体" w:hAnsi="宋体"/>
          <w:color w:val="auto"/>
          <w:szCs w:val="21"/>
        </w:rPr>
        <w:t>项目规划建设道路包括路口、校门、广场、机动车道路、人行道、无障碍道路、消防道路、园林景观道路</w:t>
      </w:r>
      <w:r>
        <w:rPr>
          <w:rFonts w:hint="eastAsia" w:ascii="宋体" w:hAnsi="宋体"/>
          <w:color w:val="auto"/>
          <w:szCs w:val="21"/>
          <w:lang w:eastAsia="zh-CN"/>
        </w:rPr>
        <w:t>以及相关的路肩及挡墙</w:t>
      </w:r>
      <w:r>
        <w:rPr>
          <w:rFonts w:hint="eastAsia" w:ascii="宋体" w:hAnsi="宋体"/>
          <w:color w:val="auto"/>
          <w:szCs w:val="21"/>
        </w:rPr>
        <w:t>等。</w:t>
      </w:r>
    </w:p>
    <w:p w14:paraId="2904BA6D">
      <w:pPr>
        <w:pStyle w:val="62"/>
        <w:numPr>
          <w:ilvl w:val="0"/>
          <w:numId w:val="30"/>
        </w:numPr>
        <w:spacing w:beforeLines="0" w:afterLines="0"/>
        <w:ind w:left="0" w:firstLine="560" w:firstLineChars="0"/>
        <w:outlineLvl w:val="2"/>
        <w:rPr>
          <w:rFonts w:ascii="宋体" w:hAnsi="宋体"/>
          <w:color w:val="auto"/>
          <w:sz w:val="28"/>
          <w:szCs w:val="28"/>
        </w:rPr>
      </w:pPr>
      <w:bookmarkStart w:id="221" w:name="_Toc15734"/>
      <w:bookmarkStart w:id="222" w:name="_Toc462255961"/>
      <w:bookmarkStart w:id="223" w:name="_Toc462255877"/>
      <w:r>
        <w:rPr>
          <w:rFonts w:hint="eastAsia" w:ascii="宋体" w:hAnsi="宋体"/>
          <w:color w:val="auto"/>
          <w:sz w:val="28"/>
          <w:szCs w:val="28"/>
        </w:rPr>
        <w:t>配套设施建设项目</w:t>
      </w:r>
      <w:bookmarkEnd w:id="221"/>
      <w:bookmarkEnd w:id="222"/>
      <w:bookmarkEnd w:id="223"/>
    </w:p>
    <w:p w14:paraId="47ECCA3D">
      <w:pPr>
        <w:pStyle w:val="62"/>
        <w:tabs>
          <w:tab w:val="left" w:pos="390"/>
        </w:tabs>
        <w:spacing w:beforeLines="0" w:afterLines="0"/>
        <w:outlineLvl w:val="2"/>
        <w:rPr>
          <w:rFonts w:ascii="宋体" w:hAnsi="宋体"/>
          <w:color w:val="auto"/>
        </w:rPr>
      </w:pPr>
      <w:bookmarkStart w:id="224" w:name="_Toc462256896"/>
      <w:bookmarkStart w:id="225" w:name="_Toc462255878"/>
      <w:bookmarkStart w:id="226" w:name="_Toc462255962"/>
      <w:bookmarkStart w:id="227" w:name="_Toc462255502"/>
      <w:bookmarkStart w:id="228" w:name="_Toc14336"/>
      <w:bookmarkStart w:id="229" w:name="_Toc462262711"/>
      <w:bookmarkStart w:id="230" w:name="_Toc19787"/>
      <w:r>
        <w:rPr>
          <w:rFonts w:hint="eastAsia" w:ascii="宋体" w:hAnsi="宋体" w:cs="宋体"/>
          <w:color w:val="auto"/>
          <w:kern w:val="28"/>
          <w:szCs w:val="24"/>
        </w:rPr>
        <w:t>1.配套建设室外运动场地、广场、绿地、围墙、大门等室外工</w:t>
      </w:r>
      <w:bookmarkEnd w:id="224"/>
      <w:bookmarkEnd w:id="225"/>
      <w:bookmarkEnd w:id="226"/>
      <w:bookmarkEnd w:id="227"/>
      <w:r>
        <w:rPr>
          <w:rFonts w:hint="eastAsia" w:ascii="宋体" w:hAnsi="宋体" w:cs="宋体"/>
          <w:color w:val="auto"/>
          <w:kern w:val="28"/>
          <w:szCs w:val="24"/>
        </w:rPr>
        <w:t>程</w:t>
      </w:r>
      <w:r>
        <w:rPr>
          <w:rFonts w:hint="eastAsia" w:ascii="宋体" w:hAnsi="宋体"/>
          <w:color w:val="auto"/>
          <w:szCs w:val="24"/>
        </w:rPr>
        <w:t>。</w:t>
      </w:r>
      <w:bookmarkEnd w:id="228"/>
      <w:bookmarkEnd w:id="229"/>
      <w:bookmarkEnd w:id="230"/>
    </w:p>
    <w:p w14:paraId="3C2D9A01">
      <w:pPr>
        <w:pStyle w:val="62"/>
        <w:spacing w:beforeLines="0" w:afterLines="0"/>
        <w:outlineLvl w:val="2"/>
        <w:rPr>
          <w:rFonts w:ascii="宋体" w:hAnsi="宋体" w:cs="宋体"/>
          <w:color w:val="auto"/>
          <w:kern w:val="28"/>
          <w:szCs w:val="24"/>
        </w:rPr>
      </w:pPr>
      <w:bookmarkStart w:id="231" w:name="_Toc462255963"/>
      <w:bookmarkEnd w:id="231"/>
      <w:bookmarkStart w:id="232" w:name="_Toc462255964"/>
      <w:bookmarkEnd w:id="232"/>
      <w:bookmarkStart w:id="233" w:name="_Toc462256897"/>
      <w:bookmarkEnd w:id="233"/>
      <w:bookmarkStart w:id="234" w:name="_Toc462255883"/>
      <w:bookmarkEnd w:id="234"/>
      <w:bookmarkStart w:id="235" w:name="_Toc462255966"/>
      <w:bookmarkEnd w:id="235"/>
      <w:bookmarkStart w:id="236" w:name="_Toc462262712"/>
      <w:bookmarkEnd w:id="236"/>
      <w:bookmarkStart w:id="237" w:name="_Toc462262717"/>
      <w:bookmarkEnd w:id="237"/>
      <w:bookmarkStart w:id="238" w:name="_Toc462255968"/>
      <w:bookmarkEnd w:id="238"/>
      <w:bookmarkStart w:id="239" w:name="_Toc462256902"/>
      <w:bookmarkEnd w:id="239"/>
      <w:bookmarkStart w:id="240" w:name="_Toc462255884"/>
      <w:bookmarkEnd w:id="240"/>
      <w:bookmarkStart w:id="241" w:name="_Toc462255507"/>
      <w:bookmarkEnd w:id="241"/>
      <w:bookmarkStart w:id="242" w:name="_Toc462255881"/>
      <w:bookmarkEnd w:id="242"/>
      <w:bookmarkStart w:id="243" w:name="_Toc462255504"/>
      <w:bookmarkEnd w:id="243"/>
      <w:bookmarkStart w:id="244" w:name="_Toc462262715"/>
      <w:bookmarkEnd w:id="244"/>
      <w:bookmarkStart w:id="245" w:name="_Toc462255879"/>
      <w:bookmarkEnd w:id="245"/>
      <w:bookmarkStart w:id="246" w:name="_Toc462262714"/>
      <w:bookmarkEnd w:id="246"/>
      <w:bookmarkStart w:id="247" w:name="_Toc462256901"/>
      <w:bookmarkEnd w:id="247"/>
      <w:bookmarkStart w:id="248" w:name="_Toc462255505"/>
      <w:bookmarkEnd w:id="248"/>
      <w:bookmarkStart w:id="249" w:name="_Toc462255503"/>
      <w:bookmarkEnd w:id="249"/>
      <w:bookmarkStart w:id="250" w:name="_Toc462262713"/>
      <w:bookmarkEnd w:id="250"/>
      <w:bookmarkStart w:id="251" w:name="_Toc462262716"/>
      <w:bookmarkEnd w:id="251"/>
      <w:bookmarkStart w:id="252" w:name="_Toc462256900"/>
      <w:bookmarkEnd w:id="252"/>
      <w:bookmarkStart w:id="253" w:name="_Toc462255967"/>
      <w:bookmarkEnd w:id="253"/>
      <w:bookmarkStart w:id="254" w:name="_Toc462256898"/>
      <w:bookmarkEnd w:id="254"/>
      <w:bookmarkStart w:id="255" w:name="_Toc462255882"/>
      <w:bookmarkEnd w:id="255"/>
      <w:bookmarkStart w:id="256" w:name="_Toc462255965"/>
      <w:bookmarkEnd w:id="256"/>
      <w:bookmarkStart w:id="257" w:name="_Toc462255506"/>
      <w:bookmarkEnd w:id="257"/>
      <w:bookmarkStart w:id="258" w:name="_Toc462256899"/>
      <w:bookmarkEnd w:id="258"/>
      <w:bookmarkStart w:id="259" w:name="_Toc462255880"/>
      <w:bookmarkEnd w:id="259"/>
      <w:bookmarkStart w:id="260" w:name="_Toc462255508"/>
      <w:bookmarkEnd w:id="260"/>
      <w:bookmarkStart w:id="261" w:name="_Toc462255885"/>
      <w:bookmarkStart w:id="262" w:name="_Toc462255969"/>
      <w:bookmarkStart w:id="263" w:name="_Toc462255509"/>
      <w:bookmarkStart w:id="264" w:name="_Toc462256903"/>
      <w:bookmarkStart w:id="265" w:name="_Toc462262718"/>
      <w:bookmarkStart w:id="266" w:name="_Toc17921"/>
      <w:bookmarkStart w:id="267" w:name="_Toc29711"/>
      <w:r>
        <w:rPr>
          <w:rFonts w:hint="eastAsia" w:ascii="宋体" w:hAnsi="宋体" w:cs="宋体"/>
          <w:color w:val="auto"/>
          <w:kern w:val="28"/>
          <w:szCs w:val="24"/>
        </w:rPr>
        <w:t>2.给排水管网</w:t>
      </w:r>
      <w:r>
        <w:rPr>
          <w:rFonts w:hint="eastAsia" w:ascii="宋体" w:hAnsi="宋体"/>
          <w:color w:val="auto"/>
          <w:szCs w:val="21"/>
        </w:rPr>
        <w:t>污水处理及管网、</w:t>
      </w:r>
      <w:r>
        <w:rPr>
          <w:rFonts w:hint="eastAsia" w:ascii="宋体" w:hAnsi="宋体"/>
          <w:color w:val="auto"/>
          <w:szCs w:val="24"/>
        </w:rPr>
        <w:t>供电网络、</w:t>
      </w:r>
      <w:bookmarkEnd w:id="261"/>
      <w:bookmarkEnd w:id="262"/>
      <w:bookmarkEnd w:id="263"/>
      <w:bookmarkEnd w:id="264"/>
      <w:bookmarkEnd w:id="265"/>
      <w:r>
        <w:rPr>
          <w:rFonts w:hint="eastAsia" w:ascii="宋体" w:hAnsi="宋体"/>
          <w:color w:val="auto"/>
        </w:rPr>
        <w:t>消防、</w:t>
      </w:r>
      <w:bookmarkStart w:id="268" w:name="_Toc462255970"/>
      <w:bookmarkStart w:id="269" w:name="_Toc462256904"/>
      <w:bookmarkStart w:id="270" w:name="_Toc462255886"/>
      <w:bookmarkStart w:id="271" w:name="_Toc462255510"/>
      <w:bookmarkStart w:id="272" w:name="_Toc462262719"/>
      <w:r>
        <w:rPr>
          <w:rFonts w:hint="eastAsia" w:ascii="宋体" w:hAnsi="宋体"/>
          <w:color w:val="auto"/>
          <w:szCs w:val="21"/>
        </w:rPr>
        <w:t>综合布线系</w:t>
      </w:r>
      <w:r>
        <w:rPr>
          <w:rFonts w:hint="eastAsia" w:ascii="宋体" w:hAnsi="宋体" w:cs="宋体"/>
          <w:color w:val="auto"/>
          <w:kern w:val="28"/>
          <w:szCs w:val="24"/>
        </w:rPr>
        <w:t>统、天然气设施等。</w:t>
      </w:r>
      <w:bookmarkEnd w:id="266"/>
      <w:bookmarkEnd w:id="267"/>
      <w:bookmarkEnd w:id="268"/>
      <w:bookmarkEnd w:id="269"/>
      <w:bookmarkEnd w:id="270"/>
      <w:bookmarkEnd w:id="271"/>
      <w:bookmarkEnd w:id="272"/>
      <w:bookmarkStart w:id="273" w:name="_Toc462255887"/>
      <w:bookmarkEnd w:id="273"/>
      <w:bookmarkStart w:id="274" w:name="_Toc462255511"/>
      <w:bookmarkEnd w:id="274"/>
      <w:bookmarkStart w:id="275" w:name="_Toc462256905"/>
      <w:bookmarkEnd w:id="275"/>
      <w:bookmarkStart w:id="276" w:name="_Toc462262720"/>
      <w:bookmarkEnd w:id="276"/>
      <w:bookmarkStart w:id="277" w:name="_Toc462255971"/>
      <w:bookmarkEnd w:id="277"/>
    </w:p>
    <w:p w14:paraId="7E2E1903">
      <w:pPr>
        <w:pStyle w:val="62"/>
        <w:spacing w:beforeLines="0" w:afterLines="0"/>
        <w:outlineLvl w:val="2"/>
        <w:rPr>
          <w:rFonts w:ascii="宋体" w:hAnsi="宋体"/>
          <w:color w:val="auto"/>
          <w:szCs w:val="21"/>
        </w:rPr>
      </w:pPr>
      <w:bookmarkStart w:id="278" w:name="_Toc462255512"/>
      <w:bookmarkStart w:id="279" w:name="_Toc462255972"/>
      <w:bookmarkStart w:id="280" w:name="_Toc462262721"/>
      <w:bookmarkStart w:id="281" w:name="_Toc462256906"/>
      <w:bookmarkStart w:id="282" w:name="_Toc462255888"/>
      <w:bookmarkStart w:id="283" w:name="_Toc28532"/>
      <w:bookmarkStart w:id="284" w:name="_Toc11851"/>
      <w:r>
        <w:rPr>
          <w:rFonts w:hint="eastAsia" w:ascii="宋体" w:hAnsi="宋体" w:cs="宋体"/>
          <w:color w:val="auto"/>
          <w:kern w:val="28"/>
          <w:szCs w:val="24"/>
        </w:rPr>
        <w:t>3.</w:t>
      </w:r>
      <w:r>
        <w:rPr>
          <w:rFonts w:ascii="宋体" w:hAnsi="宋体" w:cs="宋体"/>
          <w:color w:val="auto"/>
          <w:kern w:val="28"/>
          <w:szCs w:val="24"/>
        </w:rPr>
        <w:t>生</w:t>
      </w:r>
      <w:r>
        <w:rPr>
          <w:rFonts w:ascii="宋体" w:hAnsi="宋体"/>
          <w:color w:val="auto"/>
          <w:szCs w:val="24"/>
        </w:rPr>
        <w:t>活垃圾</w:t>
      </w:r>
      <w:r>
        <w:rPr>
          <w:rFonts w:ascii="宋体" w:hAnsi="宋体"/>
          <w:color w:val="auto"/>
          <w:szCs w:val="21"/>
        </w:rPr>
        <w:t>收集点</w:t>
      </w:r>
      <w:bookmarkEnd w:id="278"/>
      <w:bookmarkEnd w:id="279"/>
      <w:bookmarkEnd w:id="280"/>
      <w:bookmarkEnd w:id="281"/>
      <w:bookmarkEnd w:id="282"/>
      <w:r>
        <w:rPr>
          <w:rFonts w:hint="eastAsia" w:ascii="宋体" w:hAnsi="宋体"/>
          <w:color w:val="auto"/>
          <w:szCs w:val="21"/>
        </w:rPr>
        <w:t>。</w:t>
      </w:r>
      <w:bookmarkEnd w:id="283"/>
      <w:bookmarkEnd w:id="284"/>
    </w:p>
    <w:p w14:paraId="04C92E7F">
      <w:pPr>
        <w:pStyle w:val="67"/>
        <w:numPr>
          <w:ilvl w:val="0"/>
          <w:numId w:val="29"/>
        </w:numPr>
        <w:ind w:left="0" w:firstLine="0" w:firstLineChars="0"/>
        <w:outlineLvl w:val="1"/>
        <w:rPr>
          <w:rFonts w:ascii="宋体" w:hAnsi="宋体" w:eastAsia="宋体"/>
          <w:b/>
          <w:color w:val="auto"/>
          <w:sz w:val="32"/>
          <w:szCs w:val="24"/>
        </w:rPr>
      </w:pPr>
      <w:bookmarkStart w:id="285" w:name="_Toc462256907"/>
      <w:bookmarkEnd w:id="285"/>
      <w:bookmarkStart w:id="286" w:name="_Toc462262722"/>
      <w:bookmarkEnd w:id="286"/>
      <w:bookmarkStart w:id="287" w:name="_Toc26178"/>
      <w:r>
        <w:rPr>
          <w:rFonts w:hint="eastAsia" w:ascii="宋体" w:hAnsi="宋体" w:eastAsia="宋体"/>
          <w:b/>
          <w:color w:val="auto"/>
          <w:sz w:val="32"/>
          <w:szCs w:val="24"/>
        </w:rPr>
        <w:t>建设工程建筑设计具体要求</w:t>
      </w:r>
      <w:bookmarkEnd w:id="287"/>
    </w:p>
    <w:p w14:paraId="6F12323A">
      <w:pPr>
        <w:pStyle w:val="10"/>
        <w:numPr>
          <w:ilvl w:val="0"/>
          <w:numId w:val="31"/>
        </w:numPr>
        <w:spacing w:line="360" w:lineRule="auto"/>
        <w:ind w:left="0" w:firstLine="560"/>
        <w:outlineLvl w:val="2"/>
        <w:rPr>
          <w:rFonts w:hAnsi="宋体" w:cs="仿宋_GB2312"/>
          <w:color w:val="auto"/>
          <w:sz w:val="28"/>
          <w:szCs w:val="28"/>
        </w:rPr>
      </w:pPr>
      <w:bookmarkStart w:id="288" w:name="_Toc462262724"/>
      <w:bookmarkEnd w:id="288"/>
      <w:bookmarkStart w:id="289" w:name="_Toc462256909"/>
      <w:bookmarkEnd w:id="289"/>
      <w:bookmarkStart w:id="290" w:name="_Toc2651"/>
      <w:r>
        <w:rPr>
          <w:rFonts w:hint="eastAsia" w:hAnsi="宋体" w:cs="仿宋_GB2312"/>
          <w:color w:val="auto"/>
          <w:sz w:val="28"/>
          <w:szCs w:val="28"/>
        </w:rPr>
        <w:t>环保要求</w:t>
      </w:r>
      <w:bookmarkEnd w:id="290"/>
    </w:p>
    <w:p w14:paraId="1BBFEA6F">
      <w:pPr>
        <w:snapToGrid w:val="0"/>
        <w:ind w:firstLine="480" w:firstLineChars="200"/>
        <w:rPr>
          <w:rFonts w:ascii="宋体" w:hAnsi="宋体" w:cs="仿宋_GB2312"/>
          <w:color w:val="auto"/>
          <w:sz w:val="24"/>
          <w:szCs w:val="21"/>
        </w:rPr>
      </w:pPr>
      <w:r>
        <w:rPr>
          <w:rFonts w:hint="eastAsia" w:ascii="宋体" w:hAnsi="宋体" w:cs="仿宋_GB2312"/>
          <w:color w:val="auto"/>
          <w:sz w:val="24"/>
        </w:rPr>
        <w:t>把环境保护作为建设规划的目标要求</w:t>
      </w:r>
      <w:r>
        <w:rPr>
          <w:rFonts w:hint="eastAsia" w:ascii="宋体" w:hAnsi="宋体" w:cs="仿宋_GB2312"/>
          <w:color w:val="auto"/>
          <w:sz w:val="24"/>
          <w:szCs w:val="21"/>
        </w:rPr>
        <w:t>之</w:t>
      </w:r>
      <w:r>
        <w:rPr>
          <w:rFonts w:hint="eastAsia" w:ascii="宋体" w:hAnsi="宋体" w:cs="仿宋_GB2312"/>
          <w:color w:val="auto"/>
          <w:sz w:val="24"/>
        </w:rPr>
        <w:t>一，以建“绿色校园</w:t>
      </w:r>
      <w:r>
        <w:rPr>
          <w:rFonts w:hint="eastAsia" w:ascii="宋体" w:hAnsi="宋体" w:cs="仿宋_GB2312"/>
          <w:color w:val="auto"/>
          <w:sz w:val="24"/>
          <w:szCs w:val="21"/>
        </w:rPr>
        <w:t>”为理念，广泛采用环保技术与材料。在设置必要的道路、广场外，尽可能多布置绿地、栽种树木。校园的污水、污物方案遵照环评报告书执行，做到处理设施与主体工程同时设计、同时施工、同时使用。</w:t>
      </w:r>
    </w:p>
    <w:p w14:paraId="0262B21F">
      <w:pPr>
        <w:pStyle w:val="10"/>
        <w:numPr>
          <w:ilvl w:val="0"/>
          <w:numId w:val="31"/>
        </w:numPr>
        <w:spacing w:line="360" w:lineRule="auto"/>
        <w:ind w:left="0" w:firstLine="560"/>
        <w:outlineLvl w:val="2"/>
        <w:rPr>
          <w:rFonts w:hAnsi="宋体" w:cs="仿宋_GB2312"/>
          <w:color w:val="auto"/>
          <w:sz w:val="28"/>
          <w:szCs w:val="28"/>
        </w:rPr>
      </w:pPr>
      <w:bookmarkStart w:id="291" w:name="_Toc7797"/>
      <w:r>
        <w:rPr>
          <w:rFonts w:hint="eastAsia" w:hAnsi="宋体" w:cs="仿宋_GB2312"/>
          <w:color w:val="auto"/>
          <w:sz w:val="28"/>
          <w:szCs w:val="28"/>
        </w:rPr>
        <w:t>节能</w:t>
      </w:r>
      <w:bookmarkEnd w:id="291"/>
    </w:p>
    <w:p w14:paraId="0AD490FC">
      <w:pPr>
        <w:pStyle w:val="10"/>
        <w:spacing w:line="360" w:lineRule="auto"/>
        <w:ind w:firstLine="484" w:firstLineChars="202"/>
        <w:rPr>
          <w:rFonts w:hAnsi="宋体" w:cs="仿宋_GB2312"/>
          <w:color w:val="auto"/>
          <w:sz w:val="24"/>
          <w:szCs w:val="21"/>
        </w:rPr>
      </w:pPr>
      <w:r>
        <w:rPr>
          <w:rFonts w:hint="eastAsia" w:hAnsi="宋体" w:cs="仿宋_GB2312"/>
          <w:color w:val="auto"/>
          <w:sz w:val="24"/>
          <w:szCs w:val="21"/>
        </w:rPr>
        <w:t>我国人均能源资源比较贫乏，发展节能型建筑，做好建筑的节能节材工作是建设工作要考虑的主要问题之一，例如，适当控制建筑体形系数；采用保温性能良好的新型墙体材料；采用墙体保温、屋面保温、中空双层玻璃窗、保温门和节能空调等；利用太阳能供热水；充分做好自然采光、自然通风；充分利用清洁能源等。</w:t>
      </w:r>
    </w:p>
    <w:p w14:paraId="126C3875">
      <w:pPr>
        <w:pStyle w:val="10"/>
        <w:numPr>
          <w:ilvl w:val="0"/>
          <w:numId w:val="31"/>
        </w:numPr>
        <w:spacing w:line="360" w:lineRule="auto"/>
        <w:ind w:left="0" w:firstLine="560"/>
        <w:outlineLvl w:val="2"/>
        <w:rPr>
          <w:rFonts w:hAnsi="宋体" w:cs="仿宋_GB2312"/>
          <w:color w:val="auto"/>
          <w:sz w:val="28"/>
          <w:szCs w:val="28"/>
        </w:rPr>
      </w:pPr>
      <w:bookmarkStart w:id="292" w:name="_Toc29609"/>
      <w:r>
        <w:rPr>
          <w:rFonts w:hint="eastAsia" w:hAnsi="宋体" w:cs="仿宋_GB2312"/>
          <w:color w:val="auto"/>
          <w:sz w:val="28"/>
          <w:szCs w:val="28"/>
        </w:rPr>
        <w:t>绿色建筑</w:t>
      </w:r>
      <w:bookmarkEnd w:id="292"/>
    </w:p>
    <w:p w14:paraId="0CC6E207">
      <w:pPr>
        <w:pStyle w:val="10"/>
        <w:spacing w:line="360" w:lineRule="auto"/>
        <w:ind w:firstLine="484" w:firstLineChars="202"/>
        <w:rPr>
          <w:rFonts w:hAnsi="宋体" w:cs="仿宋_GB2312"/>
          <w:color w:val="auto"/>
          <w:sz w:val="24"/>
          <w:szCs w:val="21"/>
        </w:rPr>
      </w:pPr>
      <w:r>
        <w:rPr>
          <w:rFonts w:hint="eastAsia" w:hAnsi="宋体" w:cs="仿宋_GB2312"/>
          <w:color w:val="auto"/>
          <w:sz w:val="24"/>
          <w:szCs w:val="21"/>
        </w:rPr>
        <w:t>根据</w:t>
      </w:r>
      <w:r>
        <w:rPr>
          <w:rFonts w:hint="eastAsia" w:hAnsi="宋体" w:cs="仿宋_GB2312"/>
          <w:color w:val="auto"/>
          <w:sz w:val="24"/>
          <w:szCs w:val="21"/>
          <w:lang w:eastAsia="zh-CN"/>
        </w:rPr>
        <w:t>国家及地方政府部门最新规划要求</w:t>
      </w:r>
      <w:r>
        <w:rPr>
          <w:rFonts w:hint="eastAsia" w:hAnsi="宋体" w:cs="仿宋_GB2312"/>
          <w:color w:val="auto"/>
          <w:sz w:val="24"/>
          <w:szCs w:val="21"/>
        </w:rPr>
        <w:t>，开展项目绿色建筑设计（二星</w:t>
      </w:r>
      <w:r>
        <w:rPr>
          <w:rFonts w:hint="eastAsia" w:hAnsi="宋体" w:cs="仿宋_GB2312"/>
          <w:color w:val="auto"/>
          <w:sz w:val="24"/>
          <w:szCs w:val="21"/>
          <w:lang w:eastAsia="zh-CN"/>
        </w:rPr>
        <w:t>及以上级别</w:t>
      </w:r>
      <w:r>
        <w:rPr>
          <w:rFonts w:hint="eastAsia" w:hAnsi="宋体" w:cs="仿宋_GB2312"/>
          <w:color w:val="auto"/>
          <w:sz w:val="24"/>
          <w:szCs w:val="21"/>
        </w:rPr>
        <w:t>）工作，并负责广州绿色建筑施工图审查和备案。</w:t>
      </w:r>
    </w:p>
    <w:p w14:paraId="14E4EF94">
      <w:pPr>
        <w:pStyle w:val="10"/>
        <w:numPr>
          <w:ilvl w:val="0"/>
          <w:numId w:val="31"/>
        </w:numPr>
        <w:spacing w:line="360" w:lineRule="auto"/>
        <w:ind w:left="0" w:firstLine="560"/>
        <w:outlineLvl w:val="2"/>
        <w:rPr>
          <w:rFonts w:hAnsi="宋体" w:cs="仿宋_GB2312"/>
          <w:color w:val="auto"/>
          <w:sz w:val="28"/>
          <w:szCs w:val="28"/>
        </w:rPr>
      </w:pPr>
      <w:bookmarkStart w:id="293" w:name="_Toc462262728"/>
      <w:bookmarkEnd w:id="293"/>
      <w:bookmarkStart w:id="294" w:name="_Toc462256914"/>
      <w:bookmarkEnd w:id="294"/>
      <w:bookmarkStart w:id="295" w:name="_Toc18296"/>
      <w:r>
        <w:rPr>
          <w:rFonts w:hint="eastAsia" w:hAnsi="宋体" w:cs="仿宋_GB2312"/>
          <w:color w:val="auto"/>
          <w:sz w:val="28"/>
          <w:szCs w:val="28"/>
        </w:rPr>
        <w:t>结构及基础形式</w:t>
      </w:r>
      <w:bookmarkEnd w:id="295"/>
    </w:p>
    <w:p w14:paraId="03734177">
      <w:pPr>
        <w:ind w:firstLine="480" w:firstLineChars="200"/>
        <w:rPr>
          <w:rFonts w:ascii="宋体" w:hAnsi="宋体"/>
          <w:color w:val="auto"/>
          <w:sz w:val="24"/>
          <w:szCs w:val="21"/>
        </w:rPr>
      </w:pPr>
      <w:r>
        <w:rPr>
          <w:rFonts w:hint="eastAsia" w:ascii="宋体" w:hAnsi="宋体"/>
          <w:color w:val="auto"/>
          <w:sz w:val="24"/>
          <w:szCs w:val="21"/>
        </w:rPr>
        <w:t>各类建筑拟采用钢筋混凝土框架结构。结构设计应根据场地地质情况和上部结构荷载等条件确定合适的基础形式，大跨度空间采用桁架及网架结构或预应力混凝土结构。</w:t>
      </w:r>
    </w:p>
    <w:p w14:paraId="6DC535AF">
      <w:pPr>
        <w:pStyle w:val="10"/>
        <w:numPr>
          <w:ilvl w:val="0"/>
          <w:numId w:val="31"/>
        </w:numPr>
        <w:spacing w:line="360" w:lineRule="auto"/>
        <w:ind w:left="0" w:firstLine="560"/>
        <w:outlineLvl w:val="2"/>
        <w:rPr>
          <w:rFonts w:hAnsi="宋体" w:cs="仿宋_GB2312"/>
          <w:color w:val="auto"/>
          <w:sz w:val="28"/>
          <w:szCs w:val="28"/>
        </w:rPr>
      </w:pPr>
      <w:bookmarkStart w:id="296" w:name="_Toc31222"/>
      <w:r>
        <w:rPr>
          <w:rFonts w:hint="eastAsia" w:hAnsi="宋体" w:cs="仿宋_GB2312"/>
          <w:color w:val="auto"/>
          <w:sz w:val="28"/>
          <w:szCs w:val="28"/>
        </w:rPr>
        <w:t>给排水及消防系统</w:t>
      </w:r>
      <w:bookmarkEnd w:id="296"/>
    </w:p>
    <w:p w14:paraId="5B047C76">
      <w:pPr>
        <w:ind w:firstLine="480" w:firstLineChars="200"/>
        <w:rPr>
          <w:rFonts w:ascii="宋体" w:hAnsi="宋体"/>
          <w:color w:val="auto"/>
          <w:sz w:val="24"/>
          <w:szCs w:val="21"/>
        </w:rPr>
      </w:pPr>
      <w:r>
        <w:rPr>
          <w:rFonts w:hint="eastAsia" w:ascii="宋体" w:hAnsi="宋体"/>
          <w:color w:val="auto"/>
          <w:sz w:val="24"/>
          <w:szCs w:val="21"/>
        </w:rPr>
        <w:t>本项目给排水及消防设计范围包括：室外给水，室外排水，室内给水，室内排水，雨水排水，室外消火栓系统，室内消火栓系统，自动喷水灭火系统，建筑灭火器配置。</w:t>
      </w:r>
    </w:p>
    <w:p w14:paraId="16D420EB">
      <w:pPr>
        <w:pStyle w:val="21"/>
        <w:ind w:left="0" w:leftChars="0" w:firstLine="480" w:firstLineChars="200"/>
        <w:rPr>
          <w:color w:val="auto"/>
        </w:rPr>
      </w:pPr>
      <w:r>
        <w:rPr>
          <w:rFonts w:hint="eastAsia" w:ascii="宋体" w:hAnsi="宋体"/>
          <w:color w:val="auto"/>
          <w:sz w:val="24"/>
          <w:szCs w:val="21"/>
        </w:rPr>
        <w:t>给排水相关要求：</w:t>
      </w:r>
    </w:p>
    <w:p w14:paraId="2698BE19">
      <w:pPr>
        <w:numPr>
          <w:ilvl w:val="0"/>
          <w:numId w:val="32"/>
        </w:numPr>
        <w:rPr>
          <w:rFonts w:ascii="宋体" w:hAnsi="宋体" w:cs="宋体"/>
          <w:color w:val="auto"/>
          <w:spacing w:val="-1"/>
          <w:sz w:val="24"/>
        </w:rPr>
      </w:pPr>
      <w:r>
        <w:rPr>
          <w:rFonts w:hint="eastAsia" w:ascii="宋体" w:hAnsi="宋体" w:cs="宋体"/>
          <w:color w:val="auto"/>
          <w:spacing w:val="-1"/>
          <w:sz w:val="24"/>
        </w:rPr>
        <w:t>给水排水设计应包括外部水源引入、室内外给排水及消防给水系统，以满足生活、空调、冲洗道路和绿化、水景、及消防用水的要求。</w:t>
      </w:r>
    </w:p>
    <w:p w14:paraId="46741D06">
      <w:pPr>
        <w:numPr>
          <w:ilvl w:val="0"/>
          <w:numId w:val="32"/>
        </w:numPr>
        <w:rPr>
          <w:rFonts w:ascii="宋体" w:hAnsi="宋体" w:cs="宋体"/>
          <w:color w:val="auto"/>
          <w:spacing w:val="-1"/>
          <w:sz w:val="24"/>
        </w:rPr>
      </w:pPr>
      <w:r>
        <w:rPr>
          <w:rFonts w:hint="eastAsia" w:ascii="宋体" w:hAnsi="宋体" w:cs="宋体"/>
          <w:color w:val="auto"/>
          <w:spacing w:val="-1"/>
          <w:sz w:val="24"/>
        </w:rPr>
        <w:t>给排水设计应遵循现行的国家规范、规程与广州市地方标准，并符合供水管理部门要求。</w:t>
      </w:r>
    </w:p>
    <w:p w14:paraId="5ACB452A">
      <w:pPr>
        <w:numPr>
          <w:ilvl w:val="0"/>
          <w:numId w:val="32"/>
        </w:numPr>
        <w:rPr>
          <w:rFonts w:ascii="宋体" w:hAnsi="宋体" w:cs="宋体"/>
          <w:color w:val="auto"/>
          <w:spacing w:val="-1"/>
          <w:sz w:val="24"/>
        </w:rPr>
      </w:pPr>
      <w:r>
        <w:rPr>
          <w:rFonts w:hint="eastAsia" w:ascii="宋体" w:hAnsi="宋体" w:cs="宋体"/>
          <w:color w:val="auto"/>
          <w:spacing w:val="-1"/>
          <w:sz w:val="24"/>
        </w:rPr>
        <w:t>依照市政和环保部门的统一规划，室内排水采用雨、废、污分流制，生活污水经化粪池后排入市政污水系统，排放应符合市政排污要求；生活废水直接排入市政污水系统；雨水排入市政雨水系统。</w:t>
      </w:r>
    </w:p>
    <w:p w14:paraId="256B5E1B">
      <w:pPr>
        <w:numPr>
          <w:ilvl w:val="0"/>
          <w:numId w:val="32"/>
        </w:numPr>
        <w:rPr>
          <w:rFonts w:ascii="宋体" w:hAnsi="宋体" w:cs="宋体"/>
          <w:color w:val="auto"/>
          <w:spacing w:val="-1"/>
          <w:sz w:val="24"/>
        </w:rPr>
      </w:pPr>
      <w:r>
        <w:rPr>
          <w:rFonts w:hint="eastAsia" w:ascii="宋体" w:hAnsi="宋体" w:cs="宋体"/>
          <w:color w:val="auto"/>
          <w:spacing w:val="-1"/>
          <w:sz w:val="24"/>
        </w:rPr>
        <w:t>食堂油污废水需经隔油处理后排至市政污水系统。</w:t>
      </w:r>
    </w:p>
    <w:p w14:paraId="0CB72DC5">
      <w:pPr>
        <w:numPr>
          <w:ilvl w:val="0"/>
          <w:numId w:val="32"/>
        </w:numPr>
        <w:rPr>
          <w:rFonts w:ascii="宋体" w:hAnsi="宋体" w:cs="宋体"/>
          <w:color w:val="auto"/>
          <w:spacing w:val="-1"/>
          <w:sz w:val="24"/>
        </w:rPr>
      </w:pPr>
      <w:r>
        <w:rPr>
          <w:rFonts w:hint="eastAsia" w:ascii="宋体" w:hAnsi="宋体" w:cs="宋体"/>
          <w:color w:val="auto"/>
          <w:spacing w:val="-1"/>
          <w:sz w:val="24"/>
        </w:rPr>
        <w:t>建筑设备选型应考虑技术先进、维护方便、经济合理的原则；体现低碳、绿色、环保、节能的理念。</w:t>
      </w:r>
    </w:p>
    <w:p w14:paraId="556AD3F1">
      <w:pPr>
        <w:numPr>
          <w:ilvl w:val="0"/>
          <w:numId w:val="32"/>
        </w:numPr>
        <w:rPr>
          <w:rFonts w:ascii="宋体" w:hAnsi="宋体" w:cs="宋体"/>
          <w:color w:val="auto"/>
          <w:spacing w:val="-1"/>
          <w:sz w:val="24"/>
        </w:rPr>
      </w:pPr>
      <w:r>
        <w:rPr>
          <w:rFonts w:hint="eastAsia" w:ascii="宋体" w:hAnsi="宋体" w:cs="宋体"/>
          <w:color w:val="auto"/>
          <w:spacing w:val="-1"/>
          <w:sz w:val="24"/>
        </w:rPr>
        <w:t>每层楼安装直饮水饮水机。</w:t>
      </w:r>
    </w:p>
    <w:p w14:paraId="1D332052">
      <w:pPr>
        <w:pStyle w:val="10"/>
        <w:numPr>
          <w:ilvl w:val="0"/>
          <w:numId w:val="31"/>
        </w:numPr>
        <w:spacing w:line="360" w:lineRule="auto"/>
        <w:ind w:left="0" w:firstLine="560"/>
        <w:outlineLvl w:val="2"/>
        <w:rPr>
          <w:rFonts w:hAnsi="宋体" w:cs="仿宋_GB2312"/>
          <w:color w:val="auto"/>
          <w:sz w:val="28"/>
          <w:szCs w:val="28"/>
        </w:rPr>
      </w:pPr>
      <w:bookmarkStart w:id="297" w:name="_Toc8234"/>
      <w:r>
        <w:rPr>
          <w:rFonts w:hint="eastAsia" w:hAnsi="宋体" w:cs="仿宋_GB2312"/>
          <w:color w:val="auto"/>
          <w:sz w:val="28"/>
          <w:szCs w:val="28"/>
        </w:rPr>
        <w:t>电气工程</w:t>
      </w:r>
      <w:bookmarkEnd w:id="297"/>
    </w:p>
    <w:p w14:paraId="0CBB9602">
      <w:pPr>
        <w:pStyle w:val="67"/>
        <w:ind w:firstLine="424" w:firstLineChars="177"/>
        <w:rPr>
          <w:rFonts w:ascii="宋体" w:hAnsi="宋体" w:eastAsia="宋体"/>
          <w:color w:val="auto"/>
          <w:sz w:val="24"/>
          <w:szCs w:val="21"/>
        </w:rPr>
      </w:pPr>
      <w:r>
        <w:rPr>
          <w:rFonts w:hint="eastAsia" w:ascii="宋体" w:hAnsi="宋体" w:eastAsia="宋体"/>
          <w:color w:val="auto"/>
          <w:sz w:val="24"/>
          <w:szCs w:val="21"/>
        </w:rPr>
        <w:t>包括但不限于：变配电系统；动力配电系统；照明配电系统；防雷及接地系统；火灾报警及消防控制系统。</w:t>
      </w:r>
    </w:p>
    <w:p w14:paraId="5140647E">
      <w:pPr>
        <w:pStyle w:val="67"/>
        <w:ind w:firstLine="424" w:firstLineChars="177"/>
        <w:rPr>
          <w:rFonts w:ascii="宋体" w:hAnsi="宋体" w:eastAsia="宋体"/>
          <w:color w:val="auto"/>
          <w:sz w:val="24"/>
          <w:szCs w:val="21"/>
        </w:rPr>
      </w:pPr>
      <w:r>
        <w:rPr>
          <w:rFonts w:hint="eastAsia" w:ascii="宋体" w:hAnsi="宋体" w:eastAsia="宋体"/>
          <w:color w:val="auto"/>
          <w:sz w:val="24"/>
          <w:szCs w:val="21"/>
        </w:rPr>
        <w:t>电气相关要求：</w:t>
      </w:r>
    </w:p>
    <w:p w14:paraId="4180B8AE">
      <w:pPr>
        <w:numPr>
          <w:ilvl w:val="0"/>
          <w:numId w:val="33"/>
        </w:numPr>
        <w:rPr>
          <w:rFonts w:ascii="宋体" w:hAnsi="宋体" w:cs="宋体"/>
          <w:color w:val="auto"/>
          <w:spacing w:val="-1"/>
          <w:sz w:val="24"/>
        </w:rPr>
      </w:pPr>
      <w:r>
        <w:rPr>
          <w:rFonts w:hint="eastAsia" w:ascii="宋体" w:hAnsi="宋体" w:cs="宋体"/>
          <w:color w:val="auto"/>
          <w:spacing w:val="-1"/>
          <w:sz w:val="24"/>
        </w:rPr>
        <w:t>电气设计应包括本项目内部供配电系统及所有末端配电设计。</w:t>
      </w:r>
    </w:p>
    <w:p w14:paraId="067C093B">
      <w:pPr>
        <w:numPr>
          <w:ilvl w:val="0"/>
          <w:numId w:val="33"/>
        </w:numPr>
        <w:rPr>
          <w:rFonts w:ascii="宋体" w:hAnsi="宋体" w:cs="宋体"/>
          <w:color w:val="auto"/>
          <w:spacing w:val="-1"/>
          <w:sz w:val="24"/>
        </w:rPr>
      </w:pPr>
      <w:r>
        <w:rPr>
          <w:rFonts w:hint="eastAsia" w:ascii="宋体" w:hAnsi="宋体" w:cs="宋体"/>
          <w:color w:val="auto"/>
          <w:spacing w:val="-1"/>
          <w:sz w:val="24"/>
        </w:rPr>
        <w:t>电气设计应遵循现行的国家规范、规程、广州市地方标准，并符合供电管理部门要求；</w:t>
      </w:r>
    </w:p>
    <w:p w14:paraId="012DBE10">
      <w:pPr>
        <w:numPr>
          <w:ilvl w:val="0"/>
          <w:numId w:val="33"/>
        </w:numPr>
        <w:rPr>
          <w:rFonts w:ascii="宋体" w:hAnsi="宋体" w:cs="宋体"/>
          <w:color w:val="auto"/>
          <w:spacing w:val="-1"/>
          <w:sz w:val="24"/>
        </w:rPr>
      </w:pPr>
      <w:r>
        <w:rPr>
          <w:rFonts w:hint="eastAsia" w:ascii="宋体" w:hAnsi="宋体" w:cs="宋体"/>
          <w:color w:val="auto"/>
          <w:spacing w:val="-1"/>
          <w:sz w:val="24"/>
        </w:rPr>
        <w:t>电气设计应做到安全可靠、技术先进。电气材料及设备的选择应采用安全可靠、高效节能、环保、使用寿命长的产品。</w:t>
      </w:r>
    </w:p>
    <w:p w14:paraId="25AC3BCB">
      <w:pPr>
        <w:pStyle w:val="10"/>
        <w:numPr>
          <w:ilvl w:val="0"/>
          <w:numId w:val="31"/>
        </w:numPr>
        <w:spacing w:line="360" w:lineRule="auto"/>
        <w:ind w:left="0" w:firstLine="560"/>
        <w:outlineLvl w:val="2"/>
        <w:rPr>
          <w:rFonts w:hAnsi="宋体" w:cs="仿宋_GB2312"/>
          <w:color w:val="auto"/>
          <w:sz w:val="28"/>
          <w:szCs w:val="28"/>
        </w:rPr>
      </w:pPr>
      <w:bookmarkStart w:id="298" w:name="_Toc361061922"/>
      <w:bookmarkStart w:id="299" w:name="_Toc24115"/>
      <w:bookmarkStart w:id="300" w:name="_Toc455437268"/>
      <w:r>
        <w:rPr>
          <w:rFonts w:hint="eastAsia" w:hAnsi="宋体" w:cs="仿宋_GB2312"/>
          <w:color w:val="auto"/>
          <w:sz w:val="28"/>
          <w:szCs w:val="28"/>
        </w:rPr>
        <w:t>通风空调系统</w:t>
      </w:r>
      <w:bookmarkEnd w:id="298"/>
      <w:bookmarkEnd w:id="299"/>
      <w:bookmarkEnd w:id="300"/>
    </w:p>
    <w:p w14:paraId="2412A159">
      <w:pPr>
        <w:pStyle w:val="67"/>
        <w:ind w:firstLine="714" w:firstLineChars="300"/>
        <w:rPr>
          <w:rFonts w:ascii="宋体" w:hAnsi="宋体" w:eastAsia="宋体" w:cs="宋体"/>
          <w:color w:val="auto"/>
          <w:spacing w:val="-1"/>
          <w:sz w:val="24"/>
          <w:szCs w:val="24"/>
        </w:rPr>
      </w:pPr>
      <w:r>
        <w:rPr>
          <w:rFonts w:hint="eastAsia" w:ascii="宋体" w:hAnsi="宋体" w:eastAsia="宋体" w:cs="宋体"/>
          <w:color w:val="auto"/>
          <w:spacing w:val="-1"/>
          <w:sz w:val="24"/>
          <w:szCs w:val="24"/>
        </w:rPr>
        <w:t>包括但不限于：设备用房、公共卫生间等房间的平时通风系统。地下车库、走道的消防排烟系统。防烟楼梯间及消防（合用）前室的防烟系统。</w:t>
      </w:r>
    </w:p>
    <w:p w14:paraId="72DE77CF">
      <w:pPr>
        <w:ind w:firstLine="714" w:firstLineChars="300"/>
        <w:rPr>
          <w:rFonts w:ascii="宋体" w:hAnsi="宋体"/>
          <w:color w:val="auto"/>
          <w:sz w:val="24"/>
          <w:szCs w:val="21"/>
        </w:rPr>
      </w:pPr>
      <w:r>
        <w:rPr>
          <w:rFonts w:hint="eastAsia" w:ascii="宋体" w:hAnsi="宋体" w:cs="宋体"/>
          <w:color w:val="auto"/>
          <w:spacing w:val="-1"/>
          <w:sz w:val="24"/>
        </w:rPr>
        <w:t>采暖通风与空气调节设计应符合现行国家、省市现行规范的规定。校区各建筑楼栋室内空气设计应符合《公共建筑室内空气质量控制标准》JGJ/T461-2019的规定。</w:t>
      </w:r>
      <w:r>
        <w:rPr>
          <w:rFonts w:hint="eastAsia" w:ascii="宋体" w:hAnsi="宋体" w:cs="宋体"/>
          <w:color w:val="auto"/>
          <w:sz w:val="24"/>
        </w:rPr>
        <w:t>普通教室、专用教室、教师办公室、行政办公楼、教</w:t>
      </w:r>
      <w:r>
        <w:rPr>
          <w:rFonts w:hint="eastAsia" w:ascii="宋体" w:hAnsi="宋体" w:cs="宋体"/>
          <w:color w:val="auto"/>
          <w:sz w:val="24"/>
          <w:lang w:val="en-US" w:eastAsia="zh-CN"/>
        </w:rPr>
        <w:t>师</w:t>
      </w:r>
      <w:r>
        <w:rPr>
          <w:rFonts w:hint="eastAsia" w:ascii="宋体" w:hAnsi="宋体" w:cs="宋体"/>
          <w:color w:val="auto"/>
          <w:sz w:val="24"/>
        </w:rPr>
        <w:t>公寓、学生宿舍、图书馆和阅览室等采用分体式空调，食堂等采用中央空调系统。</w:t>
      </w:r>
      <w:r>
        <w:rPr>
          <w:rFonts w:hint="eastAsia" w:ascii="宋体" w:hAnsi="宋体" w:cs="宋体"/>
          <w:color w:val="auto"/>
          <w:spacing w:val="-1"/>
          <w:sz w:val="24"/>
        </w:rPr>
        <w:t>所有的空调、制冷、通风设备均采用节能产品并应符合国家《</w:t>
      </w:r>
      <w:r>
        <w:rPr>
          <w:i w:val="0"/>
          <w:strike w:val="0"/>
          <w:color w:val="auto"/>
          <w:spacing w:val="-1"/>
          <w:sz w:val="24"/>
          <w:u w:val="none"/>
        </w:rPr>
        <w:t>建筑节能与可再生能源利用通用规范》（GB55015-2021）</w:t>
      </w:r>
      <w:r>
        <w:rPr>
          <w:rFonts w:hint="eastAsia" w:ascii="宋体" w:hAnsi="宋体" w:cs="宋体"/>
          <w:color w:val="auto"/>
          <w:spacing w:val="-1"/>
          <w:sz w:val="24"/>
        </w:rPr>
        <w:t>的规定。所有空调制冷设备应采用符合国家规定标准的环保制冷剂。设备选型应考虑技术先进、维护方便、经济合理的原则；体现科技、环保、可持续发展的理念。</w:t>
      </w:r>
      <w:r>
        <w:rPr>
          <w:rFonts w:hint="eastAsia" w:ascii="宋体" w:hAnsi="宋体" w:cs="宋体"/>
          <w:color w:val="auto"/>
          <w:sz w:val="24"/>
        </w:rPr>
        <w:t>空调冷凝水系统应采用有组织排放设计。</w:t>
      </w:r>
    </w:p>
    <w:p w14:paraId="416BC657">
      <w:pPr>
        <w:pStyle w:val="10"/>
        <w:numPr>
          <w:ilvl w:val="0"/>
          <w:numId w:val="31"/>
        </w:numPr>
        <w:spacing w:line="360" w:lineRule="auto"/>
        <w:ind w:left="0" w:firstLine="560"/>
        <w:outlineLvl w:val="2"/>
        <w:rPr>
          <w:rFonts w:hAnsi="宋体" w:cs="仿宋_GB2312"/>
          <w:color w:val="auto"/>
          <w:sz w:val="28"/>
          <w:szCs w:val="28"/>
        </w:rPr>
      </w:pPr>
      <w:bookmarkStart w:id="301" w:name="_Toc361061923"/>
      <w:bookmarkStart w:id="302" w:name="_Toc455437269"/>
      <w:bookmarkStart w:id="303" w:name="_Toc5403"/>
      <w:r>
        <w:rPr>
          <w:rFonts w:hint="eastAsia" w:hAnsi="宋体" w:cs="仿宋_GB2312"/>
          <w:color w:val="auto"/>
          <w:sz w:val="28"/>
          <w:szCs w:val="28"/>
        </w:rPr>
        <w:t>弱电方案</w:t>
      </w:r>
      <w:bookmarkEnd w:id="301"/>
      <w:bookmarkEnd w:id="302"/>
      <w:bookmarkEnd w:id="303"/>
    </w:p>
    <w:p w14:paraId="3EE14D50">
      <w:pPr>
        <w:ind w:firstLine="476" w:firstLineChars="200"/>
        <w:rPr>
          <w:rFonts w:ascii="宋体" w:hAnsi="宋体" w:cs="宋体"/>
          <w:color w:val="auto"/>
          <w:spacing w:val="-1"/>
          <w:sz w:val="24"/>
        </w:rPr>
      </w:pPr>
      <w:r>
        <w:rPr>
          <w:rFonts w:hint="eastAsia" w:ascii="宋体" w:hAnsi="宋体" w:cs="宋体"/>
          <w:color w:val="auto"/>
          <w:spacing w:val="-1"/>
          <w:sz w:val="24"/>
        </w:rPr>
        <w:t>各子系统的设计应保证为当时先进、成熟的技术，并应充分的考虑其兼容性、可维护性、可扩展性和先进性，应以建设绿色建筑为目标，做到功能实用、技术适时、安全高效、运营规范和经济合理。</w:t>
      </w:r>
    </w:p>
    <w:p w14:paraId="191C778A">
      <w:pPr>
        <w:ind w:firstLine="476" w:firstLineChars="200"/>
        <w:rPr>
          <w:rFonts w:ascii="宋体" w:hAnsi="宋体" w:cs="宋体"/>
          <w:color w:val="auto"/>
          <w:spacing w:val="-1"/>
          <w:sz w:val="24"/>
        </w:rPr>
      </w:pPr>
      <w:r>
        <w:rPr>
          <w:rFonts w:hint="eastAsia" w:ascii="宋体" w:hAnsi="宋体" w:cs="宋体"/>
          <w:color w:val="auto"/>
          <w:spacing w:val="-1"/>
          <w:sz w:val="24"/>
        </w:rPr>
        <w:t>设计内容：智能卡应用系统、信息安全管理系统，信息接入系统，移动通信室内信号覆盖系统，信息网络系统，有线电视系统，公共广播系统，信息导引及发布系统，建筑能效监管系统，安全技术防范系统，停车库管理系统等；应选用安全、可靠、先进的智能化设备材料。</w:t>
      </w:r>
    </w:p>
    <w:p w14:paraId="7EED9413">
      <w:pPr>
        <w:pStyle w:val="67"/>
        <w:numPr>
          <w:ilvl w:val="0"/>
          <w:numId w:val="34"/>
        </w:numPr>
        <w:ind w:left="0" w:firstLine="566" w:firstLineChars="236"/>
        <w:rPr>
          <w:rFonts w:ascii="宋体" w:hAnsi="宋体" w:eastAsia="宋体"/>
          <w:color w:val="auto"/>
          <w:sz w:val="24"/>
          <w:szCs w:val="24"/>
        </w:rPr>
      </w:pPr>
      <w:r>
        <w:rPr>
          <w:rFonts w:ascii="宋体" w:hAnsi="宋体" w:eastAsia="宋体"/>
          <w:color w:val="auto"/>
          <w:sz w:val="24"/>
          <w:szCs w:val="24"/>
        </w:rPr>
        <w:t>综合布线</w:t>
      </w:r>
    </w:p>
    <w:p w14:paraId="3C1D30AA">
      <w:pPr>
        <w:ind w:firstLine="480" w:firstLineChars="200"/>
        <w:rPr>
          <w:rFonts w:ascii="宋体" w:hAnsi="宋体"/>
          <w:color w:val="auto"/>
          <w:sz w:val="24"/>
        </w:rPr>
      </w:pPr>
      <w:r>
        <w:rPr>
          <w:rFonts w:hint="eastAsia" w:ascii="宋体" w:hAnsi="宋体"/>
          <w:color w:val="auto"/>
          <w:sz w:val="24"/>
        </w:rPr>
        <w:t>综合布线是学校内的传输网络，它既使语音和数据通信设备、交换设备和其它信息管理系统彼此相连，又使这些设备和外部通信网络相连。</w:t>
      </w:r>
    </w:p>
    <w:p w14:paraId="235F686E">
      <w:pPr>
        <w:pStyle w:val="67"/>
        <w:numPr>
          <w:ilvl w:val="0"/>
          <w:numId w:val="34"/>
        </w:numPr>
        <w:ind w:left="0" w:firstLine="484" w:firstLineChars="202"/>
        <w:rPr>
          <w:rFonts w:ascii="宋体" w:hAnsi="宋体" w:eastAsia="宋体"/>
          <w:color w:val="auto"/>
          <w:sz w:val="24"/>
          <w:szCs w:val="24"/>
        </w:rPr>
      </w:pPr>
      <w:r>
        <w:rPr>
          <w:rFonts w:hint="eastAsia" w:ascii="宋体" w:hAnsi="宋体" w:eastAsia="宋体"/>
          <w:color w:val="auto"/>
          <w:sz w:val="24"/>
          <w:szCs w:val="24"/>
        </w:rPr>
        <w:t>计算机网络系统</w:t>
      </w:r>
    </w:p>
    <w:p w14:paraId="24B92272">
      <w:pPr>
        <w:ind w:firstLine="480" w:firstLineChars="200"/>
        <w:rPr>
          <w:rFonts w:ascii="宋体" w:hAnsi="宋体"/>
          <w:color w:val="auto"/>
          <w:sz w:val="24"/>
        </w:rPr>
      </w:pPr>
      <w:r>
        <w:rPr>
          <w:rFonts w:hint="eastAsia" w:ascii="宋体" w:hAnsi="宋体"/>
          <w:color w:val="auto"/>
          <w:sz w:val="24"/>
        </w:rPr>
        <w:t>计算网络系统是整个校园智能化系统集成的基础，内部一切数字化、信息化的应用服务功能都要依靠计算机网络这个平台实现，将各个系统的各种</w:t>
      </w:r>
      <w:r>
        <w:rPr>
          <w:rFonts w:ascii="宋体" w:hAnsi="宋体"/>
          <w:color w:val="auto"/>
          <w:sz w:val="24"/>
        </w:rPr>
        <w:t>PC机、工作站、终端设备和局域网连接起来，并与外部广域网相连，形成结构合理、内外沟通的计算机网络系统。利用计算机网络系统，实现不同班级、科室的资源共享，以及宽带接入互联网等所有信息化时代所需要的功能，并可以在现有计算机网络系统的基础上为学校提供一系列的增值服务等。</w:t>
      </w:r>
    </w:p>
    <w:p w14:paraId="22B81578">
      <w:pPr>
        <w:pStyle w:val="67"/>
        <w:numPr>
          <w:ilvl w:val="0"/>
          <w:numId w:val="34"/>
        </w:numPr>
        <w:ind w:left="0" w:firstLine="480" w:firstLineChars="0"/>
        <w:rPr>
          <w:rFonts w:ascii="宋体" w:hAnsi="宋体" w:eastAsia="宋体"/>
          <w:color w:val="auto"/>
          <w:sz w:val="24"/>
          <w:szCs w:val="24"/>
        </w:rPr>
      </w:pPr>
      <w:r>
        <w:rPr>
          <w:rFonts w:ascii="宋体" w:hAnsi="宋体" w:eastAsia="宋体"/>
          <w:color w:val="auto"/>
          <w:sz w:val="24"/>
          <w:szCs w:val="24"/>
        </w:rPr>
        <w:t>视频监控系统</w:t>
      </w:r>
    </w:p>
    <w:p w14:paraId="69F0A0CB">
      <w:pPr>
        <w:ind w:firstLine="480" w:firstLineChars="200"/>
        <w:rPr>
          <w:rFonts w:ascii="宋体" w:hAnsi="宋体"/>
          <w:color w:val="auto"/>
          <w:sz w:val="24"/>
        </w:rPr>
      </w:pPr>
      <w:r>
        <w:rPr>
          <w:rFonts w:hint="eastAsia" w:ascii="宋体" w:hAnsi="宋体"/>
          <w:color w:val="auto"/>
          <w:sz w:val="24"/>
        </w:rPr>
        <w:t>视频监控系统根据学校安全技术防范管理的需要，对必须进行监控的场所、部位、通道等进行实时、有效的视频探测、视频监视、视频传输、显示和记录。</w:t>
      </w:r>
    </w:p>
    <w:p w14:paraId="6295A2BE">
      <w:pPr>
        <w:ind w:firstLine="480" w:firstLineChars="200"/>
        <w:rPr>
          <w:rFonts w:ascii="宋体" w:hAnsi="宋体"/>
          <w:color w:val="auto"/>
          <w:sz w:val="24"/>
        </w:rPr>
      </w:pPr>
      <w:r>
        <w:rPr>
          <w:rFonts w:hint="eastAsia" w:ascii="宋体" w:hAnsi="宋体"/>
          <w:color w:val="auto"/>
          <w:sz w:val="24"/>
        </w:rPr>
        <w:t>本系统在建筑单体主要通道、主要出入口等场所设置摄像机。所有获得的监控区情况以图象方式实时传送到学校监控机房。</w:t>
      </w:r>
    </w:p>
    <w:p w14:paraId="3013C797">
      <w:pPr>
        <w:pStyle w:val="67"/>
        <w:numPr>
          <w:ilvl w:val="0"/>
          <w:numId w:val="34"/>
        </w:numPr>
        <w:ind w:left="0" w:firstLine="480" w:firstLineChars="0"/>
        <w:rPr>
          <w:rFonts w:ascii="宋体" w:hAnsi="宋体" w:eastAsia="宋体"/>
          <w:color w:val="auto"/>
          <w:sz w:val="24"/>
          <w:szCs w:val="24"/>
        </w:rPr>
      </w:pPr>
      <w:r>
        <w:rPr>
          <w:rFonts w:ascii="宋体" w:hAnsi="宋体" w:eastAsia="宋体"/>
          <w:color w:val="auto"/>
          <w:sz w:val="24"/>
          <w:szCs w:val="24"/>
        </w:rPr>
        <w:t>校园广播系统</w:t>
      </w:r>
    </w:p>
    <w:p w14:paraId="732357F5">
      <w:pPr>
        <w:ind w:firstLine="480" w:firstLineChars="200"/>
        <w:rPr>
          <w:rFonts w:ascii="宋体" w:hAnsi="宋体"/>
          <w:color w:val="auto"/>
          <w:sz w:val="24"/>
        </w:rPr>
      </w:pPr>
      <w:r>
        <w:rPr>
          <w:rFonts w:hint="eastAsia" w:ascii="宋体" w:hAnsi="宋体"/>
          <w:color w:val="auto"/>
          <w:sz w:val="24"/>
        </w:rPr>
        <w:t>为了完善现代化的教学管理，并为校园增添几分温馨和舒适，同时也为学校信息的发布提供便捷的途径，根据学校的实际需求，设计本系统功能包括：校园背景音乐系统、校园铃声系统、学生广播台（转播新闻、自办广播节目）、发布通知、寻呼以及其他语音信息系统。</w:t>
      </w:r>
    </w:p>
    <w:p w14:paraId="1881209C">
      <w:pPr>
        <w:pStyle w:val="67"/>
        <w:numPr>
          <w:ilvl w:val="0"/>
          <w:numId w:val="34"/>
        </w:numPr>
        <w:ind w:left="0" w:firstLine="480" w:firstLineChars="0"/>
        <w:rPr>
          <w:rFonts w:ascii="宋体" w:hAnsi="宋体" w:eastAsia="宋体"/>
          <w:color w:val="auto"/>
          <w:sz w:val="24"/>
          <w:szCs w:val="24"/>
        </w:rPr>
      </w:pPr>
      <w:r>
        <w:rPr>
          <w:rFonts w:ascii="宋体" w:hAnsi="宋体" w:eastAsia="宋体"/>
          <w:color w:val="auto"/>
          <w:sz w:val="24"/>
          <w:szCs w:val="24"/>
        </w:rPr>
        <w:t>多媒体教学系统</w:t>
      </w:r>
    </w:p>
    <w:p w14:paraId="59F5FD61">
      <w:pPr>
        <w:ind w:firstLine="480" w:firstLineChars="200"/>
        <w:rPr>
          <w:rFonts w:ascii="宋体" w:hAnsi="宋体"/>
          <w:color w:val="auto"/>
          <w:sz w:val="24"/>
        </w:rPr>
      </w:pPr>
      <w:r>
        <w:rPr>
          <w:rFonts w:hint="eastAsia" w:ascii="宋体" w:hAnsi="宋体"/>
          <w:color w:val="auto"/>
          <w:sz w:val="24"/>
        </w:rPr>
        <w:t>信息技术在学校教学和管理的应用已成为当今教育领域发展的必由之路，各种各样先进的教学媒体和技术手段已广泛融入到学校的日常教学活动中。随着教育信息化建设的进一步深入，多媒体教学系统已走到了数字化时代。数字化多媒体教学系统主要应用于各类教室，使每个教室都能满足多媒体教学的功能，包括各种教学媒体和手段的运用，各种教学课件、图文信息、音视频资料及网络教学资源检索和使用，为教师在课堂教学课堂中提供最大的方便性和灵活性，充分满足教学需求，优化教学过程，提高教学效率，激发学生学习的积极性。在每个多媒体教室中配备了微机、多媒体投影机、电动幕、带移频功能的功放、音箱等多种电化教学设备。</w:t>
      </w:r>
    </w:p>
    <w:p w14:paraId="1652F507">
      <w:pPr>
        <w:pStyle w:val="67"/>
        <w:numPr>
          <w:ilvl w:val="0"/>
          <w:numId w:val="34"/>
        </w:numPr>
        <w:ind w:left="0" w:firstLine="480" w:firstLineChars="0"/>
        <w:rPr>
          <w:rFonts w:ascii="宋体" w:hAnsi="宋体" w:eastAsia="宋体"/>
          <w:color w:val="auto"/>
          <w:sz w:val="24"/>
          <w:szCs w:val="24"/>
        </w:rPr>
      </w:pPr>
      <w:r>
        <w:rPr>
          <w:rFonts w:ascii="宋体" w:hAnsi="宋体" w:eastAsia="宋体"/>
          <w:color w:val="auto"/>
          <w:sz w:val="24"/>
          <w:szCs w:val="24"/>
        </w:rPr>
        <w:t>消防报警联动系统</w:t>
      </w:r>
    </w:p>
    <w:p w14:paraId="75CE10CE">
      <w:pPr>
        <w:ind w:firstLine="480" w:firstLineChars="200"/>
        <w:rPr>
          <w:rFonts w:ascii="宋体" w:hAnsi="宋体"/>
          <w:color w:val="auto"/>
          <w:sz w:val="24"/>
        </w:rPr>
      </w:pPr>
      <w:r>
        <w:rPr>
          <w:rFonts w:hint="eastAsia" w:ascii="宋体" w:hAnsi="宋体"/>
          <w:color w:val="auto"/>
          <w:sz w:val="24"/>
        </w:rPr>
        <w:t>消火栓泵、喷淋泵、保压泵的启、停均有信号在消防控制中心显示；各室内消火栓箱的破玻信号在消防控制中心显示并报警，可确认哪一幢、哪一层、哪一区发出火灾信号，同时联锁启动消火栓泵；压力开关、水流指示器动作信号在消防控制中心显示及报警，可确认哪一层、哪一区的喷头己开放（火灾发生），同时联锁启动喷淋泵；信号闸阀信号在消防控制中心显示，若信号闸阀被关闭，控制中心会发出声、光报警。</w:t>
      </w:r>
    </w:p>
    <w:p w14:paraId="7CEAC654">
      <w:pPr>
        <w:ind w:firstLine="480" w:firstLineChars="200"/>
        <w:rPr>
          <w:rFonts w:ascii="宋体" w:hAnsi="宋体"/>
          <w:color w:val="auto"/>
          <w:sz w:val="24"/>
        </w:rPr>
      </w:pPr>
      <w:r>
        <w:rPr>
          <w:rFonts w:hint="eastAsia" w:ascii="宋体" w:hAnsi="宋体"/>
          <w:color w:val="auto"/>
          <w:sz w:val="24"/>
        </w:rPr>
        <w:t>按照国家有关规范和使用环境条件，在教学楼、图书馆、行政楼、办公楼、教职工值班住宿楼等处设置火灾自动报警系统及联动控制系统，校区内设消防控制中心进行集中监控，并与校园广播实现联动。</w:t>
      </w:r>
    </w:p>
    <w:p w14:paraId="17FE146C">
      <w:pPr>
        <w:ind w:firstLine="480" w:firstLineChars="200"/>
        <w:rPr>
          <w:rFonts w:ascii="宋体" w:hAnsi="宋体"/>
          <w:color w:val="auto"/>
          <w:sz w:val="24"/>
        </w:rPr>
      </w:pPr>
      <w:r>
        <w:rPr>
          <w:rFonts w:hint="eastAsia" w:ascii="宋体" w:hAnsi="宋体"/>
          <w:color w:val="auto"/>
          <w:sz w:val="24"/>
        </w:rPr>
        <w:t>具体包括火灾自动报警系统、消防联动控制系统、火灾应急广播系统、消防专用电话系统、电梯运行监视控制系统、应急照明控制及消防系统接地等。</w:t>
      </w:r>
    </w:p>
    <w:p w14:paraId="1A8D347F">
      <w:pPr>
        <w:pStyle w:val="67"/>
        <w:numPr>
          <w:ilvl w:val="0"/>
          <w:numId w:val="34"/>
        </w:numPr>
        <w:ind w:left="0" w:firstLine="480" w:firstLineChars="0"/>
        <w:outlineLvl w:val="3"/>
        <w:rPr>
          <w:rFonts w:ascii="宋体" w:hAnsi="宋体" w:eastAsia="宋体"/>
          <w:color w:val="auto"/>
          <w:sz w:val="24"/>
        </w:rPr>
      </w:pPr>
      <w:r>
        <w:rPr>
          <w:rFonts w:hint="eastAsia" w:ascii="宋体" w:hAnsi="宋体" w:eastAsia="宋体"/>
          <w:color w:val="auto"/>
          <w:sz w:val="24"/>
          <w:szCs w:val="24"/>
        </w:rPr>
        <w:t>有线电视系统</w:t>
      </w:r>
    </w:p>
    <w:p w14:paraId="52244898">
      <w:pPr>
        <w:ind w:firstLine="480" w:firstLineChars="200"/>
        <w:rPr>
          <w:rFonts w:ascii="宋体" w:hAnsi="宋体"/>
          <w:color w:val="auto"/>
          <w:sz w:val="24"/>
        </w:rPr>
      </w:pPr>
      <w:r>
        <w:rPr>
          <w:rFonts w:hint="eastAsia" w:ascii="宋体" w:hAnsi="宋体"/>
          <w:color w:val="auto"/>
          <w:sz w:val="24"/>
        </w:rPr>
        <w:t>本工程有线电视由室外城市（地区）有线电视网引来。进线采用干线电缆SYWV-75-12-SC50-FC。有线电视机房设置在网络信息中心，前端设备设置在机房内。前端箱内包括放大器、均衡器、分配器等设备。各楼层分配网络采用分配分支的分配型式，干线电缆选SYV-75-9，支线电缆选用SYV-75-5，穿PVC管暗敷。</w:t>
      </w:r>
    </w:p>
    <w:p w14:paraId="568119B3">
      <w:pPr>
        <w:pStyle w:val="67"/>
        <w:numPr>
          <w:ilvl w:val="0"/>
          <w:numId w:val="34"/>
        </w:numPr>
        <w:ind w:left="0" w:firstLine="364" w:firstLineChars="152"/>
        <w:rPr>
          <w:rFonts w:ascii="宋体" w:hAnsi="宋体" w:eastAsia="宋体"/>
          <w:color w:val="auto"/>
          <w:sz w:val="24"/>
        </w:rPr>
      </w:pPr>
      <w:r>
        <w:rPr>
          <w:rFonts w:hint="eastAsia" w:ascii="宋体" w:hAnsi="宋体" w:eastAsia="宋体"/>
          <w:color w:val="auto"/>
          <w:sz w:val="24"/>
          <w:szCs w:val="24"/>
        </w:rPr>
        <w:t>安全防范系统（SAS）</w:t>
      </w:r>
    </w:p>
    <w:p w14:paraId="0E50E679">
      <w:pPr>
        <w:ind w:firstLine="555"/>
        <w:rPr>
          <w:rFonts w:ascii="宋体" w:hAnsi="宋体"/>
          <w:color w:val="auto"/>
          <w:sz w:val="24"/>
        </w:rPr>
      </w:pPr>
      <w:r>
        <w:rPr>
          <w:rFonts w:hint="eastAsia" w:ascii="宋体" w:hAnsi="宋体"/>
          <w:color w:val="auto"/>
          <w:sz w:val="24"/>
        </w:rPr>
        <w:t>安全防范系统是建筑智能化系统的重要内容，按照国家规范与标准，采用分层分区的严密防范体系，建立周界区、监视区、防护区、禁区等四道屏障。安全防范系统由以下2个子系统组成：</w:t>
      </w:r>
    </w:p>
    <w:p w14:paraId="7EDB48F3">
      <w:pPr>
        <w:pStyle w:val="67"/>
        <w:numPr>
          <w:ilvl w:val="0"/>
          <w:numId w:val="35"/>
        </w:numPr>
        <w:ind w:left="0" w:firstLine="426" w:firstLineChars="0"/>
        <w:rPr>
          <w:rFonts w:ascii="宋体" w:hAnsi="宋体" w:eastAsia="宋体"/>
          <w:color w:val="auto"/>
          <w:sz w:val="24"/>
        </w:rPr>
      </w:pPr>
      <w:r>
        <w:rPr>
          <w:rFonts w:hint="eastAsia" w:ascii="宋体" w:hAnsi="宋体" w:eastAsia="宋体"/>
          <w:color w:val="auto"/>
          <w:sz w:val="24"/>
          <w:szCs w:val="24"/>
        </w:rPr>
        <w:t>闭路电视监控子系统</w:t>
      </w:r>
    </w:p>
    <w:p w14:paraId="6A965FD5">
      <w:pPr>
        <w:ind w:firstLine="555"/>
        <w:rPr>
          <w:rFonts w:ascii="宋体" w:hAnsi="宋体"/>
          <w:color w:val="auto"/>
          <w:sz w:val="24"/>
        </w:rPr>
      </w:pPr>
      <w:r>
        <w:rPr>
          <w:rFonts w:hint="eastAsia" w:ascii="宋体" w:hAnsi="宋体"/>
          <w:color w:val="auto"/>
          <w:sz w:val="24"/>
        </w:rPr>
        <w:t>闭路电视监控系统建设要符合社会治安视频监控建设指引要求，采用数字模拟混合方案进行建设，提供向主管部门进行视频监控总集成的接口，视频监控系统传输数据和控制信令符合广东省城市社会治安视频监控数据存储和传输要求。</w:t>
      </w:r>
    </w:p>
    <w:p w14:paraId="42429A86">
      <w:pPr>
        <w:ind w:firstLine="555"/>
        <w:rPr>
          <w:rFonts w:ascii="宋体" w:hAnsi="宋体"/>
          <w:color w:val="auto"/>
          <w:sz w:val="24"/>
        </w:rPr>
      </w:pPr>
      <w:r>
        <w:rPr>
          <w:rFonts w:hint="eastAsia" w:ascii="宋体" w:hAnsi="宋体"/>
          <w:color w:val="auto"/>
          <w:sz w:val="24"/>
        </w:rPr>
        <w:t>闭路电视监控系统根据学校安全技术防范管理的需要，对必须进行监控的场所、部位、通道等进行实时、有效的视频探测、视频监视、视频传输、显示和记录。</w:t>
      </w:r>
    </w:p>
    <w:p w14:paraId="5F137D99">
      <w:pPr>
        <w:ind w:firstLine="555"/>
        <w:rPr>
          <w:rFonts w:ascii="宋体" w:hAnsi="宋体"/>
          <w:color w:val="auto"/>
          <w:sz w:val="24"/>
        </w:rPr>
      </w:pPr>
      <w:r>
        <w:rPr>
          <w:rFonts w:hint="eastAsia" w:ascii="宋体" w:hAnsi="宋体"/>
          <w:color w:val="auto"/>
          <w:sz w:val="24"/>
        </w:rPr>
        <w:t>闭路电视监控系统由前端摄像部分、传输部分和显示监控设备及中心控制室组成。前端部分指的是各类型的摄像机；传输部分指的是传输线缆以及相关的附件和管路；显示监控设备主要是视频信号的输出部分，由不同尺寸的监视器及显示器构成；中心控制设备包括录像设备、联动设备等，起到对整个系统进行记录和控制操作的中心设备。</w:t>
      </w:r>
    </w:p>
    <w:p w14:paraId="24AE982B">
      <w:pPr>
        <w:ind w:firstLine="555"/>
        <w:rPr>
          <w:rFonts w:ascii="宋体" w:hAnsi="宋体"/>
          <w:color w:val="auto"/>
          <w:sz w:val="24"/>
        </w:rPr>
      </w:pPr>
      <w:r>
        <w:rPr>
          <w:rFonts w:hint="eastAsia" w:ascii="宋体" w:hAnsi="宋体"/>
          <w:color w:val="auto"/>
          <w:sz w:val="24"/>
        </w:rPr>
        <w:t>本系统在建筑单体主要通道、主要出入口等场所设置摄像机。所有获得的监控区情况以图象方式实时传送到学校监控机房。</w:t>
      </w:r>
    </w:p>
    <w:p w14:paraId="56BF9668">
      <w:pPr>
        <w:pStyle w:val="67"/>
        <w:numPr>
          <w:ilvl w:val="0"/>
          <w:numId w:val="35"/>
        </w:numPr>
        <w:ind w:left="0" w:firstLine="426" w:firstLineChars="0"/>
        <w:rPr>
          <w:rFonts w:ascii="宋体" w:hAnsi="宋体" w:eastAsia="宋体"/>
          <w:color w:val="auto"/>
          <w:sz w:val="24"/>
        </w:rPr>
      </w:pPr>
      <w:r>
        <w:rPr>
          <w:rFonts w:hint="eastAsia" w:ascii="宋体" w:hAnsi="宋体" w:eastAsia="宋体"/>
          <w:color w:val="auto"/>
          <w:sz w:val="24"/>
          <w:szCs w:val="24"/>
        </w:rPr>
        <w:t>防盗报警子系统</w:t>
      </w:r>
    </w:p>
    <w:p w14:paraId="07BEA504">
      <w:pPr>
        <w:ind w:firstLine="480" w:firstLineChars="200"/>
        <w:rPr>
          <w:rFonts w:ascii="宋体" w:hAnsi="宋体"/>
          <w:color w:val="auto"/>
          <w:sz w:val="24"/>
        </w:rPr>
      </w:pPr>
      <w:r>
        <w:rPr>
          <w:rFonts w:hint="eastAsia" w:ascii="宋体" w:hAnsi="宋体"/>
          <w:color w:val="auto"/>
          <w:sz w:val="24"/>
        </w:rPr>
        <w:t>防盗报警系统包括周界的入侵防范和大楼的内部防范。防盗报警系统采用总线网络型系统结构，设计入侵报警系统时可以考虑多种防护如重要物品的移动探测和玻璃破碎探测器等。</w:t>
      </w:r>
    </w:p>
    <w:p w14:paraId="326491EB">
      <w:pPr>
        <w:pStyle w:val="67"/>
        <w:numPr>
          <w:ilvl w:val="0"/>
          <w:numId w:val="34"/>
        </w:numPr>
        <w:ind w:left="0" w:firstLine="364" w:firstLineChars="152"/>
        <w:outlineLvl w:val="3"/>
        <w:rPr>
          <w:rFonts w:ascii="宋体" w:hAnsi="宋体" w:eastAsia="宋体"/>
          <w:color w:val="auto"/>
          <w:sz w:val="24"/>
        </w:rPr>
      </w:pPr>
      <w:r>
        <w:rPr>
          <w:rFonts w:hint="eastAsia" w:ascii="宋体" w:hAnsi="宋体" w:eastAsia="宋体"/>
          <w:color w:val="auto"/>
          <w:sz w:val="24"/>
          <w:szCs w:val="24"/>
        </w:rPr>
        <w:t>校园一卡通系统</w:t>
      </w:r>
    </w:p>
    <w:p w14:paraId="43213B71">
      <w:pPr>
        <w:ind w:firstLine="480" w:firstLineChars="200"/>
        <w:rPr>
          <w:rFonts w:ascii="宋体" w:hAnsi="宋体"/>
          <w:color w:val="auto"/>
          <w:sz w:val="24"/>
        </w:rPr>
      </w:pPr>
      <w:r>
        <w:rPr>
          <w:rFonts w:hint="eastAsia" w:ascii="宋体" w:hAnsi="宋体"/>
          <w:color w:val="auto"/>
          <w:sz w:val="24"/>
        </w:rPr>
        <w:t>拟建中学计划与校园入驻银行联合建设校园一卡通系统。一卡通为学生集各种校园流通于一卡，可以用于食堂、学校商店、上机、图书馆、校医院等，并且提供充值、查询、挂失、转账等服务。</w:t>
      </w:r>
    </w:p>
    <w:p w14:paraId="62538FF1">
      <w:pPr>
        <w:pStyle w:val="67"/>
        <w:numPr>
          <w:ilvl w:val="0"/>
          <w:numId w:val="34"/>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电子会议系统</w:t>
      </w:r>
    </w:p>
    <w:p w14:paraId="6213A09E">
      <w:pPr>
        <w:ind w:firstLine="480" w:firstLineChars="200"/>
        <w:rPr>
          <w:rFonts w:ascii="宋体" w:hAnsi="宋体"/>
          <w:color w:val="auto"/>
          <w:sz w:val="24"/>
        </w:rPr>
      </w:pPr>
      <w:r>
        <w:rPr>
          <w:rFonts w:hint="eastAsia" w:ascii="宋体" w:hAnsi="宋体"/>
          <w:color w:val="auto"/>
          <w:sz w:val="24"/>
        </w:rPr>
        <w:t>电子会议系统是集计算机网络、通信、电子智能控制、大屏幕投影、会议监控、电视电话会议及高质量音视频等高科技于一体的技术，能够实现会议、讲座、各种培训、电视会议、电话会议、计算机网络通讯、茶话会、会议资料储存等需求，能够实现闻其声，见其人的现实效果。项目会议室拟设置电子会议系统，应具备以下功能：</w:t>
      </w:r>
    </w:p>
    <w:p w14:paraId="28CE708A">
      <w:pPr>
        <w:pStyle w:val="67"/>
        <w:numPr>
          <w:ilvl w:val="0"/>
          <w:numId w:val="36"/>
        </w:numPr>
        <w:ind w:left="0" w:firstLine="480" w:firstLineChars="0"/>
        <w:rPr>
          <w:rFonts w:ascii="宋体" w:hAnsi="宋体" w:eastAsia="宋体"/>
          <w:color w:val="auto"/>
          <w:sz w:val="24"/>
        </w:rPr>
      </w:pPr>
      <w:r>
        <w:rPr>
          <w:rFonts w:hint="eastAsia" w:ascii="宋体" w:hAnsi="宋体" w:eastAsia="宋体"/>
          <w:color w:val="auto"/>
          <w:sz w:val="24"/>
          <w:szCs w:val="24"/>
        </w:rPr>
        <w:t>多媒体功能</w:t>
      </w:r>
    </w:p>
    <w:p w14:paraId="0336A8BB">
      <w:pPr>
        <w:ind w:firstLine="480" w:firstLineChars="200"/>
        <w:rPr>
          <w:rFonts w:ascii="宋体" w:hAnsi="宋体"/>
          <w:color w:val="auto"/>
          <w:sz w:val="24"/>
        </w:rPr>
      </w:pPr>
      <w:r>
        <w:rPr>
          <w:rFonts w:hint="eastAsia" w:ascii="宋体" w:hAnsi="宋体"/>
          <w:color w:val="auto"/>
          <w:sz w:val="24"/>
        </w:rPr>
        <w:t>一室多能，即能用于正常的大中型会议的需要，又能进行小型学术会议及多媒体示范教学。实现多媒体技术在会议中的应用，在音频方面要求有会议扩音、录音、多路音频切换分配、会议电话传输播放、计算机音频播放功能；视频应具备的屏幕投影、显示、监视、会议进程摄录像、多路模拟视频和计算机视频信号分配切换、有线电视解码、实物投影等功能。</w:t>
      </w:r>
    </w:p>
    <w:p w14:paraId="199C6089">
      <w:pPr>
        <w:pStyle w:val="67"/>
        <w:numPr>
          <w:ilvl w:val="0"/>
          <w:numId w:val="36"/>
        </w:numPr>
        <w:ind w:left="0" w:firstLine="480" w:firstLineChars="0"/>
        <w:rPr>
          <w:rFonts w:ascii="宋体" w:hAnsi="宋体" w:eastAsia="宋体"/>
          <w:color w:val="auto"/>
          <w:sz w:val="24"/>
        </w:rPr>
      </w:pPr>
      <w:r>
        <w:rPr>
          <w:rFonts w:hint="eastAsia" w:ascii="宋体" w:hAnsi="宋体" w:eastAsia="宋体"/>
          <w:color w:val="auto"/>
          <w:sz w:val="24"/>
          <w:szCs w:val="24"/>
        </w:rPr>
        <w:t>远程会议功能</w:t>
      </w:r>
    </w:p>
    <w:p w14:paraId="08032937">
      <w:pPr>
        <w:ind w:firstLine="480" w:firstLineChars="200"/>
        <w:rPr>
          <w:rFonts w:ascii="宋体" w:hAnsi="宋体"/>
          <w:color w:val="auto"/>
          <w:sz w:val="24"/>
        </w:rPr>
      </w:pPr>
      <w:r>
        <w:rPr>
          <w:rFonts w:hint="eastAsia" w:ascii="宋体" w:hAnsi="宋体"/>
          <w:color w:val="auto"/>
          <w:sz w:val="24"/>
        </w:rPr>
        <w:t>利用计算机网络实现远程电视电话会议、远程多方会议等系统必须具备音频、视频的网络接口或提供接入设备。</w:t>
      </w:r>
    </w:p>
    <w:p w14:paraId="52472F18">
      <w:pPr>
        <w:pStyle w:val="67"/>
        <w:numPr>
          <w:ilvl w:val="0"/>
          <w:numId w:val="36"/>
        </w:numPr>
        <w:ind w:left="0" w:firstLine="480" w:firstLineChars="0"/>
        <w:rPr>
          <w:rFonts w:ascii="宋体" w:hAnsi="宋体" w:eastAsia="宋体"/>
          <w:color w:val="auto"/>
          <w:sz w:val="24"/>
        </w:rPr>
      </w:pPr>
      <w:r>
        <w:rPr>
          <w:rFonts w:hint="eastAsia" w:ascii="宋体" w:hAnsi="宋体" w:eastAsia="宋体"/>
          <w:color w:val="auto"/>
          <w:sz w:val="24"/>
          <w:szCs w:val="24"/>
        </w:rPr>
        <w:t>中央智能控制功能</w:t>
      </w:r>
    </w:p>
    <w:p w14:paraId="63C6507C">
      <w:pPr>
        <w:ind w:firstLine="480" w:firstLineChars="200"/>
        <w:rPr>
          <w:rFonts w:ascii="宋体" w:hAnsi="宋体"/>
          <w:color w:val="auto"/>
          <w:sz w:val="24"/>
        </w:rPr>
      </w:pPr>
      <w:r>
        <w:rPr>
          <w:rFonts w:hint="eastAsia" w:ascii="宋体" w:hAnsi="宋体"/>
          <w:color w:val="auto"/>
          <w:sz w:val="24"/>
        </w:rPr>
        <w:t>大屏幕投影显示系统的控制与调节；音响系统控制；音视频切换控制；监控系统控制调节。</w:t>
      </w:r>
    </w:p>
    <w:p w14:paraId="0550C382">
      <w:pPr>
        <w:ind w:firstLine="480" w:firstLineChars="200"/>
        <w:rPr>
          <w:rFonts w:ascii="宋体" w:hAnsi="宋体"/>
          <w:color w:val="auto"/>
          <w:sz w:val="24"/>
        </w:rPr>
      </w:pPr>
      <w:r>
        <w:rPr>
          <w:rFonts w:hint="eastAsia" w:ascii="宋体" w:hAnsi="宋体"/>
          <w:color w:val="auto"/>
          <w:sz w:val="24"/>
        </w:rPr>
        <w:t>电子会议系统包括大屏幕投影显示系统、音响系统、中央控制系统、监控系统、电视电话会议系统等。</w:t>
      </w:r>
    </w:p>
    <w:p w14:paraId="25BD9413">
      <w:pPr>
        <w:pStyle w:val="67"/>
        <w:numPr>
          <w:ilvl w:val="0"/>
          <w:numId w:val="34"/>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校园信息发布系统</w:t>
      </w:r>
    </w:p>
    <w:p w14:paraId="6C746865">
      <w:pPr>
        <w:ind w:firstLine="480" w:firstLineChars="200"/>
        <w:rPr>
          <w:rFonts w:ascii="宋体" w:hAnsi="宋体"/>
          <w:color w:val="auto"/>
          <w:sz w:val="24"/>
        </w:rPr>
      </w:pPr>
      <w:r>
        <w:rPr>
          <w:rFonts w:hint="eastAsia" w:ascii="宋体" w:hAnsi="宋体"/>
          <w:color w:val="auto"/>
          <w:sz w:val="24"/>
        </w:rPr>
        <w:t>校园信息发布系统为校区提供了一个崭新的宣传教育和资讯传播的方案，针对校区大楼的多个播放终端同时进行信息发布，如会议通知、讲座介绍、同学先进事迹，放假通知等等，具体包括如下信息：</w:t>
      </w:r>
    </w:p>
    <w:p w14:paraId="5D7507A7">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地震、火灾等突发事件的自救培训。</w:t>
      </w:r>
    </w:p>
    <w:p w14:paraId="0990391A">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实时发布教师教学计划，方便老师集中授课，提高教学效率。</w:t>
      </w:r>
    </w:p>
    <w:p w14:paraId="20BBDC2F">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音视频的动感效果宣传，美化学校环境，提升学校整体实力。</w:t>
      </w:r>
    </w:p>
    <w:p w14:paraId="01A55B2B">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提醒学生对近期流行性疾病的预防以及卫生知识宣传。</w:t>
      </w:r>
    </w:p>
    <w:p w14:paraId="725841FD">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学校精神文明建设宣传，好人好事表扬。</w:t>
      </w:r>
    </w:p>
    <w:p w14:paraId="760DD730">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重要会议通知，集体活动公告。</w:t>
      </w:r>
    </w:p>
    <w:p w14:paraId="4BB08127">
      <w:pPr>
        <w:pStyle w:val="67"/>
        <w:numPr>
          <w:ilvl w:val="0"/>
          <w:numId w:val="37"/>
        </w:numPr>
        <w:ind w:firstLine="480"/>
        <w:rPr>
          <w:rFonts w:ascii="宋体" w:hAnsi="宋体" w:eastAsia="宋体"/>
          <w:color w:val="auto"/>
          <w:sz w:val="24"/>
          <w:szCs w:val="24"/>
        </w:rPr>
      </w:pPr>
      <w:r>
        <w:rPr>
          <w:rFonts w:hint="eastAsia" w:ascii="宋体" w:hAnsi="宋体" w:eastAsia="宋体"/>
          <w:color w:val="auto"/>
          <w:sz w:val="24"/>
          <w:szCs w:val="24"/>
        </w:rPr>
        <w:t>学校自然风光介绍，人物风采，重大活动的精彩回放等。</w:t>
      </w:r>
    </w:p>
    <w:p w14:paraId="696F8A4C">
      <w:pPr>
        <w:pStyle w:val="67"/>
        <w:numPr>
          <w:ilvl w:val="0"/>
          <w:numId w:val="37"/>
        </w:numPr>
        <w:ind w:firstLine="484" w:firstLineChars="202"/>
        <w:rPr>
          <w:rFonts w:ascii="宋体" w:hAnsi="宋体" w:eastAsia="宋体"/>
          <w:color w:val="auto"/>
          <w:sz w:val="24"/>
        </w:rPr>
      </w:pPr>
      <w:r>
        <w:rPr>
          <w:rFonts w:hint="eastAsia" w:ascii="宋体" w:hAnsi="宋体" w:eastAsia="宋体"/>
          <w:color w:val="auto"/>
          <w:sz w:val="24"/>
          <w:szCs w:val="24"/>
        </w:rPr>
        <w:t>校园信息发布系统由服务器、播放终端及播放显示器组成，通过以太网传输信号，由智能化管理机房统一控制，可以同时对教学楼、实验楼、宿舍楼、操场等进行信息发布。项目拟在校园主要建筑单体的出入口、学校出入口等位置设置LED显示大屏、LCD显示屏等设备，实现校园通知公告等信息的统一发布、显示。</w:t>
      </w:r>
    </w:p>
    <w:p w14:paraId="2C2B9793">
      <w:pPr>
        <w:pStyle w:val="67"/>
        <w:numPr>
          <w:ilvl w:val="0"/>
          <w:numId w:val="34"/>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垂直交通系统</w:t>
      </w:r>
    </w:p>
    <w:p w14:paraId="1C08E679">
      <w:pPr>
        <w:ind w:firstLine="480" w:firstLineChars="200"/>
        <w:rPr>
          <w:rFonts w:ascii="宋体" w:hAnsi="宋体"/>
          <w:color w:val="auto"/>
          <w:sz w:val="24"/>
        </w:rPr>
      </w:pPr>
      <w:r>
        <w:rPr>
          <w:rFonts w:hint="eastAsia" w:ascii="宋体" w:hAnsi="宋体"/>
          <w:color w:val="auto"/>
          <w:sz w:val="24"/>
        </w:rPr>
        <w:t>拟建建筑物低层、多层建筑，各建筑物步行楼梯设置均应满足消防疏散要求。</w:t>
      </w:r>
    </w:p>
    <w:p w14:paraId="06640A16">
      <w:pPr>
        <w:widowControl/>
        <w:jc w:val="left"/>
        <w:rPr>
          <w:rFonts w:ascii="宋体" w:hAnsi="宋体"/>
          <w:b/>
          <w:bCs/>
          <w:color w:val="auto"/>
          <w:kern w:val="44"/>
          <w:sz w:val="36"/>
          <w:szCs w:val="36"/>
        </w:rPr>
      </w:pPr>
      <w:bookmarkStart w:id="304" w:name="_Toc462255889"/>
      <w:r>
        <w:rPr>
          <w:rFonts w:ascii="宋体" w:hAnsi="宋体"/>
          <w:color w:val="auto"/>
          <w:sz w:val="36"/>
          <w:szCs w:val="36"/>
        </w:rPr>
        <w:br w:type="page"/>
      </w:r>
    </w:p>
    <w:p w14:paraId="1C8B5998">
      <w:pPr>
        <w:pStyle w:val="2"/>
        <w:jc w:val="center"/>
        <w:rPr>
          <w:rFonts w:ascii="宋体" w:hAnsi="宋体"/>
          <w:color w:val="auto"/>
          <w:sz w:val="36"/>
          <w:szCs w:val="36"/>
        </w:rPr>
      </w:pPr>
      <w:bookmarkStart w:id="305" w:name="_Toc21640"/>
      <w:r>
        <w:rPr>
          <w:rFonts w:hint="eastAsia" w:ascii="宋体" w:hAnsi="宋体"/>
          <w:color w:val="auto"/>
          <w:sz w:val="36"/>
          <w:szCs w:val="36"/>
        </w:rPr>
        <w:t>第六章</w:t>
      </w:r>
      <w:r>
        <w:rPr>
          <w:rFonts w:ascii="宋体" w:hAnsi="宋体"/>
          <w:color w:val="auto"/>
          <w:sz w:val="36"/>
          <w:szCs w:val="36"/>
        </w:rPr>
        <w:t xml:space="preserve"> </w:t>
      </w:r>
      <w:r>
        <w:rPr>
          <w:rFonts w:hint="eastAsia" w:ascii="宋体" w:hAnsi="宋体"/>
          <w:color w:val="auto"/>
          <w:sz w:val="36"/>
          <w:szCs w:val="36"/>
        </w:rPr>
        <w:t>工程图纸设计深度</w:t>
      </w:r>
      <w:bookmarkEnd w:id="304"/>
      <w:bookmarkEnd w:id="305"/>
    </w:p>
    <w:p w14:paraId="6693C902">
      <w:pPr>
        <w:pStyle w:val="3"/>
        <w:rPr>
          <w:rFonts w:ascii="宋体" w:hAnsi="宋体"/>
          <w:color w:val="auto"/>
          <w:szCs w:val="21"/>
        </w:rPr>
      </w:pPr>
      <w:bookmarkStart w:id="306" w:name="_Toc1093"/>
      <w:r>
        <w:rPr>
          <w:rFonts w:hint="eastAsia" w:ascii="宋体" w:hAnsi="宋体"/>
          <w:color w:val="auto"/>
        </w:rPr>
        <w:t>一、</w:t>
      </w:r>
      <w:bookmarkStart w:id="307" w:name="_Toc462255890"/>
      <w:bookmarkStart w:id="308" w:name="_Toc462255974"/>
      <w:r>
        <w:rPr>
          <w:rFonts w:hint="eastAsia" w:ascii="宋体" w:hAnsi="宋体"/>
          <w:b w:val="0"/>
          <w:color w:val="auto"/>
        </w:rPr>
        <w:t>一般要求</w:t>
      </w:r>
      <w:bookmarkEnd w:id="306"/>
      <w:bookmarkEnd w:id="307"/>
      <w:bookmarkEnd w:id="308"/>
      <w:bookmarkStart w:id="309" w:name="_Toc462255891"/>
      <w:bookmarkEnd w:id="309"/>
    </w:p>
    <w:p w14:paraId="279E5325">
      <w:pPr>
        <w:pStyle w:val="4"/>
        <w:numPr>
          <w:ilvl w:val="0"/>
          <w:numId w:val="38"/>
        </w:numPr>
        <w:spacing w:before="156" w:after="156"/>
        <w:ind w:left="0" w:firstLine="282" w:firstLineChars="101"/>
        <w:rPr>
          <w:b/>
          <w:color w:val="auto"/>
        </w:rPr>
      </w:pPr>
      <w:bookmarkStart w:id="310" w:name="_Toc7088"/>
      <w:bookmarkStart w:id="311" w:name="_Toc462255892"/>
      <w:bookmarkStart w:id="312" w:name="_Toc462255976"/>
      <w:r>
        <w:rPr>
          <w:color w:val="auto"/>
        </w:rPr>
        <w:t>建筑方案设计的设计文件包括：</w:t>
      </w:r>
      <w:bookmarkEnd w:id="310"/>
      <w:bookmarkEnd w:id="311"/>
      <w:bookmarkEnd w:id="312"/>
    </w:p>
    <w:p w14:paraId="38C06A71">
      <w:pPr>
        <w:pStyle w:val="67"/>
        <w:numPr>
          <w:ilvl w:val="0"/>
          <w:numId w:val="39"/>
        </w:numPr>
        <w:ind w:left="0" w:firstLine="480" w:firstLineChars="0"/>
        <w:contextualSpacing/>
        <w:rPr>
          <w:rFonts w:ascii="宋体" w:hAnsi="宋体" w:eastAsia="宋体"/>
          <w:color w:val="auto"/>
          <w:sz w:val="24"/>
          <w:szCs w:val="21"/>
        </w:rPr>
      </w:pPr>
      <w:r>
        <w:rPr>
          <w:rFonts w:ascii="宋体" w:hAnsi="宋体" w:eastAsia="宋体"/>
          <w:color w:val="auto"/>
          <w:sz w:val="24"/>
          <w:szCs w:val="21"/>
        </w:rPr>
        <w:t xml:space="preserve">各专业设计说明书 </w:t>
      </w:r>
      <w:r>
        <w:rPr>
          <w:rFonts w:hint="eastAsia" w:ascii="宋体" w:hAnsi="宋体" w:eastAsia="宋体"/>
          <w:color w:val="auto"/>
          <w:sz w:val="24"/>
          <w:szCs w:val="21"/>
        </w:rPr>
        <w:t>；</w:t>
      </w:r>
    </w:p>
    <w:p w14:paraId="59D0D5DB">
      <w:pPr>
        <w:pStyle w:val="67"/>
        <w:numPr>
          <w:ilvl w:val="0"/>
          <w:numId w:val="39"/>
        </w:numPr>
        <w:ind w:left="0" w:firstLine="480" w:firstLineChars="0"/>
        <w:contextualSpacing/>
        <w:rPr>
          <w:rFonts w:ascii="宋体" w:hAnsi="宋体" w:eastAsia="宋体"/>
          <w:color w:val="auto"/>
          <w:sz w:val="24"/>
          <w:szCs w:val="21"/>
        </w:rPr>
      </w:pPr>
      <w:r>
        <w:rPr>
          <w:rFonts w:ascii="宋体" w:hAnsi="宋体" w:eastAsia="宋体"/>
          <w:color w:val="auto"/>
          <w:sz w:val="24"/>
          <w:szCs w:val="21"/>
        </w:rPr>
        <w:t>总平面图及各建筑</w:t>
      </w:r>
      <w:r>
        <w:rPr>
          <w:rFonts w:hint="eastAsia" w:ascii="宋体" w:hAnsi="宋体" w:eastAsia="宋体"/>
          <w:color w:val="auto"/>
          <w:sz w:val="24"/>
          <w:szCs w:val="21"/>
        </w:rPr>
        <w:t>平面里面剖面</w:t>
      </w:r>
      <w:r>
        <w:rPr>
          <w:rFonts w:ascii="宋体" w:hAnsi="宋体" w:eastAsia="宋体"/>
          <w:color w:val="auto"/>
          <w:sz w:val="24"/>
          <w:szCs w:val="21"/>
        </w:rPr>
        <w:t>设计图；</w:t>
      </w:r>
    </w:p>
    <w:p w14:paraId="08EE2C40">
      <w:pPr>
        <w:pStyle w:val="67"/>
        <w:numPr>
          <w:ilvl w:val="0"/>
          <w:numId w:val="39"/>
        </w:numPr>
        <w:ind w:left="0" w:firstLine="480" w:firstLineChars="0"/>
        <w:contextualSpacing/>
        <w:rPr>
          <w:rFonts w:ascii="宋体" w:hAnsi="宋体" w:eastAsia="宋体"/>
          <w:color w:val="auto"/>
          <w:sz w:val="24"/>
          <w:szCs w:val="21"/>
        </w:rPr>
      </w:pPr>
      <w:r>
        <w:rPr>
          <w:rFonts w:ascii="宋体" w:hAnsi="宋体" w:eastAsia="宋体"/>
          <w:color w:val="auto"/>
          <w:sz w:val="24"/>
          <w:szCs w:val="21"/>
        </w:rPr>
        <w:t>设计分析图；根据项目特点和招标人的要求，提供功能分析图、交通分析图、景观分析图、日照分析图、内部流线分析图</w:t>
      </w:r>
      <w:r>
        <w:rPr>
          <w:rFonts w:hint="eastAsia" w:ascii="宋体" w:hAnsi="宋体" w:eastAsia="宋体"/>
          <w:color w:val="auto"/>
          <w:sz w:val="24"/>
          <w:szCs w:val="21"/>
        </w:rPr>
        <w:t>。</w:t>
      </w:r>
    </w:p>
    <w:p w14:paraId="74AC25BC">
      <w:pPr>
        <w:pStyle w:val="67"/>
        <w:numPr>
          <w:ilvl w:val="0"/>
          <w:numId w:val="39"/>
        </w:numPr>
        <w:ind w:left="0" w:firstLine="480" w:firstLineChars="0"/>
        <w:contextualSpacing/>
        <w:rPr>
          <w:rFonts w:ascii="宋体" w:hAnsi="宋体" w:eastAsia="宋体"/>
          <w:color w:val="auto"/>
          <w:sz w:val="24"/>
          <w:szCs w:val="21"/>
          <w:shd w:val="clear" w:color="auto" w:fill="auto"/>
        </w:rPr>
      </w:pPr>
      <w:r>
        <w:rPr>
          <w:rFonts w:ascii="宋体" w:hAnsi="宋体" w:eastAsia="宋体"/>
          <w:color w:val="auto"/>
          <w:sz w:val="24"/>
          <w:szCs w:val="21"/>
          <w:shd w:val="clear" w:color="auto" w:fill="auto"/>
        </w:rPr>
        <w:t>工程造价估算；</w:t>
      </w:r>
    </w:p>
    <w:p w14:paraId="04D5F19B">
      <w:pPr>
        <w:pStyle w:val="67"/>
        <w:numPr>
          <w:ilvl w:val="0"/>
          <w:numId w:val="39"/>
        </w:numPr>
        <w:ind w:left="0" w:firstLine="480" w:firstLineChars="0"/>
        <w:contextualSpacing/>
        <w:rPr>
          <w:rFonts w:ascii="宋体" w:hAnsi="宋体" w:eastAsia="宋体"/>
          <w:color w:val="auto"/>
          <w:sz w:val="24"/>
          <w:szCs w:val="21"/>
          <w:shd w:val="clear" w:color="auto" w:fill="auto"/>
        </w:rPr>
      </w:pPr>
      <w:r>
        <w:rPr>
          <w:rFonts w:ascii="宋体" w:hAnsi="宋体" w:eastAsia="宋体"/>
          <w:color w:val="auto"/>
          <w:sz w:val="24"/>
          <w:szCs w:val="21"/>
          <w:shd w:val="clear" w:color="auto" w:fill="auto"/>
        </w:rPr>
        <w:t>建筑效果图；</w:t>
      </w:r>
    </w:p>
    <w:p w14:paraId="09CC821A">
      <w:pPr>
        <w:pStyle w:val="67"/>
        <w:numPr>
          <w:ilvl w:val="0"/>
          <w:numId w:val="40"/>
        </w:numPr>
        <w:ind w:left="0" w:firstLine="560" w:firstLineChars="0"/>
        <w:contextualSpacing/>
        <w:outlineLvl w:val="2"/>
        <w:rPr>
          <w:rFonts w:ascii="宋体" w:hAnsi="宋体" w:eastAsia="宋体"/>
          <w:color w:val="auto"/>
          <w:szCs w:val="21"/>
          <w:shd w:val="clear" w:color="auto" w:fill="auto"/>
        </w:rPr>
      </w:pPr>
      <w:bookmarkStart w:id="313" w:name="_Toc462262737"/>
      <w:bookmarkEnd w:id="313"/>
      <w:bookmarkStart w:id="314" w:name="_Toc462256923"/>
      <w:bookmarkEnd w:id="314"/>
      <w:bookmarkStart w:id="315" w:name="_Toc20344"/>
      <w:r>
        <w:rPr>
          <w:rFonts w:ascii="宋体" w:hAnsi="宋体" w:eastAsia="宋体"/>
          <w:color w:val="auto"/>
          <w:szCs w:val="21"/>
          <w:shd w:val="clear" w:color="auto" w:fill="auto"/>
        </w:rPr>
        <w:t>文件编排顺序</w:t>
      </w:r>
      <w:bookmarkEnd w:id="315"/>
    </w:p>
    <w:p w14:paraId="6D9F89FB">
      <w:pPr>
        <w:numPr>
          <w:ilvl w:val="0"/>
          <w:numId w:val="41"/>
        </w:numPr>
        <w:ind w:left="0" w:firstLine="426"/>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封面，标明项目名称、项目单位、编制日期等；</w:t>
      </w:r>
    </w:p>
    <w:p w14:paraId="49BCFA3D">
      <w:pPr>
        <w:numPr>
          <w:ilvl w:val="0"/>
          <w:numId w:val="41"/>
        </w:numPr>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设计文件目录；</w:t>
      </w:r>
    </w:p>
    <w:p w14:paraId="2F306702">
      <w:pPr>
        <w:numPr>
          <w:ilvl w:val="0"/>
          <w:numId w:val="41"/>
        </w:numPr>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效果图；</w:t>
      </w:r>
    </w:p>
    <w:p w14:paraId="595E6ECD">
      <w:pPr>
        <w:numPr>
          <w:ilvl w:val="0"/>
          <w:numId w:val="41"/>
        </w:numPr>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设计说明；</w:t>
      </w:r>
    </w:p>
    <w:p w14:paraId="08D4DF53">
      <w:pPr>
        <w:numPr>
          <w:ilvl w:val="0"/>
          <w:numId w:val="41"/>
        </w:numPr>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设计图纸；</w:t>
      </w:r>
    </w:p>
    <w:p w14:paraId="778A11C2">
      <w:pPr>
        <w:numPr>
          <w:ilvl w:val="0"/>
          <w:numId w:val="41"/>
        </w:numPr>
        <w:contextualSpacing/>
        <w:rPr>
          <w:rFonts w:ascii="宋体" w:hAnsi="宋体"/>
          <w:color w:val="auto"/>
          <w:sz w:val="24"/>
          <w:szCs w:val="21"/>
          <w:shd w:val="clear" w:color="auto" w:fill="auto"/>
        </w:rPr>
      </w:pPr>
      <w:r>
        <w:rPr>
          <w:rFonts w:hint="eastAsia" w:ascii="宋体" w:hAnsi="宋体"/>
          <w:color w:val="auto"/>
          <w:sz w:val="24"/>
          <w:szCs w:val="21"/>
          <w:shd w:val="clear" w:color="auto" w:fill="auto"/>
        </w:rPr>
        <w:t>技术分析图；</w:t>
      </w:r>
    </w:p>
    <w:p w14:paraId="3E52F41A">
      <w:pPr>
        <w:numPr>
          <w:ilvl w:val="0"/>
          <w:numId w:val="41"/>
        </w:numPr>
        <w:contextualSpacing/>
        <w:rPr>
          <w:rFonts w:ascii="宋体" w:hAnsi="宋体"/>
          <w:color w:val="auto"/>
          <w:sz w:val="24"/>
          <w:szCs w:val="21"/>
          <w:shd w:val="clear" w:color="auto" w:fill="auto"/>
        </w:rPr>
      </w:pPr>
      <w:r>
        <w:rPr>
          <w:rFonts w:hint="eastAsia" w:ascii="宋体" w:hAnsi="宋体" w:eastAsia="宋体"/>
          <w:color w:val="auto"/>
          <w:sz w:val="24"/>
          <w:szCs w:val="21"/>
          <w:shd w:val="clear" w:color="auto" w:fill="auto"/>
        </w:rPr>
        <w:t>工程造价估算。</w:t>
      </w:r>
    </w:p>
    <w:p w14:paraId="7E677760">
      <w:pPr>
        <w:pStyle w:val="3"/>
        <w:spacing w:before="156" w:after="156"/>
        <w:rPr>
          <w:rFonts w:ascii="宋体" w:hAnsi="宋体"/>
          <w:b w:val="0"/>
          <w:color w:val="auto"/>
        </w:rPr>
      </w:pPr>
      <w:bookmarkStart w:id="316" w:name="_Toc15415"/>
      <w:r>
        <w:rPr>
          <w:rFonts w:hint="eastAsia" w:ascii="宋体" w:hAnsi="宋体"/>
          <w:color w:val="auto"/>
        </w:rPr>
        <w:t>二、</w:t>
      </w:r>
      <w:bookmarkStart w:id="317" w:name="_Toc462255893"/>
      <w:r>
        <w:rPr>
          <w:rFonts w:ascii="宋体" w:hAnsi="宋体"/>
          <w:color w:val="auto"/>
        </w:rPr>
        <w:t>设计说明</w:t>
      </w:r>
      <w:bookmarkEnd w:id="316"/>
      <w:bookmarkEnd w:id="317"/>
    </w:p>
    <w:p w14:paraId="095B7FFC">
      <w:pPr>
        <w:pStyle w:val="67"/>
        <w:numPr>
          <w:ilvl w:val="0"/>
          <w:numId w:val="42"/>
        </w:numPr>
        <w:ind w:left="0" w:firstLine="560" w:firstLineChars="0"/>
        <w:contextualSpacing/>
        <w:outlineLvl w:val="2"/>
        <w:rPr>
          <w:rFonts w:ascii="宋体" w:hAnsi="宋体" w:eastAsia="宋体"/>
          <w:color w:val="auto"/>
          <w:szCs w:val="21"/>
        </w:rPr>
      </w:pPr>
      <w:bookmarkStart w:id="318" w:name="_Toc15137"/>
      <w:r>
        <w:rPr>
          <w:rFonts w:hint="eastAsia" w:ascii="宋体" w:hAnsi="宋体" w:eastAsia="宋体"/>
          <w:color w:val="auto"/>
          <w:szCs w:val="21"/>
        </w:rPr>
        <w:t>设计依据和设计要求</w:t>
      </w:r>
      <w:bookmarkEnd w:id="318"/>
    </w:p>
    <w:p w14:paraId="6C2F7C4E">
      <w:pPr>
        <w:pStyle w:val="67"/>
        <w:numPr>
          <w:ilvl w:val="0"/>
          <w:numId w:val="43"/>
        </w:numPr>
        <w:ind w:left="0" w:firstLine="480" w:firstLineChars="0"/>
        <w:contextualSpacing/>
        <w:rPr>
          <w:rFonts w:ascii="宋体" w:hAnsi="宋体" w:eastAsia="宋体"/>
          <w:color w:val="auto"/>
          <w:sz w:val="24"/>
          <w:szCs w:val="24"/>
        </w:rPr>
      </w:pPr>
      <w:r>
        <w:rPr>
          <w:rFonts w:hint="eastAsia" w:ascii="宋体" w:hAnsi="宋体" w:eastAsia="宋体"/>
          <w:color w:val="auto"/>
          <w:sz w:val="24"/>
          <w:szCs w:val="24"/>
        </w:rPr>
        <w:t>列出主要依据性文件，招标人提供的设计依据文件的名称文号，如</w:t>
      </w:r>
      <w:r>
        <w:rPr>
          <w:rFonts w:hint="eastAsia" w:ascii="宋体" w:hAnsi="宋体" w:eastAsia="宋体"/>
          <w:color w:val="auto"/>
          <w:sz w:val="24"/>
          <w:szCs w:val="21"/>
        </w:rPr>
        <w:t>：</w:t>
      </w:r>
      <w:r>
        <w:rPr>
          <w:rFonts w:hint="eastAsia" w:ascii="宋体" w:hAnsi="宋体" w:eastAsia="宋体"/>
          <w:color w:val="auto"/>
          <w:sz w:val="24"/>
          <w:szCs w:val="24"/>
        </w:rPr>
        <w:t>政府有关部门或上级主管部门的立项批文、城市控制性详细规划可行性研究报告、规划审批意见书、城市建设有关的控制线要求、设计任务书、地形图及区域位置图、环境评估报告、地质勘察和地质灾害评估报告等；</w:t>
      </w:r>
    </w:p>
    <w:p w14:paraId="50F0B7D8">
      <w:pPr>
        <w:pStyle w:val="67"/>
        <w:numPr>
          <w:ilvl w:val="0"/>
          <w:numId w:val="43"/>
        </w:numPr>
        <w:ind w:left="0" w:firstLine="480" w:firstLineChars="0"/>
        <w:rPr>
          <w:rFonts w:ascii="宋体" w:hAnsi="宋体" w:eastAsia="宋体"/>
          <w:color w:val="auto"/>
          <w:sz w:val="24"/>
          <w:szCs w:val="24"/>
        </w:rPr>
      </w:pPr>
      <w:r>
        <w:rPr>
          <w:rFonts w:hint="eastAsia" w:ascii="宋体" w:hAnsi="宋体" w:eastAsia="宋体"/>
          <w:color w:val="auto"/>
          <w:sz w:val="24"/>
          <w:szCs w:val="24"/>
        </w:rPr>
        <w:t>设计所采用的主要法规和标准。若采用国外法规标准应注明；</w:t>
      </w:r>
    </w:p>
    <w:p w14:paraId="0BA19C17">
      <w:pPr>
        <w:pStyle w:val="67"/>
        <w:numPr>
          <w:ilvl w:val="0"/>
          <w:numId w:val="43"/>
        </w:numPr>
        <w:ind w:left="0" w:firstLine="480" w:firstLineChars="0"/>
        <w:rPr>
          <w:rFonts w:ascii="宋体" w:hAnsi="宋体" w:eastAsia="宋体"/>
          <w:color w:val="auto"/>
          <w:sz w:val="24"/>
          <w:szCs w:val="24"/>
        </w:rPr>
      </w:pPr>
      <w:r>
        <w:rPr>
          <w:rFonts w:hint="eastAsia" w:ascii="宋体" w:hAnsi="宋体" w:eastAsia="宋体"/>
          <w:color w:val="auto"/>
          <w:sz w:val="24"/>
          <w:szCs w:val="24"/>
        </w:rPr>
        <w:t>气象、地形地貌、水文地质、抗震设防标准、设计基础资料等；</w:t>
      </w:r>
    </w:p>
    <w:p w14:paraId="7F497274">
      <w:pPr>
        <w:pStyle w:val="67"/>
        <w:numPr>
          <w:ilvl w:val="0"/>
          <w:numId w:val="43"/>
        </w:numPr>
        <w:ind w:left="0" w:firstLine="480" w:firstLineChars="0"/>
        <w:rPr>
          <w:rFonts w:ascii="宋体" w:hAnsi="宋体" w:eastAsia="宋体"/>
          <w:color w:val="auto"/>
          <w:sz w:val="24"/>
          <w:szCs w:val="24"/>
        </w:rPr>
      </w:pPr>
      <w:r>
        <w:rPr>
          <w:rFonts w:hint="eastAsia" w:ascii="宋体" w:hAnsi="宋体" w:eastAsia="宋体"/>
          <w:color w:val="auto"/>
          <w:sz w:val="24"/>
          <w:szCs w:val="24"/>
        </w:rPr>
        <w:t>简述招标人和政府有关部门对本项目的设计要求：如：总平面布置，建筑高度控制，造型及材料要求，需保护的设施、土地、植被、树木等；</w:t>
      </w:r>
    </w:p>
    <w:p w14:paraId="2457A652">
      <w:pPr>
        <w:pStyle w:val="67"/>
        <w:numPr>
          <w:ilvl w:val="0"/>
          <w:numId w:val="43"/>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设计内容和范围；</w:t>
      </w:r>
    </w:p>
    <w:p w14:paraId="50523206">
      <w:pPr>
        <w:pStyle w:val="67"/>
        <w:numPr>
          <w:ilvl w:val="0"/>
          <w:numId w:val="43"/>
        </w:numPr>
        <w:ind w:left="0" w:firstLine="480" w:firstLineChars="0"/>
        <w:rPr>
          <w:rFonts w:ascii="宋体" w:hAnsi="宋体" w:eastAsia="宋体"/>
          <w:color w:val="auto"/>
          <w:sz w:val="24"/>
          <w:szCs w:val="24"/>
          <w:highlight w:val="none"/>
          <w:shd w:val="clear" w:color="auto" w:fill="auto"/>
        </w:rPr>
      </w:pPr>
      <w:r>
        <w:rPr>
          <w:rFonts w:hint="eastAsia" w:ascii="宋体" w:hAnsi="宋体" w:eastAsia="宋体"/>
          <w:color w:val="auto"/>
          <w:sz w:val="24"/>
          <w:szCs w:val="24"/>
          <w:highlight w:val="none"/>
        </w:rPr>
        <w:t>总建</w:t>
      </w:r>
      <w:r>
        <w:rPr>
          <w:rFonts w:hint="eastAsia" w:ascii="宋体" w:hAnsi="宋体" w:eastAsia="宋体"/>
          <w:color w:val="auto"/>
          <w:sz w:val="24"/>
          <w:szCs w:val="24"/>
          <w:highlight w:val="none"/>
          <w:shd w:val="clear" w:color="auto" w:fill="auto"/>
        </w:rPr>
        <w:t>筑面积、总投资。</w:t>
      </w:r>
    </w:p>
    <w:p w14:paraId="731B3D91">
      <w:pPr>
        <w:pStyle w:val="67"/>
        <w:numPr>
          <w:ilvl w:val="0"/>
          <w:numId w:val="42"/>
        </w:numPr>
        <w:ind w:left="0" w:firstLine="560" w:firstLineChars="0"/>
        <w:outlineLvl w:val="2"/>
        <w:rPr>
          <w:rFonts w:ascii="宋体" w:hAnsi="宋体" w:eastAsia="宋体"/>
          <w:color w:val="auto"/>
          <w:szCs w:val="21"/>
          <w:highlight w:val="none"/>
        </w:rPr>
      </w:pPr>
      <w:bookmarkStart w:id="319" w:name="_Toc5794"/>
      <w:r>
        <w:rPr>
          <w:rFonts w:hint="eastAsia" w:ascii="宋体" w:hAnsi="宋体" w:eastAsia="宋体"/>
          <w:color w:val="auto"/>
          <w:szCs w:val="21"/>
          <w:highlight w:val="none"/>
          <w:shd w:val="clear" w:color="auto" w:fill="auto"/>
        </w:rPr>
        <w:t>建筑设计说明</w:t>
      </w:r>
      <w:bookmarkEnd w:id="319"/>
    </w:p>
    <w:p w14:paraId="28356256">
      <w:pPr>
        <w:pStyle w:val="67"/>
        <w:numPr>
          <w:ilvl w:val="0"/>
          <w:numId w:val="44"/>
        </w:numPr>
        <w:ind w:left="0" w:firstLine="480" w:firstLineChars="0"/>
        <w:rPr>
          <w:rFonts w:ascii="宋体" w:hAnsi="宋体" w:eastAsia="宋体"/>
          <w:color w:val="auto"/>
          <w:sz w:val="24"/>
          <w:szCs w:val="21"/>
          <w:highlight w:val="none"/>
        </w:rPr>
      </w:pPr>
      <w:r>
        <w:rPr>
          <w:rFonts w:hint="eastAsia" w:ascii="宋体" w:hAnsi="宋体" w:eastAsia="宋体"/>
          <w:color w:val="auto"/>
          <w:sz w:val="24"/>
          <w:szCs w:val="21"/>
          <w:highlight w:val="none"/>
        </w:rPr>
        <w:t>建筑构思说明；</w:t>
      </w:r>
    </w:p>
    <w:p w14:paraId="0DBCB6F4">
      <w:pPr>
        <w:pStyle w:val="67"/>
        <w:numPr>
          <w:ilvl w:val="0"/>
          <w:numId w:val="44"/>
        </w:numPr>
        <w:ind w:left="0" w:firstLine="480" w:firstLineChars="0"/>
        <w:rPr>
          <w:rFonts w:ascii="宋体" w:hAnsi="宋体" w:eastAsia="宋体"/>
          <w:color w:val="auto"/>
          <w:sz w:val="24"/>
          <w:szCs w:val="21"/>
        </w:rPr>
      </w:pPr>
      <w:r>
        <w:rPr>
          <w:rFonts w:hint="eastAsia" w:ascii="宋体" w:hAnsi="宋体" w:eastAsia="宋体"/>
          <w:color w:val="auto"/>
          <w:sz w:val="24"/>
          <w:szCs w:val="21"/>
        </w:rPr>
        <w:t>建筑总平面设计说明；</w:t>
      </w:r>
    </w:p>
    <w:p w14:paraId="2EBA4BEF">
      <w:pPr>
        <w:pStyle w:val="67"/>
        <w:numPr>
          <w:ilvl w:val="0"/>
          <w:numId w:val="44"/>
        </w:numPr>
        <w:ind w:left="0" w:firstLine="480" w:firstLineChars="0"/>
        <w:rPr>
          <w:rFonts w:ascii="宋体" w:hAnsi="宋体" w:eastAsia="宋体"/>
          <w:color w:val="auto"/>
          <w:sz w:val="24"/>
          <w:szCs w:val="21"/>
        </w:rPr>
      </w:pPr>
      <w:r>
        <w:rPr>
          <w:rFonts w:hint="eastAsia" w:ascii="宋体" w:hAnsi="宋体" w:eastAsia="宋体"/>
          <w:color w:val="auto"/>
          <w:sz w:val="24"/>
          <w:szCs w:val="21"/>
        </w:rPr>
        <w:t>建筑方案设计说明</w:t>
      </w:r>
    </w:p>
    <w:p w14:paraId="2A3229F8">
      <w:pPr>
        <w:numPr>
          <w:ilvl w:val="0"/>
          <w:numId w:val="45"/>
        </w:numPr>
        <w:rPr>
          <w:rFonts w:ascii="宋体" w:hAnsi="宋体"/>
          <w:color w:val="auto"/>
          <w:sz w:val="24"/>
          <w:szCs w:val="21"/>
        </w:rPr>
      </w:pPr>
      <w:r>
        <w:rPr>
          <w:rFonts w:hint="eastAsia" w:ascii="宋体" w:hAnsi="宋体"/>
          <w:color w:val="auto"/>
          <w:sz w:val="24"/>
          <w:szCs w:val="21"/>
        </w:rPr>
        <w:t>建筑平面布局交通组织和功能分析；</w:t>
      </w:r>
      <w:r>
        <w:rPr>
          <w:rFonts w:ascii="宋体" w:hAnsi="宋体"/>
          <w:color w:val="auto"/>
          <w:sz w:val="24"/>
          <w:szCs w:val="21"/>
        </w:rPr>
        <w:t xml:space="preserve"> </w:t>
      </w:r>
    </w:p>
    <w:p w14:paraId="727FC3C0">
      <w:pPr>
        <w:numPr>
          <w:ilvl w:val="0"/>
          <w:numId w:val="45"/>
        </w:numPr>
        <w:rPr>
          <w:rFonts w:ascii="宋体" w:hAnsi="宋体"/>
          <w:color w:val="auto"/>
          <w:sz w:val="24"/>
          <w:szCs w:val="21"/>
        </w:rPr>
      </w:pPr>
      <w:r>
        <w:rPr>
          <w:rFonts w:hint="eastAsia" w:ascii="宋体" w:hAnsi="宋体"/>
          <w:color w:val="auto"/>
          <w:sz w:val="24"/>
          <w:szCs w:val="21"/>
        </w:rPr>
        <w:t>建筑的空间构成及立面设计；</w:t>
      </w:r>
    </w:p>
    <w:p w14:paraId="1627EC3B">
      <w:pPr>
        <w:numPr>
          <w:ilvl w:val="0"/>
          <w:numId w:val="45"/>
        </w:numPr>
        <w:rPr>
          <w:rFonts w:ascii="宋体" w:hAnsi="宋体"/>
          <w:color w:val="auto"/>
          <w:sz w:val="24"/>
          <w:szCs w:val="21"/>
        </w:rPr>
      </w:pPr>
      <w:r>
        <w:rPr>
          <w:rFonts w:hint="eastAsia" w:ascii="宋体" w:hAnsi="宋体"/>
          <w:color w:val="auto"/>
          <w:sz w:val="24"/>
          <w:szCs w:val="21"/>
        </w:rPr>
        <w:t>竖向设计说明；</w:t>
      </w:r>
    </w:p>
    <w:p w14:paraId="13B4E990">
      <w:pPr>
        <w:pStyle w:val="67"/>
        <w:numPr>
          <w:ilvl w:val="0"/>
          <w:numId w:val="44"/>
        </w:numPr>
        <w:ind w:left="0" w:firstLine="480" w:firstLineChars="0"/>
        <w:rPr>
          <w:rFonts w:ascii="宋体" w:hAnsi="宋体" w:eastAsia="宋体"/>
          <w:color w:val="auto"/>
          <w:sz w:val="24"/>
          <w:szCs w:val="21"/>
        </w:rPr>
      </w:pPr>
      <w:r>
        <w:rPr>
          <w:rFonts w:hint="eastAsia" w:ascii="宋体" w:hAnsi="宋体" w:eastAsia="宋体"/>
          <w:color w:val="auto"/>
          <w:sz w:val="24"/>
          <w:szCs w:val="21"/>
        </w:rPr>
        <w:t xml:space="preserve">主要技术指标和建筑物功能规划  </w:t>
      </w:r>
    </w:p>
    <w:p w14:paraId="69C20873">
      <w:pPr>
        <w:pStyle w:val="3"/>
        <w:spacing w:before="156" w:after="156"/>
        <w:rPr>
          <w:rFonts w:ascii="宋体" w:hAnsi="宋体"/>
          <w:color w:val="auto"/>
        </w:rPr>
      </w:pPr>
      <w:bookmarkStart w:id="320" w:name="_Toc17495"/>
      <w:r>
        <w:rPr>
          <w:rFonts w:hint="eastAsia" w:ascii="宋体" w:hAnsi="宋体" w:cs="Times New Roman"/>
          <w:color w:val="auto"/>
        </w:rPr>
        <w:t>三、</w:t>
      </w:r>
      <w:bookmarkStart w:id="321" w:name="_Toc462255894"/>
      <w:r>
        <w:rPr>
          <w:rFonts w:ascii="宋体" w:hAnsi="宋体" w:cs="Times New Roman"/>
          <w:color w:val="auto"/>
        </w:rPr>
        <w:t>图纸文件</w:t>
      </w:r>
      <w:bookmarkEnd w:id="320"/>
      <w:bookmarkEnd w:id="321"/>
    </w:p>
    <w:p w14:paraId="0D6EE3CF">
      <w:pPr>
        <w:pStyle w:val="67"/>
        <w:numPr>
          <w:ilvl w:val="0"/>
          <w:numId w:val="46"/>
        </w:numPr>
        <w:tabs>
          <w:tab w:val="left" w:pos="0"/>
        </w:tabs>
        <w:ind w:left="0" w:firstLine="284" w:firstLineChars="0"/>
        <w:outlineLvl w:val="2"/>
        <w:rPr>
          <w:rFonts w:ascii="宋体" w:hAnsi="宋体" w:eastAsia="宋体"/>
          <w:bCs/>
          <w:color w:val="auto"/>
          <w:szCs w:val="21"/>
        </w:rPr>
      </w:pPr>
      <w:bookmarkStart w:id="322" w:name="_Toc24512"/>
      <w:r>
        <w:rPr>
          <w:rFonts w:hint="eastAsia" w:ascii="宋体" w:hAnsi="宋体" w:eastAsia="宋体"/>
          <w:bCs/>
          <w:color w:val="auto"/>
          <w:szCs w:val="21"/>
        </w:rPr>
        <w:t>方案设计阶段的成果内容应包括但不限于以下内容：</w:t>
      </w:r>
      <w:bookmarkEnd w:id="322"/>
    </w:p>
    <w:tbl>
      <w:tblPr>
        <w:tblStyle w:val="22"/>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1"/>
        <w:gridCol w:w="1134"/>
        <w:gridCol w:w="1913"/>
        <w:gridCol w:w="2273"/>
        <w:gridCol w:w="2253"/>
      </w:tblGrid>
      <w:tr w14:paraId="6175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831" w:type="dxa"/>
            <w:shd w:val="clear" w:color="auto" w:fill="E0E0E0"/>
            <w:vAlign w:val="center"/>
          </w:tcPr>
          <w:p w14:paraId="7C9F63E5">
            <w:pPr>
              <w:keepNext w:val="0"/>
              <w:keepLines w:val="0"/>
              <w:suppressLineNumbers w:val="0"/>
              <w:spacing w:before="0" w:beforeAutospacing="0" w:after="0" w:afterAutospacing="0"/>
              <w:ind w:left="0" w:right="0"/>
              <w:jc w:val="center"/>
              <w:rPr>
                <w:rFonts w:hint="default" w:ascii="宋体" w:hAnsi="宋体"/>
                <w:b/>
                <w:color w:val="auto"/>
                <w:sz w:val="22"/>
                <w:szCs w:val="21"/>
              </w:rPr>
            </w:pPr>
            <w:r>
              <w:rPr>
                <w:rFonts w:hint="eastAsia" w:ascii="宋体" w:hAnsi="宋体"/>
                <w:b/>
                <w:color w:val="auto"/>
                <w:sz w:val="22"/>
                <w:szCs w:val="21"/>
              </w:rPr>
              <w:t>分类</w:t>
            </w:r>
          </w:p>
        </w:tc>
        <w:tc>
          <w:tcPr>
            <w:tcW w:w="1134" w:type="dxa"/>
            <w:shd w:val="clear" w:color="auto" w:fill="E0E0E0"/>
            <w:vAlign w:val="center"/>
          </w:tcPr>
          <w:p w14:paraId="62CDD23C">
            <w:pPr>
              <w:keepNext w:val="0"/>
              <w:keepLines w:val="0"/>
              <w:suppressLineNumbers w:val="0"/>
              <w:spacing w:before="0" w:beforeAutospacing="0" w:after="0" w:afterAutospacing="0"/>
              <w:ind w:left="0" w:right="0"/>
              <w:jc w:val="center"/>
              <w:rPr>
                <w:rFonts w:hint="default" w:ascii="宋体" w:hAnsi="宋体"/>
                <w:b/>
                <w:color w:val="auto"/>
                <w:sz w:val="22"/>
                <w:szCs w:val="21"/>
              </w:rPr>
            </w:pPr>
            <w:r>
              <w:rPr>
                <w:rFonts w:hint="eastAsia" w:ascii="宋体" w:hAnsi="宋体"/>
                <w:b/>
                <w:color w:val="auto"/>
                <w:sz w:val="22"/>
                <w:szCs w:val="21"/>
              </w:rPr>
              <w:t>序号</w:t>
            </w:r>
          </w:p>
        </w:tc>
        <w:tc>
          <w:tcPr>
            <w:tcW w:w="1913" w:type="dxa"/>
            <w:shd w:val="clear" w:color="auto" w:fill="E0E0E0"/>
            <w:vAlign w:val="center"/>
          </w:tcPr>
          <w:p w14:paraId="30E3617A">
            <w:pPr>
              <w:keepNext w:val="0"/>
              <w:keepLines w:val="0"/>
              <w:suppressLineNumbers w:val="0"/>
              <w:spacing w:before="0" w:beforeAutospacing="0" w:after="0" w:afterAutospacing="0"/>
              <w:ind w:left="0" w:right="0"/>
              <w:jc w:val="center"/>
              <w:rPr>
                <w:rFonts w:hint="default" w:ascii="宋体" w:hAnsi="宋体"/>
                <w:b/>
                <w:color w:val="auto"/>
                <w:sz w:val="22"/>
                <w:szCs w:val="21"/>
              </w:rPr>
            </w:pPr>
            <w:r>
              <w:rPr>
                <w:rFonts w:hint="eastAsia" w:ascii="宋体" w:hAnsi="宋体"/>
                <w:b/>
                <w:color w:val="auto"/>
                <w:sz w:val="22"/>
                <w:szCs w:val="21"/>
              </w:rPr>
              <w:t>图纸名称</w:t>
            </w:r>
          </w:p>
        </w:tc>
        <w:tc>
          <w:tcPr>
            <w:tcW w:w="2273" w:type="dxa"/>
            <w:shd w:val="clear" w:color="auto" w:fill="E0E0E0"/>
            <w:vAlign w:val="center"/>
          </w:tcPr>
          <w:p w14:paraId="7EF1F007">
            <w:pPr>
              <w:keepNext w:val="0"/>
              <w:keepLines w:val="0"/>
              <w:suppressLineNumbers w:val="0"/>
              <w:spacing w:before="0" w:beforeAutospacing="0" w:after="0" w:afterAutospacing="0"/>
              <w:ind w:left="0" w:right="0"/>
              <w:jc w:val="center"/>
              <w:rPr>
                <w:rFonts w:hint="default" w:ascii="宋体" w:hAnsi="宋体"/>
                <w:b/>
                <w:color w:val="auto"/>
                <w:sz w:val="22"/>
                <w:szCs w:val="21"/>
              </w:rPr>
            </w:pPr>
            <w:r>
              <w:rPr>
                <w:rFonts w:hint="eastAsia" w:ascii="宋体" w:hAnsi="宋体"/>
                <w:b/>
                <w:color w:val="auto"/>
                <w:sz w:val="22"/>
                <w:szCs w:val="21"/>
              </w:rPr>
              <w:t>比例</w:t>
            </w:r>
            <w:r>
              <w:rPr>
                <w:rFonts w:hint="default" w:ascii="宋体" w:hAnsi="宋体"/>
                <w:b/>
                <w:color w:val="auto"/>
                <w:sz w:val="22"/>
                <w:szCs w:val="21"/>
              </w:rPr>
              <w:t>/</w:t>
            </w:r>
            <w:r>
              <w:rPr>
                <w:rFonts w:hint="eastAsia" w:ascii="宋体" w:hAnsi="宋体"/>
                <w:b/>
                <w:color w:val="auto"/>
                <w:sz w:val="22"/>
                <w:szCs w:val="21"/>
              </w:rPr>
              <w:t>尺寸</w:t>
            </w:r>
          </w:p>
        </w:tc>
        <w:tc>
          <w:tcPr>
            <w:tcW w:w="2253" w:type="dxa"/>
            <w:shd w:val="clear" w:color="auto" w:fill="E0E0E0"/>
            <w:vAlign w:val="center"/>
          </w:tcPr>
          <w:p w14:paraId="20C77DE9">
            <w:pPr>
              <w:keepNext w:val="0"/>
              <w:keepLines w:val="0"/>
              <w:suppressLineNumbers w:val="0"/>
              <w:spacing w:before="0" w:beforeAutospacing="0" w:after="0" w:afterAutospacing="0"/>
              <w:ind w:left="0" w:right="0"/>
              <w:jc w:val="center"/>
              <w:rPr>
                <w:rFonts w:hint="default" w:ascii="宋体" w:hAnsi="宋体"/>
                <w:b/>
                <w:color w:val="auto"/>
                <w:sz w:val="22"/>
                <w:szCs w:val="21"/>
              </w:rPr>
            </w:pPr>
            <w:r>
              <w:rPr>
                <w:rFonts w:hint="eastAsia" w:ascii="宋体" w:hAnsi="宋体"/>
                <w:b/>
                <w:color w:val="auto"/>
                <w:sz w:val="22"/>
                <w:szCs w:val="21"/>
              </w:rPr>
              <w:t>备注</w:t>
            </w:r>
          </w:p>
        </w:tc>
      </w:tr>
      <w:tr w14:paraId="4143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restart"/>
            <w:vAlign w:val="center"/>
          </w:tcPr>
          <w:p w14:paraId="4BDE6CF3">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总体分析</w:t>
            </w:r>
          </w:p>
        </w:tc>
        <w:tc>
          <w:tcPr>
            <w:tcW w:w="1134" w:type="dxa"/>
            <w:vAlign w:val="center"/>
          </w:tcPr>
          <w:p w14:paraId="71F4021D">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w:t>
            </w:r>
          </w:p>
        </w:tc>
        <w:tc>
          <w:tcPr>
            <w:tcW w:w="1913" w:type="dxa"/>
            <w:vAlign w:val="center"/>
          </w:tcPr>
          <w:p w14:paraId="093126F3">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功能分区图</w:t>
            </w:r>
          </w:p>
        </w:tc>
        <w:tc>
          <w:tcPr>
            <w:tcW w:w="2273" w:type="dxa"/>
            <w:vMerge w:val="restart"/>
            <w:vAlign w:val="center"/>
          </w:tcPr>
          <w:p w14:paraId="74C4AEFE">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比例视具体情况而定</w:t>
            </w:r>
          </w:p>
        </w:tc>
        <w:tc>
          <w:tcPr>
            <w:tcW w:w="2253" w:type="dxa"/>
            <w:vAlign w:val="center"/>
          </w:tcPr>
          <w:p w14:paraId="535416DC">
            <w:pPr>
              <w:keepNext w:val="0"/>
              <w:keepLines w:val="0"/>
              <w:suppressLineNumbers w:val="0"/>
              <w:spacing w:before="0" w:beforeAutospacing="0" w:after="0" w:afterAutospacing="0"/>
              <w:ind w:left="0" w:right="0"/>
              <w:rPr>
                <w:rFonts w:hint="default" w:ascii="宋体" w:hAnsi="宋体"/>
                <w:color w:val="auto"/>
                <w:sz w:val="22"/>
                <w:szCs w:val="21"/>
              </w:rPr>
            </w:pPr>
          </w:p>
        </w:tc>
      </w:tr>
      <w:tr w14:paraId="1DAD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1A363D30">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42C84559">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2</w:t>
            </w:r>
          </w:p>
        </w:tc>
        <w:tc>
          <w:tcPr>
            <w:tcW w:w="1913" w:type="dxa"/>
            <w:vAlign w:val="center"/>
          </w:tcPr>
          <w:p w14:paraId="1735C591">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交通分析图</w:t>
            </w:r>
          </w:p>
        </w:tc>
        <w:tc>
          <w:tcPr>
            <w:tcW w:w="2273" w:type="dxa"/>
            <w:vMerge w:val="continue"/>
            <w:vAlign w:val="center"/>
          </w:tcPr>
          <w:p w14:paraId="3C210654">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p>
        </w:tc>
        <w:tc>
          <w:tcPr>
            <w:tcW w:w="2253" w:type="dxa"/>
            <w:vAlign w:val="center"/>
          </w:tcPr>
          <w:p w14:paraId="1783F506">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包括停车路线分析</w:t>
            </w:r>
          </w:p>
        </w:tc>
      </w:tr>
      <w:tr w14:paraId="0CA3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5C9C60B2">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2FB09759">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3</w:t>
            </w:r>
          </w:p>
        </w:tc>
        <w:tc>
          <w:tcPr>
            <w:tcW w:w="1913" w:type="dxa"/>
            <w:vAlign w:val="center"/>
          </w:tcPr>
          <w:p w14:paraId="77B37978">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景观分析图</w:t>
            </w:r>
          </w:p>
        </w:tc>
        <w:tc>
          <w:tcPr>
            <w:tcW w:w="2273" w:type="dxa"/>
            <w:vMerge w:val="continue"/>
            <w:vAlign w:val="center"/>
          </w:tcPr>
          <w:p w14:paraId="6760B3A1">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p>
        </w:tc>
        <w:tc>
          <w:tcPr>
            <w:tcW w:w="2253" w:type="dxa"/>
            <w:vAlign w:val="center"/>
          </w:tcPr>
          <w:p w14:paraId="5C49B7D7">
            <w:pPr>
              <w:keepNext w:val="0"/>
              <w:keepLines w:val="0"/>
              <w:suppressLineNumbers w:val="0"/>
              <w:spacing w:before="0" w:beforeAutospacing="0" w:after="0" w:afterAutospacing="0"/>
              <w:ind w:left="0" w:right="0"/>
              <w:rPr>
                <w:rFonts w:hint="default" w:ascii="宋体" w:hAnsi="宋体"/>
                <w:color w:val="auto"/>
                <w:sz w:val="22"/>
                <w:szCs w:val="21"/>
              </w:rPr>
            </w:pPr>
          </w:p>
        </w:tc>
      </w:tr>
      <w:tr w14:paraId="24E5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132FE9F7">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6E72A4B2">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4</w:t>
            </w:r>
          </w:p>
        </w:tc>
        <w:tc>
          <w:tcPr>
            <w:tcW w:w="1913" w:type="dxa"/>
            <w:vAlign w:val="center"/>
          </w:tcPr>
          <w:p w14:paraId="4250B54A">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视线分析图</w:t>
            </w:r>
          </w:p>
        </w:tc>
        <w:tc>
          <w:tcPr>
            <w:tcW w:w="2273" w:type="dxa"/>
            <w:vMerge w:val="continue"/>
            <w:vAlign w:val="center"/>
          </w:tcPr>
          <w:p w14:paraId="5D15D8CD">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p>
        </w:tc>
        <w:tc>
          <w:tcPr>
            <w:tcW w:w="2253" w:type="dxa"/>
            <w:vAlign w:val="center"/>
          </w:tcPr>
          <w:p w14:paraId="0CAA8425">
            <w:pPr>
              <w:keepNext w:val="0"/>
              <w:keepLines w:val="0"/>
              <w:suppressLineNumbers w:val="0"/>
              <w:spacing w:before="0" w:beforeAutospacing="0" w:after="0" w:afterAutospacing="0"/>
              <w:ind w:left="0" w:right="0"/>
              <w:rPr>
                <w:rFonts w:hint="default" w:ascii="宋体" w:hAnsi="宋体"/>
                <w:color w:val="auto"/>
                <w:sz w:val="22"/>
                <w:szCs w:val="21"/>
              </w:rPr>
            </w:pPr>
          </w:p>
        </w:tc>
      </w:tr>
      <w:tr w14:paraId="167A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jc w:val="center"/>
        </w:trPr>
        <w:tc>
          <w:tcPr>
            <w:tcW w:w="831" w:type="dxa"/>
            <w:vMerge w:val="continue"/>
            <w:vAlign w:val="center"/>
          </w:tcPr>
          <w:p w14:paraId="69F605D6">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012344EA">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5</w:t>
            </w:r>
          </w:p>
        </w:tc>
        <w:tc>
          <w:tcPr>
            <w:tcW w:w="1913" w:type="dxa"/>
            <w:vAlign w:val="center"/>
          </w:tcPr>
          <w:p w14:paraId="62CA16D9">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日照分析图</w:t>
            </w:r>
          </w:p>
        </w:tc>
        <w:tc>
          <w:tcPr>
            <w:tcW w:w="2273" w:type="dxa"/>
            <w:vMerge w:val="continue"/>
            <w:vAlign w:val="center"/>
          </w:tcPr>
          <w:p w14:paraId="4C4126B1">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p>
        </w:tc>
        <w:tc>
          <w:tcPr>
            <w:tcW w:w="2253" w:type="dxa"/>
            <w:vAlign w:val="center"/>
          </w:tcPr>
          <w:p w14:paraId="0BD36698">
            <w:pPr>
              <w:keepNext w:val="0"/>
              <w:keepLines w:val="0"/>
              <w:suppressLineNumbers w:val="0"/>
              <w:spacing w:before="0" w:beforeAutospacing="0" w:after="0" w:afterAutospacing="0"/>
              <w:ind w:left="0" w:right="0"/>
              <w:rPr>
                <w:rFonts w:hint="default" w:ascii="宋体" w:hAnsi="宋体"/>
                <w:color w:val="auto"/>
                <w:sz w:val="22"/>
                <w:szCs w:val="21"/>
              </w:rPr>
            </w:pPr>
          </w:p>
        </w:tc>
      </w:tr>
      <w:tr w14:paraId="1094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jc w:val="center"/>
        </w:trPr>
        <w:tc>
          <w:tcPr>
            <w:tcW w:w="831" w:type="dxa"/>
            <w:vMerge w:val="restart"/>
            <w:vAlign w:val="center"/>
          </w:tcPr>
          <w:p w14:paraId="727E0A48">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建筑单体</w:t>
            </w:r>
          </w:p>
        </w:tc>
        <w:tc>
          <w:tcPr>
            <w:tcW w:w="1134" w:type="dxa"/>
            <w:vAlign w:val="center"/>
          </w:tcPr>
          <w:p w14:paraId="0DA28202">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6</w:t>
            </w:r>
          </w:p>
        </w:tc>
        <w:tc>
          <w:tcPr>
            <w:tcW w:w="1913" w:type="dxa"/>
            <w:vAlign w:val="center"/>
          </w:tcPr>
          <w:p w14:paraId="3B7C8496">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r>
              <w:rPr>
                <w:rFonts w:hint="eastAsia" w:ascii="宋体" w:hAnsi="宋体"/>
                <w:color w:val="auto"/>
                <w:sz w:val="22"/>
                <w:szCs w:val="21"/>
                <w:shd w:val="clear" w:color="auto" w:fill="auto"/>
              </w:rPr>
              <w:t>总平面图</w:t>
            </w:r>
          </w:p>
        </w:tc>
        <w:tc>
          <w:tcPr>
            <w:tcW w:w="2273" w:type="dxa"/>
            <w:vMerge w:val="continue"/>
            <w:vAlign w:val="center"/>
          </w:tcPr>
          <w:p w14:paraId="30794103">
            <w:pPr>
              <w:keepNext w:val="0"/>
              <w:keepLines w:val="0"/>
              <w:suppressLineNumbers w:val="0"/>
              <w:spacing w:before="0" w:beforeAutospacing="0" w:after="0" w:afterAutospacing="0"/>
              <w:ind w:left="0" w:right="0"/>
              <w:rPr>
                <w:rFonts w:hint="default" w:ascii="宋体" w:hAnsi="宋体"/>
                <w:color w:val="auto"/>
                <w:sz w:val="22"/>
                <w:szCs w:val="21"/>
                <w:shd w:val="clear" w:color="auto" w:fill="auto"/>
              </w:rPr>
            </w:pPr>
          </w:p>
        </w:tc>
        <w:tc>
          <w:tcPr>
            <w:tcW w:w="2253" w:type="dxa"/>
            <w:vAlign w:val="center"/>
          </w:tcPr>
          <w:p w14:paraId="6A5EEC8B">
            <w:pPr>
              <w:keepNext w:val="0"/>
              <w:keepLines w:val="0"/>
              <w:suppressLineNumbers w:val="0"/>
              <w:spacing w:before="0" w:beforeAutospacing="0" w:after="0" w:afterAutospacing="0"/>
              <w:ind w:left="0" w:right="0"/>
              <w:rPr>
                <w:rFonts w:hint="default" w:ascii="宋体" w:hAnsi="宋体"/>
                <w:color w:val="auto"/>
                <w:sz w:val="22"/>
                <w:szCs w:val="21"/>
              </w:rPr>
            </w:pPr>
          </w:p>
        </w:tc>
      </w:tr>
      <w:tr w14:paraId="3628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1" w:hRule="atLeast"/>
          <w:jc w:val="center"/>
        </w:trPr>
        <w:tc>
          <w:tcPr>
            <w:tcW w:w="831" w:type="dxa"/>
            <w:vMerge w:val="continue"/>
            <w:vAlign w:val="center"/>
          </w:tcPr>
          <w:p w14:paraId="6A84D4F0">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714E7A89">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7</w:t>
            </w:r>
          </w:p>
        </w:tc>
        <w:tc>
          <w:tcPr>
            <w:tcW w:w="1913" w:type="dxa"/>
            <w:vAlign w:val="center"/>
          </w:tcPr>
          <w:p w14:paraId="14F71A14">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各层平面图</w:t>
            </w:r>
          </w:p>
        </w:tc>
        <w:tc>
          <w:tcPr>
            <w:tcW w:w="2273" w:type="dxa"/>
            <w:vMerge w:val="continue"/>
            <w:vAlign w:val="center"/>
          </w:tcPr>
          <w:p w14:paraId="262C11CD">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0842E446">
            <w:pPr>
              <w:keepNext w:val="0"/>
              <w:keepLines w:val="0"/>
              <w:suppressLineNumbers w:val="0"/>
              <w:spacing w:before="0" w:beforeAutospacing="0" w:after="0" w:afterAutospacing="0"/>
              <w:ind w:left="0" w:right="0"/>
              <w:rPr>
                <w:rFonts w:hint="default" w:ascii="宋体" w:hAnsi="宋体"/>
                <w:color w:val="auto"/>
                <w:sz w:val="22"/>
                <w:szCs w:val="21"/>
              </w:rPr>
            </w:pPr>
          </w:p>
        </w:tc>
      </w:tr>
      <w:tr w14:paraId="19E8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6BE73896">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2E2AA6A4">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8</w:t>
            </w:r>
          </w:p>
        </w:tc>
        <w:tc>
          <w:tcPr>
            <w:tcW w:w="1913" w:type="dxa"/>
            <w:vAlign w:val="center"/>
          </w:tcPr>
          <w:p w14:paraId="57B44CFD">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主要立面图</w:t>
            </w:r>
          </w:p>
        </w:tc>
        <w:tc>
          <w:tcPr>
            <w:tcW w:w="2273" w:type="dxa"/>
            <w:vMerge w:val="continue"/>
            <w:vAlign w:val="center"/>
          </w:tcPr>
          <w:p w14:paraId="4C07E3C7">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6DA2916A">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不少于</w:t>
            </w:r>
            <w:r>
              <w:rPr>
                <w:rFonts w:hint="default" w:ascii="宋体" w:hAnsi="宋体"/>
                <w:color w:val="auto"/>
                <w:sz w:val="22"/>
                <w:szCs w:val="21"/>
              </w:rPr>
              <w:t>2</w:t>
            </w:r>
            <w:r>
              <w:rPr>
                <w:rFonts w:hint="eastAsia" w:ascii="宋体" w:hAnsi="宋体"/>
                <w:color w:val="auto"/>
                <w:sz w:val="22"/>
                <w:szCs w:val="21"/>
              </w:rPr>
              <w:t>个</w:t>
            </w:r>
          </w:p>
        </w:tc>
      </w:tr>
      <w:tr w14:paraId="5AB9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605A11EF">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3546174A">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9</w:t>
            </w:r>
          </w:p>
        </w:tc>
        <w:tc>
          <w:tcPr>
            <w:tcW w:w="1913" w:type="dxa"/>
            <w:vAlign w:val="center"/>
          </w:tcPr>
          <w:p w14:paraId="0FC4FABF">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主要剖面图</w:t>
            </w:r>
          </w:p>
        </w:tc>
        <w:tc>
          <w:tcPr>
            <w:tcW w:w="2273" w:type="dxa"/>
            <w:vMerge w:val="continue"/>
            <w:vAlign w:val="center"/>
          </w:tcPr>
          <w:p w14:paraId="71CD3BC1">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52F1EA25">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不少于</w:t>
            </w:r>
            <w:r>
              <w:rPr>
                <w:rFonts w:hint="default" w:ascii="宋体" w:hAnsi="宋体"/>
                <w:color w:val="auto"/>
                <w:sz w:val="22"/>
                <w:szCs w:val="21"/>
              </w:rPr>
              <w:t>2</w:t>
            </w:r>
            <w:r>
              <w:rPr>
                <w:rFonts w:hint="eastAsia" w:ascii="宋体" w:hAnsi="宋体"/>
                <w:color w:val="auto"/>
                <w:sz w:val="22"/>
                <w:szCs w:val="21"/>
              </w:rPr>
              <w:t>个</w:t>
            </w:r>
          </w:p>
        </w:tc>
      </w:tr>
      <w:tr w14:paraId="560D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56B204EE">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1134" w:type="dxa"/>
            <w:vAlign w:val="center"/>
          </w:tcPr>
          <w:p w14:paraId="025E3475">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10</w:t>
            </w:r>
          </w:p>
        </w:tc>
        <w:tc>
          <w:tcPr>
            <w:tcW w:w="1913" w:type="dxa"/>
            <w:vAlign w:val="center"/>
          </w:tcPr>
          <w:p w14:paraId="678E88C0">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重要房间平面布置放大图</w:t>
            </w:r>
          </w:p>
        </w:tc>
        <w:tc>
          <w:tcPr>
            <w:tcW w:w="2273" w:type="dxa"/>
            <w:vMerge w:val="continue"/>
            <w:vAlign w:val="center"/>
          </w:tcPr>
          <w:p w14:paraId="4BB2C619">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77227A2A">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需进行家具布置</w:t>
            </w:r>
          </w:p>
        </w:tc>
      </w:tr>
      <w:tr w14:paraId="611A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restart"/>
            <w:vAlign w:val="center"/>
          </w:tcPr>
          <w:p w14:paraId="3B391322">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设计说明</w:t>
            </w:r>
          </w:p>
        </w:tc>
        <w:tc>
          <w:tcPr>
            <w:tcW w:w="1134" w:type="dxa"/>
            <w:vAlign w:val="center"/>
          </w:tcPr>
          <w:p w14:paraId="2F6E538B">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11</w:t>
            </w:r>
          </w:p>
        </w:tc>
        <w:tc>
          <w:tcPr>
            <w:tcW w:w="1913" w:type="dxa"/>
            <w:vAlign w:val="center"/>
          </w:tcPr>
          <w:p w14:paraId="7A0B89C3">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总平面设计说明</w:t>
            </w:r>
          </w:p>
        </w:tc>
        <w:tc>
          <w:tcPr>
            <w:tcW w:w="2273" w:type="dxa"/>
            <w:vAlign w:val="center"/>
          </w:tcPr>
          <w:p w14:paraId="26742F54">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02515D07">
            <w:pPr>
              <w:keepNext w:val="0"/>
              <w:keepLines w:val="0"/>
              <w:suppressLineNumbers w:val="0"/>
              <w:spacing w:before="0" w:beforeAutospacing="0" w:after="0" w:afterAutospacing="0"/>
              <w:ind w:left="0" w:right="0"/>
              <w:rPr>
                <w:rFonts w:hint="default" w:ascii="宋体" w:hAnsi="宋体"/>
                <w:color w:val="auto"/>
                <w:sz w:val="22"/>
                <w:szCs w:val="21"/>
              </w:rPr>
            </w:pPr>
          </w:p>
        </w:tc>
      </w:tr>
      <w:tr w14:paraId="00C3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48031151">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2CB794B2">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12</w:t>
            </w:r>
          </w:p>
        </w:tc>
        <w:tc>
          <w:tcPr>
            <w:tcW w:w="1913" w:type="dxa"/>
            <w:vAlign w:val="center"/>
          </w:tcPr>
          <w:p w14:paraId="361E4E8F">
            <w:pPr>
              <w:keepNext w:val="0"/>
              <w:keepLines w:val="0"/>
              <w:suppressLineNumbers w:val="0"/>
              <w:spacing w:before="0" w:beforeAutospacing="0" w:after="0" w:afterAutospacing="0"/>
              <w:ind w:left="0" w:right="0"/>
              <w:rPr>
                <w:rFonts w:hint="default" w:ascii="宋体" w:hAnsi="宋体"/>
                <w:b/>
                <w:color w:val="auto"/>
                <w:sz w:val="22"/>
                <w:szCs w:val="21"/>
              </w:rPr>
            </w:pPr>
            <w:r>
              <w:rPr>
                <w:rFonts w:hint="eastAsia" w:ascii="宋体" w:hAnsi="宋体"/>
                <w:bCs/>
                <w:color w:val="auto"/>
                <w:sz w:val="22"/>
                <w:szCs w:val="21"/>
              </w:rPr>
              <w:t>建筑设计说明</w:t>
            </w:r>
          </w:p>
        </w:tc>
        <w:tc>
          <w:tcPr>
            <w:tcW w:w="2273" w:type="dxa"/>
            <w:vAlign w:val="center"/>
          </w:tcPr>
          <w:p w14:paraId="575BDC66">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4F289856">
            <w:pPr>
              <w:keepNext w:val="0"/>
              <w:keepLines w:val="0"/>
              <w:suppressLineNumbers w:val="0"/>
              <w:spacing w:before="0" w:beforeAutospacing="0" w:after="0" w:afterAutospacing="0"/>
              <w:ind w:left="0" w:right="0"/>
              <w:rPr>
                <w:rFonts w:hint="default" w:ascii="宋体" w:hAnsi="宋体"/>
                <w:color w:val="auto"/>
                <w:sz w:val="22"/>
                <w:szCs w:val="21"/>
              </w:rPr>
            </w:pPr>
          </w:p>
        </w:tc>
      </w:tr>
      <w:tr w14:paraId="7E38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35CA44CA">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5F61F8EF">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13</w:t>
            </w:r>
          </w:p>
        </w:tc>
        <w:tc>
          <w:tcPr>
            <w:tcW w:w="1913" w:type="dxa"/>
            <w:vAlign w:val="center"/>
          </w:tcPr>
          <w:p w14:paraId="1F4E2E0C">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结构设计说明</w:t>
            </w:r>
          </w:p>
        </w:tc>
        <w:tc>
          <w:tcPr>
            <w:tcW w:w="2273" w:type="dxa"/>
            <w:vAlign w:val="center"/>
          </w:tcPr>
          <w:p w14:paraId="6E247471">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1E950EFD">
            <w:pPr>
              <w:keepNext w:val="0"/>
              <w:keepLines w:val="0"/>
              <w:suppressLineNumbers w:val="0"/>
              <w:spacing w:before="0" w:beforeAutospacing="0" w:after="0" w:afterAutospacing="0"/>
              <w:ind w:left="0" w:right="0"/>
              <w:rPr>
                <w:rFonts w:hint="default" w:ascii="宋体" w:hAnsi="宋体"/>
                <w:color w:val="auto"/>
                <w:sz w:val="22"/>
                <w:szCs w:val="21"/>
              </w:rPr>
            </w:pPr>
          </w:p>
        </w:tc>
      </w:tr>
      <w:tr w14:paraId="0D43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2F60B6A9">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3A309400">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14</w:t>
            </w:r>
          </w:p>
        </w:tc>
        <w:tc>
          <w:tcPr>
            <w:tcW w:w="1913" w:type="dxa"/>
            <w:vAlign w:val="center"/>
          </w:tcPr>
          <w:p w14:paraId="0A4DE783">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建筑电气设计说明</w:t>
            </w:r>
          </w:p>
        </w:tc>
        <w:tc>
          <w:tcPr>
            <w:tcW w:w="2273" w:type="dxa"/>
            <w:vAlign w:val="center"/>
          </w:tcPr>
          <w:p w14:paraId="6A8D3502">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212447FA">
            <w:pPr>
              <w:keepNext w:val="0"/>
              <w:keepLines w:val="0"/>
              <w:suppressLineNumbers w:val="0"/>
              <w:spacing w:before="0" w:beforeAutospacing="0" w:after="0" w:afterAutospacing="0"/>
              <w:ind w:left="0" w:right="0"/>
              <w:rPr>
                <w:rFonts w:hint="default" w:ascii="宋体" w:hAnsi="宋体"/>
                <w:color w:val="auto"/>
                <w:sz w:val="22"/>
                <w:szCs w:val="21"/>
              </w:rPr>
            </w:pPr>
          </w:p>
        </w:tc>
      </w:tr>
      <w:tr w14:paraId="52EB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0F082E82">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7FF2E396">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15</w:t>
            </w:r>
          </w:p>
        </w:tc>
        <w:tc>
          <w:tcPr>
            <w:tcW w:w="1913" w:type="dxa"/>
            <w:vAlign w:val="center"/>
          </w:tcPr>
          <w:p w14:paraId="56777F71">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给水排水设计说明</w:t>
            </w:r>
          </w:p>
        </w:tc>
        <w:tc>
          <w:tcPr>
            <w:tcW w:w="2273" w:type="dxa"/>
            <w:vAlign w:val="center"/>
          </w:tcPr>
          <w:p w14:paraId="28434EA2">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6DC551D7">
            <w:pPr>
              <w:keepNext w:val="0"/>
              <w:keepLines w:val="0"/>
              <w:suppressLineNumbers w:val="0"/>
              <w:spacing w:before="0" w:beforeAutospacing="0" w:after="0" w:afterAutospacing="0"/>
              <w:ind w:left="0" w:right="0"/>
              <w:rPr>
                <w:rFonts w:hint="default" w:ascii="宋体" w:hAnsi="宋体"/>
                <w:color w:val="auto"/>
                <w:sz w:val="22"/>
                <w:szCs w:val="21"/>
              </w:rPr>
            </w:pPr>
          </w:p>
        </w:tc>
      </w:tr>
      <w:tr w14:paraId="7038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2034C648">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4B73046E">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16</w:t>
            </w:r>
          </w:p>
        </w:tc>
        <w:tc>
          <w:tcPr>
            <w:tcW w:w="1913" w:type="dxa"/>
            <w:vAlign w:val="center"/>
          </w:tcPr>
          <w:p w14:paraId="7B76C3CF">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采暖通风与空气调节设计说明</w:t>
            </w:r>
          </w:p>
        </w:tc>
        <w:tc>
          <w:tcPr>
            <w:tcW w:w="2273" w:type="dxa"/>
            <w:vAlign w:val="center"/>
          </w:tcPr>
          <w:p w14:paraId="021FFE8E">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5B41B60C">
            <w:pPr>
              <w:keepNext w:val="0"/>
              <w:keepLines w:val="0"/>
              <w:suppressLineNumbers w:val="0"/>
              <w:spacing w:before="0" w:beforeAutospacing="0" w:after="0" w:afterAutospacing="0"/>
              <w:ind w:left="0" w:right="0"/>
              <w:rPr>
                <w:rFonts w:hint="default" w:ascii="宋体" w:hAnsi="宋体"/>
                <w:color w:val="auto"/>
                <w:sz w:val="22"/>
                <w:szCs w:val="21"/>
              </w:rPr>
            </w:pPr>
          </w:p>
        </w:tc>
      </w:tr>
      <w:tr w14:paraId="748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50D6E000">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3B68DF14">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17</w:t>
            </w:r>
          </w:p>
        </w:tc>
        <w:tc>
          <w:tcPr>
            <w:tcW w:w="1913" w:type="dxa"/>
            <w:vAlign w:val="center"/>
          </w:tcPr>
          <w:p w14:paraId="55A28DC9">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经济技术指标</w:t>
            </w:r>
          </w:p>
        </w:tc>
        <w:tc>
          <w:tcPr>
            <w:tcW w:w="2273" w:type="dxa"/>
            <w:vAlign w:val="center"/>
          </w:tcPr>
          <w:p w14:paraId="6F451EF2">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1847EB27">
            <w:pPr>
              <w:keepNext w:val="0"/>
              <w:keepLines w:val="0"/>
              <w:suppressLineNumbers w:val="0"/>
              <w:spacing w:before="0" w:beforeAutospacing="0" w:after="0" w:afterAutospacing="0"/>
              <w:ind w:left="0" w:right="0"/>
              <w:rPr>
                <w:rFonts w:hint="default" w:ascii="宋体" w:hAnsi="宋体"/>
                <w:color w:val="auto"/>
                <w:sz w:val="22"/>
                <w:szCs w:val="21"/>
              </w:rPr>
            </w:pPr>
          </w:p>
        </w:tc>
      </w:tr>
      <w:tr w14:paraId="629C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04791479">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6AE2BB9E">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18</w:t>
            </w:r>
          </w:p>
        </w:tc>
        <w:tc>
          <w:tcPr>
            <w:tcW w:w="1913" w:type="dxa"/>
            <w:vAlign w:val="center"/>
          </w:tcPr>
          <w:p w14:paraId="2D665242">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各专业单体建筑经济技术指标表</w:t>
            </w:r>
          </w:p>
        </w:tc>
        <w:tc>
          <w:tcPr>
            <w:tcW w:w="2273" w:type="dxa"/>
            <w:vAlign w:val="center"/>
          </w:tcPr>
          <w:p w14:paraId="529123FA">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1E7FAFEF">
            <w:pPr>
              <w:keepNext w:val="0"/>
              <w:keepLines w:val="0"/>
              <w:suppressLineNumbers w:val="0"/>
              <w:spacing w:before="0" w:beforeAutospacing="0" w:after="0" w:afterAutospacing="0"/>
              <w:ind w:left="0" w:right="0"/>
              <w:rPr>
                <w:rFonts w:hint="default" w:ascii="宋体" w:hAnsi="宋体"/>
                <w:color w:val="auto"/>
                <w:sz w:val="22"/>
                <w:szCs w:val="21"/>
              </w:rPr>
            </w:pPr>
          </w:p>
        </w:tc>
      </w:tr>
      <w:tr w14:paraId="7AB5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6F825D23">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206B9DC6">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19</w:t>
            </w:r>
          </w:p>
        </w:tc>
        <w:tc>
          <w:tcPr>
            <w:tcW w:w="1913" w:type="dxa"/>
            <w:vAlign w:val="center"/>
          </w:tcPr>
          <w:p w14:paraId="69A70098">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专项工程经济技术指标表</w:t>
            </w:r>
          </w:p>
        </w:tc>
        <w:tc>
          <w:tcPr>
            <w:tcW w:w="2273" w:type="dxa"/>
            <w:vAlign w:val="center"/>
          </w:tcPr>
          <w:p w14:paraId="0B565661">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1AB2BA52">
            <w:pPr>
              <w:keepNext w:val="0"/>
              <w:keepLines w:val="0"/>
              <w:suppressLineNumbers w:val="0"/>
              <w:spacing w:before="0" w:beforeAutospacing="0" w:after="0" w:afterAutospacing="0"/>
              <w:ind w:left="0" w:right="0"/>
              <w:rPr>
                <w:rFonts w:hint="default" w:ascii="宋体" w:hAnsi="宋体"/>
                <w:color w:val="auto"/>
                <w:sz w:val="22"/>
                <w:szCs w:val="21"/>
              </w:rPr>
            </w:pPr>
          </w:p>
        </w:tc>
      </w:tr>
      <w:tr w14:paraId="54E6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727C55C4">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536ED39E">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20</w:t>
            </w:r>
          </w:p>
        </w:tc>
        <w:tc>
          <w:tcPr>
            <w:tcW w:w="1913" w:type="dxa"/>
            <w:vAlign w:val="center"/>
          </w:tcPr>
          <w:p w14:paraId="2E421140">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投资估算</w:t>
            </w:r>
          </w:p>
        </w:tc>
        <w:tc>
          <w:tcPr>
            <w:tcW w:w="2273" w:type="dxa"/>
            <w:vAlign w:val="center"/>
          </w:tcPr>
          <w:p w14:paraId="6E188C31">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3D2522EF">
            <w:pPr>
              <w:keepNext w:val="0"/>
              <w:keepLines w:val="0"/>
              <w:suppressLineNumbers w:val="0"/>
              <w:spacing w:before="0" w:beforeAutospacing="0" w:after="0" w:afterAutospacing="0"/>
              <w:ind w:left="0" w:right="0"/>
              <w:rPr>
                <w:rFonts w:hint="default" w:ascii="宋体" w:hAnsi="宋体"/>
                <w:color w:val="auto"/>
                <w:sz w:val="22"/>
                <w:szCs w:val="21"/>
              </w:rPr>
            </w:pPr>
          </w:p>
        </w:tc>
      </w:tr>
      <w:tr w14:paraId="32C4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14:paraId="24281FB0">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3FCA17A7">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21</w:t>
            </w:r>
          </w:p>
        </w:tc>
        <w:tc>
          <w:tcPr>
            <w:tcW w:w="1913" w:type="dxa"/>
            <w:vAlign w:val="center"/>
          </w:tcPr>
          <w:p w14:paraId="6AA06C27">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环保和节能设计概述</w:t>
            </w:r>
          </w:p>
        </w:tc>
        <w:tc>
          <w:tcPr>
            <w:tcW w:w="2273" w:type="dxa"/>
            <w:vAlign w:val="center"/>
          </w:tcPr>
          <w:p w14:paraId="6EF1568E">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754D7818">
            <w:pPr>
              <w:keepNext w:val="0"/>
              <w:keepLines w:val="0"/>
              <w:suppressLineNumbers w:val="0"/>
              <w:spacing w:before="0" w:beforeAutospacing="0" w:after="0" w:afterAutospacing="0"/>
              <w:ind w:left="0" w:right="0"/>
              <w:rPr>
                <w:rFonts w:hint="default" w:ascii="宋体" w:hAnsi="宋体"/>
                <w:color w:val="auto"/>
                <w:sz w:val="22"/>
                <w:szCs w:val="21"/>
              </w:rPr>
            </w:pPr>
          </w:p>
        </w:tc>
      </w:tr>
      <w:tr w14:paraId="093E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restart"/>
            <w:vAlign w:val="center"/>
          </w:tcPr>
          <w:p w14:paraId="706B2BCA">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eastAsia" w:ascii="宋体" w:hAnsi="宋体"/>
                <w:color w:val="auto"/>
                <w:sz w:val="22"/>
                <w:szCs w:val="21"/>
              </w:rPr>
              <w:t>其它</w:t>
            </w:r>
          </w:p>
        </w:tc>
        <w:tc>
          <w:tcPr>
            <w:tcW w:w="1134" w:type="dxa"/>
            <w:vAlign w:val="center"/>
          </w:tcPr>
          <w:p w14:paraId="194CD58D">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20</w:t>
            </w:r>
          </w:p>
        </w:tc>
        <w:tc>
          <w:tcPr>
            <w:tcW w:w="1913" w:type="dxa"/>
            <w:vAlign w:val="center"/>
          </w:tcPr>
          <w:p w14:paraId="14233F1C">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效果图</w:t>
            </w:r>
          </w:p>
        </w:tc>
        <w:tc>
          <w:tcPr>
            <w:tcW w:w="2273" w:type="dxa"/>
            <w:vAlign w:val="center"/>
          </w:tcPr>
          <w:p w14:paraId="15DB963A">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3F7AB155">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包括鸟瞰图、低点透视及其他不同角度透视，不少于</w:t>
            </w:r>
            <w:r>
              <w:rPr>
                <w:rFonts w:hint="default" w:ascii="宋体" w:hAnsi="宋体"/>
                <w:color w:val="auto"/>
                <w:sz w:val="22"/>
                <w:szCs w:val="21"/>
              </w:rPr>
              <w:t>6</w:t>
            </w:r>
            <w:r>
              <w:rPr>
                <w:rFonts w:hint="eastAsia" w:ascii="宋体" w:hAnsi="宋体"/>
                <w:color w:val="auto"/>
                <w:sz w:val="22"/>
                <w:szCs w:val="21"/>
              </w:rPr>
              <w:t>张。</w:t>
            </w:r>
          </w:p>
        </w:tc>
      </w:tr>
      <w:tr w14:paraId="065B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continue"/>
            <w:vAlign w:val="center"/>
          </w:tcPr>
          <w:p w14:paraId="10657525">
            <w:pPr>
              <w:keepNext w:val="0"/>
              <w:keepLines w:val="0"/>
              <w:suppressLineNumbers w:val="0"/>
              <w:spacing w:before="0" w:beforeAutospacing="0" w:after="0" w:afterAutospacing="0"/>
              <w:ind w:left="0" w:right="0"/>
              <w:jc w:val="center"/>
              <w:rPr>
                <w:rFonts w:hint="eastAsia" w:ascii="宋体" w:hAnsi="宋体"/>
                <w:color w:val="auto"/>
                <w:sz w:val="22"/>
                <w:szCs w:val="21"/>
              </w:rPr>
            </w:pPr>
          </w:p>
        </w:tc>
        <w:tc>
          <w:tcPr>
            <w:tcW w:w="1134" w:type="dxa"/>
            <w:vAlign w:val="center"/>
          </w:tcPr>
          <w:p w14:paraId="6EBF4CC7">
            <w:pPr>
              <w:keepNext w:val="0"/>
              <w:keepLines w:val="0"/>
              <w:suppressLineNumbers w:val="0"/>
              <w:spacing w:before="0" w:beforeAutospacing="0" w:after="0" w:afterAutospacing="0"/>
              <w:ind w:left="0" w:right="0"/>
              <w:jc w:val="center"/>
              <w:rPr>
                <w:rFonts w:hint="default" w:ascii="宋体" w:hAnsi="宋体"/>
                <w:color w:val="auto"/>
                <w:sz w:val="22"/>
                <w:szCs w:val="21"/>
                <w:shd w:val="clear" w:color="auto" w:fill="auto"/>
              </w:rPr>
            </w:pPr>
            <w:r>
              <w:rPr>
                <w:rFonts w:hint="default" w:ascii="宋体" w:hAnsi="宋体" w:eastAsia="宋体"/>
                <w:color w:val="auto"/>
                <w:sz w:val="22"/>
                <w:szCs w:val="21"/>
                <w:shd w:val="clear" w:color="auto" w:fill="auto"/>
              </w:rPr>
              <w:t>21</w:t>
            </w:r>
          </w:p>
        </w:tc>
        <w:tc>
          <w:tcPr>
            <w:tcW w:w="1913" w:type="dxa"/>
            <w:vAlign w:val="center"/>
          </w:tcPr>
          <w:p w14:paraId="5548BFB9">
            <w:pPr>
              <w:keepNext w:val="0"/>
              <w:keepLines w:val="0"/>
              <w:suppressLineNumbers w:val="0"/>
              <w:spacing w:before="0" w:beforeAutospacing="0" w:after="0" w:afterAutospacing="0"/>
              <w:ind w:left="0" w:right="0"/>
              <w:rPr>
                <w:rFonts w:hint="eastAsia" w:ascii="宋体" w:hAnsi="宋体"/>
                <w:color w:val="auto"/>
                <w:sz w:val="22"/>
                <w:szCs w:val="21"/>
                <w:shd w:val="clear" w:color="auto" w:fill="auto"/>
              </w:rPr>
            </w:pPr>
            <w:r>
              <w:rPr>
                <w:rFonts w:hint="default" w:ascii="宋体" w:hAnsi="宋体" w:eastAsia="宋体"/>
                <w:color w:val="auto"/>
                <w:sz w:val="22"/>
                <w:szCs w:val="21"/>
                <w:shd w:val="clear" w:color="auto" w:fill="auto"/>
              </w:rPr>
              <w:t>A1</w:t>
            </w:r>
            <w:r>
              <w:rPr>
                <w:rFonts w:hint="eastAsia" w:ascii="宋体" w:hAnsi="宋体" w:eastAsia="宋体"/>
                <w:color w:val="auto"/>
                <w:sz w:val="22"/>
                <w:szCs w:val="21"/>
                <w:shd w:val="clear" w:color="auto" w:fill="auto"/>
              </w:rPr>
              <w:t>展板</w:t>
            </w:r>
          </w:p>
        </w:tc>
        <w:tc>
          <w:tcPr>
            <w:tcW w:w="2273" w:type="dxa"/>
            <w:vAlign w:val="center"/>
          </w:tcPr>
          <w:p w14:paraId="73114BA3">
            <w:pPr>
              <w:keepNext w:val="0"/>
              <w:keepLines w:val="0"/>
              <w:suppressLineNumbers w:val="0"/>
              <w:spacing w:before="0" w:beforeAutospacing="0" w:after="0" w:afterAutospacing="0"/>
              <w:ind w:left="0" w:right="0"/>
              <w:jc w:val="center"/>
              <w:rPr>
                <w:rFonts w:hint="default" w:ascii="宋体" w:hAnsi="宋体"/>
                <w:color w:val="auto"/>
                <w:sz w:val="22"/>
                <w:szCs w:val="21"/>
                <w:shd w:val="clear" w:color="auto" w:fill="auto"/>
              </w:rPr>
            </w:pPr>
            <w:r>
              <w:rPr>
                <w:rFonts w:hint="eastAsia" w:ascii="宋体" w:hAnsi="宋体" w:eastAsia="宋体"/>
                <w:color w:val="auto"/>
                <w:sz w:val="22"/>
                <w:szCs w:val="21"/>
                <w:shd w:val="clear" w:color="auto" w:fill="auto"/>
              </w:rPr>
              <w:t>一套</w:t>
            </w:r>
          </w:p>
        </w:tc>
        <w:tc>
          <w:tcPr>
            <w:tcW w:w="2253" w:type="dxa"/>
            <w:vAlign w:val="center"/>
          </w:tcPr>
          <w:p w14:paraId="43E58274">
            <w:pPr>
              <w:keepNext w:val="0"/>
              <w:keepLines w:val="0"/>
              <w:suppressLineNumbers w:val="0"/>
              <w:spacing w:before="0" w:beforeAutospacing="0" w:after="0" w:afterAutospacing="0"/>
              <w:ind w:left="0" w:right="0"/>
              <w:rPr>
                <w:rFonts w:hint="eastAsia" w:ascii="宋体" w:hAnsi="宋体"/>
                <w:color w:val="auto"/>
                <w:sz w:val="22"/>
                <w:szCs w:val="21"/>
                <w:shd w:val="clear" w:color="auto" w:fill="auto"/>
              </w:rPr>
            </w:pPr>
          </w:p>
        </w:tc>
      </w:tr>
      <w:tr w14:paraId="215C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continue"/>
            <w:vAlign w:val="center"/>
          </w:tcPr>
          <w:p w14:paraId="7143DC84">
            <w:pPr>
              <w:keepNext w:val="0"/>
              <w:keepLines w:val="0"/>
              <w:suppressLineNumbers w:val="0"/>
              <w:spacing w:before="0" w:beforeAutospacing="0" w:after="0" w:afterAutospacing="0"/>
              <w:ind w:left="0" w:right="0"/>
              <w:jc w:val="center"/>
              <w:rPr>
                <w:rFonts w:hint="eastAsia" w:ascii="宋体" w:hAnsi="宋体"/>
                <w:color w:val="auto"/>
                <w:sz w:val="22"/>
                <w:szCs w:val="21"/>
              </w:rPr>
            </w:pPr>
          </w:p>
        </w:tc>
        <w:tc>
          <w:tcPr>
            <w:tcW w:w="1134" w:type="dxa"/>
            <w:vAlign w:val="center"/>
          </w:tcPr>
          <w:p w14:paraId="404119F5">
            <w:pPr>
              <w:keepNext w:val="0"/>
              <w:keepLines w:val="0"/>
              <w:suppressLineNumbers w:val="0"/>
              <w:spacing w:before="0" w:beforeAutospacing="0" w:after="0" w:afterAutospacing="0"/>
              <w:ind w:left="0" w:right="0"/>
              <w:jc w:val="center"/>
              <w:rPr>
                <w:rFonts w:hint="default" w:ascii="宋体" w:hAnsi="宋体"/>
                <w:color w:val="auto"/>
                <w:sz w:val="22"/>
                <w:szCs w:val="21"/>
                <w:shd w:val="clear" w:color="auto" w:fill="auto"/>
              </w:rPr>
            </w:pPr>
            <w:r>
              <w:rPr>
                <w:rFonts w:hint="default" w:ascii="宋体" w:hAnsi="宋体" w:eastAsia="宋体"/>
                <w:color w:val="auto"/>
                <w:sz w:val="22"/>
                <w:szCs w:val="21"/>
                <w:shd w:val="clear" w:color="auto" w:fill="auto"/>
              </w:rPr>
              <w:t>22</w:t>
            </w:r>
          </w:p>
        </w:tc>
        <w:tc>
          <w:tcPr>
            <w:tcW w:w="1913" w:type="dxa"/>
            <w:vAlign w:val="center"/>
          </w:tcPr>
          <w:p w14:paraId="5BA911E6">
            <w:pPr>
              <w:keepNext w:val="0"/>
              <w:keepLines w:val="0"/>
              <w:suppressLineNumbers w:val="0"/>
              <w:spacing w:before="0" w:beforeAutospacing="0" w:after="0" w:afterAutospacing="0"/>
              <w:ind w:left="0" w:right="0"/>
              <w:rPr>
                <w:rFonts w:hint="eastAsia" w:ascii="宋体" w:hAnsi="宋体"/>
                <w:color w:val="auto"/>
                <w:sz w:val="22"/>
                <w:szCs w:val="21"/>
                <w:shd w:val="clear" w:color="auto" w:fill="auto"/>
              </w:rPr>
            </w:pPr>
            <w:r>
              <w:rPr>
                <w:rFonts w:hint="eastAsia" w:ascii="宋体" w:hAnsi="宋体" w:eastAsia="宋体"/>
                <w:color w:val="auto"/>
                <w:sz w:val="22"/>
                <w:szCs w:val="21"/>
                <w:shd w:val="clear" w:color="auto" w:fill="auto"/>
              </w:rPr>
              <w:t>电脑模型或手绘渲染草图（若干）</w:t>
            </w:r>
          </w:p>
        </w:tc>
        <w:tc>
          <w:tcPr>
            <w:tcW w:w="2273" w:type="dxa"/>
            <w:vAlign w:val="center"/>
          </w:tcPr>
          <w:p w14:paraId="660F9FE3">
            <w:pPr>
              <w:keepNext w:val="0"/>
              <w:keepLines w:val="0"/>
              <w:suppressLineNumbers w:val="0"/>
              <w:spacing w:before="0" w:beforeAutospacing="0" w:after="0" w:afterAutospacing="0"/>
              <w:ind w:left="0" w:right="0"/>
              <w:jc w:val="center"/>
              <w:rPr>
                <w:rFonts w:hint="default" w:ascii="宋体" w:hAnsi="宋体"/>
                <w:color w:val="auto"/>
                <w:sz w:val="22"/>
                <w:szCs w:val="21"/>
                <w:shd w:val="clear" w:color="auto" w:fill="auto"/>
              </w:rPr>
            </w:pPr>
          </w:p>
        </w:tc>
        <w:tc>
          <w:tcPr>
            <w:tcW w:w="2253" w:type="dxa"/>
            <w:vAlign w:val="center"/>
          </w:tcPr>
          <w:p w14:paraId="22DA431C">
            <w:pPr>
              <w:keepNext w:val="0"/>
              <w:keepLines w:val="0"/>
              <w:suppressLineNumbers w:val="0"/>
              <w:spacing w:before="0" w:beforeAutospacing="0" w:after="0" w:afterAutospacing="0"/>
              <w:ind w:left="0" w:right="0"/>
              <w:rPr>
                <w:rFonts w:hint="eastAsia" w:ascii="宋体" w:hAnsi="宋体"/>
                <w:color w:val="auto"/>
                <w:sz w:val="22"/>
                <w:szCs w:val="21"/>
                <w:shd w:val="clear" w:color="auto" w:fill="auto"/>
              </w:rPr>
            </w:pPr>
            <w:r>
              <w:rPr>
                <w:rFonts w:hint="eastAsia" w:ascii="宋体" w:hAnsi="宋体" w:eastAsia="宋体"/>
                <w:color w:val="auto"/>
                <w:sz w:val="22"/>
                <w:szCs w:val="21"/>
                <w:shd w:val="clear" w:color="auto" w:fill="auto"/>
              </w:rPr>
              <w:t>对建筑外立面和建筑体量进行表达的过程文件</w:t>
            </w:r>
          </w:p>
        </w:tc>
      </w:tr>
      <w:tr w14:paraId="7692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14:paraId="007B6634">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2D29F054">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23</w:t>
            </w:r>
          </w:p>
        </w:tc>
        <w:tc>
          <w:tcPr>
            <w:tcW w:w="1913" w:type="dxa"/>
            <w:vAlign w:val="center"/>
          </w:tcPr>
          <w:p w14:paraId="190176B6">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方案设计文本</w:t>
            </w:r>
            <w:r>
              <w:rPr>
                <w:rFonts w:hint="default" w:ascii="宋体" w:hAnsi="宋体"/>
                <w:color w:val="auto"/>
                <w:sz w:val="22"/>
                <w:szCs w:val="21"/>
              </w:rPr>
              <w:t>4</w:t>
            </w:r>
            <w:r>
              <w:rPr>
                <w:rFonts w:hint="eastAsia" w:ascii="宋体" w:hAnsi="宋体"/>
                <w:color w:val="auto"/>
                <w:sz w:val="22"/>
                <w:szCs w:val="21"/>
              </w:rPr>
              <w:t>套</w:t>
            </w:r>
          </w:p>
        </w:tc>
        <w:tc>
          <w:tcPr>
            <w:tcW w:w="2273" w:type="dxa"/>
            <w:vAlign w:val="center"/>
          </w:tcPr>
          <w:p w14:paraId="306366A9">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A3</w:t>
            </w:r>
          </w:p>
        </w:tc>
        <w:tc>
          <w:tcPr>
            <w:tcW w:w="2253" w:type="dxa"/>
            <w:vAlign w:val="center"/>
          </w:tcPr>
          <w:p w14:paraId="3D286ADE">
            <w:pPr>
              <w:keepNext w:val="0"/>
              <w:keepLines w:val="0"/>
              <w:suppressLineNumbers w:val="0"/>
              <w:spacing w:before="0" w:beforeAutospacing="0" w:after="0" w:afterAutospacing="0"/>
              <w:ind w:left="0" w:right="0"/>
              <w:rPr>
                <w:rFonts w:hint="default" w:ascii="宋体" w:hAnsi="宋体"/>
                <w:color w:val="auto"/>
                <w:sz w:val="22"/>
                <w:szCs w:val="21"/>
              </w:rPr>
            </w:pPr>
          </w:p>
        </w:tc>
      </w:tr>
      <w:tr w14:paraId="00F9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831" w:type="dxa"/>
            <w:vMerge w:val="continue"/>
            <w:vAlign w:val="center"/>
          </w:tcPr>
          <w:p w14:paraId="4AA7BBD1">
            <w:pPr>
              <w:keepNext w:val="0"/>
              <w:keepLines w:val="0"/>
              <w:suppressLineNumbers w:val="0"/>
              <w:spacing w:before="0" w:beforeAutospacing="0" w:after="0" w:afterAutospacing="0"/>
              <w:ind w:left="0" w:right="0"/>
              <w:rPr>
                <w:rFonts w:hint="default" w:ascii="宋体" w:hAnsi="宋体"/>
                <w:color w:val="auto"/>
                <w:sz w:val="22"/>
                <w:szCs w:val="21"/>
              </w:rPr>
            </w:pPr>
          </w:p>
        </w:tc>
        <w:tc>
          <w:tcPr>
            <w:tcW w:w="1134" w:type="dxa"/>
            <w:vAlign w:val="center"/>
          </w:tcPr>
          <w:p w14:paraId="023BE9C5">
            <w:pPr>
              <w:keepNext w:val="0"/>
              <w:keepLines w:val="0"/>
              <w:suppressLineNumbers w:val="0"/>
              <w:spacing w:before="0" w:beforeAutospacing="0" w:after="0" w:afterAutospacing="0"/>
              <w:ind w:left="0" w:right="0"/>
              <w:jc w:val="center"/>
              <w:rPr>
                <w:rFonts w:hint="default" w:ascii="宋体" w:hAnsi="宋体"/>
                <w:color w:val="auto"/>
                <w:sz w:val="22"/>
                <w:szCs w:val="21"/>
              </w:rPr>
            </w:pPr>
            <w:r>
              <w:rPr>
                <w:rFonts w:hint="default" w:ascii="宋体" w:hAnsi="宋体"/>
                <w:color w:val="auto"/>
                <w:sz w:val="22"/>
                <w:szCs w:val="21"/>
              </w:rPr>
              <w:t>24</w:t>
            </w:r>
          </w:p>
        </w:tc>
        <w:tc>
          <w:tcPr>
            <w:tcW w:w="1913" w:type="dxa"/>
            <w:vAlign w:val="center"/>
          </w:tcPr>
          <w:p w14:paraId="0B826D9B">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bCs/>
                <w:color w:val="auto"/>
                <w:sz w:val="22"/>
                <w:szCs w:val="21"/>
              </w:rPr>
              <w:t>所有成果的电子文件光盘</w:t>
            </w:r>
            <w:r>
              <w:rPr>
                <w:rFonts w:hint="default" w:ascii="宋体" w:hAnsi="宋体"/>
                <w:bCs/>
                <w:color w:val="auto"/>
                <w:sz w:val="22"/>
                <w:szCs w:val="21"/>
              </w:rPr>
              <w:t>2</w:t>
            </w:r>
            <w:r>
              <w:rPr>
                <w:rFonts w:hint="eastAsia" w:ascii="宋体" w:hAnsi="宋体"/>
                <w:bCs/>
                <w:color w:val="auto"/>
                <w:sz w:val="22"/>
                <w:szCs w:val="21"/>
              </w:rPr>
              <w:t>套</w:t>
            </w:r>
          </w:p>
        </w:tc>
        <w:tc>
          <w:tcPr>
            <w:tcW w:w="2273" w:type="dxa"/>
            <w:vAlign w:val="center"/>
          </w:tcPr>
          <w:p w14:paraId="3697E893">
            <w:pPr>
              <w:keepNext w:val="0"/>
              <w:keepLines w:val="0"/>
              <w:suppressLineNumbers w:val="0"/>
              <w:spacing w:before="0" w:beforeAutospacing="0" w:after="0" w:afterAutospacing="0"/>
              <w:ind w:left="0" w:right="0"/>
              <w:jc w:val="center"/>
              <w:rPr>
                <w:rFonts w:hint="default" w:ascii="宋体" w:hAnsi="宋体"/>
                <w:color w:val="auto"/>
                <w:sz w:val="22"/>
                <w:szCs w:val="21"/>
              </w:rPr>
            </w:pPr>
          </w:p>
        </w:tc>
        <w:tc>
          <w:tcPr>
            <w:tcW w:w="2253" w:type="dxa"/>
            <w:vAlign w:val="center"/>
          </w:tcPr>
          <w:p w14:paraId="1127BA38">
            <w:pPr>
              <w:keepNext w:val="0"/>
              <w:keepLines w:val="0"/>
              <w:suppressLineNumbers w:val="0"/>
              <w:spacing w:before="0" w:beforeAutospacing="0" w:after="0" w:afterAutospacing="0"/>
              <w:ind w:left="0" w:right="0"/>
              <w:rPr>
                <w:rFonts w:hint="default" w:ascii="宋体" w:hAnsi="宋体"/>
                <w:color w:val="auto"/>
                <w:sz w:val="22"/>
                <w:szCs w:val="21"/>
              </w:rPr>
            </w:pPr>
            <w:r>
              <w:rPr>
                <w:rFonts w:hint="eastAsia" w:ascii="宋体" w:hAnsi="宋体"/>
                <w:color w:val="auto"/>
                <w:sz w:val="22"/>
                <w:szCs w:val="21"/>
              </w:rPr>
              <w:t>包括</w:t>
            </w:r>
            <w:r>
              <w:rPr>
                <w:rFonts w:hint="default" w:ascii="宋体" w:hAnsi="宋体"/>
                <w:color w:val="auto"/>
                <w:sz w:val="22"/>
                <w:szCs w:val="21"/>
              </w:rPr>
              <w:t>AutoCAD</w:t>
            </w:r>
            <w:r>
              <w:rPr>
                <w:rFonts w:hint="eastAsia" w:ascii="宋体" w:hAnsi="宋体"/>
                <w:color w:val="auto"/>
                <w:sz w:val="22"/>
                <w:szCs w:val="21"/>
              </w:rPr>
              <w:t>文件、图像文件、文本文件等</w:t>
            </w:r>
          </w:p>
        </w:tc>
      </w:tr>
    </w:tbl>
    <w:p w14:paraId="7D090C12">
      <w:pPr>
        <w:tabs>
          <w:tab w:val="left" w:pos="720"/>
        </w:tabs>
        <w:spacing w:before="156" w:beforeLines="50" w:after="156" w:afterLines="50"/>
        <w:ind w:firstLine="480"/>
        <w:rPr>
          <w:rFonts w:ascii="宋体" w:hAnsi="宋体"/>
          <w:bCs/>
          <w:color w:val="auto"/>
          <w:sz w:val="24"/>
          <w:szCs w:val="21"/>
        </w:rPr>
      </w:pPr>
      <w:r>
        <w:rPr>
          <w:rFonts w:ascii="宋体" w:hAnsi="宋体"/>
          <w:bCs/>
          <w:color w:val="auto"/>
          <w:sz w:val="24"/>
          <w:szCs w:val="21"/>
        </w:rPr>
        <w:t xml:space="preserve">  </w:t>
      </w:r>
      <w:r>
        <w:rPr>
          <w:rFonts w:hint="eastAsia" w:ascii="宋体" w:hAnsi="宋体"/>
          <w:bCs/>
          <w:color w:val="auto"/>
          <w:sz w:val="24"/>
          <w:szCs w:val="21"/>
        </w:rPr>
        <w:t>图纸内容深度须满足《建筑工程设计文件编制深度规定》（</w:t>
      </w:r>
      <w:r>
        <w:rPr>
          <w:rFonts w:ascii="宋体" w:hAnsi="宋体"/>
          <w:bCs/>
          <w:color w:val="auto"/>
          <w:sz w:val="24"/>
          <w:szCs w:val="21"/>
        </w:rPr>
        <w:t>20</w:t>
      </w:r>
      <w:r>
        <w:rPr>
          <w:rFonts w:hint="eastAsia" w:ascii="宋体" w:hAnsi="宋体"/>
          <w:bCs/>
          <w:color w:val="auto"/>
          <w:sz w:val="24"/>
          <w:szCs w:val="21"/>
        </w:rPr>
        <w:t>16版）关于</w:t>
      </w:r>
      <w:r>
        <w:rPr>
          <w:rFonts w:hint="eastAsia" w:ascii="宋体" w:hAnsi="宋体"/>
          <w:color w:val="auto"/>
          <w:sz w:val="24"/>
          <w:szCs w:val="21"/>
        </w:rPr>
        <w:t>方案设计深度要求。</w:t>
      </w:r>
    </w:p>
    <w:p w14:paraId="5C846B35">
      <w:pPr>
        <w:pStyle w:val="67"/>
        <w:numPr>
          <w:ilvl w:val="0"/>
          <w:numId w:val="46"/>
        </w:numPr>
        <w:tabs>
          <w:tab w:val="left" w:pos="0"/>
        </w:tabs>
        <w:ind w:left="0" w:firstLine="0" w:firstLineChars="0"/>
        <w:outlineLvl w:val="2"/>
        <w:rPr>
          <w:rFonts w:ascii="宋体" w:hAnsi="宋体" w:eastAsia="宋体"/>
          <w:bCs/>
          <w:color w:val="auto"/>
          <w:szCs w:val="21"/>
        </w:rPr>
      </w:pPr>
      <w:bookmarkStart w:id="323" w:name="_Toc12377"/>
      <w:r>
        <w:rPr>
          <w:rFonts w:hint="eastAsia" w:ascii="宋体" w:hAnsi="宋体" w:eastAsia="宋体"/>
          <w:bCs/>
          <w:color w:val="auto"/>
          <w:szCs w:val="21"/>
        </w:rPr>
        <w:t>方案深化设计阶段</w:t>
      </w:r>
      <w:bookmarkEnd w:id="323"/>
    </w:p>
    <w:p w14:paraId="5AE3049A">
      <w:pPr>
        <w:pStyle w:val="67"/>
        <w:numPr>
          <w:ilvl w:val="0"/>
          <w:numId w:val="47"/>
        </w:numPr>
        <w:tabs>
          <w:tab w:val="left" w:pos="720"/>
        </w:tabs>
        <w:ind w:left="0" w:firstLine="480" w:firstLineChars="0"/>
        <w:rPr>
          <w:rFonts w:ascii="宋体" w:hAnsi="宋体" w:eastAsia="宋体"/>
          <w:bCs/>
          <w:color w:val="auto"/>
          <w:sz w:val="24"/>
          <w:szCs w:val="21"/>
        </w:rPr>
      </w:pPr>
      <w:r>
        <w:rPr>
          <w:rFonts w:hint="eastAsia" w:ascii="宋体" w:hAnsi="宋体" w:eastAsia="宋体"/>
          <w:bCs/>
          <w:color w:val="auto"/>
          <w:sz w:val="24"/>
          <w:szCs w:val="21"/>
        </w:rPr>
        <w:t>方案深化设计阶段（即初步设计阶段）的成果内容应包括但不限于以下内容：</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8"/>
        <w:gridCol w:w="851"/>
        <w:gridCol w:w="1861"/>
        <w:gridCol w:w="850"/>
        <w:gridCol w:w="3898"/>
      </w:tblGrid>
      <w:tr w14:paraId="519B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1068" w:type="dxa"/>
            <w:shd w:val="clear" w:color="auto" w:fill="E0E0E0"/>
            <w:vAlign w:val="center"/>
          </w:tcPr>
          <w:p w14:paraId="72990DDF">
            <w:pPr>
              <w:keepNext w:val="0"/>
              <w:keepLines w:val="0"/>
              <w:suppressLineNumbers w:val="0"/>
              <w:spacing w:before="0" w:beforeAutospacing="0" w:after="0" w:afterAutospacing="0"/>
              <w:ind w:left="0" w:right="0"/>
              <w:jc w:val="center"/>
              <w:rPr>
                <w:rFonts w:hint="default" w:ascii="宋体" w:hAnsi="宋体"/>
                <w:b/>
                <w:color w:val="auto"/>
                <w:sz w:val="22"/>
              </w:rPr>
            </w:pPr>
            <w:r>
              <w:rPr>
                <w:rFonts w:hint="eastAsia" w:ascii="宋体" w:hAnsi="宋体"/>
                <w:b/>
                <w:color w:val="auto"/>
                <w:sz w:val="22"/>
              </w:rPr>
              <w:t>分类</w:t>
            </w:r>
          </w:p>
        </w:tc>
        <w:tc>
          <w:tcPr>
            <w:tcW w:w="851" w:type="dxa"/>
            <w:shd w:val="clear" w:color="auto" w:fill="E0E0E0"/>
            <w:vAlign w:val="center"/>
          </w:tcPr>
          <w:p w14:paraId="408C5333">
            <w:pPr>
              <w:keepNext w:val="0"/>
              <w:keepLines w:val="0"/>
              <w:suppressLineNumbers w:val="0"/>
              <w:spacing w:before="0" w:beforeAutospacing="0" w:after="0" w:afterAutospacing="0"/>
              <w:ind w:left="0" w:right="0"/>
              <w:jc w:val="center"/>
              <w:rPr>
                <w:rFonts w:hint="default" w:ascii="宋体" w:hAnsi="宋体"/>
                <w:b/>
                <w:color w:val="auto"/>
                <w:sz w:val="22"/>
              </w:rPr>
            </w:pPr>
            <w:r>
              <w:rPr>
                <w:rFonts w:hint="eastAsia" w:ascii="宋体" w:hAnsi="宋体"/>
                <w:b/>
                <w:color w:val="auto"/>
                <w:sz w:val="22"/>
              </w:rPr>
              <w:t>序号</w:t>
            </w:r>
          </w:p>
        </w:tc>
        <w:tc>
          <w:tcPr>
            <w:tcW w:w="1861" w:type="dxa"/>
            <w:shd w:val="clear" w:color="auto" w:fill="E0E0E0"/>
            <w:vAlign w:val="center"/>
          </w:tcPr>
          <w:p w14:paraId="07D245F3">
            <w:pPr>
              <w:keepNext w:val="0"/>
              <w:keepLines w:val="0"/>
              <w:suppressLineNumbers w:val="0"/>
              <w:spacing w:before="0" w:beforeAutospacing="0" w:after="0" w:afterAutospacing="0"/>
              <w:ind w:left="0" w:right="0"/>
              <w:jc w:val="center"/>
              <w:rPr>
                <w:rFonts w:hint="default" w:ascii="宋体" w:hAnsi="宋体"/>
                <w:b/>
                <w:color w:val="auto"/>
                <w:sz w:val="22"/>
              </w:rPr>
            </w:pPr>
            <w:r>
              <w:rPr>
                <w:rFonts w:hint="eastAsia" w:ascii="宋体" w:hAnsi="宋体"/>
                <w:b/>
                <w:color w:val="auto"/>
                <w:sz w:val="22"/>
              </w:rPr>
              <w:t>图纸名称</w:t>
            </w:r>
          </w:p>
        </w:tc>
        <w:tc>
          <w:tcPr>
            <w:tcW w:w="850" w:type="dxa"/>
            <w:shd w:val="clear" w:color="auto" w:fill="E0E0E0"/>
            <w:vAlign w:val="center"/>
          </w:tcPr>
          <w:p w14:paraId="007EF3CB">
            <w:pPr>
              <w:keepNext w:val="0"/>
              <w:keepLines w:val="0"/>
              <w:suppressLineNumbers w:val="0"/>
              <w:spacing w:before="0" w:beforeAutospacing="0" w:after="0" w:afterAutospacing="0"/>
              <w:ind w:left="0" w:right="0"/>
              <w:jc w:val="center"/>
              <w:rPr>
                <w:rFonts w:hint="default" w:ascii="宋体" w:hAnsi="宋体"/>
                <w:b/>
                <w:color w:val="auto"/>
                <w:sz w:val="22"/>
              </w:rPr>
            </w:pPr>
            <w:r>
              <w:rPr>
                <w:rFonts w:hint="eastAsia" w:ascii="宋体" w:hAnsi="宋体"/>
                <w:b/>
                <w:color w:val="auto"/>
                <w:sz w:val="22"/>
              </w:rPr>
              <w:t>比例</w:t>
            </w:r>
            <w:r>
              <w:rPr>
                <w:rFonts w:hint="default" w:ascii="宋体" w:hAnsi="宋体"/>
                <w:b/>
                <w:color w:val="auto"/>
                <w:sz w:val="22"/>
              </w:rPr>
              <w:t>/</w:t>
            </w:r>
            <w:r>
              <w:rPr>
                <w:rFonts w:hint="eastAsia" w:ascii="宋体" w:hAnsi="宋体"/>
                <w:b/>
                <w:color w:val="auto"/>
                <w:sz w:val="22"/>
              </w:rPr>
              <w:t>尺寸</w:t>
            </w:r>
          </w:p>
        </w:tc>
        <w:tc>
          <w:tcPr>
            <w:tcW w:w="3898" w:type="dxa"/>
            <w:shd w:val="clear" w:color="auto" w:fill="E0E0E0"/>
            <w:vAlign w:val="center"/>
          </w:tcPr>
          <w:p w14:paraId="2E670C07">
            <w:pPr>
              <w:keepNext w:val="0"/>
              <w:keepLines w:val="0"/>
              <w:suppressLineNumbers w:val="0"/>
              <w:spacing w:before="0" w:beforeAutospacing="0" w:after="0" w:afterAutospacing="0"/>
              <w:ind w:left="0" w:right="0"/>
              <w:jc w:val="center"/>
              <w:rPr>
                <w:rFonts w:hint="default" w:ascii="宋体" w:hAnsi="宋体"/>
                <w:b/>
                <w:color w:val="auto"/>
                <w:sz w:val="22"/>
              </w:rPr>
            </w:pPr>
            <w:r>
              <w:rPr>
                <w:rFonts w:hint="eastAsia" w:ascii="宋体" w:hAnsi="宋体"/>
                <w:b/>
                <w:color w:val="auto"/>
                <w:sz w:val="22"/>
              </w:rPr>
              <w:t>备注</w:t>
            </w:r>
          </w:p>
        </w:tc>
      </w:tr>
      <w:tr w14:paraId="67B1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restart"/>
            <w:vAlign w:val="center"/>
          </w:tcPr>
          <w:p w14:paraId="3D829460">
            <w:pPr>
              <w:keepNext w:val="0"/>
              <w:keepLines w:val="0"/>
              <w:suppressLineNumbers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设计说明</w:t>
            </w:r>
          </w:p>
        </w:tc>
        <w:tc>
          <w:tcPr>
            <w:tcW w:w="851" w:type="dxa"/>
            <w:vAlign w:val="center"/>
          </w:tcPr>
          <w:p w14:paraId="7E1AE8BE">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1</w:t>
            </w:r>
          </w:p>
        </w:tc>
        <w:tc>
          <w:tcPr>
            <w:tcW w:w="1861" w:type="dxa"/>
            <w:vAlign w:val="center"/>
          </w:tcPr>
          <w:p w14:paraId="6AF36491">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设计总说明</w:t>
            </w:r>
          </w:p>
        </w:tc>
        <w:tc>
          <w:tcPr>
            <w:tcW w:w="850" w:type="dxa"/>
            <w:vAlign w:val="center"/>
          </w:tcPr>
          <w:p w14:paraId="1B32DB5E">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3B90A43B">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含工程设计依据、工程建设规模和设计范围、总指标、设计特点、提请在设计审批时需要解决或确定的主要问题</w:t>
            </w:r>
          </w:p>
        </w:tc>
      </w:tr>
      <w:tr w14:paraId="3AF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0850DC8B">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352C039F">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2</w:t>
            </w:r>
          </w:p>
        </w:tc>
        <w:tc>
          <w:tcPr>
            <w:tcW w:w="1861" w:type="dxa"/>
            <w:vAlign w:val="center"/>
          </w:tcPr>
          <w:p w14:paraId="683CA00E">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总平面设计说明</w:t>
            </w:r>
          </w:p>
        </w:tc>
        <w:tc>
          <w:tcPr>
            <w:tcW w:w="850" w:type="dxa"/>
            <w:vAlign w:val="center"/>
          </w:tcPr>
          <w:p w14:paraId="38E2B3B9">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4E2D7D24">
            <w:pPr>
              <w:keepNext w:val="0"/>
              <w:keepLines w:val="0"/>
              <w:suppressLineNumbers w:val="0"/>
              <w:spacing w:before="0" w:beforeAutospacing="0" w:after="0" w:afterAutospacing="0"/>
              <w:ind w:left="0" w:right="0"/>
              <w:rPr>
                <w:rFonts w:hint="default" w:ascii="宋体" w:hAnsi="宋体"/>
                <w:color w:val="auto"/>
                <w:sz w:val="22"/>
              </w:rPr>
            </w:pPr>
          </w:p>
        </w:tc>
      </w:tr>
      <w:tr w14:paraId="1B54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57E1B6AF">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45A69E6A">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3</w:t>
            </w:r>
          </w:p>
        </w:tc>
        <w:tc>
          <w:tcPr>
            <w:tcW w:w="1861" w:type="dxa"/>
            <w:vAlign w:val="center"/>
          </w:tcPr>
          <w:p w14:paraId="129E1CCF">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建筑设计说明</w:t>
            </w:r>
          </w:p>
        </w:tc>
        <w:tc>
          <w:tcPr>
            <w:tcW w:w="850" w:type="dxa"/>
            <w:vAlign w:val="center"/>
          </w:tcPr>
          <w:p w14:paraId="32C1F247">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46D6DC45">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含防火设计说明、建筑节能说明</w:t>
            </w:r>
          </w:p>
        </w:tc>
      </w:tr>
      <w:tr w14:paraId="3268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4F0BA78F">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79E36C8A">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4</w:t>
            </w:r>
          </w:p>
        </w:tc>
        <w:tc>
          <w:tcPr>
            <w:tcW w:w="1861" w:type="dxa"/>
            <w:vAlign w:val="center"/>
          </w:tcPr>
          <w:p w14:paraId="371ECF34">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结构设计说明</w:t>
            </w:r>
          </w:p>
        </w:tc>
        <w:tc>
          <w:tcPr>
            <w:tcW w:w="850" w:type="dxa"/>
            <w:vAlign w:val="center"/>
          </w:tcPr>
          <w:p w14:paraId="0674C639">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2636617F">
            <w:pPr>
              <w:keepNext w:val="0"/>
              <w:keepLines w:val="0"/>
              <w:suppressLineNumbers w:val="0"/>
              <w:spacing w:before="0" w:beforeAutospacing="0" w:after="0" w:afterAutospacing="0"/>
              <w:ind w:left="0" w:right="0"/>
              <w:rPr>
                <w:rFonts w:hint="default" w:ascii="宋体" w:hAnsi="宋体"/>
                <w:color w:val="auto"/>
                <w:sz w:val="22"/>
              </w:rPr>
            </w:pPr>
          </w:p>
        </w:tc>
      </w:tr>
      <w:tr w14:paraId="176D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3BABDDAD">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524A8E03">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5</w:t>
            </w:r>
          </w:p>
        </w:tc>
        <w:tc>
          <w:tcPr>
            <w:tcW w:w="1861" w:type="dxa"/>
            <w:vAlign w:val="center"/>
          </w:tcPr>
          <w:p w14:paraId="4F28E13D">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建筑电气设计说明</w:t>
            </w:r>
          </w:p>
        </w:tc>
        <w:tc>
          <w:tcPr>
            <w:tcW w:w="850" w:type="dxa"/>
            <w:vAlign w:val="center"/>
          </w:tcPr>
          <w:p w14:paraId="16E41047">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5488690B">
            <w:pPr>
              <w:keepNext w:val="0"/>
              <w:keepLines w:val="0"/>
              <w:suppressLineNumbers w:val="0"/>
              <w:spacing w:before="0" w:beforeAutospacing="0" w:after="0" w:afterAutospacing="0"/>
              <w:ind w:left="0" w:right="0"/>
              <w:rPr>
                <w:rFonts w:hint="default" w:ascii="宋体" w:hAnsi="宋体"/>
                <w:color w:val="auto"/>
                <w:sz w:val="22"/>
              </w:rPr>
            </w:pPr>
          </w:p>
        </w:tc>
      </w:tr>
      <w:tr w14:paraId="0878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2ECEA079">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7B7B5A07">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6</w:t>
            </w:r>
          </w:p>
        </w:tc>
        <w:tc>
          <w:tcPr>
            <w:tcW w:w="1861" w:type="dxa"/>
            <w:vAlign w:val="center"/>
          </w:tcPr>
          <w:p w14:paraId="6146F687">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给水排水设计说明</w:t>
            </w:r>
          </w:p>
        </w:tc>
        <w:tc>
          <w:tcPr>
            <w:tcW w:w="850" w:type="dxa"/>
            <w:vAlign w:val="center"/>
          </w:tcPr>
          <w:p w14:paraId="44306BC1">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195DD0D0">
            <w:pPr>
              <w:keepNext w:val="0"/>
              <w:keepLines w:val="0"/>
              <w:suppressLineNumbers w:val="0"/>
              <w:spacing w:before="0" w:beforeAutospacing="0" w:after="0" w:afterAutospacing="0"/>
              <w:ind w:left="0" w:right="0"/>
              <w:rPr>
                <w:rFonts w:hint="default" w:ascii="宋体" w:hAnsi="宋体"/>
                <w:color w:val="auto"/>
                <w:sz w:val="22"/>
              </w:rPr>
            </w:pPr>
          </w:p>
        </w:tc>
      </w:tr>
      <w:tr w14:paraId="0EE9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15CD0A64">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26D7A9D1">
            <w:pPr>
              <w:keepNext w:val="0"/>
              <w:keepLines w:val="0"/>
              <w:suppressLineNumbers w:val="0"/>
              <w:spacing w:before="0" w:beforeAutospacing="0" w:after="0" w:afterAutospacing="0"/>
              <w:ind w:left="0" w:right="0"/>
              <w:jc w:val="center"/>
              <w:rPr>
                <w:rFonts w:hint="default" w:ascii="宋体" w:hAnsi="宋体"/>
                <w:color w:val="auto"/>
                <w:sz w:val="22"/>
              </w:rPr>
            </w:pPr>
            <w:r>
              <w:rPr>
                <w:rFonts w:hint="default" w:ascii="宋体" w:hAnsi="宋体"/>
                <w:color w:val="auto"/>
                <w:sz w:val="22"/>
              </w:rPr>
              <w:t>7</w:t>
            </w:r>
          </w:p>
        </w:tc>
        <w:tc>
          <w:tcPr>
            <w:tcW w:w="1861" w:type="dxa"/>
            <w:vAlign w:val="center"/>
          </w:tcPr>
          <w:p w14:paraId="30AA9C72">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采暖通风与空气调节设计说明</w:t>
            </w:r>
          </w:p>
        </w:tc>
        <w:tc>
          <w:tcPr>
            <w:tcW w:w="850" w:type="dxa"/>
            <w:vAlign w:val="center"/>
          </w:tcPr>
          <w:p w14:paraId="42BFF279">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533194FD">
            <w:pPr>
              <w:keepNext w:val="0"/>
              <w:keepLines w:val="0"/>
              <w:suppressLineNumbers w:val="0"/>
              <w:spacing w:before="0" w:beforeAutospacing="0" w:after="0" w:afterAutospacing="0"/>
              <w:ind w:left="0" w:right="0"/>
              <w:rPr>
                <w:rFonts w:hint="default" w:ascii="宋体" w:hAnsi="宋体"/>
                <w:color w:val="auto"/>
                <w:sz w:val="22"/>
              </w:rPr>
            </w:pPr>
          </w:p>
        </w:tc>
      </w:tr>
      <w:tr w14:paraId="4FB4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14:paraId="32878E4C">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6FDA035A">
            <w:pPr>
              <w:keepNext w:val="0"/>
              <w:keepLines w:val="0"/>
              <w:suppressLineNumbers w:val="0"/>
              <w:spacing w:before="0" w:beforeAutospacing="0" w:after="0" w:afterAutospacing="0"/>
              <w:ind w:left="0" w:right="0"/>
              <w:jc w:val="center"/>
              <w:rPr>
                <w:rFonts w:hint="eastAsia" w:ascii="宋体" w:hAnsi="宋体" w:eastAsia="宋体"/>
                <w:color w:val="auto"/>
                <w:sz w:val="22"/>
                <w:lang w:val="en-US" w:eastAsia="zh-CN"/>
              </w:rPr>
            </w:pPr>
            <w:r>
              <w:rPr>
                <w:rFonts w:hint="eastAsia" w:ascii="宋体" w:hAnsi="宋体"/>
                <w:color w:val="auto"/>
                <w:sz w:val="22"/>
                <w:lang w:val="en-US" w:eastAsia="zh-CN"/>
              </w:rPr>
              <w:t>8</w:t>
            </w:r>
          </w:p>
        </w:tc>
        <w:tc>
          <w:tcPr>
            <w:tcW w:w="1861" w:type="dxa"/>
            <w:vAlign w:val="center"/>
          </w:tcPr>
          <w:p w14:paraId="0D52E963">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设计概算文件</w:t>
            </w:r>
          </w:p>
        </w:tc>
        <w:tc>
          <w:tcPr>
            <w:tcW w:w="850" w:type="dxa"/>
            <w:vAlign w:val="center"/>
          </w:tcPr>
          <w:p w14:paraId="6AA7543F">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4BC7C496">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含编制说明、建设项目总概算表、其他费用表、单项工程综合概算表、单位工程概算书</w:t>
            </w:r>
          </w:p>
        </w:tc>
      </w:tr>
      <w:tr w14:paraId="5B70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1068" w:type="dxa"/>
            <w:vMerge w:val="restart"/>
            <w:vAlign w:val="center"/>
          </w:tcPr>
          <w:p w14:paraId="3F94AE26">
            <w:pPr>
              <w:keepNext w:val="0"/>
              <w:keepLines w:val="0"/>
              <w:suppressLineNumbers w:val="0"/>
              <w:spacing w:before="0" w:beforeAutospacing="0" w:after="0" w:afterAutospacing="0"/>
              <w:ind w:left="0" w:right="0"/>
              <w:jc w:val="center"/>
              <w:rPr>
                <w:rFonts w:hint="default" w:ascii="宋体" w:hAnsi="宋体"/>
                <w:color w:val="auto"/>
                <w:sz w:val="22"/>
              </w:rPr>
            </w:pPr>
            <w:r>
              <w:rPr>
                <w:rFonts w:hint="eastAsia" w:ascii="宋体" w:hAnsi="宋体"/>
                <w:color w:val="auto"/>
                <w:sz w:val="22"/>
              </w:rPr>
              <w:t>各专业图纸</w:t>
            </w:r>
          </w:p>
        </w:tc>
        <w:tc>
          <w:tcPr>
            <w:tcW w:w="851" w:type="dxa"/>
            <w:vAlign w:val="center"/>
          </w:tcPr>
          <w:p w14:paraId="6B35DCC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9</w:t>
            </w:r>
          </w:p>
        </w:tc>
        <w:tc>
          <w:tcPr>
            <w:tcW w:w="1861" w:type="dxa"/>
            <w:vAlign w:val="center"/>
          </w:tcPr>
          <w:p w14:paraId="64860AF4">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总平面图</w:t>
            </w:r>
          </w:p>
        </w:tc>
        <w:tc>
          <w:tcPr>
            <w:tcW w:w="850" w:type="dxa"/>
            <w:vAlign w:val="center"/>
          </w:tcPr>
          <w:p w14:paraId="3E00EC19">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495363D2">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含区域位置图、总平面图、绿化规划图、竖向布置图、道路交通系统规划图、管线综合平衡图）</w:t>
            </w:r>
          </w:p>
        </w:tc>
      </w:tr>
      <w:tr w14:paraId="3364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1068" w:type="dxa"/>
            <w:vMerge w:val="continue"/>
            <w:vAlign w:val="center"/>
          </w:tcPr>
          <w:p w14:paraId="149B8468">
            <w:pPr>
              <w:keepNext w:val="0"/>
              <w:keepLines w:val="0"/>
              <w:suppressLineNumbers w:val="0"/>
              <w:spacing w:before="0" w:beforeAutospacing="0" w:after="0" w:afterAutospacing="0"/>
              <w:ind w:left="0" w:right="0"/>
              <w:jc w:val="center"/>
              <w:rPr>
                <w:rFonts w:hint="default" w:ascii="宋体" w:hAnsi="宋体"/>
                <w:color w:val="auto"/>
                <w:sz w:val="22"/>
              </w:rPr>
            </w:pPr>
          </w:p>
        </w:tc>
        <w:tc>
          <w:tcPr>
            <w:tcW w:w="851" w:type="dxa"/>
            <w:vAlign w:val="center"/>
          </w:tcPr>
          <w:p w14:paraId="743444B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rPr>
              <w:t>10</w:t>
            </w:r>
          </w:p>
        </w:tc>
        <w:tc>
          <w:tcPr>
            <w:tcW w:w="1861" w:type="dxa"/>
            <w:vAlign w:val="center"/>
          </w:tcPr>
          <w:p w14:paraId="19DECB62">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建筑专业图纸</w:t>
            </w:r>
          </w:p>
        </w:tc>
        <w:tc>
          <w:tcPr>
            <w:tcW w:w="850" w:type="dxa"/>
            <w:vAlign w:val="center"/>
          </w:tcPr>
          <w:p w14:paraId="42AE8293">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05DED74A">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含各层平面图、立面图、剖面图、防火分区图。其中，立面图不少于</w:t>
            </w:r>
            <w:r>
              <w:rPr>
                <w:rFonts w:hint="default" w:ascii="宋体" w:hAnsi="宋体"/>
                <w:color w:val="auto"/>
                <w:sz w:val="22"/>
              </w:rPr>
              <w:t>3</w:t>
            </w:r>
            <w:r>
              <w:rPr>
                <w:rFonts w:hint="eastAsia" w:ascii="宋体" w:hAnsi="宋体"/>
                <w:color w:val="auto"/>
                <w:sz w:val="22"/>
              </w:rPr>
              <w:t>个，剖面图不少于</w:t>
            </w:r>
            <w:r>
              <w:rPr>
                <w:rFonts w:hint="default" w:ascii="宋体" w:hAnsi="宋体"/>
                <w:color w:val="auto"/>
                <w:sz w:val="22"/>
              </w:rPr>
              <w:t>2</w:t>
            </w:r>
            <w:r>
              <w:rPr>
                <w:rFonts w:hint="eastAsia" w:ascii="宋体" w:hAnsi="宋体"/>
                <w:color w:val="auto"/>
                <w:sz w:val="22"/>
              </w:rPr>
              <w:t>个</w:t>
            </w:r>
          </w:p>
        </w:tc>
      </w:tr>
      <w:tr w14:paraId="5839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68" w:type="dxa"/>
            <w:vMerge w:val="continue"/>
            <w:vAlign w:val="center"/>
          </w:tcPr>
          <w:p w14:paraId="5B515E70">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5EB8201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1</w:t>
            </w:r>
          </w:p>
        </w:tc>
        <w:tc>
          <w:tcPr>
            <w:tcW w:w="1861" w:type="dxa"/>
            <w:vAlign w:val="center"/>
          </w:tcPr>
          <w:p w14:paraId="3F402787">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结构专业图纸</w:t>
            </w:r>
          </w:p>
        </w:tc>
        <w:tc>
          <w:tcPr>
            <w:tcW w:w="850" w:type="dxa"/>
            <w:vAlign w:val="center"/>
          </w:tcPr>
          <w:p w14:paraId="68FD2924">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2CFAB20C">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含基础平面图及主要基础构件的截面尺寸、主要楼层结构平面布置图、结构主要或关键性节点、支座示意图、结构计算书</w:t>
            </w:r>
          </w:p>
        </w:tc>
      </w:tr>
      <w:tr w14:paraId="210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 w:hRule="atLeast"/>
          <w:jc w:val="center"/>
        </w:trPr>
        <w:tc>
          <w:tcPr>
            <w:tcW w:w="1068" w:type="dxa"/>
            <w:vMerge w:val="continue"/>
            <w:vAlign w:val="center"/>
          </w:tcPr>
          <w:p w14:paraId="1BECC405">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3AE71A8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2</w:t>
            </w:r>
          </w:p>
        </w:tc>
        <w:tc>
          <w:tcPr>
            <w:tcW w:w="1861" w:type="dxa"/>
            <w:vAlign w:val="center"/>
          </w:tcPr>
          <w:p w14:paraId="6609A899">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电气专业图纸</w:t>
            </w:r>
          </w:p>
        </w:tc>
        <w:tc>
          <w:tcPr>
            <w:tcW w:w="850" w:type="dxa"/>
            <w:vAlign w:val="center"/>
          </w:tcPr>
          <w:p w14:paraId="5D138848">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34D4C79F">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含电气总平面图、变配电系统图、配电照明系统图、火灾自动报警系统图、通信网络系统图、防雷接地系统图、主要电气设备表、计算书</w:t>
            </w:r>
          </w:p>
        </w:tc>
      </w:tr>
      <w:tr w14:paraId="6D9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68" w:type="dxa"/>
            <w:vMerge w:val="continue"/>
            <w:vAlign w:val="center"/>
          </w:tcPr>
          <w:p w14:paraId="4528573B">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2ABA693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3</w:t>
            </w:r>
          </w:p>
        </w:tc>
        <w:tc>
          <w:tcPr>
            <w:tcW w:w="1861" w:type="dxa"/>
            <w:vAlign w:val="center"/>
          </w:tcPr>
          <w:p w14:paraId="11784DC7">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给排水专业图</w:t>
            </w:r>
          </w:p>
        </w:tc>
        <w:tc>
          <w:tcPr>
            <w:tcW w:w="850" w:type="dxa"/>
            <w:vAlign w:val="center"/>
          </w:tcPr>
          <w:p w14:paraId="3B4F41BE">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5BE396B3">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含建筑室外给水排水总平面图、建筑给水排水局部总平面图、建筑室内给水排水平面图和系统原理图、主要设备器材表、计算书</w:t>
            </w:r>
          </w:p>
        </w:tc>
      </w:tr>
      <w:tr w14:paraId="4334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1068" w:type="dxa"/>
            <w:vMerge w:val="continue"/>
            <w:vAlign w:val="center"/>
          </w:tcPr>
          <w:p w14:paraId="348D914C">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1410075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4</w:t>
            </w:r>
          </w:p>
        </w:tc>
        <w:tc>
          <w:tcPr>
            <w:tcW w:w="1861" w:type="dxa"/>
            <w:vAlign w:val="center"/>
          </w:tcPr>
          <w:p w14:paraId="2DD7B3B0">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采暖通风与空气调节专业图</w:t>
            </w:r>
          </w:p>
        </w:tc>
        <w:tc>
          <w:tcPr>
            <w:tcW w:w="850" w:type="dxa"/>
            <w:vAlign w:val="center"/>
          </w:tcPr>
          <w:p w14:paraId="2652C27E">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29DCB832">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含主要平面布置图、系统流程图、通风空调防排烟平面图、冷热源机房平面图、计算书</w:t>
            </w:r>
          </w:p>
        </w:tc>
      </w:tr>
      <w:tr w14:paraId="5478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1068" w:type="dxa"/>
            <w:vMerge w:val="continue"/>
            <w:vAlign w:val="center"/>
          </w:tcPr>
          <w:p w14:paraId="69C42FBA">
            <w:pPr>
              <w:keepNext w:val="0"/>
              <w:keepLines w:val="0"/>
              <w:suppressLineNumbers w:val="0"/>
              <w:spacing w:before="0" w:beforeAutospacing="0" w:after="0" w:afterAutospacing="0"/>
              <w:ind w:left="0" w:right="0"/>
              <w:rPr>
                <w:rFonts w:hint="default" w:ascii="宋体" w:hAnsi="宋体"/>
                <w:color w:val="auto"/>
                <w:sz w:val="22"/>
              </w:rPr>
            </w:pPr>
          </w:p>
        </w:tc>
        <w:tc>
          <w:tcPr>
            <w:tcW w:w="851" w:type="dxa"/>
            <w:vAlign w:val="center"/>
          </w:tcPr>
          <w:p w14:paraId="11BA9BC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15</w:t>
            </w:r>
          </w:p>
        </w:tc>
        <w:tc>
          <w:tcPr>
            <w:tcW w:w="1861" w:type="dxa"/>
            <w:vAlign w:val="center"/>
          </w:tcPr>
          <w:p w14:paraId="0B0FAF89">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配套专业</w:t>
            </w:r>
          </w:p>
        </w:tc>
        <w:tc>
          <w:tcPr>
            <w:tcW w:w="850" w:type="dxa"/>
            <w:vAlign w:val="center"/>
          </w:tcPr>
          <w:p w14:paraId="411E6C4F">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32F41BB0">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项目用地范围内基础配套设施工程设计、室内外管线综合平衡设计、室内外体育设施、室外市政、园林工程设计、室内外标识系统设计的方案设计、初步设计，初步设计概算等；</w:t>
            </w:r>
          </w:p>
        </w:tc>
      </w:tr>
      <w:tr w14:paraId="0E7F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 w:hRule="atLeast"/>
          <w:jc w:val="center"/>
        </w:trPr>
        <w:tc>
          <w:tcPr>
            <w:tcW w:w="1068" w:type="dxa"/>
            <w:vMerge w:val="restart"/>
            <w:vAlign w:val="center"/>
          </w:tcPr>
          <w:p w14:paraId="12B12958">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其他</w:t>
            </w:r>
          </w:p>
        </w:tc>
        <w:tc>
          <w:tcPr>
            <w:tcW w:w="851" w:type="dxa"/>
            <w:vAlign w:val="center"/>
          </w:tcPr>
          <w:p w14:paraId="2820377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eastAsia" w:ascii="宋体" w:hAnsi="宋体"/>
                <w:color w:val="auto"/>
                <w:sz w:val="22"/>
              </w:rPr>
              <w:t>16</w:t>
            </w:r>
          </w:p>
        </w:tc>
        <w:tc>
          <w:tcPr>
            <w:tcW w:w="1861" w:type="dxa"/>
            <w:vAlign w:val="center"/>
          </w:tcPr>
          <w:p w14:paraId="646E5208">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鸟瞰图</w:t>
            </w:r>
          </w:p>
        </w:tc>
        <w:tc>
          <w:tcPr>
            <w:tcW w:w="850" w:type="dxa"/>
            <w:vAlign w:val="center"/>
          </w:tcPr>
          <w:p w14:paraId="2E0E5AA3">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6345BB47">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不少于</w:t>
            </w:r>
            <w:r>
              <w:rPr>
                <w:rFonts w:hint="default" w:ascii="宋体" w:hAnsi="宋体"/>
                <w:color w:val="auto"/>
                <w:sz w:val="22"/>
              </w:rPr>
              <w:t>2</w:t>
            </w:r>
            <w:r>
              <w:rPr>
                <w:rFonts w:hint="eastAsia" w:ascii="宋体" w:hAnsi="宋体"/>
                <w:color w:val="auto"/>
                <w:sz w:val="22"/>
              </w:rPr>
              <w:t>张</w:t>
            </w:r>
          </w:p>
        </w:tc>
      </w:tr>
      <w:tr w14:paraId="38E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4" w:hRule="atLeast"/>
          <w:jc w:val="center"/>
        </w:trPr>
        <w:tc>
          <w:tcPr>
            <w:tcW w:w="1068" w:type="dxa"/>
            <w:vMerge w:val="continue"/>
            <w:vAlign w:val="center"/>
          </w:tcPr>
          <w:p w14:paraId="3AD39A53">
            <w:pPr>
              <w:keepNext w:val="0"/>
              <w:keepLines w:val="0"/>
              <w:suppressLineNumbers w:val="0"/>
              <w:spacing w:before="0" w:beforeAutospacing="0" w:after="0" w:afterAutospacing="0"/>
              <w:ind w:left="0" w:right="0"/>
              <w:rPr>
                <w:rFonts w:hint="default" w:ascii="宋体" w:hAnsi="宋体"/>
                <w:color w:val="auto"/>
                <w:szCs w:val="21"/>
              </w:rPr>
            </w:pPr>
          </w:p>
        </w:tc>
        <w:tc>
          <w:tcPr>
            <w:tcW w:w="851" w:type="dxa"/>
            <w:vAlign w:val="center"/>
          </w:tcPr>
          <w:p w14:paraId="7274536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7</w:t>
            </w:r>
          </w:p>
        </w:tc>
        <w:tc>
          <w:tcPr>
            <w:tcW w:w="1861" w:type="dxa"/>
            <w:vAlign w:val="center"/>
          </w:tcPr>
          <w:p w14:paraId="1A751E8B">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局部空间透视图</w:t>
            </w:r>
          </w:p>
        </w:tc>
        <w:tc>
          <w:tcPr>
            <w:tcW w:w="850" w:type="dxa"/>
            <w:vAlign w:val="center"/>
          </w:tcPr>
          <w:p w14:paraId="4AFAEDC2">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77926904">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不少于</w:t>
            </w:r>
            <w:r>
              <w:rPr>
                <w:rFonts w:hint="default" w:ascii="宋体" w:hAnsi="宋体"/>
                <w:color w:val="auto"/>
                <w:sz w:val="22"/>
              </w:rPr>
              <w:t>6</w:t>
            </w:r>
            <w:r>
              <w:rPr>
                <w:rFonts w:hint="eastAsia" w:ascii="宋体" w:hAnsi="宋体"/>
                <w:color w:val="auto"/>
                <w:sz w:val="22"/>
              </w:rPr>
              <w:t>张</w:t>
            </w:r>
          </w:p>
        </w:tc>
      </w:tr>
      <w:tr w14:paraId="00A5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4" w:hRule="atLeast"/>
          <w:jc w:val="center"/>
        </w:trPr>
        <w:tc>
          <w:tcPr>
            <w:tcW w:w="1068" w:type="dxa"/>
            <w:vMerge w:val="continue"/>
          </w:tcPr>
          <w:p w14:paraId="3B6C8108">
            <w:pPr>
              <w:keepNext w:val="0"/>
              <w:keepLines w:val="0"/>
              <w:suppressLineNumbers w:val="0"/>
              <w:spacing w:before="0" w:beforeAutospacing="0" w:after="0" w:afterAutospacing="0"/>
              <w:ind w:left="0" w:right="0"/>
              <w:rPr>
                <w:rFonts w:hint="default" w:ascii="宋体" w:hAnsi="宋体"/>
                <w:color w:val="auto"/>
                <w:szCs w:val="21"/>
              </w:rPr>
            </w:pPr>
          </w:p>
        </w:tc>
        <w:tc>
          <w:tcPr>
            <w:tcW w:w="851" w:type="dxa"/>
            <w:vAlign w:val="center"/>
          </w:tcPr>
          <w:p w14:paraId="019A542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4"/>
                <w:lang w:val="en-US" w:eastAsia="zh-CN" w:bidi="ar-SA"/>
              </w:rPr>
            </w:pPr>
            <w:r>
              <w:rPr>
                <w:rFonts w:hint="default" w:ascii="宋体" w:hAnsi="宋体"/>
                <w:color w:val="auto"/>
                <w:sz w:val="22"/>
              </w:rPr>
              <w:t>1</w:t>
            </w:r>
            <w:r>
              <w:rPr>
                <w:rFonts w:hint="eastAsia" w:ascii="宋体" w:hAnsi="宋体"/>
                <w:color w:val="auto"/>
                <w:sz w:val="22"/>
              </w:rPr>
              <w:t>8</w:t>
            </w:r>
          </w:p>
        </w:tc>
        <w:tc>
          <w:tcPr>
            <w:tcW w:w="1861" w:type="dxa"/>
            <w:vAlign w:val="center"/>
          </w:tcPr>
          <w:p w14:paraId="59A74B06">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eastAsia="宋体"/>
                <w:color w:val="auto"/>
                <w:sz w:val="22"/>
                <w:highlight w:val="none"/>
                <w:lang w:val="en-US" w:eastAsia="zh-CN"/>
              </w:rPr>
              <w:t>基座不小于3米x3米沙盘</w:t>
            </w:r>
          </w:p>
        </w:tc>
        <w:tc>
          <w:tcPr>
            <w:tcW w:w="850" w:type="dxa"/>
            <w:vAlign w:val="center"/>
          </w:tcPr>
          <w:p w14:paraId="46F826B4">
            <w:pPr>
              <w:keepNext w:val="0"/>
              <w:keepLines w:val="0"/>
              <w:suppressLineNumbers w:val="0"/>
              <w:spacing w:before="0" w:beforeAutospacing="0" w:after="0" w:afterAutospacing="0"/>
              <w:ind w:left="0" w:right="0"/>
              <w:jc w:val="center"/>
              <w:rPr>
                <w:rFonts w:hint="default" w:ascii="宋体" w:hAnsi="宋体"/>
                <w:color w:val="auto"/>
                <w:sz w:val="22"/>
              </w:rPr>
            </w:pPr>
          </w:p>
        </w:tc>
        <w:tc>
          <w:tcPr>
            <w:tcW w:w="3898" w:type="dxa"/>
            <w:vAlign w:val="center"/>
          </w:tcPr>
          <w:p w14:paraId="56DDCA28">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eastAsia="宋体"/>
                <w:color w:val="auto"/>
                <w:sz w:val="22"/>
                <w:highlight w:val="none"/>
                <w:lang w:val="en-US" w:eastAsia="zh-CN"/>
              </w:rPr>
              <w:t>不少于1个</w:t>
            </w:r>
          </w:p>
        </w:tc>
      </w:tr>
    </w:tbl>
    <w:p w14:paraId="6E183BCD">
      <w:pPr>
        <w:pStyle w:val="67"/>
        <w:numPr>
          <w:ilvl w:val="0"/>
          <w:numId w:val="47"/>
        </w:numPr>
        <w:tabs>
          <w:tab w:val="left" w:pos="0"/>
        </w:tabs>
        <w:spacing w:before="156" w:beforeLines="50" w:after="156" w:afterLines="50"/>
        <w:ind w:left="0" w:firstLine="484" w:firstLineChars="202"/>
        <w:rPr>
          <w:rFonts w:ascii="宋体" w:hAnsi="宋体" w:eastAsia="宋体"/>
          <w:color w:val="auto"/>
          <w:sz w:val="24"/>
          <w:szCs w:val="24"/>
        </w:rPr>
      </w:pPr>
      <w:r>
        <w:rPr>
          <w:rFonts w:hint="eastAsia" w:ascii="宋体" w:hAnsi="宋体" w:eastAsia="宋体"/>
          <w:bCs/>
          <w:color w:val="auto"/>
          <w:sz w:val="24"/>
          <w:szCs w:val="24"/>
        </w:rPr>
        <w:t>图纸内容深度须满足《建筑工程设计文件编制深度规定》（</w:t>
      </w:r>
      <w:r>
        <w:rPr>
          <w:rFonts w:ascii="宋体" w:hAnsi="宋体" w:eastAsia="宋体"/>
          <w:bCs/>
          <w:color w:val="auto"/>
          <w:sz w:val="24"/>
          <w:szCs w:val="24"/>
        </w:rPr>
        <w:t>20</w:t>
      </w:r>
      <w:r>
        <w:rPr>
          <w:rFonts w:hint="eastAsia" w:ascii="宋体" w:hAnsi="宋体" w:eastAsia="宋体"/>
          <w:bCs/>
          <w:color w:val="auto"/>
          <w:sz w:val="24"/>
          <w:szCs w:val="24"/>
        </w:rPr>
        <w:t>16版）关于</w:t>
      </w:r>
      <w:r>
        <w:rPr>
          <w:rFonts w:hint="eastAsia" w:ascii="宋体" w:hAnsi="宋体" w:eastAsia="宋体"/>
          <w:color w:val="auto"/>
          <w:sz w:val="24"/>
          <w:szCs w:val="24"/>
        </w:rPr>
        <w:t>初步设计深度要求。</w:t>
      </w:r>
    </w:p>
    <w:p w14:paraId="1F71084C">
      <w:pPr>
        <w:pStyle w:val="67"/>
        <w:numPr>
          <w:ilvl w:val="0"/>
          <w:numId w:val="42"/>
        </w:numPr>
        <w:tabs>
          <w:tab w:val="left" w:pos="0"/>
        </w:tabs>
        <w:ind w:left="0" w:firstLine="282" w:firstLineChars="101"/>
        <w:outlineLvl w:val="2"/>
        <w:rPr>
          <w:rFonts w:ascii="宋体" w:hAnsi="宋体" w:eastAsia="宋体"/>
          <w:bCs/>
          <w:color w:val="auto"/>
          <w:szCs w:val="21"/>
        </w:rPr>
      </w:pPr>
      <w:bookmarkStart w:id="324" w:name="_Toc25794"/>
      <w:r>
        <w:rPr>
          <w:rFonts w:hint="eastAsia" w:ascii="宋体" w:hAnsi="宋体" w:eastAsia="宋体"/>
          <w:bCs/>
          <w:color w:val="auto"/>
          <w:szCs w:val="21"/>
        </w:rPr>
        <w:t>施工图设计阶段</w:t>
      </w:r>
      <w:bookmarkEnd w:id="324"/>
    </w:p>
    <w:p w14:paraId="6BF791F3">
      <w:pPr>
        <w:tabs>
          <w:tab w:val="left" w:pos="0"/>
        </w:tabs>
        <w:ind w:firstLine="480"/>
        <w:rPr>
          <w:rFonts w:ascii="宋体" w:hAnsi="宋体"/>
          <w:bCs/>
          <w:color w:val="auto"/>
          <w:sz w:val="20"/>
          <w:szCs w:val="28"/>
        </w:rPr>
      </w:pPr>
      <w:r>
        <w:rPr>
          <w:rFonts w:ascii="宋体" w:hAnsi="宋体"/>
          <w:bCs/>
          <w:color w:val="auto"/>
          <w:sz w:val="24"/>
          <w:szCs w:val="28"/>
        </w:rPr>
        <w:t>1</w:t>
      </w:r>
      <w:r>
        <w:rPr>
          <w:rFonts w:hint="eastAsia" w:ascii="宋体" w:hAnsi="宋体"/>
          <w:bCs/>
          <w:color w:val="auto"/>
          <w:sz w:val="24"/>
          <w:szCs w:val="28"/>
        </w:rPr>
        <w:t>）施工图设计阶段的成果内容应包括但不限于以下内容：</w:t>
      </w:r>
    </w:p>
    <w:tbl>
      <w:tblPr>
        <w:tblStyle w:val="2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4"/>
        <w:gridCol w:w="709"/>
        <w:gridCol w:w="2268"/>
        <w:gridCol w:w="772"/>
        <w:gridCol w:w="4037"/>
      </w:tblGrid>
      <w:tr w14:paraId="2F32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724" w:type="dxa"/>
            <w:shd w:val="clear" w:color="auto" w:fill="E0E0E0"/>
            <w:vAlign w:val="center"/>
          </w:tcPr>
          <w:p w14:paraId="7A52A3FC">
            <w:pPr>
              <w:keepNext w:val="0"/>
              <w:keepLines w:val="0"/>
              <w:suppressLineNumbers w:val="0"/>
              <w:spacing w:before="0" w:beforeAutospacing="0" w:after="0" w:afterAutospacing="0"/>
              <w:ind w:left="0" w:right="0"/>
              <w:jc w:val="center"/>
              <w:rPr>
                <w:rFonts w:hint="default" w:ascii="宋体" w:hAnsi="宋体"/>
                <w:b/>
                <w:color w:val="auto"/>
                <w:sz w:val="22"/>
                <w:szCs w:val="22"/>
              </w:rPr>
            </w:pPr>
            <w:r>
              <w:rPr>
                <w:rFonts w:hint="eastAsia" w:ascii="宋体" w:hAnsi="宋体"/>
                <w:b/>
                <w:color w:val="auto"/>
                <w:sz w:val="22"/>
                <w:szCs w:val="22"/>
              </w:rPr>
              <w:t>分类</w:t>
            </w:r>
          </w:p>
        </w:tc>
        <w:tc>
          <w:tcPr>
            <w:tcW w:w="709" w:type="dxa"/>
            <w:shd w:val="clear" w:color="auto" w:fill="E0E0E0"/>
            <w:vAlign w:val="center"/>
          </w:tcPr>
          <w:p w14:paraId="3BC12BA9">
            <w:pPr>
              <w:keepNext w:val="0"/>
              <w:keepLines w:val="0"/>
              <w:suppressLineNumbers w:val="0"/>
              <w:spacing w:before="0" w:beforeAutospacing="0" w:after="0" w:afterAutospacing="0"/>
              <w:ind w:left="0" w:right="0"/>
              <w:jc w:val="center"/>
              <w:rPr>
                <w:rFonts w:hint="default" w:ascii="宋体" w:hAnsi="宋体"/>
                <w:b/>
                <w:color w:val="auto"/>
                <w:sz w:val="22"/>
                <w:szCs w:val="22"/>
              </w:rPr>
            </w:pPr>
            <w:r>
              <w:rPr>
                <w:rFonts w:hint="eastAsia" w:ascii="宋体" w:hAnsi="宋体"/>
                <w:b/>
                <w:color w:val="auto"/>
                <w:sz w:val="22"/>
                <w:szCs w:val="22"/>
              </w:rPr>
              <w:t>序号</w:t>
            </w:r>
          </w:p>
        </w:tc>
        <w:tc>
          <w:tcPr>
            <w:tcW w:w="2268" w:type="dxa"/>
            <w:shd w:val="clear" w:color="auto" w:fill="E0E0E0"/>
            <w:vAlign w:val="center"/>
          </w:tcPr>
          <w:p w14:paraId="3889EBBE">
            <w:pPr>
              <w:keepNext w:val="0"/>
              <w:keepLines w:val="0"/>
              <w:suppressLineNumbers w:val="0"/>
              <w:spacing w:before="0" w:beforeAutospacing="0" w:after="0" w:afterAutospacing="0"/>
              <w:ind w:left="0" w:right="0"/>
              <w:jc w:val="center"/>
              <w:rPr>
                <w:rFonts w:hint="default" w:ascii="宋体" w:hAnsi="宋体"/>
                <w:b/>
                <w:color w:val="auto"/>
                <w:sz w:val="22"/>
                <w:szCs w:val="22"/>
              </w:rPr>
            </w:pPr>
            <w:r>
              <w:rPr>
                <w:rFonts w:hint="eastAsia" w:ascii="宋体" w:hAnsi="宋体"/>
                <w:b/>
                <w:color w:val="auto"/>
                <w:sz w:val="22"/>
                <w:szCs w:val="22"/>
              </w:rPr>
              <w:t>图纸名称</w:t>
            </w:r>
          </w:p>
        </w:tc>
        <w:tc>
          <w:tcPr>
            <w:tcW w:w="772" w:type="dxa"/>
            <w:shd w:val="clear" w:color="auto" w:fill="E0E0E0"/>
            <w:vAlign w:val="center"/>
          </w:tcPr>
          <w:p w14:paraId="6DCAA0F2">
            <w:pPr>
              <w:keepNext w:val="0"/>
              <w:keepLines w:val="0"/>
              <w:suppressLineNumbers w:val="0"/>
              <w:spacing w:before="0" w:beforeAutospacing="0" w:after="0" w:afterAutospacing="0"/>
              <w:ind w:left="0" w:right="0"/>
              <w:jc w:val="center"/>
              <w:rPr>
                <w:rFonts w:hint="default" w:ascii="宋体" w:hAnsi="宋体"/>
                <w:b/>
                <w:color w:val="auto"/>
                <w:sz w:val="22"/>
                <w:szCs w:val="22"/>
              </w:rPr>
            </w:pPr>
            <w:r>
              <w:rPr>
                <w:rFonts w:hint="eastAsia" w:ascii="宋体" w:hAnsi="宋体"/>
                <w:b/>
                <w:color w:val="auto"/>
                <w:sz w:val="22"/>
                <w:szCs w:val="22"/>
              </w:rPr>
              <w:t>比例</w:t>
            </w:r>
            <w:r>
              <w:rPr>
                <w:rFonts w:hint="default" w:ascii="宋体" w:hAnsi="宋体"/>
                <w:b/>
                <w:color w:val="auto"/>
                <w:sz w:val="22"/>
                <w:szCs w:val="22"/>
              </w:rPr>
              <w:t>/</w:t>
            </w:r>
            <w:r>
              <w:rPr>
                <w:rFonts w:hint="eastAsia" w:ascii="宋体" w:hAnsi="宋体"/>
                <w:b/>
                <w:color w:val="auto"/>
                <w:sz w:val="22"/>
                <w:szCs w:val="22"/>
              </w:rPr>
              <w:t>尺寸</w:t>
            </w:r>
          </w:p>
        </w:tc>
        <w:tc>
          <w:tcPr>
            <w:tcW w:w="4037" w:type="dxa"/>
            <w:shd w:val="clear" w:color="auto" w:fill="E0E0E0"/>
            <w:vAlign w:val="center"/>
          </w:tcPr>
          <w:p w14:paraId="1E29DBE3">
            <w:pPr>
              <w:keepNext w:val="0"/>
              <w:keepLines w:val="0"/>
              <w:suppressLineNumbers w:val="0"/>
              <w:spacing w:before="0" w:beforeAutospacing="0" w:after="0" w:afterAutospacing="0"/>
              <w:ind w:left="0" w:right="0"/>
              <w:jc w:val="center"/>
              <w:rPr>
                <w:rFonts w:hint="default" w:ascii="宋体" w:hAnsi="宋体"/>
                <w:b/>
                <w:color w:val="auto"/>
                <w:sz w:val="22"/>
                <w:szCs w:val="22"/>
              </w:rPr>
            </w:pPr>
            <w:r>
              <w:rPr>
                <w:rFonts w:hint="eastAsia" w:ascii="宋体" w:hAnsi="宋体"/>
                <w:b/>
                <w:color w:val="auto"/>
                <w:sz w:val="22"/>
                <w:szCs w:val="22"/>
              </w:rPr>
              <w:t>备注</w:t>
            </w:r>
          </w:p>
        </w:tc>
      </w:tr>
      <w:tr w14:paraId="43E3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restart"/>
            <w:vAlign w:val="center"/>
          </w:tcPr>
          <w:p w14:paraId="5956A7EC">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设计说明</w:t>
            </w:r>
          </w:p>
        </w:tc>
        <w:tc>
          <w:tcPr>
            <w:tcW w:w="709" w:type="dxa"/>
            <w:vAlign w:val="center"/>
          </w:tcPr>
          <w:p w14:paraId="61E4C1D5">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w:t>
            </w:r>
          </w:p>
        </w:tc>
        <w:tc>
          <w:tcPr>
            <w:tcW w:w="2268" w:type="dxa"/>
            <w:vAlign w:val="center"/>
          </w:tcPr>
          <w:p w14:paraId="1FF1D6E4">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总平面设计说明</w:t>
            </w:r>
          </w:p>
        </w:tc>
        <w:tc>
          <w:tcPr>
            <w:tcW w:w="772" w:type="dxa"/>
            <w:vAlign w:val="center"/>
          </w:tcPr>
          <w:p w14:paraId="628C6809">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243A56A6">
            <w:pPr>
              <w:keepNext w:val="0"/>
              <w:keepLines w:val="0"/>
              <w:suppressLineNumbers w:val="0"/>
              <w:spacing w:before="0" w:beforeAutospacing="0" w:after="0" w:afterAutospacing="0"/>
              <w:ind w:left="0" w:right="0"/>
              <w:rPr>
                <w:rFonts w:hint="default" w:ascii="宋体" w:hAnsi="宋体"/>
                <w:color w:val="auto"/>
                <w:sz w:val="22"/>
                <w:szCs w:val="22"/>
              </w:rPr>
            </w:pPr>
          </w:p>
        </w:tc>
      </w:tr>
      <w:tr w14:paraId="51D6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789B90A5">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69497473">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2</w:t>
            </w:r>
          </w:p>
        </w:tc>
        <w:tc>
          <w:tcPr>
            <w:tcW w:w="2268" w:type="dxa"/>
            <w:vAlign w:val="center"/>
          </w:tcPr>
          <w:p w14:paraId="1ACBCBE0">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建筑设计说明</w:t>
            </w:r>
          </w:p>
        </w:tc>
        <w:tc>
          <w:tcPr>
            <w:tcW w:w="772" w:type="dxa"/>
            <w:vAlign w:val="center"/>
          </w:tcPr>
          <w:p w14:paraId="744AC736">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4E886C46">
            <w:pPr>
              <w:keepNext w:val="0"/>
              <w:keepLines w:val="0"/>
              <w:suppressLineNumbers w:val="0"/>
              <w:spacing w:before="0" w:beforeAutospacing="0" w:after="0" w:afterAutospacing="0"/>
              <w:ind w:left="0" w:right="0"/>
              <w:rPr>
                <w:rFonts w:hint="default" w:ascii="宋体" w:hAnsi="宋体"/>
                <w:color w:val="auto"/>
                <w:sz w:val="22"/>
                <w:szCs w:val="22"/>
              </w:rPr>
            </w:pPr>
          </w:p>
        </w:tc>
      </w:tr>
      <w:tr w14:paraId="647E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76196E21">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3F15F19A">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3</w:t>
            </w:r>
          </w:p>
        </w:tc>
        <w:tc>
          <w:tcPr>
            <w:tcW w:w="2268" w:type="dxa"/>
            <w:vAlign w:val="center"/>
          </w:tcPr>
          <w:p w14:paraId="451C83C6">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结构设计说明</w:t>
            </w:r>
          </w:p>
        </w:tc>
        <w:tc>
          <w:tcPr>
            <w:tcW w:w="772" w:type="dxa"/>
            <w:vAlign w:val="center"/>
          </w:tcPr>
          <w:p w14:paraId="76D8BF2B">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5A065FC3">
            <w:pPr>
              <w:keepNext w:val="0"/>
              <w:keepLines w:val="0"/>
              <w:suppressLineNumbers w:val="0"/>
              <w:spacing w:before="0" w:beforeAutospacing="0" w:after="0" w:afterAutospacing="0"/>
              <w:ind w:left="0" w:right="0"/>
              <w:rPr>
                <w:rFonts w:hint="default" w:ascii="宋体" w:hAnsi="宋体"/>
                <w:color w:val="auto"/>
                <w:sz w:val="22"/>
                <w:szCs w:val="22"/>
              </w:rPr>
            </w:pPr>
          </w:p>
        </w:tc>
      </w:tr>
      <w:tr w14:paraId="7A0B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7A46550E">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72F0EFB4">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4</w:t>
            </w:r>
          </w:p>
        </w:tc>
        <w:tc>
          <w:tcPr>
            <w:tcW w:w="2268" w:type="dxa"/>
            <w:vAlign w:val="center"/>
          </w:tcPr>
          <w:p w14:paraId="7DE38B86">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建筑电气设计说明</w:t>
            </w:r>
          </w:p>
        </w:tc>
        <w:tc>
          <w:tcPr>
            <w:tcW w:w="772" w:type="dxa"/>
            <w:vAlign w:val="center"/>
          </w:tcPr>
          <w:p w14:paraId="1F2602AF">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44EDC798">
            <w:pPr>
              <w:keepNext w:val="0"/>
              <w:keepLines w:val="0"/>
              <w:suppressLineNumbers w:val="0"/>
              <w:spacing w:before="0" w:beforeAutospacing="0" w:after="0" w:afterAutospacing="0"/>
              <w:ind w:left="0" w:right="0"/>
              <w:rPr>
                <w:rFonts w:hint="default" w:ascii="宋体" w:hAnsi="宋体"/>
                <w:color w:val="auto"/>
                <w:sz w:val="22"/>
                <w:szCs w:val="22"/>
              </w:rPr>
            </w:pPr>
          </w:p>
        </w:tc>
      </w:tr>
      <w:tr w14:paraId="3FF1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28C421EB">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15F51C10">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5</w:t>
            </w:r>
          </w:p>
        </w:tc>
        <w:tc>
          <w:tcPr>
            <w:tcW w:w="2268" w:type="dxa"/>
            <w:vAlign w:val="center"/>
          </w:tcPr>
          <w:p w14:paraId="6348B33B">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给水排水设计说明</w:t>
            </w:r>
          </w:p>
        </w:tc>
        <w:tc>
          <w:tcPr>
            <w:tcW w:w="772" w:type="dxa"/>
            <w:vAlign w:val="center"/>
          </w:tcPr>
          <w:p w14:paraId="1B6878A1">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4E807710">
            <w:pPr>
              <w:keepNext w:val="0"/>
              <w:keepLines w:val="0"/>
              <w:suppressLineNumbers w:val="0"/>
              <w:spacing w:before="0" w:beforeAutospacing="0" w:after="0" w:afterAutospacing="0"/>
              <w:ind w:left="0" w:right="0"/>
              <w:rPr>
                <w:rFonts w:hint="default" w:ascii="宋体" w:hAnsi="宋体"/>
                <w:color w:val="auto"/>
                <w:sz w:val="22"/>
                <w:szCs w:val="22"/>
              </w:rPr>
            </w:pPr>
          </w:p>
        </w:tc>
      </w:tr>
      <w:tr w14:paraId="6CC2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32BDDC39">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13ACF9BA">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6</w:t>
            </w:r>
          </w:p>
        </w:tc>
        <w:tc>
          <w:tcPr>
            <w:tcW w:w="2268" w:type="dxa"/>
            <w:vAlign w:val="center"/>
          </w:tcPr>
          <w:p w14:paraId="36F513C1">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采暖通风与空气调节设计说明</w:t>
            </w:r>
          </w:p>
        </w:tc>
        <w:tc>
          <w:tcPr>
            <w:tcW w:w="772" w:type="dxa"/>
            <w:vAlign w:val="center"/>
          </w:tcPr>
          <w:p w14:paraId="0B577A18">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7613A07B">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含设计说明和施工说明</w:t>
            </w:r>
          </w:p>
        </w:tc>
      </w:tr>
      <w:tr w14:paraId="7A6C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06504275">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04F5A45D">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7</w:t>
            </w:r>
          </w:p>
        </w:tc>
        <w:tc>
          <w:tcPr>
            <w:tcW w:w="2268" w:type="dxa"/>
            <w:vAlign w:val="center"/>
          </w:tcPr>
          <w:p w14:paraId="1EFEB55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lang w:eastAsia="zh-CN"/>
              </w:rPr>
              <w:t>概算</w:t>
            </w:r>
            <w:r>
              <w:rPr>
                <w:rFonts w:hint="eastAsia" w:ascii="宋体" w:hAnsi="宋体"/>
                <w:color w:val="auto"/>
                <w:sz w:val="22"/>
                <w:szCs w:val="22"/>
              </w:rPr>
              <w:t>文件</w:t>
            </w:r>
            <w:r>
              <w:rPr>
                <w:rFonts w:hint="eastAsia" w:ascii="宋体" w:hAnsi="宋体"/>
                <w:color w:val="auto"/>
                <w:sz w:val="22"/>
                <w:szCs w:val="22"/>
                <w:lang w:eastAsia="zh-CN"/>
              </w:rPr>
              <w:t>（施工图深度）</w:t>
            </w:r>
          </w:p>
        </w:tc>
        <w:tc>
          <w:tcPr>
            <w:tcW w:w="772" w:type="dxa"/>
            <w:vAlign w:val="center"/>
          </w:tcPr>
          <w:p w14:paraId="2547B45C">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tcPr>
          <w:p w14:paraId="3D9BCCB7">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含编制说明、建设项目总概算表</w:t>
            </w:r>
            <w:r>
              <w:rPr>
                <w:rFonts w:hint="eastAsia" w:ascii="宋体" w:hAnsi="宋体"/>
                <w:color w:val="auto"/>
                <w:sz w:val="22"/>
                <w:szCs w:val="22"/>
                <w:lang w:eastAsia="zh-CN"/>
              </w:rPr>
              <w:t>（其中建安工程费用包括</w:t>
            </w:r>
            <w:r>
              <w:rPr>
                <w:rFonts w:hint="eastAsia" w:ascii="宋体" w:hAnsi="宋体"/>
                <w:color w:val="auto"/>
                <w:sz w:val="22"/>
                <w:szCs w:val="22"/>
              </w:rPr>
              <w:t>单项工程综合预算表、单位工程预算书</w:t>
            </w:r>
            <w:r>
              <w:rPr>
                <w:rFonts w:hint="eastAsia" w:ascii="宋体" w:hAnsi="宋体"/>
                <w:color w:val="auto"/>
                <w:sz w:val="22"/>
                <w:szCs w:val="22"/>
                <w:lang w:eastAsia="zh-CN"/>
              </w:rPr>
              <w:t>等）、其他费用表</w:t>
            </w:r>
            <w:r>
              <w:rPr>
                <w:rFonts w:hint="eastAsia" w:ascii="宋体" w:hAnsi="宋体"/>
                <w:color w:val="auto"/>
                <w:sz w:val="22"/>
                <w:szCs w:val="22"/>
              </w:rPr>
              <w:t>。</w:t>
            </w:r>
            <w:r>
              <w:rPr>
                <w:rFonts w:hint="eastAsia" w:ascii="宋体" w:hAnsi="宋体"/>
                <w:color w:val="auto"/>
                <w:sz w:val="22"/>
                <w:szCs w:val="22"/>
                <w:lang w:eastAsia="zh-CN"/>
              </w:rPr>
              <w:t>概算</w:t>
            </w:r>
            <w:r>
              <w:rPr>
                <w:rFonts w:hint="eastAsia" w:ascii="宋体" w:hAnsi="宋体"/>
                <w:color w:val="auto"/>
                <w:sz w:val="22"/>
                <w:szCs w:val="22"/>
              </w:rPr>
              <w:t>建安工程费用编制依据应采用《广东省建设工程计价依据》2018年版，材料价格信息应采用当期增城区住房和建设局发布的《建设工程地方材料综合价格表》，若增城区住房和建设局发布的同期《建设工程地方材料税前综合价格表》中没有的材料设备、机械，则执行《广州地区建设工程常用材料税前综合价格》</w:t>
            </w:r>
          </w:p>
        </w:tc>
      </w:tr>
      <w:tr w14:paraId="0AF8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14:paraId="66105805">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384B9591">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8</w:t>
            </w:r>
          </w:p>
        </w:tc>
        <w:tc>
          <w:tcPr>
            <w:tcW w:w="2268" w:type="dxa"/>
            <w:vAlign w:val="center"/>
          </w:tcPr>
          <w:p w14:paraId="53BC4925">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工程量清单</w:t>
            </w:r>
          </w:p>
        </w:tc>
        <w:tc>
          <w:tcPr>
            <w:tcW w:w="772" w:type="dxa"/>
            <w:vAlign w:val="center"/>
          </w:tcPr>
          <w:p w14:paraId="310022CC">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0E2C73D8">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工程量清单应按照《建设工程工程量清单计价规范》（</w:t>
            </w:r>
            <w:r>
              <w:rPr>
                <w:rFonts w:hint="default" w:ascii="宋体" w:hAnsi="宋体"/>
                <w:color w:val="auto"/>
                <w:sz w:val="22"/>
                <w:szCs w:val="22"/>
              </w:rPr>
              <w:t>GB50500-20</w:t>
            </w:r>
            <w:r>
              <w:rPr>
                <w:rFonts w:hint="eastAsia" w:ascii="宋体" w:hAnsi="宋体"/>
                <w:color w:val="auto"/>
                <w:sz w:val="22"/>
                <w:szCs w:val="22"/>
                <w:lang w:val="en-US" w:eastAsia="zh-CN"/>
              </w:rPr>
              <w:t>24</w:t>
            </w:r>
            <w:r>
              <w:rPr>
                <w:rFonts w:hint="eastAsia" w:ascii="宋体" w:hAnsi="宋体"/>
                <w:color w:val="auto"/>
                <w:sz w:val="22"/>
                <w:szCs w:val="22"/>
              </w:rPr>
              <w:t>）进行编制；</w:t>
            </w:r>
          </w:p>
        </w:tc>
      </w:tr>
      <w:tr w14:paraId="43DB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724" w:type="dxa"/>
            <w:vMerge w:val="restart"/>
            <w:vAlign w:val="center"/>
          </w:tcPr>
          <w:p w14:paraId="44348964">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eastAsia" w:ascii="宋体" w:hAnsi="宋体"/>
                <w:color w:val="auto"/>
                <w:sz w:val="22"/>
                <w:szCs w:val="22"/>
              </w:rPr>
              <w:t>各专业图纸</w:t>
            </w:r>
          </w:p>
        </w:tc>
        <w:tc>
          <w:tcPr>
            <w:tcW w:w="709" w:type="dxa"/>
            <w:vAlign w:val="center"/>
          </w:tcPr>
          <w:p w14:paraId="40FA4372">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9</w:t>
            </w:r>
          </w:p>
        </w:tc>
        <w:tc>
          <w:tcPr>
            <w:tcW w:w="2268" w:type="dxa"/>
            <w:vAlign w:val="center"/>
          </w:tcPr>
          <w:p w14:paraId="38F1EE03">
            <w:pPr>
              <w:keepNext w:val="0"/>
              <w:keepLines w:val="0"/>
              <w:suppressLineNumbers w:val="0"/>
              <w:spacing w:before="0" w:beforeAutospacing="0" w:after="0" w:afterAutospacing="0"/>
              <w:ind w:left="0" w:right="0"/>
              <w:rPr>
                <w:rFonts w:hint="default" w:ascii="宋体" w:hAnsi="宋体"/>
                <w:color w:val="auto"/>
                <w:kern w:val="0"/>
                <w:sz w:val="22"/>
                <w:szCs w:val="22"/>
              </w:rPr>
            </w:pPr>
            <w:r>
              <w:rPr>
                <w:rFonts w:hint="eastAsia" w:ascii="宋体" w:hAnsi="宋体"/>
                <w:color w:val="auto"/>
                <w:sz w:val="22"/>
                <w:szCs w:val="22"/>
              </w:rPr>
              <w:t>总平面图</w:t>
            </w:r>
          </w:p>
        </w:tc>
        <w:tc>
          <w:tcPr>
            <w:tcW w:w="772" w:type="dxa"/>
            <w:vAlign w:val="center"/>
          </w:tcPr>
          <w:p w14:paraId="43261628">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5555301F">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w:t>
            </w:r>
            <w:r>
              <w:rPr>
                <w:rFonts w:hint="eastAsia" w:ascii="宋体" w:hAnsi="宋体"/>
                <w:color w:val="auto"/>
                <w:kern w:val="0"/>
                <w:sz w:val="22"/>
                <w:szCs w:val="22"/>
              </w:rPr>
              <w:t>现状地形图、</w:t>
            </w:r>
            <w:r>
              <w:rPr>
                <w:rFonts w:hint="eastAsia" w:ascii="宋体" w:hAnsi="宋体"/>
                <w:color w:val="auto"/>
                <w:sz w:val="22"/>
                <w:szCs w:val="22"/>
              </w:rPr>
              <w:t>总平面规划图、竖向布置图、场地土石方计算图、管道综合图、</w:t>
            </w:r>
            <w:r>
              <w:rPr>
                <w:rFonts w:hint="eastAsia" w:ascii="宋体" w:hAnsi="宋体"/>
                <w:color w:val="auto"/>
                <w:kern w:val="0"/>
                <w:sz w:val="22"/>
                <w:szCs w:val="22"/>
              </w:rPr>
              <w:t>交通规划图及道路施工图、停车场施工图、场地边坡、挡土墙施工图</w:t>
            </w:r>
            <w:r>
              <w:rPr>
                <w:rFonts w:hint="eastAsia" w:ascii="宋体" w:hAnsi="宋体"/>
                <w:color w:val="auto"/>
                <w:sz w:val="22"/>
                <w:szCs w:val="22"/>
              </w:rPr>
              <w:t>、详图</w:t>
            </w:r>
          </w:p>
        </w:tc>
      </w:tr>
      <w:tr w14:paraId="798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724" w:type="dxa"/>
            <w:vMerge w:val="continue"/>
            <w:vAlign w:val="center"/>
          </w:tcPr>
          <w:p w14:paraId="375A4AEC">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709" w:type="dxa"/>
            <w:vAlign w:val="center"/>
          </w:tcPr>
          <w:p w14:paraId="0BAA429D">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10</w:t>
            </w:r>
          </w:p>
        </w:tc>
        <w:tc>
          <w:tcPr>
            <w:tcW w:w="2268" w:type="dxa"/>
            <w:vAlign w:val="center"/>
          </w:tcPr>
          <w:p w14:paraId="0FF92DDC">
            <w:pPr>
              <w:keepNext w:val="0"/>
              <w:keepLines w:val="0"/>
              <w:suppressLineNumbers w:val="0"/>
              <w:spacing w:before="0" w:beforeAutospacing="0" w:after="0" w:afterAutospacing="0"/>
              <w:ind w:left="0" w:right="0"/>
              <w:rPr>
                <w:rFonts w:hint="default" w:ascii="宋体" w:hAnsi="宋体"/>
                <w:color w:val="auto"/>
                <w:kern w:val="0"/>
                <w:sz w:val="22"/>
                <w:szCs w:val="22"/>
              </w:rPr>
            </w:pPr>
            <w:r>
              <w:rPr>
                <w:rFonts w:hint="eastAsia" w:ascii="宋体" w:hAnsi="宋体"/>
                <w:color w:val="auto"/>
                <w:sz w:val="22"/>
                <w:szCs w:val="22"/>
              </w:rPr>
              <w:t>建筑专业图纸</w:t>
            </w:r>
          </w:p>
        </w:tc>
        <w:tc>
          <w:tcPr>
            <w:tcW w:w="772" w:type="dxa"/>
            <w:vAlign w:val="center"/>
          </w:tcPr>
          <w:p w14:paraId="3308047F">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6C409F17">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含各层平面图、立面图、剖面图、详图、建筑节能计算书、防火分区图、</w:t>
            </w:r>
            <w:r>
              <w:rPr>
                <w:rFonts w:hint="eastAsia" w:ascii="宋体" w:hAnsi="宋体"/>
                <w:color w:val="auto"/>
                <w:kern w:val="0"/>
                <w:sz w:val="22"/>
                <w:szCs w:val="22"/>
              </w:rPr>
              <w:t>节点大样图、门窗大样图、门窗表。其中</w:t>
            </w:r>
            <w:r>
              <w:rPr>
                <w:rFonts w:hint="eastAsia" w:ascii="宋体" w:hAnsi="宋体"/>
                <w:color w:val="auto"/>
                <w:sz w:val="22"/>
                <w:szCs w:val="22"/>
              </w:rPr>
              <w:t>立面图不少于</w:t>
            </w:r>
            <w:r>
              <w:rPr>
                <w:rFonts w:hint="default" w:ascii="宋体" w:hAnsi="宋体"/>
                <w:color w:val="auto"/>
                <w:sz w:val="22"/>
                <w:szCs w:val="22"/>
              </w:rPr>
              <w:t>4</w:t>
            </w:r>
            <w:r>
              <w:rPr>
                <w:rFonts w:hint="eastAsia" w:ascii="宋体" w:hAnsi="宋体"/>
                <w:color w:val="auto"/>
                <w:sz w:val="22"/>
                <w:szCs w:val="22"/>
              </w:rPr>
              <w:t>个，剖面图不少于</w:t>
            </w:r>
            <w:r>
              <w:rPr>
                <w:rFonts w:hint="default" w:ascii="宋体" w:hAnsi="宋体"/>
                <w:color w:val="auto"/>
                <w:sz w:val="22"/>
                <w:szCs w:val="22"/>
              </w:rPr>
              <w:t>2</w:t>
            </w:r>
            <w:r>
              <w:rPr>
                <w:rFonts w:hint="eastAsia" w:ascii="宋体" w:hAnsi="宋体"/>
                <w:color w:val="auto"/>
                <w:sz w:val="22"/>
                <w:szCs w:val="22"/>
              </w:rPr>
              <w:t>个</w:t>
            </w:r>
          </w:p>
        </w:tc>
      </w:tr>
      <w:tr w14:paraId="5A8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24" w:type="dxa"/>
            <w:vMerge w:val="continue"/>
            <w:vAlign w:val="center"/>
          </w:tcPr>
          <w:p w14:paraId="2274643F">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1A72E36C">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11</w:t>
            </w:r>
          </w:p>
        </w:tc>
        <w:tc>
          <w:tcPr>
            <w:tcW w:w="2268" w:type="dxa"/>
            <w:vAlign w:val="center"/>
          </w:tcPr>
          <w:p w14:paraId="62592F5D">
            <w:pPr>
              <w:keepNext w:val="0"/>
              <w:keepLines w:val="0"/>
              <w:suppressLineNumbers w:val="0"/>
              <w:spacing w:before="0" w:beforeAutospacing="0" w:after="0" w:afterAutospacing="0"/>
              <w:ind w:left="0" w:right="0"/>
              <w:rPr>
                <w:rFonts w:hint="default" w:ascii="宋体" w:hAnsi="宋体"/>
                <w:color w:val="auto"/>
                <w:kern w:val="0"/>
                <w:sz w:val="22"/>
                <w:szCs w:val="22"/>
              </w:rPr>
            </w:pPr>
            <w:r>
              <w:rPr>
                <w:rFonts w:hint="eastAsia" w:ascii="宋体" w:hAnsi="宋体"/>
                <w:color w:val="auto"/>
                <w:sz w:val="22"/>
                <w:szCs w:val="22"/>
              </w:rPr>
              <w:t>结构专业图纸</w:t>
            </w:r>
          </w:p>
        </w:tc>
        <w:tc>
          <w:tcPr>
            <w:tcW w:w="772" w:type="dxa"/>
            <w:vAlign w:val="center"/>
          </w:tcPr>
          <w:p w14:paraId="37EDCFC1">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7046D9A5">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含基础平面图及基础详图、各层及屋面结构平面图、</w:t>
            </w:r>
            <w:r>
              <w:rPr>
                <w:rFonts w:hint="eastAsia" w:ascii="宋体" w:hAnsi="宋体"/>
                <w:color w:val="auto"/>
                <w:kern w:val="0"/>
                <w:sz w:val="22"/>
                <w:szCs w:val="22"/>
              </w:rPr>
              <w:t>各层楼面及屋面板配筋图、</w:t>
            </w:r>
            <w:r>
              <w:rPr>
                <w:rFonts w:hint="eastAsia" w:ascii="宋体" w:hAnsi="宋体"/>
                <w:color w:val="auto"/>
                <w:sz w:val="22"/>
                <w:szCs w:val="22"/>
              </w:rPr>
              <w:t>钢筋混凝土构件详图、混凝土结构节点构造详图、其他图纸、钢结构设计施工图、建筑幕墙的结构设计文件、计算书。视实际情况，提供钢结构设计施工图及建筑幕墙的结构设计文件</w:t>
            </w:r>
          </w:p>
        </w:tc>
      </w:tr>
      <w:tr w14:paraId="2D03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 w:hRule="atLeast"/>
          <w:jc w:val="center"/>
        </w:trPr>
        <w:tc>
          <w:tcPr>
            <w:tcW w:w="724" w:type="dxa"/>
            <w:vMerge w:val="continue"/>
            <w:vAlign w:val="center"/>
          </w:tcPr>
          <w:p w14:paraId="499F6AB7">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04931F87">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12</w:t>
            </w:r>
          </w:p>
        </w:tc>
        <w:tc>
          <w:tcPr>
            <w:tcW w:w="2268" w:type="dxa"/>
            <w:vAlign w:val="center"/>
          </w:tcPr>
          <w:p w14:paraId="6A614115">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电气专业图纸</w:t>
            </w:r>
          </w:p>
        </w:tc>
        <w:tc>
          <w:tcPr>
            <w:tcW w:w="772" w:type="dxa"/>
            <w:vAlign w:val="center"/>
          </w:tcPr>
          <w:p w14:paraId="275D6C06">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25847811">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电气总平面图、变配电系统图、变配电站内电气设备平断面布置图、配电照明系统图及照明灯具设计图、电缆桥架布置图、火灾自动报警系统设计图、建筑设备监控系统及系统集成设计图、防雷接地设计图、主要电气设备表、通讯系统配线图、通讯系统平面布置图、端子箱接线图、计算书</w:t>
            </w:r>
          </w:p>
        </w:tc>
      </w:tr>
      <w:tr w14:paraId="1160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24" w:type="dxa"/>
            <w:vMerge w:val="continue"/>
            <w:vAlign w:val="center"/>
          </w:tcPr>
          <w:p w14:paraId="08278EE3">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6FFB00BC">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13</w:t>
            </w:r>
          </w:p>
        </w:tc>
        <w:tc>
          <w:tcPr>
            <w:tcW w:w="2268" w:type="dxa"/>
            <w:vAlign w:val="center"/>
          </w:tcPr>
          <w:p w14:paraId="681CCB78">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给排水专业图</w:t>
            </w:r>
          </w:p>
        </w:tc>
        <w:tc>
          <w:tcPr>
            <w:tcW w:w="772" w:type="dxa"/>
            <w:vAlign w:val="center"/>
          </w:tcPr>
          <w:p w14:paraId="3FDF0FE4">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7AD3B142">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含建筑室外给水排水总平面图、给排水局部总平面图、各层平面布置图、系统原理图及轴侧图、建筑室内给水排水平面图、主要设备器材表、计算书</w:t>
            </w:r>
          </w:p>
        </w:tc>
      </w:tr>
      <w:tr w14:paraId="3C9E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14:paraId="6E7544B2">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51908B1A">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14</w:t>
            </w:r>
          </w:p>
        </w:tc>
        <w:tc>
          <w:tcPr>
            <w:tcW w:w="2268" w:type="dxa"/>
            <w:vAlign w:val="center"/>
          </w:tcPr>
          <w:p w14:paraId="12B23136">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采暖通风与空气调节专业图</w:t>
            </w:r>
          </w:p>
        </w:tc>
        <w:tc>
          <w:tcPr>
            <w:tcW w:w="772" w:type="dxa"/>
            <w:vAlign w:val="center"/>
          </w:tcPr>
          <w:p w14:paraId="1E444304">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31E51B7C">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含主要平面布置图、主剖面布置图、通风空调制冷机房平面图和剖面图大样图、系统流程图、立管或竖风道图、通风、空调剖面图和详图、计算书</w:t>
            </w:r>
          </w:p>
        </w:tc>
      </w:tr>
      <w:tr w14:paraId="0D7F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14:paraId="33C08E74">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0C1C0A65">
            <w:pPr>
              <w:keepNext w:val="0"/>
              <w:keepLines w:val="0"/>
              <w:suppressLineNumbers w:val="0"/>
              <w:spacing w:before="0" w:beforeAutospacing="0" w:after="0" w:afterAutospacing="0"/>
              <w:ind w:left="0" w:right="0"/>
              <w:jc w:val="center"/>
              <w:rPr>
                <w:rFonts w:hint="default" w:ascii="宋体" w:hAnsi="宋体"/>
                <w:color w:val="auto"/>
                <w:sz w:val="22"/>
                <w:szCs w:val="22"/>
              </w:rPr>
            </w:pPr>
            <w:r>
              <w:rPr>
                <w:rFonts w:hint="default" w:ascii="宋体" w:hAnsi="宋体"/>
                <w:color w:val="auto"/>
                <w:sz w:val="22"/>
                <w:szCs w:val="22"/>
              </w:rPr>
              <w:t>15</w:t>
            </w:r>
          </w:p>
        </w:tc>
        <w:tc>
          <w:tcPr>
            <w:tcW w:w="2268" w:type="dxa"/>
            <w:vAlign w:val="center"/>
          </w:tcPr>
          <w:p w14:paraId="5E1063CE">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通信系统图</w:t>
            </w:r>
          </w:p>
        </w:tc>
        <w:tc>
          <w:tcPr>
            <w:tcW w:w="772" w:type="dxa"/>
            <w:vAlign w:val="center"/>
          </w:tcPr>
          <w:p w14:paraId="037AB496">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4D8DEA41">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含设计说明、主要设备材料表、主要设备布置图、系统单线图</w:t>
            </w:r>
          </w:p>
        </w:tc>
      </w:tr>
      <w:tr w14:paraId="2D64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14:paraId="675866C7">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26BF3752">
            <w:pPr>
              <w:keepNext w:val="0"/>
              <w:keepLines w:val="0"/>
              <w:suppressLineNumbers w:val="0"/>
              <w:spacing w:before="0" w:beforeAutospacing="0" w:after="0" w:afterAutospacing="0"/>
              <w:ind w:left="0" w:right="0"/>
              <w:jc w:val="center"/>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16</w:t>
            </w:r>
          </w:p>
        </w:tc>
        <w:tc>
          <w:tcPr>
            <w:tcW w:w="2268" w:type="dxa"/>
            <w:vAlign w:val="center"/>
          </w:tcPr>
          <w:p w14:paraId="03F0F51E">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配套专业</w:t>
            </w:r>
          </w:p>
        </w:tc>
        <w:tc>
          <w:tcPr>
            <w:tcW w:w="772" w:type="dxa"/>
            <w:vAlign w:val="center"/>
          </w:tcPr>
          <w:p w14:paraId="706EF9E8">
            <w:pPr>
              <w:keepNext w:val="0"/>
              <w:keepLines w:val="0"/>
              <w:suppressLineNumbers w:val="0"/>
              <w:spacing w:before="0" w:beforeAutospacing="0" w:after="0" w:afterAutospacing="0"/>
              <w:ind w:left="0" w:right="0"/>
              <w:jc w:val="center"/>
              <w:rPr>
                <w:rFonts w:hint="default" w:ascii="宋体" w:hAnsi="宋体"/>
                <w:color w:val="auto"/>
                <w:sz w:val="22"/>
                <w:szCs w:val="22"/>
              </w:rPr>
            </w:pPr>
          </w:p>
        </w:tc>
        <w:tc>
          <w:tcPr>
            <w:tcW w:w="4037" w:type="dxa"/>
            <w:vAlign w:val="center"/>
          </w:tcPr>
          <w:p w14:paraId="078D472B">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项目用地范围内基础配套设施工程设计、室内外管线综合平衡设计、室内外体育设施、室外市政、园林工程设计、室内外标识系统设计的施工图设计（含设计变更）等；</w:t>
            </w:r>
          </w:p>
        </w:tc>
      </w:tr>
      <w:tr w14:paraId="7D9D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2" w:hRule="atLeast"/>
          <w:jc w:val="center"/>
        </w:trPr>
        <w:tc>
          <w:tcPr>
            <w:tcW w:w="724" w:type="dxa"/>
            <w:vMerge w:val="restart"/>
            <w:vAlign w:val="center"/>
          </w:tcPr>
          <w:p w14:paraId="2781ABAD">
            <w:pPr>
              <w:keepNext w:val="0"/>
              <w:keepLines w:val="0"/>
              <w:suppressLineNumbers w:val="0"/>
              <w:spacing w:before="0" w:beforeAutospacing="0" w:after="0" w:afterAutospacing="0"/>
              <w:ind w:left="0" w:right="0"/>
              <w:rPr>
                <w:rFonts w:hint="default" w:ascii="宋体" w:hAnsi="宋体"/>
                <w:color w:val="auto"/>
                <w:sz w:val="22"/>
                <w:szCs w:val="22"/>
              </w:rPr>
            </w:pPr>
            <w:r>
              <w:rPr>
                <w:rFonts w:hint="eastAsia" w:ascii="宋体" w:hAnsi="宋体"/>
                <w:color w:val="auto"/>
                <w:sz w:val="22"/>
                <w:szCs w:val="22"/>
              </w:rPr>
              <w:t>其他</w:t>
            </w:r>
          </w:p>
        </w:tc>
        <w:tc>
          <w:tcPr>
            <w:tcW w:w="709" w:type="dxa"/>
            <w:vAlign w:val="center"/>
          </w:tcPr>
          <w:p w14:paraId="2A7AD2B7">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2"/>
                <w:sz w:val="22"/>
                <w:szCs w:val="22"/>
                <w:shd w:val="clear" w:color="auto" w:fill="auto"/>
                <w:lang w:val="en-US" w:eastAsia="zh-CN" w:bidi="ar-SA"/>
              </w:rPr>
            </w:pPr>
            <w:r>
              <w:rPr>
                <w:rFonts w:hint="default" w:ascii="宋体" w:hAnsi="宋体" w:eastAsia="宋体"/>
                <w:color w:val="auto"/>
                <w:sz w:val="22"/>
                <w:szCs w:val="22"/>
                <w:shd w:val="clear" w:color="auto" w:fill="auto"/>
              </w:rPr>
              <w:t>1</w:t>
            </w:r>
            <w:r>
              <w:rPr>
                <w:rFonts w:hint="eastAsia" w:ascii="宋体" w:hAnsi="宋体" w:eastAsia="宋体"/>
                <w:color w:val="auto"/>
                <w:sz w:val="22"/>
                <w:szCs w:val="22"/>
                <w:shd w:val="clear" w:color="auto" w:fill="auto"/>
                <w:lang w:val="en-US" w:eastAsia="zh-CN"/>
              </w:rPr>
              <w:t>7</w:t>
            </w:r>
          </w:p>
        </w:tc>
        <w:tc>
          <w:tcPr>
            <w:tcW w:w="2268" w:type="dxa"/>
            <w:vAlign w:val="center"/>
          </w:tcPr>
          <w:p w14:paraId="54312CF6">
            <w:pPr>
              <w:keepNext w:val="0"/>
              <w:keepLines w:val="0"/>
              <w:suppressLineNumbers w:val="0"/>
              <w:spacing w:before="0" w:beforeAutospacing="0" w:after="0" w:afterAutospacing="0"/>
              <w:ind w:left="0" w:right="0"/>
              <w:rPr>
                <w:rFonts w:hint="default" w:ascii="宋体" w:hAnsi="宋体" w:eastAsia="宋体" w:cs="Times New Roman"/>
                <w:color w:val="auto"/>
                <w:kern w:val="2"/>
                <w:sz w:val="22"/>
                <w:szCs w:val="22"/>
                <w:shd w:val="clear" w:color="auto" w:fill="auto"/>
                <w:lang w:val="en-US" w:eastAsia="zh-CN" w:bidi="ar-SA"/>
              </w:rPr>
            </w:pPr>
            <w:r>
              <w:rPr>
                <w:rFonts w:hint="eastAsia" w:ascii="宋体" w:hAnsi="宋体" w:eastAsia="宋体"/>
                <w:color w:val="auto"/>
                <w:sz w:val="22"/>
                <w:szCs w:val="22"/>
                <w:shd w:val="clear" w:color="auto" w:fill="auto"/>
              </w:rPr>
              <w:t>鸟瞰图</w:t>
            </w:r>
          </w:p>
        </w:tc>
        <w:tc>
          <w:tcPr>
            <w:tcW w:w="772" w:type="dxa"/>
            <w:vAlign w:val="center"/>
          </w:tcPr>
          <w:p w14:paraId="70A47F2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2"/>
                <w:shd w:val="clear" w:color="auto" w:fill="auto"/>
                <w:lang w:val="en-US" w:eastAsia="zh-CN" w:bidi="ar-SA"/>
              </w:rPr>
            </w:pPr>
          </w:p>
        </w:tc>
        <w:tc>
          <w:tcPr>
            <w:tcW w:w="4037" w:type="dxa"/>
            <w:vAlign w:val="center"/>
          </w:tcPr>
          <w:p w14:paraId="29CC36B5">
            <w:pPr>
              <w:keepNext w:val="0"/>
              <w:keepLines w:val="0"/>
              <w:suppressLineNumbers w:val="0"/>
              <w:spacing w:before="0" w:beforeAutospacing="0" w:after="0" w:afterAutospacing="0"/>
              <w:ind w:left="0" w:right="0"/>
              <w:rPr>
                <w:rFonts w:hint="default" w:ascii="宋体" w:hAnsi="宋体" w:eastAsia="宋体" w:cs="Times New Roman"/>
                <w:color w:val="auto"/>
                <w:kern w:val="2"/>
                <w:sz w:val="22"/>
                <w:szCs w:val="22"/>
                <w:shd w:val="clear" w:color="auto" w:fill="auto"/>
                <w:lang w:val="en-US" w:eastAsia="zh-CN" w:bidi="ar-SA"/>
              </w:rPr>
            </w:pPr>
            <w:r>
              <w:rPr>
                <w:rFonts w:hint="eastAsia" w:ascii="宋体" w:hAnsi="宋体" w:eastAsia="宋体"/>
                <w:color w:val="auto"/>
                <w:sz w:val="22"/>
                <w:szCs w:val="22"/>
                <w:shd w:val="clear" w:color="auto" w:fill="auto"/>
              </w:rPr>
              <w:t>不少于</w:t>
            </w:r>
            <w:r>
              <w:rPr>
                <w:rFonts w:hint="default" w:ascii="宋体" w:hAnsi="宋体" w:eastAsia="宋体"/>
                <w:color w:val="auto"/>
                <w:sz w:val="22"/>
                <w:szCs w:val="22"/>
                <w:shd w:val="clear" w:color="auto" w:fill="auto"/>
              </w:rPr>
              <w:t>2</w:t>
            </w:r>
            <w:r>
              <w:rPr>
                <w:rFonts w:hint="eastAsia" w:ascii="宋体" w:hAnsi="宋体" w:eastAsia="宋体"/>
                <w:color w:val="auto"/>
                <w:sz w:val="22"/>
                <w:szCs w:val="22"/>
                <w:shd w:val="clear" w:color="auto" w:fill="auto"/>
              </w:rPr>
              <w:t>张</w:t>
            </w:r>
          </w:p>
        </w:tc>
      </w:tr>
      <w:tr w14:paraId="5D17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3" w:hRule="atLeast"/>
          <w:jc w:val="center"/>
        </w:trPr>
        <w:tc>
          <w:tcPr>
            <w:tcW w:w="724" w:type="dxa"/>
            <w:vMerge w:val="continue"/>
            <w:vAlign w:val="center"/>
          </w:tcPr>
          <w:p w14:paraId="01B45BCF">
            <w:pPr>
              <w:keepNext w:val="0"/>
              <w:keepLines w:val="0"/>
              <w:suppressLineNumbers w:val="0"/>
              <w:spacing w:before="0" w:beforeAutospacing="0" w:after="0" w:afterAutospacing="0"/>
              <w:ind w:left="0" w:right="0"/>
              <w:rPr>
                <w:rFonts w:hint="default" w:ascii="宋体" w:hAnsi="宋体"/>
                <w:color w:val="auto"/>
                <w:sz w:val="22"/>
                <w:szCs w:val="22"/>
              </w:rPr>
            </w:pPr>
          </w:p>
        </w:tc>
        <w:tc>
          <w:tcPr>
            <w:tcW w:w="709" w:type="dxa"/>
            <w:vAlign w:val="center"/>
          </w:tcPr>
          <w:p w14:paraId="0FDC295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2"/>
                <w:shd w:val="clear" w:color="auto" w:fill="auto"/>
                <w:lang w:val="en-US" w:eastAsia="zh-CN" w:bidi="ar-SA"/>
              </w:rPr>
            </w:pPr>
            <w:r>
              <w:rPr>
                <w:rFonts w:hint="eastAsia" w:ascii="宋体" w:hAnsi="宋体" w:eastAsia="宋体"/>
                <w:color w:val="auto"/>
                <w:sz w:val="22"/>
                <w:szCs w:val="22"/>
                <w:shd w:val="clear" w:color="auto" w:fill="auto"/>
                <w:lang w:val="en-US" w:eastAsia="zh-CN"/>
              </w:rPr>
              <w:t>18</w:t>
            </w:r>
          </w:p>
        </w:tc>
        <w:tc>
          <w:tcPr>
            <w:tcW w:w="2268" w:type="dxa"/>
            <w:vAlign w:val="center"/>
          </w:tcPr>
          <w:p w14:paraId="36B8E2E0">
            <w:pPr>
              <w:keepNext w:val="0"/>
              <w:keepLines w:val="0"/>
              <w:suppressLineNumbers w:val="0"/>
              <w:spacing w:before="0" w:beforeAutospacing="0" w:after="0" w:afterAutospacing="0"/>
              <w:ind w:left="0" w:right="0"/>
              <w:rPr>
                <w:rFonts w:hint="default" w:ascii="宋体" w:hAnsi="宋体" w:eastAsia="宋体" w:cs="Times New Roman"/>
                <w:color w:val="auto"/>
                <w:kern w:val="2"/>
                <w:sz w:val="22"/>
                <w:szCs w:val="22"/>
                <w:shd w:val="clear" w:color="auto" w:fill="auto"/>
                <w:lang w:val="en-US" w:eastAsia="zh-CN" w:bidi="ar-SA"/>
              </w:rPr>
            </w:pPr>
            <w:r>
              <w:rPr>
                <w:rFonts w:hint="eastAsia" w:ascii="宋体" w:hAnsi="宋体" w:eastAsia="宋体"/>
                <w:color w:val="auto"/>
                <w:sz w:val="22"/>
                <w:szCs w:val="22"/>
                <w:shd w:val="clear" w:color="auto" w:fill="auto"/>
              </w:rPr>
              <w:t>局部空间透视图</w:t>
            </w:r>
          </w:p>
        </w:tc>
        <w:tc>
          <w:tcPr>
            <w:tcW w:w="772" w:type="dxa"/>
            <w:vAlign w:val="center"/>
          </w:tcPr>
          <w:p w14:paraId="52AE970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2"/>
                <w:sz w:val="22"/>
                <w:szCs w:val="22"/>
                <w:shd w:val="clear" w:color="auto" w:fill="auto"/>
                <w:lang w:val="en-US" w:eastAsia="zh-CN" w:bidi="ar-SA"/>
              </w:rPr>
            </w:pPr>
          </w:p>
        </w:tc>
        <w:tc>
          <w:tcPr>
            <w:tcW w:w="4037" w:type="dxa"/>
            <w:vAlign w:val="center"/>
          </w:tcPr>
          <w:p w14:paraId="660C35D9">
            <w:pPr>
              <w:keepNext w:val="0"/>
              <w:keepLines w:val="0"/>
              <w:suppressLineNumbers w:val="0"/>
              <w:spacing w:before="0" w:beforeAutospacing="0" w:after="0" w:afterAutospacing="0"/>
              <w:ind w:left="0" w:right="0"/>
              <w:rPr>
                <w:rFonts w:hint="default" w:ascii="宋体" w:hAnsi="宋体" w:eastAsia="宋体" w:cs="Times New Roman"/>
                <w:color w:val="auto"/>
                <w:kern w:val="2"/>
                <w:sz w:val="22"/>
                <w:szCs w:val="22"/>
                <w:shd w:val="clear" w:color="auto" w:fill="auto"/>
                <w:lang w:val="en-US" w:eastAsia="zh-CN" w:bidi="ar-SA"/>
              </w:rPr>
            </w:pPr>
            <w:r>
              <w:rPr>
                <w:rFonts w:hint="eastAsia" w:ascii="宋体" w:hAnsi="宋体" w:eastAsia="宋体"/>
                <w:color w:val="auto"/>
                <w:sz w:val="22"/>
                <w:szCs w:val="22"/>
                <w:shd w:val="clear" w:color="auto" w:fill="auto"/>
              </w:rPr>
              <w:t>不少于</w:t>
            </w:r>
            <w:r>
              <w:rPr>
                <w:rFonts w:hint="default" w:ascii="宋体" w:hAnsi="宋体" w:eastAsia="宋体"/>
                <w:color w:val="auto"/>
                <w:sz w:val="22"/>
                <w:szCs w:val="22"/>
                <w:shd w:val="clear" w:color="auto" w:fill="auto"/>
              </w:rPr>
              <w:t>6</w:t>
            </w:r>
            <w:r>
              <w:rPr>
                <w:rFonts w:hint="eastAsia" w:ascii="宋体" w:hAnsi="宋体" w:eastAsia="宋体"/>
                <w:color w:val="auto"/>
                <w:sz w:val="22"/>
                <w:szCs w:val="22"/>
                <w:shd w:val="clear" w:color="auto" w:fill="auto"/>
              </w:rPr>
              <w:t>张</w:t>
            </w:r>
          </w:p>
        </w:tc>
      </w:tr>
    </w:tbl>
    <w:p w14:paraId="54264471">
      <w:pPr>
        <w:pStyle w:val="67"/>
        <w:numPr>
          <w:ilvl w:val="0"/>
          <w:numId w:val="0"/>
        </w:numPr>
        <w:tabs>
          <w:tab w:val="left" w:pos="0"/>
        </w:tabs>
        <w:ind w:leftChars="101"/>
        <w:rPr>
          <w:rFonts w:hint="eastAsia" w:ascii="宋体" w:hAnsi="宋体" w:eastAsia="宋体"/>
          <w:bCs/>
          <w:color w:val="auto"/>
          <w:szCs w:val="21"/>
        </w:rPr>
      </w:pPr>
      <w:bookmarkStart w:id="325" w:name="_Toc26843"/>
    </w:p>
    <w:p w14:paraId="3A890389">
      <w:pPr>
        <w:pStyle w:val="67"/>
        <w:numPr>
          <w:ilvl w:val="0"/>
          <w:numId w:val="42"/>
        </w:numPr>
        <w:tabs>
          <w:tab w:val="left" w:pos="0"/>
        </w:tabs>
        <w:ind w:firstLine="282" w:firstLineChars="101"/>
        <w:rPr>
          <w:rFonts w:hint="eastAsia" w:ascii="宋体" w:hAnsi="宋体" w:eastAsia="宋体"/>
          <w:bCs/>
          <w:color w:val="auto"/>
          <w:szCs w:val="21"/>
        </w:rPr>
      </w:pPr>
      <w:r>
        <w:rPr>
          <w:rFonts w:hint="eastAsia" w:ascii="宋体" w:hAnsi="宋体" w:eastAsia="宋体"/>
          <w:bCs/>
          <w:color w:val="auto"/>
          <w:szCs w:val="21"/>
        </w:rPr>
        <w:t>勘察设计成果文件提交的份数和提交时间要求</w:t>
      </w:r>
    </w:p>
    <w:tbl>
      <w:tblPr>
        <w:tblStyle w:val="22"/>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4"/>
        <w:gridCol w:w="2361"/>
        <w:gridCol w:w="813"/>
        <w:gridCol w:w="2519"/>
        <w:gridCol w:w="1431"/>
      </w:tblGrid>
      <w:tr w14:paraId="2572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0B5FB61F">
            <w:pPr>
              <w:keepNext w:val="0"/>
              <w:keepLines w:val="0"/>
              <w:widowControl/>
              <w:suppressLineNumbers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序号</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14:paraId="4FB8E765">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资料及文件名称</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32497A4">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份数</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74B9437B">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提交日期</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02BF5FB">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有关事宜</w:t>
            </w:r>
          </w:p>
        </w:tc>
      </w:tr>
      <w:tr w14:paraId="0FF1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F8365C">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方案设计阶段</w:t>
            </w:r>
          </w:p>
        </w:tc>
      </w:tr>
      <w:tr w14:paraId="6DAD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1F13F109">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1</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14:paraId="1A1552F7">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color w:val="auto"/>
                <w:kern w:val="2"/>
                <w:sz w:val="22"/>
                <w:szCs w:val="22"/>
              </w:rPr>
            </w:pPr>
            <w:r>
              <w:rPr>
                <w:rFonts w:hint="eastAsia" w:ascii="宋体" w:hAnsi="宋体" w:eastAsia="宋体" w:cs="宋体"/>
                <w:bCs/>
                <w:color w:val="auto"/>
                <w:spacing w:val="20"/>
                <w:kern w:val="2"/>
                <w:sz w:val="22"/>
                <w:szCs w:val="22"/>
                <w:lang w:val="en-US" w:eastAsia="zh-CN" w:bidi="ar"/>
              </w:rPr>
              <w:t>方案设计成果</w:t>
            </w:r>
          </w:p>
          <w:p w14:paraId="6168A136">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 w:val="0"/>
                <w:color w:val="auto"/>
                <w:kern w:val="2"/>
                <w:sz w:val="22"/>
                <w:szCs w:val="22"/>
                <w:lang w:val="en-US" w:eastAsia="zh-CN" w:bidi="ar"/>
              </w:rPr>
              <w:t>（含电子文件）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BA26C60">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15</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7F28190E">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color w:val="auto"/>
                <w:kern w:val="2"/>
                <w:sz w:val="22"/>
                <w:szCs w:val="22"/>
                <w:lang w:val="en-US" w:eastAsia="zh-CN" w:bidi="ar"/>
              </w:rPr>
              <w:t>设计合同签订后15工作日内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1A4B07B">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p>
        </w:tc>
      </w:tr>
      <w:tr w14:paraId="0593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364763">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初步设计阶段</w:t>
            </w:r>
          </w:p>
        </w:tc>
      </w:tr>
      <w:tr w14:paraId="23B8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1E7FE59">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2</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14:paraId="533B8331">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初步设计成果</w:t>
            </w:r>
          </w:p>
          <w:p w14:paraId="01D76BE5">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（含电子文件）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8D799EA">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15</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5CE7906D">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color w:val="auto"/>
                <w:kern w:val="2"/>
                <w:sz w:val="22"/>
                <w:szCs w:val="22"/>
                <w:lang w:val="en-US" w:eastAsia="zh-CN" w:bidi="ar"/>
              </w:rPr>
              <w:t>方案确定后</w:t>
            </w:r>
            <w:r>
              <w:rPr>
                <w:rFonts w:hint="eastAsia" w:ascii="宋体" w:hAnsi="宋体" w:eastAsia="宋体" w:cs="宋体"/>
                <w:color w:val="auto"/>
                <w:kern w:val="2"/>
                <w:sz w:val="22"/>
                <w:szCs w:val="22"/>
                <w:u w:val="single"/>
                <w:lang w:val="en-US" w:eastAsia="zh-CN" w:bidi="ar"/>
              </w:rPr>
              <w:t>30工作日内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3298B26">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p>
        </w:tc>
      </w:tr>
      <w:tr w14:paraId="5EC6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802F46">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施工图设计阶段</w:t>
            </w:r>
          </w:p>
        </w:tc>
      </w:tr>
      <w:tr w14:paraId="073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60F170B6">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3</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14:paraId="770A2081">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施工图设计成果</w:t>
            </w:r>
          </w:p>
          <w:p w14:paraId="025739F7">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（含电子文件）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AC46A0A">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20</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4FC6A923">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color w:val="auto"/>
                <w:kern w:val="2"/>
                <w:sz w:val="22"/>
                <w:szCs w:val="22"/>
                <w:u w:val="single"/>
                <w:lang w:val="en-US" w:eastAsia="zh-CN" w:bidi="ar"/>
              </w:rPr>
              <w:t>初步设计审查批准后45个工作日内提交，收到施工图审查意见后15个工作日内完成修改。</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6119A0B4">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p>
        </w:tc>
      </w:tr>
      <w:tr w14:paraId="3AD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7EB332C">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4</w:t>
            </w:r>
          </w:p>
        </w:tc>
        <w:tc>
          <w:tcPr>
            <w:tcW w:w="2361" w:type="dxa"/>
            <w:tcBorders>
              <w:top w:val="single" w:color="auto" w:sz="4" w:space="0"/>
              <w:left w:val="single" w:color="auto" w:sz="4" w:space="0"/>
              <w:bottom w:val="single" w:color="auto" w:sz="4" w:space="0"/>
              <w:right w:val="single" w:color="auto" w:sz="4" w:space="0"/>
            </w:tcBorders>
            <w:shd w:val="clear" w:color="auto" w:fill="auto"/>
            <w:vAlign w:val="center"/>
          </w:tcPr>
          <w:p w14:paraId="401161E3">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施工图工程量清单及招标控制价审查意见</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850E1FE">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r>
              <w:rPr>
                <w:rFonts w:hint="eastAsia" w:ascii="宋体" w:hAnsi="宋体" w:eastAsia="宋体" w:cs="宋体"/>
                <w:bCs/>
                <w:color w:val="auto"/>
                <w:spacing w:val="20"/>
                <w:kern w:val="2"/>
                <w:sz w:val="22"/>
                <w:szCs w:val="22"/>
                <w:lang w:val="en-US" w:eastAsia="zh-CN" w:bidi="ar"/>
              </w:rPr>
              <w:t>3</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14:paraId="4A29D9D0">
            <w:pPr>
              <w:keepNext w:val="0"/>
              <w:keepLines w:val="0"/>
              <w:widowControl/>
              <w:suppressLineNumbers w:val="0"/>
              <w:wordWrap w:val="0"/>
              <w:topLinePunct/>
              <w:adjustRightInd w:val="0"/>
              <w:snapToGrid w:val="0"/>
              <w:spacing w:before="0" w:beforeAutospacing="0" w:after="0" w:afterAutospacing="0"/>
              <w:ind w:left="0" w:right="0"/>
              <w:jc w:val="both"/>
              <w:rPr>
                <w:rFonts w:hint="eastAsia" w:ascii="宋体" w:hAnsi="宋体" w:eastAsia="宋体" w:cs="宋体"/>
                <w:bCs/>
                <w:color w:val="auto"/>
                <w:spacing w:val="20"/>
                <w:kern w:val="2"/>
                <w:sz w:val="22"/>
                <w:szCs w:val="22"/>
              </w:rPr>
            </w:pPr>
            <w:r>
              <w:rPr>
                <w:rFonts w:hint="eastAsia" w:ascii="宋体" w:hAnsi="宋体" w:eastAsia="宋体" w:cs="宋体"/>
                <w:color w:val="auto"/>
                <w:kern w:val="2"/>
                <w:sz w:val="22"/>
                <w:szCs w:val="22"/>
                <w:u w:val="single"/>
                <w:lang w:val="en-US" w:eastAsia="zh-CN" w:bidi="ar"/>
              </w:rPr>
              <w:t>收到相关文件后5个工作日内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76A017D">
            <w:pPr>
              <w:keepNext w:val="0"/>
              <w:keepLines w:val="0"/>
              <w:widowControl/>
              <w:suppressLineNumbers w:val="0"/>
              <w:wordWrap w:val="0"/>
              <w:topLinePunct/>
              <w:adjustRightInd w:val="0"/>
              <w:snapToGrid w:val="0"/>
              <w:spacing w:before="0" w:beforeAutospacing="0" w:after="0" w:afterAutospacing="0"/>
              <w:ind w:left="0" w:right="0"/>
              <w:jc w:val="center"/>
              <w:rPr>
                <w:rFonts w:hint="eastAsia" w:ascii="宋体" w:hAnsi="宋体" w:eastAsia="宋体" w:cs="宋体"/>
                <w:bCs/>
                <w:color w:val="auto"/>
                <w:spacing w:val="20"/>
                <w:kern w:val="2"/>
                <w:sz w:val="22"/>
                <w:szCs w:val="22"/>
              </w:rPr>
            </w:pPr>
          </w:p>
        </w:tc>
      </w:tr>
    </w:tbl>
    <w:p w14:paraId="187EF50E">
      <w:pPr>
        <w:keepNext w:val="0"/>
        <w:keepLines w:val="0"/>
        <w:widowControl/>
        <w:suppressLineNumbers w:val="0"/>
        <w:wordWrap w:val="0"/>
        <w:topLinePunct/>
        <w:adjustRightInd w:val="0"/>
        <w:snapToGrid w:val="0"/>
        <w:spacing w:before="0" w:beforeAutospacing="0" w:after="0" w:afterAutospacing="0" w:line="360" w:lineRule="auto"/>
        <w:ind w:left="0" w:right="0" w:firstLine="457" w:firstLineChars="218"/>
        <w:jc w:val="both"/>
        <w:rPr>
          <w:rFonts w:hint="default" w:ascii="Times New Roman" w:hAnsi="Times New Roman" w:cs="Times New Roman"/>
          <w:color w:val="auto"/>
          <w:kern w:val="2"/>
          <w:sz w:val="21"/>
          <w:szCs w:val="21"/>
        </w:rPr>
      </w:pPr>
      <w:r>
        <w:rPr>
          <w:rFonts w:hint="eastAsia" w:ascii="宋体" w:hAnsi="宋体" w:eastAsia="宋体" w:cs="宋体"/>
          <w:color w:val="auto"/>
          <w:kern w:val="2"/>
          <w:sz w:val="21"/>
          <w:szCs w:val="21"/>
          <w:lang w:val="en-US" w:eastAsia="zh-CN" w:bidi="ar"/>
        </w:rPr>
        <w:t>注：设计人向发包人提交的电子版本的设计文件应适用如下标准：</w:t>
      </w:r>
      <w:r>
        <w:rPr>
          <w:rFonts w:hint="default" w:ascii="Times New Roman" w:hAnsi="Times New Roman" w:eastAsia="宋体" w:cs="Times New Roman"/>
          <w:color w:val="auto"/>
          <w:kern w:val="2"/>
          <w:sz w:val="21"/>
          <w:szCs w:val="21"/>
          <w:lang w:val="en-US" w:eastAsia="zh-CN" w:bidi="ar"/>
        </w:rPr>
        <w:br w:type="textWrapping"/>
      </w:r>
      <w:r>
        <w:rPr>
          <w:rFonts w:hint="default" w:ascii="Times New Roman" w:hAnsi="Times New Roman" w:eastAsia="宋体" w:cs="Times New Roman"/>
          <w:color w:val="auto"/>
          <w:kern w:val="2"/>
          <w:sz w:val="21"/>
          <w:szCs w:val="21"/>
          <w:lang w:val="en-US" w:eastAsia="zh-CN" w:bidi="ar"/>
        </w:rPr>
        <w:t xml:space="preserve">    1</w:t>
      </w:r>
      <w:r>
        <w:rPr>
          <w:rFonts w:hint="eastAsia" w:ascii="宋体" w:hAnsi="宋体" w:eastAsia="宋体" w:cs="宋体"/>
          <w:color w:val="auto"/>
          <w:kern w:val="2"/>
          <w:sz w:val="21"/>
          <w:szCs w:val="21"/>
          <w:lang w:val="en-US" w:eastAsia="zh-CN" w:bidi="ar"/>
        </w:rPr>
        <w:t>、文字资料应当使用</w:t>
      </w:r>
      <w:r>
        <w:rPr>
          <w:rFonts w:hint="default" w:ascii="Times New Roman" w:hAnsi="Times New Roman" w:eastAsia="宋体" w:cs="Times New Roman"/>
          <w:color w:val="auto"/>
          <w:kern w:val="2"/>
          <w:sz w:val="21"/>
          <w:szCs w:val="21"/>
          <w:lang w:val="en-US" w:eastAsia="zh-CN" w:bidi="ar"/>
        </w:rPr>
        <w:t xml:space="preserve">Microsoft Word </w:t>
      </w:r>
      <w:r>
        <w:rPr>
          <w:rFonts w:hint="eastAsia" w:ascii="宋体" w:hAnsi="宋体" w:eastAsia="宋体" w:cs="宋体"/>
          <w:color w:val="auto"/>
          <w:kern w:val="2"/>
          <w:sz w:val="21"/>
          <w:szCs w:val="21"/>
          <w:lang w:val="en-US" w:eastAsia="zh-CN" w:bidi="ar"/>
        </w:rPr>
        <w:t>及</w:t>
      </w:r>
      <w:r>
        <w:rPr>
          <w:rFonts w:hint="default" w:ascii="Times New Roman" w:hAnsi="Times New Roman" w:eastAsia="宋体" w:cs="Times New Roman"/>
          <w:color w:val="auto"/>
          <w:kern w:val="2"/>
          <w:sz w:val="21"/>
          <w:szCs w:val="21"/>
          <w:lang w:val="en-US" w:eastAsia="zh-CN" w:bidi="ar"/>
        </w:rPr>
        <w:t>Excel</w:t>
      </w:r>
      <w:r>
        <w:rPr>
          <w:rFonts w:hint="eastAsia" w:ascii="宋体" w:hAnsi="宋体" w:eastAsia="宋体" w:cs="宋体"/>
          <w:color w:val="auto"/>
          <w:kern w:val="2"/>
          <w:sz w:val="21"/>
          <w:szCs w:val="21"/>
          <w:lang w:val="en-US" w:eastAsia="zh-CN" w:bidi="ar"/>
        </w:rPr>
        <w:t>软件。</w:t>
      </w:r>
      <w:r>
        <w:rPr>
          <w:rFonts w:hint="default" w:ascii="Times New Roman" w:hAnsi="Times New Roman" w:eastAsia="宋体" w:cs="Times New Roman"/>
          <w:color w:val="auto"/>
          <w:kern w:val="2"/>
          <w:sz w:val="21"/>
          <w:szCs w:val="21"/>
          <w:lang w:val="en-US" w:eastAsia="zh-CN" w:bidi="ar"/>
        </w:rPr>
        <w:br w:type="textWrapping"/>
      </w:r>
      <w:r>
        <w:rPr>
          <w:rFonts w:hint="default" w:ascii="Times New Roman" w:hAnsi="Times New Roman" w:eastAsia="宋体" w:cs="Times New Roman"/>
          <w:color w:val="auto"/>
          <w:kern w:val="2"/>
          <w:sz w:val="21"/>
          <w:szCs w:val="21"/>
          <w:lang w:val="en-US" w:eastAsia="zh-CN" w:bidi="ar"/>
        </w:rPr>
        <w:t xml:space="preserve">    2</w:t>
      </w:r>
      <w:r>
        <w:rPr>
          <w:rFonts w:hint="eastAsia" w:ascii="宋体" w:hAnsi="宋体" w:eastAsia="宋体" w:cs="宋体"/>
          <w:color w:val="auto"/>
          <w:kern w:val="2"/>
          <w:sz w:val="21"/>
          <w:szCs w:val="21"/>
          <w:lang w:val="en-US" w:eastAsia="zh-CN" w:bidi="ar"/>
        </w:rPr>
        <w:t>、图纸资料应当使用</w:t>
      </w:r>
      <w:r>
        <w:rPr>
          <w:rFonts w:hint="default" w:ascii="Times New Roman" w:hAnsi="Times New Roman" w:eastAsia="宋体" w:cs="Times New Roman"/>
          <w:color w:val="auto"/>
          <w:kern w:val="2"/>
          <w:sz w:val="21"/>
          <w:szCs w:val="21"/>
          <w:lang w:val="en-US" w:eastAsia="zh-CN" w:bidi="ar"/>
        </w:rPr>
        <w:t>AutoCAD</w:t>
      </w:r>
      <w:r>
        <w:rPr>
          <w:rFonts w:hint="eastAsia" w:ascii="宋体" w:hAnsi="宋体" w:eastAsia="宋体" w:cs="宋体"/>
          <w:color w:val="auto"/>
          <w:kern w:val="2"/>
          <w:sz w:val="21"/>
          <w:szCs w:val="21"/>
          <w:lang w:val="en-US" w:eastAsia="zh-CN" w:bidi="ar"/>
        </w:rPr>
        <w:t>及</w:t>
      </w:r>
      <w:r>
        <w:rPr>
          <w:rFonts w:hint="default" w:ascii="Times New Roman" w:hAnsi="Times New Roman" w:eastAsia="宋体" w:cs="Times New Roman"/>
          <w:color w:val="auto"/>
          <w:kern w:val="2"/>
          <w:sz w:val="21"/>
          <w:szCs w:val="21"/>
          <w:lang w:val="en-US" w:eastAsia="zh-CN" w:bidi="ar"/>
        </w:rPr>
        <w:t>pdf</w:t>
      </w:r>
      <w:r>
        <w:rPr>
          <w:rFonts w:hint="eastAsia" w:ascii="宋体" w:hAnsi="宋体" w:eastAsia="宋体" w:cs="宋体"/>
          <w:color w:val="auto"/>
          <w:kern w:val="2"/>
          <w:sz w:val="21"/>
          <w:szCs w:val="21"/>
          <w:lang w:val="en-US" w:eastAsia="zh-CN" w:bidi="ar"/>
        </w:rPr>
        <w:t>文件，其中</w:t>
      </w:r>
      <w:r>
        <w:rPr>
          <w:rFonts w:hint="default" w:ascii="Times New Roman" w:hAnsi="Times New Roman" w:eastAsia="宋体" w:cs="Times New Roman"/>
          <w:color w:val="auto"/>
          <w:kern w:val="2"/>
          <w:sz w:val="21"/>
          <w:szCs w:val="21"/>
          <w:lang w:val="en-US" w:eastAsia="zh-CN" w:bidi="ar"/>
        </w:rPr>
        <w:t>AutoCAD</w:t>
      </w:r>
      <w:r>
        <w:rPr>
          <w:rFonts w:hint="eastAsia" w:ascii="宋体" w:hAnsi="宋体" w:eastAsia="宋体" w:cs="宋体"/>
          <w:color w:val="auto"/>
          <w:kern w:val="2"/>
          <w:sz w:val="21"/>
          <w:szCs w:val="21"/>
          <w:lang w:val="en-US" w:eastAsia="zh-CN" w:bidi="ar"/>
        </w:rPr>
        <w:t>文件格式使用</w:t>
      </w:r>
      <w:r>
        <w:rPr>
          <w:rFonts w:hint="default" w:ascii="Times New Roman" w:hAnsi="Times New Roman" w:eastAsia="宋体" w:cs="Times New Roman"/>
          <w:color w:val="auto"/>
          <w:kern w:val="2"/>
          <w:sz w:val="21"/>
          <w:szCs w:val="21"/>
          <w:lang w:val="en-US" w:eastAsia="zh-CN" w:bidi="ar"/>
        </w:rPr>
        <w:t>dwg</w:t>
      </w:r>
      <w:r>
        <w:rPr>
          <w:rFonts w:hint="eastAsia" w:ascii="宋体" w:hAnsi="宋体" w:eastAsia="宋体" w:cs="宋体"/>
          <w:color w:val="auto"/>
          <w:kern w:val="2"/>
          <w:sz w:val="21"/>
          <w:szCs w:val="21"/>
          <w:lang w:val="en-US" w:eastAsia="zh-CN" w:bidi="ar"/>
        </w:rPr>
        <w:t>格式。</w:t>
      </w:r>
    </w:p>
    <w:p w14:paraId="23BCC24A">
      <w:pPr>
        <w:keepNext w:val="0"/>
        <w:keepLines w:val="0"/>
        <w:widowControl/>
        <w:suppressLineNumbers w:val="0"/>
        <w:wordWrap w:val="0"/>
        <w:topLinePunct/>
        <w:adjustRightInd w:val="0"/>
        <w:snapToGrid w:val="0"/>
        <w:spacing w:before="0" w:beforeAutospacing="0" w:after="0" w:afterAutospacing="0" w:line="360" w:lineRule="auto"/>
        <w:ind w:left="0" w:right="0" w:firstLine="457" w:firstLineChars="218"/>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、提供</w:t>
      </w:r>
      <w:r>
        <w:rPr>
          <w:rFonts w:hint="default" w:ascii="Times New Roman" w:hAnsi="Times New Roman" w:eastAsia="宋体" w:cs="Times New Roman"/>
          <w:color w:val="auto"/>
          <w:kern w:val="2"/>
          <w:sz w:val="21"/>
          <w:szCs w:val="21"/>
          <w:lang w:val="en-US" w:eastAsia="zh-CN" w:bidi="ar"/>
        </w:rPr>
        <w:t>CAD</w:t>
      </w:r>
      <w:r>
        <w:rPr>
          <w:rFonts w:hint="eastAsia" w:ascii="宋体" w:hAnsi="宋体" w:eastAsia="宋体" w:cs="宋体"/>
          <w:color w:val="auto"/>
          <w:kern w:val="2"/>
          <w:sz w:val="21"/>
          <w:szCs w:val="21"/>
          <w:lang w:val="en-US" w:eastAsia="zh-CN" w:bidi="ar"/>
        </w:rPr>
        <w:t>图纸的同时应提供所有图纸中所使用的字体文件。如有外部引用，必须包含所有外部引用的全部文件及字体，文件名必须与图名相对应，每个文件对应一张图并注明版本号。</w:t>
      </w:r>
      <w:r>
        <w:rPr>
          <w:rFonts w:hint="default" w:ascii="Times New Roman" w:hAnsi="Times New Roman" w:eastAsia="宋体" w:cs="Times New Roman"/>
          <w:color w:val="auto"/>
          <w:kern w:val="2"/>
          <w:sz w:val="21"/>
          <w:szCs w:val="21"/>
          <w:lang w:val="en-US" w:eastAsia="zh-CN" w:bidi="ar"/>
        </w:rPr>
        <w:br w:type="textWrapping"/>
      </w:r>
      <w:r>
        <w:rPr>
          <w:rFonts w:hint="default" w:ascii="Times New Roman" w:hAnsi="Times New Roman" w:eastAsia="宋体" w:cs="Times New Roman"/>
          <w:color w:val="auto"/>
          <w:kern w:val="2"/>
          <w:sz w:val="21"/>
          <w:szCs w:val="21"/>
          <w:lang w:val="en-US" w:eastAsia="zh-CN" w:bidi="ar"/>
        </w:rPr>
        <w:t xml:space="preserve">    4</w:t>
      </w:r>
      <w:r>
        <w:rPr>
          <w:rFonts w:hint="eastAsia" w:ascii="宋体" w:hAnsi="宋体" w:eastAsia="宋体" w:cs="宋体"/>
          <w:color w:val="auto"/>
          <w:kern w:val="2"/>
          <w:sz w:val="21"/>
          <w:szCs w:val="21"/>
          <w:lang w:val="en-US" w:eastAsia="zh-CN" w:bidi="ar"/>
        </w:rPr>
        <w:t>、效果图资料使用</w:t>
      </w:r>
      <w:r>
        <w:rPr>
          <w:rFonts w:hint="default" w:ascii="Times New Roman" w:hAnsi="Times New Roman" w:eastAsia="宋体" w:cs="Times New Roman"/>
          <w:color w:val="auto"/>
          <w:kern w:val="2"/>
          <w:sz w:val="21"/>
          <w:szCs w:val="21"/>
          <w:lang w:val="en-US" w:eastAsia="zh-CN" w:bidi="ar"/>
        </w:rPr>
        <w:t>jpg</w:t>
      </w:r>
      <w:r>
        <w:rPr>
          <w:rFonts w:hint="eastAsia" w:ascii="宋体" w:hAnsi="宋体" w:eastAsia="宋体" w:cs="宋体"/>
          <w:color w:val="auto"/>
          <w:kern w:val="2"/>
          <w:sz w:val="21"/>
          <w:szCs w:val="21"/>
          <w:lang w:val="en-US" w:eastAsia="zh-CN" w:bidi="ar"/>
        </w:rPr>
        <w:t>格式的文件。</w:t>
      </w:r>
      <w:r>
        <w:rPr>
          <w:rFonts w:hint="default" w:ascii="Times New Roman" w:hAnsi="Times New Roman" w:eastAsia="宋体" w:cs="Times New Roman"/>
          <w:color w:val="auto"/>
          <w:kern w:val="2"/>
          <w:sz w:val="21"/>
          <w:szCs w:val="21"/>
          <w:lang w:val="en-US" w:eastAsia="zh-CN" w:bidi="ar"/>
        </w:rPr>
        <w:br w:type="textWrapping"/>
      </w:r>
      <w:r>
        <w:rPr>
          <w:rFonts w:hint="default" w:ascii="Times New Roman" w:hAnsi="Times New Roman" w:eastAsia="宋体" w:cs="Times New Roman"/>
          <w:color w:val="auto"/>
          <w:kern w:val="2"/>
          <w:sz w:val="21"/>
          <w:szCs w:val="21"/>
          <w:lang w:val="en-US" w:eastAsia="zh-CN" w:bidi="ar"/>
        </w:rPr>
        <w:t xml:space="preserve">    5</w:t>
      </w:r>
      <w:r>
        <w:rPr>
          <w:rFonts w:hint="eastAsia" w:ascii="宋体" w:hAnsi="宋体" w:eastAsia="宋体" w:cs="宋体"/>
          <w:color w:val="auto"/>
          <w:kern w:val="2"/>
          <w:sz w:val="21"/>
          <w:szCs w:val="21"/>
          <w:lang w:val="en-US" w:eastAsia="zh-CN" w:bidi="ar"/>
        </w:rPr>
        <w:t>、项目电子图纸、图片及文字资料所有权归发包人，设计人不得对所提交电子文件设置加密锁、只读格式、附带专项软件启动条件，以及发包人认为不合理的限制格式。</w:t>
      </w:r>
    </w:p>
    <w:p w14:paraId="102CBDA5">
      <w:pPr>
        <w:pStyle w:val="4"/>
        <w:numPr>
          <w:ilvl w:val="0"/>
          <w:numId w:val="0"/>
        </w:numPr>
        <w:spacing w:before="156" w:after="156"/>
        <w:ind w:firstLine="560"/>
        <w:rPr>
          <w:color w:val="auto"/>
        </w:rPr>
      </w:pPr>
      <w:r>
        <w:rPr>
          <w:rFonts w:hint="eastAsia"/>
          <w:color w:val="auto"/>
        </w:rPr>
        <w:t>（</w:t>
      </w:r>
      <w:r>
        <w:rPr>
          <w:rFonts w:hint="eastAsia"/>
          <w:color w:val="auto"/>
          <w:lang w:eastAsia="zh-CN"/>
        </w:rPr>
        <w:t>五</w:t>
      </w:r>
      <w:r>
        <w:rPr>
          <w:rFonts w:hint="eastAsia"/>
          <w:color w:val="auto"/>
        </w:rPr>
        <w:t xml:space="preserve">） </w:t>
      </w:r>
      <w:bookmarkStart w:id="326" w:name="_Toc462255980"/>
      <w:bookmarkStart w:id="327" w:name="_Toc462255896"/>
      <w:r>
        <w:rPr>
          <w:color w:val="auto"/>
        </w:rPr>
        <w:t>工程造价估算</w:t>
      </w:r>
      <w:bookmarkEnd w:id="325"/>
      <w:bookmarkEnd w:id="326"/>
      <w:bookmarkEnd w:id="327"/>
    </w:p>
    <w:p w14:paraId="2E761819">
      <w:pPr>
        <w:pStyle w:val="67"/>
        <w:numPr>
          <w:ilvl w:val="0"/>
          <w:numId w:val="48"/>
        </w:numPr>
        <w:ind w:left="0" w:firstLine="364" w:firstLineChars="152"/>
        <w:rPr>
          <w:rFonts w:ascii="宋体" w:hAnsi="宋体" w:eastAsia="宋体"/>
          <w:color w:val="auto"/>
          <w:sz w:val="24"/>
          <w:szCs w:val="24"/>
        </w:rPr>
      </w:pPr>
      <w:r>
        <w:rPr>
          <w:rFonts w:hint="eastAsia" w:ascii="宋体" w:hAnsi="宋体" w:eastAsia="宋体"/>
          <w:color w:val="auto"/>
          <w:sz w:val="24"/>
          <w:szCs w:val="24"/>
        </w:rPr>
        <w:t>造价估算原则和依据</w:t>
      </w:r>
    </w:p>
    <w:p w14:paraId="2D912222">
      <w:pPr>
        <w:numPr>
          <w:ilvl w:val="0"/>
          <w:numId w:val="49"/>
        </w:numPr>
        <w:rPr>
          <w:rFonts w:ascii="宋体" w:hAnsi="宋体"/>
          <w:color w:val="auto"/>
          <w:sz w:val="24"/>
        </w:rPr>
      </w:pPr>
      <w:r>
        <w:rPr>
          <w:rFonts w:hint="eastAsia" w:ascii="宋体" w:hAnsi="宋体"/>
          <w:color w:val="auto"/>
          <w:sz w:val="24"/>
        </w:rPr>
        <w:t>作为对建筑方案进行技术经济评估的依据之一，</w:t>
      </w:r>
      <w:r>
        <w:rPr>
          <w:rFonts w:hint="eastAsia" w:ascii="宋体" w:hAnsi="宋体"/>
          <w:bCs/>
          <w:color w:val="auto"/>
          <w:sz w:val="24"/>
        </w:rPr>
        <w:t>建筑方案</w:t>
      </w:r>
      <w:r>
        <w:rPr>
          <w:rFonts w:hint="eastAsia" w:ascii="宋体" w:hAnsi="宋体"/>
          <w:color w:val="auto"/>
          <w:sz w:val="24"/>
        </w:rPr>
        <w:t>工程</w:t>
      </w:r>
      <w:r>
        <w:rPr>
          <w:rFonts w:hint="eastAsia" w:ascii="宋体" w:hAnsi="宋体"/>
          <w:bCs/>
          <w:color w:val="auto"/>
          <w:sz w:val="24"/>
        </w:rPr>
        <w:t>造价估算准确度应在建筑方案阶段允许范围之内</w:t>
      </w:r>
      <w:r>
        <w:rPr>
          <w:rFonts w:hint="eastAsia" w:ascii="宋体" w:hAnsi="宋体"/>
          <w:color w:val="auto"/>
          <w:sz w:val="24"/>
        </w:rPr>
        <w:t>。当其准确度影响到对该方案的可行性判定时，应对该建筑方案进行专项技术经济评估；</w:t>
      </w:r>
    </w:p>
    <w:p w14:paraId="09376716">
      <w:pPr>
        <w:numPr>
          <w:ilvl w:val="0"/>
          <w:numId w:val="49"/>
        </w:numPr>
        <w:rPr>
          <w:rFonts w:ascii="宋体" w:hAnsi="宋体"/>
          <w:color w:val="auto"/>
          <w:sz w:val="24"/>
        </w:rPr>
      </w:pPr>
      <w:r>
        <w:rPr>
          <w:rFonts w:hint="eastAsia" w:ascii="宋体" w:hAnsi="宋体"/>
          <w:color w:val="auto"/>
          <w:sz w:val="24"/>
        </w:rPr>
        <w:t>建筑方案工程造价估算编制依据包括项目所在地造价管理部门发布的有关造价文件和项目有关的各类资料，如项目批文、建筑方案设计图纸、市场价格信息和类似工程技术经济指标等。</w:t>
      </w:r>
    </w:p>
    <w:p w14:paraId="7E5DE8B0">
      <w:pPr>
        <w:pStyle w:val="67"/>
        <w:numPr>
          <w:ilvl w:val="0"/>
          <w:numId w:val="48"/>
        </w:numPr>
        <w:ind w:left="0" w:firstLine="426" w:firstLineChars="0"/>
        <w:rPr>
          <w:rFonts w:ascii="宋体" w:hAnsi="宋体" w:eastAsia="宋体"/>
          <w:color w:val="auto"/>
          <w:sz w:val="24"/>
          <w:szCs w:val="24"/>
        </w:rPr>
      </w:pPr>
      <w:r>
        <w:rPr>
          <w:rFonts w:hint="eastAsia" w:ascii="宋体" w:hAnsi="宋体" w:eastAsia="宋体"/>
          <w:color w:val="auto"/>
          <w:sz w:val="24"/>
          <w:szCs w:val="24"/>
        </w:rPr>
        <w:t>建筑方案工程造价估算工作内容</w:t>
      </w:r>
    </w:p>
    <w:p w14:paraId="7EED4741">
      <w:pPr>
        <w:numPr>
          <w:ilvl w:val="0"/>
          <w:numId w:val="50"/>
        </w:numPr>
        <w:rPr>
          <w:rFonts w:ascii="宋体" w:hAnsi="宋体"/>
          <w:color w:val="auto"/>
          <w:sz w:val="24"/>
        </w:rPr>
      </w:pPr>
      <w:r>
        <w:rPr>
          <w:rFonts w:hint="eastAsia" w:ascii="宋体" w:hAnsi="宋体"/>
          <w:color w:val="auto"/>
          <w:sz w:val="24"/>
        </w:rPr>
        <w:t>编制估算并以单位指标形式表达；</w:t>
      </w:r>
    </w:p>
    <w:p w14:paraId="2CAF3717">
      <w:pPr>
        <w:numPr>
          <w:ilvl w:val="0"/>
          <w:numId w:val="50"/>
        </w:numPr>
        <w:rPr>
          <w:rFonts w:ascii="宋体" w:hAnsi="宋体"/>
          <w:color w:val="auto"/>
          <w:sz w:val="24"/>
        </w:rPr>
      </w:pPr>
      <w:r>
        <w:rPr>
          <w:rFonts w:hint="eastAsia" w:ascii="宋体" w:hAnsi="宋体"/>
          <w:color w:val="auto"/>
          <w:sz w:val="24"/>
        </w:rPr>
        <w:t>配合方案比选；</w:t>
      </w:r>
    </w:p>
    <w:p w14:paraId="6C57C617">
      <w:pPr>
        <w:numPr>
          <w:ilvl w:val="0"/>
          <w:numId w:val="50"/>
        </w:numPr>
        <w:rPr>
          <w:rFonts w:ascii="宋体" w:hAnsi="宋体"/>
          <w:color w:val="auto"/>
          <w:sz w:val="24"/>
        </w:rPr>
      </w:pPr>
      <w:r>
        <w:rPr>
          <w:rFonts w:hint="eastAsia" w:ascii="宋体" w:hAnsi="宋体"/>
          <w:color w:val="auto"/>
          <w:sz w:val="24"/>
        </w:rPr>
        <w:t>配合方案优化；</w:t>
      </w:r>
    </w:p>
    <w:p w14:paraId="62D20D56">
      <w:pPr>
        <w:numPr>
          <w:ilvl w:val="0"/>
          <w:numId w:val="50"/>
        </w:numPr>
        <w:rPr>
          <w:rFonts w:ascii="宋体" w:hAnsi="宋体"/>
          <w:color w:val="auto"/>
          <w:sz w:val="24"/>
        </w:rPr>
      </w:pPr>
      <w:r>
        <w:rPr>
          <w:rFonts w:hint="eastAsia" w:ascii="宋体" w:hAnsi="宋体"/>
          <w:color w:val="auto"/>
          <w:sz w:val="24"/>
        </w:rPr>
        <w:t>估算调整。</w:t>
      </w:r>
    </w:p>
    <w:p w14:paraId="264C464B">
      <w:pPr>
        <w:pStyle w:val="67"/>
        <w:numPr>
          <w:ilvl w:val="0"/>
          <w:numId w:val="51"/>
        </w:numPr>
        <w:ind w:left="0" w:firstLine="424" w:firstLineChars="177"/>
        <w:rPr>
          <w:rFonts w:ascii="宋体" w:hAnsi="宋体" w:eastAsia="宋体"/>
          <w:color w:val="auto"/>
          <w:sz w:val="24"/>
          <w:szCs w:val="24"/>
        </w:rPr>
      </w:pPr>
      <w:r>
        <w:rPr>
          <w:rFonts w:hint="eastAsia" w:ascii="宋体" w:hAnsi="宋体" w:eastAsia="宋体"/>
          <w:color w:val="auto"/>
          <w:sz w:val="24"/>
          <w:szCs w:val="24"/>
        </w:rPr>
        <w:t>建筑方案工程造价估算文件编制说明及估算表</w:t>
      </w:r>
    </w:p>
    <w:p w14:paraId="3443EF0E">
      <w:pPr>
        <w:numPr>
          <w:ilvl w:val="0"/>
          <w:numId w:val="52"/>
        </w:numPr>
        <w:rPr>
          <w:rFonts w:ascii="宋体" w:hAnsi="宋体"/>
          <w:color w:val="auto"/>
          <w:sz w:val="24"/>
        </w:rPr>
      </w:pPr>
      <w:r>
        <w:rPr>
          <w:rFonts w:hint="eastAsia" w:ascii="宋体" w:hAnsi="宋体"/>
          <w:color w:val="auto"/>
          <w:sz w:val="24"/>
        </w:rPr>
        <w:t>估算编制说明资料</w:t>
      </w:r>
    </w:p>
    <w:p w14:paraId="78B68F4C">
      <w:pPr>
        <w:numPr>
          <w:ilvl w:val="1"/>
          <w:numId w:val="52"/>
        </w:numPr>
        <w:rPr>
          <w:rFonts w:ascii="宋体" w:hAnsi="宋体"/>
          <w:color w:val="auto"/>
          <w:sz w:val="24"/>
        </w:rPr>
      </w:pPr>
      <w:r>
        <w:rPr>
          <w:rFonts w:hint="eastAsia" w:ascii="宋体" w:hAnsi="宋体"/>
          <w:color w:val="auto"/>
          <w:sz w:val="24"/>
        </w:rPr>
        <w:t>编制依据；</w:t>
      </w:r>
    </w:p>
    <w:p w14:paraId="738C27F5">
      <w:pPr>
        <w:numPr>
          <w:ilvl w:val="1"/>
          <w:numId w:val="52"/>
        </w:numPr>
        <w:rPr>
          <w:rFonts w:ascii="宋体" w:hAnsi="宋体"/>
          <w:color w:val="auto"/>
          <w:sz w:val="24"/>
        </w:rPr>
      </w:pPr>
      <w:r>
        <w:rPr>
          <w:rFonts w:hint="eastAsia" w:ascii="宋体" w:hAnsi="宋体"/>
          <w:color w:val="auto"/>
          <w:sz w:val="24"/>
        </w:rPr>
        <w:t>编制方法；</w:t>
      </w:r>
    </w:p>
    <w:p w14:paraId="325FFAEC">
      <w:pPr>
        <w:numPr>
          <w:ilvl w:val="1"/>
          <w:numId w:val="52"/>
        </w:numPr>
        <w:rPr>
          <w:rFonts w:ascii="宋体" w:hAnsi="宋体"/>
          <w:color w:val="auto"/>
          <w:sz w:val="24"/>
        </w:rPr>
      </w:pPr>
      <w:r>
        <w:rPr>
          <w:rFonts w:hint="eastAsia" w:ascii="宋体" w:hAnsi="宋体"/>
          <w:color w:val="auto"/>
          <w:sz w:val="24"/>
        </w:rPr>
        <w:t>编制范围（包括和不包括的工程项目与费用）；</w:t>
      </w:r>
    </w:p>
    <w:p w14:paraId="004D7691">
      <w:pPr>
        <w:numPr>
          <w:ilvl w:val="1"/>
          <w:numId w:val="52"/>
        </w:numPr>
        <w:rPr>
          <w:rFonts w:ascii="宋体" w:hAnsi="宋体"/>
          <w:color w:val="auto"/>
          <w:sz w:val="24"/>
        </w:rPr>
      </w:pPr>
      <w:r>
        <w:rPr>
          <w:rFonts w:hint="eastAsia" w:ascii="宋体" w:hAnsi="宋体"/>
          <w:color w:val="auto"/>
          <w:sz w:val="24"/>
        </w:rPr>
        <w:t>主要技术经济指标；</w:t>
      </w:r>
    </w:p>
    <w:p w14:paraId="12E318AC">
      <w:pPr>
        <w:numPr>
          <w:ilvl w:val="1"/>
          <w:numId w:val="52"/>
        </w:numPr>
        <w:rPr>
          <w:rFonts w:ascii="宋体" w:hAnsi="宋体"/>
          <w:color w:val="auto"/>
          <w:sz w:val="24"/>
        </w:rPr>
      </w:pPr>
      <w:r>
        <w:rPr>
          <w:rFonts w:hint="eastAsia" w:ascii="宋体" w:hAnsi="宋体"/>
          <w:color w:val="auto"/>
          <w:sz w:val="24"/>
        </w:rPr>
        <w:t>限额设计说明（如有）及其他必要说明的问题。</w:t>
      </w:r>
    </w:p>
    <w:p w14:paraId="0EA3FF25">
      <w:pPr>
        <w:numPr>
          <w:ilvl w:val="0"/>
          <w:numId w:val="52"/>
        </w:numPr>
        <w:rPr>
          <w:rFonts w:ascii="宋体" w:hAnsi="宋体"/>
          <w:color w:val="auto"/>
          <w:sz w:val="24"/>
        </w:rPr>
      </w:pPr>
      <w:r>
        <w:rPr>
          <w:rFonts w:hint="eastAsia" w:ascii="宋体" w:hAnsi="宋体"/>
          <w:color w:val="auto"/>
          <w:sz w:val="24"/>
        </w:rPr>
        <w:t>估算表</w:t>
      </w:r>
    </w:p>
    <w:p w14:paraId="40FC4045">
      <w:pPr>
        <w:numPr>
          <w:ilvl w:val="1"/>
          <w:numId w:val="53"/>
        </w:numPr>
        <w:ind w:left="1702" w:leftChars="608" w:hanging="425"/>
        <w:rPr>
          <w:rFonts w:ascii="宋体" w:hAnsi="宋体"/>
          <w:color w:val="auto"/>
          <w:sz w:val="24"/>
        </w:rPr>
      </w:pPr>
      <w:r>
        <w:rPr>
          <w:rFonts w:hint="eastAsia" w:ascii="宋体" w:hAnsi="宋体"/>
          <w:color w:val="auto"/>
          <w:sz w:val="24"/>
        </w:rPr>
        <w:t>应以单个单项工程为编制单元，由土建、给排水、电气、暖通、空调、动力、智能化等单位工程的估算和土石方、道路、室外管线、绿化等室外工程的估算两大部分内容组成；</w:t>
      </w:r>
    </w:p>
    <w:p w14:paraId="58B62119">
      <w:pPr>
        <w:numPr>
          <w:ilvl w:val="1"/>
          <w:numId w:val="53"/>
        </w:numPr>
        <w:ind w:left="1701" w:hanging="425"/>
        <w:rPr>
          <w:rFonts w:ascii="宋体" w:hAnsi="宋体"/>
          <w:color w:val="auto"/>
          <w:sz w:val="24"/>
        </w:rPr>
      </w:pPr>
      <w:r>
        <w:rPr>
          <w:rFonts w:hint="eastAsia" w:ascii="宋体" w:hAnsi="宋体"/>
          <w:color w:val="auto"/>
          <w:sz w:val="24"/>
        </w:rPr>
        <w:t>可将工程建设其他费用和按适当费率取定的预备费列入估算表，汇总成建设项目的总投资；</w:t>
      </w:r>
    </w:p>
    <w:p w14:paraId="22319ECC">
      <w:pPr>
        <w:numPr>
          <w:ilvl w:val="1"/>
          <w:numId w:val="53"/>
        </w:numPr>
        <w:ind w:left="1701" w:hanging="425"/>
        <w:rPr>
          <w:rFonts w:ascii="宋体" w:hAnsi="宋体"/>
          <w:color w:val="auto"/>
          <w:sz w:val="24"/>
        </w:rPr>
      </w:pPr>
      <w:r>
        <w:rPr>
          <w:rFonts w:hint="eastAsia" w:ascii="宋体" w:hAnsi="宋体"/>
          <w:color w:val="auto"/>
          <w:sz w:val="24"/>
        </w:rPr>
        <w:t>当采用新的工艺、技术、材料或特殊结构时，应该对该项技术进行专项估算，评估后纳入估算之中。</w:t>
      </w:r>
    </w:p>
    <w:p w14:paraId="52A3EFE3">
      <w:pPr>
        <w:pStyle w:val="4"/>
        <w:numPr>
          <w:ilvl w:val="0"/>
          <w:numId w:val="0"/>
        </w:numPr>
        <w:spacing w:before="156" w:after="156"/>
        <w:rPr>
          <w:color w:val="auto"/>
        </w:rPr>
      </w:pPr>
      <w:bookmarkStart w:id="328" w:name="_Toc462255897"/>
      <w:bookmarkStart w:id="329" w:name="_Toc462255981"/>
      <w:bookmarkStart w:id="330" w:name="_Toc31942"/>
      <w:r>
        <w:rPr>
          <w:rFonts w:hint="eastAsia"/>
          <w:color w:val="auto"/>
        </w:rPr>
        <w:t>（</w:t>
      </w:r>
      <w:r>
        <w:rPr>
          <w:rFonts w:hint="eastAsia"/>
          <w:color w:val="auto"/>
          <w:lang w:eastAsia="zh-CN"/>
        </w:rPr>
        <w:t>六</w:t>
      </w:r>
      <w:r>
        <w:rPr>
          <w:rFonts w:hint="eastAsia"/>
          <w:color w:val="auto"/>
        </w:rPr>
        <w:t>）设计依据与规划建筑设计投标方案成果文件要求</w:t>
      </w:r>
      <w:bookmarkEnd w:id="328"/>
      <w:bookmarkEnd w:id="329"/>
      <w:bookmarkEnd w:id="330"/>
    </w:p>
    <w:p w14:paraId="195E0443">
      <w:pPr>
        <w:pStyle w:val="67"/>
        <w:numPr>
          <w:ilvl w:val="0"/>
          <w:numId w:val="54"/>
        </w:numPr>
        <w:ind w:left="0" w:firstLine="426" w:firstLineChars="0"/>
        <w:rPr>
          <w:rFonts w:ascii="宋体" w:hAnsi="宋体" w:eastAsia="宋体"/>
          <w:color w:val="auto"/>
          <w:sz w:val="24"/>
          <w:szCs w:val="24"/>
        </w:rPr>
      </w:pPr>
      <w:r>
        <w:rPr>
          <w:rFonts w:hint="eastAsia" w:ascii="宋体" w:hAnsi="宋体" w:eastAsia="宋体"/>
          <w:color w:val="auto"/>
          <w:sz w:val="24"/>
          <w:szCs w:val="24"/>
        </w:rPr>
        <w:t>规划建筑设计投标方案设计依据及设计深度；</w:t>
      </w:r>
    </w:p>
    <w:p w14:paraId="651F19AC">
      <w:pPr>
        <w:ind w:left="359" w:leftChars="171" w:firstLine="240" w:firstLineChars="100"/>
        <w:rPr>
          <w:rFonts w:ascii="宋体" w:hAnsi="宋体"/>
          <w:color w:val="auto"/>
          <w:sz w:val="24"/>
        </w:rPr>
      </w:pPr>
      <w:r>
        <w:rPr>
          <w:rFonts w:ascii="宋体" w:hAnsi="宋体"/>
          <w:color w:val="auto"/>
          <w:sz w:val="24"/>
        </w:rPr>
        <w:t>1.1</w:t>
      </w:r>
      <w:r>
        <w:rPr>
          <w:rFonts w:hint="eastAsia" w:ascii="宋体" w:hAnsi="宋体"/>
          <w:color w:val="auto"/>
          <w:sz w:val="24"/>
        </w:rPr>
        <w:t>设计依据</w:t>
      </w:r>
      <w:r>
        <w:rPr>
          <w:rFonts w:ascii="宋体" w:hAnsi="宋体"/>
          <w:color w:val="auto"/>
          <w:sz w:val="24"/>
        </w:rPr>
        <w:t xml:space="preserve"> </w:t>
      </w:r>
    </w:p>
    <w:p w14:paraId="4DD3F55A">
      <w:pPr>
        <w:ind w:firstLine="768" w:firstLineChars="320"/>
        <w:rPr>
          <w:rFonts w:ascii="宋体" w:hAnsi="宋体"/>
          <w:color w:val="auto"/>
          <w:sz w:val="24"/>
        </w:rPr>
      </w:pPr>
      <w:r>
        <w:rPr>
          <w:rFonts w:ascii="宋体" w:hAnsi="宋体"/>
          <w:color w:val="auto"/>
          <w:sz w:val="24"/>
        </w:rPr>
        <w:t>1.1.1项目用地</w:t>
      </w:r>
      <w:r>
        <w:rPr>
          <w:rFonts w:hint="eastAsia" w:ascii="宋体" w:hAnsi="宋体"/>
          <w:color w:val="auto"/>
          <w:sz w:val="24"/>
        </w:rPr>
        <w:t>红线图（用地坐标图）；</w:t>
      </w:r>
    </w:p>
    <w:p w14:paraId="5641229B">
      <w:pPr>
        <w:ind w:firstLine="768" w:firstLineChars="320"/>
        <w:rPr>
          <w:rFonts w:ascii="宋体" w:hAnsi="宋体"/>
          <w:color w:val="auto"/>
          <w:sz w:val="24"/>
        </w:rPr>
      </w:pPr>
      <w:r>
        <w:rPr>
          <w:rFonts w:ascii="宋体" w:hAnsi="宋体"/>
          <w:color w:val="auto"/>
          <w:sz w:val="24"/>
        </w:rPr>
        <w:t>1.1.2项目周边道路资料（包括道路定位、断面、公交车站设置、管线等资料）；</w:t>
      </w:r>
    </w:p>
    <w:p w14:paraId="4CEF3835">
      <w:pPr>
        <w:ind w:firstLine="768" w:firstLineChars="320"/>
        <w:rPr>
          <w:rFonts w:ascii="宋体" w:hAnsi="宋体"/>
          <w:color w:val="auto"/>
          <w:sz w:val="24"/>
        </w:rPr>
      </w:pPr>
      <w:r>
        <w:rPr>
          <w:rFonts w:ascii="宋体" w:hAnsi="宋体"/>
          <w:color w:val="auto"/>
          <w:sz w:val="24"/>
        </w:rPr>
        <w:t>1.1.3本地块市发改委《可行性研究报告的批复》；</w:t>
      </w:r>
    </w:p>
    <w:p w14:paraId="56F3FDDC">
      <w:pPr>
        <w:ind w:firstLine="768" w:firstLineChars="320"/>
        <w:rPr>
          <w:rFonts w:ascii="宋体" w:hAnsi="宋体"/>
          <w:color w:val="auto"/>
          <w:sz w:val="24"/>
        </w:rPr>
      </w:pPr>
      <w:r>
        <w:rPr>
          <w:rFonts w:ascii="宋体" w:hAnsi="宋体"/>
          <w:color w:val="auto"/>
          <w:sz w:val="24"/>
        </w:rPr>
        <w:t>1.1.4项目地形图（电子文件）；</w:t>
      </w:r>
    </w:p>
    <w:p w14:paraId="3AA46EAA">
      <w:pPr>
        <w:ind w:firstLine="768" w:firstLineChars="320"/>
        <w:rPr>
          <w:rFonts w:ascii="宋体" w:hAnsi="宋体"/>
          <w:color w:val="auto"/>
          <w:sz w:val="24"/>
        </w:rPr>
      </w:pPr>
      <w:r>
        <w:rPr>
          <w:rFonts w:ascii="宋体" w:hAnsi="宋体"/>
          <w:color w:val="auto"/>
          <w:sz w:val="24"/>
        </w:rPr>
        <w:t>1.1.5增城区国土资源和规划局用地规划条件：</w:t>
      </w:r>
    </w:p>
    <w:p w14:paraId="2661CE00">
      <w:pPr>
        <w:ind w:firstLine="768" w:firstLineChars="320"/>
        <w:rPr>
          <w:rFonts w:ascii="宋体" w:hAnsi="宋体"/>
          <w:color w:val="auto"/>
          <w:sz w:val="24"/>
        </w:rPr>
      </w:pPr>
      <w:r>
        <w:rPr>
          <w:rFonts w:ascii="宋体" w:hAnsi="宋体"/>
          <w:color w:val="auto"/>
          <w:sz w:val="24"/>
        </w:rPr>
        <w:t>1.1.6规划设计要点</w:t>
      </w:r>
      <w:r>
        <w:rPr>
          <w:rFonts w:hint="eastAsia" w:ascii="宋体" w:hAnsi="宋体"/>
          <w:color w:val="auto"/>
          <w:sz w:val="24"/>
        </w:rPr>
        <w:t>：</w:t>
      </w:r>
    </w:p>
    <w:p w14:paraId="06675EB1">
      <w:pPr>
        <w:ind w:firstLine="768" w:firstLineChars="320"/>
        <w:rPr>
          <w:rFonts w:ascii="宋体" w:hAnsi="宋体"/>
          <w:color w:val="auto"/>
          <w:sz w:val="24"/>
        </w:rPr>
      </w:pPr>
      <w:r>
        <w:rPr>
          <w:rFonts w:ascii="宋体" w:hAnsi="宋体"/>
          <w:color w:val="auto"/>
          <w:sz w:val="24"/>
        </w:rPr>
        <w:t>1.1.7本设计招标文件要求；</w:t>
      </w:r>
    </w:p>
    <w:p w14:paraId="28F166D3">
      <w:pPr>
        <w:ind w:firstLine="768" w:firstLineChars="320"/>
        <w:rPr>
          <w:rFonts w:ascii="宋体" w:hAnsi="宋体"/>
          <w:color w:val="auto"/>
          <w:sz w:val="24"/>
        </w:rPr>
      </w:pPr>
      <w:r>
        <w:rPr>
          <w:rFonts w:ascii="宋体" w:hAnsi="宋体"/>
          <w:color w:val="auto"/>
          <w:sz w:val="24"/>
        </w:rPr>
        <w:t>1.1.8国家及地方有关建筑规划设计规范、规程和规定。</w:t>
      </w:r>
    </w:p>
    <w:p w14:paraId="5F413EEA">
      <w:pPr>
        <w:ind w:firstLine="528" w:firstLineChars="220"/>
        <w:jc w:val="left"/>
        <w:rPr>
          <w:rFonts w:ascii="宋体" w:hAnsi="宋体"/>
          <w:color w:val="auto"/>
          <w:sz w:val="24"/>
        </w:rPr>
      </w:pPr>
      <w:r>
        <w:rPr>
          <w:rFonts w:ascii="宋体" w:hAnsi="宋体"/>
          <w:color w:val="auto"/>
          <w:sz w:val="24"/>
        </w:rPr>
        <w:t>1.2设计深度</w:t>
      </w:r>
    </w:p>
    <w:p w14:paraId="43F620B4">
      <w:pPr>
        <w:ind w:firstLine="768" w:firstLineChars="320"/>
        <w:rPr>
          <w:rFonts w:ascii="宋体" w:hAnsi="宋体"/>
          <w:color w:val="auto"/>
          <w:sz w:val="24"/>
        </w:rPr>
      </w:pPr>
      <w:r>
        <w:rPr>
          <w:rFonts w:ascii="宋体" w:hAnsi="宋体"/>
          <w:color w:val="auto"/>
          <w:sz w:val="24"/>
        </w:rPr>
        <w:t xml:space="preserve">1.2.1 </w:t>
      </w:r>
      <w:r>
        <w:rPr>
          <w:rFonts w:hint="eastAsia" w:ascii="宋体" w:hAnsi="宋体"/>
          <w:color w:val="auto"/>
          <w:sz w:val="24"/>
        </w:rPr>
        <w:t>建筑工程设计投标文件宜达到建设部《建筑工程设计文件编制深度规定》（</w:t>
      </w:r>
      <w:r>
        <w:rPr>
          <w:rFonts w:ascii="宋体" w:hAnsi="宋体"/>
          <w:color w:val="auto"/>
          <w:sz w:val="24"/>
        </w:rPr>
        <w:t>20</w:t>
      </w:r>
      <w:r>
        <w:rPr>
          <w:rFonts w:hint="eastAsia" w:ascii="宋体" w:hAnsi="宋体"/>
          <w:color w:val="auto"/>
          <w:sz w:val="24"/>
        </w:rPr>
        <w:t>16</w:t>
      </w:r>
      <w:r>
        <w:rPr>
          <w:rFonts w:ascii="宋体" w:hAnsi="宋体"/>
          <w:color w:val="auto"/>
          <w:sz w:val="24"/>
        </w:rPr>
        <w:t>年版）相应设计阶段的要求。</w:t>
      </w:r>
    </w:p>
    <w:p w14:paraId="4BFA8B3E">
      <w:pPr>
        <w:ind w:firstLine="768" w:firstLineChars="320"/>
        <w:rPr>
          <w:rFonts w:ascii="宋体" w:hAnsi="宋体"/>
          <w:color w:val="auto"/>
          <w:sz w:val="24"/>
        </w:rPr>
      </w:pPr>
      <w:r>
        <w:rPr>
          <w:rFonts w:ascii="宋体" w:hAnsi="宋体"/>
          <w:color w:val="auto"/>
          <w:sz w:val="24"/>
        </w:rPr>
        <w:t>1.2.2方案设计要求有小区俯瞰图，总平面图，各主要单体效果图，主要室内空间效果图建筑平面图，立面图、剖面图，方案设计说明（构思，立意与周边关系的处理等），结构选型，室外环境节点设计。</w:t>
      </w:r>
    </w:p>
    <w:p w14:paraId="5D44C33D">
      <w:pPr>
        <w:ind w:firstLine="768" w:firstLineChars="320"/>
        <w:rPr>
          <w:rFonts w:ascii="宋体" w:hAnsi="宋体"/>
          <w:color w:val="auto"/>
          <w:sz w:val="24"/>
        </w:rPr>
      </w:pPr>
      <w:r>
        <w:rPr>
          <w:rFonts w:ascii="宋体" w:hAnsi="宋体"/>
          <w:color w:val="auto"/>
          <w:sz w:val="24"/>
        </w:rPr>
        <w:t>1.2.3设计独特具有独创性的节点位置，应该提供示意图。</w:t>
      </w:r>
    </w:p>
    <w:p w14:paraId="33124E8C">
      <w:pPr>
        <w:pStyle w:val="67"/>
        <w:numPr>
          <w:ilvl w:val="0"/>
          <w:numId w:val="54"/>
        </w:numPr>
        <w:ind w:left="0" w:firstLine="463" w:firstLineChars="193"/>
        <w:rPr>
          <w:rFonts w:ascii="宋体" w:hAnsi="宋体" w:eastAsia="宋体"/>
          <w:color w:val="auto"/>
          <w:sz w:val="24"/>
          <w:szCs w:val="24"/>
        </w:rPr>
      </w:pPr>
      <w:r>
        <w:rPr>
          <w:rFonts w:hint="eastAsia" w:ascii="宋体" w:hAnsi="宋体" w:eastAsia="宋体"/>
          <w:color w:val="auto"/>
          <w:sz w:val="24"/>
          <w:szCs w:val="24"/>
        </w:rPr>
        <w:t>成果要求</w:t>
      </w:r>
    </w:p>
    <w:p w14:paraId="3B3C5916">
      <w:pPr>
        <w:ind w:firstLine="648" w:firstLineChars="270"/>
        <w:rPr>
          <w:rFonts w:hint="eastAsia" w:ascii="宋体" w:hAnsi="宋体" w:eastAsia="宋体"/>
          <w:color w:val="auto"/>
          <w:sz w:val="24"/>
          <w:lang w:eastAsia="zh-CN"/>
        </w:rPr>
      </w:pPr>
      <w:bookmarkStart w:id="331" w:name="_Toc355966373"/>
      <w:bookmarkStart w:id="332" w:name="_Toc354847328"/>
      <w:r>
        <w:rPr>
          <w:rFonts w:ascii="宋体" w:hAnsi="宋体"/>
          <w:color w:val="auto"/>
          <w:sz w:val="24"/>
        </w:rPr>
        <w:t>2.1文本文件</w:t>
      </w:r>
      <w:bookmarkEnd w:id="331"/>
      <w:bookmarkEnd w:id="332"/>
      <w:r>
        <w:rPr>
          <w:rFonts w:hint="eastAsia" w:ascii="宋体" w:hAnsi="宋体"/>
          <w:color w:val="auto"/>
          <w:sz w:val="24"/>
          <w:lang w:eastAsia="zh-CN"/>
        </w:rPr>
        <w:t>（</w:t>
      </w:r>
      <w:r>
        <w:rPr>
          <w:rFonts w:hint="eastAsia" w:ascii="宋体" w:hAnsi="宋体" w:eastAsia="宋体" w:cs="宋体"/>
          <w:b/>
          <w:bCs/>
          <w:color w:val="auto"/>
          <w:sz w:val="24"/>
          <w:highlight w:val="none"/>
        </w:rPr>
        <w:t>纸质文件</w:t>
      </w:r>
      <w:r>
        <w:rPr>
          <w:rFonts w:hint="eastAsia" w:ascii="宋体" w:hAnsi="宋体"/>
          <w:color w:val="auto"/>
          <w:sz w:val="24"/>
          <w:lang w:eastAsia="zh-CN"/>
        </w:rPr>
        <w:t>）</w:t>
      </w:r>
    </w:p>
    <w:p w14:paraId="39D731F4">
      <w:pPr>
        <w:ind w:firstLine="808" w:firstLineChars="337"/>
        <w:rPr>
          <w:rFonts w:ascii="宋体" w:hAnsi="宋体"/>
          <w:color w:val="auto"/>
          <w:sz w:val="24"/>
        </w:rPr>
      </w:pPr>
      <w:r>
        <w:rPr>
          <w:rFonts w:ascii="宋体" w:hAnsi="宋体"/>
          <w:color w:val="auto"/>
          <w:sz w:val="24"/>
        </w:rPr>
        <w:t>2.1.1文本文件以A3</w:t>
      </w:r>
      <w:r>
        <w:rPr>
          <w:rFonts w:hint="eastAsia" w:ascii="宋体" w:hAnsi="宋体"/>
          <w:color w:val="auto"/>
          <w:sz w:val="24"/>
        </w:rPr>
        <w:t>规格编排装订成册。</w:t>
      </w:r>
    </w:p>
    <w:p w14:paraId="0842BB0A">
      <w:pPr>
        <w:ind w:firstLine="808" w:firstLineChars="337"/>
        <w:rPr>
          <w:rFonts w:ascii="宋体" w:hAnsi="宋体"/>
          <w:color w:val="auto"/>
          <w:sz w:val="24"/>
        </w:rPr>
      </w:pPr>
      <w:r>
        <w:rPr>
          <w:rFonts w:ascii="宋体" w:hAnsi="宋体"/>
          <w:color w:val="auto"/>
          <w:sz w:val="24"/>
        </w:rPr>
        <w:t>2.1.2文本文件一式3份，其中正本1份，封面标注“正本”字样，副</w:t>
      </w:r>
      <w:r>
        <w:rPr>
          <w:rFonts w:hint="eastAsia" w:ascii="宋体" w:hAnsi="宋体"/>
          <w:color w:val="auto"/>
          <w:sz w:val="24"/>
        </w:rPr>
        <w:t>封面标注“副本”字样。正本与副本不符的内容，以正本为准。如果文本文件未标</w:t>
      </w:r>
      <w:r>
        <w:rPr>
          <w:rFonts w:ascii="宋体" w:hAnsi="宋体"/>
          <w:color w:val="auto"/>
          <w:sz w:val="24"/>
        </w:rPr>
        <w:t xml:space="preserve"> </w:t>
      </w:r>
      <w:r>
        <w:rPr>
          <w:rFonts w:hint="eastAsia" w:ascii="宋体" w:hAnsi="宋体"/>
          <w:color w:val="auto"/>
          <w:sz w:val="24"/>
        </w:rPr>
        <w:t>注 “正本”，则由评标委员会认定一本为“正本”。</w:t>
      </w:r>
    </w:p>
    <w:p w14:paraId="1E677B29">
      <w:pPr>
        <w:ind w:firstLine="808" w:firstLineChars="337"/>
        <w:rPr>
          <w:rFonts w:ascii="宋体" w:hAnsi="宋体"/>
          <w:color w:val="auto"/>
          <w:sz w:val="24"/>
        </w:rPr>
      </w:pPr>
      <w:r>
        <w:rPr>
          <w:rFonts w:hint="eastAsia" w:ascii="宋体" w:hAnsi="宋体"/>
          <w:color w:val="auto"/>
          <w:sz w:val="24"/>
        </w:rPr>
        <w:t>2.1.3设计投标文本文件内容：</w:t>
      </w:r>
    </w:p>
    <w:p w14:paraId="210E4296">
      <w:pPr>
        <w:ind w:firstLine="808" w:firstLineChars="337"/>
        <w:rPr>
          <w:rFonts w:ascii="宋体" w:hAnsi="宋体"/>
          <w:color w:val="auto"/>
          <w:sz w:val="24"/>
        </w:rPr>
      </w:pPr>
      <w:r>
        <w:rPr>
          <w:rFonts w:hint="eastAsia" w:ascii="宋体" w:hAnsi="宋体"/>
          <w:color w:val="auto"/>
          <w:sz w:val="24"/>
        </w:rPr>
        <w:t>(a) 封面；</w:t>
      </w:r>
    </w:p>
    <w:p w14:paraId="26297008">
      <w:pPr>
        <w:ind w:firstLine="808" w:firstLineChars="337"/>
        <w:rPr>
          <w:rFonts w:ascii="宋体" w:hAnsi="宋体"/>
          <w:color w:val="auto"/>
          <w:sz w:val="24"/>
        </w:rPr>
      </w:pPr>
      <w:r>
        <w:rPr>
          <w:rFonts w:hint="eastAsia" w:ascii="宋体" w:hAnsi="宋体"/>
          <w:color w:val="auto"/>
          <w:sz w:val="24"/>
        </w:rPr>
        <w:t>(b) 目录；</w:t>
      </w:r>
    </w:p>
    <w:p w14:paraId="0135D3E0">
      <w:pPr>
        <w:ind w:firstLine="808" w:firstLineChars="337"/>
        <w:rPr>
          <w:rFonts w:ascii="宋体" w:hAnsi="宋体"/>
          <w:color w:val="auto"/>
          <w:sz w:val="24"/>
        </w:rPr>
      </w:pPr>
      <w:r>
        <w:rPr>
          <w:rFonts w:ascii="宋体" w:hAnsi="宋体"/>
          <w:color w:val="auto"/>
          <w:sz w:val="24"/>
        </w:rPr>
        <w:t>(c) 设计说明书；</w:t>
      </w:r>
    </w:p>
    <w:p w14:paraId="7BC9CDF8">
      <w:pPr>
        <w:ind w:firstLine="808" w:firstLineChars="337"/>
        <w:rPr>
          <w:rFonts w:ascii="宋体" w:hAnsi="宋体"/>
          <w:color w:val="auto"/>
          <w:sz w:val="24"/>
        </w:rPr>
      </w:pPr>
      <w:r>
        <w:rPr>
          <w:rFonts w:ascii="宋体" w:hAnsi="宋体"/>
          <w:color w:val="auto"/>
          <w:sz w:val="24"/>
        </w:rPr>
        <w:t xml:space="preserve">(d) </w:t>
      </w:r>
      <w:r>
        <w:rPr>
          <w:rFonts w:hint="eastAsia" w:ascii="宋体" w:hAnsi="宋体"/>
          <w:color w:val="auto"/>
          <w:sz w:val="24"/>
        </w:rPr>
        <w:t>设计图纸；</w:t>
      </w:r>
    </w:p>
    <w:p w14:paraId="640FBFB2">
      <w:pPr>
        <w:ind w:firstLine="808" w:firstLineChars="337"/>
        <w:rPr>
          <w:rFonts w:ascii="宋体" w:hAnsi="宋体"/>
          <w:color w:val="auto"/>
          <w:sz w:val="24"/>
        </w:rPr>
      </w:pPr>
      <w:r>
        <w:rPr>
          <w:rFonts w:ascii="宋体" w:hAnsi="宋体"/>
          <w:color w:val="auto"/>
          <w:sz w:val="24"/>
        </w:rPr>
        <w:t>(e) 投标人提出的建议、工程创新和替代方案（如果有）；</w:t>
      </w:r>
    </w:p>
    <w:p w14:paraId="161CD521">
      <w:pPr>
        <w:ind w:firstLine="808" w:firstLineChars="337"/>
        <w:rPr>
          <w:rFonts w:ascii="宋体" w:hAnsi="宋体"/>
          <w:color w:val="auto"/>
          <w:sz w:val="24"/>
        </w:rPr>
      </w:pPr>
      <w:r>
        <w:rPr>
          <w:rFonts w:ascii="宋体" w:hAnsi="宋体"/>
          <w:color w:val="auto"/>
          <w:sz w:val="24"/>
        </w:rPr>
        <w:t xml:space="preserve">(f) </w:t>
      </w:r>
      <w:r>
        <w:rPr>
          <w:rFonts w:hint="eastAsia" w:ascii="宋体" w:hAnsi="宋体"/>
          <w:color w:val="auto"/>
          <w:sz w:val="24"/>
        </w:rPr>
        <w:t>投标人认为有必要提供的其他资料。</w:t>
      </w:r>
    </w:p>
    <w:p w14:paraId="04894BA3">
      <w:pPr>
        <w:ind w:firstLine="808" w:firstLineChars="337"/>
        <w:rPr>
          <w:rFonts w:ascii="宋体" w:hAnsi="宋体"/>
          <w:color w:val="auto"/>
          <w:sz w:val="24"/>
        </w:rPr>
      </w:pPr>
      <w:r>
        <w:rPr>
          <w:rFonts w:ascii="宋体" w:hAnsi="宋体"/>
          <w:color w:val="auto"/>
          <w:sz w:val="24"/>
        </w:rPr>
        <w:t xml:space="preserve">2.1.4文本文件与计算机文件一起用不透明包装物包装密封。 </w:t>
      </w:r>
    </w:p>
    <w:p w14:paraId="5BAF286C">
      <w:pPr>
        <w:ind w:firstLine="672" w:firstLineChars="280"/>
        <w:rPr>
          <w:rFonts w:ascii="宋体" w:hAnsi="宋体"/>
          <w:color w:val="auto"/>
          <w:sz w:val="24"/>
        </w:rPr>
      </w:pPr>
      <w:r>
        <w:rPr>
          <w:rFonts w:ascii="宋体" w:hAnsi="宋体"/>
          <w:color w:val="auto"/>
          <w:sz w:val="24"/>
        </w:rPr>
        <w:t>2.2计算机文件</w:t>
      </w:r>
    </w:p>
    <w:p w14:paraId="71A04F46">
      <w:pPr>
        <w:ind w:firstLine="808" w:firstLineChars="337"/>
        <w:rPr>
          <w:rFonts w:ascii="宋体" w:hAnsi="宋体"/>
          <w:color w:val="auto"/>
          <w:sz w:val="24"/>
        </w:rPr>
      </w:pPr>
      <w:r>
        <w:rPr>
          <w:rFonts w:ascii="宋体" w:hAnsi="宋体"/>
          <w:color w:val="auto"/>
          <w:sz w:val="24"/>
        </w:rPr>
        <w:t>2.2.1计算机文件包括以下内容，大小不宜超过200MB：</w:t>
      </w:r>
    </w:p>
    <w:p w14:paraId="42DC5AB6">
      <w:pPr>
        <w:numPr>
          <w:ilvl w:val="0"/>
          <w:numId w:val="55"/>
        </w:numPr>
        <w:ind w:firstLine="960" w:firstLineChars="400"/>
        <w:jc w:val="left"/>
        <w:rPr>
          <w:rFonts w:ascii="宋体" w:hAnsi="宋体"/>
          <w:color w:val="auto"/>
          <w:sz w:val="24"/>
        </w:rPr>
      </w:pPr>
      <w:r>
        <w:rPr>
          <w:rFonts w:hint="eastAsia" w:ascii="宋体" w:hAnsi="宋体"/>
          <w:color w:val="auto"/>
          <w:sz w:val="24"/>
        </w:rPr>
        <w:t>一张用于识别投标方案的</w:t>
      </w:r>
      <w:r>
        <w:rPr>
          <w:rFonts w:ascii="宋体" w:hAnsi="宋体"/>
          <w:color w:val="auto"/>
          <w:sz w:val="24"/>
        </w:rPr>
        <w:t>JPG格式的图型文件；</w:t>
      </w:r>
    </w:p>
    <w:p w14:paraId="472BAA3C">
      <w:pPr>
        <w:ind w:firstLine="960" w:firstLineChars="400"/>
        <w:jc w:val="left"/>
        <w:rPr>
          <w:rFonts w:ascii="宋体" w:hAnsi="宋体"/>
          <w:color w:val="auto"/>
          <w:sz w:val="24"/>
        </w:rPr>
      </w:pPr>
      <w:r>
        <w:rPr>
          <w:rFonts w:ascii="宋体" w:hAnsi="宋体"/>
          <w:color w:val="auto"/>
          <w:sz w:val="24"/>
        </w:rPr>
        <w:t xml:space="preserve">(b) </w:t>
      </w:r>
      <w:r>
        <w:rPr>
          <w:rFonts w:hint="eastAsia" w:ascii="宋体" w:hAnsi="宋体"/>
          <w:color w:val="auto"/>
          <w:sz w:val="24"/>
        </w:rPr>
        <w:t>一套</w:t>
      </w:r>
      <w:r>
        <w:rPr>
          <w:rFonts w:ascii="宋体" w:hAnsi="宋体"/>
          <w:color w:val="auto"/>
          <w:sz w:val="24"/>
        </w:rPr>
        <w:t>PDF格式或PPT格式制作的电子版文本文件；</w:t>
      </w:r>
    </w:p>
    <w:p w14:paraId="571F0D60">
      <w:pPr>
        <w:ind w:firstLine="960" w:firstLineChars="400"/>
        <w:jc w:val="left"/>
        <w:rPr>
          <w:rFonts w:ascii="宋体" w:hAnsi="宋体"/>
          <w:color w:val="auto"/>
          <w:sz w:val="24"/>
        </w:rPr>
      </w:pPr>
      <w:r>
        <w:rPr>
          <w:rFonts w:ascii="宋体" w:hAnsi="宋体"/>
          <w:color w:val="auto"/>
          <w:sz w:val="24"/>
        </w:rPr>
        <w:t xml:space="preserve">(c) </w:t>
      </w:r>
      <w:r>
        <w:rPr>
          <w:rFonts w:hint="eastAsia" w:ascii="宋体" w:hAnsi="宋体"/>
          <w:color w:val="auto"/>
          <w:sz w:val="24"/>
        </w:rPr>
        <w:t>一套</w:t>
      </w:r>
      <w:r>
        <w:rPr>
          <w:rFonts w:ascii="宋体" w:hAnsi="宋体"/>
          <w:color w:val="auto"/>
          <w:sz w:val="24"/>
        </w:rPr>
        <w:t>AutoCAD格式的设计图形文件（如果有）。</w:t>
      </w:r>
    </w:p>
    <w:p w14:paraId="1E026646">
      <w:pPr>
        <w:pStyle w:val="4"/>
        <w:numPr>
          <w:ilvl w:val="0"/>
          <w:numId w:val="0"/>
        </w:numPr>
        <w:spacing w:before="156" w:after="156"/>
        <w:rPr>
          <w:rFonts w:hint="eastAsia"/>
          <w:color w:val="auto"/>
        </w:rPr>
      </w:pPr>
      <w:r>
        <w:rPr>
          <w:rFonts w:hint="eastAsia"/>
          <w:color w:val="auto"/>
        </w:rPr>
        <w:t>（</w:t>
      </w:r>
      <w:r>
        <w:rPr>
          <w:rFonts w:hint="eastAsia"/>
          <w:color w:val="auto"/>
          <w:lang w:eastAsia="zh-CN"/>
        </w:rPr>
        <w:t>七</w:t>
      </w:r>
      <w:r>
        <w:rPr>
          <w:rFonts w:hint="eastAsia"/>
          <w:color w:val="auto"/>
        </w:rPr>
        <w:t>）BIM要求</w:t>
      </w:r>
    </w:p>
    <w:p w14:paraId="127A8295">
      <w:pPr>
        <w:ind w:firstLine="768" w:firstLineChars="320"/>
        <w:rPr>
          <w:rFonts w:ascii="宋体" w:hAnsi="宋体"/>
          <w:color w:val="auto"/>
          <w:sz w:val="24"/>
        </w:rPr>
      </w:pPr>
      <w:r>
        <w:rPr>
          <w:rFonts w:hint="eastAsia" w:ascii="宋体" w:hAnsi="宋体"/>
          <w:color w:val="auto"/>
          <w:sz w:val="24"/>
        </w:rPr>
        <w:t>符合《建筑信息模型施工应用标准》GB/T51235、《建筑信息模型分类和编码标准》GB/T51269、《建筑信息模型应用统一标准》GB/T51212。</w:t>
      </w:r>
    </w:p>
    <w:p w14:paraId="5AECF0CE">
      <w:pPr>
        <w:pStyle w:val="4"/>
        <w:numPr>
          <w:ilvl w:val="0"/>
          <w:numId w:val="0"/>
        </w:numPr>
        <w:spacing w:before="156" w:after="156"/>
        <w:rPr>
          <w:rFonts w:hint="default"/>
          <w:color w:val="auto"/>
          <w:lang w:val="en-US" w:eastAsia="zh-CN"/>
        </w:rPr>
      </w:pPr>
      <w:r>
        <w:rPr>
          <w:rFonts w:hint="eastAsia"/>
          <w:color w:val="auto"/>
          <w:lang w:val="en-US" w:eastAsia="zh-CN"/>
        </w:rPr>
        <w:t>（八）勘察设计人员组织管理要求</w:t>
      </w:r>
    </w:p>
    <w:p w14:paraId="77E7A479">
      <w:pPr>
        <w:ind w:firstLine="768" w:firstLineChars="320"/>
        <w:rPr>
          <w:rFonts w:hint="default" w:ascii="宋体" w:hAnsi="宋体"/>
          <w:color w:val="auto"/>
          <w:sz w:val="24"/>
        </w:rPr>
      </w:pPr>
      <w:r>
        <w:rPr>
          <w:rFonts w:hint="eastAsia" w:ascii="宋体" w:hAnsi="宋体"/>
          <w:color w:val="auto"/>
          <w:sz w:val="24"/>
          <w:lang w:val="en-US" w:eastAsia="zh-CN"/>
        </w:rPr>
        <w:t>1.</w:t>
      </w:r>
      <w:r>
        <w:rPr>
          <w:rFonts w:hint="default" w:ascii="宋体" w:hAnsi="宋体"/>
          <w:color w:val="auto"/>
          <w:sz w:val="24"/>
        </w:rPr>
        <w:t>为便于招标人与中标人及时沟通及协调，以保证中标人的设计成果文件能更好地体现招标人的建设意图，中标人应根据招标人的要求，分阶段在指定的地点投入本合同约定的专业人员、设备及设施，实施本合同工程的设计工作。中标人应根据项目设计任务及工期要求建立项目组。有关设计人员要求详见</w:t>
      </w:r>
      <w:r>
        <w:rPr>
          <w:rFonts w:hint="eastAsia" w:ascii="宋体" w:hAnsi="宋体"/>
          <w:color w:val="auto"/>
          <w:sz w:val="24"/>
          <w:lang w:eastAsia="zh-CN"/>
        </w:rPr>
        <w:t>下表</w:t>
      </w:r>
      <w:r>
        <w:rPr>
          <w:rFonts w:hint="default" w:ascii="宋体" w:hAnsi="宋体"/>
          <w:color w:val="auto"/>
          <w:sz w:val="24"/>
        </w:rPr>
        <w:t>。</w:t>
      </w:r>
    </w:p>
    <w:tbl>
      <w:tblPr>
        <w:tblStyle w:val="22"/>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68"/>
        <w:gridCol w:w="5114"/>
        <w:gridCol w:w="1317"/>
      </w:tblGrid>
      <w:tr w14:paraId="1697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457F5F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专业分工</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74316B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专业职称</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4F980D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最低投入人数要求</w:t>
            </w:r>
          </w:p>
        </w:tc>
      </w:tr>
      <w:tr w14:paraId="354B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71F60F2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项目负责人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2FEF8B3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与招标公告要求一致</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17CD15A">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5450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7435A65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建筑专业负责人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02F6E04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本专业高级工程师（或以上）职称或者中级技术职称从事本专业工作10年以上</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212FD95">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3315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072AAB9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结构专业负责人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6984B14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一级注册结构工程师</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9CD8AAC">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66A7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3361CDD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给排水专业负责人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65B3991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注册公用设备工程师（给水排水）或本专业高级工程师（或以上）职称或者中级技术职称从事本专业工作10年以上</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41F09215">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11AC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B9F940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电气专业负责人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top"/>
          </w:tcPr>
          <w:p w14:paraId="355D671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注册电气工程师（供配电）或本专业高级工程师（或以上）职称或者中级技术职称从事本专业工作10年以上</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59702F52">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3A87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1EAF3AF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暖通专业负责人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top"/>
          </w:tcPr>
          <w:p w14:paraId="10A5490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注册公用设备工程师（暖通空调）或本专业高级工程师（或以上）职称或者中级技术职称从事本专业工作10年以上</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5D543225">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r w14:paraId="40E1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7DFF49C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勘察负责人</w:t>
            </w:r>
          </w:p>
        </w:tc>
        <w:tc>
          <w:tcPr>
            <w:tcW w:w="5114" w:type="dxa"/>
            <w:tcBorders>
              <w:top w:val="single" w:color="auto" w:sz="4" w:space="0"/>
              <w:left w:val="single" w:color="auto" w:sz="4" w:space="0"/>
              <w:bottom w:val="single" w:color="auto" w:sz="4" w:space="0"/>
              <w:right w:val="single" w:color="auto" w:sz="4" w:space="0"/>
            </w:tcBorders>
            <w:shd w:val="clear" w:color="auto" w:fill="auto"/>
            <w:vAlign w:val="center"/>
          </w:tcPr>
          <w:p w14:paraId="668DA24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注册土木工程师（岩土）</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00B8E97C">
            <w:pPr>
              <w:keepNext w:val="0"/>
              <w:keepLines w:val="0"/>
              <w:widowControl w:val="0"/>
              <w:suppressLineNumbers w:val="0"/>
              <w:spacing w:before="0" w:beforeAutospacing="0" w:after="0" w:afterAutospacing="0" w:line="360" w:lineRule="auto"/>
              <w:ind w:left="0" w:right="0" w:firstLine="33" w:firstLineChars="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w:t>
            </w:r>
          </w:p>
        </w:tc>
      </w:tr>
    </w:tbl>
    <w:p w14:paraId="7A1E0412">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注：（1）每个专业其他参与工作的人员不少于2人。</w:t>
      </w:r>
    </w:p>
    <w:p w14:paraId="6A2F1AA8">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（2）设计单位在明确分工各负其责的基础上，按照招标文件所列要求承诺为本项目合同约定项目指定的设计负责人、各专业设计负责人、各专业设计人、并向建设管理单位出具相应的授权文件。</w:t>
      </w:r>
    </w:p>
    <w:p w14:paraId="1561ED24">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（3）项目设计负责人，各专业设计负责人应能够胜任所承担任务的设计、组织、计划、协调工作。</w:t>
      </w:r>
    </w:p>
    <w:p w14:paraId="6C69CBE0">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（4）须报送项目设计负责人、各专业设计负责人、其他参与设计工作的人员姓名、年龄、学历、专业、职称、职务、相关经历和主要技术成果以及在本合同约定项目中负责的设计任务等资料。</w:t>
      </w:r>
    </w:p>
    <w:p w14:paraId="0CC3DCAD">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（5）必须保证参与本项目各设计单位人员的稳定性，不可随意撤换。</w:t>
      </w:r>
    </w:p>
    <w:p w14:paraId="42036371">
      <w:pPr>
        <w:spacing w:line="240" w:lineRule="auto"/>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（6）设计单位的设计人员数量、专业水平、专业配套等达不到设计所需时，需更换及补充设计人员；未能在指定时间内及时更换和补充的，将视为违约行为。</w:t>
      </w:r>
    </w:p>
    <w:p w14:paraId="7A2AC518">
      <w:pPr>
        <w:ind w:firstLine="768" w:firstLineChars="320"/>
        <w:rPr>
          <w:rFonts w:hint="eastAsia" w:ascii="宋体" w:hAnsi="宋体"/>
          <w:color w:val="auto"/>
          <w:sz w:val="24"/>
          <w:lang w:val="en-US" w:eastAsia="zh-CN"/>
        </w:rPr>
      </w:pPr>
    </w:p>
    <w:p w14:paraId="61B703E4">
      <w:pPr>
        <w:ind w:firstLine="768" w:firstLineChars="320"/>
        <w:rPr>
          <w:rFonts w:hint="default" w:ascii="宋体" w:hAnsi="宋体"/>
          <w:color w:val="auto"/>
          <w:sz w:val="24"/>
          <w:lang w:val="en-US" w:eastAsia="zh-CN"/>
        </w:rPr>
      </w:pPr>
      <w:r>
        <w:rPr>
          <w:rFonts w:hint="eastAsia" w:ascii="宋体" w:hAnsi="宋体"/>
          <w:color w:val="auto"/>
          <w:sz w:val="24"/>
          <w:lang w:val="en-US" w:eastAsia="zh-CN"/>
        </w:rPr>
        <w:t>2、</w:t>
      </w:r>
      <w:r>
        <w:rPr>
          <w:rFonts w:hint="default" w:ascii="宋体" w:hAnsi="宋体"/>
          <w:color w:val="auto"/>
          <w:sz w:val="24"/>
          <w:lang w:val="en-US" w:eastAsia="zh-CN"/>
        </w:rPr>
        <w:t>驻场设计代表总负责人要求</w:t>
      </w:r>
    </w:p>
    <w:p w14:paraId="41278D03">
      <w:pPr>
        <w:ind w:firstLine="768" w:firstLineChars="320"/>
        <w:rPr>
          <w:rFonts w:hint="default" w:ascii="宋体" w:hAnsi="宋体"/>
          <w:color w:val="auto"/>
          <w:sz w:val="24"/>
          <w:lang w:val="en-US" w:eastAsia="zh-CN"/>
        </w:rPr>
      </w:pPr>
      <w:r>
        <w:rPr>
          <w:rFonts w:hint="eastAsia" w:ascii="宋体" w:hAnsi="宋体"/>
          <w:color w:val="auto"/>
          <w:sz w:val="24"/>
          <w:lang w:val="en-US" w:eastAsia="zh-CN"/>
        </w:rPr>
        <w:t>（1）</w:t>
      </w:r>
      <w:r>
        <w:rPr>
          <w:rFonts w:hint="default" w:ascii="宋体" w:hAnsi="宋体"/>
          <w:color w:val="auto"/>
          <w:sz w:val="24"/>
          <w:lang w:val="en-US" w:eastAsia="zh-CN"/>
        </w:rPr>
        <w:t>应指定一名本项目设计负责人作为驻场设计代表总负责人，在招标人指定地点服务于项目建设的始终，负责统筹协调、报批报建、资料整理、与设计院对接等工作。时间要求从签订设计合同开始到项目验收为止，具体由招标人指定，相关费用已包含在勘察设计费中。</w:t>
      </w:r>
    </w:p>
    <w:p w14:paraId="5095A34B">
      <w:pPr>
        <w:ind w:firstLine="768" w:firstLineChars="320"/>
        <w:rPr>
          <w:rFonts w:hint="default" w:ascii="宋体" w:hAnsi="宋体"/>
          <w:color w:val="auto"/>
          <w:sz w:val="24"/>
          <w:lang w:val="en-US" w:eastAsia="zh-CN"/>
        </w:rPr>
      </w:pPr>
      <w:r>
        <w:rPr>
          <w:rFonts w:hint="eastAsia" w:ascii="宋体" w:hAnsi="宋体"/>
          <w:color w:val="auto"/>
          <w:sz w:val="24"/>
          <w:lang w:val="en-US" w:eastAsia="zh-CN"/>
        </w:rPr>
        <w:t>（2）</w:t>
      </w:r>
      <w:r>
        <w:rPr>
          <w:rFonts w:hint="default" w:ascii="宋体" w:hAnsi="宋体"/>
          <w:color w:val="auto"/>
          <w:sz w:val="24"/>
          <w:lang w:val="en-US" w:eastAsia="zh-CN"/>
        </w:rPr>
        <w:t>驻场设计代表总负责人的名单须在进场前提交招标人审核，招标人有权根据实际情况在施工实施的过程中对驻场设计代表总负责人进行适当调整。</w:t>
      </w:r>
    </w:p>
    <w:p w14:paraId="4B5551AE">
      <w:pPr>
        <w:ind w:firstLine="768" w:firstLineChars="320"/>
        <w:rPr>
          <w:rFonts w:hint="default" w:ascii="宋体" w:hAnsi="宋体"/>
          <w:color w:val="auto"/>
          <w:sz w:val="24"/>
          <w:lang w:val="en-US" w:eastAsia="zh-CN"/>
        </w:rPr>
      </w:pPr>
      <w:r>
        <w:rPr>
          <w:rFonts w:hint="eastAsia" w:ascii="宋体" w:hAnsi="宋体"/>
          <w:color w:val="auto"/>
          <w:sz w:val="24"/>
          <w:lang w:val="en-US" w:eastAsia="zh-CN"/>
        </w:rPr>
        <w:t>（3）</w:t>
      </w:r>
      <w:r>
        <w:rPr>
          <w:rFonts w:hint="default" w:ascii="宋体" w:hAnsi="宋体"/>
          <w:color w:val="auto"/>
          <w:sz w:val="24"/>
          <w:lang w:val="en-US" w:eastAsia="zh-CN"/>
        </w:rPr>
        <w:t>驻场设计代表总负责人只为本合同招标人服务，设计单位不得再安排其参与设计单位的其他工作。</w:t>
      </w:r>
    </w:p>
    <w:p w14:paraId="6E4EA5B0">
      <w:pPr>
        <w:ind w:firstLine="768" w:firstLineChars="320"/>
        <w:rPr>
          <w:rFonts w:hint="default" w:ascii="宋体" w:hAnsi="宋体"/>
          <w:color w:val="auto"/>
          <w:sz w:val="24"/>
          <w:lang w:val="en-US" w:eastAsia="zh-CN"/>
        </w:rPr>
      </w:pPr>
      <w:r>
        <w:rPr>
          <w:rFonts w:hint="eastAsia" w:ascii="宋体" w:hAnsi="宋体"/>
          <w:color w:val="auto"/>
          <w:sz w:val="24"/>
          <w:lang w:val="en-US" w:eastAsia="zh-CN"/>
        </w:rPr>
        <w:t>（4）</w:t>
      </w:r>
      <w:r>
        <w:rPr>
          <w:rFonts w:hint="default" w:ascii="宋体" w:hAnsi="宋体"/>
          <w:color w:val="auto"/>
          <w:sz w:val="24"/>
          <w:lang w:val="en-US" w:eastAsia="zh-CN"/>
        </w:rPr>
        <w:t>专驻场设计代表总负责人的餐食、住宿、交通由中标单位自行解决。</w:t>
      </w:r>
    </w:p>
    <w:p w14:paraId="63B0EDD3">
      <w:pPr>
        <w:ind w:firstLine="768" w:firstLineChars="320"/>
        <w:rPr>
          <w:rFonts w:hint="eastAsia" w:ascii="宋体" w:hAnsi="宋体"/>
          <w:color w:val="auto"/>
          <w:sz w:val="24"/>
        </w:rPr>
      </w:pPr>
      <w:r>
        <w:rPr>
          <w:rFonts w:hint="eastAsia" w:ascii="宋体" w:hAnsi="宋体"/>
          <w:color w:val="auto"/>
          <w:sz w:val="24"/>
          <w:lang w:val="en-US" w:eastAsia="zh-CN"/>
        </w:rPr>
        <w:t>（5）</w:t>
      </w:r>
      <w:r>
        <w:rPr>
          <w:rFonts w:hint="default" w:ascii="宋体" w:hAnsi="宋体"/>
          <w:color w:val="auto"/>
          <w:sz w:val="24"/>
          <w:lang w:val="en-US" w:eastAsia="zh-CN"/>
        </w:rPr>
        <w:t>中标人应保证驻场设计代表总负责人的稳定性，原则上不得更换，确须更换的应向招标人提出书面报告且征得同意后方可更换。</w:t>
      </w:r>
    </w:p>
    <w:p w14:paraId="5CD3DA44">
      <w:pPr>
        <w:ind w:firstLine="768" w:firstLineChars="320"/>
        <w:rPr>
          <w:rFonts w:hint="eastAsia" w:ascii="宋体" w:hAnsi="宋体"/>
          <w:color w:val="auto"/>
          <w:sz w:val="24"/>
        </w:rPr>
      </w:pPr>
      <w:r>
        <w:rPr>
          <w:rFonts w:hint="eastAsia" w:ascii="宋体" w:hAnsi="宋体"/>
          <w:color w:val="auto"/>
          <w:sz w:val="24"/>
        </w:rPr>
        <w:br w:type="page"/>
      </w:r>
    </w:p>
    <w:p w14:paraId="25322E7A">
      <w:pPr>
        <w:rPr>
          <w:rFonts w:ascii="宋体" w:hAnsi="宋体"/>
          <w:b/>
          <w:color w:val="auto"/>
          <w:sz w:val="24"/>
        </w:rPr>
      </w:pPr>
      <w:r>
        <w:rPr>
          <w:rFonts w:hint="eastAsia" w:ascii="宋体" w:hAnsi="宋体"/>
          <w:b/>
          <w:color w:val="auto"/>
          <w:sz w:val="24"/>
        </w:rPr>
        <w:t>附件1：相关技术标准与规范</w:t>
      </w:r>
    </w:p>
    <w:p w14:paraId="01664FC5">
      <w:pPr>
        <w:ind w:firstLine="480" w:firstLineChars="200"/>
        <w:rPr>
          <w:rFonts w:ascii="宋体" w:cs="宋体"/>
          <w:color w:val="auto"/>
          <w:sz w:val="24"/>
        </w:rPr>
      </w:pPr>
    </w:p>
    <w:p w14:paraId="6772F1D1">
      <w:pPr>
        <w:ind w:firstLine="480" w:firstLineChars="200"/>
        <w:rPr>
          <w:color w:val="auto"/>
        </w:rPr>
      </w:pPr>
      <w:r>
        <w:rPr>
          <w:rFonts w:hint="eastAsia" w:ascii="宋体" w:cs="宋体"/>
          <w:color w:val="auto"/>
          <w:sz w:val="24"/>
        </w:rPr>
        <w:t>包括但不限于下列技术标准与规范：</w:t>
      </w:r>
      <w:r>
        <w:rPr>
          <w:rFonts w:ascii="宋体" w:hAnsi="宋体"/>
          <w:color w:val="auto"/>
          <w:sz w:val="24"/>
        </w:rPr>
        <w:t xml:space="preserve"> </w:t>
      </w:r>
    </w:p>
    <w:p w14:paraId="25308A10">
      <w:pPr>
        <w:pStyle w:val="67"/>
        <w:numPr>
          <w:ilvl w:val="0"/>
          <w:numId w:val="56"/>
        </w:numPr>
        <w:ind w:left="0" w:firstLine="566" w:firstLineChars="236"/>
        <w:contextualSpacing/>
        <w:rPr>
          <w:rFonts w:ascii="宋体" w:hAnsi="宋体" w:eastAsia="宋体"/>
          <w:color w:val="auto"/>
          <w:sz w:val="24"/>
        </w:rPr>
      </w:pPr>
      <w:r>
        <w:rPr>
          <w:rFonts w:hint="eastAsia" w:ascii="宋体" w:hAnsi="宋体" w:eastAsia="宋体"/>
          <w:color w:val="auto"/>
          <w:sz w:val="24"/>
        </w:rPr>
        <w:t>《民用建筑设计统一标准》（</w:t>
      </w:r>
      <w:r>
        <w:rPr>
          <w:rFonts w:ascii="宋体" w:hAnsi="宋体" w:eastAsia="宋体"/>
          <w:color w:val="auto"/>
          <w:sz w:val="24"/>
        </w:rPr>
        <w:t>GB 50352-20</w:t>
      </w:r>
      <w:r>
        <w:rPr>
          <w:rFonts w:hint="eastAsia" w:ascii="宋体" w:hAnsi="宋体" w:eastAsia="宋体"/>
          <w:color w:val="auto"/>
          <w:sz w:val="24"/>
        </w:rPr>
        <w:t>19）</w:t>
      </w:r>
    </w:p>
    <w:p w14:paraId="3F5D385D">
      <w:pPr>
        <w:pStyle w:val="67"/>
        <w:numPr>
          <w:ilvl w:val="0"/>
          <w:numId w:val="56"/>
        </w:numPr>
        <w:ind w:left="0" w:firstLine="567" w:firstLineChars="0"/>
        <w:contextualSpacing/>
        <w:rPr>
          <w:rFonts w:ascii="宋体" w:hAnsi="宋体" w:eastAsia="宋体"/>
          <w:strike/>
          <w:color w:val="auto"/>
          <w:sz w:val="24"/>
          <w:szCs w:val="24"/>
        </w:rPr>
      </w:pPr>
      <w:r>
        <w:rPr>
          <w:rFonts w:hint="eastAsia" w:ascii="宋体" w:hAnsi="宋体" w:eastAsia="宋体"/>
          <w:color w:val="auto"/>
          <w:sz w:val="24"/>
          <w:szCs w:val="24"/>
        </w:rPr>
        <w:t>《建筑设计防火规范》（</w:t>
      </w:r>
      <w:r>
        <w:rPr>
          <w:rFonts w:ascii="宋体" w:hAnsi="宋体" w:eastAsia="宋体" w:cs="宋体"/>
          <w:color w:val="auto"/>
          <w:sz w:val="24"/>
          <w:szCs w:val="24"/>
          <w:shd w:val="clear" w:color="auto" w:fill="FFFFFF"/>
        </w:rPr>
        <w:t>GB50016-2014</w:t>
      </w:r>
      <w:r>
        <w:rPr>
          <w:rFonts w:hint="eastAsia" w:ascii="宋体" w:hAnsi="宋体" w:eastAsia="宋体"/>
          <w:color w:val="auto"/>
          <w:sz w:val="24"/>
          <w:szCs w:val="24"/>
        </w:rPr>
        <w:t>）2018版</w:t>
      </w:r>
    </w:p>
    <w:p w14:paraId="3765F6BB">
      <w:pPr>
        <w:pStyle w:val="67"/>
        <w:numPr>
          <w:ilvl w:val="0"/>
          <w:numId w:val="56"/>
        </w:numPr>
        <w:ind w:left="0" w:firstLine="567" w:firstLineChars="0"/>
        <w:contextualSpacing/>
        <w:rPr>
          <w:rFonts w:ascii="宋体" w:hAnsi="宋体" w:eastAsia="宋体"/>
          <w:strike/>
          <w:color w:val="auto"/>
          <w:sz w:val="24"/>
          <w:szCs w:val="24"/>
        </w:rPr>
      </w:pPr>
      <w:r>
        <w:rPr>
          <w:rFonts w:hint="eastAsia" w:ascii="宋体" w:hAnsi="宋体" w:eastAsia="宋体"/>
          <w:color w:val="auto"/>
          <w:sz w:val="24"/>
          <w:szCs w:val="24"/>
        </w:rPr>
        <w:t>《建筑防火通用规范》（</w:t>
      </w:r>
      <w:r>
        <w:rPr>
          <w:rFonts w:ascii="宋体" w:hAnsi="宋体" w:eastAsia="宋体" w:cs="宋体"/>
          <w:color w:val="auto"/>
          <w:sz w:val="24"/>
          <w:szCs w:val="24"/>
          <w:shd w:val="clear" w:color="auto" w:fill="FFFFFF"/>
        </w:rPr>
        <w:t>GB55037-2022</w:t>
      </w:r>
      <w:r>
        <w:rPr>
          <w:rFonts w:hint="eastAsia" w:ascii="宋体" w:hAnsi="宋体" w:eastAsia="宋体"/>
          <w:color w:val="auto"/>
          <w:sz w:val="24"/>
          <w:szCs w:val="24"/>
        </w:rPr>
        <w:t>）</w:t>
      </w:r>
    </w:p>
    <w:p w14:paraId="48E7B10B">
      <w:pPr>
        <w:pStyle w:val="67"/>
        <w:numPr>
          <w:ilvl w:val="0"/>
          <w:numId w:val="56"/>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《岩土工程勘察规范》（</w:t>
      </w:r>
      <w:r>
        <w:rPr>
          <w:rFonts w:ascii="宋体" w:hAnsi="宋体" w:eastAsia="宋体"/>
          <w:color w:val="auto"/>
          <w:sz w:val="24"/>
          <w:szCs w:val="24"/>
        </w:rPr>
        <w:t>GB50021-2009）</w:t>
      </w:r>
    </w:p>
    <w:p w14:paraId="47E3EEA8">
      <w:pPr>
        <w:pStyle w:val="67"/>
        <w:numPr>
          <w:ilvl w:val="0"/>
          <w:numId w:val="56"/>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《智能建筑设计标准》（</w:t>
      </w:r>
      <w:r>
        <w:rPr>
          <w:rFonts w:ascii="宋体" w:hAnsi="宋体" w:eastAsia="宋体"/>
          <w:color w:val="auto"/>
          <w:sz w:val="24"/>
          <w:szCs w:val="24"/>
        </w:rPr>
        <w:t>GB50314-2015）</w:t>
      </w:r>
    </w:p>
    <w:p w14:paraId="7A557B41">
      <w:pPr>
        <w:pStyle w:val="67"/>
        <w:numPr>
          <w:ilvl w:val="0"/>
          <w:numId w:val="56"/>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《城市道路和建筑物无障碍设计规范》（</w:t>
      </w:r>
      <w:r>
        <w:rPr>
          <w:rFonts w:ascii="宋体" w:hAnsi="宋体" w:eastAsia="宋体"/>
          <w:color w:val="auto"/>
          <w:sz w:val="24"/>
          <w:szCs w:val="24"/>
        </w:rPr>
        <w:t>JGJ 50-2012）</w:t>
      </w:r>
    </w:p>
    <w:p w14:paraId="09BB7FE0">
      <w:pPr>
        <w:pStyle w:val="67"/>
        <w:numPr>
          <w:ilvl w:val="0"/>
          <w:numId w:val="56"/>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《建筑与市政工程无障碍设计规范》（GB55019</w:t>
      </w:r>
      <w:r>
        <w:rPr>
          <w:rFonts w:ascii="宋体" w:hAnsi="宋体" w:eastAsia="宋体"/>
          <w:color w:val="auto"/>
          <w:sz w:val="24"/>
          <w:szCs w:val="24"/>
        </w:rPr>
        <w:t>-2021）</w:t>
      </w:r>
    </w:p>
    <w:p w14:paraId="63846F7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《中小学校设计规范》（</w:t>
      </w:r>
      <w:r>
        <w:rPr>
          <w:rFonts w:ascii="宋体" w:hAnsi="宋体" w:eastAsia="宋体" w:cs="宋体"/>
          <w:color w:val="auto"/>
          <w:kern w:val="28"/>
          <w:sz w:val="24"/>
          <w:szCs w:val="24"/>
        </w:rPr>
        <w:t>GB50099-2011）</w:t>
      </w:r>
    </w:p>
    <w:p w14:paraId="23DE5CE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olor w:val="auto"/>
          <w:sz w:val="24"/>
          <w:szCs w:val="24"/>
        </w:rPr>
        <w:t>《建筑工程设计文件编制深度规定》</w:t>
      </w:r>
    </w:p>
    <w:p w14:paraId="6B6B5A9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《饮食建筑设计规范》（JGJ 64）</w:t>
      </w:r>
    </w:p>
    <w:p w14:paraId="6F16B1B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《宿舍建筑设计规范》（JGJ 36）</w:t>
      </w:r>
    </w:p>
    <w:p w14:paraId="457902B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《办公建筑设计规范》（JGJ 67）</w:t>
      </w:r>
    </w:p>
    <w:p w14:paraId="087AB32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《汽车库建筑设计规范》 (JGJ100)</w:t>
      </w:r>
    </w:p>
    <w:p w14:paraId="49ABCA3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《汽车库、修车库、停车场设计防火规范》GB 50067</w:t>
      </w:r>
    </w:p>
    <w:p w14:paraId="7EFD064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《公共建筑节能设计标准》(GB50189-2015)</w:t>
      </w:r>
    </w:p>
    <w:p w14:paraId="59E1AB4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《公共建筑节能设计标准》广东省实施细则 (DBJ15-51)</w:t>
      </w:r>
    </w:p>
    <w:p w14:paraId="626C077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《绿色建筑评价标准》（GB/T 50378）</w:t>
      </w:r>
    </w:p>
    <w:p w14:paraId="3B3013B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《广州市绿色建筑设计指南》</w:t>
      </w:r>
    </w:p>
    <w:p w14:paraId="19B29BD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《人民防空地下室设计规范》（GB 50038）</w:t>
      </w:r>
    </w:p>
    <w:p w14:paraId="48EDBA5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《地下工程防水技术规范》（GB 50108）</w:t>
      </w:r>
    </w:p>
    <w:p w14:paraId="1FD85D3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《建筑结构可靠度设计统一标准》（GB50068）</w:t>
      </w:r>
    </w:p>
    <w:p w14:paraId="4F2BCD0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《工程结构可靠性设计统一标准》（GB50153）</w:t>
      </w:r>
    </w:p>
    <w:p w14:paraId="4EB27FC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《建筑工程抗震设防分类标准》（GB 50223）</w:t>
      </w:r>
    </w:p>
    <w:p w14:paraId="512296C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《建筑抗震设计标准》（GB/T 50011）</w:t>
      </w:r>
    </w:p>
    <w:p w14:paraId="0C9EFFE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《建筑结构荷载规范》（GB 50009-）</w:t>
      </w:r>
    </w:p>
    <w:p w14:paraId="170D3C7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《建筑地基基础设计规范》（GB 50007）</w:t>
      </w:r>
    </w:p>
    <w:p w14:paraId="195E9D0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《建筑地基基础设计规范》（DBJ 15-31）</w:t>
      </w:r>
    </w:p>
    <w:p w14:paraId="0C92D1F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《建筑地基处理技术规范》（JGJ 79）</w:t>
      </w:r>
    </w:p>
    <w:p w14:paraId="62C396A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《建筑地基处理技术规范》（DBJ 15-38）</w:t>
      </w:r>
    </w:p>
    <w:p w14:paraId="202AB13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《建筑桩基技术规范》（JGJ 94）</w:t>
      </w:r>
    </w:p>
    <w:p w14:paraId="463B483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《锤击式预应力混凝土管桩基础技术规程》（DBJ/T15-22）</w:t>
      </w:r>
    </w:p>
    <w:p w14:paraId="7B7AABF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《预应力混凝土管桩机械啮合接头技术规程》（DBJ 15-63）</w:t>
      </w:r>
    </w:p>
    <w:p w14:paraId="592C902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《建筑基桩检测技术规范》（JGJ 106）</w:t>
      </w:r>
    </w:p>
    <w:p w14:paraId="715C941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《高层建筑箱形与筏形基础技术规范》（JGJ 6）</w:t>
      </w:r>
    </w:p>
    <w:p w14:paraId="651555C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《建筑边坡工程技术规范》（GB 50330）</w:t>
      </w:r>
    </w:p>
    <w:p w14:paraId="39174C3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《建筑基坑支护技术规程》（JGJ 120）</w:t>
      </w:r>
    </w:p>
    <w:p w14:paraId="7C6B99C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《岩土锚杆（索）技术规程》（CECS 22）</w:t>
      </w:r>
    </w:p>
    <w:p w14:paraId="1F818D7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《混凝土结构设计标准》（GB/T 50010）</w:t>
      </w:r>
    </w:p>
    <w:p w14:paraId="33C87FE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《混凝土结构耐久性设计规范》（GB/T50476）</w:t>
      </w:r>
    </w:p>
    <w:p w14:paraId="4402C89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《大体积混凝土施工规范》（GB 50496）  </w:t>
      </w:r>
    </w:p>
    <w:p w14:paraId="5C5D482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《高层建筑混凝土结构技术规程》（JGJ3）</w:t>
      </w:r>
    </w:p>
    <w:p w14:paraId="35F230F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广东省实施《高规》（DBJ/T 15-93）</w:t>
      </w:r>
    </w:p>
    <w:p w14:paraId="2CB16BC4">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《混凝土异形柱结构技术规程》（JGJ149）</w:t>
      </w:r>
    </w:p>
    <w:p w14:paraId="120F10B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《无粘结预应力混凝土结构技术规程》（JGJ92-2004 J409）</w:t>
      </w:r>
    </w:p>
    <w:p w14:paraId="61D732C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《冷轧带肋钢筋混凝土结构技术规程》（JGJ 95）</w:t>
      </w:r>
    </w:p>
    <w:p w14:paraId="4285B45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《钢管混凝土结构设计与施工规程》（CECS 28）</w:t>
      </w:r>
    </w:p>
    <w:p w14:paraId="7020E344">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《钢骨混凝土结构设计规程》（YB 9082）</w:t>
      </w:r>
    </w:p>
    <w:p w14:paraId="6BB8A35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《钢-混凝土组合楼盖结构设计与施工规程》（YB 9238）</w:t>
      </w:r>
    </w:p>
    <w:p w14:paraId="06B0E3F4">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《型钢混凝土组合结构技术规程》（JGJ 138）</w:t>
      </w:r>
    </w:p>
    <w:p w14:paraId="799FCE2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《现浇混凝土空心楼盖结构技术规程》（CECS175）</w:t>
      </w:r>
    </w:p>
    <w:p w14:paraId="495AE7F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《给水排水工程构筑物结构设计规范》（GB50069）</w:t>
      </w:r>
    </w:p>
    <w:p w14:paraId="0F79D05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《工业建筑防腐蚀设计规范》（GB50046）</w:t>
      </w:r>
    </w:p>
    <w:p w14:paraId="1344B98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《混凝土外加剂应用技术规范》（GB50119）</w:t>
      </w:r>
    </w:p>
    <w:p w14:paraId="3C4DC7E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《混凝土结构后锚固技术规程》（JGJ145）</w:t>
      </w:r>
    </w:p>
    <w:p w14:paraId="30CF272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《混凝土结构加固设计规范》（GB50367）</w:t>
      </w:r>
    </w:p>
    <w:p w14:paraId="5679778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《建筑抗震加固技术规程》（JGJ116）</w:t>
      </w:r>
    </w:p>
    <w:p w14:paraId="78B4791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《水泥复合砂浆钢筋网加固混凝土结构技术规程》（CECS 242）</w:t>
      </w:r>
    </w:p>
    <w:p w14:paraId="477D7FD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《钢结构设计规范》（GB 50017）</w:t>
      </w:r>
    </w:p>
    <w:p w14:paraId="771258E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《钢筋焊接及验收规程》（JGJ 18）</w:t>
      </w:r>
    </w:p>
    <w:p w14:paraId="0ECF9AD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《建筑钢结构焊接技术规程》（JGJ 81）</w:t>
      </w:r>
    </w:p>
    <w:p w14:paraId="21D66BD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《钢筋机械连接通用技术规程》（JGJ 107）</w:t>
      </w:r>
    </w:p>
    <w:p w14:paraId="021092A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《冷弯薄壁型钢结构技术规范》（GB50018）</w:t>
      </w:r>
    </w:p>
    <w:p w14:paraId="55FFEA1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《门式刚架轻型房屋钢结构技术规程》（CECS102）</w:t>
      </w:r>
    </w:p>
    <w:p w14:paraId="224D6A5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《砌体结构设计规范（GB50003）</w:t>
      </w:r>
    </w:p>
    <w:p w14:paraId="2B4677E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《非承重蒸压灰砂砖墙体工程技术规程》（DBJ/T 15-32）</w:t>
      </w:r>
    </w:p>
    <w:p w14:paraId="2A5243D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《非承重蒸压泡沫混凝土砖墙体工程技术规程》（DBJ/T 15-43）</w:t>
      </w:r>
    </w:p>
    <w:p w14:paraId="3AC2513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《建筑变形测量规范》（JGJ8）</w:t>
      </w:r>
    </w:p>
    <w:p w14:paraId="64BA2F9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《岩土工程勘察规范》（GB50021）</w:t>
      </w:r>
    </w:p>
    <w:p w14:paraId="0FBAD40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《消防给水及消火栓系统技术规范》（ GB50974）</w:t>
      </w:r>
    </w:p>
    <w:p w14:paraId="1C4DAE4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《自动喷水灭火系统设计规范》（GB50084）</w:t>
      </w:r>
    </w:p>
    <w:p w14:paraId="23AF9B3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《自动喷水灭火系统施工及验收规范》（GB 50261）</w:t>
      </w:r>
    </w:p>
    <w:p w14:paraId="47513BF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《建筑灭火器配置设计规范》（GB50140）</w:t>
      </w:r>
    </w:p>
    <w:p w14:paraId="00BBCA0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《气体灭火系统设计规范》（GB50370）</w:t>
      </w:r>
    </w:p>
    <w:p w14:paraId="50837AA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《室外给水设计标准》（GB50013-2018）</w:t>
      </w:r>
    </w:p>
    <w:p w14:paraId="6D484A9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《室外排水设计标准》（GB50014-2021）</w:t>
      </w:r>
    </w:p>
    <w:p w14:paraId="403E672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《城镇给水排水技术规范》（GB50078）</w:t>
      </w:r>
    </w:p>
    <w:p w14:paraId="29983CD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《建筑给水排水设计标准》（GB50015-2019）</w:t>
      </w:r>
    </w:p>
    <w:p w14:paraId="40BD8D1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《民用建筑节水设计标准》（ GB50555）</w:t>
      </w:r>
    </w:p>
    <w:p w14:paraId="64189A4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《建筑与小区雨水利用工程技术规范》（GB50400）</w:t>
      </w:r>
    </w:p>
    <w:p w14:paraId="1984E810">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《建筑排水塑料管道工程技术规程》（CJJ/T 29）</w:t>
      </w:r>
    </w:p>
    <w:p w14:paraId="25F1877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《建筑给水塑料管道工程技术规程》（CJJ／T 98）</w:t>
      </w:r>
    </w:p>
    <w:p w14:paraId="20A18C0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《建筑机电工程抗震设计规范》 （GB50981）</w:t>
      </w:r>
    </w:p>
    <w:p w14:paraId="7BF5F6E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海绵城市建设技术指南——低影响开发雨水系统构建（试行）</w:t>
      </w:r>
    </w:p>
    <w:p w14:paraId="6E25A17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《火灾自动报警系统设计规范》 (GB50116)</w:t>
      </w:r>
    </w:p>
    <w:p w14:paraId="7B6921B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《供配电系统设计规范》 (GB50052)</w:t>
      </w:r>
    </w:p>
    <w:p w14:paraId="2D9D3E8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《20kV及以下变电所设计规范》 (GB50053)</w:t>
      </w:r>
    </w:p>
    <w:p w14:paraId="3714206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《低压配电设计规范》 (GB50054-2011)</w:t>
      </w:r>
    </w:p>
    <w:p w14:paraId="357132B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《通用用电设备配电设计规范》 (GB50055)</w:t>
      </w:r>
    </w:p>
    <w:p w14:paraId="194AF30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《电力工程电缆设计规范》 (GB50217)</w:t>
      </w:r>
    </w:p>
    <w:p w14:paraId="73CAB33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《建筑照明设计标准》 (GB50034)</w:t>
      </w:r>
    </w:p>
    <w:p w14:paraId="339F409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《消防应急照明和疏散指示系统》 (GB17945)</w:t>
      </w:r>
    </w:p>
    <w:p w14:paraId="3DE35B5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《建筑物防雷设计规范》 (GB50057)</w:t>
      </w:r>
    </w:p>
    <w:p w14:paraId="74F1DAA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《建筑物电子信息系统防雷技术规范》 (GB50343)</w:t>
      </w:r>
    </w:p>
    <w:p w14:paraId="55ACD4F0">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《建筑机电工程抗震设计规范》 (GB50981)</w:t>
      </w:r>
    </w:p>
    <w:p w14:paraId="3D8EDA2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《智能建筑设计标准》 （GB50314）</w:t>
      </w:r>
    </w:p>
    <w:p w14:paraId="1A6100F4">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《民用建筑电气设计规范》 (JGJ16)  </w:t>
      </w:r>
    </w:p>
    <w:p w14:paraId="41DFE50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《教育建筑电气设计规范》 (JGJ 310) </w:t>
      </w:r>
    </w:p>
    <w:p w14:paraId="624ADDC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《民用建筑供暖通风与空气调节设计规范》（GB50736）</w:t>
      </w:r>
      <w:r>
        <w:rPr>
          <w:rFonts w:hint="eastAsia" w:ascii="宋体" w:hAnsi="宋体" w:eastAsia="宋体" w:cs="宋体"/>
          <w:color w:val="auto"/>
          <w:kern w:val="28"/>
          <w:sz w:val="24"/>
          <w:szCs w:val="24"/>
        </w:rPr>
        <w:tab/>
      </w:r>
    </w:p>
    <w:p w14:paraId="58B833F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《建筑与建筑群综合布线系统工程设计规范》（GB50311）</w:t>
      </w:r>
    </w:p>
    <w:p w14:paraId="071D394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《建筑与建筑群综合布线系统工程验收规范》（GB50312）</w:t>
      </w:r>
    </w:p>
    <w:p w14:paraId="2D7825A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《建筑物电子信息系统防雷技术规范》（GB50343）</w:t>
      </w:r>
    </w:p>
    <w:p w14:paraId="55A7D59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《城市住宅区和办公楼电话通讯设施施工设计规范》（YD 5048）</w:t>
      </w:r>
    </w:p>
    <w:p w14:paraId="6880DD99">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《安全防范工程程序与要求》（GA/T75）</w:t>
      </w:r>
    </w:p>
    <w:p w14:paraId="32543FD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《工业电视系统工程设计规范》(GB50115)</w:t>
      </w:r>
    </w:p>
    <w:p w14:paraId="654C7D8F">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《民用闭路电视系统工程技术规范》(GB50198)</w:t>
      </w:r>
    </w:p>
    <w:p w14:paraId="0758DE2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《安全防范工程的设计、安装与开通程序》</w:t>
      </w:r>
    </w:p>
    <w:p w14:paraId="555F96B7">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《中华人民共和国安全行业标准及有关行业标准》</w:t>
      </w:r>
    </w:p>
    <w:p w14:paraId="0C616BB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《智能建筑工程质量验收规范》(GB50339)</w:t>
      </w:r>
    </w:p>
    <w:p w14:paraId="3F2DC9A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《有线电视系统工程技术规范》(GB50200)</w:t>
      </w:r>
    </w:p>
    <w:p w14:paraId="773F59B6">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《电子计算机机房设计规范》(GB50174)</w:t>
      </w:r>
    </w:p>
    <w:p w14:paraId="131E600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《计算机场地技术要求》(GB/T9361)</w:t>
      </w:r>
    </w:p>
    <w:p w14:paraId="430B0C9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《计算机软件开发规范》(GB8566)</w:t>
      </w:r>
    </w:p>
    <w:p w14:paraId="6CA0CB8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《计算机软件开发质量及配套管理计划规范》(GB_T_12504)</w:t>
      </w:r>
    </w:p>
    <w:p w14:paraId="08034BF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《信息技术互连国际标准》</w:t>
      </w:r>
    </w:p>
    <w:p w14:paraId="06DFF4B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《电子计算机机房施工及验收规范》；(SJ/T30003)</w:t>
      </w:r>
    </w:p>
    <w:p w14:paraId="55AD8B5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《物业管理IS09002》</w:t>
      </w:r>
    </w:p>
    <w:p w14:paraId="2D27EB4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《无线电干扰极限》</w:t>
      </w:r>
    </w:p>
    <w:p w14:paraId="2270B57C">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《绝缘材料的分类》</w:t>
      </w:r>
    </w:p>
    <w:p w14:paraId="4E899BC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《接地规范》</w:t>
      </w:r>
    </w:p>
    <w:p w14:paraId="4EC6531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《房屋装置的接线法规》</w:t>
      </w:r>
    </w:p>
    <w:p w14:paraId="5FCADE80">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《线缆防火等级国际标准》</w:t>
      </w:r>
    </w:p>
    <w:p w14:paraId="4602C7B8">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《以太网标准》</w:t>
      </w:r>
    </w:p>
    <w:p w14:paraId="68D06182">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《关于ClassE6类布线的最新要求》</w:t>
      </w:r>
    </w:p>
    <w:p w14:paraId="588A60EA">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《欧洲电磁兼容性标准》</w:t>
      </w:r>
    </w:p>
    <w:p w14:paraId="616B8F5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《无线电干扰特性极限值和测量方法》</w:t>
      </w:r>
    </w:p>
    <w:p w14:paraId="597E605E">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广东省住宅工程质量通病防治技术措施二十条</w:t>
      </w:r>
    </w:p>
    <w:p w14:paraId="1E572BD3">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全国民用建筑工程设计技术措施</w:t>
      </w:r>
    </w:p>
    <w:p w14:paraId="2042BA7B">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建筑工程设计文件编制深度。</w:t>
      </w:r>
    </w:p>
    <w:p w14:paraId="0BB9CB1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《装配式混凝土结构技术规程》JGJ1</w:t>
      </w:r>
    </w:p>
    <w:p w14:paraId="66FA8A41">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《预制预应力混凝土装配整体式框架结构技术规程》JGJ224</w:t>
      </w:r>
    </w:p>
    <w:p w14:paraId="486FAB7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《钢筋焊接网混凝土结构技术规程》JGJ114</w:t>
      </w:r>
    </w:p>
    <w:p w14:paraId="331EEC65">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《混凝土结构后锚固技术规程》JGJ145</w:t>
      </w:r>
    </w:p>
    <w:p w14:paraId="687BFFE5">
      <w:pPr>
        <w:pStyle w:val="67"/>
        <w:numPr>
          <w:ilvl w:val="0"/>
          <w:numId w:val="56"/>
        </w:numPr>
        <w:ind w:left="0" w:firstLine="567" w:firstLineChars="0"/>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《钢丝网架混凝土复合墙板技术规程》JGJ/T273</w:t>
      </w:r>
    </w:p>
    <w:p w14:paraId="12D74D13">
      <w:pPr>
        <w:pStyle w:val="67"/>
        <w:numPr>
          <w:ilvl w:val="0"/>
          <w:numId w:val="56"/>
        </w:numPr>
        <w:ind w:left="0" w:firstLine="567" w:firstLineChars="0"/>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《装配式建筑评价标准》（DBJ/T 15-163-2019）</w:t>
      </w:r>
    </w:p>
    <w:p w14:paraId="3431132D">
      <w:pPr>
        <w:pStyle w:val="67"/>
        <w:numPr>
          <w:ilvl w:val="0"/>
          <w:numId w:val="56"/>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《装配式混凝土建筑深化设计技术规程》（DBJ/T 15-155-2019）</w:t>
      </w:r>
    </w:p>
    <w:p w14:paraId="2AC56889">
      <w:pPr>
        <w:pStyle w:val="67"/>
        <w:numPr>
          <w:ilvl w:val="0"/>
          <w:numId w:val="56"/>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《综合布线系统工程设计规范(GB 50311-2016)》</w:t>
      </w:r>
    </w:p>
    <w:p w14:paraId="51BA0195">
      <w:pPr>
        <w:pStyle w:val="67"/>
        <w:numPr>
          <w:ilvl w:val="0"/>
          <w:numId w:val="56"/>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《公共建筑光纤宽带接入工程技术标准(GB51433-2020)》</w:t>
      </w:r>
    </w:p>
    <w:p w14:paraId="69A69A26">
      <w:pPr>
        <w:pStyle w:val="67"/>
        <w:numPr>
          <w:ilvl w:val="0"/>
          <w:numId w:val="56"/>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《建筑物移动通信基础设施工程技术标准(GB51456-2023)》等相关规范要求进行通信设施的配套建设。</w:t>
      </w:r>
    </w:p>
    <w:sectPr>
      <w:footerReference r:id="rId9" w:type="default"/>
      <w:type w:val="continuous"/>
      <w:pgSz w:w="11906" w:h="16838"/>
      <w:pgMar w:top="1440" w:right="1983" w:bottom="1440" w:left="184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oto Sans CJK JP Regular">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D372">
    <w:pPr>
      <w:pStyle w:val="13"/>
    </w:pPr>
    <w:r>
      <w:fldChar w:fldCharType="begin"/>
    </w:r>
    <w:r>
      <w:instrText xml:space="preserve"> PAGE   \* MERGEFORMAT </w:instrText>
    </w:r>
    <w:r>
      <w:fldChar w:fldCharType="separate"/>
    </w:r>
    <w:r>
      <w:rPr>
        <w:lang w:val="zh-CN"/>
      </w:rPr>
      <w:t>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5121">
    <w:pPr>
      <w:pStyle w:val="13"/>
    </w:pPr>
    <w:r>
      <w:fldChar w:fldCharType="begin"/>
    </w:r>
    <w:r>
      <w:instrText xml:space="preserve"> PAGE   \* MERGEFORMAT </w:instrText>
    </w:r>
    <w:r>
      <w:fldChar w:fldCharType="separate"/>
    </w:r>
    <w:r>
      <w:rPr>
        <w:lang w:val="zh-CN"/>
      </w:rPr>
      <w:t>50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456EC">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4379">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BAC6">
    <w:pPr>
      <w:pStyle w:val="14"/>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71A8E"/>
    <w:multiLevelType w:val="singleLevel"/>
    <w:tmpl w:val="AED71A8E"/>
    <w:lvl w:ilvl="0" w:tentative="0">
      <w:start w:val="1"/>
      <w:numFmt w:val="decimal"/>
      <w:lvlText w:val="%1)"/>
      <w:lvlJc w:val="left"/>
      <w:pPr>
        <w:ind w:left="850" w:hanging="425"/>
      </w:pPr>
      <w:rPr>
        <w:rFonts w:hint="default"/>
      </w:rPr>
    </w:lvl>
  </w:abstractNum>
  <w:abstractNum w:abstractNumId="1">
    <w:nsid w:val="BC93AEBF"/>
    <w:multiLevelType w:val="singleLevel"/>
    <w:tmpl w:val="BC93AEBF"/>
    <w:lvl w:ilvl="0" w:tentative="0">
      <w:start w:val="1"/>
      <w:numFmt w:val="decimal"/>
      <w:lvlText w:val="%1)"/>
      <w:lvlJc w:val="left"/>
      <w:pPr>
        <w:ind w:left="425" w:hanging="425"/>
      </w:pPr>
      <w:rPr>
        <w:rFonts w:hint="default"/>
      </w:rPr>
    </w:lvl>
  </w:abstractNum>
  <w:abstractNum w:abstractNumId="2">
    <w:nsid w:val="DBFA573D"/>
    <w:multiLevelType w:val="singleLevel"/>
    <w:tmpl w:val="DBFA573D"/>
    <w:lvl w:ilvl="0" w:tentative="0">
      <w:start w:val="1"/>
      <w:numFmt w:val="lowerLetter"/>
      <w:suff w:val="space"/>
      <w:lvlText w:val="(%1)"/>
      <w:lvlJc w:val="left"/>
    </w:lvl>
  </w:abstractNum>
  <w:abstractNum w:abstractNumId="3">
    <w:nsid w:val="01AB3805"/>
    <w:multiLevelType w:val="multilevel"/>
    <w:tmpl w:val="01AB3805"/>
    <w:lvl w:ilvl="0" w:tentative="0">
      <w:start w:val="1"/>
      <w:numFmt w:val="decimal"/>
      <w:lvlText w:val="%1."/>
      <w:lvlJc w:val="left"/>
      <w:pPr>
        <w:ind w:left="-284" w:firstLine="284"/>
      </w:pPr>
      <w:rPr>
        <w:rFonts w:hint="eastAsia"/>
        <w:spacing w:val="-2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DA2229"/>
    <w:multiLevelType w:val="multilevel"/>
    <w:tmpl w:val="02DA222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05424E"/>
    <w:multiLevelType w:val="multilevel"/>
    <w:tmpl w:val="0505424E"/>
    <w:lvl w:ilvl="0" w:tentative="0">
      <w:start w:val="1"/>
      <w:numFmt w:val="chineseCountingThousand"/>
      <w:lvlText w:val="(%1)"/>
      <w:lvlJc w:val="left"/>
      <w:pPr>
        <w:ind w:left="420" w:hanging="420"/>
      </w:pPr>
      <w:rPr>
        <w:sz w:val="28"/>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9251C3"/>
    <w:multiLevelType w:val="multilevel"/>
    <w:tmpl w:val="099251C3"/>
    <w:lvl w:ilvl="0" w:tentative="0">
      <w:start w:val="1"/>
      <w:numFmt w:val="decimal"/>
      <w:lvlText w:val="%1)"/>
      <w:lvlJc w:val="left"/>
      <w:pPr>
        <w:ind w:left="1129" w:hanging="4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0A1C0321"/>
    <w:multiLevelType w:val="multilevel"/>
    <w:tmpl w:val="0A1C032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3B6354"/>
    <w:multiLevelType w:val="multilevel"/>
    <w:tmpl w:val="0C3B63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9C27B5"/>
    <w:multiLevelType w:val="multilevel"/>
    <w:tmpl w:val="0E9C27B5"/>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0">
    <w:nsid w:val="13C76052"/>
    <w:multiLevelType w:val="multilevel"/>
    <w:tmpl w:val="13C76052"/>
    <w:lvl w:ilvl="0" w:tentative="0">
      <w:start w:val="3"/>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5F29F8"/>
    <w:multiLevelType w:val="multilevel"/>
    <w:tmpl w:val="145F29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A136F69"/>
    <w:multiLevelType w:val="multilevel"/>
    <w:tmpl w:val="1A136F69"/>
    <w:lvl w:ilvl="0" w:tentative="0">
      <w:start w:val="2"/>
      <w:numFmt w:val="chineseCountingThousand"/>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AE16A49"/>
    <w:multiLevelType w:val="multilevel"/>
    <w:tmpl w:val="1AE16A4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AF13838"/>
    <w:multiLevelType w:val="multilevel"/>
    <w:tmpl w:val="1AF138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B8D1BE7"/>
    <w:multiLevelType w:val="multilevel"/>
    <w:tmpl w:val="1B8D1B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15039D5"/>
    <w:multiLevelType w:val="multilevel"/>
    <w:tmpl w:val="215039D5"/>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8917CCA"/>
    <w:multiLevelType w:val="multilevel"/>
    <w:tmpl w:val="28917CCA"/>
    <w:lvl w:ilvl="0" w:tentative="0">
      <w:start w:val="1"/>
      <w:numFmt w:val="chineseCountingThousand"/>
      <w:lvlText w:val="(%1)"/>
      <w:lvlJc w:val="left"/>
      <w:pPr>
        <w:ind w:left="420" w:hanging="420"/>
      </w:pPr>
      <w:rPr>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C462255"/>
    <w:multiLevelType w:val="multilevel"/>
    <w:tmpl w:val="2C462255"/>
    <w:lvl w:ilvl="0" w:tentative="0">
      <w:start w:val="2"/>
      <w:numFmt w:val="decimal"/>
      <w:lvlText w:val="（%1）"/>
      <w:lvlJc w:val="left"/>
      <w:pPr>
        <w:ind w:left="561"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C724CE1"/>
    <w:multiLevelType w:val="multilevel"/>
    <w:tmpl w:val="2C724CE1"/>
    <w:lvl w:ilvl="0" w:tentative="0">
      <w:start w:val="1"/>
      <w:numFmt w:val="decimal"/>
      <w:lvlText w:val="%1)"/>
      <w:lvlJc w:val="left"/>
      <w:pPr>
        <w:ind w:left="1271" w:hanging="420"/>
      </w:pPr>
      <w:rPr>
        <w:rFonts w:hint="default"/>
      </w:r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20">
    <w:nsid w:val="2E4719E3"/>
    <w:multiLevelType w:val="multilevel"/>
    <w:tmpl w:val="2E4719E3"/>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F550109"/>
    <w:multiLevelType w:val="multilevel"/>
    <w:tmpl w:val="2F550109"/>
    <w:lvl w:ilvl="0" w:tentative="0">
      <w:start w:val="1"/>
      <w:numFmt w:val="decimal"/>
      <w:lvlText w:val="%1）"/>
      <w:lvlJc w:val="left"/>
      <w:pPr>
        <w:ind w:left="0" w:firstLine="0"/>
      </w:pPr>
      <w:rPr>
        <w:rFonts w:hint="eastAsia"/>
        <w:sz w:val="21"/>
        <w:szCs w:val="21"/>
      </w:rPr>
    </w:lvl>
    <w:lvl w:ilvl="1" w:tentative="0">
      <w:start w:val="1"/>
      <w:numFmt w:val="chineseCountingThousand"/>
      <w:lvlText w:val="%2、"/>
      <w:lvlJc w:val="left"/>
      <w:pPr>
        <w:ind w:left="2240" w:firstLine="0"/>
      </w:pPr>
      <w:rPr>
        <w:rFonts w:hint="default"/>
      </w:rPr>
    </w:lvl>
    <w:lvl w:ilvl="2" w:tentative="0">
      <w:start w:val="1"/>
      <w:numFmt w:val="lowerRoman"/>
      <w:lvlText w:val="%3."/>
      <w:lvlJc w:val="right"/>
      <w:pPr>
        <w:ind w:left="3080" w:hanging="420"/>
      </w:pPr>
    </w:lvl>
    <w:lvl w:ilvl="3" w:tentative="0">
      <w:start w:val="1"/>
      <w:numFmt w:val="decimal"/>
      <w:lvlText w:val="%4."/>
      <w:lvlJc w:val="left"/>
      <w:pPr>
        <w:ind w:left="3500" w:hanging="420"/>
      </w:pPr>
    </w:lvl>
    <w:lvl w:ilvl="4" w:tentative="0">
      <w:start w:val="1"/>
      <w:numFmt w:val="lowerLetter"/>
      <w:lvlText w:val="%5)"/>
      <w:lvlJc w:val="left"/>
      <w:pPr>
        <w:ind w:left="3920" w:hanging="420"/>
      </w:pPr>
    </w:lvl>
    <w:lvl w:ilvl="5" w:tentative="0">
      <w:start w:val="1"/>
      <w:numFmt w:val="lowerRoman"/>
      <w:lvlText w:val="%6."/>
      <w:lvlJc w:val="right"/>
      <w:pPr>
        <w:ind w:left="4340" w:hanging="420"/>
      </w:pPr>
    </w:lvl>
    <w:lvl w:ilvl="6" w:tentative="0">
      <w:start w:val="1"/>
      <w:numFmt w:val="decimal"/>
      <w:lvlText w:val="%7."/>
      <w:lvlJc w:val="left"/>
      <w:pPr>
        <w:ind w:left="4760" w:hanging="420"/>
      </w:pPr>
    </w:lvl>
    <w:lvl w:ilvl="7" w:tentative="0">
      <w:start w:val="1"/>
      <w:numFmt w:val="lowerLetter"/>
      <w:lvlText w:val="%8)"/>
      <w:lvlJc w:val="left"/>
      <w:pPr>
        <w:ind w:left="5180" w:hanging="420"/>
      </w:pPr>
    </w:lvl>
    <w:lvl w:ilvl="8" w:tentative="0">
      <w:start w:val="1"/>
      <w:numFmt w:val="lowerRoman"/>
      <w:lvlText w:val="%9."/>
      <w:lvlJc w:val="right"/>
      <w:pPr>
        <w:ind w:left="5600" w:hanging="420"/>
      </w:pPr>
    </w:lvl>
  </w:abstractNum>
  <w:abstractNum w:abstractNumId="22">
    <w:nsid w:val="2F6031DE"/>
    <w:multiLevelType w:val="multilevel"/>
    <w:tmpl w:val="2F6031D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32B38AD"/>
    <w:multiLevelType w:val="multilevel"/>
    <w:tmpl w:val="332B38AD"/>
    <w:lvl w:ilvl="0" w:tentative="0">
      <w:start w:val="1"/>
      <w:numFmt w:val="decimal"/>
      <w:lvlText w:val="（%1）"/>
      <w:lvlJc w:val="left"/>
      <w:pPr>
        <w:ind w:left="420" w:hanging="420"/>
      </w:pPr>
      <w:rPr>
        <w:rFonts w:hint="default" w:cs="Times New Roman"/>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3964B68"/>
    <w:multiLevelType w:val="multilevel"/>
    <w:tmpl w:val="33964B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5913EE8"/>
    <w:multiLevelType w:val="multilevel"/>
    <w:tmpl w:val="35913EE8"/>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C524A04"/>
    <w:multiLevelType w:val="multilevel"/>
    <w:tmpl w:val="3C524A04"/>
    <w:lvl w:ilvl="0" w:tentative="0">
      <w:start w:val="1"/>
      <w:numFmt w:val="chineseCountingThousand"/>
      <w:lvlText w:val="%1、"/>
      <w:lvlJc w:val="left"/>
      <w:pPr>
        <w:ind w:left="420" w:hanging="420"/>
      </w:pPr>
      <w:rPr>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CB80E89"/>
    <w:multiLevelType w:val="multilevel"/>
    <w:tmpl w:val="3CB80E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D343707"/>
    <w:multiLevelType w:val="multilevel"/>
    <w:tmpl w:val="3D343707"/>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9">
    <w:nsid w:val="3E191325"/>
    <w:multiLevelType w:val="multilevel"/>
    <w:tmpl w:val="3E19132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F2072C3"/>
    <w:multiLevelType w:val="multilevel"/>
    <w:tmpl w:val="3F2072C3"/>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1">
    <w:nsid w:val="472A626E"/>
    <w:multiLevelType w:val="multilevel"/>
    <w:tmpl w:val="472A62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FDE2E04"/>
    <w:multiLevelType w:val="multilevel"/>
    <w:tmpl w:val="4FDE2E04"/>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3">
    <w:nsid w:val="52194599"/>
    <w:multiLevelType w:val="multilevel"/>
    <w:tmpl w:val="5219459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2333F43"/>
    <w:multiLevelType w:val="multilevel"/>
    <w:tmpl w:val="52333F43"/>
    <w:lvl w:ilvl="0" w:tentative="0">
      <w:start w:val="2"/>
      <w:numFmt w:val="decimal"/>
      <w:lvlText w:val="%1."/>
      <w:lvlJc w:val="left"/>
      <w:pPr>
        <w:ind w:left="902"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25E2F4D"/>
    <w:multiLevelType w:val="multilevel"/>
    <w:tmpl w:val="525E2F4D"/>
    <w:lvl w:ilvl="0" w:tentative="0">
      <w:start w:val="1"/>
      <w:numFmt w:val="chineseCountingThousand"/>
      <w:lvlText w:val="%1、"/>
      <w:lvlJc w:val="left"/>
      <w:pPr>
        <w:ind w:left="420" w:hanging="420"/>
      </w:pPr>
      <w:rPr>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50C6F3F"/>
    <w:multiLevelType w:val="multilevel"/>
    <w:tmpl w:val="550C6F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6082D72"/>
    <w:multiLevelType w:val="multilevel"/>
    <w:tmpl w:val="56082D72"/>
    <w:lvl w:ilvl="0" w:tentative="0">
      <w:start w:val="2"/>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A744DE9"/>
    <w:multiLevelType w:val="multilevel"/>
    <w:tmpl w:val="5A744DE9"/>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9">
    <w:nsid w:val="5C363F1A"/>
    <w:multiLevelType w:val="multilevel"/>
    <w:tmpl w:val="5C363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F2138D2"/>
    <w:multiLevelType w:val="multilevel"/>
    <w:tmpl w:val="5F2138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07A794B"/>
    <w:multiLevelType w:val="multilevel"/>
    <w:tmpl w:val="607A794B"/>
    <w:lvl w:ilvl="0" w:tentative="0">
      <w:start w:val="1"/>
      <w:numFmt w:val="chineseCountingThousand"/>
      <w:lvlText w:val="%1、"/>
      <w:lvlJc w:val="left"/>
      <w:pPr>
        <w:ind w:left="420" w:hanging="420"/>
      </w:pPr>
      <w:rPr>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0E91A8F"/>
    <w:multiLevelType w:val="multilevel"/>
    <w:tmpl w:val="60E91A8F"/>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1E841CA"/>
    <w:multiLevelType w:val="multilevel"/>
    <w:tmpl w:val="61E841CA"/>
    <w:lvl w:ilvl="0" w:tentative="0">
      <w:start w:val="1"/>
      <w:numFmt w:val="decimal"/>
      <w:lvlText w:val="%1."/>
      <w:lvlJc w:val="left"/>
      <w:pPr>
        <w:ind w:left="420" w:hanging="420"/>
      </w:pPr>
      <w:rPr>
        <w:rFonts w:hint="eastAsia"/>
      </w:rPr>
    </w:lvl>
    <w:lvl w:ilvl="1" w:tentative="0">
      <w:start w:val="1"/>
      <w:numFmt w:val="decimal"/>
      <w:lvlText w:val="（%2）"/>
      <w:lvlJc w:val="left"/>
      <w:pPr>
        <w:ind w:left="1140" w:hanging="720"/>
      </w:pPr>
      <w:rPr>
        <w:rFonts w:hint="default"/>
        <w:sz w:val="22"/>
      </w:rPr>
    </w:lvl>
    <w:lvl w:ilvl="2" w:tentative="0">
      <w:start w:val="7"/>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23C65CC"/>
    <w:multiLevelType w:val="multilevel"/>
    <w:tmpl w:val="623C65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40C628E"/>
    <w:multiLevelType w:val="multilevel"/>
    <w:tmpl w:val="640C628E"/>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3361F21"/>
    <w:multiLevelType w:val="multilevel"/>
    <w:tmpl w:val="73361F21"/>
    <w:lvl w:ilvl="0" w:tentative="0">
      <w:start w:val="1"/>
      <w:numFmt w:val="decimal"/>
      <w:lvlText w:val="%1."/>
      <w:lvlJc w:val="left"/>
      <w:pPr>
        <w:ind w:left="420" w:hanging="4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6921635"/>
    <w:multiLevelType w:val="multilevel"/>
    <w:tmpl w:val="76921635"/>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6A033B3"/>
    <w:multiLevelType w:val="multilevel"/>
    <w:tmpl w:val="76A033B3"/>
    <w:lvl w:ilvl="0" w:tentative="0">
      <w:start w:val="1"/>
      <w:numFmt w:val="chineseCountingThousand"/>
      <w:pStyle w:val="4"/>
      <w:lvlText w:val="(%1)"/>
      <w:lvlJc w:val="left"/>
      <w:pPr>
        <w:ind w:left="0" w:firstLine="420"/>
      </w:pPr>
      <w:rPr>
        <w:rFonts w:ascii="Times New Roman" w:hAnsi="Times New Roman"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794A70C3"/>
    <w:multiLevelType w:val="multilevel"/>
    <w:tmpl w:val="794A70C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CA92406"/>
    <w:multiLevelType w:val="multilevel"/>
    <w:tmpl w:val="7CA92406"/>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E7D5965"/>
    <w:multiLevelType w:val="multilevel"/>
    <w:tmpl w:val="7E7D5965"/>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2">
    <w:nsid w:val="7EBC51F6"/>
    <w:multiLevelType w:val="multilevel"/>
    <w:tmpl w:val="7EBC51F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FEF4E1C"/>
    <w:multiLevelType w:val="multilevel"/>
    <w:tmpl w:val="7FEF4E1C"/>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FFD6341"/>
    <w:multiLevelType w:val="multilevel"/>
    <w:tmpl w:val="7FFD6341"/>
    <w:lvl w:ilvl="0" w:tentative="0">
      <w:start w:val="3"/>
      <w:numFmt w:val="chineseCountingThousand"/>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8"/>
  </w:num>
  <w:num w:numId="2">
    <w:abstractNumId w:val="41"/>
  </w:num>
  <w:num w:numId="3">
    <w:abstractNumId w:val="48"/>
    <w:lvlOverride w:ilvl="0">
      <w:startOverride w:val="1"/>
    </w:lvlOverride>
  </w:num>
  <w:num w:numId="4">
    <w:abstractNumId w:val="3"/>
  </w:num>
  <w:num w:numId="5">
    <w:abstractNumId w:val="12"/>
  </w:num>
  <w:num w:numId="6">
    <w:abstractNumId w:val="42"/>
  </w:num>
  <w:num w:numId="7">
    <w:abstractNumId w:val="53"/>
  </w:num>
  <w:num w:numId="8">
    <w:abstractNumId w:val="49"/>
  </w:num>
  <w:num w:numId="9">
    <w:abstractNumId w:val="35"/>
  </w:num>
  <w:num w:numId="10">
    <w:abstractNumId w:val="8"/>
  </w:num>
  <w:num w:numId="11">
    <w:abstractNumId w:val="52"/>
  </w:num>
  <w:num w:numId="12">
    <w:abstractNumId w:val="50"/>
  </w:num>
  <w:num w:numId="13">
    <w:abstractNumId w:val="54"/>
  </w:num>
  <w:num w:numId="14">
    <w:abstractNumId w:val="29"/>
  </w:num>
  <w:num w:numId="15">
    <w:abstractNumId w:val="34"/>
  </w:num>
  <w:num w:numId="16">
    <w:abstractNumId w:val="26"/>
  </w:num>
  <w:num w:numId="17">
    <w:abstractNumId w:val="27"/>
  </w:num>
  <w:num w:numId="18">
    <w:abstractNumId w:val="43"/>
  </w:num>
  <w:num w:numId="19">
    <w:abstractNumId w:val="13"/>
  </w:num>
  <w:num w:numId="20">
    <w:abstractNumId w:val="23"/>
  </w:num>
  <w:num w:numId="21">
    <w:abstractNumId w:val="18"/>
  </w:num>
  <w:num w:numId="22">
    <w:abstractNumId w:val="11"/>
  </w:num>
  <w:num w:numId="23">
    <w:abstractNumId w:val="33"/>
  </w:num>
  <w:num w:numId="24">
    <w:abstractNumId w:val="22"/>
  </w:num>
  <w:num w:numId="25">
    <w:abstractNumId w:val="45"/>
  </w:num>
  <w:num w:numId="26">
    <w:abstractNumId w:val="7"/>
  </w:num>
  <w:num w:numId="27">
    <w:abstractNumId w:val="28"/>
  </w:num>
  <w:num w:numId="28">
    <w:abstractNumId w:val="30"/>
  </w:num>
  <w:num w:numId="29">
    <w:abstractNumId w:val="4"/>
  </w:num>
  <w:num w:numId="30">
    <w:abstractNumId w:val="5"/>
  </w:num>
  <w:num w:numId="31">
    <w:abstractNumId w:val="17"/>
  </w:num>
  <w:num w:numId="32">
    <w:abstractNumId w:val="1"/>
  </w:num>
  <w:num w:numId="33">
    <w:abstractNumId w:val="0"/>
  </w:num>
  <w:num w:numId="34">
    <w:abstractNumId w:val="36"/>
  </w:num>
  <w:num w:numId="35">
    <w:abstractNumId w:val="40"/>
  </w:num>
  <w:num w:numId="36">
    <w:abstractNumId w:val="16"/>
  </w:num>
  <w:num w:numId="37">
    <w:abstractNumId w:val="21"/>
  </w:num>
  <w:num w:numId="38">
    <w:abstractNumId w:val="20"/>
  </w:num>
  <w:num w:numId="39">
    <w:abstractNumId w:val="31"/>
  </w:num>
  <w:num w:numId="40">
    <w:abstractNumId w:val="37"/>
  </w:num>
  <w:num w:numId="41">
    <w:abstractNumId w:val="9"/>
  </w:num>
  <w:num w:numId="42">
    <w:abstractNumId w:val="15"/>
  </w:num>
  <w:num w:numId="43">
    <w:abstractNumId w:val="44"/>
  </w:num>
  <w:num w:numId="44">
    <w:abstractNumId w:val="24"/>
  </w:num>
  <w:num w:numId="45">
    <w:abstractNumId w:val="6"/>
  </w:num>
  <w:num w:numId="46">
    <w:abstractNumId w:val="47"/>
  </w:num>
  <w:num w:numId="47">
    <w:abstractNumId w:val="39"/>
  </w:num>
  <w:num w:numId="48">
    <w:abstractNumId w:val="46"/>
  </w:num>
  <w:num w:numId="49">
    <w:abstractNumId w:val="19"/>
  </w:num>
  <w:num w:numId="50">
    <w:abstractNumId w:val="51"/>
  </w:num>
  <w:num w:numId="51">
    <w:abstractNumId w:val="10"/>
  </w:num>
  <w:num w:numId="52">
    <w:abstractNumId w:val="38"/>
  </w:num>
  <w:num w:numId="53">
    <w:abstractNumId w:val="32"/>
  </w:num>
  <w:num w:numId="54">
    <w:abstractNumId w:val="14"/>
  </w:num>
  <w:num w:numId="55">
    <w:abstractNumId w:val="2"/>
  </w:num>
  <w:num w:numId="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YjBhN2Y2MGY3MDgxNTAwZTNlYWY3OGMzODkwMDAifQ=="/>
  </w:docVars>
  <w:rsids>
    <w:rsidRoot w:val="00172A27"/>
    <w:rsid w:val="000020D8"/>
    <w:rsid w:val="00002ECD"/>
    <w:rsid w:val="00010D58"/>
    <w:rsid w:val="00012FB2"/>
    <w:rsid w:val="00014284"/>
    <w:rsid w:val="00014568"/>
    <w:rsid w:val="00016C4A"/>
    <w:rsid w:val="00020139"/>
    <w:rsid w:val="00020171"/>
    <w:rsid w:val="00020B3D"/>
    <w:rsid w:val="0002214F"/>
    <w:rsid w:val="00027E82"/>
    <w:rsid w:val="00031DE4"/>
    <w:rsid w:val="000336C9"/>
    <w:rsid w:val="00034C8D"/>
    <w:rsid w:val="000404D0"/>
    <w:rsid w:val="00042157"/>
    <w:rsid w:val="0004361A"/>
    <w:rsid w:val="000442BB"/>
    <w:rsid w:val="000458B7"/>
    <w:rsid w:val="00050BBD"/>
    <w:rsid w:val="00054BA8"/>
    <w:rsid w:val="00057C52"/>
    <w:rsid w:val="000659BD"/>
    <w:rsid w:val="00076BBA"/>
    <w:rsid w:val="00080E0A"/>
    <w:rsid w:val="00082175"/>
    <w:rsid w:val="000866CD"/>
    <w:rsid w:val="00090A0A"/>
    <w:rsid w:val="00095A67"/>
    <w:rsid w:val="00096AE1"/>
    <w:rsid w:val="000A003C"/>
    <w:rsid w:val="000A6C0D"/>
    <w:rsid w:val="000B3C64"/>
    <w:rsid w:val="000B723B"/>
    <w:rsid w:val="000B77B5"/>
    <w:rsid w:val="000B78FF"/>
    <w:rsid w:val="000C0903"/>
    <w:rsid w:val="000C1A42"/>
    <w:rsid w:val="000C1D9A"/>
    <w:rsid w:val="000D18F5"/>
    <w:rsid w:val="000E03A8"/>
    <w:rsid w:val="000E56B4"/>
    <w:rsid w:val="000F018A"/>
    <w:rsid w:val="000F11DE"/>
    <w:rsid w:val="000F540E"/>
    <w:rsid w:val="00102AAE"/>
    <w:rsid w:val="00107164"/>
    <w:rsid w:val="00110F46"/>
    <w:rsid w:val="0011675E"/>
    <w:rsid w:val="00122432"/>
    <w:rsid w:val="00122FF5"/>
    <w:rsid w:val="00123DD8"/>
    <w:rsid w:val="00124A90"/>
    <w:rsid w:val="00126151"/>
    <w:rsid w:val="001304AA"/>
    <w:rsid w:val="00130B38"/>
    <w:rsid w:val="001374B5"/>
    <w:rsid w:val="001374C3"/>
    <w:rsid w:val="00140ADD"/>
    <w:rsid w:val="001421BD"/>
    <w:rsid w:val="00152843"/>
    <w:rsid w:val="00152C29"/>
    <w:rsid w:val="00164017"/>
    <w:rsid w:val="00167759"/>
    <w:rsid w:val="0017150B"/>
    <w:rsid w:val="00171D5A"/>
    <w:rsid w:val="00172164"/>
    <w:rsid w:val="00172A27"/>
    <w:rsid w:val="001812E0"/>
    <w:rsid w:val="00182666"/>
    <w:rsid w:val="001901B5"/>
    <w:rsid w:val="00190651"/>
    <w:rsid w:val="00190DC2"/>
    <w:rsid w:val="001A4593"/>
    <w:rsid w:val="001C5457"/>
    <w:rsid w:val="001D2881"/>
    <w:rsid w:val="001D4836"/>
    <w:rsid w:val="001D6898"/>
    <w:rsid w:val="001E13C3"/>
    <w:rsid w:val="001E14FC"/>
    <w:rsid w:val="001E1521"/>
    <w:rsid w:val="001E27ED"/>
    <w:rsid w:val="001E5374"/>
    <w:rsid w:val="001E62DC"/>
    <w:rsid w:val="001E7DF1"/>
    <w:rsid w:val="001F5EC7"/>
    <w:rsid w:val="0020198B"/>
    <w:rsid w:val="002052DE"/>
    <w:rsid w:val="00206AE4"/>
    <w:rsid w:val="0021264D"/>
    <w:rsid w:val="00215360"/>
    <w:rsid w:val="00220AD9"/>
    <w:rsid w:val="00221B52"/>
    <w:rsid w:val="00225387"/>
    <w:rsid w:val="002271D9"/>
    <w:rsid w:val="00244ADD"/>
    <w:rsid w:val="00245B98"/>
    <w:rsid w:val="002504B7"/>
    <w:rsid w:val="00250CCF"/>
    <w:rsid w:val="00251848"/>
    <w:rsid w:val="002573B1"/>
    <w:rsid w:val="00261DDE"/>
    <w:rsid w:val="00262F95"/>
    <w:rsid w:val="00264C93"/>
    <w:rsid w:val="0027003D"/>
    <w:rsid w:val="00275862"/>
    <w:rsid w:val="00280C0D"/>
    <w:rsid w:val="002811AA"/>
    <w:rsid w:val="002816E4"/>
    <w:rsid w:val="002848F2"/>
    <w:rsid w:val="00295FDB"/>
    <w:rsid w:val="0029718F"/>
    <w:rsid w:val="002A26A5"/>
    <w:rsid w:val="002A3555"/>
    <w:rsid w:val="002A468B"/>
    <w:rsid w:val="002A5D1D"/>
    <w:rsid w:val="002A61CF"/>
    <w:rsid w:val="002B051A"/>
    <w:rsid w:val="002B30A1"/>
    <w:rsid w:val="002B4997"/>
    <w:rsid w:val="002B4E66"/>
    <w:rsid w:val="002B786C"/>
    <w:rsid w:val="002C2015"/>
    <w:rsid w:val="002C4365"/>
    <w:rsid w:val="002C5D2A"/>
    <w:rsid w:val="002E0AF5"/>
    <w:rsid w:val="002E119C"/>
    <w:rsid w:val="002E475E"/>
    <w:rsid w:val="002E5E27"/>
    <w:rsid w:val="002E7929"/>
    <w:rsid w:val="002F14B2"/>
    <w:rsid w:val="002F21AC"/>
    <w:rsid w:val="002F25AD"/>
    <w:rsid w:val="00303FEB"/>
    <w:rsid w:val="003167D5"/>
    <w:rsid w:val="003203A5"/>
    <w:rsid w:val="003212DC"/>
    <w:rsid w:val="00323607"/>
    <w:rsid w:val="00326656"/>
    <w:rsid w:val="003266AC"/>
    <w:rsid w:val="00326EC4"/>
    <w:rsid w:val="00327D1C"/>
    <w:rsid w:val="00337DE6"/>
    <w:rsid w:val="0034219C"/>
    <w:rsid w:val="0035055C"/>
    <w:rsid w:val="0035057F"/>
    <w:rsid w:val="0035584F"/>
    <w:rsid w:val="00355A70"/>
    <w:rsid w:val="00355F96"/>
    <w:rsid w:val="003567F1"/>
    <w:rsid w:val="0036175F"/>
    <w:rsid w:val="003618BE"/>
    <w:rsid w:val="00367EA5"/>
    <w:rsid w:val="00381C93"/>
    <w:rsid w:val="00381E8E"/>
    <w:rsid w:val="00383E6D"/>
    <w:rsid w:val="003913B7"/>
    <w:rsid w:val="003A29F3"/>
    <w:rsid w:val="003A4735"/>
    <w:rsid w:val="003A62DF"/>
    <w:rsid w:val="003A708A"/>
    <w:rsid w:val="003B1B8B"/>
    <w:rsid w:val="003B3CF4"/>
    <w:rsid w:val="003C1282"/>
    <w:rsid w:val="003D2717"/>
    <w:rsid w:val="003D4314"/>
    <w:rsid w:val="003E0B01"/>
    <w:rsid w:val="003E1758"/>
    <w:rsid w:val="003F1D31"/>
    <w:rsid w:val="003F3C99"/>
    <w:rsid w:val="00404A2B"/>
    <w:rsid w:val="004071A0"/>
    <w:rsid w:val="0041472F"/>
    <w:rsid w:val="004176FA"/>
    <w:rsid w:val="00423EB2"/>
    <w:rsid w:val="00424B41"/>
    <w:rsid w:val="00437BF8"/>
    <w:rsid w:val="00437E28"/>
    <w:rsid w:val="00444B68"/>
    <w:rsid w:val="00445714"/>
    <w:rsid w:val="00446731"/>
    <w:rsid w:val="00447EB3"/>
    <w:rsid w:val="00451B13"/>
    <w:rsid w:val="00462AE9"/>
    <w:rsid w:val="00466373"/>
    <w:rsid w:val="00466568"/>
    <w:rsid w:val="0047526A"/>
    <w:rsid w:val="00480652"/>
    <w:rsid w:val="00483703"/>
    <w:rsid w:val="00485AAE"/>
    <w:rsid w:val="00492E00"/>
    <w:rsid w:val="004960C6"/>
    <w:rsid w:val="004A18B0"/>
    <w:rsid w:val="004A68E8"/>
    <w:rsid w:val="004B186C"/>
    <w:rsid w:val="004B62E5"/>
    <w:rsid w:val="004B7211"/>
    <w:rsid w:val="004C0B44"/>
    <w:rsid w:val="004C13FC"/>
    <w:rsid w:val="004C1778"/>
    <w:rsid w:val="004C18A7"/>
    <w:rsid w:val="004C25D9"/>
    <w:rsid w:val="004C5EA3"/>
    <w:rsid w:val="004D37A9"/>
    <w:rsid w:val="004E37BD"/>
    <w:rsid w:val="004E4F1A"/>
    <w:rsid w:val="004E6B87"/>
    <w:rsid w:val="004F00E1"/>
    <w:rsid w:val="004F2377"/>
    <w:rsid w:val="004F4A80"/>
    <w:rsid w:val="004F4F72"/>
    <w:rsid w:val="00505A0F"/>
    <w:rsid w:val="00512890"/>
    <w:rsid w:val="00520C51"/>
    <w:rsid w:val="005268A6"/>
    <w:rsid w:val="00533CE4"/>
    <w:rsid w:val="005508E8"/>
    <w:rsid w:val="00550FA2"/>
    <w:rsid w:val="0055588C"/>
    <w:rsid w:val="005577F3"/>
    <w:rsid w:val="00560C70"/>
    <w:rsid w:val="00571B7D"/>
    <w:rsid w:val="005770D7"/>
    <w:rsid w:val="00577345"/>
    <w:rsid w:val="00577393"/>
    <w:rsid w:val="005A560A"/>
    <w:rsid w:val="005B147F"/>
    <w:rsid w:val="005B4093"/>
    <w:rsid w:val="005B4714"/>
    <w:rsid w:val="005C2FF3"/>
    <w:rsid w:val="005C36E1"/>
    <w:rsid w:val="005C6F28"/>
    <w:rsid w:val="005C7181"/>
    <w:rsid w:val="005D1894"/>
    <w:rsid w:val="005D3536"/>
    <w:rsid w:val="005D7D61"/>
    <w:rsid w:val="005E02A6"/>
    <w:rsid w:val="005E2A91"/>
    <w:rsid w:val="005E44C6"/>
    <w:rsid w:val="005F0998"/>
    <w:rsid w:val="005F7269"/>
    <w:rsid w:val="00600BEC"/>
    <w:rsid w:val="00600FD8"/>
    <w:rsid w:val="00602DFF"/>
    <w:rsid w:val="006045A6"/>
    <w:rsid w:val="00605FCC"/>
    <w:rsid w:val="006114EB"/>
    <w:rsid w:val="00613D4B"/>
    <w:rsid w:val="006163FA"/>
    <w:rsid w:val="00617B04"/>
    <w:rsid w:val="00624D88"/>
    <w:rsid w:val="00641B39"/>
    <w:rsid w:val="00642E1F"/>
    <w:rsid w:val="00643D59"/>
    <w:rsid w:val="00655B26"/>
    <w:rsid w:val="00656769"/>
    <w:rsid w:val="00664FD3"/>
    <w:rsid w:val="006705B6"/>
    <w:rsid w:val="00675BDC"/>
    <w:rsid w:val="00682981"/>
    <w:rsid w:val="006A5F56"/>
    <w:rsid w:val="006A79A7"/>
    <w:rsid w:val="006A7BCC"/>
    <w:rsid w:val="006B4161"/>
    <w:rsid w:val="006B7F17"/>
    <w:rsid w:val="006C0759"/>
    <w:rsid w:val="006C16BD"/>
    <w:rsid w:val="006C29FC"/>
    <w:rsid w:val="006C7F8F"/>
    <w:rsid w:val="006D6AC7"/>
    <w:rsid w:val="006E35D0"/>
    <w:rsid w:val="006F067D"/>
    <w:rsid w:val="006F15C0"/>
    <w:rsid w:val="006F2A98"/>
    <w:rsid w:val="007018C8"/>
    <w:rsid w:val="00706892"/>
    <w:rsid w:val="00710445"/>
    <w:rsid w:val="00710697"/>
    <w:rsid w:val="007111AE"/>
    <w:rsid w:val="00717CF1"/>
    <w:rsid w:val="00720E33"/>
    <w:rsid w:val="00723C16"/>
    <w:rsid w:val="00723CBF"/>
    <w:rsid w:val="0072606F"/>
    <w:rsid w:val="00727F1E"/>
    <w:rsid w:val="0073151F"/>
    <w:rsid w:val="00733506"/>
    <w:rsid w:val="007419B0"/>
    <w:rsid w:val="00744506"/>
    <w:rsid w:val="00750558"/>
    <w:rsid w:val="00751449"/>
    <w:rsid w:val="0075177F"/>
    <w:rsid w:val="007548A1"/>
    <w:rsid w:val="00764A2B"/>
    <w:rsid w:val="00772137"/>
    <w:rsid w:val="00772AF0"/>
    <w:rsid w:val="00775F17"/>
    <w:rsid w:val="0078139C"/>
    <w:rsid w:val="007846A0"/>
    <w:rsid w:val="00784C06"/>
    <w:rsid w:val="00790E1D"/>
    <w:rsid w:val="00793F32"/>
    <w:rsid w:val="007956D4"/>
    <w:rsid w:val="007A02BB"/>
    <w:rsid w:val="007A18BF"/>
    <w:rsid w:val="007A3D29"/>
    <w:rsid w:val="007A7C3B"/>
    <w:rsid w:val="007B09A4"/>
    <w:rsid w:val="007B2382"/>
    <w:rsid w:val="007B7213"/>
    <w:rsid w:val="007C102D"/>
    <w:rsid w:val="007C3484"/>
    <w:rsid w:val="007D4645"/>
    <w:rsid w:val="007D5556"/>
    <w:rsid w:val="007D5A41"/>
    <w:rsid w:val="007D7A63"/>
    <w:rsid w:val="007E5430"/>
    <w:rsid w:val="007F4C83"/>
    <w:rsid w:val="007F55F1"/>
    <w:rsid w:val="007F592A"/>
    <w:rsid w:val="007F6DD4"/>
    <w:rsid w:val="008018E2"/>
    <w:rsid w:val="008050B6"/>
    <w:rsid w:val="00825417"/>
    <w:rsid w:val="00830B35"/>
    <w:rsid w:val="00835B99"/>
    <w:rsid w:val="0083619A"/>
    <w:rsid w:val="00837EA4"/>
    <w:rsid w:val="00843AA4"/>
    <w:rsid w:val="0084443B"/>
    <w:rsid w:val="00845043"/>
    <w:rsid w:val="00862D7F"/>
    <w:rsid w:val="00867D93"/>
    <w:rsid w:val="00874EF6"/>
    <w:rsid w:val="008773F8"/>
    <w:rsid w:val="00886575"/>
    <w:rsid w:val="008923EB"/>
    <w:rsid w:val="00892575"/>
    <w:rsid w:val="00894416"/>
    <w:rsid w:val="008949CE"/>
    <w:rsid w:val="008958A0"/>
    <w:rsid w:val="008A3062"/>
    <w:rsid w:val="008A5B25"/>
    <w:rsid w:val="008B3FD0"/>
    <w:rsid w:val="008C2A1E"/>
    <w:rsid w:val="008C4633"/>
    <w:rsid w:val="008C4B88"/>
    <w:rsid w:val="008C535E"/>
    <w:rsid w:val="008D2A07"/>
    <w:rsid w:val="008D2D0D"/>
    <w:rsid w:val="008E4959"/>
    <w:rsid w:val="008E4F16"/>
    <w:rsid w:val="008E784F"/>
    <w:rsid w:val="008F16E5"/>
    <w:rsid w:val="008F21D5"/>
    <w:rsid w:val="00902E13"/>
    <w:rsid w:val="00907949"/>
    <w:rsid w:val="00914920"/>
    <w:rsid w:val="009155D1"/>
    <w:rsid w:val="00915C49"/>
    <w:rsid w:val="00916F71"/>
    <w:rsid w:val="00917D7A"/>
    <w:rsid w:val="00922272"/>
    <w:rsid w:val="00926960"/>
    <w:rsid w:val="00927AE9"/>
    <w:rsid w:val="00934835"/>
    <w:rsid w:val="0094087A"/>
    <w:rsid w:val="00941106"/>
    <w:rsid w:val="00944BCE"/>
    <w:rsid w:val="0094533D"/>
    <w:rsid w:val="009466DA"/>
    <w:rsid w:val="00947678"/>
    <w:rsid w:val="0095239B"/>
    <w:rsid w:val="00954026"/>
    <w:rsid w:val="00954853"/>
    <w:rsid w:val="009606D8"/>
    <w:rsid w:val="00973A78"/>
    <w:rsid w:val="00977FB5"/>
    <w:rsid w:val="00980CA9"/>
    <w:rsid w:val="00981900"/>
    <w:rsid w:val="00982713"/>
    <w:rsid w:val="00984F6C"/>
    <w:rsid w:val="00991328"/>
    <w:rsid w:val="00995FFD"/>
    <w:rsid w:val="009A1509"/>
    <w:rsid w:val="009A1EC7"/>
    <w:rsid w:val="009B693B"/>
    <w:rsid w:val="009B7ECC"/>
    <w:rsid w:val="009C07E9"/>
    <w:rsid w:val="009C1D12"/>
    <w:rsid w:val="009C1F4C"/>
    <w:rsid w:val="009C5844"/>
    <w:rsid w:val="009C686F"/>
    <w:rsid w:val="009D3607"/>
    <w:rsid w:val="009E23CF"/>
    <w:rsid w:val="009E6ACC"/>
    <w:rsid w:val="009F16AA"/>
    <w:rsid w:val="009F25FE"/>
    <w:rsid w:val="00A018DF"/>
    <w:rsid w:val="00A03334"/>
    <w:rsid w:val="00A04794"/>
    <w:rsid w:val="00A04B4D"/>
    <w:rsid w:val="00A1121D"/>
    <w:rsid w:val="00A14200"/>
    <w:rsid w:val="00A24206"/>
    <w:rsid w:val="00A24653"/>
    <w:rsid w:val="00A25711"/>
    <w:rsid w:val="00A26942"/>
    <w:rsid w:val="00A26F42"/>
    <w:rsid w:val="00A41713"/>
    <w:rsid w:val="00A4465D"/>
    <w:rsid w:val="00A55B90"/>
    <w:rsid w:val="00A604A9"/>
    <w:rsid w:val="00A6655B"/>
    <w:rsid w:val="00A667D0"/>
    <w:rsid w:val="00A72E7B"/>
    <w:rsid w:val="00A7475D"/>
    <w:rsid w:val="00A81653"/>
    <w:rsid w:val="00A832E1"/>
    <w:rsid w:val="00A833B4"/>
    <w:rsid w:val="00A92339"/>
    <w:rsid w:val="00A973D1"/>
    <w:rsid w:val="00A97EF4"/>
    <w:rsid w:val="00AA0B8C"/>
    <w:rsid w:val="00AA3B66"/>
    <w:rsid w:val="00AA3F79"/>
    <w:rsid w:val="00AB1611"/>
    <w:rsid w:val="00AB1A28"/>
    <w:rsid w:val="00AB3FAD"/>
    <w:rsid w:val="00AC0A88"/>
    <w:rsid w:val="00AC70B2"/>
    <w:rsid w:val="00AD5487"/>
    <w:rsid w:val="00AD7089"/>
    <w:rsid w:val="00AE0833"/>
    <w:rsid w:val="00AE7F77"/>
    <w:rsid w:val="00AF2DF0"/>
    <w:rsid w:val="00AF3C8F"/>
    <w:rsid w:val="00AF5412"/>
    <w:rsid w:val="00B000E3"/>
    <w:rsid w:val="00B00366"/>
    <w:rsid w:val="00B03015"/>
    <w:rsid w:val="00B0435B"/>
    <w:rsid w:val="00B127B9"/>
    <w:rsid w:val="00B1722F"/>
    <w:rsid w:val="00B21748"/>
    <w:rsid w:val="00B21D39"/>
    <w:rsid w:val="00B30E93"/>
    <w:rsid w:val="00B322F4"/>
    <w:rsid w:val="00B3289B"/>
    <w:rsid w:val="00B3395C"/>
    <w:rsid w:val="00B34E82"/>
    <w:rsid w:val="00B360CB"/>
    <w:rsid w:val="00B36B77"/>
    <w:rsid w:val="00B46D2C"/>
    <w:rsid w:val="00B514E4"/>
    <w:rsid w:val="00B51FB8"/>
    <w:rsid w:val="00B57B4B"/>
    <w:rsid w:val="00B65A41"/>
    <w:rsid w:val="00B679CB"/>
    <w:rsid w:val="00B72B80"/>
    <w:rsid w:val="00B762C3"/>
    <w:rsid w:val="00B8295F"/>
    <w:rsid w:val="00B8491C"/>
    <w:rsid w:val="00B84D60"/>
    <w:rsid w:val="00B864C9"/>
    <w:rsid w:val="00B924FF"/>
    <w:rsid w:val="00B92851"/>
    <w:rsid w:val="00BB54FE"/>
    <w:rsid w:val="00BB773A"/>
    <w:rsid w:val="00BC5766"/>
    <w:rsid w:val="00BD7458"/>
    <w:rsid w:val="00BE1EDA"/>
    <w:rsid w:val="00BE2CF4"/>
    <w:rsid w:val="00BE72AB"/>
    <w:rsid w:val="00BF0054"/>
    <w:rsid w:val="00BF0756"/>
    <w:rsid w:val="00BF3086"/>
    <w:rsid w:val="00BF3D9F"/>
    <w:rsid w:val="00C01C5E"/>
    <w:rsid w:val="00C04AFB"/>
    <w:rsid w:val="00C07B3A"/>
    <w:rsid w:val="00C10C44"/>
    <w:rsid w:val="00C114D8"/>
    <w:rsid w:val="00C12015"/>
    <w:rsid w:val="00C14747"/>
    <w:rsid w:val="00C14D09"/>
    <w:rsid w:val="00C1566C"/>
    <w:rsid w:val="00C21CF1"/>
    <w:rsid w:val="00C230C3"/>
    <w:rsid w:val="00C2438F"/>
    <w:rsid w:val="00C25EDA"/>
    <w:rsid w:val="00C30F27"/>
    <w:rsid w:val="00C32C3D"/>
    <w:rsid w:val="00C40513"/>
    <w:rsid w:val="00C42B61"/>
    <w:rsid w:val="00C5003F"/>
    <w:rsid w:val="00C54A74"/>
    <w:rsid w:val="00C618A7"/>
    <w:rsid w:val="00C64AE3"/>
    <w:rsid w:val="00C66C79"/>
    <w:rsid w:val="00C67395"/>
    <w:rsid w:val="00C71D27"/>
    <w:rsid w:val="00C76A8A"/>
    <w:rsid w:val="00C8695C"/>
    <w:rsid w:val="00C90596"/>
    <w:rsid w:val="00C93679"/>
    <w:rsid w:val="00C94C84"/>
    <w:rsid w:val="00CA1B14"/>
    <w:rsid w:val="00CA41B9"/>
    <w:rsid w:val="00CA7965"/>
    <w:rsid w:val="00CB07F7"/>
    <w:rsid w:val="00CB55C0"/>
    <w:rsid w:val="00CC7674"/>
    <w:rsid w:val="00CD5864"/>
    <w:rsid w:val="00CD59CF"/>
    <w:rsid w:val="00CD6D1C"/>
    <w:rsid w:val="00CE44F1"/>
    <w:rsid w:val="00CF4A97"/>
    <w:rsid w:val="00CF61E6"/>
    <w:rsid w:val="00CF6A94"/>
    <w:rsid w:val="00D028A7"/>
    <w:rsid w:val="00D06C88"/>
    <w:rsid w:val="00D07DE6"/>
    <w:rsid w:val="00D22E97"/>
    <w:rsid w:val="00D34865"/>
    <w:rsid w:val="00D4005C"/>
    <w:rsid w:val="00D47E4A"/>
    <w:rsid w:val="00D51538"/>
    <w:rsid w:val="00D52C6F"/>
    <w:rsid w:val="00D53771"/>
    <w:rsid w:val="00D57626"/>
    <w:rsid w:val="00D57846"/>
    <w:rsid w:val="00D700C0"/>
    <w:rsid w:val="00D73204"/>
    <w:rsid w:val="00D8147F"/>
    <w:rsid w:val="00D81DC2"/>
    <w:rsid w:val="00D86441"/>
    <w:rsid w:val="00D87304"/>
    <w:rsid w:val="00D87325"/>
    <w:rsid w:val="00D90433"/>
    <w:rsid w:val="00D90CB7"/>
    <w:rsid w:val="00D92757"/>
    <w:rsid w:val="00D94F49"/>
    <w:rsid w:val="00DA0331"/>
    <w:rsid w:val="00DA14C2"/>
    <w:rsid w:val="00DA2623"/>
    <w:rsid w:val="00DA46B2"/>
    <w:rsid w:val="00DA497B"/>
    <w:rsid w:val="00DA4FBA"/>
    <w:rsid w:val="00DA6C75"/>
    <w:rsid w:val="00DB38DD"/>
    <w:rsid w:val="00DB4598"/>
    <w:rsid w:val="00DC5D99"/>
    <w:rsid w:val="00DE0CB5"/>
    <w:rsid w:val="00DE140A"/>
    <w:rsid w:val="00DE5914"/>
    <w:rsid w:val="00DF4CD8"/>
    <w:rsid w:val="00E0720E"/>
    <w:rsid w:val="00E07998"/>
    <w:rsid w:val="00E07ECB"/>
    <w:rsid w:val="00E208CB"/>
    <w:rsid w:val="00E23CD0"/>
    <w:rsid w:val="00E25677"/>
    <w:rsid w:val="00E35542"/>
    <w:rsid w:val="00E47798"/>
    <w:rsid w:val="00E52B6E"/>
    <w:rsid w:val="00E53D52"/>
    <w:rsid w:val="00E550B2"/>
    <w:rsid w:val="00E579F8"/>
    <w:rsid w:val="00E63BFF"/>
    <w:rsid w:val="00E63CB6"/>
    <w:rsid w:val="00E655D9"/>
    <w:rsid w:val="00E7010F"/>
    <w:rsid w:val="00E70186"/>
    <w:rsid w:val="00E70B9C"/>
    <w:rsid w:val="00E71F88"/>
    <w:rsid w:val="00E72D55"/>
    <w:rsid w:val="00E77A65"/>
    <w:rsid w:val="00E822C9"/>
    <w:rsid w:val="00E85A2C"/>
    <w:rsid w:val="00E87CAA"/>
    <w:rsid w:val="00E92FB0"/>
    <w:rsid w:val="00E94A83"/>
    <w:rsid w:val="00E953EF"/>
    <w:rsid w:val="00E966A2"/>
    <w:rsid w:val="00EA00DF"/>
    <w:rsid w:val="00EA0C8A"/>
    <w:rsid w:val="00EA1662"/>
    <w:rsid w:val="00EA17D0"/>
    <w:rsid w:val="00EA62A3"/>
    <w:rsid w:val="00EB07D0"/>
    <w:rsid w:val="00EB3C54"/>
    <w:rsid w:val="00EB59F6"/>
    <w:rsid w:val="00EB6314"/>
    <w:rsid w:val="00EC388F"/>
    <w:rsid w:val="00EC4B1B"/>
    <w:rsid w:val="00EC5DE7"/>
    <w:rsid w:val="00EC707E"/>
    <w:rsid w:val="00EE095C"/>
    <w:rsid w:val="00EE18B9"/>
    <w:rsid w:val="00EE1A46"/>
    <w:rsid w:val="00EE22B7"/>
    <w:rsid w:val="00EE6CA5"/>
    <w:rsid w:val="00EF0B59"/>
    <w:rsid w:val="00EF4A53"/>
    <w:rsid w:val="00EF4D13"/>
    <w:rsid w:val="00EF6176"/>
    <w:rsid w:val="00F03A5F"/>
    <w:rsid w:val="00F04250"/>
    <w:rsid w:val="00F21212"/>
    <w:rsid w:val="00F215FD"/>
    <w:rsid w:val="00F26E41"/>
    <w:rsid w:val="00F32081"/>
    <w:rsid w:val="00F32826"/>
    <w:rsid w:val="00F35537"/>
    <w:rsid w:val="00F40566"/>
    <w:rsid w:val="00F4243C"/>
    <w:rsid w:val="00F452BC"/>
    <w:rsid w:val="00F45E4E"/>
    <w:rsid w:val="00F45FF9"/>
    <w:rsid w:val="00F55ABD"/>
    <w:rsid w:val="00F63775"/>
    <w:rsid w:val="00F66F1B"/>
    <w:rsid w:val="00F7041E"/>
    <w:rsid w:val="00F731A1"/>
    <w:rsid w:val="00F7652E"/>
    <w:rsid w:val="00F8102F"/>
    <w:rsid w:val="00F8758D"/>
    <w:rsid w:val="00F90D79"/>
    <w:rsid w:val="00F96D05"/>
    <w:rsid w:val="00FB1BDC"/>
    <w:rsid w:val="00FB2EB3"/>
    <w:rsid w:val="00FB2F92"/>
    <w:rsid w:val="00FB3EB9"/>
    <w:rsid w:val="00FC24A6"/>
    <w:rsid w:val="00FC64C2"/>
    <w:rsid w:val="00FD1639"/>
    <w:rsid w:val="00FD4922"/>
    <w:rsid w:val="00FD7A96"/>
    <w:rsid w:val="00FF081D"/>
    <w:rsid w:val="00FF62DD"/>
    <w:rsid w:val="01571C19"/>
    <w:rsid w:val="01DD02F8"/>
    <w:rsid w:val="01FB4441"/>
    <w:rsid w:val="02C00D89"/>
    <w:rsid w:val="032E146E"/>
    <w:rsid w:val="04067CAB"/>
    <w:rsid w:val="04B30BAC"/>
    <w:rsid w:val="04FE4635"/>
    <w:rsid w:val="054A2EB1"/>
    <w:rsid w:val="054F5478"/>
    <w:rsid w:val="06C53F4A"/>
    <w:rsid w:val="07E16F84"/>
    <w:rsid w:val="07FC084E"/>
    <w:rsid w:val="08297F12"/>
    <w:rsid w:val="08A42676"/>
    <w:rsid w:val="09125855"/>
    <w:rsid w:val="092474D9"/>
    <w:rsid w:val="09255C7B"/>
    <w:rsid w:val="09B739C8"/>
    <w:rsid w:val="09CD79CA"/>
    <w:rsid w:val="0A917E87"/>
    <w:rsid w:val="0B3474EC"/>
    <w:rsid w:val="0B6C6879"/>
    <w:rsid w:val="0BE86A11"/>
    <w:rsid w:val="0CC753AD"/>
    <w:rsid w:val="0CEA1CD3"/>
    <w:rsid w:val="0D4B4153"/>
    <w:rsid w:val="0E5422C5"/>
    <w:rsid w:val="0EE51E8E"/>
    <w:rsid w:val="0F26459D"/>
    <w:rsid w:val="0F6279EA"/>
    <w:rsid w:val="102C69C1"/>
    <w:rsid w:val="10D37443"/>
    <w:rsid w:val="12A609BC"/>
    <w:rsid w:val="12C169B6"/>
    <w:rsid w:val="13484A63"/>
    <w:rsid w:val="14055D25"/>
    <w:rsid w:val="14135C2F"/>
    <w:rsid w:val="143F4500"/>
    <w:rsid w:val="144828E2"/>
    <w:rsid w:val="157A2645"/>
    <w:rsid w:val="16224D2E"/>
    <w:rsid w:val="164F284E"/>
    <w:rsid w:val="16906A07"/>
    <w:rsid w:val="1695097B"/>
    <w:rsid w:val="16B219E3"/>
    <w:rsid w:val="177F1A95"/>
    <w:rsid w:val="17C33434"/>
    <w:rsid w:val="181A58E4"/>
    <w:rsid w:val="193A4231"/>
    <w:rsid w:val="1A153EDB"/>
    <w:rsid w:val="1B302926"/>
    <w:rsid w:val="1B3E78A2"/>
    <w:rsid w:val="1B4853F6"/>
    <w:rsid w:val="1B880731"/>
    <w:rsid w:val="1C791714"/>
    <w:rsid w:val="1CE913FB"/>
    <w:rsid w:val="1DB738CB"/>
    <w:rsid w:val="1DC10C76"/>
    <w:rsid w:val="1DCE1436"/>
    <w:rsid w:val="1DDB0720"/>
    <w:rsid w:val="1E0413DE"/>
    <w:rsid w:val="1E0D1B58"/>
    <w:rsid w:val="1E214979"/>
    <w:rsid w:val="1E515A91"/>
    <w:rsid w:val="1EFB7B61"/>
    <w:rsid w:val="1FD92626"/>
    <w:rsid w:val="20106A1E"/>
    <w:rsid w:val="20B553E7"/>
    <w:rsid w:val="20C32C6C"/>
    <w:rsid w:val="21251E7E"/>
    <w:rsid w:val="21EA1FC6"/>
    <w:rsid w:val="228A4448"/>
    <w:rsid w:val="229819FB"/>
    <w:rsid w:val="236864F9"/>
    <w:rsid w:val="23B4178E"/>
    <w:rsid w:val="246F1F97"/>
    <w:rsid w:val="24D91DFA"/>
    <w:rsid w:val="25254BBC"/>
    <w:rsid w:val="25D61950"/>
    <w:rsid w:val="25EA6B87"/>
    <w:rsid w:val="26E11C4E"/>
    <w:rsid w:val="274C4ED5"/>
    <w:rsid w:val="28A92B9A"/>
    <w:rsid w:val="297D0809"/>
    <w:rsid w:val="29CA684D"/>
    <w:rsid w:val="29E20D64"/>
    <w:rsid w:val="29FD36F6"/>
    <w:rsid w:val="2A3F6A15"/>
    <w:rsid w:val="2A7B63C8"/>
    <w:rsid w:val="2C533D22"/>
    <w:rsid w:val="2C745A95"/>
    <w:rsid w:val="2CB87035"/>
    <w:rsid w:val="2ECF72AB"/>
    <w:rsid w:val="2F1E539B"/>
    <w:rsid w:val="2F810F87"/>
    <w:rsid w:val="30D74591"/>
    <w:rsid w:val="3101477A"/>
    <w:rsid w:val="31080D70"/>
    <w:rsid w:val="31C529C2"/>
    <w:rsid w:val="32373A9C"/>
    <w:rsid w:val="334E4D88"/>
    <w:rsid w:val="33D11132"/>
    <w:rsid w:val="349F441B"/>
    <w:rsid w:val="34C4707B"/>
    <w:rsid w:val="34DA438E"/>
    <w:rsid w:val="34ED56F7"/>
    <w:rsid w:val="35C42702"/>
    <w:rsid w:val="36210EE0"/>
    <w:rsid w:val="3636672C"/>
    <w:rsid w:val="368C1BA2"/>
    <w:rsid w:val="37214145"/>
    <w:rsid w:val="37487B02"/>
    <w:rsid w:val="37A22AC5"/>
    <w:rsid w:val="37E86D32"/>
    <w:rsid w:val="397D0DF5"/>
    <w:rsid w:val="3ABC012E"/>
    <w:rsid w:val="3ADE201C"/>
    <w:rsid w:val="3BB171FF"/>
    <w:rsid w:val="3BDA4CA0"/>
    <w:rsid w:val="3C095D0B"/>
    <w:rsid w:val="3C455882"/>
    <w:rsid w:val="3C5C41FC"/>
    <w:rsid w:val="3C734EDB"/>
    <w:rsid w:val="3CBA5876"/>
    <w:rsid w:val="3CDC2FFC"/>
    <w:rsid w:val="3D016681"/>
    <w:rsid w:val="3DFF0D3A"/>
    <w:rsid w:val="3E1F1854"/>
    <w:rsid w:val="3F941602"/>
    <w:rsid w:val="400207AB"/>
    <w:rsid w:val="42236C6F"/>
    <w:rsid w:val="42336FB1"/>
    <w:rsid w:val="4242716D"/>
    <w:rsid w:val="425A531A"/>
    <w:rsid w:val="43456A17"/>
    <w:rsid w:val="43706806"/>
    <w:rsid w:val="44111CC1"/>
    <w:rsid w:val="442152BE"/>
    <w:rsid w:val="44C810BB"/>
    <w:rsid w:val="451271B1"/>
    <w:rsid w:val="456C6307"/>
    <w:rsid w:val="46264282"/>
    <w:rsid w:val="465F6F46"/>
    <w:rsid w:val="46690790"/>
    <w:rsid w:val="467B5E5E"/>
    <w:rsid w:val="471C6B5A"/>
    <w:rsid w:val="48612585"/>
    <w:rsid w:val="4A022833"/>
    <w:rsid w:val="4B1038E3"/>
    <w:rsid w:val="4B823000"/>
    <w:rsid w:val="4C174D62"/>
    <w:rsid w:val="4CC1007E"/>
    <w:rsid w:val="4D805A83"/>
    <w:rsid w:val="4E3B4D11"/>
    <w:rsid w:val="4E3B7687"/>
    <w:rsid w:val="4F2A197E"/>
    <w:rsid w:val="4F55192D"/>
    <w:rsid w:val="4F9F244A"/>
    <w:rsid w:val="5030726A"/>
    <w:rsid w:val="511E4349"/>
    <w:rsid w:val="519D2D85"/>
    <w:rsid w:val="51F97799"/>
    <w:rsid w:val="522702FD"/>
    <w:rsid w:val="539179C0"/>
    <w:rsid w:val="53D07836"/>
    <w:rsid w:val="548A3F96"/>
    <w:rsid w:val="54EA45F1"/>
    <w:rsid w:val="55067841"/>
    <w:rsid w:val="553B271B"/>
    <w:rsid w:val="56717DB5"/>
    <w:rsid w:val="56A943C9"/>
    <w:rsid w:val="56FB5F48"/>
    <w:rsid w:val="57033418"/>
    <w:rsid w:val="57212552"/>
    <w:rsid w:val="578C6842"/>
    <w:rsid w:val="57E97C3E"/>
    <w:rsid w:val="57F27C03"/>
    <w:rsid w:val="58266107"/>
    <w:rsid w:val="58714E89"/>
    <w:rsid w:val="588C3AFF"/>
    <w:rsid w:val="58BA7E25"/>
    <w:rsid w:val="58BB34DD"/>
    <w:rsid w:val="590B5135"/>
    <w:rsid w:val="59130070"/>
    <w:rsid w:val="5A5C2B7D"/>
    <w:rsid w:val="5A661D85"/>
    <w:rsid w:val="5B05171D"/>
    <w:rsid w:val="5B1C0EB8"/>
    <w:rsid w:val="5B207FB1"/>
    <w:rsid w:val="5B9A1676"/>
    <w:rsid w:val="5BBA6A32"/>
    <w:rsid w:val="5EE95B4C"/>
    <w:rsid w:val="5F3F2869"/>
    <w:rsid w:val="5F4905E3"/>
    <w:rsid w:val="5F53393E"/>
    <w:rsid w:val="5FF20D4F"/>
    <w:rsid w:val="61036176"/>
    <w:rsid w:val="62104FC3"/>
    <w:rsid w:val="62145515"/>
    <w:rsid w:val="621E21F3"/>
    <w:rsid w:val="6254090C"/>
    <w:rsid w:val="63D748C4"/>
    <w:rsid w:val="645D1DB0"/>
    <w:rsid w:val="646B3F37"/>
    <w:rsid w:val="653C484A"/>
    <w:rsid w:val="65437894"/>
    <w:rsid w:val="66034C4B"/>
    <w:rsid w:val="66C222B5"/>
    <w:rsid w:val="66CF55D7"/>
    <w:rsid w:val="677C0558"/>
    <w:rsid w:val="67876955"/>
    <w:rsid w:val="6A5947F5"/>
    <w:rsid w:val="6ADE3145"/>
    <w:rsid w:val="6CA8034F"/>
    <w:rsid w:val="6DED5BAD"/>
    <w:rsid w:val="6E4729CA"/>
    <w:rsid w:val="6EE552F8"/>
    <w:rsid w:val="6F141D10"/>
    <w:rsid w:val="6F31258F"/>
    <w:rsid w:val="6FFA08FB"/>
    <w:rsid w:val="716A6A5D"/>
    <w:rsid w:val="71F14BCE"/>
    <w:rsid w:val="72762B6F"/>
    <w:rsid w:val="72D5541F"/>
    <w:rsid w:val="73477666"/>
    <w:rsid w:val="737060D3"/>
    <w:rsid w:val="7399049F"/>
    <w:rsid w:val="73D34E99"/>
    <w:rsid w:val="7457258E"/>
    <w:rsid w:val="746E28AB"/>
    <w:rsid w:val="75E90354"/>
    <w:rsid w:val="75FA0E8F"/>
    <w:rsid w:val="765A24D8"/>
    <w:rsid w:val="769058F5"/>
    <w:rsid w:val="77260CB9"/>
    <w:rsid w:val="784D453E"/>
    <w:rsid w:val="78BD67B0"/>
    <w:rsid w:val="79076500"/>
    <w:rsid w:val="79232C52"/>
    <w:rsid w:val="79292FCB"/>
    <w:rsid w:val="793951C3"/>
    <w:rsid w:val="796C424C"/>
    <w:rsid w:val="796C7925"/>
    <w:rsid w:val="7AA97323"/>
    <w:rsid w:val="7ABD6A17"/>
    <w:rsid w:val="7B662F71"/>
    <w:rsid w:val="7B692C60"/>
    <w:rsid w:val="7BE75977"/>
    <w:rsid w:val="7C223E97"/>
    <w:rsid w:val="7C443441"/>
    <w:rsid w:val="7C7D63EF"/>
    <w:rsid w:val="7D831A2B"/>
    <w:rsid w:val="7D9A41D4"/>
    <w:rsid w:val="7DD83F1C"/>
    <w:rsid w:val="7EC7030B"/>
    <w:rsid w:val="7F25167E"/>
    <w:rsid w:val="7F554A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qFormat="1" w:uiPriority="99" w:semiHidden="0"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53"/>
    <w:qFormat/>
    <w:uiPriority w:val="0"/>
    <w:pPr>
      <w:keepNext/>
      <w:keepLines/>
      <w:numPr>
        <w:ilvl w:val="0"/>
        <w:numId w:val="1"/>
      </w:numPr>
      <w:spacing w:beforeLines="50" w:afterLines="50"/>
      <w:contextualSpacing/>
      <w:jc w:val="left"/>
      <w:textAlignment w:val="top"/>
      <w:outlineLvl w:val="2"/>
    </w:pPr>
    <w:rPr>
      <w:rFonts w:ascii="宋体" w:hAnsi="宋体"/>
      <w:bCs/>
      <w:sz w:val="28"/>
      <w:szCs w:val="21"/>
    </w:rPr>
  </w:style>
  <w:style w:type="paragraph" w:styleId="5">
    <w:name w:val="heading 5"/>
    <w:basedOn w:val="1"/>
    <w:next w:val="1"/>
    <w:link w:val="63"/>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caption"/>
    <w:basedOn w:val="1"/>
    <w:next w:val="1"/>
    <w:unhideWhenUsed/>
    <w:qFormat/>
    <w:uiPriority w:val="0"/>
    <w:rPr>
      <w:rFonts w:ascii="Cambria" w:hAnsi="Cambria" w:eastAsia="黑体" w:cs="黑体"/>
      <w:sz w:val="20"/>
      <w:szCs w:val="20"/>
    </w:rPr>
  </w:style>
  <w:style w:type="paragraph" w:styleId="7">
    <w:name w:val="annotation text"/>
    <w:basedOn w:val="1"/>
    <w:link w:val="36"/>
    <w:unhideWhenUsed/>
    <w:qFormat/>
    <w:uiPriority w:val="0"/>
    <w:pPr>
      <w:jc w:val="left"/>
    </w:pPr>
  </w:style>
  <w:style w:type="paragraph" w:styleId="8">
    <w:name w:val="Body Text"/>
    <w:basedOn w:val="1"/>
    <w:qFormat/>
    <w:uiPriority w:val="99"/>
    <w:rPr>
      <w:sz w:val="18"/>
      <w:szCs w:val="18"/>
    </w:rPr>
  </w:style>
  <w:style w:type="paragraph" w:styleId="9">
    <w:name w:val="toc 3"/>
    <w:basedOn w:val="1"/>
    <w:next w:val="1"/>
    <w:qFormat/>
    <w:uiPriority w:val="39"/>
    <w:pPr>
      <w:ind w:left="840" w:leftChars="400"/>
    </w:pPr>
  </w:style>
  <w:style w:type="paragraph" w:styleId="10">
    <w:name w:val="Plain Text"/>
    <w:basedOn w:val="1"/>
    <w:link w:val="47"/>
    <w:qFormat/>
    <w:uiPriority w:val="0"/>
    <w:pPr>
      <w:adjustRightInd w:val="0"/>
      <w:spacing w:line="360" w:lineRule="atLeast"/>
      <w:textAlignment w:val="baseline"/>
    </w:pPr>
    <w:rPr>
      <w:rFonts w:ascii="宋体" w:hAnsi="Courier New" w:cs="黑体"/>
      <w:szCs w:val="22"/>
    </w:rPr>
  </w:style>
  <w:style w:type="paragraph" w:styleId="11">
    <w:name w:val="Date"/>
    <w:basedOn w:val="1"/>
    <w:next w:val="1"/>
    <w:link w:val="58"/>
    <w:unhideWhenUsed/>
    <w:qFormat/>
    <w:uiPriority w:val="99"/>
    <w:pPr>
      <w:ind w:left="100" w:leftChars="2500"/>
    </w:pPr>
  </w:style>
  <w:style w:type="paragraph" w:styleId="12">
    <w:name w:val="Balloon Text"/>
    <w:basedOn w:val="1"/>
    <w:link w:val="46"/>
    <w:unhideWhenUsed/>
    <w:qFormat/>
    <w:uiPriority w:val="99"/>
    <w:rPr>
      <w:sz w:val="18"/>
      <w:szCs w:val="18"/>
    </w:rPr>
  </w:style>
  <w:style w:type="paragraph" w:styleId="13">
    <w:name w:val="footer"/>
    <w:basedOn w:val="1"/>
    <w:link w:val="56"/>
    <w:unhideWhenUsed/>
    <w:qFormat/>
    <w:uiPriority w:val="99"/>
    <w:pPr>
      <w:tabs>
        <w:tab w:val="center" w:pos="4153"/>
        <w:tab w:val="right" w:pos="8306"/>
      </w:tabs>
      <w:snapToGrid w:val="0"/>
      <w:ind w:left="420"/>
      <w:jc w:val="center"/>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link w:val="57"/>
    <w:unhideWhenUsed/>
    <w:qFormat/>
    <w:uiPriority w:val="99"/>
    <w:pPr>
      <w:snapToGrid w:val="0"/>
      <w:jc w:val="left"/>
    </w:pPr>
    <w:rPr>
      <w:sz w:val="18"/>
      <w:szCs w:val="18"/>
    </w:rPr>
  </w:style>
  <w:style w:type="paragraph" w:styleId="17">
    <w:name w:val="toc 2"/>
    <w:basedOn w:val="1"/>
    <w:next w:val="1"/>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52"/>
    <w:qFormat/>
    <w:uiPriority w:val="0"/>
    <w:pPr>
      <w:spacing w:line="240" w:lineRule="auto"/>
    </w:pPr>
    <w:rPr>
      <w:rFonts w:ascii="仿宋_GB2312" w:hAnsi="Calibri" w:eastAsia="仿宋_GB2312"/>
      <w:kern w:val="0"/>
      <w:sz w:val="28"/>
      <w:szCs w:val="28"/>
    </w:rPr>
  </w:style>
  <w:style w:type="paragraph" w:styleId="20">
    <w:name w:val="annotation subject"/>
    <w:basedOn w:val="7"/>
    <w:next w:val="7"/>
    <w:link w:val="35"/>
    <w:unhideWhenUsed/>
    <w:qFormat/>
    <w:uiPriority w:val="99"/>
    <w:rPr>
      <w:b/>
      <w:bCs/>
    </w:rPr>
  </w:style>
  <w:style w:type="paragraph" w:styleId="21">
    <w:name w:val="Body Text First Indent 2"/>
    <w:basedOn w:val="1"/>
    <w:qFormat/>
    <w:uiPriority w:val="0"/>
    <w:pPr>
      <w:spacing w:after="120"/>
      <w:ind w:left="420" w:leftChars="200" w:firstLine="420"/>
    </w:pPr>
  </w:style>
  <w:style w:type="table" w:styleId="23">
    <w:name w:val="Table Grid"/>
    <w:basedOn w:val="22"/>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5">
    <w:name w:val="Strong"/>
    <w:basedOn w:val="24"/>
    <w:qFormat/>
    <w:uiPriority w:val="22"/>
    <w:rPr>
      <w:b/>
    </w:rPr>
  </w:style>
  <w:style w:type="character" w:styleId="26">
    <w:name w:val="page number"/>
    <w:basedOn w:val="24"/>
    <w:unhideWhenUsed/>
    <w:qFormat/>
    <w:uiPriority w:val="99"/>
  </w:style>
  <w:style w:type="character" w:styleId="27">
    <w:name w:val="FollowedHyperlink"/>
    <w:basedOn w:val="24"/>
    <w:unhideWhenUsed/>
    <w:qFormat/>
    <w:uiPriority w:val="99"/>
    <w:rPr>
      <w:color w:val="800080"/>
      <w:u w:val="single"/>
    </w:rPr>
  </w:style>
  <w:style w:type="character" w:styleId="28">
    <w:name w:val="Emphasis"/>
    <w:basedOn w:val="24"/>
    <w:qFormat/>
    <w:uiPriority w:val="0"/>
    <w:rPr>
      <w:i/>
      <w:iCs/>
    </w:rPr>
  </w:style>
  <w:style w:type="character" w:styleId="29">
    <w:name w:val="line number"/>
    <w:basedOn w:val="24"/>
    <w:unhideWhenUsed/>
    <w:qFormat/>
    <w:uiPriority w:val="99"/>
  </w:style>
  <w:style w:type="character" w:styleId="30">
    <w:name w:val="Hyperlink"/>
    <w:basedOn w:val="24"/>
    <w:qFormat/>
    <w:uiPriority w:val="99"/>
    <w:rPr>
      <w:color w:val="0000FF"/>
      <w:u w:val="single"/>
    </w:rPr>
  </w:style>
  <w:style w:type="character" w:styleId="31">
    <w:name w:val="annotation reference"/>
    <w:basedOn w:val="24"/>
    <w:unhideWhenUsed/>
    <w:qFormat/>
    <w:uiPriority w:val="0"/>
    <w:rPr>
      <w:sz w:val="21"/>
      <w:szCs w:val="21"/>
    </w:rPr>
  </w:style>
  <w:style w:type="character" w:styleId="32">
    <w:name w:val="footnote reference"/>
    <w:basedOn w:val="24"/>
    <w:unhideWhenUsed/>
    <w:qFormat/>
    <w:uiPriority w:val="99"/>
    <w:rPr>
      <w:vertAlign w:val="superscript"/>
    </w:rPr>
  </w:style>
  <w:style w:type="paragraph" w:customStyle="1" w:styleId="33">
    <w:name w:val="正文2"/>
    <w:basedOn w:val="1"/>
    <w:qFormat/>
    <w:uiPriority w:val="0"/>
    <w:pPr>
      <w:ind w:firstLine="200" w:firstLineChars="200"/>
    </w:pPr>
    <w:rPr>
      <w:sz w:val="20"/>
      <w:szCs w:val="20"/>
    </w:rPr>
  </w:style>
  <w:style w:type="paragraph" w:customStyle="1" w:styleId="34">
    <w:name w:val="列出段落1"/>
    <w:basedOn w:val="1"/>
    <w:qFormat/>
    <w:uiPriority w:val="34"/>
    <w:pPr>
      <w:ind w:firstLine="420" w:firstLineChars="200"/>
    </w:pPr>
    <w:rPr>
      <w:rFonts w:ascii="仿宋_GB2312" w:hAnsi="Calibri" w:eastAsia="仿宋_GB2312"/>
      <w:sz w:val="28"/>
      <w:szCs w:val="22"/>
    </w:rPr>
  </w:style>
  <w:style w:type="character" w:customStyle="1" w:styleId="35">
    <w:name w:val="批注主题 字符"/>
    <w:basedOn w:val="36"/>
    <w:link w:val="20"/>
    <w:semiHidden/>
    <w:qFormat/>
    <w:uiPriority w:val="99"/>
    <w:rPr>
      <w:rFonts w:ascii="Times New Roman" w:hAnsi="Times New Roman" w:eastAsia="宋体" w:cs="Times New Roman"/>
      <w:b/>
      <w:bCs/>
      <w:szCs w:val="24"/>
    </w:rPr>
  </w:style>
  <w:style w:type="character" w:customStyle="1" w:styleId="36">
    <w:name w:val="批注文字 字符"/>
    <w:basedOn w:val="24"/>
    <w:link w:val="7"/>
    <w:qFormat/>
    <w:uiPriority w:val="0"/>
    <w:rPr>
      <w:rFonts w:ascii="Times New Roman" w:hAnsi="Times New Roman" w:eastAsia="宋体" w:cs="Times New Roman"/>
      <w:szCs w:val="24"/>
    </w:rPr>
  </w:style>
  <w:style w:type="character" w:customStyle="1" w:styleId="37">
    <w:name w:val="font21"/>
    <w:basedOn w:val="24"/>
    <w:qFormat/>
    <w:uiPriority w:val="0"/>
    <w:rPr>
      <w:rFonts w:hint="eastAsia" w:ascii="宋体" w:hAnsi="宋体" w:eastAsia="宋体" w:cs="宋体"/>
      <w:color w:val="000000"/>
      <w:sz w:val="24"/>
      <w:szCs w:val="24"/>
      <w:u w:val="none"/>
    </w:rPr>
  </w:style>
  <w:style w:type="character" w:customStyle="1" w:styleId="38">
    <w:name w:val="font01"/>
    <w:basedOn w:val="24"/>
    <w:qFormat/>
    <w:uiPriority w:val="0"/>
    <w:rPr>
      <w:rFonts w:hint="default" w:ascii="Times New Roman" w:hAnsi="Times New Roman" w:cs="Times New Roman"/>
      <w:color w:val="FF0000"/>
      <w:sz w:val="21"/>
      <w:szCs w:val="21"/>
      <w:u w:val="none"/>
    </w:rPr>
  </w:style>
  <w:style w:type="character" w:customStyle="1" w:styleId="39">
    <w:name w:val="页眉 字符"/>
    <w:basedOn w:val="24"/>
    <w:link w:val="14"/>
    <w:qFormat/>
    <w:uiPriority w:val="99"/>
    <w:rPr>
      <w:rFonts w:ascii="Times New Roman" w:hAnsi="Times New Roman" w:eastAsia="宋体" w:cs="Times New Roman"/>
      <w:sz w:val="18"/>
      <w:szCs w:val="18"/>
    </w:rPr>
  </w:style>
  <w:style w:type="paragraph" w:customStyle="1" w:styleId="40">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41">
    <w:name w:val="表2008"/>
    <w:basedOn w:val="1"/>
    <w:qFormat/>
    <w:uiPriority w:val="0"/>
    <w:pPr>
      <w:adjustRightInd w:val="0"/>
      <w:snapToGrid w:val="0"/>
      <w:spacing w:line="280" w:lineRule="exact"/>
      <w:jc w:val="center"/>
    </w:pPr>
    <w:rPr>
      <w:rFonts w:ascii="宋体" w:hAnsi="宋体"/>
      <w:b/>
      <w:bCs/>
      <w:szCs w:val="21"/>
    </w:rPr>
  </w:style>
  <w:style w:type="character" w:customStyle="1" w:styleId="42">
    <w:name w:val="列出段落 Char"/>
    <w:basedOn w:val="24"/>
    <w:link w:val="43"/>
    <w:qFormat/>
    <w:uiPriority w:val="1"/>
    <w:rPr>
      <w:rFonts w:ascii="Times New Roman" w:hAnsi="Times New Roman" w:cs="Times New Roman"/>
      <w:kern w:val="2"/>
      <w:sz w:val="21"/>
      <w:szCs w:val="24"/>
    </w:rPr>
  </w:style>
  <w:style w:type="paragraph" w:customStyle="1" w:styleId="43">
    <w:name w:val="列出段落2"/>
    <w:basedOn w:val="1"/>
    <w:link w:val="42"/>
    <w:unhideWhenUsed/>
    <w:qFormat/>
    <w:uiPriority w:val="1"/>
    <w:pPr>
      <w:spacing w:line="240" w:lineRule="auto"/>
      <w:ind w:firstLine="420" w:firstLineChars="200"/>
    </w:pPr>
  </w:style>
  <w:style w:type="character" w:customStyle="1" w:styleId="44">
    <w:name w:val="font91"/>
    <w:basedOn w:val="24"/>
    <w:qFormat/>
    <w:uiPriority w:val="0"/>
    <w:rPr>
      <w:rFonts w:hint="default" w:ascii="Times New Roman" w:hAnsi="Times New Roman" w:cs="Times New Roman"/>
      <w:color w:val="000000"/>
      <w:sz w:val="21"/>
      <w:szCs w:val="21"/>
      <w:u w:val="none"/>
    </w:rPr>
  </w:style>
  <w:style w:type="paragraph" w:customStyle="1" w:styleId="45">
    <w:name w:val="样式 宋体 行距: 1.5 倍行距"/>
    <w:basedOn w:val="1"/>
    <w:qFormat/>
    <w:uiPriority w:val="0"/>
    <w:pPr>
      <w:spacing w:line="240" w:lineRule="auto"/>
      <w:jc w:val="center"/>
    </w:pPr>
    <w:rPr>
      <w:b/>
    </w:rPr>
  </w:style>
  <w:style w:type="character" w:customStyle="1" w:styleId="46">
    <w:name w:val="批注框文本 字符"/>
    <w:basedOn w:val="24"/>
    <w:link w:val="12"/>
    <w:semiHidden/>
    <w:qFormat/>
    <w:uiPriority w:val="99"/>
    <w:rPr>
      <w:rFonts w:ascii="Times New Roman" w:hAnsi="Times New Roman" w:eastAsia="宋体" w:cs="Times New Roman"/>
      <w:sz w:val="18"/>
      <w:szCs w:val="18"/>
    </w:rPr>
  </w:style>
  <w:style w:type="character" w:customStyle="1" w:styleId="47">
    <w:name w:val="纯文本 字符"/>
    <w:basedOn w:val="24"/>
    <w:link w:val="10"/>
    <w:semiHidden/>
    <w:qFormat/>
    <w:uiPriority w:val="99"/>
    <w:rPr>
      <w:rFonts w:ascii="宋体" w:hAnsi="Courier New" w:eastAsia="宋体" w:cs="Courier New"/>
      <w:szCs w:val="21"/>
    </w:rPr>
  </w:style>
  <w:style w:type="character" w:customStyle="1" w:styleId="48">
    <w:name w:val="标题 2 字符"/>
    <w:basedOn w:val="24"/>
    <w:link w:val="3"/>
    <w:qFormat/>
    <w:uiPriority w:val="9"/>
    <w:rPr>
      <w:rFonts w:ascii="Cambria" w:hAnsi="Cambria" w:eastAsia="宋体" w:cs="黑体"/>
      <w:b/>
      <w:bCs/>
      <w:sz w:val="32"/>
      <w:szCs w:val="32"/>
    </w:rPr>
  </w:style>
  <w:style w:type="character" w:customStyle="1" w:styleId="49">
    <w:name w:val="font61"/>
    <w:basedOn w:val="24"/>
    <w:qFormat/>
    <w:uiPriority w:val="0"/>
    <w:rPr>
      <w:rFonts w:hint="default" w:ascii="Times New Roman" w:hAnsi="Times New Roman" w:cs="Times New Roman"/>
      <w:color w:val="000000"/>
      <w:sz w:val="21"/>
      <w:szCs w:val="21"/>
      <w:u w:val="none"/>
    </w:rPr>
  </w:style>
  <w:style w:type="paragraph" w:customStyle="1" w:styleId="50">
    <w:name w:val="列出段落3"/>
    <w:basedOn w:val="1"/>
    <w:qFormat/>
    <w:uiPriority w:val="34"/>
    <w:pPr>
      <w:spacing w:line="240" w:lineRule="auto"/>
      <w:ind w:firstLine="420" w:firstLineChars="200"/>
    </w:pPr>
    <w:rPr>
      <w:sz w:val="28"/>
      <w:szCs w:val="20"/>
    </w:rPr>
  </w:style>
  <w:style w:type="paragraph" w:customStyle="1" w:styleId="51">
    <w:name w:val="Default"/>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character" w:customStyle="1" w:styleId="52">
    <w:name w:val="标题 字符"/>
    <w:basedOn w:val="24"/>
    <w:link w:val="19"/>
    <w:qFormat/>
    <w:uiPriority w:val="0"/>
    <w:rPr>
      <w:rFonts w:ascii="仿宋_GB2312" w:hAnsi="Calibri" w:eastAsia="仿宋_GB2312"/>
      <w:sz w:val="28"/>
      <w:szCs w:val="28"/>
    </w:rPr>
  </w:style>
  <w:style w:type="character" w:customStyle="1" w:styleId="53">
    <w:name w:val="标题 3 字符"/>
    <w:basedOn w:val="24"/>
    <w:link w:val="4"/>
    <w:qFormat/>
    <w:uiPriority w:val="0"/>
    <w:rPr>
      <w:rFonts w:ascii="宋体" w:hAnsi="宋体"/>
      <w:bCs/>
      <w:kern w:val="2"/>
      <w:sz w:val="28"/>
      <w:szCs w:val="21"/>
    </w:rPr>
  </w:style>
  <w:style w:type="paragraph" w:styleId="54">
    <w:name w:val="List Paragraph"/>
    <w:basedOn w:val="1"/>
    <w:qFormat/>
    <w:uiPriority w:val="99"/>
    <w:pPr>
      <w:ind w:firstLine="420" w:firstLineChars="200"/>
    </w:pPr>
  </w:style>
  <w:style w:type="character" w:customStyle="1" w:styleId="55">
    <w:name w:val="标题 1 字符"/>
    <w:basedOn w:val="24"/>
    <w:link w:val="2"/>
    <w:qFormat/>
    <w:uiPriority w:val="0"/>
    <w:rPr>
      <w:rFonts w:ascii="Times New Roman" w:hAnsi="Times New Roman" w:eastAsia="宋体" w:cs="Times New Roman"/>
      <w:b/>
      <w:bCs/>
      <w:kern w:val="44"/>
      <w:sz w:val="44"/>
      <w:szCs w:val="44"/>
    </w:rPr>
  </w:style>
  <w:style w:type="character" w:customStyle="1" w:styleId="56">
    <w:name w:val="页脚 字符"/>
    <w:basedOn w:val="24"/>
    <w:link w:val="13"/>
    <w:qFormat/>
    <w:uiPriority w:val="99"/>
    <w:rPr>
      <w:rFonts w:ascii="Times New Roman" w:hAnsi="Times New Roman" w:eastAsia="宋体" w:cs="Times New Roman"/>
      <w:sz w:val="18"/>
      <w:szCs w:val="18"/>
    </w:rPr>
  </w:style>
  <w:style w:type="character" w:customStyle="1" w:styleId="57">
    <w:name w:val="脚注文本 字符"/>
    <w:basedOn w:val="24"/>
    <w:link w:val="16"/>
    <w:semiHidden/>
    <w:qFormat/>
    <w:uiPriority w:val="99"/>
    <w:rPr>
      <w:rFonts w:ascii="Times New Roman" w:hAnsi="Times New Roman" w:eastAsia="宋体" w:cs="Times New Roman"/>
      <w:sz w:val="18"/>
      <w:szCs w:val="18"/>
    </w:rPr>
  </w:style>
  <w:style w:type="character" w:customStyle="1" w:styleId="58">
    <w:name w:val="日期 字符"/>
    <w:basedOn w:val="24"/>
    <w:link w:val="11"/>
    <w:semiHidden/>
    <w:qFormat/>
    <w:uiPriority w:val="99"/>
    <w:rPr>
      <w:rFonts w:ascii="Times New Roman" w:hAnsi="Times New Roman" w:eastAsia="宋体" w:cs="Times New Roman"/>
      <w:szCs w:val="24"/>
    </w:rPr>
  </w:style>
  <w:style w:type="paragraph" w:customStyle="1" w:styleId="59">
    <w:name w:val="正文1"/>
    <w:basedOn w:val="1"/>
    <w:qFormat/>
    <w:uiPriority w:val="0"/>
    <w:rPr>
      <w:sz w:val="28"/>
      <w:szCs w:val="28"/>
    </w:rPr>
  </w:style>
  <w:style w:type="character" w:customStyle="1" w:styleId="60">
    <w:name w:val="font81"/>
    <w:basedOn w:val="24"/>
    <w:qFormat/>
    <w:uiPriority w:val="0"/>
    <w:rPr>
      <w:rFonts w:hint="default" w:ascii="仿宋_GB2312" w:eastAsia="仿宋_GB2312" w:cs="仿宋_GB2312"/>
      <w:color w:val="000000"/>
      <w:sz w:val="21"/>
      <w:szCs w:val="21"/>
      <w:u w:val="none"/>
    </w:rPr>
  </w:style>
  <w:style w:type="character" w:customStyle="1" w:styleId="61">
    <w:name w:val="font11"/>
    <w:basedOn w:val="24"/>
    <w:qFormat/>
    <w:uiPriority w:val="0"/>
    <w:rPr>
      <w:rFonts w:hint="eastAsia" w:ascii="宋体" w:hAnsi="宋体" w:eastAsia="宋体" w:cs="宋体"/>
      <w:color w:val="000000"/>
      <w:sz w:val="22"/>
      <w:szCs w:val="22"/>
      <w:u w:val="none"/>
      <w:vertAlign w:val="superscript"/>
    </w:rPr>
  </w:style>
  <w:style w:type="paragraph" w:customStyle="1" w:styleId="62">
    <w:name w:val="正文内容"/>
    <w:basedOn w:val="1"/>
    <w:qFormat/>
    <w:uiPriority w:val="0"/>
    <w:pPr>
      <w:spacing w:beforeLines="50" w:afterLines="50"/>
      <w:ind w:firstLine="480" w:firstLineChars="200"/>
    </w:pPr>
    <w:rPr>
      <w:sz w:val="24"/>
      <w:szCs w:val="20"/>
    </w:rPr>
  </w:style>
  <w:style w:type="character" w:customStyle="1" w:styleId="63">
    <w:name w:val="标题 5 字符"/>
    <w:basedOn w:val="24"/>
    <w:link w:val="5"/>
    <w:qFormat/>
    <w:uiPriority w:val="0"/>
    <w:rPr>
      <w:rFonts w:ascii="Times New Roman" w:hAnsi="Times New Roman" w:eastAsia="宋体" w:cs="Times New Roman"/>
      <w:b/>
      <w:bCs/>
      <w:sz w:val="28"/>
      <w:szCs w:val="28"/>
    </w:rPr>
  </w:style>
  <w:style w:type="character" w:customStyle="1" w:styleId="64">
    <w:name w:val="font41"/>
    <w:basedOn w:val="24"/>
    <w:qFormat/>
    <w:uiPriority w:val="0"/>
    <w:rPr>
      <w:rFonts w:hint="eastAsia" w:ascii="宋体" w:hAnsi="宋体" w:eastAsia="宋体" w:cs="宋体"/>
      <w:color w:val="000000"/>
      <w:sz w:val="22"/>
      <w:szCs w:val="22"/>
      <w:u w:val="none"/>
    </w:rPr>
  </w:style>
  <w:style w:type="character" w:customStyle="1" w:styleId="65">
    <w:name w:val="font51"/>
    <w:basedOn w:val="24"/>
    <w:qFormat/>
    <w:uiPriority w:val="0"/>
    <w:rPr>
      <w:rFonts w:hint="default" w:ascii="Tahoma" w:hAnsi="Tahoma" w:eastAsia="Tahoma" w:cs="Tahoma"/>
      <w:color w:val="000000"/>
      <w:sz w:val="22"/>
      <w:szCs w:val="22"/>
      <w:u w:val="none"/>
    </w:rPr>
  </w:style>
  <w:style w:type="paragraph" w:customStyle="1" w:styleId="6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列表段落1"/>
    <w:basedOn w:val="1"/>
    <w:qFormat/>
    <w:uiPriority w:val="99"/>
    <w:pPr>
      <w:ind w:firstLine="420" w:firstLineChars="200"/>
    </w:pPr>
    <w:rPr>
      <w:rFonts w:ascii="仿宋_GB2312" w:hAnsi="Calibri" w:eastAsia="仿宋_GB2312"/>
      <w:sz w:val="28"/>
      <w:szCs w:val="22"/>
    </w:rPr>
  </w:style>
  <w:style w:type="character" w:customStyle="1" w:styleId="68">
    <w:name w:val="纯文本 Char1"/>
    <w:basedOn w:val="24"/>
    <w:qFormat/>
    <w:uiPriority w:val="0"/>
    <w:rPr>
      <w:rFonts w:ascii="宋体" w:hAnsi="Courier New"/>
    </w:rPr>
  </w:style>
  <w:style w:type="paragraph" w:customStyle="1" w:styleId="69">
    <w:name w:val="无间隔1"/>
    <w:qFormat/>
    <w:uiPriority w:val="99"/>
    <w:pPr>
      <w:widowControl w:val="0"/>
      <w:autoSpaceDE w:val="0"/>
      <w:autoSpaceDN w:val="0"/>
    </w:pPr>
    <w:rPr>
      <w:rFonts w:ascii="Noto Sans CJK JP Regular" w:hAnsi="Noto Sans CJK JP Regular" w:eastAsia="宋体" w:cs="Noto Sans CJK JP Regular"/>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13747</Words>
  <Characters>14773</Characters>
  <Lines>1</Lines>
  <Paragraphs>1</Paragraphs>
  <TotalTime>3</TotalTime>
  <ScaleCrop>false</ScaleCrop>
  <LinksUpToDate>false</LinksUpToDate>
  <CharactersWithSpaces>14967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2025-01-22T22:03:00Z</dcterms:created>
  <dc:creator>lee</dc:creator>
  <cp:lastModifiedBy>NTKO</cp:lastModifiedBy>
  <dcterms:modified xsi:type="dcterms:W3CDTF">2025-09-30T02:13:39Z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30EF1B275ED6441B8B1339DE107A6743_13</vt:lpwstr>
  </property>
  <property fmtid="{D5CDD505-2E9C-101B-9397-08002B2CF9AE}" pid="4" name="KSOTemplateDocerSaveRecord">
    <vt:lpwstr>eyJoZGlkIjoiMDJmZDg4NzIzNTAyMjFkOGEyMjA2YTMwMDE0OGVmZjAiLCJ1c2VySWQiOiI1MDk3ODM1OTQifQ==</vt:lpwstr>
  </property>
</Properties>
</file>