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ECB289">
      <w:pPr>
        <w:pStyle w:val="8"/>
        <w:ind w:firstLine="0"/>
        <w:jc w:val="center"/>
        <w:rPr>
          <w:rFonts w:hint="eastAsia" w:ascii="宋体" w:hAnsi="宋体" w:cs="宋体"/>
          <w:b/>
          <w:sz w:val="52"/>
          <w:szCs w:val="52"/>
        </w:rPr>
      </w:pPr>
    </w:p>
    <w:p w14:paraId="5689E638">
      <w:pPr>
        <w:pStyle w:val="6"/>
        <w:wordWrap w:val="0"/>
        <w:spacing w:after="0" w:line="360" w:lineRule="auto"/>
        <w:jc w:val="center"/>
        <w:rPr>
          <w:rFonts w:hint="eastAsia" w:ascii="宋体" w:hAnsi="宋体" w:cs="宋体"/>
          <w:b/>
          <w:bCs/>
          <w:spacing w:val="26"/>
          <w:sz w:val="48"/>
          <w:szCs w:val="48"/>
        </w:rPr>
      </w:pPr>
      <w:bookmarkStart w:id="0" w:name="OLE_LINK3"/>
      <w:r>
        <w:rPr>
          <w:rFonts w:hint="eastAsia" w:ascii="宋体" w:hAnsi="宋体" w:cs="宋体"/>
          <w:b/>
          <w:bCs/>
          <w:spacing w:val="26"/>
          <w:sz w:val="48"/>
          <w:szCs w:val="48"/>
        </w:rPr>
        <w:t>广州广汽荻原模具冲压有限公司数字化新工厂建设项目-厂区配套工程</w:t>
      </w:r>
    </w:p>
    <w:p w14:paraId="0351DD62">
      <w:pPr>
        <w:pStyle w:val="6"/>
        <w:wordWrap w:val="0"/>
        <w:spacing w:after="0" w:line="360" w:lineRule="auto"/>
        <w:jc w:val="center"/>
        <w:rPr>
          <w:sz w:val="48"/>
          <w:szCs w:val="48"/>
        </w:rPr>
      </w:pPr>
      <w:r>
        <w:rPr>
          <w:rFonts w:hint="eastAsia" w:ascii="宋体" w:hAnsi="宋体" w:cs="宋体"/>
          <w:b/>
          <w:bCs/>
          <w:spacing w:val="26"/>
          <w:sz w:val="48"/>
          <w:szCs w:val="48"/>
        </w:rPr>
        <w:t>施工总承包</w:t>
      </w:r>
    </w:p>
    <w:bookmarkEnd w:id="0"/>
    <w:p w14:paraId="76A6AB1A"/>
    <w:p w14:paraId="72FEEE9E">
      <w:pPr>
        <w:pStyle w:val="2"/>
      </w:pPr>
    </w:p>
    <w:p w14:paraId="39152301">
      <w:pPr>
        <w:pStyle w:val="8"/>
      </w:pPr>
    </w:p>
    <w:p w14:paraId="7AEC9DB9"/>
    <w:p w14:paraId="626BC388">
      <w:pPr>
        <w:pStyle w:val="8"/>
      </w:pPr>
    </w:p>
    <w:p w14:paraId="5B392606"/>
    <w:p w14:paraId="3A74AA6B">
      <w:pPr>
        <w:pStyle w:val="8"/>
      </w:pPr>
    </w:p>
    <w:p w14:paraId="28BA967A"/>
    <w:p w14:paraId="192B845D"/>
    <w:p w14:paraId="3581A68C"/>
    <w:p w14:paraId="49DF1CA1">
      <w:pPr>
        <w:spacing w:line="360" w:lineRule="auto"/>
        <w:jc w:val="center"/>
        <w:rPr>
          <w:rFonts w:eastAsia="楷体_GB2312"/>
          <w:b/>
          <w:bCs/>
          <w:spacing w:val="26"/>
          <w:sz w:val="110"/>
          <w:szCs w:val="110"/>
        </w:rPr>
      </w:pPr>
      <w:r>
        <w:rPr>
          <w:rFonts w:hint="eastAsia" w:eastAsia="楷体_GB2312"/>
          <w:b/>
          <w:bCs/>
          <w:spacing w:val="26"/>
          <w:sz w:val="110"/>
          <w:szCs w:val="110"/>
        </w:rPr>
        <w:t>招标文件</w:t>
      </w:r>
    </w:p>
    <w:p w14:paraId="0F5A292E">
      <w:pPr>
        <w:pStyle w:val="8"/>
        <w:rPr>
          <w:rFonts w:eastAsia="楷体_GB2312"/>
          <w:b/>
          <w:bCs/>
          <w:spacing w:val="26"/>
          <w:sz w:val="110"/>
          <w:szCs w:val="110"/>
        </w:rPr>
      </w:pPr>
    </w:p>
    <w:p w14:paraId="10EA7147"/>
    <w:p w14:paraId="0D0860AD">
      <w:pPr>
        <w:spacing w:line="360" w:lineRule="auto"/>
        <w:ind w:firstLine="2560" w:firstLineChars="800"/>
        <w:rPr>
          <w:sz w:val="32"/>
        </w:rPr>
      </w:pPr>
    </w:p>
    <w:p w14:paraId="157182F3">
      <w:pPr>
        <w:pStyle w:val="8"/>
      </w:pPr>
    </w:p>
    <w:p w14:paraId="3EB95D4C">
      <w:pPr>
        <w:pStyle w:val="8"/>
      </w:pPr>
    </w:p>
    <w:p w14:paraId="683D0F36">
      <w:pPr>
        <w:spacing w:line="360" w:lineRule="auto"/>
        <w:ind w:firstLine="900" w:firstLineChars="300"/>
        <w:rPr>
          <w:sz w:val="30"/>
          <w:szCs w:val="30"/>
          <w:u w:val="single"/>
        </w:rPr>
      </w:pPr>
      <w:r>
        <w:rPr>
          <w:rFonts w:hint="eastAsia"/>
          <w:sz w:val="30"/>
          <w:szCs w:val="30"/>
        </w:rPr>
        <w:t>招</w:t>
      </w:r>
      <w:r>
        <w:rPr>
          <w:sz w:val="30"/>
          <w:szCs w:val="30"/>
        </w:rPr>
        <w:t xml:space="preserve">  </w:t>
      </w:r>
      <w:r>
        <w:rPr>
          <w:rFonts w:hint="eastAsia"/>
          <w:sz w:val="30"/>
          <w:szCs w:val="30"/>
        </w:rPr>
        <w:t>标</w:t>
      </w:r>
      <w:r>
        <w:rPr>
          <w:sz w:val="30"/>
          <w:szCs w:val="30"/>
        </w:rPr>
        <w:t xml:space="preserve"> </w:t>
      </w:r>
      <w:r>
        <w:rPr>
          <w:rFonts w:hint="eastAsia"/>
          <w:sz w:val="30"/>
          <w:szCs w:val="30"/>
        </w:rPr>
        <w:t>单</w:t>
      </w:r>
      <w:r>
        <w:rPr>
          <w:sz w:val="30"/>
          <w:szCs w:val="30"/>
        </w:rPr>
        <w:t xml:space="preserve"> </w:t>
      </w:r>
      <w:r>
        <w:rPr>
          <w:rFonts w:hint="eastAsia"/>
          <w:sz w:val="30"/>
          <w:szCs w:val="30"/>
        </w:rPr>
        <w:t>位：</w:t>
      </w:r>
      <w:r>
        <w:rPr>
          <w:rFonts w:hint="eastAsia" w:ascii="宋体" w:hAnsi="宋体" w:cs="宋体"/>
          <w:bCs/>
          <w:sz w:val="30"/>
          <w:szCs w:val="30"/>
          <w:u w:val="single"/>
        </w:rPr>
        <w:t>广州广汽荻原模具冲压有限公司</w:t>
      </w:r>
    </w:p>
    <w:p w14:paraId="097D8C52">
      <w:pPr>
        <w:spacing w:line="360" w:lineRule="auto"/>
        <w:ind w:firstLine="900" w:firstLineChars="300"/>
        <w:rPr>
          <w:sz w:val="30"/>
          <w:szCs w:val="30"/>
          <w:u w:val="single"/>
        </w:rPr>
      </w:pPr>
      <w:r>
        <w:rPr>
          <w:rFonts w:hint="eastAsia"/>
          <w:sz w:val="30"/>
          <w:szCs w:val="30"/>
        </w:rPr>
        <w:t>招标代理单位：</w:t>
      </w:r>
      <w:bookmarkStart w:id="1" w:name="_Toc2272545"/>
      <w:bookmarkStart w:id="2" w:name="_Toc21525489"/>
      <w:r>
        <w:rPr>
          <w:rFonts w:hint="eastAsia" w:ascii="宋体" w:hAnsi="宋体" w:cs="宋体"/>
          <w:bCs/>
          <w:sz w:val="30"/>
          <w:szCs w:val="30"/>
          <w:u w:val="single"/>
        </w:rPr>
        <w:t>建成工程咨询股份有限公司</w:t>
      </w:r>
    </w:p>
    <w:p w14:paraId="307CE960">
      <w:pPr>
        <w:spacing w:line="360" w:lineRule="auto"/>
        <w:ind w:firstLine="960" w:firstLineChars="300"/>
        <w:rPr>
          <w:sz w:val="32"/>
        </w:rPr>
      </w:pPr>
      <w:r>
        <w:rPr>
          <w:rFonts w:hint="eastAsia" w:ascii="宋体" w:hAnsi="宋体" w:cs="宋体"/>
          <w:sz w:val="32"/>
        </w:rPr>
        <w:t>日        期：</w:t>
      </w:r>
      <w:r>
        <w:rPr>
          <w:rFonts w:hint="eastAsia" w:ascii="宋体" w:hAnsi="宋体" w:cs="宋体"/>
          <w:sz w:val="32"/>
          <w:u w:val="single"/>
        </w:rPr>
        <w:t>2025</w:t>
      </w:r>
      <w:r>
        <w:rPr>
          <w:rFonts w:hint="eastAsia" w:ascii="宋体" w:hAnsi="宋体" w:cs="宋体"/>
          <w:sz w:val="32"/>
        </w:rPr>
        <w:t>年9月</w:t>
      </w:r>
    </w:p>
    <w:p w14:paraId="4311DB92">
      <w:pPr>
        <w:pStyle w:val="5"/>
        <w:rPr>
          <w:sz w:val="32"/>
        </w:rPr>
      </w:pPr>
    </w:p>
    <w:p w14:paraId="1F2145C2">
      <w:pPr>
        <w:rPr>
          <w:rFonts w:hint="eastAsia" w:ascii="宋体" w:hAnsi="宋体"/>
          <w:b/>
          <w:bCs/>
          <w:sz w:val="28"/>
          <w:szCs w:val="28"/>
        </w:rPr>
      </w:pPr>
      <w:r>
        <w:rPr>
          <w:rFonts w:ascii="宋体" w:hAnsi="宋体"/>
          <w:b/>
          <w:bCs/>
          <w:sz w:val="28"/>
          <w:szCs w:val="28"/>
        </w:rPr>
        <w:br w:type="page"/>
      </w:r>
    </w:p>
    <w:p w14:paraId="5A7DF586">
      <w:pPr>
        <w:jc w:val="center"/>
      </w:pPr>
      <w:r>
        <w:rPr>
          <w:rFonts w:ascii="宋体" w:hAnsi="宋体"/>
          <w:b/>
          <w:bCs/>
          <w:sz w:val="28"/>
          <w:szCs w:val="28"/>
        </w:rPr>
        <w:t>目录</w:t>
      </w:r>
    </w:p>
    <w:p w14:paraId="2D40EB8D">
      <w:pPr>
        <w:pStyle w:val="27"/>
        <w:tabs>
          <w:tab w:val="right" w:leader="dot" w:pos="9070"/>
          <w:tab w:val="clear" w:pos="9060"/>
        </w:tabs>
        <w:rPr>
          <w:rFonts w:hint="eastAsia"/>
        </w:rPr>
      </w:pPr>
      <w:r>
        <w:rPr>
          <w:rFonts w:hint="eastAsia"/>
        </w:rPr>
        <w:fldChar w:fldCharType="begin"/>
      </w:r>
      <w:r>
        <w:rPr>
          <w:rFonts w:hint="eastAsia"/>
        </w:rPr>
        <w:instrText xml:space="preserve">TOC \o "1-3" \h \u </w:instrText>
      </w:r>
      <w:r>
        <w:rPr>
          <w:rFonts w:hint="eastAsia"/>
        </w:rPr>
        <w:fldChar w:fldCharType="separate"/>
      </w:r>
      <w:r>
        <w:fldChar w:fldCharType="begin"/>
      </w:r>
      <w:r>
        <w:instrText xml:space="preserve"> HYPERLINK \l "_Toc272" </w:instrText>
      </w:r>
      <w:r>
        <w:fldChar w:fldCharType="separate"/>
      </w:r>
      <w:r>
        <w:rPr>
          <w:rFonts w:hint="eastAsia"/>
        </w:rPr>
        <w:t>第一章</w:t>
      </w:r>
      <w:r>
        <w:t xml:space="preserve">  </w:t>
      </w:r>
      <w:r>
        <w:rPr>
          <w:rFonts w:hint="eastAsia"/>
        </w:rPr>
        <w:t>投标须知</w:t>
      </w:r>
      <w:r>
        <w:tab/>
      </w:r>
      <w:r>
        <w:fldChar w:fldCharType="begin"/>
      </w:r>
      <w:r>
        <w:instrText xml:space="preserve"> PAGEREF _Toc272 \h </w:instrText>
      </w:r>
      <w:r>
        <w:fldChar w:fldCharType="separate"/>
      </w:r>
      <w:r>
        <w:t>3</w:t>
      </w:r>
      <w:r>
        <w:fldChar w:fldCharType="end"/>
      </w:r>
      <w:r>
        <w:fldChar w:fldCharType="end"/>
      </w:r>
    </w:p>
    <w:p w14:paraId="2E9939D8">
      <w:pPr>
        <w:pStyle w:val="30"/>
        <w:tabs>
          <w:tab w:val="right" w:leader="dot" w:pos="9070"/>
          <w:tab w:val="clear" w:pos="9060"/>
        </w:tabs>
      </w:pPr>
      <w:r>
        <w:fldChar w:fldCharType="begin"/>
      </w:r>
      <w:r>
        <w:instrText xml:space="preserve"> HYPERLINK \l "_Toc22758" </w:instrText>
      </w:r>
      <w:r>
        <w:fldChar w:fldCharType="separate"/>
      </w:r>
      <w:r>
        <w:rPr>
          <w:rFonts w:hint="eastAsia"/>
        </w:rPr>
        <w:t>一、投标须知前附表</w:t>
      </w:r>
      <w:r>
        <w:tab/>
      </w:r>
      <w:r>
        <w:fldChar w:fldCharType="begin"/>
      </w:r>
      <w:r>
        <w:instrText xml:space="preserve"> PAGEREF _Toc22758 \h </w:instrText>
      </w:r>
      <w:r>
        <w:fldChar w:fldCharType="separate"/>
      </w:r>
      <w:r>
        <w:t>3</w:t>
      </w:r>
      <w:r>
        <w:fldChar w:fldCharType="end"/>
      </w:r>
      <w:r>
        <w:fldChar w:fldCharType="end"/>
      </w:r>
    </w:p>
    <w:p w14:paraId="474CE118">
      <w:pPr>
        <w:pStyle w:val="30"/>
        <w:tabs>
          <w:tab w:val="right" w:leader="dot" w:pos="9070"/>
          <w:tab w:val="clear" w:pos="9060"/>
        </w:tabs>
      </w:pPr>
      <w:r>
        <w:fldChar w:fldCharType="begin"/>
      </w:r>
      <w:r>
        <w:instrText xml:space="preserve"> HYPERLINK \l "_Toc21753" </w:instrText>
      </w:r>
      <w:r>
        <w:fldChar w:fldCharType="separate"/>
      </w:r>
      <w:r>
        <w:rPr>
          <w:rFonts w:hint="eastAsia"/>
        </w:rPr>
        <w:t>二、投标须知修改表</w:t>
      </w:r>
      <w:r>
        <w:tab/>
      </w:r>
      <w:r>
        <w:fldChar w:fldCharType="begin"/>
      </w:r>
      <w:r>
        <w:instrText xml:space="preserve"> PAGEREF _Toc21753 \h </w:instrText>
      </w:r>
      <w:r>
        <w:fldChar w:fldCharType="separate"/>
      </w:r>
      <w:r>
        <w:t>9</w:t>
      </w:r>
      <w:r>
        <w:fldChar w:fldCharType="end"/>
      </w:r>
      <w:r>
        <w:fldChar w:fldCharType="end"/>
      </w:r>
    </w:p>
    <w:p w14:paraId="6B643673">
      <w:pPr>
        <w:pStyle w:val="30"/>
        <w:tabs>
          <w:tab w:val="right" w:leader="dot" w:pos="9070"/>
          <w:tab w:val="clear" w:pos="9060"/>
        </w:tabs>
      </w:pPr>
      <w:r>
        <w:fldChar w:fldCharType="begin"/>
      </w:r>
      <w:r>
        <w:instrText xml:space="preserve"> HYPERLINK \l "_Toc27821" </w:instrText>
      </w:r>
      <w:r>
        <w:fldChar w:fldCharType="separate"/>
      </w:r>
      <w:r>
        <w:rPr>
          <w:rFonts w:hint="eastAsia"/>
        </w:rPr>
        <w:t>三、投标须知通用条款</w:t>
      </w:r>
      <w:r>
        <w:tab/>
      </w:r>
      <w:r>
        <w:fldChar w:fldCharType="begin"/>
      </w:r>
      <w:r>
        <w:instrText xml:space="preserve"> PAGEREF _Toc27821 \h </w:instrText>
      </w:r>
      <w:r>
        <w:fldChar w:fldCharType="separate"/>
      </w:r>
      <w:r>
        <w:t>19</w:t>
      </w:r>
      <w:r>
        <w:fldChar w:fldCharType="end"/>
      </w:r>
      <w:r>
        <w:fldChar w:fldCharType="end"/>
      </w:r>
    </w:p>
    <w:p w14:paraId="7E89C6B8">
      <w:pPr>
        <w:pStyle w:val="20"/>
        <w:tabs>
          <w:tab w:val="right" w:leader="dot" w:pos="9070"/>
        </w:tabs>
        <w:ind w:left="840"/>
      </w:pPr>
      <w:r>
        <w:fldChar w:fldCharType="begin"/>
      </w:r>
      <w:r>
        <w:instrText xml:space="preserve"> HYPERLINK \l "_Toc32182" </w:instrText>
      </w:r>
      <w:r>
        <w:fldChar w:fldCharType="separate"/>
      </w:r>
      <w:r>
        <w:rPr>
          <w:rFonts w:hint="eastAsia"/>
        </w:rPr>
        <w:t>（一）总则</w:t>
      </w:r>
      <w:r>
        <w:tab/>
      </w:r>
      <w:r>
        <w:fldChar w:fldCharType="begin"/>
      </w:r>
      <w:r>
        <w:instrText xml:space="preserve"> PAGEREF _Toc32182 \h </w:instrText>
      </w:r>
      <w:r>
        <w:fldChar w:fldCharType="separate"/>
      </w:r>
      <w:r>
        <w:t>19</w:t>
      </w:r>
      <w:r>
        <w:fldChar w:fldCharType="end"/>
      </w:r>
      <w:r>
        <w:fldChar w:fldCharType="end"/>
      </w:r>
    </w:p>
    <w:p w14:paraId="0699853F">
      <w:pPr>
        <w:pStyle w:val="20"/>
        <w:tabs>
          <w:tab w:val="right" w:leader="dot" w:pos="9070"/>
        </w:tabs>
        <w:ind w:left="840"/>
      </w:pPr>
      <w:r>
        <w:fldChar w:fldCharType="begin"/>
      </w:r>
      <w:r>
        <w:instrText xml:space="preserve"> HYPERLINK \l "_Toc3677" </w:instrText>
      </w:r>
      <w:r>
        <w:fldChar w:fldCharType="separate"/>
      </w:r>
      <w:r>
        <w:rPr>
          <w:rFonts w:hint="eastAsia"/>
        </w:rPr>
        <w:t>（二）招标文件</w:t>
      </w:r>
      <w:r>
        <w:tab/>
      </w:r>
      <w:r>
        <w:fldChar w:fldCharType="begin"/>
      </w:r>
      <w:r>
        <w:instrText xml:space="preserve"> PAGEREF _Toc3677 \h </w:instrText>
      </w:r>
      <w:r>
        <w:fldChar w:fldCharType="separate"/>
      </w:r>
      <w:r>
        <w:t>20</w:t>
      </w:r>
      <w:r>
        <w:fldChar w:fldCharType="end"/>
      </w:r>
      <w:r>
        <w:fldChar w:fldCharType="end"/>
      </w:r>
    </w:p>
    <w:p w14:paraId="4A9973DD">
      <w:pPr>
        <w:pStyle w:val="20"/>
        <w:tabs>
          <w:tab w:val="right" w:leader="dot" w:pos="9070"/>
        </w:tabs>
        <w:ind w:left="840"/>
      </w:pPr>
      <w:r>
        <w:fldChar w:fldCharType="begin"/>
      </w:r>
      <w:r>
        <w:instrText xml:space="preserve"> HYPERLINK \l "_Toc27799" </w:instrText>
      </w:r>
      <w:r>
        <w:fldChar w:fldCharType="separate"/>
      </w:r>
      <w:r>
        <w:rPr>
          <w:rFonts w:hint="eastAsia"/>
        </w:rPr>
        <w:t>（三）投标文件的编制</w:t>
      </w:r>
      <w:r>
        <w:tab/>
      </w:r>
      <w:r>
        <w:fldChar w:fldCharType="begin"/>
      </w:r>
      <w:r>
        <w:instrText xml:space="preserve"> PAGEREF _Toc27799 \h </w:instrText>
      </w:r>
      <w:r>
        <w:fldChar w:fldCharType="separate"/>
      </w:r>
      <w:r>
        <w:t>22</w:t>
      </w:r>
      <w:r>
        <w:fldChar w:fldCharType="end"/>
      </w:r>
      <w:r>
        <w:fldChar w:fldCharType="end"/>
      </w:r>
    </w:p>
    <w:p w14:paraId="7BFEC50A">
      <w:pPr>
        <w:pStyle w:val="20"/>
        <w:tabs>
          <w:tab w:val="right" w:leader="dot" w:pos="9070"/>
        </w:tabs>
        <w:ind w:left="840"/>
      </w:pPr>
      <w:r>
        <w:fldChar w:fldCharType="begin"/>
      </w:r>
      <w:r>
        <w:instrText xml:space="preserve"> HYPERLINK \l "_Toc20233" </w:instrText>
      </w:r>
      <w:r>
        <w:fldChar w:fldCharType="separate"/>
      </w:r>
      <w:r>
        <w:rPr>
          <w:rFonts w:hint="eastAsia"/>
        </w:rPr>
        <w:t>（四）投标文件的提交</w:t>
      </w:r>
      <w:r>
        <w:tab/>
      </w:r>
      <w:r>
        <w:fldChar w:fldCharType="begin"/>
      </w:r>
      <w:r>
        <w:instrText xml:space="preserve"> PAGEREF _Toc20233 \h </w:instrText>
      </w:r>
      <w:r>
        <w:fldChar w:fldCharType="separate"/>
      </w:r>
      <w:r>
        <w:t>28</w:t>
      </w:r>
      <w:r>
        <w:fldChar w:fldCharType="end"/>
      </w:r>
      <w:r>
        <w:fldChar w:fldCharType="end"/>
      </w:r>
    </w:p>
    <w:p w14:paraId="77DA1614">
      <w:pPr>
        <w:pStyle w:val="20"/>
        <w:tabs>
          <w:tab w:val="right" w:leader="dot" w:pos="9070"/>
        </w:tabs>
        <w:ind w:left="840"/>
      </w:pPr>
      <w:r>
        <w:fldChar w:fldCharType="begin"/>
      </w:r>
      <w:r>
        <w:instrText xml:space="preserve"> HYPERLINK \l "_Toc26433" </w:instrText>
      </w:r>
      <w:r>
        <w:fldChar w:fldCharType="separate"/>
      </w:r>
      <w:r>
        <w:rPr>
          <w:rFonts w:hint="eastAsia"/>
        </w:rPr>
        <w:t>（五）开标、评标、定标及合同签定</w:t>
      </w:r>
      <w:r>
        <w:tab/>
      </w:r>
      <w:r>
        <w:fldChar w:fldCharType="begin"/>
      </w:r>
      <w:r>
        <w:instrText xml:space="preserve"> PAGEREF _Toc26433 \h </w:instrText>
      </w:r>
      <w:r>
        <w:fldChar w:fldCharType="separate"/>
      </w:r>
      <w:r>
        <w:t>30</w:t>
      </w:r>
      <w:r>
        <w:fldChar w:fldCharType="end"/>
      </w:r>
      <w:r>
        <w:fldChar w:fldCharType="end"/>
      </w:r>
    </w:p>
    <w:p w14:paraId="048DEA71">
      <w:pPr>
        <w:pStyle w:val="27"/>
        <w:tabs>
          <w:tab w:val="right" w:leader="dot" w:pos="9070"/>
          <w:tab w:val="clear" w:pos="9060"/>
        </w:tabs>
        <w:rPr>
          <w:rFonts w:hint="eastAsia"/>
        </w:rPr>
      </w:pPr>
      <w:r>
        <w:fldChar w:fldCharType="begin"/>
      </w:r>
      <w:r>
        <w:instrText xml:space="preserve"> HYPERLINK \l "_Toc31521" </w:instrText>
      </w:r>
      <w:r>
        <w:fldChar w:fldCharType="separate"/>
      </w:r>
      <w:r>
        <w:rPr>
          <w:rFonts w:hint="eastAsia"/>
        </w:rPr>
        <w:t>第二章</w:t>
      </w:r>
      <w:r>
        <w:t xml:space="preserve">  </w:t>
      </w:r>
      <w:r>
        <w:rPr>
          <w:rFonts w:hint="eastAsia"/>
        </w:rPr>
        <w:t>开标、评标及定标办法</w:t>
      </w:r>
      <w:r>
        <w:tab/>
      </w:r>
      <w:r>
        <w:fldChar w:fldCharType="begin"/>
      </w:r>
      <w:r>
        <w:instrText xml:space="preserve"> PAGEREF _Toc31521 \h </w:instrText>
      </w:r>
      <w:r>
        <w:fldChar w:fldCharType="separate"/>
      </w:r>
      <w:r>
        <w:t>33</w:t>
      </w:r>
      <w:r>
        <w:fldChar w:fldCharType="end"/>
      </w:r>
      <w:r>
        <w:fldChar w:fldCharType="end"/>
      </w:r>
    </w:p>
    <w:p w14:paraId="53679730">
      <w:pPr>
        <w:pStyle w:val="30"/>
        <w:tabs>
          <w:tab w:val="right" w:leader="dot" w:pos="9070"/>
          <w:tab w:val="clear" w:pos="9060"/>
        </w:tabs>
      </w:pPr>
      <w:r>
        <w:fldChar w:fldCharType="begin"/>
      </w:r>
      <w:r>
        <w:instrText xml:space="preserve"> HYPERLINK \l "_Toc6232" </w:instrText>
      </w:r>
      <w:r>
        <w:fldChar w:fldCharType="separate"/>
      </w:r>
      <w:r>
        <w:rPr>
          <w:rFonts w:hint="eastAsia"/>
        </w:rPr>
        <w:t>一、开标、评标及定标办法修改表</w:t>
      </w:r>
      <w:r>
        <w:tab/>
      </w:r>
      <w:r>
        <w:fldChar w:fldCharType="begin"/>
      </w:r>
      <w:r>
        <w:instrText xml:space="preserve"> PAGEREF _Toc6232 \h </w:instrText>
      </w:r>
      <w:r>
        <w:fldChar w:fldCharType="separate"/>
      </w:r>
      <w:r>
        <w:t>33</w:t>
      </w:r>
      <w:r>
        <w:fldChar w:fldCharType="end"/>
      </w:r>
      <w:r>
        <w:fldChar w:fldCharType="end"/>
      </w:r>
    </w:p>
    <w:p w14:paraId="481FF7BC">
      <w:pPr>
        <w:pStyle w:val="30"/>
        <w:tabs>
          <w:tab w:val="right" w:leader="dot" w:pos="9070"/>
          <w:tab w:val="clear" w:pos="9060"/>
        </w:tabs>
      </w:pPr>
      <w:r>
        <w:fldChar w:fldCharType="begin"/>
      </w:r>
      <w:r>
        <w:instrText xml:space="preserve"> HYPERLINK \l "_Toc10979" </w:instrText>
      </w:r>
      <w:r>
        <w:fldChar w:fldCharType="separate"/>
      </w:r>
      <w:r>
        <w:rPr>
          <w:rFonts w:hint="eastAsia"/>
        </w:rPr>
        <w:t>二、开标、评标及定标办法通用条款</w:t>
      </w:r>
      <w:r>
        <w:tab/>
      </w:r>
      <w:r>
        <w:fldChar w:fldCharType="begin"/>
      </w:r>
      <w:r>
        <w:instrText xml:space="preserve"> PAGEREF _Toc10979 \h </w:instrText>
      </w:r>
      <w:r>
        <w:fldChar w:fldCharType="separate"/>
      </w:r>
      <w:r>
        <w:t>40</w:t>
      </w:r>
      <w:r>
        <w:fldChar w:fldCharType="end"/>
      </w:r>
      <w:r>
        <w:fldChar w:fldCharType="end"/>
      </w:r>
    </w:p>
    <w:p w14:paraId="0D6FC556">
      <w:pPr>
        <w:pStyle w:val="20"/>
        <w:tabs>
          <w:tab w:val="right" w:leader="dot" w:pos="9070"/>
        </w:tabs>
        <w:ind w:left="840"/>
      </w:pPr>
      <w:r>
        <w:fldChar w:fldCharType="begin"/>
      </w:r>
      <w:r>
        <w:instrText xml:space="preserve"> HYPERLINK \l "_Toc5795" </w:instrText>
      </w:r>
      <w:r>
        <w:fldChar w:fldCharType="separate"/>
      </w:r>
      <w:r>
        <w:rPr>
          <w:rFonts w:hint="eastAsia"/>
          <w:szCs w:val="24"/>
        </w:rPr>
        <w:t>（一）总则</w:t>
      </w:r>
      <w:r>
        <w:tab/>
      </w:r>
      <w:r>
        <w:fldChar w:fldCharType="begin"/>
      </w:r>
      <w:r>
        <w:instrText xml:space="preserve"> PAGEREF _Toc5795 \h </w:instrText>
      </w:r>
      <w:r>
        <w:fldChar w:fldCharType="separate"/>
      </w:r>
      <w:r>
        <w:t>40</w:t>
      </w:r>
      <w:r>
        <w:fldChar w:fldCharType="end"/>
      </w:r>
      <w:r>
        <w:fldChar w:fldCharType="end"/>
      </w:r>
    </w:p>
    <w:p w14:paraId="13F22626">
      <w:pPr>
        <w:pStyle w:val="20"/>
        <w:tabs>
          <w:tab w:val="right" w:leader="dot" w:pos="9070"/>
        </w:tabs>
        <w:ind w:left="840"/>
      </w:pPr>
      <w:r>
        <w:fldChar w:fldCharType="begin"/>
      </w:r>
      <w:r>
        <w:instrText xml:space="preserve"> HYPERLINK \l "_Toc880" </w:instrText>
      </w:r>
      <w:r>
        <w:fldChar w:fldCharType="separate"/>
      </w:r>
      <w:r>
        <w:rPr>
          <w:rFonts w:hint="eastAsia"/>
          <w:szCs w:val="24"/>
        </w:rPr>
        <w:t>（二）开标评标办法程序和细则</w:t>
      </w:r>
      <w:r>
        <w:tab/>
      </w:r>
      <w:r>
        <w:fldChar w:fldCharType="begin"/>
      </w:r>
      <w:r>
        <w:instrText xml:space="preserve"> PAGEREF _Toc880 \h </w:instrText>
      </w:r>
      <w:r>
        <w:fldChar w:fldCharType="separate"/>
      </w:r>
      <w:r>
        <w:t>44</w:t>
      </w:r>
      <w:r>
        <w:fldChar w:fldCharType="end"/>
      </w:r>
      <w:r>
        <w:fldChar w:fldCharType="end"/>
      </w:r>
    </w:p>
    <w:p w14:paraId="4BAE323B">
      <w:pPr>
        <w:pStyle w:val="20"/>
        <w:tabs>
          <w:tab w:val="right" w:leader="dot" w:pos="9070"/>
        </w:tabs>
        <w:ind w:left="840"/>
      </w:pPr>
      <w:r>
        <w:fldChar w:fldCharType="begin"/>
      </w:r>
      <w:r>
        <w:instrText xml:space="preserve"> HYPERLINK \l "_Toc7759" </w:instrText>
      </w:r>
      <w:r>
        <w:fldChar w:fldCharType="separate"/>
      </w:r>
      <w:r>
        <w:rPr>
          <w:rFonts w:hint="eastAsia"/>
        </w:rPr>
        <w:t>附件</w:t>
      </w:r>
      <w:r>
        <w:tab/>
      </w:r>
      <w:r>
        <w:fldChar w:fldCharType="begin"/>
      </w:r>
      <w:r>
        <w:instrText xml:space="preserve"> PAGEREF _Toc7759 \h </w:instrText>
      </w:r>
      <w:r>
        <w:fldChar w:fldCharType="separate"/>
      </w:r>
      <w:r>
        <w:t>49</w:t>
      </w:r>
      <w:r>
        <w:fldChar w:fldCharType="end"/>
      </w:r>
      <w:r>
        <w:fldChar w:fldCharType="end"/>
      </w:r>
    </w:p>
    <w:p w14:paraId="74C9E4A3">
      <w:pPr>
        <w:pStyle w:val="27"/>
        <w:tabs>
          <w:tab w:val="right" w:leader="dot" w:pos="9070"/>
          <w:tab w:val="clear" w:pos="9060"/>
        </w:tabs>
        <w:rPr>
          <w:rFonts w:hint="eastAsia"/>
        </w:rPr>
      </w:pPr>
      <w:r>
        <w:fldChar w:fldCharType="begin"/>
      </w:r>
      <w:r>
        <w:instrText xml:space="preserve"> HYPERLINK \l "_Toc5517" </w:instrText>
      </w:r>
      <w:r>
        <w:fldChar w:fldCharType="separate"/>
      </w:r>
      <w:r>
        <w:rPr>
          <w:rFonts w:hint="eastAsia"/>
        </w:rPr>
        <w:t>第三章</w:t>
      </w:r>
      <w:r>
        <w:t xml:space="preserve">  </w:t>
      </w:r>
      <w:r>
        <w:rPr>
          <w:rFonts w:hint="eastAsia"/>
        </w:rPr>
        <w:t>合同条款及格式</w:t>
      </w:r>
      <w:r>
        <w:tab/>
      </w:r>
      <w:r>
        <w:fldChar w:fldCharType="begin"/>
      </w:r>
      <w:r>
        <w:instrText xml:space="preserve"> PAGEREF _Toc5517 \h </w:instrText>
      </w:r>
      <w:r>
        <w:fldChar w:fldCharType="separate"/>
      </w:r>
      <w:r>
        <w:t>67</w:t>
      </w:r>
      <w:r>
        <w:fldChar w:fldCharType="end"/>
      </w:r>
      <w:r>
        <w:fldChar w:fldCharType="end"/>
      </w:r>
    </w:p>
    <w:p w14:paraId="00552DF1">
      <w:pPr>
        <w:pStyle w:val="27"/>
        <w:tabs>
          <w:tab w:val="right" w:leader="dot" w:pos="9070"/>
          <w:tab w:val="clear" w:pos="9060"/>
        </w:tabs>
        <w:rPr>
          <w:rFonts w:hint="eastAsia"/>
        </w:rPr>
      </w:pPr>
      <w:r>
        <w:fldChar w:fldCharType="begin"/>
      </w:r>
      <w:r>
        <w:instrText xml:space="preserve"> HYPERLINK \l "_Toc21812" </w:instrText>
      </w:r>
      <w:r>
        <w:fldChar w:fldCharType="separate"/>
      </w:r>
      <w:r>
        <w:rPr>
          <w:rFonts w:hint="eastAsia"/>
        </w:rPr>
        <w:t>第四章</w:t>
      </w:r>
      <w:r>
        <w:t xml:space="preserve">  </w:t>
      </w:r>
      <w:r>
        <w:rPr>
          <w:rFonts w:hint="eastAsia"/>
        </w:rPr>
        <w:t>投标文件格式</w:t>
      </w:r>
      <w:r>
        <w:tab/>
      </w:r>
      <w:r>
        <w:fldChar w:fldCharType="begin"/>
      </w:r>
      <w:r>
        <w:instrText xml:space="preserve"> PAGEREF _Toc21812 \h </w:instrText>
      </w:r>
      <w:r>
        <w:fldChar w:fldCharType="separate"/>
      </w:r>
      <w:r>
        <w:t>68</w:t>
      </w:r>
      <w:r>
        <w:fldChar w:fldCharType="end"/>
      </w:r>
      <w:r>
        <w:fldChar w:fldCharType="end"/>
      </w:r>
    </w:p>
    <w:p w14:paraId="5ED0193E">
      <w:pPr>
        <w:pStyle w:val="27"/>
        <w:tabs>
          <w:tab w:val="right" w:leader="dot" w:pos="9070"/>
          <w:tab w:val="clear" w:pos="9060"/>
        </w:tabs>
        <w:rPr>
          <w:rFonts w:hint="eastAsia"/>
        </w:rPr>
      </w:pPr>
      <w:r>
        <w:fldChar w:fldCharType="begin"/>
      </w:r>
      <w:r>
        <w:instrText xml:space="preserve"> HYPERLINK \l "_Toc28494" </w:instrText>
      </w:r>
      <w:r>
        <w:fldChar w:fldCharType="separate"/>
      </w:r>
      <w:r>
        <w:rPr>
          <w:rFonts w:hint="eastAsia"/>
        </w:rPr>
        <w:t>第五章</w:t>
      </w:r>
      <w:r>
        <w:t xml:space="preserve">  </w:t>
      </w:r>
      <w:r>
        <w:rPr>
          <w:rFonts w:hint="eastAsia"/>
        </w:rPr>
        <w:t>技术条件（工程建设标准）</w:t>
      </w:r>
      <w:r>
        <w:tab/>
      </w:r>
      <w:r>
        <w:fldChar w:fldCharType="begin"/>
      </w:r>
      <w:r>
        <w:instrText xml:space="preserve"> PAGEREF _Toc28494 \h </w:instrText>
      </w:r>
      <w:r>
        <w:fldChar w:fldCharType="separate"/>
      </w:r>
      <w:r>
        <w:t>76</w:t>
      </w:r>
      <w:r>
        <w:fldChar w:fldCharType="end"/>
      </w:r>
      <w:r>
        <w:fldChar w:fldCharType="end"/>
      </w:r>
    </w:p>
    <w:p w14:paraId="70653D2F">
      <w:pPr>
        <w:pStyle w:val="27"/>
        <w:tabs>
          <w:tab w:val="right" w:leader="dot" w:pos="9070"/>
          <w:tab w:val="clear" w:pos="9060"/>
        </w:tabs>
        <w:rPr>
          <w:rFonts w:hint="eastAsia"/>
        </w:rPr>
      </w:pPr>
      <w:r>
        <w:fldChar w:fldCharType="begin"/>
      </w:r>
      <w:r>
        <w:instrText xml:space="preserve"> HYPERLINK \l "_Toc31301" </w:instrText>
      </w:r>
      <w:r>
        <w:fldChar w:fldCharType="separate"/>
      </w:r>
      <w:r>
        <w:rPr>
          <w:rFonts w:hint="eastAsia"/>
        </w:rPr>
        <w:t>第六章</w:t>
      </w:r>
      <w:r>
        <w:t xml:space="preserve">  </w:t>
      </w:r>
      <w:r>
        <w:rPr>
          <w:rFonts w:hint="eastAsia"/>
        </w:rPr>
        <w:t>图纸及勘察资料</w:t>
      </w:r>
      <w:r>
        <w:tab/>
      </w:r>
      <w:r>
        <w:fldChar w:fldCharType="begin"/>
      </w:r>
      <w:r>
        <w:instrText xml:space="preserve"> PAGEREF _Toc31301 \h </w:instrText>
      </w:r>
      <w:r>
        <w:fldChar w:fldCharType="separate"/>
      </w:r>
      <w:r>
        <w:t>78</w:t>
      </w:r>
      <w:r>
        <w:fldChar w:fldCharType="end"/>
      </w:r>
      <w:r>
        <w:fldChar w:fldCharType="end"/>
      </w:r>
    </w:p>
    <w:p w14:paraId="76E91E3F">
      <w:pPr>
        <w:pStyle w:val="27"/>
        <w:tabs>
          <w:tab w:val="right" w:leader="dot" w:pos="9070"/>
          <w:tab w:val="clear" w:pos="9060"/>
        </w:tabs>
        <w:rPr>
          <w:rFonts w:hint="eastAsia"/>
        </w:rPr>
      </w:pPr>
      <w:r>
        <w:fldChar w:fldCharType="begin"/>
      </w:r>
      <w:r>
        <w:instrText xml:space="preserve"> HYPERLINK \l "_Toc24640" </w:instrText>
      </w:r>
      <w:r>
        <w:fldChar w:fldCharType="separate"/>
      </w:r>
      <w:r>
        <w:rPr>
          <w:rFonts w:hint="eastAsia"/>
        </w:rPr>
        <w:t>第七章</w:t>
      </w:r>
      <w:r>
        <w:t xml:space="preserve">  </w:t>
      </w:r>
      <w:r>
        <w:rPr>
          <w:rFonts w:hint="eastAsia"/>
        </w:rPr>
        <w:t>工程量清单</w:t>
      </w:r>
      <w:r>
        <w:tab/>
      </w:r>
      <w:r>
        <w:fldChar w:fldCharType="begin"/>
      </w:r>
      <w:r>
        <w:instrText xml:space="preserve"> PAGEREF _Toc24640 \h </w:instrText>
      </w:r>
      <w:r>
        <w:fldChar w:fldCharType="separate"/>
      </w:r>
      <w:r>
        <w:t>79</w:t>
      </w:r>
      <w:r>
        <w:fldChar w:fldCharType="end"/>
      </w:r>
      <w:r>
        <w:fldChar w:fldCharType="end"/>
      </w:r>
    </w:p>
    <w:p w14:paraId="683A3F8F">
      <w:pPr>
        <w:pStyle w:val="27"/>
        <w:tabs>
          <w:tab w:val="right" w:leader="dot" w:pos="9070"/>
          <w:tab w:val="clear" w:pos="9060"/>
        </w:tabs>
        <w:rPr>
          <w:rFonts w:hint="eastAsia"/>
        </w:rPr>
      </w:pPr>
      <w:r>
        <w:fldChar w:fldCharType="begin"/>
      </w:r>
      <w:r>
        <w:instrText xml:space="preserve"> HYPERLINK \l "_Toc8603" </w:instrText>
      </w:r>
      <w:r>
        <w:fldChar w:fldCharType="separate"/>
      </w:r>
      <w:r>
        <w:rPr>
          <w:rFonts w:hint="eastAsia"/>
        </w:rPr>
        <w:t>第八章</w:t>
      </w:r>
      <w:r>
        <w:t xml:space="preserve">  </w:t>
      </w:r>
      <w:r>
        <w:rPr>
          <w:rFonts w:hint="eastAsia"/>
        </w:rPr>
        <w:t>最高投标限价</w:t>
      </w:r>
      <w:r>
        <w:tab/>
      </w:r>
      <w:r>
        <w:fldChar w:fldCharType="begin"/>
      </w:r>
      <w:r>
        <w:instrText xml:space="preserve"> PAGEREF _Toc8603 \h </w:instrText>
      </w:r>
      <w:r>
        <w:fldChar w:fldCharType="separate"/>
      </w:r>
      <w:r>
        <w:t>80</w:t>
      </w:r>
      <w:r>
        <w:fldChar w:fldCharType="end"/>
      </w:r>
      <w:r>
        <w:fldChar w:fldCharType="end"/>
      </w:r>
    </w:p>
    <w:p w14:paraId="1DA547B7">
      <w:pPr>
        <w:pStyle w:val="3"/>
      </w:pPr>
      <w:r>
        <w:rPr>
          <w:rFonts w:hint="eastAsia"/>
        </w:rPr>
        <w:fldChar w:fldCharType="end"/>
      </w:r>
    </w:p>
    <w:p w14:paraId="68BCE722">
      <w:pPr>
        <w:pStyle w:val="3"/>
      </w:pPr>
      <w:bookmarkStart w:id="3" w:name="_Toc20110"/>
    </w:p>
    <w:p w14:paraId="31FBF146">
      <w:pPr>
        <w:pStyle w:val="5"/>
      </w:pPr>
    </w:p>
    <w:p w14:paraId="2963CFD1">
      <w:pPr>
        <w:pStyle w:val="3"/>
      </w:pPr>
    </w:p>
    <w:p w14:paraId="7528400B">
      <w:pPr>
        <w:pStyle w:val="3"/>
      </w:pPr>
      <w:bookmarkStart w:id="4" w:name="_Toc272"/>
      <w:r>
        <w:rPr>
          <w:rFonts w:hint="eastAsia"/>
        </w:rPr>
        <w:t>第一章</w:t>
      </w:r>
      <w:r>
        <w:t xml:space="preserve">  </w:t>
      </w:r>
      <w:r>
        <w:rPr>
          <w:rFonts w:hint="eastAsia"/>
        </w:rPr>
        <w:t>投标须知</w:t>
      </w:r>
      <w:bookmarkEnd w:id="1"/>
      <w:bookmarkEnd w:id="2"/>
      <w:bookmarkEnd w:id="3"/>
      <w:bookmarkEnd w:id="4"/>
    </w:p>
    <w:p w14:paraId="242DCBE7">
      <w:pPr>
        <w:pStyle w:val="7"/>
        <w:rPr>
          <w:color w:val="auto"/>
        </w:rPr>
      </w:pPr>
      <w:bookmarkStart w:id="5" w:name="_Toc28976"/>
      <w:bookmarkStart w:id="6" w:name="_Toc21525490"/>
      <w:bookmarkStart w:id="7" w:name="_Toc2272546"/>
      <w:bookmarkStart w:id="8" w:name="_Toc22758"/>
      <w:r>
        <w:rPr>
          <w:rFonts w:hint="eastAsia"/>
          <w:color w:val="auto"/>
        </w:rPr>
        <w:t>一、投标须知前附表</w:t>
      </w:r>
      <w:bookmarkEnd w:id="5"/>
      <w:bookmarkEnd w:id="6"/>
      <w:bookmarkEnd w:id="7"/>
      <w:bookmarkEnd w:id="8"/>
    </w:p>
    <w:p w14:paraId="0BF41199">
      <w:pPr>
        <w:pStyle w:val="8"/>
        <w:spacing w:line="360" w:lineRule="auto"/>
        <w:ind w:firstLine="0"/>
        <w:rPr>
          <w:rFonts w:hint="eastAsia" w:ascii="宋体" w:hAnsi="宋体"/>
          <w:b/>
          <w:sz w:val="24"/>
          <w:szCs w:val="24"/>
        </w:rPr>
      </w:pPr>
      <w:r>
        <w:rPr>
          <w:rFonts w:hint="eastAsia" w:ascii="宋体" w:hAnsi="宋体"/>
          <w:b/>
          <w:sz w:val="24"/>
          <w:szCs w:val="24"/>
        </w:rPr>
        <w:t>声明：本投标须知前附表使用GZJTZB2025-3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Style w:val="37"/>
        <w:tblW w:w="9350"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981"/>
        <w:gridCol w:w="1592"/>
        <w:gridCol w:w="6075"/>
      </w:tblGrid>
      <w:tr w14:paraId="7A63888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66" w:hRule="atLeast"/>
          <w:tblHeader/>
        </w:trPr>
        <w:tc>
          <w:tcPr>
            <w:tcW w:w="702" w:type="dxa"/>
            <w:tcBorders>
              <w:top w:val="double" w:color="auto" w:sz="4" w:space="0"/>
              <w:left w:val="double" w:color="auto" w:sz="4" w:space="0"/>
              <w:bottom w:val="single" w:color="auto" w:sz="4" w:space="0"/>
              <w:right w:val="single" w:color="auto" w:sz="4" w:space="0"/>
            </w:tcBorders>
            <w:vAlign w:val="center"/>
          </w:tcPr>
          <w:p w14:paraId="2D53C24C">
            <w:pPr>
              <w:rPr>
                <w:rFonts w:hint="eastAsia" w:ascii="宋体" w:hAnsi="宋体"/>
                <w:szCs w:val="21"/>
              </w:rPr>
            </w:pPr>
            <w:r>
              <w:rPr>
                <w:rFonts w:hint="eastAsia" w:ascii="宋体" w:hAnsi="宋体"/>
                <w:szCs w:val="21"/>
              </w:rPr>
              <w:t>项目</w:t>
            </w:r>
          </w:p>
        </w:tc>
        <w:tc>
          <w:tcPr>
            <w:tcW w:w="981" w:type="dxa"/>
            <w:tcBorders>
              <w:top w:val="double" w:color="auto" w:sz="4" w:space="0"/>
              <w:left w:val="single" w:color="auto" w:sz="4" w:space="0"/>
              <w:bottom w:val="single" w:color="auto" w:sz="4" w:space="0"/>
              <w:right w:val="single" w:color="auto" w:sz="4" w:space="0"/>
            </w:tcBorders>
            <w:vAlign w:val="center"/>
          </w:tcPr>
          <w:p w14:paraId="01519B6E">
            <w:pPr>
              <w:rPr>
                <w:rFonts w:hint="eastAsia" w:ascii="宋体" w:hAnsi="宋体"/>
                <w:szCs w:val="21"/>
              </w:rPr>
            </w:pPr>
            <w:r>
              <w:rPr>
                <w:rFonts w:hint="eastAsia" w:ascii="宋体" w:hAnsi="宋体"/>
                <w:szCs w:val="21"/>
              </w:rPr>
              <w:t>条款号</w:t>
            </w:r>
          </w:p>
        </w:tc>
        <w:tc>
          <w:tcPr>
            <w:tcW w:w="1592" w:type="dxa"/>
            <w:tcBorders>
              <w:top w:val="double" w:color="auto" w:sz="4" w:space="0"/>
              <w:left w:val="single" w:color="auto" w:sz="4" w:space="0"/>
              <w:bottom w:val="single" w:color="auto" w:sz="4" w:space="0"/>
              <w:right w:val="single" w:color="auto" w:sz="4" w:space="0"/>
            </w:tcBorders>
            <w:vAlign w:val="center"/>
          </w:tcPr>
          <w:p w14:paraId="32C478D1">
            <w:pPr>
              <w:ind w:firstLine="458"/>
              <w:rPr>
                <w:rFonts w:hint="eastAsia" w:ascii="宋体" w:hAnsi="宋体"/>
                <w:szCs w:val="21"/>
              </w:rPr>
            </w:pPr>
            <w:r>
              <w:rPr>
                <w:rFonts w:hint="eastAsia" w:ascii="宋体" w:hAnsi="宋体"/>
                <w:szCs w:val="21"/>
              </w:rPr>
              <w:t>内容</w:t>
            </w:r>
          </w:p>
        </w:tc>
        <w:tc>
          <w:tcPr>
            <w:tcW w:w="6075" w:type="dxa"/>
            <w:tcBorders>
              <w:top w:val="double" w:color="auto" w:sz="4" w:space="0"/>
              <w:left w:val="single" w:color="auto" w:sz="4" w:space="0"/>
              <w:bottom w:val="single" w:color="auto" w:sz="4" w:space="0"/>
              <w:right w:val="double" w:color="auto" w:sz="4" w:space="0"/>
            </w:tcBorders>
            <w:vAlign w:val="center"/>
          </w:tcPr>
          <w:p w14:paraId="365BCA10">
            <w:pPr>
              <w:pStyle w:val="21"/>
              <w:ind w:firstLine="458"/>
              <w:jc w:val="center"/>
              <w:rPr>
                <w:rFonts w:hint="eastAsia" w:ascii="宋体" w:hAnsi="宋体"/>
                <w:szCs w:val="21"/>
              </w:rPr>
            </w:pPr>
            <w:r>
              <w:rPr>
                <w:rFonts w:hint="eastAsia" w:ascii="宋体" w:hAnsi="宋体"/>
                <w:szCs w:val="21"/>
              </w:rPr>
              <w:t>说明与要求</w:t>
            </w:r>
          </w:p>
        </w:tc>
      </w:tr>
      <w:tr w14:paraId="42EA870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304" w:hRule="atLeast"/>
        </w:trPr>
        <w:tc>
          <w:tcPr>
            <w:tcW w:w="702" w:type="dxa"/>
            <w:tcBorders>
              <w:top w:val="single" w:color="auto" w:sz="4" w:space="0"/>
              <w:left w:val="double" w:color="auto" w:sz="4" w:space="0"/>
              <w:bottom w:val="single" w:color="auto" w:sz="4" w:space="0"/>
              <w:right w:val="single" w:color="auto" w:sz="4" w:space="0"/>
            </w:tcBorders>
            <w:vAlign w:val="center"/>
          </w:tcPr>
          <w:p w14:paraId="5778F0B1">
            <w:pPr>
              <w:rPr>
                <w:rFonts w:hint="eastAsia" w:ascii="宋体" w:hAnsi="宋体"/>
                <w:szCs w:val="21"/>
              </w:rPr>
            </w:pPr>
            <w:r>
              <w:rPr>
                <w:rFonts w:ascii="宋体" w:hAnsi="宋体"/>
                <w:szCs w:val="21"/>
              </w:rPr>
              <w:t>1</w:t>
            </w:r>
          </w:p>
        </w:tc>
        <w:tc>
          <w:tcPr>
            <w:tcW w:w="981" w:type="dxa"/>
            <w:tcBorders>
              <w:top w:val="single" w:color="auto" w:sz="4" w:space="0"/>
              <w:left w:val="single" w:color="auto" w:sz="4" w:space="0"/>
              <w:bottom w:val="single" w:color="auto" w:sz="4" w:space="0"/>
              <w:right w:val="single" w:color="auto" w:sz="4" w:space="0"/>
            </w:tcBorders>
            <w:vAlign w:val="center"/>
          </w:tcPr>
          <w:p w14:paraId="55B68DBE">
            <w:pPr>
              <w:rPr>
                <w:rFonts w:hint="eastAsia" w:ascii="宋体" w:hAnsi="宋体"/>
                <w:szCs w:val="21"/>
              </w:rPr>
            </w:pPr>
            <w:r>
              <w:rPr>
                <w:rFonts w:ascii="宋体" w:hAnsi="宋体"/>
                <w:szCs w:val="21"/>
              </w:rPr>
              <w:t>1</w:t>
            </w:r>
          </w:p>
        </w:tc>
        <w:tc>
          <w:tcPr>
            <w:tcW w:w="1592" w:type="dxa"/>
            <w:tcBorders>
              <w:top w:val="single" w:color="auto" w:sz="4" w:space="0"/>
              <w:left w:val="single" w:color="auto" w:sz="4" w:space="0"/>
              <w:bottom w:val="single" w:color="auto" w:sz="4" w:space="0"/>
              <w:right w:val="single" w:color="auto" w:sz="4" w:space="0"/>
            </w:tcBorders>
            <w:vAlign w:val="center"/>
          </w:tcPr>
          <w:p w14:paraId="57688AE3">
            <w:pPr>
              <w:rPr>
                <w:rFonts w:hint="eastAsia" w:ascii="宋体" w:hAnsi="宋体"/>
                <w:szCs w:val="21"/>
              </w:rPr>
            </w:pPr>
            <w:r>
              <w:rPr>
                <w:rFonts w:hint="eastAsia" w:ascii="宋体" w:hAnsi="宋体"/>
                <w:szCs w:val="21"/>
              </w:rPr>
              <w:t>定义</w:t>
            </w:r>
          </w:p>
        </w:tc>
        <w:tc>
          <w:tcPr>
            <w:tcW w:w="6075" w:type="dxa"/>
            <w:tcBorders>
              <w:top w:val="single" w:color="auto" w:sz="4" w:space="0"/>
              <w:left w:val="single" w:color="auto" w:sz="4" w:space="0"/>
              <w:bottom w:val="single" w:color="auto" w:sz="4" w:space="0"/>
              <w:right w:val="double" w:color="auto" w:sz="4" w:space="0"/>
            </w:tcBorders>
            <w:vAlign w:val="center"/>
          </w:tcPr>
          <w:p w14:paraId="60A510A3">
            <w:pPr>
              <w:rPr>
                <w:rFonts w:hint="eastAsia" w:ascii="宋体" w:hAnsi="宋体"/>
                <w:szCs w:val="21"/>
              </w:rPr>
            </w:pPr>
            <w:r>
              <w:rPr>
                <w:rFonts w:hint="eastAsia" w:ascii="宋体" w:hAnsi="宋体"/>
                <w:szCs w:val="21"/>
              </w:rPr>
              <w:t>招标人（即发包人）：</w:t>
            </w:r>
            <w:r>
              <w:rPr>
                <w:rFonts w:hint="eastAsia" w:ascii="宋体" w:hAnsi="宋体"/>
                <w:szCs w:val="21"/>
                <w:u w:val="single"/>
              </w:rPr>
              <w:t>广州广汽荻原模具冲压有限公司</w:t>
            </w:r>
          </w:p>
          <w:p w14:paraId="377C25D1">
            <w:pPr>
              <w:rPr>
                <w:rFonts w:hint="eastAsia" w:ascii="宋体" w:hAnsi="宋体"/>
                <w:szCs w:val="21"/>
                <w:u w:val="single"/>
              </w:rPr>
            </w:pPr>
            <w:r>
              <w:rPr>
                <w:rFonts w:hint="eastAsia" w:ascii="宋体" w:hAnsi="宋体"/>
                <w:szCs w:val="21"/>
              </w:rPr>
              <w:t>项目建设管理单位：</w:t>
            </w:r>
            <w:r>
              <w:rPr>
                <w:rFonts w:ascii="宋体" w:hAnsi="宋体"/>
                <w:szCs w:val="21"/>
                <w:u w:val="single"/>
              </w:rPr>
              <w:t xml:space="preserve">             </w:t>
            </w:r>
            <w:r>
              <w:rPr>
                <w:rFonts w:hint="eastAsia" w:ascii="宋体" w:hAnsi="宋体"/>
                <w:szCs w:val="21"/>
                <w:u w:val="single"/>
              </w:rPr>
              <w:t>/</w:t>
            </w:r>
            <w:r>
              <w:rPr>
                <w:rFonts w:ascii="宋体" w:hAnsi="宋体"/>
                <w:szCs w:val="21"/>
                <w:u w:val="single"/>
              </w:rPr>
              <w:t xml:space="preserve">            </w:t>
            </w:r>
          </w:p>
          <w:p w14:paraId="30C38C48">
            <w:pPr>
              <w:pStyle w:val="2"/>
              <w:rPr>
                <w:u w:val="single"/>
              </w:rPr>
            </w:pPr>
            <w:r>
              <w:rPr>
                <w:rFonts w:hint="eastAsia"/>
              </w:rPr>
              <w:t>项目代建单位：</w:t>
            </w:r>
            <w:r>
              <w:rPr>
                <w:rFonts w:hint="eastAsia"/>
                <w:u w:val="single"/>
              </w:rPr>
              <w:t xml:space="preserve">             /                 </w:t>
            </w:r>
          </w:p>
          <w:p w14:paraId="58E97953">
            <w:pPr>
              <w:rPr>
                <w:rFonts w:hint="eastAsia" w:ascii="宋体" w:hAnsi="宋体"/>
                <w:szCs w:val="21"/>
                <w:u w:val="single"/>
              </w:rPr>
            </w:pPr>
            <w:r>
              <w:rPr>
                <w:rFonts w:hint="eastAsia" w:ascii="宋体" w:hAnsi="宋体"/>
                <w:szCs w:val="21"/>
              </w:rPr>
              <w:t>招标代理：：</w:t>
            </w:r>
            <w:r>
              <w:rPr>
                <w:rFonts w:hint="eastAsia" w:ascii="宋体" w:hAnsi="宋体"/>
                <w:szCs w:val="21"/>
                <w:u w:val="single"/>
              </w:rPr>
              <w:t>建成工程咨询股份有限公司</w:t>
            </w:r>
          </w:p>
          <w:p w14:paraId="0FE056D2">
            <w:pPr>
              <w:rPr>
                <w:rFonts w:hint="eastAsia" w:ascii="宋体" w:hAnsi="宋体"/>
                <w:szCs w:val="21"/>
                <w:u w:val="single"/>
              </w:rPr>
            </w:pPr>
            <w:r>
              <w:rPr>
                <w:rFonts w:hint="eastAsia" w:ascii="宋体" w:hAnsi="宋体"/>
                <w:szCs w:val="21"/>
              </w:rPr>
              <w:t>设计单位：</w:t>
            </w:r>
            <w:r>
              <w:rPr>
                <w:rFonts w:hint="eastAsia" w:ascii="宋体" w:hAnsi="宋体"/>
                <w:szCs w:val="21"/>
                <w:u w:val="single"/>
              </w:rPr>
              <w:t xml:space="preserve">机械工业第四设计研究院有限公司    </w:t>
            </w:r>
          </w:p>
          <w:p w14:paraId="2C6F7ED2">
            <w:pPr>
              <w:rPr>
                <w:rFonts w:hint="eastAsia" w:ascii="宋体" w:hAnsi="宋体"/>
                <w:szCs w:val="21"/>
                <w:u w:val="single"/>
              </w:rPr>
            </w:pPr>
            <w:r>
              <w:rPr>
                <w:rFonts w:hint="eastAsia" w:ascii="宋体" w:hAnsi="宋体"/>
                <w:szCs w:val="21"/>
              </w:rPr>
              <w:t>监理单位：</w:t>
            </w:r>
            <w:r>
              <w:rPr>
                <w:rFonts w:ascii="宋体" w:hAnsi="宋体"/>
                <w:szCs w:val="21"/>
                <w:u w:val="single"/>
              </w:rPr>
              <w:t xml:space="preserve">   </w:t>
            </w:r>
            <w:r>
              <w:rPr>
                <w:rFonts w:hint="eastAsia" w:ascii="宋体" w:hAnsi="宋体"/>
                <w:szCs w:val="21"/>
                <w:u w:val="single"/>
              </w:rPr>
              <w:t>广州宏达工程顾问集团有限公司</w:t>
            </w:r>
            <w:r>
              <w:rPr>
                <w:rFonts w:ascii="宋体" w:hAnsi="宋体"/>
                <w:szCs w:val="21"/>
                <w:u w:val="single"/>
              </w:rPr>
              <w:t xml:space="preserve">   </w:t>
            </w:r>
          </w:p>
          <w:p w14:paraId="4C611189">
            <w:pPr>
              <w:rPr>
                <w:rFonts w:hint="eastAsia" w:ascii="宋体" w:hAnsi="宋体"/>
                <w:szCs w:val="21"/>
              </w:rPr>
            </w:pPr>
            <w:r>
              <w:rPr>
                <w:rFonts w:hint="eastAsia" w:ascii="宋体" w:hAnsi="宋体"/>
                <w:szCs w:val="21"/>
              </w:rPr>
              <w:t>检测机构：</w:t>
            </w:r>
            <w:r>
              <w:rPr>
                <w:rFonts w:hint="eastAsia" w:ascii="宋体" w:hAnsi="宋体"/>
                <w:szCs w:val="21"/>
                <w:u w:val="single"/>
              </w:rPr>
              <w:t xml:space="preserve">              /                   </w:t>
            </w:r>
          </w:p>
        </w:tc>
      </w:tr>
      <w:tr w14:paraId="0EBF2FA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trPr>
        <w:tc>
          <w:tcPr>
            <w:tcW w:w="702" w:type="dxa"/>
            <w:tcBorders>
              <w:top w:val="single" w:color="auto" w:sz="4" w:space="0"/>
              <w:left w:val="double" w:color="auto" w:sz="4" w:space="0"/>
              <w:bottom w:val="single" w:color="auto" w:sz="4" w:space="0"/>
              <w:right w:val="single" w:color="auto" w:sz="4" w:space="0"/>
            </w:tcBorders>
            <w:vAlign w:val="center"/>
          </w:tcPr>
          <w:p w14:paraId="3A4B7568">
            <w:pPr>
              <w:rPr>
                <w:rFonts w:hint="eastAsia" w:ascii="宋体" w:hAnsi="宋体"/>
                <w:szCs w:val="21"/>
              </w:rPr>
            </w:pPr>
            <w:r>
              <w:rPr>
                <w:rFonts w:ascii="宋体" w:hAnsi="宋体"/>
                <w:szCs w:val="21"/>
              </w:rPr>
              <w:t>2</w:t>
            </w:r>
          </w:p>
        </w:tc>
        <w:tc>
          <w:tcPr>
            <w:tcW w:w="981" w:type="dxa"/>
            <w:tcBorders>
              <w:top w:val="single" w:color="auto" w:sz="4" w:space="0"/>
              <w:left w:val="single" w:color="auto" w:sz="4" w:space="0"/>
              <w:bottom w:val="single" w:color="auto" w:sz="4" w:space="0"/>
              <w:right w:val="single" w:color="auto" w:sz="4" w:space="0"/>
            </w:tcBorders>
            <w:vAlign w:val="center"/>
          </w:tcPr>
          <w:p w14:paraId="7BE3EA66">
            <w:pPr>
              <w:rPr>
                <w:rFonts w:hint="eastAsia" w:ascii="宋体" w:hAnsi="宋体"/>
                <w:szCs w:val="21"/>
              </w:rPr>
            </w:pPr>
            <w:r>
              <w:rPr>
                <w:rFonts w:ascii="宋体" w:hAnsi="宋体"/>
                <w:szCs w:val="21"/>
              </w:rPr>
              <w:t>2.2</w:t>
            </w:r>
          </w:p>
        </w:tc>
        <w:tc>
          <w:tcPr>
            <w:tcW w:w="1592" w:type="dxa"/>
            <w:tcBorders>
              <w:top w:val="single" w:color="auto" w:sz="4" w:space="0"/>
              <w:left w:val="single" w:color="auto" w:sz="4" w:space="0"/>
              <w:bottom w:val="single" w:color="auto" w:sz="4" w:space="0"/>
              <w:right w:val="single" w:color="auto" w:sz="4" w:space="0"/>
            </w:tcBorders>
            <w:vAlign w:val="center"/>
          </w:tcPr>
          <w:p w14:paraId="71A4402A">
            <w:pPr>
              <w:rPr>
                <w:rFonts w:hint="eastAsia" w:ascii="宋体" w:hAnsi="宋体"/>
                <w:szCs w:val="21"/>
              </w:rPr>
            </w:pPr>
            <w:r>
              <w:rPr>
                <w:rFonts w:hint="eastAsia" w:ascii="宋体" w:hAnsi="宋体"/>
                <w:szCs w:val="21"/>
              </w:rPr>
              <w:t>名称</w:t>
            </w:r>
          </w:p>
        </w:tc>
        <w:tc>
          <w:tcPr>
            <w:tcW w:w="6075" w:type="dxa"/>
            <w:tcBorders>
              <w:top w:val="single" w:color="auto" w:sz="4" w:space="0"/>
              <w:left w:val="single" w:color="auto" w:sz="4" w:space="0"/>
              <w:bottom w:val="single" w:color="auto" w:sz="4" w:space="0"/>
              <w:right w:val="double" w:color="auto" w:sz="4" w:space="0"/>
            </w:tcBorders>
            <w:vAlign w:val="center"/>
          </w:tcPr>
          <w:p w14:paraId="453E87DD">
            <w:r>
              <w:rPr>
                <w:rFonts w:hint="eastAsia"/>
              </w:rPr>
              <w:t>工程名称：</w:t>
            </w:r>
            <w:r>
              <w:rPr>
                <w:rFonts w:hint="eastAsia" w:hAnsi="宋体"/>
                <w:szCs w:val="21"/>
                <w:u w:val="single"/>
              </w:rPr>
              <w:t>广州广汽荻原模具冲压有限公司数字化新工厂建设项目</w:t>
            </w:r>
          </w:p>
          <w:p w14:paraId="0AEF05D3">
            <w:pPr>
              <w:pStyle w:val="2"/>
              <w:rPr>
                <w:u w:val="single"/>
              </w:rPr>
            </w:pPr>
            <w:r>
              <w:rPr>
                <w:rFonts w:hint="eastAsia" w:hAnsi="宋体"/>
                <w:szCs w:val="21"/>
              </w:rPr>
              <w:t>招标项目名称：</w:t>
            </w:r>
            <w:r>
              <w:rPr>
                <w:rFonts w:hint="eastAsia" w:hAnsi="宋体"/>
                <w:szCs w:val="21"/>
                <w:u w:val="single"/>
              </w:rPr>
              <w:t xml:space="preserve"> </w:t>
            </w:r>
            <w:r>
              <w:rPr>
                <w:rFonts w:hint="eastAsia"/>
                <w:u w:val="single"/>
              </w:rPr>
              <w:t>广州广汽荻原模具冲压有限公司数字化新工厂建设项目-厂区配套工程施工总承包</w:t>
            </w:r>
          </w:p>
        </w:tc>
      </w:tr>
      <w:tr w14:paraId="5E3F5BE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02" w:type="dxa"/>
            <w:tcBorders>
              <w:top w:val="single" w:color="auto" w:sz="4" w:space="0"/>
              <w:left w:val="double" w:color="auto" w:sz="4" w:space="0"/>
              <w:bottom w:val="single" w:color="auto" w:sz="4" w:space="0"/>
              <w:right w:val="single" w:color="auto" w:sz="4" w:space="0"/>
            </w:tcBorders>
            <w:vAlign w:val="center"/>
          </w:tcPr>
          <w:p w14:paraId="57938510">
            <w:pPr>
              <w:rPr>
                <w:rFonts w:hint="eastAsia" w:ascii="宋体" w:hAnsi="宋体"/>
                <w:szCs w:val="21"/>
              </w:rPr>
            </w:pPr>
            <w:r>
              <w:rPr>
                <w:rFonts w:ascii="宋体" w:hAnsi="宋体"/>
                <w:szCs w:val="21"/>
              </w:rPr>
              <w:t>3</w:t>
            </w:r>
          </w:p>
        </w:tc>
        <w:tc>
          <w:tcPr>
            <w:tcW w:w="981" w:type="dxa"/>
            <w:tcBorders>
              <w:top w:val="single" w:color="auto" w:sz="4" w:space="0"/>
              <w:left w:val="single" w:color="auto" w:sz="4" w:space="0"/>
              <w:bottom w:val="single" w:color="auto" w:sz="4" w:space="0"/>
              <w:right w:val="single" w:color="auto" w:sz="4" w:space="0"/>
            </w:tcBorders>
            <w:vAlign w:val="center"/>
          </w:tcPr>
          <w:p w14:paraId="51649286">
            <w:pPr>
              <w:rPr>
                <w:rFonts w:hint="eastAsia" w:ascii="宋体" w:hAnsi="宋体"/>
                <w:szCs w:val="21"/>
              </w:rPr>
            </w:pPr>
            <w:r>
              <w:rPr>
                <w:rFonts w:ascii="宋体" w:hAnsi="宋体"/>
                <w:szCs w:val="21"/>
              </w:rPr>
              <w:t>2.2</w:t>
            </w:r>
          </w:p>
        </w:tc>
        <w:tc>
          <w:tcPr>
            <w:tcW w:w="1592" w:type="dxa"/>
            <w:tcBorders>
              <w:top w:val="single" w:color="auto" w:sz="4" w:space="0"/>
              <w:left w:val="single" w:color="auto" w:sz="4" w:space="0"/>
              <w:bottom w:val="single" w:color="auto" w:sz="4" w:space="0"/>
              <w:right w:val="single" w:color="auto" w:sz="4" w:space="0"/>
            </w:tcBorders>
            <w:vAlign w:val="center"/>
          </w:tcPr>
          <w:p w14:paraId="1A56051C">
            <w:pPr>
              <w:rPr>
                <w:rFonts w:hint="eastAsia" w:ascii="宋体" w:hAnsi="宋体"/>
                <w:szCs w:val="21"/>
              </w:rPr>
            </w:pPr>
            <w:r>
              <w:rPr>
                <w:rFonts w:hint="eastAsia" w:ascii="宋体" w:hAnsi="宋体"/>
                <w:szCs w:val="21"/>
              </w:rPr>
              <w:t>建设地点</w:t>
            </w:r>
          </w:p>
        </w:tc>
        <w:tc>
          <w:tcPr>
            <w:tcW w:w="6075" w:type="dxa"/>
            <w:tcBorders>
              <w:top w:val="single" w:color="auto" w:sz="4" w:space="0"/>
              <w:left w:val="single" w:color="auto" w:sz="4" w:space="0"/>
              <w:bottom w:val="single" w:color="auto" w:sz="4" w:space="0"/>
              <w:right w:val="double" w:color="auto" w:sz="4" w:space="0"/>
            </w:tcBorders>
            <w:vAlign w:val="center"/>
          </w:tcPr>
          <w:p w14:paraId="710EC242">
            <w:pPr>
              <w:rPr>
                <w:rFonts w:hint="eastAsia" w:ascii="宋体" w:hAnsi="宋体"/>
                <w:szCs w:val="21"/>
                <w:u w:val="single"/>
              </w:rPr>
            </w:pPr>
            <w:r>
              <w:rPr>
                <w:rFonts w:hint="eastAsia" w:ascii="宋体" w:hAnsi="宋体"/>
                <w:szCs w:val="21"/>
                <w:u w:val="single"/>
              </w:rPr>
              <w:t>广州市番禺区化龙镇HL18J-03草堂立交东侧C地块一(地块编码:BD0501033及BD0501034)</w:t>
            </w:r>
          </w:p>
        </w:tc>
      </w:tr>
      <w:tr w14:paraId="6318EDC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702" w:type="dxa"/>
            <w:tcBorders>
              <w:top w:val="single" w:color="auto" w:sz="4" w:space="0"/>
              <w:left w:val="double" w:color="auto" w:sz="4" w:space="0"/>
              <w:bottom w:val="single" w:color="auto" w:sz="4" w:space="0"/>
              <w:right w:val="single" w:color="auto" w:sz="4" w:space="0"/>
            </w:tcBorders>
            <w:vAlign w:val="center"/>
          </w:tcPr>
          <w:p w14:paraId="3FB6A056">
            <w:pPr>
              <w:rPr>
                <w:rFonts w:hint="eastAsia" w:ascii="宋体" w:hAnsi="宋体"/>
                <w:szCs w:val="21"/>
              </w:rPr>
            </w:pPr>
            <w:r>
              <w:rPr>
                <w:rFonts w:ascii="宋体" w:hAnsi="宋体"/>
                <w:szCs w:val="21"/>
              </w:rPr>
              <w:t>4</w:t>
            </w:r>
          </w:p>
        </w:tc>
        <w:tc>
          <w:tcPr>
            <w:tcW w:w="981" w:type="dxa"/>
            <w:tcBorders>
              <w:top w:val="single" w:color="auto" w:sz="4" w:space="0"/>
              <w:left w:val="single" w:color="auto" w:sz="4" w:space="0"/>
              <w:bottom w:val="single" w:color="auto" w:sz="4" w:space="0"/>
              <w:right w:val="single" w:color="auto" w:sz="4" w:space="0"/>
            </w:tcBorders>
            <w:vAlign w:val="center"/>
          </w:tcPr>
          <w:p w14:paraId="5C31EC24">
            <w:pPr>
              <w:rPr>
                <w:rFonts w:hint="eastAsia" w:ascii="宋体" w:hAnsi="宋体"/>
                <w:szCs w:val="21"/>
              </w:rPr>
            </w:pPr>
            <w:r>
              <w:rPr>
                <w:rFonts w:ascii="宋体" w:hAnsi="宋体"/>
                <w:szCs w:val="21"/>
              </w:rPr>
              <w:t>2.2</w:t>
            </w:r>
          </w:p>
        </w:tc>
        <w:tc>
          <w:tcPr>
            <w:tcW w:w="1592" w:type="dxa"/>
            <w:tcBorders>
              <w:top w:val="single" w:color="auto" w:sz="4" w:space="0"/>
              <w:left w:val="single" w:color="auto" w:sz="4" w:space="0"/>
              <w:bottom w:val="single" w:color="auto" w:sz="4" w:space="0"/>
              <w:right w:val="single" w:color="auto" w:sz="4" w:space="0"/>
            </w:tcBorders>
            <w:vAlign w:val="center"/>
          </w:tcPr>
          <w:p w14:paraId="023D064F">
            <w:pPr>
              <w:rPr>
                <w:rFonts w:hint="eastAsia" w:ascii="宋体" w:hAnsi="宋体"/>
                <w:szCs w:val="21"/>
              </w:rPr>
            </w:pPr>
            <w:r>
              <w:rPr>
                <w:rFonts w:hint="eastAsia" w:ascii="宋体" w:hAnsi="宋体"/>
                <w:szCs w:val="21"/>
              </w:rPr>
              <w:t>建设规模</w:t>
            </w:r>
          </w:p>
        </w:tc>
        <w:tc>
          <w:tcPr>
            <w:tcW w:w="6075" w:type="dxa"/>
            <w:tcBorders>
              <w:top w:val="single" w:color="auto" w:sz="4" w:space="0"/>
              <w:left w:val="single" w:color="auto" w:sz="4" w:space="0"/>
              <w:bottom w:val="single" w:color="auto" w:sz="4" w:space="0"/>
              <w:right w:val="double" w:color="auto" w:sz="4" w:space="0"/>
            </w:tcBorders>
            <w:vAlign w:val="center"/>
          </w:tcPr>
          <w:p w14:paraId="7A27C762">
            <w:pPr>
              <w:rPr>
                <w:rFonts w:hint="eastAsia" w:ascii="宋体" w:hAnsi="宋体"/>
                <w:szCs w:val="21"/>
                <w:u w:val="single"/>
              </w:rPr>
            </w:pPr>
            <w:r>
              <w:rPr>
                <w:rFonts w:hint="eastAsia" w:ascii="宋体" w:hAnsi="宋体"/>
                <w:szCs w:val="21"/>
              </w:rPr>
              <w:t>详见本工程招标公告。</w:t>
            </w:r>
          </w:p>
        </w:tc>
      </w:tr>
      <w:tr w14:paraId="77103A4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trPr>
        <w:tc>
          <w:tcPr>
            <w:tcW w:w="702" w:type="dxa"/>
            <w:tcBorders>
              <w:top w:val="single" w:color="auto" w:sz="4" w:space="0"/>
              <w:left w:val="double" w:color="auto" w:sz="4" w:space="0"/>
              <w:bottom w:val="single" w:color="auto" w:sz="4" w:space="0"/>
              <w:right w:val="single" w:color="auto" w:sz="4" w:space="0"/>
            </w:tcBorders>
            <w:vAlign w:val="center"/>
          </w:tcPr>
          <w:p w14:paraId="4E667003">
            <w:pPr>
              <w:rPr>
                <w:rFonts w:hint="eastAsia" w:ascii="宋体" w:hAnsi="宋体"/>
                <w:szCs w:val="21"/>
              </w:rPr>
            </w:pPr>
            <w:r>
              <w:rPr>
                <w:rFonts w:ascii="宋体" w:hAnsi="宋体"/>
                <w:szCs w:val="21"/>
              </w:rPr>
              <w:t>5</w:t>
            </w:r>
          </w:p>
        </w:tc>
        <w:tc>
          <w:tcPr>
            <w:tcW w:w="981" w:type="dxa"/>
            <w:tcBorders>
              <w:top w:val="single" w:color="auto" w:sz="4" w:space="0"/>
              <w:left w:val="single" w:color="auto" w:sz="4" w:space="0"/>
              <w:bottom w:val="single" w:color="auto" w:sz="4" w:space="0"/>
              <w:right w:val="single" w:color="auto" w:sz="4" w:space="0"/>
            </w:tcBorders>
            <w:vAlign w:val="center"/>
          </w:tcPr>
          <w:p w14:paraId="4AE40DF0">
            <w:pPr>
              <w:rPr>
                <w:rFonts w:hint="eastAsia" w:ascii="宋体" w:hAnsi="宋体"/>
                <w:szCs w:val="21"/>
              </w:rPr>
            </w:pPr>
            <w:r>
              <w:rPr>
                <w:rFonts w:ascii="宋体" w:hAnsi="宋体"/>
                <w:szCs w:val="21"/>
              </w:rPr>
              <w:t>2.2</w:t>
            </w:r>
          </w:p>
        </w:tc>
        <w:tc>
          <w:tcPr>
            <w:tcW w:w="1592" w:type="dxa"/>
            <w:tcBorders>
              <w:top w:val="single" w:color="auto" w:sz="4" w:space="0"/>
              <w:left w:val="single" w:color="auto" w:sz="4" w:space="0"/>
              <w:bottom w:val="single" w:color="auto" w:sz="4" w:space="0"/>
              <w:right w:val="single" w:color="auto" w:sz="4" w:space="0"/>
            </w:tcBorders>
            <w:vAlign w:val="center"/>
          </w:tcPr>
          <w:p w14:paraId="29F78AC7">
            <w:pPr>
              <w:rPr>
                <w:rFonts w:hint="eastAsia" w:ascii="宋体" w:hAnsi="宋体"/>
                <w:szCs w:val="21"/>
              </w:rPr>
            </w:pPr>
            <w:r>
              <w:rPr>
                <w:rFonts w:hint="eastAsia" w:ascii="宋体" w:hAnsi="宋体"/>
                <w:szCs w:val="21"/>
              </w:rPr>
              <w:t>承包方式</w:t>
            </w:r>
          </w:p>
        </w:tc>
        <w:tc>
          <w:tcPr>
            <w:tcW w:w="6075" w:type="dxa"/>
            <w:tcBorders>
              <w:top w:val="single" w:color="auto" w:sz="4" w:space="0"/>
              <w:left w:val="single" w:color="auto" w:sz="4" w:space="0"/>
              <w:bottom w:val="single" w:color="auto" w:sz="4" w:space="0"/>
              <w:right w:val="double" w:color="auto" w:sz="4" w:space="0"/>
            </w:tcBorders>
            <w:vAlign w:val="center"/>
          </w:tcPr>
          <w:p w14:paraId="1893BEED">
            <w:pPr>
              <w:rPr>
                <w:rFonts w:hint="eastAsia" w:ascii="宋体" w:hAnsi="宋体"/>
                <w:szCs w:val="21"/>
                <w:u w:val="single"/>
              </w:rPr>
            </w:pPr>
            <w:bookmarkStart w:id="9" w:name="OLE_LINK19"/>
            <w:r>
              <w:rPr>
                <w:rFonts w:hint="eastAsia" w:ascii="宋体" w:hAnsi="宋体"/>
                <w:szCs w:val="21"/>
                <w:u w:val="single"/>
              </w:rPr>
              <w:t>按招标文件、全套施工图纸及设计说明、工程量清单、技术资料、招标答疑所载明的全部施工内容总价包干(包括但不限于:包工、包料、包机械、包设备、包工期、包质量、包造价控制、包安全生产、包文明施工、包劳保、包报建、包综合治理、包保修、包项目措施（含不可计量项目措施费包干）、包承包范围内工程验收通过、包三通一平、包通水、包通电、包移交、包结算、包承包人应当购买的保险、包竣工图编制（须满足各专项验收要求）、包组织实施工作、包项目承包人间协调管理、包专业协调及配合、包承包人应当购买的保险，包组织项目整体竣工验收（含资料汇总收集整理、移交档案、政府申报）等，并取得相关政府部门认可的验收合格证明文件。</w:t>
            </w:r>
            <w:bookmarkEnd w:id="9"/>
          </w:p>
        </w:tc>
      </w:tr>
      <w:tr w14:paraId="468C0AB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702" w:type="dxa"/>
            <w:tcBorders>
              <w:top w:val="single" w:color="auto" w:sz="4" w:space="0"/>
              <w:left w:val="double" w:color="auto" w:sz="4" w:space="0"/>
              <w:bottom w:val="single" w:color="auto" w:sz="4" w:space="0"/>
              <w:right w:val="single" w:color="auto" w:sz="4" w:space="0"/>
            </w:tcBorders>
            <w:vAlign w:val="center"/>
          </w:tcPr>
          <w:p w14:paraId="449887C4">
            <w:pPr>
              <w:rPr>
                <w:rFonts w:hint="eastAsia" w:ascii="宋体" w:hAnsi="宋体"/>
                <w:szCs w:val="21"/>
              </w:rPr>
            </w:pPr>
            <w:r>
              <w:rPr>
                <w:rFonts w:ascii="宋体" w:hAnsi="宋体"/>
                <w:szCs w:val="21"/>
              </w:rPr>
              <w:t>6</w:t>
            </w:r>
          </w:p>
        </w:tc>
        <w:tc>
          <w:tcPr>
            <w:tcW w:w="981" w:type="dxa"/>
            <w:tcBorders>
              <w:top w:val="single" w:color="auto" w:sz="4" w:space="0"/>
              <w:left w:val="single" w:color="auto" w:sz="4" w:space="0"/>
              <w:bottom w:val="single" w:color="auto" w:sz="4" w:space="0"/>
              <w:right w:val="single" w:color="auto" w:sz="4" w:space="0"/>
            </w:tcBorders>
            <w:vAlign w:val="center"/>
          </w:tcPr>
          <w:p w14:paraId="2A9D3941">
            <w:pPr>
              <w:rPr>
                <w:rFonts w:hint="eastAsia" w:ascii="宋体" w:hAnsi="宋体"/>
                <w:szCs w:val="21"/>
              </w:rPr>
            </w:pPr>
            <w:r>
              <w:rPr>
                <w:rFonts w:ascii="宋体" w:hAnsi="宋体"/>
                <w:szCs w:val="21"/>
              </w:rPr>
              <w:t>2.2</w:t>
            </w:r>
          </w:p>
        </w:tc>
        <w:tc>
          <w:tcPr>
            <w:tcW w:w="1592" w:type="dxa"/>
            <w:tcBorders>
              <w:top w:val="single" w:color="auto" w:sz="4" w:space="0"/>
              <w:left w:val="single" w:color="auto" w:sz="4" w:space="0"/>
              <w:bottom w:val="single" w:color="auto" w:sz="4" w:space="0"/>
              <w:right w:val="single" w:color="auto" w:sz="4" w:space="0"/>
            </w:tcBorders>
            <w:vAlign w:val="center"/>
          </w:tcPr>
          <w:p w14:paraId="6CAA3E4A">
            <w:pPr>
              <w:rPr>
                <w:rFonts w:hint="eastAsia" w:ascii="宋体" w:hAnsi="宋体"/>
                <w:szCs w:val="21"/>
              </w:rPr>
            </w:pPr>
            <w:r>
              <w:rPr>
                <w:rFonts w:hint="eastAsia" w:ascii="宋体" w:hAnsi="宋体"/>
                <w:szCs w:val="21"/>
              </w:rPr>
              <w:t>质量标准</w:t>
            </w:r>
          </w:p>
        </w:tc>
        <w:tc>
          <w:tcPr>
            <w:tcW w:w="6075" w:type="dxa"/>
            <w:tcBorders>
              <w:top w:val="single" w:color="auto" w:sz="4" w:space="0"/>
              <w:left w:val="single" w:color="auto" w:sz="4" w:space="0"/>
              <w:bottom w:val="single" w:color="auto" w:sz="4" w:space="0"/>
              <w:right w:val="double" w:color="auto" w:sz="4" w:space="0"/>
            </w:tcBorders>
            <w:vAlign w:val="center"/>
          </w:tcPr>
          <w:p w14:paraId="5A248841">
            <w:pPr>
              <w:rPr>
                <w:rFonts w:hint="eastAsia" w:ascii="宋体" w:hAnsi="宋体"/>
                <w:szCs w:val="21"/>
                <w:u w:val="single"/>
              </w:rPr>
            </w:pPr>
            <w:r>
              <w:rPr>
                <w:rFonts w:hint="eastAsia" w:ascii="宋体" w:hAnsi="宋体" w:cs="宋体"/>
                <w:szCs w:val="21"/>
                <w:u w:val="single"/>
              </w:rPr>
              <w:t>工程质量均严格按照施工图的设计要求及国家、广东省、工程所在地及有关施工及验收规范、规程、标准进行施工和验收，工程质量须达到合格工程质量标准。工程达不到合格标准的，由中标人无偿返修并承担由此造成的损失和责任，工期不予顺延。工程质量按有关部门验收认定为准。最终质量标准以合同条款为准。</w:t>
            </w:r>
          </w:p>
        </w:tc>
      </w:tr>
      <w:tr w14:paraId="7D53D75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702" w:type="dxa"/>
            <w:tcBorders>
              <w:top w:val="single" w:color="auto" w:sz="4" w:space="0"/>
              <w:left w:val="double" w:color="auto" w:sz="4" w:space="0"/>
              <w:bottom w:val="single" w:color="auto" w:sz="4" w:space="0"/>
              <w:right w:val="single" w:color="auto" w:sz="4" w:space="0"/>
            </w:tcBorders>
            <w:vAlign w:val="center"/>
          </w:tcPr>
          <w:p w14:paraId="0583036B">
            <w:pPr>
              <w:rPr>
                <w:rFonts w:hint="eastAsia" w:ascii="宋体" w:hAnsi="宋体"/>
                <w:szCs w:val="21"/>
              </w:rPr>
            </w:pPr>
            <w:r>
              <w:rPr>
                <w:rFonts w:ascii="宋体" w:hAnsi="宋体"/>
                <w:szCs w:val="21"/>
              </w:rPr>
              <w:t>7</w:t>
            </w:r>
          </w:p>
        </w:tc>
        <w:tc>
          <w:tcPr>
            <w:tcW w:w="981" w:type="dxa"/>
            <w:tcBorders>
              <w:top w:val="single" w:color="auto" w:sz="4" w:space="0"/>
              <w:left w:val="single" w:color="auto" w:sz="4" w:space="0"/>
              <w:bottom w:val="single" w:color="auto" w:sz="4" w:space="0"/>
              <w:right w:val="single" w:color="auto" w:sz="4" w:space="0"/>
            </w:tcBorders>
            <w:vAlign w:val="center"/>
          </w:tcPr>
          <w:p w14:paraId="0E26CE8E">
            <w:pPr>
              <w:rPr>
                <w:rFonts w:hint="eastAsia" w:ascii="宋体" w:hAnsi="宋体"/>
                <w:szCs w:val="21"/>
              </w:rPr>
            </w:pPr>
            <w:r>
              <w:rPr>
                <w:rFonts w:ascii="宋体" w:hAnsi="宋体"/>
                <w:szCs w:val="21"/>
              </w:rPr>
              <w:t>2.2</w:t>
            </w:r>
          </w:p>
        </w:tc>
        <w:tc>
          <w:tcPr>
            <w:tcW w:w="1592" w:type="dxa"/>
            <w:tcBorders>
              <w:top w:val="single" w:color="auto" w:sz="4" w:space="0"/>
              <w:left w:val="single" w:color="auto" w:sz="4" w:space="0"/>
              <w:bottom w:val="single" w:color="auto" w:sz="4" w:space="0"/>
              <w:right w:val="single" w:color="auto" w:sz="4" w:space="0"/>
            </w:tcBorders>
            <w:vAlign w:val="center"/>
          </w:tcPr>
          <w:p w14:paraId="01CED749">
            <w:pPr>
              <w:rPr>
                <w:rFonts w:hint="eastAsia" w:ascii="宋体" w:hAnsi="宋体"/>
                <w:szCs w:val="21"/>
              </w:rPr>
            </w:pPr>
            <w:r>
              <w:rPr>
                <w:rFonts w:hint="eastAsia" w:ascii="宋体" w:hAnsi="宋体"/>
                <w:szCs w:val="21"/>
              </w:rPr>
              <w:t>招标范围</w:t>
            </w:r>
          </w:p>
        </w:tc>
        <w:tc>
          <w:tcPr>
            <w:tcW w:w="6075" w:type="dxa"/>
            <w:tcBorders>
              <w:top w:val="single" w:color="auto" w:sz="4" w:space="0"/>
              <w:left w:val="single" w:color="auto" w:sz="4" w:space="0"/>
              <w:bottom w:val="single" w:color="auto" w:sz="4" w:space="0"/>
              <w:right w:val="double" w:color="auto" w:sz="4" w:space="0"/>
            </w:tcBorders>
            <w:vAlign w:val="center"/>
          </w:tcPr>
          <w:p w14:paraId="7725B9BF">
            <w:pPr>
              <w:rPr>
                <w:rFonts w:hint="eastAsia" w:ascii="宋体" w:hAnsi="宋体"/>
                <w:szCs w:val="21"/>
                <w:u w:val="single"/>
              </w:rPr>
            </w:pPr>
            <w:r>
              <w:rPr>
                <w:rFonts w:hint="eastAsia" w:ascii="宋体" w:hAnsi="宋体" w:cs="宋体"/>
                <w:szCs w:val="21"/>
                <w:u w:val="single"/>
              </w:rPr>
              <w:t>详见本工程招标公告。</w:t>
            </w:r>
          </w:p>
        </w:tc>
      </w:tr>
      <w:tr w14:paraId="3D4FC23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trPr>
        <w:tc>
          <w:tcPr>
            <w:tcW w:w="702" w:type="dxa"/>
            <w:tcBorders>
              <w:top w:val="single" w:color="auto" w:sz="4" w:space="0"/>
              <w:left w:val="double" w:color="auto" w:sz="4" w:space="0"/>
              <w:bottom w:val="single" w:color="auto" w:sz="4" w:space="0"/>
              <w:right w:val="single" w:color="auto" w:sz="4" w:space="0"/>
            </w:tcBorders>
            <w:vAlign w:val="center"/>
          </w:tcPr>
          <w:p w14:paraId="1479E8D3">
            <w:pPr>
              <w:rPr>
                <w:rFonts w:hint="eastAsia" w:ascii="宋体" w:hAnsi="宋体"/>
                <w:szCs w:val="21"/>
              </w:rPr>
            </w:pPr>
            <w:r>
              <w:rPr>
                <w:rFonts w:ascii="宋体" w:hAnsi="宋体"/>
                <w:szCs w:val="21"/>
              </w:rPr>
              <w:t>8</w:t>
            </w:r>
          </w:p>
        </w:tc>
        <w:tc>
          <w:tcPr>
            <w:tcW w:w="981" w:type="dxa"/>
            <w:tcBorders>
              <w:top w:val="single" w:color="auto" w:sz="4" w:space="0"/>
              <w:left w:val="single" w:color="auto" w:sz="4" w:space="0"/>
              <w:bottom w:val="single" w:color="auto" w:sz="4" w:space="0"/>
              <w:right w:val="single" w:color="auto" w:sz="4" w:space="0"/>
            </w:tcBorders>
            <w:vAlign w:val="center"/>
          </w:tcPr>
          <w:p w14:paraId="23E598A2">
            <w:pPr>
              <w:rPr>
                <w:rFonts w:hint="eastAsia" w:ascii="宋体" w:hAnsi="宋体"/>
                <w:szCs w:val="21"/>
              </w:rPr>
            </w:pPr>
            <w:r>
              <w:rPr>
                <w:rFonts w:ascii="宋体" w:hAnsi="宋体"/>
                <w:szCs w:val="21"/>
              </w:rPr>
              <w:t>2.2</w:t>
            </w:r>
          </w:p>
        </w:tc>
        <w:tc>
          <w:tcPr>
            <w:tcW w:w="1592" w:type="dxa"/>
            <w:tcBorders>
              <w:top w:val="single" w:color="auto" w:sz="4" w:space="0"/>
              <w:left w:val="single" w:color="auto" w:sz="4" w:space="0"/>
              <w:bottom w:val="single" w:color="auto" w:sz="4" w:space="0"/>
              <w:right w:val="single" w:color="auto" w:sz="4" w:space="0"/>
            </w:tcBorders>
            <w:vAlign w:val="center"/>
          </w:tcPr>
          <w:p w14:paraId="3A1D383F">
            <w:pPr>
              <w:rPr>
                <w:rFonts w:hint="eastAsia" w:ascii="宋体" w:hAnsi="宋体"/>
                <w:szCs w:val="21"/>
              </w:rPr>
            </w:pPr>
            <w:r>
              <w:rPr>
                <w:rFonts w:hint="eastAsia" w:ascii="宋体" w:hAnsi="宋体"/>
                <w:szCs w:val="21"/>
              </w:rPr>
              <w:t>工期要求</w:t>
            </w:r>
          </w:p>
        </w:tc>
        <w:tc>
          <w:tcPr>
            <w:tcW w:w="6075" w:type="dxa"/>
            <w:tcBorders>
              <w:top w:val="single" w:color="auto" w:sz="4" w:space="0"/>
              <w:left w:val="single" w:color="auto" w:sz="4" w:space="0"/>
              <w:bottom w:val="single" w:color="auto" w:sz="4" w:space="0"/>
              <w:right w:val="double" w:color="auto" w:sz="4" w:space="0"/>
            </w:tcBorders>
            <w:vAlign w:val="center"/>
          </w:tcPr>
          <w:p w14:paraId="0E03A7F9">
            <w:pPr>
              <w:rPr>
                <w:rFonts w:hint="eastAsia" w:ascii="宋体" w:hAnsi="宋体"/>
                <w:szCs w:val="21"/>
              </w:rPr>
            </w:pPr>
            <w:r>
              <w:rPr>
                <w:rFonts w:hint="eastAsia" w:ascii="宋体" w:hAnsi="宋体" w:cs="宋体"/>
                <w:szCs w:val="21"/>
              </w:rPr>
              <w:t>工期总日历天数：</w:t>
            </w:r>
            <w:r>
              <w:rPr>
                <w:rFonts w:hint="eastAsia" w:ascii="宋体" w:hAnsi="宋体" w:cs="宋体"/>
                <w:szCs w:val="21"/>
                <w:u w:val="single"/>
              </w:rPr>
              <w:t>120</w:t>
            </w:r>
            <w:r>
              <w:rPr>
                <w:rFonts w:hint="eastAsia" w:ascii="宋体" w:hAnsi="宋体" w:cs="宋体"/>
                <w:szCs w:val="21"/>
              </w:rPr>
              <w:t>天。计划开工日期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日，计划竣工日期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r>
              <w:rPr>
                <w:rFonts w:hint="eastAsia" w:ascii="宋体" w:hAnsi="宋体" w:cs="宋体"/>
                <w:szCs w:val="21"/>
                <w:u w:val="single"/>
              </w:rPr>
              <w:t>具体开工日期以监理单位发出的开工令为准</w:t>
            </w:r>
            <w:r>
              <w:rPr>
                <w:rFonts w:hint="eastAsia" w:ascii="宋体" w:hAnsi="宋体" w:cs="宋体"/>
                <w:szCs w:val="21"/>
              </w:rPr>
              <w:t>。</w:t>
            </w:r>
          </w:p>
        </w:tc>
      </w:tr>
      <w:tr w14:paraId="68B3973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14:paraId="37D99743">
            <w:pPr>
              <w:rPr>
                <w:rFonts w:hint="eastAsia" w:ascii="宋体" w:hAnsi="宋体"/>
                <w:szCs w:val="21"/>
              </w:rPr>
            </w:pPr>
            <w:r>
              <w:rPr>
                <w:rFonts w:ascii="宋体" w:hAnsi="宋体"/>
                <w:szCs w:val="21"/>
              </w:rPr>
              <w:t>9</w:t>
            </w:r>
          </w:p>
        </w:tc>
        <w:tc>
          <w:tcPr>
            <w:tcW w:w="981" w:type="dxa"/>
            <w:tcBorders>
              <w:top w:val="single" w:color="auto" w:sz="4" w:space="0"/>
              <w:left w:val="single" w:color="auto" w:sz="4" w:space="0"/>
              <w:bottom w:val="single" w:color="auto" w:sz="4" w:space="0"/>
              <w:right w:val="single" w:color="auto" w:sz="4" w:space="0"/>
            </w:tcBorders>
            <w:vAlign w:val="center"/>
          </w:tcPr>
          <w:p w14:paraId="318CA76E">
            <w:pPr>
              <w:rPr>
                <w:rFonts w:hint="eastAsia" w:ascii="宋体" w:hAnsi="宋体"/>
                <w:szCs w:val="21"/>
              </w:rPr>
            </w:pPr>
            <w:r>
              <w:rPr>
                <w:rFonts w:ascii="宋体" w:hAnsi="宋体"/>
                <w:szCs w:val="21"/>
              </w:rPr>
              <w:t>3.1</w:t>
            </w:r>
          </w:p>
        </w:tc>
        <w:tc>
          <w:tcPr>
            <w:tcW w:w="1592" w:type="dxa"/>
            <w:tcBorders>
              <w:top w:val="single" w:color="auto" w:sz="4" w:space="0"/>
              <w:left w:val="single" w:color="auto" w:sz="4" w:space="0"/>
              <w:bottom w:val="single" w:color="auto" w:sz="4" w:space="0"/>
              <w:right w:val="single" w:color="auto" w:sz="4" w:space="0"/>
            </w:tcBorders>
            <w:vAlign w:val="center"/>
          </w:tcPr>
          <w:p w14:paraId="7BFFE260">
            <w:pPr>
              <w:rPr>
                <w:rFonts w:hint="eastAsia" w:ascii="宋体" w:hAnsi="宋体"/>
                <w:szCs w:val="21"/>
              </w:rPr>
            </w:pPr>
            <w:r>
              <w:rPr>
                <w:rFonts w:hint="eastAsia" w:ascii="宋体" w:hAnsi="宋体"/>
                <w:szCs w:val="21"/>
              </w:rPr>
              <w:t>资金来源</w:t>
            </w:r>
          </w:p>
        </w:tc>
        <w:tc>
          <w:tcPr>
            <w:tcW w:w="6075" w:type="dxa"/>
            <w:tcBorders>
              <w:top w:val="single" w:color="auto" w:sz="4" w:space="0"/>
              <w:left w:val="single" w:color="auto" w:sz="4" w:space="0"/>
              <w:bottom w:val="single" w:color="auto" w:sz="4" w:space="0"/>
              <w:right w:val="double" w:color="auto" w:sz="4" w:space="0"/>
            </w:tcBorders>
            <w:vAlign w:val="center"/>
          </w:tcPr>
          <w:p w14:paraId="229C7EA7">
            <w:pPr>
              <w:rPr>
                <w:rFonts w:hint="eastAsia" w:ascii="宋体" w:hAnsi="宋体"/>
                <w:szCs w:val="21"/>
              </w:rPr>
            </w:pPr>
            <w:r>
              <w:rPr>
                <w:rFonts w:hint="eastAsia" w:ascii="宋体" w:hAnsi="宋体"/>
                <w:szCs w:val="21"/>
              </w:rPr>
              <w:t>企业自筹</w:t>
            </w:r>
          </w:p>
        </w:tc>
      </w:tr>
      <w:tr w14:paraId="36D3428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87" w:hRule="atLeast"/>
        </w:trPr>
        <w:tc>
          <w:tcPr>
            <w:tcW w:w="702" w:type="dxa"/>
            <w:tcBorders>
              <w:top w:val="single" w:color="auto" w:sz="4" w:space="0"/>
              <w:left w:val="double" w:color="auto" w:sz="4" w:space="0"/>
              <w:bottom w:val="single" w:color="auto" w:sz="4" w:space="0"/>
              <w:right w:val="single" w:color="auto" w:sz="4" w:space="0"/>
            </w:tcBorders>
            <w:vAlign w:val="center"/>
          </w:tcPr>
          <w:p w14:paraId="4CBD3548">
            <w:pPr>
              <w:rPr>
                <w:rFonts w:hint="eastAsia" w:ascii="宋体" w:hAnsi="宋体"/>
                <w:szCs w:val="21"/>
              </w:rPr>
            </w:pPr>
            <w:r>
              <w:rPr>
                <w:rFonts w:ascii="宋体" w:hAnsi="宋体"/>
                <w:szCs w:val="21"/>
              </w:rPr>
              <w:t>10</w:t>
            </w:r>
          </w:p>
        </w:tc>
        <w:tc>
          <w:tcPr>
            <w:tcW w:w="981" w:type="dxa"/>
            <w:tcBorders>
              <w:top w:val="single" w:color="auto" w:sz="4" w:space="0"/>
              <w:left w:val="single" w:color="auto" w:sz="4" w:space="0"/>
              <w:bottom w:val="single" w:color="auto" w:sz="4" w:space="0"/>
              <w:right w:val="single" w:color="auto" w:sz="4" w:space="0"/>
            </w:tcBorders>
            <w:vAlign w:val="center"/>
          </w:tcPr>
          <w:p w14:paraId="11B1E141">
            <w:pPr>
              <w:rPr>
                <w:rFonts w:hint="eastAsia" w:ascii="宋体" w:hAnsi="宋体"/>
                <w:szCs w:val="21"/>
              </w:rPr>
            </w:pPr>
            <w:r>
              <w:rPr>
                <w:rFonts w:ascii="宋体" w:hAnsi="宋体"/>
                <w:szCs w:val="21"/>
              </w:rPr>
              <w:t>4.1</w:t>
            </w:r>
          </w:p>
        </w:tc>
        <w:tc>
          <w:tcPr>
            <w:tcW w:w="1592" w:type="dxa"/>
            <w:tcBorders>
              <w:top w:val="single" w:color="auto" w:sz="4" w:space="0"/>
              <w:left w:val="single" w:color="auto" w:sz="4" w:space="0"/>
              <w:bottom w:val="single" w:color="auto" w:sz="4" w:space="0"/>
              <w:right w:val="single" w:color="auto" w:sz="4" w:space="0"/>
            </w:tcBorders>
            <w:vAlign w:val="center"/>
          </w:tcPr>
          <w:p w14:paraId="701B22C6">
            <w:pPr>
              <w:rPr>
                <w:rFonts w:hint="eastAsia" w:ascii="宋体" w:hAnsi="宋体"/>
                <w:szCs w:val="21"/>
              </w:rPr>
            </w:pPr>
            <w:r>
              <w:rPr>
                <w:rFonts w:hint="eastAsia" w:ascii="宋体" w:hAnsi="宋体"/>
                <w:szCs w:val="21"/>
              </w:rPr>
              <w:t>投标人资质等级及项目负责人等级要求</w:t>
            </w:r>
          </w:p>
        </w:tc>
        <w:tc>
          <w:tcPr>
            <w:tcW w:w="6075" w:type="dxa"/>
            <w:tcBorders>
              <w:top w:val="single" w:color="auto" w:sz="4" w:space="0"/>
              <w:left w:val="single" w:color="auto" w:sz="4" w:space="0"/>
              <w:bottom w:val="single" w:color="auto" w:sz="4" w:space="0"/>
              <w:right w:val="double" w:color="auto" w:sz="4" w:space="0"/>
            </w:tcBorders>
            <w:vAlign w:val="center"/>
          </w:tcPr>
          <w:p w14:paraId="5C11ED8E">
            <w:pPr>
              <w:rPr>
                <w:rFonts w:hint="eastAsia" w:ascii="宋体" w:hAnsi="宋体"/>
                <w:szCs w:val="21"/>
              </w:rPr>
            </w:pPr>
            <w:r>
              <w:rPr>
                <w:rFonts w:hint="eastAsia" w:ascii="宋体" w:hAnsi="宋体"/>
                <w:szCs w:val="21"/>
              </w:rPr>
              <w:t>详见本工程招标公告。</w:t>
            </w:r>
          </w:p>
        </w:tc>
      </w:tr>
      <w:tr w14:paraId="2C0B51D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14:paraId="61ABAB4D">
            <w:pPr>
              <w:rPr>
                <w:rFonts w:hint="eastAsia" w:ascii="宋体" w:hAnsi="宋体"/>
                <w:szCs w:val="21"/>
              </w:rPr>
            </w:pPr>
            <w:r>
              <w:rPr>
                <w:rFonts w:ascii="宋体" w:hAnsi="宋体"/>
                <w:szCs w:val="21"/>
              </w:rPr>
              <w:t>11</w:t>
            </w:r>
          </w:p>
        </w:tc>
        <w:tc>
          <w:tcPr>
            <w:tcW w:w="981" w:type="dxa"/>
            <w:tcBorders>
              <w:top w:val="single" w:color="auto" w:sz="4" w:space="0"/>
              <w:left w:val="single" w:color="auto" w:sz="4" w:space="0"/>
              <w:bottom w:val="single" w:color="auto" w:sz="4" w:space="0"/>
              <w:right w:val="single" w:color="auto" w:sz="4" w:space="0"/>
            </w:tcBorders>
            <w:vAlign w:val="center"/>
          </w:tcPr>
          <w:p w14:paraId="11D791A7">
            <w:pPr>
              <w:rPr>
                <w:rFonts w:hint="eastAsia" w:ascii="宋体" w:hAnsi="宋体"/>
                <w:szCs w:val="21"/>
              </w:rPr>
            </w:pPr>
            <w:r>
              <w:rPr>
                <w:rFonts w:hint="eastAsia" w:ascii="宋体" w:hAnsi="宋体"/>
                <w:szCs w:val="21"/>
              </w:rPr>
              <w:t>4.2</w:t>
            </w:r>
          </w:p>
        </w:tc>
        <w:tc>
          <w:tcPr>
            <w:tcW w:w="1592" w:type="dxa"/>
            <w:tcBorders>
              <w:top w:val="single" w:color="auto" w:sz="4" w:space="0"/>
              <w:left w:val="single" w:color="auto" w:sz="4" w:space="0"/>
              <w:bottom w:val="single" w:color="auto" w:sz="4" w:space="0"/>
              <w:right w:val="single" w:color="auto" w:sz="4" w:space="0"/>
            </w:tcBorders>
            <w:vAlign w:val="center"/>
          </w:tcPr>
          <w:p w14:paraId="15FB5DA1">
            <w:pPr>
              <w:rPr>
                <w:rFonts w:hint="eastAsia" w:ascii="宋体" w:hAnsi="宋体"/>
                <w:szCs w:val="21"/>
              </w:rPr>
            </w:pPr>
            <w:r>
              <w:rPr>
                <w:rFonts w:hint="eastAsia" w:ascii="宋体" w:hAnsi="宋体"/>
                <w:szCs w:val="21"/>
              </w:rPr>
              <w:t>资格审查方式</w:t>
            </w:r>
          </w:p>
        </w:tc>
        <w:tc>
          <w:tcPr>
            <w:tcW w:w="6075" w:type="dxa"/>
            <w:tcBorders>
              <w:top w:val="single" w:color="auto" w:sz="4" w:space="0"/>
              <w:left w:val="single" w:color="auto" w:sz="4" w:space="0"/>
              <w:bottom w:val="single" w:color="auto" w:sz="4" w:space="0"/>
              <w:right w:val="double" w:color="auto" w:sz="4" w:space="0"/>
            </w:tcBorders>
            <w:vAlign w:val="center"/>
          </w:tcPr>
          <w:p w14:paraId="6743B889">
            <w:pPr>
              <w:rPr>
                <w:rFonts w:hint="eastAsia" w:ascii="宋体" w:hAnsi="宋体"/>
                <w:szCs w:val="21"/>
              </w:rPr>
            </w:pPr>
            <w:r>
              <w:rPr>
                <w:rFonts w:hint="eastAsia" w:ascii="宋体" w:hAnsi="宋体"/>
                <w:szCs w:val="21"/>
              </w:rPr>
              <w:t>详见本工程招标公告。</w:t>
            </w:r>
          </w:p>
        </w:tc>
      </w:tr>
      <w:tr w14:paraId="7F1D455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14:paraId="494E5D92">
            <w:pPr>
              <w:rPr>
                <w:rFonts w:hint="eastAsia" w:ascii="宋体" w:hAnsi="宋体"/>
                <w:szCs w:val="21"/>
              </w:rPr>
            </w:pPr>
            <w:r>
              <w:rPr>
                <w:rFonts w:hint="eastAsia" w:ascii="宋体" w:hAnsi="宋体"/>
                <w:szCs w:val="21"/>
              </w:rPr>
              <w:t>12</w:t>
            </w:r>
          </w:p>
        </w:tc>
        <w:tc>
          <w:tcPr>
            <w:tcW w:w="981" w:type="dxa"/>
            <w:tcBorders>
              <w:top w:val="single" w:color="auto" w:sz="4" w:space="0"/>
              <w:left w:val="single" w:color="auto" w:sz="4" w:space="0"/>
              <w:bottom w:val="single" w:color="auto" w:sz="4" w:space="0"/>
              <w:right w:val="single" w:color="auto" w:sz="4" w:space="0"/>
            </w:tcBorders>
            <w:vAlign w:val="center"/>
          </w:tcPr>
          <w:p w14:paraId="5E688F0A">
            <w:pPr>
              <w:rPr>
                <w:rFonts w:hint="eastAsia" w:ascii="宋体" w:hAnsi="宋体"/>
                <w:szCs w:val="21"/>
              </w:rPr>
            </w:pPr>
            <w:r>
              <w:rPr>
                <w:rFonts w:ascii="宋体" w:hAnsi="宋体"/>
                <w:szCs w:val="21"/>
              </w:rPr>
              <w:t>5</w:t>
            </w:r>
          </w:p>
        </w:tc>
        <w:tc>
          <w:tcPr>
            <w:tcW w:w="1592" w:type="dxa"/>
            <w:tcBorders>
              <w:top w:val="single" w:color="auto" w:sz="4" w:space="0"/>
              <w:left w:val="single" w:color="auto" w:sz="4" w:space="0"/>
              <w:bottom w:val="single" w:color="auto" w:sz="4" w:space="0"/>
              <w:right w:val="single" w:color="auto" w:sz="4" w:space="0"/>
            </w:tcBorders>
            <w:vAlign w:val="center"/>
          </w:tcPr>
          <w:p w14:paraId="6C446D23">
            <w:pPr>
              <w:rPr>
                <w:rFonts w:hint="eastAsia" w:ascii="宋体" w:hAnsi="宋体"/>
                <w:szCs w:val="21"/>
              </w:rPr>
            </w:pPr>
            <w:r>
              <w:rPr>
                <w:rFonts w:hint="eastAsia" w:ascii="宋体" w:hAnsi="宋体"/>
                <w:szCs w:val="21"/>
              </w:rPr>
              <w:t>踏勘现场及投标费用</w:t>
            </w:r>
          </w:p>
        </w:tc>
        <w:tc>
          <w:tcPr>
            <w:tcW w:w="6075" w:type="dxa"/>
            <w:tcBorders>
              <w:top w:val="single" w:color="auto" w:sz="4" w:space="0"/>
              <w:left w:val="single" w:color="auto" w:sz="4" w:space="0"/>
              <w:bottom w:val="single" w:color="auto" w:sz="4" w:space="0"/>
              <w:right w:val="double" w:color="auto" w:sz="4" w:space="0"/>
            </w:tcBorders>
            <w:vAlign w:val="center"/>
          </w:tcPr>
          <w:p w14:paraId="181BD73F">
            <w:pPr>
              <w:pStyle w:val="21"/>
              <w:rPr>
                <w:rFonts w:hint="eastAsia" w:ascii="宋体" w:hAnsi="宋体"/>
                <w:szCs w:val="21"/>
              </w:rPr>
            </w:pPr>
            <w:r>
              <w:rPr>
                <w:rFonts w:hint="eastAsia" w:ascii="宋体" w:hAnsi="宋体"/>
              </w:rPr>
              <w:t xml:space="preserve">招标人不集中组织，由投标人自行踏勘，投标人不进行踏勘的，视为已熟知现场条件，自行承担相关风险。 </w:t>
            </w:r>
          </w:p>
        </w:tc>
      </w:tr>
      <w:tr w14:paraId="6A6C660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14:paraId="20FA9A1D">
            <w:pPr>
              <w:rPr>
                <w:rFonts w:hint="eastAsia" w:ascii="宋体" w:hAnsi="宋体"/>
                <w:szCs w:val="21"/>
              </w:rPr>
            </w:pPr>
            <w:r>
              <w:rPr>
                <w:rFonts w:hint="eastAsia" w:ascii="宋体" w:hAnsi="宋体"/>
                <w:szCs w:val="21"/>
              </w:rPr>
              <w:t>13</w:t>
            </w:r>
          </w:p>
        </w:tc>
        <w:tc>
          <w:tcPr>
            <w:tcW w:w="981" w:type="dxa"/>
            <w:tcBorders>
              <w:top w:val="single" w:color="auto" w:sz="4" w:space="0"/>
              <w:left w:val="single" w:color="auto" w:sz="4" w:space="0"/>
              <w:bottom w:val="single" w:color="auto" w:sz="4" w:space="0"/>
              <w:right w:val="single" w:color="auto" w:sz="4" w:space="0"/>
            </w:tcBorders>
            <w:vAlign w:val="center"/>
          </w:tcPr>
          <w:p w14:paraId="48F70D4C">
            <w:pPr>
              <w:rPr>
                <w:rFonts w:hint="eastAsia" w:ascii="宋体" w:hAnsi="宋体"/>
                <w:szCs w:val="21"/>
              </w:rPr>
            </w:pPr>
            <w:r>
              <w:rPr>
                <w:rFonts w:ascii="宋体" w:hAnsi="宋体"/>
                <w:szCs w:val="21"/>
              </w:rPr>
              <w:t>8</w:t>
            </w:r>
          </w:p>
        </w:tc>
        <w:tc>
          <w:tcPr>
            <w:tcW w:w="1592" w:type="dxa"/>
            <w:tcBorders>
              <w:top w:val="single" w:color="auto" w:sz="4" w:space="0"/>
              <w:left w:val="single" w:color="auto" w:sz="4" w:space="0"/>
              <w:bottom w:val="single" w:color="auto" w:sz="4" w:space="0"/>
              <w:right w:val="single" w:color="auto" w:sz="4" w:space="0"/>
            </w:tcBorders>
            <w:vAlign w:val="center"/>
          </w:tcPr>
          <w:p w14:paraId="48C5F061">
            <w:pPr>
              <w:rPr>
                <w:rFonts w:hint="eastAsia" w:ascii="宋体" w:hAnsi="宋体"/>
                <w:szCs w:val="21"/>
              </w:rPr>
            </w:pPr>
            <w:r>
              <w:rPr>
                <w:rFonts w:hint="eastAsia" w:ascii="宋体" w:hAnsi="宋体"/>
                <w:szCs w:val="21"/>
              </w:rPr>
              <w:t>投标答疑</w:t>
            </w:r>
          </w:p>
        </w:tc>
        <w:tc>
          <w:tcPr>
            <w:tcW w:w="6075" w:type="dxa"/>
            <w:tcBorders>
              <w:top w:val="single" w:color="auto" w:sz="4" w:space="0"/>
              <w:left w:val="single" w:color="auto" w:sz="4" w:space="0"/>
              <w:bottom w:val="single" w:color="auto" w:sz="4" w:space="0"/>
              <w:right w:val="double" w:color="auto" w:sz="4" w:space="0"/>
            </w:tcBorders>
            <w:vAlign w:val="center"/>
          </w:tcPr>
          <w:p w14:paraId="6CA395EC">
            <w:pPr>
              <w:rPr>
                <w:rFonts w:hint="eastAsia" w:ascii="宋体" w:hAnsi="宋体" w:cs="宋体"/>
                <w:szCs w:val="21"/>
              </w:rPr>
            </w:pPr>
            <w:r>
              <w:rPr>
                <w:rFonts w:hint="eastAsia" w:ascii="宋体" w:hAnsi="宋体"/>
                <w:szCs w:val="21"/>
              </w:rPr>
              <w:t>疑问提交时间：</w:t>
            </w:r>
            <w:r>
              <w:rPr>
                <w:rFonts w:hint="eastAsia" w:ascii="宋体" w:hAnsi="宋体" w:cs="宋体"/>
                <w:szCs w:val="21"/>
                <w:u w:val="single"/>
              </w:rPr>
              <w:t>在递交投标文件截止日期18日前</w:t>
            </w:r>
            <w:r>
              <w:rPr>
                <w:rFonts w:hint="eastAsia" w:ascii="宋体" w:hAnsi="宋体" w:cs="宋体"/>
                <w:szCs w:val="21"/>
              </w:rPr>
              <w:t>；</w:t>
            </w:r>
          </w:p>
          <w:p w14:paraId="5ABB7306">
            <w:pPr>
              <w:rPr>
                <w:rFonts w:hint="eastAsia" w:ascii="宋体" w:hAnsi="宋体"/>
                <w:szCs w:val="21"/>
              </w:rPr>
            </w:pPr>
            <w:r>
              <w:rPr>
                <w:rFonts w:hint="eastAsia" w:ascii="宋体" w:hAnsi="宋体" w:cs="宋体"/>
                <w:szCs w:val="21"/>
              </w:rPr>
              <w:t>招标人澄清、修补或答疑期限：</w:t>
            </w:r>
            <w:r>
              <w:rPr>
                <w:rFonts w:hint="eastAsia" w:ascii="宋体" w:hAnsi="宋体" w:cs="宋体"/>
                <w:szCs w:val="21"/>
                <w:u w:val="single"/>
              </w:rPr>
              <w:t>在递交投标文件截止日期15日前</w:t>
            </w:r>
            <w:r>
              <w:rPr>
                <w:rFonts w:hint="eastAsia" w:ascii="宋体" w:hAnsi="宋体" w:cs="宋体"/>
                <w:szCs w:val="21"/>
              </w:rPr>
              <w:t>；</w:t>
            </w:r>
          </w:p>
          <w:p w14:paraId="6438836C">
            <w:pPr>
              <w:rPr>
                <w:rFonts w:hint="eastAsia" w:ascii="宋体" w:hAnsi="宋体"/>
                <w:szCs w:val="21"/>
              </w:rPr>
            </w:pPr>
            <w:r>
              <w:rPr>
                <w:rFonts w:hint="eastAsia" w:ascii="宋体" w:hAnsi="宋体"/>
                <w:szCs w:val="21"/>
              </w:rPr>
              <w:t>形式：投标人的疑问通过</w:t>
            </w:r>
            <w:r>
              <w:rPr>
                <w:rFonts w:hint="eastAsia" w:ascii="宋体" w:hAnsi="宋体"/>
                <w:szCs w:val="21"/>
                <w:u w:val="single"/>
              </w:rPr>
              <w:t>广州交易集团有限公司（广州公共资源交易中心）</w:t>
            </w:r>
            <w:r>
              <w:rPr>
                <w:rFonts w:hint="eastAsia" w:ascii="宋体" w:hAnsi="宋体"/>
                <w:szCs w:val="21"/>
              </w:rPr>
              <w:t>交易平台提交。</w:t>
            </w:r>
          </w:p>
          <w:p w14:paraId="6716A2B2">
            <w:pPr>
              <w:rPr>
                <w:rFonts w:hint="eastAsia" w:ascii="宋体" w:hAnsi="宋体"/>
                <w:szCs w:val="21"/>
              </w:rPr>
            </w:pPr>
            <w:r>
              <w:rPr>
                <w:rFonts w:hint="eastAsia" w:ascii="宋体" w:hAnsi="宋体"/>
                <w:szCs w:val="21"/>
              </w:rPr>
              <w:t>具体要求：按照交易平台关于全流程电子化项目的相关指南进行操作，详见：</w:t>
            </w:r>
            <w:r>
              <w:rPr>
                <w:rFonts w:hint="eastAsia" w:ascii="宋体" w:hAnsi="宋体"/>
                <w:szCs w:val="21"/>
                <w:u w:val="single"/>
              </w:rPr>
              <w:t>广州交易集团有限公司（广州公共资源交易中心）网站</w:t>
            </w:r>
            <w:r>
              <w:rPr>
                <w:rFonts w:hint="eastAsia" w:ascii="宋体" w:hAnsi="宋体"/>
                <w:szCs w:val="21"/>
              </w:rPr>
              <w:t>。提问一律不得署名。</w:t>
            </w:r>
          </w:p>
        </w:tc>
      </w:tr>
      <w:tr w14:paraId="40CD5F8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14:paraId="5B93BCF7">
            <w:pPr>
              <w:rPr>
                <w:rFonts w:hint="eastAsia" w:ascii="宋体" w:hAnsi="宋体"/>
                <w:szCs w:val="21"/>
              </w:rPr>
            </w:pPr>
            <w:r>
              <w:rPr>
                <w:rFonts w:hint="eastAsia" w:ascii="宋体" w:hAnsi="宋体"/>
                <w:szCs w:val="21"/>
              </w:rPr>
              <w:t>14</w:t>
            </w:r>
          </w:p>
        </w:tc>
        <w:tc>
          <w:tcPr>
            <w:tcW w:w="981" w:type="dxa"/>
            <w:tcBorders>
              <w:top w:val="single" w:color="auto" w:sz="4" w:space="0"/>
              <w:left w:val="single" w:color="auto" w:sz="4" w:space="0"/>
              <w:bottom w:val="single" w:color="auto" w:sz="4" w:space="0"/>
              <w:right w:val="single" w:color="auto" w:sz="4" w:space="0"/>
            </w:tcBorders>
            <w:vAlign w:val="center"/>
          </w:tcPr>
          <w:p w14:paraId="4DC52B11">
            <w:pPr>
              <w:rPr>
                <w:rFonts w:hint="eastAsia" w:ascii="宋体" w:hAnsi="宋体"/>
                <w:szCs w:val="21"/>
              </w:rPr>
            </w:pPr>
            <w:r>
              <w:rPr>
                <w:rFonts w:ascii="宋体" w:hAnsi="宋体"/>
                <w:szCs w:val="21"/>
              </w:rPr>
              <w:t>13.1</w:t>
            </w:r>
          </w:p>
        </w:tc>
        <w:tc>
          <w:tcPr>
            <w:tcW w:w="1592" w:type="dxa"/>
            <w:tcBorders>
              <w:top w:val="single" w:color="auto" w:sz="4" w:space="0"/>
              <w:left w:val="single" w:color="auto" w:sz="4" w:space="0"/>
              <w:bottom w:val="single" w:color="auto" w:sz="4" w:space="0"/>
              <w:right w:val="single" w:color="auto" w:sz="4" w:space="0"/>
            </w:tcBorders>
            <w:vAlign w:val="center"/>
          </w:tcPr>
          <w:p w14:paraId="20121520">
            <w:pPr>
              <w:rPr>
                <w:rFonts w:hint="eastAsia" w:ascii="宋体" w:hAnsi="宋体"/>
                <w:szCs w:val="21"/>
              </w:rPr>
            </w:pPr>
            <w:r>
              <w:rPr>
                <w:rFonts w:hint="eastAsia" w:ascii="宋体" w:hAnsi="宋体"/>
                <w:szCs w:val="21"/>
              </w:rPr>
              <w:t>报价以及单价和总价计算方式</w:t>
            </w:r>
          </w:p>
        </w:tc>
        <w:tc>
          <w:tcPr>
            <w:tcW w:w="6075" w:type="dxa"/>
            <w:tcBorders>
              <w:top w:val="single" w:color="auto" w:sz="4" w:space="0"/>
              <w:left w:val="single" w:color="auto" w:sz="4" w:space="0"/>
              <w:bottom w:val="single" w:color="auto" w:sz="4" w:space="0"/>
              <w:right w:val="double" w:color="auto" w:sz="4" w:space="0"/>
            </w:tcBorders>
            <w:vAlign w:val="center"/>
          </w:tcPr>
          <w:p w14:paraId="70C14051">
            <w:pPr>
              <w:rPr>
                <w:rFonts w:hint="eastAsia" w:ascii="宋体" w:hAnsi="宋体"/>
                <w:szCs w:val="21"/>
              </w:rPr>
            </w:pPr>
            <w:bookmarkStart w:id="10" w:name="EBdfd7e3fe86a241738f1c1d356c309534"/>
            <w:r>
              <w:rPr>
                <w:rFonts w:hint="eastAsia" w:ascii="宋体" w:hAnsi="宋体" w:cs="宋体"/>
                <w:szCs w:val="21"/>
                <w:u w:val="single"/>
              </w:rPr>
              <w:t>工程量清单计价，按国家、省现行有关计价规范执行。</w:t>
            </w:r>
            <w:bookmarkEnd w:id="10"/>
          </w:p>
        </w:tc>
      </w:tr>
      <w:tr w14:paraId="3B210D3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14:paraId="21D5D046">
            <w:pPr>
              <w:rPr>
                <w:rFonts w:hint="eastAsia" w:ascii="宋体" w:hAnsi="宋体"/>
                <w:szCs w:val="21"/>
              </w:rPr>
            </w:pPr>
            <w:r>
              <w:rPr>
                <w:rFonts w:hint="eastAsia" w:ascii="宋体" w:hAnsi="宋体"/>
                <w:szCs w:val="21"/>
              </w:rPr>
              <w:t>15</w:t>
            </w:r>
          </w:p>
        </w:tc>
        <w:tc>
          <w:tcPr>
            <w:tcW w:w="981" w:type="dxa"/>
            <w:tcBorders>
              <w:top w:val="single" w:color="auto" w:sz="4" w:space="0"/>
              <w:left w:val="single" w:color="auto" w:sz="4" w:space="0"/>
              <w:bottom w:val="single" w:color="auto" w:sz="4" w:space="0"/>
              <w:right w:val="single" w:color="auto" w:sz="4" w:space="0"/>
            </w:tcBorders>
            <w:vAlign w:val="center"/>
          </w:tcPr>
          <w:p w14:paraId="22A3E34D">
            <w:pPr>
              <w:rPr>
                <w:rFonts w:hint="eastAsia" w:ascii="宋体" w:hAnsi="宋体"/>
                <w:szCs w:val="21"/>
              </w:rPr>
            </w:pPr>
            <w:r>
              <w:rPr>
                <w:rFonts w:ascii="宋体" w:hAnsi="宋体"/>
                <w:szCs w:val="21"/>
              </w:rPr>
              <w:t>15.1</w:t>
            </w:r>
          </w:p>
        </w:tc>
        <w:tc>
          <w:tcPr>
            <w:tcW w:w="1592" w:type="dxa"/>
            <w:tcBorders>
              <w:top w:val="single" w:color="auto" w:sz="4" w:space="0"/>
              <w:left w:val="single" w:color="auto" w:sz="4" w:space="0"/>
              <w:bottom w:val="single" w:color="auto" w:sz="4" w:space="0"/>
              <w:right w:val="single" w:color="auto" w:sz="4" w:space="0"/>
            </w:tcBorders>
            <w:vAlign w:val="center"/>
          </w:tcPr>
          <w:p w14:paraId="0453BA99">
            <w:pPr>
              <w:rPr>
                <w:rFonts w:hint="eastAsia" w:ascii="宋体" w:hAnsi="宋体"/>
                <w:szCs w:val="21"/>
              </w:rPr>
            </w:pPr>
            <w:r>
              <w:rPr>
                <w:rFonts w:hint="eastAsia" w:ascii="宋体" w:hAnsi="宋体"/>
                <w:szCs w:val="21"/>
              </w:rPr>
              <w:t>投标有效期</w:t>
            </w:r>
          </w:p>
        </w:tc>
        <w:tc>
          <w:tcPr>
            <w:tcW w:w="6075" w:type="dxa"/>
            <w:tcBorders>
              <w:top w:val="single" w:color="auto" w:sz="4" w:space="0"/>
              <w:left w:val="single" w:color="auto" w:sz="4" w:space="0"/>
              <w:bottom w:val="single" w:color="auto" w:sz="4" w:space="0"/>
              <w:right w:val="double" w:color="auto" w:sz="4" w:space="0"/>
            </w:tcBorders>
            <w:vAlign w:val="center"/>
          </w:tcPr>
          <w:p w14:paraId="1B2A26D9">
            <w:pPr>
              <w:rPr>
                <w:rFonts w:hint="eastAsia" w:ascii="宋体" w:hAnsi="宋体"/>
                <w:szCs w:val="21"/>
                <w:u w:val="single"/>
              </w:rPr>
            </w:pPr>
            <w:r>
              <w:rPr>
                <w:rFonts w:ascii="宋体" w:hAnsi="宋体"/>
                <w:szCs w:val="21"/>
                <w:u w:val="single"/>
              </w:rPr>
              <w:t xml:space="preserve">  </w:t>
            </w:r>
            <w:r>
              <w:rPr>
                <w:rFonts w:hint="eastAsia" w:ascii="宋体" w:hAnsi="宋体"/>
                <w:szCs w:val="21"/>
                <w:u w:val="single"/>
              </w:rPr>
              <w:t>90</w:t>
            </w:r>
            <w:r>
              <w:rPr>
                <w:rFonts w:ascii="宋体" w:hAnsi="宋体"/>
                <w:szCs w:val="21"/>
                <w:u w:val="single"/>
              </w:rPr>
              <w:t xml:space="preserve">   </w:t>
            </w:r>
            <w:r>
              <w:rPr>
                <w:rFonts w:hint="eastAsia" w:ascii="宋体" w:hAnsi="宋体"/>
                <w:szCs w:val="21"/>
              </w:rPr>
              <w:t>日历天。（从投标截止之日计起）</w:t>
            </w:r>
          </w:p>
        </w:tc>
      </w:tr>
      <w:tr w14:paraId="55BD3A7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14:paraId="7E044A78">
            <w:pPr>
              <w:rPr>
                <w:rFonts w:hint="eastAsia" w:ascii="宋体" w:hAnsi="宋体"/>
                <w:szCs w:val="21"/>
              </w:rPr>
            </w:pPr>
            <w:r>
              <w:rPr>
                <w:rFonts w:hint="eastAsia" w:ascii="宋体" w:hAnsi="宋体"/>
                <w:szCs w:val="21"/>
              </w:rPr>
              <w:t>16</w:t>
            </w:r>
          </w:p>
        </w:tc>
        <w:tc>
          <w:tcPr>
            <w:tcW w:w="981" w:type="dxa"/>
            <w:tcBorders>
              <w:top w:val="single" w:color="auto" w:sz="4" w:space="0"/>
              <w:left w:val="single" w:color="auto" w:sz="4" w:space="0"/>
              <w:bottom w:val="single" w:color="auto" w:sz="4" w:space="0"/>
              <w:right w:val="single" w:color="auto" w:sz="4" w:space="0"/>
            </w:tcBorders>
            <w:vAlign w:val="center"/>
          </w:tcPr>
          <w:p w14:paraId="05A9E1D9">
            <w:pPr>
              <w:rPr>
                <w:rFonts w:hint="eastAsia" w:ascii="宋体" w:hAnsi="宋体"/>
                <w:szCs w:val="21"/>
              </w:rPr>
            </w:pPr>
            <w:r>
              <w:rPr>
                <w:rFonts w:ascii="宋体" w:hAnsi="宋体"/>
                <w:szCs w:val="21"/>
              </w:rPr>
              <w:t>16.1</w:t>
            </w:r>
          </w:p>
        </w:tc>
        <w:tc>
          <w:tcPr>
            <w:tcW w:w="1592" w:type="dxa"/>
            <w:tcBorders>
              <w:top w:val="single" w:color="auto" w:sz="4" w:space="0"/>
              <w:left w:val="single" w:color="auto" w:sz="4" w:space="0"/>
              <w:bottom w:val="single" w:color="auto" w:sz="4" w:space="0"/>
              <w:right w:val="single" w:color="auto" w:sz="4" w:space="0"/>
            </w:tcBorders>
            <w:vAlign w:val="center"/>
          </w:tcPr>
          <w:p w14:paraId="6149E5DF">
            <w:pPr>
              <w:rPr>
                <w:rFonts w:hint="eastAsia" w:ascii="宋体" w:hAnsi="宋体"/>
                <w:szCs w:val="21"/>
              </w:rPr>
            </w:pPr>
            <w:r>
              <w:rPr>
                <w:rFonts w:hint="eastAsia" w:ascii="宋体" w:hAnsi="宋体"/>
                <w:szCs w:val="21"/>
              </w:rPr>
              <w:t>投标保证金</w:t>
            </w:r>
          </w:p>
        </w:tc>
        <w:tc>
          <w:tcPr>
            <w:tcW w:w="6075" w:type="dxa"/>
            <w:tcBorders>
              <w:top w:val="single" w:color="auto" w:sz="4" w:space="0"/>
              <w:left w:val="single" w:color="auto" w:sz="4" w:space="0"/>
              <w:bottom w:val="single" w:color="auto" w:sz="4" w:space="0"/>
              <w:right w:val="double" w:color="auto" w:sz="4" w:space="0"/>
            </w:tcBorders>
            <w:vAlign w:val="center"/>
          </w:tcPr>
          <w:p w14:paraId="6B048403">
            <w:pPr>
              <w:pStyle w:val="2"/>
              <w:widowControl/>
              <w:jc w:val="left"/>
              <w:rPr>
                <w:szCs w:val="21"/>
              </w:rPr>
            </w:pPr>
            <w:r>
              <w:rPr>
                <w:rFonts w:hint="eastAsia"/>
                <w:szCs w:val="21"/>
              </w:rPr>
              <w:t>方式二：本项目收取投标保证金</w:t>
            </w:r>
            <w:r>
              <w:rPr>
                <w:rFonts w:hint="eastAsia" w:hAnsi="宋体" w:cs="宋体"/>
                <w:szCs w:val="21"/>
                <w:u w:val="single"/>
              </w:rPr>
              <w:t>50</w:t>
            </w:r>
            <w:r>
              <w:rPr>
                <w:rFonts w:hint="eastAsia"/>
                <w:szCs w:val="21"/>
              </w:rPr>
              <w:t>万元人民币，缴纳时间在</w:t>
            </w:r>
            <w:r>
              <w:rPr>
                <w:rFonts w:hint="eastAsia" w:hAnsi="宋体" w:cs="宋体"/>
                <w:szCs w:val="21"/>
                <w:u w:val="single"/>
              </w:rPr>
              <w:t>递交投标文件截止时间</w:t>
            </w:r>
            <w:r>
              <w:rPr>
                <w:rFonts w:hint="eastAsia"/>
                <w:szCs w:val="21"/>
              </w:rPr>
              <w:t>之前。</w:t>
            </w:r>
          </w:p>
          <w:p w14:paraId="2749456D">
            <w:pPr>
              <w:pStyle w:val="2"/>
              <w:widowControl/>
              <w:jc w:val="left"/>
              <w:rPr>
                <w:rFonts w:hint="eastAsia" w:hAnsi="宋体" w:cs="宋体"/>
                <w:szCs w:val="21"/>
              </w:rPr>
            </w:pPr>
            <w:r>
              <w:rPr>
                <w:rFonts w:hint="eastAsia"/>
                <w:szCs w:val="21"/>
              </w:rPr>
              <w:t>保证金的形式为：</w:t>
            </w:r>
            <w:r>
              <w:rPr>
                <w:rFonts w:hint="eastAsia" w:hAnsi="宋体" w:cs="宋体"/>
                <w:szCs w:val="21"/>
              </w:rPr>
              <w:t>投标保证金可采用现金、银行汇票、银行本票、银行电汇、支票（现金支票、转账支票）、银行保函、保证保险、专业担保公司担保等形式。</w:t>
            </w:r>
          </w:p>
          <w:p w14:paraId="40F93473">
            <w:pPr>
              <w:pStyle w:val="2"/>
              <w:rPr>
                <w:rFonts w:hint="eastAsia" w:hAnsi="宋体" w:cs="宋体"/>
                <w:szCs w:val="21"/>
              </w:rPr>
            </w:pPr>
            <w:r>
              <w:rPr>
                <w:rFonts w:hint="eastAsia" w:hAnsi="宋体" w:cs="宋体"/>
                <w:szCs w:val="21"/>
              </w:rPr>
              <w:t>1、递交方式：</w:t>
            </w:r>
          </w:p>
          <w:p w14:paraId="335DEF0D">
            <w:pPr>
              <w:pStyle w:val="2"/>
              <w:rPr>
                <w:rFonts w:hint="eastAsia" w:hAnsi="宋体" w:cs="宋体"/>
                <w:szCs w:val="21"/>
              </w:rPr>
            </w:pPr>
            <w:r>
              <w:rPr>
                <w:rFonts w:hint="eastAsia" w:hAnsi="宋体" w:cs="宋体"/>
                <w:szCs w:val="21"/>
              </w:rPr>
              <w:t>（1）如采用现金或者转账或者支票形式提交的，投标保证金从投标人基本账户递交，由广州交易集团有限公司（广州公共资源交易中心）代收。请各投标人在投标文件递交截止时间前按上述金额递交至广州交易集团有限公司（广州公共资源交易中心），缴纳情况以开标时广州交易集团有限公司（广州公共资源交易中心）网站查询为准。具体操作流程详见广州交易集团有限公司（广州公共资源交易中心）最新的投标保证金缴纳操作指引或自行咨询交易中心。</w:t>
            </w:r>
          </w:p>
          <w:p w14:paraId="35A8A64E">
            <w:pPr>
              <w:pStyle w:val="2"/>
              <w:rPr>
                <w:rFonts w:hint="eastAsia" w:hAnsi="宋体" w:cs="宋体"/>
                <w:szCs w:val="21"/>
              </w:rPr>
            </w:pPr>
            <w:r>
              <w:rPr>
                <w:rFonts w:hint="eastAsia" w:hAnsi="宋体" w:cs="宋体"/>
                <w:szCs w:val="21"/>
              </w:rPr>
              <w:t>（2）采用银行保函（或保证保险、或专业担保公司担保）提交投标保证金的，在开标前不强制要求投标人提交纸质原件，由中标候选人在中标候选人公示前提交并在网上公示，投标人应在投标文件中提交投标保函或投标保证保险或专业担保公司担保扫描件并加盖投标人电子印章。银行保函（或保证保险、或专业担保公司担保）有效期应长于或等于投标有效期，若投标有效期延长的，银行保函（或保证保险、或专业担保公司担保）有效期应相应延长，且延长后的有效期应满足前述要求。投标人提供的银行投标保函应为银行出具的无条件、见索即付、不可撤销的保函。</w:t>
            </w:r>
          </w:p>
          <w:p w14:paraId="2200DD59">
            <w:pPr>
              <w:pStyle w:val="2"/>
              <w:jc w:val="left"/>
              <w:rPr>
                <w:rFonts w:hint="eastAsia" w:hAnsi="宋体" w:cs="宋体"/>
                <w:szCs w:val="21"/>
              </w:rPr>
            </w:pPr>
            <w:r>
              <w:rPr>
                <w:rFonts w:hint="eastAsia" w:hAnsi="宋体" w:cs="宋体"/>
                <w:szCs w:val="21"/>
              </w:rPr>
              <w:t>（3）如采用电子保函形式递交投标保证金，按广州交易集团有限公司（广州公共资源交易中心）发布的《广州公共资源交易中心关于开通电子保函服务功能的通知》操作。详见：http://www.gzggzy.cn/fwznbszycwxg/857020.jhtml。到账情况以开标时广州交易集团有限公司（广州公共资源交易中心）数据库查询信息为准。</w:t>
            </w:r>
          </w:p>
          <w:p w14:paraId="16385F19">
            <w:pPr>
              <w:pStyle w:val="2"/>
              <w:rPr>
                <w:rFonts w:hint="eastAsia" w:hAnsi="宋体" w:cs="宋体"/>
                <w:szCs w:val="21"/>
              </w:rPr>
            </w:pPr>
            <w:r>
              <w:rPr>
                <w:rFonts w:hint="eastAsia" w:hAnsi="宋体" w:cs="宋体"/>
                <w:szCs w:val="21"/>
              </w:rPr>
              <w:t>2、开标时投标人没有按要求提供投标保证金的，其投标文件将被否决。</w:t>
            </w:r>
          </w:p>
          <w:p w14:paraId="0BA50BAA">
            <w:pPr>
              <w:pStyle w:val="2"/>
              <w:rPr>
                <w:szCs w:val="21"/>
              </w:rPr>
            </w:pPr>
            <w:r>
              <w:rPr>
                <w:rFonts w:hint="eastAsia" w:hAnsi="宋体" w:cs="宋体"/>
                <w:szCs w:val="21"/>
              </w:rPr>
              <w:t>3、投标保证金依据法律法规的相关规定退还。</w:t>
            </w:r>
          </w:p>
        </w:tc>
      </w:tr>
      <w:tr w14:paraId="63CFB77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14:paraId="5778F2E5">
            <w:pPr>
              <w:rPr>
                <w:rFonts w:hint="eastAsia" w:ascii="宋体" w:hAnsi="宋体"/>
                <w:szCs w:val="21"/>
              </w:rPr>
            </w:pPr>
            <w:r>
              <w:rPr>
                <w:rFonts w:ascii="宋体" w:hAnsi="宋体"/>
                <w:szCs w:val="21"/>
              </w:rPr>
              <w:t>1</w:t>
            </w:r>
            <w:r>
              <w:rPr>
                <w:rFonts w:hint="eastAsia" w:ascii="宋体" w:hAnsi="宋体"/>
                <w:szCs w:val="21"/>
              </w:rPr>
              <w:t>7</w:t>
            </w:r>
          </w:p>
        </w:tc>
        <w:tc>
          <w:tcPr>
            <w:tcW w:w="981" w:type="dxa"/>
            <w:tcBorders>
              <w:top w:val="single" w:color="auto" w:sz="4" w:space="0"/>
              <w:left w:val="single" w:color="auto" w:sz="4" w:space="0"/>
              <w:bottom w:val="single" w:color="auto" w:sz="4" w:space="0"/>
              <w:right w:val="single" w:color="auto" w:sz="4" w:space="0"/>
            </w:tcBorders>
            <w:vAlign w:val="center"/>
          </w:tcPr>
          <w:p w14:paraId="560B2B35">
            <w:pPr>
              <w:rPr>
                <w:rFonts w:hint="eastAsia" w:ascii="宋体" w:hAnsi="宋体"/>
                <w:szCs w:val="21"/>
              </w:rPr>
            </w:pPr>
            <w:r>
              <w:rPr>
                <w:rFonts w:hint="eastAsia" w:ascii="宋体" w:hAnsi="宋体"/>
                <w:szCs w:val="21"/>
              </w:rPr>
              <w:t>20</w:t>
            </w:r>
            <w:r>
              <w:rPr>
                <w:rFonts w:ascii="宋体" w:hAnsi="宋体"/>
                <w:szCs w:val="21"/>
              </w:rPr>
              <w:t>.1</w:t>
            </w:r>
          </w:p>
        </w:tc>
        <w:tc>
          <w:tcPr>
            <w:tcW w:w="1592" w:type="dxa"/>
            <w:tcBorders>
              <w:top w:val="single" w:color="auto" w:sz="4" w:space="0"/>
              <w:left w:val="single" w:color="auto" w:sz="4" w:space="0"/>
              <w:bottom w:val="single" w:color="auto" w:sz="4" w:space="0"/>
              <w:right w:val="single" w:color="auto" w:sz="4" w:space="0"/>
            </w:tcBorders>
            <w:vAlign w:val="center"/>
          </w:tcPr>
          <w:p w14:paraId="05857F4D">
            <w:pPr>
              <w:rPr>
                <w:rFonts w:hint="eastAsia" w:ascii="宋体" w:hAnsi="宋体"/>
                <w:szCs w:val="21"/>
              </w:rPr>
            </w:pPr>
            <w:r>
              <w:rPr>
                <w:rFonts w:hint="eastAsia" w:ascii="宋体" w:hAnsi="宋体"/>
                <w:szCs w:val="21"/>
              </w:rPr>
              <w:t>投标截止时间</w:t>
            </w:r>
          </w:p>
        </w:tc>
        <w:tc>
          <w:tcPr>
            <w:tcW w:w="6075" w:type="dxa"/>
            <w:tcBorders>
              <w:top w:val="single" w:color="auto" w:sz="4" w:space="0"/>
              <w:left w:val="single" w:color="auto" w:sz="4" w:space="0"/>
              <w:bottom w:val="single" w:color="auto" w:sz="4" w:space="0"/>
              <w:right w:val="double" w:color="auto" w:sz="4" w:space="0"/>
            </w:tcBorders>
            <w:vAlign w:val="center"/>
          </w:tcPr>
          <w:p w14:paraId="6D7167CA">
            <w:pPr>
              <w:rPr>
                <w:rFonts w:hint="eastAsia" w:ascii="宋体" w:hAnsi="宋体"/>
                <w:szCs w:val="21"/>
              </w:rPr>
            </w:pPr>
            <w:r>
              <w:rPr>
                <w:rFonts w:ascii="宋体" w:hAnsi="宋体"/>
                <w:szCs w:val="21"/>
                <w:u w:val="single"/>
              </w:rPr>
              <w:t xml:space="preserve">       </w:t>
            </w:r>
            <w:r>
              <w:rPr>
                <w:rFonts w:hint="eastAsia" w:ascii="宋体" w:hAnsi="宋体"/>
                <w:szCs w:val="21"/>
              </w:rPr>
              <w:t>年</w:t>
            </w:r>
            <w:r>
              <w:rPr>
                <w:rFonts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rPr>
              <w:t>日</w:t>
            </w:r>
            <w:r>
              <w:rPr>
                <w:rFonts w:ascii="宋体" w:hAnsi="宋体"/>
                <w:szCs w:val="21"/>
                <w:u w:val="single"/>
              </w:rPr>
              <w:t xml:space="preserve">   </w:t>
            </w:r>
            <w:r>
              <w:rPr>
                <w:rFonts w:hint="eastAsia" w:ascii="宋体" w:hAnsi="宋体"/>
                <w:szCs w:val="21"/>
              </w:rPr>
              <w:t>时（北京时间）。</w:t>
            </w:r>
          </w:p>
          <w:p w14:paraId="32A7A0C7">
            <w:pPr>
              <w:pStyle w:val="2"/>
              <w:rPr>
                <w:rFonts w:hint="eastAsia" w:hAnsi="宋体"/>
                <w:strike/>
                <w:szCs w:val="21"/>
              </w:rPr>
            </w:pPr>
            <w:r>
              <w:rPr>
                <w:rFonts w:hint="eastAsia" w:hAnsi="宋体" w:cs="宋体"/>
                <w:szCs w:val="21"/>
                <w:u w:val="single"/>
              </w:rPr>
              <w:t>上述时间及地点是否有改变，请密切留意招标答疑纪要的相关信息。</w:t>
            </w:r>
          </w:p>
        </w:tc>
      </w:tr>
      <w:tr w14:paraId="13C6BE1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14:paraId="32BDA9B8">
            <w:pPr>
              <w:rPr>
                <w:rFonts w:hint="eastAsia" w:ascii="宋体" w:hAnsi="宋体"/>
                <w:szCs w:val="21"/>
              </w:rPr>
            </w:pPr>
            <w:r>
              <w:rPr>
                <w:rFonts w:hint="eastAsia" w:ascii="宋体" w:hAnsi="宋体"/>
                <w:szCs w:val="21"/>
              </w:rPr>
              <w:t>18</w:t>
            </w:r>
          </w:p>
        </w:tc>
        <w:tc>
          <w:tcPr>
            <w:tcW w:w="981" w:type="dxa"/>
            <w:tcBorders>
              <w:top w:val="single" w:color="auto" w:sz="4" w:space="0"/>
              <w:left w:val="single" w:color="auto" w:sz="4" w:space="0"/>
              <w:bottom w:val="single" w:color="auto" w:sz="4" w:space="0"/>
              <w:right w:val="single" w:color="auto" w:sz="4" w:space="0"/>
            </w:tcBorders>
            <w:vAlign w:val="center"/>
          </w:tcPr>
          <w:p w14:paraId="3124C3BF">
            <w:pPr>
              <w:rPr>
                <w:rFonts w:hint="eastAsia" w:ascii="宋体" w:hAnsi="宋体"/>
                <w:szCs w:val="21"/>
              </w:rPr>
            </w:pPr>
            <w:r>
              <w:rPr>
                <w:rFonts w:ascii="宋体" w:hAnsi="宋体"/>
                <w:szCs w:val="21"/>
              </w:rPr>
              <w:t>20.1</w:t>
            </w:r>
          </w:p>
        </w:tc>
        <w:tc>
          <w:tcPr>
            <w:tcW w:w="1592" w:type="dxa"/>
            <w:tcBorders>
              <w:top w:val="single" w:color="auto" w:sz="4" w:space="0"/>
              <w:left w:val="single" w:color="auto" w:sz="4" w:space="0"/>
              <w:bottom w:val="single" w:color="auto" w:sz="4" w:space="0"/>
              <w:right w:val="single" w:color="auto" w:sz="4" w:space="0"/>
            </w:tcBorders>
            <w:vAlign w:val="center"/>
          </w:tcPr>
          <w:p w14:paraId="6A76504C">
            <w:pPr>
              <w:rPr>
                <w:rFonts w:hint="eastAsia" w:ascii="宋体" w:hAnsi="宋体"/>
                <w:szCs w:val="21"/>
              </w:rPr>
            </w:pPr>
            <w:r>
              <w:rPr>
                <w:rFonts w:hint="eastAsia" w:ascii="宋体" w:hAnsi="宋体"/>
                <w:szCs w:val="21"/>
              </w:rPr>
              <w:t>开标开始时间和地点</w:t>
            </w:r>
          </w:p>
        </w:tc>
        <w:tc>
          <w:tcPr>
            <w:tcW w:w="6075" w:type="dxa"/>
            <w:tcBorders>
              <w:top w:val="single" w:color="auto" w:sz="4" w:space="0"/>
              <w:left w:val="single" w:color="auto" w:sz="4" w:space="0"/>
              <w:bottom w:val="single" w:color="auto" w:sz="4" w:space="0"/>
              <w:right w:val="double" w:color="auto" w:sz="4" w:space="0"/>
            </w:tcBorders>
            <w:vAlign w:val="center"/>
          </w:tcPr>
          <w:p w14:paraId="57F3729D">
            <w:pPr>
              <w:widowControl/>
              <w:jc w:val="left"/>
              <w:rPr>
                <w:rFonts w:hint="eastAsia" w:ascii="宋体" w:hAnsi="宋体" w:cs="宋体"/>
                <w:bCs/>
                <w:kern w:val="0"/>
                <w:szCs w:val="21"/>
              </w:rPr>
            </w:pPr>
            <w:r>
              <w:rPr>
                <w:rFonts w:hint="eastAsia" w:ascii="宋体" w:hAnsi="宋体" w:cs="宋体"/>
                <w:bCs/>
                <w:kern w:val="0"/>
                <w:szCs w:val="21"/>
              </w:rPr>
              <w:t>（技术标和经济标同时开标）</w:t>
            </w:r>
          </w:p>
          <w:p w14:paraId="3180C64E">
            <w:pPr>
              <w:widowControl/>
              <w:numPr>
                <w:ilvl w:val="0"/>
                <w:numId w:val="3"/>
              </w:numPr>
              <w:jc w:val="left"/>
              <w:rPr>
                <w:rFonts w:hint="eastAsia" w:ascii="宋体" w:hAnsi="宋体" w:cs="宋体"/>
                <w:kern w:val="0"/>
                <w:szCs w:val="21"/>
              </w:rPr>
            </w:pPr>
            <w:r>
              <w:rPr>
                <w:rFonts w:hint="eastAsia" w:ascii="宋体" w:hAnsi="宋体" w:cs="宋体"/>
                <w:bCs/>
                <w:kern w:val="0"/>
                <w:szCs w:val="21"/>
              </w:rPr>
              <w:t>开标开始时间：</w:t>
            </w:r>
            <w:r>
              <w:rPr>
                <w:rFonts w:hint="eastAsia" w:ascii="宋体" w:hAnsi="宋体" w:cs="宋体"/>
                <w:bCs/>
                <w:kern w:val="0"/>
                <w:szCs w:val="21"/>
                <w:u w:val="single"/>
              </w:rPr>
              <w:t xml:space="preserve">     </w:t>
            </w:r>
            <w:r>
              <w:rPr>
                <w:rFonts w:hint="eastAsia" w:ascii="宋体" w:hAnsi="宋体" w:cs="宋体"/>
                <w:bCs/>
                <w:kern w:val="0"/>
                <w:szCs w:val="21"/>
              </w:rPr>
              <w:t>年</w:t>
            </w:r>
            <w:r>
              <w:rPr>
                <w:rFonts w:hint="eastAsia" w:ascii="宋体" w:hAnsi="宋体" w:cs="宋体"/>
                <w:bCs/>
                <w:kern w:val="0"/>
                <w:szCs w:val="21"/>
                <w:u w:val="single"/>
              </w:rPr>
              <w:t xml:space="preserve">   </w:t>
            </w:r>
            <w:r>
              <w:rPr>
                <w:rFonts w:hint="eastAsia" w:ascii="宋体" w:hAnsi="宋体" w:cs="宋体"/>
                <w:bCs/>
                <w:kern w:val="0"/>
                <w:szCs w:val="21"/>
              </w:rPr>
              <w:t>月</w:t>
            </w:r>
            <w:r>
              <w:rPr>
                <w:rFonts w:hint="eastAsia" w:ascii="宋体" w:hAnsi="宋体" w:cs="宋体"/>
                <w:bCs/>
                <w:kern w:val="0"/>
                <w:szCs w:val="21"/>
                <w:u w:val="single"/>
              </w:rPr>
              <w:t xml:space="preserve">   </w:t>
            </w:r>
            <w:r>
              <w:rPr>
                <w:rFonts w:hint="eastAsia" w:ascii="宋体" w:hAnsi="宋体" w:cs="宋体"/>
                <w:bCs/>
                <w:kern w:val="0"/>
                <w:szCs w:val="21"/>
              </w:rPr>
              <w:t>日</w:t>
            </w:r>
            <w:r>
              <w:rPr>
                <w:rFonts w:hint="eastAsia" w:ascii="宋体" w:hAnsi="宋体" w:cs="宋体"/>
                <w:bCs/>
                <w:kern w:val="0"/>
                <w:szCs w:val="21"/>
                <w:u w:val="single"/>
              </w:rPr>
              <w:t xml:space="preserve">   </w:t>
            </w:r>
            <w:r>
              <w:rPr>
                <w:rFonts w:hint="eastAsia" w:ascii="宋体" w:hAnsi="宋体" w:cs="宋体"/>
                <w:bCs/>
                <w:kern w:val="0"/>
                <w:szCs w:val="21"/>
              </w:rPr>
              <w:t>时</w:t>
            </w:r>
            <w:r>
              <w:rPr>
                <w:rFonts w:hint="eastAsia" w:ascii="宋体" w:hAnsi="宋体" w:cs="宋体"/>
                <w:bCs/>
                <w:kern w:val="0"/>
                <w:szCs w:val="21"/>
                <w:u w:val="single"/>
              </w:rPr>
              <w:t xml:space="preserve">   </w:t>
            </w:r>
            <w:r>
              <w:rPr>
                <w:rFonts w:hint="eastAsia" w:ascii="宋体" w:hAnsi="宋体" w:cs="宋体"/>
                <w:bCs/>
                <w:kern w:val="0"/>
                <w:szCs w:val="21"/>
              </w:rPr>
              <w:t>分（与投标截止时间为同一时间），地点：</w:t>
            </w:r>
            <w:r>
              <w:rPr>
                <w:rFonts w:hint="eastAsia" w:ascii="宋体" w:hAnsi="宋体" w:cs="宋体"/>
                <w:bCs/>
                <w:kern w:val="0"/>
                <w:szCs w:val="21"/>
                <w:u w:val="single"/>
              </w:rPr>
              <w:t>广州交易集团有限公司（广州公共资源交易中心）第   开标室</w:t>
            </w:r>
            <w:r>
              <w:rPr>
                <w:rFonts w:hint="eastAsia" w:ascii="宋体" w:hAnsi="宋体" w:cs="宋体"/>
                <w:bCs/>
                <w:kern w:val="0"/>
                <w:szCs w:val="21"/>
              </w:rPr>
              <w:t>。</w:t>
            </w:r>
            <w:r>
              <w:rPr>
                <w:rFonts w:hint="eastAsia" w:ascii="宋体" w:hAnsi="宋体" w:cs="宋体"/>
                <w:kern w:val="0"/>
                <w:szCs w:val="21"/>
              </w:rPr>
              <w:t>投标人也可选择参加在线开标，具体按照交易平台相关指南进行操作。详见：</w:t>
            </w:r>
            <w:r>
              <w:rPr>
                <w:rFonts w:hint="eastAsia" w:ascii="宋体" w:hAnsi="宋体" w:cs="宋体"/>
                <w:kern w:val="0"/>
                <w:szCs w:val="21"/>
                <w:u w:val="single"/>
              </w:rPr>
              <w:t>广州交易集团有限公司（广州公共资源交易中心）网站。</w:t>
            </w:r>
          </w:p>
          <w:p w14:paraId="34446CF0">
            <w:pPr>
              <w:widowControl/>
              <w:jc w:val="left"/>
            </w:pPr>
            <w:r>
              <w:rPr>
                <w:rFonts w:hint="eastAsia"/>
              </w:rPr>
              <w:t>注：投标文件解密问题。投标人只用执行一次解密，招标人执行解密次数根据招标文件开标次数确定。</w:t>
            </w:r>
          </w:p>
          <w:p w14:paraId="4013FB6B">
            <w:pPr>
              <w:widowControl/>
              <w:jc w:val="left"/>
            </w:pPr>
            <w:r>
              <w:t>2、递交投标文件备用光盘时间：</w:t>
            </w:r>
            <w:r>
              <w:rPr>
                <w:u w:val="single"/>
              </w:rPr>
              <w:t xml:space="preserve">    </w:t>
            </w:r>
            <w:r>
              <w:rPr>
                <w:rFonts w:hint="eastAsia"/>
                <w:u w:val="single"/>
              </w:rPr>
              <w:t>年</w:t>
            </w:r>
            <w:r>
              <w:rPr>
                <w:u w:val="single"/>
              </w:rPr>
              <w:t xml:space="preserve">   </w:t>
            </w:r>
            <w:r>
              <w:rPr>
                <w:rFonts w:hint="eastAsia"/>
                <w:u w:val="single"/>
              </w:rPr>
              <w:t>月</w:t>
            </w:r>
            <w:r>
              <w:rPr>
                <w:u w:val="single"/>
              </w:rPr>
              <w:t xml:space="preserve">   </w:t>
            </w:r>
            <w:r>
              <w:rPr>
                <w:rFonts w:hint="eastAsia"/>
                <w:u w:val="single"/>
              </w:rPr>
              <w:t>日</w:t>
            </w:r>
            <w:r>
              <w:rPr>
                <w:u w:val="single"/>
              </w:rPr>
              <w:t xml:space="preserve">   </w:t>
            </w:r>
            <w:r>
              <w:rPr>
                <w:rFonts w:hint="eastAsia"/>
                <w:u w:val="single"/>
              </w:rPr>
              <w:t>时</w:t>
            </w:r>
            <w:r>
              <w:rPr>
                <w:u w:val="single"/>
              </w:rPr>
              <w:t xml:space="preserve">   </w:t>
            </w:r>
            <w:r>
              <w:rPr>
                <w:rFonts w:hint="eastAsia"/>
                <w:u w:val="single"/>
              </w:rPr>
              <w:t>分至</w:t>
            </w:r>
            <w:r>
              <w:rPr>
                <w:u w:val="single"/>
              </w:rPr>
              <w:t xml:space="preserve">     </w:t>
            </w:r>
            <w:r>
              <w:rPr>
                <w:rFonts w:hint="eastAsia"/>
                <w:u w:val="single"/>
              </w:rPr>
              <w:t>年</w:t>
            </w:r>
            <w:r>
              <w:rPr>
                <w:u w:val="single"/>
              </w:rPr>
              <w:t xml:space="preserve">   </w:t>
            </w:r>
            <w:r>
              <w:rPr>
                <w:rFonts w:hint="eastAsia"/>
                <w:u w:val="single"/>
              </w:rPr>
              <w:t>月</w:t>
            </w:r>
            <w:r>
              <w:rPr>
                <w:u w:val="single"/>
              </w:rPr>
              <w:t xml:space="preserve">   </w:t>
            </w:r>
            <w:r>
              <w:rPr>
                <w:rFonts w:hint="eastAsia"/>
                <w:u w:val="single"/>
              </w:rPr>
              <w:t>日</w:t>
            </w:r>
            <w:r>
              <w:rPr>
                <w:u w:val="single"/>
              </w:rPr>
              <w:t xml:space="preserve">   </w:t>
            </w:r>
            <w:r>
              <w:rPr>
                <w:rFonts w:hint="eastAsia"/>
                <w:u w:val="single"/>
              </w:rPr>
              <w:t>时</w:t>
            </w:r>
            <w:r>
              <w:rPr>
                <w:u w:val="single"/>
              </w:rPr>
              <w:t xml:space="preserve">   </w:t>
            </w:r>
            <w:r>
              <w:rPr>
                <w:rFonts w:hint="eastAsia"/>
                <w:u w:val="single"/>
              </w:rPr>
              <w:t>分；递交地点：广州交易集团有限公司（广州公共资源交易中心）第   开标室</w:t>
            </w:r>
            <w:r>
              <w:rPr>
                <w:rFonts w:hint="eastAsia"/>
              </w:rPr>
              <w:t>。</w:t>
            </w:r>
            <w:r>
              <w:t>(建议安排在投标文件截止时间前15分钟至投标文件截止时间）</w:t>
            </w:r>
          </w:p>
          <w:p w14:paraId="59A1159B">
            <w:pPr>
              <w:widowControl/>
              <w:jc w:val="left"/>
              <w:rPr>
                <w:rFonts w:hint="eastAsia" w:ascii="宋体" w:hAnsi="宋体" w:cs="宋体"/>
                <w:bCs/>
                <w:kern w:val="0"/>
                <w:szCs w:val="21"/>
              </w:rPr>
            </w:pPr>
            <w:r>
              <w:rPr>
                <w:rFonts w:hint="eastAsia"/>
              </w:rPr>
              <w:t>上述时间及地点是否有改变，请密切留意补充公告和招标答疑纪要的相关信息。</w:t>
            </w:r>
          </w:p>
        </w:tc>
      </w:tr>
      <w:tr w14:paraId="06B6AB0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trPr>
        <w:tc>
          <w:tcPr>
            <w:tcW w:w="702" w:type="dxa"/>
            <w:tcBorders>
              <w:top w:val="single" w:color="auto" w:sz="4" w:space="0"/>
              <w:left w:val="double" w:color="auto" w:sz="4" w:space="0"/>
              <w:bottom w:val="single" w:color="auto" w:sz="4" w:space="0"/>
              <w:right w:val="single" w:color="auto" w:sz="4" w:space="0"/>
            </w:tcBorders>
            <w:vAlign w:val="center"/>
          </w:tcPr>
          <w:p w14:paraId="4A765516">
            <w:pPr>
              <w:rPr>
                <w:rFonts w:hint="eastAsia" w:ascii="宋体" w:hAnsi="宋体"/>
                <w:szCs w:val="21"/>
              </w:rPr>
            </w:pPr>
            <w:r>
              <w:rPr>
                <w:rFonts w:hint="eastAsia" w:ascii="宋体" w:hAnsi="宋体"/>
                <w:szCs w:val="21"/>
              </w:rPr>
              <w:t>19</w:t>
            </w:r>
          </w:p>
        </w:tc>
        <w:tc>
          <w:tcPr>
            <w:tcW w:w="981" w:type="dxa"/>
            <w:tcBorders>
              <w:top w:val="single" w:color="auto" w:sz="4" w:space="0"/>
              <w:left w:val="single" w:color="auto" w:sz="4" w:space="0"/>
              <w:bottom w:val="single" w:color="auto" w:sz="4" w:space="0"/>
              <w:right w:val="single" w:color="auto" w:sz="4" w:space="0"/>
            </w:tcBorders>
            <w:vAlign w:val="center"/>
          </w:tcPr>
          <w:p w14:paraId="38AB0EB3">
            <w:pPr>
              <w:rPr>
                <w:rFonts w:hint="eastAsia" w:ascii="宋体" w:hAnsi="宋体"/>
                <w:szCs w:val="21"/>
              </w:rPr>
            </w:pPr>
            <w:r>
              <w:rPr>
                <w:rFonts w:ascii="宋体" w:hAnsi="宋体"/>
                <w:szCs w:val="21"/>
              </w:rPr>
              <w:t>26</w:t>
            </w:r>
          </w:p>
        </w:tc>
        <w:tc>
          <w:tcPr>
            <w:tcW w:w="1592" w:type="dxa"/>
            <w:tcBorders>
              <w:top w:val="single" w:color="auto" w:sz="4" w:space="0"/>
              <w:left w:val="single" w:color="auto" w:sz="4" w:space="0"/>
              <w:bottom w:val="single" w:color="auto" w:sz="4" w:space="0"/>
              <w:right w:val="single" w:color="auto" w:sz="4" w:space="0"/>
            </w:tcBorders>
            <w:vAlign w:val="center"/>
          </w:tcPr>
          <w:p w14:paraId="155FBD79">
            <w:pPr>
              <w:rPr>
                <w:rFonts w:hint="eastAsia" w:ascii="宋体" w:hAnsi="宋体"/>
                <w:szCs w:val="21"/>
              </w:rPr>
            </w:pPr>
            <w:r>
              <w:rPr>
                <w:rFonts w:hint="eastAsia" w:ascii="宋体" w:hAnsi="宋体"/>
                <w:szCs w:val="21"/>
              </w:rPr>
              <w:t>开标评标办法</w:t>
            </w:r>
          </w:p>
        </w:tc>
        <w:tc>
          <w:tcPr>
            <w:tcW w:w="6075" w:type="dxa"/>
            <w:tcBorders>
              <w:top w:val="single" w:color="auto" w:sz="4" w:space="0"/>
              <w:left w:val="single" w:color="auto" w:sz="4" w:space="0"/>
              <w:bottom w:val="single" w:color="auto" w:sz="4" w:space="0"/>
              <w:right w:val="double" w:color="auto" w:sz="4" w:space="0"/>
            </w:tcBorders>
            <w:vAlign w:val="center"/>
          </w:tcPr>
          <w:p w14:paraId="14F499A2">
            <w:pPr>
              <w:pStyle w:val="5"/>
              <w:ind w:firstLine="0"/>
              <w:rPr>
                <w:rFonts w:hint="eastAsia" w:ascii="宋体" w:hAnsi="宋体"/>
                <w:szCs w:val="21"/>
              </w:rPr>
            </w:pPr>
            <w:r>
              <w:rPr>
                <w:rFonts w:hint="eastAsia" w:ascii="宋体" w:hAnsi="宋体"/>
                <w:szCs w:val="21"/>
              </w:rPr>
              <w:t>方式一：选取方法</w:t>
            </w:r>
            <w:r>
              <w:rPr>
                <w:rFonts w:hint="eastAsia" w:ascii="宋体" w:hAnsi="宋体" w:cs="宋体"/>
                <w:szCs w:val="21"/>
                <w:u w:val="single"/>
              </w:rPr>
              <w:t>办法六（适合综合评分法三，技术标与经济标同时开启）</w:t>
            </w:r>
            <w:r>
              <w:rPr>
                <w:rFonts w:hint="eastAsia" w:ascii="宋体" w:hAnsi="宋体"/>
                <w:szCs w:val="21"/>
              </w:rPr>
              <w:t>；</w:t>
            </w:r>
          </w:p>
        </w:tc>
      </w:tr>
      <w:tr w14:paraId="0885093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trPr>
        <w:tc>
          <w:tcPr>
            <w:tcW w:w="702" w:type="dxa"/>
            <w:tcBorders>
              <w:top w:val="single" w:color="auto" w:sz="4" w:space="0"/>
              <w:left w:val="double" w:color="auto" w:sz="4" w:space="0"/>
              <w:bottom w:val="single" w:color="auto" w:sz="4" w:space="0"/>
              <w:right w:val="single" w:color="auto" w:sz="4" w:space="0"/>
            </w:tcBorders>
            <w:vAlign w:val="center"/>
          </w:tcPr>
          <w:p w14:paraId="28CCEB57">
            <w:pPr>
              <w:rPr>
                <w:rFonts w:hint="eastAsia" w:ascii="宋体" w:hAnsi="宋体"/>
                <w:szCs w:val="21"/>
              </w:rPr>
            </w:pPr>
            <w:r>
              <w:rPr>
                <w:rFonts w:hint="eastAsia" w:ascii="宋体" w:hAnsi="宋体"/>
                <w:szCs w:val="21"/>
              </w:rPr>
              <w:t>20</w:t>
            </w:r>
          </w:p>
        </w:tc>
        <w:tc>
          <w:tcPr>
            <w:tcW w:w="981" w:type="dxa"/>
            <w:tcBorders>
              <w:top w:val="single" w:color="auto" w:sz="4" w:space="0"/>
              <w:left w:val="single" w:color="auto" w:sz="4" w:space="0"/>
              <w:bottom w:val="single" w:color="auto" w:sz="4" w:space="0"/>
              <w:right w:val="single" w:color="auto" w:sz="4" w:space="0"/>
            </w:tcBorders>
            <w:vAlign w:val="center"/>
          </w:tcPr>
          <w:p w14:paraId="586D255F">
            <w:pPr>
              <w:rPr>
                <w:rFonts w:hint="eastAsia" w:ascii="宋体" w:hAnsi="宋体"/>
                <w:szCs w:val="21"/>
              </w:rPr>
            </w:pPr>
            <w:r>
              <w:rPr>
                <w:rFonts w:hint="eastAsia" w:ascii="宋体" w:hAnsi="宋体"/>
                <w:szCs w:val="21"/>
              </w:rPr>
              <w:t>27</w:t>
            </w:r>
          </w:p>
        </w:tc>
        <w:tc>
          <w:tcPr>
            <w:tcW w:w="1592" w:type="dxa"/>
            <w:tcBorders>
              <w:top w:val="single" w:color="auto" w:sz="4" w:space="0"/>
              <w:left w:val="single" w:color="auto" w:sz="4" w:space="0"/>
              <w:bottom w:val="single" w:color="auto" w:sz="4" w:space="0"/>
              <w:right w:val="single" w:color="auto" w:sz="4" w:space="0"/>
            </w:tcBorders>
            <w:vAlign w:val="center"/>
          </w:tcPr>
          <w:p w14:paraId="6E3F9343">
            <w:pPr>
              <w:rPr>
                <w:rFonts w:hint="eastAsia" w:ascii="宋体" w:hAnsi="宋体"/>
                <w:szCs w:val="21"/>
              </w:rPr>
            </w:pPr>
            <w:r>
              <w:rPr>
                <w:rFonts w:hint="eastAsia" w:ascii="宋体" w:hAnsi="宋体"/>
                <w:szCs w:val="21"/>
              </w:rPr>
              <w:t>定标</w:t>
            </w:r>
          </w:p>
        </w:tc>
        <w:tc>
          <w:tcPr>
            <w:tcW w:w="6075" w:type="dxa"/>
            <w:tcBorders>
              <w:top w:val="single" w:color="auto" w:sz="4" w:space="0"/>
              <w:left w:val="single" w:color="auto" w:sz="4" w:space="0"/>
              <w:bottom w:val="single" w:color="auto" w:sz="4" w:space="0"/>
              <w:right w:val="double" w:color="auto" w:sz="4" w:space="0"/>
            </w:tcBorders>
            <w:vAlign w:val="center"/>
          </w:tcPr>
          <w:p w14:paraId="180164CF">
            <w:pPr>
              <w:pStyle w:val="5"/>
              <w:ind w:firstLine="0"/>
              <w:rPr>
                <w:rFonts w:hint="eastAsia" w:ascii="宋体" w:hAnsi="宋体"/>
                <w:szCs w:val="21"/>
              </w:rPr>
            </w:pPr>
            <w:r>
              <w:rPr>
                <w:rFonts w:hint="eastAsia" w:ascii="宋体" w:hAnsi="宋体"/>
                <w:szCs w:val="21"/>
              </w:rPr>
              <w:t>本项目不适用。</w:t>
            </w:r>
          </w:p>
        </w:tc>
      </w:tr>
      <w:tr w14:paraId="73FEC8D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72BFE077">
            <w:pPr>
              <w:rPr>
                <w:rFonts w:hint="eastAsia" w:ascii="宋体" w:hAnsi="宋体"/>
                <w:szCs w:val="21"/>
              </w:rPr>
            </w:pPr>
            <w:r>
              <w:rPr>
                <w:rFonts w:ascii="宋体" w:hAnsi="宋体"/>
                <w:szCs w:val="21"/>
              </w:rPr>
              <w:t>2</w:t>
            </w:r>
            <w:r>
              <w:rPr>
                <w:rFonts w:hint="eastAsia" w:ascii="宋体" w:hAnsi="宋体"/>
                <w:szCs w:val="21"/>
              </w:rPr>
              <w:t>1</w:t>
            </w:r>
          </w:p>
        </w:tc>
        <w:tc>
          <w:tcPr>
            <w:tcW w:w="981" w:type="dxa"/>
            <w:tcBorders>
              <w:top w:val="single" w:color="auto" w:sz="4" w:space="0"/>
              <w:left w:val="single" w:color="auto" w:sz="4" w:space="0"/>
              <w:bottom w:val="single" w:color="auto" w:sz="4" w:space="0"/>
              <w:right w:val="single" w:color="auto" w:sz="4" w:space="0"/>
            </w:tcBorders>
            <w:vAlign w:val="center"/>
          </w:tcPr>
          <w:p w14:paraId="461332BC">
            <w:pPr>
              <w:rPr>
                <w:rFonts w:hint="eastAsia" w:ascii="宋体" w:hAnsi="宋体"/>
                <w:szCs w:val="21"/>
              </w:rPr>
            </w:pPr>
            <w:r>
              <w:rPr>
                <w:rFonts w:ascii="宋体" w:hAnsi="宋体"/>
                <w:szCs w:val="21"/>
              </w:rPr>
              <w:t>29.1</w:t>
            </w:r>
          </w:p>
        </w:tc>
        <w:tc>
          <w:tcPr>
            <w:tcW w:w="1592" w:type="dxa"/>
            <w:tcBorders>
              <w:top w:val="single" w:color="auto" w:sz="4" w:space="0"/>
              <w:left w:val="single" w:color="auto" w:sz="4" w:space="0"/>
              <w:bottom w:val="single" w:color="auto" w:sz="4" w:space="0"/>
              <w:right w:val="single" w:color="auto" w:sz="4" w:space="0"/>
            </w:tcBorders>
            <w:vAlign w:val="center"/>
          </w:tcPr>
          <w:p w14:paraId="698E39B9">
            <w:pPr>
              <w:rPr>
                <w:rFonts w:hint="eastAsia" w:ascii="宋体" w:hAnsi="宋体"/>
                <w:szCs w:val="21"/>
              </w:rPr>
            </w:pPr>
            <w:r>
              <w:rPr>
                <w:rFonts w:hint="eastAsia" w:ascii="宋体" w:hAnsi="宋体"/>
                <w:szCs w:val="21"/>
              </w:rPr>
              <w:t>履约担保</w:t>
            </w:r>
          </w:p>
        </w:tc>
        <w:tc>
          <w:tcPr>
            <w:tcW w:w="6075" w:type="dxa"/>
            <w:tcBorders>
              <w:top w:val="single" w:color="auto" w:sz="4" w:space="0"/>
              <w:left w:val="single" w:color="auto" w:sz="4" w:space="0"/>
              <w:bottom w:val="single" w:color="auto" w:sz="4" w:space="0"/>
              <w:right w:val="double" w:color="auto" w:sz="4" w:space="0"/>
            </w:tcBorders>
            <w:vAlign w:val="center"/>
          </w:tcPr>
          <w:p w14:paraId="10496FD6">
            <w:r>
              <w:rPr>
                <w:rFonts w:hint="eastAsia"/>
              </w:rPr>
              <w:t>是否要求投标人提交履约担保：</w:t>
            </w:r>
          </w:p>
          <w:p w14:paraId="6C54215B">
            <w:pPr>
              <w:pStyle w:val="2"/>
            </w:pPr>
            <w:r>
              <w:rPr>
                <w:rFonts w:hint="eastAsia"/>
              </w:rPr>
              <w:t>□不要求</w:t>
            </w:r>
          </w:p>
          <w:p w14:paraId="72909E3C">
            <w:pPr>
              <w:pStyle w:val="2"/>
            </w:pPr>
            <w:r>
              <w:rPr>
                <w:rFonts w:hint="eastAsia"/>
              </w:rPr>
              <w:t>☑要求：</w:t>
            </w:r>
          </w:p>
          <w:p w14:paraId="31135F81">
            <w:pPr>
              <w:pStyle w:val="2"/>
              <w:rPr>
                <w:u w:val="single"/>
              </w:rPr>
            </w:pPr>
            <w:r>
              <w:rPr>
                <w:rFonts w:hint="eastAsia"/>
              </w:rPr>
              <w:t>履约保证金的金额：</w:t>
            </w:r>
            <w:r>
              <w:rPr>
                <w:rFonts w:hint="eastAsia"/>
                <w:u w:val="single"/>
              </w:rPr>
              <w:t xml:space="preserve">      </w:t>
            </w:r>
          </w:p>
          <w:p w14:paraId="4F43AD81">
            <w:pPr>
              <w:rPr>
                <w:rFonts w:hint="eastAsia" w:ascii="宋体" w:hAnsi="宋体"/>
              </w:rPr>
            </w:pPr>
            <w:r>
              <w:rPr>
                <w:rFonts w:hint="eastAsia"/>
              </w:rPr>
              <w:t>☑</w:t>
            </w:r>
            <w:r>
              <w:rPr>
                <w:rFonts w:hint="eastAsia" w:ascii="宋体" w:hAnsi="宋体"/>
              </w:rPr>
              <w:t>方式一：中标人提供的履约保证金为中标价款的</w:t>
            </w:r>
            <w:r>
              <w:rPr>
                <w:rFonts w:hint="eastAsia" w:ascii="宋体" w:hAnsi="宋体"/>
                <w:u w:val="single"/>
              </w:rPr>
              <w:t xml:space="preserve"> 10 </w:t>
            </w:r>
            <w:r>
              <w:rPr>
                <w:rFonts w:hint="eastAsia" w:ascii="宋体" w:hAnsi="宋体"/>
              </w:rPr>
              <w:t>%（不高于10%）。</w:t>
            </w:r>
          </w:p>
          <w:p w14:paraId="72641F4D">
            <w:pPr>
              <w:pStyle w:val="5"/>
              <w:spacing w:after="0"/>
              <w:ind w:firstLine="0"/>
              <w:rPr>
                <w:rFonts w:hint="eastAsia" w:ascii="宋体" w:hAnsi="宋体"/>
              </w:rPr>
            </w:pPr>
            <w:r>
              <w:rPr>
                <w:rFonts w:hint="eastAsia"/>
              </w:rPr>
              <w:t>□</w:t>
            </w:r>
            <w:r>
              <w:rPr>
                <w:rFonts w:hint="eastAsia" w:ascii="宋体" w:hAnsi="宋体"/>
              </w:rPr>
              <w:t>方式二：中标人提供的履约保函的保证额为中标价款与最高投标限价之间的差额，且不超过中标价款的10%。</w:t>
            </w:r>
          </w:p>
          <w:p w14:paraId="0611CD54">
            <w:pPr>
              <w:widowControl/>
              <w:jc w:val="left"/>
              <w:rPr>
                <w:rFonts w:hint="eastAsia" w:ascii="宋体" w:hAnsi="宋体"/>
                <w:szCs w:val="21"/>
                <w:u w:val="single"/>
              </w:rPr>
            </w:pPr>
            <w:r>
              <w:rPr>
                <w:rFonts w:hint="eastAsia" w:ascii="宋体" w:hAnsi="宋体"/>
              </w:rPr>
              <w:t>履约保证金的形式：</w:t>
            </w:r>
            <w:r>
              <w:rPr>
                <w:rFonts w:hint="eastAsia" w:ascii="宋体" w:hAnsi="宋体"/>
                <w:u w:val="single"/>
              </w:rPr>
              <w:t xml:space="preserve">      </w:t>
            </w:r>
          </w:p>
        </w:tc>
      </w:tr>
      <w:tr w14:paraId="1DF311A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702" w:type="dxa"/>
            <w:tcBorders>
              <w:top w:val="single" w:color="auto" w:sz="4" w:space="0"/>
              <w:left w:val="double" w:color="auto" w:sz="4" w:space="0"/>
              <w:bottom w:val="single" w:color="auto" w:sz="4" w:space="0"/>
              <w:right w:val="single" w:color="auto" w:sz="4" w:space="0"/>
            </w:tcBorders>
            <w:vAlign w:val="center"/>
          </w:tcPr>
          <w:p w14:paraId="106B91DC">
            <w:pPr>
              <w:rPr>
                <w:rFonts w:hint="eastAsia" w:ascii="宋体" w:hAnsi="宋体"/>
                <w:szCs w:val="21"/>
              </w:rPr>
            </w:pPr>
            <w:r>
              <w:rPr>
                <w:rFonts w:hint="eastAsia" w:ascii="宋体" w:hAnsi="宋体"/>
                <w:szCs w:val="21"/>
              </w:rPr>
              <w:t>22</w:t>
            </w:r>
          </w:p>
        </w:tc>
        <w:tc>
          <w:tcPr>
            <w:tcW w:w="981" w:type="dxa"/>
            <w:tcBorders>
              <w:top w:val="single" w:color="auto" w:sz="4" w:space="0"/>
              <w:left w:val="single" w:color="auto" w:sz="4" w:space="0"/>
              <w:bottom w:val="single" w:color="auto" w:sz="4" w:space="0"/>
              <w:right w:val="single" w:color="auto" w:sz="4" w:space="0"/>
            </w:tcBorders>
            <w:vAlign w:val="center"/>
          </w:tcPr>
          <w:p w14:paraId="09C76FC7">
            <w:pPr>
              <w:rPr>
                <w:rFonts w:hint="eastAsia" w:ascii="宋体" w:hAnsi="宋体"/>
                <w:szCs w:val="21"/>
              </w:rPr>
            </w:pPr>
            <w:r>
              <w:rPr>
                <w:rFonts w:hint="eastAsia" w:ascii="宋体" w:hAnsi="宋体"/>
                <w:szCs w:val="21"/>
              </w:rPr>
              <w:t>32.1</w:t>
            </w:r>
          </w:p>
        </w:tc>
        <w:tc>
          <w:tcPr>
            <w:tcW w:w="1592" w:type="dxa"/>
            <w:tcBorders>
              <w:top w:val="single" w:color="auto" w:sz="4" w:space="0"/>
              <w:left w:val="single" w:color="auto" w:sz="4" w:space="0"/>
              <w:bottom w:val="single" w:color="auto" w:sz="4" w:space="0"/>
              <w:right w:val="single" w:color="auto" w:sz="4" w:space="0"/>
            </w:tcBorders>
            <w:vAlign w:val="center"/>
          </w:tcPr>
          <w:p w14:paraId="4317EA61">
            <w:pPr>
              <w:rPr>
                <w:rFonts w:hint="eastAsia" w:ascii="宋体" w:hAnsi="宋体"/>
                <w:szCs w:val="21"/>
              </w:rPr>
            </w:pPr>
            <w:r>
              <w:rPr>
                <w:rFonts w:hint="eastAsia" w:ascii="宋体" w:hAnsi="宋体"/>
                <w:szCs w:val="21"/>
              </w:rPr>
              <w:t>专业分包</w:t>
            </w:r>
          </w:p>
        </w:tc>
        <w:tc>
          <w:tcPr>
            <w:tcW w:w="6075" w:type="dxa"/>
            <w:tcBorders>
              <w:top w:val="single" w:color="auto" w:sz="4" w:space="0"/>
              <w:left w:val="single" w:color="auto" w:sz="4" w:space="0"/>
              <w:bottom w:val="single" w:color="auto" w:sz="4" w:space="0"/>
              <w:right w:val="double" w:color="auto" w:sz="4" w:space="0"/>
            </w:tcBorders>
            <w:vAlign w:val="center"/>
          </w:tcPr>
          <w:p w14:paraId="078750DA">
            <w:pPr>
              <w:rPr>
                <w:rFonts w:hint="eastAsia" w:ascii="宋体" w:hAnsi="宋体"/>
                <w:kern w:val="0"/>
                <w:szCs w:val="21"/>
                <w:lang w:val="zh-CN"/>
              </w:rPr>
            </w:pPr>
            <w:r>
              <w:rPr>
                <w:rFonts w:hint="eastAsia" w:ascii="宋体" w:hAnsi="宋体"/>
                <w:kern w:val="0"/>
                <w:szCs w:val="21"/>
                <w:lang w:val="zh-CN"/>
              </w:rPr>
              <w:t>□不允许；</w:t>
            </w:r>
          </w:p>
          <w:p w14:paraId="6D3564DA">
            <w:pPr>
              <w:rPr>
                <w:rFonts w:hint="eastAsia" w:ascii="宋体" w:hAnsi="宋体"/>
                <w:kern w:val="0"/>
                <w:szCs w:val="21"/>
                <w:lang w:val="zh-CN"/>
              </w:rPr>
            </w:pPr>
            <w:r>
              <w:rPr>
                <w:rFonts w:hint="eastAsia" w:ascii="宋体" w:hAnsi="宋体"/>
                <w:kern w:val="0"/>
                <w:szCs w:val="21"/>
                <w:lang w:val="zh-CN"/>
              </w:rPr>
              <w:t>☑允许：分包内容要求：</w:t>
            </w:r>
            <w:r>
              <w:rPr>
                <w:rFonts w:hint="eastAsia" w:ascii="宋体" w:hAnsi="宋体" w:cs="宋体"/>
                <w:kern w:val="0"/>
                <w:szCs w:val="21"/>
                <w:u w:val="single"/>
                <w:lang w:val="zh-CN"/>
              </w:rPr>
              <w:t>允许非主体、非关键性工程进行分包。</w:t>
            </w:r>
          </w:p>
          <w:p w14:paraId="346AFF19">
            <w:pPr>
              <w:rPr>
                <w:rFonts w:hint="eastAsia" w:ascii="宋体" w:hAnsi="宋体"/>
                <w:kern w:val="0"/>
                <w:szCs w:val="21"/>
                <w:lang w:val="zh-CN"/>
              </w:rPr>
            </w:pPr>
            <w:r>
              <w:rPr>
                <w:rFonts w:hint="eastAsia" w:ascii="宋体" w:hAnsi="宋体"/>
                <w:kern w:val="0"/>
                <w:szCs w:val="21"/>
                <w:lang w:val="zh-CN"/>
              </w:rPr>
              <w:t xml:space="preserve">        分包金额要求：</w:t>
            </w:r>
            <w:r>
              <w:rPr>
                <w:rFonts w:hint="eastAsia" w:ascii="宋体" w:hAnsi="宋体" w:cs="宋体"/>
                <w:u w:val="single"/>
                <w:lang w:val="zh-CN"/>
              </w:rPr>
              <w:t>根据实际情况确定。</w:t>
            </w:r>
          </w:p>
          <w:p w14:paraId="07C93E53">
            <w:pPr>
              <w:rPr>
                <w:rFonts w:hint="eastAsia" w:ascii="宋体" w:hAnsi="宋体"/>
                <w:kern w:val="0"/>
                <w:szCs w:val="21"/>
                <w:lang w:val="zh-CN"/>
              </w:rPr>
            </w:pPr>
            <w:r>
              <w:rPr>
                <w:rFonts w:hint="eastAsia" w:ascii="宋体" w:hAnsi="宋体"/>
                <w:kern w:val="0"/>
                <w:szCs w:val="21"/>
                <w:lang w:val="zh-CN"/>
              </w:rPr>
              <w:t xml:space="preserve">        对分包人的资质要求：</w:t>
            </w:r>
            <w:r>
              <w:rPr>
                <w:rFonts w:hint="eastAsia" w:ascii="宋体" w:hAnsi="宋体" w:cs="宋体"/>
                <w:kern w:val="0"/>
                <w:szCs w:val="21"/>
                <w:u w:val="single"/>
                <w:lang w:val="zh-CN"/>
              </w:rPr>
              <w:t>分包人的资格能力应与其分包工程的标准和规模相适应，且须符合</w:t>
            </w:r>
            <w:r>
              <w:rPr>
                <w:rFonts w:hint="eastAsia" w:ascii="宋体" w:hAnsi="宋体" w:cs="宋体"/>
                <w:kern w:val="0"/>
                <w:szCs w:val="21"/>
                <w:u w:val="single"/>
              </w:rPr>
              <w:t>相关</w:t>
            </w:r>
            <w:r>
              <w:rPr>
                <w:rFonts w:hint="eastAsia" w:ascii="宋体" w:hAnsi="宋体" w:cs="宋体"/>
                <w:kern w:val="0"/>
                <w:szCs w:val="21"/>
                <w:u w:val="single"/>
                <w:lang w:val="zh-CN"/>
              </w:rPr>
              <w:t>文件</w:t>
            </w:r>
            <w:r>
              <w:rPr>
                <w:rFonts w:hint="eastAsia" w:ascii="宋体" w:hAnsi="宋体" w:cs="宋体"/>
                <w:kern w:val="0"/>
                <w:szCs w:val="21"/>
                <w:u w:val="single"/>
              </w:rPr>
              <w:t>的</w:t>
            </w:r>
            <w:r>
              <w:rPr>
                <w:rFonts w:hint="eastAsia" w:ascii="宋体" w:hAnsi="宋体" w:cs="宋体"/>
                <w:kern w:val="0"/>
                <w:szCs w:val="21"/>
                <w:u w:val="single"/>
                <w:lang w:val="zh-CN"/>
              </w:rPr>
              <w:t>规定。</w:t>
            </w:r>
          </w:p>
          <w:p w14:paraId="4E689A44">
            <w:pPr>
              <w:pStyle w:val="5"/>
              <w:spacing w:after="0"/>
              <w:ind w:firstLine="0"/>
              <w:rPr>
                <w:rFonts w:hint="eastAsia" w:ascii="宋体" w:hAnsi="宋体" w:cs="宋体"/>
                <w:kern w:val="0"/>
                <w:szCs w:val="21"/>
                <w:u w:val="single"/>
                <w:lang w:val="zh-CN"/>
              </w:rPr>
            </w:pPr>
            <w:r>
              <w:rPr>
                <w:rFonts w:hint="eastAsia" w:ascii="宋体" w:hAnsi="宋体"/>
                <w:kern w:val="0"/>
                <w:szCs w:val="21"/>
                <w:lang w:val="zh-CN"/>
              </w:rPr>
              <w:t xml:space="preserve">        对分包人的其他要求：</w:t>
            </w:r>
            <w:r>
              <w:rPr>
                <w:rFonts w:hint="eastAsia" w:ascii="宋体" w:hAnsi="宋体" w:cs="宋体"/>
                <w:kern w:val="0"/>
                <w:szCs w:val="21"/>
                <w:u w:val="single"/>
                <w:lang w:val="zh-CN"/>
              </w:rPr>
              <w:t>符合有关法律法规和文件规定，并不得再次分包。分包单位资质报建设单位审批同意。</w:t>
            </w:r>
          </w:p>
        </w:tc>
      </w:tr>
      <w:tr w14:paraId="3AE5894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11" w:hRule="atLeast"/>
        </w:trPr>
        <w:tc>
          <w:tcPr>
            <w:tcW w:w="702" w:type="dxa"/>
            <w:tcBorders>
              <w:top w:val="single" w:color="auto" w:sz="4" w:space="0"/>
              <w:left w:val="double" w:color="auto" w:sz="4" w:space="0"/>
              <w:bottom w:val="single" w:color="auto" w:sz="4" w:space="0"/>
              <w:right w:val="single" w:color="auto" w:sz="4" w:space="0"/>
            </w:tcBorders>
            <w:vAlign w:val="center"/>
          </w:tcPr>
          <w:p w14:paraId="10F9CDB4">
            <w:pPr>
              <w:rPr>
                <w:rFonts w:hint="eastAsia" w:ascii="宋体" w:hAnsi="宋体"/>
                <w:szCs w:val="21"/>
              </w:rPr>
            </w:pPr>
            <w:r>
              <w:rPr>
                <w:rFonts w:ascii="宋体" w:hAnsi="宋体"/>
                <w:szCs w:val="21"/>
              </w:rPr>
              <w:t>2</w:t>
            </w:r>
            <w:r>
              <w:rPr>
                <w:rFonts w:hint="eastAsia" w:ascii="宋体" w:hAnsi="宋体"/>
                <w:szCs w:val="21"/>
              </w:rPr>
              <w:t>3</w:t>
            </w:r>
          </w:p>
        </w:tc>
        <w:tc>
          <w:tcPr>
            <w:tcW w:w="981" w:type="dxa"/>
            <w:tcBorders>
              <w:top w:val="single" w:color="auto" w:sz="4" w:space="0"/>
              <w:left w:val="single" w:color="auto" w:sz="4" w:space="0"/>
              <w:bottom w:val="single" w:color="auto" w:sz="4" w:space="0"/>
              <w:right w:val="single" w:color="auto" w:sz="4" w:space="0"/>
            </w:tcBorders>
            <w:vAlign w:val="center"/>
          </w:tcPr>
          <w:p w14:paraId="5A551A2D">
            <w:pPr>
              <w:rPr>
                <w:rFonts w:hint="eastAsia" w:ascii="宋体" w:hAnsi="宋体"/>
                <w:szCs w:val="21"/>
              </w:rPr>
            </w:pPr>
          </w:p>
        </w:tc>
        <w:tc>
          <w:tcPr>
            <w:tcW w:w="1592" w:type="dxa"/>
            <w:tcBorders>
              <w:top w:val="single" w:color="auto" w:sz="4" w:space="0"/>
              <w:left w:val="single" w:color="auto" w:sz="4" w:space="0"/>
              <w:bottom w:val="single" w:color="auto" w:sz="4" w:space="0"/>
              <w:right w:val="single" w:color="auto" w:sz="4" w:space="0"/>
            </w:tcBorders>
            <w:vAlign w:val="center"/>
          </w:tcPr>
          <w:p w14:paraId="0DDA1B80">
            <w:pPr>
              <w:rPr>
                <w:rFonts w:hint="eastAsia" w:ascii="宋体" w:hAnsi="宋体"/>
                <w:szCs w:val="21"/>
              </w:rPr>
            </w:pPr>
            <w:r>
              <w:rPr>
                <w:rFonts w:hint="eastAsia" w:ascii="宋体" w:hAnsi="宋体"/>
                <w:szCs w:val="21"/>
              </w:rPr>
              <w:t>最高投标限价</w:t>
            </w:r>
          </w:p>
        </w:tc>
        <w:tc>
          <w:tcPr>
            <w:tcW w:w="6075" w:type="dxa"/>
            <w:tcBorders>
              <w:top w:val="single" w:color="auto" w:sz="4" w:space="0"/>
              <w:left w:val="single" w:color="auto" w:sz="4" w:space="0"/>
              <w:bottom w:val="single" w:color="auto" w:sz="4" w:space="0"/>
              <w:right w:val="double" w:color="auto" w:sz="4" w:space="0"/>
            </w:tcBorders>
            <w:vAlign w:val="center"/>
          </w:tcPr>
          <w:p w14:paraId="035DA73D">
            <w:pPr>
              <w:widowControl/>
              <w:jc w:val="left"/>
              <w:rPr>
                <w:rFonts w:hint="eastAsia" w:ascii="宋体" w:hAnsi="宋体"/>
                <w:kern w:val="0"/>
                <w:szCs w:val="21"/>
                <w:lang w:val="zh-CN"/>
              </w:rPr>
            </w:pPr>
            <w:r>
              <w:rPr>
                <w:rFonts w:hint="eastAsia" w:ascii="宋体" w:hAnsi="宋体"/>
              </w:rPr>
              <w:t>本项目</w:t>
            </w:r>
            <w:r>
              <w:rPr>
                <w:rFonts w:hint="eastAsia" w:ascii="宋体" w:hAnsi="宋体" w:cs="宋体"/>
                <w:bCs/>
                <w:kern w:val="0"/>
                <w:szCs w:val="21"/>
              </w:rPr>
              <w:t>最高</w:t>
            </w:r>
            <w:r>
              <w:rPr>
                <w:rFonts w:hint="eastAsia" w:ascii="宋体" w:hAnsi="宋体"/>
              </w:rPr>
              <w:t>投标限价为人民币</w:t>
            </w:r>
            <w:r>
              <w:rPr>
                <w:rFonts w:hint="eastAsia" w:ascii="宋体" w:hAnsi="宋体"/>
                <w:u w:val="single"/>
              </w:rPr>
              <w:t>36423343.22</w:t>
            </w:r>
            <w:r>
              <w:rPr>
                <w:rFonts w:hint="eastAsia" w:ascii="宋体" w:hAnsi="宋体"/>
              </w:rPr>
              <w:t>元。详见本项目最高投标限价公布表。</w:t>
            </w:r>
          </w:p>
        </w:tc>
      </w:tr>
      <w:tr w14:paraId="491CF39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61" w:hRule="atLeast"/>
        </w:trPr>
        <w:tc>
          <w:tcPr>
            <w:tcW w:w="702" w:type="dxa"/>
            <w:tcBorders>
              <w:top w:val="single" w:color="auto" w:sz="4" w:space="0"/>
              <w:left w:val="double" w:color="auto" w:sz="4" w:space="0"/>
              <w:bottom w:val="single" w:color="auto" w:sz="4" w:space="0"/>
              <w:right w:val="single" w:color="auto" w:sz="4" w:space="0"/>
            </w:tcBorders>
            <w:vAlign w:val="center"/>
          </w:tcPr>
          <w:p w14:paraId="12D14D61">
            <w:pPr>
              <w:rPr>
                <w:rFonts w:hint="eastAsia" w:ascii="宋体" w:hAnsi="宋体"/>
                <w:szCs w:val="21"/>
              </w:rPr>
            </w:pPr>
            <w:r>
              <w:rPr>
                <w:rFonts w:ascii="宋体" w:hAnsi="宋体"/>
                <w:szCs w:val="21"/>
              </w:rPr>
              <w:t>2</w:t>
            </w:r>
            <w:r>
              <w:rPr>
                <w:rFonts w:hint="eastAsia" w:ascii="宋体" w:hAnsi="宋体"/>
                <w:szCs w:val="21"/>
              </w:rPr>
              <w:t>4</w:t>
            </w:r>
          </w:p>
        </w:tc>
        <w:tc>
          <w:tcPr>
            <w:tcW w:w="981" w:type="dxa"/>
            <w:tcBorders>
              <w:top w:val="single" w:color="auto" w:sz="4" w:space="0"/>
              <w:left w:val="single" w:color="auto" w:sz="4" w:space="0"/>
              <w:bottom w:val="single" w:color="auto" w:sz="4" w:space="0"/>
              <w:right w:val="single" w:color="auto" w:sz="4" w:space="0"/>
            </w:tcBorders>
            <w:vAlign w:val="center"/>
          </w:tcPr>
          <w:p w14:paraId="02924621">
            <w:pPr>
              <w:rPr>
                <w:rFonts w:hint="eastAsia" w:ascii="宋体" w:hAnsi="宋体"/>
                <w:szCs w:val="21"/>
              </w:rPr>
            </w:pPr>
          </w:p>
        </w:tc>
        <w:tc>
          <w:tcPr>
            <w:tcW w:w="1592" w:type="dxa"/>
            <w:tcBorders>
              <w:top w:val="single" w:color="auto" w:sz="4" w:space="0"/>
              <w:left w:val="single" w:color="auto" w:sz="4" w:space="0"/>
              <w:bottom w:val="single" w:color="auto" w:sz="4" w:space="0"/>
              <w:right w:val="single" w:color="auto" w:sz="4" w:space="0"/>
            </w:tcBorders>
            <w:vAlign w:val="center"/>
          </w:tcPr>
          <w:p w14:paraId="409902D5">
            <w:pPr>
              <w:rPr>
                <w:rFonts w:hint="eastAsia" w:ascii="宋体" w:hAnsi="宋体"/>
                <w:szCs w:val="21"/>
              </w:rPr>
            </w:pPr>
            <w:r>
              <w:rPr>
                <w:rFonts w:hint="eastAsia" w:ascii="宋体" w:hAnsi="宋体"/>
                <w:szCs w:val="21"/>
              </w:rPr>
              <w:t>非竞争费用</w:t>
            </w:r>
          </w:p>
        </w:tc>
        <w:tc>
          <w:tcPr>
            <w:tcW w:w="6075" w:type="dxa"/>
            <w:tcBorders>
              <w:top w:val="single" w:color="auto" w:sz="4" w:space="0"/>
              <w:left w:val="single" w:color="auto" w:sz="4" w:space="0"/>
              <w:bottom w:val="single" w:color="auto" w:sz="4" w:space="0"/>
              <w:right w:val="double" w:color="auto" w:sz="4" w:space="0"/>
            </w:tcBorders>
            <w:vAlign w:val="center"/>
          </w:tcPr>
          <w:p w14:paraId="490E6A9D">
            <w:pPr>
              <w:rPr>
                <w:rFonts w:hint="eastAsia" w:ascii="宋体" w:hAnsi="宋体"/>
                <w:szCs w:val="21"/>
              </w:rPr>
            </w:pPr>
            <w:r>
              <w:rPr>
                <w:rFonts w:hint="eastAsia" w:ascii="宋体" w:hAnsi="宋体"/>
                <w:szCs w:val="21"/>
              </w:rPr>
              <w:t>本项目</w:t>
            </w:r>
            <w:r>
              <w:rPr>
                <w:rFonts w:hint="eastAsia" w:ascii="宋体" w:hAnsi="宋体"/>
                <w:szCs w:val="21"/>
                <w:lang w:eastAsia="zh-CN"/>
              </w:rPr>
              <w:t>安全生产措施费</w:t>
            </w:r>
            <w:r>
              <w:rPr>
                <w:rFonts w:hint="eastAsia" w:ascii="宋体" w:hAnsi="宋体"/>
                <w:szCs w:val="21"/>
              </w:rPr>
              <w:t>为</w:t>
            </w:r>
            <w:r>
              <w:rPr>
                <w:rFonts w:hint="eastAsia" w:ascii="宋体" w:hAnsi="宋体"/>
                <w:szCs w:val="21"/>
                <w:u w:val="single"/>
              </w:rPr>
              <w:t>565365.06</w:t>
            </w:r>
            <w:r>
              <w:rPr>
                <w:rFonts w:hint="eastAsia" w:ascii="宋体" w:hAnsi="宋体"/>
                <w:szCs w:val="21"/>
              </w:rPr>
              <w:t>元，暂列金额为</w:t>
            </w:r>
            <w:r>
              <w:rPr>
                <w:rFonts w:hint="eastAsia" w:ascii="宋体" w:hAnsi="宋体"/>
                <w:szCs w:val="21"/>
                <w:u w:val="single"/>
              </w:rPr>
              <w:t>2500000.00</w:t>
            </w:r>
            <w:r>
              <w:rPr>
                <w:rFonts w:hint="eastAsia" w:ascii="宋体" w:hAnsi="宋体"/>
                <w:szCs w:val="21"/>
              </w:rPr>
              <w:t>元，暂估价为</w:t>
            </w:r>
            <w:r>
              <w:rPr>
                <w:rFonts w:hint="eastAsia" w:ascii="宋体" w:hAnsi="宋体"/>
                <w:szCs w:val="21"/>
                <w:u w:val="single"/>
              </w:rPr>
              <w:t>0</w:t>
            </w:r>
            <w:r>
              <w:rPr>
                <w:rFonts w:hint="eastAsia" w:ascii="宋体" w:hAnsi="宋体"/>
                <w:szCs w:val="21"/>
              </w:rPr>
              <w:t>元。（未按招标文件规定的金额填写的，由评标委员会按照招标文件规定的金额进行修正）</w:t>
            </w:r>
          </w:p>
        </w:tc>
      </w:tr>
      <w:tr w14:paraId="690AC68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trPr>
        <w:tc>
          <w:tcPr>
            <w:tcW w:w="702" w:type="dxa"/>
            <w:tcBorders>
              <w:top w:val="single" w:color="auto" w:sz="4" w:space="0"/>
              <w:left w:val="double" w:color="auto" w:sz="4" w:space="0"/>
              <w:bottom w:val="single" w:color="auto" w:sz="4" w:space="0"/>
              <w:right w:val="single" w:color="auto" w:sz="4" w:space="0"/>
            </w:tcBorders>
            <w:vAlign w:val="center"/>
          </w:tcPr>
          <w:p w14:paraId="76B98034">
            <w:pPr>
              <w:rPr>
                <w:rFonts w:hint="eastAsia" w:ascii="宋体" w:hAnsi="宋体"/>
                <w:szCs w:val="21"/>
              </w:rPr>
            </w:pPr>
            <w:r>
              <w:rPr>
                <w:rFonts w:hint="eastAsia" w:ascii="宋体" w:hAnsi="宋体"/>
                <w:szCs w:val="21"/>
              </w:rPr>
              <w:t>25</w:t>
            </w:r>
          </w:p>
        </w:tc>
        <w:tc>
          <w:tcPr>
            <w:tcW w:w="981" w:type="dxa"/>
            <w:tcBorders>
              <w:top w:val="single" w:color="auto" w:sz="4" w:space="0"/>
              <w:left w:val="single" w:color="auto" w:sz="4" w:space="0"/>
              <w:bottom w:val="single" w:color="auto" w:sz="4" w:space="0"/>
              <w:right w:val="single" w:color="auto" w:sz="4" w:space="0"/>
            </w:tcBorders>
            <w:vAlign w:val="center"/>
          </w:tcPr>
          <w:p w14:paraId="45784C5E">
            <w:pPr>
              <w:rPr>
                <w:rFonts w:hint="eastAsia" w:ascii="宋体" w:hAnsi="宋体"/>
                <w:szCs w:val="21"/>
              </w:rPr>
            </w:pPr>
          </w:p>
        </w:tc>
        <w:tc>
          <w:tcPr>
            <w:tcW w:w="1592" w:type="dxa"/>
            <w:tcBorders>
              <w:top w:val="single" w:color="auto" w:sz="4" w:space="0"/>
              <w:left w:val="single" w:color="auto" w:sz="4" w:space="0"/>
              <w:bottom w:val="single" w:color="auto" w:sz="4" w:space="0"/>
              <w:right w:val="single" w:color="auto" w:sz="4" w:space="0"/>
            </w:tcBorders>
            <w:vAlign w:val="center"/>
          </w:tcPr>
          <w:p w14:paraId="33168731">
            <w:pPr>
              <w:pStyle w:val="5"/>
              <w:ind w:firstLine="0"/>
              <w:rPr>
                <w:rFonts w:hint="eastAsia" w:ascii="宋体" w:hAnsi="宋体"/>
                <w:szCs w:val="21"/>
              </w:rPr>
            </w:pPr>
            <w:r>
              <w:rPr>
                <w:rFonts w:hint="eastAsia" w:ascii="宋体" w:hAnsi="宋体"/>
                <w:szCs w:val="21"/>
              </w:rPr>
              <w:t>保修期</w:t>
            </w:r>
          </w:p>
        </w:tc>
        <w:tc>
          <w:tcPr>
            <w:tcW w:w="6075" w:type="dxa"/>
            <w:tcBorders>
              <w:top w:val="single" w:color="auto" w:sz="4" w:space="0"/>
              <w:left w:val="single" w:color="auto" w:sz="4" w:space="0"/>
              <w:bottom w:val="single" w:color="auto" w:sz="4" w:space="0"/>
              <w:right w:val="double" w:color="auto" w:sz="4" w:space="0"/>
            </w:tcBorders>
            <w:vAlign w:val="center"/>
          </w:tcPr>
          <w:p w14:paraId="024D42DD">
            <w:pPr>
              <w:rPr>
                <w:rFonts w:hint="eastAsia" w:ascii="宋体" w:hAnsi="宋体"/>
                <w:szCs w:val="21"/>
              </w:rPr>
            </w:pPr>
            <w:r>
              <w:rPr>
                <w:rFonts w:hint="eastAsia" w:ascii="宋体" w:hAnsi="宋体"/>
                <w:szCs w:val="21"/>
              </w:rPr>
              <w:t>按照《建设工程质量管理条例》和《工程质量保修书》规定。</w:t>
            </w:r>
          </w:p>
        </w:tc>
      </w:tr>
      <w:tr w14:paraId="34188F3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92" w:hRule="atLeast"/>
        </w:trPr>
        <w:tc>
          <w:tcPr>
            <w:tcW w:w="702" w:type="dxa"/>
            <w:tcBorders>
              <w:top w:val="single" w:color="auto" w:sz="4" w:space="0"/>
              <w:left w:val="double" w:color="auto" w:sz="4" w:space="0"/>
              <w:bottom w:val="single" w:color="auto" w:sz="4" w:space="0"/>
              <w:right w:val="single" w:color="auto" w:sz="4" w:space="0"/>
            </w:tcBorders>
            <w:vAlign w:val="center"/>
          </w:tcPr>
          <w:p w14:paraId="5D6E9291">
            <w:pPr>
              <w:rPr>
                <w:rFonts w:hint="eastAsia" w:ascii="宋体" w:hAnsi="宋体"/>
                <w:szCs w:val="21"/>
              </w:rPr>
            </w:pPr>
            <w:r>
              <w:rPr>
                <w:rFonts w:ascii="宋体" w:hAnsi="宋体"/>
                <w:szCs w:val="21"/>
              </w:rPr>
              <w:t>2</w:t>
            </w:r>
            <w:r>
              <w:rPr>
                <w:rFonts w:hint="eastAsia" w:ascii="宋体" w:hAnsi="宋体"/>
                <w:szCs w:val="21"/>
              </w:rPr>
              <w:t>6</w:t>
            </w:r>
          </w:p>
        </w:tc>
        <w:tc>
          <w:tcPr>
            <w:tcW w:w="981" w:type="dxa"/>
            <w:tcBorders>
              <w:top w:val="single" w:color="auto" w:sz="4" w:space="0"/>
              <w:left w:val="single" w:color="auto" w:sz="4" w:space="0"/>
              <w:bottom w:val="single" w:color="auto" w:sz="4" w:space="0"/>
              <w:right w:val="single" w:color="auto" w:sz="4" w:space="0"/>
            </w:tcBorders>
            <w:vAlign w:val="center"/>
          </w:tcPr>
          <w:p w14:paraId="75F9A2A2">
            <w:pPr>
              <w:rPr>
                <w:rFonts w:hint="eastAsia" w:ascii="宋体" w:hAnsi="宋体"/>
                <w:szCs w:val="21"/>
              </w:rPr>
            </w:pPr>
          </w:p>
        </w:tc>
        <w:tc>
          <w:tcPr>
            <w:tcW w:w="1592" w:type="dxa"/>
            <w:tcBorders>
              <w:top w:val="single" w:color="auto" w:sz="4" w:space="0"/>
              <w:left w:val="single" w:color="auto" w:sz="4" w:space="0"/>
              <w:bottom w:val="single" w:color="auto" w:sz="4" w:space="0"/>
              <w:right w:val="single" w:color="auto" w:sz="4" w:space="0"/>
            </w:tcBorders>
            <w:vAlign w:val="center"/>
          </w:tcPr>
          <w:p w14:paraId="04E11884">
            <w:pPr>
              <w:rPr>
                <w:rFonts w:hint="eastAsia" w:ascii="宋体" w:hAnsi="宋体"/>
                <w:szCs w:val="21"/>
              </w:rPr>
            </w:pPr>
            <w:r>
              <w:rPr>
                <w:rFonts w:hint="eastAsia" w:ascii="宋体" w:hAnsi="宋体"/>
                <w:szCs w:val="21"/>
              </w:rPr>
              <w:t>计算评标参考价的等分点值</w:t>
            </w:r>
          </w:p>
        </w:tc>
        <w:tc>
          <w:tcPr>
            <w:tcW w:w="6075" w:type="dxa"/>
            <w:tcBorders>
              <w:top w:val="single" w:color="auto" w:sz="4" w:space="0"/>
              <w:left w:val="single" w:color="auto" w:sz="4" w:space="0"/>
              <w:bottom w:val="single" w:color="auto" w:sz="4" w:space="0"/>
              <w:right w:val="double" w:color="auto" w:sz="4" w:space="0"/>
            </w:tcBorders>
            <w:vAlign w:val="center"/>
          </w:tcPr>
          <w:p w14:paraId="4A763693">
            <w:pPr>
              <w:pStyle w:val="5"/>
              <w:ind w:firstLine="0"/>
              <w:rPr>
                <w:rFonts w:hint="eastAsia" w:ascii="宋体" w:hAnsi="宋体"/>
                <w:szCs w:val="21"/>
              </w:rPr>
            </w:pPr>
            <w:r>
              <w:rPr>
                <w:rFonts w:hint="eastAsia" w:ascii="宋体" w:hAnsi="宋体"/>
                <w:szCs w:val="21"/>
              </w:rPr>
              <w:t>计算评标参考价的等分点值</w:t>
            </w:r>
            <w:r>
              <w:rPr>
                <w:rFonts w:ascii="宋体" w:hAnsi="宋体"/>
                <w:szCs w:val="21"/>
              </w:rPr>
              <w:t>X</w:t>
            </w:r>
            <w:r>
              <w:rPr>
                <w:rFonts w:hint="eastAsia" w:ascii="宋体" w:hAnsi="宋体"/>
                <w:szCs w:val="21"/>
              </w:rPr>
              <w:t>在开标时从[0,100]的整数中随机抽取。</w:t>
            </w:r>
          </w:p>
        </w:tc>
      </w:tr>
      <w:tr w14:paraId="1513B63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42" w:hRule="atLeast"/>
        </w:trPr>
        <w:tc>
          <w:tcPr>
            <w:tcW w:w="702" w:type="dxa"/>
            <w:tcBorders>
              <w:top w:val="single" w:color="auto" w:sz="4" w:space="0"/>
              <w:left w:val="double" w:color="auto" w:sz="4" w:space="0"/>
              <w:bottom w:val="single" w:color="auto" w:sz="4" w:space="0"/>
              <w:right w:val="single" w:color="auto" w:sz="4" w:space="0"/>
            </w:tcBorders>
            <w:vAlign w:val="center"/>
          </w:tcPr>
          <w:p w14:paraId="2D3A83A6">
            <w:pPr>
              <w:rPr>
                <w:rFonts w:hint="eastAsia" w:ascii="宋体" w:hAnsi="宋体"/>
                <w:szCs w:val="21"/>
              </w:rPr>
            </w:pPr>
            <w:r>
              <w:rPr>
                <w:rFonts w:hint="eastAsia" w:ascii="宋体" w:hAnsi="宋体"/>
                <w:szCs w:val="21"/>
              </w:rPr>
              <w:t>27</w:t>
            </w:r>
          </w:p>
        </w:tc>
        <w:tc>
          <w:tcPr>
            <w:tcW w:w="981" w:type="dxa"/>
            <w:tcBorders>
              <w:top w:val="single" w:color="auto" w:sz="4" w:space="0"/>
              <w:left w:val="single" w:color="auto" w:sz="4" w:space="0"/>
              <w:bottom w:val="single" w:color="auto" w:sz="4" w:space="0"/>
              <w:right w:val="single" w:color="auto" w:sz="4" w:space="0"/>
            </w:tcBorders>
            <w:vAlign w:val="center"/>
          </w:tcPr>
          <w:p w14:paraId="38D95544">
            <w:pPr>
              <w:ind w:firstLine="458"/>
              <w:rPr>
                <w:rFonts w:hint="eastAsia" w:ascii="宋体" w:hAnsi="宋体"/>
                <w:szCs w:val="21"/>
              </w:rPr>
            </w:pPr>
          </w:p>
        </w:tc>
        <w:tc>
          <w:tcPr>
            <w:tcW w:w="1592" w:type="dxa"/>
            <w:tcBorders>
              <w:top w:val="single" w:color="auto" w:sz="4" w:space="0"/>
              <w:left w:val="single" w:color="auto" w:sz="4" w:space="0"/>
              <w:bottom w:val="single" w:color="auto" w:sz="4" w:space="0"/>
              <w:right w:val="single" w:color="auto" w:sz="4" w:space="0"/>
            </w:tcBorders>
            <w:vAlign w:val="center"/>
          </w:tcPr>
          <w:p w14:paraId="04A8E301">
            <w:pPr>
              <w:rPr>
                <w:rFonts w:hint="eastAsia" w:ascii="宋体" w:hAnsi="宋体"/>
                <w:szCs w:val="21"/>
              </w:rPr>
            </w:pPr>
            <w:r>
              <w:rPr>
                <w:rFonts w:hint="eastAsia" w:ascii="宋体" w:hAnsi="宋体"/>
                <w:szCs w:val="21"/>
              </w:rPr>
              <w:t>进入第二阶段评审的家数</w:t>
            </w:r>
          </w:p>
        </w:tc>
        <w:tc>
          <w:tcPr>
            <w:tcW w:w="6075" w:type="dxa"/>
            <w:tcBorders>
              <w:top w:val="single" w:color="auto" w:sz="4" w:space="0"/>
              <w:left w:val="single" w:color="auto" w:sz="4" w:space="0"/>
              <w:bottom w:val="single" w:color="auto" w:sz="4" w:space="0"/>
              <w:right w:val="double" w:color="auto" w:sz="4" w:space="0"/>
            </w:tcBorders>
            <w:vAlign w:val="center"/>
          </w:tcPr>
          <w:p w14:paraId="5E1953E9">
            <w:pPr>
              <w:rPr>
                <w:rFonts w:hint="eastAsia" w:ascii="宋体" w:hAnsi="宋体"/>
                <w:szCs w:val="21"/>
                <w:u w:val="single"/>
              </w:rPr>
            </w:pPr>
            <w:r>
              <w:rPr>
                <w:rFonts w:hint="eastAsia" w:ascii="宋体" w:hAnsi="宋体"/>
                <w:szCs w:val="21"/>
                <w:u w:val="single"/>
              </w:rPr>
              <w:t>①通过技术有效性审查的投标人均进入第二阶段（适用于通过技术有效性审查家数在[3,9]中的）。</w:t>
            </w:r>
          </w:p>
          <w:p w14:paraId="0CB4F47A">
            <w:pPr>
              <w:pStyle w:val="5"/>
              <w:ind w:firstLine="0"/>
              <w:rPr>
                <w:rFonts w:hint="eastAsia" w:ascii="宋体" w:hAnsi="宋体"/>
                <w:szCs w:val="21"/>
              </w:rPr>
            </w:pPr>
            <w:r>
              <w:rPr>
                <w:rFonts w:hint="eastAsia" w:ascii="宋体" w:hAnsi="宋体"/>
                <w:szCs w:val="21"/>
                <w:u w:val="single"/>
              </w:rPr>
              <w:t>②将第一阶段得分由高至低排序，前9名投标人进入第二阶段评审（适用于通过技术有效性审查家数大于9家的）。</w:t>
            </w:r>
          </w:p>
        </w:tc>
      </w:tr>
      <w:tr w14:paraId="02CBD16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3041A01D">
            <w:pPr>
              <w:rPr>
                <w:rFonts w:hint="eastAsia" w:ascii="宋体" w:hAnsi="宋体"/>
                <w:szCs w:val="21"/>
              </w:rPr>
            </w:pPr>
            <w:r>
              <w:rPr>
                <w:rFonts w:hint="eastAsia" w:ascii="宋体" w:hAnsi="宋体"/>
                <w:szCs w:val="21"/>
              </w:rPr>
              <w:t>28</w:t>
            </w:r>
          </w:p>
        </w:tc>
        <w:tc>
          <w:tcPr>
            <w:tcW w:w="981" w:type="dxa"/>
            <w:tcBorders>
              <w:top w:val="single" w:color="auto" w:sz="4" w:space="0"/>
              <w:left w:val="single" w:color="auto" w:sz="4" w:space="0"/>
              <w:bottom w:val="single" w:color="auto" w:sz="4" w:space="0"/>
              <w:right w:val="single" w:color="auto" w:sz="4" w:space="0"/>
            </w:tcBorders>
            <w:vAlign w:val="center"/>
          </w:tcPr>
          <w:p w14:paraId="60A84D5A">
            <w:pPr>
              <w:rPr>
                <w:rFonts w:hint="eastAsia" w:ascii="宋体" w:hAnsi="宋体"/>
                <w:szCs w:val="21"/>
              </w:rPr>
            </w:pPr>
          </w:p>
        </w:tc>
        <w:tc>
          <w:tcPr>
            <w:tcW w:w="1592" w:type="dxa"/>
            <w:tcBorders>
              <w:top w:val="single" w:color="auto" w:sz="4" w:space="0"/>
              <w:left w:val="single" w:color="auto" w:sz="4" w:space="0"/>
              <w:bottom w:val="single" w:color="auto" w:sz="4" w:space="0"/>
              <w:right w:val="single" w:color="auto" w:sz="4" w:space="0"/>
            </w:tcBorders>
            <w:vAlign w:val="center"/>
          </w:tcPr>
          <w:p w14:paraId="33AC6736">
            <w:pPr>
              <w:rPr>
                <w:rFonts w:hint="eastAsia" w:ascii="宋体" w:hAnsi="宋体"/>
                <w:szCs w:val="21"/>
              </w:rPr>
            </w:pPr>
            <w:r>
              <w:rPr>
                <w:rFonts w:hint="eastAsia" w:ascii="宋体" w:hAnsi="宋体"/>
                <w:szCs w:val="21"/>
              </w:rPr>
              <w:t>工程成本警示价</w:t>
            </w:r>
          </w:p>
        </w:tc>
        <w:tc>
          <w:tcPr>
            <w:tcW w:w="6075" w:type="dxa"/>
            <w:tcBorders>
              <w:top w:val="single" w:color="auto" w:sz="4" w:space="0"/>
              <w:left w:val="single" w:color="auto" w:sz="4" w:space="0"/>
              <w:bottom w:val="single" w:color="auto" w:sz="4" w:space="0"/>
              <w:right w:val="double" w:color="auto" w:sz="4" w:space="0"/>
            </w:tcBorders>
            <w:vAlign w:val="center"/>
          </w:tcPr>
          <w:p w14:paraId="78006392">
            <w:pPr>
              <w:rPr>
                <w:rFonts w:hint="eastAsia" w:ascii="宋体" w:hAnsi="宋体"/>
                <w:szCs w:val="21"/>
              </w:rPr>
            </w:pPr>
            <w:r>
              <w:rPr>
                <w:rFonts w:hint="eastAsia" w:ascii="宋体" w:hAnsi="宋体"/>
                <w:szCs w:val="21"/>
              </w:rPr>
              <w:t>工程成本警示价为</w:t>
            </w:r>
            <w:r>
              <w:rPr>
                <w:rFonts w:hint="eastAsia" w:ascii="宋体" w:hAnsi="宋体"/>
                <w:szCs w:val="21"/>
                <w:u w:val="single"/>
              </w:rPr>
              <w:t>32781008.90</w:t>
            </w:r>
            <w:r>
              <w:rPr>
                <w:rFonts w:hint="eastAsia" w:ascii="宋体" w:hAnsi="宋体"/>
                <w:szCs w:val="21"/>
              </w:rPr>
              <w:t>元（最高投标限价的93%设置为工程成本警戒价）。对低于该警示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示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14:paraId="41F8D9E4">
            <w:pPr>
              <w:rPr>
                <w:rFonts w:hint="eastAsia" w:ascii="宋体" w:hAnsi="宋体"/>
                <w:szCs w:val="21"/>
                <w:u w:val="single"/>
              </w:rPr>
            </w:pPr>
            <w:r>
              <w:rPr>
                <w:rFonts w:hint="eastAsia" w:ascii="楷体" w:hAnsi="楷体" w:eastAsia="楷体" w:cs="楷体"/>
                <w:szCs w:val="21"/>
              </w:rPr>
              <w:t>注：为充分体现招标人意愿及落实项目招标人负责制，警示价由招标人确定，并随招标文件一并公布。对于合并招标项目，应按项目分别设置成本警示价。</w:t>
            </w:r>
          </w:p>
        </w:tc>
      </w:tr>
      <w:tr w14:paraId="27A8490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2" w:hRule="atLeast"/>
        </w:trPr>
        <w:tc>
          <w:tcPr>
            <w:tcW w:w="702" w:type="dxa"/>
            <w:tcBorders>
              <w:top w:val="single" w:color="auto" w:sz="4" w:space="0"/>
              <w:left w:val="double" w:color="auto" w:sz="4" w:space="0"/>
              <w:bottom w:val="single" w:color="auto" w:sz="4" w:space="0"/>
              <w:right w:val="single" w:color="auto" w:sz="4" w:space="0"/>
            </w:tcBorders>
            <w:vAlign w:val="center"/>
          </w:tcPr>
          <w:p w14:paraId="602E1504">
            <w:pPr>
              <w:rPr>
                <w:rFonts w:hint="eastAsia" w:ascii="宋体" w:hAnsi="宋体"/>
                <w:szCs w:val="21"/>
              </w:rPr>
            </w:pPr>
            <w:r>
              <w:rPr>
                <w:rFonts w:hint="eastAsia" w:ascii="宋体" w:hAnsi="宋体"/>
                <w:szCs w:val="21"/>
              </w:rPr>
              <w:t>29</w:t>
            </w:r>
          </w:p>
        </w:tc>
        <w:tc>
          <w:tcPr>
            <w:tcW w:w="981" w:type="dxa"/>
            <w:tcBorders>
              <w:top w:val="single" w:color="auto" w:sz="4" w:space="0"/>
              <w:left w:val="single" w:color="auto" w:sz="4" w:space="0"/>
              <w:bottom w:val="single" w:color="auto" w:sz="4" w:space="0"/>
              <w:right w:val="single" w:color="auto" w:sz="4" w:space="0"/>
            </w:tcBorders>
            <w:vAlign w:val="center"/>
          </w:tcPr>
          <w:p w14:paraId="62E9332A">
            <w:pPr>
              <w:rPr>
                <w:rFonts w:hint="eastAsia" w:ascii="宋体" w:hAnsi="宋体"/>
                <w:szCs w:val="21"/>
              </w:rPr>
            </w:pPr>
          </w:p>
        </w:tc>
        <w:tc>
          <w:tcPr>
            <w:tcW w:w="1592" w:type="dxa"/>
            <w:tcBorders>
              <w:top w:val="single" w:color="auto" w:sz="4" w:space="0"/>
              <w:left w:val="single" w:color="auto" w:sz="4" w:space="0"/>
              <w:bottom w:val="single" w:color="auto" w:sz="4" w:space="0"/>
              <w:right w:val="single" w:color="auto" w:sz="4" w:space="0"/>
            </w:tcBorders>
            <w:vAlign w:val="center"/>
          </w:tcPr>
          <w:p w14:paraId="275CB4A4">
            <w:pPr>
              <w:rPr>
                <w:rFonts w:hint="eastAsia" w:ascii="宋体" w:hAnsi="宋体"/>
                <w:szCs w:val="21"/>
              </w:rPr>
            </w:pPr>
            <w:r>
              <w:rPr>
                <w:rFonts w:hint="eastAsia" w:ascii="宋体" w:hAnsi="宋体"/>
                <w:szCs w:val="21"/>
              </w:rPr>
              <w:t>第一阶段各分值的权重</w:t>
            </w:r>
          </w:p>
        </w:tc>
        <w:tc>
          <w:tcPr>
            <w:tcW w:w="6075" w:type="dxa"/>
            <w:tcBorders>
              <w:top w:val="single" w:color="auto" w:sz="4" w:space="0"/>
              <w:left w:val="single" w:color="auto" w:sz="4" w:space="0"/>
              <w:bottom w:val="single" w:color="auto" w:sz="4" w:space="0"/>
              <w:right w:val="double" w:color="auto" w:sz="4" w:space="0"/>
            </w:tcBorders>
            <w:vAlign w:val="center"/>
          </w:tcPr>
          <w:p w14:paraId="2A8ABE03">
            <w:pPr>
              <w:rPr>
                <w:rFonts w:hint="eastAsia" w:ascii="宋体" w:hAnsi="宋体"/>
                <w:szCs w:val="21"/>
              </w:rPr>
            </w:pPr>
            <w:r>
              <w:rPr>
                <w:rFonts w:hint="eastAsia" w:ascii="宋体" w:hAnsi="宋体"/>
                <w:szCs w:val="21"/>
                <w:u w:val="single"/>
              </w:rPr>
              <w:t>技术分权重为100%。</w:t>
            </w:r>
          </w:p>
        </w:tc>
      </w:tr>
      <w:tr w14:paraId="16676D9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trPr>
        <w:tc>
          <w:tcPr>
            <w:tcW w:w="702" w:type="dxa"/>
            <w:tcBorders>
              <w:top w:val="single" w:color="auto" w:sz="4" w:space="0"/>
              <w:left w:val="double" w:color="auto" w:sz="4" w:space="0"/>
              <w:bottom w:val="single" w:color="auto" w:sz="4" w:space="0"/>
              <w:right w:val="single" w:color="auto" w:sz="4" w:space="0"/>
            </w:tcBorders>
            <w:vAlign w:val="center"/>
          </w:tcPr>
          <w:p w14:paraId="7E06D733">
            <w:pPr>
              <w:rPr>
                <w:rFonts w:hint="eastAsia" w:ascii="宋体" w:hAnsi="宋体"/>
                <w:szCs w:val="21"/>
              </w:rPr>
            </w:pPr>
            <w:r>
              <w:rPr>
                <w:rFonts w:hint="eastAsia" w:ascii="宋体" w:hAnsi="宋体"/>
                <w:szCs w:val="21"/>
              </w:rPr>
              <w:t>30</w:t>
            </w:r>
          </w:p>
        </w:tc>
        <w:tc>
          <w:tcPr>
            <w:tcW w:w="981" w:type="dxa"/>
            <w:tcBorders>
              <w:top w:val="single" w:color="auto" w:sz="4" w:space="0"/>
              <w:left w:val="single" w:color="auto" w:sz="4" w:space="0"/>
              <w:bottom w:val="single" w:color="auto" w:sz="4" w:space="0"/>
              <w:right w:val="single" w:color="auto" w:sz="4" w:space="0"/>
            </w:tcBorders>
            <w:vAlign w:val="center"/>
          </w:tcPr>
          <w:p w14:paraId="677AC62C">
            <w:pPr>
              <w:rPr>
                <w:rFonts w:hint="eastAsia" w:ascii="宋体" w:hAnsi="宋体"/>
                <w:szCs w:val="21"/>
              </w:rPr>
            </w:pPr>
          </w:p>
        </w:tc>
        <w:tc>
          <w:tcPr>
            <w:tcW w:w="1592" w:type="dxa"/>
            <w:tcBorders>
              <w:top w:val="single" w:color="auto" w:sz="4" w:space="0"/>
              <w:left w:val="single" w:color="auto" w:sz="4" w:space="0"/>
              <w:bottom w:val="single" w:color="auto" w:sz="4" w:space="0"/>
              <w:right w:val="single" w:color="auto" w:sz="4" w:space="0"/>
            </w:tcBorders>
            <w:vAlign w:val="center"/>
          </w:tcPr>
          <w:p w14:paraId="6C116F8E">
            <w:pPr>
              <w:rPr>
                <w:rFonts w:hint="eastAsia" w:ascii="宋体" w:hAnsi="宋体"/>
                <w:szCs w:val="21"/>
              </w:rPr>
            </w:pPr>
            <w:r>
              <w:rPr>
                <w:rFonts w:hint="eastAsia" w:ascii="宋体" w:hAnsi="宋体"/>
                <w:szCs w:val="21"/>
              </w:rPr>
              <w:t>评标委员会人数</w:t>
            </w:r>
          </w:p>
        </w:tc>
        <w:tc>
          <w:tcPr>
            <w:tcW w:w="6075" w:type="dxa"/>
            <w:tcBorders>
              <w:top w:val="single" w:color="auto" w:sz="4" w:space="0"/>
              <w:left w:val="single" w:color="auto" w:sz="4" w:space="0"/>
              <w:bottom w:val="single" w:color="auto" w:sz="4" w:space="0"/>
              <w:right w:val="double" w:color="auto" w:sz="4" w:space="0"/>
            </w:tcBorders>
            <w:vAlign w:val="center"/>
          </w:tcPr>
          <w:p w14:paraId="73F1982A">
            <w:pPr>
              <w:rPr>
                <w:rFonts w:hint="eastAsia" w:ascii="宋体" w:hAnsi="宋体"/>
                <w:szCs w:val="21"/>
              </w:rPr>
            </w:pPr>
            <w:r>
              <w:rPr>
                <w:rFonts w:hint="eastAsia" w:ascii="宋体" w:hAnsi="宋体"/>
                <w:szCs w:val="21"/>
              </w:rPr>
              <w:t>评标委员会由招标人依法组建。</w:t>
            </w:r>
          </w:p>
        </w:tc>
      </w:tr>
      <w:tr w14:paraId="61EEB7C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67" w:hRule="atLeast"/>
        </w:trPr>
        <w:tc>
          <w:tcPr>
            <w:tcW w:w="702" w:type="dxa"/>
            <w:tcBorders>
              <w:top w:val="single" w:color="auto" w:sz="4" w:space="0"/>
              <w:left w:val="double" w:color="auto" w:sz="4" w:space="0"/>
              <w:bottom w:val="single" w:color="auto" w:sz="4" w:space="0"/>
              <w:right w:val="single" w:color="auto" w:sz="4" w:space="0"/>
            </w:tcBorders>
            <w:vAlign w:val="center"/>
          </w:tcPr>
          <w:p w14:paraId="18E3BD61">
            <w:pPr>
              <w:rPr>
                <w:rFonts w:hint="eastAsia" w:ascii="宋体" w:hAnsi="宋体"/>
                <w:szCs w:val="21"/>
              </w:rPr>
            </w:pPr>
            <w:r>
              <w:rPr>
                <w:rFonts w:hint="eastAsia" w:ascii="宋体" w:hAnsi="宋体"/>
                <w:szCs w:val="21"/>
              </w:rPr>
              <w:t>31</w:t>
            </w:r>
          </w:p>
        </w:tc>
        <w:tc>
          <w:tcPr>
            <w:tcW w:w="981" w:type="dxa"/>
            <w:tcBorders>
              <w:top w:val="single" w:color="auto" w:sz="4" w:space="0"/>
              <w:left w:val="single" w:color="auto" w:sz="4" w:space="0"/>
              <w:bottom w:val="single" w:color="auto" w:sz="4" w:space="0"/>
              <w:right w:val="single" w:color="auto" w:sz="4" w:space="0"/>
            </w:tcBorders>
            <w:vAlign w:val="center"/>
          </w:tcPr>
          <w:p w14:paraId="73E4FA51">
            <w:pPr>
              <w:rPr>
                <w:rFonts w:hint="eastAsia" w:ascii="宋体" w:hAnsi="宋体"/>
                <w:szCs w:val="21"/>
              </w:rPr>
            </w:pPr>
          </w:p>
        </w:tc>
        <w:tc>
          <w:tcPr>
            <w:tcW w:w="1592" w:type="dxa"/>
            <w:tcBorders>
              <w:top w:val="single" w:color="auto" w:sz="4" w:space="0"/>
              <w:left w:val="single" w:color="auto" w:sz="4" w:space="0"/>
              <w:bottom w:val="single" w:color="auto" w:sz="4" w:space="0"/>
              <w:right w:val="single" w:color="auto" w:sz="4" w:space="0"/>
            </w:tcBorders>
            <w:vAlign w:val="center"/>
          </w:tcPr>
          <w:p w14:paraId="3263EB97">
            <w:pPr>
              <w:rPr>
                <w:rFonts w:hint="eastAsia" w:ascii="宋体" w:hAnsi="宋体"/>
                <w:szCs w:val="21"/>
              </w:rPr>
            </w:pPr>
            <w:r>
              <w:rPr>
                <w:rFonts w:hint="eastAsia" w:ascii="宋体" w:hAnsi="宋体"/>
                <w:szCs w:val="21"/>
              </w:rPr>
              <w:t>企业信用评价分数</w:t>
            </w:r>
          </w:p>
        </w:tc>
        <w:tc>
          <w:tcPr>
            <w:tcW w:w="6075" w:type="dxa"/>
            <w:tcBorders>
              <w:top w:val="single" w:color="auto" w:sz="4" w:space="0"/>
              <w:left w:val="single" w:color="auto" w:sz="4" w:space="0"/>
              <w:bottom w:val="single" w:color="auto" w:sz="4" w:space="0"/>
              <w:right w:val="double" w:color="auto" w:sz="4" w:space="0"/>
            </w:tcBorders>
            <w:vAlign w:val="center"/>
          </w:tcPr>
          <w:p w14:paraId="3E51C491">
            <w:pPr>
              <w:pStyle w:val="8"/>
              <w:ind w:firstLine="0"/>
            </w:pPr>
            <w:r>
              <w:rPr>
                <w:rFonts w:hint="eastAsia" w:ascii="宋体" w:hAnsi="宋体" w:cs="宋体"/>
                <w:szCs w:val="21"/>
              </w:rPr>
              <w:t>本款不适用。</w:t>
            </w:r>
          </w:p>
        </w:tc>
      </w:tr>
      <w:tr w14:paraId="1F503F1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1E0E3E78">
            <w:pPr>
              <w:rPr>
                <w:rFonts w:hint="eastAsia" w:ascii="宋体" w:hAnsi="宋体"/>
                <w:szCs w:val="21"/>
              </w:rPr>
            </w:pPr>
            <w:r>
              <w:rPr>
                <w:rFonts w:hint="eastAsia" w:ascii="宋体" w:hAnsi="宋体"/>
                <w:szCs w:val="21"/>
              </w:rPr>
              <w:t>32</w:t>
            </w:r>
          </w:p>
        </w:tc>
        <w:tc>
          <w:tcPr>
            <w:tcW w:w="981" w:type="dxa"/>
            <w:tcBorders>
              <w:top w:val="single" w:color="auto" w:sz="4" w:space="0"/>
              <w:left w:val="single" w:color="auto" w:sz="4" w:space="0"/>
              <w:bottom w:val="single" w:color="auto" w:sz="4" w:space="0"/>
              <w:right w:val="single" w:color="auto" w:sz="4" w:space="0"/>
            </w:tcBorders>
            <w:vAlign w:val="center"/>
          </w:tcPr>
          <w:p w14:paraId="237F32E6">
            <w:pPr>
              <w:ind w:firstLine="458"/>
              <w:rPr>
                <w:rFonts w:hint="eastAsia" w:ascii="宋体" w:hAnsi="宋体"/>
                <w:szCs w:val="21"/>
              </w:rPr>
            </w:pPr>
          </w:p>
        </w:tc>
        <w:tc>
          <w:tcPr>
            <w:tcW w:w="1592" w:type="dxa"/>
            <w:tcBorders>
              <w:top w:val="single" w:color="auto" w:sz="4" w:space="0"/>
              <w:left w:val="single" w:color="auto" w:sz="4" w:space="0"/>
              <w:bottom w:val="single" w:color="auto" w:sz="4" w:space="0"/>
              <w:right w:val="single" w:color="auto" w:sz="4" w:space="0"/>
            </w:tcBorders>
            <w:vAlign w:val="center"/>
          </w:tcPr>
          <w:p w14:paraId="61D068F6">
            <w:pPr>
              <w:rPr>
                <w:rFonts w:hint="eastAsia" w:ascii="宋体" w:hAnsi="宋体"/>
                <w:szCs w:val="21"/>
              </w:rPr>
            </w:pPr>
            <w:r>
              <w:rPr>
                <w:rFonts w:hint="eastAsia" w:ascii="宋体" w:hAnsi="宋体"/>
                <w:szCs w:val="21"/>
              </w:rPr>
              <w:t>第二阶段投标人名次的排序方法（适用于办法一、办法二）</w:t>
            </w:r>
          </w:p>
        </w:tc>
        <w:tc>
          <w:tcPr>
            <w:tcW w:w="6075" w:type="dxa"/>
            <w:tcBorders>
              <w:top w:val="single" w:color="auto" w:sz="4" w:space="0"/>
              <w:left w:val="single" w:color="auto" w:sz="4" w:space="0"/>
              <w:bottom w:val="single" w:color="auto" w:sz="4" w:space="0"/>
              <w:right w:val="double" w:color="auto" w:sz="4" w:space="0"/>
            </w:tcBorders>
            <w:vAlign w:val="center"/>
          </w:tcPr>
          <w:p w14:paraId="1357832E">
            <w:pPr>
              <w:rPr>
                <w:rFonts w:hint="eastAsia" w:ascii="宋体" w:hAnsi="宋体"/>
                <w:szCs w:val="21"/>
              </w:rPr>
            </w:pPr>
            <w:r>
              <w:rPr>
                <w:rFonts w:hint="eastAsia" w:ascii="宋体" w:hAnsi="宋体" w:cs="宋体"/>
                <w:szCs w:val="21"/>
              </w:rPr>
              <w:t>本款不适用。</w:t>
            </w:r>
            <w:r>
              <w:rPr>
                <w:rFonts w:hint="eastAsia" w:ascii="宋体" w:hAnsi="宋体"/>
                <w:szCs w:val="21"/>
              </w:rPr>
              <w:t xml:space="preserve"> </w:t>
            </w:r>
          </w:p>
        </w:tc>
      </w:tr>
      <w:tr w14:paraId="748E4CA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64907AB1">
            <w:pPr>
              <w:rPr>
                <w:rFonts w:hint="eastAsia" w:ascii="宋体" w:hAnsi="宋体"/>
                <w:szCs w:val="21"/>
              </w:rPr>
            </w:pPr>
            <w:r>
              <w:rPr>
                <w:rFonts w:hint="eastAsia" w:ascii="宋体" w:hAnsi="宋体"/>
                <w:szCs w:val="21"/>
              </w:rPr>
              <w:t>33</w:t>
            </w:r>
          </w:p>
        </w:tc>
        <w:tc>
          <w:tcPr>
            <w:tcW w:w="981" w:type="dxa"/>
            <w:tcBorders>
              <w:top w:val="single" w:color="auto" w:sz="4" w:space="0"/>
              <w:left w:val="single" w:color="auto" w:sz="4" w:space="0"/>
              <w:bottom w:val="single" w:color="auto" w:sz="4" w:space="0"/>
              <w:right w:val="single" w:color="auto" w:sz="4" w:space="0"/>
            </w:tcBorders>
            <w:vAlign w:val="center"/>
          </w:tcPr>
          <w:p w14:paraId="15BFBA63">
            <w:pPr>
              <w:ind w:firstLine="458"/>
              <w:rPr>
                <w:rFonts w:hint="eastAsia" w:ascii="宋体" w:hAnsi="宋体"/>
                <w:szCs w:val="21"/>
              </w:rPr>
            </w:pPr>
          </w:p>
        </w:tc>
        <w:tc>
          <w:tcPr>
            <w:tcW w:w="1592" w:type="dxa"/>
            <w:tcBorders>
              <w:top w:val="single" w:color="auto" w:sz="4" w:space="0"/>
              <w:left w:val="single" w:color="auto" w:sz="4" w:space="0"/>
              <w:bottom w:val="single" w:color="auto" w:sz="4" w:space="0"/>
              <w:right w:val="single" w:color="auto" w:sz="4" w:space="0"/>
            </w:tcBorders>
            <w:vAlign w:val="center"/>
          </w:tcPr>
          <w:p w14:paraId="775E1285">
            <w:pPr>
              <w:rPr>
                <w:rFonts w:hint="eastAsia" w:ascii="宋体" w:hAnsi="宋体"/>
                <w:szCs w:val="21"/>
              </w:rPr>
            </w:pPr>
            <w:r>
              <w:rPr>
                <w:rFonts w:hint="eastAsia" w:ascii="宋体" w:hAnsi="宋体"/>
                <w:szCs w:val="21"/>
              </w:rPr>
              <w:t>经济分相同情况下的排序方法（适用于办法三、办法四）</w:t>
            </w:r>
          </w:p>
        </w:tc>
        <w:tc>
          <w:tcPr>
            <w:tcW w:w="6075" w:type="dxa"/>
            <w:tcBorders>
              <w:top w:val="single" w:color="auto" w:sz="4" w:space="0"/>
              <w:left w:val="single" w:color="auto" w:sz="4" w:space="0"/>
              <w:bottom w:val="single" w:color="auto" w:sz="4" w:space="0"/>
              <w:right w:val="double" w:color="auto" w:sz="4" w:space="0"/>
            </w:tcBorders>
            <w:vAlign w:val="center"/>
          </w:tcPr>
          <w:p w14:paraId="6EF97F1C">
            <w:pPr>
              <w:rPr>
                <w:rFonts w:hint="eastAsia" w:ascii="宋体" w:hAnsi="宋体"/>
                <w:szCs w:val="21"/>
              </w:rPr>
            </w:pPr>
            <w:r>
              <w:rPr>
                <w:rFonts w:hint="eastAsia" w:ascii="宋体" w:hAnsi="宋体" w:cs="宋体"/>
                <w:szCs w:val="21"/>
              </w:rPr>
              <w:t>本款不适用。</w:t>
            </w:r>
          </w:p>
        </w:tc>
      </w:tr>
      <w:tr w14:paraId="179766F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1220A4A0">
            <w:pPr>
              <w:rPr>
                <w:rFonts w:hint="eastAsia" w:ascii="宋体" w:hAnsi="宋体"/>
                <w:szCs w:val="21"/>
              </w:rPr>
            </w:pPr>
            <w:r>
              <w:rPr>
                <w:rFonts w:hint="eastAsia" w:ascii="宋体" w:hAnsi="宋体"/>
                <w:szCs w:val="21"/>
              </w:rPr>
              <w:t>34</w:t>
            </w:r>
          </w:p>
        </w:tc>
        <w:tc>
          <w:tcPr>
            <w:tcW w:w="981" w:type="dxa"/>
            <w:tcBorders>
              <w:top w:val="single" w:color="auto" w:sz="4" w:space="0"/>
              <w:left w:val="single" w:color="auto" w:sz="4" w:space="0"/>
              <w:bottom w:val="single" w:color="auto" w:sz="4" w:space="0"/>
              <w:right w:val="single" w:color="auto" w:sz="4" w:space="0"/>
            </w:tcBorders>
            <w:vAlign w:val="center"/>
          </w:tcPr>
          <w:p w14:paraId="095859E2">
            <w:pPr>
              <w:ind w:firstLine="458"/>
              <w:rPr>
                <w:rFonts w:hint="eastAsia" w:ascii="宋体" w:hAnsi="宋体"/>
                <w:szCs w:val="21"/>
              </w:rPr>
            </w:pPr>
          </w:p>
        </w:tc>
        <w:tc>
          <w:tcPr>
            <w:tcW w:w="1592" w:type="dxa"/>
            <w:tcBorders>
              <w:top w:val="single" w:color="auto" w:sz="4" w:space="0"/>
              <w:left w:val="single" w:color="auto" w:sz="4" w:space="0"/>
              <w:bottom w:val="single" w:color="auto" w:sz="4" w:space="0"/>
              <w:right w:val="single" w:color="auto" w:sz="4" w:space="0"/>
            </w:tcBorders>
            <w:vAlign w:val="center"/>
          </w:tcPr>
          <w:p w14:paraId="1D7CD8B8">
            <w:pPr>
              <w:rPr>
                <w:rFonts w:hint="eastAsia" w:ascii="宋体" w:hAnsi="宋体"/>
                <w:szCs w:val="21"/>
              </w:rPr>
            </w:pPr>
            <w:r>
              <w:rPr>
                <w:rFonts w:hint="eastAsia" w:ascii="宋体" w:hAnsi="宋体"/>
                <w:szCs w:val="21"/>
              </w:rPr>
              <w:t>第二阶段投标人名次的排序方法（适用于办法五、办法六）</w:t>
            </w:r>
          </w:p>
        </w:tc>
        <w:tc>
          <w:tcPr>
            <w:tcW w:w="6075" w:type="dxa"/>
            <w:tcBorders>
              <w:top w:val="single" w:color="auto" w:sz="4" w:space="0"/>
              <w:left w:val="single" w:color="auto" w:sz="4" w:space="0"/>
              <w:bottom w:val="single" w:color="auto" w:sz="4" w:space="0"/>
              <w:right w:val="double" w:color="auto" w:sz="4" w:space="0"/>
            </w:tcBorders>
            <w:vAlign w:val="center"/>
          </w:tcPr>
          <w:p w14:paraId="5992C55D">
            <w:pPr>
              <w:rPr>
                <w:rFonts w:hint="eastAsia" w:ascii="宋体" w:hAnsi="宋体"/>
                <w:szCs w:val="21"/>
                <w:u w:val="single"/>
              </w:rPr>
            </w:pPr>
            <w:r>
              <w:rPr>
                <w:rFonts w:hint="eastAsia" w:ascii="宋体" w:hAnsi="宋体"/>
                <w:szCs w:val="21"/>
                <w:u w:val="single"/>
              </w:rPr>
              <w:t xml:space="preserve">选取方法  一   </w:t>
            </w:r>
          </w:p>
          <w:p w14:paraId="6EAA554D">
            <w:pPr>
              <w:rPr>
                <w:rFonts w:hint="eastAsia" w:ascii="宋体" w:hAnsi="宋体"/>
                <w:szCs w:val="21"/>
              </w:rPr>
            </w:pPr>
            <w:r>
              <w:rPr>
                <w:rFonts w:hint="eastAsia" w:ascii="宋体" w:hAnsi="宋体"/>
                <w:szCs w:val="21"/>
                <w:u w:val="single"/>
              </w:rPr>
              <w:t>方法一：评标委员会按照“总分= 技术得分（满分100分）×技术得分权重（20%）＋经济得分（满分100分）×经济得分权重（80%）的公式，计算各有效投标文件的总分，总得分四舍五入保留两位小数。总得分相同的投标文件，以技术分高的排前；总得分、技术分均相同的投标文件，以投标总报价低的排前；如仍存在相同情况，由评标委员会采用记名投票方式，确定投标人的排序。随机方式确定排序的具体操作步骤为：由评标会对出现该情况的投标人进行编号，然后通过记名投票方式，以得票多的排前确定排序。</w:t>
            </w:r>
          </w:p>
        </w:tc>
      </w:tr>
      <w:tr w14:paraId="5D176E4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02" w:type="dxa"/>
            <w:tcBorders>
              <w:top w:val="single" w:color="auto" w:sz="4" w:space="0"/>
              <w:left w:val="double" w:color="auto" w:sz="4" w:space="0"/>
              <w:bottom w:val="single" w:color="auto" w:sz="4" w:space="0"/>
              <w:right w:val="single" w:color="auto" w:sz="4" w:space="0"/>
            </w:tcBorders>
            <w:vAlign w:val="center"/>
          </w:tcPr>
          <w:p w14:paraId="26567657">
            <w:pPr>
              <w:rPr>
                <w:rFonts w:hint="eastAsia" w:ascii="宋体" w:hAnsi="宋体"/>
                <w:szCs w:val="21"/>
              </w:rPr>
            </w:pPr>
            <w:r>
              <w:rPr>
                <w:rFonts w:hint="eastAsia" w:ascii="宋体" w:hAnsi="宋体"/>
                <w:szCs w:val="21"/>
              </w:rPr>
              <w:t>35</w:t>
            </w:r>
          </w:p>
        </w:tc>
        <w:tc>
          <w:tcPr>
            <w:tcW w:w="981" w:type="dxa"/>
            <w:tcBorders>
              <w:top w:val="single" w:color="auto" w:sz="4" w:space="0"/>
              <w:left w:val="single" w:color="auto" w:sz="4" w:space="0"/>
              <w:bottom w:val="single" w:color="auto" w:sz="4" w:space="0"/>
              <w:right w:val="single" w:color="auto" w:sz="4" w:space="0"/>
            </w:tcBorders>
            <w:vAlign w:val="center"/>
          </w:tcPr>
          <w:p w14:paraId="5E06A233">
            <w:pPr>
              <w:rPr>
                <w:rFonts w:hint="eastAsia" w:ascii="宋体" w:hAnsi="宋体"/>
                <w:szCs w:val="21"/>
              </w:rPr>
            </w:pPr>
            <w:r>
              <w:rPr>
                <w:rFonts w:ascii="宋体" w:hAnsi="宋体"/>
                <w:szCs w:val="21"/>
              </w:rPr>
              <w:t>13.4</w:t>
            </w:r>
            <w:r>
              <w:rPr>
                <w:rFonts w:hint="eastAsia" w:ascii="宋体" w:hAnsi="宋体"/>
                <w:szCs w:val="21"/>
              </w:rPr>
              <w:t>、</w:t>
            </w:r>
            <w:r>
              <w:rPr>
                <w:rFonts w:ascii="宋体" w:hAnsi="宋体"/>
                <w:szCs w:val="21"/>
              </w:rPr>
              <w:t>13.5.2</w:t>
            </w:r>
          </w:p>
        </w:tc>
        <w:tc>
          <w:tcPr>
            <w:tcW w:w="1592" w:type="dxa"/>
            <w:tcBorders>
              <w:top w:val="single" w:color="auto" w:sz="4" w:space="0"/>
              <w:left w:val="single" w:color="auto" w:sz="4" w:space="0"/>
              <w:bottom w:val="single" w:color="auto" w:sz="4" w:space="0"/>
              <w:right w:val="single" w:color="auto" w:sz="4" w:space="0"/>
            </w:tcBorders>
            <w:vAlign w:val="center"/>
          </w:tcPr>
          <w:p w14:paraId="3F895A04">
            <w:pPr>
              <w:rPr>
                <w:rFonts w:hint="eastAsia" w:ascii="宋体" w:hAnsi="宋体"/>
                <w:szCs w:val="21"/>
              </w:rPr>
            </w:pPr>
            <w:r>
              <w:rPr>
                <w:rFonts w:hint="eastAsia" w:ascii="宋体" w:hAnsi="宋体"/>
                <w:szCs w:val="21"/>
              </w:rPr>
              <w:t>合同价款的调整办法</w:t>
            </w:r>
          </w:p>
        </w:tc>
        <w:tc>
          <w:tcPr>
            <w:tcW w:w="6075" w:type="dxa"/>
            <w:tcBorders>
              <w:top w:val="single" w:color="auto" w:sz="4" w:space="0"/>
              <w:left w:val="single" w:color="auto" w:sz="4" w:space="0"/>
              <w:bottom w:val="single" w:color="auto" w:sz="4" w:space="0"/>
              <w:right w:val="double" w:color="auto" w:sz="4" w:space="0"/>
            </w:tcBorders>
            <w:vAlign w:val="center"/>
          </w:tcPr>
          <w:p w14:paraId="134F1CFA">
            <w:pPr>
              <w:rPr>
                <w:rFonts w:hint="eastAsia" w:ascii="宋体" w:hAnsi="宋体"/>
                <w:szCs w:val="21"/>
                <w:u w:val="single"/>
              </w:rPr>
            </w:pPr>
            <w:r>
              <w:rPr>
                <w:rFonts w:hint="eastAsia" w:ascii="宋体" w:hAnsi="宋体"/>
                <w:szCs w:val="21"/>
                <w:u w:val="single"/>
              </w:rPr>
              <w:t xml:space="preserve">按招标文件及合同条款相关约定调整。 </w:t>
            </w:r>
          </w:p>
        </w:tc>
      </w:tr>
      <w:tr w14:paraId="22D24B6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66EE49E5">
            <w:pPr>
              <w:rPr>
                <w:rFonts w:hint="eastAsia" w:ascii="宋体" w:hAnsi="宋体"/>
                <w:szCs w:val="21"/>
              </w:rPr>
            </w:pPr>
            <w:r>
              <w:rPr>
                <w:rFonts w:hint="eastAsia" w:ascii="宋体" w:hAnsi="宋体"/>
                <w:szCs w:val="21"/>
              </w:rPr>
              <w:t>36</w:t>
            </w:r>
          </w:p>
        </w:tc>
        <w:tc>
          <w:tcPr>
            <w:tcW w:w="981" w:type="dxa"/>
            <w:tcBorders>
              <w:top w:val="single" w:color="auto" w:sz="4" w:space="0"/>
              <w:left w:val="single" w:color="auto" w:sz="4" w:space="0"/>
              <w:bottom w:val="single" w:color="auto" w:sz="4" w:space="0"/>
              <w:right w:val="single" w:color="auto" w:sz="4" w:space="0"/>
            </w:tcBorders>
            <w:vAlign w:val="center"/>
          </w:tcPr>
          <w:p w14:paraId="5E95C78E">
            <w:pPr>
              <w:rPr>
                <w:rFonts w:hint="eastAsia" w:ascii="宋体" w:hAnsi="宋体"/>
                <w:szCs w:val="21"/>
              </w:rPr>
            </w:pPr>
          </w:p>
        </w:tc>
        <w:tc>
          <w:tcPr>
            <w:tcW w:w="1592" w:type="dxa"/>
            <w:tcBorders>
              <w:top w:val="single" w:color="auto" w:sz="4" w:space="0"/>
              <w:left w:val="single" w:color="auto" w:sz="4" w:space="0"/>
              <w:bottom w:val="single" w:color="auto" w:sz="4" w:space="0"/>
              <w:right w:val="single" w:color="auto" w:sz="4" w:space="0"/>
            </w:tcBorders>
            <w:vAlign w:val="center"/>
          </w:tcPr>
          <w:p w14:paraId="33158BF9">
            <w:pPr>
              <w:rPr>
                <w:rFonts w:hint="eastAsia" w:ascii="宋体" w:hAnsi="宋体"/>
                <w:szCs w:val="21"/>
              </w:rPr>
            </w:pPr>
            <w:r>
              <w:rPr>
                <w:rFonts w:hint="eastAsia" w:ascii="宋体" w:hAnsi="宋体"/>
                <w:kern w:val="0"/>
                <w:szCs w:val="21"/>
                <w:lang w:val="zh-CN"/>
              </w:rPr>
              <w:t>建设工程质量检测单位</w:t>
            </w:r>
          </w:p>
        </w:tc>
        <w:tc>
          <w:tcPr>
            <w:tcW w:w="6075" w:type="dxa"/>
            <w:tcBorders>
              <w:top w:val="single" w:color="auto" w:sz="4" w:space="0"/>
              <w:left w:val="single" w:color="auto" w:sz="4" w:space="0"/>
              <w:bottom w:val="single" w:color="auto" w:sz="4" w:space="0"/>
              <w:right w:val="double" w:color="auto" w:sz="4" w:space="0"/>
            </w:tcBorders>
            <w:vAlign w:val="center"/>
          </w:tcPr>
          <w:p w14:paraId="5CA78CD2">
            <w:pPr>
              <w:rPr>
                <w:rFonts w:hint="eastAsia" w:ascii="宋体" w:hAnsi="宋体"/>
                <w:kern w:val="0"/>
                <w:szCs w:val="21"/>
                <w:lang w:val="zh-CN"/>
              </w:rPr>
            </w:pPr>
            <w:r>
              <w:rPr>
                <w:rFonts w:hint="eastAsia" w:ascii="宋体" w:hAnsi="宋体"/>
                <w:kern w:val="0"/>
                <w:szCs w:val="21"/>
                <w:lang w:val="zh-CN"/>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14:paraId="2951984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9" w:hRule="atLeast"/>
        </w:trPr>
        <w:tc>
          <w:tcPr>
            <w:tcW w:w="702" w:type="dxa"/>
            <w:tcBorders>
              <w:top w:val="single" w:color="auto" w:sz="4" w:space="0"/>
              <w:left w:val="double" w:color="auto" w:sz="4" w:space="0"/>
              <w:bottom w:val="single" w:color="auto" w:sz="4" w:space="0"/>
              <w:right w:val="single" w:color="auto" w:sz="4" w:space="0"/>
            </w:tcBorders>
            <w:vAlign w:val="center"/>
          </w:tcPr>
          <w:p w14:paraId="78A46717">
            <w:pPr>
              <w:rPr>
                <w:rFonts w:hint="eastAsia" w:ascii="宋体" w:hAnsi="宋体"/>
                <w:szCs w:val="21"/>
              </w:rPr>
            </w:pPr>
            <w:r>
              <w:rPr>
                <w:rFonts w:hint="eastAsia" w:ascii="宋体" w:hAnsi="宋体"/>
                <w:szCs w:val="21"/>
              </w:rPr>
              <w:t>37</w:t>
            </w:r>
          </w:p>
        </w:tc>
        <w:tc>
          <w:tcPr>
            <w:tcW w:w="981" w:type="dxa"/>
            <w:tcBorders>
              <w:top w:val="single" w:color="auto" w:sz="4" w:space="0"/>
              <w:left w:val="single" w:color="auto" w:sz="4" w:space="0"/>
              <w:bottom w:val="single" w:color="auto" w:sz="4" w:space="0"/>
              <w:right w:val="single" w:color="auto" w:sz="4" w:space="0"/>
            </w:tcBorders>
            <w:vAlign w:val="center"/>
          </w:tcPr>
          <w:p w14:paraId="5613DD08">
            <w:pPr>
              <w:jc w:val="center"/>
              <w:rPr>
                <w:rFonts w:hint="eastAsia" w:ascii="宋体" w:hAnsi="宋体"/>
              </w:rPr>
            </w:pPr>
          </w:p>
        </w:tc>
        <w:tc>
          <w:tcPr>
            <w:tcW w:w="1592" w:type="dxa"/>
            <w:tcBorders>
              <w:top w:val="single" w:color="auto" w:sz="4" w:space="0"/>
              <w:left w:val="single" w:color="auto" w:sz="4" w:space="0"/>
              <w:bottom w:val="single" w:color="auto" w:sz="4" w:space="0"/>
              <w:right w:val="single" w:color="auto" w:sz="4" w:space="0"/>
            </w:tcBorders>
            <w:vAlign w:val="center"/>
          </w:tcPr>
          <w:p w14:paraId="53136987">
            <w:pPr>
              <w:jc w:val="center"/>
              <w:rPr>
                <w:rFonts w:hint="eastAsia" w:ascii="宋体" w:hAnsi="宋体"/>
              </w:rPr>
            </w:pPr>
            <w:r>
              <w:rPr>
                <w:rFonts w:hint="eastAsia" w:ascii="宋体" w:hAnsi="宋体"/>
              </w:rPr>
              <w:t>电子招标投标解密失败及突发情况的补救</w:t>
            </w:r>
          </w:p>
        </w:tc>
        <w:tc>
          <w:tcPr>
            <w:tcW w:w="6075" w:type="dxa"/>
            <w:tcBorders>
              <w:top w:val="single" w:color="auto" w:sz="4" w:space="0"/>
              <w:left w:val="single" w:color="auto" w:sz="4" w:space="0"/>
              <w:bottom w:val="single" w:color="auto" w:sz="4" w:space="0"/>
              <w:right w:val="double" w:color="auto" w:sz="4" w:space="0"/>
            </w:tcBorders>
            <w:vAlign w:val="center"/>
          </w:tcPr>
          <w:p w14:paraId="2AC42FEB">
            <w:pPr>
              <w:rPr>
                <w:rFonts w:hint="eastAsia" w:ascii="宋体" w:hAnsi="宋体" w:cs="Courier New"/>
                <w:szCs w:val="21"/>
              </w:rPr>
            </w:pPr>
            <w:r>
              <w:rPr>
                <w:rFonts w:hint="eastAsia" w:ascii="宋体" w:hAnsi="宋体" w:cs="Courier New"/>
                <w:szCs w:val="21"/>
              </w:rPr>
              <w:t>1、按照交易平台关于全流程电子化项目的相关指南进行操作。详见：</w:t>
            </w:r>
            <w:r>
              <w:rPr>
                <w:rFonts w:hint="eastAsia" w:ascii="宋体" w:hAnsi="宋体" w:cs="Courier New"/>
                <w:szCs w:val="21"/>
                <w:u w:val="single"/>
              </w:rPr>
              <w:t>广州交易集团有限公司（广州公共资源交易中心）网站。</w:t>
            </w:r>
            <w:r>
              <w:rPr>
                <w:rFonts w:hint="eastAsia" w:ascii="宋体" w:hAnsi="宋体" w:cs="Courier New"/>
                <w:szCs w:val="21"/>
              </w:rPr>
              <w:t xml:space="preserve">  </w:t>
            </w:r>
          </w:p>
          <w:p w14:paraId="436F15F9">
            <w:pPr>
              <w:rPr>
                <w:rFonts w:hint="eastAsia" w:ascii="宋体" w:hAnsi="宋体" w:cs="Courier New"/>
                <w:szCs w:val="21"/>
              </w:rPr>
            </w:pPr>
            <w:r>
              <w:rPr>
                <w:rFonts w:hint="eastAsia" w:ascii="宋体" w:hAnsi="宋体" w:cs="Courier New"/>
                <w:szCs w:val="21"/>
              </w:rPr>
              <w:t>2、提交投标文件光盘备用</w:t>
            </w:r>
          </w:p>
          <w:p w14:paraId="17AAD5DD">
            <w:pPr>
              <w:rPr>
                <w:rFonts w:hint="eastAsia" w:ascii="宋体" w:hAnsi="宋体" w:cs="Courier New"/>
                <w:szCs w:val="21"/>
              </w:rPr>
            </w:pPr>
            <w:r>
              <w:rPr>
                <w:rFonts w:hint="eastAsia" w:ascii="宋体" w:hAnsi="宋体" w:cs="Courier New"/>
                <w:szCs w:val="21"/>
              </w:rPr>
              <w:t>投标人可制作非加密的电子投标文件（PDF格式）刻入光盘（1份），在投标须知前附表第18项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14:paraId="0FDB420D">
            <w:pPr>
              <w:rPr>
                <w:rFonts w:hint="eastAsia" w:ascii="宋体" w:hAnsi="宋体" w:cs="Courier New"/>
                <w:szCs w:val="21"/>
              </w:rPr>
            </w:pPr>
            <w:r>
              <w:rPr>
                <w:rFonts w:hint="eastAsia" w:ascii="宋体" w:hAnsi="宋体" w:cs="Courier New"/>
                <w:szCs w:val="21"/>
              </w:rPr>
              <w:t xml:space="preserve"> 3、补救方案</w:t>
            </w:r>
          </w:p>
          <w:p w14:paraId="69819A21">
            <w:pPr>
              <w:rPr>
                <w:rFonts w:hint="eastAsia" w:ascii="宋体" w:hAnsi="宋体" w:cs="Courier New"/>
                <w:szCs w:val="21"/>
              </w:rPr>
            </w:pPr>
            <w:r>
              <w:rPr>
                <w:rFonts w:hint="eastAsia" w:ascii="宋体" w:hAnsi="宋体" w:cs="Courier New"/>
                <w:szCs w:val="21"/>
              </w:rPr>
              <w:t>（1）投标文件解密失败的补救方案：</w:t>
            </w:r>
          </w:p>
          <w:p w14:paraId="2C02C0AD">
            <w:pPr>
              <w:rPr>
                <w:rFonts w:hint="eastAsia" w:ascii="宋体" w:hAnsi="宋体" w:cs="Courier New"/>
                <w:szCs w:val="21"/>
              </w:rPr>
            </w:pPr>
            <w:r>
              <w:rPr>
                <w:rFonts w:hint="eastAsia" w:ascii="宋体" w:hAnsi="宋体" w:cs="Courier New"/>
                <w:szCs w:val="21"/>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14:paraId="00A67AC7">
            <w:pPr>
              <w:rPr>
                <w:rFonts w:hint="eastAsia" w:ascii="宋体" w:hAnsi="宋体" w:cs="Courier New"/>
                <w:szCs w:val="21"/>
              </w:rPr>
            </w:pPr>
            <w:r>
              <w:rPr>
                <w:rFonts w:hint="eastAsia" w:ascii="宋体" w:hAnsi="宋体" w:cs="Courier New"/>
                <w:szCs w:val="21"/>
              </w:rPr>
              <w:t>（2）评标时突发情况的补救方案</w:t>
            </w:r>
          </w:p>
          <w:p w14:paraId="0DC0D42D">
            <w:pPr>
              <w:rPr>
                <w:rFonts w:hint="eastAsia" w:ascii="宋体" w:hAnsi="宋体" w:cs="Courier New"/>
                <w:szCs w:val="21"/>
              </w:rPr>
            </w:pPr>
            <w:r>
              <w:rPr>
                <w:rFonts w:hint="eastAsia" w:ascii="宋体" w:hAnsi="宋体" w:cs="Courier New"/>
                <w:szCs w:val="21"/>
              </w:rPr>
              <w:t>若遇不可抗力发生（指网络瘫痪、服务器损坏、交易系统故障短期无法恢复等因素），由评标委员会开启投标人递交的全部投标文件光盘，并按光盘内容进行评审。</w:t>
            </w:r>
          </w:p>
          <w:p w14:paraId="39987873">
            <w:pPr>
              <w:rPr>
                <w:rFonts w:hint="eastAsia" w:ascii="宋体" w:hAnsi="宋体" w:cs="Courier New"/>
                <w:szCs w:val="21"/>
              </w:rPr>
            </w:pPr>
            <w:r>
              <w:rPr>
                <w:rFonts w:hint="eastAsia" w:ascii="宋体" w:hAnsi="宋体" w:cs="Courier New"/>
                <w:szCs w:val="21"/>
              </w:rPr>
              <w:t>（3）除发生上述情况外，开标评标均以投标人通过交易平台网上递交的电子投标文件为准。</w:t>
            </w:r>
          </w:p>
        </w:tc>
      </w:tr>
      <w:tr w14:paraId="0896F23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011" w:hRule="atLeast"/>
        </w:trPr>
        <w:tc>
          <w:tcPr>
            <w:tcW w:w="702" w:type="dxa"/>
            <w:tcBorders>
              <w:top w:val="single" w:color="auto" w:sz="4" w:space="0"/>
              <w:left w:val="double" w:color="auto" w:sz="4" w:space="0"/>
              <w:bottom w:val="single" w:color="auto" w:sz="4" w:space="0"/>
              <w:right w:val="single" w:color="auto" w:sz="4" w:space="0"/>
            </w:tcBorders>
            <w:vAlign w:val="center"/>
          </w:tcPr>
          <w:p w14:paraId="3A4C8CE7">
            <w:pPr>
              <w:rPr>
                <w:rFonts w:hint="eastAsia" w:ascii="宋体" w:hAnsi="宋体"/>
                <w:szCs w:val="21"/>
              </w:rPr>
            </w:pPr>
            <w:r>
              <w:rPr>
                <w:rFonts w:hint="eastAsia" w:ascii="宋体" w:hAnsi="宋体"/>
                <w:szCs w:val="21"/>
              </w:rPr>
              <w:t xml:space="preserve">38 </w:t>
            </w:r>
          </w:p>
        </w:tc>
        <w:tc>
          <w:tcPr>
            <w:tcW w:w="981" w:type="dxa"/>
            <w:tcBorders>
              <w:top w:val="single" w:color="auto" w:sz="4" w:space="0"/>
              <w:left w:val="single" w:color="auto" w:sz="4" w:space="0"/>
              <w:bottom w:val="single" w:color="auto" w:sz="4" w:space="0"/>
              <w:right w:val="single" w:color="auto" w:sz="4" w:space="0"/>
            </w:tcBorders>
            <w:vAlign w:val="center"/>
          </w:tcPr>
          <w:p w14:paraId="25C645F9">
            <w:pPr>
              <w:jc w:val="center"/>
              <w:rPr>
                <w:rFonts w:hint="eastAsia" w:ascii="宋体" w:hAnsi="宋体"/>
              </w:rPr>
            </w:pPr>
          </w:p>
        </w:tc>
        <w:tc>
          <w:tcPr>
            <w:tcW w:w="1592" w:type="dxa"/>
            <w:tcBorders>
              <w:top w:val="single" w:color="auto" w:sz="4" w:space="0"/>
              <w:left w:val="single" w:color="auto" w:sz="4" w:space="0"/>
              <w:bottom w:val="single" w:color="auto" w:sz="4" w:space="0"/>
              <w:right w:val="single" w:color="auto" w:sz="4" w:space="0"/>
            </w:tcBorders>
            <w:vAlign w:val="center"/>
          </w:tcPr>
          <w:p w14:paraId="427722F2">
            <w:pPr>
              <w:jc w:val="center"/>
              <w:rPr>
                <w:rFonts w:hint="eastAsia" w:ascii="宋体" w:hAnsi="宋体"/>
              </w:rPr>
            </w:pPr>
            <w:r>
              <w:rPr>
                <w:rFonts w:hint="eastAsia" w:ascii="宋体" w:hAnsi="宋体" w:cs="Courier New"/>
                <w:szCs w:val="21"/>
              </w:rPr>
              <w:t>招标人对中标人参与“百千万工程”的具体要求</w:t>
            </w:r>
          </w:p>
        </w:tc>
        <w:tc>
          <w:tcPr>
            <w:tcW w:w="6075" w:type="dxa"/>
            <w:tcBorders>
              <w:top w:val="single" w:color="auto" w:sz="4" w:space="0"/>
              <w:left w:val="single" w:color="auto" w:sz="4" w:space="0"/>
              <w:bottom w:val="single" w:color="auto" w:sz="4" w:space="0"/>
              <w:right w:val="double" w:color="auto" w:sz="4" w:space="0"/>
            </w:tcBorders>
            <w:vAlign w:val="center"/>
          </w:tcPr>
          <w:p w14:paraId="6F846E4F">
            <w:pPr>
              <w:rPr>
                <w:rFonts w:hint="eastAsia" w:ascii="宋体" w:hAnsi="宋体" w:cs="Courier New"/>
                <w:szCs w:val="21"/>
              </w:rPr>
            </w:pPr>
            <w:r>
              <w:rPr>
                <w:rFonts w:hint="eastAsia" w:ascii="宋体" w:hAnsi="宋体" w:cs="Courier New"/>
                <w:szCs w:val="21"/>
              </w:rPr>
              <w:t>☑具体要求在中标后按照投标承诺和招标人的要求执行。</w:t>
            </w:r>
          </w:p>
          <w:p w14:paraId="4688C915">
            <w:pPr>
              <w:rPr>
                <w:rFonts w:hint="eastAsia" w:ascii="宋体" w:hAnsi="宋体" w:cs="Courier New"/>
                <w:szCs w:val="21"/>
              </w:rPr>
            </w:pPr>
            <w:r>
              <w:rPr>
                <w:rFonts w:hint="eastAsia" w:ascii="宋体" w:hAnsi="宋体" w:cs="Courier New"/>
                <w:szCs w:val="21"/>
              </w:rPr>
              <w:t>□具体要求：（由招标人填写）</w:t>
            </w:r>
          </w:p>
        </w:tc>
      </w:tr>
      <w:tr w14:paraId="388B72E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011" w:hRule="atLeast"/>
        </w:trPr>
        <w:tc>
          <w:tcPr>
            <w:tcW w:w="702" w:type="dxa"/>
            <w:tcBorders>
              <w:top w:val="single" w:color="auto" w:sz="4" w:space="0"/>
              <w:left w:val="double" w:color="auto" w:sz="4" w:space="0"/>
              <w:bottom w:val="single" w:color="auto" w:sz="4" w:space="0"/>
              <w:right w:val="single" w:color="auto" w:sz="4" w:space="0"/>
            </w:tcBorders>
            <w:vAlign w:val="center"/>
          </w:tcPr>
          <w:p w14:paraId="21D5E0D3">
            <w:pPr>
              <w:rPr>
                <w:rFonts w:hint="eastAsia" w:ascii="宋体" w:hAnsi="宋体"/>
                <w:szCs w:val="21"/>
              </w:rPr>
            </w:pPr>
            <w:r>
              <w:rPr>
                <w:rFonts w:hint="eastAsia" w:ascii="宋体" w:hAnsi="宋体"/>
                <w:szCs w:val="21"/>
              </w:rPr>
              <w:t>39</w:t>
            </w:r>
          </w:p>
        </w:tc>
        <w:tc>
          <w:tcPr>
            <w:tcW w:w="981" w:type="dxa"/>
            <w:tcBorders>
              <w:top w:val="single" w:color="auto" w:sz="4" w:space="0"/>
              <w:left w:val="single" w:color="auto" w:sz="4" w:space="0"/>
              <w:bottom w:val="single" w:color="auto" w:sz="4" w:space="0"/>
              <w:right w:val="single" w:color="auto" w:sz="4" w:space="0"/>
            </w:tcBorders>
            <w:vAlign w:val="center"/>
          </w:tcPr>
          <w:p w14:paraId="251EB9C6">
            <w:pPr>
              <w:jc w:val="center"/>
              <w:rPr>
                <w:rFonts w:hint="eastAsia" w:ascii="宋体" w:hAnsi="宋体"/>
              </w:rPr>
            </w:pPr>
          </w:p>
        </w:tc>
        <w:tc>
          <w:tcPr>
            <w:tcW w:w="1592" w:type="dxa"/>
            <w:tcBorders>
              <w:top w:val="single" w:color="auto" w:sz="4" w:space="0"/>
              <w:left w:val="single" w:color="auto" w:sz="4" w:space="0"/>
              <w:bottom w:val="single" w:color="auto" w:sz="4" w:space="0"/>
              <w:right w:val="single" w:color="auto" w:sz="4" w:space="0"/>
            </w:tcBorders>
            <w:vAlign w:val="center"/>
          </w:tcPr>
          <w:p w14:paraId="26C9A079">
            <w:pPr>
              <w:jc w:val="center"/>
              <w:rPr>
                <w:rFonts w:hint="eastAsia" w:ascii="宋体" w:hAnsi="宋体" w:cs="Courier New"/>
                <w:szCs w:val="21"/>
              </w:rPr>
            </w:pPr>
            <w:r>
              <w:rPr>
                <w:rFonts w:hint="eastAsia" w:ascii="宋体" w:hAnsi="宋体" w:cs="宋体"/>
                <w:szCs w:val="21"/>
                <w:u w:val="single"/>
              </w:rPr>
              <w:t>中标公示后中标单位提交投标文件要求</w:t>
            </w:r>
          </w:p>
        </w:tc>
        <w:tc>
          <w:tcPr>
            <w:tcW w:w="6075" w:type="dxa"/>
            <w:tcBorders>
              <w:top w:val="single" w:color="auto" w:sz="4" w:space="0"/>
              <w:left w:val="single" w:color="auto" w:sz="4" w:space="0"/>
              <w:bottom w:val="single" w:color="auto" w:sz="4" w:space="0"/>
              <w:right w:val="double" w:color="auto" w:sz="4" w:space="0"/>
            </w:tcBorders>
            <w:vAlign w:val="center"/>
          </w:tcPr>
          <w:p w14:paraId="201DF6A2">
            <w:pPr>
              <w:rPr>
                <w:rFonts w:hint="eastAsia" w:ascii="宋体" w:hAnsi="宋体" w:cs="Courier New"/>
                <w:szCs w:val="21"/>
              </w:rPr>
            </w:pPr>
            <w:r>
              <w:rPr>
                <w:rFonts w:hint="eastAsia" w:ascii="宋体" w:hAnsi="宋体" w:cs="宋体"/>
                <w:szCs w:val="21"/>
                <w:u w:val="single"/>
              </w:rPr>
              <w:t>中标人在签订合同前需向招标人另行提供与投标递交的电子标书一致且加盖单位公章的纸质投标文件（含投标人须知11.3列表明细包含的所有工程量清单报价表）4份及电子文件1份（不用生成投标书；包括用Microsoft Excel 软件或广州公共资源交易中心提供的投标书制作软件制作的工程量清单报价表和单价分析表，用 Microsoft Word 软件或广州公共资源交易中心提供的投标书制作软件制作的经济投标文件其他部分。电子文件介质使用CD-R光盘，所有电子文件不能采用压缩处理）。</w:t>
            </w:r>
          </w:p>
        </w:tc>
      </w:tr>
    </w:tbl>
    <w:p w14:paraId="58C4D247">
      <w:pPr>
        <w:pStyle w:val="7"/>
        <w:rPr>
          <w:color w:val="auto"/>
        </w:rPr>
      </w:pPr>
      <w:r>
        <w:rPr>
          <w:color w:val="auto"/>
        </w:rPr>
        <w:br w:type="page"/>
      </w:r>
      <w:bookmarkStart w:id="11" w:name="_Toc25354"/>
      <w:bookmarkStart w:id="12" w:name="_Toc21525491"/>
      <w:bookmarkStart w:id="13" w:name="_Toc21753"/>
      <w:bookmarkStart w:id="14" w:name="_Toc2272547"/>
      <w:r>
        <w:rPr>
          <w:rStyle w:val="64"/>
          <w:rFonts w:hint="eastAsia"/>
          <w:b/>
          <w:color w:val="auto"/>
        </w:rPr>
        <w:t>二、投标须知修改表</w:t>
      </w:r>
      <w:bookmarkEnd w:id="11"/>
      <w:bookmarkEnd w:id="12"/>
      <w:bookmarkEnd w:id="13"/>
      <w:bookmarkEnd w:id="14"/>
    </w:p>
    <w:p w14:paraId="11C3C204">
      <w:pPr>
        <w:pStyle w:val="5"/>
        <w:spacing w:line="360" w:lineRule="auto"/>
        <w:rPr>
          <w:b/>
          <w:szCs w:val="21"/>
        </w:rPr>
      </w:pPr>
      <w:r>
        <w:rPr>
          <w:rFonts w:hint="eastAsia"/>
          <w:b/>
          <w:szCs w:val="21"/>
        </w:rPr>
        <w:t>声明：本投标须知使用招标文件范本的投标须知通用条款，与该通用条款不同之处，均在本表中列明，并以现文为准，原文不再有效。</w:t>
      </w:r>
      <w:r>
        <w:rPr>
          <w:rFonts w:hint="eastAsia" w:ascii="宋体" w:hAnsi="宋体"/>
          <w:bCs/>
          <w:szCs w:val="21"/>
        </w:rPr>
        <w:t>（注：招标人按《投标须知修改表》修改的内容对应修改通用条款，属于删除的采用“</w:t>
      </w:r>
      <w:r>
        <w:rPr>
          <w:rFonts w:hint="eastAsia" w:ascii="宋体" w:hAnsi="宋体"/>
          <w:bCs/>
          <w:strike/>
          <w:szCs w:val="21"/>
        </w:rPr>
        <w:t xml:space="preserve">   </w:t>
      </w:r>
      <w:r>
        <w:rPr>
          <w:rFonts w:hint="eastAsia" w:ascii="宋体" w:hAnsi="宋体"/>
          <w:bCs/>
          <w:szCs w:val="21"/>
        </w:rPr>
        <w:t>”表示，如“</w:t>
      </w:r>
      <w:r>
        <w:rPr>
          <w:rFonts w:hint="eastAsia" w:ascii="宋体" w:hAnsi="宋体"/>
          <w:bCs/>
          <w:strike/>
          <w:szCs w:val="21"/>
        </w:rPr>
        <w:t>删除</w:t>
      </w:r>
      <w:r>
        <w:rPr>
          <w:rFonts w:hint="eastAsia" w:ascii="宋体" w:hAnsi="宋体"/>
          <w:bCs/>
          <w:szCs w:val="21"/>
        </w:rPr>
        <w:t>”；属于新增、修改的内容，用</w:t>
      </w:r>
      <w:r>
        <w:rPr>
          <w:rFonts w:hint="eastAsia" w:ascii="宋体" w:hAnsi="宋体"/>
          <w:b/>
          <w:szCs w:val="21"/>
        </w:rPr>
        <w:t>黑色加粗</w:t>
      </w:r>
      <w:r>
        <w:rPr>
          <w:rFonts w:hint="eastAsia" w:ascii="宋体" w:hAnsi="宋体"/>
          <w:bCs/>
          <w:szCs w:val="21"/>
        </w:rPr>
        <w:t>字体显示,并加注下划线，如“</w:t>
      </w:r>
      <w:r>
        <w:rPr>
          <w:rFonts w:hint="eastAsia" w:ascii="宋体" w:hAnsi="宋体"/>
          <w:b/>
          <w:szCs w:val="21"/>
          <w:u w:val="single"/>
        </w:rPr>
        <w:t>新增修改</w:t>
      </w:r>
      <w:r>
        <w:rPr>
          <w:rFonts w:hint="eastAsia" w:ascii="宋体" w:hAnsi="宋体"/>
          <w:bCs/>
          <w:szCs w:val="21"/>
        </w:rPr>
        <w:t>”。</w:t>
      </w:r>
      <w:r>
        <w:rPr>
          <w:rFonts w:hint="eastAsia" w:ascii="宋体" w:hAnsi="宋体"/>
          <w:bCs/>
          <w:sz w:val="24"/>
          <w:szCs w:val="24"/>
        </w:rPr>
        <w:t>）</w:t>
      </w:r>
    </w:p>
    <w:p w14:paraId="1DF6CD3A">
      <w:pPr>
        <w:spacing w:line="480" w:lineRule="auto"/>
        <w:ind w:firstLine="472" w:firstLineChars="224"/>
        <w:rPr>
          <w:b/>
          <w:szCs w:val="21"/>
        </w:rPr>
      </w:pPr>
      <w:r>
        <w:rPr>
          <w:rFonts w:hint="eastAsia"/>
          <w:b/>
          <w:szCs w:val="21"/>
        </w:rPr>
        <w:t>条款号：</w:t>
      </w:r>
      <w:r>
        <w:rPr>
          <w:rFonts w:ascii="宋体" w:hAnsi="宋体"/>
          <w:bCs/>
          <w:szCs w:val="21"/>
        </w:rPr>
        <w:t>5.1</w:t>
      </w:r>
      <w:r>
        <w:rPr>
          <w:b/>
          <w:szCs w:val="21"/>
        </w:rPr>
        <w:t xml:space="preserve">             </w:t>
      </w:r>
      <w:r>
        <w:rPr>
          <w:rFonts w:hint="eastAsia"/>
          <w:b/>
          <w:szCs w:val="21"/>
        </w:rPr>
        <w:t>修改类型：修改</w:t>
      </w:r>
    </w:p>
    <w:p w14:paraId="202BDF46">
      <w:pPr>
        <w:spacing w:line="360" w:lineRule="auto"/>
        <w:ind w:firstLine="422" w:firstLineChars="200"/>
        <w:rPr>
          <w:rFonts w:hint="eastAsia" w:ascii="宋体" w:hAnsi="宋体"/>
          <w:szCs w:val="21"/>
        </w:rPr>
      </w:pPr>
      <w:r>
        <w:rPr>
          <w:rFonts w:hint="eastAsia"/>
          <w:b/>
          <w:szCs w:val="21"/>
        </w:rPr>
        <w:t>原文：</w:t>
      </w:r>
      <w:r>
        <w:rPr>
          <w:rFonts w:ascii="宋体" w:hAnsi="宋体"/>
          <w:bCs/>
          <w:szCs w:val="21"/>
        </w:rPr>
        <w:t xml:space="preserve">5.1 </w:t>
      </w:r>
      <w:r>
        <w:rPr>
          <w:rFonts w:hint="eastAsia" w:ascii="宋体" w:hAnsi="宋体"/>
          <w:bCs/>
          <w:szCs w:val="21"/>
        </w:rPr>
        <w:t>投标人应按本投标须知前附表第</w:t>
      </w:r>
      <w:r>
        <w:rPr>
          <w:rFonts w:ascii="宋体" w:hAnsi="宋体"/>
          <w:bCs/>
          <w:szCs w:val="21"/>
        </w:rPr>
        <w:t>1</w:t>
      </w:r>
      <w:r>
        <w:rPr>
          <w:rFonts w:hint="eastAsia" w:ascii="宋体" w:hAnsi="宋体"/>
          <w:bCs/>
          <w:szCs w:val="21"/>
        </w:rPr>
        <w:t>2项所述时间和要求自行对工程现场及周围环境进行踏勘，</w:t>
      </w:r>
      <w:r>
        <w:rPr>
          <w:rFonts w:hint="eastAsia" w:ascii="宋体" w:hAnsi="宋体"/>
          <w:szCs w:val="21"/>
        </w:rPr>
        <w:t>投标人应充分重视和仔细地进行这种考察，</w:t>
      </w:r>
      <w:r>
        <w:rPr>
          <w:rFonts w:hint="eastAsia" w:ascii="宋体" w:hAnsi="宋体"/>
          <w:bCs/>
          <w:szCs w:val="21"/>
        </w:rPr>
        <w:t>以便投标人获取</w:t>
      </w:r>
      <w:r>
        <w:rPr>
          <w:rFonts w:hint="eastAsia" w:ascii="宋体" w:hAnsi="宋体"/>
          <w:szCs w:val="21"/>
        </w:rPr>
        <w:t>那些须投标人自己负责的</w:t>
      </w:r>
      <w:r>
        <w:rPr>
          <w:rFonts w:hint="eastAsia" w:ascii="宋体" w:hAnsi="宋体"/>
          <w:bCs/>
          <w:szCs w:val="21"/>
        </w:rPr>
        <w:t>有关编制投标文件和签署合同所涉及现场所有的资料。</w:t>
      </w:r>
      <w:r>
        <w:rPr>
          <w:rFonts w:hint="eastAsia" w:ascii="宋体" w:hAnsi="宋体"/>
          <w:szCs w:val="21"/>
        </w:rPr>
        <w:t>一旦中标，这种考察即被认为其结果已在中标文件中得到充分反映。</w:t>
      </w:r>
    </w:p>
    <w:p w14:paraId="4E21328E">
      <w:pPr>
        <w:pBdr>
          <w:bottom w:val="single" w:color="auto" w:sz="6" w:space="1"/>
        </w:pBdr>
        <w:spacing w:line="360" w:lineRule="auto"/>
        <w:ind w:firstLine="527" w:firstLineChars="250"/>
        <w:rPr>
          <w:szCs w:val="21"/>
        </w:rPr>
      </w:pPr>
      <w:r>
        <w:rPr>
          <w:rFonts w:hint="eastAsia"/>
          <w:b/>
          <w:szCs w:val="21"/>
        </w:rPr>
        <w:t>现文：</w:t>
      </w:r>
      <w:r>
        <w:rPr>
          <w:rFonts w:ascii="宋体" w:hAnsi="宋体"/>
          <w:bCs/>
          <w:szCs w:val="21"/>
        </w:rPr>
        <w:t xml:space="preserve">5.1 </w:t>
      </w:r>
      <w:r>
        <w:rPr>
          <w:rFonts w:hint="eastAsia" w:ascii="宋体" w:hAnsi="宋体"/>
          <w:bCs/>
          <w:szCs w:val="21"/>
        </w:rPr>
        <w:t>投标人应按本投标须知前附表第</w:t>
      </w:r>
      <w:r>
        <w:rPr>
          <w:rFonts w:ascii="宋体" w:hAnsi="宋体"/>
          <w:bCs/>
          <w:szCs w:val="21"/>
        </w:rPr>
        <w:t>1</w:t>
      </w:r>
      <w:r>
        <w:rPr>
          <w:rFonts w:hint="eastAsia" w:ascii="宋体" w:hAnsi="宋体"/>
          <w:bCs/>
          <w:szCs w:val="21"/>
        </w:rPr>
        <w:t>2项所述时间和要求自行对工程现场及周围环境进行踏勘，</w:t>
      </w:r>
      <w:r>
        <w:rPr>
          <w:rFonts w:hint="eastAsia" w:ascii="宋体" w:hAnsi="宋体"/>
          <w:szCs w:val="21"/>
        </w:rPr>
        <w:t>投标人应充分重视和仔细地进行这种考察，</w:t>
      </w:r>
      <w:r>
        <w:rPr>
          <w:rFonts w:hint="eastAsia" w:ascii="宋体" w:hAnsi="宋体"/>
          <w:bCs/>
          <w:szCs w:val="21"/>
        </w:rPr>
        <w:t>以便投标人获取</w:t>
      </w:r>
      <w:r>
        <w:rPr>
          <w:rFonts w:hint="eastAsia" w:ascii="宋体" w:hAnsi="宋体"/>
          <w:szCs w:val="21"/>
        </w:rPr>
        <w:t>那些须投标人自己负责的</w:t>
      </w:r>
      <w:r>
        <w:rPr>
          <w:rFonts w:hint="eastAsia" w:ascii="宋体" w:hAnsi="宋体"/>
          <w:bCs/>
          <w:szCs w:val="21"/>
        </w:rPr>
        <w:t>有关编制投标文件和签署合同所涉及现场所有的资料，</w:t>
      </w:r>
      <w:r>
        <w:rPr>
          <w:rFonts w:hint="eastAsia" w:ascii="宋体" w:hAnsi="宋体"/>
          <w:b/>
          <w:szCs w:val="21"/>
          <w:u w:val="single"/>
        </w:rPr>
        <w:t>投标人不进行踏勘的，视为已熟知现场条件，自行承担相关风险</w:t>
      </w:r>
      <w:r>
        <w:rPr>
          <w:rFonts w:hint="eastAsia" w:ascii="宋体" w:hAnsi="宋体" w:cs="宋体"/>
          <w:szCs w:val="21"/>
        </w:rPr>
        <w:t>。</w:t>
      </w:r>
      <w:r>
        <w:rPr>
          <w:rFonts w:hint="eastAsia" w:ascii="宋体" w:hAnsi="宋体"/>
          <w:szCs w:val="21"/>
        </w:rPr>
        <w:t>一旦中标，这种考察即被认为其结果已在中标文件中得到充分反映。</w:t>
      </w:r>
      <w:r>
        <w:rPr>
          <w:rFonts w:hint="eastAsia" w:ascii="宋体" w:hAnsi="宋体"/>
          <w:b/>
          <w:szCs w:val="21"/>
          <w:u w:val="single"/>
        </w:rPr>
        <w:t>招标人不受理因投标人缺乏对现场条件的了解或掌握而提出的任何索赔。</w:t>
      </w:r>
      <w:r>
        <w:rPr>
          <w:rFonts w:hint="eastAsia" w:ascii="宋体" w:hAnsi="宋体"/>
          <w:szCs w:val="21"/>
        </w:rPr>
        <w:t>考察现场的费用由投标人自己承担。</w:t>
      </w:r>
    </w:p>
    <w:p w14:paraId="6A9D5F47">
      <w:pPr>
        <w:spacing w:line="480" w:lineRule="auto"/>
        <w:ind w:firstLine="472" w:firstLineChars="224"/>
        <w:rPr>
          <w:b/>
          <w:szCs w:val="21"/>
        </w:rPr>
      </w:pPr>
      <w:r>
        <w:rPr>
          <w:rFonts w:hint="eastAsia"/>
          <w:b/>
          <w:szCs w:val="21"/>
        </w:rPr>
        <w:t>条款号：7.1</w:t>
      </w:r>
      <w:r>
        <w:rPr>
          <w:b/>
          <w:szCs w:val="21"/>
        </w:rPr>
        <w:t xml:space="preserve">             </w:t>
      </w:r>
      <w:r>
        <w:rPr>
          <w:rFonts w:hint="eastAsia"/>
          <w:b/>
          <w:szCs w:val="21"/>
        </w:rPr>
        <w:t>修改类型：修改</w:t>
      </w:r>
    </w:p>
    <w:p w14:paraId="325D2400">
      <w:pPr>
        <w:spacing w:line="360" w:lineRule="auto"/>
        <w:ind w:firstLine="422" w:firstLineChars="200"/>
        <w:rPr>
          <w:rFonts w:ascii="宋体"/>
          <w:szCs w:val="21"/>
          <w:u w:val="single"/>
        </w:rPr>
      </w:pPr>
      <w:r>
        <w:rPr>
          <w:rFonts w:hint="eastAsia"/>
          <w:b/>
          <w:szCs w:val="21"/>
        </w:rPr>
        <w:t>原文：</w:t>
      </w:r>
      <w:r>
        <w:rPr>
          <w:rFonts w:ascii="宋体" w:hAnsi="宋体"/>
          <w:bCs/>
          <w:szCs w:val="21"/>
          <w:u w:val="single"/>
        </w:rPr>
        <w:t>7.1</w:t>
      </w:r>
      <w:r>
        <w:rPr>
          <w:rFonts w:hint="eastAsia" w:ascii="宋体" w:hAnsi="宋体"/>
          <w:szCs w:val="21"/>
          <w:u w:val="single"/>
        </w:rPr>
        <w:t>本招标文件包括下列文件，以及所有按本须知第</w:t>
      </w:r>
      <w:r>
        <w:rPr>
          <w:rFonts w:ascii="宋体" w:hAnsi="宋体"/>
          <w:szCs w:val="21"/>
          <w:u w:val="single"/>
        </w:rPr>
        <w:t>8</w:t>
      </w:r>
      <w:r>
        <w:rPr>
          <w:rFonts w:hint="eastAsia" w:ascii="宋体" w:hAnsi="宋体"/>
          <w:szCs w:val="21"/>
          <w:u w:val="single"/>
        </w:rPr>
        <w:t>条发出的招标答疑会会议纪要和按本须知第</w:t>
      </w:r>
      <w:r>
        <w:rPr>
          <w:rFonts w:ascii="宋体" w:hAnsi="宋体"/>
          <w:szCs w:val="21"/>
          <w:u w:val="single"/>
        </w:rPr>
        <w:t>9</w:t>
      </w:r>
      <w:r>
        <w:rPr>
          <w:rFonts w:hint="eastAsia" w:ascii="宋体" w:hAnsi="宋体"/>
          <w:szCs w:val="21"/>
          <w:u w:val="single"/>
        </w:rPr>
        <w:t>条发出的澄清或修改：</w:t>
      </w:r>
    </w:p>
    <w:p w14:paraId="3A3ADB7B">
      <w:pPr>
        <w:pStyle w:val="5"/>
        <w:numPr>
          <w:ilvl w:val="0"/>
          <w:numId w:val="4"/>
        </w:numPr>
        <w:spacing w:after="0" w:line="360" w:lineRule="auto"/>
        <w:ind w:firstLineChars="200"/>
        <w:rPr>
          <w:rFonts w:hint="eastAsia" w:ascii="宋体" w:hAnsi="宋体"/>
          <w:bCs/>
          <w:szCs w:val="21"/>
          <w:u w:val="single"/>
        </w:rPr>
      </w:pPr>
      <w:r>
        <w:rPr>
          <w:rFonts w:hint="eastAsia" w:ascii="宋体" w:hAnsi="宋体"/>
          <w:bCs/>
          <w:szCs w:val="21"/>
          <w:u w:val="single"/>
        </w:rPr>
        <w:t>招标公告</w:t>
      </w:r>
    </w:p>
    <w:p w14:paraId="7F02E275">
      <w:pPr>
        <w:pStyle w:val="5"/>
        <w:numPr>
          <w:ilvl w:val="0"/>
          <w:numId w:val="4"/>
        </w:numPr>
        <w:spacing w:after="0" w:line="360" w:lineRule="auto"/>
        <w:ind w:firstLineChars="200"/>
        <w:rPr>
          <w:rFonts w:ascii="宋体"/>
          <w:szCs w:val="21"/>
          <w:u w:val="single"/>
        </w:rPr>
      </w:pPr>
      <w:r>
        <w:rPr>
          <w:rFonts w:hint="eastAsia" w:ascii="宋体" w:hAnsi="宋体"/>
          <w:szCs w:val="21"/>
          <w:u w:val="single"/>
        </w:rPr>
        <w:t>投标须知</w:t>
      </w:r>
    </w:p>
    <w:p w14:paraId="2CB6AE79">
      <w:pPr>
        <w:pStyle w:val="5"/>
        <w:numPr>
          <w:ilvl w:val="0"/>
          <w:numId w:val="4"/>
        </w:numPr>
        <w:spacing w:after="0" w:line="360" w:lineRule="auto"/>
        <w:ind w:firstLineChars="200"/>
        <w:rPr>
          <w:rFonts w:ascii="宋体"/>
          <w:szCs w:val="21"/>
          <w:u w:val="single"/>
        </w:rPr>
      </w:pPr>
      <w:r>
        <w:rPr>
          <w:rFonts w:hint="eastAsia" w:ascii="宋体" w:hAnsi="宋体"/>
          <w:szCs w:val="21"/>
          <w:u w:val="single"/>
        </w:rPr>
        <w:t>开标、评标及定标办法</w:t>
      </w:r>
    </w:p>
    <w:p w14:paraId="7750171E">
      <w:pPr>
        <w:pStyle w:val="5"/>
        <w:numPr>
          <w:ilvl w:val="0"/>
          <w:numId w:val="4"/>
        </w:numPr>
        <w:spacing w:after="0" w:line="360" w:lineRule="auto"/>
        <w:ind w:firstLineChars="200"/>
        <w:rPr>
          <w:rFonts w:ascii="宋体"/>
          <w:szCs w:val="21"/>
          <w:u w:val="single"/>
        </w:rPr>
      </w:pPr>
      <w:r>
        <w:rPr>
          <w:rFonts w:hint="eastAsia" w:ascii="宋体" w:hAnsi="宋体"/>
          <w:szCs w:val="21"/>
          <w:u w:val="single"/>
        </w:rPr>
        <w:t>合同条款</w:t>
      </w:r>
    </w:p>
    <w:p w14:paraId="5693DED2">
      <w:pPr>
        <w:pStyle w:val="5"/>
        <w:numPr>
          <w:ilvl w:val="0"/>
          <w:numId w:val="4"/>
        </w:numPr>
        <w:spacing w:after="0" w:line="360" w:lineRule="auto"/>
        <w:ind w:firstLineChars="200"/>
        <w:rPr>
          <w:rFonts w:hint="eastAsia" w:ascii="宋体" w:hAnsi="宋体"/>
          <w:szCs w:val="21"/>
          <w:u w:val="single"/>
        </w:rPr>
      </w:pPr>
      <w:r>
        <w:rPr>
          <w:rFonts w:hint="eastAsia" w:ascii="宋体" w:hAnsi="宋体"/>
          <w:szCs w:val="21"/>
          <w:u w:val="single"/>
        </w:rPr>
        <w:t>投标文件格式</w:t>
      </w:r>
    </w:p>
    <w:p w14:paraId="01D80120">
      <w:pPr>
        <w:pStyle w:val="5"/>
        <w:numPr>
          <w:ilvl w:val="0"/>
          <w:numId w:val="4"/>
        </w:numPr>
        <w:spacing w:after="0" w:line="360" w:lineRule="auto"/>
        <w:ind w:firstLineChars="200"/>
        <w:rPr>
          <w:rFonts w:hint="eastAsia" w:ascii="宋体" w:hAnsi="宋体"/>
          <w:szCs w:val="21"/>
          <w:u w:val="single"/>
        </w:rPr>
      </w:pPr>
      <w:r>
        <w:rPr>
          <w:rFonts w:hint="eastAsia" w:ascii="宋体" w:hAnsi="宋体"/>
          <w:szCs w:val="21"/>
          <w:u w:val="single"/>
        </w:rPr>
        <w:t>技术条件（工程建设标准）</w:t>
      </w:r>
    </w:p>
    <w:p w14:paraId="56AFCC24">
      <w:pPr>
        <w:pStyle w:val="5"/>
        <w:numPr>
          <w:ilvl w:val="0"/>
          <w:numId w:val="4"/>
        </w:numPr>
        <w:spacing w:after="0" w:line="360" w:lineRule="auto"/>
        <w:ind w:firstLineChars="200"/>
        <w:rPr>
          <w:rFonts w:hint="eastAsia" w:ascii="宋体" w:hAnsi="宋体"/>
          <w:szCs w:val="21"/>
          <w:u w:val="single"/>
        </w:rPr>
      </w:pPr>
      <w:r>
        <w:rPr>
          <w:rFonts w:hint="eastAsia" w:ascii="宋体" w:hAnsi="宋体"/>
          <w:szCs w:val="21"/>
          <w:u w:val="single"/>
        </w:rPr>
        <w:t>图纸及勘察资料</w:t>
      </w:r>
    </w:p>
    <w:p w14:paraId="31375EAB">
      <w:pPr>
        <w:pStyle w:val="5"/>
        <w:numPr>
          <w:ilvl w:val="0"/>
          <w:numId w:val="4"/>
        </w:numPr>
        <w:spacing w:after="0" w:line="360" w:lineRule="auto"/>
        <w:ind w:firstLineChars="200"/>
        <w:rPr>
          <w:rFonts w:hint="eastAsia" w:ascii="宋体" w:hAnsi="宋体"/>
          <w:szCs w:val="21"/>
          <w:u w:val="single"/>
        </w:rPr>
      </w:pPr>
      <w:r>
        <w:rPr>
          <w:rFonts w:hint="eastAsia" w:ascii="宋体" w:hAnsi="宋体"/>
          <w:bCs/>
          <w:szCs w:val="21"/>
          <w:u w:val="single"/>
        </w:rPr>
        <w:t>招标</w:t>
      </w:r>
      <w:r>
        <w:rPr>
          <w:rFonts w:hint="eastAsia" w:ascii="宋体" w:hAnsi="宋体"/>
          <w:szCs w:val="21"/>
          <w:u w:val="single"/>
        </w:rPr>
        <w:t>工程量清单</w:t>
      </w:r>
    </w:p>
    <w:p w14:paraId="34378B95">
      <w:pPr>
        <w:pStyle w:val="5"/>
        <w:numPr>
          <w:ilvl w:val="0"/>
          <w:numId w:val="4"/>
        </w:numPr>
        <w:spacing w:after="0" w:line="360" w:lineRule="auto"/>
        <w:ind w:firstLineChars="200"/>
        <w:rPr>
          <w:rFonts w:hint="eastAsia" w:ascii="宋体" w:hAnsi="宋体"/>
          <w:szCs w:val="21"/>
          <w:u w:val="single"/>
        </w:rPr>
      </w:pPr>
      <w:r>
        <w:rPr>
          <w:rFonts w:hint="eastAsia" w:ascii="宋体" w:hAnsi="宋体"/>
          <w:szCs w:val="21"/>
          <w:u w:val="single"/>
        </w:rPr>
        <w:t>最高投标限价</w:t>
      </w:r>
    </w:p>
    <w:p w14:paraId="51F29537">
      <w:pPr>
        <w:pStyle w:val="5"/>
        <w:spacing w:after="0" w:line="360" w:lineRule="auto"/>
        <w:ind w:left="-2" w:firstLineChars="200"/>
        <w:rPr>
          <w:rFonts w:hint="eastAsia" w:ascii="楷体" w:hAnsi="楷体" w:eastAsia="楷体" w:cs="楷体"/>
          <w:kern w:val="0"/>
          <w:szCs w:val="21"/>
        </w:rPr>
      </w:pPr>
      <w:r>
        <w:rPr>
          <w:rFonts w:hint="eastAsia" w:ascii="楷体" w:hAnsi="楷体" w:eastAsia="楷体" w:cs="楷体"/>
          <w:szCs w:val="21"/>
        </w:rPr>
        <w:t>注：</w:t>
      </w:r>
      <w:r>
        <w:rPr>
          <w:rFonts w:hint="eastAsia" w:ascii="楷体" w:hAnsi="楷体" w:eastAsia="楷体" w:cs="楷体"/>
          <w:kern w:val="0"/>
          <w:szCs w:val="21"/>
        </w:rPr>
        <w:t>招标人应在技术条件（工程建设标准）中明确如下内容：</w:t>
      </w:r>
    </w:p>
    <w:p w14:paraId="625340C3">
      <w:pPr>
        <w:pStyle w:val="5"/>
        <w:spacing w:after="0" w:line="360" w:lineRule="auto"/>
        <w:ind w:left="420" w:leftChars="200" w:firstLine="0"/>
        <w:rPr>
          <w:rFonts w:hint="eastAsia" w:ascii="楷体" w:hAnsi="楷体" w:eastAsia="楷体" w:cs="楷体"/>
          <w:kern w:val="0"/>
          <w:szCs w:val="21"/>
        </w:rPr>
      </w:pPr>
      <w:r>
        <w:rPr>
          <w:rFonts w:hint="eastAsia" w:ascii="楷体" w:hAnsi="楷体" w:eastAsia="楷体" w:cs="楷体"/>
          <w:kern w:val="0"/>
          <w:szCs w:val="21"/>
        </w:rPr>
        <w:t>1.施工现场建筑垃圾源头减量的具体要求和建筑垃圾综合利用产品的使用要求。</w:t>
      </w:r>
    </w:p>
    <w:p w14:paraId="2EE85441">
      <w:pPr>
        <w:pStyle w:val="5"/>
        <w:spacing w:after="0" w:line="360" w:lineRule="auto"/>
        <w:ind w:left="420" w:leftChars="200" w:firstLine="0"/>
        <w:rPr>
          <w:rFonts w:hint="eastAsia" w:ascii="楷体" w:hAnsi="楷体" w:eastAsia="楷体" w:cs="楷体"/>
          <w:kern w:val="0"/>
          <w:szCs w:val="21"/>
        </w:rPr>
      </w:pPr>
      <w:r>
        <w:rPr>
          <w:rFonts w:hint="eastAsia" w:ascii="楷体" w:hAnsi="楷体" w:eastAsia="楷体" w:cs="楷体"/>
          <w:kern w:val="0"/>
          <w:szCs w:val="21"/>
        </w:rPr>
        <w:t>2.占道施工相关告知、围蔽、修复等要求。</w:t>
      </w:r>
    </w:p>
    <w:p w14:paraId="21F50C2B">
      <w:pPr>
        <w:pStyle w:val="5"/>
        <w:spacing w:after="0" w:line="360" w:lineRule="auto"/>
        <w:ind w:left="420" w:leftChars="200" w:firstLine="0"/>
        <w:rPr>
          <w:rFonts w:hint="eastAsia" w:ascii="楷体" w:hAnsi="楷体" w:eastAsia="楷体" w:cs="楷体"/>
          <w:kern w:val="0"/>
          <w:szCs w:val="21"/>
        </w:rPr>
      </w:pPr>
      <w:r>
        <w:rPr>
          <w:rFonts w:hint="eastAsia" w:ascii="楷体" w:hAnsi="楷体" w:eastAsia="楷体" w:cs="楷体"/>
          <w:kern w:val="0"/>
          <w:szCs w:val="21"/>
        </w:rPr>
        <w:t>3.对照《广州市智能建造技术清单（1.0版）》对招标项目智能建造提出要求。</w:t>
      </w:r>
    </w:p>
    <w:p w14:paraId="50E09D32">
      <w:pPr>
        <w:pStyle w:val="5"/>
        <w:spacing w:after="0" w:line="360" w:lineRule="auto"/>
        <w:ind w:left="420" w:leftChars="200" w:firstLine="0"/>
        <w:rPr>
          <w:rFonts w:hint="eastAsia" w:ascii="楷体" w:hAnsi="楷体" w:eastAsia="楷体" w:cs="楷体"/>
          <w:kern w:val="0"/>
          <w:szCs w:val="21"/>
        </w:rPr>
      </w:pPr>
      <w:r>
        <w:rPr>
          <w:rFonts w:hint="eastAsia" w:ascii="楷体" w:hAnsi="楷体" w:eastAsia="楷体" w:cs="楷体"/>
          <w:kern w:val="0"/>
          <w:szCs w:val="21"/>
        </w:rPr>
        <w:t>4.招标人对中标人参与“百千万工程”的具体要求。</w:t>
      </w:r>
    </w:p>
    <w:p w14:paraId="53FB5D41">
      <w:pPr>
        <w:spacing w:line="480" w:lineRule="auto"/>
        <w:ind w:firstLine="470" w:firstLineChars="224"/>
        <w:rPr>
          <w:b/>
          <w:szCs w:val="21"/>
        </w:rPr>
      </w:pPr>
      <w:r>
        <w:rPr>
          <w:rFonts w:hint="eastAsia" w:ascii="楷体" w:hAnsi="楷体" w:eastAsia="楷体" w:cs="楷体"/>
          <w:kern w:val="0"/>
          <w:szCs w:val="21"/>
        </w:rPr>
        <w:t>5.在建筑废弃物运输上落实《关于加快推动氢能产业高质量发展的若干措施》的要求。</w:t>
      </w:r>
    </w:p>
    <w:p w14:paraId="6D357B80">
      <w:pPr>
        <w:tabs>
          <w:tab w:val="left" w:pos="105"/>
        </w:tabs>
        <w:spacing w:line="360" w:lineRule="auto"/>
        <w:ind w:firstLine="422" w:firstLineChars="200"/>
        <w:rPr>
          <w:rFonts w:ascii="宋体"/>
          <w:szCs w:val="21"/>
          <w:u w:val="single"/>
        </w:rPr>
      </w:pPr>
      <w:r>
        <w:rPr>
          <w:rFonts w:hint="eastAsia"/>
          <w:b/>
          <w:szCs w:val="21"/>
        </w:rPr>
        <w:t>现文：</w:t>
      </w:r>
      <w:r>
        <w:rPr>
          <w:rFonts w:ascii="宋体" w:hAnsi="宋体"/>
          <w:bCs/>
          <w:szCs w:val="21"/>
          <w:u w:val="single"/>
        </w:rPr>
        <w:t>7.1</w:t>
      </w:r>
      <w:r>
        <w:rPr>
          <w:rFonts w:hint="eastAsia" w:ascii="宋体" w:hAnsi="宋体"/>
          <w:szCs w:val="21"/>
          <w:u w:val="single"/>
        </w:rPr>
        <w:t>本招标文件包括下列文件，以及所有按本须知第</w:t>
      </w:r>
      <w:r>
        <w:rPr>
          <w:rFonts w:ascii="宋体" w:hAnsi="宋体"/>
          <w:szCs w:val="21"/>
          <w:u w:val="single"/>
        </w:rPr>
        <w:t>8</w:t>
      </w:r>
      <w:r>
        <w:rPr>
          <w:rFonts w:hint="eastAsia" w:ascii="宋体" w:hAnsi="宋体"/>
          <w:szCs w:val="21"/>
          <w:u w:val="single"/>
        </w:rPr>
        <w:t>条发出的招标答疑会会议纪要和按本须知第</w:t>
      </w:r>
      <w:r>
        <w:rPr>
          <w:rFonts w:ascii="宋体" w:hAnsi="宋体"/>
          <w:szCs w:val="21"/>
          <w:u w:val="single"/>
        </w:rPr>
        <w:t>9</w:t>
      </w:r>
      <w:r>
        <w:rPr>
          <w:rFonts w:hint="eastAsia" w:ascii="宋体" w:hAnsi="宋体"/>
          <w:szCs w:val="21"/>
          <w:u w:val="single"/>
        </w:rPr>
        <w:t>条发出的澄清或修改：</w:t>
      </w:r>
    </w:p>
    <w:p w14:paraId="37CFC520">
      <w:pPr>
        <w:pStyle w:val="5"/>
        <w:numPr>
          <w:ilvl w:val="0"/>
          <w:numId w:val="4"/>
        </w:numPr>
        <w:spacing w:after="0" w:line="360" w:lineRule="auto"/>
        <w:ind w:firstLineChars="200"/>
        <w:rPr>
          <w:rFonts w:hint="eastAsia" w:ascii="宋体" w:hAnsi="宋体"/>
          <w:bCs/>
          <w:szCs w:val="21"/>
          <w:u w:val="single"/>
        </w:rPr>
      </w:pPr>
      <w:r>
        <w:rPr>
          <w:rFonts w:hint="eastAsia" w:ascii="宋体" w:hAnsi="宋体"/>
          <w:bCs/>
          <w:szCs w:val="21"/>
          <w:u w:val="single"/>
        </w:rPr>
        <w:t>招标公告</w:t>
      </w:r>
    </w:p>
    <w:p w14:paraId="38CA3E8F">
      <w:pPr>
        <w:pStyle w:val="5"/>
        <w:numPr>
          <w:ilvl w:val="0"/>
          <w:numId w:val="4"/>
        </w:numPr>
        <w:spacing w:after="0" w:line="360" w:lineRule="auto"/>
        <w:ind w:firstLineChars="200"/>
        <w:rPr>
          <w:rFonts w:ascii="宋体"/>
          <w:szCs w:val="21"/>
          <w:u w:val="single"/>
        </w:rPr>
      </w:pPr>
      <w:r>
        <w:rPr>
          <w:rFonts w:hint="eastAsia" w:ascii="宋体" w:hAnsi="宋体"/>
          <w:szCs w:val="21"/>
          <w:u w:val="single"/>
        </w:rPr>
        <w:t>投标须知</w:t>
      </w:r>
    </w:p>
    <w:p w14:paraId="41CEB6EF">
      <w:pPr>
        <w:pStyle w:val="5"/>
        <w:numPr>
          <w:ilvl w:val="0"/>
          <w:numId w:val="4"/>
        </w:numPr>
        <w:spacing w:after="0" w:line="360" w:lineRule="auto"/>
        <w:ind w:firstLineChars="200"/>
        <w:rPr>
          <w:rFonts w:ascii="宋体"/>
          <w:szCs w:val="21"/>
          <w:u w:val="single"/>
        </w:rPr>
      </w:pPr>
      <w:r>
        <w:rPr>
          <w:rFonts w:hint="eastAsia" w:ascii="宋体" w:hAnsi="宋体"/>
          <w:szCs w:val="21"/>
          <w:u w:val="single"/>
        </w:rPr>
        <w:t>开标、评标及定标办法</w:t>
      </w:r>
    </w:p>
    <w:p w14:paraId="324CD780">
      <w:pPr>
        <w:pStyle w:val="5"/>
        <w:numPr>
          <w:ilvl w:val="0"/>
          <w:numId w:val="4"/>
        </w:numPr>
        <w:spacing w:after="0" w:line="360" w:lineRule="auto"/>
        <w:ind w:firstLineChars="200"/>
        <w:rPr>
          <w:rFonts w:hint="eastAsia" w:ascii="宋体" w:hAnsi="宋体"/>
          <w:szCs w:val="21"/>
          <w:u w:val="single"/>
        </w:rPr>
      </w:pPr>
      <w:r>
        <w:rPr>
          <w:rFonts w:hint="eastAsia" w:ascii="宋体" w:hAnsi="宋体"/>
          <w:szCs w:val="21"/>
          <w:u w:val="single"/>
        </w:rPr>
        <w:t>合同条款</w:t>
      </w:r>
      <w:r>
        <w:rPr>
          <w:rFonts w:hint="eastAsia" w:ascii="宋体" w:hAnsi="宋体"/>
          <w:b/>
          <w:bCs/>
          <w:szCs w:val="21"/>
          <w:u w:val="single"/>
        </w:rPr>
        <w:t>（另册）</w:t>
      </w:r>
    </w:p>
    <w:p w14:paraId="48F419D3">
      <w:pPr>
        <w:pStyle w:val="5"/>
        <w:numPr>
          <w:ilvl w:val="0"/>
          <w:numId w:val="4"/>
        </w:numPr>
        <w:spacing w:after="0" w:line="360" w:lineRule="auto"/>
        <w:ind w:firstLineChars="200"/>
        <w:rPr>
          <w:rFonts w:hint="eastAsia" w:ascii="宋体" w:hAnsi="宋体"/>
          <w:szCs w:val="21"/>
          <w:u w:val="single"/>
        </w:rPr>
      </w:pPr>
      <w:r>
        <w:rPr>
          <w:rFonts w:hint="eastAsia" w:ascii="宋体" w:hAnsi="宋体"/>
          <w:szCs w:val="21"/>
          <w:u w:val="single"/>
        </w:rPr>
        <w:t>投标文件格式</w:t>
      </w:r>
    </w:p>
    <w:p w14:paraId="578F82B3">
      <w:pPr>
        <w:pStyle w:val="5"/>
        <w:numPr>
          <w:ilvl w:val="0"/>
          <w:numId w:val="4"/>
        </w:numPr>
        <w:spacing w:after="0" w:line="360" w:lineRule="auto"/>
        <w:ind w:firstLineChars="200"/>
        <w:rPr>
          <w:rFonts w:hint="eastAsia" w:ascii="宋体" w:hAnsi="宋体"/>
          <w:szCs w:val="21"/>
          <w:u w:val="single"/>
        </w:rPr>
      </w:pPr>
      <w:r>
        <w:rPr>
          <w:rFonts w:hint="eastAsia" w:ascii="宋体" w:hAnsi="宋体"/>
          <w:szCs w:val="21"/>
          <w:u w:val="single"/>
        </w:rPr>
        <w:t>技术条件（工程建设标准）</w:t>
      </w:r>
    </w:p>
    <w:p w14:paraId="3795FF12">
      <w:pPr>
        <w:pStyle w:val="5"/>
        <w:numPr>
          <w:ilvl w:val="0"/>
          <w:numId w:val="4"/>
        </w:numPr>
        <w:spacing w:after="0" w:line="360" w:lineRule="auto"/>
        <w:ind w:firstLineChars="200"/>
        <w:rPr>
          <w:rFonts w:hint="eastAsia" w:ascii="宋体" w:hAnsi="宋体"/>
          <w:szCs w:val="21"/>
          <w:u w:val="single"/>
        </w:rPr>
      </w:pPr>
      <w:r>
        <w:rPr>
          <w:rFonts w:hint="eastAsia" w:ascii="宋体" w:hAnsi="宋体"/>
          <w:szCs w:val="21"/>
          <w:u w:val="single"/>
        </w:rPr>
        <w:t>图纸及勘察资料</w:t>
      </w:r>
      <w:r>
        <w:rPr>
          <w:rFonts w:hint="eastAsia" w:ascii="宋体" w:hAnsi="宋体"/>
          <w:b/>
          <w:bCs/>
          <w:szCs w:val="21"/>
          <w:u w:val="single"/>
        </w:rPr>
        <w:t>（另册）</w:t>
      </w:r>
    </w:p>
    <w:p w14:paraId="10671A8D">
      <w:pPr>
        <w:pStyle w:val="5"/>
        <w:numPr>
          <w:ilvl w:val="0"/>
          <w:numId w:val="4"/>
        </w:numPr>
        <w:spacing w:after="0" w:line="360" w:lineRule="auto"/>
        <w:ind w:firstLineChars="200"/>
        <w:rPr>
          <w:rFonts w:hint="eastAsia" w:ascii="宋体" w:hAnsi="宋体"/>
          <w:szCs w:val="21"/>
          <w:u w:val="single"/>
        </w:rPr>
      </w:pPr>
      <w:r>
        <w:rPr>
          <w:rFonts w:hint="eastAsia" w:ascii="宋体" w:hAnsi="宋体"/>
          <w:bCs/>
          <w:szCs w:val="21"/>
          <w:u w:val="single"/>
        </w:rPr>
        <w:t>招标</w:t>
      </w:r>
      <w:r>
        <w:rPr>
          <w:rFonts w:hint="eastAsia" w:ascii="宋体" w:hAnsi="宋体"/>
          <w:szCs w:val="21"/>
          <w:u w:val="single"/>
        </w:rPr>
        <w:t>工程量清单</w:t>
      </w:r>
      <w:r>
        <w:rPr>
          <w:rFonts w:hint="eastAsia" w:ascii="宋体" w:hAnsi="宋体"/>
          <w:b/>
          <w:bCs/>
          <w:szCs w:val="21"/>
          <w:u w:val="single"/>
        </w:rPr>
        <w:t>（另册）</w:t>
      </w:r>
    </w:p>
    <w:p w14:paraId="5E7251DC">
      <w:pPr>
        <w:pStyle w:val="5"/>
        <w:numPr>
          <w:ilvl w:val="0"/>
          <w:numId w:val="4"/>
        </w:numPr>
        <w:spacing w:after="0" w:line="360" w:lineRule="auto"/>
        <w:ind w:firstLineChars="200"/>
        <w:rPr>
          <w:rFonts w:hint="eastAsia" w:ascii="宋体" w:hAnsi="宋体"/>
          <w:szCs w:val="21"/>
          <w:u w:val="single"/>
        </w:rPr>
      </w:pPr>
      <w:r>
        <w:rPr>
          <w:rFonts w:hint="eastAsia" w:ascii="宋体" w:hAnsi="宋体"/>
          <w:szCs w:val="21"/>
          <w:u w:val="single"/>
        </w:rPr>
        <w:t>最高投标限价</w:t>
      </w:r>
    </w:p>
    <w:p w14:paraId="62BB5F6E">
      <w:pPr>
        <w:pStyle w:val="5"/>
        <w:spacing w:after="0" w:line="360" w:lineRule="auto"/>
        <w:ind w:left="-2" w:firstLineChars="200"/>
        <w:rPr>
          <w:rFonts w:hint="eastAsia" w:ascii="楷体" w:hAnsi="楷体" w:eastAsia="楷体" w:cs="楷体"/>
          <w:kern w:val="0"/>
          <w:szCs w:val="21"/>
        </w:rPr>
      </w:pPr>
      <w:r>
        <w:rPr>
          <w:rFonts w:hint="eastAsia" w:ascii="楷体" w:hAnsi="楷体" w:eastAsia="楷体" w:cs="楷体"/>
          <w:szCs w:val="21"/>
        </w:rPr>
        <w:t>注：</w:t>
      </w:r>
      <w:r>
        <w:rPr>
          <w:rFonts w:hint="eastAsia" w:ascii="楷体" w:hAnsi="楷体" w:eastAsia="楷体" w:cs="楷体"/>
          <w:kern w:val="0"/>
          <w:szCs w:val="21"/>
        </w:rPr>
        <w:t>招标人应在技术条件（工程建设标准）中明确如下内容：</w:t>
      </w:r>
    </w:p>
    <w:p w14:paraId="4948D820">
      <w:pPr>
        <w:pStyle w:val="5"/>
        <w:spacing w:after="0" w:line="360" w:lineRule="auto"/>
        <w:ind w:left="420" w:leftChars="200" w:firstLine="0"/>
        <w:rPr>
          <w:rFonts w:hint="eastAsia" w:ascii="楷体" w:hAnsi="楷体" w:eastAsia="楷体" w:cs="楷体"/>
          <w:kern w:val="0"/>
          <w:szCs w:val="21"/>
        </w:rPr>
      </w:pPr>
      <w:r>
        <w:rPr>
          <w:rFonts w:hint="eastAsia" w:ascii="楷体" w:hAnsi="楷体" w:eastAsia="楷体" w:cs="楷体"/>
          <w:kern w:val="0"/>
          <w:szCs w:val="21"/>
        </w:rPr>
        <w:t>1.施工现场建筑垃圾源头减量的具体要求和建筑垃圾综合利用产品的使用要求。</w:t>
      </w:r>
    </w:p>
    <w:p w14:paraId="0A982350">
      <w:pPr>
        <w:pStyle w:val="5"/>
        <w:spacing w:after="0" w:line="360" w:lineRule="auto"/>
        <w:ind w:left="420" w:leftChars="200" w:firstLine="0"/>
        <w:rPr>
          <w:rFonts w:hint="eastAsia" w:ascii="楷体" w:hAnsi="楷体" w:eastAsia="楷体" w:cs="楷体"/>
          <w:kern w:val="0"/>
          <w:szCs w:val="21"/>
        </w:rPr>
      </w:pPr>
      <w:r>
        <w:rPr>
          <w:rFonts w:hint="eastAsia" w:ascii="楷体" w:hAnsi="楷体" w:eastAsia="楷体" w:cs="楷体"/>
          <w:kern w:val="0"/>
          <w:szCs w:val="21"/>
        </w:rPr>
        <w:t>2.占道施工相关告知、围蔽、修复等要求。</w:t>
      </w:r>
    </w:p>
    <w:p w14:paraId="098F65D2">
      <w:pPr>
        <w:pStyle w:val="5"/>
        <w:spacing w:after="0" w:line="360" w:lineRule="auto"/>
        <w:ind w:left="420" w:leftChars="200" w:firstLine="0"/>
        <w:rPr>
          <w:rFonts w:hint="eastAsia" w:ascii="楷体" w:hAnsi="楷体" w:eastAsia="楷体" w:cs="楷体"/>
          <w:kern w:val="0"/>
          <w:szCs w:val="21"/>
        </w:rPr>
      </w:pPr>
      <w:r>
        <w:rPr>
          <w:rFonts w:hint="eastAsia" w:ascii="楷体" w:hAnsi="楷体" w:eastAsia="楷体" w:cs="楷体"/>
          <w:kern w:val="0"/>
          <w:szCs w:val="21"/>
        </w:rPr>
        <w:t>3.对照《广州市智能建造技术清单（1.0版）》对招标项目智能建造提出要求。</w:t>
      </w:r>
    </w:p>
    <w:p w14:paraId="5D41CDC7">
      <w:pPr>
        <w:pStyle w:val="5"/>
        <w:spacing w:after="0" w:line="360" w:lineRule="auto"/>
        <w:ind w:left="420" w:leftChars="200" w:firstLine="0"/>
        <w:rPr>
          <w:rFonts w:hint="eastAsia" w:ascii="楷体" w:hAnsi="楷体" w:eastAsia="楷体" w:cs="楷体"/>
          <w:kern w:val="0"/>
          <w:szCs w:val="21"/>
        </w:rPr>
      </w:pPr>
      <w:r>
        <w:rPr>
          <w:rFonts w:hint="eastAsia" w:ascii="楷体" w:hAnsi="楷体" w:eastAsia="楷体" w:cs="楷体"/>
          <w:kern w:val="0"/>
          <w:szCs w:val="21"/>
        </w:rPr>
        <w:t>4.招标人对中标人参与“百千万工程”的具体要求。</w:t>
      </w:r>
    </w:p>
    <w:p w14:paraId="408036BE">
      <w:pPr>
        <w:pBdr>
          <w:bottom w:val="single" w:color="auto" w:sz="6" w:space="1"/>
        </w:pBdr>
        <w:spacing w:line="360" w:lineRule="auto"/>
        <w:rPr>
          <w:szCs w:val="21"/>
        </w:rPr>
      </w:pPr>
      <w:r>
        <w:rPr>
          <w:rFonts w:hint="eastAsia" w:ascii="楷体" w:hAnsi="楷体" w:eastAsia="楷体" w:cs="楷体"/>
          <w:kern w:val="0"/>
          <w:szCs w:val="21"/>
        </w:rPr>
        <w:t>　　5.在建筑废弃物运输上落实《关于加快推动氢能产业高质量发展的若干措施》的要求。</w:t>
      </w:r>
    </w:p>
    <w:p w14:paraId="11C0DCA3">
      <w:pPr>
        <w:spacing w:line="480" w:lineRule="auto"/>
        <w:ind w:firstLine="472" w:firstLineChars="224"/>
        <w:rPr>
          <w:b/>
          <w:szCs w:val="21"/>
        </w:rPr>
      </w:pPr>
      <w:r>
        <w:rPr>
          <w:rFonts w:hint="eastAsia"/>
          <w:b/>
          <w:szCs w:val="21"/>
        </w:rPr>
        <w:t>条款号：</w:t>
      </w:r>
      <w:r>
        <w:rPr>
          <w:b/>
          <w:szCs w:val="21"/>
        </w:rPr>
        <w:t xml:space="preserve"> </w:t>
      </w:r>
      <w:r>
        <w:rPr>
          <w:rFonts w:hint="eastAsia"/>
          <w:b/>
          <w:szCs w:val="21"/>
        </w:rPr>
        <w:t>8．招标答疑</w:t>
      </w:r>
      <w:r>
        <w:rPr>
          <w:b/>
          <w:szCs w:val="21"/>
        </w:rPr>
        <w:t xml:space="preserve">            </w:t>
      </w:r>
      <w:r>
        <w:rPr>
          <w:rFonts w:hint="eastAsia"/>
          <w:b/>
          <w:szCs w:val="21"/>
        </w:rPr>
        <w:t>修改类型：修改</w:t>
      </w:r>
    </w:p>
    <w:p w14:paraId="2EDD02E0">
      <w:pPr>
        <w:spacing w:line="360" w:lineRule="auto"/>
        <w:ind w:firstLine="422" w:firstLineChars="200"/>
        <w:rPr>
          <w:rFonts w:ascii="宋体"/>
          <w:b/>
          <w:bCs/>
          <w:szCs w:val="21"/>
        </w:rPr>
      </w:pPr>
      <w:r>
        <w:rPr>
          <w:rFonts w:hint="eastAsia"/>
          <w:b/>
          <w:szCs w:val="21"/>
        </w:rPr>
        <w:t>原文：</w:t>
      </w:r>
      <w:r>
        <w:rPr>
          <w:rFonts w:ascii="宋体" w:hAnsi="宋体"/>
          <w:b/>
          <w:bCs/>
          <w:szCs w:val="21"/>
        </w:rPr>
        <w:t>8</w:t>
      </w:r>
      <w:r>
        <w:rPr>
          <w:rFonts w:hint="eastAsia" w:ascii="宋体" w:hAnsi="宋体"/>
          <w:b/>
          <w:bCs/>
          <w:szCs w:val="21"/>
        </w:rPr>
        <w:t>．招标答疑</w:t>
      </w:r>
    </w:p>
    <w:p w14:paraId="6FC424E9">
      <w:pPr>
        <w:spacing w:line="360" w:lineRule="auto"/>
        <w:ind w:firstLine="420" w:firstLineChars="200"/>
        <w:rPr>
          <w:rFonts w:ascii="宋体"/>
          <w:szCs w:val="21"/>
        </w:rPr>
      </w:pPr>
      <w:r>
        <w:rPr>
          <w:rFonts w:ascii="宋体" w:hAnsi="宋体"/>
          <w:szCs w:val="21"/>
        </w:rPr>
        <w:t xml:space="preserve">8.1 </w:t>
      </w:r>
      <w:r>
        <w:rPr>
          <w:rFonts w:hint="eastAsia" w:ascii="宋体" w:hAnsi="宋体"/>
          <w:szCs w:val="21"/>
        </w:rPr>
        <w:t>投标人若对招标文件（包括招标图纸）中有疑问，可以书面形式</w:t>
      </w:r>
      <w:r>
        <w:rPr>
          <w:rFonts w:hint="eastAsia"/>
          <w:szCs w:val="21"/>
        </w:rPr>
        <w:t>通过</w:t>
      </w:r>
      <w:r>
        <w:rPr>
          <w:szCs w:val="21"/>
          <w:u w:val="single"/>
        </w:rPr>
        <w:t xml:space="preserve">        </w:t>
      </w:r>
      <w:r>
        <w:rPr>
          <w:rFonts w:hint="eastAsia" w:ascii="宋体" w:hAnsi="宋体"/>
          <w:szCs w:val="21"/>
        </w:rPr>
        <w:t>交易平台</w:t>
      </w:r>
      <w:r>
        <w:rPr>
          <w:rFonts w:hint="eastAsia"/>
          <w:szCs w:val="21"/>
        </w:rPr>
        <w:t>提交</w:t>
      </w:r>
      <w:r>
        <w:rPr>
          <w:rFonts w:hint="eastAsia" w:ascii="宋体" w:hAnsi="宋体"/>
          <w:szCs w:val="21"/>
        </w:rPr>
        <w:t>给招标人或招标代理人，提交形式见本须知前附表第13项。</w:t>
      </w:r>
    </w:p>
    <w:p w14:paraId="52C9012B">
      <w:pPr>
        <w:spacing w:line="360" w:lineRule="auto"/>
        <w:ind w:firstLine="420" w:firstLineChars="200"/>
        <w:rPr>
          <w:rFonts w:ascii="宋体"/>
          <w:szCs w:val="21"/>
        </w:rPr>
      </w:pPr>
      <w:r>
        <w:rPr>
          <w:rFonts w:ascii="宋体" w:hAnsi="宋体"/>
          <w:szCs w:val="21"/>
        </w:rPr>
        <w:t>8.2</w:t>
      </w:r>
      <w:r>
        <w:rPr>
          <w:rFonts w:hint="eastAsia" w:ascii="宋体"/>
          <w:szCs w:val="21"/>
        </w:rPr>
        <w:t>招标答疑会会议纪要将在提交投标文件截止时间15日前在</w:t>
      </w:r>
      <w:r>
        <w:rPr>
          <w:szCs w:val="21"/>
          <w:u w:val="single"/>
        </w:rPr>
        <w:t xml:space="preserve">        </w:t>
      </w:r>
      <w:r>
        <w:rPr>
          <w:rFonts w:hint="eastAsia" w:ascii="宋体" w:hAnsi="宋体"/>
          <w:szCs w:val="21"/>
        </w:rPr>
        <w:t>交易平台</w:t>
      </w:r>
      <w:r>
        <w:rPr>
          <w:rFonts w:hint="eastAsia" w:ascii="宋体"/>
          <w:szCs w:val="21"/>
        </w:rPr>
        <w:t xml:space="preserve"> “项目答疑纪要”专区公开发布。答疑纪要一经在</w:t>
      </w:r>
      <w:r>
        <w:rPr>
          <w:szCs w:val="21"/>
          <w:u w:val="single"/>
        </w:rPr>
        <w:t xml:space="preserve">        </w:t>
      </w:r>
      <w:r>
        <w:rPr>
          <w:rFonts w:hint="eastAsia" w:ascii="宋体" w:hAnsi="宋体"/>
          <w:szCs w:val="21"/>
        </w:rPr>
        <w:t>交易平台</w:t>
      </w:r>
      <w:r>
        <w:rPr>
          <w:rFonts w:hint="eastAsia" w:ascii="宋体"/>
          <w:szCs w:val="21"/>
        </w:rPr>
        <w:t>发布，视作已发放给所有投标人。</w:t>
      </w:r>
    </w:p>
    <w:p w14:paraId="043EB8A6">
      <w:pPr>
        <w:pStyle w:val="5"/>
        <w:spacing w:after="0" w:line="360" w:lineRule="auto"/>
        <w:ind w:firstLineChars="200"/>
        <w:rPr>
          <w:rFonts w:ascii="宋体"/>
          <w:szCs w:val="21"/>
        </w:rPr>
      </w:pPr>
      <w:r>
        <w:rPr>
          <w:rFonts w:ascii="宋体" w:hAnsi="宋体"/>
          <w:szCs w:val="21"/>
        </w:rPr>
        <w:t>8.3</w:t>
      </w:r>
      <w:r>
        <w:rPr>
          <w:rFonts w:hint="eastAsia" w:ascii="宋体" w:hAnsi="宋体"/>
          <w:szCs w:val="21"/>
        </w:rPr>
        <w:t>答疑会会议纪要为招标文件的一部分。</w:t>
      </w:r>
    </w:p>
    <w:p w14:paraId="753E6C9A">
      <w:pPr>
        <w:spacing w:line="480" w:lineRule="auto"/>
        <w:ind w:firstLine="470" w:firstLineChars="224"/>
        <w:rPr>
          <w:b/>
          <w:szCs w:val="21"/>
        </w:rPr>
      </w:pPr>
      <w:r>
        <w:rPr>
          <w:rFonts w:ascii="宋体" w:hAnsi="宋体"/>
          <w:szCs w:val="21"/>
        </w:rPr>
        <w:t>8.4</w:t>
      </w:r>
      <w:r>
        <w:rPr>
          <w:rFonts w:hint="eastAsia" w:ascii="宋体" w:hAnsi="宋体"/>
          <w:szCs w:val="21"/>
        </w:rPr>
        <w:t>若招标答疑会会议纪要与招标文件有矛盾，以答疑会议纪要最后发出的书面形式的文件为准。</w:t>
      </w:r>
    </w:p>
    <w:p w14:paraId="76D947E7">
      <w:pPr>
        <w:pStyle w:val="5"/>
        <w:spacing w:after="0" w:line="360" w:lineRule="auto"/>
        <w:ind w:firstLine="422" w:firstLineChars="200"/>
        <w:rPr>
          <w:rFonts w:ascii="宋体"/>
          <w:b/>
          <w:bCs/>
          <w:szCs w:val="21"/>
        </w:rPr>
      </w:pPr>
      <w:r>
        <w:rPr>
          <w:rFonts w:hint="eastAsia"/>
          <w:b/>
          <w:szCs w:val="21"/>
        </w:rPr>
        <w:t>现文：</w:t>
      </w:r>
      <w:r>
        <w:rPr>
          <w:rFonts w:ascii="宋体" w:hAnsi="宋体"/>
          <w:b/>
          <w:bCs/>
          <w:szCs w:val="21"/>
        </w:rPr>
        <w:t>8</w:t>
      </w:r>
      <w:r>
        <w:rPr>
          <w:rFonts w:hint="eastAsia" w:ascii="宋体" w:hAnsi="宋体"/>
          <w:b/>
          <w:bCs/>
          <w:szCs w:val="21"/>
        </w:rPr>
        <w:t>．招标答疑</w:t>
      </w:r>
    </w:p>
    <w:p w14:paraId="08A861C8">
      <w:pPr>
        <w:pStyle w:val="5"/>
        <w:spacing w:after="0" w:line="360" w:lineRule="auto"/>
        <w:ind w:firstLineChars="200"/>
        <w:rPr>
          <w:rFonts w:ascii="宋体"/>
          <w:szCs w:val="21"/>
        </w:rPr>
      </w:pPr>
      <w:r>
        <w:rPr>
          <w:rFonts w:ascii="宋体" w:hAnsi="宋体"/>
          <w:szCs w:val="21"/>
        </w:rPr>
        <w:t xml:space="preserve">8.1 </w:t>
      </w:r>
      <w:r>
        <w:rPr>
          <w:rFonts w:hint="eastAsia" w:ascii="宋体" w:hAnsi="宋体"/>
          <w:szCs w:val="21"/>
        </w:rPr>
        <w:t>投标人若对招标文件（包括招标图纸）中有疑问，可以书面形式</w:t>
      </w:r>
      <w:r>
        <w:rPr>
          <w:rFonts w:hint="eastAsia"/>
          <w:szCs w:val="21"/>
        </w:rPr>
        <w:t>通过</w:t>
      </w:r>
      <w:r>
        <w:rPr>
          <w:rFonts w:hint="eastAsia"/>
          <w:b/>
          <w:bCs/>
          <w:szCs w:val="21"/>
          <w:u w:val="single"/>
        </w:rPr>
        <w:t>广州交易集团有限公司（广州公共资源交易中心）</w:t>
      </w:r>
      <w:r>
        <w:rPr>
          <w:rFonts w:hint="eastAsia" w:ascii="宋体" w:hAnsi="宋体"/>
          <w:szCs w:val="21"/>
        </w:rPr>
        <w:t>交易平台</w:t>
      </w:r>
      <w:r>
        <w:rPr>
          <w:rFonts w:hint="eastAsia"/>
          <w:szCs w:val="21"/>
        </w:rPr>
        <w:t>提交</w:t>
      </w:r>
      <w:r>
        <w:rPr>
          <w:rFonts w:hint="eastAsia" w:ascii="宋体" w:hAnsi="宋体"/>
          <w:szCs w:val="21"/>
        </w:rPr>
        <w:t>给招标人或招标代理人，提交形式见本须知前附表第13项。</w:t>
      </w:r>
    </w:p>
    <w:p w14:paraId="3EBBE8AF">
      <w:pPr>
        <w:pStyle w:val="5"/>
        <w:spacing w:after="0" w:line="360" w:lineRule="auto"/>
        <w:ind w:firstLineChars="200"/>
        <w:rPr>
          <w:rFonts w:ascii="宋体"/>
          <w:szCs w:val="21"/>
        </w:rPr>
      </w:pPr>
      <w:r>
        <w:rPr>
          <w:rFonts w:ascii="宋体" w:hAnsi="宋体"/>
          <w:szCs w:val="21"/>
        </w:rPr>
        <w:t>8.2</w:t>
      </w:r>
      <w:r>
        <w:rPr>
          <w:rFonts w:hint="eastAsia" w:ascii="宋体"/>
          <w:b/>
          <w:bCs/>
          <w:szCs w:val="21"/>
          <w:u w:val="single"/>
        </w:rPr>
        <w:t>招标答疑纪要</w:t>
      </w:r>
      <w:r>
        <w:rPr>
          <w:rFonts w:hint="eastAsia" w:ascii="宋体"/>
          <w:szCs w:val="21"/>
        </w:rPr>
        <w:t>将在提交投标文件截止时间15日前在</w:t>
      </w:r>
      <w:r>
        <w:rPr>
          <w:rFonts w:hint="eastAsia"/>
          <w:b/>
          <w:bCs/>
          <w:szCs w:val="21"/>
          <w:u w:val="single"/>
        </w:rPr>
        <w:t>广州交易集团有限公司（广州公共资源交易中心）</w:t>
      </w:r>
      <w:r>
        <w:rPr>
          <w:rFonts w:hint="eastAsia" w:ascii="宋体" w:hAnsi="宋体"/>
          <w:szCs w:val="21"/>
        </w:rPr>
        <w:t>交易平台</w:t>
      </w:r>
      <w:r>
        <w:rPr>
          <w:rFonts w:hint="eastAsia" w:ascii="宋体"/>
          <w:szCs w:val="21"/>
        </w:rPr>
        <w:t xml:space="preserve"> “项目答疑纪要”专区公开发布。答疑纪要一经在</w:t>
      </w:r>
      <w:r>
        <w:rPr>
          <w:rFonts w:hint="eastAsia"/>
          <w:b/>
          <w:bCs/>
          <w:szCs w:val="21"/>
          <w:u w:val="single"/>
        </w:rPr>
        <w:t>广州交易集团有限公司（广州公共资源交易中心）</w:t>
      </w:r>
      <w:r>
        <w:rPr>
          <w:rFonts w:hint="eastAsia" w:ascii="宋体" w:hAnsi="宋体"/>
          <w:szCs w:val="21"/>
        </w:rPr>
        <w:t>交易平台</w:t>
      </w:r>
      <w:r>
        <w:rPr>
          <w:rFonts w:hint="eastAsia" w:ascii="宋体"/>
          <w:szCs w:val="21"/>
        </w:rPr>
        <w:t>发布，视作已发放给所有投标人。</w:t>
      </w:r>
    </w:p>
    <w:p w14:paraId="49DA4FCD">
      <w:pPr>
        <w:pStyle w:val="5"/>
        <w:spacing w:after="0" w:line="360" w:lineRule="auto"/>
        <w:ind w:firstLineChars="200"/>
        <w:rPr>
          <w:rFonts w:ascii="宋体"/>
          <w:szCs w:val="21"/>
        </w:rPr>
      </w:pPr>
      <w:r>
        <w:rPr>
          <w:rFonts w:ascii="宋体" w:hAnsi="宋体"/>
          <w:szCs w:val="21"/>
        </w:rPr>
        <w:t>8.3</w:t>
      </w:r>
      <w:r>
        <w:rPr>
          <w:rFonts w:hint="eastAsia" w:ascii="宋体" w:hAnsi="宋体"/>
          <w:b/>
          <w:bCs/>
          <w:szCs w:val="21"/>
          <w:u w:val="single"/>
        </w:rPr>
        <w:t>招标答疑纪要</w:t>
      </w:r>
      <w:r>
        <w:rPr>
          <w:rFonts w:hint="eastAsia" w:ascii="宋体" w:hAnsi="宋体"/>
          <w:szCs w:val="21"/>
        </w:rPr>
        <w:t>为招标文件的一部分。</w:t>
      </w:r>
    </w:p>
    <w:p w14:paraId="57343739">
      <w:pPr>
        <w:pBdr>
          <w:bottom w:val="single" w:color="auto" w:sz="6" w:space="1"/>
        </w:pBdr>
        <w:spacing w:line="360" w:lineRule="auto"/>
        <w:rPr>
          <w:szCs w:val="21"/>
        </w:rPr>
      </w:pPr>
      <w:r>
        <w:rPr>
          <w:rFonts w:hint="eastAsia" w:ascii="宋体" w:hAnsi="宋体"/>
          <w:szCs w:val="21"/>
        </w:rPr>
        <w:t>　　</w:t>
      </w:r>
      <w:r>
        <w:rPr>
          <w:rFonts w:ascii="宋体" w:hAnsi="宋体"/>
          <w:szCs w:val="21"/>
        </w:rPr>
        <w:t>8.4</w:t>
      </w:r>
      <w:r>
        <w:rPr>
          <w:rFonts w:hint="eastAsia" w:ascii="宋体" w:hAnsi="宋体"/>
          <w:szCs w:val="21"/>
        </w:rPr>
        <w:t>若</w:t>
      </w:r>
      <w:r>
        <w:rPr>
          <w:rFonts w:hint="eastAsia" w:ascii="宋体" w:hAnsi="宋体"/>
          <w:b/>
          <w:bCs/>
          <w:szCs w:val="21"/>
          <w:u w:val="single"/>
        </w:rPr>
        <w:t>招标答疑纪要</w:t>
      </w:r>
      <w:r>
        <w:rPr>
          <w:rFonts w:hint="eastAsia" w:ascii="宋体" w:hAnsi="宋体"/>
          <w:szCs w:val="21"/>
        </w:rPr>
        <w:t>与招标文件有矛盾，以答疑会议纪要最后发出的书面形式的文件为准。</w:t>
      </w:r>
    </w:p>
    <w:p w14:paraId="0937780D">
      <w:pPr>
        <w:spacing w:line="480" w:lineRule="auto"/>
        <w:ind w:firstLine="472" w:firstLineChars="224"/>
        <w:rPr>
          <w:b/>
          <w:szCs w:val="21"/>
        </w:rPr>
      </w:pPr>
      <w:r>
        <w:rPr>
          <w:rFonts w:hint="eastAsia"/>
          <w:b/>
          <w:szCs w:val="21"/>
        </w:rPr>
        <w:t>条款号：</w:t>
      </w:r>
      <w:r>
        <w:rPr>
          <w:rFonts w:ascii="宋体" w:hAnsi="宋体"/>
          <w:szCs w:val="21"/>
        </w:rPr>
        <w:t>9.2</w:t>
      </w:r>
      <w:r>
        <w:rPr>
          <w:b/>
          <w:szCs w:val="21"/>
        </w:rPr>
        <w:t xml:space="preserve">             </w:t>
      </w:r>
      <w:r>
        <w:rPr>
          <w:rFonts w:hint="eastAsia"/>
          <w:b/>
          <w:szCs w:val="21"/>
        </w:rPr>
        <w:t>修改类型：修改</w:t>
      </w:r>
    </w:p>
    <w:p w14:paraId="3005453E">
      <w:pPr>
        <w:spacing w:line="360" w:lineRule="auto"/>
        <w:ind w:firstLine="422" w:firstLineChars="200"/>
        <w:rPr>
          <w:b/>
          <w:szCs w:val="21"/>
        </w:rPr>
      </w:pPr>
      <w:r>
        <w:rPr>
          <w:rFonts w:hint="eastAsia"/>
          <w:b/>
          <w:szCs w:val="21"/>
        </w:rPr>
        <w:t>原文：</w:t>
      </w:r>
      <w:r>
        <w:rPr>
          <w:rFonts w:ascii="宋体" w:hAnsi="宋体"/>
          <w:szCs w:val="21"/>
        </w:rPr>
        <w:t>9.2</w:t>
      </w:r>
      <w:r>
        <w:rPr>
          <w:rFonts w:hint="eastAsia" w:ascii="宋体"/>
          <w:szCs w:val="21"/>
        </w:rPr>
        <w:t>招标文件的澄清或修改将在</w:t>
      </w:r>
      <w:r>
        <w:rPr>
          <w:szCs w:val="21"/>
          <w:u w:val="single"/>
        </w:rPr>
        <w:t xml:space="preserve">        </w:t>
      </w:r>
      <w:r>
        <w:rPr>
          <w:rFonts w:hint="eastAsia" w:ascii="宋体" w:hAnsi="宋体"/>
          <w:szCs w:val="21"/>
        </w:rPr>
        <w:t>交易平台</w:t>
      </w:r>
      <w:r>
        <w:rPr>
          <w:rFonts w:hint="eastAsia" w:ascii="宋体"/>
          <w:szCs w:val="21"/>
        </w:rPr>
        <w:t>“项目答疑纪要”专区公开发布。答疑纪要一经在</w:t>
      </w:r>
      <w:r>
        <w:rPr>
          <w:szCs w:val="21"/>
          <w:u w:val="single"/>
        </w:rPr>
        <w:t xml:space="preserve">        </w:t>
      </w:r>
      <w:r>
        <w:rPr>
          <w:rFonts w:hint="eastAsia" w:ascii="宋体" w:hAnsi="宋体"/>
          <w:szCs w:val="21"/>
        </w:rPr>
        <w:t>交易平台</w:t>
      </w:r>
      <w:r>
        <w:rPr>
          <w:rFonts w:hint="eastAsia" w:ascii="宋体"/>
          <w:szCs w:val="21"/>
        </w:rPr>
        <w:t>发布，视作已发放给所有投标人，以</w:t>
      </w:r>
      <w:r>
        <w:rPr>
          <w:szCs w:val="21"/>
          <w:u w:val="single"/>
        </w:rPr>
        <w:t xml:space="preserve">        </w:t>
      </w:r>
      <w:r>
        <w:rPr>
          <w:rFonts w:hint="eastAsia" w:ascii="宋体" w:hAnsi="宋体"/>
          <w:szCs w:val="21"/>
        </w:rPr>
        <w:t>交易平台</w:t>
      </w:r>
      <w:r>
        <w:rPr>
          <w:rFonts w:hint="eastAsia" w:ascii="宋体"/>
          <w:szCs w:val="21"/>
        </w:rPr>
        <w:t>上网发布时间作为送达时间。</w:t>
      </w:r>
    </w:p>
    <w:p w14:paraId="553E300B">
      <w:pPr>
        <w:pBdr>
          <w:bottom w:val="single" w:color="auto" w:sz="6" w:space="1"/>
        </w:pBdr>
        <w:spacing w:line="360" w:lineRule="auto"/>
        <w:ind w:firstLine="527" w:firstLineChars="250"/>
      </w:pPr>
      <w:r>
        <w:rPr>
          <w:rFonts w:hint="eastAsia"/>
          <w:b/>
          <w:szCs w:val="21"/>
        </w:rPr>
        <w:t>现文：</w:t>
      </w:r>
      <w:r>
        <w:rPr>
          <w:rFonts w:ascii="宋体" w:hAnsi="宋体"/>
          <w:szCs w:val="21"/>
        </w:rPr>
        <w:t>9.2</w:t>
      </w:r>
      <w:r>
        <w:rPr>
          <w:rFonts w:hint="eastAsia" w:ascii="宋体"/>
          <w:szCs w:val="21"/>
        </w:rPr>
        <w:t>招标文件的澄清或修改将在</w:t>
      </w:r>
      <w:r>
        <w:rPr>
          <w:rFonts w:hint="eastAsia" w:ascii="宋体" w:hAnsi="宋体" w:cs="宋体"/>
          <w:b/>
          <w:bCs/>
          <w:szCs w:val="21"/>
          <w:u w:val="single"/>
          <w:lang w:bidi="ar"/>
        </w:rPr>
        <w:t>广州交易集团有限公司（广州公共资源交易中心）</w:t>
      </w:r>
      <w:r>
        <w:rPr>
          <w:rFonts w:hint="eastAsia" w:ascii="宋体" w:hAnsi="宋体"/>
          <w:szCs w:val="21"/>
        </w:rPr>
        <w:t>交易平台</w:t>
      </w:r>
      <w:r>
        <w:rPr>
          <w:rFonts w:hint="eastAsia" w:ascii="宋体"/>
          <w:szCs w:val="21"/>
        </w:rPr>
        <w:t>“项目答疑纪要”专区公开发布。答疑纪要一经在</w:t>
      </w:r>
      <w:r>
        <w:rPr>
          <w:rFonts w:hint="eastAsia" w:ascii="宋体" w:hAnsi="宋体" w:cs="宋体"/>
          <w:b/>
          <w:bCs/>
          <w:szCs w:val="21"/>
          <w:u w:val="single"/>
          <w:lang w:bidi="ar"/>
        </w:rPr>
        <w:t>广州交易集团有限公司（广州公共资源交易中心）</w:t>
      </w:r>
      <w:r>
        <w:rPr>
          <w:rFonts w:hint="eastAsia" w:ascii="宋体" w:hAnsi="宋体"/>
          <w:szCs w:val="21"/>
        </w:rPr>
        <w:t>交易平台</w:t>
      </w:r>
      <w:r>
        <w:rPr>
          <w:rFonts w:hint="eastAsia" w:ascii="宋体"/>
          <w:szCs w:val="21"/>
        </w:rPr>
        <w:t>发布，视作已发放给所有投标人，以</w:t>
      </w:r>
      <w:r>
        <w:rPr>
          <w:rFonts w:hint="eastAsia" w:ascii="宋体" w:hAnsi="宋体" w:cs="宋体"/>
          <w:b/>
          <w:bCs/>
          <w:szCs w:val="21"/>
          <w:u w:val="single"/>
          <w:lang w:bidi="ar"/>
        </w:rPr>
        <w:t>广州交易集团有限公司（广州公共资源交易中心）</w:t>
      </w:r>
      <w:r>
        <w:rPr>
          <w:rFonts w:hint="eastAsia" w:ascii="宋体" w:hAnsi="宋体"/>
          <w:szCs w:val="21"/>
        </w:rPr>
        <w:t>交易平台</w:t>
      </w:r>
      <w:r>
        <w:rPr>
          <w:rFonts w:hint="eastAsia" w:ascii="宋体"/>
          <w:szCs w:val="21"/>
        </w:rPr>
        <w:t>上网发布时间作为送达时间。</w:t>
      </w:r>
    </w:p>
    <w:p w14:paraId="4DC5EBA3">
      <w:pPr>
        <w:spacing w:line="480" w:lineRule="auto"/>
        <w:ind w:firstLine="472" w:firstLineChars="224"/>
        <w:rPr>
          <w:b/>
          <w:szCs w:val="21"/>
        </w:rPr>
      </w:pPr>
      <w:r>
        <w:rPr>
          <w:rFonts w:hint="eastAsia"/>
          <w:b/>
          <w:szCs w:val="21"/>
        </w:rPr>
        <w:t>条款号：</w:t>
      </w:r>
      <w:r>
        <w:rPr>
          <w:rFonts w:ascii="宋体" w:hAnsi="宋体"/>
          <w:szCs w:val="21"/>
        </w:rPr>
        <w:t>9.</w:t>
      </w:r>
      <w:r>
        <w:rPr>
          <w:rFonts w:hint="eastAsia" w:ascii="宋体" w:hAnsi="宋体"/>
          <w:szCs w:val="21"/>
        </w:rPr>
        <w:t>4</w:t>
      </w:r>
      <w:r>
        <w:rPr>
          <w:b/>
          <w:szCs w:val="21"/>
        </w:rPr>
        <w:t xml:space="preserve">             </w:t>
      </w:r>
      <w:r>
        <w:rPr>
          <w:rFonts w:hint="eastAsia"/>
          <w:b/>
          <w:szCs w:val="21"/>
        </w:rPr>
        <w:t>修改类型：修改</w:t>
      </w:r>
    </w:p>
    <w:p w14:paraId="3CEDBDA8">
      <w:pPr>
        <w:spacing w:line="360" w:lineRule="auto"/>
        <w:ind w:firstLine="422" w:firstLineChars="200"/>
        <w:rPr>
          <w:b/>
          <w:szCs w:val="21"/>
        </w:rPr>
      </w:pPr>
      <w:r>
        <w:rPr>
          <w:rFonts w:hint="eastAsia"/>
          <w:b/>
          <w:szCs w:val="21"/>
        </w:rPr>
        <w:t>原文：</w:t>
      </w:r>
      <w:r>
        <w:rPr>
          <w:rFonts w:hint="eastAsia" w:ascii="宋体" w:hAnsi="宋体"/>
          <w:szCs w:val="21"/>
        </w:rPr>
        <w:t>9.4招标文件的澄清或修改均以</w:t>
      </w:r>
      <w:r>
        <w:rPr>
          <w:rFonts w:hint="eastAsia" w:ascii="宋体" w:hAnsi="宋体"/>
          <w:szCs w:val="21"/>
          <w:u w:val="single"/>
        </w:rPr>
        <w:t xml:space="preserve">          网站</w:t>
      </w:r>
      <w:r>
        <w:rPr>
          <w:rFonts w:hint="eastAsia" w:ascii="宋体" w:hAnsi="宋体"/>
          <w:szCs w:val="21"/>
        </w:rPr>
        <w:t>发布的内容为准。当招标文件的澄清、修改、补充等在同一内容的表述不一致时，以最后发出的书面形式的文件为准。</w:t>
      </w:r>
    </w:p>
    <w:p w14:paraId="0791B006">
      <w:pPr>
        <w:pBdr>
          <w:bottom w:val="single" w:color="auto" w:sz="6" w:space="1"/>
        </w:pBdr>
        <w:spacing w:line="360" w:lineRule="auto"/>
        <w:ind w:firstLine="527" w:firstLineChars="250"/>
      </w:pPr>
      <w:r>
        <w:rPr>
          <w:rFonts w:hint="eastAsia"/>
          <w:b/>
          <w:szCs w:val="21"/>
        </w:rPr>
        <w:t>现文：</w:t>
      </w:r>
      <w:r>
        <w:rPr>
          <w:rFonts w:hint="eastAsia" w:ascii="宋体" w:hAnsi="宋体"/>
          <w:szCs w:val="21"/>
        </w:rPr>
        <w:t>9.4招标文件的澄清或修改均以</w:t>
      </w:r>
      <w:r>
        <w:rPr>
          <w:rFonts w:hint="eastAsia" w:ascii="宋体" w:hAnsi="宋体" w:cs="宋体"/>
          <w:b/>
          <w:bCs/>
          <w:szCs w:val="21"/>
          <w:u w:val="single"/>
          <w:lang w:bidi="ar"/>
        </w:rPr>
        <w:t>广州交易集团有限公司（广州公共资源交易中心）</w:t>
      </w:r>
      <w:r>
        <w:rPr>
          <w:rFonts w:hint="eastAsia" w:ascii="宋体" w:hAnsi="宋体"/>
          <w:szCs w:val="21"/>
          <w:u w:val="single"/>
        </w:rPr>
        <w:t>网站</w:t>
      </w:r>
      <w:r>
        <w:rPr>
          <w:rFonts w:hint="eastAsia" w:ascii="宋体" w:hAnsi="宋体"/>
          <w:szCs w:val="21"/>
        </w:rPr>
        <w:t>发布的内容为准。当招标文件的澄清、修改、补充等在同一内容的表述不一致时，以最后发出的书面形式的文件为准。</w:t>
      </w:r>
    </w:p>
    <w:p w14:paraId="7B1A8F6C">
      <w:pPr>
        <w:spacing w:line="480" w:lineRule="auto"/>
        <w:ind w:firstLine="472" w:firstLineChars="224"/>
        <w:rPr>
          <w:b/>
          <w:szCs w:val="21"/>
        </w:rPr>
      </w:pPr>
      <w:r>
        <w:rPr>
          <w:rFonts w:hint="eastAsia"/>
          <w:b/>
          <w:szCs w:val="21"/>
        </w:rPr>
        <w:t>条款号：</w:t>
      </w:r>
      <w:r>
        <w:rPr>
          <w:b/>
          <w:szCs w:val="21"/>
        </w:rPr>
        <w:t xml:space="preserve"> </w:t>
      </w:r>
      <w:r>
        <w:rPr>
          <w:rFonts w:hint="eastAsia" w:hAnsi="宋体"/>
          <w:bCs/>
          <w:szCs w:val="21"/>
          <w:u w:val="single"/>
        </w:rPr>
        <w:t>11.2.1</w:t>
      </w:r>
      <w:r>
        <w:rPr>
          <w:b/>
          <w:szCs w:val="21"/>
        </w:rPr>
        <w:t xml:space="preserve">            </w:t>
      </w:r>
      <w:r>
        <w:rPr>
          <w:rFonts w:hint="eastAsia"/>
          <w:b/>
          <w:szCs w:val="21"/>
        </w:rPr>
        <w:t>修改类型：修改</w:t>
      </w:r>
    </w:p>
    <w:p w14:paraId="44FD19BF">
      <w:pPr>
        <w:pStyle w:val="2"/>
        <w:spacing w:line="360" w:lineRule="auto"/>
        <w:ind w:firstLine="480"/>
        <w:rPr>
          <w:rFonts w:hint="eastAsia" w:hAnsi="宋体"/>
          <w:bCs/>
          <w:szCs w:val="21"/>
          <w:u w:val="single"/>
        </w:rPr>
      </w:pPr>
      <w:r>
        <w:rPr>
          <w:rFonts w:hint="eastAsia"/>
          <w:b/>
          <w:szCs w:val="21"/>
        </w:rPr>
        <w:t>原文：</w:t>
      </w:r>
      <w:r>
        <w:rPr>
          <w:rFonts w:hint="eastAsia" w:hAnsi="宋体"/>
          <w:bCs/>
          <w:szCs w:val="21"/>
          <w:u w:val="single"/>
        </w:rPr>
        <w:t>11.2.1资格审查文件</w:t>
      </w:r>
    </w:p>
    <w:p w14:paraId="3CD18370">
      <w:pPr>
        <w:spacing w:line="360" w:lineRule="auto"/>
        <w:ind w:firstLine="420" w:firstLineChars="200"/>
        <w:rPr>
          <w:rFonts w:ascii="宋体"/>
          <w:bCs/>
          <w:szCs w:val="21"/>
          <w:u w:val="single"/>
        </w:rPr>
      </w:pPr>
      <w:r>
        <w:rPr>
          <w:rFonts w:ascii="宋体"/>
          <w:bCs/>
          <w:szCs w:val="21"/>
        </w:rPr>
        <w:t>（1）</w:t>
      </w:r>
      <w:r>
        <w:rPr>
          <w:rFonts w:hint="eastAsia" w:ascii="宋体"/>
          <w:bCs/>
          <w:szCs w:val="21"/>
          <w:u w:val="single"/>
        </w:rPr>
        <w:t>投标人声明；</w:t>
      </w:r>
    </w:p>
    <w:p w14:paraId="4CAC2B5D">
      <w:pPr>
        <w:spacing w:line="360" w:lineRule="auto"/>
        <w:ind w:firstLine="420" w:firstLineChars="200"/>
        <w:rPr>
          <w:rFonts w:ascii="宋体"/>
          <w:bCs/>
          <w:szCs w:val="21"/>
          <w:u w:val="single"/>
        </w:rPr>
      </w:pPr>
      <w:r>
        <w:rPr>
          <w:rFonts w:hint="eastAsia" w:ascii="宋体"/>
          <w:bCs/>
          <w:szCs w:val="21"/>
          <w:u w:val="single"/>
        </w:rPr>
        <w:t>（2）法定代表人证明书、法定代表人签字或盖章的本投标文件授权委托证明书；</w:t>
      </w:r>
    </w:p>
    <w:p w14:paraId="04087A29">
      <w:pPr>
        <w:spacing w:line="360" w:lineRule="auto"/>
        <w:ind w:firstLine="420" w:firstLineChars="200"/>
        <w:rPr>
          <w:rFonts w:ascii="宋体"/>
          <w:bCs/>
          <w:szCs w:val="21"/>
          <w:u w:val="single"/>
        </w:rPr>
      </w:pPr>
      <w:r>
        <w:rPr>
          <w:rFonts w:hint="eastAsia" w:ascii="宋体"/>
          <w:bCs/>
          <w:szCs w:val="21"/>
          <w:u w:val="single"/>
        </w:rPr>
        <w:t>（3）企业营业执照；</w:t>
      </w:r>
    </w:p>
    <w:p w14:paraId="54433589">
      <w:pPr>
        <w:spacing w:line="360" w:lineRule="auto"/>
        <w:ind w:firstLine="420" w:firstLineChars="200"/>
        <w:rPr>
          <w:rFonts w:ascii="宋体"/>
          <w:bCs/>
          <w:szCs w:val="21"/>
          <w:u w:val="single"/>
        </w:rPr>
      </w:pPr>
      <w:r>
        <w:rPr>
          <w:rFonts w:hint="eastAsia" w:ascii="宋体"/>
          <w:bCs/>
          <w:szCs w:val="21"/>
          <w:u w:val="single"/>
        </w:rPr>
        <w:t>（4）企业资质证书；</w:t>
      </w:r>
    </w:p>
    <w:p w14:paraId="31699CEA">
      <w:pPr>
        <w:spacing w:line="360" w:lineRule="auto"/>
        <w:ind w:firstLine="420" w:firstLineChars="200"/>
        <w:rPr>
          <w:rFonts w:ascii="宋体"/>
          <w:bCs/>
          <w:szCs w:val="21"/>
          <w:u w:val="single"/>
        </w:rPr>
      </w:pPr>
      <w:r>
        <w:rPr>
          <w:rFonts w:hint="eastAsia" w:ascii="宋体"/>
          <w:bCs/>
          <w:szCs w:val="21"/>
          <w:u w:val="single"/>
        </w:rPr>
        <w:t>（5）建筑施工企业安全生产许可证；</w:t>
      </w:r>
    </w:p>
    <w:p w14:paraId="3BB5962C">
      <w:pPr>
        <w:spacing w:line="360" w:lineRule="auto"/>
        <w:ind w:firstLine="420" w:firstLineChars="200"/>
        <w:rPr>
          <w:rFonts w:hint="eastAsia" w:ascii="宋体" w:hAnsi="宋体"/>
          <w:bCs/>
          <w:szCs w:val="21"/>
          <w:u w:val="single"/>
        </w:rPr>
      </w:pPr>
      <w:r>
        <w:rPr>
          <w:rFonts w:hint="eastAsia" w:ascii="宋体"/>
          <w:bCs/>
          <w:szCs w:val="21"/>
          <w:u w:val="single"/>
        </w:rPr>
        <w:t>（6）</w:t>
      </w:r>
      <w:r>
        <w:rPr>
          <w:rFonts w:hint="eastAsia" w:ascii="宋体" w:hAnsi="宋体"/>
          <w:bCs/>
          <w:szCs w:val="21"/>
          <w:u w:val="single"/>
        </w:rPr>
        <w:t>项目负责人（按网上投标登记时选择拟投标的项目负责人。</w:t>
      </w:r>
      <w:r>
        <w:rPr>
          <w:rFonts w:ascii="宋体" w:hAnsi="宋体"/>
          <w:szCs w:val="21"/>
          <w:u w:val="single"/>
        </w:rPr>
        <w:t>投标人须在</w:t>
      </w:r>
      <w:r>
        <w:rPr>
          <w:rFonts w:hint="eastAsia" w:ascii="宋体" w:hAnsi="宋体"/>
          <w:szCs w:val="21"/>
          <w:u w:val="single"/>
        </w:rPr>
        <w:t>广州市交通建设项目企业信息库建立企业信用信息档案，拟担任本工程项目负责人须是本企业信息档案中的在册人员</w:t>
      </w:r>
      <w:r>
        <w:rPr>
          <w:rFonts w:hint="eastAsia" w:ascii="宋体" w:hAnsi="宋体"/>
          <w:bCs/>
          <w:szCs w:val="21"/>
          <w:u w:val="single"/>
        </w:rPr>
        <w:t>）；</w:t>
      </w:r>
    </w:p>
    <w:p w14:paraId="404EF5AB">
      <w:pPr>
        <w:spacing w:line="360" w:lineRule="auto"/>
        <w:ind w:firstLine="420" w:firstLineChars="200"/>
        <w:rPr>
          <w:rFonts w:hint="eastAsia" w:ascii="宋体" w:hAnsi="宋体"/>
          <w:bCs/>
          <w:szCs w:val="21"/>
          <w:u w:val="single"/>
        </w:rPr>
      </w:pPr>
      <w:r>
        <w:rPr>
          <w:rFonts w:hint="eastAsia" w:ascii="宋体" w:hAnsi="宋体"/>
          <w:bCs/>
          <w:szCs w:val="21"/>
          <w:u w:val="single"/>
        </w:rPr>
        <w:t>（7）专职安全员（按网上投标登记时选择拟投标的专职安全员，</w:t>
      </w:r>
      <w:r>
        <w:rPr>
          <w:rFonts w:ascii="宋体" w:hAnsi="宋体"/>
          <w:szCs w:val="21"/>
          <w:u w:val="single"/>
        </w:rPr>
        <w:t>投标人须在</w:t>
      </w:r>
      <w:r>
        <w:rPr>
          <w:rFonts w:hint="eastAsia" w:ascii="宋体" w:hAnsi="宋体"/>
          <w:szCs w:val="21"/>
          <w:u w:val="single"/>
        </w:rPr>
        <w:t>广州市交通建设项目企业信息库建立企业信用信息档案，拟担任本工程专职安全员须是本企业信息档案中的在册人员</w:t>
      </w:r>
      <w:r>
        <w:rPr>
          <w:rFonts w:hint="eastAsia" w:ascii="宋体" w:hAnsi="宋体"/>
          <w:bCs/>
          <w:szCs w:val="21"/>
          <w:u w:val="single"/>
        </w:rPr>
        <w:t>）；</w:t>
      </w:r>
    </w:p>
    <w:p w14:paraId="3033793D">
      <w:pPr>
        <w:spacing w:line="360" w:lineRule="auto"/>
        <w:ind w:firstLine="420" w:firstLineChars="200"/>
        <w:rPr>
          <w:rFonts w:ascii="宋体"/>
          <w:bCs/>
          <w:szCs w:val="21"/>
          <w:u w:val="single"/>
        </w:rPr>
      </w:pPr>
      <w:r>
        <w:rPr>
          <w:rFonts w:hint="eastAsia" w:ascii="宋体"/>
          <w:bCs/>
          <w:szCs w:val="21"/>
          <w:u w:val="single"/>
        </w:rPr>
        <w:t>（8）拟委派项目负责人的建造师注册证书（取自</w:t>
      </w:r>
      <w:r>
        <w:rPr>
          <w:rFonts w:hint="eastAsia" w:ascii="宋体" w:hAnsi="宋体"/>
          <w:szCs w:val="21"/>
          <w:u w:val="single"/>
        </w:rPr>
        <w:t>广州市交通建设项目企业信息库</w:t>
      </w:r>
      <w:r>
        <w:rPr>
          <w:rFonts w:hint="eastAsia" w:ascii="宋体"/>
          <w:bCs/>
          <w:szCs w:val="21"/>
          <w:u w:val="single"/>
        </w:rPr>
        <w:t xml:space="preserve">内上传件） ； </w:t>
      </w:r>
    </w:p>
    <w:p w14:paraId="41BEE404">
      <w:pPr>
        <w:spacing w:line="360" w:lineRule="auto"/>
        <w:ind w:firstLine="420" w:firstLineChars="200"/>
        <w:rPr>
          <w:rFonts w:ascii="宋体"/>
          <w:bCs/>
          <w:szCs w:val="21"/>
          <w:u w:val="single"/>
        </w:rPr>
      </w:pPr>
      <w:r>
        <w:rPr>
          <w:rFonts w:hint="eastAsia" w:ascii="宋体"/>
          <w:bCs/>
          <w:szCs w:val="21"/>
          <w:u w:val="single"/>
        </w:rPr>
        <w:t>（9）项目负责人安全生产考核合格证明或在有效期内的安全考核合格证书（B类）或建筑施工企业项目负责人安全生产考核合格证书；</w:t>
      </w:r>
    </w:p>
    <w:p w14:paraId="533E3289">
      <w:pPr>
        <w:spacing w:line="360" w:lineRule="auto"/>
        <w:ind w:firstLine="420" w:firstLineChars="200"/>
        <w:rPr>
          <w:rFonts w:ascii="宋体"/>
          <w:bCs/>
          <w:szCs w:val="21"/>
          <w:u w:val="single"/>
        </w:rPr>
      </w:pPr>
      <w:r>
        <w:rPr>
          <w:rFonts w:hint="eastAsia" w:ascii="宋体"/>
          <w:bCs/>
          <w:szCs w:val="21"/>
          <w:u w:val="single"/>
        </w:rPr>
        <w:t>（10）专职安全员须具有在有效期内的安全考核合格证书（C类）或建筑施工企业专职安全生产管理人员安全生产考核合格证书（C3）；</w:t>
      </w:r>
    </w:p>
    <w:p w14:paraId="14259DBF">
      <w:pPr>
        <w:spacing w:line="360" w:lineRule="auto"/>
        <w:ind w:firstLine="420" w:firstLineChars="200"/>
        <w:rPr>
          <w:rFonts w:ascii="宋体"/>
          <w:bCs/>
          <w:szCs w:val="21"/>
          <w:u w:val="single"/>
        </w:rPr>
      </w:pPr>
      <w:r>
        <w:rPr>
          <w:rFonts w:hint="eastAsia" w:ascii="宋体"/>
          <w:bCs/>
          <w:szCs w:val="21"/>
          <w:u w:val="single"/>
        </w:rPr>
        <w:t>（11）</w:t>
      </w:r>
      <w:r>
        <w:rPr>
          <w:rFonts w:hint="eastAsia" w:ascii="宋体" w:hAnsi="宋体"/>
          <w:bCs/>
          <w:szCs w:val="21"/>
          <w:u w:val="single"/>
        </w:rPr>
        <w:t>用于资格审查的业绩（设置业绩要求时选择此项，</w:t>
      </w:r>
      <w:r>
        <w:rPr>
          <w:rFonts w:hint="eastAsia" w:ascii="宋体" w:hAnsi="宋体"/>
          <w:szCs w:val="21"/>
          <w:u w:val="single"/>
        </w:rPr>
        <w:t>具体格式由招标人自定</w:t>
      </w:r>
      <w:r>
        <w:rPr>
          <w:rFonts w:hint="eastAsia" w:ascii="宋体" w:hAnsi="宋体"/>
          <w:bCs/>
          <w:szCs w:val="21"/>
          <w:u w:val="single"/>
        </w:rPr>
        <w:t>）</w:t>
      </w:r>
    </w:p>
    <w:p w14:paraId="0221520D">
      <w:pPr>
        <w:spacing w:line="360" w:lineRule="auto"/>
        <w:ind w:firstLine="420" w:firstLineChars="200"/>
        <w:rPr>
          <w:rFonts w:hint="eastAsia" w:ascii="宋体" w:hAnsi="宋体"/>
          <w:bCs/>
          <w:szCs w:val="21"/>
          <w:u w:val="single"/>
        </w:rPr>
      </w:pPr>
      <w:r>
        <w:rPr>
          <w:rFonts w:hint="eastAsia" w:ascii="宋体" w:hAnsi="宋体"/>
          <w:bCs/>
          <w:szCs w:val="21"/>
          <w:u w:val="single"/>
        </w:rPr>
        <w:t>（12）列明主办单位的联合体工作协议（采用联合体投标时需递交，</w:t>
      </w:r>
      <w:r>
        <w:rPr>
          <w:rFonts w:hint="eastAsia" w:ascii="宋体" w:hAnsi="宋体"/>
          <w:szCs w:val="21"/>
          <w:u w:val="single"/>
        </w:rPr>
        <w:t>联合体工作协议应明确约定各方拟承担的工作和责任</w:t>
      </w:r>
      <w:r>
        <w:rPr>
          <w:rFonts w:hint="eastAsia" w:ascii="宋体" w:hAnsi="宋体"/>
          <w:bCs/>
          <w:szCs w:val="21"/>
          <w:u w:val="single"/>
        </w:rPr>
        <w:t>）；</w:t>
      </w:r>
    </w:p>
    <w:p w14:paraId="53556FE6">
      <w:pPr>
        <w:spacing w:line="480" w:lineRule="auto"/>
        <w:ind w:firstLine="470" w:firstLineChars="224"/>
        <w:rPr>
          <w:b/>
          <w:szCs w:val="21"/>
        </w:rPr>
      </w:pPr>
      <w:r>
        <w:rPr>
          <w:rFonts w:hint="eastAsia" w:ascii="宋体" w:hAnsi="宋体"/>
          <w:bCs/>
          <w:szCs w:val="21"/>
          <w:u w:val="single"/>
        </w:rPr>
        <w:t>（13）投标人认为应提交的其他资料 。</w:t>
      </w:r>
    </w:p>
    <w:p w14:paraId="0FB2A6B9">
      <w:pPr>
        <w:pStyle w:val="2"/>
        <w:spacing w:line="360" w:lineRule="auto"/>
        <w:ind w:firstLine="480"/>
        <w:rPr>
          <w:rFonts w:hint="eastAsia" w:hAnsi="宋体"/>
          <w:bCs/>
          <w:szCs w:val="21"/>
          <w:u w:val="single"/>
        </w:rPr>
      </w:pPr>
      <w:r>
        <w:rPr>
          <w:rFonts w:hint="eastAsia"/>
          <w:b/>
          <w:szCs w:val="21"/>
        </w:rPr>
        <w:t>现文：</w:t>
      </w:r>
      <w:r>
        <w:rPr>
          <w:rFonts w:hint="eastAsia" w:hAnsi="宋体"/>
          <w:bCs/>
          <w:szCs w:val="21"/>
          <w:u w:val="single"/>
        </w:rPr>
        <w:t>11.2.1资格审查文件</w:t>
      </w:r>
    </w:p>
    <w:p w14:paraId="53B2BB5B">
      <w:pPr>
        <w:spacing w:line="360" w:lineRule="auto"/>
        <w:ind w:firstLine="422" w:firstLineChars="200"/>
        <w:rPr>
          <w:rFonts w:ascii="宋体"/>
          <w:b/>
          <w:szCs w:val="21"/>
          <w:u w:val="single"/>
        </w:rPr>
      </w:pPr>
      <w:r>
        <w:rPr>
          <w:rFonts w:ascii="宋体"/>
          <w:b/>
          <w:szCs w:val="21"/>
        </w:rPr>
        <w:t>（</w:t>
      </w:r>
      <w:r>
        <w:rPr>
          <w:rFonts w:hint="eastAsia" w:ascii="宋体"/>
          <w:b/>
          <w:szCs w:val="21"/>
        </w:rPr>
        <w:t>1</w:t>
      </w:r>
      <w:r>
        <w:rPr>
          <w:rFonts w:ascii="宋体"/>
          <w:b/>
          <w:szCs w:val="21"/>
        </w:rPr>
        <w:t>）</w:t>
      </w:r>
      <w:r>
        <w:rPr>
          <w:rFonts w:hint="eastAsia" w:ascii="宋体"/>
          <w:b/>
          <w:szCs w:val="21"/>
          <w:u w:val="single"/>
        </w:rPr>
        <w:t>投标人声明；</w:t>
      </w:r>
    </w:p>
    <w:p w14:paraId="0ACA7C16">
      <w:pPr>
        <w:spacing w:line="360" w:lineRule="auto"/>
        <w:ind w:firstLine="420" w:firstLineChars="200"/>
        <w:rPr>
          <w:rFonts w:ascii="宋体"/>
          <w:bCs/>
          <w:szCs w:val="21"/>
          <w:u w:val="single"/>
        </w:rPr>
      </w:pPr>
      <w:r>
        <w:rPr>
          <w:rFonts w:hint="eastAsia" w:ascii="宋体"/>
          <w:bCs/>
          <w:szCs w:val="21"/>
          <w:u w:val="single"/>
        </w:rPr>
        <w:t>（2）法定代表人证明书、法定代表人签字或盖章的本投标文件授权委托证明书；</w:t>
      </w:r>
    </w:p>
    <w:p w14:paraId="15070C4C">
      <w:pPr>
        <w:spacing w:line="360" w:lineRule="auto"/>
        <w:ind w:firstLine="420" w:firstLineChars="200"/>
        <w:rPr>
          <w:rFonts w:ascii="宋体"/>
          <w:bCs/>
          <w:szCs w:val="21"/>
          <w:u w:val="single"/>
        </w:rPr>
      </w:pPr>
      <w:r>
        <w:rPr>
          <w:rFonts w:hint="eastAsia" w:ascii="宋体"/>
          <w:bCs/>
          <w:szCs w:val="21"/>
          <w:u w:val="single"/>
        </w:rPr>
        <w:t>（3）企业营业执照</w:t>
      </w:r>
      <w:r>
        <w:rPr>
          <w:rFonts w:hint="eastAsia" w:ascii="宋体" w:hAnsi="宋体" w:cs="宋体"/>
          <w:b/>
          <w:szCs w:val="21"/>
          <w:u w:val="single"/>
        </w:rPr>
        <w:t>（扫描件或电子证照）</w:t>
      </w:r>
      <w:r>
        <w:rPr>
          <w:rFonts w:hint="eastAsia" w:ascii="宋体"/>
          <w:bCs/>
          <w:szCs w:val="21"/>
          <w:u w:val="single"/>
        </w:rPr>
        <w:t>；</w:t>
      </w:r>
    </w:p>
    <w:p w14:paraId="4A6F6AD8">
      <w:pPr>
        <w:spacing w:line="360" w:lineRule="auto"/>
        <w:ind w:firstLine="420" w:firstLineChars="200"/>
        <w:rPr>
          <w:rFonts w:ascii="宋体"/>
          <w:bCs/>
          <w:szCs w:val="21"/>
          <w:u w:val="single"/>
        </w:rPr>
      </w:pPr>
      <w:r>
        <w:rPr>
          <w:rFonts w:hint="eastAsia" w:ascii="宋体"/>
          <w:bCs/>
          <w:szCs w:val="21"/>
          <w:u w:val="single"/>
        </w:rPr>
        <w:t>（4）企业资质证书</w:t>
      </w:r>
      <w:r>
        <w:rPr>
          <w:rFonts w:hint="eastAsia" w:ascii="宋体" w:hAnsi="宋体" w:cs="宋体"/>
          <w:bCs/>
          <w:szCs w:val="21"/>
          <w:u w:val="single"/>
        </w:rPr>
        <w:t>（</w:t>
      </w:r>
      <w:r>
        <w:rPr>
          <w:rFonts w:hint="eastAsia" w:ascii="宋体" w:hAnsi="宋体" w:cs="宋体"/>
          <w:b/>
          <w:szCs w:val="21"/>
          <w:u w:val="single"/>
        </w:rPr>
        <w:t>扫描件或电子证照）</w:t>
      </w:r>
      <w:r>
        <w:rPr>
          <w:rFonts w:hint="eastAsia" w:ascii="宋体"/>
          <w:bCs/>
          <w:szCs w:val="21"/>
          <w:u w:val="single"/>
        </w:rPr>
        <w:t>；</w:t>
      </w:r>
    </w:p>
    <w:p w14:paraId="2F62B2E4">
      <w:pPr>
        <w:spacing w:line="360" w:lineRule="auto"/>
        <w:ind w:firstLine="420" w:firstLineChars="200"/>
        <w:rPr>
          <w:rFonts w:ascii="宋体"/>
          <w:bCs/>
          <w:szCs w:val="21"/>
          <w:u w:val="single"/>
        </w:rPr>
      </w:pPr>
      <w:r>
        <w:rPr>
          <w:rFonts w:hint="eastAsia" w:ascii="宋体"/>
          <w:bCs/>
          <w:szCs w:val="21"/>
          <w:u w:val="single"/>
        </w:rPr>
        <w:t>（5）建筑施工企业安全生产许可证</w:t>
      </w:r>
      <w:r>
        <w:rPr>
          <w:rFonts w:hint="eastAsia" w:ascii="宋体" w:hAnsi="宋体" w:cs="宋体"/>
          <w:b/>
          <w:szCs w:val="21"/>
          <w:u w:val="single"/>
        </w:rPr>
        <w:t>（扫描件或电子证照）</w:t>
      </w:r>
      <w:r>
        <w:rPr>
          <w:rFonts w:hint="eastAsia" w:ascii="宋体"/>
          <w:bCs/>
          <w:szCs w:val="21"/>
          <w:u w:val="single"/>
        </w:rPr>
        <w:t>；</w:t>
      </w:r>
    </w:p>
    <w:p w14:paraId="7875A72C">
      <w:pPr>
        <w:spacing w:line="360" w:lineRule="auto"/>
        <w:ind w:firstLine="420" w:firstLineChars="200"/>
        <w:rPr>
          <w:rFonts w:hint="eastAsia" w:ascii="宋体" w:hAnsi="宋体"/>
          <w:bCs/>
          <w:szCs w:val="21"/>
          <w:u w:val="single"/>
        </w:rPr>
      </w:pPr>
      <w:r>
        <w:rPr>
          <w:rFonts w:hint="eastAsia" w:ascii="宋体"/>
          <w:bCs/>
          <w:szCs w:val="21"/>
          <w:u w:val="single"/>
        </w:rPr>
        <w:t>（6）</w:t>
      </w:r>
      <w:r>
        <w:rPr>
          <w:rFonts w:hint="eastAsia" w:ascii="宋体" w:hAnsi="宋体"/>
          <w:bCs/>
          <w:szCs w:val="21"/>
          <w:u w:val="single"/>
        </w:rPr>
        <w:t>项目负责人（按网上投标登记时选择拟投标的项目负责人）</w:t>
      </w:r>
      <w:r>
        <w:rPr>
          <w:rFonts w:hint="eastAsia" w:ascii="宋体" w:hAnsi="宋体" w:cs="宋体"/>
          <w:b/>
          <w:szCs w:val="21"/>
          <w:u w:val="single"/>
        </w:rPr>
        <w:t>（提供扫描件或电子证照）</w:t>
      </w:r>
      <w:r>
        <w:rPr>
          <w:rFonts w:hint="eastAsia" w:ascii="宋体" w:hAnsi="宋体"/>
          <w:bCs/>
          <w:szCs w:val="21"/>
          <w:u w:val="single"/>
        </w:rPr>
        <w:t>。</w:t>
      </w:r>
    </w:p>
    <w:p w14:paraId="549B34B9">
      <w:pPr>
        <w:spacing w:line="360" w:lineRule="auto"/>
        <w:ind w:firstLine="420" w:firstLineChars="200"/>
        <w:rPr>
          <w:rFonts w:hint="eastAsia" w:ascii="宋体" w:hAnsi="宋体"/>
          <w:bCs/>
          <w:szCs w:val="21"/>
          <w:u w:val="single"/>
        </w:rPr>
      </w:pPr>
      <w:r>
        <w:rPr>
          <w:rFonts w:hint="eastAsia" w:ascii="宋体" w:hAnsi="宋体"/>
          <w:bCs/>
          <w:szCs w:val="21"/>
          <w:u w:val="single"/>
        </w:rPr>
        <w:t>（7）专职安全员（按网上投标登记时选择拟投标的专职安全员</w:t>
      </w:r>
      <w:r>
        <w:rPr>
          <w:rFonts w:hint="eastAsia" w:ascii="宋体" w:hAnsi="宋体" w:cs="宋体"/>
          <w:b/>
          <w:szCs w:val="21"/>
          <w:u w:val="single"/>
        </w:rPr>
        <w:t>（提供扫描件或电子证照）</w:t>
      </w:r>
      <w:r>
        <w:rPr>
          <w:rFonts w:hint="eastAsia" w:ascii="宋体" w:hAnsi="宋体"/>
          <w:bCs/>
          <w:szCs w:val="21"/>
          <w:u w:val="single"/>
        </w:rPr>
        <w:t>；</w:t>
      </w:r>
    </w:p>
    <w:p w14:paraId="61429338">
      <w:pPr>
        <w:spacing w:line="360" w:lineRule="auto"/>
        <w:ind w:firstLine="420" w:firstLineChars="200"/>
        <w:rPr>
          <w:rFonts w:ascii="宋体"/>
          <w:bCs/>
          <w:szCs w:val="21"/>
          <w:u w:val="single"/>
        </w:rPr>
      </w:pPr>
      <w:r>
        <w:rPr>
          <w:rFonts w:hint="eastAsia" w:ascii="宋体"/>
          <w:bCs/>
          <w:szCs w:val="21"/>
          <w:u w:val="single"/>
        </w:rPr>
        <w:t>（8）拟委派项目负责人</w:t>
      </w:r>
      <w:r>
        <w:rPr>
          <w:rFonts w:hint="eastAsia" w:ascii="宋体" w:hAnsi="宋体" w:cs="宋体"/>
          <w:b/>
          <w:szCs w:val="21"/>
          <w:u w:val="single"/>
        </w:rPr>
        <w:t>有效期内</w:t>
      </w:r>
      <w:r>
        <w:rPr>
          <w:rFonts w:hint="eastAsia" w:ascii="宋体"/>
          <w:bCs/>
          <w:szCs w:val="21"/>
          <w:u w:val="single"/>
        </w:rPr>
        <w:t>的建造师注册证书</w:t>
      </w:r>
      <w:r>
        <w:rPr>
          <w:rFonts w:hint="eastAsia" w:ascii="宋体" w:hAnsi="宋体" w:cs="宋体"/>
          <w:b/>
          <w:szCs w:val="21"/>
          <w:u w:val="single"/>
        </w:rPr>
        <w:t>（扫描件或电子证书）</w:t>
      </w:r>
      <w:r>
        <w:rPr>
          <w:rFonts w:hint="eastAsia" w:ascii="宋体"/>
          <w:bCs/>
          <w:szCs w:val="21"/>
          <w:u w:val="single"/>
        </w:rPr>
        <w:t xml:space="preserve">； </w:t>
      </w:r>
    </w:p>
    <w:p w14:paraId="5216A867">
      <w:pPr>
        <w:spacing w:line="360" w:lineRule="auto"/>
        <w:ind w:firstLine="420" w:firstLineChars="200"/>
        <w:rPr>
          <w:rFonts w:ascii="宋体"/>
          <w:bCs/>
          <w:szCs w:val="21"/>
          <w:u w:val="single"/>
        </w:rPr>
      </w:pPr>
      <w:r>
        <w:rPr>
          <w:rFonts w:hint="eastAsia" w:ascii="宋体"/>
          <w:bCs/>
          <w:szCs w:val="21"/>
          <w:u w:val="single"/>
        </w:rPr>
        <w:t>（9）项目负责人安全生产考核合格证明或在有效期内的安全考核合格证书（B类）或建筑施工企业项目负责人安全生产考核合格证书</w:t>
      </w:r>
      <w:r>
        <w:rPr>
          <w:rFonts w:hint="eastAsia" w:ascii="宋体" w:hAnsi="宋体" w:cs="宋体"/>
          <w:b/>
          <w:szCs w:val="21"/>
          <w:u w:val="single"/>
        </w:rPr>
        <w:t>（扫描件或电子证书）</w:t>
      </w:r>
      <w:r>
        <w:rPr>
          <w:rFonts w:hint="eastAsia" w:ascii="宋体"/>
          <w:bCs/>
          <w:szCs w:val="21"/>
          <w:u w:val="single"/>
        </w:rPr>
        <w:t>；</w:t>
      </w:r>
    </w:p>
    <w:p w14:paraId="3074BB13">
      <w:pPr>
        <w:spacing w:line="360" w:lineRule="auto"/>
        <w:ind w:firstLine="420" w:firstLineChars="200"/>
        <w:rPr>
          <w:rFonts w:ascii="宋体"/>
          <w:bCs/>
          <w:szCs w:val="21"/>
          <w:u w:val="single"/>
        </w:rPr>
      </w:pPr>
      <w:r>
        <w:rPr>
          <w:rFonts w:hint="eastAsia" w:ascii="宋体"/>
          <w:bCs/>
          <w:szCs w:val="21"/>
          <w:u w:val="single"/>
        </w:rPr>
        <w:t>（1</w:t>
      </w:r>
      <w:r>
        <w:rPr>
          <w:rFonts w:hint="eastAsia" w:ascii="宋体"/>
          <w:bCs/>
          <w:szCs w:val="21"/>
          <w:u w:val="single"/>
          <w:lang w:val="en-US" w:eastAsia="zh-CN"/>
        </w:rPr>
        <w:t>0</w:t>
      </w:r>
      <w:r>
        <w:rPr>
          <w:rFonts w:hint="eastAsia" w:ascii="宋体"/>
          <w:bCs/>
          <w:szCs w:val="21"/>
          <w:u w:val="single"/>
        </w:rPr>
        <w:t>）专职安全员须具有在有效期内的安全考核合格证书（C类）或建筑施工企业专职安全生产管理人员安全生产考核合格证书（C3）</w:t>
      </w:r>
      <w:r>
        <w:rPr>
          <w:rFonts w:hint="eastAsia" w:ascii="宋体" w:hAnsi="宋体" w:cs="宋体"/>
          <w:b/>
          <w:szCs w:val="21"/>
          <w:u w:val="single"/>
        </w:rPr>
        <w:t>（扫描件或电子证书）</w:t>
      </w:r>
      <w:r>
        <w:rPr>
          <w:rFonts w:hint="eastAsia" w:ascii="宋体" w:hAnsi="宋体" w:cs="宋体"/>
          <w:bCs/>
          <w:szCs w:val="21"/>
          <w:u w:val="single"/>
        </w:rPr>
        <w:t>，项</w:t>
      </w:r>
      <w:r>
        <w:rPr>
          <w:rFonts w:hint="eastAsia" w:ascii="宋体"/>
          <w:bCs/>
          <w:szCs w:val="21"/>
          <w:u w:val="single"/>
        </w:rPr>
        <w:t>目负责人和专职安全员不为同一人；</w:t>
      </w:r>
    </w:p>
    <w:p w14:paraId="0939A63E">
      <w:pPr>
        <w:spacing w:line="360" w:lineRule="auto"/>
        <w:ind w:firstLine="420" w:firstLineChars="200"/>
        <w:rPr>
          <w:rFonts w:hint="eastAsia" w:ascii="宋体" w:hAnsi="宋体"/>
          <w:bCs/>
          <w:szCs w:val="21"/>
          <w:u w:val="single"/>
        </w:rPr>
      </w:pPr>
      <w:r>
        <w:rPr>
          <w:rFonts w:hint="eastAsia" w:ascii="宋体" w:hAnsi="宋体"/>
          <w:bCs/>
          <w:szCs w:val="21"/>
          <w:u w:val="single"/>
        </w:rPr>
        <w:t>（1</w:t>
      </w:r>
      <w:r>
        <w:rPr>
          <w:rFonts w:hint="eastAsia" w:ascii="宋体" w:hAnsi="宋体"/>
          <w:bCs/>
          <w:szCs w:val="21"/>
          <w:u w:val="single"/>
          <w:lang w:val="en-US" w:eastAsia="zh-CN"/>
        </w:rPr>
        <w:t>1</w:t>
      </w:r>
      <w:r>
        <w:rPr>
          <w:rFonts w:hint="eastAsia" w:ascii="宋体" w:hAnsi="宋体"/>
          <w:bCs/>
          <w:szCs w:val="21"/>
          <w:u w:val="single"/>
        </w:rPr>
        <w:t>）投标登记前，投标人须在广州交易集团有限公司（广州公共资源交易中心）办理企业信息登记及拟担任本工程项目负责人、专职安全员须是本企业信息登记信息中的在册人员。（提供网页信息截图）</w:t>
      </w:r>
    </w:p>
    <w:p w14:paraId="03AB3FF1">
      <w:pPr>
        <w:pBdr>
          <w:bottom w:val="single" w:color="auto" w:sz="6" w:space="1"/>
        </w:pBdr>
        <w:spacing w:line="360" w:lineRule="auto"/>
        <w:ind w:firstLine="525" w:firstLineChars="250"/>
      </w:pPr>
      <w:r>
        <w:rPr>
          <w:rFonts w:hint="eastAsia" w:ascii="宋体" w:hAnsi="宋体"/>
          <w:bCs/>
          <w:szCs w:val="21"/>
          <w:u w:val="single"/>
        </w:rPr>
        <w:t>（1</w:t>
      </w:r>
      <w:r>
        <w:rPr>
          <w:rFonts w:hint="eastAsia" w:ascii="宋体" w:hAnsi="宋体"/>
          <w:bCs/>
          <w:szCs w:val="21"/>
          <w:u w:val="single"/>
          <w:lang w:val="en-US" w:eastAsia="zh-CN"/>
        </w:rPr>
        <w:t>2</w:t>
      </w:r>
      <w:r>
        <w:rPr>
          <w:rFonts w:hint="eastAsia" w:ascii="宋体" w:hAnsi="宋体"/>
          <w:bCs/>
          <w:szCs w:val="21"/>
          <w:u w:val="single"/>
        </w:rPr>
        <w:t>）投标人认为应提交的其他资料 。</w:t>
      </w:r>
    </w:p>
    <w:p w14:paraId="5BC0A27E">
      <w:pPr>
        <w:spacing w:line="480" w:lineRule="auto"/>
        <w:ind w:firstLine="472" w:firstLineChars="224"/>
        <w:rPr>
          <w:b/>
          <w:szCs w:val="21"/>
        </w:rPr>
      </w:pPr>
      <w:r>
        <w:rPr>
          <w:rFonts w:hint="eastAsia"/>
          <w:b/>
          <w:szCs w:val="21"/>
        </w:rPr>
        <w:t>条款号：11.2.2</w:t>
      </w:r>
      <w:r>
        <w:rPr>
          <w:b/>
          <w:szCs w:val="21"/>
        </w:rPr>
        <w:t xml:space="preserve">             </w:t>
      </w:r>
      <w:r>
        <w:rPr>
          <w:rFonts w:hint="eastAsia"/>
          <w:b/>
          <w:szCs w:val="21"/>
        </w:rPr>
        <w:t>修改类型：修改</w:t>
      </w:r>
    </w:p>
    <w:p w14:paraId="0826A07B">
      <w:pPr>
        <w:spacing w:line="360" w:lineRule="auto"/>
        <w:ind w:firstLine="422" w:firstLineChars="200"/>
        <w:rPr>
          <w:rFonts w:hint="eastAsia" w:ascii="宋体" w:hAnsi="宋体"/>
          <w:szCs w:val="21"/>
          <w:u w:val="single"/>
        </w:rPr>
      </w:pPr>
      <w:r>
        <w:rPr>
          <w:rFonts w:hint="eastAsia"/>
          <w:b/>
          <w:szCs w:val="21"/>
        </w:rPr>
        <w:t>原文：</w:t>
      </w:r>
      <w:r>
        <w:rPr>
          <w:rFonts w:hint="eastAsia" w:ascii="宋体" w:hAnsi="宋体"/>
          <w:sz w:val="24"/>
          <w:u w:val="single"/>
        </w:rPr>
        <w:t>1</w:t>
      </w:r>
      <w:r>
        <w:rPr>
          <w:rFonts w:hint="eastAsia" w:ascii="宋体" w:hAnsi="宋体"/>
          <w:szCs w:val="21"/>
          <w:u w:val="single"/>
        </w:rPr>
        <w:t>1.2.2技术投标文件主要包括下列内容：</w:t>
      </w:r>
    </w:p>
    <w:p w14:paraId="4CE746F4">
      <w:pPr>
        <w:numPr>
          <w:ilvl w:val="0"/>
          <w:numId w:val="5"/>
        </w:numPr>
        <w:spacing w:line="360" w:lineRule="auto"/>
        <w:ind w:firstLine="420" w:firstLineChars="200"/>
        <w:rPr>
          <w:rFonts w:hint="eastAsia" w:ascii="宋体" w:hAnsi="宋体"/>
          <w:szCs w:val="21"/>
          <w:u w:val="single"/>
        </w:rPr>
      </w:pPr>
      <w:r>
        <w:rPr>
          <w:rFonts w:hint="eastAsia" w:ascii="宋体"/>
          <w:bCs/>
          <w:szCs w:val="21"/>
          <w:u w:val="single"/>
        </w:rPr>
        <w:t>《广州建设工程施工招标投标书》；</w:t>
      </w:r>
    </w:p>
    <w:p w14:paraId="5F99E84A">
      <w:pPr>
        <w:numPr>
          <w:ilvl w:val="0"/>
          <w:numId w:val="5"/>
        </w:numPr>
        <w:spacing w:line="360" w:lineRule="auto"/>
        <w:ind w:firstLine="420" w:firstLineChars="200"/>
        <w:rPr>
          <w:rFonts w:hint="eastAsia" w:ascii="宋体" w:hAnsi="宋体"/>
          <w:szCs w:val="21"/>
          <w:u w:val="single"/>
        </w:rPr>
      </w:pPr>
      <w:r>
        <w:rPr>
          <w:rFonts w:hint="eastAsia" w:ascii="宋体" w:hAnsi="宋体"/>
          <w:szCs w:val="21"/>
          <w:u w:val="single"/>
        </w:rPr>
        <w:t>项目管理机构配备：</w:t>
      </w:r>
    </w:p>
    <w:p w14:paraId="2E713D12">
      <w:pPr>
        <w:spacing w:line="360" w:lineRule="auto"/>
        <w:ind w:firstLine="420" w:firstLineChars="200"/>
        <w:rPr>
          <w:rFonts w:hint="eastAsia" w:ascii="宋体" w:hAnsi="宋体"/>
          <w:szCs w:val="21"/>
          <w:u w:val="single"/>
        </w:rPr>
      </w:pPr>
      <w:r>
        <w:rPr>
          <w:rFonts w:hint="eastAsia" w:ascii="宋体" w:hAnsi="宋体"/>
          <w:szCs w:val="21"/>
          <w:u w:val="single"/>
        </w:rPr>
        <w:t>①投标人应列出该项目工程的施工组织机构构成和画出机构框架图及其负责人；</w:t>
      </w:r>
    </w:p>
    <w:p w14:paraId="49409B61">
      <w:pPr>
        <w:spacing w:line="360" w:lineRule="auto"/>
        <w:ind w:firstLine="420" w:firstLineChars="200"/>
        <w:rPr>
          <w:rFonts w:hint="eastAsia" w:ascii="宋体" w:hAnsi="宋体"/>
          <w:szCs w:val="21"/>
          <w:u w:val="single"/>
        </w:rPr>
      </w:pPr>
      <w:r>
        <w:rPr>
          <w:rFonts w:hint="eastAsia" w:ascii="宋体" w:hAnsi="宋体"/>
          <w:szCs w:val="21"/>
          <w:u w:val="single"/>
        </w:rPr>
        <w:t>②投标人应详细列出该施工组织机构中主要成员的名单、简历资料、职务职称和在本项目中拟担任的职务等资料，并附上有关证明材料扫描件；</w:t>
      </w:r>
    </w:p>
    <w:p w14:paraId="4E95A8C9">
      <w:pPr>
        <w:spacing w:line="360" w:lineRule="auto"/>
        <w:ind w:firstLine="420" w:firstLineChars="200"/>
        <w:rPr>
          <w:rFonts w:hint="eastAsia" w:ascii="宋体" w:hAnsi="宋体"/>
          <w:szCs w:val="21"/>
          <w:u w:val="single"/>
        </w:rPr>
      </w:pPr>
      <w:r>
        <w:rPr>
          <w:rFonts w:hint="eastAsia" w:ascii="宋体" w:hAnsi="宋体"/>
          <w:szCs w:val="21"/>
          <w:u w:val="single"/>
        </w:rPr>
        <w:t>③其他辅助说明资料。</w:t>
      </w:r>
    </w:p>
    <w:p w14:paraId="5E790AF9">
      <w:pPr>
        <w:spacing w:line="360" w:lineRule="auto"/>
        <w:ind w:firstLine="420" w:firstLineChars="200"/>
        <w:rPr>
          <w:rFonts w:hint="eastAsia" w:ascii="宋体" w:hAnsi="宋体"/>
          <w:szCs w:val="21"/>
          <w:u w:val="single"/>
        </w:rPr>
      </w:pPr>
      <w:r>
        <w:rPr>
          <w:rFonts w:hint="eastAsia" w:ascii="宋体" w:hAnsi="宋体"/>
          <w:szCs w:val="21"/>
          <w:u w:val="single"/>
        </w:rPr>
        <w:t>（3）施工组织设计或施工方案；</w:t>
      </w:r>
    </w:p>
    <w:p w14:paraId="64A6D822">
      <w:pPr>
        <w:pStyle w:val="8"/>
        <w:rPr>
          <w:rFonts w:hint="eastAsia" w:ascii="宋体" w:hAnsi="宋体"/>
          <w:szCs w:val="21"/>
          <w:u w:val="single"/>
        </w:rPr>
      </w:pPr>
      <w:r>
        <w:rPr>
          <w:rFonts w:hint="eastAsia" w:ascii="楷体" w:hAnsi="楷体" w:eastAsia="楷体" w:cs="楷体"/>
          <w:szCs w:val="21"/>
          <w:u w:val="single"/>
        </w:rPr>
        <w:t>注：建议招标人在招标文件中提出篇幅上限，国家及地方现有工法规范已有的内容无需重复提交。</w:t>
      </w:r>
    </w:p>
    <w:p w14:paraId="6FBE7CD8">
      <w:pPr>
        <w:spacing w:line="360" w:lineRule="auto"/>
        <w:ind w:firstLine="420" w:firstLineChars="200"/>
        <w:rPr>
          <w:rFonts w:hint="eastAsia" w:ascii="宋体" w:hAnsi="宋体"/>
          <w:szCs w:val="21"/>
          <w:u w:val="single"/>
        </w:rPr>
      </w:pPr>
      <w:r>
        <w:rPr>
          <w:rFonts w:hint="eastAsia" w:ascii="宋体" w:hAnsi="宋体"/>
          <w:szCs w:val="21"/>
          <w:u w:val="single"/>
        </w:rPr>
        <w:t>（4）（选择性条款）有余泥渣土产生的项目可要求提供余泥渣土运输与排放方案；</w:t>
      </w:r>
    </w:p>
    <w:p w14:paraId="79C86B44">
      <w:pPr>
        <w:spacing w:line="360" w:lineRule="auto"/>
        <w:ind w:firstLine="420" w:firstLineChars="200"/>
        <w:rPr>
          <w:rFonts w:hint="eastAsia" w:ascii="宋体" w:hAnsi="宋体"/>
          <w:szCs w:val="21"/>
          <w:u w:val="single"/>
        </w:rPr>
      </w:pPr>
      <w:r>
        <w:rPr>
          <w:rFonts w:hint="eastAsia" w:ascii="宋体" w:hAnsi="宋体"/>
          <w:szCs w:val="21"/>
          <w:u w:val="single"/>
        </w:rPr>
        <w:t>（5）（选择性条款）投标人可使用适合本工程的机械设备；</w:t>
      </w:r>
    </w:p>
    <w:p w14:paraId="18C81933">
      <w:pPr>
        <w:spacing w:line="360" w:lineRule="auto"/>
        <w:ind w:firstLine="420" w:firstLineChars="200"/>
        <w:rPr>
          <w:rFonts w:hint="eastAsia" w:ascii="宋体" w:hAnsi="宋体"/>
          <w:szCs w:val="21"/>
          <w:u w:val="single"/>
        </w:rPr>
      </w:pPr>
      <w:r>
        <w:rPr>
          <w:rFonts w:hint="eastAsia" w:ascii="宋体" w:hAnsi="宋体"/>
          <w:szCs w:val="21"/>
          <w:u w:val="single"/>
        </w:rPr>
        <w:t>（6）（选择性条款）类似工程业绩材料；</w:t>
      </w:r>
    </w:p>
    <w:p w14:paraId="4F7B78FE">
      <w:pPr>
        <w:spacing w:line="360" w:lineRule="auto"/>
        <w:ind w:firstLine="420" w:firstLineChars="200"/>
        <w:rPr>
          <w:rFonts w:hint="eastAsia" w:ascii="宋体" w:hAnsi="宋体"/>
          <w:szCs w:val="21"/>
          <w:u w:val="single"/>
        </w:rPr>
      </w:pPr>
      <w:r>
        <w:rPr>
          <w:rFonts w:hint="eastAsia" w:ascii="宋体" w:hAnsi="宋体"/>
          <w:szCs w:val="21"/>
          <w:u w:val="single"/>
        </w:rPr>
        <w:t>（7）按本招标文件规定提交的其它所有技术资料；</w:t>
      </w:r>
    </w:p>
    <w:p w14:paraId="4EDD7C58">
      <w:pPr>
        <w:spacing w:line="360" w:lineRule="auto"/>
        <w:ind w:firstLine="420" w:firstLineChars="200"/>
        <w:rPr>
          <w:rFonts w:hint="eastAsia" w:ascii="宋体" w:hAnsi="宋体"/>
          <w:szCs w:val="21"/>
          <w:u w:val="single"/>
        </w:rPr>
      </w:pPr>
      <w:r>
        <w:rPr>
          <w:rFonts w:hint="eastAsia" w:ascii="宋体" w:hAnsi="宋体"/>
          <w:szCs w:val="21"/>
          <w:u w:val="single"/>
        </w:rPr>
        <w:t>（8）按照招标文件要求填写的《参与编制技术标投标文件人员名单》。</w:t>
      </w:r>
    </w:p>
    <w:p w14:paraId="21F80E2B">
      <w:pPr>
        <w:spacing w:line="360" w:lineRule="auto"/>
        <w:ind w:firstLine="422" w:firstLineChars="200"/>
        <w:rPr>
          <w:rFonts w:hint="eastAsia" w:ascii="宋体" w:hAnsi="宋体"/>
          <w:szCs w:val="21"/>
          <w:u w:val="single"/>
        </w:rPr>
      </w:pPr>
      <w:r>
        <w:rPr>
          <w:rFonts w:hint="eastAsia"/>
          <w:b/>
          <w:szCs w:val="21"/>
        </w:rPr>
        <w:t>现文：</w:t>
      </w:r>
      <w:r>
        <w:rPr>
          <w:rFonts w:hint="eastAsia" w:ascii="宋体" w:hAnsi="宋体"/>
          <w:szCs w:val="21"/>
          <w:u w:val="single"/>
        </w:rPr>
        <w:t>11.2.2技术投标文件主要包括下列内容：</w:t>
      </w:r>
    </w:p>
    <w:p w14:paraId="44444510">
      <w:pPr>
        <w:spacing w:line="360" w:lineRule="auto"/>
        <w:ind w:firstLine="420" w:firstLineChars="200"/>
        <w:rPr>
          <w:rFonts w:hint="eastAsia" w:ascii="宋体" w:hAnsi="宋体"/>
          <w:szCs w:val="21"/>
          <w:u w:val="single"/>
        </w:rPr>
      </w:pPr>
      <w:r>
        <w:rPr>
          <w:rFonts w:hint="eastAsia" w:ascii="宋体" w:hAnsi="宋体"/>
          <w:szCs w:val="21"/>
        </w:rPr>
        <w:t>（1）</w:t>
      </w:r>
      <w:r>
        <w:rPr>
          <w:rFonts w:hint="eastAsia" w:ascii="宋体"/>
          <w:bCs/>
          <w:szCs w:val="21"/>
          <w:u w:val="single"/>
        </w:rPr>
        <w:t>《广州建设工程施工招标投标书》；</w:t>
      </w:r>
    </w:p>
    <w:p w14:paraId="0A1A4E8F">
      <w:pPr>
        <w:spacing w:line="360" w:lineRule="auto"/>
        <w:ind w:firstLine="422" w:firstLineChars="200"/>
        <w:rPr>
          <w:rFonts w:hint="eastAsia" w:ascii="宋体" w:hAnsi="宋体"/>
          <w:b/>
          <w:bCs/>
          <w:szCs w:val="21"/>
          <w:u w:val="single"/>
        </w:rPr>
      </w:pPr>
      <w:r>
        <w:rPr>
          <w:rFonts w:hint="eastAsia" w:ascii="宋体" w:hAnsi="宋体"/>
          <w:b/>
          <w:bCs/>
          <w:szCs w:val="21"/>
        </w:rPr>
        <w:t>（2）</w:t>
      </w:r>
      <w:r>
        <w:rPr>
          <w:rFonts w:hint="eastAsia" w:ascii="宋体" w:hAnsi="宋体"/>
          <w:b/>
          <w:bCs/>
          <w:szCs w:val="21"/>
          <w:u w:val="single"/>
        </w:rPr>
        <w:t>项目管理机构配备，按《施工项目管理团队人员信息表》、《主要人员简历表》格式填写（格式见第四章）：</w:t>
      </w:r>
    </w:p>
    <w:p w14:paraId="2E446BF6">
      <w:pPr>
        <w:spacing w:line="360" w:lineRule="auto"/>
        <w:ind w:firstLine="420" w:firstLineChars="200"/>
        <w:rPr>
          <w:rFonts w:hint="eastAsia" w:ascii="宋体" w:hAnsi="宋体"/>
          <w:szCs w:val="21"/>
          <w:u w:val="single"/>
        </w:rPr>
      </w:pPr>
      <w:r>
        <w:rPr>
          <w:rFonts w:hint="eastAsia" w:ascii="宋体" w:hAnsi="宋体"/>
          <w:szCs w:val="21"/>
          <w:u w:val="single"/>
        </w:rPr>
        <w:t>①投标人应列出该项目工程的施工组织机构构成和画出机构框架图及其负责人；</w:t>
      </w:r>
    </w:p>
    <w:p w14:paraId="11EE960F">
      <w:pPr>
        <w:spacing w:line="360" w:lineRule="auto"/>
        <w:ind w:firstLine="420" w:firstLineChars="200"/>
        <w:rPr>
          <w:rFonts w:hint="eastAsia" w:ascii="宋体" w:hAnsi="宋体"/>
          <w:szCs w:val="21"/>
          <w:u w:val="single"/>
        </w:rPr>
      </w:pPr>
      <w:r>
        <w:rPr>
          <w:rFonts w:hint="eastAsia" w:ascii="宋体" w:hAnsi="宋体"/>
          <w:szCs w:val="21"/>
          <w:u w:val="single"/>
        </w:rPr>
        <w:t>②投标人应详细列出该施工组织机构中主要成员的名单、简历资料、职务职称和在本项目中拟担任的职务等资料，并附上有关证明材料扫描件；</w:t>
      </w:r>
    </w:p>
    <w:p w14:paraId="08FF8130">
      <w:pPr>
        <w:spacing w:line="360" w:lineRule="auto"/>
        <w:ind w:firstLine="420" w:firstLineChars="200"/>
        <w:rPr>
          <w:rFonts w:hint="eastAsia" w:ascii="宋体" w:hAnsi="宋体"/>
          <w:szCs w:val="21"/>
          <w:u w:val="single"/>
        </w:rPr>
      </w:pPr>
      <w:r>
        <w:rPr>
          <w:rFonts w:hint="eastAsia" w:ascii="宋体" w:hAnsi="宋体"/>
          <w:szCs w:val="21"/>
          <w:u w:val="single"/>
        </w:rPr>
        <w:t>③其他辅助说明资料。</w:t>
      </w:r>
    </w:p>
    <w:p w14:paraId="4D0BC9B5">
      <w:pPr>
        <w:spacing w:line="360" w:lineRule="auto"/>
        <w:ind w:firstLine="420" w:firstLineChars="200"/>
        <w:rPr>
          <w:rFonts w:hint="eastAsia" w:ascii="宋体" w:hAnsi="宋体"/>
          <w:szCs w:val="21"/>
          <w:u w:val="single"/>
        </w:rPr>
      </w:pPr>
      <w:r>
        <w:rPr>
          <w:rFonts w:hint="eastAsia" w:ascii="宋体" w:hAnsi="宋体"/>
          <w:szCs w:val="21"/>
          <w:u w:val="single"/>
        </w:rPr>
        <w:t>（3）施工组织设计或施工方案；</w:t>
      </w:r>
    </w:p>
    <w:p w14:paraId="5845F23B">
      <w:pPr>
        <w:pStyle w:val="8"/>
        <w:rPr>
          <w:rFonts w:hint="eastAsia" w:ascii="宋体" w:hAnsi="宋体"/>
          <w:sz w:val="24"/>
          <w:u w:val="single"/>
        </w:rPr>
      </w:pPr>
      <w:r>
        <w:rPr>
          <w:rFonts w:hint="eastAsia" w:ascii="楷体" w:hAnsi="楷体" w:eastAsia="楷体" w:cs="楷体"/>
          <w:sz w:val="24"/>
          <w:u w:val="single"/>
        </w:rPr>
        <w:t>注：建议招标人在招标文件中提出篇幅上限，国家及地方现有工法规范已有的内容无需重复提交。</w:t>
      </w:r>
    </w:p>
    <w:p w14:paraId="0E6A943C">
      <w:pPr>
        <w:spacing w:line="360" w:lineRule="auto"/>
        <w:ind w:firstLine="420" w:firstLineChars="200"/>
        <w:rPr>
          <w:rFonts w:hint="eastAsia" w:ascii="宋体" w:hAnsi="宋体"/>
          <w:szCs w:val="21"/>
          <w:u w:val="single"/>
        </w:rPr>
      </w:pPr>
      <w:r>
        <w:rPr>
          <w:rFonts w:hint="eastAsia" w:ascii="宋体" w:hAnsi="宋体"/>
          <w:szCs w:val="21"/>
          <w:u w:val="single"/>
        </w:rPr>
        <w:t>（4）按照招标文件《技术标详细审查评分表》提供的证明材料；</w:t>
      </w:r>
    </w:p>
    <w:p w14:paraId="29C56A43">
      <w:pPr>
        <w:spacing w:line="360" w:lineRule="auto"/>
        <w:ind w:firstLine="420" w:firstLineChars="200"/>
        <w:rPr>
          <w:rFonts w:hint="eastAsia" w:ascii="宋体" w:hAnsi="宋体"/>
          <w:szCs w:val="21"/>
          <w:u w:val="single"/>
        </w:rPr>
      </w:pPr>
      <w:r>
        <w:rPr>
          <w:rFonts w:hint="eastAsia" w:ascii="宋体" w:hAnsi="宋体"/>
          <w:szCs w:val="21"/>
          <w:u w:val="single"/>
        </w:rPr>
        <w:t>（5）按照招标文件要求填写的《参与编制技术标投标文件人员名单》</w:t>
      </w:r>
      <w:r>
        <w:rPr>
          <w:rFonts w:hint="eastAsia" w:ascii="宋体" w:hAnsi="宋体"/>
          <w:szCs w:val="21"/>
          <w:u w:val="single"/>
          <w:lang w:val="zh-CN"/>
        </w:rPr>
        <w:t>（格式见第四章）</w:t>
      </w:r>
      <w:r>
        <w:rPr>
          <w:rFonts w:hint="eastAsia" w:ascii="宋体" w:hAnsi="宋体"/>
          <w:szCs w:val="21"/>
          <w:u w:val="single"/>
        </w:rPr>
        <w:t>；</w:t>
      </w:r>
    </w:p>
    <w:p w14:paraId="158A431E">
      <w:pPr>
        <w:spacing w:line="360" w:lineRule="auto"/>
        <w:ind w:firstLine="420" w:firstLineChars="200"/>
        <w:rPr>
          <w:rFonts w:hint="eastAsia" w:ascii="宋体" w:hAnsi="宋体"/>
          <w:szCs w:val="21"/>
          <w:u w:val="single"/>
        </w:rPr>
      </w:pPr>
      <w:r>
        <w:rPr>
          <w:rFonts w:hint="eastAsia" w:ascii="宋体" w:hAnsi="宋体"/>
          <w:szCs w:val="21"/>
          <w:u w:val="single"/>
        </w:rPr>
        <w:t>（6）按照招标文件要求填写的《对投标文件编制的承诺》（格式见第四章）；</w:t>
      </w:r>
    </w:p>
    <w:p w14:paraId="743D80E8">
      <w:pPr>
        <w:spacing w:line="360" w:lineRule="auto"/>
        <w:ind w:firstLine="420" w:firstLineChars="200"/>
        <w:rPr>
          <w:rFonts w:hint="eastAsia" w:ascii="宋体" w:hAnsi="宋体"/>
          <w:szCs w:val="21"/>
          <w:u w:val="single"/>
        </w:rPr>
      </w:pPr>
      <w:r>
        <w:rPr>
          <w:rFonts w:hint="eastAsia" w:ascii="宋体" w:hAnsi="宋体"/>
          <w:szCs w:val="21"/>
          <w:u w:val="single"/>
        </w:rPr>
        <w:t>（7）按照招标文件要求填写的《投标人廉洁承诺书》（格式见第四章）；</w:t>
      </w:r>
    </w:p>
    <w:p w14:paraId="76872828">
      <w:pPr>
        <w:pBdr>
          <w:bottom w:val="single" w:color="auto" w:sz="6" w:space="1"/>
        </w:pBdr>
        <w:spacing w:line="360" w:lineRule="auto"/>
        <w:rPr>
          <w:szCs w:val="21"/>
        </w:rPr>
      </w:pPr>
      <w:r>
        <w:rPr>
          <w:rFonts w:hint="eastAsia" w:ascii="宋体" w:hAnsi="宋体"/>
          <w:szCs w:val="21"/>
          <w:lang w:val="zh-CN"/>
        </w:rPr>
        <w:t>　　</w:t>
      </w:r>
      <w:r>
        <w:rPr>
          <w:rFonts w:hint="eastAsia" w:ascii="宋体" w:hAnsi="宋体"/>
          <w:szCs w:val="21"/>
          <w:u w:val="single"/>
          <w:lang w:val="zh-CN"/>
        </w:rPr>
        <w:t>（</w:t>
      </w:r>
      <w:r>
        <w:rPr>
          <w:rFonts w:hint="eastAsia" w:ascii="宋体" w:hAnsi="宋体"/>
          <w:szCs w:val="21"/>
          <w:u w:val="single"/>
        </w:rPr>
        <w:t>8</w:t>
      </w:r>
      <w:r>
        <w:rPr>
          <w:rFonts w:hint="eastAsia" w:ascii="宋体" w:hAnsi="宋体"/>
          <w:szCs w:val="21"/>
          <w:u w:val="single"/>
          <w:lang w:val="zh-CN"/>
        </w:rPr>
        <w:t>）</w:t>
      </w:r>
      <w:r>
        <w:rPr>
          <w:rFonts w:hint="eastAsia" w:ascii="宋体" w:hAnsi="宋体"/>
          <w:szCs w:val="21"/>
          <w:u w:val="single"/>
        </w:rPr>
        <w:t>按本招标文件规定提交的其它所有技术资料</w:t>
      </w:r>
      <w:r>
        <w:rPr>
          <w:rFonts w:hint="eastAsia" w:ascii="宋体" w:hAnsi="宋体"/>
          <w:szCs w:val="21"/>
          <w:u w:val="single"/>
          <w:lang w:val="zh-CN"/>
        </w:rPr>
        <w:t>。</w:t>
      </w:r>
    </w:p>
    <w:p w14:paraId="3A1C8BAE">
      <w:pPr>
        <w:spacing w:line="480" w:lineRule="auto"/>
        <w:ind w:firstLine="472" w:firstLineChars="224"/>
        <w:rPr>
          <w:b/>
          <w:szCs w:val="21"/>
        </w:rPr>
      </w:pPr>
      <w:r>
        <w:rPr>
          <w:rFonts w:hint="eastAsia"/>
          <w:b/>
          <w:szCs w:val="21"/>
        </w:rPr>
        <w:t>条款号：</w:t>
      </w:r>
      <w:r>
        <w:rPr>
          <w:rFonts w:hint="eastAsia" w:ascii="宋体" w:hAnsi="宋体"/>
          <w:szCs w:val="21"/>
        </w:rPr>
        <w:t>13.1</w:t>
      </w:r>
      <w:r>
        <w:rPr>
          <w:b/>
          <w:szCs w:val="21"/>
        </w:rPr>
        <w:t xml:space="preserve">             </w:t>
      </w:r>
      <w:r>
        <w:rPr>
          <w:rFonts w:hint="eastAsia"/>
          <w:b/>
          <w:szCs w:val="21"/>
        </w:rPr>
        <w:t>修改类型：修改</w:t>
      </w:r>
    </w:p>
    <w:p w14:paraId="74276381">
      <w:pPr>
        <w:pStyle w:val="5"/>
        <w:spacing w:after="0" w:line="360" w:lineRule="auto"/>
        <w:ind w:firstLine="422" w:firstLineChars="200"/>
        <w:rPr>
          <w:b/>
          <w:szCs w:val="21"/>
        </w:rPr>
      </w:pPr>
      <w:r>
        <w:rPr>
          <w:rFonts w:hint="eastAsia"/>
          <w:b/>
          <w:szCs w:val="21"/>
        </w:rPr>
        <w:t>原文：</w:t>
      </w:r>
      <w:r>
        <w:rPr>
          <w:rFonts w:hint="eastAsia" w:ascii="宋体" w:hAnsi="宋体"/>
          <w:szCs w:val="21"/>
        </w:rPr>
        <w:t>13.1 本工程的投标报价采用投标须知前附表第14项所规定的方式。投标报价（含单价及总价）精确到“分”。</w:t>
      </w:r>
    </w:p>
    <w:p w14:paraId="26214F24">
      <w:pPr>
        <w:pBdr>
          <w:bottom w:val="single" w:color="auto" w:sz="6" w:space="1"/>
        </w:pBdr>
        <w:spacing w:line="360" w:lineRule="auto"/>
        <w:ind w:firstLine="527" w:firstLineChars="250"/>
        <w:rPr>
          <w:szCs w:val="21"/>
        </w:rPr>
      </w:pPr>
      <w:r>
        <w:rPr>
          <w:rFonts w:hint="eastAsia"/>
          <w:b/>
          <w:szCs w:val="21"/>
        </w:rPr>
        <w:t>现文：</w:t>
      </w:r>
      <w:r>
        <w:rPr>
          <w:rFonts w:ascii="宋体" w:hAnsi="宋体"/>
          <w:szCs w:val="21"/>
        </w:rPr>
        <w:t xml:space="preserve">13.1 </w:t>
      </w:r>
      <w:r>
        <w:rPr>
          <w:rFonts w:hint="eastAsia" w:ascii="宋体" w:hAnsi="宋体"/>
          <w:szCs w:val="21"/>
        </w:rPr>
        <w:t>本工程的投标报价采用投标须知前附表第</w:t>
      </w:r>
      <w:r>
        <w:rPr>
          <w:rFonts w:ascii="宋体" w:hAnsi="宋体"/>
          <w:szCs w:val="21"/>
        </w:rPr>
        <w:t>1</w:t>
      </w:r>
      <w:r>
        <w:rPr>
          <w:rFonts w:hint="eastAsia" w:ascii="宋体" w:hAnsi="宋体"/>
          <w:szCs w:val="21"/>
        </w:rPr>
        <w:t>4项所规定的方式。</w:t>
      </w:r>
      <w:r>
        <w:rPr>
          <w:rFonts w:hint="eastAsia" w:ascii="宋体" w:hAnsi="宋体" w:cs="宋体"/>
          <w:b/>
          <w:bCs/>
          <w:szCs w:val="21"/>
          <w:u w:val="single"/>
        </w:rPr>
        <w:t>投标文件中的大写金额和小写金额不一致的，以大写金额为准，</w:t>
      </w:r>
      <w:r>
        <w:rPr>
          <w:rFonts w:hint="eastAsia" w:ascii="宋体" w:hAnsi="宋体"/>
          <w:szCs w:val="21"/>
        </w:rPr>
        <w:t>投标报价（含单价及总价）精确到“分”</w:t>
      </w:r>
      <w:r>
        <w:rPr>
          <w:rFonts w:hint="eastAsia" w:ascii="宋体" w:hAnsi="宋体"/>
          <w:b/>
          <w:bCs/>
          <w:szCs w:val="21"/>
        </w:rPr>
        <w:t>。</w:t>
      </w:r>
    </w:p>
    <w:p w14:paraId="66E5D48B">
      <w:pPr>
        <w:spacing w:line="480" w:lineRule="auto"/>
        <w:ind w:firstLine="472" w:firstLineChars="224"/>
        <w:rPr>
          <w:b/>
          <w:szCs w:val="21"/>
        </w:rPr>
      </w:pPr>
      <w:r>
        <w:rPr>
          <w:rFonts w:hint="eastAsia"/>
          <w:b/>
          <w:szCs w:val="21"/>
        </w:rPr>
        <w:t>条款号：</w:t>
      </w:r>
      <w:r>
        <w:rPr>
          <w:rFonts w:ascii="宋体" w:hAnsi="宋体"/>
          <w:szCs w:val="21"/>
        </w:rPr>
        <w:t>13.3</w:t>
      </w:r>
      <w:r>
        <w:rPr>
          <w:b/>
          <w:szCs w:val="21"/>
        </w:rPr>
        <w:t xml:space="preserve">             </w:t>
      </w:r>
      <w:r>
        <w:rPr>
          <w:rFonts w:hint="eastAsia"/>
          <w:b/>
          <w:szCs w:val="21"/>
        </w:rPr>
        <w:t>修改类型：修改</w:t>
      </w:r>
    </w:p>
    <w:p w14:paraId="1A17C8BE">
      <w:pPr>
        <w:pStyle w:val="5"/>
        <w:spacing w:after="0" w:line="360" w:lineRule="auto"/>
        <w:ind w:firstLine="422" w:firstLineChars="200"/>
        <w:rPr>
          <w:b/>
          <w:szCs w:val="21"/>
        </w:rPr>
      </w:pPr>
      <w:r>
        <w:rPr>
          <w:rFonts w:hint="eastAsia"/>
          <w:b/>
          <w:szCs w:val="21"/>
        </w:rPr>
        <w:t>原文：</w:t>
      </w:r>
      <w:r>
        <w:rPr>
          <w:rFonts w:ascii="宋体" w:hAnsi="宋体"/>
          <w:szCs w:val="21"/>
        </w:rPr>
        <w:t>13.3</w:t>
      </w:r>
      <w:r>
        <w:rPr>
          <w:rFonts w:hint="eastAsia" w:ascii="宋体" w:hAnsi="宋体"/>
          <w:szCs w:val="21"/>
        </w:rPr>
        <w:t>投标人的投标报价，应是按照投标须知前附表第</w:t>
      </w:r>
      <w:r>
        <w:rPr>
          <w:rFonts w:ascii="宋体" w:hAnsi="宋体"/>
          <w:szCs w:val="21"/>
        </w:rPr>
        <w:t>8</w:t>
      </w:r>
      <w:r>
        <w:rPr>
          <w:rFonts w:hint="eastAsia" w:ascii="宋体" w:hAnsi="宋体"/>
          <w:szCs w:val="21"/>
        </w:rPr>
        <w:t>项的工期要求，在投标须知前附表第</w:t>
      </w:r>
      <w:r>
        <w:rPr>
          <w:rFonts w:ascii="宋体" w:hAnsi="宋体"/>
          <w:szCs w:val="21"/>
        </w:rPr>
        <w:t>3</w:t>
      </w:r>
      <w:r>
        <w:rPr>
          <w:rFonts w:hint="eastAsia" w:ascii="宋体" w:hAnsi="宋体"/>
          <w:szCs w:val="21"/>
        </w:rPr>
        <w:t>项的建设地点，完成投标须知前附表第</w:t>
      </w:r>
      <w:r>
        <w:rPr>
          <w:rFonts w:ascii="宋体" w:hAnsi="宋体"/>
          <w:szCs w:val="21"/>
        </w:rPr>
        <w:t>7</w:t>
      </w:r>
      <w:r>
        <w:rPr>
          <w:rFonts w:hint="eastAsia" w:ascii="宋体" w:hAnsi="宋体"/>
          <w:szCs w:val="21"/>
        </w:rPr>
        <w:t>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14:paraId="1D7CD83F">
      <w:pPr>
        <w:pBdr>
          <w:bottom w:val="single" w:color="auto" w:sz="6" w:space="1"/>
        </w:pBdr>
        <w:spacing w:line="360" w:lineRule="auto"/>
        <w:ind w:firstLine="527" w:firstLineChars="250"/>
      </w:pPr>
      <w:r>
        <w:rPr>
          <w:rFonts w:hint="eastAsia"/>
          <w:b/>
          <w:szCs w:val="21"/>
        </w:rPr>
        <w:t>现文：</w:t>
      </w:r>
      <w:r>
        <w:rPr>
          <w:rFonts w:ascii="宋体" w:hAnsi="宋体"/>
          <w:szCs w:val="21"/>
        </w:rPr>
        <w:t>13.3</w:t>
      </w:r>
      <w:r>
        <w:rPr>
          <w:rFonts w:hint="eastAsia" w:ascii="宋体" w:hAnsi="宋体"/>
          <w:szCs w:val="21"/>
        </w:rPr>
        <w:t>投标人的投标报价，应是按照投标须知前附表第</w:t>
      </w:r>
      <w:r>
        <w:rPr>
          <w:rFonts w:ascii="宋体" w:hAnsi="宋体"/>
          <w:szCs w:val="21"/>
        </w:rPr>
        <w:t>8</w:t>
      </w:r>
      <w:r>
        <w:rPr>
          <w:rFonts w:hint="eastAsia" w:ascii="宋体" w:hAnsi="宋体"/>
          <w:szCs w:val="21"/>
        </w:rPr>
        <w:t>项的工期要求，在投标须知前附表第</w:t>
      </w:r>
      <w:r>
        <w:rPr>
          <w:rFonts w:ascii="宋体" w:hAnsi="宋体"/>
          <w:szCs w:val="21"/>
        </w:rPr>
        <w:t>3</w:t>
      </w:r>
      <w:r>
        <w:rPr>
          <w:rFonts w:hint="eastAsia" w:ascii="宋体" w:hAnsi="宋体"/>
          <w:szCs w:val="21"/>
        </w:rPr>
        <w:t>项的建设地点，完成投标须知前附表第</w:t>
      </w:r>
      <w:r>
        <w:rPr>
          <w:rFonts w:ascii="宋体" w:hAnsi="宋体"/>
          <w:szCs w:val="21"/>
        </w:rPr>
        <w:t>7</w:t>
      </w:r>
      <w:r>
        <w:rPr>
          <w:rFonts w:hint="eastAsia" w:ascii="宋体" w:hAnsi="宋体"/>
          <w:szCs w:val="21"/>
        </w:rPr>
        <w:t>项的招标范围内已由招标人</w:t>
      </w:r>
      <w:r>
        <w:rPr>
          <w:rFonts w:hint="eastAsia" w:ascii="宋体" w:hAnsi="宋体" w:cs="宋体"/>
          <w:b/>
          <w:szCs w:val="21"/>
          <w:u w:val="single"/>
        </w:rPr>
        <w:t>提供的招标图纸（包括有关于本项目招标的相关资料）</w:t>
      </w:r>
      <w:r>
        <w:rPr>
          <w:rFonts w:hint="eastAsia" w:ascii="宋体" w:hAnsi="宋体"/>
          <w:szCs w:val="21"/>
        </w:rPr>
        <w:t>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规费、暂列金额、暂估价、</w:t>
      </w:r>
      <w:r>
        <w:rPr>
          <w:rFonts w:hint="eastAsia" w:ascii="宋体" w:hAnsi="宋体"/>
          <w:szCs w:val="21"/>
          <w:lang w:eastAsia="zh-CN"/>
        </w:rPr>
        <w:t>安全生产措施费</w:t>
      </w:r>
      <w:r>
        <w:rPr>
          <w:rFonts w:hint="eastAsia" w:ascii="宋体" w:hAnsi="宋体"/>
          <w:szCs w:val="21"/>
        </w:rPr>
        <w:t>等非竞争性项目明列了单价或合价的金额的，投标人应按照明列的单价或合价的金额报价，未按照规定金额报价的，由评标委员会按照招标文件规定的金额进行修正。</w:t>
      </w:r>
    </w:p>
    <w:p w14:paraId="5980BDB4">
      <w:pPr>
        <w:spacing w:line="480" w:lineRule="auto"/>
        <w:ind w:firstLine="472" w:firstLineChars="224"/>
        <w:rPr>
          <w:b/>
          <w:szCs w:val="21"/>
        </w:rPr>
      </w:pPr>
      <w:r>
        <w:rPr>
          <w:rFonts w:hint="eastAsia"/>
          <w:b/>
          <w:szCs w:val="21"/>
        </w:rPr>
        <w:t>条款号：</w:t>
      </w:r>
      <w:r>
        <w:rPr>
          <w:rFonts w:ascii="宋体" w:hAnsi="宋体"/>
          <w:szCs w:val="21"/>
        </w:rPr>
        <w:t>13.4</w:t>
      </w:r>
      <w:r>
        <w:rPr>
          <w:b/>
          <w:szCs w:val="21"/>
        </w:rPr>
        <w:t xml:space="preserve">             </w:t>
      </w:r>
      <w:r>
        <w:rPr>
          <w:rFonts w:hint="eastAsia"/>
          <w:b/>
          <w:szCs w:val="21"/>
        </w:rPr>
        <w:t>修改类型：修改</w:t>
      </w:r>
    </w:p>
    <w:p w14:paraId="3AFA93E8">
      <w:pPr>
        <w:pStyle w:val="5"/>
        <w:spacing w:after="0" w:line="360" w:lineRule="auto"/>
        <w:ind w:firstLine="422" w:firstLineChars="200"/>
        <w:rPr>
          <w:rFonts w:ascii="宋体"/>
          <w:szCs w:val="21"/>
        </w:rPr>
      </w:pPr>
      <w:r>
        <w:rPr>
          <w:rFonts w:hint="eastAsia"/>
          <w:b/>
          <w:szCs w:val="21"/>
        </w:rPr>
        <w:t>原文：</w:t>
      </w:r>
      <w:r>
        <w:rPr>
          <w:rFonts w:ascii="宋体" w:hAnsi="宋体"/>
          <w:szCs w:val="21"/>
        </w:rPr>
        <w:t>13.4</w:t>
      </w:r>
      <w:r>
        <w:rPr>
          <w:rFonts w:hint="eastAsia" w:ascii="宋体" w:hAnsi="宋体"/>
          <w:szCs w:val="21"/>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14:paraId="3A090C3D">
      <w:pPr>
        <w:pBdr>
          <w:bottom w:val="single" w:color="auto" w:sz="6" w:space="1"/>
        </w:pBdr>
        <w:spacing w:line="360" w:lineRule="auto"/>
        <w:ind w:firstLine="527" w:firstLineChars="250"/>
        <w:rPr>
          <w:rFonts w:hint="eastAsia" w:ascii="宋体" w:hAnsi="宋体" w:cs="宋体"/>
          <w:szCs w:val="21"/>
          <w:u w:val="single"/>
        </w:rPr>
      </w:pPr>
      <w:r>
        <w:rPr>
          <w:rFonts w:hint="eastAsia"/>
          <w:b/>
          <w:szCs w:val="21"/>
        </w:rPr>
        <w:t>现文：</w:t>
      </w:r>
      <w:r>
        <w:rPr>
          <w:rFonts w:ascii="宋体" w:hAnsi="宋体"/>
          <w:b/>
          <w:bCs/>
          <w:szCs w:val="21"/>
          <w:u w:val="single"/>
        </w:rPr>
        <w:t>13.4</w:t>
      </w:r>
      <w:r>
        <w:rPr>
          <w:rFonts w:hint="eastAsia" w:ascii="宋体" w:hAnsi="宋体" w:cs="宋体"/>
          <w:szCs w:val="21"/>
          <w:u w:val="single"/>
        </w:rPr>
        <w:t>按招标文件第三章合同条款相关约定调整。</w:t>
      </w:r>
    </w:p>
    <w:p w14:paraId="08275BA7">
      <w:pPr>
        <w:spacing w:line="480" w:lineRule="auto"/>
        <w:ind w:firstLine="472" w:firstLineChars="224"/>
        <w:rPr>
          <w:b/>
          <w:szCs w:val="21"/>
        </w:rPr>
      </w:pPr>
      <w:r>
        <w:rPr>
          <w:rFonts w:hint="eastAsia"/>
          <w:b/>
          <w:szCs w:val="21"/>
        </w:rPr>
        <w:t>条款号：</w:t>
      </w:r>
      <w:r>
        <w:rPr>
          <w:rFonts w:ascii="宋体" w:hAnsi="宋体"/>
          <w:szCs w:val="21"/>
        </w:rPr>
        <w:t>13.5.1</w:t>
      </w:r>
      <w:r>
        <w:rPr>
          <w:b/>
          <w:szCs w:val="21"/>
        </w:rPr>
        <w:t xml:space="preserve">             </w:t>
      </w:r>
      <w:r>
        <w:rPr>
          <w:rFonts w:hint="eastAsia"/>
          <w:b/>
          <w:szCs w:val="21"/>
        </w:rPr>
        <w:t>修改类型：修改</w:t>
      </w:r>
    </w:p>
    <w:p w14:paraId="68F3C0D3">
      <w:pPr>
        <w:pStyle w:val="5"/>
        <w:spacing w:after="0" w:line="360" w:lineRule="auto"/>
        <w:ind w:firstLine="422" w:firstLineChars="200"/>
        <w:rPr>
          <w:rFonts w:ascii="宋体"/>
          <w:sz w:val="24"/>
        </w:rPr>
      </w:pPr>
      <w:r>
        <w:rPr>
          <w:rFonts w:hint="eastAsia"/>
          <w:b/>
          <w:szCs w:val="21"/>
        </w:rPr>
        <w:t>原文：</w:t>
      </w:r>
      <w:r>
        <w:rPr>
          <w:rFonts w:ascii="宋体" w:hAnsi="宋体"/>
          <w:szCs w:val="21"/>
        </w:rPr>
        <w:t>13.5.1</w:t>
      </w:r>
      <w:r>
        <w:rPr>
          <w:rFonts w:hint="eastAsia" w:ascii="宋体" w:hAnsi="宋体"/>
          <w:szCs w:val="21"/>
        </w:rPr>
        <w:t>中标的投标文件工程量清单中已有相同项目的适用综合单价，则沿用；</w:t>
      </w:r>
    </w:p>
    <w:p w14:paraId="6A395077">
      <w:pPr>
        <w:pBdr>
          <w:bottom w:val="single" w:color="auto" w:sz="6" w:space="1"/>
        </w:pBdr>
        <w:spacing w:line="360" w:lineRule="auto"/>
        <w:rPr>
          <w:rFonts w:hint="eastAsia" w:ascii="宋体" w:hAnsi="宋体" w:cs="宋体"/>
          <w:szCs w:val="21"/>
          <w:u w:val="single"/>
        </w:rPr>
      </w:pPr>
      <w:r>
        <w:rPr>
          <w:rFonts w:hint="eastAsia"/>
          <w:b/>
          <w:szCs w:val="21"/>
        </w:rPr>
        <w:t>　　现文：</w:t>
      </w:r>
      <w:r>
        <w:rPr>
          <w:rFonts w:hint="eastAsia" w:ascii="宋体" w:hAnsi="宋体"/>
          <w:b/>
          <w:bCs/>
          <w:szCs w:val="21"/>
          <w:u w:val="single"/>
        </w:rPr>
        <w:t>13.5.1</w:t>
      </w:r>
      <w:r>
        <w:rPr>
          <w:rFonts w:hint="eastAsia" w:ascii="宋体" w:hAnsi="宋体" w:cs="宋体"/>
          <w:szCs w:val="21"/>
          <w:u w:val="single"/>
        </w:rPr>
        <w:t>变更结算方式按招标文件及施工合同相关规定执行。</w:t>
      </w:r>
    </w:p>
    <w:p w14:paraId="33D0E210">
      <w:pPr>
        <w:spacing w:line="480" w:lineRule="auto"/>
        <w:ind w:firstLine="472" w:firstLineChars="224"/>
        <w:rPr>
          <w:b/>
          <w:szCs w:val="21"/>
        </w:rPr>
      </w:pPr>
      <w:r>
        <w:rPr>
          <w:rFonts w:hint="eastAsia"/>
          <w:b/>
          <w:szCs w:val="21"/>
        </w:rPr>
        <w:t>条款号：</w:t>
      </w:r>
      <w:r>
        <w:rPr>
          <w:rFonts w:ascii="宋体" w:hAnsi="宋体"/>
          <w:b/>
          <w:bCs/>
          <w:szCs w:val="21"/>
        </w:rPr>
        <w:t>16</w:t>
      </w:r>
      <w:r>
        <w:rPr>
          <w:rFonts w:hint="eastAsia" w:ascii="宋体" w:hAnsi="宋体"/>
          <w:b/>
          <w:bCs/>
          <w:szCs w:val="21"/>
        </w:rPr>
        <w:t xml:space="preserve">．4     </w:t>
      </w:r>
      <w:r>
        <w:rPr>
          <w:b/>
          <w:szCs w:val="21"/>
        </w:rPr>
        <w:t xml:space="preserve">             </w:t>
      </w:r>
      <w:r>
        <w:rPr>
          <w:rFonts w:hint="eastAsia"/>
          <w:b/>
          <w:szCs w:val="21"/>
        </w:rPr>
        <w:t>修改类型：修改</w:t>
      </w:r>
    </w:p>
    <w:p w14:paraId="6F7D4AD0">
      <w:pPr>
        <w:spacing w:line="360" w:lineRule="auto"/>
        <w:ind w:firstLine="422" w:firstLineChars="200"/>
        <w:rPr>
          <w:rFonts w:hint="eastAsia" w:ascii="宋体" w:hAnsi="宋体"/>
          <w:szCs w:val="21"/>
        </w:rPr>
      </w:pPr>
      <w:r>
        <w:rPr>
          <w:rFonts w:hint="eastAsia"/>
          <w:b/>
          <w:szCs w:val="21"/>
        </w:rPr>
        <w:t>原文：</w:t>
      </w:r>
      <w:r>
        <w:rPr>
          <w:rFonts w:hint="eastAsia" w:ascii="宋体" w:hAnsi="宋体"/>
          <w:szCs w:val="21"/>
        </w:rPr>
        <w:t>16.4如有下列情况之一的，招标人可以不予退还投标保证金（是否退还投标保证金由招标人依法依规在招标文件中规定）：</w:t>
      </w:r>
    </w:p>
    <w:p w14:paraId="34AC06F3">
      <w:pPr>
        <w:pStyle w:val="5"/>
        <w:spacing w:after="0" w:line="360" w:lineRule="auto"/>
        <w:ind w:firstLine="422" w:firstLineChars="200"/>
        <w:rPr>
          <w:rFonts w:hint="eastAsia" w:ascii="宋体" w:hAnsi="宋体"/>
          <w:b/>
          <w:bCs/>
          <w:szCs w:val="21"/>
          <w:u w:val="single"/>
        </w:rPr>
      </w:pPr>
      <w:r>
        <w:rPr>
          <w:rFonts w:hint="eastAsia"/>
          <w:b/>
          <w:szCs w:val="21"/>
        </w:rPr>
        <w:t>现文：</w:t>
      </w:r>
      <w:bookmarkStart w:id="15" w:name="OLE_LINK2"/>
      <w:r>
        <w:rPr>
          <w:rFonts w:hint="eastAsia" w:ascii="宋体" w:hAnsi="宋体"/>
          <w:b/>
          <w:bCs/>
          <w:szCs w:val="21"/>
          <w:u w:val="single"/>
        </w:rPr>
        <w:t>16.4如有下列情况之一的，招标人可以不予退还投标保证金（是否退还投标保证金由招标人依法依规在招标文件中规定）：</w:t>
      </w:r>
    </w:p>
    <w:p w14:paraId="469355A5">
      <w:pPr>
        <w:pStyle w:val="5"/>
        <w:spacing w:after="0" w:line="360" w:lineRule="auto"/>
        <w:ind w:firstLine="422" w:firstLineChars="200"/>
        <w:rPr>
          <w:rFonts w:hint="eastAsia" w:ascii="宋体" w:hAnsi="宋体"/>
          <w:b/>
          <w:bCs/>
          <w:szCs w:val="21"/>
          <w:u w:val="single"/>
        </w:rPr>
      </w:pPr>
      <w:r>
        <w:rPr>
          <w:rFonts w:hint="eastAsia" w:ascii="宋体" w:hAnsi="宋体"/>
          <w:b/>
          <w:bCs/>
          <w:szCs w:val="21"/>
          <w:u w:val="single"/>
        </w:rPr>
        <w:t>（1）投标人提供了虚假的证明材料；</w:t>
      </w:r>
    </w:p>
    <w:p w14:paraId="1D496BB7">
      <w:pPr>
        <w:pStyle w:val="5"/>
        <w:spacing w:after="0" w:line="360" w:lineRule="auto"/>
        <w:ind w:firstLine="422" w:firstLineChars="200"/>
        <w:rPr>
          <w:rFonts w:hint="eastAsia" w:ascii="宋体" w:hAnsi="宋体"/>
          <w:b/>
          <w:bCs/>
          <w:szCs w:val="21"/>
          <w:u w:val="single"/>
        </w:rPr>
      </w:pPr>
      <w:r>
        <w:rPr>
          <w:rFonts w:hint="eastAsia" w:ascii="宋体" w:hAnsi="宋体"/>
          <w:b/>
          <w:bCs/>
          <w:szCs w:val="21"/>
          <w:u w:val="single"/>
        </w:rPr>
        <w:t>（2）中标候选人放弃中标；</w:t>
      </w:r>
    </w:p>
    <w:p w14:paraId="24B61DFA">
      <w:pPr>
        <w:pStyle w:val="5"/>
        <w:spacing w:line="360" w:lineRule="auto"/>
        <w:ind w:firstLine="422" w:firstLineChars="200"/>
        <w:rPr>
          <w:szCs w:val="21"/>
        </w:rPr>
      </w:pPr>
      <w:r>
        <w:rPr>
          <w:rFonts w:hint="eastAsia" w:ascii="宋体" w:hAnsi="宋体"/>
          <w:b/>
          <w:bCs/>
          <w:szCs w:val="21"/>
          <w:u w:val="single"/>
        </w:rPr>
        <w:t>（3）中标人在收到中标通知书后，无正当理由拒签合同或未按招标文件规定提交履约担保。</w:t>
      </w:r>
    </w:p>
    <w:bookmarkEnd w:id="15"/>
    <w:p w14:paraId="79A8D922">
      <w:pPr>
        <w:pBdr>
          <w:top w:val="single" w:color="auto" w:sz="4" w:space="0"/>
        </w:pBdr>
        <w:spacing w:line="480" w:lineRule="auto"/>
        <w:ind w:firstLine="472" w:firstLineChars="224"/>
        <w:rPr>
          <w:b/>
          <w:szCs w:val="21"/>
        </w:rPr>
      </w:pPr>
      <w:r>
        <w:rPr>
          <w:rFonts w:hint="eastAsia"/>
          <w:b/>
          <w:szCs w:val="21"/>
        </w:rPr>
        <w:t>条款号：</w:t>
      </w:r>
      <w:r>
        <w:rPr>
          <w:rFonts w:ascii="宋体" w:hAnsi="宋体"/>
          <w:szCs w:val="21"/>
        </w:rPr>
        <w:t>17.1</w:t>
      </w:r>
      <w:r>
        <w:rPr>
          <w:b/>
          <w:szCs w:val="21"/>
        </w:rPr>
        <w:t xml:space="preserve">             </w:t>
      </w:r>
      <w:r>
        <w:rPr>
          <w:rFonts w:hint="eastAsia"/>
          <w:b/>
          <w:szCs w:val="21"/>
        </w:rPr>
        <w:t>修改类型：修改</w:t>
      </w:r>
    </w:p>
    <w:p w14:paraId="5D9EDAF8">
      <w:pPr>
        <w:pStyle w:val="5"/>
        <w:spacing w:after="0" w:line="360" w:lineRule="auto"/>
        <w:ind w:firstLine="422" w:firstLineChars="200"/>
        <w:rPr>
          <w:b/>
          <w:szCs w:val="21"/>
        </w:rPr>
      </w:pPr>
      <w:r>
        <w:rPr>
          <w:rFonts w:hint="eastAsia"/>
          <w:b/>
          <w:szCs w:val="21"/>
        </w:rPr>
        <w:t>原文：</w:t>
      </w:r>
      <w:r>
        <w:rPr>
          <w:rFonts w:ascii="宋体" w:hAnsi="宋体"/>
          <w:szCs w:val="21"/>
        </w:rPr>
        <w:t>17.1</w:t>
      </w:r>
      <w:r>
        <w:rPr>
          <w:rFonts w:hint="eastAsia" w:ascii="宋体" w:hAnsi="宋体"/>
          <w:szCs w:val="21"/>
        </w:rPr>
        <w:t>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szCs w:val="21"/>
          <w:u w:val="single"/>
        </w:rPr>
        <w:t xml:space="preserve">            </w:t>
      </w:r>
      <w:r>
        <w:rPr>
          <w:rFonts w:hint="eastAsia" w:ascii="宋体" w:hAnsi="宋体"/>
          <w:szCs w:val="21"/>
        </w:rPr>
        <w:t xml:space="preserve"> 。</w:t>
      </w:r>
    </w:p>
    <w:p w14:paraId="32435268">
      <w:pPr>
        <w:pBdr>
          <w:bottom w:val="single" w:color="auto" w:sz="6" w:space="1"/>
        </w:pBdr>
        <w:spacing w:line="360" w:lineRule="auto"/>
        <w:ind w:firstLine="527" w:firstLineChars="250"/>
        <w:rPr>
          <w:szCs w:val="21"/>
        </w:rPr>
      </w:pPr>
      <w:r>
        <w:rPr>
          <w:rFonts w:hint="eastAsia"/>
          <w:b/>
          <w:szCs w:val="21"/>
        </w:rPr>
        <w:t>现文：</w:t>
      </w:r>
      <w:r>
        <w:rPr>
          <w:rFonts w:ascii="宋体" w:hAnsi="宋体"/>
          <w:szCs w:val="21"/>
        </w:rPr>
        <w:t>17.1</w:t>
      </w:r>
      <w:r>
        <w:rPr>
          <w:rFonts w:hint="eastAsia" w:ascii="宋体" w:hAnsi="宋体"/>
          <w:szCs w:val="21"/>
        </w:rPr>
        <w:t>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cs="宋体"/>
          <w:b/>
          <w:bCs/>
          <w:szCs w:val="21"/>
          <w:u w:val="single"/>
        </w:rPr>
        <w:t>广州交易集团有限公司（广州公共资源交易中心）网站</w:t>
      </w:r>
      <w:r>
        <w:rPr>
          <w:rFonts w:hint="eastAsia" w:ascii="宋体" w:hAnsi="宋体"/>
          <w:szCs w:val="21"/>
        </w:rPr>
        <w:t>。</w:t>
      </w:r>
    </w:p>
    <w:p w14:paraId="5BBD325A">
      <w:pPr>
        <w:spacing w:line="480" w:lineRule="auto"/>
        <w:ind w:firstLine="472" w:firstLineChars="224"/>
        <w:rPr>
          <w:b/>
          <w:szCs w:val="21"/>
        </w:rPr>
      </w:pPr>
      <w:r>
        <w:rPr>
          <w:rFonts w:hint="eastAsia"/>
          <w:b/>
          <w:szCs w:val="21"/>
        </w:rPr>
        <w:t>条款号：</w:t>
      </w:r>
      <w:r>
        <w:rPr>
          <w:rFonts w:ascii="宋体" w:hAnsi="宋体"/>
          <w:b/>
          <w:bCs/>
          <w:szCs w:val="21"/>
        </w:rPr>
        <w:t>18</w:t>
      </w:r>
      <w:r>
        <w:rPr>
          <w:rFonts w:hint="eastAsia" w:ascii="宋体" w:hAnsi="宋体"/>
          <w:b/>
          <w:bCs/>
          <w:szCs w:val="21"/>
        </w:rPr>
        <w:t>．</w:t>
      </w:r>
      <w:r>
        <w:rPr>
          <w:rFonts w:hint="eastAsia"/>
          <w:b/>
          <w:szCs w:val="21"/>
        </w:rPr>
        <w:t>投标文件的密封和标记</w:t>
      </w:r>
      <w:r>
        <w:rPr>
          <w:b/>
          <w:szCs w:val="21"/>
        </w:rPr>
        <w:t xml:space="preserve">             </w:t>
      </w:r>
      <w:r>
        <w:rPr>
          <w:rFonts w:hint="eastAsia"/>
          <w:b/>
          <w:szCs w:val="21"/>
        </w:rPr>
        <w:t>修改类型：修改</w:t>
      </w:r>
    </w:p>
    <w:p w14:paraId="044186FB">
      <w:pPr>
        <w:pStyle w:val="5"/>
        <w:spacing w:after="0" w:line="360" w:lineRule="auto"/>
        <w:ind w:firstLine="422" w:firstLineChars="200"/>
        <w:rPr>
          <w:rFonts w:ascii="宋体"/>
          <w:b/>
          <w:bCs/>
          <w:szCs w:val="21"/>
        </w:rPr>
      </w:pPr>
      <w:r>
        <w:rPr>
          <w:rFonts w:hint="eastAsia"/>
          <w:b/>
          <w:szCs w:val="21"/>
        </w:rPr>
        <w:t>原文：</w:t>
      </w:r>
      <w:r>
        <w:rPr>
          <w:rFonts w:ascii="宋体" w:hAnsi="宋体"/>
          <w:b/>
          <w:bCs/>
          <w:szCs w:val="21"/>
        </w:rPr>
        <w:t>18</w:t>
      </w:r>
      <w:r>
        <w:rPr>
          <w:rFonts w:hint="eastAsia" w:ascii="宋体" w:hAnsi="宋体"/>
          <w:b/>
          <w:bCs/>
          <w:szCs w:val="21"/>
        </w:rPr>
        <w:t>．</w:t>
      </w:r>
      <w:r>
        <w:rPr>
          <w:rFonts w:hint="eastAsia"/>
          <w:b/>
          <w:szCs w:val="21"/>
        </w:rPr>
        <w:t>投标文件的密封和标记</w:t>
      </w:r>
    </w:p>
    <w:p w14:paraId="60E40E51">
      <w:pPr>
        <w:pStyle w:val="5"/>
        <w:spacing w:after="0" w:line="360" w:lineRule="auto"/>
        <w:ind w:firstLineChars="200"/>
        <w:rPr>
          <w:rFonts w:ascii="宋体"/>
          <w:bCs/>
          <w:szCs w:val="21"/>
        </w:rPr>
      </w:pPr>
      <w:r>
        <w:rPr>
          <w:rFonts w:ascii="宋体" w:hAnsi="宋体"/>
          <w:bCs/>
          <w:szCs w:val="21"/>
        </w:rPr>
        <w:t>1</w:t>
      </w:r>
      <w:r>
        <w:rPr>
          <w:rFonts w:hint="eastAsia" w:ascii="宋体" w:hAnsi="宋体"/>
          <w:bCs/>
          <w:szCs w:val="21"/>
        </w:rPr>
        <w:t>8</w:t>
      </w:r>
      <w:r>
        <w:rPr>
          <w:rFonts w:ascii="宋体" w:hAnsi="宋体"/>
          <w:bCs/>
          <w:szCs w:val="21"/>
        </w:rPr>
        <w:t>.1</w:t>
      </w:r>
      <w:r>
        <w:rPr>
          <w:rFonts w:hint="eastAsia" w:ascii="宋体" w:hAnsi="宋体"/>
          <w:bCs/>
          <w:szCs w:val="21"/>
        </w:rPr>
        <w:t>递交的电子投标文件（不含备用光盘）必须进行加密。按照交易平台关于</w:t>
      </w:r>
      <w:r>
        <w:rPr>
          <w:rFonts w:hint="eastAsia"/>
          <w:szCs w:val="21"/>
        </w:rPr>
        <w:t>全流程电子化项目的相关指南进行操作。详见：</w:t>
      </w:r>
      <w:r>
        <w:rPr>
          <w:szCs w:val="21"/>
          <w:u w:val="single"/>
        </w:rPr>
        <w:t xml:space="preserve">       </w:t>
      </w:r>
      <w:r>
        <w:rPr>
          <w:rFonts w:hint="eastAsia"/>
          <w:szCs w:val="21"/>
          <w:u w:val="single"/>
        </w:rPr>
        <w:t xml:space="preserve">   </w:t>
      </w:r>
      <w:r>
        <w:rPr>
          <w:szCs w:val="21"/>
          <w:u w:val="single"/>
        </w:rPr>
        <w:t xml:space="preserve"> </w:t>
      </w:r>
      <w:r>
        <w:rPr>
          <w:rFonts w:hint="eastAsia"/>
          <w:szCs w:val="21"/>
        </w:rPr>
        <w:t xml:space="preserve"> 。</w:t>
      </w:r>
    </w:p>
    <w:p w14:paraId="2806300A">
      <w:pPr>
        <w:spacing w:line="480" w:lineRule="auto"/>
        <w:ind w:firstLine="470" w:firstLineChars="224"/>
        <w:rPr>
          <w:b/>
          <w:szCs w:val="21"/>
        </w:rPr>
      </w:pPr>
      <w:r>
        <w:rPr>
          <w:rFonts w:ascii="宋体" w:hAnsi="宋体"/>
          <w:bCs/>
          <w:szCs w:val="21"/>
        </w:rPr>
        <w:t>1</w:t>
      </w:r>
      <w:r>
        <w:rPr>
          <w:rFonts w:hint="eastAsia" w:ascii="宋体" w:hAnsi="宋体"/>
          <w:bCs/>
          <w:szCs w:val="21"/>
        </w:rPr>
        <w:t>8</w:t>
      </w:r>
      <w:r>
        <w:rPr>
          <w:rFonts w:ascii="宋体" w:hAnsi="宋体"/>
          <w:bCs/>
          <w:szCs w:val="21"/>
        </w:rPr>
        <w:t>.2</w:t>
      </w:r>
      <w:r>
        <w:rPr>
          <w:rFonts w:ascii="宋体"/>
          <w:bCs/>
          <w:szCs w:val="21"/>
        </w:rPr>
        <w:t xml:space="preserve"> </w:t>
      </w:r>
      <w:r>
        <w:rPr>
          <w:rFonts w:hint="eastAsia" w:ascii="宋体"/>
          <w:bCs/>
          <w:szCs w:val="21"/>
        </w:rPr>
        <w:t>未按要求加密的投标文件，</w:t>
      </w:r>
      <w:r>
        <w:rPr>
          <w:szCs w:val="21"/>
          <w:u w:val="single"/>
        </w:rPr>
        <w:t xml:space="preserve">        </w:t>
      </w:r>
      <w:r>
        <w:rPr>
          <w:rFonts w:hint="eastAsia" w:ascii="宋体" w:hAnsi="宋体"/>
          <w:szCs w:val="21"/>
        </w:rPr>
        <w:t>交易平台</w:t>
      </w:r>
      <w:r>
        <w:rPr>
          <w:rFonts w:hint="eastAsia" w:ascii="宋体"/>
          <w:bCs/>
          <w:szCs w:val="21"/>
        </w:rPr>
        <w:t>将予以拒收。</w:t>
      </w:r>
    </w:p>
    <w:p w14:paraId="106DB7B8">
      <w:pPr>
        <w:pStyle w:val="5"/>
        <w:spacing w:after="0" w:line="360" w:lineRule="auto"/>
        <w:ind w:firstLine="422" w:firstLineChars="200"/>
        <w:rPr>
          <w:rFonts w:ascii="宋体"/>
          <w:b/>
          <w:bCs/>
          <w:szCs w:val="21"/>
        </w:rPr>
      </w:pPr>
      <w:r>
        <w:rPr>
          <w:rFonts w:hint="eastAsia"/>
          <w:b/>
          <w:szCs w:val="21"/>
        </w:rPr>
        <w:t>现文：</w:t>
      </w:r>
      <w:r>
        <w:rPr>
          <w:rFonts w:ascii="宋体" w:hAnsi="宋体"/>
          <w:b/>
          <w:bCs/>
          <w:szCs w:val="21"/>
        </w:rPr>
        <w:t>18</w:t>
      </w:r>
      <w:r>
        <w:rPr>
          <w:rFonts w:hint="eastAsia" w:ascii="宋体" w:hAnsi="宋体"/>
          <w:b/>
          <w:bCs/>
          <w:szCs w:val="21"/>
        </w:rPr>
        <w:t>．</w:t>
      </w:r>
      <w:r>
        <w:rPr>
          <w:rFonts w:hint="eastAsia"/>
          <w:b/>
          <w:szCs w:val="21"/>
        </w:rPr>
        <w:t>投标文件的密封和标记</w:t>
      </w:r>
    </w:p>
    <w:p w14:paraId="5C2DB747">
      <w:pPr>
        <w:spacing w:line="360" w:lineRule="auto"/>
        <w:ind w:firstLine="420" w:firstLineChars="200"/>
        <w:rPr>
          <w:rFonts w:ascii="宋体"/>
          <w:bCs/>
          <w:szCs w:val="21"/>
        </w:rPr>
      </w:pPr>
      <w:r>
        <w:rPr>
          <w:rFonts w:ascii="宋体" w:hAnsi="宋体"/>
          <w:bCs/>
          <w:szCs w:val="21"/>
        </w:rPr>
        <w:t>1</w:t>
      </w:r>
      <w:r>
        <w:rPr>
          <w:rFonts w:hint="eastAsia" w:ascii="宋体" w:hAnsi="宋体"/>
          <w:bCs/>
          <w:szCs w:val="21"/>
        </w:rPr>
        <w:t>8</w:t>
      </w:r>
      <w:r>
        <w:rPr>
          <w:rFonts w:ascii="宋体" w:hAnsi="宋体"/>
          <w:bCs/>
          <w:szCs w:val="21"/>
        </w:rPr>
        <w:t>.1</w:t>
      </w:r>
      <w:r>
        <w:rPr>
          <w:rFonts w:hint="eastAsia" w:ascii="宋体" w:hAnsi="宋体"/>
          <w:bCs/>
          <w:szCs w:val="21"/>
        </w:rPr>
        <w:t>递交的电子投标文件（不含备用光盘）必须进行加密。按照</w:t>
      </w:r>
      <w:r>
        <w:rPr>
          <w:rFonts w:hint="eastAsia"/>
          <w:szCs w:val="21"/>
        </w:rPr>
        <w:t>：</w:t>
      </w:r>
      <w:r>
        <w:rPr>
          <w:rFonts w:hint="eastAsia" w:ascii="宋体" w:hAnsi="宋体" w:cs="宋体"/>
          <w:b/>
          <w:bCs/>
          <w:szCs w:val="21"/>
          <w:u w:val="single"/>
        </w:rPr>
        <w:t>广州交易集团有限公司（广州公共资源交易中心）</w:t>
      </w:r>
      <w:r>
        <w:rPr>
          <w:rFonts w:hint="eastAsia" w:ascii="宋体" w:hAnsi="宋体"/>
          <w:bCs/>
          <w:szCs w:val="21"/>
        </w:rPr>
        <w:t>交易平台关于</w:t>
      </w:r>
      <w:r>
        <w:rPr>
          <w:rFonts w:hint="eastAsia"/>
          <w:szCs w:val="21"/>
        </w:rPr>
        <w:t>全流程电子化项目的相关指南进行操作。详见：</w:t>
      </w:r>
      <w:r>
        <w:rPr>
          <w:rFonts w:hint="eastAsia" w:ascii="宋体" w:hAnsi="宋体" w:cs="宋体"/>
          <w:b/>
          <w:bCs/>
          <w:szCs w:val="21"/>
          <w:u w:val="single"/>
        </w:rPr>
        <w:t>广州交易集团有限公司（广州公共资源交易中心）网站最新指引</w:t>
      </w:r>
      <w:r>
        <w:rPr>
          <w:rFonts w:hint="eastAsia"/>
          <w:szCs w:val="21"/>
        </w:rPr>
        <w:t>。</w:t>
      </w:r>
    </w:p>
    <w:p w14:paraId="60DD09CA">
      <w:pPr>
        <w:pBdr>
          <w:bottom w:val="single" w:color="auto" w:sz="6" w:space="1"/>
        </w:pBdr>
        <w:spacing w:line="360" w:lineRule="auto"/>
        <w:ind w:firstLine="525" w:firstLineChars="250"/>
        <w:rPr>
          <w:szCs w:val="21"/>
        </w:rPr>
      </w:pPr>
      <w:r>
        <w:rPr>
          <w:rFonts w:ascii="宋体" w:hAnsi="宋体"/>
          <w:bCs/>
          <w:szCs w:val="21"/>
        </w:rPr>
        <w:t>1</w:t>
      </w:r>
      <w:r>
        <w:rPr>
          <w:rFonts w:hint="eastAsia" w:ascii="宋体" w:hAnsi="宋体"/>
          <w:bCs/>
          <w:szCs w:val="21"/>
        </w:rPr>
        <w:t>8</w:t>
      </w:r>
      <w:r>
        <w:rPr>
          <w:rFonts w:ascii="宋体" w:hAnsi="宋体"/>
          <w:bCs/>
          <w:szCs w:val="21"/>
        </w:rPr>
        <w:t>.2</w:t>
      </w:r>
      <w:r>
        <w:rPr>
          <w:rFonts w:ascii="宋体"/>
          <w:bCs/>
          <w:szCs w:val="21"/>
        </w:rPr>
        <w:t xml:space="preserve"> </w:t>
      </w:r>
      <w:r>
        <w:rPr>
          <w:rFonts w:hint="eastAsia" w:ascii="宋体"/>
          <w:bCs/>
          <w:szCs w:val="21"/>
        </w:rPr>
        <w:t>未按要求加密的投标文件，</w:t>
      </w:r>
      <w:r>
        <w:rPr>
          <w:rFonts w:hint="eastAsia" w:ascii="宋体" w:hAnsi="宋体" w:cs="宋体"/>
          <w:b/>
          <w:bCs/>
          <w:szCs w:val="21"/>
          <w:u w:val="single"/>
        </w:rPr>
        <w:t>广州交易集团有限公司（广州公共资源交易中心）</w:t>
      </w:r>
      <w:r>
        <w:rPr>
          <w:rFonts w:hint="eastAsia" w:ascii="宋体" w:hAnsi="宋体"/>
          <w:szCs w:val="21"/>
        </w:rPr>
        <w:t>交易平台</w:t>
      </w:r>
      <w:r>
        <w:rPr>
          <w:rFonts w:hint="eastAsia" w:ascii="宋体"/>
          <w:bCs/>
          <w:szCs w:val="21"/>
        </w:rPr>
        <w:t>将予以拒收。</w:t>
      </w:r>
    </w:p>
    <w:p w14:paraId="1ACD72E9">
      <w:pPr>
        <w:spacing w:line="360" w:lineRule="auto"/>
        <w:ind w:firstLine="422" w:firstLineChars="200"/>
        <w:rPr>
          <w:b/>
          <w:szCs w:val="21"/>
        </w:rPr>
      </w:pPr>
      <w:r>
        <w:rPr>
          <w:rFonts w:hint="eastAsia"/>
          <w:b/>
          <w:szCs w:val="21"/>
        </w:rPr>
        <w:t>条款号：</w:t>
      </w:r>
      <w:r>
        <w:rPr>
          <w:rFonts w:ascii="宋体" w:hAnsi="宋体"/>
          <w:b/>
          <w:bCs/>
          <w:szCs w:val="21"/>
        </w:rPr>
        <w:t>19</w:t>
      </w:r>
      <w:r>
        <w:rPr>
          <w:rFonts w:hint="eastAsia" w:ascii="宋体" w:hAnsi="宋体"/>
          <w:b/>
          <w:bCs/>
          <w:szCs w:val="21"/>
        </w:rPr>
        <w:t>．投标文件的递交和接收</w:t>
      </w:r>
      <w:r>
        <w:rPr>
          <w:b/>
          <w:szCs w:val="21"/>
        </w:rPr>
        <w:t xml:space="preserve">             </w:t>
      </w:r>
      <w:r>
        <w:rPr>
          <w:rFonts w:hint="eastAsia"/>
          <w:b/>
          <w:szCs w:val="21"/>
        </w:rPr>
        <w:t>修改类型：修改</w:t>
      </w:r>
    </w:p>
    <w:p w14:paraId="56BE1708">
      <w:pPr>
        <w:spacing w:line="360" w:lineRule="auto"/>
        <w:ind w:firstLine="422" w:firstLineChars="200"/>
        <w:rPr>
          <w:rFonts w:ascii="宋体"/>
          <w:b/>
          <w:bCs/>
          <w:szCs w:val="21"/>
        </w:rPr>
      </w:pPr>
      <w:r>
        <w:rPr>
          <w:rFonts w:hint="eastAsia"/>
          <w:b/>
          <w:szCs w:val="21"/>
        </w:rPr>
        <w:t>原文：</w:t>
      </w:r>
      <w:r>
        <w:rPr>
          <w:rFonts w:ascii="宋体" w:hAnsi="宋体"/>
          <w:b/>
          <w:bCs/>
          <w:szCs w:val="21"/>
        </w:rPr>
        <w:t>19</w:t>
      </w:r>
      <w:r>
        <w:rPr>
          <w:rFonts w:hint="eastAsia" w:ascii="宋体" w:hAnsi="宋体"/>
          <w:b/>
          <w:bCs/>
          <w:szCs w:val="21"/>
        </w:rPr>
        <w:t>．投标文件的递交和接收</w:t>
      </w:r>
    </w:p>
    <w:p w14:paraId="55866532">
      <w:pPr>
        <w:spacing w:line="360" w:lineRule="auto"/>
        <w:ind w:firstLine="420" w:firstLineChars="200"/>
        <w:rPr>
          <w:rFonts w:ascii="宋体"/>
          <w:bCs/>
          <w:szCs w:val="21"/>
        </w:rPr>
      </w:pPr>
      <w:r>
        <w:rPr>
          <w:rFonts w:ascii="宋体" w:hAnsi="宋体"/>
          <w:bCs/>
          <w:szCs w:val="21"/>
        </w:rPr>
        <w:t>1</w:t>
      </w:r>
      <w:r>
        <w:rPr>
          <w:rFonts w:hint="eastAsia" w:ascii="宋体" w:hAnsi="宋体"/>
          <w:bCs/>
          <w:szCs w:val="21"/>
        </w:rPr>
        <w:t>9</w:t>
      </w:r>
      <w:r>
        <w:rPr>
          <w:rFonts w:ascii="宋体" w:hAnsi="宋体"/>
          <w:bCs/>
          <w:szCs w:val="21"/>
        </w:rPr>
        <w:t>.</w:t>
      </w:r>
      <w:r>
        <w:rPr>
          <w:rFonts w:hint="eastAsia" w:ascii="宋体" w:hAnsi="宋体"/>
          <w:bCs/>
          <w:szCs w:val="21"/>
        </w:rPr>
        <w:t>1投标人通过</w:t>
      </w:r>
      <w:r>
        <w:rPr>
          <w:szCs w:val="21"/>
          <w:u w:val="single"/>
        </w:rPr>
        <w:t xml:space="preserve">        </w:t>
      </w:r>
      <w:r>
        <w:rPr>
          <w:rFonts w:hint="eastAsia" w:ascii="宋体" w:hAnsi="宋体"/>
          <w:szCs w:val="21"/>
        </w:rPr>
        <w:t>交易平台递交电子投标文件。</w:t>
      </w:r>
    </w:p>
    <w:p w14:paraId="1FE52075">
      <w:pPr>
        <w:spacing w:line="360" w:lineRule="auto"/>
        <w:ind w:firstLine="420" w:firstLineChars="200"/>
        <w:rPr>
          <w:rFonts w:ascii="宋体"/>
          <w:bCs/>
          <w:szCs w:val="21"/>
        </w:rPr>
      </w:pPr>
      <w:r>
        <w:rPr>
          <w:rFonts w:ascii="宋体" w:hAnsi="宋体"/>
          <w:bCs/>
          <w:szCs w:val="21"/>
        </w:rPr>
        <w:t>1</w:t>
      </w:r>
      <w:r>
        <w:rPr>
          <w:rFonts w:hint="eastAsia" w:ascii="宋体" w:hAnsi="宋体"/>
          <w:bCs/>
          <w:szCs w:val="21"/>
        </w:rPr>
        <w:t>9</w:t>
      </w:r>
      <w:r>
        <w:rPr>
          <w:rFonts w:ascii="宋体" w:hAnsi="宋体"/>
          <w:bCs/>
          <w:szCs w:val="21"/>
        </w:rPr>
        <w:t>.</w:t>
      </w:r>
      <w:r>
        <w:rPr>
          <w:rFonts w:hint="eastAsia" w:ascii="宋体" w:hAnsi="宋体"/>
          <w:bCs/>
          <w:szCs w:val="21"/>
        </w:rPr>
        <w:t>2投标人完成电子</w:t>
      </w:r>
      <w:r>
        <w:rPr>
          <w:rFonts w:hint="eastAsia" w:ascii="宋体" w:hAnsi="宋体"/>
          <w:szCs w:val="21"/>
        </w:rPr>
        <w:t>投标文件</w:t>
      </w:r>
      <w:r>
        <w:rPr>
          <w:rFonts w:hint="eastAsia" w:ascii="宋体" w:hAnsi="宋体"/>
          <w:bCs/>
          <w:szCs w:val="21"/>
        </w:rPr>
        <w:t>上传后，</w:t>
      </w:r>
      <w:r>
        <w:rPr>
          <w:szCs w:val="21"/>
          <w:u w:val="single"/>
        </w:rPr>
        <w:t xml:space="preserve">        </w:t>
      </w:r>
      <w:r>
        <w:rPr>
          <w:rFonts w:hint="eastAsia" w:ascii="宋体" w:hAnsi="宋体"/>
          <w:szCs w:val="21"/>
        </w:rPr>
        <w:t>交易平台即时向投标人发出递交回执通知。递交时间以递交回执通知载明的传输完成时间为准。</w:t>
      </w:r>
    </w:p>
    <w:p w14:paraId="341AF48F">
      <w:pPr>
        <w:spacing w:line="360" w:lineRule="auto"/>
        <w:ind w:firstLine="420" w:firstLineChars="200"/>
        <w:rPr>
          <w:rFonts w:hint="eastAsia" w:ascii="宋体" w:hAnsi="宋体"/>
          <w:szCs w:val="21"/>
        </w:rPr>
      </w:pPr>
      <w:r>
        <w:rPr>
          <w:rFonts w:ascii="宋体" w:hAnsi="宋体"/>
          <w:bCs/>
          <w:szCs w:val="21"/>
        </w:rPr>
        <w:t>1</w:t>
      </w:r>
      <w:r>
        <w:rPr>
          <w:rFonts w:hint="eastAsia" w:ascii="宋体" w:hAnsi="宋体"/>
          <w:bCs/>
          <w:szCs w:val="21"/>
        </w:rPr>
        <w:t>9</w:t>
      </w:r>
      <w:r>
        <w:rPr>
          <w:rFonts w:ascii="宋体" w:hAnsi="宋体"/>
          <w:bCs/>
          <w:szCs w:val="21"/>
        </w:rPr>
        <w:t>.</w:t>
      </w:r>
      <w:r>
        <w:rPr>
          <w:rFonts w:hint="eastAsia" w:ascii="宋体" w:hAnsi="宋体"/>
          <w:bCs/>
          <w:szCs w:val="21"/>
        </w:rPr>
        <w:t>3</w:t>
      </w:r>
      <w:r>
        <w:rPr>
          <w:rFonts w:hint="eastAsia"/>
          <w:bCs/>
          <w:szCs w:val="21"/>
        </w:rPr>
        <w:t>逾期送达的</w:t>
      </w:r>
      <w:r>
        <w:rPr>
          <w:rFonts w:hint="eastAsia" w:ascii="宋体" w:hAnsi="宋体"/>
          <w:bCs/>
          <w:szCs w:val="21"/>
        </w:rPr>
        <w:t>电子投标文件，</w:t>
      </w:r>
      <w:r>
        <w:rPr>
          <w:szCs w:val="21"/>
          <w:u w:val="single"/>
        </w:rPr>
        <w:t xml:space="preserve">        </w:t>
      </w:r>
      <w:r>
        <w:rPr>
          <w:rFonts w:hint="eastAsia" w:ascii="宋体" w:hAnsi="宋体"/>
          <w:szCs w:val="21"/>
        </w:rPr>
        <w:t>交易平台将予以拒收。</w:t>
      </w:r>
    </w:p>
    <w:p w14:paraId="0924D371">
      <w:pPr>
        <w:spacing w:line="360" w:lineRule="auto"/>
        <w:ind w:firstLine="420" w:firstLineChars="200"/>
        <w:rPr>
          <w:rFonts w:ascii="宋体"/>
          <w:szCs w:val="21"/>
        </w:rPr>
      </w:pPr>
      <w:r>
        <w:rPr>
          <w:rFonts w:ascii="宋体" w:hAnsi="宋体"/>
          <w:szCs w:val="21"/>
        </w:rPr>
        <w:t>19.</w:t>
      </w:r>
      <w:r>
        <w:rPr>
          <w:rFonts w:hint="eastAsia" w:ascii="宋体" w:hAnsi="宋体"/>
          <w:szCs w:val="21"/>
        </w:rPr>
        <w:t>4</w:t>
      </w:r>
      <w:r>
        <w:rPr>
          <w:rFonts w:ascii="宋体" w:hAnsi="宋体"/>
          <w:szCs w:val="21"/>
        </w:rPr>
        <w:t xml:space="preserve"> </w:t>
      </w:r>
      <w:r>
        <w:rPr>
          <w:rFonts w:hint="eastAsia" w:ascii="宋体" w:hAnsi="宋体"/>
          <w:szCs w:val="21"/>
        </w:rPr>
        <w:t>投标截止前，</w:t>
      </w:r>
      <w:r>
        <w:rPr>
          <w:rFonts w:hint="eastAsia"/>
          <w:szCs w:val="21"/>
        </w:rPr>
        <w:t>招标人拒绝接收符合条件的投标文件，投标人可向招标投标监督机构投诉。</w:t>
      </w:r>
    </w:p>
    <w:p w14:paraId="64D04015">
      <w:pPr>
        <w:spacing w:line="360" w:lineRule="auto"/>
        <w:ind w:firstLine="420" w:firstLineChars="200"/>
        <w:rPr>
          <w:rFonts w:hint="eastAsia" w:ascii="宋体" w:hAnsi="宋体"/>
          <w:szCs w:val="21"/>
        </w:rPr>
      </w:pPr>
      <w:r>
        <w:rPr>
          <w:rFonts w:ascii="宋体" w:hAnsi="宋体"/>
          <w:szCs w:val="21"/>
        </w:rPr>
        <w:t>19.</w:t>
      </w:r>
      <w:r>
        <w:rPr>
          <w:rFonts w:hint="eastAsia" w:ascii="宋体" w:hAnsi="宋体"/>
          <w:szCs w:val="21"/>
        </w:rPr>
        <w:t>5如技术标和经济标先后分别开启，</w:t>
      </w:r>
      <w:r>
        <w:rPr>
          <w:szCs w:val="21"/>
          <w:u w:val="single"/>
        </w:rPr>
        <w:t xml:space="preserve">        </w:t>
      </w:r>
      <w:r>
        <w:rPr>
          <w:rFonts w:hint="eastAsia" w:ascii="宋体" w:hAnsi="宋体"/>
          <w:szCs w:val="21"/>
        </w:rPr>
        <w:t>交易平台将按招标文件规定的时间分别开启技术标和经济标。</w:t>
      </w:r>
    </w:p>
    <w:p w14:paraId="24376203">
      <w:pPr>
        <w:spacing w:line="360" w:lineRule="auto"/>
        <w:ind w:firstLine="422" w:firstLineChars="200"/>
        <w:rPr>
          <w:rFonts w:ascii="宋体"/>
          <w:b/>
          <w:bCs/>
          <w:szCs w:val="21"/>
        </w:rPr>
      </w:pPr>
      <w:r>
        <w:rPr>
          <w:rFonts w:hint="eastAsia"/>
          <w:b/>
          <w:szCs w:val="21"/>
        </w:rPr>
        <w:t>现文：</w:t>
      </w:r>
      <w:r>
        <w:rPr>
          <w:rFonts w:ascii="宋体" w:hAnsi="宋体"/>
          <w:b/>
          <w:bCs/>
          <w:szCs w:val="21"/>
        </w:rPr>
        <w:t>19</w:t>
      </w:r>
      <w:r>
        <w:rPr>
          <w:rFonts w:hint="eastAsia" w:ascii="宋体" w:hAnsi="宋体"/>
          <w:b/>
          <w:bCs/>
          <w:szCs w:val="21"/>
        </w:rPr>
        <w:t>．投标文件的递交和接收</w:t>
      </w:r>
    </w:p>
    <w:p w14:paraId="7BB7D4A5">
      <w:pPr>
        <w:spacing w:line="360" w:lineRule="auto"/>
        <w:ind w:firstLine="420" w:firstLineChars="200"/>
        <w:rPr>
          <w:rFonts w:ascii="宋体"/>
          <w:bCs/>
          <w:szCs w:val="21"/>
        </w:rPr>
      </w:pPr>
      <w:r>
        <w:rPr>
          <w:rFonts w:ascii="宋体" w:hAnsi="宋体"/>
          <w:bCs/>
          <w:szCs w:val="21"/>
        </w:rPr>
        <w:t>1</w:t>
      </w:r>
      <w:r>
        <w:rPr>
          <w:rFonts w:hint="eastAsia" w:ascii="宋体" w:hAnsi="宋体"/>
          <w:bCs/>
          <w:szCs w:val="21"/>
        </w:rPr>
        <w:t>9</w:t>
      </w:r>
      <w:r>
        <w:rPr>
          <w:rFonts w:ascii="宋体" w:hAnsi="宋体"/>
          <w:bCs/>
          <w:szCs w:val="21"/>
        </w:rPr>
        <w:t>.</w:t>
      </w:r>
      <w:r>
        <w:rPr>
          <w:rFonts w:hint="eastAsia" w:ascii="宋体" w:hAnsi="宋体"/>
          <w:bCs/>
          <w:szCs w:val="21"/>
        </w:rPr>
        <w:t>1投标人通过</w:t>
      </w:r>
      <w:r>
        <w:rPr>
          <w:rFonts w:hint="eastAsia" w:ascii="宋体" w:hAnsi="宋体" w:cs="宋体"/>
          <w:b/>
          <w:bCs/>
          <w:szCs w:val="21"/>
          <w:u w:val="single"/>
        </w:rPr>
        <w:t>广州交易集团有限公司（广州公共资源交易中心）</w:t>
      </w:r>
      <w:r>
        <w:rPr>
          <w:rFonts w:hint="eastAsia" w:ascii="宋体" w:hAnsi="宋体"/>
          <w:szCs w:val="21"/>
        </w:rPr>
        <w:t>交易平台递交电子投标文件。</w:t>
      </w:r>
    </w:p>
    <w:p w14:paraId="5665A9B0">
      <w:pPr>
        <w:spacing w:line="360" w:lineRule="auto"/>
        <w:ind w:firstLine="420" w:firstLineChars="200"/>
        <w:rPr>
          <w:rFonts w:ascii="宋体"/>
          <w:bCs/>
          <w:szCs w:val="21"/>
        </w:rPr>
      </w:pPr>
      <w:r>
        <w:rPr>
          <w:rFonts w:ascii="宋体" w:hAnsi="宋体"/>
          <w:bCs/>
          <w:szCs w:val="21"/>
        </w:rPr>
        <w:t>1</w:t>
      </w:r>
      <w:r>
        <w:rPr>
          <w:rFonts w:hint="eastAsia" w:ascii="宋体" w:hAnsi="宋体"/>
          <w:bCs/>
          <w:szCs w:val="21"/>
        </w:rPr>
        <w:t>9</w:t>
      </w:r>
      <w:r>
        <w:rPr>
          <w:rFonts w:ascii="宋体" w:hAnsi="宋体"/>
          <w:bCs/>
          <w:szCs w:val="21"/>
        </w:rPr>
        <w:t>.</w:t>
      </w:r>
      <w:r>
        <w:rPr>
          <w:rFonts w:hint="eastAsia" w:ascii="宋体" w:hAnsi="宋体"/>
          <w:bCs/>
          <w:szCs w:val="21"/>
        </w:rPr>
        <w:t>2投标人完成电子</w:t>
      </w:r>
      <w:r>
        <w:rPr>
          <w:rFonts w:hint="eastAsia" w:ascii="宋体" w:hAnsi="宋体"/>
          <w:szCs w:val="21"/>
        </w:rPr>
        <w:t>投标文件</w:t>
      </w:r>
      <w:r>
        <w:rPr>
          <w:rFonts w:hint="eastAsia" w:ascii="宋体" w:hAnsi="宋体"/>
          <w:bCs/>
          <w:szCs w:val="21"/>
        </w:rPr>
        <w:t>上传后，</w:t>
      </w:r>
      <w:r>
        <w:rPr>
          <w:rFonts w:hint="eastAsia" w:ascii="宋体" w:hAnsi="宋体" w:cs="宋体"/>
          <w:b/>
          <w:bCs/>
          <w:szCs w:val="21"/>
          <w:u w:val="single"/>
        </w:rPr>
        <w:t>广州交易集团有限公司（广州公共资源交易中心）</w:t>
      </w:r>
      <w:r>
        <w:rPr>
          <w:rFonts w:hint="eastAsia" w:ascii="宋体" w:hAnsi="宋体"/>
          <w:szCs w:val="21"/>
        </w:rPr>
        <w:t>交易平台即时向投标人发出递交回执通知。递交时间以递交回执通知载明的传输完成时间为准。</w:t>
      </w:r>
    </w:p>
    <w:p w14:paraId="152BA692">
      <w:pPr>
        <w:spacing w:line="360" w:lineRule="auto"/>
        <w:ind w:firstLine="420" w:firstLineChars="200"/>
        <w:rPr>
          <w:rFonts w:hint="eastAsia" w:ascii="宋体" w:hAnsi="宋体"/>
          <w:szCs w:val="21"/>
        </w:rPr>
      </w:pPr>
      <w:r>
        <w:rPr>
          <w:rFonts w:ascii="宋体" w:hAnsi="宋体"/>
          <w:bCs/>
          <w:szCs w:val="21"/>
        </w:rPr>
        <w:t>1</w:t>
      </w:r>
      <w:r>
        <w:rPr>
          <w:rFonts w:hint="eastAsia" w:ascii="宋体" w:hAnsi="宋体"/>
          <w:bCs/>
          <w:szCs w:val="21"/>
        </w:rPr>
        <w:t>9</w:t>
      </w:r>
      <w:r>
        <w:rPr>
          <w:rFonts w:ascii="宋体" w:hAnsi="宋体"/>
          <w:bCs/>
          <w:szCs w:val="21"/>
        </w:rPr>
        <w:t>.</w:t>
      </w:r>
      <w:r>
        <w:rPr>
          <w:rFonts w:hint="eastAsia" w:ascii="宋体" w:hAnsi="宋体"/>
          <w:bCs/>
          <w:szCs w:val="21"/>
        </w:rPr>
        <w:t>3</w:t>
      </w:r>
      <w:r>
        <w:rPr>
          <w:rFonts w:hint="eastAsia"/>
          <w:bCs/>
          <w:szCs w:val="21"/>
        </w:rPr>
        <w:t>逾期送达的</w:t>
      </w:r>
      <w:r>
        <w:rPr>
          <w:rFonts w:hint="eastAsia" w:ascii="宋体" w:hAnsi="宋体"/>
          <w:bCs/>
          <w:szCs w:val="21"/>
        </w:rPr>
        <w:t>电子投标文件，</w:t>
      </w:r>
      <w:r>
        <w:rPr>
          <w:rFonts w:hint="eastAsia" w:ascii="宋体" w:hAnsi="宋体" w:cs="宋体"/>
          <w:b/>
          <w:bCs/>
          <w:szCs w:val="21"/>
          <w:u w:val="single"/>
        </w:rPr>
        <w:t>广州交易集团有限公司（广州公共资源交易中心）</w:t>
      </w:r>
      <w:r>
        <w:rPr>
          <w:rFonts w:hint="eastAsia" w:ascii="宋体" w:hAnsi="宋体"/>
          <w:szCs w:val="21"/>
        </w:rPr>
        <w:t>交易平台将予以拒收。</w:t>
      </w:r>
    </w:p>
    <w:p w14:paraId="46A1FC84">
      <w:pPr>
        <w:spacing w:line="360" w:lineRule="auto"/>
        <w:ind w:firstLine="420" w:firstLineChars="200"/>
        <w:rPr>
          <w:rFonts w:ascii="宋体"/>
          <w:szCs w:val="21"/>
        </w:rPr>
      </w:pPr>
      <w:r>
        <w:rPr>
          <w:rFonts w:ascii="宋体" w:hAnsi="宋体"/>
          <w:szCs w:val="21"/>
        </w:rPr>
        <w:t>19.</w:t>
      </w:r>
      <w:r>
        <w:rPr>
          <w:rFonts w:hint="eastAsia" w:ascii="宋体" w:hAnsi="宋体"/>
          <w:szCs w:val="21"/>
        </w:rPr>
        <w:t>4</w:t>
      </w:r>
      <w:r>
        <w:rPr>
          <w:rFonts w:ascii="宋体" w:hAnsi="宋体"/>
          <w:szCs w:val="21"/>
        </w:rPr>
        <w:t xml:space="preserve"> </w:t>
      </w:r>
      <w:r>
        <w:rPr>
          <w:rFonts w:hint="eastAsia" w:ascii="宋体" w:hAnsi="宋体"/>
          <w:szCs w:val="21"/>
        </w:rPr>
        <w:t>投标截止前，</w:t>
      </w:r>
      <w:r>
        <w:rPr>
          <w:rFonts w:hint="eastAsia"/>
          <w:szCs w:val="21"/>
        </w:rPr>
        <w:t>招标人拒绝接收符合条件的投标文件，投标人可向招标投标监督机构投诉。</w:t>
      </w:r>
    </w:p>
    <w:p w14:paraId="4F6126C0">
      <w:pPr>
        <w:pBdr>
          <w:bottom w:val="single" w:color="auto" w:sz="6" w:space="1"/>
        </w:pBdr>
        <w:spacing w:line="360" w:lineRule="auto"/>
        <w:ind w:firstLine="525" w:firstLineChars="250"/>
        <w:rPr>
          <w:szCs w:val="21"/>
        </w:rPr>
      </w:pPr>
      <w:r>
        <w:rPr>
          <w:rFonts w:ascii="宋体" w:hAnsi="宋体"/>
          <w:szCs w:val="21"/>
        </w:rPr>
        <w:t>19.</w:t>
      </w:r>
      <w:r>
        <w:rPr>
          <w:rFonts w:hint="eastAsia" w:ascii="宋体" w:hAnsi="宋体"/>
          <w:szCs w:val="21"/>
        </w:rPr>
        <w:t>5如技术标和经济标先后分别开启，</w:t>
      </w:r>
      <w:r>
        <w:rPr>
          <w:rFonts w:hint="eastAsia" w:ascii="宋体" w:hAnsi="宋体" w:cs="宋体"/>
          <w:b/>
          <w:bCs/>
          <w:szCs w:val="21"/>
          <w:u w:val="single"/>
        </w:rPr>
        <w:t>广州交易集团有限公司（广州公共资源交易中心）</w:t>
      </w:r>
      <w:r>
        <w:rPr>
          <w:rFonts w:hint="eastAsia" w:ascii="宋体" w:hAnsi="宋体"/>
          <w:szCs w:val="21"/>
        </w:rPr>
        <w:t>交易平台将按招标文件规定的时间分别开启技术标和经济标。</w:t>
      </w:r>
    </w:p>
    <w:p w14:paraId="5D186293">
      <w:pPr>
        <w:spacing w:line="480" w:lineRule="auto"/>
        <w:ind w:firstLine="472" w:firstLineChars="224"/>
        <w:rPr>
          <w:b/>
          <w:szCs w:val="21"/>
        </w:rPr>
      </w:pPr>
      <w:r>
        <w:rPr>
          <w:rFonts w:hint="eastAsia"/>
          <w:b/>
          <w:szCs w:val="21"/>
        </w:rPr>
        <w:t>条款号：</w:t>
      </w:r>
      <w:r>
        <w:rPr>
          <w:rFonts w:ascii="宋体" w:hAnsi="宋体"/>
          <w:szCs w:val="21"/>
        </w:rPr>
        <w:t>20.3</w:t>
      </w:r>
      <w:r>
        <w:rPr>
          <w:b/>
          <w:szCs w:val="21"/>
        </w:rPr>
        <w:t xml:space="preserve">             </w:t>
      </w:r>
      <w:r>
        <w:rPr>
          <w:rFonts w:hint="eastAsia"/>
          <w:b/>
          <w:szCs w:val="21"/>
        </w:rPr>
        <w:t>修改类型：修改</w:t>
      </w:r>
    </w:p>
    <w:p w14:paraId="0B8A7E8B">
      <w:pPr>
        <w:pStyle w:val="5"/>
        <w:spacing w:after="0" w:line="360" w:lineRule="auto"/>
        <w:ind w:firstLine="422" w:firstLineChars="200"/>
        <w:rPr>
          <w:b/>
          <w:szCs w:val="21"/>
        </w:rPr>
      </w:pPr>
      <w:r>
        <w:rPr>
          <w:rFonts w:hint="eastAsia"/>
          <w:b/>
          <w:szCs w:val="21"/>
        </w:rPr>
        <w:t>原文：</w:t>
      </w:r>
      <w:r>
        <w:rPr>
          <w:rFonts w:ascii="宋体" w:hAnsi="宋体"/>
          <w:szCs w:val="21"/>
        </w:rPr>
        <w:t xml:space="preserve">20.3 </w:t>
      </w:r>
      <w:r>
        <w:rPr>
          <w:rFonts w:hint="eastAsia" w:ascii="宋体" w:hAnsi="宋体"/>
          <w:szCs w:val="21"/>
        </w:rPr>
        <w:t>到投标截止时间止，招标人收到的投标文件少于3家的，招标人将重新组织招标（当</w:t>
      </w:r>
      <w:r>
        <w:rPr>
          <w:rFonts w:ascii="宋体" w:hAnsi="宋体"/>
          <w:szCs w:val="21"/>
        </w:rPr>
        <w:t>N</w:t>
      </w:r>
      <w:r>
        <w:rPr>
          <w:rFonts w:hint="eastAsia" w:ascii="宋体" w:hAnsi="宋体"/>
          <w:szCs w:val="21"/>
        </w:rPr>
        <w:t>个标段同时招标且不允许兼中时，若有效投标人不足</w:t>
      </w:r>
      <w:r>
        <w:rPr>
          <w:rFonts w:ascii="宋体" w:hAnsi="宋体"/>
          <w:szCs w:val="21"/>
        </w:rPr>
        <w:t>N+</w:t>
      </w:r>
      <w:r>
        <w:rPr>
          <w:rFonts w:hint="eastAsia" w:ascii="宋体" w:hAnsi="宋体"/>
          <w:szCs w:val="21"/>
        </w:rPr>
        <w:t>2家，则重新组织招标）。</w:t>
      </w:r>
    </w:p>
    <w:p w14:paraId="5B254581">
      <w:pPr>
        <w:pBdr>
          <w:bottom w:val="single" w:color="auto" w:sz="6" w:space="1"/>
        </w:pBdr>
        <w:spacing w:line="360" w:lineRule="auto"/>
        <w:ind w:firstLine="527" w:firstLineChars="250"/>
      </w:pPr>
      <w:r>
        <w:rPr>
          <w:rFonts w:hint="eastAsia"/>
          <w:b/>
          <w:szCs w:val="21"/>
        </w:rPr>
        <w:t>现文：</w:t>
      </w:r>
      <w:r>
        <w:rPr>
          <w:rFonts w:ascii="宋体" w:hAnsi="宋体"/>
          <w:szCs w:val="21"/>
        </w:rPr>
        <w:t xml:space="preserve">20.3 </w:t>
      </w:r>
      <w:r>
        <w:rPr>
          <w:rFonts w:hint="eastAsia" w:ascii="宋体" w:hAnsi="宋体"/>
          <w:szCs w:val="21"/>
        </w:rPr>
        <w:t>到投标截止时间止，招标人收到的投标文件少于3家的，招标人将重新组织招标。</w:t>
      </w:r>
    </w:p>
    <w:p w14:paraId="3FE849BE">
      <w:pPr>
        <w:spacing w:line="480" w:lineRule="auto"/>
        <w:ind w:firstLine="472" w:firstLineChars="224"/>
        <w:rPr>
          <w:b/>
          <w:szCs w:val="21"/>
        </w:rPr>
      </w:pPr>
      <w:r>
        <w:rPr>
          <w:rFonts w:hint="eastAsia"/>
          <w:b/>
          <w:szCs w:val="21"/>
        </w:rPr>
        <w:t>条款号：</w:t>
      </w:r>
      <w:r>
        <w:rPr>
          <w:rFonts w:ascii="宋体" w:hAnsi="宋体"/>
          <w:szCs w:val="21"/>
        </w:rPr>
        <w:t>21.1</w:t>
      </w:r>
      <w:r>
        <w:rPr>
          <w:b/>
          <w:szCs w:val="21"/>
        </w:rPr>
        <w:t xml:space="preserve">             </w:t>
      </w:r>
      <w:r>
        <w:rPr>
          <w:rFonts w:hint="eastAsia"/>
          <w:b/>
          <w:szCs w:val="21"/>
        </w:rPr>
        <w:t>修改类型：修改</w:t>
      </w:r>
    </w:p>
    <w:p w14:paraId="4D61DCBB">
      <w:pPr>
        <w:pStyle w:val="5"/>
        <w:spacing w:after="0" w:line="360" w:lineRule="auto"/>
        <w:ind w:firstLine="422" w:firstLineChars="200"/>
        <w:rPr>
          <w:rFonts w:ascii="宋体"/>
          <w:sz w:val="24"/>
        </w:rPr>
      </w:pPr>
      <w:r>
        <w:rPr>
          <w:rFonts w:hint="eastAsia"/>
          <w:b/>
          <w:szCs w:val="21"/>
        </w:rPr>
        <w:t>原文：</w:t>
      </w:r>
      <w:r>
        <w:rPr>
          <w:rFonts w:ascii="宋体" w:hAnsi="宋体"/>
          <w:szCs w:val="21"/>
        </w:rPr>
        <w:t xml:space="preserve">21.1 </w:t>
      </w:r>
      <w:r>
        <w:rPr>
          <w:rFonts w:hint="eastAsia" w:ascii="宋体" w:hAnsi="宋体"/>
          <w:szCs w:val="21"/>
        </w:rPr>
        <w:t>本须知前附表第17项规定的投标截止时间</w:t>
      </w:r>
      <w:r>
        <w:rPr>
          <w:rFonts w:hint="eastAsia"/>
          <w:bCs/>
          <w:szCs w:val="21"/>
        </w:rPr>
        <w:t>后送达的</w:t>
      </w:r>
      <w:r>
        <w:rPr>
          <w:rFonts w:hint="eastAsia" w:ascii="宋体" w:hAnsi="宋体"/>
          <w:bCs/>
          <w:szCs w:val="21"/>
        </w:rPr>
        <w:t>电子投标文件，</w:t>
      </w:r>
      <w:r>
        <w:rPr>
          <w:szCs w:val="21"/>
          <w:u w:val="single"/>
        </w:rPr>
        <w:t xml:space="preserve">       </w:t>
      </w:r>
      <w:r>
        <w:rPr>
          <w:rFonts w:hint="eastAsia" w:ascii="宋体" w:hAnsi="宋体"/>
          <w:szCs w:val="21"/>
        </w:rPr>
        <w:t>交易平台将予以拒收。</w:t>
      </w:r>
    </w:p>
    <w:p w14:paraId="3E5DE28D">
      <w:pPr>
        <w:pBdr>
          <w:bottom w:val="single" w:color="auto" w:sz="6" w:space="1"/>
        </w:pBdr>
        <w:spacing w:line="360" w:lineRule="auto"/>
      </w:pPr>
      <w:r>
        <w:rPr>
          <w:rFonts w:hint="eastAsia"/>
          <w:b/>
          <w:szCs w:val="21"/>
        </w:rPr>
        <w:t>　　现文：</w:t>
      </w:r>
      <w:r>
        <w:rPr>
          <w:rFonts w:ascii="宋体" w:hAnsi="宋体"/>
          <w:szCs w:val="21"/>
        </w:rPr>
        <w:t xml:space="preserve">21.1 </w:t>
      </w:r>
      <w:r>
        <w:rPr>
          <w:rFonts w:hint="eastAsia" w:ascii="宋体" w:hAnsi="宋体"/>
          <w:szCs w:val="21"/>
        </w:rPr>
        <w:t>本须知前附表第17项规定的投标截止时间</w:t>
      </w:r>
      <w:r>
        <w:rPr>
          <w:rFonts w:hint="eastAsia"/>
          <w:bCs/>
          <w:szCs w:val="21"/>
        </w:rPr>
        <w:t>后送达的</w:t>
      </w:r>
      <w:r>
        <w:rPr>
          <w:rFonts w:hint="eastAsia" w:ascii="宋体" w:hAnsi="宋体"/>
          <w:bCs/>
          <w:szCs w:val="21"/>
        </w:rPr>
        <w:t>电子投标文件，</w:t>
      </w:r>
      <w:r>
        <w:rPr>
          <w:rFonts w:hint="eastAsia" w:ascii="宋体" w:hAnsi="宋体" w:cs="宋体"/>
          <w:b/>
          <w:bCs/>
          <w:szCs w:val="21"/>
          <w:u w:val="single"/>
        </w:rPr>
        <w:t>广州交易集团有限公司（广州公共资源交易中心）</w:t>
      </w:r>
      <w:r>
        <w:rPr>
          <w:rFonts w:hint="eastAsia" w:ascii="宋体" w:hAnsi="宋体"/>
          <w:szCs w:val="21"/>
        </w:rPr>
        <w:t>交易平台将予以拒收。</w:t>
      </w:r>
    </w:p>
    <w:p w14:paraId="32C9154A">
      <w:pPr>
        <w:spacing w:line="480" w:lineRule="auto"/>
        <w:ind w:firstLine="472" w:firstLineChars="224"/>
        <w:rPr>
          <w:b/>
          <w:szCs w:val="21"/>
        </w:rPr>
      </w:pPr>
      <w:r>
        <w:rPr>
          <w:rFonts w:hint="eastAsia"/>
          <w:b/>
          <w:szCs w:val="21"/>
        </w:rPr>
        <w:t>条款号：</w:t>
      </w:r>
      <w:r>
        <w:rPr>
          <w:rFonts w:hint="eastAsia" w:ascii="宋体" w:hAnsi="宋体"/>
          <w:szCs w:val="21"/>
        </w:rPr>
        <w:t>28.1</w:t>
      </w:r>
      <w:r>
        <w:rPr>
          <w:b/>
          <w:szCs w:val="21"/>
        </w:rPr>
        <w:t xml:space="preserve">             </w:t>
      </w:r>
      <w:r>
        <w:rPr>
          <w:rFonts w:hint="eastAsia"/>
          <w:b/>
          <w:szCs w:val="21"/>
        </w:rPr>
        <w:t>修改类型：修改</w:t>
      </w:r>
    </w:p>
    <w:p w14:paraId="67427818">
      <w:pPr>
        <w:spacing w:line="360" w:lineRule="auto"/>
        <w:ind w:firstLine="422" w:firstLineChars="200"/>
      </w:pPr>
      <w:r>
        <w:rPr>
          <w:rFonts w:hint="eastAsia"/>
          <w:b/>
          <w:szCs w:val="21"/>
        </w:rPr>
        <w:t>原文：</w:t>
      </w:r>
      <w:r>
        <w:rPr>
          <w:rFonts w:hint="eastAsia" w:ascii="宋体" w:hAnsi="宋体"/>
          <w:szCs w:val="21"/>
        </w:rPr>
        <w:t>28.1招标人将在</w:t>
      </w:r>
      <w:r>
        <w:rPr>
          <w:rFonts w:hint="eastAsia" w:ascii="宋体" w:hAnsi="宋体"/>
          <w:szCs w:val="21"/>
          <w:u w:val="single"/>
        </w:rPr>
        <w:t xml:space="preserve">        </w:t>
      </w:r>
      <w:r>
        <w:rPr>
          <w:rFonts w:hint="eastAsia" w:ascii="宋体" w:hAnsi="宋体"/>
          <w:szCs w:val="21"/>
        </w:rPr>
        <w:t>交易平台、广东省招标投标监管网和中国招标投标公共服务平台公示中标候选人，公示期为三天（最后一天应为工作日）。投标人或其他利害关系人对评标结果有异议的，应当在中标候选人公示期间提出，通过电子交易系统向招标人提出异议，招标人也应通过交易平台答复线上提交的异议，具体按照电子招标投标交易平台相关指南进行操作。作出答复前，应当暂停招标投标活动。</w:t>
      </w:r>
      <w:r>
        <w:rPr>
          <w:rFonts w:hint="eastAsia" w:ascii="宋体" w:hAnsi="宋体"/>
          <w:szCs w:val="21"/>
          <w:u w:val="single"/>
        </w:rPr>
        <w:t>投标人提出异议时需在线提交书面的异议书（异议书应清晰表述异议事项、依据、线索、请求或主张、有效的联系方式等）并附法定代表人证明书、有效的授权委托书、被授权人的有效身份证明。</w:t>
      </w:r>
    </w:p>
    <w:p w14:paraId="7C06241B">
      <w:pPr>
        <w:pBdr>
          <w:bottom w:val="single" w:color="auto" w:sz="6" w:space="1"/>
        </w:pBdr>
        <w:spacing w:line="360" w:lineRule="auto"/>
        <w:ind w:firstLine="527" w:firstLineChars="250"/>
      </w:pPr>
      <w:r>
        <w:rPr>
          <w:rFonts w:hint="eastAsia"/>
          <w:b/>
          <w:szCs w:val="21"/>
        </w:rPr>
        <w:t>现文：</w:t>
      </w:r>
      <w:r>
        <w:rPr>
          <w:rFonts w:hint="eastAsia" w:ascii="宋体" w:hAnsi="宋体"/>
          <w:szCs w:val="21"/>
        </w:rPr>
        <w:t>28.1招标人将在</w:t>
      </w:r>
      <w:r>
        <w:rPr>
          <w:rFonts w:hint="eastAsia" w:ascii="宋体" w:hAnsi="宋体" w:cs="宋体"/>
          <w:b/>
          <w:bCs/>
          <w:szCs w:val="21"/>
          <w:u w:val="single"/>
        </w:rPr>
        <w:t>广州交易集团有限公司（广州公共资源交易中心）</w:t>
      </w:r>
      <w:r>
        <w:rPr>
          <w:rFonts w:hint="eastAsia" w:ascii="宋体" w:hAnsi="宋体"/>
          <w:szCs w:val="21"/>
        </w:rPr>
        <w:t>交易平台、广东省招标投标监管网和中国招标投标公共服务平台公示中标候选人，公示期为三天（最后一天应为工作日）。投标人或其他利害关系人对评标结果有异议的，应当在中标候选人公示期间提出，通过电子交易系统向招标人提出异议，招标人也应通过交易平台答复线上提交的异议，具体按照电子招标投标交易平台相关指南进行操作。作出答复前，应当暂停招标投标活动。</w:t>
      </w:r>
      <w:r>
        <w:rPr>
          <w:rFonts w:hint="eastAsia" w:ascii="宋体" w:hAnsi="宋体"/>
          <w:szCs w:val="21"/>
          <w:u w:val="single"/>
        </w:rPr>
        <w:t>投标人提出异议时需在线提交书面的异议书（异议书应清晰表述异议事项、依据、线索、请求或主张、有效的联系方式等）并附法定代表人证明书、有效的授权委托书、被授权人的有效身份证明。</w:t>
      </w:r>
    </w:p>
    <w:p w14:paraId="12A41586">
      <w:pPr>
        <w:spacing w:line="480" w:lineRule="auto"/>
        <w:ind w:firstLine="472" w:firstLineChars="224"/>
        <w:rPr>
          <w:b/>
          <w:szCs w:val="21"/>
        </w:rPr>
      </w:pPr>
      <w:r>
        <w:rPr>
          <w:rFonts w:hint="eastAsia"/>
          <w:b/>
          <w:szCs w:val="21"/>
        </w:rPr>
        <w:t>条款号：</w:t>
      </w:r>
      <w:r>
        <w:rPr>
          <w:rFonts w:hint="eastAsia" w:ascii="宋体" w:hAnsi="宋体"/>
          <w:szCs w:val="21"/>
        </w:rPr>
        <w:t>28.4</w:t>
      </w:r>
      <w:r>
        <w:rPr>
          <w:b/>
          <w:szCs w:val="21"/>
        </w:rPr>
        <w:t xml:space="preserve">             </w:t>
      </w:r>
      <w:r>
        <w:rPr>
          <w:rFonts w:hint="eastAsia"/>
          <w:b/>
          <w:szCs w:val="21"/>
        </w:rPr>
        <w:t>修改类型：修改</w:t>
      </w:r>
    </w:p>
    <w:p w14:paraId="3BDA76F1">
      <w:pPr>
        <w:spacing w:line="360" w:lineRule="auto"/>
        <w:ind w:firstLine="422" w:firstLineChars="200"/>
        <w:rPr>
          <w:rFonts w:hint="eastAsia" w:ascii="宋体" w:hAnsi="宋体"/>
          <w:sz w:val="24"/>
        </w:rPr>
      </w:pPr>
      <w:r>
        <w:rPr>
          <w:rFonts w:hint="eastAsia"/>
          <w:b/>
          <w:szCs w:val="21"/>
        </w:rPr>
        <w:t>原文：</w:t>
      </w:r>
      <w:r>
        <w:rPr>
          <w:rFonts w:hint="eastAsia" w:ascii="宋体" w:hAnsi="宋体"/>
          <w:szCs w:val="21"/>
        </w:rPr>
        <w:t>28.4在产生中标候选人后，招标人将中标候选人的投标文件商务部分文件的所有内容（包括人员、业绩、奖项等资料）在</w:t>
      </w:r>
      <w:r>
        <w:rPr>
          <w:rFonts w:hint="eastAsia" w:ascii="宋体" w:hAnsi="宋体"/>
          <w:szCs w:val="21"/>
          <w:u w:val="single"/>
        </w:rPr>
        <w:t xml:space="preserve">        </w:t>
      </w:r>
      <w:r>
        <w:rPr>
          <w:rFonts w:hint="eastAsia" w:ascii="宋体" w:hAnsi="宋体"/>
          <w:szCs w:val="21"/>
        </w:rPr>
        <w:t>交易平台和广东省招标投标监管网公开。</w:t>
      </w:r>
    </w:p>
    <w:p w14:paraId="4711DD68">
      <w:pPr>
        <w:pBdr>
          <w:bottom w:val="single" w:color="auto" w:sz="6" w:space="1"/>
        </w:pBdr>
        <w:spacing w:line="360" w:lineRule="auto"/>
        <w:rPr>
          <w:szCs w:val="21"/>
        </w:rPr>
      </w:pPr>
      <w:r>
        <w:rPr>
          <w:rFonts w:hint="eastAsia"/>
          <w:b/>
          <w:szCs w:val="21"/>
        </w:rPr>
        <w:t>　　现文：</w:t>
      </w:r>
      <w:r>
        <w:rPr>
          <w:rFonts w:hint="eastAsia" w:ascii="宋体" w:hAnsi="宋体"/>
          <w:szCs w:val="21"/>
        </w:rPr>
        <w:t>28.4在产生中标候选人后，招标人将中标候选人的投标文件商务部分文件的所有内容（包括人员、业绩、奖项等资料）在</w:t>
      </w:r>
      <w:r>
        <w:rPr>
          <w:rFonts w:hint="eastAsia" w:ascii="宋体" w:hAnsi="宋体" w:cs="宋体"/>
          <w:b/>
          <w:bCs/>
          <w:szCs w:val="21"/>
          <w:u w:val="single"/>
        </w:rPr>
        <w:t>广州交易集团有限公司（广州公共资源交易中心）</w:t>
      </w:r>
      <w:r>
        <w:rPr>
          <w:rFonts w:hint="eastAsia" w:ascii="宋体" w:hAnsi="宋体"/>
          <w:szCs w:val="21"/>
        </w:rPr>
        <w:t>交易平台和广东省招标投标监管网公开。</w:t>
      </w:r>
    </w:p>
    <w:p w14:paraId="1367C12A">
      <w:pPr>
        <w:spacing w:line="480" w:lineRule="auto"/>
        <w:ind w:firstLine="472" w:firstLineChars="224"/>
        <w:rPr>
          <w:b/>
          <w:szCs w:val="21"/>
        </w:rPr>
      </w:pPr>
      <w:r>
        <w:rPr>
          <w:rFonts w:hint="eastAsia"/>
          <w:b/>
          <w:szCs w:val="21"/>
        </w:rPr>
        <w:t>条款号：</w:t>
      </w:r>
      <w:r>
        <w:rPr>
          <w:rFonts w:hint="eastAsia" w:ascii="宋体" w:hAnsi="宋体"/>
          <w:szCs w:val="21"/>
        </w:rPr>
        <w:t xml:space="preserve">28.5  </w:t>
      </w:r>
      <w:r>
        <w:rPr>
          <w:b/>
          <w:szCs w:val="21"/>
        </w:rPr>
        <w:t xml:space="preserve">          </w:t>
      </w:r>
      <w:r>
        <w:rPr>
          <w:rFonts w:hint="eastAsia"/>
          <w:b/>
          <w:szCs w:val="21"/>
        </w:rPr>
        <w:t>修改类型：删除</w:t>
      </w:r>
    </w:p>
    <w:p w14:paraId="0E6A2EB2">
      <w:pPr>
        <w:pBdr>
          <w:bottom w:val="single" w:color="auto" w:sz="6" w:space="1"/>
        </w:pBdr>
        <w:spacing w:line="360" w:lineRule="auto"/>
        <w:ind w:firstLine="527" w:firstLineChars="250"/>
      </w:pPr>
      <w:r>
        <w:rPr>
          <w:rFonts w:hint="eastAsia"/>
          <w:b/>
          <w:szCs w:val="21"/>
        </w:rPr>
        <w:t>原文：</w:t>
      </w:r>
      <w:r>
        <w:rPr>
          <w:rFonts w:hint="eastAsia" w:ascii="宋体" w:hAnsi="宋体"/>
          <w:szCs w:val="21"/>
        </w:rPr>
        <w:t>28.5（适用于轨道交通建设项目）如项目采用整体发包的形式开展施工总承包招标，且后续需分段办理监督手续，确定中标单位后，招标人在向中标单位发出的中标通知书中一并标注施工总承包项目经理和各段项目经理。</w:t>
      </w:r>
    </w:p>
    <w:p w14:paraId="1A8E0C40">
      <w:pPr>
        <w:spacing w:line="480" w:lineRule="auto"/>
        <w:ind w:firstLine="472" w:firstLineChars="224"/>
        <w:rPr>
          <w:b/>
          <w:szCs w:val="21"/>
        </w:rPr>
      </w:pPr>
      <w:r>
        <w:rPr>
          <w:rFonts w:hint="eastAsia"/>
          <w:b/>
          <w:szCs w:val="21"/>
        </w:rPr>
        <w:t>条款号：</w:t>
      </w:r>
      <w:r>
        <w:rPr>
          <w:rFonts w:hint="eastAsia" w:ascii="宋体" w:hAnsi="宋体"/>
          <w:szCs w:val="21"/>
        </w:rPr>
        <w:t>29.2</w:t>
      </w:r>
      <w:r>
        <w:rPr>
          <w:b/>
          <w:szCs w:val="21"/>
        </w:rPr>
        <w:t xml:space="preserve">             </w:t>
      </w:r>
      <w:r>
        <w:rPr>
          <w:rFonts w:hint="eastAsia"/>
          <w:b/>
          <w:szCs w:val="21"/>
        </w:rPr>
        <w:t>修改类型：修改</w:t>
      </w:r>
    </w:p>
    <w:p w14:paraId="5678C5D2">
      <w:pPr>
        <w:spacing w:line="360" w:lineRule="auto"/>
        <w:ind w:firstLine="422" w:firstLineChars="200"/>
        <w:rPr>
          <w:rFonts w:ascii="宋体"/>
          <w:sz w:val="24"/>
        </w:rPr>
      </w:pPr>
      <w:r>
        <w:rPr>
          <w:rFonts w:hint="eastAsia"/>
          <w:b/>
          <w:szCs w:val="21"/>
        </w:rPr>
        <w:t>原文：</w:t>
      </w:r>
      <w:r>
        <w:rPr>
          <w:rFonts w:hint="eastAsia" w:ascii="宋体" w:hAnsi="宋体"/>
          <w:szCs w:val="21"/>
        </w:rPr>
        <w:t>29.2中标通知书发出之日起30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7249E992">
      <w:pPr>
        <w:pBdr>
          <w:bottom w:val="single" w:color="auto" w:sz="6" w:space="1"/>
        </w:pBdr>
        <w:spacing w:line="360" w:lineRule="auto"/>
        <w:ind w:firstLine="527" w:firstLineChars="250"/>
        <w:rPr>
          <w:u w:val="single"/>
        </w:rPr>
      </w:pPr>
      <w:r>
        <w:rPr>
          <w:rFonts w:hint="eastAsia"/>
          <w:b/>
          <w:szCs w:val="21"/>
        </w:rPr>
        <w:t>现文：</w:t>
      </w:r>
      <w:r>
        <w:rPr>
          <w:rFonts w:ascii="宋体" w:hAnsi="宋体"/>
          <w:szCs w:val="21"/>
        </w:rPr>
        <w:t>2</w:t>
      </w:r>
      <w:r>
        <w:rPr>
          <w:rFonts w:hint="eastAsia" w:ascii="宋体" w:hAnsi="宋体"/>
          <w:szCs w:val="21"/>
        </w:rPr>
        <w:t>9</w:t>
      </w:r>
      <w:r>
        <w:rPr>
          <w:rFonts w:ascii="宋体" w:hAnsi="宋体"/>
          <w:szCs w:val="21"/>
        </w:rPr>
        <w:t>.2</w:t>
      </w:r>
      <w:r>
        <w:rPr>
          <w:rFonts w:hint="eastAsia" w:ascii="宋体" w:hAnsi="宋体"/>
          <w:szCs w:val="21"/>
        </w:rPr>
        <w:t>中标通知书发出之日起</w:t>
      </w:r>
      <w:r>
        <w:rPr>
          <w:rFonts w:ascii="宋体" w:hAnsi="宋体"/>
          <w:szCs w:val="21"/>
        </w:rPr>
        <w:t>30</w:t>
      </w:r>
      <w:r>
        <w:rPr>
          <w:rFonts w:hint="eastAsia" w:ascii="宋体" w:hAnsi="宋体"/>
          <w:szCs w:val="21"/>
        </w:rPr>
        <w:t>日后，中标人未按上款的规定与招标人订立合同，招标人将解除中标通知书，</w:t>
      </w:r>
      <w:r>
        <w:rPr>
          <w:rFonts w:hint="eastAsia" w:ascii="宋体" w:hAnsi="宋体"/>
          <w:szCs w:val="21"/>
          <w:u w:val="single"/>
        </w:rPr>
        <w:t>原中标人依法承担相应法律责任。原中标人给招标人造成的损失，还应当予以赔偿。原中标人有异议的，可以向发包人所在地广州仲裁委员会申请仲裁。</w:t>
      </w:r>
    </w:p>
    <w:p w14:paraId="18926F8A">
      <w:pPr>
        <w:spacing w:line="480" w:lineRule="auto"/>
        <w:ind w:firstLine="472" w:firstLineChars="224"/>
        <w:rPr>
          <w:b/>
          <w:szCs w:val="21"/>
        </w:rPr>
      </w:pPr>
      <w:r>
        <w:rPr>
          <w:rFonts w:hint="eastAsia"/>
          <w:b/>
          <w:szCs w:val="21"/>
        </w:rPr>
        <w:t>条款号：</w:t>
      </w:r>
      <w:r>
        <w:rPr>
          <w:rFonts w:hint="eastAsia" w:ascii="宋体" w:hAnsi="宋体"/>
          <w:szCs w:val="21"/>
        </w:rPr>
        <w:t>30</w:t>
      </w:r>
      <w:r>
        <w:rPr>
          <w:rFonts w:ascii="宋体" w:hAnsi="宋体"/>
          <w:szCs w:val="21"/>
        </w:rPr>
        <w:t>.2</w:t>
      </w:r>
      <w:r>
        <w:rPr>
          <w:b/>
          <w:szCs w:val="21"/>
        </w:rPr>
        <w:t xml:space="preserve">             </w:t>
      </w:r>
      <w:r>
        <w:rPr>
          <w:rFonts w:hint="eastAsia"/>
          <w:b/>
          <w:szCs w:val="21"/>
        </w:rPr>
        <w:t>修改类型：修改</w:t>
      </w:r>
    </w:p>
    <w:p w14:paraId="44CDD162">
      <w:pPr>
        <w:pStyle w:val="5"/>
        <w:spacing w:after="0" w:line="360" w:lineRule="auto"/>
        <w:ind w:firstLine="422" w:firstLineChars="200"/>
        <w:rPr>
          <w:rFonts w:hint="eastAsia" w:ascii="宋体" w:hAnsi="宋体"/>
          <w:szCs w:val="21"/>
        </w:rPr>
      </w:pPr>
      <w:r>
        <w:rPr>
          <w:rFonts w:hint="eastAsia"/>
          <w:b/>
          <w:szCs w:val="21"/>
        </w:rPr>
        <w:t>原文：</w:t>
      </w:r>
      <w:r>
        <w:rPr>
          <w:rFonts w:hint="eastAsia" w:ascii="宋体" w:hAnsi="宋体"/>
          <w:szCs w:val="21"/>
        </w:rPr>
        <w:t>30.2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26E664AF">
      <w:pPr>
        <w:pBdr>
          <w:bottom w:val="single" w:color="auto" w:sz="6" w:space="1"/>
        </w:pBdr>
        <w:spacing w:line="360" w:lineRule="auto"/>
        <w:ind w:firstLine="527" w:firstLineChars="250"/>
      </w:pPr>
      <w:r>
        <w:rPr>
          <w:rFonts w:hint="eastAsia"/>
          <w:b/>
          <w:szCs w:val="21"/>
        </w:rPr>
        <w:t>现文：</w:t>
      </w:r>
      <w:r>
        <w:rPr>
          <w:rFonts w:hint="eastAsia" w:ascii="宋体" w:hAnsi="宋体"/>
          <w:szCs w:val="21"/>
        </w:rPr>
        <w:t>30</w:t>
      </w:r>
      <w:r>
        <w:rPr>
          <w:rFonts w:ascii="宋体" w:hAnsi="宋体"/>
          <w:szCs w:val="21"/>
        </w:rPr>
        <w:t>.2</w:t>
      </w:r>
      <w:r>
        <w:rPr>
          <w:rFonts w:hint="eastAsia" w:ascii="宋体" w:hAnsi="宋体"/>
          <w:szCs w:val="21"/>
        </w:rPr>
        <w:t>中标通知书发出之日起</w:t>
      </w:r>
      <w:r>
        <w:rPr>
          <w:rFonts w:ascii="宋体" w:hAnsi="宋体"/>
          <w:szCs w:val="21"/>
        </w:rPr>
        <w:t>15</w:t>
      </w:r>
      <w:r>
        <w:rPr>
          <w:rFonts w:hint="eastAsia" w:ascii="宋体" w:hAnsi="宋体"/>
          <w:szCs w:val="21"/>
        </w:rPr>
        <w:t>日后，中标人未按上款的规定提交履约担保，招标人将解除中标通知书，</w:t>
      </w:r>
      <w:r>
        <w:rPr>
          <w:rFonts w:hint="eastAsia" w:ascii="宋体" w:hAnsi="宋体"/>
          <w:szCs w:val="21"/>
          <w:u w:val="single"/>
        </w:rPr>
        <w:t>原中标人依法承担相应法律责任。原中标人给招标人造成的损失，还应当予以赔偿。原中标人有异议的，可以向发包人所在地广州仲裁委员会申请仲裁。</w:t>
      </w:r>
    </w:p>
    <w:p w14:paraId="6FB15D5F">
      <w:pPr>
        <w:spacing w:line="480" w:lineRule="auto"/>
        <w:ind w:firstLine="472" w:firstLineChars="224"/>
        <w:rPr>
          <w:b/>
          <w:szCs w:val="21"/>
        </w:rPr>
      </w:pPr>
      <w:r>
        <w:rPr>
          <w:rFonts w:hint="eastAsia"/>
          <w:b/>
          <w:szCs w:val="21"/>
        </w:rPr>
        <w:t>条款号：</w:t>
      </w:r>
      <w:r>
        <w:rPr>
          <w:rFonts w:hint="eastAsia" w:ascii="宋体" w:hAnsi="宋体"/>
          <w:b/>
          <w:bCs/>
          <w:szCs w:val="21"/>
          <w:u w:val="single"/>
        </w:rPr>
        <w:t>34其它费用</w:t>
      </w:r>
      <w:r>
        <w:rPr>
          <w:b/>
          <w:szCs w:val="21"/>
        </w:rPr>
        <w:t xml:space="preserve">             </w:t>
      </w:r>
      <w:r>
        <w:rPr>
          <w:rFonts w:hint="eastAsia"/>
          <w:b/>
          <w:szCs w:val="21"/>
        </w:rPr>
        <w:t>修改类型：增加</w:t>
      </w:r>
    </w:p>
    <w:p w14:paraId="0257F083">
      <w:pPr>
        <w:pBdr>
          <w:bottom w:val="single" w:color="auto" w:sz="6" w:space="1"/>
        </w:pBdr>
        <w:spacing w:line="360" w:lineRule="auto"/>
        <w:ind w:firstLine="527" w:firstLineChars="250"/>
        <w:rPr>
          <w:rFonts w:hint="eastAsia" w:ascii="宋体" w:hAnsi="宋体"/>
          <w:b/>
          <w:bCs/>
          <w:szCs w:val="21"/>
          <w:u w:val="single"/>
        </w:rPr>
      </w:pPr>
      <w:r>
        <w:rPr>
          <w:rFonts w:hint="eastAsia"/>
          <w:b/>
          <w:szCs w:val="21"/>
        </w:rPr>
        <w:t>现文：</w:t>
      </w:r>
      <w:r>
        <w:rPr>
          <w:rFonts w:hint="eastAsia" w:ascii="宋体" w:hAnsi="宋体"/>
          <w:b/>
          <w:bCs/>
          <w:szCs w:val="21"/>
          <w:u w:val="single"/>
        </w:rPr>
        <w:t>34.其它费用</w:t>
      </w:r>
    </w:p>
    <w:p w14:paraId="02B293C1">
      <w:pPr>
        <w:pBdr>
          <w:bottom w:val="single" w:color="auto" w:sz="6" w:space="1"/>
        </w:pBdr>
        <w:spacing w:line="360" w:lineRule="auto"/>
        <w:ind w:firstLine="527" w:firstLineChars="250"/>
        <w:rPr>
          <w:rFonts w:hint="eastAsia" w:ascii="宋体" w:hAnsi="宋体"/>
          <w:b/>
          <w:bCs/>
          <w:szCs w:val="21"/>
          <w:u w:val="single"/>
        </w:rPr>
      </w:pPr>
      <w:r>
        <w:rPr>
          <w:rFonts w:hint="eastAsia" w:ascii="宋体" w:hAnsi="宋体"/>
          <w:b/>
          <w:bCs/>
          <w:szCs w:val="21"/>
          <w:u w:val="single"/>
        </w:rPr>
        <w:t>根据广州市政府相关文件的规定，向广州交易集团有限公司（广州公共资源交易中心）交纳交易服务费。</w:t>
      </w:r>
    </w:p>
    <w:p w14:paraId="17DB1581">
      <w:pPr>
        <w:spacing w:line="360" w:lineRule="auto"/>
        <w:ind w:firstLine="211" w:firstLineChars="100"/>
        <w:rPr>
          <w:b/>
          <w:szCs w:val="21"/>
        </w:rPr>
      </w:pPr>
      <w:r>
        <w:rPr>
          <w:rFonts w:hint="eastAsia"/>
          <w:b/>
          <w:szCs w:val="21"/>
        </w:rPr>
        <w:t>注：以上修改，仅限于本范本中有可供选择条款的情形。</w:t>
      </w:r>
    </w:p>
    <w:p w14:paraId="4AD4BDCA">
      <w:pPr>
        <w:spacing w:line="360" w:lineRule="auto"/>
      </w:pPr>
      <w:r>
        <w:rPr>
          <w:rFonts w:hint="eastAsia"/>
          <w:b/>
          <w:szCs w:val="21"/>
        </w:rPr>
        <w:t>（以下无正文）</w:t>
      </w:r>
    </w:p>
    <w:p w14:paraId="5E81CEFC">
      <w:bookmarkStart w:id="16" w:name="_Toc12778"/>
      <w:bookmarkStart w:id="17" w:name="_Toc2272548"/>
      <w:bookmarkStart w:id="18" w:name="_Toc21525492"/>
      <w:r>
        <w:rPr>
          <w:rFonts w:hint="eastAsia"/>
        </w:rPr>
        <w:br w:type="page"/>
      </w:r>
    </w:p>
    <w:p w14:paraId="34EE70B1">
      <w:pPr>
        <w:pStyle w:val="7"/>
        <w:rPr>
          <w:color w:val="auto"/>
        </w:rPr>
      </w:pPr>
      <w:bookmarkStart w:id="19" w:name="_Toc27821"/>
      <w:r>
        <w:rPr>
          <w:rFonts w:hint="eastAsia"/>
          <w:color w:val="auto"/>
        </w:rPr>
        <w:t>三、投标须知通用条款</w:t>
      </w:r>
      <w:bookmarkEnd w:id="16"/>
      <w:bookmarkEnd w:id="17"/>
      <w:bookmarkEnd w:id="18"/>
      <w:bookmarkEnd w:id="19"/>
    </w:p>
    <w:p w14:paraId="3A65F34B">
      <w:pPr>
        <w:pStyle w:val="9"/>
        <w:rPr>
          <w:rFonts w:hint="eastAsia"/>
        </w:rPr>
      </w:pPr>
      <w:bookmarkStart w:id="20" w:name="_Toc752"/>
      <w:bookmarkStart w:id="21" w:name="_Toc32182"/>
      <w:bookmarkStart w:id="22" w:name="_Toc2272549"/>
      <w:bookmarkStart w:id="23" w:name="_Toc21525493"/>
      <w:r>
        <w:rPr>
          <w:rFonts w:hint="eastAsia"/>
        </w:rPr>
        <w:t>（一）总则</w:t>
      </w:r>
      <w:bookmarkEnd w:id="20"/>
      <w:bookmarkEnd w:id="21"/>
      <w:bookmarkEnd w:id="22"/>
      <w:bookmarkEnd w:id="23"/>
    </w:p>
    <w:p w14:paraId="7433588A">
      <w:pPr>
        <w:pStyle w:val="5"/>
        <w:spacing w:after="0" w:line="360" w:lineRule="auto"/>
        <w:ind w:firstLine="482" w:firstLineChars="200"/>
        <w:rPr>
          <w:rFonts w:ascii="宋体"/>
          <w:b/>
          <w:bCs/>
          <w:sz w:val="24"/>
        </w:rPr>
      </w:pPr>
      <w:r>
        <w:rPr>
          <w:rFonts w:ascii="宋体" w:hAnsi="宋体"/>
          <w:b/>
          <w:bCs/>
          <w:sz w:val="24"/>
        </w:rPr>
        <w:t>1</w:t>
      </w:r>
      <w:r>
        <w:rPr>
          <w:rFonts w:hint="eastAsia" w:ascii="宋体" w:hAnsi="宋体"/>
          <w:b/>
          <w:bCs/>
          <w:sz w:val="24"/>
        </w:rPr>
        <w:t>、定义</w:t>
      </w:r>
    </w:p>
    <w:p w14:paraId="70D88D3B">
      <w:pPr>
        <w:pStyle w:val="5"/>
        <w:spacing w:after="0" w:line="360" w:lineRule="auto"/>
        <w:ind w:firstLine="480" w:firstLineChars="200"/>
        <w:rPr>
          <w:rFonts w:ascii="宋体"/>
          <w:b/>
          <w:bCs/>
          <w:sz w:val="24"/>
        </w:rPr>
      </w:pPr>
      <w:r>
        <w:rPr>
          <w:rFonts w:hint="eastAsia" w:ascii="宋体" w:hAnsi="宋体"/>
          <w:sz w:val="24"/>
        </w:rPr>
        <w:t>本招标文件使用的下列词语具有如下规定的意义：</w:t>
      </w:r>
    </w:p>
    <w:p w14:paraId="3EAF0E3D">
      <w:pPr>
        <w:pStyle w:val="5"/>
        <w:spacing w:after="0" w:line="360" w:lineRule="auto"/>
        <w:ind w:firstLine="480" w:firstLineChars="200"/>
        <w:rPr>
          <w:rFonts w:ascii="宋体"/>
          <w:b/>
          <w:bCs/>
          <w:sz w:val="24"/>
          <w:u w:val="single"/>
        </w:rPr>
      </w:pPr>
      <w:r>
        <w:rPr>
          <w:rFonts w:hint="eastAsia" w:ascii="宋体" w:hAnsi="宋体"/>
          <w:sz w:val="24"/>
        </w:rPr>
        <w:t>（</w:t>
      </w:r>
      <w:r>
        <w:rPr>
          <w:rFonts w:ascii="宋体" w:hAnsi="宋体"/>
          <w:sz w:val="24"/>
        </w:rPr>
        <w:t>1</w:t>
      </w:r>
      <w:r>
        <w:rPr>
          <w:rFonts w:hint="eastAsia" w:ascii="宋体" w:hAnsi="宋体"/>
          <w:sz w:val="24"/>
        </w:rPr>
        <w:t>）“招标人”（即发包人）、“项目建设管理单位</w:t>
      </w:r>
      <w:r>
        <w:rPr>
          <w:rFonts w:hint="eastAsia" w:ascii="宋体"/>
          <w:sz w:val="24"/>
        </w:rPr>
        <w:t>”</w:t>
      </w:r>
      <w:r>
        <w:rPr>
          <w:rFonts w:hint="eastAsia" w:ascii="宋体" w:hAnsi="宋体"/>
          <w:sz w:val="24"/>
        </w:rPr>
        <w:t>（或称“项目代建单位”）、“招标代理”、“设计单位”、“监理单位”均已在投标须知前附表中列明。</w:t>
      </w:r>
    </w:p>
    <w:p w14:paraId="5CC21319">
      <w:pPr>
        <w:pStyle w:val="5"/>
        <w:spacing w:after="0" w:line="360" w:lineRule="auto"/>
        <w:ind w:firstLine="480" w:firstLineChars="200"/>
        <w:rPr>
          <w:rFonts w:ascii="宋体"/>
          <w:sz w:val="24"/>
          <w:u w:val="single"/>
        </w:rPr>
      </w:pPr>
      <w:r>
        <w:rPr>
          <w:rFonts w:hint="eastAsia" w:ascii="宋体" w:hAnsi="宋体"/>
          <w:sz w:val="24"/>
        </w:rPr>
        <w:t>（</w:t>
      </w:r>
      <w:r>
        <w:rPr>
          <w:rFonts w:ascii="宋体" w:hAnsi="宋体"/>
          <w:sz w:val="24"/>
        </w:rPr>
        <w:t>2</w:t>
      </w:r>
      <w:r>
        <w:rPr>
          <w:rFonts w:hint="eastAsia" w:ascii="宋体" w:hAnsi="宋体"/>
          <w:sz w:val="24"/>
        </w:rPr>
        <w:t>）“投标人”指向招标人提交投标文件的当事人。</w:t>
      </w:r>
      <w:r>
        <w:rPr>
          <w:rFonts w:ascii="宋体" w:hAnsi="宋体"/>
          <w:sz w:val="24"/>
        </w:rPr>
        <w:t xml:space="preserve">   </w:t>
      </w:r>
    </w:p>
    <w:p w14:paraId="1C63973A">
      <w:pPr>
        <w:pStyle w:val="5"/>
        <w:spacing w:after="0" w:line="360" w:lineRule="auto"/>
        <w:ind w:firstLine="480" w:firstLineChars="200"/>
        <w:rPr>
          <w:rFonts w:ascii="宋体"/>
          <w:sz w:val="24"/>
        </w:rPr>
      </w:pPr>
      <w:r>
        <w:rPr>
          <w:rFonts w:hint="eastAsia" w:ascii="宋体" w:hAnsi="宋体"/>
          <w:sz w:val="24"/>
        </w:rPr>
        <w:t>（</w:t>
      </w:r>
      <w:r>
        <w:rPr>
          <w:rFonts w:ascii="宋体" w:hAnsi="宋体"/>
          <w:sz w:val="24"/>
        </w:rPr>
        <w:t>3</w:t>
      </w:r>
      <w:r>
        <w:rPr>
          <w:rFonts w:hint="eastAsia" w:ascii="宋体" w:hAnsi="宋体"/>
          <w:sz w:val="24"/>
        </w:rPr>
        <w:t>）“承包人”指其投标被招标人接受并与其签订承包合同的当事人。</w:t>
      </w:r>
    </w:p>
    <w:p w14:paraId="33AD4A30">
      <w:pPr>
        <w:pStyle w:val="5"/>
        <w:spacing w:after="0" w:line="360" w:lineRule="auto"/>
        <w:ind w:firstLine="480" w:firstLineChars="200"/>
        <w:rPr>
          <w:rFonts w:ascii="宋体"/>
          <w:sz w:val="24"/>
          <w:u w:val="single"/>
        </w:rPr>
      </w:pPr>
      <w:r>
        <w:rPr>
          <w:rFonts w:hint="eastAsia" w:ascii="宋体" w:hAnsi="宋体"/>
          <w:sz w:val="24"/>
        </w:rPr>
        <w:t>（</w:t>
      </w:r>
      <w:r>
        <w:rPr>
          <w:rFonts w:ascii="宋体" w:hAnsi="宋体"/>
          <w:sz w:val="24"/>
        </w:rPr>
        <w:t>4</w:t>
      </w:r>
      <w:r>
        <w:rPr>
          <w:rFonts w:hint="eastAsia" w:ascii="宋体" w:hAnsi="宋体"/>
          <w:sz w:val="24"/>
        </w:rPr>
        <w:t>）“招标文件”指由招标代理发出的本文件（包括全部章节、附件）及招标答疑会会议纪要和</w:t>
      </w:r>
      <w:r>
        <w:rPr>
          <w:rFonts w:hint="eastAsia" w:ascii="宋体" w:hAnsi="宋体"/>
          <w:bCs/>
          <w:sz w:val="24"/>
        </w:rPr>
        <w:t>招标文件的澄清与修改</w:t>
      </w:r>
      <w:r>
        <w:rPr>
          <w:rFonts w:hint="eastAsia" w:ascii="宋体" w:hAnsi="宋体"/>
          <w:sz w:val="24"/>
        </w:rPr>
        <w:t>文件。</w:t>
      </w:r>
    </w:p>
    <w:p w14:paraId="1A03DD2B">
      <w:pPr>
        <w:pStyle w:val="5"/>
        <w:spacing w:after="0" w:line="360" w:lineRule="auto"/>
        <w:ind w:firstLine="480" w:firstLineChars="200"/>
        <w:rPr>
          <w:rFonts w:ascii="宋体"/>
          <w:sz w:val="24"/>
        </w:rPr>
      </w:pPr>
      <w:r>
        <w:rPr>
          <w:rFonts w:hint="eastAsia" w:ascii="宋体" w:hAnsi="宋体"/>
          <w:sz w:val="24"/>
        </w:rPr>
        <w:t>（</w:t>
      </w:r>
      <w:r>
        <w:rPr>
          <w:rFonts w:ascii="宋体" w:hAnsi="宋体"/>
          <w:sz w:val="24"/>
        </w:rPr>
        <w:t>5</w:t>
      </w:r>
      <w:r>
        <w:rPr>
          <w:rFonts w:hint="eastAsia" w:ascii="宋体" w:hAnsi="宋体"/>
          <w:sz w:val="24"/>
        </w:rPr>
        <w:t>）“投标文件”指投标人根据本项目招标文件向招标人提交的全部文件。</w:t>
      </w:r>
    </w:p>
    <w:p w14:paraId="21488A46">
      <w:pPr>
        <w:pStyle w:val="5"/>
        <w:spacing w:after="0" w:line="360" w:lineRule="auto"/>
        <w:ind w:firstLine="480" w:firstLineChars="200"/>
        <w:rPr>
          <w:rFonts w:ascii="宋体"/>
          <w:sz w:val="24"/>
        </w:rPr>
      </w:pPr>
      <w:r>
        <w:rPr>
          <w:rFonts w:hint="eastAsia" w:ascii="宋体" w:hAnsi="宋体"/>
          <w:sz w:val="24"/>
        </w:rPr>
        <w:t>（</w:t>
      </w:r>
      <w:r>
        <w:rPr>
          <w:rFonts w:ascii="宋体" w:hAnsi="宋体"/>
          <w:sz w:val="24"/>
        </w:rPr>
        <w:t>6</w:t>
      </w:r>
      <w:r>
        <w:rPr>
          <w:rFonts w:hint="eastAsia" w:ascii="宋体" w:hAnsi="宋体"/>
          <w:sz w:val="24"/>
        </w:rPr>
        <w:t>）“书面形式”指打字或印刷的文件和数据电文（包括电报、电传、传真、电子数据交换和电子邮件）。</w:t>
      </w:r>
    </w:p>
    <w:p w14:paraId="76ED5620">
      <w:pPr>
        <w:spacing w:line="360" w:lineRule="auto"/>
        <w:ind w:firstLine="482" w:firstLineChars="200"/>
        <w:rPr>
          <w:rFonts w:ascii="宋体"/>
          <w:b/>
          <w:sz w:val="24"/>
        </w:rPr>
      </w:pPr>
      <w:r>
        <w:rPr>
          <w:rFonts w:ascii="宋体" w:hAnsi="宋体"/>
          <w:b/>
          <w:sz w:val="24"/>
        </w:rPr>
        <w:t>2</w:t>
      </w:r>
      <w:r>
        <w:rPr>
          <w:rFonts w:hint="eastAsia" w:ascii="宋体" w:hAnsi="宋体"/>
          <w:b/>
          <w:sz w:val="24"/>
        </w:rPr>
        <w:t>、招标说明</w:t>
      </w:r>
    </w:p>
    <w:p w14:paraId="0A0DFA65">
      <w:pPr>
        <w:spacing w:line="360" w:lineRule="auto"/>
        <w:ind w:firstLine="480" w:firstLineChars="200"/>
        <w:rPr>
          <w:rFonts w:ascii="宋体"/>
          <w:bCs/>
          <w:sz w:val="24"/>
        </w:rPr>
      </w:pPr>
      <w:r>
        <w:rPr>
          <w:rFonts w:ascii="宋体" w:hAnsi="宋体"/>
          <w:bCs/>
          <w:sz w:val="24"/>
        </w:rPr>
        <w:t>2.1</w:t>
      </w:r>
      <w:r>
        <w:rPr>
          <w:rFonts w:hint="eastAsia" w:ascii="宋体" w:hAnsi="宋体"/>
          <w:bCs/>
          <w:sz w:val="24"/>
        </w:rPr>
        <w:t>本招标工程项目按照《中华人民共和国招标投标法》等有关法律、行政法规、规章和规范性文件，通过招标方式选定承包人。</w:t>
      </w:r>
    </w:p>
    <w:p w14:paraId="554BB667">
      <w:pPr>
        <w:spacing w:line="360" w:lineRule="auto"/>
        <w:ind w:firstLine="480" w:firstLineChars="200"/>
        <w:rPr>
          <w:rFonts w:ascii="宋体"/>
          <w:bCs/>
          <w:sz w:val="24"/>
        </w:rPr>
      </w:pPr>
      <w:r>
        <w:rPr>
          <w:rFonts w:ascii="宋体" w:hAnsi="宋体"/>
          <w:bCs/>
          <w:sz w:val="24"/>
        </w:rPr>
        <w:t>2.2</w:t>
      </w:r>
      <w:r>
        <w:rPr>
          <w:rFonts w:hint="eastAsia" w:ascii="宋体" w:hAnsi="宋体"/>
          <w:bCs/>
          <w:sz w:val="24"/>
        </w:rPr>
        <w:t>工程名称、招标项目名称、建设地点、建设规模、承包方式、质量标准、招标范围、工期要求等均在投标须知前附表中列明。</w:t>
      </w:r>
    </w:p>
    <w:p w14:paraId="54A172B8">
      <w:pPr>
        <w:spacing w:line="360" w:lineRule="auto"/>
        <w:ind w:firstLine="480" w:firstLineChars="200"/>
        <w:rPr>
          <w:rFonts w:ascii="宋体"/>
          <w:bCs/>
          <w:sz w:val="24"/>
        </w:rPr>
      </w:pPr>
      <w:r>
        <w:rPr>
          <w:rFonts w:ascii="宋体" w:hAnsi="宋体"/>
          <w:bCs/>
          <w:sz w:val="24"/>
        </w:rPr>
        <w:t>2.3</w:t>
      </w:r>
      <w:r>
        <w:rPr>
          <w:rFonts w:hint="eastAsia" w:ascii="宋体" w:hAnsi="宋体"/>
          <w:bCs/>
          <w:sz w:val="24"/>
        </w:rPr>
        <w:t>设计说明：详见招标图纸。</w:t>
      </w:r>
    </w:p>
    <w:p w14:paraId="50BAECDC">
      <w:pPr>
        <w:spacing w:line="360" w:lineRule="auto"/>
        <w:ind w:firstLine="480" w:firstLineChars="200"/>
        <w:rPr>
          <w:rFonts w:hint="eastAsia" w:ascii="宋体" w:hAnsi="宋体"/>
          <w:bCs/>
          <w:sz w:val="24"/>
        </w:rPr>
      </w:pPr>
      <w:r>
        <w:rPr>
          <w:rFonts w:ascii="宋体" w:hAnsi="宋体"/>
          <w:bCs/>
          <w:sz w:val="24"/>
        </w:rPr>
        <w:t>2.4</w:t>
      </w:r>
      <w:r>
        <w:rPr>
          <w:rFonts w:hint="eastAsia" w:ascii="宋体" w:hAnsi="宋体"/>
          <w:bCs/>
          <w:sz w:val="24"/>
        </w:rPr>
        <w:t>工程施工特点：详见招标图纸。</w:t>
      </w:r>
    </w:p>
    <w:p w14:paraId="2E1DA2F8">
      <w:pPr>
        <w:tabs>
          <w:tab w:val="left" w:pos="105"/>
        </w:tabs>
        <w:spacing w:line="360" w:lineRule="auto"/>
        <w:ind w:firstLine="482" w:firstLineChars="200"/>
        <w:rPr>
          <w:rFonts w:ascii="宋体"/>
          <w:b/>
          <w:sz w:val="24"/>
        </w:rPr>
      </w:pPr>
      <w:r>
        <w:rPr>
          <w:rFonts w:ascii="宋体" w:hAnsi="宋体"/>
          <w:b/>
          <w:sz w:val="24"/>
        </w:rPr>
        <w:t>3</w:t>
      </w:r>
      <w:r>
        <w:rPr>
          <w:rFonts w:hint="eastAsia" w:ascii="宋体" w:hAnsi="宋体"/>
          <w:b/>
          <w:sz w:val="24"/>
        </w:rPr>
        <w:t>．资金来源</w:t>
      </w:r>
    </w:p>
    <w:p w14:paraId="4201BEEA">
      <w:pPr>
        <w:spacing w:line="360" w:lineRule="auto"/>
        <w:ind w:firstLine="480" w:firstLineChars="200"/>
        <w:rPr>
          <w:rFonts w:ascii="宋体"/>
          <w:bCs/>
          <w:sz w:val="24"/>
        </w:rPr>
      </w:pPr>
      <w:r>
        <w:rPr>
          <w:rFonts w:ascii="宋体" w:hAnsi="宋体"/>
          <w:bCs/>
          <w:sz w:val="24"/>
        </w:rPr>
        <w:t>3.1</w:t>
      </w:r>
      <w:r>
        <w:rPr>
          <w:rFonts w:hint="eastAsia" w:ascii="宋体" w:hAnsi="宋体"/>
          <w:bCs/>
          <w:sz w:val="24"/>
        </w:rPr>
        <w:t>本招标工程项目资金来源见投标须知前附表第</w:t>
      </w:r>
      <w:r>
        <w:rPr>
          <w:rFonts w:ascii="宋体" w:hAnsi="宋体"/>
          <w:bCs/>
          <w:sz w:val="24"/>
        </w:rPr>
        <w:t>9</w:t>
      </w:r>
      <w:r>
        <w:rPr>
          <w:rFonts w:hint="eastAsia" w:ascii="宋体" w:hAnsi="宋体"/>
          <w:bCs/>
          <w:sz w:val="24"/>
        </w:rPr>
        <w:t>项</w:t>
      </w:r>
    </w:p>
    <w:p w14:paraId="5805E109">
      <w:pPr>
        <w:tabs>
          <w:tab w:val="left" w:pos="105"/>
        </w:tabs>
        <w:spacing w:line="360" w:lineRule="auto"/>
        <w:ind w:firstLine="482" w:firstLineChars="200"/>
        <w:rPr>
          <w:rFonts w:ascii="宋体"/>
          <w:b/>
          <w:sz w:val="24"/>
        </w:rPr>
      </w:pPr>
      <w:r>
        <w:rPr>
          <w:rFonts w:ascii="宋体" w:hAnsi="宋体"/>
          <w:b/>
          <w:sz w:val="24"/>
        </w:rPr>
        <w:t>4</w:t>
      </w:r>
      <w:r>
        <w:rPr>
          <w:rFonts w:hint="eastAsia" w:ascii="宋体" w:hAnsi="宋体"/>
          <w:b/>
          <w:sz w:val="24"/>
        </w:rPr>
        <w:t>．合格投标人的条件</w:t>
      </w:r>
    </w:p>
    <w:p w14:paraId="749701CA">
      <w:pPr>
        <w:spacing w:line="360" w:lineRule="auto"/>
        <w:ind w:firstLine="480" w:firstLineChars="200"/>
        <w:rPr>
          <w:rFonts w:hint="eastAsia" w:ascii="宋体" w:hAnsi="宋体"/>
          <w:bCs/>
          <w:sz w:val="24"/>
        </w:rPr>
      </w:pPr>
      <w:r>
        <w:rPr>
          <w:rFonts w:ascii="宋体" w:hAnsi="宋体"/>
          <w:bCs/>
          <w:sz w:val="24"/>
        </w:rPr>
        <w:t>4.1</w:t>
      </w:r>
      <w:r>
        <w:rPr>
          <w:rFonts w:hint="eastAsia" w:ascii="宋体" w:hAnsi="宋体"/>
          <w:bCs/>
          <w:sz w:val="24"/>
        </w:rPr>
        <w:t>投标人合格条件详见本项目招标公告。</w:t>
      </w:r>
    </w:p>
    <w:p w14:paraId="602C9552">
      <w:pPr>
        <w:pStyle w:val="2"/>
        <w:ind w:firstLine="480" w:firstLineChars="200"/>
      </w:pPr>
      <w:r>
        <w:rPr>
          <w:rFonts w:hint="eastAsia" w:hAnsi="宋体"/>
          <w:bCs/>
          <w:sz w:val="24"/>
        </w:rPr>
        <w:t>4.2资格审查方式详见本项目招标公告。</w:t>
      </w:r>
    </w:p>
    <w:p w14:paraId="29695D35">
      <w:pPr>
        <w:tabs>
          <w:tab w:val="left" w:pos="105"/>
        </w:tabs>
        <w:spacing w:line="360" w:lineRule="auto"/>
        <w:ind w:firstLine="482" w:firstLineChars="200"/>
        <w:rPr>
          <w:rFonts w:ascii="宋体"/>
          <w:b/>
          <w:sz w:val="24"/>
        </w:rPr>
      </w:pPr>
      <w:r>
        <w:rPr>
          <w:rFonts w:ascii="宋体" w:hAnsi="宋体"/>
          <w:b/>
          <w:sz w:val="24"/>
        </w:rPr>
        <w:t>5</w:t>
      </w:r>
      <w:r>
        <w:rPr>
          <w:rFonts w:hint="eastAsia" w:ascii="宋体" w:hAnsi="宋体"/>
          <w:b/>
          <w:sz w:val="24"/>
        </w:rPr>
        <w:t>．踏勘现场</w:t>
      </w:r>
    </w:p>
    <w:p w14:paraId="4A297BBE">
      <w:pPr>
        <w:spacing w:line="360" w:lineRule="auto"/>
        <w:ind w:firstLine="480" w:firstLineChars="200"/>
        <w:rPr>
          <w:rFonts w:hint="eastAsia" w:ascii="宋体" w:hAnsi="宋体"/>
          <w:sz w:val="24"/>
        </w:rPr>
      </w:pPr>
      <w:r>
        <w:rPr>
          <w:rFonts w:ascii="宋体" w:hAnsi="宋体"/>
          <w:bCs/>
          <w:sz w:val="24"/>
        </w:rPr>
        <w:t xml:space="preserve">5.1 </w:t>
      </w:r>
      <w:r>
        <w:rPr>
          <w:rFonts w:hint="eastAsia" w:ascii="宋体" w:hAnsi="宋体"/>
          <w:bCs/>
          <w:sz w:val="24"/>
        </w:rPr>
        <w:t>投标人应按本投标须知前附表第</w:t>
      </w:r>
      <w:r>
        <w:rPr>
          <w:rFonts w:ascii="宋体" w:hAnsi="宋体"/>
          <w:bCs/>
          <w:sz w:val="24"/>
        </w:rPr>
        <w:t>1</w:t>
      </w:r>
      <w:r>
        <w:rPr>
          <w:rFonts w:hint="eastAsia" w:ascii="宋体" w:hAnsi="宋体"/>
          <w:bCs/>
          <w:sz w:val="24"/>
        </w:rPr>
        <w:t>2项所述时间和要求自行对工程现场及周围环境进行踏勘，</w:t>
      </w:r>
      <w:r>
        <w:rPr>
          <w:rFonts w:hint="eastAsia" w:ascii="宋体" w:hAnsi="宋体"/>
          <w:sz w:val="24"/>
        </w:rPr>
        <w:t>投标人应充分重视和仔细地进行这种考察，</w:t>
      </w:r>
      <w:r>
        <w:rPr>
          <w:rFonts w:hint="eastAsia" w:ascii="宋体" w:hAnsi="宋体"/>
          <w:bCs/>
          <w:sz w:val="24"/>
        </w:rPr>
        <w:t>以便投标人获取</w:t>
      </w:r>
      <w:r>
        <w:rPr>
          <w:rFonts w:hint="eastAsia" w:ascii="宋体" w:hAnsi="宋体"/>
          <w:sz w:val="24"/>
        </w:rPr>
        <w:t>那些须投标人自己负责的</w:t>
      </w:r>
      <w:r>
        <w:rPr>
          <w:rFonts w:hint="eastAsia" w:ascii="宋体" w:hAnsi="宋体"/>
          <w:bCs/>
          <w:sz w:val="24"/>
        </w:rPr>
        <w:t>有关编制投标文件和签署合同所涉及现场所有的资料，</w:t>
      </w:r>
      <w:r>
        <w:rPr>
          <w:rFonts w:hint="eastAsia" w:ascii="宋体" w:hAnsi="宋体"/>
          <w:b/>
          <w:sz w:val="24"/>
          <w:u w:val="single"/>
        </w:rPr>
        <w:t>投标人不进行踏勘的，视为已熟知现场条件，自行承担相关风险</w:t>
      </w:r>
      <w:r>
        <w:rPr>
          <w:rFonts w:hint="eastAsia" w:ascii="宋体" w:hAnsi="宋体" w:cs="宋体"/>
          <w:szCs w:val="21"/>
        </w:rPr>
        <w:t>。</w:t>
      </w:r>
      <w:r>
        <w:rPr>
          <w:rFonts w:hint="eastAsia" w:ascii="宋体" w:hAnsi="宋体"/>
          <w:sz w:val="24"/>
        </w:rPr>
        <w:t>一旦中标，这种考察即被认为其结果已在中标文件中得到充分反映。</w:t>
      </w:r>
      <w:r>
        <w:rPr>
          <w:rFonts w:hint="eastAsia" w:ascii="宋体" w:hAnsi="宋体"/>
          <w:b/>
          <w:sz w:val="24"/>
          <w:u w:val="single"/>
        </w:rPr>
        <w:t>招标人不受理因投标人缺乏对现场条件的了解或掌握而提出的任何索赔。</w:t>
      </w:r>
      <w:r>
        <w:rPr>
          <w:rFonts w:hint="eastAsia" w:ascii="宋体" w:hAnsi="宋体"/>
          <w:sz w:val="24"/>
        </w:rPr>
        <w:t>考察现场的费用由投标人自己承担。</w:t>
      </w:r>
    </w:p>
    <w:p w14:paraId="347CF86C">
      <w:pPr>
        <w:spacing w:line="360" w:lineRule="auto"/>
        <w:ind w:firstLine="480" w:firstLineChars="200"/>
        <w:rPr>
          <w:rFonts w:ascii="宋体"/>
          <w:bCs/>
          <w:sz w:val="24"/>
          <w:u w:val="single"/>
        </w:rPr>
      </w:pPr>
      <w:r>
        <w:rPr>
          <w:rFonts w:hint="eastAsia" w:ascii="宋体" w:hAnsi="宋体"/>
          <w:sz w:val="24"/>
        </w:rPr>
        <w:t>5.2投标人</w:t>
      </w:r>
      <w:r>
        <w:rPr>
          <w:rFonts w:hint="eastAsia" w:ascii="宋体" w:hAnsi="宋体"/>
          <w:bCs/>
          <w:sz w:val="24"/>
        </w:rPr>
        <w:t>踏勘</w:t>
      </w:r>
      <w:r>
        <w:rPr>
          <w:rFonts w:hint="eastAsia" w:ascii="宋体" w:hAnsi="宋体"/>
          <w:sz w:val="24"/>
        </w:rPr>
        <w:t>现场的费用自理。</w:t>
      </w:r>
    </w:p>
    <w:p w14:paraId="39531D41">
      <w:pPr>
        <w:tabs>
          <w:tab w:val="left" w:pos="105"/>
        </w:tabs>
        <w:spacing w:line="360" w:lineRule="auto"/>
        <w:ind w:firstLine="480" w:firstLineChars="200"/>
        <w:rPr>
          <w:rFonts w:ascii="宋体"/>
          <w:bCs/>
          <w:sz w:val="24"/>
        </w:rPr>
      </w:pPr>
      <w:r>
        <w:rPr>
          <w:rFonts w:ascii="宋体" w:hAnsi="宋体"/>
          <w:bCs/>
          <w:sz w:val="24"/>
        </w:rPr>
        <w:t>5.</w:t>
      </w:r>
      <w:r>
        <w:rPr>
          <w:rFonts w:hint="eastAsia" w:ascii="宋体" w:hAnsi="宋体"/>
          <w:bCs/>
          <w:sz w:val="24"/>
        </w:rPr>
        <w:t>3</w:t>
      </w:r>
      <w:r>
        <w:rPr>
          <w:rFonts w:ascii="宋体" w:hAnsi="宋体"/>
          <w:bCs/>
          <w:sz w:val="24"/>
        </w:rPr>
        <w:t xml:space="preserve"> </w:t>
      </w:r>
      <w:r>
        <w:rPr>
          <w:rFonts w:hint="eastAsia" w:ascii="宋体" w:hAnsi="宋体"/>
          <w:bCs/>
          <w:sz w:val="24"/>
        </w:rPr>
        <w:t>招标人向投标人提供的有关现场的数据和资料，是招标人现有的能被投标人利用的资料，招标人对投标人做出的任何推论、理解和结论均不负责任。</w:t>
      </w:r>
    </w:p>
    <w:p w14:paraId="44960E2B">
      <w:pPr>
        <w:spacing w:line="360" w:lineRule="auto"/>
        <w:ind w:firstLine="480" w:firstLineChars="200"/>
        <w:rPr>
          <w:rFonts w:hint="eastAsia" w:ascii="宋体" w:hAnsi="宋体"/>
          <w:bCs/>
          <w:sz w:val="24"/>
        </w:rPr>
      </w:pPr>
      <w:r>
        <w:rPr>
          <w:rFonts w:ascii="宋体" w:hAnsi="宋体"/>
          <w:bCs/>
          <w:sz w:val="24"/>
        </w:rPr>
        <w:t>5.</w:t>
      </w:r>
      <w:r>
        <w:rPr>
          <w:rFonts w:hint="eastAsia" w:ascii="宋体" w:hAnsi="宋体"/>
          <w:bCs/>
          <w:sz w:val="24"/>
        </w:rPr>
        <w:t>4</w:t>
      </w:r>
      <w:r>
        <w:rPr>
          <w:rFonts w:ascii="宋体" w:hAnsi="宋体"/>
          <w:bCs/>
          <w:sz w:val="24"/>
        </w:rPr>
        <w:t xml:space="preserve"> </w:t>
      </w:r>
      <w:r>
        <w:rPr>
          <w:rFonts w:hint="eastAsia" w:ascii="宋体" w:hAnsi="宋体"/>
          <w:bCs/>
          <w:sz w:val="24"/>
        </w:rPr>
        <w:t>经招标人允许，投标人可为踏勘目的进入招标人的项目现场。</w:t>
      </w:r>
      <w:r>
        <w:rPr>
          <w:rFonts w:hint="eastAsia" w:ascii="宋体" w:hAnsi="宋体"/>
          <w:sz w:val="24"/>
        </w:rPr>
        <w:t>在考察过程中，投标人及其代表必须承担那些进入现场后，由于他们的行为所造成的人身伤害（不管是否致命）、财产损失或损坏，以及其他任何原因造成的损失、损坏或费用，</w:t>
      </w:r>
      <w:r>
        <w:rPr>
          <w:rFonts w:hint="eastAsia" w:ascii="宋体" w:hAnsi="宋体"/>
          <w:bCs/>
          <w:sz w:val="24"/>
        </w:rPr>
        <w:t>投标人不得因此使招标人承担有关的责任和蒙受损失。</w:t>
      </w:r>
    </w:p>
    <w:p w14:paraId="4BAA735E">
      <w:pPr>
        <w:pStyle w:val="2"/>
        <w:spacing w:line="360" w:lineRule="auto"/>
      </w:pPr>
      <w:r>
        <w:rPr>
          <w:rFonts w:hint="eastAsia" w:hAnsi="宋体"/>
          <w:bCs/>
          <w:sz w:val="24"/>
        </w:rPr>
        <w:t xml:space="preserve">    5.4由于投标人没有对工程现场及周围环境进行踏勘，造成投标失误的，由投标人自行承担责任和损失。</w:t>
      </w:r>
    </w:p>
    <w:p w14:paraId="6518BEA1">
      <w:pPr>
        <w:tabs>
          <w:tab w:val="left" w:pos="105"/>
        </w:tabs>
        <w:spacing w:line="360" w:lineRule="auto"/>
        <w:ind w:firstLine="482" w:firstLineChars="200"/>
        <w:rPr>
          <w:rFonts w:ascii="宋体"/>
          <w:b/>
          <w:sz w:val="24"/>
        </w:rPr>
      </w:pPr>
      <w:r>
        <w:rPr>
          <w:rFonts w:ascii="宋体" w:hAnsi="宋体"/>
          <w:b/>
          <w:sz w:val="24"/>
        </w:rPr>
        <w:t>6</w:t>
      </w:r>
      <w:r>
        <w:rPr>
          <w:rFonts w:hint="eastAsia" w:ascii="宋体" w:hAnsi="宋体"/>
          <w:b/>
          <w:sz w:val="24"/>
        </w:rPr>
        <w:t>．投标费用</w:t>
      </w:r>
    </w:p>
    <w:p w14:paraId="01560C65">
      <w:pPr>
        <w:tabs>
          <w:tab w:val="left" w:pos="105"/>
        </w:tabs>
        <w:spacing w:line="360" w:lineRule="auto"/>
        <w:ind w:firstLine="480" w:firstLineChars="200"/>
        <w:rPr>
          <w:rFonts w:hint="eastAsia" w:ascii="宋体" w:hAnsi="宋体"/>
          <w:bCs/>
          <w:sz w:val="24"/>
        </w:rPr>
      </w:pPr>
      <w:r>
        <w:rPr>
          <w:rFonts w:ascii="宋体" w:hAnsi="宋体"/>
          <w:bCs/>
          <w:sz w:val="24"/>
        </w:rPr>
        <w:t>6.1</w:t>
      </w:r>
      <w:r>
        <w:rPr>
          <w:rFonts w:hint="eastAsia" w:ascii="宋体" w:hAnsi="宋体"/>
          <w:bCs/>
          <w:sz w:val="24"/>
        </w:rPr>
        <w:t>投标人准备和参加投标活动发生的费用自理。</w:t>
      </w:r>
    </w:p>
    <w:p w14:paraId="5D26335D">
      <w:pPr>
        <w:tabs>
          <w:tab w:val="left" w:pos="105"/>
        </w:tabs>
        <w:spacing w:line="360" w:lineRule="auto"/>
        <w:ind w:firstLine="480" w:firstLineChars="200"/>
        <w:rPr>
          <w:rFonts w:ascii="宋体"/>
          <w:bCs/>
          <w:sz w:val="24"/>
        </w:rPr>
      </w:pPr>
      <w:r>
        <w:rPr>
          <w:rFonts w:hint="eastAsia" w:ascii="宋体" w:hAnsi="宋体"/>
          <w:bCs/>
          <w:sz w:val="24"/>
        </w:rPr>
        <w:t>6.2</w:t>
      </w:r>
      <w:r>
        <w:rPr>
          <w:rFonts w:hint="eastAsia" w:ascii="宋体" w:hAnsi="宋体"/>
          <w:sz w:val="24"/>
        </w:rPr>
        <w:t>不论投标结果如何，投标人应承担</w:t>
      </w:r>
      <w:r>
        <w:rPr>
          <w:rFonts w:hint="eastAsia" w:ascii="宋体" w:hAnsi="宋体"/>
          <w:bCs/>
          <w:sz w:val="24"/>
        </w:rPr>
        <w:t>自身</w:t>
      </w:r>
      <w:r>
        <w:rPr>
          <w:rFonts w:hint="eastAsia" w:ascii="宋体" w:hAnsi="宋体"/>
          <w:sz w:val="24"/>
        </w:rPr>
        <w:t>因投标文件编制、递交及其他</w:t>
      </w:r>
      <w:r>
        <w:rPr>
          <w:rFonts w:hint="eastAsia" w:ascii="宋体" w:hAnsi="宋体"/>
          <w:bCs/>
          <w:sz w:val="24"/>
        </w:rPr>
        <w:t>参加本招标活动</w:t>
      </w:r>
      <w:r>
        <w:rPr>
          <w:rFonts w:hint="eastAsia" w:ascii="宋体" w:hAnsi="宋体"/>
          <w:sz w:val="24"/>
        </w:rPr>
        <w:t>所涉及的一切费用，招标人对上述费用不负任何责任。</w:t>
      </w:r>
    </w:p>
    <w:p w14:paraId="1D8D6B3A">
      <w:pPr>
        <w:pStyle w:val="9"/>
        <w:rPr>
          <w:rFonts w:hint="eastAsia"/>
        </w:rPr>
      </w:pPr>
      <w:bookmarkStart w:id="24" w:name="_Toc2272550"/>
      <w:bookmarkStart w:id="25" w:name="_Toc3677"/>
      <w:bookmarkStart w:id="26" w:name="_Toc5661"/>
      <w:bookmarkStart w:id="27" w:name="_Toc21525494"/>
      <w:r>
        <w:rPr>
          <w:rFonts w:hint="eastAsia"/>
        </w:rPr>
        <w:t>（二）招标文件</w:t>
      </w:r>
      <w:bookmarkEnd w:id="24"/>
      <w:bookmarkEnd w:id="25"/>
      <w:bookmarkEnd w:id="26"/>
      <w:bookmarkEnd w:id="27"/>
    </w:p>
    <w:p w14:paraId="55575959">
      <w:pPr>
        <w:tabs>
          <w:tab w:val="left" w:pos="105"/>
        </w:tabs>
        <w:spacing w:line="360" w:lineRule="auto"/>
        <w:ind w:firstLine="482" w:firstLineChars="200"/>
        <w:rPr>
          <w:rFonts w:ascii="宋体"/>
          <w:b/>
          <w:sz w:val="24"/>
        </w:rPr>
      </w:pPr>
      <w:r>
        <w:rPr>
          <w:rFonts w:ascii="宋体" w:hAnsi="宋体"/>
          <w:b/>
          <w:sz w:val="24"/>
        </w:rPr>
        <w:t>7.</w:t>
      </w:r>
      <w:r>
        <w:rPr>
          <w:rFonts w:hint="eastAsia" w:ascii="宋体" w:hAnsi="宋体"/>
          <w:b/>
          <w:sz w:val="24"/>
        </w:rPr>
        <w:t>招标文件的组成</w:t>
      </w:r>
    </w:p>
    <w:p w14:paraId="130B9DE7">
      <w:pPr>
        <w:spacing w:line="360" w:lineRule="auto"/>
        <w:ind w:firstLine="480" w:firstLineChars="200"/>
        <w:rPr>
          <w:rFonts w:ascii="宋体"/>
          <w:sz w:val="24"/>
          <w:u w:val="single"/>
        </w:rPr>
      </w:pPr>
      <w:r>
        <w:rPr>
          <w:rFonts w:ascii="宋体" w:hAnsi="宋体"/>
          <w:bCs/>
          <w:sz w:val="24"/>
          <w:u w:val="single"/>
        </w:rPr>
        <w:t>7.1</w:t>
      </w:r>
      <w:r>
        <w:rPr>
          <w:rFonts w:hint="eastAsia" w:ascii="宋体" w:hAnsi="宋体"/>
          <w:sz w:val="24"/>
          <w:u w:val="single"/>
        </w:rPr>
        <w:t>本招标文件包括下列文件，以及所有按本须知第</w:t>
      </w:r>
      <w:r>
        <w:rPr>
          <w:rFonts w:ascii="宋体" w:hAnsi="宋体"/>
          <w:sz w:val="24"/>
          <w:u w:val="single"/>
        </w:rPr>
        <w:t>8</w:t>
      </w:r>
      <w:r>
        <w:rPr>
          <w:rFonts w:hint="eastAsia" w:ascii="宋体" w:hAnsi="宋体"/>
          <w:sz w:val="24"/>
          <w:u w:val="single"/>
        </w:rPr>
        <w:t>条发出的招标答疑会会议纪要和按本须知第</w:t>
      </w:r>
      <w:r>
        <w:rPr>
          <w:rFonts w:ascii="宋体" w:hAnsi="宋体"/>
          <w:sz w:val="24"/>
          <w:u w:val="single"/>
        </w:rPr>
        <w:t>9</w:t>
      </w:r>
      <w:r>
        <w:rPr>
          <w:rFonts w:hint="eastAsia" w:ascii="宋体" w:hAnsi="宋体"/>
          <w:sz w:val="24"/>
          <w:u w:val="single"/>
        </w:rPr>
        <w:t>条发出的澄清或修改：</w:t>
      </w:r>
    </w:p>
    <w:p w14:paraId="3FB54FFB">
      <w:pPr>
        <w:pStyle w:val="5"/>
        <w:numPr>
          <w:ilvl w:val="0"/>
          <w:numId w:val="4"/>
        </w:numPr>
        <w:spacing w:after="0" w:line="360" w:lineRule="auto"/>
        <w:ind w:firstLine="480" w:firstLineChars="200"/>
        <w:rPr>
          <w:rFonts w:hint="eastAsia" w:ascii="宋体" w:hAnsi="宋体"/>
          <w:bCs/>
          <w:sz w:val="24"/>
          <w:u w:val="single"/>
        </w:rPr>
      </w:pPr>
      <w:r>
        <w:rPr>
          <w:rFonts w:hint="eastAsia" w:ascii="宋体" w:hAnsi="宋体"/>
          <w:bCs/>
          <w:sz w:val="24"/>
          <w:u w:val="single"/>
        </w:rPr>
        <w:t>招标公告</w:t>
      </w:r>
    </w:p>
    <w:p w14:paraId="29CA1857">
      <w:pPr>
        <w:pStyle w:val="5"/>
        <w:numPr>
          <w:ilvl w:val="0"/>
          <w:numId w:val="4"/>
        </w:numPr>
        <w:spacing w:after="0" w:line="360" w:lineRule="auto"/>
        <w:ind w:firstLine="480" w:firstLineChars="200"/>
        <w:rPr>
          <w:rFonts w:ascii="宋体"/>
          <w:sz w:val="24"/>
          <w:u w:val="single"/>
        </w:rPr>
      </w:pPr>
      <w:r>
        <w:rPr>
          <w:rFonts w:hint="eastAsia" w:ascii="宋体" w:hAnsi="宋体"/>
          <w:sz w:val="24"/>
          <w:u w:val="single"/>
        </w:rPr>
        <w:t>投标须知</w:t>
      </w:r>
    </w:p>
    <w:p w14:paraId="4914985F">
      <w:pPr>
        <w:pStyle w:val="5"/>
        <w:numPr>
          <w:ilvl w:val="0"/>
          <w:numId w:val="4"/>
        </w:numPr>
        <w:spacing w:after="0" w:line="360" w:lineRule="auto"/>
        <w:ind w:firstLine="480" w:firstLineChars="200"/>
        <w:rPr>
          <w:rFonts w:ascii="宋体"/>
          <w:sz w:val="24"/>
          <w:u w:val="single"/>
        </w:rPr>
      </w:pPr>
      <w:r>
        <w:rPr>
          <w:rFonts w:hint="eastAsia" w:ascii="宋体" w:hAnsi="宋体"/>
          <w:sz w:val="24"/>
          <w:u w:val="single"/>
        </w:rPr>
        <w:t>开标、评标及定标办法</w:t>
      </w:r>
    </w:p>
    <w:p w14:paraId="36265B64">
      <w:pPr>
        <w:pStyle w:val="5"/>
        <w:numPr>
          <w:ilvl w:val="0"/>
          <w:numId w:val="4"/>
        </w:numPr>
        <w:spacing w:after="0" w:line="360" w:lineRule="auto"/>
        <w:ind w:firstLine="480" w:firstLineChars="200"/>
        <w:rPr>
          <w:rFonts w:hint="eastAsia" w:ascii="宋体" w:hAnsi="宋体"/>
          <w:sz w:val="24"/>
          <w:u w:val="single"/>
        </w:rPr>
      </w:pPr>
      <w:r>
        <w:rPr>
          <w:rFonts w:hint="eastAsia" w:ascii="宋体" w:hAnsi="宋体"/>
          <w:sz w:val="24"/>
          <w:u w:val="single"/>
        </w:rPr>
        <w:t>合同条款</w:t>
      </w:r>
      <w:r>
        <w:rPr>
          <w:rFonts w:hint="eastAsia" w:ascii="宋体" w:hAnsi="宋体"/>
          <w:b/>
          <w:bCs/>
          <w:sz w:val="24"/>
          <w:u w:val="single"/>
        </w:rPr>
        <w:t>（另册）</w:t>
      </w:r>
    </w:p>
    <w:p w14:paraId="788CCDDC">
      <w:pPr>
        <w:pStyle w:val="5"/>
        <w:numPr>
          <w:ilvl w:val="0"/>
          <w:numId w:val="4"/>
        </w:numPr>
        <w:spacing w:after="0" w:line="360" w:lineRule="auto"/>
        <w:ind w:firstLine="480" w:firstLineChars="200"/>
        <w:rPr>
          <w:rFonts w:hint="eastAsia" w:ascii="宋体" w:hAnsi="宋体"/>
          <w:sz w:val="24"/>
          <w:u w:val="single"/>
        </w:rPr>
      </w:pPr>
      <w:r>
        <w:rPr>
          <w:rFonts w:hint="eastAsia" w:ascii="宋体" w:hAnsi="宋体"/>
          <w:sz w:val="24"/>
          <w:u w:val="single"/>
        </w:rPr>
        <w:t>投标文件格式</w:t>
      </w:r>
    </w:p>
    <w:p w14:paraId="4CC27C83">
      <w:pPr>
        <w:pStyle w:val="5"/>
        <w:numPr>
          <w:ilvl w:val="0"/>
          <w:numId w:val="4"/>
        </w:numPr>
        <w:spacing w:after="0" w:line="360" w:lineRule="auto"/>
        <w:ind w:firstLine="480" w:firstLineChars="200"/>
        <w:rPr>
          <w:rFonts w:hint="eastAsia" w:ascii="宋体" w:hAnsi="宋体"/>
          <w:sz w:val="24"/>
          <w:u w:val="single"/>
        </w:rPr>
      </w:pPr>
      <w:r>
        <w:rPr>
          <w:rFonts w:hint="eastAsia" w:ascii="宋体" w:hAnsi="宋体"/>
          <w:sz w:val="24"/>
          <w:u w:val="single"/>
        </w:rPr>
        <w:t>技术条件（工程建设标准）</w:t>
      </w:r>
    </w:p>
    <w:p w14:paraId="5C2F96B6">
      <w:pPr>
        <w:pStyle w:val="5"/>
        <w:numPr>
          <w:ilvl w:val="0"/>
          <w:numId w:val="4"/>
        </w:numPr>
        <w:spacing w:after="0" w:line="360" w:lineRule="auto"/>
        <w:ind w:firstLine="480" w:firstLineChars="200"/>
        <w:rPr>
          <w:rFonts w:hint="eastAsia" w:ascii="宋体" w:hAnsi="宋体"/>
          <w:sz w:val="24"/>
          <w:u w:val="single"/>
        </w:rPr>
      </w:pPr>
      <w:r>
        <w:rPr>
          <w:rFonts w:hint="eastAsia" w:ascii="宋体" w:hAnsi="宋体"/>
          <w:sz w:val="24"/>
          <w:u w:val="single"/>
        </w:rPr>
        <w:t>图纸及勘察资料</w:t>
      </w:r>
      <w:r>
        <w:rPr>
          <w:rFonts w:hint="eastAsia" w:ascii="宋体" w:hAnsi="宋体"/>
          <w:b/>
          <w:bCs/>
          <w:sz w:val="24"/>
          <w:u w:val="single"/>
        </w:rPr>
        <w:t>（另册）</w:t>
      </w:r>
    </w:p>
    <w:p w14:paraId="28B5BE41">
      <w:pPr>
        <w:pStyle w:val="5"/>
        <w:numPr>
          <w:ilvl w:val="0"/>
          <w:numId w:val="4"/>
        </w:numPr>
        <w:spacing w:after="0" w:line="360" w:lineRule="auto"/>
        <w:ind w:firstLine="480" w:firstLineChars="200"/>
        <w:rPr>
          <w:rFonts w:hint="eastAsia" w:ascii="宋体" w:hAnsi="宋体"/>
          <w:sz w:val="24"/>
          <w:u w:val="single"/>
        </w:rPr>
      </w:pPr>
      <w:r>
        <w:rPr>
          <w:rFonts w:hint="eastAsia" w:ascii="宋体" w:hAnsi="宋体"/>
          <w:bCs/>
          <w:sz w:val="24"/>
          <w:u w:val="single"/>
        </w:rPr>
        <w:t>招标</w:t>
      </w:r>
      <w:r>
        <w:rPr>
          <w:rFonts w:hint="eastAsia" w:ascii="宋体" w:hAnsi="宋体"/>
          <w:sz w:val="24"/>
          <w:u w:val="single"/>
        </w:rPr>
        <w:t>工程量清单</w:t>
      </w:r>
      <w:r>
        <w:rPr>
          <w:rFonts w:hint="eastAsia" w:ascii="宋体" w:hAnsi="宋体"/>
          <w:b/>
          <w:bCs/>
          <w:sz w:val="24"/>
          <w:u w:val="single"/>
        </w:rPr>
        <w:t>（另册）</w:t>
      </w:r>
    </w:p>
    <w:p w14:paraId="5F5079EF">
      <w:pPr>
        <w:pStyle w:val="5"/>
        <w:numPr>
          <w:ilvl w:val="0"/>
          <w:numId w:val="4"/>
        </w:numPr>
        <w:spacing w:after="0" w:line="360" w:lineRule="auto"/>
        <w:ind w:firstLine="480" w:firstLineChars="200"/>
        <w:rPr>
          <w:rFonts w:hint="eastAsia" w:ascii="宋体" w:hAnsi="宋体"/>
          <w:sz w:val="24"/>
          <w:u w:val="single"/>
        </w:rPr>
      </w:pPr>
      <w:r>
        <w:rPr>
          <w:rFonts w:hint="eastAsia" w:ascii="宋体" w:hAnsi="宋体"/>
          <w:sz w:val="24"/>
          <w:u w:val="single"/>
        </w:rPr>
        <w:t>最高投标限价</w:t>
      </w:r>
    </w:p>
    <w:p w14:paraId="2D62BA1D">
      <w:pPr>
        <w:pStyle w:val="5"/>
        <w:spacing w:after="0" w:line="360" w:lineRule="auto"/>
        <w:ind w:left="-2" w:firstLine="480" w:firstLineChars="200"/>
        <w:rPr>
          <w:rFonts w:hint="eastAsia" w:ascii="楷体" w:hAnsi="楷体" w:eastAsia="楷体" w:cs="楷体"/>
          <w:kern w:val="0"/>
          <w:sz w:val="24"/>
          <w:szCs w:val="24"/>
        </w:rPr>
      </w:pPr>
      <w:r>
        <w:rPr>
          <w:rFonts w:hint="eastAsia" w:ascii="楷体" w:hAnsi="楷体" w:eastAsia="楷体" w:cs="楷体"/>
          <w:sz w:val="24"/>
        </w:rPr>
        <w:t>注：</w:t>
      </w:r>
      <w:r>
        <w:rPr>
          <w:rFonts w:hint="eastAsia" w:ascii="楷体" w:hAnsi="楷体" w:eastAsia="楷体" w:cs="楷体"/>
          <w:kern w:val="0"/>
          <w:sz w:val="24"/>
          <w:szCs w:val="24"/>
        </w:rPr>
        <w:t>招标人应在技术条件（工程建设标准）中明确如下内容：</w:t>
      </w:r>
    </w:p>
    <w:p w14:paraId="3F8AC0C7">
      <w:pPr>
        <w:pStyle w:val="5"/>
        <w:spacing w:after="0" w:line="360" w:lineRule="auto"/>
        <w:ind w:left="420" w:leftChars="200" w:firstLine="0"/>
        <w:rPr>
          <w:rFonts w:hint="eastAsia" w:ascii="楷体" w:hAnsi="楷体" w:eastAsia="楷体" w:cs="楷体"/>
          <w:kern w:val="0"/>
          <w:sz w:val="24"/>
          <w:szCs w:val="24"/>
        </w:rPr>
      </w:pPr>
      <w:r>
        <w:rPr>
          <w:rFonts w:hint="eastAsia" w:ascii="楷体" w:hAnsi="楷体" w:eastAsia="楷体" w:cs="楷体"/>
          <w:kern w:val="0"/>
          <w:sz w:val="24"/>
          <w:szCs w:val="24"/>
        </w:rPr>
        <w:t>1.施工现场建筑垃圾源头减量的具体要求和建筑垃圾综合利用产品的使用要求。</w:t>
      </w:r>
    </w:p>
    <w:p w14:paraId="49126EC1">
      <w:pPr>
        <w:pStyle w:val="5"/>
        <w:spacing w:after="0" w:line="360" w:lineRule="auto"/>
        <w:ind w:left="420" w:leftChars="200" w:firstLine="0"/>
        <w:rPr>
          <w:rFonts w:hint="eastAsia" w:ascii="楷体" w:hAnsi="楷体" w:eastAsia="楷体" w:cs="楷体"/>
          <w:kern w:val="0"/>
          <w:sz w:val="24"/>
          <w:szCs w:val="24"/>
        </w:rPr>
      </w:pPr>
      <w:r>
        <w:rPr>
          <w:rFonts w:hint="eastAsia" w:ascii="楷体" w:hAnsi="楷体" w:eastAsia="楷体" w:cs="楷体"/>
          <w:kern w:val="0"/>
          <w:sz w:val="24"/>
          <w:szCs w:val="24"/>
        </w:rPr>
        <w:t>2.占道施工相关告知、围蔽、修复等要求。</w:t>
      </w:r>
    </w:p>
    <w:p w14:paraId="632FC17F">
      <w:pPr>
        <w:pStyle w:val="5"/>
        <w:spacing w:after="0" w:line="360" w:lineRule="auto"/>
        <w:ind w:left="420" w:leftChars="200" w:firstLine="0"/>
        <w:rPr>
          <w:rFonts w:hint="eastAsia" w:ascii="楷体" w:hAnsi="楷体" w:eastAsia="楷体" w:cs="楷体"/>
          <w:kern w:val="0"/>
          <w:sz w:val="24"/>
          <w:szCs w:val="24"/>
        </w:rPr>
      </w:pPr>
      <w:r>
        <w:rPr>
          <w:rFonts w:hint="eastAsia" w:ascii="楷体" w:hAnsi="楷体" w:eastAsia="楷体" w:cs="楷体"/>
          <w:kern w:val="0"/>
          <w:sz w:val="24"/>
          <w:szCs w:val="24"/>
        </w:rPr>
        <w:t>3.对照《广州市智能建造技术清单（1.0版）》对招标项目智能建造提出要求。</w:t>
      </w:r>
    </w:p>
    <w:p w14:paraId="3A1F07BE">
      <w:pPr>
        <w:pStyle w:val="5"/>
        <w:spacing w:after="0" w:line="360" w:lineRule="auto"/>
        <w:ind w:left="420" w:leftChars="200" w:firstLine="0"/>
        <w:rPr>
          <w:rFonts w:hint="eastAsia" w:ascii="楷体" w:hAnsi="楷体" w:eastAsia="楷体" w:cs="楷体"/>
          <w:kern w:val="0"/>
          <w:sz w:val="24"/>
          <w:szCs w:val="24"/>
        </w:rPr>
      </w:pPr>
      <w:r>
        <w:rPr>
          <w:rFonts w:hint="eastAsia" w:ascii="楷体" w:hAnsi="楷体" w:eastAsia="楷体" w:cs="楷体"/>
          <w:kern w:val="0"/>
          <w:sz w:val="24"/>
          <w:szCs w:val="24"/>
        </w:rPr>
        <w:t>4.招标人对中标人参与“百千万工程”的具体要求。</w:t>
      </w:r>
    </w:p>
    <w:p w14:paraId="5378DF5C">
      <w:pPr>
        <w:pStyle w:val="5"/>
        <w:spacing w:after="0" w:line="360" w:lineRule="auto"/>
        <w:ind w:firstLine="480" w:firstLineChars="200"/>
        <w:rPr>
          <w:rFonts w:hint="eastAsia" w:ascii="楷体" w:hAnsi="楷体" w:eastAsia="楷体" w:cs="楷体"/>
          <w:kern w:val="0"/>
          <w:sz w:val="24"/>
          <w:szCs w:val="24"/>
        </w:rPr>
      </w:pPr>
      <w:r>
        <w:rPr>
          <w:rFonts w:hint="eastAsia" w:ascii="楷体" w:hAnsi="楷体" w:eastAsia="楷体" w:cs="楷体"/>
          <w:kern w:val="0"/>
          <w:sz w:val="24"/>
          <w:szCs w:val="24"/>
        </w:rPr>
        <w:t>5.在建筑废弃物运输上落实《关于加快推动氢能产业高质量发展的若干措施》的要求。</w:t>
      </w:r>
    </w:p>
    <w:p w14:paraId="5F1DB65E">
      <w:pPr>
        <w:pStyle w:val="5"/>
        <w:spacing w:after="0" w:line="360" w:lineRule="auto"/>
        <w:ind w:firstLine="480" w:firstLineChars="200"/>
        <w:rPr>
          <w:rFonts w:ascii="宋体"/>
          <w:sz w:val="24"/>
        </w:rPr>
      </w:pPr>
      <w:r>
        <w:rPr>
          <w:rFonts w:ascii="宋体" w:hAnsi="宋体"/>
          <w:sz w:val="24"/>
        </w:rPr>
        <w:t xml:space="preserve">7.2 </w:t>
      </w:r>
      <w:r>
        <w:rPr>
          <w:rFonts w:hint="eastAsia" w:ascii="宋体" w:hAnsi="宋体"/>
          <w:sz w:val="24"/>
        </w:rPr>
        <w:t>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14:paraId="11EA2E36">
      <w:pPr>
        <w:pStyle w:val="5"/>
        <w:spacing w:after="0" w:line="360" w:lineRule="auto"/>
        <w:ind w:firstLine="480" w:firstLineChars="200"/>
        <w:rPr>
          <w:rFonts w:ascii="宋体"/>
          <w:sz w:val="24"/>
        </w:rPr>
      </w:pPr>
      <w:r>
        <w:rPr>
          <w:rFonts w:ascii="宋体" w:hAnsi="宋体"/>
          <w:sz w:val="24"/>
        </w:rPr>
        <w:t xml:space="preserve">7.3 </w:t>
      </w:r>
      <w:r>
        <w:rPr>
          <w:rFonts w:hint="eastAsia" w:ascii="宋体" w:hAnsi="宋体"/>
          <w:sz w:val="24"/>
        </w:rPr>
        <w:t>投标人一旦中标，招标文件的内容对招标人和中标人双方均有约束力。</w:t>
      </w:r>
    </w:p>
    <w:p w14:paraId="5FFB7CF8">
      <w:pPr>
        <w:pStyle w:val="5"/>
        <w:spacing w:after="0" w:line="360" w:lineRule="auto"/>
        <w:ind w:firstLine="482" w:firstLineChars="200"/>
        <w:rPr>
          <w:rFonts w:ascii="宋体"/>
          <w:b/>
          <w:bCs/>
          <w:sz w:val="24"/>
        </w:rPr>
      </w:pPr>
      <w:r>
        <w:rPr>
          <w:rFonts w:ascii="宋体" w:hAnsi="宋体"/>
          <w:b/>
          <w:bCs/>
          <w:sz w:val="24"/>
        </w:rPr>
        <w:t>8</w:t>
      </w:r>
      <w:r>
        <w:rPr>
          <w:rFonts w:hint="eastAsia" w:ascii="宋体" w:hAnsi="宋体"/>
          <w:b/>
          <w:bCs/>
          <w:sz w:val="24"/>
        </w:rPr>
        <w:t>．招标答疑</w:t>
      </w:r>
    </w:p>
    <w:p w14:paraId="4DF62E81">
      <w:pPr>
        <w:pStyle w:val="5"/>
        <w:spacing w:after="0" w:line="360" w:lineRule="auto"/>
        <w:ind w:firstLine="480" w:firstLineChars="200"/>
        <w:rPr>
          <w:rFonts w:ascii="宋体"/>
          <w:sz w:val="24"/>
        </w:rPr>
      </w:pPr>
      <w:r>
        <w:rPr>
          <w:rFonts w:ascii="宋体" w:hAnsi="宋体"/>
          <w:sz w:val="24"/>
        </w:rPr>
        <w:t xml:space="preserve">8.1 </w:t>
      </w:r>
      <w:r>
        <w:rPr>
          <w:rFonts w:hint="eastAsia" w:ascii="宋体" w:hAnsi="宋体"/>
          <w:sz w:val="24"/>
        </w:rPr>
        <w:t>投标人若对招标文件（包括招标图纸）中有疑问，可以书面形式</w:t>
      </w:r>
      <w:r>
        <w:rPr>
          <w:rFonts w:hint="eastAsia"/>
          <w:sz w:val="24"/>
          <w:szCs w:val="24"/>
        </w:rPr>
        <w:t>通过</w:t>
      </w:r>
      <w:r>
        <w:rPr>
          <w:rFonts w:hint="eastAsia"/>
          <w:b/>
          <w:bCs/>
          <w:sz w:val="24"/>
          <w:szCs w:val="24"/>
          <w:u w:val="single"/>
        </w:rPr>
        <w:t>广州交易集团有限公司（广州公共资源交易中心）</w:t>
      </w:r>
      <w:r>
        <w:rPr>
          <w:rFonts w:hint="eastAsia" w:ascii="宋体" w:hAnsi="宋体"/>
          <w:sz w:val="24"/>
          <w:szCs w:val="24"/>
        </w:rPr>
        <w:t>交易平台</w:t>
      </w:r>
      <w:r>
        <w:rPr>
          <w:rFonts w:hint="eastAsia"/>
          <w:sz w:val="24"/>
          <w:szCs w:val="24"/>
        </w:rPr>
        <w:t>提交</w:t>
      </w:r>
      <w:r>
        <w:rPr>
          <w:rFonts w:hint="eastAsia" w:ascii="宋体" w:hAnsi="宋体"/>
          <w:sz w:val="24"/>
        </w:rPr>
        <w:t>给招标人或招标代理人，提交形式见本须知前附表第13项。</w:t>
      </w:r>
    </w:p>
    <w:p w14:paraId="7862E0BA">
      <w:pPr>
        <w:pStyle w:val="5"/>
        <w:spacing w:after="0" w:line="360" w:lineRule="auto"/>
        <w:ind w:firstLine="480" w:firstLineChars="200"/>
        <w:rPr>
          <w:rFonts w:ascii="宋体"/>
          <w:sz w:val="24"/>
        </w:rPr>
      </w:pPr>
      <w:r>
        <w:rPr>
          <w:rFonts w:ascii="宋体" w:hAnsi="宋体"/>
          <w:sz w:val="24"/>
        </w:rPr>
        <w:t>8.2</w:t>
      </w:r>
      <w:r>
        <w:rPr>
          <w:rFonts w:hint="eastAsia" w:ascii="宋体"/>
          <w:b/>
          <w:bCs/>
          <w:sz w:val="24"/>
          <w:u w:val="single"/>
        </w:rPr>
        <w:t>招标答疑纪要</w:t>
      </w:r>
      <w:r>
        <w:rPr>
          <w:rFonts w:hint="eastAsia" w:ascii="宋体"/>
          <w:sz w:val="24"/>
        </w:rPr>
        <w:t>将在提交投标文件截止时间15日前在</w:t>
      </w:r>
      <w:r>
        <w:rPr>
          <w:rFonts w:hint="eastAsia"/>
          <w:b/>
          <w:bCs/>
          <w:sz w:val="24"/>
          <w:szCs w:val="24"/>
          <w:u w:val="single"/>
        </w:rPr>
        <w:t>广州交易集团有限公司（广州公共资源交易中心）</w:t>
      </w:r>
      <w:r>
        <w:rPr>
          <w:rFonts w:hint="eastAsia" w:ascii="宋体" w:hAnsi="宋体"/>
          <w:sz w:val="24"/>
          <w:szCs w:val="24"/>
        </w:rPr>
        <w:t>交易平台</w:t>
      </w:r>
      <w:r>
        <w:rPr>
          <w:rFonts w:hint="eastAsia" w:ascii="宋体"/>
          <w:sz w:val="24"/>
        </w:rPr>
        <w:t xml:space="preserve"> “项目答疑纪要”专区公开发布。答疑纪要一经在</w:t>
      </w:r>
      <w:r>
        <w:rPr>
          <w:rFonts w:hint="eastAsia"/>
          <w:b/>
          <w:bCs/>
          <w:sz w:val="24"/>
          <w:szCs w:val="24"/>
          <w:u w:val="single"/>
        </w:rPr>
        <w:t>广州交易集团有限公司（广州公共资源交易中心）</w:t>
      </w:r>
      <w:r>
        <w:rPr>
          <w:rFonts w:hint="eastAsia" w:ascii="宋体" w:hAnsi="宋体"/>
          <w:sz w:val="24"/>
          <w:szCs w:val="24"/>
        </w:rPr>
        <w:t>交易平台</w:t>
      </w:r>
      <w:r>
        <w:rPr>
          <w:rFonts w:hint="eastAsia" w:ascii="宋体"/>
          <w:sz w:val="24"/>
        </w:rPr>
        <w:t>发布，视作已发放给所有投标人。</w:t>
      </w:r>
    </w:p>
    <w:p w14:paraId="045445EC">
      <w:pPr>
        <w:pStyle w:val="5"/>
        <w:spacing w:after="0" w:line="360" w:lineRule="auto"/>
        <w:ind w:firstLine="480" w:firstLineChars="200"/>
        <w:rPr>
          <w:rFonts w:ascii="宋体"/>
          <w:sz w:val="24"/>
        </w:rPr>
      </w:pPr>
      <w:r>
        <w:rPr>
          <w:rFonts w:ascii="宋体" w:hAnsi="宋体"/>
          <w:sz w:val="24"/>
        </w:rPr>
        <w:t>8.3</w:t>
      </w:r>
      <w:r>
        <w:rPr>
          <w:rFonts w:hint="eastAsia" w:ascii="宋体" w:hAnsi="宋体"/>
          <w:b/>
          <w:bCs/>
          <w:sz w:val="24"/>
          <w:u w:val="single"/>
        </w:rPr>
        <w:t>招标答疑纪要</w:t>
      </w:r>
      <w:r>
        <w:rPr>
          <w:rFonts w:hint="eastAsia" w:ascii="宋体" w:hAnsi="宋体"/>
          <w:sz w:val="24"/>
        </w:rPr>
        <w:t>为招标文件的一部分。</w:t>
      </w:r>
    </w:p>
    <w:p w14:paraId="300B1613">
      <w:pPr>
        <w:pStyle w:val="5"/>
        <w:spacing w:after="0" w:line="360" w:lineRule="auto"/>
        <w:ind w:firstLine="480" w:firstLineChars="200"/>
        <w:rPr>
          <w:rFonts w:ascii="宋体"/>
          <w:sz w:val="24"/>
        </w:rPr>
      </w:pPr>
      <w:r>
        <w:rPr>
          <w:rFonts w:ascii="宋体" w:hAnsi="宋体"/>
          <w:sz w:val="24"/>
        </w:rPr>
        <w:t>8.4</w:t>
      </w:r>
      <w:r>
        <w:rPr>
          <w:rFonts w:hint="eastAsia" w:ascii="宋体" w:hAnsi="宋体"/>
          <w:sz w:val="24"/>
        </w:rPr>
        <w:t>若</w:t>
      </w:r>
      <w:r>
        <w:rPr>
          <w:rFonts w:hint="eastAsia" w:ascii="宋体" w:hAnsi="宋体"/>
          <w:b/>
          <w:bCs/>
          <w:sz w:val="24"/>
          <w:u w:val="single"/>
        </w:rPr>
        <w:t>招标答疑纪要</w:t>
      </w:r>
      <w:r>
        <w:rPr>
          <w:rFonts w:hint="eastAsia" w:ascii="宋体" w:hAnsi="宋体"/>
          <w:sz w:val="24"/>
        </w:rPr>
        <w:t>与招标文件有矛盾，以答疑会议纪要最后发出的书面形式的文件为准。</w:t>
      </w:r>
    </w:p>
    <w:p w14:paraId="345A983E">
      <w:pPr>
        <w:pStyle w:val="5"/>
        <w:spacing w:after="0" w:line="360" w:lineRule="auto"/>
        <w:ind w:firstLine="482" w:firstLineChars="200"/>
        <w:rPr>
          <w:rFonts w:ascii="宋体"/>
          <w:b/>
          <w:bCs/>
          <w:sz w:val="24"/>
        </w:rPr>
      </w:pPr>
      <w:r>
        <w:rPr>
          <w:rFonts w:ascii="宋体" w:hAnsi="宋体"/>
          <w:b/>
          <w:bCs/>
          <w:sz w:val="24"/>
        </w:rPr>
        <w:t>9.</w:t>
      </w:r>
      <w:r>
        <w:rPr>
          <w:rFonts w:hint="eastAsia" w:ascii="宋体" w:hAnsi="宋体"/>
          <w:b/>
          <w:bCs/>
          <w:sz w:val="24"/>
        </w:rPr>
        <w:t>招标文件的澄清与修改</w:t>
      </w:r>
    </w:p>
    <w:p w14:paraId="128F44FD">
      <w:pPr>
        <w:pStyle w:val="5"/>
        <w:spacing w:after="0" w:line="360" w:lineRule="auto"/>
        <w:ind w:firstLine="480" w:firstLineChars="200"/>
        <w:rPr>
          <w:rFonts w:ascii="宋体"/>
          <w:sz w:val="24"/>
        </w:rPr>
      </w:pPr>
      <w:r>
        <w:rPr>
          <w:rFonts w:ascii="宋体" w:hAnsi="宋体"/>
          <w:sz w:val="24"/>
        </w:rPr>
        <w:t>9.1</w:t>
      </w:r>
      <w:r>
        <w:rPr>
          <w:rFonts w:hint="eastAsia" w:ascii="宋体" w:hAnsi="宋体"/>
          <w:sz w:val="24"/>
        </w:rPr>
        <w:t>招标文件发出后</w:t>
      </w:r>
      <w:r>
        <w:rPr>
          <w:rFonts w:ascii="宋体"/>
          <w:sz w:val="24"/>
        </w:rPr>
        <w:t>,</w:t>
      </w:r>
      <w:r>
        <w:rPr>
          <w:rFonts w:hint="eastAsia" w:ascii="宋体" w:hAnsi="宋体"/>
          <w:sz w:val="24"/>
        </w:rPr>
        <w:t>在提交投标文件截止时间15日前，招标人可对招标文件进行必要的澄清或修改。</w:t>
      </w:r>
    </w:p>
    <w:p w14:paraId="1D5655CF">
      <w:pPr>
        <w:pStyle w:val="5"/>
        <w:spacing w:after="0" w:line="360" w:lineRule="auto"/>
        <w:ind w:firstLine="480" w:firstLineChars="200"/>
        <w:rPr>
          <w:rFonts w:ascii="宋体"/>
          <w:sz w:val="24"/>
        </w:rPr>
      </w:pPr>
      <w:r>
        <w:rPr>
          <w:rFonts w:ascii="宋体" w:hAnsi="宋体"/>
          <w:sz w:val="24"/>
        </w:rPr>
        <w:t>9.2</w:t>
      </w:r>
      <w:r>
        <w:rPr>
          <w:rFonts w:hint="eastAsia" w:ascii="宋体"/>
          <w:sz w:val="24"/>
        </w:rPr>
        <w:t>招标文件的澄清或修改将在</w:t>
      </w:r>
      <w:r>
        <w:rPr>
          <w:rFonts w:hint="eastAsia" w:ascii="宋体" w:hAnsi="宋体" w:cs="宋体"/>
          <w:b/>
          <w:bCs/>
          <w:sz w:val="24"/>
          <w:szCs w:val="24"/>
          <w:u w:val="single"/>
          <w:lang w:bidi="ar"/>
        </w:rPr>
        <w:t>广州交易集团有限公司（广州公共资源交易中心）</w:t>
      </w:r>
      <w:r>
        <w:rPr>
          <w:rFonts w:hint="eastAsia" w:ascii="宋体" w:hAnsi="宋体"/>
          <w:sz w:val="24"/>
          <w:szCs w:val="24"/>
        </w:rPr>
        <w:t>交易平台</w:t>
      </w:r>
      <w:r>
        <w:rPr>
          <w:rFonts w:hint="eastAsia" w:ascii="宋体"/>
          <w:sz w:val="24"/>
        </w:rPr>
        <w:t>“项目答疑纪要”专区公开发布。答疑纪要一经在</w:t>
      </w:r>
      <w:r>
        <w:rPr>
          <w:rFonts w:hint="eastAsia" w:ascii="宋体" w:hAnsi="宋体" w:cs="宋体"/>
          <w:b/>
          <w:bCs/>
          <w:sz w:val="24"/>
          <w:szCs w:val="24"/>
          <w:u w:val="single"/>
          <w:lang w:bidi="ar"/>
        </w:rPr>
        <w:t>广州交易集团有限公司（广州公共资源交易中心）</w:t>
      </w:r>
      <w:r>
        <w:rPr>
          <w:rFonts w:hint="eastAsia" w:ascii="宋体" w:hAnsi="宋体"/>
          <w:sz w:val="24"/>
          <w:szCs w:val="24"/>
        </w:rPr>
        <w:t>交易平台</w:t>
      </w:r>
      <w:r>
        <w:rPr>
          <w:rFonts w:hint="eastAsia" w:ascii="宋体"/>
          <w:sz w:val="24"/>
        </w:rPr>
        <w:t>发布，视作已发放给所有投标人，以</w:t>
      </w:r>
      <w:r>
        <w:rPr>
          <w:rFonts w:hint="eastAsia" w:ascii="宋体" w:hAnsi="宋体" w:cs="宋体"/>
          <w:b/>
          <w:bCs/>
          <w:sz w:val="24"/>
          <w:szCs w:val="24"/>
          <w:u w:val="single"/>
          <w:lang w:bidi="ar"/>
        </w:rPr>
        <w:t>广州交易集团有限公司（广州公共资源交易中心）</w:t>
      </w:r>
      <w:r>
        <w:rPr>
          <w:rFonts w:hint="eastAsia" w:ascii="宋体" w:hAnsi="宋体"/>
          <w:sz w:val="24"/>
          <w:szCs w:val="24"/>
        </w:rPr>
        <w:t>交易平台</w:t>
      </w:r>
      <w:r>
        <w:rPr>
          <w:rFonts w:hint="eastAsia" w:ascii="宋体"/>
          <w:sz w:val="24"/>
        </w:rPr>
        <w:t>上网发布时间作为送达时间。</w:t>
      </w:r>
    </w:p>
    <w:p w14:paraId="1426AD02">
      <w:pPr>
        <w:pStyle w:val="5"/>
        <w:spacing w:after="0" w:line="360" w:lineRule="auto"/>
        <w:ind w:firstLine="480" w:firstLineChars="200"/>
        <w:rPr>
          <w:rFonts w:hint="eastAsia" w:ascii="宋体" w:hAnsi="宋体"/>
          <w:sz w:val="24"/>
        </w:rPr>
      </w:pPr>
      <w:r>
        <w:rPr>
          <w:rFonts w:ascii="宋体" w:hAnsi="宋体"/>
          <w:sz w:val="24"/>
        </w:rPr>
        <w:t>9.3</w:t>
      </w:r>
      <w:r>
        <w:rPr>
          <w:rFonts w:hint="eastAsia" w:ascii="宋体" w:hAnsi="宋体"/>
          <w:sz w:val="24"/>
        </w:rPr>
        <w:t>招标文件的澄清或修改内容为招标文件的组成部分，对投标人起约束作用。</w:t>
      </w:r>
    </w:p>
    <w:p w14:paraId="2AC7F228">
      <w:pPr>
        <w:pStyle w:val="5"/>
        <w:spacing w:after="0" w:line="360" w:lineRule="auto"/>
        <w:ind w:firstLine="480" w:firstLineChars="200"/>
        <w:rPr>
          <w:rFonts w:ascii="宋体"/>
          <w:sz w:val="24"/>
        </w:rPr>
      </w:pPr>
      <w:r>
        <w:rPr>
          <w:rFonts w:hint="eastAsia" w:ascii="宋体" w:hAnsi="宋体"/>
          <w:sz w:val="24"/>
        </w:rPr>
        <w:t>9.4招标文件的澄清或修改均以</w:t>
      </w:r>
      <w:r>
        <w:rPr>
          <w:rFonts w:hint="eastAsia" w:ascii="宋体" w:hAnsi="宋体" w:cs="宋体"/>
          <w:b/>
          <w:bCs/>
          <w:sz w:val="24"/>
          <w:szCs w:val="24"/>
          <w:u w:val="single"/>
          <w:lang w:bidi="ar"/>
        </w:rPr>
        <w:t>广州交易集团有限公司（广州公共资源交易中心）</w:t>
      </w:r>
      <w:r>
        <w:rPr>
          <w:rFonts w:hint="eastAsia" w:ascii="宋体" w:hAnsi="宋体"/>
          <w:sz w:val="24"/>
          <w:u w:val="single"/>
        </w:rPr>
        <w:t>网站</w:t>
      </w:r>
      <w:r>
        <w:rPr>
          <w:rFonts w:hint="eastAsia" w:ascii="宋体" w:hAnsi="宋体"/>
          <w:sz w:val="24"/>
        </w:rPr>
        <w:t>发布的内容为准。当招标文件的澄清、修改、补充等在同一内容的表述不一致时，以最后发出的书面形式的文件为准。</w:t>
      </w:r>
    </w:p>
    <w:p w14:paraId="53A1A67F">
      <w:pPr>
        <w:pStyle w:val="5"/>
        <w:spacing w:after="0" w:line="360" w:lineRule="auto"/>
        <w:ind w:firstLine="480" w:firstLineChars="200"/>
        <w:rPr>
          <w:rFonts w:ascii="宋体"/>
          <w:sz w:val="24"/>
        </w:rPr>
      </w:pPr>
      <w:r>
        <w:rPr>
          <w:rFonts w:ascii="宋体" w:hAnsi="宋体"/>
          <w:sz w:val="24"/>
        </w:rPr>
        <w:t>9.5</w:t>
      </w:r>
      <w:r>
        <w:rPr>
          <w:rFonts w:hint="eastAsia" w:ascii="宋体" w:hAnsi="宋体"/>
          <w:sz w:val="24"/>
        </w:rPr>
        <w:t>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14:paraId="7B7D384A">
      <w:pPr>
        <w:pStyle w:val="9"/>
        <w:rPr>
          <w:rFonts w:hint="eastAsia"/>
        </w:rPr>
      </w:pPr>
      <w:bookmarkStart w:id="28" w:name="_Toc21525495"/>
      <w:bookmarkStart w:id="29" w:name="_Toc27799"/>
      <w:bookmarkStart w:id="30" w:name="_Toc19531"/>
      <w:bookmarkStart w:id="31" w:name="_Toc2272551"/>
      <w:r>
        <w:rPr>
          <w:rFonts w:hint="eastAsia"/>
        </w:rPr>
        <w:t>（三）投标文件的编制</w:t>
      </w:r>
      <w:bookmarkEnd w:id="28"/>
      <w:bookmarkEnd w:id="29"/>
      <w:bookmarkEnd w:id="30"/>
      <w:bookmarkEnd w:id="31"/>
    </w:p>
    <w:p w14:paraId="0DE56D24">
      <w:pPr>
        <w:pStyle w:val="5"/>
        <w:spacing w:after="0" w:line="360" w:lineRule="auto"/>
        <w:ind w:firstLine="482" w:firstLineChars="200"/>
        <w:rPr>
          <w:rFonts w:ascii="宋体"/>
          <w:b/>
          <w:bCs/>
          <w:sz w:val="24"/>
        </w:rPr>
      </w:pPr>
      <w:r>
        <w:rPr>
          <w:rFonts w:ascii="宋体" w:hAnsi="宋体"/>
          <w:b/>
          <w:bCs/>
          <w:sz w:val="24"/>
        </w:rPr>
        <w:t>10</w:t>
      </w:r>
      <w:r>
        <w:rPr>
          <w:rFonts w:hint="eastAsia" w:ascii="宋体" w:hAnsi="宋体"/>
          <w:b/>
          <w:bCs/>
          <w:sz w:val="24"/>
        </w:rPr>
        <w:t>．投标文件的语言及度量衡单位</w:t>
      </w:r>
    </w:p>
    <w:p w14:paraId="3598B41A">
      <w:pPr>
        <w:pStyle w:val="5"/>
        <w:spacing w:after="0" w:line="360" w:lineRule="auto"/>
        <w:ind w:firstLine="480" w:firstLineChars="200"/>
        <w:rPr>
          <w:rFonts w:ascii="宋体"/>
          <w:sz w:val="24"/>
        </w:rPr>
      </w:pPr>
      <w:r>
        <w:rPr>
          <w:rFonts w:ascii="宋体" w:hAnsi="宋体"/>
          <w:sz w:val="24"/>
        </w:rPr>
        <w:t xml:space="preserve">10.1 </w:t>
      </w:r>
      <w:r>
        <w:rPr>
          <w:rFonts w:hint="eastAsia" w:ascii="宋体" w:hAnsi="宋体"/>
          <w:sz w:val="24"/>
        </w:rPr>
        <w:t>投标文件和与投标有关的所有文件均应使用中文。</w:t>
      </w:r>
    </w:p>
    <w:p w14:paraId="3E4221DC">
      <w:pPr>
        <w:pStyle w:val="5"/>
        <w:spacing w:after="0" w:line="360" w:lineRule="auto"/>
        <w:ind w:firstLine="480" w:firstLineChars="200"/>
        <w:rPr>
          <w:rFonts w:ascii="宋体"/>
          <w:sz w:val="24"/>
        </w:rPr>
      </w:pPr>
      <w:r>
        <w:rPr>
          <w:rFonts w:ascii="宋体" w:hAnsi="宋体"/>
          <w:sz w:val="24"/>
        </w:rPr>
        <w:t xml:space="preserve">10.2 </w:t>
      </w:r>
      <w:r>
        <w:rPr>
          <w:rFonts w:hint="eastAsia" w:ascii="宋体" w:hAnsi="宋体"/>
          <w:sz w:val="24"/>
        </w:rPr>
        <w:t>除工程规范另有规定外，投标文件使用的度量衡单位，均采用中华人民共和国法定计量单位。</w:t>
      </w:r>
    </w:p>
    <w:p w14:paraId="0A19DBA7">
      <w:pPr>
        <w:pStyle w:val="5"/>
        <w:spacing w:after="0" w:line="360" w:lineRule="auto"/>
        <w:ind w:firstLine="482" w:firstLineChars="200"/>
        <w:rPr>
          <w:rFonts w:ascii="宋体"/>
          <w:b/>
          <w:bCs/>
          <w:sz w:val="24"/>
        </w:rPr>
      </w:pPr>
      <w:r>
        <w:rPr>
          <w:rFonts w:ascii="宋体" w:hAnsi="宋体"/>
          <w:b/>
          <w:bCs/>
          <w:sz w:val="24"/>
        </w:rPr>
        <w:t>11</w:t>
      </w:r>
      <w:r>
        <w:rPr>
          <w:rFonts w:hint="eastAsia" w:ascii="宋体" w:hAnsi="宋体"/>
          <w:b/>
          <w:bCs/>
          <w:sz w:val="24"/>
        </w:rPr>
        <w:t>．投标文件的组成</w:t>
      </w:r>
    </w:p>
    <w:p w14:paraId="1D0C4A45">
      <w:pPr>
        <w:pStyle w:val="5"/>
        <w:spacing w:after="0" w:line="360" w:lineRule="auto"/>
        <w:ind w:firstLine="480" w:firstLineChars="200"/>
        <w:rPr>
          <w:rFonts w:ascii="宋体"/>
          <w:b/>
          <w:sz w:val="24"/>
          <w:u w:val="single"/>
        </w:rPr>
      </w:pPr>
      <w:r>
        <w:rPr>
          <w:rFonts w:ascii="宋体" w:hAnsi="宋体"/>
          <w:sz w:val="24"/>
          <w:u w:val="single"/>
        </w:rPr>
        <w:t xml:space="preserve">11.1 </w:t>
      </w:r>
      <w:r>
        <w:rPr>
          <w:rFonts w:hint="eastAsia" w:ascii="宋体" w:hAnsi="宋体"/>
          <w:sz w:val="24"/>
          <w:u w:val="single"/>
        </w:rPr>
        <w:t>投标文件由技术部分（含资格审查文件）和经济部分二部分投标文件组成</w:t>
      </w:r>
      <w:r>
        <w:rPr>
          <w:rFonts w:hint="eastAsia" w:ascii="宋体" w:hAnsi="宋体"/>
          <w:b/>
          <w:sz w:val="24"/>
          <w:u w:val="single"/>
        </w:rPr>
        <w:t>。</w:t>
      </w:r>
    </w:p>
    <w:p w14:paraId="7B8A002C">
      <w:pPr>
        <w:spacing w:line="360" w:lineRule="auto"/>
        <w:ind w:firstLine="480" w:firstLineChars="200"/>
        <w:rPr>
          <w:rFonts w:hint="eastAsia" w:ascii="宋体" w:hAnsi="宋体"/>
          <w:bCs/>
          <w:sz w:val="24"/>
          <w:u w:val="single"/>
        </w:rPr>
      </w:pPr>
      <w:r>
        <w:rPr>
          <w:rFonts w:ascii="宋体" w:hAnsi="宋体"/>
          <w:bCs/>
          <w:sz w:val="24"/>
          <w:u w:val="single"/>
        </w:rPr>
        <w:t>11.2</w:t>
      </w:r>
      <w:r>
        <w:rPr>
          <w:rFonts w:hint="eastAsia" w:ascii="宋体" w:hAnsi="宋体"/>
          <w:bCs/>
          <w:sz w:val="24"/>
          <w:u w:val="single"/>
        </w:rPr>
        <w:t>投标文件技术标部分主要包括下列内容</w:t>
      </w:r>
      <w:r>
        <w:rPr>
          <w:rFonts w:ascii="宋体" w:hAnsi="宋体"/>
          <w:bCs/>
          <w:sz w:val="24"/>
          <w:u w:val="single"/>
        </w:rPr>
        <w:t>:</w:t>
      </w:r>
    </w:p>
    <w:p w14:paraId="78358048">
      <w:pPr>
        <w:pStyle w:val="2"/>
        <w:spacing w:line="360" w:lineRule="auto"/>
        <w:ind w:firstLine="480"/>
        <w:rPr>
          <w:rFonts w:hint="eastAsia" w:hAnsi="宋体"/>
          <w:bCs/>
          <w:sz w:val="24"/>
          <w:u w:val="single"/>
        </w:rPr>
      </w:pPr>
      <w:r>
        <w:rPr>
          <w:rFonts w:hint="eastAsia" w:hAnsi="宋体"/>
          <w:bCs/>
          <w:sz w:val="24"/>
          <w:u w:val="single"/>
        </w:rPr>
        <w:t>11.2.1资格审查文件</w:t>
      </w:r>
    </w:p>
    <w:p w14:paraId="3787445D">
      <w:pPr>
        <w:spacing w:line="360" w:lineRule="auto"/>
        <w:ind w:firstLine="482" w:firstLineChars="200"/>
        <w:rPr>
          <w:rFonts w:ascii="宋体"/>
          <w:b/>
          <w:sz w:val="24"/>
          <w:u w:val="single"/>
        </w:rPr>
      </w:pPr>
      <w:r>
        <w:rPr>
          <w:rFonts w:ascii="宋体"/>
          <w:b/>
          <w:sz w:val="24"/>
        </w:rPr>
        <w:t>（</w:t>
      </w:r>
      <w:r>
        <w:rPr>
          <w:rFonts w:hint="eastAsia" w:ascii="宋体"/>
          <w:b/>
          <w:sz w:val="24"/>
        </w:rPr>
        <w:t>1</w:t>
      </w:r>
      <w:r>
        <w:rPr>
          <w:rFonts w:ascii="宋体"/>
          <w:b/>
          <w:sz w:val="24"/>
        </w:rPr>
        <w:t>）</w:t>
      </w:r>
      <w:r>
        <w:rPr>
          <w:rFonts w:hint="eastAsia" w:ascii="宋体"/>
          <w:b/>
          <w:sz w:val="24"/>
          <w:u w:val="single"/>
        </w:rPr>
        <w:t>投标人声明；</w:t>
      </w:r>
    </w:p>
    <w:p w14:paraId="5B568783">
      <w:pPr>
        <w:spacing w:line="360" w:lineRule="auto"/>
        <w:ind w:firstLine="480" w:firstLineChars="200"/>
        <w:rPr>
          <w:rFonts w:ascii="宋体"/>
          <w:bCs/>
          <w:sz w:val="24"/>
          <w:u w:val="single"/>
        </w:rPr>
      </w:pPr>
      <w:r>
        <w:rPr>
          <w:rFonts w:hint="eastAsia" w:ascii="宋体"/>
          <w:bCs/>
          <w:sz w:val="24"/>
          <w:u w:val="single"/>
        </w:rPr>
        <w:t>（2）法定代表人证明书、法定代表人签字或盖章的本投标文件授权委托证明书；</w:t>
      </w:r>
    </w:p>
    <w:p w14:paraId="2199A3BA">
      <w:pPr>
        <w:spacing w:line="360" w:lineRule="auto"/>
        <w:ind w:firstLine="480" w:firstLineChars="200"/>
        <w:rPr>
          <w:rFonts w:ascii="宋体"/>
          <w:bCs/>
          <w:sz w:val="24"/>
          <w:u w:val="single"/>
        </w:rPr>
      </w:pPr>
      <w:r>
        <w:rPr>
          <w:rFonts w:hint="eastAsia" w:ascii="宋体"/>
          <w:bCs/>
          <w:sz w:val="24"/>
          <w:u w:val="single"/>
        </w:rPr>
        <w:t>（3）企业营业执照</w:t>
      </w:r>
      <w:r>
        <w:rPr>
          <w:rFonts w:hint="eastAsia" w:ascii="宋体" w:hAnsi="宋体" w:cs="宋体"/>
          <w:b/>
          <w:sz w:val="24"/>
          <w:szCs w:val="24"/>
          <w:u w:val="single"/>
        </w:rPr>
        <w:t>（扫描件或电子证照）</w:t>
      </w:r>
      <w:r>
        <w:rPr>
          <w:rFonts w:hint="eastAsia" w:ascii="宋体"/>
          <w:bCs/>
          <w:sz w:val="24"/>
          <w:u w:val="single"/>
        </w:rPr>
        <w:t>；</w:t>
      </w:r>
    </w:p>
    <w:p w14:paraId="1E2AE912">
      <w:pPr>
        <w:spacing w:line="360" w:lineRule="auto"/>
        <w:ind w:firstLine="480" w:firstLineChars="200"/>
        <w:rPr>
          <w:rFonts w:ascii="宋体"/>
          <w:bCs/>
          <w:sz w:val="24"/>
          <w:u w:val="single"/>
        </w:rPr>
      </w:pPr>
      <w:r>
        <w:rPr>
          <w:rFonts w:hint="eastAsia" w:ascii="宋体"/>
          <w:bCs/>
          <w:sz w:val="24"/>
          <w:u w:val="single"/>
        </w:rPr>
        <w:t>（4）企业资质证书</w:t>
      </w:r>
      <w:r>
        <w:rPr>
          <w:rFonts w:hint="eastAsia" w:ascii="宋体" w:hAnsi="宋体" w:cs="宋体"/>
          <w:bCs/>
          <w:sz w:val="24"/>
          <w:szCs w:val="24"/>
          <w:u w:val="single"/>
        </w:rPr>
        <w:t>（</w:t>
      </w:r>
      <w:r>
        <w:rPr>
          <w:rFonts w:hint="eastAsia" w:ascii="宋体" w:hAnsi="宋体" w:cs="宋体"/>
          <w:b/>
          <w:sz w:val="24"/>
          <w:szCs w:val="24"/>
          <w:u w:val="single"/>
        </w:rPr>
        <w:t>扫描件或电子证照）</w:t>
      </w:r>
      <w:r>
        <w:rPr>
          <w:rFonts w:hint="eastAsia" w:ascii="宋体"/>
          <w:bCs/>
          <w:sz w:val="24"/>
          <w:u w:val="single"/>
        </w:rPr>
        <w:t>；</w:t>
      </w:r>
    </w:p>
    <w:p w14:paraId="6F3C0A7D">
      <w:pPr>
        <w:spacing w:line="360" w:lineRule="auto"/>
        <w:ind w:firstLine="480" w:firstLineChars="200"/>
        <w:rPr>
          <w:rFonts w:ascii="宋体"/>
          <w:bCs/>
          <w:sz w:val="24"/>
          <w:u w:val="single"/>
        </w:rPr>
      </w:pPr>
      <w:r>
        <w:rPr>
          <w:rFonts w:hint="eastAsia" w:ascii="宋体"/>
          <w:bCs/>
          <w:sz w:val="24"/>
          <w:u w:val="single"/>
        </w:rPr>
        <w:t>（5）建筑施工企业安全生产许可证</w:t>
      </w:r>
      <w:r>
        <w:rPr>
          <w:rFonts w:hint="eastAsia" w:ascii="宋体" w:hAnsi="宋体" w:cs="宋体"/>
          <w:b/>
          <w:sz w:val="24"/>
          <w:szCs w:val="24"/>
          <w:u w:val="single"/>
        </w:rPr>
        <w:t>（扫描件或电子证照）</w:t>
      </w:r>
      <w:r>
        <w:rPr>
          <w:rFonts w:hint="eastAsia" w:ascii="宋体"/>
          <w:bCs/>
          <w:sz w:val="24"/>
          <w:u w:val="single"/>
        </w:rPr>
        <w:t>；</w:t>
      </w:r>
    </w:p>
    <w:p w14:paraId="6D6B4B07">
      <w:pPr>
        <w:spacing w:line="360" w:lineRule="auto"/>
        <w:ind w:firstLine="480" w:firstLineChars="200"/>
        <w:rPr>
          <w:rFonts w:hint="eastAsia" w:ascii="宋体" w:hAnsi="宋体"/>
          <w:bCs/>
          <w:sz w:val="24"/>
          <w:szCs w:val="24"/>
          <w:u w:val="single"/>
        </w:rPr>
      </w:pPr>
      <w:r>
        <w:rPr>
          <w:rFonts w:hint="eastAsia" w:ascii="宋体"/>
          <w:bCs/>
          <w:sz w:val="24"/>
          <w:u w:val="single"/>
        </w:rPr>
        <w:t>（6）</w:t>
      </w:r>
      <w:r>
        <w:rPr>
          <w:rFonts w:hint="eastAsia" w:ascii="宋体" w:hAnsi="宋体"/>
          <w:bCs/>
          <w:sz w:val="24"/>
          <w:szCs w:val="24"/>
          <w:u w:val="single"/>
        </w:rPr>
        <w:t>项目负责人（按网上投标登记时选择拟投标的项目负责人）</w:t>
      </w:r>
      <w:r>
        <w:rPr>
          <w:rFonts w:hint="eastAsia" w:ascii="宋体" w:hAnsi="宋体" w:cs="宋体"/>
          <w:b/>
          <w:sz w:val="24"/>
          <w:szCs w:val="24"/>
          <w:u w:val="single"/>
        </w:rPr>
        <w:t>（提供扫描件或电子证照）</w:t>
      </w:r>
      <w:r>
        <w:rPr>
          <w:rFonts w:hint="eastAsia" w:ascii="宋体" w:hAnsi="宋体"/>
          <w:bCs/>
          <w:sz w:val="24"/>
          <w:szCs w:val="24"/>
          <w:u w:val="single"/>
        </w:rPr>
        <w:t>。</w:t>
      </w:r>
      <w:r>
        <w:rPr>
          <w:rFonts w:ascii="宋体" w:hAnsi="宋体"/>
          <w:strike/>
          <w:sz w:val="24"/>
          <w:u w:val="single"/>
        </w:rPr>
        <w:t>投标人须在</w:t>
      </w:r>
      <w:r>
        <w:rPr>
          <w:rFonts w:hint="eastAsia" w:ascii="宋体" w:hAnsi="宋体"/>
          <w:strike/>
          <w:sz w:val="24"/>
          <w:u w:val="single"/>
        </w:rPr>
        <w:t>广州市交通建设项目企业信息库建立企业信用信息档案，拟担任本工程项目负责人须是本企业信息档案中的在册人员</w:t>
      </w:r>
      <w:r>
        <w:rPr>
          <w:rFonts w:hint="eastAsia" w:ascii="宋体" w:hAnsi="宋体"/>
          <w:bCs/>
          <w:sz w:val="24"/>
          <w:szCs w:val="24"/>
          <w:u w:val="single"/>
        </w:rPr>
        <w:t>）；</w:t>
      </w:r>
    </w:p>
    <w:p w14:paraId="482A41DB">
      <w:pPr>
        <w:spacing w:line="360" w:lineRule="auto"/>
        <w:ind w:firstLine="480" w:firstLineChars="200"/>
        <w:rPr>
          <w:rFonts w:hint="eastAsia" w:ascii="宋体" w:hAnsi="宋体"/>
          <w:bCs/>
          <w:sz w:val="24"/>
          <w:szCs w:val="24"/>
          <w:u w:val="single"/>
        </w:rPr>
      </w:pPr>
      <w:r>
        <w:rPr>
          <w:rFonts w:hint="eastAsia" w:ascii="宋体" w:hAnsi="宋体"/>
          <w:bCs/>
          <w:sz w:val="24"/>
          <w:szCs w:val="24"/>
          <w:u w:val="single"/>
        </w:rPr>
        <w:t>（7）专职安全员（按网上投标登记时选择拟投标的专职安全员</w:t>
      </w:r>
      <w:r>
        <w:rPr>
          <w:rFonts w:hint="eastAsia" w:ascii="宋体" w:hAnsi="宋体" w:cs="宋体"/>
          <w:b/>
          <w:sz w:val="24"/>
          <w:szCs w:val="24"/>
          <w:u w:val="single"/>
        </w:rPr>
        <w:t>（提供扫描件或电子证照）</w:t>
      </w:r>
      <w:r>
        <w:rPr>
          <w:rFonts w:hint="eastAsia" w:ascii="宋体" w:hAnsi="宋体"/>
          <w:bCs/>
          <w:sz w:val="24"/>
          <w:szCs w:val="24"/>
          <w:u w:val="single"/>
        </w:rPr>
        <w:t>，</w:t>
      </w:r>
      <w:r>
        <w:rPr>
          <w:rFonts w:ascii="宋体" w:hAnsi="宋体"/>
          <w:strike/>
          <w:sz w:val="24"/>
          <w:u w:val="single"/>
        </w:rPr>
        <w:t>投标人须在</w:t>
      </w:r>
      <w:r>
        <w:rPr>
          <w:rFonts w:hint="eastAsia" w:ascii="宋体" w:hAnsi="宋体"/>
          <w:strike/>
          <w:sz w:val="24"/>
          <w:u w:val="single"/>
        </w:rPr>
        <w:t>广州市交通建设项目企业信息库建立企业信用信息档案，拟担任本工程专职安全员须是本企业信息档案中的在册人员</w:t>
      </w:r>
      <w:r>
        <w:rPr>
          <w:rFonts w:hint="eastAsia" w:ascii="宋体" w:hAnsi="宋体"/>
          <w:bCs/>
          <w:sz w:val="24"/>
          <w:szCs w:val="24"/>
          <w:u w:val="single"/>
        </w:rPr>
        <w:t>）；</w:t>
      </w:r>
    </w:p>
    <w:p w14:paraId="182D4135">
      <w:pPr>
        <w:spacing w:line="360" w:lineRule="auto"/>
        <w:ind w:firstLine="480" w:firstLineChars="200"/>
        <w:rPr>
          <w:rFonts w:ascii="宋体"/>
          <w:bCs/>
          <w:sz w:val="24"/>
          <w:u w:val="single"/>
        </w:rPr>
      </w:pPr>
      <w:r>
        <w:rPr>
          <w:rFonts w:hint="eastAsia" w:ascii="宋体"/>
          <w:bCs/>
          <w:sz w:val="24"/>
          <w:u w:val="single"/>
        </w:rPr>
        <w:t>（8）拟委派项目负责人</w:t>
      </w:r>
      <w:r>
        <w:rPr>
          <w:rFonts w:hint="eastAsia" w:ascii="宋体" w:hAnsi="宋体" w:cs="宋体"/>
          <w:b/>
          <w:sz w:val="24"/>
          <w:szCs w:val="24"/>
          <w:u w:val="single"/>
        </w:rPr>
        <w:t>有效期内</w:t>
      </w:r>
      <w:r>
        <w:rPr>
          <w:rFonts w:hint="eastAsia" w:ascii="宋体"/>
          <w:bCs/>
          <w:sz w:val="24"/>
          <w:u w:val="single"/>
        </w:rPr>
        <w:t>的建造师注册证书</w:t>
      </w:r>
      <w:r>
        <w:rPr>
          <w:rFonts w:hint="eastAsia" w:ascii="宋体" w:hAnsi="宋体" w:cs="宋体"/>
          <w:b/>
          <w:sz w:val="24"/>
          <w:szCs w:val="24"/>
          <w:u w:val="single"/>
        </w:rPr>
        <w:t>（扫描件或电子证书）</w:t>
      </w:r>
      <w:r>
        <w:rPr>
          <w:rFonts w:hint="eastAsia" w:ascii="宋体"/>
          <w:bCs/>
          <w:strike/>
          <w:sz w:val="24"/>
          <w:u w:val="single"/>
        </w:rPr>
        <w:t>（取自</w:t>
      </w:r>
      <w:r>
        <w:rPr>
          <w:rFonts w:hint="eastAsia" w:ascii="宋体" w:hAnsi="宋体"/>
          <w:strike/>
          <w:sz w:val="24"/>
          <w:u w:val="single"/>
        </w:rPr>
        <w:t>广州市交通建设项目企业信息库</w:t>
      </w:r>
      <w:r>
        <w:rPr>
          <w:rFonts w:hint="eastAsia" w:ascii="宋体"/>
          <w:bCs/>
          <w:strike/>
          <w:sz w:val="24"/>
          <w:u w:val="single"/>
        </w:rPr>
        <w:t xml:space="preserve">内上传件） </w:t>
      </w:r>
      <w:r>
        <w:rPr>
          <w:rFonts w:hint="eastAsia" w:ascii="宋体"/>
          <w:bCs/>
          <w:sz w:val="24"/>
          <w:u w:val="single"/>
        </w:rPr>
        <w:t xml:space="preserve">； </w:t>
      </w:r>
    </w:p>
    <w:p w14:paraId="1B2B4F25">
      <w:pPr>
        <w:spacing w:line="360" w:lineRule="auto"/>
        <w:ind w:firstLine="480" w:firstLineChars="200"/>
        <w:rPr>
          <w:rFonts w:ascii="宋体"/>
          <w:bCs/>
          <w:sz w:val="24"/>
          <w:u w:val="single"/>
        </w:rPr>
      </w:pPr>
      <w:r>
        <w:rPr>
          <w:rFonts w:hint="eastAsia" w:ascii="宋体"/>
          <w:bCs/>
          <w:sz w:val="24"/>
          <w:u w:val="single"/>
        </w:rPr>
        <w:t>（9）项目负责人安全生产考核合格证明或在有效期内的安全考核合格证书（B类）或建筑施工企业项目负责人安全生产考核合格证书</w:t>
      </w:r>
      <w:r>
        <w:rPr>
          <w:rFonts w:hint="eastAsia" w:ascii="宋体" w:hAnsi="宋体" w:cs="宋体"/>
          <w:b/>
          <w:sz w:val="24"/>
          <w:szCs w:val="24"/>
          <w:u w:val="single"/>
        </w:rPr>
        <w:t>（扫描件或电子证书）</w:t>
      </w:r>
      <w:r>
        <w:rPr>
          <w:rFonts w:hint="eastAsia" w:ascii="宋体"/>
          <w:bCs/>
          <w:sz w:val="24"/>
          <w:u w:val="single"/>
        </w:rPr>
        <w:t>；</w:t>
      </w:r>
    </w:p>
    <w:p w14:paraId="67134220">
      <w:pPr>
        <w:spacing w:line="360" w:lineRule="auto"/>
        <w:ind w:firstLine="480" w:firstLineChars="200"/>
        <w:rPr>
          <w:rFonts w:ascii="宋体"/>
          <w:bCs/>
          <w:sz w:val="24"/>
          <w:u w:val="single"/>
        </w:rPr>
      </w:pPr>
      <w:r>
        <w:rPr>
          <w:rFonts w:hint="eastAsia" w:ascii="宋体"/>
          <w:bCs/>
          <w:sz w:val="24"/>
          <w:u w:val="single"/>
        </w:rPr>
        <w:t>（1</w:t>
      </w:r>
      <w:r>
        <w:rPr>
          <w:rFonts w:hint="eastAsia" w:ascii="宋体"/>
          <w:bCs/>
          <w:sz w:val="24"/>
          <w:u w:val="single"/>
          <w:lang w:val="en-US" w:eastAsia="zh-CN"/>
        </w:rPr>
        <w:t>0</w:t>
      </w:r>
      <w:r>
        <w:rPr>
          <w:rFonts w:hint="eastAsia" w:ascii="宋体"/>
          <w:bCs/>
          <w:sz w:val="24"/>
          <w:u w:val="single"/>
        </w:rPr>
        <w:t>）专职安全员须具有在有效期内的安全考核合格证书（C类）或建筑施工企业专职安全生产管理人员安全生产考核合格证书（C3）</w:t>
      </w:r>
      <w:r>
        <w:rPr>
          <w:rFonts w:hint="eastAsia" w:ascii="宋体" w:hAnsi="宋体" w:cs="宋体"/>
          <w:b/>
          <w:sz w:val="24"/>
          <w:szCs w:val="24"/>
          <w:u w:val="single"/>
        </w:rPr>
        <w:t>（扫描件或电子证书）</w:t>
      </w:r>
      <w:r>
        <w:rPr>
          <w:rFonts w:hint="eastAsia" w:ascii="宋体" w:hAnsi="宋体" w:cs="宋体"/>
          <w:bCs/>
          <w:sz w:val="24"/>
          <w:szCs w:val="24"/>
          <w:u w:val="single"/>
        </w:rPr>
        <w:t>，</w:t>
      </w:r>
      <w:r>
        <w:rPr>
          <w:rFonts w:hint="eastAsia" w:ascii="宋体"/>
          <w:bCs/>
          <w:sz w:val="24"/>
          <w:u w:val="single"/>
        </w:rPr>
        <w:t>项目负责人和专职安全员不为同一人；</w:t>
      </w:r>
    </w:p>
    <w:p w14:paraId="68DCB08C">
      <w:pPr>
        <w:spacing w:line="360" w:lineRule="auto"/>
        <w:ind w:firstLine="480" w:firstLineChars="200"/>
        <w:rPr>
          <w:rFonts w:ascii="宋体"/>
          <w:bCs/>
          <w:strike/>
          <w:sz w:val="24"/>
          <w:szCs w:val="24"/>
          <w:u w:val="single"/>
        </w:rPr>
      </w:pPr>
      <w:r>
        <w:rPr>
          <w:rFonts w:hint="eastAsia" w:ascii="宋体"/>
          <w:bCs/>
          <w:strike/>
          <w:sz w:val="24"/>
          <w:szCs w:val="24"/>
          <w:u w:val="single"/>
        </w:rPr>
        <w:t>（12）</w:t>
      </w:r>
      <w:r>
        <w:rPr>
          <w:rFonts w:hint="eastAsia" w:ascii="宋体" w:hAnsi="宋体"/>
          <w:bCs/>
          <w:strike/>
          <w:sz w:val="24"/>
          <w:szCs w:val="24"/>
          <w:u w:val="single"/>
        </w:rPr>
        <w:t>用于资格审查的业绩（设置业绩要求时选择此项，</w:t>
      </w:r>
      <w:r>
        <w:rPr>
          <w:rFonts w:hint="eastAsia" w:ascii="宋体" w:hAnsi="宋体"/>
          <w:strike/>
          <w:sz w:val="24"/>
          <w:u w:val="single"/>
        </w:rPr>
        <w:t>具体格式由招标人自定</w:t>
      </w:r>
      <w:r>
        <w:rPr>
          <w:rFonts w:hint="eastAsia" w:ascii="宋体" w:hAnsi="宋体"/>
          <w:bCs/>
          <w:strike/>
          <w:sz w:val="24"/>
          <w:szCs w:val="24"/>
          <w:u w:val="single"/>
        </w:rPr>
        <w:t>）</w:t>
      </w:r>
    </w:p>
    <w:p w14:paraId="756DCC6A">
      <w:pPr>
        <w:spacing w:line="360" w:lineRule="auto"/>
        <w:ind w:firstLine="480" w:firstLineChars="200"/>
        <w:rPr>
          <w:rFonts w:hint="eastAsia" w:ascii="宋体" w:hAnsi="宋体"/>
          <w:bCs/>
          <w:strike/>
          <w:sz w:val="24"/>
          <w:szCs w:val="24"/>
          <w:u w:val="single"/>
        </w:rPr>
      </w:pPr>
      <w:r>
        <w:rPr>
          <w:rFonts w:hint="eastAsia" w:ascii="宋体" w:hAnsi="宋体"/>
          <w:bCs/>
          <w:strike/>
          <w:sz w:val="24"/>
          <w:szCs w:val="24"/>
          <w:u w:val="single"/>
        </w:rPr>
        <w:t>（12）列明主办单位的联合体工作协议（采用联合体投标时需递交，</w:t>
      </w:r>
      <w:r>
        <w:rPr>
          <w:rFonts w:hint="eastAsia" w:ascii="宋体" w:hAnsi="宋体"/>
          <w:strike/>
          <w:sz w:val="24"/>
          <w:szCs w:val="24"/>
          <w:u w:val="single"/>
        </w:rPr>
        <w:t>联合体工作协议应明确约定各方拟承担的工作和责任</w:t>
      </w:r>
      <w:r>
        <w:rPr>
          <w:rFonts w:hint="eastAsia" w:ascii="宋体" w:hAnsi="宋体"/>
          <w:bCs/>
          <w:strike/>
          <w:sz w:val="24"/>
          <w:szCs w:val="24"/>
          <w:u w:val="single"/>
        </w:rPr>
        <w:t>）；</w:t>
      </w:r>
    </w:p>
    <w:p w14:paraId="1047EB62">
      <w:pPr>
        <w:spacing w:line="360" w:lineRule="auto"/>
        <w:ind w:firstLine="480" w:firstLineChars="200"/>
        <w:rPr>
          <w:rFonts w:hint="eastAsia" w:ascii="宋体" w:hAnsi="宋体"/>
          <w:bCs/>
          <w:sz w:val="24"/>
          <w:szCs w:val="24"/>
          <w:u w:val="single"/>
        </w:rPr>
      </w:pPr>
      <w:r>
        <w:rPr>
          <w:rFonts w:hint="eastAsia" w:ascii="宋体" w:hAnsi="宋体"/>
          <w:bCs/>
          <w:sz w:val="24"/>
          <w:szCs w:val="24"/>
          <w:u w:val="single"/>
        </w:rPr>
        <w:t>（1</w:t>
      </w:r>
      <w:r>
        <w:rPr>
          <w:rFonts w:hint="eastAsia" w:ascii="宋体" w:hAnsi="宋体"/>
          <w:bCs/>
          <w:sz w:val="24"/>
          <w:szCs w:val="24"/>
          <w:u w:val="single"/>
          <w:lang w:val="en-US" w:eastAsia="zh-CN"/>
        </w:rPr>
        <w:t>1</w:t>
      </w:r>
      <w:r>
        <w:rPr>
          <w:rFonts w:hint="eastAsia" w:ascii="宋体" w:hAnsi="宋体"/>
          <w:bCs/>
          <w:sz w:val="24"/>
          <w:szCs w:val="24"/>
          <w:u w:val="single"/>
        </w:rPr>
        <w:t>）投标登记前，投标人须在广州交易集团有限公司（广州公共资源交易中心）办理企业信息登记及拟担任本工程项目负责人、专职安全员须是本企业信息登记信息中的在册人员。（提供网页信息截图）</w:t>
      </w:r>
    </w:p>
    <w:p w14:paraId="321DBF3B">
      <w:pPr>
        <w:spacing w:line="360" w:lineRule="auto"/>
        <w:ind w:firstLine="480" w:firstLineChars="200"/>
        <w:rPr>
          <w:rFonts w:hint="eastAsia" w:ascii="宋体" w:hAnsi="宋体"/>
          <w:bCs/>
          <w:sz w:val="24"/>
          <w:szCs w:val="24"/>
          <w:u w:val="single"/>
        </w:rPr>
      </w:pPr>
      <w:r>
        <w:rPr>
          <w:rFonts w:hint="eastAsia" w:ascii="宋体" w:hAnsi="宋体"/>
          <w:bCs/>
          <w:sz w:val="24"/>
          <w:szCs w:val="24"/>
          <w:u w:val="single"/>
        </w:rPr>
        <w:t>（1</w:t>
      </w:r>
      <w:r>
        <w:rPr>
          <w:rFonts w:hint="eastAsia" w:ascii="宋体" w:hAnsi="宋体"/>
          <w:bCs/>
          <w:sz w:val="24"/>
          <w:szCs w:val="24"/>
          <w:u w:val="single"/>
          <w:lang w:val="en-US" w:eastAsia="zh-CN"/>
        </w:rPr>
        <w:t>2</w:t>
      </w:r>
      <w:r>
        <w:rPr>
          <w:rFonts w:hint="eastAsia" w:ascii="宋体" w:hAnsi="宋体"/>
          <w:bCs/>
          <w:sz w:val="24"/>
          <w:szCs w:val="24"/>
          <w:u w:val="single"/>
        </w:rPr>
        <w:t>）投标人认为应提交的其他资料 。</w:t>
      </w:r>
    </w:p>
    <w:p w14:paraId="3A3E0FDA">
      <w:pPr>
        <w:spacing w:line="360" w:lineRule="auto"/>
        <w:ind w:firstLine="480" w:firstLineChars="200"/>
        <w:rPr>
          <w:rFonts w:hint="eastAsia" w:ascii="宋体" w:hAnsi="宋体"/>
          <w:sz w:val="24"/>
          <w:u w:val="single"/>
        </w:rPr>
      </w:pPr>
      <w:r>
        <w:rPr>
          <w:rFonts w:hint="eastAsia" w:ascii="宋体" w:hAnsi="宋体"/>
          <w:sz w:val="24"/>
          <w:u w:val="single"/>
        </w:rPr>
        <w:t>11.2.2技术投标文件主要包括下列内容：</w:t>
      </w:r>
    </w:p>
    <w:p w14:paraId="79F2FABB">
      <w:pPr>
        <w:spacing w:line="360" w:lineRule="auto"/>
        <w:ind w:firstLine="480" w:firstLineChars="200"/>
        <w:rPr>
          <w:rFonts w:hint="eastAsia" w:ascii="宋体" w:hAnsi="宋体"/>
          <w:sz w:val="24"/>
          <w:u w:val="single"/>
        </w:rPr>
      </w:pPr>
      <w:r>
        <w:rPr>
          <w:rFonts w:hint="eastAsia" w:ascii="宋体" w:hAnsi="宋体"/>
          <w:sz w:val="24"/>
        </w:rPr>
        <w:t>（1）</w:t>
      </w:r>
      <w:r>
        <w:rPr>
          <w:rFonts w:hint="eastAsia" w:ascii="宋体"/>
          <w:bCs/>
          <w:sz w:val="24"/>
          <w:u w:val="single"/>
        </w:rPr>
        <w:t>《广州建设工程施工招标投标书》；</w:t>
      </w:r>
    </w:p>
    <w:p w14:paraId="7989BE48">
      <w:pPr>
        <w:spacing w:line="360" w:lineRule="auto"/>
        <w:ind w:firstLine="482" w:firstLineChars="200"/>
        <w:rPr>
          <w:rFonts w:hint="eastAsia" w:ascii="宋体" w:hAnsi="宋体"/>
          <w:b/>
          <w:bCs/>
          <w:sz w:val="24"/>
          <w:u w:val="single"/>
        </w:rPr>
      </w:pPr>
      <w:r>
        <w:rPr>
          <w:rFonts w:hint="eastAsia" w:ascii="宋体" w:hAnsi="宋体"/>
          <w:b/>
          <w:bCs/>
          <w:sz w:val="24"/>
        </w:rPr>
        <w:t>（2）</w:t>
      </w:r>
      <w:r>
        <w:rPr>
          <w:rFonts w:hint="eastAsia" w:ascii="宋体" w:hAnsi="宋体"/>
          <w:sz w:val="24"/>
          <w:u w:val="single"/>
        </w:rPr>
        <w:t>项目管理机构配备，</w:t>
      </w:r>
      <w:r>
        <w:rPr>
          <w:rFonts w:hint="eastAsia" w:ascii="宋体" w:hAnsi="宋体"/>
          <w:b/>
          <w:bCs/>
          <w:sz w:val="24"/>
          <w:u w:val="single"/>
        </w:rPr>
        <w:t>按《施工项目管理团队人员信息表》、《主要人员简历表》格式填写（格式见第四章）：</w:t>
      </w:r>
    </w:p>
    <w:p w14:paraId="3455D528">
      <w:pPr>
        <w:spacing w:line="360" w:lineRule="auto"/>
        <w:ind w:firstLine="480" w:firstLineChars="200"/>
        <w:rPr>
          <w:rFonts w:hint="eastAsia" w:ascii="宋体" w:hAnsi="宋体"/>
          <w:sz w:val="24"/>
          <w:u w:val="single"/>
        </w:rPr>
      </w:pPr>
      <w:r>
        <w:rPr>
          <w:rFonts w:hint="eastAsia" w:ascii="宋体" w:hAnsi="宋体"/>
          <w:sz w:val="24"/>
          <w:szCs w:val="24"/>
          <w:u w:val="single"/>
        </w:rPr>
        <w:t>①</w:t>
      </w:r>
      <w:r>
        <w:rPr>
          <w:rFonts w:hint="eastAsia" w:ascii="宋体" w:hAnsi="宋体"/>
          <w:sz w:val="24"/>
          <w:u w:val="single"/>
        </w:rPr>
        <w:t>投标人应列出该项目工程的施工组织机构构成和画出机构框架图及其负责人；</w:t>
      </w:r>
    </w:p>
    <w:p w14:paraId="5BDF22E4">
      <w:pPr>
        <w:spacing w:line="360" w:lineRule="auto"/>
        <w:ind w:firstLine="480" w:firstLineChars="200"/>
        <w:rPr>
          <w:rFonts w:hint="eastAsia" w:ascii="宋体" w:hAnsi="宋体"/>
          <w:sz w:val="24"/>
          <w:u w:val="single"/>
        </w:rPr>
      </w:pPr>
      <w:r>
        <w:rPr>
          <w:rFonts w:hint="eastAsia" w:ascii="宋体" w:hAnsi="宋体"/>
          <w:sz w:val="24"/>
          <w:szCs w:val="24"/>
          <w:u w:val="single"/>
        </w:rPr>
        <w:t>②</w:t>
      </w:r>
      <w:r>
        <w:rPr>
          <w:rFonts w:hint="eastAsia" w:ascii="宋体" w:hAnsi="宋体"/>
          <w:sz w:val="24"/>
          <w:u w:val="single"/>
        </w:rPr>
        <w:t>投标人应详细列出该施工组织机构中主要成员的名单、简历资料、职务职称和在本项目中拟担任的职务等资料，并附上有关证明材料扫描件；</w:t>
      </w:r>
    </w:p>
    <w:p w14:paraId="1A4A69FC">
      <w:pPr>
        <w:spacing w:line="360" w:lineRule="auto"/>
        <w:ind w:firstLine="480" w:firstLineChars="200"/>
        <w:rPr>
          <w:rFonts w:hint="eastAsia" w:ascii="宋体" w:hAnsi="宋体"/>
          <w:sz w:val="24"/>
          <w:u w:val="single"/>
        </w:rPr>
      </w:pPr>
      <w:r>
        <w:rPr>
          <w:rFonts w:hint="eastAsia" w:ascii="宋体" w:hAnsi="宋体"/>
          <w:sz w:val="24"/>
          <w:szCs w:val="24"/>
          <w:u w:val="single"/>
        </w:rPr>
        <w:t>③</w:t>
      </w:r>
      <w:r>
        <w:rPr>
          <w:rFonts w:hint="eastAsia" w:ascii="宋体" w:hAnsi="宋体"/>
          <w:sz w:val="24"/>
          <w:u w:val="single"/>
        </w:rPr>
        <w:t>其他辅助说明资料。</w:t>
      </w:r>
    </w:p>
    <w:p w14:paraId="33D0A444">
      <w:pPr>
        <w:spacing w:line="360" w:lineRule="auto"/>
        <w:ind w:firstLine="480" w:firstLineChars="200"/>
        <w:rPr>
          <w:rFonts w:hint="eastAsia" w:ascii="宋体" w:hAnsi="宋体"/>
          <w:sz w:val="24"/>
          <w:u w:val="single"/>
        </w:rPr>
      </w:pPr>
      <w:r>
        <w:rPr>
          <w:rFonts w:hint="eastAsia" w:ascii="宋体" w:hAnsi="宋体"/>
          <w:sz w:val="24"/>
          <w:u w:val="single"/>
        </w:rPr>
        <w:t>（3）施工组织设计或施工方案；</w:t>
      </w:r>
    </w:p>
    <w:p w14:paraId="663A95A0">
      <w:pPr>
        <w:pStyle w:val="8"/>
        <w:rPr>
          <w:rFonts w:hint="eastAsia" w:ascii="宋体" w:hAnsi="宋体"/>
          <w:sz w:val="24"/>
          <w:u w:val="single"/>
        </w:rPr>
      </w:pPr>
      <w:bookmarkStart w:id="32" w:name="OLE_LINK1"/>
      <w:r>
        <w:rPr>
          <w:rFonts w:hint="eastAsia" w:ascii="楷体" w:hAnsi="楷体" w:eastAsia="楷体" w:cs="楷体"/>
          <w:sz w:val="24"/>
          <w:u w:val="single"/>
        </w:rPr>
        <w:t>注：建议招标人在招标文件中提出篇幅上限，国家及地方现有工法规范已有的内容无需重复提交。</w:t>
      </w:r>
    </w:p>
    <w:bookmarkEnd w:id="32"/>
    <w:p w14:paraId="708AFB8E">
      <w:pPr>
        <w:spacing w:line="360" w:lineRule="auto"/>
        <w:ind w:firstLine="480" w:firstLineChars="200"/>
        <w:rPr>
          <w:rFonts w:hint="eastAsia" w:ascii="宋体" w:hAnsi="宋体"/>
          <w:sz w:val="24"/>
          <w:u w:val="single"/>
        </w:rPr>
      </w:pPr>
      <w:r>
        <w:rPr>
          <w:rFonts w:hint="eastAsia" w:ascii="宋体" w:hAnsi="宋体"/>
          <w:sz w:val="24"/>
          <w:u w:val="single"/>
        </w:rPr>
        <w:t>（4）按照招标文件《技术标详细审查评分表》提供的证明材料；</w:t>
      </w:r>
    </w:p>
    <w:p w14:paraId="1EE16E06">
      <w:pPr>
        <w:spacing w:line="360" w:lineRule="auto"/>
        <w:ind w:firstLine="480" w:firstLineChars="200"/>
        <w:rPr>
          <w:rFonts w:hint="eastAsia" w:ascii="宋体" w:hAnsi="宋体"/>
          <w:sz w:val="24"/>
          <w:u w:val="single"/>
        </w:rPr>
      </w:pPr>
      <w:r>
        <w:rPr>
          <w:rFonts w:hint="eastAsia" w:ascii="宋体" w:hAnsi="宋体"/>
          <w:sz w:val="24"/>
          <w:u w:val="single"/>
        </w:rPr>
        <w:t>（5）按照招标文件要求填写的《参与编制技术标投标文件人员名单》</w:t>
      </w:r>
      <w:r>
        <w:rPr>
          <w:rFonts w:hint="eastAsia" w:ascii="宋体" w:hAnsi="宋体"/>
          <w:sz w:val="24"/>
          <w:u w:val="single"/>
          <w:lang w:val="zh-CN"/>
        </w:rPr>
        <w:t>（格式见第四章）</w:t>
      </w:r>
      <w:r>
        <w:rPr>
          <w:rFonts w:hint="eastAsia" w:ascii="宋体" w:hAnsi="宋体"/>
          <w:sz w:val="24"/>
          <w:u w:val="single"/>
        </w:rPr>
        <w:t>；</w:t>
      </w:r>
    </w:p>
    <w:p w14:paraId="4946A456">
      <w:pPr>
        <w:spacing w:line="360" w:lineRule="auto"/>
        <w:ind w:firstLine="480" w:firstLineChars="200"/>
        <w:rPr>
          <w:rFonts w:hint="eastAsia" w:ascii="宋体" w:hAnsi="宋体"/>
          <w:sz w:val="24"/>
          <w:u w:val="single"/>
        </w:rPr>
      </w:pPr>
      <w:r>
        <w:rPr>
          <w:rFonts w:hint="eastAsia" w:ascii="宋体" w:hAnsi="宋体"/>
          <w:sz w:val="24"/>
          <w:u w:val="single"/>
        </w:rPr>
        <w:t>（6）按照招标文件要求填写的《对投标文件编制的承诺》（格式见第四章）；</w:t>
      </w:r>
    </w:p>
    <w:p w14:paraId="361B4E03">
      <w:pPr>
        <w:spacing w:line="360" w:lineRule="auto"/>
        <w:ind w:firstLine="480" w:firstLineChars="200"/>
        <w:rPr>
          <w:rFonts w:ascii="宋体"/>
          <w:bCs/>
          <w:sz w:val="24"/>
          <w:u w:val="single"/>
        </w:rPr>
      </w:pPr>
      <w:r>
        <w:rPr>
          <w:rFonts w:hint="eastAsia" w:ascii="宋体" w:hAnsi="宋体"/>
          <w:sz w:val="24"/>
          <w:u w:val="single"/>
        </w:rPr>
        <w:t>（7）按照招标文件要求填写的《投标人廉洁承诺书》（格式见第四章）；</w:t>
      </w:r>
    </w:p>
    <w:p w14:paraId="508C899A">
      <w:pPr>
        <w:spacing w:line="360" w:lineRule="auto"/>
        <w:ind w:firstLine="480" w:firstLineChars="200"/>
        <w:rPr>
          <w:rFonts w:ascii="宋体"/>
          <w:bCs/>
          <w:sz w:val="24"/>
          <w:u w:val="single"/>
        </w:rPr>
      </w:pPr>
      <w:r>
        <w:rPr>
          <w:rFonts w:hint="eastAsia" w:ascii="宋体"/>
          <w:bCs/>
          <w:sz w:val="24"/>
          <w:u w:val="single"/>
        </w:rPr>
        <w:t>（8）按本招标文件规定提交的其它所有技术资料。</w:t>
      </w:r>
    </w:p>
    <w:p w14:paraId="3A87C1D8">
      <w:pPr>
        <w:spacing w:line="360" w:lineRule="auto"/>
        <w:ind w:firstLine="480" w:firstLineChars="200"/>
        <w:rPr>
          <w:rFonts w:ascii="宋体"/>
          <w:bCs/>
          <w:sz w:val="24"/>
          <w:u w:val="single"/>
        </w:rPr>
      </w:pPr>
      <w:r>
        <w:rPr>
          <w:rFonts w:ascii="宋体" w:hAnsi="宋体"/>
          <w:bCs/>
          <w:sz w:val="24"/>
          <w:u w:val="single"/>
        </w:rPr>
        <w:t xml:space="preserve">11.3 </w:t>
      </w:r>
      <w:r>
        <w:rPr>
          <w:rFonts w:hint="eastAsia" w:ascii="宋体" w:hAnsi="宋体"/>
          <w:bCs/>
          <w:sz w:val="24"/>
          <w:u w:val="single"/>
        </w:rPr>
        <w:t>经济部分投标文件主要包括下列内容：</w:t>
      </w:r>
    </w:p>
    <w:p w14:paraId="052460B3">
      <w:pPr>
        <w:spacing w:line="360" w:lineRule="auto"/>
        <w:ind w:firstLine="480" w:firstLineChars="200"/>
        <w:rPr>
          <w:rFonts w:ascii="宋体"/>
          <w:sz w:val="24"/>
          <w:u w:val="single"/>
        </w:rPr>
      </w:pPr>
      <w:r>
        <w:rPr>
          <w:rFonts w:ascii="宋体" w:hAnsi="宋体"/>
          <w:sz w:val="24"/>
          <w:u w:val="single"/>
        </w:rPr>
        <w:t xml:space="preserve">11.3.1 </w:t>
      </w:r>
      <w:r>
        <w:rPr>
          <w:rFonts w:hint="eastAsia" w:ascii="宋体" w:hAnsi="宋体"/>
          <w:sz w:val="24"/>
          <w:u w:val="single"/>
        </w:rPr>
        <w:t>经济投标文件</w:t>
      </w:r>
    </w:p>
    <w:p w14:paraId="5F9E75B6">
      <w:pPr>
        <w:spacing w:line="360" w:lineRule="auto"/>
        <w:ind w:firstLine="480" w:firstLineChars="200"/>
        <w:rPr>
          <w:rFonts w:ascii="宋体"/>
          <w:sz w:val="24"/>
          <w:u w:val="single"/>
        </w:rPr>
      </w:pPr>
      <w:r>
        <w:rPr>
          <w:rFonts w:ascii="宋体" w:hAnsi="宋体"/>
          <w:sz w:val="24"/>
          <w:u w:val="single"/>
        </w:rPr>
        <w:t>11.3.2</w:t>
      </w:r>
      <w:r>
        <w:rPr>
          <w:rFonts w:hint="eastAsia" w:ascii="宋体" w:hAnsi="宋体"/>
          <w:sz w:val="24"/>
          <w:u w:val="single"/>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Pr>
          <w:rFonts w:hint="eastAsia" w:ascii="宋体" w:hAnsi="宋体"/>
          <w:sz w:val="24"/>
          <w:szCs w:val="24"/>
          <w:u w:val="single"/>
        </w:rPr>
        <w:t>其中包括如下：</w:t>
      </w:r>
      <w:r>
        <w:rPr>
          <w:rFonts w:ascii="宋体"/>
          <w:sz w:val="24"/>
          <w:u w:val="single"/>
        </w:rPr>
        <w:t xml:space="preserve"> </w:t>
      </w:r>
    </w:p>
    <w:p w14:paraId="5D16BA48">
      <w:pPr>
        <w:spacing w:line="360" w:lineRule="auto"/>
        <w:ind w:firstLine="566" w:firstLineChars="236"/>
        <w:rPr>
          <w:rFonts w:ascii="宋体"/>
          <w:sz w:val="24"/>
          <w:u w:val="single"/>
        </w:rPr>
      </w:pPr>
      <w:r>
        <w:rPr>
          <w:rFonts w:hint="eastAsia" w:ascii="宋体" w:hAnsi="宋体"/>
          <w:sz w:val="24"/>
          <w:u w:val="single"/>
        </w:rPr>
        <w:t>（</w:t>
      </w:r>
      <w:r>
        <w:rPr>
          <w:rFonts w:ascii="宋体" w:hAnsi="宋体"/>
          <w:sz w:val="24"/>
          <w:u w:val="single"/>
        </w:rPr>
        <w:t>1</w:t>
      </w:r>
      <w:r>
        <w:rPr>
          <w:rFonts w:hint="eastAsia" w:ascii="宋体" w:hAnsi="宋体"/>
          <w:sz w:val="24"/>
          <w:u w:val="single"/>
        </w:rPr>
        <w:t>）投标总价封面、扉页；</w:t>
      </w:r>
    </w:p>
    <w:p w14:paraId="4BF53CF7">
      <w:pPr>
        <w:spacing w:line="360" w:lineRule="auto"/>
        <w:ind w:firstLine="566" w:firstLineChars="236"/>
        <w:rPr>
          <w:rFonts w:hint="eastAsia" w:ascii="宋体" w:hAnsi="宋体"/>
          <w:sz w:val="24"/>
          <w:szCs w:val="24"/>
          <w:u w:val="single"/>
        </w:rPr>
      </w:pPr>
      <w:r>
        <w:rPr>
          <w:rFonts w:hint="eastAsia" w:ascii="宋体" w:hAnsi="宋体"/>
          <w:sz w:val="24"/>
          <w:szCs w:val="24"/>
          <w:u w:val="single"/>
        </w:rPr>
        <w:t>（</w:t>
      </w:r>
      <w:r>
        <w:rPr>
          <w:rFonts w:ascii="宋体" w:hAnsi="宋体"/>
          <w:sz w:val="24"/>
          <w:szCs w:val="24"/>
          <w:u w:val="single"/>
        </w:rPr>
        <w:t>2</w:t>
      </w:r>
      <w:r>
        <w:rPr>
          <w:rFonts w:hint="eastAsia" w:ascii="宋体" w:hAnsi="宋体"/>
          <w:sz w:val="24"/>
          <w:szCs w:val="24"/>
          <w:u w:val="single"/>
        </w:rPr>
        <w:t>）总说明；</w:t>
      </w:r>
    </w:p>
    <w:p w14:paraId="1A309D49">
      <w:pPr>
        <w:spacing w:line="360" w:lineRule="auto"/>
        <w:ind w:firstLine="566" w:firstLineChars="236"/>
        <w:rPr>
          <w:rFonts w:ascii="宋体"/>
          <w:sz w:val="24"/>
          <w:szCs w:val="24"/>
          <w:u w:val="single"/>
        </w:rPr>
      </w:pPr>
      <w:r>
        <w:rPr>
          <w:rFonts w:hint="eastAsia" w:ascii="宋体" w:hAnsi="宋体"/>
          <w:sz w:val="24"/>
          <w:szCs w:val="24"/>
          <w:u w:val="single"/>
        </w:rPr>
        <w:t>（3）工程项目投标报价汇总表；</w:t>
      </w:r>
    </w:p>
    <w:p w14:paraId="560EACEB">
      <w:pPr>
        <w:spacing w:line="360" w:lineRule="auto"/>
        <w:ind w:firstLine="566" w:firstLineChars="236"/>
        <w:rPr>
          <w:rFonts w:hint="eastAsia" w:ascii="宋体" w:hAnsi="宋体"/>
          <w:sz w:val="24"/>
          <w:szCs w:val="24"/>
          <w:u w:val="single"/>
        </w:rPr>
      </w:pPr>
      <w:r>
        <w:rPr>
          <w:rFonts w:hint="eastAsia" w:ascii="宋体" w:hAnsi="宋体"/>
          <w:sz w:val="24"/>
          <w:szCs w:val="24"/>
          <w:u w:val="single"/>
        </w:rPr>
        <w:t>（4）单项工程投标报价汇总表；</w:t>
      </w:r>
    </w:p>
    <w:p w14:paraId="0C0CA471">
      <w:pPr>
        <w:spacing w:line="360" w:lineRule="auto"/>
        <w:ind w:firstLine="566" w:firstLineChars="236"/>
        <w:rPr>
          <w:rFonts w:ascii="宋体"/>
          <w:sz w:val="24"/>
          <w:szCs w:val="24"/>
          <w:u w:val="single"/>
        </w:rPr>
      </w:pPr>
      <w:r>
        <w:rPr>
          <w:rFonts w:hint="eastAsia" w:ascii="宋体" w:hAnsi="宋体"/>
          <w:sz w:val="24"/>
          <w:szCs w:val="24"/>
          <w:u w:val="single"/>
        </w:rPr>
        <w:t>（5）单位工程投标报价汇总表；</w:t>
      </w:r>
    </w:p>
    <w:p w14:paraId="5C0D3A32">
      <w:pPr>
        <w:spacing w:line="360" w:lineRule="auto"/>
        <w:ind w:firstLine="566" w:firstLineChars="236"/>
        <w:rPr>
          <w:rFonts w:ascii="宋体"/>
          <w:sz w:val="24"/>
          <w:szCs w:val="24"/>
          <w:u w:val="single"/>
        </w:rPr>
      </w:pPr>
      <w:r>
        <w:rPr>
          <w:rFonts w:hint="eastAsia" w:ascii="宋体" w:hAnsi="宋体"/>
          <w:sz w:val="24"/>
          <w:szCs w:val="24"/>
          <w:u w:val="single"/>
        </w:rPr>
        <w:t>（6）分部分项工程清单与计价表；</w:t>
      </w:r>
    </w:p>
    <w:p w14:paraId="027E8462">
      <w:pPr>
        <w:spacing w:line="360" w:lineRule="auto"/>
        <w:ind w:firstLine="566" w:firstLineChars="236"/>
        <w:rPr>
          <w:rFonts w:ascii="宋体"/>
          <w:sz w:val="24"/>
          <w:szCs w:val="24"/>
          <w:u w:val="single"/>
        </w:rPr>
      </w:pPr>
      <w:r>
        <w:rPr>
          <w:rFonts w:hint="eastAsia" w:ascii="宋体" w:hAnsi="宋体"/>
          <w:sz w:val="24"/>
          <w:szCs w:val="24"/>
          <w:u w:val="single"/>
        </w:rPr>
        <w:t>（7）单价措施项目清单与计价表；</w:t>
      </w:r>
    </w:p>
    <w:p w14:paraId="4AA94C83">
      <w:pPr>
        <w:spacing w:line="360" w:lineRule="auto"/>
        <w:ind w:firstLine="566" w:firstLineChars="236"/>
        <w:rPr>
          <w:rFonts w:ascii="宋体"/>
          <w:sz w:val="24"/>
          <w:szCs w:val="24"/>
          <w:u w:val="single"/>
        </w:rPr>
      </w:pPr>
      <w:r>
        <w:rPr>
          <w:rFonts w:hint="eastAsia" w:ascii="宋体" w:hAnsi="宋体"/>
          <w:sz w:val="24"/>
          <w:szCs w:val="24"/>
          <w:u w:val="single"/>
        </w:rPr>
        <w:t>（8）总价措施项目清单与计价表；</w:t>
      </w:r>
    </w:p>
    <w:p w14:paraId="5BE91E2C">
      <w:pPr>
        <w:spacing w:line="360" w:lineRule="auto"/>
        <w:ind w:firstLine="566" w:firstLineChars="236"/>
        <w:rPr>
          <w:rFonts w:ascii="宋体"/>
          <w:sz w:val="24"/>
          <w:szCs w:val="24"/>
          <w:u w:val="single"/>
        </w:rPr>
      </w:pPr>
      <w:r>
        <w:rPr>
          <w:rFonts w:hint="eastAsia" w:ascii="宋体" w:hAnsi="宋体"/>
          <w:sz w:val="24"/>
          <w:szCs w:val="24"/>
          <w:u w:val="single"/>
        </w:rPr>
        <w:t>（9）综合单价分析表；</w:t>
      </w:r>
    </w:p>
    <w:p w14:paraId="19377400">
      <w:pPr>
        <w:spacing w:line="360" w:lineRule="auto"/>
        <w:ind w:firstLine="480" w:firstLineChars="200"/>
        <w:rPr>
          <w:rFonts w:ascii="宋体"/>
          <w:sz w:val="24"/>
          <w:szCs w:val="24"/>
          <w:u w:val="single"/>
        </w:rPr>
      </w:pPr>
      <w:r>
        <w:rPr>
          <w:rFonts w:hint="eastAsia" w:ascii="宋体" w:hAnsi="宋体"/>
          <w:sz w:val="24"/>
          <w:szCs w:val="24"/>
          <w:u w:val="single"/>
        </w:rPr>
        <w:t>（10）其他项目清单与计价汇总表；</w:t>
      </w:r>
    </w:p>
    <w:p w14:paraId="7F69DAB2">
      <w:pPr>
        <w:spacing w:line="360" w:lineRule="auto"/>
        <w:ind w:firstLine="480" w:firstLineChars="200"/>
        <w:rPr>
          <w:rFonts w:ascii="宋体"/>
          <w:sz w:val="24"/>
          <w:szCs w:val="24"/>
          <w:u w:val="single"/>
        </w:rPr>
      </w:pPr>
      <w:r>
        <w:rPr>
          <w:rFonts w:hint="eastAsia" w:ascii="宋体" w:hAnsi="宋体"/>
          <w:sz w:val="24"/>
          <w:szCs w:val="24"/>
          <w:u w:val="single"/>
        </w:rPr>
        <w:t>（11）暂列金额明细表；</w:t>
      </w:r>
    </w:p>
    <w:p w14:paraId="1AF7CF6F">
      <w:pPr>
        <w:spacing w:line="360" w:lineRule="auto"/>
        <w:ind w:firstLine="480" w:firstLineChars="200"/>
        <w:rPr>
          <w:rFonts w:ascii="宋体"/>
          <w:sz w:val="24"/>
          <w:szCs w:val="24"/>
          <w:u w:val="single"/>
        </w:rPr>
      </w:pPr>
      <w:r>
        <w:rPr>
          <w:rFonts w:hint="eastAsia" w:ascii="宋体" w:hAnsi="宋体"/>
          <w:sz w:val="24"/>
          <w:szCs w:val="24"/>
          <w:u w:val="single"/>
        </w:rPr>
        <w:t>（12）材料（工程设备）暂估价明细表；</w:t>
      </w:r>
    </w:p>
    <w:p w14:paraId="2FDD970A">
      <w:pPr>
        <w:spacing w:line="360" w:lineRule="auto"/>
        <w:ind w:firstLine="480" w:firstLineChars="200"/>
        <w:rPr>
          <w:rFonts w:ascii="宋体"/>
          <w:sz w:val="24"/>
          <w:szCs w:val="24"/>
          <w:u w:val="single"/>
        </w:rPr>
      </w:pPr>
      <w:r>
        <w:rPr>
          <w:rFonts w:hint="eastAsia" w:ascii="宋体" w:hAnsi="宋体"/>
          <w:sz w:val="24"/>
          <w:szCs w:val="24"/>
          <w:u w:val="single"/>
        </w:rPr>
        <w:t>（13）专业工程暂估价明细表；</w:t>
      </w:r>
    </w:p>
    <w:p w14:paraId="62F81992">
      <w:pPr>
        <w:spacing w:line="360" w:lineRule="auto"/>
        <w:ind w:firstLine="480" w:firstLineChars="200"/>
        <w:rPr>
          <w:rFonts w:ascii="宋体"/>
          <w:sz w:val="24"/>
          <w:szCs w:val="24"/>
          <w:u w:val="single"/>
        </w:rPr>
      </w:pPr>
      <w:r>
        <w:rPr>
          <w:rFonts w:hint="eastAsia" w:ascii="宋体" w:hAnsi="宋体"/>
          <w:sz w:val="24"/>
          <w:szCs w:val="24"/>
          <w:u w:val="single"/>
        </w:rPr>
        <w:t>（14）计日工表；</w:t>
      </w:r>
    </w:p>
    <w:p w14:paraId="62F9E60E">
      <w:pPr>
        <w:spacing w:line="360" w:lineRule="auto"/>
        <w:ind w:firstLine="480" w:firstLineChars="200"/>
        <w:rPr>
          <w:rFonts w:ascii="宋体"/>
          <w:sz w:val="24"/>
          <w:szCs w:val="24"/>
          <w:u w:val="single"/>
        </w:rPr>
      </w:pPr>
      <w:r>
        <w:rPr>
          <w:rFonts w:hint="eastAsia" w:ascii="宋体" w:hAnsi="宋体"/>
          <w:sz w:val="24"/>
          <w:szCs w:val="24"/>
          <w:u w:val="single"/>
        </w:rPr>
        <w:t>（15）总承包服务计价表；</w:t>
      </w:r>
    </w:p>
    <w:p w14:paraId="27FB9622">
      <w:pPr>
        <w:spacing w:line="360" w:lineRule="auto"/>
        <w:ind w:firstLine="480" w:firstLineChars="200"/>
        <w:rPr>
          <w:rFonts w:ascii="宋体"/>
          <w:sz w:val="24"/>
          <w:szCs w:val="24"/>
          <w:u w:val="single"/>
        </w:rPr>
      </w:pPr>
      <w:r>
        <w:rPr>
          <w:rFonts w:hint="eastAsia" w:ascii="宋体" w:hAnsi="宋体"/>
          <w:sz w:val="24"/>
          <w:szCs w:val="24"/>
          <w:u w:val="single"/>
        </w:rPr>
        <w:t>（16）规费和税金项目计价表；</w:t>
      </w:r>
    </w:p>
    <w:p w14:paraId="79BB512B">
      <w:pPr>
        <w:spacing w:line="360" w:lineRule="auto"/>
        <w:ind w:firstLine="480" w:firstLineChars="200"/>
        <w:rPr>
          <w:rFonts w:ascii="宋体"/>
          <w:sz w:val="24"/>
          <w:u w:val="single"/>
        </w:rPr>
      </w:pPr>
      <w:r>
        <w:rPr>
          <w:rFonts w:hint="eastAsia" w:ascii="宋体" w:hAnsi="宋体"/>
          <w:sz w:val="24"/>
          <w:szCs w:val="24"/>
          <w:u w:val="single"/>
        </w:rPr>
        <w:t>（17）人工、主要材料和设备一览表</w:t>
      </w:r>
    </w:p>
    <w:p w14:paraId="2225CF04">
      <w:pPr>
        <w:tabs>
          <w:tab w:val="left" w:pos="1125"/>
        </w:tabs>
        <w:spacing w:line="360" w:lineRule="auto"/>
        <w:ind w:firstLine="480" w:firstLineChars="200"/>
        <w:rPr>
          <w:rFonts w:hint="eastAsia" w:ascii="宋体" w:hAnsi="宋体"/>
          <w:sz w:val="24"/>
          <w:u w:val="single"/>
        </w:rPr>
      </w:pPr>
      <w:r>
        <w:rPr>
          <w:rFonts w:ascii="宋体" w:hAnsi="宋体"/>
          <w:sz w:val="24"/>
          <w:u w:val="single"/>
        </w:rPr>
        <w:t>11.3.</w:t>
      </w:r>
      <w:r>
        <w:rPr>
          <w:rFonts w:hint="eastAsia" w:ascii="宋体" w:hAnsi="宋体"/>
          <w:sz w:val="24"/>
          <w:u w:val="single"/>
        </w:rPr>
        <w:t>3按照</w:t>
      </w:r>
      <w:r>
        <w:rPr>
          <w:rFonts w:hint="eastAsia" w:ascii="宋体" w:hAnsi="宋体"/>
          <w:bCs/>
          <w:sz w:val="24"/>
          <w:u w:val="single"/>
        </w:rPr>
        <w:t>招标文件要求</w:t>
      </w:r>
      <w:r>
        <w:rPr>
          <w:rFonts w:hint="eastAsia" w:ascii="宋体" w:hAnsi="宋体"/>
          <w:sz w:val="24"/>
          <w:u w:val="single"/>
        </w:rPr>
        <w:t>填写的《参与编制经济标投标文件人员名单》。</w:t>
      </w:r>
      <w:r>
        <w:rPr>
          <w:rFonts w:hint="eastAsia" w:ascii="宋体" w:hAnsi="宋体" w:cs="宋体"/>
          <w:sz w:val="24"/>
          <w:szCs w:val="24"/>
          <w:u w:val="single"/>
        </w:rPr>
        <w:t>（格式见第四章）</w:t>
      </w:r>
    </w:p>
    <w:p w14:paraId="1F83919D">
      <w:pPr>
        <w:tabs>
          <w:tab w:val="left" w:pos="1125"/>
        </w:tabs>
        <w:spacing w:line="360" w:lineRule="auto"/>
        <w:ind w:firstLine="480" w:firstLineChars="200"/>
        <w:rPr>
          <w:rFonts w:hint="eastAsia" w:ascii="宋体" w:hAnsi="宋体"/>
          <w:sz w:val="24"/>
          <w:u w:val="single"/>
        </w:rPr>
      </w:pPr>
      <w:r>
        <w:rPr>
          <w:rFonts w:hint="eastAsia" w:ascii="宋体" w:hAnsi="宋体"/>
          <w:sz w:val="24"/>
          <w:u w:val="single"/>
        </w:rPr>
        <w:t>11.3.4若投标人的投标报价低于工程成本警示价的，投标人还须提供详细的施工组织设计、单价、措施性费用、单价分析表、主要材料价格表、投标人成本分析供评标委员会评审。</w:t>
      </w:r>
    </w:p>
    <w:p w14:paraId="1576009D">
      <w:pPr>
        <w:pStyle w:val="5"/>
        <w:spacing w:after="0" w:line="360" w:lineRule="auto"/>
        <w:ind w:firstLine="482" w:firstLineChars="200"/>
        <w:rPr>
          <w:rFonts w:ascii="宋体"/>
          <w:b/>
          <w:bCs/>
          <w:sz w:val="24"/>
        </w:rPr>
      </w:pPr>
      <w:r>
        <w:rPr>
          <w:rFonts w:ascii="宋体" w:hAnsi="宋体"/>
          <w:b/>
          <w:bCs/>
          <w:sz w:val="24"/>
        </w:rPr>
        <w:t>12</w:t>
      </w:r>
      <w:r>
        <w:rPr>
          <w:rFonts w:hint="eastAsia" w:ascii="宋体" w:hAnsi="宋体"/>
          <w:b/>
          <w:bCs/>
          <w:sz w:val="24"/>
        </w:rPr>
        <w:t>．投标文件格式</w:t>
      </w:r>
    </w:p>
    <w:p w14:paraId="6B0252EF">
      <w:pPr>
        <w:pStyle w:val="5"/>
        <w:spacing w:after="0" w:line="360" w:lineRule="auto"/>
        <w:ind w:firstLine="480" w:firstLineChars="200"/>
        <w:rPr>
          <w:rFonts w:hint="eastAsia" w:ascii="宋体" w:hAnsi="宋体"/>
          <w:sz w:val="24"/>
        </w:rPr>
      </w:pPr>
      <w:r>
        <w:rPr>
          <w:rFonts w:ascii="宋体" w:hAnsi="宋体"/>
          <w:sz w:val="24"/>
        </w:rPr>
        <w:t xml:space="preserve">12.1 </w:t>
      </w:r>
      <w:r>
        <w:rPr>
          <w:rFonts w:hint="eastAsia" w:ascii="宋体" w:hAnsi="宋体"/>
          <w:sz w:val="24"/>
        </w:rPr>
        <w:t>投标文件包括本须知第</w:t>
      </w:r>
      <w:r>
        <w:rPr>
          <w:rFonts w:ascii="宋体" w:hAnsi="宋体"/>
          <w:sz w:val="24"/>
        </w:rPr>
        <w:t>11</w:t>
      </w:r>
      <w:r>
        <w:rPr>
          <w:rFonts w:hint="eastAsia" w:ascii="宋体" w:hAnsi="宋体"/>
          <w:sz w:val="24"/>
        </w:rPr>
        <w:t>条中规定的内容，投标人提交的投标文件应当使用招标文件所提供的投标文件全部格式（表格可以按同样格式扩展）。</w:t>
      </w:r>
    </w:p>
    <w:p w14:paraId="53349B1A">
      <w:pPr>
        <w:pStyle w:val="5"/>
        <w:spacing w:after="0" w:line="360" w:lineRule="auto"/>
        <w:ind w:firstLine="480" w:firstLineChars="200"/>
        <w:rPr>
          <w:rFonts w:hint="eastAsia" w:ascii="宋体" w:hAnsi="宋体"/>
          <w:sz w:val="24"/>
        </w:rPr>
      </w:pPr>
      <w:r>
        <w:rPr>
          <w:rFonts w:hint="eastAsia" w:ascii="宋体" w:hAnsi="宋体"/>
          <w:sz w:val="24"/>
        </w:rPr>
        <w:t>12.2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w:t>
      </w:r>
      <w:r>
        <w:rPr>
          <w:rFonts w:hint="eastAsia"/>
          <w:sz w:val="24"/>
          <w:szCs w:val="24"/>
        </w:rPr>
        <w:t>全流程电子化项目的相关指南进行操作。详见：</w:t>
      </w:r>
      <w:r>
        <w:rPr>
          <w:rFonts w:hint="eastAsia" w:ascii="宋体" w:hAnsi="宋体" w:cs="宋体"/>
          <w:b/>
          <w:bCs/>
          <w:sz w:val="24"/>
          <w:szCs w:val="24"/>
          <w:u w:val="single"/>
        </w:rPr>
        <w:t>广州交易集团有限公司（广州公共资源交易中心）网站</w:t>
      </w:r>
      <w:r>
        <w:rPr>
          <w:rFonts w:hint="eastAsia"/>
          <w:sz w:val="24"/>
          <w:szCs w:val="24"/>
        </w:rPr>
        <w:t xml:space="preserve"> 。</w:t>
      </w:r>
    </w:p>
    <w:p w14:paraId="242F0D16">
      <w:pPr>
        <w:pStyle w:val="5"/>
        <w:spacing w:after="0" w:line="360" w:lineRule="auto"/>
        <w:ind w:firstLine="480" w:firstLineChars="200"/>
        <w:rPr>
          <w:rFonts w:hint="eastAsia" w:ascii="宋体" w:hAnsi="宋体"/>
          <w:sz w:val="24"/>
        </w:rPr>
      </w:pPr>
      <w:r>
        <w:rPr>
          <w:rFonts w:hint="eastAsia" w:ascii="宋体" w:hAnsi="宋体"/>
          <w:sz w:val="24"/>
        </w:rPr>
        <w:t xml:space="preserve">12.3 </w:t>
      </w:r>
      <w:r>
        <w:rPr>
          <w:rFonts w:hint="eastAsia" w:ascii="宋体" w:hAnsi="宋体"/>
          <w:bCs/>
          <w:sz w:val="24"/>
          <w:szCs w:val="24"/>
        </w:rPr>
        <w:t>投标文件应按</w:t>
      </w:r>
      <w:r>
        <w:rPr>
          <w:rFonts w:hint="eastAsia" w:ascii="宋体" w:hAnsi="宋体"/>
          <w:sz w:val="24"/>
        </w:rPr>
        <w:t>照交易平台关于全流程电子化项目的相关指南进行编制，详见：</w:t>
      </w:r>
      <w:r>
        <w:rPr>
          <w:rFonts w:hint="eastAsia" w:ascii="宋体" w:hAnsi="宋体" w:cs="宋体"/>
          <w:b/>
          <w:bCs/>
          <w:sz w:val="24"/>
          <w:szCs w:val="24"/>
          <w:u w:val="single"/>
        </w:rPr>
        <w:t>广州交易集团有限公司（广州公共资源交易中心）网站</w:t>
      </w:r>
      <w:r>
        <w:rPr>
          <w:rFonts w:hint="eastAsia" w:ascii="宋体" w:hAnsi="宋体"/>
          <w:sz w:val="24"/>
        </w:rPr>
        <w:t>。</w:t>
      </w:r>
    </w:p>
    <w:p w14:paraId="3C15DA43">
      <w:pPr>
        <w:pStyle w:val="5"/>
        <w:spacing w:after="0" w:line="360" w:lineRule="auto"/>
        <w:ind w:firstLine="480" w:firstLineChars="200"/>
        <w:rPr>
          <w:rFonts w:hint="eastAsia" w:ascii="宋体" w:hAnsi="宋体"/>
          <w:sz w:val="24"/>
        </w:rPr>
      </w:pPr>
      <w:r>
        <w:rPr>
          <w:rFonts w:hint="eastAsia" w:ascii="宋体" w:hAnsi="宋体"/>
          <w:bCs/>
          <w:sz w:val="24"/>
          <w:szCs w:val="24"/>
        </w:rPr>
        <w:t>如不按上述要求编制引起系统无法检索、读取相关信息的，其后果由投标人承担。</w:t>
      </w:r>
    </w:p>
    <w:p w14:paraId="2D630AF1">
      <w:pPr>
        <w:pStyle w:val="5"/>
        <w:spacing w:after="0" w:line="360" w:lineRule="auto"/>
        <w:ind w:firstLine="482" w:firstLineChars="200"/>
        <w:rPr>
          <w:rFonts w:ascii="宋体"/>
          <w:b/>
          <w:bCs/>
          <w:sz w:val="24"/>
        </w:rPr>
      </w:pPr>
      <w:r>
        <w:rPr>
          <w:rFonts w:ascii="宋体" w:hAnsi="宋体"/>
          <w:b/>
          <w:bCs/>
          <w:sz w:val="24"/>
        </w:rPr>
        <w:t>13</w:t>
      </w:r>
      <w:r>
        <w:rPr>
          <w:rFonts w:hint="eastAsia" w:ascii="宋体" w:hAnsi="宋体"/>
          <w:b/>
          <w:bCs/>
          <w:sz w:val="24"/>
        </w:rPr>
        <w:t>．投标报价及造价承包和变更结算方式</w:t>
      </w:r>
    </w:p>
    <w:p w14:paraId="4BA787C8">
      <w:pPr>
        <w:pStyle w:val="5"/>
        <w:spacing w:after="0" w:line="360" w:lineRule="auto"/>
        <w:ind w:firstLine="480" w:firstLineChars="200"/>
        <w:rPr>
          <w:rFonts w:ascii="宋体"/>
          <w:b/>
          <w:bCs/>
          <w:sz w:val="24"/>
        </w:rPr>
      </w:pPr>
      <w:r>
        <w:rPr>
          <w:rFonts w:ascii="宋体" w:hAnsi="宋体"/>
          <w:sz w:val="24"/>
        </w:rPr>
        <w:t xml:space="preserve">13.1 </w:t>
      </w:r>
      <w:r>
        <w:rPr>
          <w:rFonts w:hint="eastAsia" w:ascii="宋体" w:hAnsi="宋体"/>
          <w:sz w:val="24"/>
        </w:rPr>
        <w:t>本工程的投标报价采用投标须知前附表第</w:t>
      </w:r>
      <w:r>
        <w:rPr>
          <w:rFonts w:ascii="宋体" w:hAnsi="宋体"/>
          <w:sz w:val="24"/>
        </w:rPr>
        <w:t>1</w:t>
      </w:r>
      <w:r>
        <w:rPr>
          <w:rFonts w:hint="eastAsia" w:ascii="宋体" w:hAnsi="宋体"/>
          <w:sz w:val="24"/>
        </w:rPr>
        <w:t>4项所规定的方式。</w:t>
      </w:r>
      <w:r>
        <w:rPr>
          <w:rFonts w:hint="eastAsia" w:ascii="宋体" w:hAnsi="宋体" w:cs="宋体"/>
          <w:b/>
          <w:bCs/>
          <w:sz w:val="24"/>
          <w:szCs w:val="24"/>
          <w:u w:val="single"/>
        </w:rPr>
        <w:t>投标文件中的大写金额和小写金额不一致的，以大写金额为准，</w:t>
      </w:r>
      <w:r>
        <w:rPr>
          <w:rFonts w:hint="eastAsia" w:ascii="宋体" w:hAnsi="宋体"/>
          <w:sz w:val="24"/>
        </w:rPr>
        <w:t>投标报价（含单价及总价）精确到“分”</w:t>
      </w:r>
      <w:r>
        <w:rPr>
          <w:rFonts w:hint="eastAsia" w:ascii="宋体" w:hAnsi="宋体"/>
          <w:b/>
          <w:bCs/>
          <w:sz w:val="24"/>
        </w:rPr>
        <w:t>。</w:t>
      </w:r>
    </w:p>
    <w:p w14:paraId="7510E163">
      <w:pPr>
        <w:pStyle w:val="5"/>
        <w:spacing w:after="0" w:line="360" w:lineRule="auto"/>
        <w:ind w:firstLine="480" w:firstLineChars="200"/>
        <w:rPr>
          <w:rFonts w:ascii="宋体"/>
          <w:sz w:val="24"/>
        </w:rPr>
      </w:pPr>
      <w:r>
        <w:rPr>
          <w:rFonts w:ascii="宋体" w:hAnsi="宋体"/>
          <w:sz w:val="24"/>
        </w:rPr>
        <w:t>13.2</w:t>
      </w:r>
      <w:r>
        <w:rPr>
          <w:rFonts w:hint="eastAsia" w:ascii="宋体" w:hAnsi="宋体"/>
          <w:sz w:val="24"/>
        </w:rPr>
        <w:t>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p w14:paraId="23A39C16">
      <w:pPr>
        <w:pStyle w:val="5"/>
        <w:spacing w:after="0" w:line="360" w:lineRule="auto"/>
        <w:ind w:firstLine="480" w:firstLineChars="200"/>
        <w:rPr>
          <w:rFonts w:ascii="宋体"/>
          <w:sz w:val="24"/>
        </w:rPr>
      </w:pPr>
      <w:r>
        <w:rPr>
          <w:rFonts w:ascii="宋体" w:hAnsi="宋体"/>
          <w:sz w:val="24"/>
        </w:rPr>
        <w:t>13.3</w:t>
      </w:r>
      <w:r>
        <w:rPr>
          <w:rFonts w:hint="eastAsia" w:ascii="宋体" w:hAnsi="宋体"/>
          <w:sz w:val="24"/>
        </w:rPr>
        <w:t>投标人的投标报价，应是按照投标须知前附表第</w:t>
      </w:r>
      <w:r>
        <w:rPr>
          <w:rFonts w:ascii="宋体" w:hAnsi="宋体"/>
          <w:sz w:val="24"/>
        </w:rPr>
        <w:t>8</w:t>
      </w:r>
      <w:r>
        <w:rPr>
          <w:rFonts w:hint="eastAsia" w:ascii="宋体" w:hAnsi="宋体"/>
          <w:sz w:val="24"/>
        </w:rPr>
        <w:t>项的工期要求，在投标须知前附表第</w:t>
      </w:r>
      <w:r>
        <w:rPr>
          <w:rFonts w:ascii="宋体" w:hAnsi="宋体"/>
          <w:sz w:val="24"/>
        </w:rPr>
        <w:t>3</w:t>
      </w:r>
      <w:r>
        <w:rPr>
          <w:rFonts w:hint="eastAsia" w:ascii="宋体" w:hAnsi="宋体"/>
          <w:sz w:val="24"/>
        </w:rPr>
        <w:t>项的建设地点，完成投标须知前附表第</w:t>
      </w:r>
      <w:r>
        <w:rPr>
          <w:rFonts w:ascii="宋体" w:hAnsi="宋体"/>
          <w:sz w:val="24"/>
        </w:rPr>
        <w:t>7</w:t>
      </w:r>
      <w:r>
        <w:rPr>
          <w:rFonts w:hint="eastAsia" w:ascii="宋体" w:hAnsi="宋体"/>
          <w:sz w:val="24"/>
        </w:rPr>
        <w:t>项的招标范围内已由招标人</w:t>
      </w:r>
      <w:r>
        <w:rPr>
          <w:rFonts w:hint="eastAsia" w:ascii="宋体" w:hAnsi="宋体" w:cs="宋体"/>
          <w:b/>
          <w:sz w:val="24"/>
          <w:szCs w:val="24"/>
          <w:u w:val="single"/>
        </w:rPr>
        <w:t>提供的招标图纸（包括有关于本项目招标的相关资料）</w:t>
      </w:r>
      <w:r>
        <w:rPr>
          <w:rFonts w:hint="eastAsia" w:ascii="宋体" w:hAnsi="宋体"/>
          <w:sz w:val="24"/>
        </w:rPr>
        <w:t>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w:t>
      </w:r>
      <w:r>
        <w:rPr>
          <w:rFonts w:hint="eastAsia" w:ascii="宋体" w:hAnsi="宋体"/>
          <w:sz w:val="24"/>
          <w:szCs w:val="24"/>
        </w:rPr>
        <w:t>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14:paraId="56A7BB0D">
      <w:pPr>
        <w:pStyle w:val="5"/>
        <w:spacing w:after="0" w:line="360" w:lineRule="auto"/>
        <w:ind w:firstLine="482" w:firstLineChars="200"/>
        <w:rPr>
          <w:rFonts w:ascii="宋体"/>
          <w:b/>
          <w:bCs/>
          <w:sz w:val="24"/>
          <w:u w:val="single"/>
        </w:rPr>
      </w:pPr>
      <w:r>
        <w:rPr>
          <w:rFonts w:ascii="宋体" w:hAnsi="宋体"/>
          <w:b/>
          <w:bCs/>
          <w:sz w:val="24"/>
          <w:u w:val="single"/>
        </w:rPr>
        <w:t>13.4</w:t>
      </w:r>
      <w:r>
        <w:rPr>
          <w:rFonts w:hint="eastAsia" w:ascii="宋体" w:hAnsi="宋体"/>
          <w:b/>
          <w:bCs/>
          <w:sz w:val="24"/>
          <w:u w:val="single"/>
        </w:rPr>
        <w:t>按招标文件第三章合同条款相关约定调整。</w:t>
      </w:r>
    </w:p>
    <w:p w14:paraId="7BBFD15D">
      <w:pPr>
        <w:pStyle w:val="5"/>
        <w:spacing w:after="0" w:line="360" w:lineRule="auto"/>
        <w:ind w:firstLine="480" w:firstLineChars="200"/>
        <w:rPr>
          <w:rFonts w:ascii="宋体"/>
          <w:sz w:val="24"/>
        </w:rPr>
      </w:pPr>
      <w:r>
        <w:rPr>
          <w:rFonts w:ascii="宋体" w:hAnsi="宋体"/>
          <w:sz w:val="24"/>
        </w:rPr>
        <w:t>13.5</w:t>
      </w:r>
      <w:r>
        <w:rPr>
          <w:rFonts w:hint="eastAsia" w:ascii="宋体" w:hAnsi="宋体"/>
          <w:sz w:val="24"/>
        </w:rPr>
        <w:t>工程项目实施期间和结算时，招标文件工程量清单中漏列而由监理单位和招标人现场签证确认的工程项目、原设计没有而由招标人批准设计变更产生的工程项目，视为新增项目，按以下顺序确定价格：</w:t>
      </w:r>
    </w:p>
    <w:p w14:paraId="08CFCF5B">
      <w:pPr>
        <w:pStyle w:val="5"/>
        <w:spacing w:after="0" w:line="360" w:lineRule="auto"/>
        <w:ind w:firstLine="482" w:firstLineChars="200"/>
        <w:rPr>
          <w:rFonts w:hint="eastAsia" w:ascii="宋体" w:hAnsi="宋体"/>
          <w:b/>
          <w:bCs/>
          <w:sz w:val="24"/>
          <w:u w:val="single"/>
        </w:rPr>
      </w:pPr>
      <w:r>
        <w:rPr>
          <w:rFonts w:hint="eastAsia" w:ascii="宋体" w:hAnsi="宋体"/>
          <w:b/>
          <w:bCs/>
          <w:sz w:val="24"/>
          <w:u w:val="single"/>
        </w:rPr>
        <w:t>13.5.1变更结算方式按招标文件及施工合同相关规定执行。</w:t>
      </w:r>
    </w:p>
    <w:p w14:paraId="27527F32">
      <w:pPr>
        <w:pStyle w:val="5"/>
        <w:spacing w:after="0" w:line="360" w:lineRule="auto"/>
        <w:ind w:firstLine="480" w:firstLineChars="200"/>
        <w:rPr>
          <w:rFonts w:ascii="宋体"/>
          <w:sz w:val="24"/>
        </w:rPr>
      </w:pPr>
      <w:r>
        <w:rPr>
          <w:rFonts w:ascii="宋体" w:hAnsi="宋体"/>
          <w:sz w:val="24"/>
        </w:rPr>
        <w:t>13.5.2</w:t>
      </w:r>
      <w:r>
        <w:rPr>
          <w:rFonts w:hint="eastAsia" w:ascii="宋体" w:hAnsi="宋体"/>
          <w:sz w:val="24"/>
        </w:rPr>
        <w:t>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14:paraId="22E6704A">
      <w:pPr>
        <w:pStyle w:val="5"/>
        <w:spacing w:after="0" w:line="360" w:lineRule="auto"/>
        <w:ind w:firstLine="480" w:firstLineChars="200"/>
        <w:rPr>
          <w:rFonts w:ascii="宋体"/>
          <w:sz w:val="24"/>
        </w:rPr>
      </w:pPr>
      <w:r>
        <w:rPr>
          <w:rFonts w:ascii="宋体" w:hAnsi="宋体"/>
          <w:sz w:val="24"/>
        </w:rPr>
        <w:t xml:space="preserve">13.5.3 </w:t>
      </w:r>
      <w:r>
        <w:rPr>
          <w:rFonts w:hint="eastAsia" w:ascii="宋体" w:hAnsi="宋体"/>
          <w:sz w:val="24"/>
        </w:rPr>
        <w:t>中标的投标文件工程量清单中没有相同项目或类似项目的，如可套取相关定额，则以相关定额为基数下浮计算单价</w:t>
      </w:r>
      <w:r>
        <w:rPr>
          <w:rFonts w:ascii="宋体"/>
          <w:sz w:val="24"/>
        </w:rPr>
        <w:t>,</w:t>
      </w:r>
      <w:r>
        <w:rPr>
          <w:rFonts w:hint="eastAsia" w:ascii="宋体" w:hAnsi="宋体"/>
          <w:sz w:val="24"/>
        </w:rPr>
        <w:t>下浮率为中标价</w:t>
      </w:r>
      <w:r>
        <w:rPr>
          <w:rFonts w:hint="eastAsia" w:ascii="宋体" w:hAnsi="宋体"/>
          <w:sz w:val="24"/>
          <w:szCs w:val="24"/>
        </w:rPr>
        <w:t>相对于最高投标限价的下</w:t>
      </w:r>
      <w:r>
        <w:rPr>
          <w:rFonts w:hint="eastAsia" w:ascii="宋体" w:hAnsi="宋体"/>
          <w:sz w:val="24"/>
        </w:rPr>
        <w:t>浮率（下浮率</w:t>
      </w:r>
      <w:r>
        <w:rPr>
          <w:rFonts w:ascii="宋体" w:hAnsi="宋体"/>
          <w:sz w:val="24"/>
        </w:rPr>
        <w:t>=(</w:t>
      </w:r>
      <w:r>
        <w:rPr>
          <w:rFonts w:hint="eastAsia" w:ascii="宋体" w:hAnsi="宋体"/>
          <w:sz w:val="24"/>
          <w:szCs w:val="24"/>
        </w:rPr>
        <w:t>最高投标限价</w:t>
      </w:r>
      <w:r>
        <w:rPr>
          <w:rFonts w:ascii="宋体"/>
          <w:sz w:val="24"/>
        </w:rPr>
        <w:t>-</w:t>
      </w:r>
      <w:r>
        <w:rPr>
          <w:rFonts w:hint="eastAsia" w:ascii="宋体" w:hAnsi="宋体"/>
          <w:sz w:val="24"/>
        </w:rPr>
        <w:t>中标价</w:t>
      </w:r>
      <w:r>
        <w:rPr>
          <w:rFonts w:ascii="宋体" w:hAnsi="宋体"/>
          <w:sz w:val="24"/>
        </w:rPr>
        <w:t>)/</w:t>
      </w:r>
      <w:r>
        <w:rPr>
          <w:rFonts w:ascii="宋体" w:hAnsi="宋体"/>
          <w:sz w:val="24"/>
          <w:szCs w:val="24"/>
        </w:rPr>
        <w:t xml:space="preserve"> </w:t>
      </w:r>
      <w:r>
        <w:rPr>
          <w:rFonts w:hint="eastAsia" w:ascii="宋体" w:hAnsi="宋体"/>
          <w:sz w:val="24"/>
          <w:szCs w:val="24"/>
        </w:rPr>
        <w:t>最高投标限价</w:t>
      </w:r>
      <w:r>
        <w:rPr>
          <w:rFonts w:hint="eastAsia" w:ascii="宋体" w:hAnsi="宋体"/>
          <w:sz w:val="24"/>
        </w:rPr>
        <w:t>）。</w:t>
      </w:r>
    </w:p>
    <w:p w14:paraId="7D6E9986">
      <w:pPr>
        <w:pStyle w:val="5"/>
        <w:spacing w:after="0" w:line="360" w:lineRule="auto"/>
        <w:ind w:firstLine="480" w:firstLineChars="200"/>
        <w:rPr>
          <w:rFonts w:ascii="宋体"/>
          <w:sz w:val="24"/>
        </w:rPr>
      </w:pPr>
      <w:r>
        <w:rPr>
          <w:rFonts w:ascii="宋体" w:hAnsi="宋体"/>
          <w:sz w:val="24"/>
        </w:rPr>
        <w:t xml:space="preserve">13.5.4 </w:t>
      </w:r>
      <w:r>
        <w:rPr>
          <w:rFonts w:hint="eastAsia" w:ascii="宋体" w:hAnsi="宋体"/>
          <w:sz w:val="24"/>
        </w:rPr>
        <w:t>如相关定额没有相应子目的，其计价方式由招标人在本招标文件第三章中另行规定。未规定的，中标后双方协商约定。</w:t>
      </w:r>
    </w:p>
    <w:p w14:paraId="1704B74C">
      <w:pPr>
        <w:pStyle w:val="5"/>
        <w:spacing w:after="0" w:line="360" w:lineRule="auto"/>
        <w:ind w:firstLine="480" w:firstLineChars="200"/>
        <w:rPr>
          <w:rFonts w:ascii="宋体"/>
          <w:sz w:val="24"/>
        </w:rPr>
      </w:pPr>
      <w:r>
        <w:rPr>
          <w:rFonts w:ascii="宋体" w:hAnsi="宋体"/>
          <w:sz w:val="24"/>
        </w:rPr>
        <w:t>13.6</w:t>
      </w:r>
      <w:r>
        <w:rPr>
          <w:rFonts w:hint="eastAsia" w:ascii="宋体" w:hAnsi="宋体"/>
          <w:sz w:val="24"/>
        </w:rPr>
        <w:t>暂列金额、暂估价</w:t>
      </w:r>
    </w:p>
    <w:p w14:paraId="2AF89DC7">
      <w:pPr>
        <w:pStyle w:val="5"/>
        <w:spacing w:after="0" w:line="360" w:lineRule="auto"/>
        <w:ind w:firstLine="480" w:firstLineChars="200"/>
        <w:rPr>
          <w:rFonts w:ascii="宋体"/>
          <w:sz w:val="24"/>
        </w:rPr>
      </w:pPr>
      <w:r>
        <w:rPr>
          <w:rFonts w:ascii="宋体" w:hAnsi="宋体"/>
          <w:sz w:val="24"/>
        </w:rPr>
        <w:t>13.6.1</w:t>
      </w:r>
      <w:r>
        <w:rPr>
          <w:rFonts w:hint="eastAsia" w:ascii="宋体" w:hAnsi="宋体"/>
          <w:sz w:val="24"/>
        </w:rPr>
        <w:t>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14:paraId="1EC9937E">
      <w:pPr>
        <w:pStyle w:val="5"/>
        <w:spacing w:after="0" w:line="360" w:lineRule="auto"/>
        <w:ind w:firstLine="480" w:firstLineChars="200"/>
        <w:rPr>
          <w:rFonts w:ascii="宋体"/>
          <w:sz w:val="24"/>
        </w:rPr>
      </w:pPr>
      <w:r>
        <w:rPr>
          <w:rFonts w:hint="eastAsia" w:ascii="宋体" w:hAnsi="宋体"/>
          <w:sz w:val="24"/>
        </w:rPr>
        <w:t>暂估价是指招标人在工程量清单中提供的用于支付必然发生但暂时不能确定价格的材料的单价以及专业工程的金额。</w:t>
      </w:r>
    </w:p>
    <w:p w14:paraId="362C0517">
      <w:pPr>
        <w:pStyle w:val="5"/>
        <w:spacing w:after="0" w:line="360" w:lineRule="auto"/>
        <w:ind w:firstLine="480" w:firstLineChars="200"/>
        <w:rPr>
          <w:rFonts w:ascii="宋体"/>
          <w:sz w:val="24"/>
        </w:rPr>
      </w:pPr>
      <w:r>
        <w:rPr>
          <w:rFonts w:ascii="宋体" w:hAnsi="宋体"/>
          <w:sz w:val="24"/>
        </w:rPr>
        <w:t>13.6.2</w:t>
      </w:r>
      <w:r>
        <w:rPr>
          <w:rFonts w:hint="eastAsia" w:ascii="宋体" w:hAnsi="宋体"/>
          <w:sz w:val="24"/>
        </w:rPr>
        <w:t>在工程实施中，暂列金额、暂估价所包含的工作范围和图纸、标准深化固定后，按照工程专业、设备、材料类别等分类汇总的金额，达到法定招标范围标准的，应由招标人同中标人联合招标，确定承包人和承包价格。</w:t>
      </w:r>
    </w:p>
    <w:p w14:paraId="51CC25A9">
      <w:pPr>
        <w:pStyle w:val="5"/>
        <w:spacing w:after="0" w:line="360" w:lineRule="auto"/>
        <w:ind w:firstLine="480" w:firstLineChars="200"/>
        <w:rPr>
          <w:rFonts w:ascii="宋体"/>
          <w:sz w:val="24"/>
        </w:rPr>
      </w:pPr>
      <w:r>
        <w:rPr>
          <w:rFonts w:ascii="宋体" w:hAnsi="宋体"/>
          <w:sz w:val="24"/>
        </w:rPr>
        <w:t>13.6.3</w:t>
      </w:r>
      <w:r>
        <w:rPr>
          <w:rFonts w:hint="eastAsia" w:ascii="宋体" w:hAnsi="宋体"/>
          <w:sz w:val="24"/>
        </w:rPr>
        <w:t>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14:paraId="1FCDAA39">
      <w:pPr>
        <w:pStyle w:val="5"/>
        <w:spacing w:after="0" w:line="360" w:lineRule="auto"/>
        <w:ind w:firstLine="480" w:firstLineChars="200"/>
        <w:rPr>
          <w:rFonts w:ascii="宋体"/>
          <w:sz w:val="24"/>
        </w:rPr>
      </w:pPr>
      <w:r>
        <w:rPr>
          <w:rFonts w:ascii="宋体" w:hAnsi="宋体"/>
          <w:sz w:val="24"/>
        </w:rPr>
        <w:t>13.6.4</w:t>
      </w:r>
      <w:r>
        <w:rPr>
          <w:rFonts w:hint="eastAsia" w:ascii="宋体" w:hAnsi="宋体"/>
          <w:sz w:val="24"/>
        </w:rPr>
        <w:t>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w:t>
      </w:r>
      <w:r>
        <w:rPr>
          <w:rFonts w:ascii="宋体" w:hAnsi="宋体"/>
          <w:sz w:val="24"/>
        </w:rPr>
        <w:t>13.5</w:t>
      </w:r>
      <w:r>
        <w:rPr>
          <w:rFonts w:hint="eastAsia" w:ascii="宋体" w:hAnsi="宋体"/>
          <w:sz w:val="24"/>
        </w:rPr>
        <w:t>款规定确定。</w:t>
      </w:r>
    </w:p>
    <w:p w14:paraId="300820C7">
      <w:pPr>
        <w:pStyle w:val="5"/>
        <w:spacing w:after="0" w:line="360" w:lineRule="auto"/>
        <w:ind w:firstLine="480" w:firstLineChars="200"/>
        <w:rPr>
          <w:rFonts w:ascii="宋体"/>
          <w:sz w:val="24"/>
        </w:rPr>
      </w:pPr>
      <w:r>
        <w:rPr>
          <w:rFonts w:ascii="宋体" w:hAnsi="宋体"/>
          <w:sz w:val="24"/>
        </w:rPr>
        <w:t>13.6.5</w:t>
      </w:r>
      <w:r>
        <w:rPr>
          <w:rFonts w:hint="eastAsia" w:ascii="宋体" w:hAnsi="宋体"/>
          <w:sz w:val="24"/>
        </w:rPr>
        <w:t>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14:paraId="42DE447D">
      <w:pPr>
        <w:pStyle w:val="5"/>
        <w:spacing w:after="0" w:line="360" w:lineRule="auto"/>
        <w:ind w:firstLine="480" w:firstLineChars="200"/>
        <w:rPr>
          <w:rFonts w:ascii="宋体"/>
          <w:sz w:val="24"/>
        </w:rPr>
      </w:pPr>
      <w:r>
        <w:rPr>
          <w:rFonts w:ascii="宋体" w:hAnsi="宋体"/>
          <w:sz w:val="24"/>
        </w:rPr>
        <w:t xml:space="preserve">13.6.6 </w:t>
      </w:r>
      <w:r>
        <w:rPr>
          <w:rFonts w:hint="eastAsia" w:ascii="宋体" w:hAnsi="宋体"/>
          <w:sz w:val="24"/>
        </w:rPr>
        <w:t>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14:paraId="63F65336">
      <w:pPr>
        <w:pStyle w:val="5"/>
        <w:spacing w:after="0" w:line="360" w:lineRule="auto"/>
        <w:ind w:firstLine="480" w:firstLineChars="200"/>
        <w:rPr>
          <w:rFonts w:ascii="宋体"/>
          <w:sz w:val="24"/>
        </w:rPr>
      </w:pPr>
      <w:r>
        <w:rPr>
          <w:rFonts w:ascii="宋体" w:hAnsi="宋体"/>
          <w:sz w:val="24"/>
        </w:rPr>
        <w:t>13.7</w:t>
      </w:r>
      <w:r>
        <w:rPr>
          <w:rFonts w:hint="eastAsia" w:ascii="宋体" w:hAnsi="宋体"/>
          <w:sz w:val="24"/>
        </w:rPr>
        <w:t>投标人可先到工地踏勘以充分了解工地位置、情况、道路、储存空间、装卸限制及任何其他足以影响承包价的情况，任何因忽视或误解工地情况而导致的索赔或工期延长申请将不被批准。</w:t>
      </w:r>
    </w:p>
    <w:p w14:paraId="7BE33CB8">
      <w:pPr>
        <w:pStyle w:val="5"/>
        <w:spacing w:after="0" w:line="360" w:lineRule="auto"/>
        <w:ind w:firstLine="480" w:firstLineChars="200"/>
        <w:rPr>
          <w:rFonts w:ascii="宋体"/>
          <w:sz w:val="24"/>
        </w:rPr>
      </w:pPr>
      <w:r>
        <w:rPr>
          <w:rFonts w:ascii="宋体" w:hAnsi="宋体"/>
          <w:sz w:val="24"/>
        </w:rPr>
        <w:t>13.8</w:t>
      </w:r>
      <w:r>
        <w:rPr>
          <w:rFonts w:hint="eastAsia" w:ascii="宋体" w:hAnsi="宋体"/>
          <w:sz w:val="24"/>
        </w:rPr>
        <w:t>属于承包人自行采购的主要材料、设备，招标人应当在招标文件中提出材料、设备的技术标准或者质量要求，或者提出不少于</w:t>
      </w:r>
      <w:r>
        <w:rPr>
          <w:rFonts w:ascii="宋体" w:hAnsi="宋体"/>
          <w:sz w:val="24"/>
        </w:rPr>
        <w:t>3</w:t>
      </w:r>
      <w:r>
        <w:rPr>
          <w:rFonts w:hint="eastAsia" w:ascii="宋体" w:hAnsi="宋体"/>
          <w:sz w:val="24"/>
        </w:rPr>
        <w:t>个同等档次品牌或分包商供投标人报价时选择</w:t>
      </w:r>
      <w:r>
        <w:rPr>
          <w:rFonts w:ascii="宋体"/>
          <w:sz w:val="24"/>
        </w:rPr>
        <w:t>,</w:t>
      </w:r>
      <w:r>
        <w:rPr>
          <w:rFonts w:hint="eastAsia" w:ascii="宋体" w:hAnsi="宋体"/>
          <w:sz w:val="24"/>
        </w:rPr>
        <w:t>凡招标人在招标文件中提出参考品牌的，必须在参考品牌后面加上“或相当于”字样。投标人在投标文件中应明确所选用主要材料、设备的品牌、厂家以及质量等级，并且应当符合招标文件的要求。</w:t>
      </w:r>
    </w:p>
    <w:p w14:paraId="579D5395">
      <w:pPr>
        <w:pStyle w:val="5"/>
        <w:spacing w:after="0" w:line="360" w:lineRule="auto"/>
        <w:ind w:firstLine="480" w:firstLineChars="200"/>
        <w:rPr>
          <w:rFonts w:ascii="宋体"/>
          <w:sz w:val="24"/>
          <w:szCs w:val="24"/>
        </w:rPr>
      </w:pPr>
      <w:r>
        <w:rPr>
          <w:rFonts w:ascii="宋体" w:hAnsi="宋体"/>
          <w:sz w:val="24"/>
        </w:rPr>
        <w:t>13.9</w:t>
      </w:r>
      <w:r>
        <w:rPr>
          <w:rFonts w:hint="eastAsia" w:ascii="宋体"/>
          <w:sz w:val="24"/>
          <w:szCs w:val="24"/>
        </w:rPr>
        <w:t>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14:paraId="499C54F8">
      <w:pPr>
        <w:pStyle w:val="5"/>
        <w:spacing w:after="0" w:line="360" w:lineRule="auto"/>
        <w:ind w:firstLine="482" w:firstLineChars="200"/>
        <w:rPr>
          <w:rFonts w:ascii="宋体"/>
          <w:b/>
          <w:bCs/>
          <w:sz w:val="24"/>
        </w:rPr>
      </w:pPr>
      <w:r>
        <w:rPr>
          <w:rFonts w:ascii="宋体" w:hAnsi="宋体"/>
          <w:b/>
          <w:bCs/>
          <w:sz w:val="24"/>
        </w:rPr>
        <w:t>14</w:t>
      </w:r>
      <w:r>
        <w:rPr>
          <w:rFonts w:hint="eastAsia" w:ascii="宋体" w:hAnsi="宋体"/>
          <w:b/>
          <w:bCs/>
          <w:sz w:val="24"/>
        </w:rPr>
        <w:t>．投标货币</w:t>
      </w:r>
    </w:p>
    <w:p w14:paraId="0D747FC5">
      <w:pPr>
        <w:pStyle w:val="5"/>
        <w:spacing w:after="0" w:line="360" w:lineRule="auto"/>
        <w:ind w:firstLine="480" w:firstLineChars="200"/>
        <w:rPr>
          <w:rFonts w:ascii="宋体"/>
          <w:sz w:val="24"/>
        </w:rPr>
      </w:pPr>
      <w:r>
        <w:rPr>
          <w:rFonts w:ascii="宋体" w:hAnsi="宋体"/>
          <w:sz w:val="24"/>
        </w:rPr>
        <w:t xml:space="preserve">14.1 </w:t>
      </w:r>
      <w:r>
        <w:rPr>
          <w:rFonts w:hint="eastAsia" w:ascii="宋体" w:hAnsi="宋体"/>
          <w:sz w:val="24"/>
        </w:rPr>
        <w:t>本工程投标报价采用的币种为人民币。</w:t>
      </w:r>
    </w:p>
    <w:p w14:paraId="49565B98">
      <w:pPr>
        <w:pStyle w:val="5"/>
        <w:spacing w:after="0" w:line="360" w:lineRule="auto"/>
        <w:ind w:firstLine="482" w:firstLineChars="200"/>
        <w:rPr>
          <w:rFonts w:ascii="宋体"/>
          <w:sz w:val="24"/>
        </w:rPr>
      </w:pPr>
      <w:r>
        <w:rPr>
          <w:rFonts w:ascii="宋体" w:hAnsi="宋体"/>
          <w:b/>
          <w:bCs/>
          <w:sz w:val="24"/>
        </w:rPr>
        <w:t>15</w:t>
      </w:r>
      <w:r>
        <w:rPr>
          <w:rFonts w:hint="eastAsia" w:ascii="宋体" w:hAnsi="宋体"/>
          <w:b/>
          <w:bCs/>
          <w:sz w:val="24"/>
        </w:rPr>
        <w:t>．投标有效期</w:t>
      </w:r>
    </w:p>
    <w:p w14:paraId="1104A472">
      <w:pPr>
        <w:pStyle w:val="5"/>
        <w:spacing w:after="0" w:line="360" w:lineRule="auto"/>
        <w:ind w:firstLine="480" w:firstLineChars="200"/>
        <w:rPr>
          <w:rFonts w:ascii="宋体"/>
          <w:sz w:val="24"/>
        </w:rPr>
      </w:pPr>
      <w:r>
        <w:rPr>
          <w:rFonts w:ascii="宋体" w:hAnsi="宋体"/>
          <w:sz w:val="24"/>
        </w:rPr>
        <w:t xml:space="preserve">15.1 </w:t>
      </w:r>
      <w:r>
        <w:rPr>
          <w:rFonts w:hint="eastAsia" w:ascii="宋体" w:hAnsi="宋体"/>
          <w:sz w:val="24"/>
        </w:rPr>
        <w:t>投标有效期见投标须知前附表第15项所规定的期限，在此期限内，凡符合本招标文件要求的投标文件均保持有效。</w:t>
      </w:r>
    </w:p>
    <w:p w14:paraId="7A25752A">
      <w:pPr>
        <w:pStyle w:val="5"/>
        <w:spacing w:after="0" w:line="360" w:lineRule="auto"/>
        <w:ind w:firstLine="480" w:firstLineChars="200"/>
        <w:rPr>
          <w:rFonts w:ascii="宋体"/>
          <w:sz w:val="24"/>
        </w:rPr>
      </w:pPr>
      <w:r>
        <w:rPr>
          <w:rFonts w:ascii="宋体" w:hAnsi="宋体"/>
          <w:sz w:val="24"/>
        </w:rPr>
        <w:t xml:space="preserve">15.2 </w:t>
      </w:r>
      <w:r>
        <w:rPr>
          <w:rFonts w:hint="eastAsia" w:ascii="宋体" w:hAnsi="宋体"/>
          <w:sz w:val="24"/>
        </w:rPr>
        <w:t>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w:t>
      </w:r>
      <w:r>
        <w:rPr>
          <w:rFonts w:ascii="宋体" w:hAnsi="宋体"/>
          <w:sz w:val="24"/>
        </w:rPr>
        <w:t>16</w:t>
      </w:r>
      <w:r>
        <w:rPr>
          <w:rFonts w:hint="eastAsia" w:ascii="宋体" w:hAnsi="宋体"/>
          <w:sz w:val="24"/>
        </w:rPr>
        <w:t>条关于投标保证金的退还与不予退还的规定仍然适用。</w:t>
      </w:r>
    </w:p>
    <w:p w14:paraId="0A0CBE9A">
      <w:pPr>
        <w:pStyle w:val="5"/>
        <w:spacing w:after="0" w:line="360" w:lineRule="auto"/>
        <w:ind w:firstLine="482" w:firstLineChars="200"/>
        <w:rPr>
          <w:rFonts w:ascii="宋体"/>
          <w:b/>
          <w:bCs/>
          <w:sz w:val="24"/>
        </w:rPr>
      </w:pPr>
      <w:r>
        <w:rPr>
          <w:rFonts w:ascii="宋体" w:hAnsi="宋体"/>
          <w:b/>
          <w:bCs/>
          <w:sz w:val="24"/>
        </w:rPr>
        <w:t>16</w:t>
      </w:r>
      <w:r>
        <w:rPr>
          <w:rFonts w:hint="eastAsia" w:ascii="宋体" w:hAnsi="宋体"/>
          <w:b/>
          <w:bCs/>
          <w:sz w:val="24"/>
        </w:rPr>
        <w:t>．投标保证金</w:t>
      </w:r>
    </w:p>
    <w:p w14:paraId="25F8D49E">
      <w:pPr>
        <w:spacing w:line="360" w:lineRule="auto"/>
        <w:ind w:firstLine="480" w:firstLineChars="200"/>
        <w:rPr>
          <w:rFonts w:hint="eastAsia" w:ascii="宋体" w:hAnsi="宋体"/>
          <w:sz w:val="24"/>
        </w:rPr>
      </w:pPr>
      <w:r>
        <w:rPr>
          <w:rFonts w:ascii="宋体" w:hAnsi="宋体"/>
          <w:sz w:val="24"/>
        </w:rPr>
        <w:t>16.1</w:t>
      </w:r>
      <w:r>
        <w:rPr>
          <w:rFonts w:hint="eastAsia" w:ascii="宋体" w:hAnsi="宋体"/>
          <w:sz w:val="24"/>
        </w:rPr>
        <w:t>投标人应按国家、省、市有关规定和投标须知前附表第16项所述金额和时间递交</w:t>
      </w:r>
      <w:r>
        <w:rPr>
          <w:rFonts w:hint="eastAsia" w:ascii="宋体" w:hAnsi="宋体"/>
          <w:bCs/>
          <w:sz w:val="24"/>
        </w:rPr>
        <w:t>投标保证金</w:t>
      </w:r>
      <w:r>
        <w:rPr>
          <w:rFonts w:hint="eastAsia" w:ascii="宋体" w:hAnsi="宋体"/>
          <w:sz w:val="24"/>
        </w:rPr>
        <w:t>。招标人应当允许投标人自主选择现金、银行保函、保证保险、专业工程担保公司担保等方式缴纳投标保证金。</w:t>
      </w:r>
    </w:p>
    <w:p w14:paraId="56016D7D">
      <w:pPr>
        <w:spacing w:line="360" w:lineRule="auto"/>
        <w:ind w:firstLine="480" w:firstLineChars="200"/>
        <w:rPr>
          <w:rFonts w:hint="eastAsia" w:ascii="宋体" w:hAnsi="宋体"/>
          <w:sz w:val="24"/>
        </w:rPr>
      </w:pPr>
      <w:r>
        <w:rPr>
          <w:rFonts w:hint="eastAsia" w:ascii="宋体" w:hAnsi="宋体"/>
          <w:sz w:val="24"/>
        </w:rPr>
        <w:t>16.1.1 采用现金或者支票形式提交的，投标保证金须从投标人的银行基本账户转出。</w:t>
      </w:r>
    </w:p>
    <w:p w14:paraId="0FD2482D">
      <w:pPr>
        <w:spacing w:line="360" w:lineRule="auto"/>
        <w:ind w:firstLine="480" w:firstLineChars="200"/>
        <w:rPr>
          <w:rFonts w:hint="eastAsia" w:ascii="宋体" w:hAnsi="宋体"/>
          <w:sz w:val="24"/>
        </w:rPr>
      </w:pPr>
      <w:r>
        <w:rPr>
          <w:rFonts w:hint="eastAsia" w:ascii="宋体" w:hAnsi="宋体"/>
          <w:sz w:val="24"/>
        </w:rPr>
        <w:t>16.1.2 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14:paraId="1127B22E">
      <w:pPr>
        <w:spacing w:line="360" w:lineRule="auto"/>
        <w:ind w:firstLine="480" w:firstLineChars="200"/>
        <w:rPr>
          <w:rFonts w:hint="eastAsia" w:ascii="宋体" w:hAnsi="宋体"/>
          <w:sz w:val="24"/>
        </w:rPr>
      </w:pPr>
      <w:r>
        <w:rPr>
          <w:rFonts w:hint="eastAsia" w:ascii="宋体" w:hAnsi="宋体"/>
          <w:sz w:val="24"/>
        </w:rPr>
        <w:t>16.1.3 采用电子形式的保函、担保或保证保险提交投标保证金的，应在招标文件中明确电子递交途径。</w:t>
      </w:r>
    </w:p>
    <w:p w14:paraId="3AEB3B4B">
      <w:pPr>
        <w:spacing w:line="360" w:lineRule="auto"/>
        <w:ind w:firstLine="480" w:firstLineChars="200"/>
        <w:rPr>
          <w:rFonts w:hint="eastAsia" w:ascii="宋体" w:hAnsi="宋体"/>
          <w:sz w:val="24"/>
        </w:rPr>
      </w:pPr>
      <w:r>
        <w:rPr>
          <w:rFonts w:hint="eastAsia" w:ascii="宋体" w:hAnsi="宋体"/>
          <w:sz w:val="24"/>
        </w:rPr>
        <w:t>16.2开标时投标人没有按要求提供投标保证金的，其投标文件将被否决；未按招标文件要求提交符合免予提供投标保证金相关证明材料，且未提交投标保证金的投标人，视为未按要求提供投标保证金。</w:t>
      </w:r>
    </w:p>
    <w:p w14:paraId="6D4E8901">
      <w:pPr>
        <w:spacing w:line="360" w:lineRule="auto"/>
        <w:ind w:firstLine="480" w:firstLineChars="200"/>
        <w:rPr>
          <w:rFonts w:hint="eastAsia" w:ascii="宋体" w:hAnsi="宋体"/>
          <w:sz w:val="24"/>
        </w:rPr>
      </w:pPr>
      <w:r>
        <w:rPr>
          <w:rFonts w:hint="eastAsia" w:ascii="宋体" w:hAnsi="宋体"/>
          <w:sz w:val="24"/>
        </w:rPr>
        <w:t>16.3投标保证金应依据法律法规的相关规定退还。</w:t>
      </w:r>
    </w:p>
    <w:p w14:paraId="78EAE69E">
      <w:pPr>
        <w:pStyle w:val="5"/>
        <w:spacing w:after="0" w:line="360" w:lineRule="auto"/>
        <w:ind w:firstLine="482" w:firstLineChars="200"/>
        <w:rPr>
          <w:rFonts w:hint="eastAsia" w:ascii="宋体" w:hAnsi="宋体" w:cs="宋体"/>
          <w:b/>
          <w:bCs/>
          <w:sz w:val="24"/>
          <w:szCs w:val="24"/>
          <w:u w:val="single"/>
        </w:rPr>
      </w:pPr>
      <w:r>
        <w:rPr>
          <w:rFonts w:hint="eastAsia" w:ascii="宋体" w:hAnsi="宋体" w:cs="宋体"/>
          <w:b/>
          <w:bCs/>
          <w:sz w:val="24"/>
          <w:szCs w:val="24"/>
          <w:u w:val="single"/>
        </w:rPr>
        <w:t>16.4如有下列情况之一的，招标人可以不予退还投标保证金（是否退还投标保证金由招标人依法依规在招标文件中规定）：</w:t>
      </w:r>
    </w:p>
    <w:p w14:paraId="669E33F5">
      <w:pPr>
        <w:pStyle w:val="5"/>
        <w:spacing w:after="0" w:line="360" w:lineRule="auto"/>
        <w:ind w:firstLine="482" w:firstLineChars="200"/>
        <w:rPr>
          <w:rFonts w:hint="eastAsia" w:ascii="宋体" w:hAnsi="宋体" w:cs="宋体"/>
          <w:b/>
          <w:bCs/>
          <w:sz w:val="24"/>
          <w:szCs w:val="24"/>
          <w:u w:val="single"/>
        </w:rPr>
      </w:pPr>
      <w:r>
        <w:rPr>
          <w:rFonts w:hint="eastAsia" w:ascii="宋体" w:hAnsi="宋体" w:cs="宋体"/>
          <w:b/>
          <w:bCs/>
          <w:sz w:val="24"/>
          <w:szCs w:val="24"/>
          <w:u w:val="single"/>
        </w:rPr>
        <w:t>（1）投标人提供了虚假的证明材料；</w:t>
      </w:r>
    </w:p>
    <w:p w14:paraId="5E3C21E2">
      <w:pPr>
        <w:pStyle w:val="5"/>
        <w:spacing w:after="0" w:line="360" w:lineRule="auto"/>
        <w:ind w:firstLine="482" w:firstLineChars="200"/>
        <w:rPr>
          <w:rFonts w:hint="eastAsia" w:ascii="宋体" w:hAnsi="宋体" w:cs="宋体"/>
          <w:b/>
          <w:bCs/>
          <w:sz w:val="24"/>
          <w:szCs w:val="24"/>
          <w:u w:val="single"/>
        </w:rPr>
      </w:pPr>
      <w:r>
        <w:rPr>
          <w:rFonts w:hint="eastAsia" w:ascii="宋体" w:hAnsi="宋体" w:cs="宋体"/>
          <w:b/>
          <w:bCs/>
          <w:sz w:val="24"/>
          <w:szCs w:val="24"/>
          <w:u w:val="single"/>
        </w:rPr>
        <w:t>（2）中标候选人放弃中标；</w:t>
      </w:r>
    </w:p>
    <w:p w14:paraId="43ECB9D0">
      <w:pPr>
        <w:pStyle w:val="5"/>
        <w:spacing w:line="360" w:lineRule="auto"/>
        <w:ind w:firstLine="482" w:firstLineChars="200"/>
        <w:rPr>
          <w:rFonts w:hint="eastAsia" w:ascii="宋体" w:hAnsi="宋体" w:cs="宋体"/>
          <w:sz w:val="24"/>
          <w:szCs w:val="24"/>
        </w:rPr>
      </w:pPr>
      <w:r>
        <w:rPr>
          <w:rFonts w:hint="eastAsia" w:ascii="宋体" w:hAnsi="宋体" w:cs="宋体"/>
          <w:b/>
          <w:bCs/>
          <w:sz w:val="24"/>
          <w:szCs w:val="24"/>
          <w:u w:val="single"/>
        </w:rPr>
        <w:t>（3）中标人在收到中标通知书后，无正当理由拒签合同或未按招标文件规定提交履约担保。</w:t>
      </w:r>
    </w:p>
    <w:p w14:paraId="6BA12AD0">
      <w:pPr>
        <w:spacing w:line="360" w:lineRule="auto"/>
        <w:ind w:firstLine="480" w:firstLineChars="200"/>
        <w:rPr>
          <w:rFonts w:hint="eastAsia" w:ascii="宋体" w:hAnsi="宋体"/>
          <w:sz w:val="24"/>
        </w:rPr>
      </w:pPr>
      <w:r>
        <w:rPr>
          <w:rFonts w:hint="eastAsia" w:ascii="宋体" w:hAnsi="宋体"/>
          <w:sz w:val="24"/>
        </w:rPr>
        <w:t>16.5投标人如存在下列情况之一的，将被拒绝在一定时期内参与招标人后续工程投标（由招标人依法依规在招标文件中明确）：</w:t>
      </w:r>
    </w:p>
    <w:p w14:paraId="20F46DFE">
      <w:pPr>
        <w:pStyle w:val="5"/>
        <w:spacing w:after="0" w:line="360" w:lineRule="auto"/>
        <w:ind w:firstLine="482" w:firstLineChars="200"/>
        <w:rPr>
          <w:rFonts w:ascii="宋体"/>
          <w:b/>
          <w:bCs/>
          <w:sz w:val="24"/>
        </w:rPr>
      </w:pPr>
      <w:r>
        <w:rPr>
          <w:rFonts w:ascii="宋体" w:hAnsi="宋体"/>
          <w:b/>
          <w:bCs/>
          <w:sz w:val="24"/>
        </w:rPr>
        <w:t>17</w:t>
      </w:r>
      <w:r>
        <w:rPr>
          <w:rFonts w:hint="eastAsia" w:ascii="宋体" w:hAnsi="宋体"/>
          <w:b/>
          <w:bCs/>
          <w:sz w:val="24"/>
        </w:rPr>
        <w:t>．投标文件的签署</w:t>
      </w:r>
    </w:p>
    <w:p w14:paraId="5C2C69A3">
      <w:pPr>
        <w:spacing w:line="360" w:lineRule="auto"/>
        <w:ind w:firstLine="480" w:firstLineChars="200"/>
        <w:rPr>
          <w:rFonts w:hint="eastAsia" w:ascii="宋体" w:hAnsi="宋体"/>
          <w:sz w:val="24"/>
        </w:rPr>
      </w:pPr>
      <w:r>
        <w:rPr>
          <w:rFonts w:ascii="宋体" w:hAnsi="宋体"/>
          <w:sz w:val="24"/>
        </w:rPr>
        <w:t>17.1</w:t>
      </w:r>
      <w:r>
        <w:rPr>
          <w:rFonts w:hint="eastAsia" w:ascii="宋体" w:hAnsi="宋体"/>
          <w:sz w:val="24"/>
        </w:rPr>
        <w:t>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cs="宋体"/>
          <w:b/>
          <w:bCs/>
          <w:sz w:val="24"/>
          <w:u w:val="single"/>
        </w:rPr>
        <w:t>广州交易集团有限公司（广州公共资源交易中心）网站</w:t>
      </w:r>
      <w:r>
        <w:rPr>
          <w:rFonts w:hint="eastAsia" w:ascii="宋体" w:hAnsi="宋体"/>
          <w:sz w:val="24"/>
        </w:rPr>
        <w:t>。</w:t>
      </w:r>
    </w:p>
    <w:p w14:paraId="2EDD6D2E">
      <w:pPr>
        <w:pStyle w:val="9"/>
        <w:rPr>
          <w:rFonts w:hint="eastAsia"/>
        </w:rPr>
      </w:pPr>
      <w:bookmarkStart w:id="33" w:name="_Toc2272552"/>
      <w:bookmarkStart w:id="34" w:name="_Toc21525496"/>
      <w:bookmarkStart w:id="35" w:name="_Toc20233"/>
      <w:bookmarkStart w:id="36" w:name="_Toc4944"/>
      <w:r>
        <w:rPr>
          <w:rFonts w:hint="eastAsia"/>
        </w:rPr>
        <w:t>（四）投标文件的提交</w:t>
      </w:r>
      <w:bookmarkEnd w:id="33"/>
      <w:bookmarkEnd w:id="34"/>
      <w:bookmarkEnd w:id="35"/>
      <w:bookmarkEnd w:id="36"/>
    </w:p>
    <w:p w14:paraId="7FB244D0">
      <w:pPr>
        <w:pStyle w:val="5"/>
        <w:spacing w:after="0" w:line="360" w:lineRule="auto"/>
        <w:ind w:firstLine="482" w:firstLineChars="200"/>
        <w:rPr>
          <w:rFonts w:ascii="宋体"/>
          <w:b/>
          <w:bCs/>
          <w:sz w:val="24"/>
        </w:rPr>
      </w:pPr>
      <w:r>
        <w:rPr>
          <w:rFonts w:ascii="宋体" w:hAnsi="宋体"/>
          <w:b/>
          <w:bCs/>
          <w:sz w:val="24"/>
        </w:rPr>
        <w:t>18</w:t>
      </w:r>
      <w:r>
        <w:rPr>
          <w:rFonts w:hint="eastAsia" w:ascii="宋体" w:hAnsi="宋体"/>
          <w:b/>
          <w:bCs/>
          <w:sz w:val="24"/>
        </w:rPr>
        <w:t>．</w:t>
      </w:r>
      <w:r>
        <w:rPr>
          <w:rFonts w:hint="eastAsia"/>
          <w:b/>
          <w:sz w:val="24"/>
          <w:szCs w:val="24"/>
        </w:rPr>
        <w:t>投标文件的密封和标记</w:t>
      </w:r>
    </w:p>
    <w:p w14:paraId="7506EE39">
      <w:pPr>
        <w:spacing w:line="360" w:lineRule="auto"/>
        <w:ind w:firstLine="480" w:firstLineChars="200"/>
        <w:rPr>
          <w:rFonts w:ascii="宋体"/>
          <w:bCs/>
          <w:sz w:val="24"/>
        </w:rPr>
      </w:pPr>
      <w:r>
        <w:rPr>
          <w:rFonts w:ascii="宋体" w:hAnsi="宋体"/>
          <w:bCs/>
          <w:sz w:val="24"/>
        </w:rPr>
        <w:t>1</w:t>
      </w:r>
      <w:r>
        <w:rPr>
          <w:rFonts w:hint="eastAsia" w:ascii="宋体" w:hAnsi="宋体"/>
          <w:bCs/>
          <w:sz w:val="24"/>
        </w:rPr>
        <w:t>8</w:t>
      </w:r>
      <w:r>
        <w:rPr>
          <w:rFonts w:ascii="宋体" w:hAnsi="宋体"/>
          <w:bCs/>
          <w:sz w:val="24"/>
        </w:rPr>
        <w:t>.1</w:t>
      </w:r>
      <w:r>
        <w:rPr>
          <w:rFonts w:hint="eastAsia" w:ascii="宋体" w:hAnsi="宋体"/>
          <w:bCs/>
          <w:sz w:val="24"/>
        </w:rPr>
        <w:t>递交的电子投标文件（不含备用光盘）必须进行加密。按照</w:t>
      </w:r>
      <w:r>
        <w:rPr>
          <w:rFonts w:hint="eastAsia"/>
          <w:sz w:val="24"/>
          <w:szCs w:val="24"/>
        </w:rPr>
        <w:t>：</w:t>
      </w:r>
      <w:r>
        <w:rPr>
          <w:rFonts w:hint="eastAsia" w:ascii="宋体" w:hAnsi="宋体" w:cs="宋体"/>
          <w:b/>
          <w:bCs/>
          <w:sz w:val="24"/>
          <w:u w:val="single"/>
        </w:rPr>
        <w:t>广州交易集团有限公司（广州公共资源交易中心）</w:t>
      </w:r>
      <w:r>
        <w:rPr>
          <w:rFonts w:hint="eastAsia" w:ascii="宋体" w:hAnsi="宋体"/>
          <w:bCs/>
          <w:sz w:val="24"/>
        </w:rPr>
        <w:t>交易平台关于</w:t>
      </w:r>
      <w:r>
        <w:rPr>
          <w:rFonts w:hint="eastAsia"/>
          <w:sz w:val="24"/>
          <w:szCs w:val="24"/>
        </w:rPr>
        <w:t>全流程电子化项目的相关指南进行操作。详见：</w:t>
      </w:r>
      <w:r>
        <w:rPr>
          <w:rFonts w:hint="eastAsia" w:ascii="宋体" w:hAnsi="宋体" w:cs="宋体"/>
          <w:b/>
          <w:bCs/>
          <w:sz w:val="24"/>
          <w:u w:val="single"/>
        </w:rPr>
        <w:t>广州交易集团有限公司（广州公共资源交易中心）网站最新指引</w:t>
      </w:r>
      <w:r>
        <w:rPr>
          <w:rFonts w:hint="eastAsia"/>
          <w:sz w:val="24"/>
          <w:szCs w:val="24"/>
        </w:rPr>
        <w:t>。</w:t>
      </w:r>
    </w:p>
    <w:p w14:paraId="25EDFAEB">
      <w:pPr>
        <w:spacing w:line="360" w:lineRule="auto"/>
        <w:ind w:firstLine="480" w:firstLineChars="200"/>
        <w:rPr>
          <w:rFonts w:ascii="宋体"/>
          <w:bCs/>
          <w:sz w:val="24"/>
        </w:rPr>
      </w:pPr>
      <w:r>
        <w:rPr>
          <w:rFonts w:ascii="宋体" w:hAnsi="宋体"/>
          <w:bCs/>
          <w:sz w:val="24"/>
        </w:rPr>
        <w:t>1</w:t>
      </w:r>
      <w:r>
        <w:rPr>
          <w:rFonts w:hint="eastAsia" w:ascii="宋体" w:hAnsi="宋体"/>
          <w:bCs/>
          <w:sz w:val="24"/>
        </w:rPr>
        <w:t>8</w:t>
      </w:r>
      <w:r>
        <w:rPr>
          <w:rFonts w:ascii="宋体" w:hAnsi="宋体"/>
          <w:bCs/>
          <w:sz w:val="24"/>
        </w:rPr>
        <w:t>.2</w:t>
      </w:r>
      <w:r>
        <w:rPr>
          <w:rFonts w:ascii="宋体"/>
          <w:bCs/>
          <w:sz w:val="24"/>
        </w:rPr>
        <w:t xml:space="preserve"> </w:t>
      </w:r>
      <w:r>
        <w:rPr>
          <w:rFonts w:hint="eastAsia" w:ascii="宋体"/>
          <w:bCs/>
          <w:sz w:val="24"/>
        </w:rPr>
        <w:t>未按要求加密的投标文件，</w:t>
      </w:r>
      <w:r>
        <w:rPr>
          <w:rFonts w:hint="eastAsia" w:ascii="宋体" w:hAnsi="宋体" w:cs="宋体"/>
          <w:b/>
          <w:bCs/>
          <w:sz w:val="24"/>
          <w:u w:val="single"/>
        </w:rPr>
        <w:t>广州交易集团有限公司（广州公共资源交易中心）</w:t>
      </w:r>
      <w:r>
        <w:rPr>
          <w:rFonts w:hint="eastAsia" w:ascii="宋体" w:hAnsi="宋体"/>
          <w:sz w:val="24"/>
          <w:szCs w:val="24"/>
        </w:rPr>
        <w:t>交易平台</w:t>
      </w:r>
      <w:r>
        <w:rPr>
          <w:rFonts w:hint="eastAsia" w:ascii="宋体"/>
          <w:bCs/>
          <w:sz w:val="24"/>
        </w:rPr>
        <w:t>将予以拒收。</w:t>
      </w:r>
    </w:p>
    <w:p w14:paraId="35BFC6BD">
      <w:pPr>
        <w:spacing w:line="360" w:lineRule="auto"/>
        <w:ind w:firstLine="482" w:firstLineChars="200"/>
        <w:rPr>
          <w:rFonts w:ascii="宋体"/>
          <w:b/>
          <w:bCs/>
          <w:sz w:val="24"/>
        </w:rPr>
      </w:pPr>
      <w:r>
        <w:rPr>
          <w:rFonts w:ascii="宋体" w:hAnsi="宋体"/>
          <w:b/>
          <w:bCs/>
          <w:sz w:val="24"/>
        </w:rPr>
        <w:t>19</w:t>
      </w:r>
      <w:r>
        <w:rPr>
          <w:rFonts w:hint="eastAsia" w:ascii="宋体" w:hAnsi="宋体"/>
          <w:b/>
          <w:bCs/>
          <w:sz w:val="24"/>
        </w:rPr>
        <w:t>．投标文件的递交和接收</w:t>
      </w:r>
    </w:p>
    <w:p w14:paraId="19381170">
      <w:pPr>
        <w:spacing w:line="360" w:lineRule="auto"/>
        <w:ind w:firstLine="480" w:firstLineChars="200"/>
        <w:rPr>
          <w:rFonts w:ascii="宋体"/>
          <w:bCs/>
          <w:sz w:val="24"/>
        </w:rPr>
      </w:pPr>
      <w:r>
        <w:rPr>
          <w:rFonts w:ascii="宋体" w:hAnsi="宋体"/>
          <w:bCs/>
          <w:sz w:val="24"/>
        </w:rPr>
        <w:t>1</w:t>
      </w:r>
      <w:r>
        <w:rPr>
          <w:rFonts w:hint="eastAsia" w:ascii="宋体" w:hAnsi="宋体"/>
          <w:bCs/>
          <w:sz w:val="24"/>
        </w:rPr>
        <w:t>9</w:t>
      </w:r>
      <w:r>
        <w:rPr>
          <w:rFonts w:ascii="宋体" w:hAnsi="宋体"/>
          <w:bCs/>
          <w:sz w:val="24"/>
        </w:rPr>
        <w:t>.</w:t>
      </w:r>
      <w:r>
        <w:rPr>
          <w:rFonts w:hint="eastAsia" w:ascii="宋体" w:hAnsi="宋体"/>
          <w:bCs/>
          <w:sz w:val="24"/>
        </w:rPr>
        <w:t>1投标人通过</w:t>
      </w:r>
      <w:r>
        <w:rPr>
          <w:rFonts w:hint="eastAsia" w:ascii="宋体" w:hAnsi="宋体" w:cs="宋体"/>
          <w:b/>
          <w:bCs/>
          <w:sz w:val="24"/>
          <w:u w:val="single"/>
        </w:rPr>
        <w:t>广州交易集团有限公司（广州公共资源交易中心）</w:t>
      </w:r>
      <w:r>
        <w:rPr>
          <w:rFonts w:hint="eastAsia" w:ascii="宋体" w:hAnsi="宋体"/>
          <w:sz w:val="24"/>
          <w:szCs w:val="24"/>
        </w:rPr>
        <w:t>交易平台</w:t>
      </w:r>
      <w:r>
        <w:rPr>
          <w:rFonts w:hint="eastAsia" w:ascii="宋体" w:hAnsi="宋体"/>
          <w:sz w:val="24"/>
        </w:rPr>
        <w:t>递交电子投标文件。</w:t>
      </w:r>
    </w:p>
    <w:p w14:paraId="1701A1D3">
      <w:pPr>
        <w:spacing w:line="360" w:lineRule="auto"/>
        <w:ind w:firstLine="480" w:firstLineChars="200"/>
        <w:rPr>
          <w:rFonts w:ascii="宋体"/>
          <w:bCs/>
          <w:sz w:val="24"/>
        </w:rPr>
      </w:pPr>
      <w:r>
        <w:rPr>
          <w:rFonts w:ascii="宋体" w:hAnsi="宋体"/>
          <w:bCs/>
          <w:sz w:val="24"/>
        </w:rPr>
        <w:t>1</w:t>
      </w:r>
      <w:r>
        <w:rPr>
          <w:rFonts w:hint="eastAsia" w:ascii="宋体" w:hAnsi="宋体"/>
          <w:bCs/>
          <w:sz w:val="24"/>
        </w:rPr>
        <w:t>9</w:t>
      </w:r>
      <w:r>
        <w:rPr>
          <w:rFonts w:ascii="宋体" w:hAnsi="宋体"/>
          <w:bCs/>
          <w:sz w:val="24"/>
        </w:rPr>
        <w:t>.</w:t>
      </w:r>
      <w:r>
        <w:rPr>
          <w:rFonts w:hint="eastAsia" w:ascii="宋体" w:hAnsi="宋体"/>
          <w:bCs/>
          <w:sz w:val="24"/>
        </w:rPr>
        <w:t>2投标人完成电子</w:t>
      </w:r>
      <w:r>
        <w:rPr>
          <w:rFonts w:hint="eastAsia" w:ascii="宋体" w:hAnsi="宋体"/>
          <w:sz w:val="24"/>
        </w:rPr>
        <w:t>投标文件</w:t>
      </w:r>
      <w:r>
        <w:rPr>
          <w:rFonts w:hint="eastAsia" w:ascii="宋体" w:hAnsi="宋体"/>
          <w:bCs/>
          <w:sz w:val="24"/>
        </w:rPr>
        <w:t>上传后，</w:t>
      </w:r>
      <w:r>
        <w:rPr>
          <w:rFonts w:hint="eastAsia" w:ascii="宋体" w:hAnsi="宋体" w:cs="宋体"/>
          <w:b/>
          <w:bCs/>
          <w:sz w:val="24"/>
          <w:u w:val="single"/>
        </w:rPr>
        <w:t>广州交易集团有限公司（广州公共资源交易中心）</w:t>
      </w:r>
      <w:r>
        <w:rPr>
          <w:rFonts w:hint="eastAsia" w:ascii="宋体" w:hAnsi="宋体"/>
          <w:sz w:val="24"/>
          <w:szCs w:val="24"/>
        </w:rPr>
        <w:t>交易平台</w:t>
      </w:r>
      <w:r>
        <w:rPr>
          <w:rFonts w:hint="eastAsia" w:ascii="宋体" w:hAnsi="宋体"/>
          <w:sz w:val="24"/>
        </w:rPr>
        <w:t>即时向投标人发出递交回执通知。递交时间以递交回执通知载明的传输完成时间为准。</w:t>
      </w:r>
    </w:p>
    <w:p w14:paraId="34A9CE9B">
      <w:pPr>
        <w:spacing w:line="360" w:lineRule="auto"/>
        <w:ind w:firstLine="480" w:firstLineChars="200"/>
        <w:rPr>
          <w:rFonts w:hint="eastAsia" w:ascii="宋体" w:hAnsi="宋体"/>
          <w:sz w:val="24"/>
        </w:rPr>
      </w:pPr>
      <w:r>
        <w:rPr>
          <w:rFonts w:ascii="宋体" w:hAnsi="宋体"/>
          <w:bCs/>
          <w:sz w:val="24"/>
        </w:rPr>
        <w:t>1</w:t>
      </w:r>
      <w:r>
        <w:rPr>
          <w:rFonts w:hint="eastAsia" w:ascii="宋体" w:hAnsi="宋体"/>
          <w:bCs/>
          <w:sz w:val="24"/>
        </w:rPr>
        <w:t>9</w:t>
      </w:r>
      <w:r>
        <w:rPr>
          <w:rFonts w:ascii="宋体" w:hAnsi="宋体"/>
          <w:bCs/>
          <w:sz w:val="24"/>
        </w:rPr>
        <w:t>.</w:t>
      </w:r>
      <w:r>
        <w:rPr>
          <w:rFonts w:hint="eastAsia" w:ascii="宋体" w:hAnsi="宋体"/>
          <w:bCs/>
          <w:sz w:val="24"/>
        </w:rPr>
        <w:t>3</w:t>
      </w:r>
      <w:r>
        <w:rPr>
          <w:rFonts w:hint="eastAsia"/>
          <w:bCs/>
          <w:sz w:val="24"/>
          <w:szCs w:val="24"/>
        </w:rPr>
        <w:t>逾期送达的</w:t>
      </w:r>
      <w:r>
        <w:rPr>
          <w:rFonts w:hint="eastAsia" w:ascii="宋体" w:hAnsi="宋体"/>
          <w:bCs/>
          <w:sz w:val="24"/>
        </w:rPr>
        <w:t>电子投标文件，</w:t>
      </w:r>
      <w:r>
        <w:rPr>
          <w:rFonts w:hint="eastAsia" w:ascii="宋体" w:hAnsi="宋体" w:cs="宋体"/>
          <w:b/>
          <w:bCs/>
          <w:sz w:val="24"/>
          <w:u w:val="single"/>
        </w:rPr>
        <w:t>广州交易集团有限公司（广州公共资源交易中心）</w:t>
      </w:r>
      <w:r>
        <w:rPr>
          <w:rFonts w:hint="eastAsia" w:ascii="宋体" w:hAnsi="宋体"/>
          <w:sz w:val="24"/>
          <w:szCs w:val="24"/>
        </w:rPr>
        <w:t>交易平台</w:t>
      </w:r>
      <w:r>
        <w:rPr>
          <w:rFonts w:hint="eastAsia" w:ascii="宋体" w:hAnsi="宋体"/>
          <w:sz w:val="24"/>
        </w:rPr>
        <w:t>将予以拒收。</w:t>
      </w:r>
    </w:p>
    <w:p w14:paraId="7167D790">
      <w:pPr>
        <w:spacing w:line="360" w:lineRule="auto"/>
        <w:ind w:firstLine="480" w:firstLineChars="200"/>
        <w:rPr>
          <w:rFonts w:ascii="宋体"/>
          <w:sz w:val="24"/>
        </w:rPr>
      </w:pPr>
      <w:r>
        <w:rPr>
          <w:rFonts w:ascii="宋体" w:hAnsi="宋体"/>
          <w:sz w:val="24"/>
        </w:rPr>
        <w:t>19.</w:t>
      </w:r>
      <w:r>
        <w:rPr>
          <w:rFonts w:hint="eastAsia" w:ascii="宋体" w:hAnsi="宋体"/>
          <w:sz w:val="24"/>
        </w:rPr>
        <w:t>4</w:t>
      </w:r>
      <w:r>
        <w:rPr>
          <w:rFonts w:ascii="宋体" w:hAnsi="宋体"/>
          <w:sz w:val="24"/>
        </w:rPr>
        <w:t xml:space="preserve"> </w:t>
      </w:r>
      <w:r>
        <w:rPr>
          <w:rFonts w:hint="eastAsia" w:ascii="宋体" w:hAnsi="宋体"/>
          <w:sz w:val="24"/>
          <w:szCs w:val="24"/>
        </w:rPr>
        <w:t>投标截止前，</w:t>
      </w:r>
      <w:r>
        <w:rPr>
          <w:rFonts w:hint="eastAsia"/>
          <w:sz w:val="24"/>
          <w:szCs w:val="24"/>
        </w:rPr>
        <w:t>招标人拒绝接收符合条件的投标文件，投标人可向招标投标监督机构投诉。</w:t>
      </w:r>
    </w:p>
    <w:p w14:paraId="37C5A58D">
      <w:pPr>
        <w:spacing w:line="360" w:lineRule="auto"/>
        <w:ind w:firstLine="480" w:firstLineChars="200"/>
        <w:rPr>
          <w:rFonts w:hint="eastAsia" w:ascii="宋体" w:hAnsi="宋体"/>
          <w:sz w:val="24"/>
        </w:rPr>
      </w:pPr>
      <w:r>
        <w:rPr>
          <w:rFonts w:ascii="宋体" w:hAnsi="宋体"/>
          <w:sz w:val="24"/>
        </w:rPr>
        <w:t>19.</w:t>
      </w:r>
      <w:r>
        <w:rPr>
          <w:rFonts w:hint="eastAsia" w:ascii="宋体" w:hAnsi="宋体"/>
          <w:sz w:val="24"/>
        </w:rPr>
        <w:t>5如技术标和经济标先后分别开启，</w:t>
      </w:r>
      <w:r>
        <w:rPr>
          <w:rFonts w:hint="eastAsia" w:ascii="宋体" w:hAnsi="宋体" w:cs="宋体"/>
          <w:b/>
          <w:bCs/>
          <w:sz w:val="24"/>
          <w:u w:val="single"/>
        </w:rPr>
        <w:t>广州交易集团有限公司（广州公共资源交易中心）</w:t>
      </w:r>
      <w:r>
        <w:rPr>
          <w:rFonts w:hint="eastAsia" w:ascii="宋体" w:hAnsi="宋体"/>
          <w:sz w:val="24"/>
          <w:szCs w:val="24"/>
        </w:rPr>
        <w:t>交易平台</w:t>
      </w:r>
      <w:r>
        <w:rPr>
          <w:rFonts w:hint="eastAsia" w:ascii="宋体" w:hAnsi="宋体"/>
          <w:sz w:val="24"/>
        </w:rPr>
        <w:t>将按招标文件规定的时间分别开启技术标和经济标。</w:t>
      </w:r>
    </w:p>
    <w:p w14:paraId="346CDDFA">
      <w:pPr>
        <w:spacing w:line="360" w:lineRule="auto"/>
        <w:ind w:firstLine="482" w:firstLineChars="200"/>
        <w:rPr>
          <w:rFonts w:ascii="宋体"/>
          <w:b/>
          <w:bCs/>
          <w:sz w:val="24"/>
        </w:rPr>
      </w:pPr>
      <w:r>
        <w:rPr>
          <w:rFonts w:ascii="宋体" w:hAnsi="宋体"/>
          <w:b/>
          <w:bCs/>
          <w:sz w:val="24"/>
        </w:rPr>
        <w:t>20</w:t>
      </w:r>
      <w:r>
        <w:rPr>
          <w:rFonts w:hint="eastAsia" w:ascii="宋体" w:hAnsi="宋体"/>
          <w:b/>
          <w:bCs/>
          <w:sz w:val="24"/>
        </w:rPr>
        <w:t>．投标文件提交的截止时间</w:t>
      </w:r>
    </w:p>
    <w:p w14:paraId="4F8C8BCC">
      <w:pPr>
        <w:spacing w:line="360" w:lineRule="auto"/>
        <w:ind w:firstLine="480" w:firstLineChars="200"/>
        <w:rPr>
          <w:rFonts w:ascii="宋体"/>
          <w:b/>
          <w:bCs/>
          <w:sz w:val="24"/>
        </w:rPr>
      </w:pPr>
      <w:r>
        <w:rPr>
          <w:rFonts w:ascii="宋体" w:hAnsi="宋体"/>
          <w:sz w:val="24"/>
        </w:rPr>
        <w:t>20.1</w:t>
      </w:r>
      <w:r>
        <w:rPr>
          <w:rFonts w:hint="eastAsia" w:ascii="宋体" w:hAnsi="宋体"/>
          <w:sz w:val="24"/>
        </w:rPr>
        <w:t>投标人应在投标须知前附表第17项所述的时间前提交投标文件。</w:t>
      </w:r>
    </w:p>
    <w:p w14:paraId="5DDBF1FD">
      <w:pPr>
        <w:spacing w:line="360" w:lineRule="auto"/>
        <w:ind w:firstLine="480" w:firstLineChars="200"/>
        <w:rPr>
          <w:rFonts w:ascii="宋体"/>
          <w:sz w:val="24"/>
        </w:rPr>
      </w:pPr>
      <w:r>
        <w:rPr>
          <w:rFonts w:ascii="宋体" w:hAnsi="宋体"/>
          <w:sz w:val="24"/>
        </w:rPr>
        <w:t>20.2</w:t>
      </w:r>
      <w:r>
        <w:rPr>
          <w:rFonts w:hint="eastAsia" w:ascii="宋体" w:hAnsi="宋体"/>
          <w:sz w:val="24"/>
        </w:rPr>
        <w:t>招标人可按本须知第</w:t>
      </w:r>
      <w:r>
        <w:rPr>
          <w:rFonts w:ascii="宋体" w:hAnsi="宋体"/>
          <w:sz w:val="24"/>
        </w:rPr>
        <w:t>9</w:t>
      </w:r>
      <w:r>
        <w:rPr>
          <w:rFonts w:hint="eastAsia" w:ascii="宋体" w:hAnsi="宋体"/>
          <w:sz w:val="24"/>
        </w:rPr>
        <w:t>条规定以招标文件修改的方式，酌情延长提交投标文件的截止时间。在此情况下，投标人的所有权利和义务以及投标人受制约的截止时间，均以延长后新的投标截止时间为准。</w:t>
      </w:r>
    </w:p>
    <w:p w14:paraId="59DF71CB">
      <w:pPr>
        <w:spacing w:line="360" w:lineRule="auto"/>
        <w:ind w:firstLine="480" w:firstLineChars="200"/>
        <w:rPr>
          <w:rFonts w:ascii="宋体"/>
          <w:sz w:val="24"/>
        </w:rPr>
      </w:pPr>
      <w:r>
        <w:rPr>
          <w:rFonts w:ascii="宋体" w:hAnsi="宋体"/>
          <w:sz w:val="24"/>
        </w:rPr>
        <w:t xml:space="preserve">20.3 </w:t>
      </w:r>
      <w:r>
        <w:rPr>
          <w:rFonts w:hint="eastAsia" w:ascii="宋体" w:hAnsi="宋体"/>
          <w:sz w:val="24"/>
        </w:rPr>
        <w:t>到投标截止时间止，招标人收到的投标文件少于3家的，招标人将重新组织招标</w:t>
      </w:r>
      <w:r>
        <w:rPr>
          <w:rFonts w:hint="eastAsia" w:ascii="宋体" w:hAnsi="宋体"/>
          <w:strike/>
          <w:sz w:val="24"/>
          <w:szCs w:val="24"/>
        </w:rPr>
        <w:t>（当</w:t>
      </w:r>
      <w:r>
        <w:rPr>
          <w:rFonts w:ascii="宋体" w:hAnsi="宋体"/>
          <w:strike/>
          <w:sz w:val="24"/>
          <w:szCs w:val="24"/>
        </w:rPr>
        <w:t>N</w:t>
      </w:r>
      <w:r>
        <w:rPr>
          <w:rFonts w:hint="eastAsia" w:ascii="宋体" w:hAnsi="宋体"/>
          <w:strike/>
          <w:sz w:val="24"/>
          <w:szCs w:val="24"/>
        </w:rPr>
        <w:t>个标段同时招标且不允许兼中时，若有效投标人不足</w:t>
      </w:r>
      <w:r>
        <w:rPr>
          <w:rFonts w:ascii="宋体" w:hAnsi="宋体"/>
          <w:strike/>
          <w:sz w:val="24"/>
          <w:szCs w:val="24"/>
        </w:rPr>
        <w:t>N+</w:t>
      </w:r>
      <w:r>
        <w:rPr>
          <w:rFonts w:hint="eastAsia" w:ascii="宋体" w:hAnsi="宋体"/>
          <w:strike/>
          <w:sz w:val="24"/>
          <w:szCs w:val="24"/>
        </w:rPr>
        <w:t>2家，则重新组织招标）</w:t>
      </w:r>
      <w:r>
        <w:rPr>
          <w:rFonts w:hint="eastAsia" w:ascii="宋体" w:hAnsi="宋体"/>
          <w:sz w:val="24"/>
        </w:rPr>
        <w:t>。</w:t>
      </w:r>
    </w:p>
    <w:p w14:paraId="6C1D4E63">
      <w:pPr>
        <w:spacing w:line="360" w:lineRule="auto"/>
        <w:ind w:firstLine="482" w:firstLineChars="200"/>
        <w:rPr>
          <w:rFonts w:ascii="宋体"/>
          <w:b/>
          <w:bCs/>
          <w:sz w:val="24"/>
        </w:rPr>
      </w:pPr>
      <w:r>
        <w:rPr>
          <w:rFonts w:ascii="宋体" w:hAnsi="宋体"/>
          <w:b/>
          <w:bCs/>
          <w:sz w:val="24"/>
        </w:rPr>
        <w:t>21</w:t>
      </w:r>
      <w:r>
        <w:rPr>
          <w:rFonts w:hint="eastAsia" w:ascii="宋体" w:hAnsi="宋体"/>
          <w:b/>
          <w:bCs/>
          <w:sz w:val="24"/>
        </w:rPr>
        <w:t>．迟交的投标文件</w:t>
      </w:r>
    </w:p>
    <w:p w14:paraId="3B551D68">
      <w:pPr>
        <w:spacing w:line="360" w:lineRule="auto"/>
        <w:ind w:firstLine="480" w:firstLineChars="200"/>
        <w:rPr>
          <w:rFonts w:ascii="宋体"/>
          <w:sz w:val="24"/>
        </w:rPr>
      </w:pPr>
      <w:r>
        <w:rPr>
          <w:rFonts w:ascii="宋体" w:hAnsi="宋体"/>
          <w:sz w:val="24"/>
        </w:rPr>
        <w:t xml:space="preserve">21.1 </w:t>
      </w:r>
      <w:r>
        <w:rPr>
          <w:rFonts w:hint="eastAsia" w:ascii="宋体" w:hAnsi="宋体"/>
          <w:sz w:val="24"/>
        </w:rPr>
        <w:t>本须知前附表第17项规定的投标截止时间</w:t>
      </w:r>
      <w:r>
        <w:rPr>
          <w:rFonts w:hint="eastAsia"/>
          <w:bCs/>
          <w:sz w:val="24"/>
          <w:szCs w:val="24"/>
        </w:rPr>
        <w:t>后送达的</w:t>
      </w:r>
      <w:r>
        <w:rPr>
          <w:rFonts w:hint="eastAsia" w:ascii="宋体" w:hAnsi="宋体"/>
          <w:bCs/>
          <w:sz w:val="24"/>
        </w:rPr>
        <w:t>电子投标文件，</w:t>
      </w:r>
      <w:r>
        <w:rPr>
          <w:rFonts w:hint="eastAsia" w:ascii="宋体" w:hAnsi="宋体" w:cs="宋体"/>
          <w:b/>
          <w:bCs/>
          <w:sz w:val="24"/>
          <w:u w:val="single"/>
        </w:rPr>
        <w:t>广州交易集团有限公司（广州公共资源交易中心）</w:t>
      </w:r>
      <w:r>
        <w:rPr>
          <w:rFonts w:hint="eastAsia" w:ascii="宋体" w:hAnsi="宋体"/>
          <w:sz w:val="24"/>
          <w:szCs w:val="24"/>
        </w:rPr>
        <w:t>交易平台</w:t>
      </w:r>
      <w:r>
        <w:rPr>
          <w:rFonts w:hint="eastAsia" w:ascii="宋体" w:hAnsi="宋体"/>
          <w:sz w:val="24"/>
        </w:rPr>
        <w:t>将予以拒收。</w:t>
      </w:r>
    </w:p>
    <w:p w14:paraId="4B55F8EB">
      <w:pPr>
        <w:spacing w:line="360" w:lineRule="auto"/>
        <w:ind w:firstLine="482" w:firstLineChars="200"/>
        <w:rPr>
          <w:rFonts w:ascii="宋体"/>
          <w:b/>
          <w:bCs/>
          <w:sz w:val="24"/>
        </w:rPr>
      </w:pPr>
      <w:r>
        <w:rPr>
          <w:rFonts w:ascii="宋体" w:hAnsi="宋体"/>
          <w:b/>
          <w:bCs/>
          <w:sz w:val="24"/>
        </w:rPr>
        <w:t>22</w:t>
      </w:r>
      <w:r>
        <w:rPr>
          <w:rFonts w:hint="eastAsia" w:ascii="宋体" w:hAnsi="宋体"/>
          <w:b/>
          <w:bCs/>
          <w:sz w:val="24"/>
        </w:rPr>
        <w:t>．投标文件的修改与撤回</w:t>
      </w:r>
    </w:p>
    <w:p w14:paraId="3C3B3CEB">
      <w:pPr>
        <w:spacing w:line="360" w:lineRule="auto"/>
        <w:ind w:firstLine="480" w:firstLineChars="200"/>
        <w:rPr>
          <w:rFonts w:ascii="宋体"/>
          <w:sz w:val="24"/>
        </w:rPr>
      </w:pPr>
      <w:r>
        <w:rPr>
          <w:rFonts w:ascii="宋体" w:hAnsi="宋体"/>
          <w:sz w:val="24"/>
        </w:rPr>
        <w:t>22.1</w:t>
      </w:r>
      <w:r>
        <w:rPr>
          <w:rFonts w:hint="eastAsia" w:ascii="宋体" w:hAnsi="宋体"/>
          <w:sz w:val="24"/>
        </w:rPr>
        <w:t>在规定的投标截止时间前，投标人可以修改或撤回已递交的投标文件，但应以书面形式通知招标人。</w:t>
      </w:r>
    </w:p>
    <w:p w14:paraId="479CCC47">
      <w:pPr>
        <w:spacing w:line="360" w:lineRule="auto"/>
        <w:ind w:firstLine="480" w:firstLineChars="200"/>
        <w:rPr>
          <w:sz w:val="24"/>
          <w:szCs w:val="24"/>
        </w:rPr>
      </w:pPr>
      <w:r>
        <w:rPr>
          <w:rFonts w:ascii="宋体" w:hAnsi="宋体"/>
          <w:sz w:val="24"/>
          <w:szCs w:val="24"/>
        </w:rPr>
        <w:t>22.2</w:t>
      </w:r>
      <w:r>
        <w:rPr>
          <w:sz w:val="24"/>
          <w:szCs w:val="24"/>
        </w:rPr>
        <w:t>投标人修改或撤回已递交</w:t>
      </w:r>
      <w:r>
        <w:rPr>
          <w:rFonts w:hint="eastAsia"/>
          <w:sz w:val="24"/>
          <w:szCs w:val="24"/>
        </w:rPr>
        <w:t>的</w:t>
      </w:r>
      <w:r>
        <w:rPr>
          <w:sz w:val="24"/>
          <w:szCs w:val="24"/>
        </w:rPr>
        <w:t>投标文件</w:t>
      </w:r>
      <w:r>
        <w:rPr>
          <w:rFonts w:hint="eastAsia"/>
          <w:sz w:val="24"/>
          <w:szCs w:val="24"/>
        </w:rPr>
        <w:t>，需在</w:t>
      </w:r>
      <w:r>
        <w:rPr>
          <w:rFonts w:hint="eastAsia" w:ascii="宋体" w:hAnsi="宋体"/>
          <w:sz w:val="24"/>
        </w:rPr>
        <w:t>交易平台发出修改或撤回</w:t>
      </w:r>
      <w:r>
        <w:rPr>
          <w:sz w:val="24"/>
          <w:szCs w:val="24"/>
        </w:rPr>
        <w:t>通知，</w:t>
      </w:r>
      <w:r>
        <w:rPr>
          <w:rFonts w:hint="eastAsia"/>
          <w:sz w:val="24"/>
          <w:szCs w:val="24"/>
        </w:rPr>
        <w:t>并按</w:t>
      </w:r>
      <w:r>
        <w:rPr>
          <w:sz w:val="24"/>
          <w:szCs w:val="24"/>
        </w:rPr>
        <w:t>要求加盖电子印章。</w:t>
      </w:r>
      <w:r>
        <w:rPr>
          <w:bCs/>
          <w:iCs/>
          <w:sz w:val="24"/>
          <w:szCs w:val="24"/>
        </w:rPr>
        <w:t>电子招标投标交易平台收到通知后，</w:t>
      </w:r>
      <w:r>
        <w:rPr>
          <w:sz w:val="24"/>
          <w:szCs w:val="24"/>
        </w:rPr>
        <w:t>即时向投标人发出确认回执通知。</w:t>
      </w:r>
    </w:p>
    <w:p w14:paraId="65558F84">
      <w:pPr>
        <w:spacing w:line="360" w:lineRule="auto"/>
        <w:ind w:firstLine="480" w:firstLineChars="200"/>
        <w:rPr>
          <w:sz w:val="24"/>
          <w:szCs w:val="24"/>
        </w:rPr>
      </w:pPr>
      <w:r>
        <w:rPr>
          <w:rFonts w:hint="eastAsia" w:ascii="宋体" w:hAnsi="宋体"/>
          <w:sz w:val="24"/>
          <w:szCs w:val="24"/>
        </w:rPr>
        <w:t>22.3</w:t>
      </w:r>
      <w:r>
        <w:rPr>
          <w:rFonts w:hint="eastAsia"/>
          <w:sz w:val="24"/>
          <w:szCs w:val="24"/>
        </w:rPr>
        <w:t>修改后再次递交的</w:t>
      </w:r>
      <w:r>
        <w:rPr>
          <w:rFonts w:hint="eastAsia"/>
          <w:bCs/>
          <w:iCs/>
          <w:sz w:val="24"/>
          <w:szCs w:val="24"/>
        </w:rPr>
        <w:t>，按19点的规</w:t>
      </w:r>
      <w:r>
        <w:rPr>
          <w:rFonts w:hint="eastAsia"/>
          <w:sz w:val="24"/>
          <w:szCs w:val="24"/>
        </w:rPr>
        <w:t>定执行。</w:t>
      </w:r>
    </w:p>
    <w:p w14:paraId="1E6F9EFC">
      <w:pPr>
        <w:spacing w:line="360" w:lineRule="auto"/>
        <w:ind w:firstLine="480" w:firstLineChars="200"/>
        <w:rPr>
          <w:rFonts w:hint="eastAsia" w:ascii="宋体" w:hAnsi="宋体"/>
          <w:sz w:val="24"/>
        </w:rPr>
      </w:pPr>
      <w:r>
        <w:rPr>
          <w:rFonts w:ascii="宋体" w:hAnsi="宋体"/>
          <w:sz w:val="24"/>
        </w:rPr>
        <w:t>22.</w:t>
      </w:r>
      <w:r>
        <w:rPr>
          <w:rFonts w:hint="eastAsia" w:ascii="宋体" w:hAnsi="宋体"/>
          <w:sz w:val="24"/>
        </w:rPr>
        <w:t>4</w:t>
      </w:r>
      <w:r>
        <w:rPr>
          <w:rFonts w:ascii="宋体" w:hAnsi="宋体"/>
          <w:sz w:val="24"/>
        </w:rPr>
        <w:t xml:space="preserve"> </w:t>
      </w:r>
      <w:r>
        <w:rPr>
          <w:rFonts w:hint="eastAsia" w:ascii="宋体" w:hAnsi="宋体"/>
          <w:sz w:val="24"/>
        </w:rPr>
        <w:t>在投标截止时间之后，投标人不得补充、修改和更换投标文件。</w:t>
      </w:r>
    </w:p>
    <w:p w14:paraId="3B32EFD5">
      <w:pPr>
        <w:pStyle w:val="9"/>
        <w:spacing w:before="156" w:after="156"/>
        <w:rPr>
          <w:rFonts w:hint="eastAsia"/>
        </w:rPr>
      </w:pPr>
      <w:bookmarkStart w:id="37" w:name="_Toc6026"/>
      <w:bookmarkStart w:id="38" w:name="_Toc26433"/>
      <w:bookmarkStart w:id="39" w:name="_Toc2272553"/>
      <w:bookmarkStart w:id="40" w:name="_Toc21525497"/>
      <w:r>
        <w:rPr>
          <w:rFonts w:hint="eastAsia"/>
        </w:rPr>
        <w:t>（五）开标、评标、定标及合同签定</w:t>
      </w:r>
      <w:bookmarkEnd w:id="37"/>
      <w:bookmarkEnd w:id="38"/>
      <w:bookmarkEnd w:id="39"/>
      <w:bookmarkEnd w:id="40"/>
    </w:p>
    <w:p w14:paraId="2C278064">
      <w:pPr>
        <w:spacing w:line="360" w:lineRule="auto"/>
        <w:ind w:firstLine="482" w:firstLineChars="200"/>
        <w:rPr>
          <w:rFonts w:ascii="宋体"/>
          <w:b/>
          <w:bCs/>
          <w:sz w:val="24"/>
        </w:rPr>
      </w:pPr>
      <w:r>
        <w:rPr>
          <w:rFonts w:ascii="宋体" w:hAnsi="宋体"/>
          <w:b/>
          <w:bCs/>
          <w:sz w:val="24"/>
        </w:rPr>
        <w:t>23</w:t>
      </w:r>
      <w:r>
        <w:rPr>
          <w:rFonts w:hint="eastAsia" w:ascii="宋体" w:hAnsi="宋体"/>
          <w:b/>
          <w:bCs/>
          <w:sz w:val="24"/>
        </w:rPr>
        <w:t>、开标。</w:t>
      </w:r>
    </w:p>
    <w:p w14:paraId="02755725">
      <w:pPr>
        <w:spacing w:line="360" w:lineRule="auto"/>
        <w:ind w:firstLine="480" w:firstLineChars="200"/>
        <w:rPr>
          <w:rFonts w:ascii="宋体"/>
          <w:sz w:val="24"/>
        </w:rPr>
      </w:pPr>
      <w:r>
        <w:rPr>
          <w:rFonts w:hint="eastAsia" w:ascii="宋体" w:hAnsi="宋体"/>
          <w:sz w:val="24"/>
        </w:rPr>
        <w:t>详见第二章开标、评标及定标办法</w:t>
      </w:r>
    </w:p>
    <w:p w14:paraId="6A9CDF9C">
      <w:pPr>
        <w:spacing w:line="360" w:lineRule="auto"/>
        <w:ind w:firstLine="482" w:firstLineChars="200"/>
        <w:rPr>
          <w:rFonts w:ascii="宋体"/>
          <w:b/>
          <w:bCs/>
          <w:sz w:val="24"/>
        </w:rPr>
      </w:pPr>
      <w:r>
        <w:rPr>
          <w:rFonts w:ascii="宋体" w:hAnsi="宋体"/>
          <w:b/>
          <w:bCs/>
          <w:sz w:val="24"/>
        </w:rPr>
        <w:t>24</w:t>
      </w:r>
      <w:r>
        <w:rPr>
          <w:rFonts w:hint="eastAsia" w:ascii="宋体" w:hAnsi="宋体"/>
          <w:b/>
          <w:bCs/>
          <w:sz w:val="24"/>
        </w:rPr>
        <w:t>．评标过程的保密</w:t>
      </w:r>
    </w:p>
    <w:p w14:paraId="1F3B5438">
      <w:pPr>
        <w:spacing w:line="360" w:lineRule="auto"/>
        <w:ind w:firstLine="480" w:firstLineChars="200"/>
        <w:rPr>
          <w:rFonts w:ascii="宋体"/>
          <w:sz w:val="24"/>
        </w:rPr>
      </w:pPr>
      <w:r>
        <w:rPr>
          <w:rFonts w:ascii="宋体" w:hAnsi="宋体"/>
          <w:sz w:val="24"/>
        </w:rPr>
        <w:t xml:space="preserve">24.1 </w:t>
      </w:r>
      <w:r>
        <w:rPr>
          <w:rFonts w:hint="eastAsia" w:ascii="宋体" w:hAnsi="宋体"/>
          <w:sz w:val="24"/>
        </w:rPr>
        <w:t>开标后，直至中标公示为止，凡属于对投标文件的审查、澄清、评价和比较有关的资料以及中标候选人的推荐情况，与评标有关的其他任何情况均严格保密。</w:t>
      </w:r>
    </w:p>
    <w:p w14:paraId="421AAC14">
      <w:pPr>
        <w:spacing w:line="360" w:lineRule="auto"/>
        <w:ind w:firstLine="480" w:firstLineChars="200"/>
        <w:rPr>
          <w:rFonts w:ascii="宋体"/>
          <w:sz w:val="24"/>
        </w:rPr>
      </w:pPr>
      <w:r>
        <w:rPr>
          <w:rFonts w:ascii="宋体" w:hAnsi="宋体"/>
          <w:sz w:val="24"/>
        </w:rPr>
        <w:t xml:space="preserve">24.2 </w:t>
      </w:r>
      <w:r>
        <w:rPr>
          <w:rFonts w:hint="eastAsia" w:ascii="宋体" w:hAnsi="宋体"/>
          <w:sz w:val="24"/>
        </w:rPr>
        <w:t>在投标文件的评审和比较、中标候选人推荐以及授予合同的过程中，投标人向招标人和评标委员会施加不公正影响的任何行为，都将会导致其投标被拒绝。</w:t>
      </w:r>
    </w:p>
    <w:p w14:paraId="14485CE6">
      <w:pPr>
        <w:spacing w:line="360" w:lineRule="auto"/>
        <w:ind w:firstLine="482" w:firstLineChars="200"/>
        <w:rPr>
          <w:rFonts w:ascii="宋体"/>
          <w:b/>
          <w:bCs/>
          <w:sz w:val="24"/>
        </w:rPr>
      </w:pPr>
      <w:r>
        <w:rPr>
          <w:rFonts w:ascii="宋体" w:hAnsi="宋体"/>
          <w:b/>
          <w:bCs/>
          <w:sz w:val="24"/>
        </w:rPr>
        <w:t>25</w:t>
      </w:r>
      <w:r>
        <w:rPr>
          <w:rFonts w:hint="eastAsia" w:ascii="宋体" w:hAnsi="宋体"/>
          <w:b/>
          <w:bCs/>
          <w:sz w:val="24"/>
        </w:rPr>
        <w:t>．投标文件的澄清，计算错误的修正</w:t>
      </w:r>
    </w:p>
    <w:p w14:paraId="3720B108">
      <w:pPr>
        <w:spacing w:line="360" w:lineRule="auto"/>
        <w:ind w:firstLine="480" w:firstLineChars="200"/>
        <w:rPr>
          <w:rFonts w:ascii="宋体"/>
          <w:sz w:val="24"/>
        </w:rPr>
      </w:pPr>
      <w:r>
        <w:rPr>
          <w:rFonts w:hint="eastAsia" w:ascii="宋体" w:hAnsi="宋体"/>
          <w:sz w:val="24"/>
        </w:rPr>
        <w:t>详见招标文件第二章开标、评标及定标办法</w:t>
      </w:r>
    </w:p>
    <w:p w14:paraId="7C3452B3">
      <w:pPr>
        <w:spacing w:line="360" w:lineRule="auto"/>
        <w:ind w:firstLine="482" w:firstLineChars="200"/>
        <w:rPr>
          <w:rFonts w:ascii="宋体"/>
          <w:b/>
          <w:bCs/>
          <w:sz w:val="24"/>
        </w:rPr>
      </w:pPr>
      <w:r>
        <w:rPr>
          <w:rFonts w:ascii="宋体" w:hAnsi="宋体"/>
          <w:b/>
          <w:bCs/>
          <w:sz w:val="24"/>
        </w:rPr>
        <w:t>26</w:t>
      </w:r>
      <w:r>
        <w:rPr>
          <w:rFonts w:hint="eastAsia" w:ascii="宋体" w:hAnsi="宋体"/>
          <w:b/>
          <w:bCs/>
          <w:sz w:val="24"/>
        </w:rPr>
        <w:t>．投标文件的评审、比较和否决</w:t>
      </w:r>
    </w:p>
    <w:p w14:paraId="7E559236">
      <w:pPr>
        <w:spacing w:line="360" w:lineRule="auto"/>
        <w:ind w:firstLine="480" w:firstLineChars="200"/>
        <w:rPr>
          <w:rFonts w:ascii="宋体"/>
          <w:bCs/>
          <w:sz w:val="24"/>
          <w:szCs w:val="24"/>
        </w:rPr>
      </w:pPr>
      <w:r>
        <w:rPr>
          <w:rFonts w:hint="eastAsia" w:ascii="宋体" w:hAnsi="宋体"/>
          <w:sz w:val="24"/>
        </w:rPr>
        <w:t>详见招标文件第二章开标、评标及定标办法。</w:t>
      </w:r>
    </w:p>
    <w:p w14:paraId="33D7251E">
      <w:pPr>
        <w:numPr>
          <w:ilvl w:val="0"/>
          <w:numId w:val="6"/>
        </w:numPr>
        <w:spacing w:line="360" w:lineRule="auto"/>
        <w:ind w:firstLine="482" w:firstLineChars="200"/>
        <w:rPr>
          <w:rFonts w:hint="eastAsia" w:ascii="宋体" w:hAnsi="宋体"/>
          <w:b/>
          <w:bCs/>
          <w:sz w:val="24"/>
        </w:rPr>
      </w:pPr>
      <w:r>
        <w:rPr>
          <w:rFonts w:hint="eastAsia" w:ascii="宋体" w:hAnsi="宋体"/>
          <w:b/>
          <w:bCs/>
          <w:sz w:val="24"/>
        </w:rPr>
        <w:t>定标</w:t>
      </w:r>
    </w:p>
    <w:p w14:paraId="5FB7C158">
      <w:pPr>
        <w:pStyle w:val="2"/>
        <w:ind w:firstLine="480" w:firstLineChars="200"/>
        <w:rPr>
          <w:rFonts w:hint="eastAsia" w:hAnsi="宋体"/>
          <w:sz w:val="24"/>
          <w:szCs w:val="22"/>
        </w:rPr>
      </w:pPr>
      <w:r>
        <w:rPr>
          <w:rFonts w:hint="eastAsia" w:hAnsi="宋体"/>
          <w:sz w:val="24"/>
          <w:szCs w:val="22"/>
        </w:rPr>
        <w:t>27.1按照投标人须知前附表的规定，由招标人或招标人授权的评标委员会依法确定中标人。</w:t>
      </w:r>
    </w:p>
    <w:p w14:paraId="278137D1">
      <w:pPr>
        <w:pStyle w:val="2"/>
        <w:ind w:firstLine="480" w:firstLineChars="200"/>
        <w:rPr>
          <w:rFonts w:hint="eastAsia" w:hAnsi="宋体"/>
          <w:sz w:val="24"/>
          <w:szCs w:val="22"/>
        </w:rPr>
      </w:pPr>
      <w:r>
        <w:rPr>
          <w:rFonts w:hint="eastAsia" w:hAnsi="宋体"/>
          <w:sz w:val="24"/>
          <w:szCs w:val="22"/>
        </w:rPr>
        <w:t>27.2采用评定分离方式确定中标人的，从其规定。</w:t>
      </w:r>
    </w:p>
    <w:p w14:paraId="23472784">
      <w:pPr>
        <w:pStyle w:val="2"/>
      </w:pPr>
    </w:p>
    <w:p w14:paraId="7BC3BD94">
      <w:pPr>
        <w:numPr>
          <w:ilvl w:val="0"/>
          <w:numId w:val="6"/>
        </w:numPr>
        <w:spacing w:line="360" w:lineRule="auto"/>
        <w:ind w:firstLine="482" w:firstLineChars="200"/>
        <w:rPr>
          <w:rFonts w:ascii="宋体"/>
          <w:b/>
          <w:bCs/>
          <w:sz w:val="24"/>
        </w:rPr>
      </w:pPr>
      <w:r>
        <w:rPr>
          <w:rFonts w:hint="eastAsia" w:ascii="宋体" w:hAnsi="宋体"/>
          <w:b/>
          <w:bCs/>
          <w:sz w:val="24"/>
        </w:rPr>
        <w:t>中标通知书</w:t>
      </w:r>
    </w:p>
    <w:p w14:paraId="1F4CD3AC">
      <w:pPr>
        <w:spacing w:line="360" w:lineRule="auto"/>
        <w:ind w:firstLine="480" w:firstLineChars="200"/>
      </w:pPr>
      <w:r>
        <w:rPr>
          <w:rFonts w:hint="eastAsia" w:ascii="宋体" w:hAnsi="宋体"/>
          <w:sz w:val="24"/>
        </w:rPr>
        <w:t>28.1招标人将在</w:t>
      </w:r>
      <w:r>
        <w:rPr>
          <w:rFonts w:hint="eastAsia" w:ascii="宋体" w:hAnsi="宋体" w:cs="宋体"/>
          <w:b/>
          <w:bCs/>
          <w:sz w:val="24"/>
          <w:u w:val="single"/>
        </w:rPr>
        <w:t>广州交易集团有限公司（广州公共资源交易中心）</w:t>
      </w:r>
      <w:r>
        <w:rPr>
          <w:rFonts w:hint="eastAsia" w:ascii="宋体" w:hAnsi="宋体"/>
          <w:sz w:val="24"/>
        </w:rPr>
        <w:t>交易平台、广东省招标投标监管网和中国招标投标公共服务平台公示中标候选人，公示期为三天（最后一天应为工作日）。投标人或其他利害关系人对评标结果有异议的，应当在中标候选人公示期间提出，通过电子交易系统向招标人提出异议，招标人也应通过交易平台答复线上提交的异议，具体按照电子招标投标交易平台相关指南进行操作。作出答复前，应当暂停招标投标活动。</w:t>
      </w:r>
      <w:r>
        <w:rPr>
          <w:rFonts w:hint="eastAsia" w:ascii="宋体" w:hAnsi="宋体"/>
          <w:sz w:val="24"/>
          <w:u w:val="single"/>
        </w:rPr>
        <w:t>投标人提出异议时需在线提交书面的异议书（异议书应清晰表述异议事项、依据、线索、请求或主张、有效的联系方式等）并附法定代表人证明书、有效的授权委托书、被授权人的有效身份证明。</w:t>
      </w:r>
    </w:p>
    <w:p w14:paraId="61613F87">
      <w:pPr>
        <w:spacing w:line="360" w:lineRule="auto"/>
        <w:ind w:firstLine="480" w:firstLineChars="200"/>
        <w:rPr>
          <w:rFonts w:hint="eastAsia" w:ascii="仿宋_GB2312" w:hAnsi="宋体" w:eastAsia="仿宋_GB2312"/>
          <w:sz w:val="24"/>
        </w:rPr>
      </w:pPr>
      <w:r>
        <w:rPr>
          <w:rFonts w:hint="eastAsia" w:ascii="宋体" w:hAnsi="宋体"/>
          <w:sz w:val="24"/>
        </w:rPr>
        <w:t>28</w:t>
      </w:r>
      <w:r>
        <w:rPr>
          <w:rFonts w:ascii="宋体" w:hAnsi="宋体"/>
          <w:sz w:val="24"/>
        </w:rPr>
        <w:t>.2</w:t>
      </w:r>
      <w:r>
        <w:rPr>
          <w:rFonts w:hint="eastAsia" w:ascii="宋体" w:hAnsi="宋体"/>
          <w:sz w:val="24"/>
        </w:rPr>
        <w:t>招标人应当自确定中标人后，向招标投标监管机构提交招标投标情况的书面报告。</w:t>
      </w:r>
    </w:p>
    <w:p w14:paraId="6ACF1A46">
      <w:pPr>
        <w:spacing w:line="360" w:lineRule="auto"/>
        <w:ind w:firstLine="480" w:firstLineChars="200"/>
        <w:rPr>
          <w:rFonts w:hint="eastAsia" w:ascii="宋体" w:hAnsi="宋体"/>
          <w:sz w:val="24"/>
        </w:rPr>
      </w:pPr>
      <w:r>
        <w:rPr>
          <w:rFonts w:hint="eastAsia" w:ascii="宋体" w:hAnsi="宋体"/>
          <w:sz w:val="24"/>
        </w:rPr>
        <w:t>28</w:t>
      </w:r>
      <w:r>
        <w:rPr>
          <w:rFonts w:ascii="宋体" w:hAnsi="宋体"/>
          <w:sz w:val="24"/>
        </w:rPr>
        <w:t>.3</w:t>
      </w:r>
      <w:r>
        <w:rPr>
          <w:rFonts w:hint="eastAsia" w:ascii="宋体" w:hAnsi="宋体"/>
          <w:sz w:val="24"/>
        </w:rPr>
        <w:t>中标人必须在收到中标通知书后</w:t>
      </w:r>
      <w:r>
        <w:rPr>
          <w:rFonts w:ascii="宋体" w:hAnsi="宋体"/>
          <w:sz w:val="24"/>
        </w:rPr>
        <w:t>24</w:t>
      </w:r>
      <w:r>
        <w:rPr>
          <w:rFonts w:hint="eastAsia" w:ascii="宋体" w:hAnsi="宋体"/>
          <w:sz w:val="24"/>
        </w:rPr>
        <w:t>小时之内以书面形式回复招标人，确认收到。</w:t>
      </w:r>
    </w:p>
    <w:p w14:paraId="262FCF6A">
      <w:pPr>
        <w:spacing w:line="360" w:lineRule="auto"/>
        <w:ind w:firstLine="480" w:firstLineChars="200"/>
        <w:rPr>
          <w:rFonts w:hint="eastAsia" w:ascii="宋体" w:hAnsi="宋体"/>
          <w:sz w:val="24"/>
        </w:rPr>
      </w:pPr>
      <w:r>
        <w:rPr>
          <w:rFonts w:hint="eastAsia" w:ascii="宋体" w:hAnsi="宋体"/>
          <w:sz w:val="24"/>
        </w:rPr>
        <w:t>28.4在产生中标候选人后，招标人将中标候选人的投标文件商务部分文件的所有内容（包括人员、业绩、奖项等资料）在</w:t>
      </w:r>
      <w:r>
        <w:rPr>
          <w:rFonts w:hint="eastAsia" w:ascii="宋体" w:hAnsi="宋体" w:cs="宋体"/>
          <w:b/>
          <w:bCs/>
          <w:sz w:val="24"/>
          <w:u w:val="single"/>
        </w:rPr>
        <w:t>广州交易集团有限公司（广州公共资源交易中心）</w:t>
      </w:r>
      <w:r>
        <w:rPr>
          <w:rFonts w:hint="eastAsia" w:ascii="宋体" w:hAnsi="宋体"/>
          <w:sz w:val="24"/>
        </w:rPr>
        <w:t>交易平台和广东省招标投标监管网公开。</w:t>
      </w:r>
    </w:p>
    <w:p w14:paraId="1334E336">
      <w:pPr>
        <w:spacing w:line="360" w:lineRule="auto"/>
        <w:ind w:firstLine="482" w:firstLineChars="200"/>
        <w:rPr>
          <w:rFonts w:hint="eastAsia" w:ascii="宋体" w:hAnsi="宋体"/>
          <w:sz w:val="24"/>
        </w:rPr>
      </w:pPr>
      <w:r>
        <w:rPr>
          <w:rFonts w:hint="eastAsia" w:ascii="宋体" w:hAnsi="宋体"/>
          <w:b/>
          <w:bCs/>
          <w:strike/>
          <w:sz w:val="24"/>
        </w:rPr>
        <w:t>28.5（适用于轨道交通建设项目）如项目采用整体发包的形式开展施工总承包招标，且后续需分段办理监督手续，确定中标单位后，招标人在向中标单位发出的中标通知书中一并标注施工总承包项目经理和各段项目经理。</w:t>
      </w:r>
    </w:p>
    <w:p w14:paraId="6EFD4FF4">
      <w:pPr>
        <w:spacing w:line="360" w:lineRule="auto"/>
        <w:ind w:firstLine="482" w:firstLineChars="200"/>
        <w:rPr>
          <w:rFonts w:ascii="宋体"/>
          <w:b/>
          <w:bCs/>
          <w:sz w:val="24"/>
        </w:rPr>
      </w:pPr>
      <w:r>
        <w:rPr>
          <w:rFonts w:hint="eastAsia" w:ascii="宋体" w:hAnsi="宋体"/>
          <w:b/>
          <w:bCs/>
          <w:sz w:val="24"/>
        </w:rPr>
        <w:t>29．合同协议书的签订</w:t>
      </w:r>
    </w:p>
    <w:p w14:paraId="06F12C78">
      <w:pPr>
        <w:spacing w:line="360" w:lineRule="auto"/>
        <w:ind w:firstLine="480" w:firstLineChars="200"/>
        <w:rPr>
          <w:rFonts w:ascii="宋体"/>
          <w:sz w:val="24"/>
        </w:rPr>
      </w:pPr>
      <w:r>
        <w:rPr>
          <w:rFonts w:ascii="宋体" w:hAnsi="宋体"/>
          <w:sz w:val="24"/>
        </w:rPr>
        <w:t>2</w:t>
      </w:r>
      <w:r>
        <w:rPr>
          <w:rFonts w:hint="eastAsia" w:ascii="宋体" w:hAnsi="宋体"/>
          <w:sz w:val="24"/>
        </w:rPr>
        <w:t>9</w:t>
      </w:r>
      <w:r>
        <w:rPr>
          <w:rFonts w:ascii="宋体" w:hAnsi="宋体"/>
          <w:sz w:val="24"/>
        </w:rPr>
        <w:t xml:space="preserve">.1 </w:t>
      </w:r>
      <w:r>
        <w:rPr>
          <w:rFonts w:hint="eastAsia" w:ascii="宋体" w:hAnsi="宋体"/>
          <w:sz w:val="24"/>
        </w:rPr>
        <w:t>招标人与中标人将于中标通知书发出之日起</w:t>
      </w:r>
      <w:r>
        <w:rPr>
          <w:rFonts w:ascii="宋体" w:hAnsi="宋体"/>
          <w:sz w:val="24"/>
        </w:rPr>
        <w:t>30</w:t>
      </w:r>
      <w:r>
        <w:rPr>
          <w:rFonts w:hint="eastAsia" w:ascii="宋体" w:hAnsi="宋体"/>
          <w:sz w:val="24"/>
        </w:rPr>
        <w:t>日内，按照招标文件和中标人的投标文件商定和签订合同，招标人和中标人不得再行订立背离合同实质性内容的其他协议。</w:t>
      </w:r>
    </w:p>
    <w:p w14:paraId="6D43AF90">
      <w:pPr>
        <w:spacing w:line="360" w:lineRule="auto"/>
        <w:ind w:firstLine="480" w:firstLineChars="200"/>
        <w:rPr>
          <w:rFonts w:ascii="宋体"/>
          <w:sz w:val="24"/>
        </w:rPr>
      </w:pPr>
      <w:r>
        <w:rPr>
          <w:rFonts w:ascii="宋体" w:hAnsi="宋体"/>
          <w:sz w:val="24"/>
        </w:rPr>
        <w:t>2</w:t>
      </w:r>
      <w:r>
        <w:rPr>
          <w:rFonts w:hint="eastAsia" w:ascii="宋体" w:hAnsi="宋体"/>
          <w:sz w:val="24"/>
        </w:rPr>
        <w:t>9</w:t>
      </w:r>
      <w:r>
        <w:rPr>
          <w:rFonts w:ascii="宋体" w:hAnsi="宋体"/>
          <w:sz w:val="24"/>
        </w:rPr>
        <w:t>.2</w:t>
      </w:r>
      <w:r>
        <w:rPr>
          <w:rFonts w:hint="eastAsia" w:ascii="宋体" w:hAnsi="宋体"/>
          <w:sz w:val="24"/>
        </w:rPr>
        <w:t>中标通知书发出之日起</w:t>
      </w:r>
      <w:r>
        <w:rPr>
          <w:rFonts w:ascii="宋体" w:hAnsi="宋体"/>
          <w:sz w:val="24"/>
        </w:rPr>
        <w:t>30</w:t>
      </w:r>
      <w:r>
        <w:rPr>
          <w:rFonts w:hint="eastAsia" w:ascii="宋体" w:hAnsi="宋体"/>
          <w:sz w:val="24"/>
        </w:rPr>
        <w:t>日后，中标人未按上款的规定与招标人订立合同，招标人将解除中标通知书，原中标人</w:t>
      </w:r>
      <w:r>
        <w:rPr>
          <w:rFonts w:hint="eastAsia" w:ascii="宋体" w:hAnsi="宋体"/>
          <w:strike/>
          <w:sz w:val="24"/>
        </w:rPr>
        <w:t>的投标保证金不予退还，且</w:t>
      </w:r>
      <w:r>
        <w:rPr>
          <w:rFonts w:hint="eastAsia" w:ascii="宋体" w:hAnsi="宋体"/>
          <w:sz w:val="24"/>
        </w:rPr>
        <w:t>依法承担相应法律责任。原中标人给招标人造成的损失</w:t>
      </w:r>
      <w:r>
        <w:rPr>
          <w:rFonts w:hint="eastAsia" w:ascii="宋体" w:hAnsi="宋体"/>
          <w:strike/>
          <w:sz w:val="24"/>
        </w:rPr>
        <w:t>超过投标保证金数额的</w:t>
      </w:r>
      <w:r>
        <w:rPr>
          <w:rFonts w:hint="eastAsia" w:ascii="宋体" w:hAnsi="宋体"/>
          <w:sz w:val="24"/>
        </w:rPr>
        <w:t>，还应当</w:t>
      </w:r>
      <w:r>
        <w:rPr>
          <w:rFonts w:hint="eastAsia" w:ascii="宋体" w:hAnsi="宋体"/>
          <w:strike/>
          <w:sz w:val="24"/>
        </w:rPr>
        <w:t>对超过部分</w:t>
      </w:r>
      <w:r>
        <w:rPr>
          <w:rFonts w:hint="eastAsia" w:ascii="宋体" w:hAnsi="宋体"/>
          <w:sz w:val="24"/>
        </w:rPr>
        <w:t>予以赔偿。原中标人有异议的，可以向</w:t>
      </w:r>
      <w:r>
        <w:rPr>
          <w:rFonts w:hint="eastAsia" w:ascii="宋体" w:hAnsi="宋体"/>
          <w:b/>
          <w:bCs/>
          <w:sz w:val="24"/>
          <w:u w:val="single"/>
        </w:rPr>
        <w:t>发包人所在地广州仲裁委员会申请仲裁</w:t>
      </w:r>
      <w:r>
        <w:rPr>
          <w:rFonts w:hint="eastAsia" w:ascii="宋体" w:hAnsi="宋体"/>
          <w:sz w:val="24"/>
        </w:rPr>
        <w:t>。</w:t>
      </w:r>
    </w:p>
    <w:p w14:paraId="58B31B73">
      <w:pPr>
        <w:spacing w:line="360" w:lineRule="auto"/>
        <w:ind w:firstLine="480" w:firstLineChars="200"/>
        <w:rPr>
          <w:rFonts w:ascii="宋体"/>
          <w:sz w:val="24"/>
        </w:rPr>
      </w:pPr>
      <w:r>
        <w:rPr>
          <w:rFonts w:ascii="宋体" w:hAnsi="宋体"/>
          <w:sz w:val="24"/>
        </w:rPr>
        <w:t>2</w:t>
      </w:r>
      <w:r>
        <w:rPr>
          <w:rFonts w:hint="eastAsia" w:ascii="宋体" w:hAnsi="宋体"/>
          <w:sz w:val="24"/>
        </w:rPr>
        <w:t>9</w:t>
      </w:r>
      <w:r>
        <w:rPr>
          <w:rFonts w:ascii="宋体" w:hAnsi="宋体"/>
          <w:sz w:val="24"/>
        </w:rPr>
        <w:t>.3</w:t>
      </w:r>
      <w:r>
        <w:rPr>
          <w:rFonts w:hint="eastAsia" w:ascii="宋体" w:hAnsi="宋体"/>
          <w:sz w:val="24"/>
        </w:rPr>
        <w:t>非经招标人同意，中标人在投标过程中使用的银行名称及帐号至完成竣工结算不得变更，否则招标人有权停止工程款项的拔付及至解除合同，由此造成的一切责任由中标人承担。</w:t>
      </w:r>
    </w:p>
    <w:p w14:paraId="6A30F998">
      <w:pPr>
        <w:spacing w:line="360" w:lineRule="auto"/>
        <w:ind w:firstLine="480" w:firstLineChars="200"/>
        <w:rPr>
          <w:rFonts w:hint="eastAsia" w:ascii="宋体" w:hAnsi="宋体"/>
          <w:sz w:val="24"/>
        </w:rPr>
      </w:pPr>
      <w:r>
        <w:rPr>
          <w:rFonts w:ascii="宋体" w:hAnsi="宋体"/>
          <w:sz w:val="24"/>
        </w:rPr>
        <w:t>2</w:t>
      </w:r>
      <w:r>
        <w:rPr>
          <w:rFonts w:hint="eastAsia" w:ascii="宋体" w:hAnsi="宋体"/>
          <w:sz w:val="24"/>
        </w:rPr>
        <w:t>9</w:t>
      </w:r>
      <w:r>
        <w:rPr>
          <w:rFonts w:ascii="宋体" w:hAnsi="宋体"/>
          <w:sz w:val="24"/>
        </w:rPr>
        <w:t>.4</w:t>
      </w:r>
      <w:r>
        <w:rPr>
          <w:rFonts w:hint="eastAsia" w:ascii="宋体" w:hAnsi="宋体"/>
          <w:sz w:val="24"/>
        </w:rPr>
        <w:t>招标人支付工程款时，中标人应按规定开具发票并完税。</w:t>
      </w:r>
    </w:p>
    <w:p w14:paraId="73E42EDB">
      <w:pPr>
        <w:spacing w:line="360" w:lineRule="auto"/>
        <w:ind w:firstLine="482" w:firstLineChars="200"/>
        <w:rPr>
          <w:rFonts w:ascii="宋体"/>
          <w:b/>
          <w:bCs/>
          <w:sz w:val="24"/>
        </w:rPr>
      </w:pPr>
      <w:r>
        <w:rPr>
          <w:rFonts w:hint="eastAsia" w:ascii="宋体" w:hAnsi="宋体"/>
          <w:b/>
          <w:bCs/>
          <w:sz w:val="24"/>
        </w:rPr>
        <w:t>30．履约担保</w:t>
      </w:r>
    </w:p>
    <w:p w14:paraId="13E68451">
      <w:pPr>
        <w:snapToGrid w:val="0"/>
        <w:spacing w:line="360" w:lineRule="auto"/>
        <w:ind w:firstLine="480" w:firstLineChars="200"/>
        <w:rPr>
          <w:rFonts w:ascii="宋体"/>
          <w:sz w:val="24"/>
        </w:rPr>
      </w:pPr>
      <w:r>
        <w:rPr>
          <w:rFonts w:hint="eastAsia" w:ascii="宋体" w:hAnsi="宋体"/>
          <w:sz w:val="24"/>
        </w:rPr>
        <w:t>30</w:t>
      </w:r>
      <w:r>
        <w:rPr>
          <w:rFonts w:ascii="宋体" w:hAnsi="宋体"/>
          <w:sz w:val="24"/>
        </w:rPr>
        <w:t xml:space="preserve">.1 </w:t>
      </w:r>
      <w:r>
        <w:rPr>
          <w:rFonts w:hint="eastAsia" w:ascii="宋体" w:hAnsi="宋体"/>
          <w:sz w:val="24"/>
        </w:rPr>
        <w:t>在收到中标通知书后的</w:t>
      </w:r>
      <w:r>
        <w:rPr>
          <w:rFonts w:ascii="宋体" w:hAnsi="宋体"/>
          <w:bCs/>
          <w:sz w:val="24"/>
        </w:rPr>
        <w:t>15</w:t>
      </w:r>
      <w:r>
        <w:rPr>
          <w:rFonts w:hint="eastAsia" w:ascii="宋体" w:hAnsi="宋体"/>
          <w:bCs/>
          <w:sz w:val="24"/>
        </w:rPr>
        <w:t>日内</w:t>
      </w:r>
      <w:r>
        <w:rPr>
          <w:rFonts w:hint="eastAsia" w:ascii="宋体" w:hAnsi="宋体"/>
          <w:sz w:val="24"/>
        </w:rPr>
        <w:t>，中标人应按本须知前附表第</w:t>
      </w:r>
      <w:r>
        <w:rPr>
          <w:rFonts w:ascii="宋体" w:hAnsi="宋体"/>
          <w:sz w:val="24"/>
        </w:rPr>
        <w:t>2</w:t>
      </w:r>
      <w:r>
        <w:rPr>
          <w:rFonts w:hint="eastAsia" w:ascii="宋体" w:hAnsi="宋体"/>
          <w:sz w:val="24"/>
        </w:rPr>
        <w:t>0项的规定向招标人提交履约担保。</w:t>
      </w:r>
    </w:p>
    <w:p w14:paraId="0D6EDB8A">
      <w:pPr>
        <w:snapToGrid w:val="0"/>
        <w:spacing w:line="360" w:lineRule="auto"/>
        <w:ind w:firstLine="480" w:firstLineChars="200"/>
        <w:rPr>
          <w:rFonts w:hint="eastAsia" w:ascii="宋体" w:hAnsi="宋体"/>
          <w:sz w:val="24"/>
        </w:rPr>
      </w:pPr>
      <w:r>
        <w:rPr>
          <w:rFonts w:hint="eastAsia" w:ascii="宋体" w:hAnsi="宋体"/>
          <w:sz w:val="24"/>
        </w:rPr>
        <w:t>30</w:t>
      </w:r>
      <w:r>
        <w:rPr>
          <w:rFonts w:ascii="宋体" w:hAnsi="宋体"/>
          <w:sz w:val="24"/>
        </w:rPr>
        <w:t>.2</w:t>
      </w:r>
      <w:r>
        <w:rPr>
          <w:rFonts w:hint="eastAsia" w:ascii="宋体" w:hAnsi="宋体"/>
          <w:sz w:val="24"/>
        </w:rPr>
        <w:t>中标通知书发出之日起</w:t>
      </w:r>
      <w:r>
        <w:rPr>
          <w:rFonts w:ascii="宋体" w:hAnsi="宋体"/>
          <w:sz w:val="24"/>
        </w:rPr>
        <w:t>15</w:t>
      </w:r>
      <w:r>
        <w:rPr>
          <w:rFonts w:hint="eastAsia" w:ascii="宋体" w:hAnsi="宋体"/>
          <w:sz w:val="24"/>
        </w:rPr>
        <w:t>日后，中标人未按上款的规定提交履约担保，招标人将解除中标通知书，原中标人</w:t>
      </w:r>
      <w:r>
        <w:rPr>
          <w:rFonts w:hint="eastAsia" w:ascii="宋体" w:hAnsi="宋体"/>
          <w:strike/>
          <w:sz w:val="24"/>
        </w:rPr>
        <w:t>的投标保证金不予退还，且</w:t>
      </w:r>
      <w:r>
        <w:rPr>
          <w:rFonts w:hint="eastAsia" w:ascii="宋体" w:hAnsi="宋体"/>
          <w:sz w:val="24"/>
        </w:rPr>
        <w:t>依法承担相应法律责任。原中标人给招标人造成的损失</w:t>
      </w:r>
      <w:r>
        <w:rPr>
          <w:rFonts w:hint="eastAsia" w:ascii="宋体" w:hAnsi="宋体"/>
          <w:strike/>
          <w:sz w:val="24"/>
        </w:rPr>
        <w:t>超过投标保证金数额的</w:t>
      </w:r>
      <w:r>
        <w:rPr>
          <w:rFonts w:hint="eastAsia" w:ascii="宋体" w:hAnsi="宋体"/>
          <w:sz w:val="24"/>
        </w:rPr>
        <w:t>，还应当</w:t>
      </w:r>
      <w:r>
        <w:rPr>
          <w:rFonts w:hint="eastAsia" w:ascii="宋体" w:hAnsi="宋体"/>
          <w:strike/>
          <w:sz w:val="24"/>
        </w:rPr>
        <w:t>对超过部分</w:t>
      </w:r>
      <w:r>
        <w:rPr>
          <w:rFonts w:hint="eastAsia" w:ascii="宋体" w:hAnsi="宋体"/>
          <w:sz w:val="24"/>
        </w:rPr>
        <w:t>予以赔偿。原中标人有异议的，可以向</w:t>
      </w:r>
      <w:r>
        <w:rPr>
          <w:rFonts w:hint="eastAsia" w:ascii="宋体" w:hAnsi="宋体"/>
          <w:b/>
          <w:bCs/>
          <w:sz w:val="24"/>
          <w:u w:val="single"/>
        </w:rPr>
        <w:t>发包人所在地广州仲裁委员会申请仲裁</w:t>
      </w:r>
      <w:r>
        <w:rPr>
          <w:rFonts w:hint="eastAsia" w:ascii="宋体" w:hAnsi="宋体"/>
          <w:sz w:val="24"/>
        </w:rPr>
        <w:t>。</w:t>
      </w:r>
    </w:p>
    <w:p w14:paraId="70E8F4E0">
      <w:pPr>
        <w:snapToGrid w:val="0"/>
        <w:spacing w:line="360" w:lineRule="auto"/>
        <w:ind w:firstLine="480" w:firstLineChars="200"/>
        <w:rPr>
          <w:rFonts w:ascii="宋体"/>
          <w:sz w:val="24"/>
        </w:rPr>
      </w:pPr>
      <w:r>
        <w:rPr>
          <w:rFonts w:hint="eastAsia" w:ascii="宋体" w:hAnsi="宋体"/>
          <w:sz w:val="24"/>
        </w:rPr>
        <w:t>30.3中标候选人的经营、财务状况发生较大变化或存在违法行为，招标人认为可能影响其履约能力的，将在发出中标通知书前提请原评标委员会按照招标文件规定的标准和方法进行审查确认。</w:t>
      </w:r>
    </w:p>
    <w:p w14:paraId="34073AF9">
      <w:pPr>
        <w:spacing w:line="360" w:lineRule="auto"/>
        <w:ind w:firstLine="482" w:firstLineChars="200"/>
        <w:rPr>
          <w:rFonts w:ascii="宋体"/>
          <w:b/>
          <w:bCs/>
          <w:sz w:val="24"/>
        </w:rPr>
      </w:pPr>
      <w:r>
        <w:rPr>
          <w:rFonts w:ascii="宋体" w:hAnsi="宋体"/>
          <w:b/>
          <w:bCs/>
          <w:sz w:val="24"/>
        </w:rPr>
        <w:t>3</w:t>
      </w:r>
      <w:r>
        <w:rPr>
          <w:rFonts w:hint="eastAsia" w:ascii="宋体" w:hAnsi="宋体"/>
          <w:b/>
          <w:bCs/>
          <w:sz w:val="24"/>
        </w:rPr>
        <w:t>1．合同生效</w:t>
      </w:r>
    </w:p>
    <w:p w14:paraId="146E3734">
      <w:pPr>
        <w:spacing w:line="360" w:lineRule="auto"/>
        <w:ind w:firstLine="480" w:firstLineChars="200"/>
        <w:rPr>
          <w:rFonts w:ascii="宋体"/>
          <w:sz w:val="24"/>
        </w:rPr>
      </w:pPr>
      <w:r>
        <w:rPr>
          <w:rFonts w:ascii="宋体" w:hAnsi="宋体"/>
          <w:sz w:val="24"/>
        </w:rPr>
        <w:t>3</w:t>
      </w:r>
      <w:r>
        <w:rPr>
          <w:rFonts w:hint="eastAsia" w:ascii="宋体" w:hAnsi="宋体"/>
          <w:sz w:val="24"/>
        </w:rPr>
        <w:t>1</w:t>
      </w:r>
      <w:r>
        <w:rPr>
          <w:rFonts w:ascii="宋体" w:hAnsi="宋体"/>
          <w:sz w:val="24"/>
        </w:rPr>
        <w:t>.1</w:t>
      </w:r>
      <w:r>
        <w:rPr>
          <w:rFonts w:hint="eastAsia" w:ascii="宋体" w:hAnsi="宋体"/>
          <w:sz w:val="24"/>
        </w:rPr>
        <w:t>在合同双方全权代表在合同协议书上签字，并分别加盖双方单位的公章后，合同正式生效。</w:t>
      </w:r>
    </w:p>
    <w:p w14:paraId="63488A13">
      <w:pPr>
        <w:numPr>
          <w:ilvl w:val="0"/>
          <w:numId w:val="7"/>
        </w:numPr>
        <w:spacing w:line="360" w:lineRule="auto"/>
        <w:ind w:firstLine="482" w:firstLineChars="200"/>
        <w:rPr>
          <w:rFonts w:hint="eastAsia" w:ascii="宋体" w:hAnsi="宋体"/>
          <w:b/>
          <w:bCs/>
          <w:sz w:val="24"/>
        </w:rPr>
      </w:pPr>
      <w:r>
        <w:rPr>
          <w:rFonts w:hint="eastAsia" w:ascii="宋体" w:hAnsi="宋体"/>
          <w:b/>
          <w:bCs/>
          <w:sz w:val="24"/>
        </w:rPr>
        <w:t>专业分包</w:t>
      </w:r>
    </w:p>
    <w:p w14:paraId="70E5DFFA">
      <w:pPr>
        <w:snapToGrid w:val="0"/>
        <w:spacing w:line="360" w:lineRule="auto"/>
        <w:ind w:firstLine="480" w:firstLineChars="200"/>
        <w:rPr>
          <w:rFonts w:hint="eastAsia" w:ascii="宋体" w:hAnsi="宋体"/>
          <w:sz w:val="24"/>
        </w:rPr>
      </w:pPr>
      <w:r>
        <w:rPr>
          <w:rFonts w:hint="eastAsia" w:ascii="宋体" w:hAnsi="宋体"/>
          <w:sz w:val="24"/>
        </w:rPr>
        <w:t>32.1投标人拟在中标后将中标项目的非主体、非关键性施工工作进行分包的，应符合投标须知前附表规定的分包内容、分包金额和资质要求等限制性条件，除投标人须知前附表规定的非主体、非关键性施工工作分包外，其他工作不得分包。</w:t>
      </w:r>
    </w:p>
    <w:p w14:paraId="3DCE7B4C">
      <w:pPr>
        <w:pStyle w:val="2"/>
        <w:spacing w:line="360" w:lineRule="auto"/>
      </w:pPr>
      <w:r>
        <w:rPr>
          <w:rFonts w:hint="eastAsia" w:hAnsi="宋体"/>
          <w:sz w:val="24"/>
        </w:rPr>
        <w:t xml:space="preserve">    32.2中标人不得向他人转让中标项目，接受分包的人不得再次分包。中标人应当就分包项目向招标人负责，接受分包的人就分包项目承担连带责任。</w:t>
      </w:r>
    </w:p>
    <w:p w14:paraId="355CE7A7">
      <w:pPr>
        <w:pStyle w:val="5"/>
        <w:spacing w:after="0" w:line="360" w:lineRule="auto"/>
        <w:ind w:firstLine="482" w:firstLineChars="200"/>
        <w:rPr>
          <w:rFonts w:ascii="宋体"/>
          <w:b/>
          <w:bCs/>
          <w:sz w:val="24"/>
        </w:rPr>
      </w:pPr>
      <w:r>
        <w:rPr>
          <w:rFonts w:ascii="宋体" w:hAnsi="宋体"/>
          <w:b/>
          <w:bCs/>
          <w:sz w:val="24"/>
        </w:rPr>
        <w:t>3</w:t>
      </w:r>
      <w:r>
        <w:rPr>
          <w:rFonts w:hint="eastAsia" w:ascii="宋体" w:hAnsi="宋体"/>
          <w:b/>
          <w:bCs/>
          <w:sz w:val="24"/>
        </w:rPr>
        <w:t>3．腐败与欺诈行为</w:t>
      </w:r>
    </w:p>
    <w:p w14:paraId="482FD1BA">
      <w:pPr>
        <w:pStyle w:val="5"/>
        <w:spacing w:after="0" w:line="360" w:lineRule="auto"/>
        <w:ind w:firstLine="480" w:firstLineChars="200"/>
        <w:rPr>
          <w:rFonts w:ascii="宋体"/>
          <w:sz w:val="24"/>
        </w:rPr>
      </w:pPr>
      <w:r>
        <w:rPr>
          <w:rFonts w:hint="eastAsia" w:ascii="宋体" w:hAnsi="宋体"/>
          <w:sz w:val="24"/>
        </w:rPr>
        <w:t>在招标和合同实施期间，招标人要求投标人和承包人遵守最高的道德标准。</w:t>
      </w:r>
    </w:p>
    <w:p w14:paraId="6D8DA129">
      <w:pPr>
        <w:pStyle w:val="5"/>
        <w:spacing w:after="0" w:line="360" w:lineRule="auto"/>
        <w:ind w:firstLine="480" w:firstLineChars="200"/>
        <w:rPr>
          <w:rFonts w:ascii="宋体"/>
          <w:sz w:val="24"/>
        </w:rPr>
      </w:pPr>
      <w:r>
        <w:rPr>
          <w:rFonts w:ascii="宋体" w:hAnsi="宋体"/>
          <w:sz w:val="24"/>
        </w:rPr>
        <w:t>3</w:t>
      </w:r>
      <w:r>
        <w:rPr>
          <w:rFonts w:hint="eastAsia" w:ascii="宋体" w:hAnsi="宋体"/>
          <w:sz w:val="24"/>
        </w:rPr>
        <w:t>3.</w:t>
      </w:r>
      <w:r>
        <w:rPr>
          <w:rFonts w:ascii="宋体" w:hAnsi="宋体"/>
          <w:sz w:val="24"/>
        </w:rPr>
        <w:t>1</w:t>
      </w:r>
      <w:r>
        <w:rPr>
          <w:rFonts w:hint="eastAsia" w:ascii="宋体" w:hAnsi="宋体"/>
          <w:sz w:val="24"/>
        </w:rPr>
        <w:t>对本条款的规定，特定义如下词汇：</w:t>
      </w:r>
    </w:p>
    <w:p w14:paraId="6D6CA4DE">
      <w:pPr>
        <w:pStyle w:val="5"/>
        <w:spacing w:after="0" w:line="360" w:lineRule="auto"/>
        <w:ind w:firstLine="480" w:firstLineChars="200"/>
        <w:rPr>
          <w:rFonts w:ascii="宋体"/>
          <w:sz w:val="24"/>
        </w:rPr>
      </w:pPr>
      <w:r>
        <w:rPr>
          <w:rFonts w:hint="eastAsia" w:ascii="宋体" w:hAnsi="宋体"/>
          <w:sz w:val="24"/>
        </w:rPr>
        <w:t>“腐败行为”是指在招标或合同执行期间，通过提供、给予、接受或索要任何有价值的东西，从而影响招标人有关人员工作的行为；</w:t>
      </w:r>
    </w:p>
    <w:p w14:paraId="7BFDC5F7">
      <w:pPr>
        <w:pStyle w:val="5"/>
        <w:spacing w:after="0" w:line="360" w:lineRule="auto"/>
        <w:ind w:firstLine="480" w:firstLineChars="200"/>
        <w:rPr>
          <w:rFonts w:ascii="宋体"/>
          <w:sz w:val="24"/>
        </w:rPr>
      </w:pPr>
      <w:r>
        <w:rPr>
          <w:rFonts w:hint="eastAsia" w:ascii="宋体" w:hAnsi="宋体"/>
          <w:sz w:val="24"/>
        </w:rPr>
        <w:t>“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14:paraId="51A09588">
      <w:pPr>
        <w:pStyle w:val="5"/>
        <w:spacing w:after="0" w:line="360" w:lineRule="auto"/>
        <w:ind w:firstLine="480" w:firstLineChars="200"/>
        <w:rPr>
          <w:rFonts w:hint="eastAsia" w:ascii="宋体" w:hAnsi="宋体"/>
          <w:sz w:val="24"/>
        </w:rPr>
      </w:pPr>
      <w:r>
        <w:rPr>
          <w:rFonts w:ascii="宋体" w:hAnsi="宋体"/>
          <w:sz w:val="24"/>
        </w:rPr>
        <w:t>3</w:t>
      </w:r>
      <w:r>
        <w:rPr>
          <w:rFonts w:hint="eastAsia" w:ascii="宋体" w:hAnsi="宋体"/>
          <w:sz w:val="24"/>
        </w:rPr>
        <w:t>3.</w:t>
      </w:r>
      <w:r>
        <w:rPr>
          <w:rFonts w:ascii="宋体" w:hAnsi="宋体"/>
          <w:sz w:val="24"/>
        </w:rPr>
        <w:t>2</w:t>
      </w:r>
      <w:r>
        <w:rPr>
          <w:rFonts w:hint="eastAsia" w:ascii="宋体" w:hAnsi="宋体"/>
          <w:sz w:val="24"/>
        </w:rPr>
        <w:t>如果投标人被认定在本招标竞争中有腐败或欺诈行为，则会被取消投标资格。</w:t>
      </w:r>
    </w:p>
    <w:p w14:paraId="1895658A">
      <w:pPr>
        <w:pStyle w:val="5"/>
        <w:spacing w:after="0" w:line="360" w:lineRule="auto"/>
        <w:ind w:firstLine="480" w:firstLineChars="200"/>
        <w:rPr>
          <w:rFonts w:ascii="宋体"/>
          <w:sz w:val="24"/>
        </w:rPr>
      </w:pPr>
      <w:r>
        <w:rPr>
          <w:rFonts w:hint="eastAsia" w:ascii="宋体"/>
          <w:sz w:val="24"/>
        </w:rPr>
        <w:t>33.3投标人如在本项目中存在串通投标、弄虚作假骗取中标、行贿情形的，中标无效，行政监督部门将对其违法行为进行政处罚。</w:t>
      </w:r>
    </w:p>
    <w:p w14:paraId="36651E86">
      <w:pPr>
        <w:spacing w:line="360" w:lineRule="auto"/>
        <w:ind w:firstLine="482" w:firstLineChars="200"/>
        <w:rPr>
          <w:rFonts w:hint="eastAsia" w:ascii="宋体" w:hAnsi="宋体"/>
          <w:b/>
          <w:bCs/>
          <w:sz w:val="24"/>
        </w:rPr>
      </w:pPr>
      <w:r>
        <w:rPr>
          <w:rFonts w:hint="eastAsia" w:ascii="宋体" w:hAnsi="宋体"/>
          <w:b/>
          <w:bCs/>
          <w:sz w:val="24"/>
        </w:rPr>
        <w:t>34.其它费用</w:t>
      </w:r>
    </w:p>
    <w:p w14:paraId="6050C7C7">
      <w:pPr>
        <w:spacing w:line="360" w:lineRule="auto"/>
        <w:ind w:firstLine="482" w:firstLineChars="200"/>
        <w:rPr>
          <w:b/>
          <w:bCs/>
        </w:rPr>
      </w:pPr>
      <w:r>
        <w:rPr>
          <w:rFonts w:hint="eastAsia" w:ascii="宋体" w:hAnsi="宋体" w:cs="宋体"/>
          <w:b/>
          <w:bCs/>
          <w:sz w:val="24"/>
          <w:szCs w:val="24"/>
          <w:u w:val="single"/>
        </w:rPr>
        <w:t>根据广州市政府相关文件的规定，向广州交易集团有限公司（广州公共资源交易中心）交纳交易服务费。</w:t>
      </w:r>
    </w:p>
    <w:p w14:paraId="160D19FA">
      <w:pPr>
        <w:spacing w:line="360" w:lineRule="auto"/>
        <w:ind w:firstLine="480" w:firstLineChars="200"/>
        <w:rPr>
          <w:rFonts w:ascii="宋体"/>
          <w:sz w:val="24"/>
        </w:rPr>
      </w:pPr>
    </w:p>
    <w:p w14:paraId="0FAA48E4">
      <w:bookmarkStart w:id="41" w:name="_Toc32047"/>
      <w:bookmarkStart w:id="42" w:name="_Toc21525498"/>
      <w:bookmarkStart w:id="43" w:name="_Toc2272554"/>
      <w:r>
        <w:rPr>
          <w:rFonts w:hint="eastAsia"/>
        </w:rPr>
        <w:br w:type="page"/>
      </w:r>
    </w:p>
    <w:p w14:paraId="12BB07BB">
      <w:pPr>
        <w:pStyle w:val="3"/>
      </w:pPr>
      <w:bookmarkStart w:id="44" w:name="_Toc31521"/>
      <w:r>
        <w:rPr>
          <w:rFonts w:hint="eastAsia"/>
        </w:rPr>
        <w:t>第二章</w:t>
      </w:r>
      <w:r>
        <w:t xml:space="preserve">  </w:t>
      </w:r>
      <w:r>
        <w:rPr>
          <w:rFonts w:hint="eastAsia"/>
        </w:rPr>
        <w:t>开标、评标及定标办法</w:t>
      </w:r>
      <w:bookmarkEnd w:id="41"/>
      <w:bookmarkEnd w:id="42"/>
      <w:bookmarkEnd w:id="43"/>
      <w:bookmarkEnd w:id="44"/>
    </w:p>
    <w:p w14:paraId="2C244D8D">
      <w:pPr>
        <w:pStyle w:val="7"/>
        <w:rPr>
          <w:color w:val="auto"/>
        </w:rPr>
      </w:pPr>
      <w:bookmarkStart w:id="45" w:name="_Toc15032"/>
      <w:bookmarkStart w:id="46" w:name="_Toc2272555"/>
      <w:bookmarkStart w:id="47" w:name="_Toc21525499"/>
      <w:bookmarkStart w:id="48" w:name="_Toc6232"/>
      <w:r>
        <w:rPr>
          <w:rFonts w:hint="eastAsia"/>
          <w:color w:val="auto"/>
        </w:rPr>
        <w:t>一、开标、评标及定标办法修改表</w:t>
      </w:r>
      <w:bookmarkEnd w:id="45"/>
      <w:bookmarkEnd w:id="46"/>
      <w:bookmarkEnd w:id="47"/>
      <w:bookmarkEnd w:id="48"/>
    </w:p>
    <w:p w14:paraId="07BFF20B">
      <w:pPr>
        <w:pStyle w:val="5"/>
        <w:spacing w:after="0" w:line="360" w:lineRule="auto"/>
        <w:rPr>
          <w:b/>
          <w:szCs w:val="21"/>
        </w:rPr>
      </w:pPr>
      <w:r>
        <w:rPr>
          <w:rFonts w:hint="eastAsia"/>
          <w:b/>
          <w:szCs w:val="21"/>
        </w:rPr>
        <w:t>声明：本</w:t>
      </w:r>
      <w:r>
        <w:rPr>
          <w:rFonts w:hint="eastAsia"/>
          <w:b/>
        </w:rPr>
        <w:t>开标、评标及定标办法使用GZJTZB2025-3招标文件范本的开标、评标及定标办法通用条款，与该通用条款不同之处，均在本表中列明，并以现文为准，原</w:t>
      </w:r>
      <w:r>
        <w:rPr>
          <w:rFonts w:hint="eastAsia"/>
          <w:b/>
          <w:szCs w:val="21"/>
        </w:rPr>
        <w:t>文不再有效。</w:t>
      </w:r>
      <w:r>
        <w:rPr>
          <w:rFonts w:hint="eastAsia" w:ascii="宋体" w:hAnsi="宋体"/>
          <w:bCs/>
          <w:szCs w:val="21"/>
        </w:rPr>
        <w:t>（注：招标人按《开标、评标及定标办法修改表》修改的内容对应修改通用条款，属于删除的采用“</w:t>
      </w:r>
      <w:r>
        <w:rPr>
          <w:rFonts w:hint="eastAsia" w:ascii="宋体" w:hAnsi="宋体"/>
          <w:bCs/>
          <w:strike/>
          <w:szCs w:val="21"/>
        </w:rPr>
        <w:t xml:space="preserve">   </w:t>
      </w:r>
      <w:r>
        <w:rPr>
          <w:rFonts w:hint="eastAsia" w:ascii="宋体" w:hAnsi="宋体"/>
          <w:bCs/>
          <w:szCs w:val="21"/>
        </w:rPr>
        <w:t>”表示，如“</w:t>
      </w:r>
      <w:r>
        <w:rPr>
          <w:rFonts w:hint="eastAsia" w:ascii="宋体" w:hAnsi="宋体"/>
          <w:bCs/>
          <w:strike/>
          <w:szCs w:val="21"/>
        </w:rPr>
        <w:t>删除</w:t>
      </w:r>
      <w:r>
        <w:rPr>
          <w:rFonts w:hint="eastAsia" w:ascii="宋体" w:hAnsi="宋体"/>
          <w:bCs/>
          <w:szCs w:val="21"/>
        </w:rPr>
        <w:t>”；属于新增、修改的内容，用</w:t>
      </w:r>
      <w:r>
        <w:rPr>
          <w:rFonts w:hint="eastAsia" w:ascii="宋体" w:hAnsi="宋体"/>
          <w:b/>
          <w:szCs w:val="21"/>
        </w:rPr>
        <w:t>黑色加粗</w:t>
      </w:r>
      <w:r>
        <w:rPr>
          <w:rFonts w:hint="eastAsia" w:ascii="宋体" w:hAnsi="宋体"/>
          <w:bCs/>
          <w:szCs w:val="21"/>
        </w:rPr>
        <w:t>字体显示,并加注下划线，如“</w:t>
      </w:r>
      <w:r>
        <w:rPr>
          <w:rFonts w:hint="eastAsia" w:ascii="宋体" w:hAnsi="宋体"/>
          <w:b/>
          <w:szCs w:val="21"/>
          <w:u w:val="single"/>
        </w:rPr>
        <w:t>新增修改</w:t>
      </w:r>
      <w:r>
        <w:rPr>
          <w:rFonts w:hint="eastAsia" w:ascii="宋体" w:hAnsi="宋体"/>
          <w:bCs/>
          <w:szCs w:val="21"/>
        </w:rPr>
        <w:t>”。）</w:t>
      </w:r>
    </w:p>
    <w:p w14:paraId="69B53EF9">
      <w:pPr>
        <w:spacing w:line="480" w:lineRule="auto"/>
        <w:ind w:firstLine="472" w:firstLineChars="224"/>
        <w:rPr>
          <w:b/>
          <w:szCs w:val="21"/>
        </w:rPr>
      </w:pPr>
      <w:r>
        <w:rPr>
          <w:rFonts w:hint="eastAsia"/>
          <w:b/>
          <w:szCs w:val="21"/>
        </w:rPr>
        <w:t>条款号：</w:t>
      </w:r>
      <w:r>
        <w:rPr>
          <w:b/>
          <w:szCs w:val="21"/>
        </w:rPr>
        <w:t xml:space="preserve">             </w:t>
      </w:r>
      <w:r>
        <w:rPr>
          <w:rFonts w:hint="eastAsia"/>
          <w:b/>
          <w:szCs w:val="21"/>
        </w:rPr>
        <w:t>修改类型：增加</w:t>
      </w:r>
    </w:p>
    <w:p w14:paraId="693DD263">
      <w:pPr>
        <w:pBdr>
          <w:bottom w:val="single" w:color="auto" w:sz="6" w:space="1"/>
        </w:pBdr>
        <w:spacing w:line="360" w:lineRule="auto"/>
        <w:ind w:firstLine="468" w:firstLineChars="222"/>
        <w:rPr>
          <w:b/>
          <w:szCs w:val="21"/>
        </w:rPr>
      </w:pPr>
      <w:r>
        <w:rPr>
          <w:rFonts w:hint="eastAsia"/>
          <w:b/>
          <w:szCs w:val="21"/>
        </w:rPr>
        <w:t>现文：</w:t>
      </w:r>
    </w:p>
    <w:p w14:paraId="03BD0A71">
      <w:pPr>
        <w:spacing w:line="480" w:lineRule="auto"/>
        <w:ind w:firstLine="472" w:firstLineChars="224"/>
        <w:rPr>
          <w:b/>
          <w:szCs w:val="21"/>
        </w:rPr>
      </w:pPr>
      <w:r>
        <w:rPr>
          <w:rFonts w:hint="eastAsia"/>
          <w:b/>
          <w:szCs w:val="21"/>
        </w:rPr>
        <w:t>条款号：</w:t>
      </w:r>
      <w:r>
        <w:rPr>
          <w:rFonts w:hint="eastAsia" w:ascii="宋体" w:hAnsi="宋体"/>
          <w:szCs w:val="21"/>
        </w:rPr>
        <w:t>36.3</w:t>
      </w:r>
      <w:r>
        <w:rPr>
          <w:b/>
          <w:szCs w:val="21"/>
        </w:rPr>
        <w:t xml:space="preserve">             </w:t>
      </w:r>
      <w:r>
        <w:rPr>
          <w:rFonts w:hint="eastAsia"/>
          <w:b/>
          <w:szCs w:val="21"/>
        </w:rPr>
        <w:t>修改类型：删除</w:t>
      </w:r>
    </w:p>
    <w:p w14:paraId="064648CD">
      <w:pPr>
        <w:pBdr>
          <w:bottom w:val="single" w:color="auto" w:sz="6" w:space="1"/>
        </w:pBdr>
        <w:wordWrap w:val="0"/>
        <w:adjustRightInd w:val="0"/>
        <w:snapToGrid w:val="0"/>
        <w:spacing w:line="360" w:lineRule="auto"/>
        <w:ind w:firstLine="422" w:firstLineChars="200"/>
        <w:rPr>
          <w:b/>
          <w:szCs w:val="21"/>
        </w:rPr>
      </w:pPr>
      <w:r>
        <w:rPr>
          <w:rFonts w:hint="eastAsia"/>
          <w:b/>
          <w:szCs w:val="21"/>
        </w:rPr>
        <w:t>原文：</w:t>
      </w:r>
      <w:r>
        <w:rPr>
          <w:rFonts w:hint="eastAsia" w:ascii="宋体" w:hAnsi="宋体"/>
          <w:szCs w:val="21"/>
        </w:rPr>
        <w:t>36.3根据投标须知前附表第19项，如需抽取某一种评标办法供评标时使用的，可在开标时（唱标工作完成后）抽取。首先对招标文件中约定的若干种评标方法进行编号，再随机抽取某一编号，该编号所对应的评标办法供评标时使用。</w:t>
      </w:r>
    </w:p>
    <w:p w14:paraId="51639958">
      <w:pPr>
        <w:wordWrap w:val="0"/>
        <w:adjustRightInd w:val="0"/>
        <w:snapToGrid w:val="0"/>
        <w:spacing w:line="360" w:lineRule="auto"/>
        <w:ind w:firstLine="422" w:firstLineChars="200"/>
        <w:rPr>
          <w:rFonts w:hint="eastAsia" w:ascii="宋体" w:hAnsi="宋体" w:cs="宋体"/>
          <w:b/>
          <w:szCs w:val="21"/>
        </w:rPr>
      </w:pPr>
      <w:r>
        <w:rPr>
          <w:rFonts w:hint="eastAsia" w:ascii="宋体" w:hAnsi="宋体" w:cs="宋体"/>
          <w:b/>
          <w:szCs w:val="21"/>
        </w:rPr>
        <w:t>条款号：36.4             修改类型：修改</w:t>
      </w:r>
    </w:p>
    <w:p w14:paraId="74FE99A3">
      <w:pPr>
        <w:wordWrap w:val="0"/>
        <w:adjustRightInd w:val="0"/>
        <w:snapToGrid w:val="0"/>
        <w:spacing w:line="360" w:lineRule="auto"/>
        <w:ind w:firstLine="422" w:firstLineChars="200"/>
        <w:rPr>
          <w:rFonts w:hint="eastAsia" w:ascii="宋体" w:hAnsi="宋体" w:cs="宋体"/>
          <w:b/>
          <w:szCs w:val="21"/>
        </w:rPr>
      </w:pPr>
      <w:r>
        <w:rPr>
          <w:rFonts w:hint="eastAsia" w:ascii="宋体" w:hAnsi="宋体" w:cs="宋体"/>
          <w:b/>
          <w:szCs w:val="21"/>
        </w:rPr>
        <w:t>原文：</w:t>
      </w:r>
      <w:r>
        <w:rPr>
          <w:rFonts w:hint="eastAsia" w:ascii="宋体" w:hAnsi="宋体" w:cs="宋体"/>
          <w:szCs w:val="21"/>
        </w:rPr>
        <w:t>36.4若递交投标文件的投标人不足3家，则重新组织招标。（当N个标段同时招标且不允许兼中时，若有效投标人不足N+2家，则重新组织招标）。</w:t>
      </w:r>
    </w:p>
    <w:p w14:paraId="6658E5CB">
      <w:pPr>
        <w:pBdr>
          <w:bottom w:val="single" w:color="auto" w:sz="6" w:space="1"/>
        </w:pBdr>
        <w:wordWrap w:val="0"/>
        <w:adjustRightInd w:val="0"/>
        <w:snapToGrid w:val="0"/>
        <w:spacing w:line="360" w:lineRule="auto"/>
        <w:ind w:firstLine="422" w:firstLineChars="200"/>
        <w:rPr>
          <w:rFonts w:hint="eastAsia" w:ascii="宋体" w:hAnsi="宋体" w:cs="宋体"/>
          <w:szCs w:val="21"/>
        </w:rPr>
      </w:pPr>
      <w:r>
        <w:rPr>
          <w:rFonts w:hint="eastAsia" w:ascii="宋体" w:hAnsi="宋体" w:cs="宋体"/>
          <w:b/>
          <w:szCs w:val="21"/>
        </w:rPr>
        <w:t>现文：</w:t>
      </w:r>
      <w:r>
        <w:rPr>
          <w:rFonts w:hint="eastAsia" w:ascii="宋体" w:hAnsi="宋体" w:cs="宋体"/>
          <w:szCs w:val="21"/>
        </w:rPr>
        <w:t>36.4若递交投标文件的投标人不足3家，则重新组织招标。</w:t>
      </w:r>
      <w:r>
        <w:rPr>
          <w:rFonts w:hint="eastAsia" w:ascii="宋体" w:hAnsi="宋体" w:cs="宋体"/>
          <w:strike/>
          <w:szCs w:val="21"/>
        </w:rPr>
        <w:t>（当N个标段同时招标且不允许兼中时，若有效投标人不足N+2家，则重新组织招标）</w:t>
      </w:r>
      <w:r>
        <w:rPr>
          <w:rFonts w:hint="eastAsia" w:ascii="宋体" w:hAnsi="宋体" w:cs="宋体"/>
          <w:szCs w:val="21"/>
        </w:rPr>
        <w:t>。</w:t>
      </w:r>
    </w:p>
    <w:p w14:paraId="7B748604">
      <w:pPr>
        <w:wordWrap w:val="0"/>
        <w:adjustRightInd w:val="0"/>
        <w:snapToGrid w:val="0"/>
        <w:spacing w:line="360" w:lineRule="auto"/>
        <w:ind w:firstLine="422" w:firstLineChars="200"/>
        <w:rPr>
          <w:rFonts w:hint="eastAsia" w:ascii="宋体" w:hAnsi="宋体" w:cs="宋体"/>
          <w:b/>
          <w:szCs w:val="21"/>
        </w:rPr>
      </w:pPr>
      <w:r>
        <w:rPr>
          <w:rFonts w:hint="eastAsia" w:ascii="宋体" w:hAnsi="宋体" w:cs="宋体"/>
          <w:b/>
          <w:szCs w:val="21"/>
        </w:rPr>
        <w:t>条款号：36.5.1             修改类型：修改</w:t>
      </w:r>
    </w:p>
    <w:p w14:paraId="40464F86">
      <w:pPr>
        <w:wordWrap w:val="0"/>
        <w:adjustRightInd w:val="0"/>
        <w:snapToGrid w:val="0"/>
        <w:spacing w:line="360" w:lineRule="auto"/>
        <w:ind w:firstLine="422" w:firstLineChars="200"/>
        <w:rPr>
          <w:rFonts w:hint="eastAsia" w:ascii="宋体" w:hAnsi="宋体" w:cs="宋体"/>
          <w:b/>
          <w:szCs w:val="21"/>
        </w:rPr>
      </w:pPr>
      <w:r>
        <w:rPr>
          <w:rFonts w:hint="eastAsia" w:ascii="宋体" w:hAnsi="宋体" w:cs="宋体"/>
          <w:b/>
          <w:szCs w:val="21"/>
        </w:rPr>
        <w:t>原文：</w:t>
      </w:r>
      <w:r>
        <w:rPr>
          <w:rFonts w:hint="eastAsia" w:ascii="宋体" w:hAnsi="宋体" w:cs="宋体"/>
          <w:szCs w:val="21"/>
        </w:rPr>
        <w:t>36.5.1在投标截止时间后1小时内，投标人通过交易平台对已递交的电子投标文件进行解密。投标人完成解密后，再由招标人进行解密。解密完成后，公布招标项目名称、投标人名称、投标保证金的递交情况、投标报价、工期及其他内容；</w:t>
      </w:r>
    </w:p>
    <w:p w14:paraId="64659C1F">
      <w:pPr>
        <w:pBdr>
          <w:bottom w:val="single" w:color="auto" w:sz="6" w:space="1"/>
        </w:pBdr>
        <w:wordWrap w:val="0"/>
        <w:adjustRightInd w:val="0"/>
        <w:snapToGrid w:val="0"/>
        <w:spacing w:line="360" w:lineRule="auto"/>
        <w:ind w:firstLine="422" w:firstLineChars="200"/>
        <w:rPr>
          <w:rFonts w:hint="eastAsia" w:ascii="宋体" w:hAnsi="宋体" w:cs="宋体"/>
          <w:szCs w:val="21"/>
        </w:rPr>
      </w:pPr>
      <w:r>
        <w:rPr>
          <w:rFonts w:hint="eastAsia" w:ascii="宋体" w:hAnsi="宋体" w:cs="宋体"/>
          <w:b/>
          <w:szCs w:val="21"/>
        </w:rPr>
        <w:t>现文：</w:t>
      </w:r>
      <w:r>
        <w:rPr>
          <w:rFonts w:hint="eastAsia" w:ascii="宋体" w:hAnsi="宋体" w:cs="宋体"/>
          <w:szCs w:val="21"/>
        </w:rPr>
        <w:t>36.5.1在投标截止时间后1小时内，投标人通过</w:t>
      </w:r>
      <w:r>
        <w:rPr>
          <w:rFonts w:hint="eastAsia" w:ascii="宋体" w:hAnsi="宋体" w:cs="宋体"/>
          <w:b/>
          <w:bCs/>
          <w:szCs w:val="21"/>
          <w:u w:val="single"/>
        </w:rPr>
        <w:t>广州交易集团有限公司（广州公共资源交易中心）</w:t>
      </w:r>
      <w:r>
        <w:rPr>
          <w:rFonts w:hint="eastAsia" w:ascii="宋体" w:hAnsi="宋体" w:cs="宋体"/>
          <w:szCs w:val="21"/>
        </w:rPr>
        <w:t>交易平台对已递交的电子投标文件进行解密。投标人完成解密后，再由招标人</w:t>
      </w:r>
      <w:r>
        <w:rPr>
          <w:rFonts w:hint="eastAsia" w:ascii="宋体" w:hAnsi="宋体" w:cs="宋体"/>
          <w:b/>
          <w:bCs/>
          <w:szCs w:val="21"/>
          <w:u w:val="single"/>
        </w:rPr>
        <w:t>或招标代理机构</w:t>
      </w:r>
      <w:r>
        <w:rPr>
          <w:rFonts w:hint="eastAsia" w:ascii="宋体" w:hAnsi="宋体" w:cs="宋体"/>
          <w:szCs w:val="21"/>
        </w:rPr>
        <w:t>进行解密。解密完成后，公布招标项目名称、投标人名称、</w:t>
      </w:r>
      <w:r>
        <w:rPr>
          <w:rFonts w:hint="eastAsia" w:ascii="宋体" w:hAnsi="宋体" w:cs="宋体"/>
          <w:strike/>
          <w:szCs w:val="21"/>
        </w:rPr>
        <w:t>投标保证金的递交情况、</w:t>
      </w:r>
      <w:r>
        <w:rPr>
          <w:rFonts w:hint="eastAsia" w:ascii="宋体" w:hAnsi="宋体" w:cs="宋体"/>
          <w:szCs w:val="21"/>
        </w:rPr>
        <w:t>投标报价、工期及其他内容；</w:t>
      </w:r>
    </w:p>
    <w:p w14:paraId="2923464D">
      <w:pPr>
        <w:wordWrap w:val="0"/>
        <w:adjustRightInd w:val="0"/>
        <w:snapToGrid w:val="0"/>
        <w:spacing w:line="360" w:lineRule="auto"/>
        <w:ind w:firstLine="422" w:firstLineChars="200"/>
        <w:rPr>
          <w:rFonts w:hint="eastAsia" w:ascii="宋体" w:hAnsi="宋体" w:cs="宋体"/>
          <w:b/>
          <w:szCs w:val="21"/>
        </w:rPr>
      </w:pPr>
      <w:r>
        <w:rPr>
          <w:rFonts w:hint="eastAsia" w:ascii="宋体" w:hAnsi="宋体" w:cs="宋体"/>
          <w:b/>
          <w:szCs w:val="21"/>
        </w:rPr>
        <w:t>条款号：</w:t>
      </w:r>
      <w:r>
        <w:rPr>
          <w:rFonts w:hint="eastAsia" w:ascii="宋体" w:hAnsi="宋体" w:cs="宋体"/>
          <w:b/>
          <w:bCs/>
          <w:szCs w:val="21"/>
        </w:rPr>
        <w:t xml:space="preserve">36.5.3 </w:t>
      </w:r>
      <w:r>
        <w:rPr>
          <w:rFonts w:hint="eastAsia" w:ascii="宋体" w:hAnsi="宋体" w:cs="宋体"/>
          <w:b/>
          <w:szCs w:val="21"/>
        </w:rPr>
        <w:t xml:space="preserve">          修改类型：修改</w:t>
      </w:r>
    </w:p>
    <w:p w14:paraId="494CC72C">
      <w:pPr>
        <w:wordWrap w:val="0"/>
        <w:adjustRightInd w:val="0"/>
        <w:snapToGrid w:val="0"/>
        <w:spacing w:line="360" w:lineRule="auto"/>
        <w:ind w:firstLine="422" w:firstLineChars="200"/>
        <w:rPr>
          <w:rFonts w:hint="eastAsia" w:ascii="宋体" w:hAnsi="宋体" w:cs="宋体"/>
          <w:szCs w:val="21"/>
        </w:rPr>
      </w:pPr>
      <w:r>
        <w:rPr>
          <w:rFonts w:hint="eastAsia" w:ascii="宋体" w:hAnsi="宋体" w:cs="宋体"/>
          <w:b/>
          <w:szCs w:val="21"/>
        </w:rPr>
        <w:t>原文：</w:t>
      </w:r>
      <w:r>
        <w:rPr>
          <w:rFonts w:hint="eastAsia" w:ascii="宋体" w:hAnsi="宋体" w:cs="宋体"/>
          <w:szCs w:val="21"/>
        </w:rPr>
        <w:t>36.5.3投标人代表、招标人代表、监标人、记录人等有关人员在开标记录上签字确认；若有关人员不签字的，不影响开标程序；</w:t>
      </w:r>
    </w:p>
    <w:p w14:paraId="2181BC9A">
      <w:pPr>
        <w:pBdr>
          <w:bottom w:val="single" w:color="auto" w:sz="6" w:space="1"/>
        </w:pBdr>
        <w:wordWrap w:val="0"/>
        <w:adjustRightInd w:val="0"/>
        <w:snapToGrid w:val="0"/>
        <w:spacing w:line="360" w:lineRule="auto"/>
        <w:ind w:firstLine="422" w:firstLineChars="200"/>
        <w:rPr>
          <w:rFonts w:hint="eastAsia" w:ascii="宋体" w:hAnsi="宋体" w:cs="宋体"/>
          <w:b/>
          <w:bCs/>
          <w:szCs w:val="21"/>
        </w:rPr>
      </w:pPr>
      <w:r>
        <w:rPr>
          <w:rFonts w:hint="eastAsia" w:ascii="宋体" w:hAnsi="宋体" w:cs="宋体"/>
          <w:b/>
          <w:szCs w:val="21"/>
        </w:rPr>
        <w:t>现文：</w:t>
      </w:r>
      <w:r>
        <w:rPr>
          <w:rFonts w:hint="eastAsia" w:ascii="宋体" w:hAnsi="宋体" w:cs="宋体"/>
          <w:szCs w:val="21"/>
        </w:rPr>
        <w:t>36.5.3投标人代表、招标人代表、监标人、记录人等有关人员在开标记录上签字确认；若有关人员不签字的，不影响开标程序；</w:t>
      </w:r>
      <w:r>
        <w:rPr>
          <w:rFonts w:hint="eastAsia" w:ascii="宋体" w:hAnsi="宋体" w:cs="宋体"/>
          <w:b/>
          <w:bCs/>
          <w:szCs w:val="21"/>
          <w:u w:val="single"/>
        </w:rPr>
        <w:t>若投标人不参加开标会或不签字确认的，视同该投标人认可开标结果。</w:t>
      </w:r>
    </w:p>
    <w:p w14:paraId="092D1CB7">
      <w:pPr>
        <w:pBdr>
          <w:top w:val="single" w:color="auto" w:sz="4" w:space="0"/>
        </w:pBdr>
        <w:wordWrap w:val="0"/>
        <w:adjustRightInd w:val="0"/>
        <w:snapToGrid w:val="0"/>
        <w:spacing w:line="360" w:lineRule="auto"/>
        <w:ind w:firstLine="422" w:firstLineChars="200"/>
        <w:rPr>
          <w:rFonts w:hint="eastAsia" w:ascii="宋体" w:hAnsi="宋体" w:cs="宋体"/>
          <w:b/>
          <w:szCs w:val="21"/>
        </w:rPr>
      </w:pPr>
      <w:r>
        <w:rPr>
          <w:rFonts w:hint="eastAsia" w:ascii="宋体" w:hAnsi="宋体" w:cs="宋体"/>
          <w:b/>
          <w:szCs w:val="21"/>
        </w:rPr>
        <w:t>条款号：37.5            修改类型：修改</w:t>
      </w:r>
    </w:p>
    <w:p w14:paraId="22B357DF">
      <w:pPr>
        <w:wordWrap w:val="0"/>
        <w:adjustRightInd w:val="0"/>
        <w:snapToGrid w:val="0"/>
        <w:spacing w:line="360" w:lineRule="auto"/>
        <w:ind w:firstLine="422" w:firstLineChars="200"/>
        <w:rPr>
          <w:rFonts w:hint="eastAsia" w:ascii="宋体" w:hAnsi="宋体" w:cs="宋体"/>
          <w:bCs/>
          <w:szCs w:val="21"/>
        </w:rPr>
      </w:pPr>
      <w:r>
        <w:rPr>
          <w:rFonts w:hint="eastAsia" w:ascii="宋体" w:hAnsi="宋体" w:cs="宋体"/>
          <w:b/>
          <w:szCs w:val="21"/>
        </w:rPr>
        <w:t>原文：</w:t>
      </w:r>
      <w:r>
        <w:rPr>
          <w:rFonts w:hint="eastAsia" w:ascii="宋体" w:hAnsi="宋体" w:cs="宋体"/>
          <w:bCs/>
          <w:szCs w:val="21"/>
        </w:rPr>
        <w:t>37.5评标委员会按照第二章“开标、评标及定标办法”规定的方法、评审因素、标准和程序对投标文件进行评审。第三章“开标、评标及定标办法”没有规定的方法、评审因素和标准，不作为评标依据。</w:t>
      </w:r>
    </w:p>
    <w:p w14:paraId="553ED31D">
      <w:pPr>
        <w:pBdr>
          <w:bottom w:val="single" w:color="auto" w:sz="6" w:space="1"/>
        </w:pBdr>
        <w:wordWrap w:val="0"/>
        <w:adjustRightInd w:val="0"/>
        <w:snapToGrid w:val="0"/>
        <w:spacing w:line="360" w:lineRule="auto"/>
        <w:ind w:firstLine="422" w:firstLineChars="200"/>
        <w:rPr>
          <w:rFonts w:hint="eastAsia" w:ascii="宋体" w:hAnsi="宋体" w:cs="宋体"/>
          <w:b/>
          <w:szCs w:val="21"/>
        </w:rPr>
      </w:pPr>
      <w:r>
        <w:rPr>
          <w:rFonts w:hint="eastAsia" w:ascii="宋体" w:hAnsi="宋体" w:cs="宋体"/>
          <w:b/>
          <w:szCs w:val="21"/>
        </w:rPr>
        <w:t>现文：</w:t>
      </w:r>
      <w:r>
        <w:rPr>
          <w:rFonts w:hint="eastAsia" w:ascii="宋体" w:hAnsi="宋体" w:cs="宋体"/>
          <w:bCs/>
          <w:szCs w:val="21"/>
        </w:rPr>
        <w:t>37.5评标委员会按照第二章“开标、评标及定标办法”规定的方法、评审因素、标准和程序对投标文件进行评审。第</w:t>
      </w:r>
      <w:r>
        <w:rPr>
          <w:rFonts w:hint="eastAsia" w:ascii="宋体" w:hAnsi="宋体" w:cs="宋体"/>
          <w:b/>
          <w:bCs/>
          <w:szCs w:val="21"/>
          <w:u w:val="single"/>
        </w:rPr>
        <w:t>二</w:t>
      </w:r>
      <w:r>
        <w:rPr>
          <w:rFonts w:hint="eastAsia" w:ascii="宋体" w:hAnsi="宋体" w:cs="宋体"/>
          <w:bCs/>
          <w:szCs w:val="21"/>
        </w:rPr>
        <w:t>章“开标、评标及定标办法”没有规定的方法、评审因素和标准，不作为评标依据</w:t>
      </w:r>
      <w:r>
        <w:rPr>
          <w:rFonts w:hint="eastAsia" w:ascii="宋体" w:hAnsi="宋体" w:cs="宋体"/>
          <w:szCs w:val="21"/>
        </w:rPr>
        <w:t>。</w:t>
      </w:r>
    </w:p>
    <w:p w14:paraId="6635D5DA">
      <w:pPr>
        <w:wordWrap w:val="0"/>
        <w:adjustRightInd w:val="0"/>
        <w:snapToGrid w:val="0"/>
        <w:spacing w:line="360" w:lineRule="auto"/>
        <w:ind w:firstLine="422" w:firstLineChars="200"/>
        <w:rPr>
          <w:rFonts w:hint="eastAsia" w:ascii="宋体" w:hAnsi="宋体" w:cs="宋体"/>
          <w:b/>
          <w:szCs w:val="21"/>
        </w:rPr>
      </w:pPr>
      <w:r>
        <w:rPr>
          <w:rFonts w:hint="eastAsia" w:ascii="宋体" w:hAnsi="宋体" w:cs="宋体"/>
          <w:b/>
          <w:szCs w:val="21"/>
        </w:rPr>
        <w:t>条款号：38.1            修改类型：修改</w:t>
      </w:r>
    </w:p>
    <w:p w14:paraId="3A59EFA0">
      <w:pPr>
        <w:wordWrap w:val="0"/>
        <w:adjustRightInd w:val="0"/>
        <w:snapToGrid w:val="0"/>
        <w:spacing w:line="360" w:lineRule="auto"/>
        <w:ind w:firstLine="422" w:firstLineChars="200"/>
        <w:rPr>
          <w:rFonts w:hint="eastAsia" w:ascii="宋体" w:hAnsi="宋体" w:cs="宋体"/>
          <w:szCs w:val="21"/>
        </w:rPr>
      </w:pPr>
      <w:r>
        <w:rPr>
          <w:rFonts w:hint="eastAsia" w:ascii="宋体" w:hAnsi="宋体" w:cs="宋体"/>
          <w:b/>
          <w:szCs w:val="21"/>
        </w:rPr>
        <w:t>原文：</w:t>
      </w:r>
      <w:r>
        <w:rPr>
          <w:rFonts w:hint="eastAsia" w:ascii="宋体" w:hAnsi="宋体" w:cs="宋体"/>
          <w:szCs w:val="21"/>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对同类问题表述不一致，有明显格式或文字、计算错误的内容作出澄清。</w:t>
      </w:r>
    </w:p>
    <w:p w14:paraId="274AA864">
      <w:pPr>
        <w:pBdr>
          <w:bottom w:val="single" w:color="auto" w:sz="12" w:space="1"/>
        </w:pBdr>
        <w:wordWrap w:val="0"/>
        <w:adjustRightInd w:val="0"/>
        <w:snapToGrid w:val="0"/>
        <w:spacing w:line="360" w:lineRule="auto"/>
        <w:ind w:firstLine="422" w:firstLineChars="200"/>
        <w:rPr>
          <w:rFonts w:hint="eastAsia" w:ascii="宋体" w:hAnsi="宋体" w:cs="宋体"/>
          <w:szCs w:val="21"/>
        </w:rPr>
      </w:pPr>
      <w:r>
        <w:rPr>
          <w:rFonts w:hint="eastAsia" w:ascii="宋体" w:hAnsi="宋体" w:cs="宋体"/>
          <w:b/>
          <w:szCs w:val="21"/>
        </w:rPr>
        <w:t>现文：</w:t>
      </w:r>
      <w:r>
        <w:rPr>
          <w:rFonts w:hint="eastAsia" w:ascii="宋体" w:hAnsi="宋体" w:cs="宋体"/>
          <w:szCs w:val="21"/>
        </w:rPr>
        <w:t>38.1为有助于投标文件的审查、评价和比较，评标期间，经评标委员会</w:t>
      </w:r>
      <w:r>
        <w:rPr>
          <w:rFonts w:hint="eastAsia" w:ascii="宋体" w:hAnsi="宋体" w:cs="宋体"/>
          <w:strike/>
          <w:szCs w:val="21"/>
        </w:rPr>
        <w:t>或评标委员会专业评审组</w:t>
      </w:r>
      <w:r>
        <w:rPr>
          <w:rFonts w:hint="eastAsia" w:ascii="宋体" w:hAnsi="宋体" w:cs="宋体"/>
          <w:szCs w:val="21"/>
        </w:rPr>
        <w:t>中两人以上（含两人）以书面形式提出动议，评标委员会</w:t>
      </w:r>
      <w:r>
        <w:rPr>
          <w:rFonts w:hint="eastAsia" w:ascii="宋体" w:hAnsi="宋体" w:cs="宋体"/>
          <w:strike/>
          <w:szCs w:val="21"/>
        </w:rPr>
        <w:t>或评标委员会专业评审组</w:t>
      </w:r>
      <w:r>
        <w:rPr>
          <w:rFonts w:hint="eastAsia" w:ascii="宋体" w:hAnsi="宋体" w:cs="宋体"/>
          <w:szCs w:val="21"/>
        </w:rPr>
        <w:t>应当书面发出澄清通知，要求投标人对投标文件含义不明确、对同类问题表述不一致，有明显格式或文字、计算错误的内容作出澄清。</w:t>
      </w:r>
    </w:p>
    <w:p w14:paraId="762AC0F1">
      <w:pPr>
        <w:wordWrap w:val="0"/>
        <w:adjustRightInd w:val="0"/>
        <w:snapToGrid w:val="0"/>
        <w:spacing w:line="360" w:lineRule="auto"/>
        <w:ind w:firstLine="422" w:firstLineChars="200"/>
        <w:rPr>
          <w:rFonts w:hint="eastAsia" w:ascii="宋体" w:hAnsi="宋体" w:cs="宋体"/>
          <w:b/>
          <w:szCs w:val="21"/>
        </w:rPr>
      </w:pPr>
      <w:r>
        <w:rPr>
          <w:rFonts w:hint="eastAsia" w:ascii="宋体" w:hAnsi="宋体" w:cs="宋体"/>
          <w:b/>
          <w:szCs w:val="21"/>
        </w:rPr>
        <w:t>条款号：38.3             修改类型：修改</w:t>
      </w:r>
    </w:p>
    <w:p w14:paraId="6138DBBA">
      <w:pPr>
        <w:wordWrap w:val="0"/>
        <w:adjustRightInd w:val="0"/>
        <w:snapToGrid w:val="0"/>
        <w:spacing w:line="360" w:lineRule="auto"/>
        <w:ind w:firstLine="422" w:firstLineChars="200"/>
        <w:rPr>
          <w:rFonts w:hint="eastAsia" w:ascii="宋体" w:hAnsi="宋体" w:cs="宋体"/>
          <w:b/>
          <w:szCs w:val="21"/>
        </w:rPr>
      </w:pPr>
      <w:r>
        <w:rPr>
          <w:rFonts w:hint="eastAsia" w:ascii="宋体" w:hAnsi="宋体" w:cs="宋体"/>
          <w:b/>
          <w:szCs w:val="21"/>
        </w:rPr>
        <w:t>原文：</w:t>
      </w:r>
      <w:r>
        <w:rPr>
          <w:rFonts w:hint="eastAsia" w:ascii="宋体" w:hAnsi="宋体" w:cs="宋体"/>
          <w:szCs w:val="21"/>
        </w:rPr>
        <w:t>38.3评标委员会或评标委员会专业评审组成员均应当阅读投标人的澄清，但应独立参考澄清对投标文件进行评审。</w:t>
      </w:r>
    </w:p>
    <w:p w14:paraId="5D526A47">
      <w:pPr>
        <w:pBdr>
          <w:bottom w:val="single" w:color="auto" w:sz="6" w:space="1"/>
        </w:pBdr>
        <w:wordWrap w:val="0"/>
        <w:adjustRightInd w:val="0"/>
        <w:snapToGrid w:val="0"/>
        <w:spacing w:line="360" w:lineRule="auto"/>
        <w:ind w:firstLine="422" w:firstLineChars="200"/>
        <w:rPr>
          <w:rFonts w:hint="eastAsia" w:ascii="宋体" w:hAnsi="宋体" w:cs="宋体"/>
          <w:szCs w:val="21"/>
        </w:rPr>
      </w:pPr>
      <w:r>
        <w:rPr>
          <w:rFonts w:hint="eastAsia" w:ascii="宋体" w:hAnsi="宋体" w:cs="宋体"/>
          <w:b/>
          <w:szCs w:val="21"/>
        </w:rPr>
        <w:t>现文：</w:t>
      </w:r>
      <w:r>
        <w:rPr>
          <w:rFonts w:hint="eastAsia" w:ascii="宋体" w:hAnsi="宋体" w:cs="宋体"/>
          <w:szCs w:val="21"/>
        </w:rPr>
        <w:t>38.3评标委员会</w:t>
      </w:r>
      <w:r>
        <w:rPr>
          <w:rFonts w:hint="eastAsia" w:ascii="宋体" w:hAnsi="宋体" w:cs="宋体"/>
          <w:strike/>
          <w:szCs w:val="21"/>
        </w:rPr>
        <w:t>或评标委员会专业评审组</w:t>
      </w:r>
      <w:r>
        <w:rPr>
          <w:rFonts w:hint="eastAsia" w:ascii="宋体" w:hAnsi="宋体" w:cs="宋体"/>
          <w:szCs w:val="21"/>
        </w:rPr>
        <w:t>成员均应当阅读投标人的澄清，但应独立参考澄清对投标文件进行评审。</w:t>
      </w:r>
    </w:p>
    <w:p w14:paraId="3DC3FB5D">
      <w:pPr>
        <w:spacing w:line="480" w:lineRule="auto"/>
        <w:ind w:firstLine="472" w:firstLineChars="224"/>
        <w:rPr>
          <w:b/>
          <w:szCs w:val="21"/>
        </w:rPr>
      </w:pPr>
      <w:r>
        <w:rPr>
          <w:rFonts w:hint="eastAsia"/>
          <w:b/>
          <w:szCs w:val="21"/>
        </w:rPr>
        <w:t>条款号：</w:t>
      </w:r>
      <w:r>
        <w:rPr>
          <w:rFonts w:ascii="宋体" w:hAnsi="宋体"/>
          <w:szCs w:val="21"/>
        </w:rPr>
        <w:t>39.2</w:t>
      </w:r>
      <w:r>
        <w:rPr>
          <w:b/>
          <w:szCs w:val="21"/>
        </w:rPr>
        <w:t xml:space="preserve">             </w:t>
      </w:r>
      <w:r>
        <w:rPr>
          <w:rFonts w:hint="eastAsia"/>
          <w:b/>
          <w:szCs w:val="21"/>
        </w:rPr>
        <w:t>修改类型：修改</w:t>
      </w:r>
    </w:p>
    <w:p w14:paraId="228EE2E6">
      <w:pPr>
        <w:pBdr>
          <w:bottom w:val="single" w:color="auto" w:sz="6" w:space="1"/>
        </w:pBdr>
        <w:spacing w:line="360" w:lineRule="auto"/>
        <w:ind w:firstLine="468" w:firstLineChars="222"/>
        <w:rPr>
          <w:b/>
          <w:szCs w:val="21"/>
        </w:rPr>
      </w:pPr>
      <w:r>
        <w:rPr>
          <w:rFonts w:hint="eastAsia"/>
          <w:b/>
          <w:szCs w:val="21"/>
        </w:rPr>
        <w:t>原文：</w:t>
      </w:r>
      <w:r>
        <w:rPr>
          <w:rFonts w:ascii="宋体" w:hAnsi="宋体"/>
          <w:szCs w:val="21"/>
        </w:rPr>
        <w:t xml:space="preserve">39.2 </w:t>
      </w:r>
      <w:r>
        <w:rPr>
          <w:rFonts w:hint="eastAsia" w:ascii="宋体" w:hAnsi="宋体"/>
          <w:szCs w:val="21"/>
        </w:rPr>
        <w:t>依法必须进行公开招标的项目，招标人应当确定排名第一的中标候选人为中标人。采用评定分离方式确定中标人的从其规定。若发现委派的项目负责人已在其他在建项目中任职，不符合任职数量规定时，招标人可以确定排名第二的中标候选人为中标人。</w:t>
      </w:r>
    </w:p>
    <w:p w14:paraId="5EA3494D">
      <w:pPr>
        <w:pBdr>
          <w:bottom w:val="single" w:color="auto" w:sz="6" w:space="1"/>
        </w:pBdr>
        <w:spacing w:line="360" w:lineRule="auto"/>
        <w:ind w:firstLine="468" w:firstLineChars="222"/>
        <w:rPr>
          <w:b/>
          <w:szCs w:val="21"/>
        </w:rPr>
      </w:pPr>
      <w:r>
        <w:rPr>
          <w:rFonts w:hint="eastAsia"/>
          <w:b/>
          <w:szCs w:val="21"/>
        </w:rPr>
        <w:t>现文：</w:t>
      </w:r>
      <w:r>
        <w:rPr>
          <w:rFonts w:ascii="宋体" w:hAnsi="宋体"/>
          <w:szCs w:val="21"/>
        </w:rPr>
        <w:t xml:space="preserve">39.2 </w:t>
      </w:r>
      <w:r>
        <w:rPr>
          <w:rFonts w:hint="eastAsia" w:ascii="宋体" w:hAnsi="宋体"/>
          <w:szCs w:val="21"/>
        </w:rPr>
        <w:t>依法必须进行公开招标的项目，招标人应当确定排名第一的中标候选人为中标人。</w:t>
      </w:r>
      <w:r>
        <w:rPr>
          <w:rFonts w:hint="eastAsia" w:ascii="宋体" w:hAnsi="宋体"/>
          <w:strike/>
          <w:szCs w:val="21"/>
        </w:rPr>
        <w:t>采用评定分离方式确定中标人的从其规定。</w:t>
      </w:r>
      <w:r>
        <w:rPr>
          <w:rFonts w:hint="eastAsia" w:ascii="宋体" w:hAnsi="宋体"/>
          <w:szCs w:val="21"/>
        </w:rPr>
        <w:t>若发现委派的项目负责人已在其他在建项目中任职，不符合任职数量规定时，招标人可以确定排名第二的中标候选人为中标人。</w:t>
      </w:r>
    </w:p>
    <w:p w14:paraId="393FEE35">
      <w:pPr>
        <w:wordWrap w:val="0"/>
        <w:adjustRightInd w:val="0"/>
        <w:snapToGrid w:val="0"/>
        <w:spacing w:line="360" w:lineRule="auto"/>
        <w:ind w:firstLine="422" w:firstLineChars="200"/>
        <w:rPr>
          <w:rFonts w:hint="eastAsia" w:ascii="宋体" w:hAnsi="宋体" w:cs="宋体"/>
          <w:b/>
          <w:szCs w:val="21"/>
        </w:rPr>
      </w:pPr>
      <w:r>
        <w:rPr>
          <w:rFonts w:hint="eastAsia" w:ascii="宋体" w:hAnsi="宋体" w:cs="宋体"/>
          <w:b/>
          <w:szCs w:val="21"/>
        </w:rPr>
        <w:t>条款号：注             修改类型：删除</w:t>
      </w:r>
    </w:p>
    <w:p w14:paraId="64A23BEC">
      <w:pPr>
        <w:pBdr>
          <w:bottom w:val="single" w:color="auto" w:sz="4" w:space="0"/>
        </w:pBdr>
        <w:wordWrap w:val="0"/>
        <w:adjustRightInd w:val="0"/>
        <w:snapToGrid w:val="0"/>
        <w:spacing w:line="360" w:lineRule="auto"/>
        <w:ind w:firstLine="422" w:firstLineChars="200"/>
        <w:rPr>
          <w:rFonts w:hint="eastAsia" w:ascii="宋体" w:hAnsi="宋体" w:cs="宋体"/>
          <w:szCs w:val="21"/>
        </w:rPr>
      </w:pPr>
      <w:r>
        <w:rPr>
          <w:rFonts w:hint="eastAsia" w:ascii="宋体" w:hAnsi="宋体" w:cs="宋体"/>
          <w:b/>
          <w:szCs w:val="21"/>
        </w:rPr>
        <w:t>原文：</w:t>
      </w:r>
      <w:r>
        <w:rPr>
          <w:rFonts w:hint="eastAsia" w:ascii="宋体" w:hAnsi="宋体" w:cs="宋体"/>
          <w:szCs w:val="21"/>
        </w:rPr>
        <w:t>注：采用评定分离方式的，招标人应在招标文件中明确定标方式。</w:t>
      </w:r>
    </w:p>
    <w:p w14:paraId="3EE1B051">
      <w:pPr>
        <w:spacing w:line="480" w:lineRule="auto"/>
        <w:ind w:firstLine="472" w:firstLineChars="224"/>
        <w:rPr>
          <w:b/>
          <w:szCs w:val="21"/>
        </w:rPr>
      </w:pPr>
      <w:r>
        <w:rPr>
          <w:rFonts w:hint="eastAsia"/>
          <w:b/>
          <w:szCs w:val="21"/>
        </w:rPr>
        <w:t>条款号：</w:t>
      </w:r>
      <w:r>
        <w:rPr>
          <w:rFonts w:hint="eastAsia" w:ascii="宋体" w:hAnsi="宋体" w:cs="宋体"/>
          <w:b/>
          <w:szCs w:val="21"/>
        </w:rPr>
        <w:t>（二）开标评标办法程序和细则</w:t>
      </w:r>
      <w:r>
        <w:rPr>
          <w:b/>
          <w:szCs w:val="21"/>
        </w:rPr>
        <w:t xml:space="preserve">             </w:t>
      </w:r>
      <w:r>
        <w:rPr>
          <w:rFonts w:hint="eastAsia"/>
          <w:b/>
          <w:szCs w:val="21"/>
        </w:rPr>
        <w:t>修改类型：删除</w:t>
      </w:r>
    </w:p>
    <w:p w14:paraId="7335D642">
      <w:pPr>
        <w:pBdr>
          <w:bottom w:val="single" w:color="auto" w:sz="6" w:space="1"/>
        </w:pBdr>
        <w:spacing w:line="360" w:lineRule="auto"/>
        <w:ind w:firstLine="527" w:firstLineChars="250"/>
        <w:rPr>
          <w:rFonts w:hint="eastAsia" w:ascii="宋体" w:hAnsi="宋体" w:cs="宋体"/>
          <w:szCs w:val="21"/>
        </w:rPr>
      </w:pPr>
      <w:r>
        <w:rPr>
          <w:rFonts w:hint="eastAsia"/>
          <w:b/>
          <w:szCs w:val="21"/>
        </w:rPr>
        <w:t>原文：</w:t>
      </w:r>
      <w:r>
        <w:rPr>
          <w:rStyle w:val="44"/>
          <w:rFonts w:hint="eastAsia" w:ascii="宋体" w:hAnsi="宋体" w:cs="宋体"/>
          <w:color w:val="auto"/>
          <w:szCs w:val="21"/>
          <w:u w:val="none"/>
          <w:lang w:bidi="ar"/>
        </w:rPr>
        <w:t>可选</w:t>
      </w:r>
      <w:r>
        <w:rPr>
          <w:rFonts w:hint="eastAsia" w:ascii="宋体" w:hAnsi="宋体" w:cs="宋体"/>
          <w:szCs w:val="21"/>
          <w:lang w:bidi="ar"/>
        </w:rPr>
        <w:t>办法</w:t>
      </w:r>
      <w:r>
        <w:rPr>
          <w:rStyle w:val="44"/>
          <w:rFonts w:hint="eastAsia" w:ascii="宋体" w:hAnsi="宋体" w:cs="宋体"/>
          <w:color w:val="auto"/>
          <w:szCs w:val="21"/>
          <w:u w:val="none"/>
          <w:lang w:bidi="ar"/>
        </w:rPr>
        <w:t>一（适合</w:t>
      </w:r>
      <w:r>
        <w:rPr>
          <w:rStyle w:val="44"/>
          <w:rFonts w:hint="eastAsia" w:ascii="宋体" w:hAnsi="宋体" w:cs="宋体"/>
          <w:color w:val="auto"/>
          <w:kern w:val="0"/>
          <w:szCs w:val="21"/>
          <w:u w:val="none"/>
          <w:lang w:bidi="ar"/>
        </w:rPr>
        <w:t>综合评分法一</w:t>
      </w:r>
      <w:r>
        <w:rPr>
          <w:rStyle w:val="44"/>
          <w:rFonts w:hint="eastAsia" w:ascii="宋体" w:hAnsi="宋体" w:cs="宋体"/>
          <w:color w:val="auto"/>
          <w:szCs w:val="21"/>
          <w:u w:val="none"/>
          <w:lang w:bidi="ar"/>
        </w:rPr>
        <w:t>，技术标与经济标先后分别开启）</w:t>
      </w:r>
    </w:p>
    <w:p w14:paraId="7369A313">
      <w:pPr>
        <w:pBdr>
          <w:bottom w:val="single" w:color="auto" w:sz="6" w:space="1"/>
        </w:pBdr>
        <w:spacing w:line="360" w:lineRule="auto"/>
        <w:ind w:firstLine="1155" w:firstLineChars="550"/>
        <w:rPr>
          <w:rFonts w:hint="eastAsia" w:ascii="宋体" w:hAnsi="宋体" w:cs="宋体"/>
          <w:szCs w:val="21"/>
        </w:rPr>
      </w:pPr>
      <w:r>
        <w:rPr>
          <w:rStyle w:val="44"/>
          <w:rFonts w:hint="eastAsia" w:ascii="宋体" w:hAnsi="宋体" w:cs="宋体"/>
          <w:color w:val="auto"/>
          <w:szCs w:val="21"/>
          <w:u w:val="none"/>
          <w:lang w:bidi="ar"/>
        </w:rPr>
        <w:t>可选</w:t>
      </w:r>
      <w:r>
        <w:rPr>
          <w:rFonts w:hint="eastAsia" w:ascii="宋体" w:hAnsi="宋体" w:cs="宋体"/>
          <w:szCs w:val="21"/>
          <w:lang w:bidi="ar"/>
        </w:rPr>
        <w:t>办法</w:t>
      </w:r>
      <w:r>
        <w:rPr>
          <w:rStyle w:val="44"/>
          <w:rFonts w:hint="eastAsia" w:ascii="宋体" w:hAnsi="宋体" w:cs="宋体"/>
          <w:color w:val="auto"/>
          <w:szCs w:val="21"/>
          <w:u w:val="none"/>
          <w:lang w:bidi="ar"/>
        </w:rPr>
        <w:t>二（适合综合评分法一，技术标与经济标同时开启）</w:t>
      </w:r>
    </w:p>
    <w:p w14:paraId="36A20EE8">
      <w:pPr>
        <w:pBdr>
          <w:bottom w:val="single" w:color="auto" w:sz="6" w:space="1"/>
        </w:pBdr>
        <w:spacing w:line="360" w:lineRule="auto"/>
        <w:ind w:firstLine="1155" w:firstLineChars="550"/>
        <w:rPr>
          <w:rFonts w:hint="eastAsia" w:ascii="宋体" w:hAnsi="宋体" w:cs="宋体"/>
          <w:szCs w:val="21"/>
        </w:rPr>
      </w:pPr>
      <w:r>
        <w:rPr>
          <w:rStyle w:val="44"/>
          <w:rFonts w:hint="eastAsia" w:ascii="宋体" w:hAnsi="宋体" w:cs="宋体"/>
          <w:color w:val="auto"/>
          <w:szCs w:val="21"/>
          <w:u w:val="none"/>
          <w:lang w:bidi="ar"/>
        </w:rPr>
        <w:t>可选办法三（适合综合评分法二，技术标与经济标先后分别开启）</w:t>
      </w:r>
    </w:p>
    <w:p w14:paraId="0222AFA1">
      <w:pPr>
        <w:pBdr>
          <w:bottom w:val="single" w:color="auto" w:sz="6" w:space="1"/>
        </w:pBdr>
        <w:spacing w:line="360" w:lineRule="auto"/>
        <w:ind w:firstLine="1155" w:firstLineChars="550"/>
        <w:rPr>
          <w:rFonts w:hint="eastAsia" w:ascii="宋体" w:hAnsi="宋体" w:cs="宋体"/>
          <w:szCs w:val="21"/>
        </w:rPr>
      </w:pPr>
      <w:r>
        <w:rPr>
          <w:rStyle w:val="44"/>
          <w:rFonts w:hint="eastAsia" w:ascii="宋体" w:hAnsi="宋体" w:cs="宋体"/>
          <w:color w:val="auto"/>
          <w:szCs w:val="21"/>
          <w:u w:val="none"/>
          <w:lang w:bidi="ar"/>
        </w:rPr>
        <w:t>可选办法四（适合综合评分法二，技术标与经济标同时开启）</w:t>
      </w:r>
    </w:p>
    <w:p w14:paraId="07B862B2">
      <w:pPr>
        <w:pBdr>
          <w:bottom w:val="single" w:color="auto" w:sz="6" w:space="1"/>
        </w:pBdr>
        <w:spacing w:line="360" w:lineRule="auto"/>
        <w:ind w:firstLine="1155" w:firstLineChars="550"/>
        <w:rPr>
          <w:rStyle w:val="44"/>
          <w:rFonts w:hint="eastAsia" w:ascii="宋体" w:hAnsi="宋体" w:cs="宋体"/>
          <w:color w:val="auto"/>
          <w:szCs w:val="21"/>
          <w:u w:val="none"/>
          <w:lang w:bidi="ar"/>
        </w:rPr>
      </w:pPr>
      <w:r>
        <w:rPr>
          <w:rStyle w:val="44"/>
          <w:rFonts w:hint="eastAsia" w:ascii="宋体" w:hAnsi="宋体" w:cs="宋体"/>
          <w:color w:val="auto"/>
          <w:szCs w:val="21"/>
          <w:u w:val="none"/>
          <w:lang w:bidi="ar"/>
        </w:rPr>
        <w:t>可选办法五（适合综合评分法三，技术标与经济标先后分别开启）</w:t>
      </w:r>
    </w:p>
    <w:p w14:paraId="47AF0AC7">
      <w:pPr>
        <w:pBdr>
          <w:bottom w:val="single" w:color="auto" w:sz="6" w:space="1"/>
        </w:pBdr>
        <w:spacing w:line="360" w:lineRule="auto"/>
        <w:ind w:firstLine="1155" w:firstLineChars="550"/>
        <w:rPr>
          <w:rStyle w:val="44"/>
          <w:rFonts w:hint="eastAsia" w:ascii="宋体" w:hAnsi="宋体" w:cs="宋体"/>
          <w:color w:val="auto"/>
          <w:szCs w:val="21"/>
          <w:u w:val="none"/>
          <w:lang w:bidi="ar"/>
        </w:rPr>
      </w:pPr>
      <w:r>
        <w:rPr>
          <w:rStyle w:val="44"/>
          <w:rFonts w:hint="eastAsia" w:ascii="宋体" w:hAnsi="宋体" w:cs="宋体"/>
          <w:color w:val="auto"/>
          <w:szCs w:val="21"/>
          <w:u w:val="none"/>
          <w:lang w:bidi="ar"/>
        </w:rPr>
        <w:t>可选办法七（适合综合评分法四，技术标与经济标同时开启）</w:t>
      </w:r>
    </w:p>
    <w:p w14:paraId="213D4309">
      <w:pPr>
        <w:pBdr>
          <w:bottom w:val="single" w:color="auto" w:sz="6" w:space="1"/>
        </w:pBdr>
        <w:spacing w:line="360" w:lineRule="auto"/>
        <w:ind w:firstLine="1155" w:firstLineChars="550"/>
        <w:rPr>
          <w:rStyle w:val="44"/>
          <w:rFonts w:hint="eastAsia" w:ascii="宋体" w:hAnsi="宋体" w:cs="宋体"/>
          <w:color w:val="auto"/>
          <w:szCs w:val="21"/>
          <w:u w:val="none"/>
          <w:lang w:bidi="ar"/>
        </w:rPr>
      </w:pPr>
      <w:r>
        <w:rPr>
          <w:rStyle w:val="44"/>
          <w:rFonts w:hint="eastAsia" w:ascii="宋体" w:hAnsi="宋体" w:cs="宋体"/>
          <w:color w:val="auto"/>
          <w:szCs w:val="21"/>
          <w:u w:val="none"/>
          <w:lang w:bidi="ar"/>
        </w:rPr>
        <w:t>可选办法八（适合经评审的最低投标价法，技术标与经济标同时开启）</w:t>
      </w:r>
    </w:p>
    <w:p w14:paraId="46417727">
      <w:pPr>
        <w:pBdr>
          <w:bottom w:val="single" w:color="auto" w:sz="6" w:space="1"/>
        </w:pBdr>
        <w:spacing w:line="360" w:lineRule="auto"/>
        <w:ind w:firstLine="1155" w:firstLineChars="550"/>
        <w:rPr>
          <w:rStyle w:val="44"/>
          <w:rFonts w:hint="eastAsia" w:ascii="宋体" w:hAnsi="宋体" w:cs="宋体"/>
          <w:color w:val="auto"/>
          <w:szCs w:val="21"/>
          <w:u w:val="none"/>
          <w:lang w:bidi="ar"/>
        </w:rPr>
      </w:pPr>
      <w:r>
        <w:rPr>
          <w:rStyle w:val="44"/>
          <w:rFonts w:hint="eastAsia" w:ascii="宋体" w:hAnsi="宋体" w:cs="宋体"/>
          <w:color w:val="auto"/>
          <w:szCs w:val="21"/>
          <w:u w:val="none"/>
          <w:lang w:bidi="ar"/>
        </w:rPr>
        <w:t>可选办法九（适用于规模较小的一般项目）</w:t>
      </w:r>
    </w:p>
    <w:p w14:paraId="5884E690">
      <w:pPr>
        <w:spacing w:line="360" w:lineRule="auto"/>
        <w:ind w:firstLine="468" w:firstLineChars="222"/>
        <w:rPr>
          <w:rFonts w:hint="eastAsia" w:ascii="宋体" w:hAnsi="宋体" w:cs="宋体"/>
          <w:b/>
          <w:szCs w:val="21"/>
        </w:rPr>
      </w:pPr>
      <w:r>
        <w:rPr>
          <w:rFonts w:hint="eastAsia" w:ascii="宋体" w:hAnsi="宋体" w:cs="宋体"/>
          <w:b/>
          <w:szCs w:val="21"/>
        </w:rPr>
        <w:t>条款号：</w:t>
      </w:r>
      <w:r>
        <w:rPr>
          <w:rFonts w:ascii="宋体" w:hAnsi="宋体" w:cs="宋体"/>
          <w:b/>
          <w:szCs w:val="21"/>
        </w:rPr>
        <w:t xml:space="preserve">41.1                        </w:t>
      </w:r>
      <w:r>
        <w:rPr>
          <w:rFonts w:hint="eastAsia" w:ascii="宋体" w:hAnsi="宋体" w:cs="宋体"/>
          <w:b/>
          <w:szCs w:val="21"/>
        </w:rPr>
        <w:t>修改类型：修改</w:t>
      </w:r>
    </w:p>
    <w:p w14:paraId="7D8E0284">
      <w:pPr>
        <w:pBdr>
          <w:bottom w:val="single" w:color="auto" w:sz="6" w:space="1"/>
        </w:pBdr>
        <w:spacing w:line="360" w:lineRule="auto"/>
        <w:ind w:firstLine="468" w:firstLineChars="222"/>
        <w:rPr>
          <w:rFonts w:hint="eastAsia" w:ascii="宋体" w:hAnsi="宋体" w:cs="宋体"/>
          <w:szCs w:val="21"/>
        </w:rPr>
      </w:pPr>
      <w:r>
        <w:rPr>
          <w:rFonts w:hint="eastAsia" w:ascii="宋体" w:hAnsi="宋体" w:cs="宋体"/>
          <w:b/>
          <w:szCs w:val="21"/>
        </w:rPr>
        <w:t>原文：</w:t>
      </w:r>
      <w:r>
        <w:rPr>
          <w:rFonts w:ascii="宋体" w:hAnsi="宋体" w:cs="宋体"/>
          <w:szCs w:val="21"/>
        </w:rPr>
        <w:t>41.1开标由招标人主持；</w:t>
      </w:r>
    </w:p>
    <w:p w14:paraId="4C038AD9">
      <w:pPr>
        <w:pBdr>
          <w:bottom w:val="single" w:color="auto" w:sz="6" w:space="1"/>
        </w:pBdr>
        <w:spacing w:line="360" w:lineRule="auto"/>
        <w:ind w:firstLine="468" w:firstLineChars="222"/>
        <w:rPr>
          <w:rFonts w:hint="eastAsia" w:ascii="宋体" w:hAnsi="宋体" w:cs="宋体"/>
          <w:szCs w:val="21"/>
        </w:rPr>
      </w:pPr>
      <w:r>
        <w:rPr>
          <w:rFonts w:hint="eastAsia" w:ascii="宋体" w:hAnsi="宋体" w:cs="宋体"/>
          <w:b/>
          <w:szCs w:val="21"/>
        </w:rPr>
        <w:t>现文：</w:t>
      </w:r>
      <w:r>
        <w:rPr>
          <w:rFonts w:ascii="宋体" w:hAnsi="宋体" w:cs="宋体"/>
          <w:szCs w:val="21"/>
        </w:rPr>
        <w:t>41.1开标由招标人</w:t>
      </w:r>
      <w:r>
        <w:rPr>
          <w:rFonts w:hint="eastAsia" w:ascii="宋体" w:hAnsi="宋体" w:cs="宋体"/>
          <w:b/>
          <w:bCs/>
          <w:szCs w:val="21"/>
          <w:u w:val="single"/>
        </w:rPr>
        <w:t>或招标代理</w:t>
      </w:r>
      <w:r>
        <w:rPr>
          <w:rFonts w:hint="eastAsia" w:ascii="宋体" w:hAnsi="宋体" w:cs="宋体"/>
          <w:szCs w:val="21"/>
        </w:rPr>
        <w:t>主持；</w:t>
      </w:r>
    </w:p>
    <w:p w14:paraId="3EF27B47">
      <w:pPr>
        <w:spacing w:line="360" w:lineRule="auto"/>
        <w:ind w:firstLine="468" w:firstLineChars="222"/>
        <w:rPr>
          <w:rFonts w:hint="eastAsia" w:ascii="宋体" w:hAnsi="宋体" w:cs="宋体"/>
          <w:b/>
          <w:szCs w:val="21"/>
        </w:rPr>
      </w:pPr>
      <w:r>
        <w:rPr>
          <w:rFonts w:hint="eastAsia" w:ascii="宋体" w:hAnsi="宋体" w:cs="宋体"/>
          <w:b/>
          <w:szCs w:val="21"/>
        </w:rPr>
        <w:t>条款号：</w:t>
      </w:r>
      <w:r>
        <w:rPr>
          <w:rFonts w:ascii="宋体" w:hAnsi="宋体" w:cs="宋体"/>
          <w:b/>
          <w:szCs w:val="21"/>
        </w:rPr>
        <w:t xml:space="preserve">41.2.1                      </w:t>
      </w:r>
      <w:r>
        <w:rPr>
          <w:rFonts w:hint="eastAsia" w:ascii="宋体" w:hAnsi="宋体" w:cs="宋体"/>
          <w:b/>
          <w:szCs w:val="21"/>
        </w:rPr>
        <w:t>修改类型：修改</w:t>
      </w:r>
    </w:p>
    <w:p w14:paraId="77702177">
      <w:pPr>
        <w:spacing w:line="360" w:lineRule="auto"/>
        <w:ind w:firstLine="468" w:firstLineChars="222"/>
        <w:rPr>
          <w:rFonts w:hint="eastAsia" w:ascii="宋体" w:hAnsi="宋体" w:cs="宋体"/>
          <w:b/>
          <w:szCs w:val="21"/>
        </w:rPr>
      </w:pPr>
      <w:r>
        <w:rPr>
          <w:rFonts w:hint="eastAsia" w:ascii="宋体" w:hAnsi="宋体" w:cs="宋体"/>
          <w:b/>
          <w:szCs w:val="21"/>
        </w:rPr>
        <w:t>原文：</w:t>
      </w:r>
      <w:r>
        <w:rPr>
          <w:rFonts w:ascii="宋体" w:hAnsi="宋体" w:cs="宋体"/>
          <w:szCs w:val="21"/>
        </w:rPr>
        <w:t>41.2.1</w:t>
      </w:r>
      <w:r>
        <w:rPr>
          <w:rFonts w:hint="eastAsia" w:ascii="宋体" w:hAnsi="宋体" w:cs="宋体"/>
          <w:szCs w:val="21"/>
        </w:rPr>
        <w:t>投标截止期前，各投标人递交投标文件（包括技术标投标文件、经济标投标文件）至</w:t>
      </w:r>
      <w:r>
        <w:rPr>
          <w:rFonts w:hint="eastAsia" w:ascii="宋体" w:hAnsi="宋体" w:cs="宋体"/>
          <w:szCs w:val="21"/>
          <w:u w:val="single"/>
        </w:rPr>
        <w:t xml:space="preserve">        </w:t>
      </w:r>
      <w:r>
        <w:rPr>
          <w:rFonts w:hint="eastAsia" w:ascii="宋体" w:hAnsi="宋体" w:cs="宋体"/>
          <w:szCs w:val="21"/>
        </w:rPr>
        <w:t>交易平台。有关投标文件提交的事项详见第一章投标须知。</w:t>
      </w:r>
    </w:p>
    <w:p w14:paraId="23C0C7CC">
      <w:pPr>
        <w:pBdr>
          <w:bottom w:val="single" w:color="auto" w:sz="6" w:space="1"/>
        </w:pBdr>
        <w:spacing w:line="360" w:lineRule="auto"/>
        <w:ind w:firstLine="468" w:firstLineChars="222"/>
        <w:rPr>
          <w:rFonts w:hint="eastAsia" w:ascii="宋体" w:hAnsi="宋体" w:cs="宋体"/>
          <w:szCs w:val="21"/>
        </w:rPr>
      </w:pPr>
      <w:r>
        <w:rPr>
          <w:rFonts w:hint="eastAsia" w:ascii="宋体" w:hAnsi="宋体" w:cs="宋体"/>
          <w:b/>
          <w:szCs w:val="21"/>
        </w:rPr>
        <w:t>现文：</w:t>
      </w:r>
      <w:r>
        <w:rPr>
          <w:rFonts w:ascii="宋体" w:hAnsi="宋体" w:cs="宋体"/>
          <w:szCs w:val="21"/>
        </w:rPr>
        <w:t>41.2.1投标截止期前，各投标人递交投标文件（包括</w:t>
      </w:r>
      <w:r>
        <w:rPr>
          <w:rFonts w:hint="eastAsia" w:ascii="宋体" w:hAnsi="宋体" w:cs="宋体"/>
          <w:szCs w:val="21"/>
        </w:rPr>
        <w:t>技术标投标文件</w:t>
      </w:r>
      <w:r>
        <w:rPr>
          <w:rFonts w:hint="eastAsia" w:ascii="宋体" w:hAnsi="宋体" w:cs="宋体"/>
          <w:b/>
          <w:bCs/>
          <w:szCs w:val="21"/>
          <w:u w:val="single"/>
        </w:rPr>
        <w:t>（含资格审查文件）</w:t>
      </w:r>
      <w:r>
        <w:rPr>
          <w:rFonts w:hint="eastAsia" w:ascii="宋体" w:hAnsi="宋体" w:cs="宋体"/>
          <w:szCs w:val="21"/>
        </w:rPr>
        <w:t>、经济标投标文件）至</w:t>
      </w:r>
      <w:r>
        <w:rPr>
          <w:rFonts w:hint="eastAsia" w:ascii="宋体" w:hAnsi="宋体" w:cs="宋体"/>
          <w:b/>
          <w:bCs/>
          <w:szCs w:val="21"/>
          <w:u w:val="single"/>
        </w:rPr>
        <w:t>广州交易集团有限公司（广州公共资源交易中心）</w:t>
      </w:r>
      <w:r>
        <w:rPr>
          <w:rFonts w:hint="eastAsia" w:ascii="宋体" w:hAnsi="宋体" w:cs="宋体"/>
          <w:szCs w:val="21"/>
        </w:rPr>
        <w:t>交易平台。有关投标文件提交的事项详见第一章投标须知。</w:t>
      </w:r>
    </w:p>
    <w:p w14:paraId="35BD9070">
      <w:pPr>
        <w:spacing w:line="480" w:lineRule="auto"/>
        <w:ind w:firstLine="472" w:firstLineChars="224"/>
        <w:rPr>
          <w:b/>
          <w:szCs w:val="21"/>
        </w:rPr>
      </w:pPr>
      <w:r>
        <w:rPr>
          <w:rFonts w:hint="eastAsia"/>
          <w:b/>
          <w:szCs w:val="21"/>
        </w:rPr>
        <w:t>条款号：</w:t>
      </w:r>
      <w:r>
        <w:rPr>
          <w:rFonts w:ascii="宋体" w:hAnsi="宋体"/>
          <w:szCs w:val="21"/>
        </w:rPr>
        <w:t>42.1</w:t>
      </w:r>
      <w:r>
        <w:rPr>
          <w:rFonts w:hint="eastAsia" w:ascii="宋体" w:hAnsi="宋体"/>
          <w:szCs w:val="21"/>
        </w:rPr>
        <w:t>　</w:t>
      </w:r>
      <w:r>
        <w:rPr>
          <w:b/>
          <w:szCs w:val="21"/>
        </w:rPr>
        <w:t xml:space="preserve">             </w:t>
      </w:r>
      <w:r>
        <w:rPr>
          <w:rFonts w:hint="eastAsia"/>
          <w:b/>
          <w:szCs w:val="21"/>
        </w:rPr>
        <w:t>修改类型：修改</w:t>
      </w:r>
    </w:p>
    <w:p w14:paraId="445ADC6C">
      <w:pPr>
        <w:spacing w:line="360" w:lineRule="auto"/>
        <w:ind w:firstLine="468" w:firstLineChars="222"/>
        <w:rPr>
          <w:rFonts w:hint="eastAsia" w:ascii="宋体" w:hAnsi="宋体"/>
          <w:szCs w:val="21"/>
        </w:rPr>
      </w:pPr>
      <w:r>
        <w:rPr>
          <w:rFonts w:hint="eastAsia"/>
          <w:b/>
          <w:szCs w:val="21"/>
        </w:rPr>
        <w:t>原文：</w:t>
      </w:r>
      <w:r>
        <w:rPr>
          <w:rFonts w:ascii="宋体" w:hAnsi="宋体"/>
          <w:szCs w:val="21"/>
        </w:rPr>
        <w:t>42.1</w:t>
      </w:r>
      <w:r>
        <w:rPr>
          <w:rFonts w:hint="eastAsia" w:ascii="宋体" w:hAnsi="宋体"/>
          <w:szCs w:val="21"/>
        </w:rPr>
        <w:t>评标委员会的组成：方式</w:t>
      </w:r>
      <w:r>
        <w:rPr>
          <w:rFonts w:hint="eastAsia" w:ascii="宋体" w:hAnsi="宋体"/>
          <w:szCs w:val="21"/>
          <w:u w:val="single"/>
        </w:rPr>
        <w:t xml:space="preserve">      </w:t>
      </w:r>
      <w:r>
        <w:rPr>
          <w:rFonts w:hint="eastAsia" w:ascii="宋体" w:hAnsi="宋体"/>
          <w:szCs w:val="21"/>
        </w:rPr>
        <w:t>。</w:t>
      </w:r>
    </w:p>
    <w:p w14:paraId="6CC6FCDD">
      <w:pPr>
        <w:spacing w:line="360" w:lineRule="auto"/>
        <w:ind w:firstLine="466" w:firstLineChars="222"/>
        <w:rPr>
          <w:rFonts w:hint="eastAsia" w:ascii="宋体" w:hAnsi="宋体"/>
          <w:szCs w:val="21"/>
        </w:rPr>
      </w:pPr>
      <w:r>
        <w:rPr>
          <w:rFonts w:hint="eastAsia" w:ascii="宋体" w:hAnsi="宋体"/>
          <w:szCs w:val="21"/>
        </w:rPr>
        <w:t>方式一：评标委员会为综合评标委员会，负责评标工作。</w:t>
      </w:r>
    </w:p>
    <w:p w14:paraId="28DF9E20">
      <w:pPr>
        <w:spacing w:line="360" w:lineRule="auto"/>
        <w:ind w:firstLine="466" w:firstLineChars="222"/>
        <w:rPr>
          <w:b/>
          <w:szCs w:val="21"/>
        </w:rPr>
      </w:pPr>
      <w:r>
        <w:rPr>
          <w:rFonts w:hint="eastAsia" w:ascii="宋体" w:hAnsi="宋体"/>
          <w:szCs w:val="21"/>
        </w:rPr>
        <w:t>方式二：评标委员会由技术评审组和经济评审组组成。其中：资格审查、技术评审由技术评标组负责，经济评审由经济评审组负责。</w:t>
      </w:r>
    </w:p>
    <w:p w14:paraId="25C20493">
      <w:pPr>
        <w:spacing w:line="360" w:lineRule="auto"/>
        <w:ind w:firstLine="468" w:firstLineChars="222"/>
        <w:rPr>
          <w:rFonts w:ascii="宋体"/>
          <w:szCs w:val="21"/>
        </w:rPr>
      </w:pPr>
      <w:r>
        <w:rPr>
          <w:rFonts w:hint="eastAsia"/>
          <w:b/>
          <w:szCs w:val="21"/>
        </w:rPr>
        <w:t>现文：</w:t>
      </w:r>
      <w:r>
        <w:rPr>
          <w:rFonts w:hint="eastAsia" w:ascii="宋体"/>
          <w:szCs w:val="21"/>
        </w:rPr>
        <w:t>42.2评标委员会的组成：方式</w:t>
      </w:r>
      <w:r>
        <w:rPr>
          <w:rFonts w:hint="eastAsia" w:ascii="宋体"/>
          <w:b/>
          <w:bCs/>
          <w:szCs w:val="21"/>
          <w:u w:val="single"/>
        </w:rPr>
        <w:t xml:space="preserve"> 一 </w:t>
      </w:r>
      <w:r>
        <w:rPr>
          <w:rFonts w:hint="eastAsia" w:ascii="宋体"/>
          <w:szCs w:val="21"/>
        </w:rPr>
        <w:t>。</w:t>
      </w:r>
    </w:p>
    <w:p w14:paraId="1F3631CD">
      <w:pPr>
        <w:pBdr>
          <w:bottom w:val="single" w:color="auto" w:sz="6" w:space="1"/>
        </w:pBdr>
        <w:spacing w:line="360" w:lineRule="auto"/>
        <w:ind w:firstLine="466" w:firstLineChars="222"/>
        <w:rPr>
          <w:b/>
          <w:szCs w:val="21"/>
        </w:rPr>
      </w:pPr>
      <w:r>
        <w:rPr>
          <w:rFonts w:hint="eastAsia" w:ascii="宋体"/>
          <w:szCs w:val="21"/>
        </w:rPr>
        <w:t>方式一：评标委员会为综合评标委员会，负责</w:t>
      </w:r>
      <w:r>
        <w:rPr>
          <w:rFonts w:hint="eastAsia" w:ascii="宋体"/>
          <w:b/>
          <w:bCs/>
          <w:szCs w:val="21"/>
          <w:u w:val="single"/>
        </w:rPr>
        <w:t>资格审查及</w:t>
      </w:r>
      <w:r>
        <w:rPr>
          <w:rFonts w:hint="eastAsia" w:ascii="宋体"/>
          <w:szCs w:val="21"/>
        </w:rPr>
        <w:t>评标工作。</w:t>
      </w:r>
    </w:p>
    <w:p w14:paraId="7D215A5D">
      <w:pPr>
        <w:spacing w:line="480" w:lineRule="auto"/>
        <w:ind w:firstLine="472" w:firstLineChars="224"/>
        <w:rPr>
          <w:b/>
          <w:szCs w:val="21"/>
        </w:rPr>
      </w:pPr>
      <w:r>
        <w:rPr>
          <w:rFonts w:hint="eastAsia"/>
          <w:b/>
          <w:szCs w:val="21"/>
        </w:rPr>
        <w:t>条款号：</w:t>
      </w:r>
      <w:r>
        <w:rPr>
          <w:rFonts w:hint="eastAsia" w:ascii="宋体" w:hAnsi="宋体"/>
          <w:szCs w:val="21"/>
        </w:rPr>
        <w:t>42.2.6　</w:t>
      </w:r>
      <w:r>
        <w:rPr>
          <w:b/>
          <w:szCs w:val="21"/>
        </w:rPr>
        <w:t xml:space="preserve">             </w:t>
      </w:r>
      <w:r>
        <w:rPr>
          <w:rFonts w:hint="eastAsia"/>
          <w:b/>
          <w:szCs w:val="21"/>
        </w:rPr>
        <w:t>修改类型：修改</w:t>
      </w:r>
    </w:p>
    <w:p w14:paraId="03949A46">
      <w:pPr>
        <w:pStyle w:val="5"/>
        <w:tabs>
          <w:tab w:val="left" w:pos="7380"/>
        </w:tabs>
        <w:snapToGrid w:val="0"/>
        <w:spacing w:after="0" w:line="360" w:lineRule="auto"/>
        <w:ind w:firstLine="422" w:firstLineChars="200"/>
        <w:rPr>
          <w:rFonts w:ascii="宋体"/>
          <w:szCs w:val="21"/>
        </w:rPr>
      </w:pPr>
      <w:r>
        <w:rPr>
          <w:rFonts w:hint="eastAsia"/>
          <w:b/>
          <w:szCs w:val="21"/>
        </w:rPr>
        <w:t>原文：</w:t>
      </w:r>
      <w:r>
        <w:rPr>
          <w:rFonts w:hint="eastAsia" w:ascii="宋体" w:hAnsi="宋体"/>
          <w:szCs w:val="21"/>
        </w:rPr>
        <w:t>42.2.6资格审查合格的投标人少于3名的（当N个标段同时招标且不允许兼中时，资格审查合格的投标人少于N+2名），则本项目招标失败，由招标人依法重新招标。</w:t>
      </w:r>
    </w:p>
    <w:p w14:paraId="76EF25E6">
      <w:pPr>
        <w:pBdr>
          <w:bottom w:val="single" w:color="auto" w:sz="6" w:space="1"/>
        </w:pBdr>
        <w:spacing w:line="480" w:lineRule="auto"/>
        <w:rPr>
          <w:b/>
          <w:szCs w:val="21"/>
        </w:rPr>
      </w:pPr>
      <w:r>
        <w:rPr>
          <w:rFonts w:hint="eastAsia"/>
          <w:b/>
          <w:szCs w:val="21"/>
        </w:rPr>
        <w:t>　　现文：</w:t>
      </w:r>
      <w:r>
        <w:rPr>
          <w:rFonts w:hint="eastAsia" w:ascii="宋体"/>
          <w:szCs w:val="21"/>
        </w:rPr>
        <w:t>42.2.6资格审查合格的投标人少于3名的</w:t>
      </w:r>
      <w:r>
        <w:rPr>
          <w:rFonts w:hint="eastAsia" w:ascii="宋体" w:hAnsi="宋体"/>
          <w:strike/>
          <w:szCs w:val="21"/>
        </w:rPr>
        <w:t>（当N个标段同时招标且不允许兼中时，资格审查合格的投标人少于N+2名）</w:t>
      </w:r>
      <w:r>
        <w:rPr>
          <w:rFonts w:hint="eastAsia" w:ascii="宋体"/>
          <w:szCs w:val="21"/>
        </w:rPr>
        <w:t>，则本项目招标失败，由招标人依法重新招标。</w:t>
      </w:r>
    </w:p>
    <w:p w14:paraId="4F8DEAC8">
      <w:pPr>
        <w:spacing w:line="480" w:lineRule="auto"/>
        <w:ind w:firstLine="472" w:firstLineChars="224"/>
        <w:rPr>
          <w:b/>
          <w:szCs w:val="21"/>
        </w:rPr>
      </w:pPr>
      <w:r>
        <w:rPr>
          <w:rFonts w:hint="eastAsia"/>
          <w:b/>
          <w:szCs w:val="21"/>
        </w:rPr>
        <w:t>条款号：</w:t>
      </w:r>
      <w:r>
        <w:rPr>
          <w:rFonts w:hint="eastAsia" w:ascii="宋体"/>
          <w:szCs w:val="21"/>
        </w:rPr>
        <w:t>42.3.1</w:t>
      </w:r>
      <w:r>
        <w:rPr>
          <w:rFonts w:hint="eastAsia" w:ascii="宋体" w:hAnsi="宋体"/>
          <w:szCs w:val="21"/>
        </w:rPr>
        <w:t>　</w:t>
      </w:r>
      <w:r>
        <w:rPr>
          <w:b/>
          <w:szCs w:val="21"/>
        </w:rPr>
        <w:t xml:space="preserve">             </w:t>
      </w:r>
      <w:r>
        <w:rPr>
          <w:rFonts w:hint="eastAsia"/>
          <w:b/>
          <w:szCs w:val="21"/>
        </w:rPr>
        <w:t>修改类型：修改</w:t>
      </w:r>
    </w:p>
    <w:p w14:paraId="1274C8CF">
      <w:pPr>
        <w:spacing w:line="360" w:lineRule="auto"/>
        <w:ind w:firstLine="468" w:firstLineChars="222"/>
        <w:rPr>
          <w:b/>
          <w:szCs w:val="21"/>
        </w:rPr>
      </w:pPr>
      <w:r>
        <w:rPr>
          <w:rFonts w:hint="eastAsia"/>
          <w:b/>
          <w:szCs w:val="21"/>
        </w:rPr>
        <w:t>原文：</w:t>
      </w:r>
      <w:r>
        <w:rPr>
          <w:rFonts w:hint="eastAsia" w:ascii="宋体"/>
          <w:szCs w:val="21"/>
        </w:rPr>
        <w:t>42.3.1</w:t>
      </w:r>
      <w:r>
        <w:rPr>
          <w:rFonts w:hint="eastAsia" w:ascii="宋体" w:hAnsi="宋体"/>
          <w:szCs w:val="21"/>
        </w:rPr>
        <w:t>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本项目招标失败（当N个标段同时招标且不允许兼中时，通过技术标有效性审查投标人应≥N+2），由招</w:t>
      </w:r>
      <w:r>
        <w:rPr>
          <w:rFonts w:hint="eastAsia" w:ascii="宋体"/>
          <w:szCs w:val="21"/>
        </w:rPr>
        <w:t>标人依法重新招标</w:t>
      </w:r>
      <w:r>
        <w:rPr>
          <w:rFonts w:hint="eastAsia" w:ascii="宋体" w:hAnsi="宋体"/>
          <w:szCs w:val="21"/>
        </w:rPr>
        <w:t>。评委发现投标文件中含义不明确、对同类问题表述不一致、有明显文字和计算错误的，应当要求投标人作必要的澄清、说明后再判定投标人是否通过有效性审查，不得直接否决投标。</w:t>
      </w:r>
    </w:p>
    <w:p w14:paraId="254871FC">
      <w:pPr>
        <w:pBdr>
          <w:bottom w:val="single" w:color="auto" w:sz="6" w:space="1"/>
        </w:pBdr>
        <w:spacing w:line="360" w:lineRule="auto"/>
        <w:ind w:firstLine="468" w:firstLineChars="222"/>
        <w:rPr>
          <w:b/>
          <w:szCs w:val="21"/>
        </w:rPr>
      </w:pPr>
      <w:r>
        <w:rPr>
          <w:rFonts w:hint="eastAsia"/>
          <w:b/>
          <w:szCs w:val="21"/>
        </w:rPr>
        <w:t>现文：</w:t>
      </w:r>
      <w:r>
        <w:rPr>
          <w:rFonts w:hint="eastAsia" w:ascii="宋体"/>
          <w:szCs w:val="21"/>
        </w:rPr>
        <w:t>42.3.1</w:t>
      </w:r>
      <w:r>
        <w:rPr>
          <w:rFonts w:hint="eastAsia" w:ascii="宋体" w:hAnsi="宋体"/>
          <w:szCs w:val="21"/>
        </w:rPr>
        <w:t>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本项目招标失败</w:t>
      </w:r>
      <w:r>
        <w:rPr>
          <w:rFonts w:hint="eastAsia" w:ascii="宋体" w:hAnsi="宋体"/>
          <w:strike/>
          <w:szCs w:val="21"/>
        </w:rPr>
        <w:t>（当N个标段同时招标且不允许兼中时，通过技术标有效性审查投标人应≥N+2）</w:t>
      </w:r>
      <w:r>
        <w:rPr>
          <w:rFonts w:hint="eastAsia" w:ascii="宋体"/>
          <w:szCs w:val="21"/>
        </w:rPr>
        <w:t>，由招标人依法重新招标</w:t>
      </w:r>
      <w:r>
        <w:rPr>
          <w:rFonts w:hint="eastAsia" w:ascii="宋体" w:hAnsi="宋体"/>
          <w:szCs w:val="21"/>
        </w:rPr>
        <w:t>。评委发现投标文件中含义不明确、对同类问题表述不一致、有明显文字和计算错误的，应当要求投标人作必要的澄清、说明后再判定投标人是否通过有效性审查，不得直接否决投标。</w:t>
      </w:r>
    </w:p>
    <w:p w14:paraId="6749A0A5">
      <w:pPr>
        <w:wordWrap w:val="0"/>
        <w:adjustRightInd w:val="0"/>
        <w:snapToGrid w:val="0"/>
        <w:spacing w:line="360" w:lineRule="auto"/>
        <w:ind w:firstLine="422" w:firstLineChars="200"/>
        <w:jc w:val="left"/>
        <w:rPr>
          <w:rFonts w:hint="eastAsia" w:ascii="宋体" w:hAnsi="宋体" w:cs="宋体"/>
          <w:b/>
          <w:szCs w:val="21"/>
        </w:rPr>
      </w:pPr>
      <w:r>
        <w:rPr>
          <w:rFonts w:hint="eastAsia" w:ascii="宋体" w:hAnsi="宋体" w:cs="宋体"/>
          <w:b/>
          <w:szCs w:val="21"/>
        </w:rPr>
        <w:t>条款号：42.3.2           修改类型：修改</w:t>
      </w:r>
    </w:p>
    <w:p w14:paraId="0EA4BA74">
      <w:pPr>
        <w:wordWrap w:val="0"/>
        <w:adjustRightInd w:val="0"/>
        <w:snapToGrid w:val="0"/>
        <w:spacing w:line="360" w:lineRule="auto"/>
        <w:ind w:firstLine="422" w:firstLineChars="200"/>
        <w:rPr>
          <w:rFonts w:hint="eastAsia" w:ascii="宋体" w:hAnsi="宋体" w:cs="宋体"/>
          <w:szCs w:val="21"/>
        </w:rPr>
      </w:pPr>
      <w:r>
        <w:rPr>
          <w:rFonts w:hint="eastAsia" w:ascii="宋体" w:hAnsi="宋体" w:cs="宋体"/>
          <w:b/>
          <w:szCs w:val="21"/>
        </w:rPr>
        <w:t>原文：</w:t>
      </w:r>
      <w:r>
        <w:rPr>
          <w:rFonts w:hint="eastAsia" w:ascii="宋体" w:hAnsi="宋体" w:cs="宋体"/>
          <w:szCs w:val="21"/>
        </w:rPr>
        <w:t>42.3.2</w:t>
      </w:r>
      <w:r>
        <w:rPr>
          <w:rFonts w:hint="eastAsia" w:ascii="宋体" w:hAnsi="宋体"/>
          <w:szCs w:val="21"/>
          <w:u w:val="single"/>
        </w:rPr>
        <w:t xml:space="preserve">     </w:t>
      </w:r>
      <w:r>
        <w:rPr>
          <w:rFonts w:hint="eastAsia" w:ascii="宋体" w:hAnsi="宋体"/>
          <w:szCs w:val="21"/>
        </w:rPr>
        <w:t>详细审查评分：评标委员会按照本办法附表</w:t>
      </w:r>
      <w:r>
        <w:rPr>
          <w:rFonts w:hint="eastAsia" w:ascii="宋体" w:hAnsi="宋体"/>
          <w:szCs w:val="21"/>
          <w:u w:val="single"/>
        </w:rPr>
        <w:t xml:space="preserve">    </w:t>
      </w:r>
      <w:r>
        <w:rPr>
          <w:rFonts w:hint="eastAsia" w:ascii="宋体" w:hAnsi="宋体"/>
          <w:szCs w:val="21"/>
        </w:rPr>
        <w:t>《</w:t>
      </w:r>
      <w:r>
        <w:rPr>
          <w:rFonts w:hint="eastAsia" w:ascii="宋体" w:hAnsi="宋体"/>
          <w:szCs w:val="21"/>
          <w:u w:val="single"/>
        </w:rPr>
        <w:t xml:space="preserve">      </w:t>
      </w:r>
      <w:r>
        <w:rPr>
          <w:rFonts w:hint="eastAsia" w:ascii="宋体" w:hAnsi="宋体"/>
          <w:szCs w:val="21"/>
        </w:rPr>
        <w:t>详细审查评分表》对通过技术标有效性审查的投标文件进行详细审查，评出</w:t>
      </w:r>
      <w:r>
        <w:rPr>
          <w:rFonts w:hint="eastAsia" w:ascii="宋体" w:hAnsi="宋体"/>
          <w:szCs w:val="21"/>
          <w:u w:val="single"/>
        </w:rPr>
        <w:t xml:space="preserve">     </w:t>
      </w:r>
      <w:r>
        <w:rPr>
          <w:rFonts w:hint="eastAsia" w:ascii="宋体" w:hAnsi="宋体"/>
          <w:szCs w:val="21"/>
        </w:rPr>
        <w:t>得分</w:t>
      </w:r>
      <w:r>
        <w:rPr>
          <w:rFonts w:hint="eastAsia" w:ascii="宋体" w:hAnsi="宋体" w:cs="宋体"/>
          <w:szCs w:val="21"/>
        </w:rPr>
        <w:t>。</w:t>
      </w:r>
    </w:p>
    <w:p w14:paraId="6091A5D1">
      <w:pPr>
        <w:pBdr>
          <w:bottom w:val="single" w:color="auto" w:sz="6" w:space="1"/>
        </w:pBdr>
        <w:wordWrap w:val="0"/>
        <w:adjustRightInd w:val="0"/>
        <w:snapToGrid w:val="0"/>
        <w:spacing w:line="360" w:lineRule="auto"/>
        <w:ind w:firstLine="422" w:firstLineChars="200"/>
        <w:rPr>
          <w:rFonts w:hint="eastAsia" w:ascii="宋体" w:hAnsi="宋体" w:cs="宋体"/>
          <w:szCs w:val="21"/>
        </w:rPr>
      </w:pPr>
      <w:r>
        <w:rPr>
          <w:rFonts w:hint="eastAsia" w:ascii="宋体" w:hAnsi="宋体" w:cs="宋体"/>
          <w:b/>
          <w:szCs w:val="21"/>
        </w:rPr>
        <w:t>现文：</w:t>
      </w:r>
      <w:r>
        <w:rPr>
          <w:rFonts w:hint="eastAsia" w:ascii="宋体" w:hAnsi="宋体" w:cs="宋体"/>
          <w:szCs w:val="21"/>
        </w:rPr>
        <w:t>42.3.2</w:t>
      </w:r>
      <w:r>
        <w:rPr>
          <w:rFonts w:hint="eastAsia" w:ascii="宋体" w:hAnsi="宋体" w:cs="宋体"/>
          <w:b/>
          <w:bCs/>
          <w:szCs w:val="21"/>
          <w:u w:val="single"/>
        </w:rPr>
        <w:t>技术</w:t>
      </w:r>
      <w:r>
        <w:rPr>
          <w:rFonts w:hint="eastAsia" w:ascii="宋体" w:hAnsi="宋体" w:cs="宋体"/>
          <w:szCs w:val="21"/>
        </w:rPr>
        <w:t>详细审查评分：评标委员会按照本办法附表</w:t>
      </w:r>
      <w:r>
        <w:rPr>
          <w:rFonts w:hint="eastAsia" w:ascii="宋体" w:hAnsi="宋体" w:cs="宋体"/>
          <w:b/>
          <w:bCs/>
          <w:szCs w:val="21"/>
          <w:u w:val="single"/>
        </w:rPr>
        <w:t>四</w:t>
      </w:r>
      <w:r>
        <w:rPr>
          <w:rFonts w:hint="eastAsia" w:ascii="宋体" w:hAnsi="宋体" w:cs="宋体"/>
          <w:szCs w:val="21"/>
        </w:rPr>
        <w:t>《</w:t>
      </w:r>
      <w:r>
        <w:rPr>
          <w:rFonts w:hint="eastAsia" w:ascii="宋体" w:hAnsi="宋体" w:cs="宋体"/>
          <w:b/>
          <w:bCs/>
          <w:szCs w:val="21"/>
          <w:u w:val="single"/>
        </w:rPr>
        <w:t>技术标</w:t>
      </w:r>
      <w:r>
        <w:rPr>
          <w:rFonts w:hint="eastAsia" w:ascii="宋体" w:hAnsi="宋体" w:cs="宋体"/>
          <w:szCs w:val="21"/>
        </w:rPr>
        <w:t>详细审查评分表》对通过技术标有效性审查的投标文件进行详细审查，评出</w:t>
      </w:r>
      <w:r>
        <w:rPr>
          <w:rFonts w:hint="eastAsia" w:ascii="宋体" w:hAnsi="宋体" w:cs="宋体"/>
          <w:b/>
          <w:bCs/>
          <w:szCs w:val="21"/>
          <w:u w:val="single"/>
        </w:rPr>
        <w:t>技术</w:t>
      </w:r>
      <w:r>
        <w:rPr>
          <w:rFonts w:hint="eastAsia" w:ascii="宋体" w:hAnsi="宋体" w:cs="宋体"/>
          <w:szCs w:val="21"/>
        </w:rPr>
        <w:t>得分。</w:t>
      </w:r>
    </w:p>
    <w:p w14:paraId="4E932D2C">
      <w:pPr>
        <w:wordWrap w:val="0"/>
        <w:adjustRightInd w:val="0"/>
        <w:snapToGrid w:val="0"/>
        <w:spacing w:line="360" w:lineRule="auto"/>
        <w:ind w:firstLine="422" w:firstLineChars="200"/>
        <w:jc w:val="left"/>
        <w:rPr>
          <w:rFonts w:hint="eastAsia" w:ascii="宋体" w:hAnsi="宋体" w:cs="宋体"/>
          <w:b/>
          <w:szCs w:val="21"/>
        </w:rPr>
      </w:pPr>
      <w:r>
        <w:rPr>
          <w:rFonts w:hint="eastAsia" w:ascii="宋体" w:hAnsi="宋体" w:cs="宋体"/>
          <w:b/>
          <w:szCs w:val="21"/>
        </w:rPr>
        <w:t>条款号：42.3.4              修改类型：修改</w:t>
      </w:r>
    </w:p>
    <w:p w14:paraId="7F38E08D">
      <w:pPr>
        <w:wordWrap w:val="0"/>
        <w:adjustRightInd w:val="0"/>
        <w:snapToGrid w:val="0"/>
        <w:spacing w:line="360" w:lineRule="auto"/>
        <w:ind w:firstLine="422" w:firstLineChars="200"/>
        <w:rPr>
          <w:rFonts w:hint="eastAsia" w:ascii="宋体" w:hAnsi="宋体" w:cs="宋体"/>
          <w:szCs w:val="21"/>
        </w:rPr>
      </w:pPr>
      <w:r>
        <w:rPr>
          <w:rFonts w:hint="eastAsia" w:ascii="宋体" w:hAnsi="宋体" w:cs="宋体"/>
          <w:b/>
          <w:szCs w:val="21"/>
        </w:rPr>
        <w:t>原文：</w:t>
      </w:r>
      <w:r>
        <w:rPr>
          <w:rFonts w:hint="eastAsia" w:ascii="宋体" w:hAnsi="宋体" w:cs="宋体"/>
          <w:szCs w:val="21"/>
        </w:rPr>
        <w:t>42.3.4</w:t>
      </w:r>
      <w:r>
        <w:rPr>
          <w:rFonts w:hint="eastAsia" w:ascii="宋体" w:hAnsi="宋体"/>
          <w:szCs w:val="21"/>
        </w:rPr>
        <w:t>评标委员会按照“第一阶段得分=</w:t>
      </w:r>
      <w:r>
        <w:rPr>
          <w:rFonts w:hint="eastAsia" w:ascii="宋体" w:hAnsi="宋体"/>
          <w:szCs w:val="21"/>
          <w:u w:val="single"/>
        </w:rPr>
        <w:t xml:space="preserve">               </w:t>
      </w:r>
      <w:r>
        <w:rPr>
          <w:rFonts w:hint="eastAsia" w:ascii="宋体" w:hAnsi="宋体"/>
          <w:szCs w:val="21"/>
        </w:rPr>
        <w:t>的公式及投标须知前附表第27项的规定，计算各投标人第一阶段得分(按四舍五入的原则保留两位小数)，并按照得分从高到低排列先后次序，若投标人得分相同的，则名次并列，占用名次。编写第一阶段评审报告。（适用于进行了技术标评分的）（</w:t>
      </w:r>
      <w:r>
        <w:rPr>
          <w:rFonts w:hint="eastAsia" w:ascii="楷体" w:hAnsi="楷体" w:eastAsia="楷体" w:cs="楷体"/>
          <w:szCs w:val="21"/>
        </w:rPr>
        <w:t>建议进入第二阶段评审家数≥7家，当N个标段同时招标且不允许兼中时建议≥N+7家</w:t>
      </w:r>
      <w:r>
        <w:rPr>
          <w:rFonts w:hint="eastAsia" w:ascii="宋体" w:hAnsi="宋体"/>
          <w:szCs w:val="21"/>
        </w:rPr>
        <w:t>）</w:t>
      </w:r>
    </w:p>
    <w:p w14:paraId="440B6CD2">
      <w:pPr>
        <w:pBdr>
          <w:bottom w:val="single" w:color="auto" w:sz="4" w:space="0"/>
        </w:pBdr>
        <w:wordWrap w:val="0"/>
        <w:adjustRightInd w:val="0"/>
        <w:snapToGrid w:val="0"/>
        <w:spacing w:line="360" w:lineRule="auto"/>
        <w:ind w:firstLine="422" w:firstLineChars="200"/>
        <w:rPr>
          <w:rFonts w:hint="eastAsia" w:ascii="宋体" w:hAnsi="宋体" w:cs="宋体"/>
          <w:szCs w:val="21"/>
        </w:rPr>
      </w:pPr>
      <w:r>
        <w:rPr>
          <w:rFonts w:hint="eastAsia" w:ascii="宋体" w:hAnsi="宋体" w:cs="宋体"/>
          <w:b/>
          <w:szCs w:val="21"/>
        </w:rPr>
        <w:t>现文：</w:t>
      </w:r>
      <w:r>
        <w:rPr>
          <w:rFonts w:hint="eastAsia" w:ascii="宋体" w:hAnsi="宋体" w:cs="宋体"/>
          <w:szCs w:val="21"/>
        </w:rPr>
        <w:t>42.3.4</w:t>
      </w:r>
      <w:r>
        <w:rPr>
          <w:rFonts w:hint="eastAsia" w:ascii="宋体" w:hAnsi="宋体"/>
          <w:szCs w:val="21"/>
        </w:rPr>
        <w:t>评标委员会按照“第一阶段得分=</w:t>
      </w:r>
      <w:r>
        <w:rPr>
          <w:rFonts w:hint="eastAsia" w:ascii="宋体" w:hAnsi="宋体" w:cs="宋体"/>
          <w:b/>
          <w:bCs/>
          <w:szCs w:val="21"/>
          <w:u w:val="single"/>
        </w:rPr>
        <w:t>技术得分”</w:t>
      </w:r>
      <w:r>
        <w:rPr>
          <w:rFonts w:hint="eastAsia" w:ascii="宋体" w:hAnsi="宋体"/>
          <w:szCs w:val="21"/>
        </w:rPr>
        <w:t>的公式及投标须知前附表第27项的规定，计算各投标人第一阶段得分(按四舍五入的原则保留两位小数)，并按照得分从高到低排列先后次序，若投标人得分相同的，则名次并列，占用名次。编写第一阶段评审报告。（适用于进行了技术标评分的）（</w:t>
      </w:r>
      <w:r>
        <w:rPr>
          <w:rFonts w:hint="eastAsia" w:ascii="楷体" w:hAnsi="楷体" w:eastAsia="楷体" w:cs="楷体"/>
          <w:szCs w:val="21"/>
        </w:rPr>
        <w:t>建议进入第二阶段评审家数≥7家，当N个标段同时招标且不允许兼中时建议≥N+7家</w:t>
      </w:r>
      <w:r>
        <w:rPr>
          <w:rFonts w:hint="eastAsia" w:ascii="宋体" w:hAnsi="宋体"/>
          <w:szCs w:val="21"/>
        </w:rPr>
        <w:t>）</w:t>
      </w:r>
    </w:p>
    <w:p w14:paraId="055A87D7">
      <w:pPr>
        <w:wordWrap w:val="0"/>
        <w:adjustRightInd w:val="0"/>
        <w:snapToGrid w:val="0"/>
        <w:spacing w:line="360" w:lineRule="auto"/>
        <w:ind w:firstLine="422" w:firstLineChars="200"/>
        <w:jc w:val="left"/>
        <w:rPr>
          <w:rFonts w:hint="eastAsia" w:ascii="宋体" w:hAnsi="宋体" w:cs="宋体"/>
          <w:b/>
          <w:szCs w:val="21"/>
        </w:rPr>
      </w:pPr>
      <w:r>
        <w:rPr>
          <w:rFonts w:hint="eastAsia" w:ascii="宋体" w:hAnsi="宋体" w:cs="宋体"/>
          <w:b/>
          <w:szCs w:val="21"/>
        </w:rPr>
        <w:t>条款号：42.3.5              修改类型：删除</w:t>
      </w:r>
    </w:p>
    <w:p w14:paraId="7D19E485">
      <w:pPr>
        <w:pBdr>
          <w:bottom w:val="single" w:color="auto" w:sz="4" w:space="0"/>
        </w:pBdr>
        <w:wordWrap w:val="0"/>
        <w:adjustRightInd w:val="0"/>
        <w:snapToGrid w:val="0"/>
        <w:spacing w:line="360" w:lineRule="auto"/>
        <w:ind w:firstLine="420" w:firstLineChars="200"/>
        <w:rPr>
          <w:rFonts w:hint="eastAsia" w:ascii="宋体" w:hAnsi="宋体" w:cs="宋体"/>
          <w:szCs w:val="21"/>
        </w:rPr>
      </w:pPr>
      <w:r>
        <w:rPr>
          <w:rFonts w:hint="eastAsia" w:ascii="宋体" w:hAnsi="宋体"/>
          <w:szCs w:val="21"/>
        </w:rPr>
        <w:t>原文：42.3.5招标人应在《投标须知前附表》中明确是否选择使用企业信用评价计分。</w:t>
      </w:r>
    </w:p>
    <w:p w14:paraId="6560C2F7">
      <w:pPr>
        <w:spacing w:line="480" w:lineRule="auto"/>
        <w:ind w:firstLine="472" w:firstLineChars="224"/>
        <w:rPr>
          <w:b/>
          <w:szCs w:val="21"/>
        </w:rPr>
      </w:pPr>
      <w:r>
        <w:rPr>
          <w:rFonts w:hint="eastAsia"/>
          <w:b/>
          <w:szCs w:val="21"/>
        </w:rPr>
        <w:t>条款号：</w:t>
      </w:r>
      <w:r>
        <w:rPr>
          <w:rFonts w:hint="eastAsia" w:ascii="宋体" w:hAnsi="宋体"/>
          <w:szCs w:val="21"/>
        </w:rPr>
        <w:t>42.4.3.1按以下方法计算评标参考价　</w:t>
      </w:r>
      <w:r>
        <w:rPr>
          <w:b/>
          <w:szCs w:val="21"/>
        </w:rPr>
        <w:t xml:space="preserve">             </w:t>
      </w:r>
      <w:r>
        <w:rPr>
          <w:rFonts w:hint="eastAsia"/>
          <w:b/>
          <w:szCs w:val="21"/>
        </w:rPr>
        <w:t>修改类型：修改</w:t>
      </w:r>
    </w:p>
    <w:p w14:paraId="4C247949">
      <w:pPr>
        <w:pStyle w:val="5"/>
        <w:tabs>
          <w:tab w:val="left" w:pos="7380"/>
        </w:tabs>
        <w:snapToGrid w:val="0"/>
        <w:spacing w:after="0" w:line="360" w:lineRule="auto"/>
        <w:ind w:firstLine="422" w:firstLineChars="200"/>
        <w:rPr>
          <w:rFonts w:ascii="宋体"/>
          <w:szCs w:val="21"/>
        </w:rPr>
      </w:pPr>
      <w:r>
        <w:rPr>
          <w:rFonts w:hint="eastAsia"/>
          <w:b/>
          <w:szCs w:val="21"/>
        </w:rPr>
        <w:t>原文：</w:t>
      </w:r>
      <w:r>
        <w:rPr>
          <w:rFonts w:hint="eastAsia" w:ascii="宋体" w:hAnsi="宋体"/>
          <w:szCs w:val="21"/>
        </w:rPr>
        <w:t>42.4.3.1按以下方法计算评标参考价：</w:t>
      </w:r>
    </w:p>
    <w:p w14:paraId="2E4DD384">
      <w:pPr>
        <w:widowControl/>
        <w:spacing w:line="360" w:lineRule="auto"/>
        <w:ind w:firstLine="422" w:firstLineChars="200"/>
        <w:rPr>
          <w:rFonts w:hint="eastAsia" w:ascii="宋体" w:hAnsi="宋体"/>
          <w:b/>
          <w:bCs/>
          <w:kern w:val="0"/>
          <w:szCs w:val="21"/>
        </w:rPr>
      </w:pPr>
      <w:r>
        <w:rPr>
          <w:rFonts w:hint="eastAsia" w:ascii="宋体" w:hAnsi="宋体" w:cs="仿宋"/>
          <w:b/>
          <w:bCs/>
          <w:kern w:val="0"/>
          <w:szCs w:val="21"/>
        </w:rPr>
        <w:t>区间抽取法</w:t>
      </w:r>
    </w:p>
    <w:p w14:paraId="7AB83B4D">
      <w:pPr>
        <w:widowControl/>
        <w:snapToGrid w:val="0"/>
        <w:spacing w:line="360" w:lineRule="auto"/>
        <w:ind w:firstLine="420" w:firstLineChars="200"/>
        <w:rPr>
          <w:rFonts w:hint="eastAsia" w:ascii="宋体" w:hAnsi="宋体"/>
          <w:kern w:val="0"/>
          <w:szCs w:val="21"/>
        </w:rPr>
      </w:pPr>
      <w:r>
        <w:rPr>
          <w:rFonts w:hint="eastAsia" w:ascii="宋体" w:hAnsi="宋体" w:cs="仿宋"/>
          <w:szCs w:val="21"/>
        </w:rPr>
        <w:t>设立入围合格分数线（技术标或技术标加企业信用评价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08C7FCB3">
      <w:pPr>
        <w:widowControl/>
        <w:snapToGrid w:val="0"/>
        <w:spacing w:line="360" w:lineRule="auto"/>
        <w:ind w:firstLine="420" w:firstLineChars="200"/>
        <w:rPr>
          <w:rFonts w:hint="eastAsia" w:ascii="宋体" w:hAnsi="宋体"/>
          <w:kern w:val="0"/>
          <w:szCs w:val="21"/>
          <w:vertAlign w:val="subscript"/>
        </w:rPr>
      </w:pPr>
      <w:r>
        <w:rPr>
          <w:rFonts w:hint="eastAsia" w:ascii="宋体" w:hAnsi="宋体" w:cs="仿宋"/>
          <w:kern w:val="0"/>
          <w:szCs w:val="21"/>
        </w:rPr>
        <w:t>评标参考价</w:t>
      </w:r>
      <w:r>
        <w:rPr>
          <w:rFonts w:ascii="宋体" w:hAnsi="宋体" w:cs="仿宋"/>
          <w:kern w:val="0"/>
          <w:szCs w:val="21"/>
        </w:rPr>
        <w:t>=</w:t>
      </w:r>
      <w:r>
        <w:rPr>
          <w:rFonts w:hint="eastAsia" w:ascii="宋体" w:hAnsi="宋体" w:cs="仿宋"/>
          <w:kern w:val="0"/>
          <w:szCs w:val="21"/>
        </w:rPr>
        <w:t>（</w:t>
      </w:r>
      <w:r>
        <w:rPr>
          <w:rFonts w:ascii="宋体" w:hAnsi="宋体" w:cs="仿宋"/>
          <w:kern w:val="0"/>
          <w:szCs w:val="21"/>
        </w:rPr>
        <w:t>Q</w:t>
      </w:r>
      <w:r>
        <w:rPr>
          <w:rFonts w:hint="eastAsia" w:ascii="宋体" w:hAnsi="宋体" w:cs="仿宋"/>
          <w:kern w:val="0"/>
          <w:szCs w:val="21"/>
          <w:vertAlign w:val="subscript"/>
        </w:rPr>
        <w:t>高</w:t>
      </w:r>
      <w:r>
        <w:rPr>
          <w:rFonts w:ascii="宋体" w:hAnsi="宋体" w:cs="仿宋"/>
          <w:kern w:val="0"/>
          <w:szCs w:val="21"/>
        </w:rPr>
        <w:t>-Q</w:t>
      </w:r>
      <w:r>
        <w:rPr>
          <w:rFonts w:hint="eastAsia" w:ascii="宋体" w:hAnsi="宋体" w:cs="仿宋"/>
          <w:kern w:val="0"/>
          <w:szCs w:val="21"/>
          <w:vertAlign w:val="subscript"/>
        </w:rPr>
        <w:t>低</w:t>
      </w:r>
      <w:r>
        <w:rPr>
          <w:rFonts w:hint="eastAsia" w:ascii="宋体" w:hAnsi="宋体" w:cs="仿宋"/>
          <w:kern w:val="0"/>
          <w:szCs w:val="21"/>
        </w:rPr>
        <w:t>）</w:t>
      </w:r>
      <w:r>
        <w:rPr>
          <w:rFonts w:ascii="宋体" w:hAnsi="宋体" w:cs="仿宋"/>
          <w:kern w:val="0"/>
          <w:szCs w:val="21"/>
        </w:rPr>
        <w:t>/100*</w:t>
      </w:r>
      <w:r>
        <w:rPr>
          <w:rFonts w:hint="eastAsia" w:ascii="宋体" w:hAnsi="宋体" w:cs="仿宋"/>
          <w:kern w:val="0"/>
          <w:szCs w:val="21"/>
        </w:rPr>
        <w:t>Ｘ</w:t>
      </w:r>
      <w:r>
        <w:rPr>
          <w:rFonts w:ascii="宋体" w:hAnsi="宋体" w:cs="仿宋"/>
          <w:kern w:val="0"/>
          <w:szCs w:val="21"/>
        </w:rPr>
        <w:t>+Q</w:t>
      </w:r>
      <w:r>
        <w:rPr>
          <w:rFonts w:hint="eastAsia" w:ascii="宋体" w:hAnsi="宋体" w:cs="仿宋"/>
          <w:kern w:val="0"/>
          <w:szCs w:val="21"/>
          <w:vertAlign w:val="subscript"/>
        </w:rPr>
        <w:t>低</w:t>
      </w:r>
    </w:p>
    <w:p w14:paraId="7B361F16">
      <w:pPr>
        <w:widowControl/>
        <w:snapToGrid w:val="0"/>
        <w:spacing w:line="360" w:lineRule="auto"/>
        <w:ind w:firstLine="420" w:firstLineChars="200"/>
        <w:rPr>
          <w:rFonts w:hint="eastAsia" w:ascii="宋体" w:hAnsi="宋体"/>
          <w:szCs w:val="21"/>
        </w:rPr>
      </w:pPr>
      <w:r>
        <w:rPr>
          <w:rFonts w:ascii="宋体" w:hAnsi="宋体" w:cs="仿宋"/>
          <w:szCs w:val="21"/>
        </w:rPr>
        <w:t>Q</w:t>
      </w:r>
      <w:r>
        <w:rPr>
          <w:rFonts w:hint="eastAsia" w:ascii="宋体" w:hAnsi="宋体" w:cs="仿宋"/>
          <w:szCs w:val="21"/>
          <w:vertAlign w:val="subscript"/>
        </w:rPr>
        <w:t>低</w:t>
      </w:r>
      <w:r>
        <w:rPr>
          <w:rFonts w:hint="eastAsia" w:ascii="宋体" w:hAnsi="宋体" w:cs="仿宋"/>
          <w:szCs w:val="21"/>
        </w:rPr>
        <w:t>：为达到或超过技术标及格分数线的投标人最低报价与工程成本警示价两者中的较高值；</w:t>
      </w:r>
    </w:p>
    <w:p w14:paraId="66539ACE">
      <w:pPr>
        <w:spacing w:line="360" w:lineRule="auto"/>
        <w:ind w:firstLine="420" w:firstLineChars="200"/>
        <w:rPr>
          <w:rFonts w:hint="eastAsia" w:ascii="宋体" w:hAnsi="宋体" w:cs="仿宋"/>
          <w:szCs w:val="21"/>
        </w:rPr>
      </w:pPr>
      <w:r>
        <w:rPr>
          <w:rFonts w:ascii="宋体" w:hAnsi="宋体" w:cs="仿宋"/>
          <w:kern w:val="0"/>
          <w:szCs w:val="21"/>
        </w:rPr>
        <w:t>Q</w:t>
      </w:r>
      <w:r>
        <w:rPr>
          <w:rFonts w:hint="eastAsia" w:ascii="宋体" w:hAnsi="宋体" w:cs="仿宋"/>
          <w:kern w:val="0"/>
          <w:szCs w:val="21"/>
          <w:vertAlign w:val="subscript"/>
        </w:rPr>
        <w:t>高</w:t>
      </w:r>
      <w:r>
        <w:rPr>
          <w:rFonts w:hint="eastAsia" w:ascii="宋体" w:hAnsi="宋体" w:cs="仿宋"/>
          <w:szCs w:val="21"/>
        </w:rPr>
        <w:t>：</w:t>
      </w:r>
      <w:r>
        <w:rPr>
          <w:rFonts w:hint="eastAsia" w:ascii="宋体" w:hAnsi="宋体" w:cs="仿宋"/>
          <w:szCs w:val="21"/>
          <w:u w:val="single"/>
        </w:rPr>
        <w:t>为最高投标限价*D%（政府投资项目，D的取值范围为[94-100],由招标人自主确定；非政府投资项目由招标人自主确定取值范围），具体金额为               元。</w:t>
      </w:r>
    </w:p>
    <w:p w14:paraId="3066CEF1">
      <w:pPr>
        <w:spacing w:line="360" w:lineRule="auto"/>
        <w:ind w:firstLine="420" w:firstLineChars="200"/>
        <w:rPr>
          <w:rFonts w:hint="eastAsia" w:ascii="宋体" w:hAnsi="宋体"/>
          <w:szCs w:val="21"/>
        </w:rPr>
      </w:pPr>
      <w:r>
        <w:rPr>
          <w:rFonts w:ascii="宋体" w:hAnsi="宋体" w:cs="仿宋"/>
          <w:szCs w:val="21"/>
        </w:rPr>
        <w:t>X:</w:t>
      </w:r>
      <w:r>
        <w:rPr>
          <w:rFonts w:hint="eastAsia" w:ascii="宋体" w:hAnsi="宋体" w:cs="仿宋"/>
          <w:szCs w:val="21"/>
        </w:rPr>
        <w:t>为等分点值，在开标前从</w:t>
      </w:r>
      <w:r>
        <w:rPr>
          <w:rFonts w:ascii="宋体" w:hAnsi="宋体" w:cs="仿宋"/>
          <w:szCs w:val="21"/>
        </w:rPr>
        <w:t>[0,100]</w:t>
      </w:r>
      <w:r>
        <w:rPr>
          <w:rFonts w:hint="eastAsia" w:ascii="宋体" w:hAnsi="宋体" w:cs="仿宋"/>
          <w:szCs w:val="21"/>
        </w:rPr>
        <w:t>整数中随机抽取</w:t>
      </w:r>
    </w:p>
    <w:p w14:paraId="731DC1EC">
      <w:pPr>
        <w:pStyle w:val="5"/>
        <w:tabs>
          <w:tab w:val="left" w:pos="7380"/>
        </w:tabs>
        <w:snapToGrid w:val="0"/>
        <w:spacing w:after="0" w:line="360" w:lineRule="auto"/>
        <w:ind w:firstLine="422" w:firstLineChars="200"/>
        <w:rPr>
          <w:rFonts w:ascii="宋体"/>
          <w:szCs w:val="21"/>
        </w:rPr>
      </w:pPr>
      <w:r>
        <w:rPr>
          <w:rFonts w:hint="eastAsia"/>
          <w:b/>
          <w:szCs w:val="21"/>
        </w:rPr>
        <w:t>现文：</w:t>
      </w:r>
      <w:bookmarkStart w:id="49" w:name="OLE_LINK4"/>
      <w:r>
        <w:rPr>
          <w:rFonts w:hint="eastAsia" w:ascii="宋体" w:hAnsi="宋体"/>
          <w:szCs w:val="21"/>
        </w:rPr>
        <w:t>42.4.3.1按以下方法计算评标参考价：</w:t>
      </w:r>
    </w:p>
    <w:p w14:paraId="57A57AC9">
      <w:pPr>
        <w:widowControl/>
        <w:spacing w:line="360" w:lineRule="auto"/>
        <w:ind w:firstLine="422" w:firstLineChars="200"/>
        <w:rPr>
          <w:rFonts w:hint="eastAsia" w:ascii="宋体" w:hAnsi="宋体"/>
          <w:b/>
          <w:bCs/>
          <w:kern w:val="0"/>
          <w:szCs w:val="21"/>
        </w:rPr>
      </w:pPr>
      <w:r>
        <w:rPr>
          <w:rFonts w:hint="eastAsia" w:ascii="宋体" w:hAnsi="宋体" w:cs="仿宋"/>
          <w:b/>
          <w:bCs/>
          <w:kern w:val="0"/>
          <w:szCs w:val="21"/>
        </w:rPr>
        <w:t>区间抽取法</w:t>
      </w:r>
    </w:p>
    <w:p w14:paraId="02645B32">
      <w:pPr>
        <w:widowControl/>
        <w:snapToGrid w:val="0"/>
        <w:spacing w:line="360" w:lineRule="auto"/>
        <w:ind w:firstLine="420" w:firstLineChars="200"/>
        <w:rPr>
          <w:rFonts w:hint="eastAsia" w:ascii="宋体" w:hAnsi="宋体"/>
          <w:kern w:val="0"/>
          <w:szCs w:val="21"/>
        </w:rPr>
      </w:pPr>
      <w:r>
        <w:rPr>
          <w:rFonts w:hint="eastAsia" w:ascii="宋体" w:hAnsi="宋体" w:cs="仿宋"/>
          <w:szCs w:val="21"/>
        </w:rPr>
        <w:t>设立入围合格分数线（</w:t>
      </w:r>
      <w:r>
        <w:rPr>
          <w:rFonts w:hint="eastAsia" w:ascii="宋体" w:hAnsi="宋体" w:cs="仿宋"/>
          <w:b/>
          <w:bCs/>
          <w:szCs w:val="21"/>
          <w:u w:val="single"/>
        </w:rPr>
        <w:t>技术标得分80分</w:t>
      </w:r>
      <w:r>
        <w:rPr>
          <w:rFonts w:hint="eastAsia" w:ascii="宋体" w:hAnsi="宋体" w:cs="仿宋"/>
          <w:szCs w:val="21"/>
        </w:rPr>
        <w:t>），达到或超过及格线的投标人的报价方能参与评标参考价的计算。将达到或超过技术标及格分数线的投标报价由低至高进行排列，按以下公式计算评标参考价，计算公式如下：</w:t>
      </w:r>
    </w:p>
    <w:p w14:paraId="5F0B4F66">
      <w:pPr>
        <w:widowControl/>
        <w:snapToGrid w:val="0"/>
        <w:spacing w:line="360" w:lineRule="auto"/>
        <w:ind w:firstLine="420" w:firstLineChars="200"/>
        <w:rPr>
          <w:rFonts w:hint="eastAsia" w:ascii="宋体" w:hAnsi="宋体"/>
          <w:kern w:val="0"/>
          <w:szCs w:val="21"/>
          <w:vertAlign w:val="subscript"/>
        </w:rPr>
      </w:pPr>
      <w:r>
        <w:rPr>
          <w:rFonts w:hint="eastAsia" w:ascii="宋体" w:hAnsi="宋体" w:cs="仿宋"/>
          <w:kern w:val="0"/>
          <w:szCs w:val="21"/>
        </w:rPr>
        <w:t>评标参考价</w:t>
      </w:r>
      <w:r>
        <w:rPr>
          <w:rFonts w:ascii="宋体" w:hAnsi="宋体" w:cs="仿宋"/>
          <w:kern w:val="0"/>
          <w:szCs w:val="21"/>
        </w:rPr>
        <w:t>=</w:t>
      </w:r>
      <w:r>
        <w:rPr>
          <w:rFonts w:hint="eastAsia" w:ascii="宋体" w:hAnsi="宋体" w:cs="仿宋"/>
          <w:kern w:val="0"/>
          <w:szCs w:val="21"/>
        </w:rPr>
        <w:t>（</w:t>
      </w:r>
      <w:r>
        <w:rPr>
          <w:rFonts w:ascii="宋体" w:hAnsi="宋体" w:cs="仿宋"/>
          <w:kern w:val="0"/>
          <w:szCs w:val="21"/>
        </w:rPr>
        <w:t>Q</w:t>
      </w:r>
      <w:r>
        <w:rPr>
          <w:rFonts w:hint="eastAsia" w:ascii="宋体" w:hAnsi="宋体" w:cs="仿宋"/>
          <w:kern w:val="0"/>
          <w:szCs w:val="21"/>
          <w:vertAlign w:val="subscript"/>
        </w:rPr>
        <w:t>高</w:t>
      </w:r>
      <w:r>
        <w:rPr>
          <w:rFonts w:ascii="宋体" w:hAnsi="宋体" w:cs="仿宋"/>
          <w:kern w:val="0"/>
          <w:szCs w:val="21"/>
        </w:rPr>
        <w:t>-Q</w:t>
      </w:r>
      <w:r>
        <w:rPr>
          <w:rFonts w:hint="eastAsia" w:ascii="宋体" w:hAnsi="宋体" w:cs="仿宋"/>
          <w:kern w:val="0"/>
          <w:szCs w:val="21"/>
          <w:vertAlign w:val="subscript"/>
        </w:rPr>
        <w:t>低</w:t>
      </w:r>
      <w:r>
        <w:rPr>
          <w:rFonts w:hint="eastAsia" w:ascii="宋体" w:hAnsi="宋体" w:cs="仿宋"/>
          <w:kern w:val="0"/>
          <w:szCs w:val="21"/>
        </w:rPr>
        <w:t>）</w:t>
      </w:r>
      <w:r>
        <w:rPr>
          <w:rFonts w:ascii="宋体" w:hAnsi="宋体" w:cs="仿宋"/>
          <w:kern w:val="0"/>
          <w:szCs w:val="21"/>
        </w:rPr>
        <w:t>/100*</w:t>
      </w:r>
      <w:r>
        <w:rPr>
          <w:rFonts w:hint="eastAsia" w:ascii="宋体" w:hAnsi="宋体" w:cs="仿宋"/>
          <w:kern w:val="0"/>
          <w:szCs w:val="21"/>
        </w:rPr>
        <w:t>Ｘ</w:t>
      </w:r>
      <w:r>
        <w:rPr>
          <w:rFonts w:ascii="宋体" w:hAnsi="宋体" w:cs="仿宋"/>
          <w:kern w:val="0"/>
          <w:szCs w:val="21"/>
        </w:rPr>
        <w:t>+Q</w:t>
      </w:r>
      <w:r>
        <w:rPr>
          <w:rFonts w:hint="eastAsia" w:ascii="宋体" w:hAnsi="宋体" w:cs="仿宋"/>
          <w:kern w:val="0"/>
          <w:szCs w:val="21"/>
          <w:vertAlign w:val="subscript"/>
        </w:rPr>
        <w:t>低</w:t>
      </w:r>
    </w:p>
    <w:p w14:paraId="4FF1EBC6">
      <w:pPr>
        <w:widowControl/>
        <w:snapToGrid w:val="0"/>
        <w:spacing w:line="360" w:lineRule="auto"/>
        <w:ind w:firstLine="420" w:firstLineChars="200"/>
        <w:rPr>
          <w:rFonts w:hint="eastAsia" w:ascii="宋体" w:hAnsi="宋体"/>
          <w:szCs w:val="21"/>
        </w:rPr>
      </w:pPr>
      <w:r>
        <w:rPr>
          <w:rFonts w:ascii="宋体" w:hAnsi="宋体" w:cs="仿宋"/>
          <w:szCs w:val="21"/>
        </w:rPr>
        <w:t>Q</w:t>
      </w:r>
      <w:r>
        <w:rPr>
          <w:rFonts w:hint="eastAsia" w:ascii="宋体" w:hAnsi="宋体" w:cs="仿宋"/>
          <w:szCs w:val="21"/>
          <w:vertAlign w:val="subscript"/>
        </w:rPr>
        <w:t>低</w:t>
      </w:r>
      <w:r>
        <w:rPr>
          <w:rFonts w:hint="eastAsia" w:ascii="宋体" w:hAnsi="宋体" w:cs="仿宋"/>
          <w:szCs w:val="21"/>
        </w:rPr>
        <w:t>：为达到或超过技术标及格分数线的投标人最低报价与工程成本警示价两者中的较高值；</w:t>
      </w:r>
    </w:p>
    <w:p w14:paraId="0EEEF51B">
      <w:pPr>
        <w:spacing w:line="360" w:lineRule="auto"/>
        <w:ind w:firstLine="420" w:firstLineChars="200"/>
        <w:rPr>
          <w:rFonts w:hint="eastAsia" w:ascii="宋体" w:hAnsi="宋体" w:cs="仿宋"/>
          <w:szCs w:val="21"/>
        </w:rPr>
      </w:pPr>
      <w:r>
        <w:rPr>
          <w:rFonts w:ascii="宋体" w:hAnsi="宋体" w:cs="仿宋"/>
          <w:kern w:val="0"/>
          <w:szCs w:val="21"/>
        </w:rPr>
        <w:t>Q</w:t>
      </w:r>
      <w:r>
        <w:rPr>
          <w:rFonts w:hint="eastAsia" w:ascii="宋体" w:hAnsi="宋体" w:cs="仿宋"/>
          <w:kern w:val="0"/>
          <w:szCs w:val="21"/>
          <w:vertAlign w:val="subscript"/>
        </w:rPr>
        <w:t>高</w:t>
      </w:r>
      <w:r>
        <w:rPr>
          <w:rFonts w:hint="eastAsia" w:ascii="宋体" w:hAnsi="宋体" w:cs="仿宋"/>
          <w:szCs w:val="21"/>
        </w:rPr>
        <w:t>：</w:t>
      </w:r>
      <w:r>
        <w:rPr>
          <w:rFonts w:hint="eastAsia" w:ascii="宋体" w:hAnsi="宋体" w:cs="仿宋"/>
          <w:szCs w:val="21"/>
          <w:u w:val="single"/>
        </w:rPr>
        <w:t>为最高投标限价*D%（</w:t>
      </w:r>
      <w:r>
        <w:rPr>
          <w:rFonts w:hint="eastAsia" w:ascii="宋体" w:hAnsi="宋体" w:cs="仿宋"/>
          <w:b/>
          <w:bCs/>
          <w:szCs w:val="21"/>
          <w:u w:val="single"/>
        </w:rPr>
        <w:t>D的取值为98</w:t>
      </w:r>
      <w:r>
        <w:rPr>
          <w:rFonts w:hint="eastAsia" w:ascii="宋体" w:hAnsi="宋体" w:cs="仿宋"/>
          <w:szCs w:val="21"/>
          <w:u w:val="single"/>
        </w:rPr>
        <w:t>），具体金额为35694876.36元。</w:t>
      </w:r>
    </w:p>
    <w:p w14:paraId="003DCF0D">
      <w:pPr>
        <w:pBdr>
          <w:bottom w:val="single" w:color="auto" w:sz="6" w:space="1"/>
        </w:pBdr>
        <w:spacing w:line="480" w:lineRule="auto"/>
        <w:ind w:firstLine="470" w:firstLineChars="224"/>
        <w:rPr>
          <w:b/>
          <w:szCs w:val="21"/>
        </w:rPr>
      </w:pPr>
      <w:r>
        <w:rPr>
          <w:rFonts w:ascii="宋体" w:hAnsi="宋体" w:cs="仿宋"/>
          <w:szCs w:val="21"/>
        </w:rPr>
        <w:t>X:</w:t>
      </w:r>
      <w:r>
        <w:rPr>
          <w:rFonts w:hint="eastAsia" w:ascii="宋体" w:hAnsi="宋体" w:cs="仿宋"/>
          <w:szCs w:val="21"/>
        </w:rPr>
        <w:t>为等分点值，在开标前从</w:t>
      </w:r>
      <w:r>
        <w:rPr>
          <w:rFonts w:ascii="宋体" w:hAnsi="宋体" w:cs="仿宋"/>
          <w:szCs w:val="21"/>
        </w:rPr>
        <w:t>[0,100]</w:t>
      </w:r>
      <w:r>
        <w:rPr>
          <w:rFonts w:hint="eastAsia" w:ascii="宋体" w:hAnsi="宋体" w:cs="仿宋"/>
          <w:szCs w:val="21"/>
        </w:rPr>
        <w:t>整数中随机抽取</w:t>
      </w:r>
    </w:p>
    <w:bookmarkEnd w:id="49"/>
    <w:p w14:paraId="5E3CC8B6">
      <w:pPr>
        <w:wordWrap w:val="0"/>
        <w:adjustRightInd w:val="0"/>
        <w:snapToGrid w:val="0"/>
        <w:spacing w:line="360" w:lineRule="auto"/>
        <w:ind w:firstLine="422" w:firstLineChars="200"/>
        <w:jc w:val="left"/>
        <w:rPr>
          <w:rFonts w:hint="eastAsia" w:ascii="宋体" w:hAnsi="宋体" w:cs="宋体"/>
          <w:b/>
          <w:szCs w:val="21"/>
        </w:rPr>
      </w:pPr>
      <w:r>
        <w:rPr>
          <w:rFonts w:hint="eastAsia" w:ascii="宋体" w:hAnsi="宋体" w:cs="宋体"/>
          <w:b/>
          <w:szCs w:val="21"/>
        </w:rPr>
        <w:t>条款号：42.4.5             修改类型：修改</w:t>
      </w:r>
    </w:p>
    <w:p w14:paraId="5CECE7A7">
      <w:pPr>
        <w:wordWrap w:val="0"/>
        <w:adjustRightInd w:val="0"/>
        <w:snapToGrid w:val="0"/>
        <w:spacing w:line="360" w:lineRule="auto"/>
        <w:ind w:firstLine="422" w:firstLineChars="200"/>
        <w:rPr>
          <w:rFonts w:hint="eastAsia" w:ascii="宋体" w:hAnsi="宋体" w:cs="宋体"/>
          <w:szCs w:val="21"/>
        </w:rPr>
      </w:pPr>
      <w:r>
        <w:rPr>
          <w:rFonts w:hint="eastAsia" w:ascii="宋体" w:hAnsi="宋体" w:cs="宋体"/>
          <w:b/>
          <w:szCs w:val="21"/>
        </w:rPr>
        <w:t>原文：</w:t>
      </w:r>
      <w:r>
        <w:rPr>
          <w:rFonts w:hint="eastAsia" w:ascii="宋体" w:hAnsi="宋体" w:cs="宋体"/>
          <w:szCs w:val="21"/>
        </w:rPr>
        <w:t>42.4.5评标委员会按只有通过有效性审查的投标人的投标文件方可进入下一阶段评审的评审原则，根据有效性审查结果，取消被否决投标的投标人的排序，其余通过有效性审查的投标人的排序依次上升替补确实，以此类推，直到评审出3家投标人通过经济标有效性审查，经济标有效性审查结束。若通过经济标有效性审查的投标人不足三家，则本项目招标失败，由招标人依法重新招标。（当N个标段同时招标且不允许兼中时，有效投标人应≥N+2家）。</w:t>
      </w:r>
    </w:p>
    <w:p w14:paraId="077FCB5C">
      <w:pPr>
        <w:pBdr>
          <w:bottom w:val="single" w:color="auto" w:sz="12" w:space="1"/>
        </w:pBdr>
        <w:wordWrap w:val="0"/>
        <w:adjustRightInd w:val="0"/>
        <w:snapToGrid w:val="0"/>
        <w:spacing w:line="360" w:lineRule="auto"/>
        <w:ind w:firstLine="422" w:firstLineChars="200"/>
        <w:rPr>
          <w:rFonts w:hint="eastAsia" w:ascii="宋体" w:hAnsi="宋体" w:cs="宋体"/>
          <w:szCs w:val="21"/>
        </w:rPr>
      </w:pPr>
      <w:r>
        <w:rPr>
          <w:rFonts w:hint="eastAsia" w:ascii="宋体" w:hAnsi="宋体" w:cs="宋体"/>
          <w:b/>
          <w:szCs w:val="21"/>
        </w:rPr>
        <w:t>现文：</w:t>
      </w:r>
      <w:r>
        <w:rPr>
          <w:rFonts w:hint="eastAsia" w:ascii="宋体" w:hAnsi="宋体" w:cs="宋体"/>
          <w:szCs w:val="21"/>
        </w:rPr>
        <w:t>42.4.5评标委员会按只有通过有效性审查的投标人的投标文件方可进入下一阶段评审的评审原则，根据有效性审查结果，取消被否决投标的投标人的排序，其余通过有效性审查的投标人的排序依次上升替补确实，以此类推，直到评审出3家投标人通过经济标有效性审查，经济标有效性审查结束。若通过经济标有效性审查的投标人不足三家，则本项目招标失败，由招标人依法重新招标。</w:t>
      </w:r>
      <w:r>
        <w:rPr>
          <w:rFonts w:hint="eastAsia" w:ascii="宋体" w:hAnsi="宋体" w:cs="宋体"/>
          <w:strike/>
          <w:szCs w:val="21"/>
        </w:rPr>
        <w:t>（当N个标段同时招标且不允许兼中时，有效投标人应≥N+2家）</w:t>
      </w:r>
      <w:r>
        <w:rPr>
          <w:rFonts w:hint="eastAsia" w:ascii="宋体" w:hAnsi="宋体" w:cs="宋体"/>
          <w:szCs w:val="21"/>
        </w:rPr>
        <w:t>。</w:t>
      </w:r>
    </w:p>
    <w:p w14:paraId="4CA94C28">
      <w:pPr>
        <w:spacing w:line="480" w:lineRule="auto"/>
        <w:ind w:firstLine="472" w:firstLineChars="224"/>
        <w:rPr>
          <w:b/>
          <w:szCs w:val="21"/>
        </w:rPr>
      </w:pPr>
      <w:r>
        <w:rPr>
          <w:rFonts w:hint="eastAsia"/>
          <w:b/>
          <w:szCs w:val="21"/>
        </w:rPr>
        <w:t>条款号：</w:t>
      </w:r>
      <w:r>
        <w:rPr>
          <w:rFonts w:hint="eastAsia" w:ascii="宋体" w:hAnsi="宋体" w:cs="宋体"/>
          <w:b/>
          <w:szCs w:val="21"/>
        </w:rPr>
        <w:t>附表一《资格审查表》</w:t>
      </w:r>
      <w:r>
        <w:rPr>
          <w:rFonts w:ascii="宋体" w:hAnsi="宋体" w:cs="宋体"/>
          <w:b/>
          <w:szCs w:val="21"/>
        </w:rPr>
        <w:t xml:space="preserve"> </w:t>
      </w:r>
      <w:r>
        <w:rPr>
          <w:rFonts w:hint="eastAsia" w:ascii="宋体" w:hAnsi="宋体"/>
          <w:szCs w:val="21"/>
        </w:rPr>
        <w:t>　</w:t>
      </w:r>
      <w:r>
        <w:rPr>
          <w:b/>
          <w:szCs w:val="21"/>
        </w:rPr>
        <w:t xml:space="preserve">             </w:t>
      </w:r>
      <w:r>
        <w:rPr>
          <w:rFonts w:hint="eastAsia"/>
          <w:b/>
          <w:szCs w:val="21"/>
        </w:rPr>
        <w:t>修改类型：修改</w:t>
      </w:r>
    </w:p>
    <w:p w14:paraId="15DB7C2A">
      <w:pPr>
        <w:spacing w:line="360" w:lineRule="auto"/>
        <w:ind w:firstLine="468" w:firstLineChars="222"/>
        <w:rPr>
          <w:b/>
          <w:szCs w:val="21"/>
        </w:rPr>
      </w:pPr>
      <w:r>
        <w:rPr>
          <w:rFonts w:hint="eastAsia"/>
          <w:b/>
          <w:szCs w:val="21"/>
        </w:rPr>
        <w:t>原文：</w:t>
      </w:r>
      <w:r>
        <w:rPr>
          <w:rFonts w:hint="eastAsia" w:ascii="宋体" w:hAnsi="宋体" w:cs="宋体"/>
          <w:bCs/>
          <w:szCs w:val="21"/>
        </w:rPr>
        <w:t>详见最新版广州市城市道路及轨道交通建设工程施工公开招标项目招标文件范本（适用于资格后审电子化施工招标投标项目）GZJTZB2025-3。</w:t>
      </w:r>
    </w:p>
    <w:p w14:paraId="203724BC">
      <w:pPr>
        <w:pBdr>
          <w:bottom w:val="single" w:color="auto" w:sz="6" w:space="1"/>
        </w:pBdr>
        <w:spacing w:line="480" w:lineRule="auto"/>
        <w:ind w:firstLine="472" w:firstLineChars="224"/>
        <w:rPr>
          <w:b/>
          <w:szCs w:val="21"/>
        </w:rPr>
      </w:pPr>
      <w:r>
        <w:rPr>
          <w:rFonts w:hint="eastAsia"/>
          <w:b/>
          <w:szCs w:val="21"/>
        </w:rPr>
        <w:t>现文：</w:t>
      </w:r>
      <w:r>
        <w:rPr>
          <w:rFonts w:hint="eastAsia" w:ascii="宋体" w:hAnsi="宋体" w:cs="宋体"/>
          <w:szCs w:val="21"/>
          <w:u w:val="single"/>
        </w:rPr>
        <w:t>详见本招标文件第二章附表一《资格审查表》</w:t>
      </w:r>
    </w:p>
    <w:p w14:paraId="7E891317">
      <w:pPr>
        <w:spacing w:line="480" w:lineRule="auto"/>
        <w:ind w:firstLine="472" w:firstLineChars="224"/>
        <w:rPr>
          <w:b/>
          <w:szCs w:val="21"/>
        </w:rPr>
      </w:pPr>
      <w:r>
        <w:rPr>
          <w:rFonts w:hint="eastAsia"/>
          <w:b/>
          <w:szCs w:val="21"/>
        </w:rPr>
        <w:t>条款号：附表二 《技术标有效性审查表》</w:t>
      </w:r>
      <w:r>
        <w:rPr>
          <w:rFonts w:hint="eastAsia" w:ascii="宋体" w:hAnsi="宋体"/>
          <w:szCs w:val="21"/>
        </w:rPr>
        <w:t>　</w:t>
      </w:r>
      <w:r>
        <w:rPr>
          <w:b/>
          <w:szCs w:val="21"/>
        </w:rPr>
        <w:t xml:space="preserve">             </w:t>
      </w:r>
      <w:r>
        <w:rPr>
          <w:rFonts w:hint="eastAsia"/>
          <w:b/>
          <w:szCs w:val="21"/>
        </w:rPr>
        <w:t>修改类型：修改</w:t>
      </w:r>
    </w:p>
    <w:p w14:paraId="6BAE4E8A">
      <w:pPr>
        <w:spacing w:line="360" w:lineRule="auto"/>
        <w:ind w:firstLine="468" w:firstLineChars="222"/>
        <w:rPr>
          <w:bCs/>
          <w:szCs w:val="21"/>
        </w:rPr>
      </w:pPr>
      <w:r>
        <w:rPr>
          <w:rFonts w:hint="eastAsia"/>
          <w:b/>
          <w:szCs w:val="21"/>
        </w:rPr>
        <w:t>原文：</w:t>
      </w:r>
      <w:r>
        <w:rPr>
          <w:rFonts w:hint="eastAsia"/>
          <w:bCs/>
          <w:szCs w:val="21"/>
        </w:rPr>
        <w:t>详见最新版广州市城市道路及轨道交通建设工程施工公开招标项目招标文件范本（适用于资格后审电子化施工招标投标项目）GZJTZB2025-3。</w:t>
      </w:r>
    </w:p>
    <w:p w14:paraId="190807A2">
      <w:pPr>
        <w:pBdr>
          <w:bottom w:val="single" w:color="auto" w:sz="6" w:space="1"/>
        </w:pBdr>
        <w:spacing w:line="480" w:lineRule="auto"/>
        <w:ind w:firstLine="472" w:firstLineChars="224"/>
        <w:rPr>
          <w:b/>
          <w:szCs w:val="21"/>
        </w:rPr>
      </w:pPr>
      <w:r>
        <w:rPr>
          <w:rFonts w:hint="eastAsia"/>
          <w:b/>
          <w:szCs w:val="21"/>
        </w:rPr>
        <w:t>现文：</w:t>
      </w:r>
      <w:r>
        <w:rPr>
          <w:rFonts w:hint="eastAsia" w:ascii="宋体" w:hAnsi="宋体" w:cs="宋体"/>
          <w:szCs w:val="21"/>
          <w:u w:val="single"/>
        </w:rPr>
        <w:t>详见本招标文件第二章附表二《技术标有效性审查表》</w:t>
      </w:r>
    </w:p>
    <w:p w14:paraId="6419A34C">
      <w:pPr>
        <w:spacing w:line="480" w:lineRule="auto"/>
        <w:ind w:firstLine="472" w:firstLineChars="224"/>
        <w:rPr>
          <w:b/>
          <w:szCs w:val="21"/>
        </w:rPr>
      </w:pPr>
      <w:r>
        <w:rPr>
          <w:rFonts w:hint="eastAsia"/>
          <w:b/>
          <w:szCs w:val="21"/>
        </w:rPr>
        <w:t>条款号：附表三《经济标有效性审查表》</w:t>
      </w:r>
      <w:r>
        <w:rPr>
          <w:rFonts w:hint="eastAsia" w:ascii="宋体" w:hAnsi="宋体"/>
          <w:szCs w:val="21"/>
        </w:rPr>
        <w:t>　</w:t>
      </w:r>
      <w:r>
        <w:rPr>
          <w:b/>
          <w:szCs w:val="21"/>
        </w:rPr>
        <w:t xml:space="preserve">             </w:t>
      </w:r>
      <w:r>
        <w:rPr>
          <w:rFonts w:hint="eastAsia"/>
          <w:b/>
          <w:szCs w:val="21"/>
        </w:rPr>
        <w:t>修改类型：修改</w:t>
      </w:r>
    </w:p>
    <w:p w14:paraId="469A8575">
      <w:pPr>
        <w:spacing w:line="360" w:lineRule="auto"/>
        <w:ind w:firstLine="468" w:firstLineChars="222"/>
        <w:rPr>
          <w:bCs/>
          <w:szCs w:val="21"/>
        </w:rPr>
      </w:pPr>
      <w:r>
        <w:rPr>
          <w:rFonts w:hint="eastAsia"/>
          <w:b/>
          <w:szCs w:val="21"/>
        </w:rPr>
        <w:t>原文：</w:t>
      </w:r>
      <w:r>
        <w:rPr>
          <w:rFonts w:hint="eastAsia"/>
          <w:bCs/>
          <w:szCs w:val="21"/>
        </w:rPr>
        <w:t>详见最新版广州市城市道路及轨道交通建设工程施工公开招标项目招标文件范本（适用于资格后审电子化施工招标投标项目）GZJTZB2025-3。</w:t>
      </w:r>
    </w:p>
    <w:p w14:paraId="30FEB418">
      <w:pPr>
        <w:pBdr>
          <w:bottom w:val="single" w:color="auto" w:sz="6" w:space="1"/>
        </w:pBdr>
        <w:spacing w:line="480" w:lineRule="auto"/>
        <w:ind w:firstLine="472" w:firstLineChars="224"/>
        <w:rPr>
          <w:b/>
          <w:szCs w:val="21"/>
        </w:rPr>
      </w:pPr>
      <w:r>
        <w:rPr>
          <w:rFonts w:hint="eastAsia"/>
          <w:b/>
          <w:szCs w:val="21"/>
        </w:rPr>
        <w:t>现文：</w:t>
      </w:r>
      <w:r>
        <w:rPr>
          <w:rFonts w:hint="eastAsia" w:ascii="宋体" w:hAnsi="宋体" w:cs="宋体"/>
          <w:szCs w:val="21"/>
          <w:u w:val="single"/>
        </w:rPr>
        <w:t>详见本招标文件第二章附表三《经济标有效性审查表》</w:t>
      </w:r>
    </w:p>
    <w:p w14:paraId="364FC759">
      <w:pPr>
        <w:spacing w:line="480" w:lineRule="auto"/>
        <w:ind w:firstLine="472" w:firstLineChars="224"/>
        <w:rPr>
          <w:b/>
          <w:szCs w:val="21"/>
        </w:rPr>
      </w:pPr>
      <w:r>
        <w:rPr>
          <w:rFonts w:hint="eastAsia"/>
          <w:b/>
          <w:szCs w:val="21"/>
        </w:rPr>
        <w:t>条款号：</w:t>
      </w:r>
      <w:r>
        <w:rPr>
          <w:rFonts w:hint="eastAsia" w:ascii="宋体" w:hAnsi="宋体" w:cs="宋体"/>
          <w:b/>
          <w:szCs w:val="21"/>
        </w:rPr>
        <w:t>附表四《技术标详细审查评分表》</w:t>
      </w:r>
      <w:r>
        <w:rPr>
          <w:rFonts w:hint="eastAsia" w:ascii="宋体" w:hAnsi="宋体"/>
          <w:szCs w:val="21"/>
        </w:rPr>
        <w:t>　</w:t>
      </w:r>
      <w:r>
        <w:rPr>
          <w:b/>
          <w:szCs w:val="21"/>
        </w:rPr>
        <w:t xml:space="preserve">             </w:t>
      </w:r>
      <w:r>
        <w:rPr>
          <w:rFonts w:hint="eastAsia"/>
          <w:b/>
          <w:szCs w:val="21"/>
        </w:rPr>
        <w:t>修改类型：修改</w:t>
      </w:r>
    </w:p>
    <w:p w14:paraId="2D9F77E0">
      <w:pPr>
        <w:spacing w:line="360" w:lineRule="auto"/>
        <w:ind w:firstLine="468" w:firstLineChars="222"/>
        <w:rPr>
          <w:bCs/>
          <w:szCs w:val="21"/>
        </w:rPr>
      </w:pPr>
      <w:r>
        <w:rPr>
          <w:rFonts w:hint="eastAsia"/>
          <w:b/>
          <w:szCs w:val="21"/>
        </w:rPr>
        <w:t>原文：</w:t>
      </w:r>
      <w:r>
        <w:rPr>
          <w:rFonts w:hint="eastAsia"/>
          <w:bCs/>
          <w:szCs w:val="21"/>
        </w:rPr>
        <w:t>详见最新版广州市城市道路及轨道交通建设工程施工公开招标项目招标文件范本（适用于资格后审电子化施工招标投标项目）GZJTZB2025-3。</w:t>
      </w:r>
    </w:p>
    <w:p w14:paraId="59C69E58">
      <w:pPr>
        <w:pBdr>
          <w:bottom w:val="single" w:color="auto" w:sz="6" w:space="1"/>
        </w:pBdr>
        <w:spacing w:line="480" w:lineRule="auto"/>
        <w:ind w:firstLine="472" w:firstLineChars="224"/>
        <w:rPr>
          <w:b/>
          <w:szCs w:val="21"/>
        </w:rPr>
      </w:pPr>
      <w:r>
        <w:rPr>
          <w:rFonts w:hint="eastAsia"/>
          <w:b/>
          <w:szCs w:val="21"/>
        </w:rPr>
        <w:t>现文：</w:t>
      </w:r>
      <w:r>
        <w:rPr>
          <w:rFonts w:hint="eastAsia" w:ascii="宋体" w:hAnsi="宋体" w:cs="宋体"/>
          <w:szCs w:val="21"/>
          <w:u w:val="single"/>
        </w:rPr>
        <w:t>详见本招标文件第二章附表四《技术标详细审查评分表》</w:t>
      </w:r>
    </w:p>
    <w:p w14:paraId="33B58B3C">
      <w:pPr>
        <w:spacing w:line="360" w:lineRule="auto"/>
        <w:ind w:firstLine="468" w:firstLineChars="222"/>
        <w:rPr>
          <w:rFonts w:hint="eastAsia" w:ascii="宋体" w:hAnsi="宋体" w:cs="宋体"/>
          <w:b/>
          <w:szCs w:val="21"/>
        </w:rPr>
      </w:pPr>
      <w:r>
        <w:rPr>
          <w:rFonts w:hint="eastAsia" w:ascii="宋体" w:hAnsi="宋体" w:cs="宋体"/>
          <w:b/>
          <w:szCs w:val="21"/>
        </w:rPr>
        <w:t>条款号：附表六《需评审的主要项目表》</w:t>
      </w:r>
      <w:r>
        <w:rPr>
          <w:rFonts w:ascii="宋体" w:hAnsi="宋体" w:cs="宋体"/>
          <w:b/>
          <w:szCs w:val="21"/>
        </w:rPr>
        <w:t xml:space="preserve">                 修改类型：</w:t>
      </w:r>
      <w:r>
        <w:rPr>
          <w:rFonts w:hint="eastAsia" w:ascii="宋体" w:hAnsi="宋体" w:cs="宋体"/>
          <w:b/>
          <w:szCs w:val="21"/>
        </w:rPr>
        <w:t>删除</w:t>
      </w:r>
    </w:p>
    <w:p w14:paraId="56AB3A89">
      <w:pPr>
        <w:pBdr>
          <w:bottom w:val="single" w:color="auto" w:sz="6" w:space="1"/>
        </w:pBdr>
        <w:spacing w:line="480" w:lineRule="auto"/>
        <w:ind w:firstLine="472" w:firstLineChars="224"/>
        <w:rPr>
          <w:b/>
          <w:szCs w:val="21"/>
        </w:rPr>
      </w:pPr>
      <w:r>
        <w:rPr>
          <w:rFonts w:hint="eastAsia" w:ascii="宋体" w:hAnsi="宋体" w:cs="宋体"/>
          <w:b/>
          <w:szCs w:val="21"/>
        </w:rPr>
        <w:t>原文：</w:t>
      </w:r>
      <w:r>
        <w:rPr>
          <w:rFonts w:hint="eastAsia" w:ascii="宋体" w:hAnsi="宋体" w:cs="宋体"/>
          <w:bCs/>
          <w:szCs w:val="21"/>
        </w:rPr>
        <w:t>详见最新版广州市城市道路及轨道交通建设工程施工公开招标项目招标文件范本（适用于资格后审电子化施工招标投标项目）GZJTZB2025-3</w:t>
      </w:r>
      <w:r>
        <w:rPr>
          <w:rFonts w:hint="eastAsia" w:ascii="宋体" w:hAnsi="宋体" w:cs="宋体"/>
          <w:b/>
          <w:szCs w:val="21"/>
        </w:rPr>
        <w:t>附表六《需评审的主要项目表》</w:t>
      </w:r>
      <w:r>
        <w:rPr>
          <w:rFonts w:hint="eastAsia" w:ascii="宋体" w:hAnsi="宋体" w:cs="宋体"/>
          <w:bCs/>
          <w:szCs w:val="21"/>
        </w:rPr>
        <w:t>。</w:t>
      </w:r>
    </w:p>
    <w:p w14:paraId="01F18D63">
      <w:pPr>
        <w:spacing w:line="360" w:lineRule="auto"/>
        <w:ind w:firstLine="468" w:firstLineChars="222"/>
        <w:rPr>
          <w:rFonts w:hint="eastAsia" w:ascii="宋体" w:hAnsi="宋体" w:cs="宋体"/>
          <w:b/>
          <w:szCs w:val="21"/>
        </w:rPr>
      </w:pPr>
      <w:r>
        <w:rPr>
          <w:rFonts w:hint="eastAsia" w:ascii="宋体" w:hAnsi="宋体" w:cs="宋体"/>
          <w:b/>
          <w:szCs w:val="21"/>
        </w:rPr>
        <w:t>条款号：附表七《单价基准值计算表》</w:t>
      </w:r>
      <w:r>
        <w:rPr>
          <w:rFonts w:ascii="宋体" w:hAnsi="宋体" w:cs="宋体"/>
          <w:b/>
          <w:szCs w:val="21"/>
        </w:rPr>
        <w:t xml:space="preserve">                 修改类型：</w:t>
      </w:r>
      <w:r>
        <w:rPr>
          <w:rFonts w:hint="eastAsia" w:ascii="宋体" w:hAnsi="宋体" w:cs="宋体"/>
          <w:b/>
          <w:szCs w:val="21"/>
        </w:rPr>
        <w:t>删除</w:t>
      </w:r>
    </w:p>
    <w:p w14:paraId="2AC9CCDB">
      <w:pPr>
        <w:pBdr>
          <w:bottom w:val="single" w:color="auto" w:sz="6" w:space="1"/>
        </w:pBdr>
        <w:spacing w:line="480" w:lineRule="auto"/>
        <w:ind w:firstLine="472" w:firstLineChars="224"/>
        <w:rPr>
          <w:rFonts w:hint="eastAsia" w:ascii="宋体" w:hAnsi="宋体" w:cs="宋体"/>
          <w:bCs/>
          <w:szCs w:val="21"/>
        </w:rPr>
      </w:pPr>
      <w:r>
        <w:rPr>
          <w:rFonts w:hint="eastAsia" w:ascii="宋体" w:hAnsi="宋体" w:cs="宋体"/>
          <w:b/>
          <w:szCs w:val="21"/>
        </w:rPr>
        <w:t>原文：</w:t>
      </w:r>
      <w:r>
        <w:rPr>
          <w:rFonts w:hint="eastAsia" w:ascii="宋体" w:hAnsi="宋体" w:cs="宋体"/>
          <w:bCs/>
          <w:szCs w:val="21"/>
        </w:rPr>
        <w:t>详见最新版广州市城市道路及轨道交通建设工程施工公开招标项目招标文件范本（适用于资格后审电子化施工招标投标项目）GZJTZB2025-3</w:t>
      </w:r>
      <w:r>
        <w:rPr>
          <w:rFonts w:hint="eastAsia" w:ascii="宋体" w:hAnsi="宋体" w:cs="宋体"/>
          <w:b/>
          <w:szCs w:val="21"/>
        </w:rPr>
        <w:t>附表七《单价基准值计算表》</w:t>
      </w:r>
      <w:r>
        <w:rPr>
          <w:rFonts w:hint="eastAsia" w:ascii="宋体" w:hAnsi="宋体" w:cs="宋体"/>
          <w:bCs/>
          <w:szCs w:val="21"/>
        </w:rPr>
        <w:t>。</w:t>
      </w:r>
    </w:p>
    <w:p w14:paraId="1AC4C8C0">
      <w:pPr>
        <w:spacing w:line="360" w:lineRule="auto"/>
        <w:ind w:firstLine="468" w:firstLineChars="222"/>
        <w:rPr>
          <w:rFonts w:hint="eastAsia" w:ascii="宋体" w:hAnsi="宋体" w:cs="宋体"/>
          <w:b/>
          <w:szCs w:val="21"/>
        </w:rPr>
      </w:pPr>
      <w:r>
        <w:rPr>
          <w:rFonts w:hint="eastAsia" w:ascii="宋体" w:hAnsi="宋体" w:cs="宋体"/>
          <w:b/>
          <w:szCs w:val="21"/>
        </w:rPr>
        <w:t>条款号：附表八《投标人（名称）经济标的主要单价评分表》</w:t>
      </w:r>
      <w:r>
        <w:rPr>
          <w:rFonts w:ascii="宋体" w:hAnsi="宋体" w:cs="宋体"/>
          <w:b/>
          <w:szCs w:val="21"/>
        </w:rPr>
        <w:t xml:space="preserve">            修改类型：</w:t>
      </w:r>
      <w:r>
        <w:rPr>
          <w:rFonts w:hint="eastAsia" w:ascii="宋体" w:hAnsi="宋体" w:cs="宋体"/>
          <w:b/>
          <w:szCs w:val="21"/>
        </w:rPr>
        <w:t>删除</w:t>
      </w:r>
    </w:p>
    <w:p w14:paraId="0A563A68">
      <w:pPr>
        <w:pBdr>
          <w:bottom w:val="single" w:color="auto" w:sz="6" w:space="1"/>
        </w:pBdr>
        <w:spacing w:line="360" w:lineRule="auto"/>
        <w:ind w:firstLine="468" w:firstLineChars="222"/>
        <w:rPr>
          <w:rFonts w:hint="eastAsia" w:ascii="宋体" w:hAnsi="宋体" w:cs="宋体"/>
          <w:bCs/>
          <w:szCs w:val="21"/>
        </w:rPr>
      </w:pPr>
      <w:r>
        <w:rPr>
          <w:rFonts w:hint="eastAsia" w:ascii="宋体" w:hAnsi="宋体" w:cs="宋体"/>
          <w:b/>
          <w:szCs w:val="21"/>
        </w:rPr>
        <w:t>原文：</w:t>
      </w:r>
      <w:r>
        <w:rPr>
          <w:rFonts w:hint="eastAsia" w:ascii="宋体" w:hAnsi="宋体" w:cs="宋体"/>
          <w:bCs/>
          <w:szCs w:val="21"/>
        </w:rPr>
        <w:t>详见最新版广州市城市道路及轨道交通建设工程施工公开招标项目招标文件范本（适用于资格后审电子化施工招标投标项目）GZJTZB2025-3</w:t>
      </w:r>
      <w:r>
        <w:rPr>
          <w:rFonts w:hint="eastAsia" w:ascii="宋体" w:hAnsi="宋体" w:cs="宋体"/>
          <w:b/>
          <w:szCs w:val="21"/>
        </w:rPr>
        <w:t>附表八《投标人（名称）经济标的主要单价评分表》</w:t>
      </w:r>
      <w:r>
        <w:rPr>
          <w:rFonts w:hint="eastAsia" w:ascii="宋体" w:hAnsi="宋体" w:cs="宋体"/>
          <w:bCs/>
          <w:szCs w:val="21"/>
        </w:rPr>
        <w:t>。</w:t>
      </w:r>
    </w:p>
    <w:p w14:paraId="290B544A">
      <w:pPr>
        <w:spacing w:line="360" w:lineRule="auto"/>
        <w:ind w:firstLine="468" w:firstLineChars="222"/>
        <w:rPr>
          <w:rFonts w:hint="eastAsia" w:ascii="宋体" w:hAnsi="宋体" w:cs="宋体"/>
          <w:b/>
          <w:szCs w:val="21"/>
        </w:rPr>
      </w:pPr>
      <w:r>
        <w:rPr>
          <w:rFonts w:hint="eastAsia" w:ascii="宋体" w:hAnsi="宋体" w:cs="宋体"/>
          <w:b/>
          <w:szCs w:val="21"/>
        </w:rPr>
        <w:t>条款号：附表九《经济分汇总表》</w:t>
      </w:r>
      <w:r>
        <w:rPr>
          <w:rFonts w:ascii="宋体" w:hAnsi="宋体" w:cs="宋体"/>
          <w:b/>
          <w:szCs w:val="21"/>
        </w:rPr>
        <w:t xml:space="preserve">                 修改类型：</w:t>
      </w:r>
      <w:r>
        <w:rPr>
          <w:rFonts w:hint="eastAsia" w:ascii="宋体" w:hAnsi="宋体" w:cs="宋体"/>
          <w:b/>
          <w:szCs w:val="21"/>
        </w:rPr>
        <w:t>删除</w:t>
      </w:r>
    </w:p>
    <w:p w14:paraId="32AD70AD">
      <w:pPr>
        <w:pBdr>
          <w:bottom w:val="single" w:color="auto" w:sz="6" w:space="1"/>
        </w:pBdr>
        <w:spacing w:line="360" w:lineRule="auto"/>
        <w:ind w:firstLine="468" w:firstLineChars="222"/>
        <w:rPr>
          <w:rFonts w:hint="eastAsia" w:ascii="宋体" w:hAnsi="宋体" w:cs="宋体"/>
          <w:bCs/>
          <w:szCs w:val="21"/>
        </w:rPr>
      </w:pPr>
      <w:r>
        <w:rPr>
          <w:rFonts w:hint="eastAsia" w:ascii="宋体" w:hAnsi="宋体" w:cs="宋体"/>
          <w:b/>
          <w:szCs w:val="21"/>
        </w:rPr>
        <w:t>原文：</w:t>
      </w:r>
      <w:r>
        <w:rPr>
          <w:rFonts w:hint="eastAsia" w:ascii="宋体" w:hAnsi="宋体" w:cs="宋体"/>
          <w:bCs/>
          <w:szCs w:val="21"/>
        </w:rPr>
        <w:t>详见最新版广州市城市道路及轨道交通建设工程施工公开招标项目招标文件范本（适用于资格后审电子化施工招标投标项目）GZJTZB2025-3</w:t>
      </w:r>
      <w:r>
        <w:rPr>
          <w:rFonts w:hint="eastAsia" w:ascii="宋体" w:hAnsi="宋体" w:cs="宋体"/>
          <w:b/>
          <w:szCs w:val="21"/>
        </w:rPr>
        <w:t>附表九《经济分汇总表》</w:t>
      </w:r>
      <w:r>
        <w:rPr>
          <w:rFonts w:hint="eastAsia" w:ascii="宋体" w:hAnsi="宋体" w:cs="宋体"/>
          <w:bCs/>
          <w:szCs w:val="21"/>
        </w:rPr>
        <w:t>。</w:t>
      </w:r>
    </w:p>
    <w:p w14:paraId="42C875DD">
      <w:pPr>
        <w:spacing w:line="360" w:lineRule="auto"/>
        <w:ind w:firstLine="211" w:firstLineChars="100"/>
        <w:rPr>
          <w:b/>
          <w:szCs w:val="21"/>
        </w:rPr>
      </w:pPr>
      <w:r>
        <w:rPr>
          <w:rFonts w:hint="eastAsia"/>
          <w:b/>
          <w:szCs w:val="21"/>
        </w:rPr>
        <w:t>注：以上修改，仅限于本范本中有可供选择条款的情形。</w:t>
      </w:r>
    </w:p>
    <w:p w14:paraId="1F5E7109">
      <w:pPr>
        <w:spacing w:line="360" w:lineRule="auto"/>
        <w:rPr>
          <w:szCs w:val="21"/>
        </w:rPr>
      </w:pPr>
      <w:r>
        <w:rPr>
          <w:rFonts w:hint="eastAsia"/>
          <w:b/>
          <w:szCs w:val="21"/>
        </w:rPr>
        <w:t>（以下无正文）</w:t>
      </w:r>
    </w:p>
    <w:p w14:paraId="05232045">
      <w:pPr>
        <w:pStyle w:val="8"/>
        <w:spacing w:line="360" w:lineRule="auto"/>
      </w:pPr>
      <w:r>
        <w:br w:type="page"/>
      </w:r>
    </w:p>
    <w:p w14:paraId="2F999ACF">
      <w:pPr>
        <w:pStyle w:val="7"/>
        <w:rPr>
          <w:color w:val="auto"/>
        </w:rPr>
      </w:pPr>
      <w:bookmarkStart w:id="50" w:name="_Toc21525500"/>
      <w:bookmarkStart w:id="51" w:name="_Toc10979"/>
      <w:bookmarkStart w:id="52" w:name="_Toc9828"/>
      <w:bookmarkStart w:id="53" w:name="_Toc2272556"/>
      <w:r>
        <w:rPr>
          <w:rFonts w:hint="eastAsia"/>
          <w:color w:val="auto"/>
        </w:rPr>
        <w:t>二、开标、评标及定标办法通用条款</w:t>
      </w:r>
      <w:bookmarkEnd w:id="50"/>
      <w:bookmarkEnd w:id="51"/>
      <w:bookmarkEnd w:id="52"/>
      <w:bookmarkEnd w:id="53"/>
    </w:p>
    <w:p w14:paraId="32D4C354">
      <w:pPr>
        <w:pStyle w:val="9"/>
        <w:wordWrap w:val="0"/>
        <w:adjustRightInd w:val="0"/>
        <w:snapToGrid w:val="0"/>
        <w:spacing w:before="0" w:beforeAutospacing="0" w:after="0" w:afterAutospacing="0" w:line="360" w:lineRule="auto"/>
        <w:ind w:firstLine="480" w:firstLineChars="200"/>
        <w:rPr>
          <w:rFonts w:hint="eastAsia"/>
          <w:szCs w:val="24"/>
        </w:rPr>
      </w:pPr>
      <w:bookmarkStart w:id="54" w:name="_Toc9754"/>
      <w:bookmarkStart w:id="55" w:name="_Toc5795"/>
      <w:bookmarkStart w:id="56" w:name="_Toc9587"/>
      <w:bookmarkStart w:id="57" w:name="_Toc26489"/>
      <w:bookmarkStart w:id="58" w:name="_Toc2272558"/>
      <w:bookmarkStart w:id="59" w:name="_Toc21525502"/>
      <w:bookmarkStart w:id="60" w:name="_Toc7116"/>
      <w:r>
        <w:rPr>
          <w:rFonts w:hint="eastAsia"/>
          <w:szCs w:val="24"/>
        </w:rPr>
        <w:t>（一）总则</w:t>
      </w:r>
      <w:bookmarkEnd w:id="54"/>
      <w:bookmarkEnd w:id="55"/>
      <w:bookmarkEnd w:id="56"/>
    </w:p>
    <w:p w14:paraId="275635F9">
      <w:pPr>
        <w:wordWrap w:val="0"/>
        <w:adjustRightInd w:val="0"/>
        <w:snapToGrid w:val="0"/>
        <w:spacing w:line="360" w:lineRule="auto"/>
        <w:ind w:firstLine="480" w:firstLineChars="200"/>
        <w:rPr>
          <w:rFonts w:hint="eastAsia" w:ascii="宋体" w:hAnsi="宋体"/>
          <w:sz w:val="24"/>
          <w:szCs w:val="24"/>
        </w:rPr>
      </w:pPr>
      <w:r>
        <w:rPr>
          <w:rFonts w:hint="eastAsia" w:ascii="宋体" w:hAnsi="宋体"/>
          <w:sz w:val="24"/>
          <w:szCs w:val="24"/>
        </w:rPr>
        <w:t>35.开标、评标及定标所依据的规则</w:t>
      </w:r>
      <w:bookmarkEnd w:id="57"/>
    </w:p>
    <w:p w14:paraId="31615DBC">
      <w:pPr>
        <w:wordWrap w:val="0"/>
        <w:adjustRightInd w:val="0"/>
        <w:snapToGrid w:val="0"/>
        <w:spacing w:line="360" w:lineRule="auto"/>
        <w:ind w:firstLine="480" w:firstLineChars="200"/>
        <w:rPr>
          <w:rFonts w:hint="eastAsia" w:ascii="宋体" w:hAnsi="宋体"/>
          <w:sz w:val="24"/>
          <w:szCs w:val="24"/>
        </w:rPr>
      </w:pPr>
      <w:r>
        <w:rPr>
          <w:rFonts w:hint="eastAsia" w:ascii="宋体" w:hAnsi="宋体"/>
          <w:sz w:val="24"/>
          <w:szCs w:val="24"/>
        </w:rPr>
        <w:t>35.1《中华人民共和国招标投标法》；</w:t>
      </w:r>
    </w:p>
    <w:p w14:paraId="7F55CBB0">
      <w:pPr>
        <w:wordWrap w:val="0"/>
        <w:adjustRightInd w:val="0"/>
        <w:snapToGrid w:val="0"/>
        <w:spacing w:line="360" w:lineRule="auto"/>
        <w:ind w:firstLine="480" w:firstLineChars="200"/>
        <w:rPr>
          <w:rFonts w:hint="eastAsia" w:ascii="宋体" w:hAnsi="宋体"/>
          <w:sz w:val="24"/>
          <w:szCs w:val="24"/>
        </w:rPr>
      </w:pPr>
      <w:r>
        <w:rPr>
          <w:rFonts w:hint="eastAsia" w:ascii="宋体" w:hAnsi="宋体"/>
          <w:sz w:val="24"/>
          <w:szCs w:val="24"/>
        </w:rPr>
        <w:t>35</w:t>
      </w:r>
      <w:r>
        <w:rPr>
          <w:rFonts w:ascii="宋体" w:hAnsi="宋体"/>
          <w:sz w:val="24"/>
          <w:szCs w:val="24"/>
        </w:rPr>
        <w:t>.2</w:t>
      </w:r>
      <w:r>
        <w:rPr>
          <w:rFonts w:hint="eastAsia" w:ascii="宋体" w:hAnsi="宋体"/>
          <w:sz w:val="24"/>
          <w:szCs w:val="24"/>
        </w:rPr>
        <w:t>《中华人民共和国招标投标法实施条例》；</w:t>
      </w:r>
    </w:p>
    <w:p w14:paraId="19740957">
      <w:pPr>
        <w:wordWrap w:val="0"/>
        <w:adjustRightInd w:val="0"/>
        <w:snapToGrid w:val="0"/>
        <w:spacing w:line="360" w:lineRule="auto"/>
        <w:ind w:firstLine="480" w:firstLineChars="200"/>
        <w:rPr>
          <w:rFonts w:hint="eastAsia" w:ascii="宋体" w:hAnsi="宋体"/>
          <w:sz w:val="24"/>
          <w:szCs w:val="24"/>
        </w:rPr>
      </w:pPr>
      <w:r>
        <w:rPr>
          <w:rFonts w:hint="eastAsia" w:ascii="宋体" w:hAnsi="宋体"/>
          <w:sz w:val="24"/>
          <w:szCs w:val="24"/>
        </w:rPr>
        <w:t>35</w:t>
      </w:r>
      <w:r>
        <w:rPr>
          <w:rFonts w:ascii="宋体" w:hAnsi="宋体"/>
          <w:sz w:val="24"/>
          <w:szCs w:val="24"/>
        </w:rPr>
        <w:t>.3</w:t>
      </w:r>
      <w:r>
        <w:rPr>
          <w:rFonts w:hint="eastAsia" w:ascii="宋体" w:hAnsi="宋体"/>
          <w:sz w:val="24"/>
          <w:szCs w:val="24"/>
        </w:rPr>
        <w:t>《评标委员会和评标方法暂行规定》（七部委第</w:t>
      </w:r>
      <w:r>
        <w:rPr>
          <w:rFonts w:ascii="宋体" w:hAnsi="宋体"/>
          <w:sz w:val="24"/>
          <w:szCs w:val="24"/>
        </w:rPr>
        <w:t>12</w:t>
      </w:r>
      <w:r>
        <w:rPr>
          <w:rFonts w:hint="eastAsia" w:ascii="宋体" w:hAnsi="宋体"/>
          <w:sz w:val="24"/>
          <w:szCs w:val="24"/>
        </w:rPr>
        <w:t>号令）；</w:t>
      </w:r>
    </w:p>
    <w:p w14:paraId="1396FF63">
      <w:pPr>
        <w:wordWrap w:val="0"/>
        <w:adjustRightInd w:val="0"/>
        <w:snapToGrid w:val="0"/>
        <w:spacing w:line="360" w:lineRule="auto"/>
        <w:ind w:firstLine="480" w:firstLineChars="200"/>
        <w:rPr>
          <w:rFonts w:hint="eastAsia" w:ascii="宋体" w:hAnsi="宋体"/>
          <w:sz w:val="24"/>
          <w:szCs w:val="24"/>
        </w:rPr>
      </w:pPr>
      <w:r>
        <w:rPr>
          <w:rFonts w:hint="eastAsia" w:ascii="宋体" w:hAnsi="宋体"/>
          <w:sz w:val="24"/>
          <w:szCs w:val="24"/>
        </w:rPr>
        <w:t>35</w:t>
      </w:r>
      <w:r>
        <w:rPr>
          <w:rFonts w:ascii="宋体" w:hAnsi="宋体"/>
          <w:sz w:val="24"/>
          <w:szCs w:val="24"/>
        </w:rPr>
        <w:t>.4</w:t>
      </w:r>
      <w:r>
        <w:rPr>
          <w:rFonts w:hint="eastAsia" w:ascii="宋体" w:hAnsi="宋体"/>
          <w:sz w:val="24"/>
          <w:szCs w:val="24"/>
        </w:rPr>
        <w:t>《工程建设项目施工招标投标办法》（七部委</w:t>
      </w:r>
      <w:r>
        <w:rPr>
          <w:rFonts w:ascii="宋体" w:hAnsi="宋体"/>
          <w:sz w:val="24"/>
          <w:szCs w:val="24"/>
        </w:rPr>
        <w:t>2003</w:t>
      </w:r>
      <w:r>
        <w:rPr>
          <w:rFonts w:hint="eastAsia" w:ascii="宋体" w:hAnsi="宋体"/>
          <w:sz w:val="24"/>
          <w:szCs w:val="24"/>
        </w:rPr>
        <w:t>年第</w:t>
      </w:r>
      <w:r>
        <w:rPr>
          <w:rFonts w:ascii="宋体" w:hAnsi="宋体"/>
          <w:sz w:val="24"/>
          <w:szCs w:val="24"/>
        </w:rPr>
        <w:t>30</w:t>
      </w:r>
      <w:r>
        <w:rPr>
          <w:rFonts w:hint="eastAsia" w:ascii="宋体" w:hAnsi="宋体"/>
          <w:sz w:val="24"/>
          <w:szCs w:val="24"/>
        </w:rPr>
        <w:t>号令）；</w:t>
      </w:r>
    </w:p>
    <w:p w14:paraId="22D035F5">
      <w:pPr>
        <w:wordWrap w:val="0"/>
        <w:adjustRightInd w:val="0"/>
        <w:snapToGrid w:val="0"/>
        <w:spacing w:line="360" w:lineRule="auto"/>
        <w:ind w:firstLine="480" w:firstLineChars="200"/>
        <w:rPr>
          <w:rFonts w:hint="eastAsia" w:ascii="宋体" w:hAnsi="宋体"/>
          <w:sz w:val="24"/>
          <w:szCs w:val="24"/>
        </w:rPr>
      </w:pPr>
      <w:r>
        <w:rPr>
          <w:rFonts w:hint="eastAsia" w:ascii="宋体" w:hAnsi="宋体"/>
          <w:sz w:val="24"/>
          <w:szCs w:val="24"/>
        </w:rPr>
        <w:t>35</w:t>
      </w:r>
      <w:r>
        <w:rPr>
          <w:rFonts w:ascii="宋体" w:hAnsi="宋体"/>
          <w:sz w:val="24"/>
          <w:szCs w:val="24"/>
        </w:rPr>
        <w:t>.5</w:t>
      </w:r>
      <w:r>
        <w:rPr>
          <w:rFonts w:hint="eastAsia" w:ascii="宋体" w:hAnsi="宋体"/>
          <w:sz w:val="24"/>
          <w:szCs w:val="24"/>
        </w:rPr>
        <w:t>《电子招标投标办法》；</w:t>
      </w:r>
    </w:p>
    <w:p w14:paraId="28B2CC4D">
      <w:pPr>
        <w:wordWrap w:val="0"/>
        <w:adjustRightInd w:val="0"/>
        <w:snapToGrid w:val="0"/>
        <w:spacing w:line="360" w:lineRule="auto"/>
        <w:ind w:firstLine="480" w:firstLineChars="200"/>
        <w:rPr>
          <w:rFonts w:hint="eastAsia" w:ascii="宋体" w:hAnsi="宋体"/>
          <w:sz w:val="24"/>
          <w:szCs w:val="24"/>
        </w:rPr>
      </w:pPr>
      <w:r>
        <w:rPr>
          <w:rFonts w:hint="eastAsia" w:ascii="宋体" w:hAnsi="宋体"/>
          <w:sz w:val="24"/>
          <w:szCs w:val="24"/>
        </w:rPr>
        <w:t>35.6《广东省实施〈中华人民共和国招标投标法〉办法》；</w:t>
      </w:r>
    </w:p>
    <w:p w14:paraId="6E5466B5">
      <w:pPr>
        <w:wordWrap w:val="0"/>
        <w:adjustRightInd w:val="0"/>
        <w:snapToGrid w:val="0"/>
        <w:spacing w:line="360" w:lineRule="auto"/>
        <w:ind w:firstLine="480" w:firstLineChars="200"/>
        <w:rPr>
          <w:rFonts w:hint="eastAsia" w:ascii="宋体" w:hAnsi="宋体"/>
          <w:sz w:val="24"/>
          <w:szCs w:val="24"/>
        </w:rPr>
      </w:pPr>
      <w:r>
        <w:rPr>
          <w:rFonts w:hint="eastAsia" w:ascii="宋体" w:hAnsi="宋体"/>
          <w:sz w:val="24"/>
          <w:szCs w:val="24"/>
        </w:rPr>
        <w:t>35</w:t>
      </w:r>
      <w:r>
        <w:rPr>
          <w:rFonts w:ascii="宋体" w:hAnsi="宋体"/>
          <w:sz w:val="24"/>
          <w:szCs w:val="24"/>
        </w:rPr>
        <w:t>.</w:t>
      </w:r>
      <w:r>
        <w:rPr>
          <w:rFonts w:hint="eastAsia" w:ascii="宋体" w:hAnsi="宋体"/>
          <w:sz w:val="24"/>
          <w:szCs w:val="24"/>
        </w:rPr>
        <w:t>7《房屋建筑和市政基础设施工程施工招标投标管理办法》（建设部令第</w:t>
      </w:r>
      <w:r>
        <w:rPr>
          <w:rFonts w:ascii="宋体" w:hAnsi="宋体"/>
          <w:sz w:val="24"/>
          <w:szCs w:val="24"/>
        </w:rPr>
        <w:t>89</w:t>
      </w:r>
      <w:r>
        <w:rPr>
          <w:rFonts w:hint="eastAsia" w:ascii="宋体" w:hAnsi="宋体"/>
          <w:sz w:val="24"/>
          <w:szCs w:val="24"/>
        </w:rPr>
        <w:t>号）；</w:t>
      </w:r>
    </w:p>
    <w:p w14:paraId="36F52B8F">
      <w:pPr>
        <w:wordWrap w:val="0"/>
        <w:adjustRightInd w:val="0"/>
        <w:snapToGrid w:val="0"/>
        <w:spacing w:line="360" w:lineRule="auto"/>
        <w:ind w:firstLine="480" w:firstLineChars="200"/>
        <w:rPr>
          <w:rFonts w:hint="eastAsia" w:ascii="宋体" w:hAnsi="宋体"/>
          <w:sz w:val="24"/>
          <w:szCs w:val="24"/>
        </w:rPr>
      </w:pPr>
      <w:r>
        <w:rPr>
          <w:rFonts w:hint="eastAsia" w:ascii="宋体" w:hAnsi="宋体"/>
          <w:sz w:val="24"/>
          <w:szCs w:val="24"/>
        </w:rPr>
        <w:t>35</w:t>
      </w:r>
      <w:r>
        <w:rPr>
          <w:rFonts w:ascii="宋体" w:hAnsi="宋体"/>
          <w:sz w:val="24"/>
          <w:szCs w:val="24"/>
        </w:rPr>
        <w:t>.</w:t>
      </w:r>
      <w:r>
        <w:rPr>
          <w:rFonts w:hint="eastAsia" w:ascii="宋体" w:hAnsi="宋体"/>
          <w:sz w:val="24"/>
          <w:szCs w:val="24"/>
        </w:rPr>
        <w:t>8《广东省加强建设工程招标投标监督管理的若干规定》（粤发[2004]4号）；</w:t>
      </w:r>
    </w:p>
    <w:p w14:paraId="7694E5E3">
      <w:pPr>
        <w:wordWrap w:val="0"/>
        <w:adjustRightInd w:val="0"/>
        <w:snapToGrid w:val="0"/>
        <w:spacing w:line="360" w:lineRule="auto"/>
        <w:ind w:firstLine="480" w:firstLineChars="200"/>
        <w:rPr>
          <w:rFonts w:hint="eastAsia" w:ascii="宋体" w:hAnsi="宋体"/>
          <w:sz w:val="24"/>
          <w:szCs w:val="24"/>
        </w:rPr>
      </w:pPr>
      <w:r>
        <w:rPr>
          <w:rFonts w:hint="eastAsia" w:ascii="宋体" w:hAnsi="宋体"/>
          <w:sz w:val="24"/>
          <w:szCs w:val="24"/>
        </w:rPr>
        <w:t>35</w:t>
      </w:r>
      <w:r>
        <w:rPr>
          <w:rFonts w:ascii="宋体" w:hAnsi="宋体"/>
          <w:sz w:val="24"/>
          <w:szCs w:val="24"/>
        </w:rPr>
        <w:t>.</w:t>
      </w:r>
      <w:r>
        <w:rPr>
          <w:rFonts w:hint="eastAsia" w:ascii="宋体" w:hAnsi="宋体"/>
          <w:sz w:val="24"/>
          <w:szCs w:val="24"/>
        </w:rPr>
        <w:t>9《广州市工程建设项目招标投标管理办法》（穗建规字〔</w:t>
      </w:r>
      <w:r>
        <w:rPr>
          <w:rFonts w:ascii="宋体" w:hAnsi="宋体"/>
          <w:sz w:val="24"/>
          <w:szCs w:val="24"/>
        </w:rPr>
        <w:t>2023</w:t>
      </w:r>
      <w:r>
        <w:rPr>
          <w:rFonts w:hint="eastAsia" w:ascii="宋体" w:hAnsi="宋体"/>
          <w:sz w:val="24"/>
          <w:szCs w:val="24"/>
        </w:rPr>
        <w:t>〕</w:t>
      </w:r>
      <w:r>
        <w:rPr>
          <w:rFonts w:ascii="宋体" w:hAnsi="宋体"/>
          <w:sz w:val="24"/>
          <w:szCs w:val="24"/>
        </w:rPr>
        <w:t>12</w:t>
      </w:r>
      <w:r>
        <w:rPr>
          <w:rFonts w:hint="eastAsia" w:ascii="宋体" w:hAnsi="宋体"/>
          <w:sz w:val="24"/>
          <w:szCs w:val="24"/>
        </w:rPr>
        <w:t>号）。</w:t>
      </w:r>
    </w:p>
    <w:p w14:paraId="4944269B">
      <w:pPr>
        <w:wordWrap w:val="0"/>
        <w:adjustRightInd w:val="0"/>
        <w:snapToGrid w:val="0"/>
        <w:spacing w:line="360" w:lineRule="auto"/>
        <w:ind w:firstLine="480" w:firstLineChars="200"/>
        <w:rPr>
          <w:rFonts w:hint="eastAsia" w:ascii="宋体" w:hAnsi="宋体"/>
          <w:sz w:val="24"/>
          <w:szCs w:val="24"/>
        </w:rPr>
      </w:pPr>
      <w:r>
        <w:rPr>
          <w:rFonts w:hint="eastAsia" w:ascii="宋体" w:hAnsi="宋体"/>
          <w:sz w:val="24"/>
          <w:szCs w:val="24"/>
        </w:rPr>
        <w:t>35.10本项目招标文件。</w:t>
      </w:r>
    </w:p>
    <w:p w14:paraId="5689ECF0">
      <w:pPr>
        <w:wordWrap w:val="0"/>
        <w:adjustRightInd w:val="0"/>
        <w:snapToGrid w:val="0"/>
        <w:spacing w:line="360" w:lineRule="auto"/>
        <w:ind w:firstLine="480" w:firstLineChars="200"/>
        <w:rPr>
          <w:rFonts w:hint="eastAsia" w:ascii="宋体" w:hAnsi="宋体"/>
          <w:sz w:val="24"/>
          <w:szCs w:val="24"/>
        </w:rPr>
      </w:pPr>
      <w:bookmarkStart w:id="61" w:name="_Toc1310"/>
      <w:r>
        <w:rPr>
          <w:rFonts w:hint="eastAsia" w:ascii="宋体" w:hAnsi="宋体"/>
          <w:sz w:val="24"/>
          <w:szCs w:val="24"/>
        </w:rPr>
        <w:t>36．开标</w:t>
      </w:r>
      <w:bookmarkEnd w:id="61"/>
    </w:p>
    <w:p w14:paraId="04538ADC">
      <w:pPr>
        <w:wordWrap w:val="0"/>
        <w:adjustRightInd w:val="0"/>
        <w:snapToGrid w:val="0"/>
        <w:spacing w:line="360" w:lineRule="auto"/>
        <w:ind w:firstLine="480" w:firstLineChars="200"/>
        <w:rPr>
          <w:rFonts w:hint="eastAsia" w:ascii="宋体" w:hAnsi="宋体"/>
          <w:sz w:val="24"/>
          <w:szCs w:val="24"/>
        </w:rPr>
      </w:pPr>
      <w:r>
        <w:rPr>
          <w:rFonts w:hint="eastAsia" w:ascii="宋体" w:hAnsi="宋体"/>
          <w:sz w:val="24"/>
          <w:szCs w:val="24"/>
        </w:rPr>
        <w:t>36.1招标人按投标须知前附表第18项所规定的时间和地点通过电子招标投标交易平台公开开标，并邀请所有投标人参加，投标人可选择在开标室参加开标或准时在线参加开标，也可以不参加开标，均不影响开标程序。</w:t>
      </w:r>
      <w:r>
        <w:rPr>
          <w:rFonts w:hint="eastAsia"/>
          <w:sz w:val="24"/>
          <w:szCs w:val="24"/>
        </w:rPr>
        <w:t>投标人不派代表参加开标会，则视其为放弃参与开标的权利，认可开标结果。</w:t>
      </w:r>
      <w:r>
        <w:rPr>
          <w:rFonts w:hint="eastAsia" w:ascii="宋体" w:hAnsi="宋体"/>
          <w:sz w:val="24"/>
          <w:szCs w:val="24"/>
        </w:rPr>
        <w:t>截标后，开标开始时间因故推迟的，相关评标信息仍以原定的开标开始时间的信息为准。</w:t>
      </w:r>
    </w:p>
    <w:p w14:paraId="1402BAF8">
      <w:pPr>
        <w:wordWrap w:val="0"/>
        <w:adjustRightInd w:val="0"/>
        <w:snapToGrid w:val="0"/>
        <w:spacing w:line="360" w:lineRule="auto"/>
        <w:ind w:firstLine="480" w:firstLineChars="200"/>
        <w:rPr>
          <w:rFonts w:hint="eastAsia" w:ascii="宋体" w:hAnsi="宋体"/>
          <w:sz w:val="24"/>
          <w:szCs w:val="24"/>
        </w:rPr>
      </w:pPr>
      <w:r>
        <w:rPr>
          <w:rFonts w:ascii="宋体" w:hAnsi="宋体"/>
          <w:sz w:val="24"/>
          <w:szCs w:val="24"/>
        </w:rPr>
        <w:t>36.2</w:t>
      </w:r>
      <w:r>
        <w:rPr>
          <w:rFonts w:hint="eastAsia" w:ascii="宋体" w:hAnsi="宋体"/>
          <w:sz w:val="24"/>
          <w:szCs w:val="24"/>
        </w:rPr>
        <w:t>招标人在招标文件要求提交投标文件的截止时间前收到的投标文件，开标时都当众予以解密、公布。</w:t>
      </w:r>
    </w:p>
    <w:p w14:paraId="47CB738A">
      <w:pPr>
        <w:wordWrap w:val="0"/>
        <w:adjustRightInd w:val="0"/>
        <w:snapToGrid w:val="0"/>
        <w:spacing w:line="360" w:lineRule="auto"/>
        <w:ind w:firstLine="480" w:firstLineChars="200"/>
        <w:rPr>
          <w:rFonts w:hint="eastAsia" w:ascii="宋体" w:hAnsi="宋体"/>
          <w:strike/>
          <w:sz w:val="24"/>
          <w:szCs w:val="24"/>
        </w:rPr>
      </w:pPr>
      <w:r>
        <w:rPr>
          <w:rFonts w:hint="eastAsia" w:ascii="宋体" w:hAnsi="宋体"/>
          <w:strike/>
          <w:sz w:val="24"/>
          <w:szCs w:val="24"/>
        </w:rPr>
        <w:t>36.3根据投标须知前附表第19项，如需抽取某一种评标办法供评标时使用的，可在开标时（唱标工作完成后）抽取。首先对招标文件中约定的若干种评标方法进行编号，再随机抽取某一编号，该编号所对应的评标办法供评标时使用。</w:t>
      </w:r>
    </w:p>
    <w:p w14:paraId="631C5EDB">
      <w:pPr>
        <w:wordWrap w:val="0"/>
        <w:adjustRightInd w:val="0"/>
        <w:snapToGrid w:val="0"/>
        <w:spacing w:line="360" w:lineRule="auto"/>
        <w:ind w:firstLine="480" w:firstLineChars="200"/>
        <w:rPr>
          <w:rFonts w:hint="eastAsia" w:ascii="宋体" w:hAnsi="宋体"/>
          <w:sz w:val="24"/>
          <w:szCs w:val="24"/>
        </w:rPr>
      </w:pPr>
      <w:r>
        <w:rPr>
          <w:rFonts w:hint="eastAsia" w:ascii="宋体" w:hAnsi="宋体"/>
          <w:sz w:val="24"/>
          <w:szCs w:val="24"/>
        </w:rPr>
        <w:t>36.4若递交投标文件的投标人不足3家，则重新组织招标。</w:t>
      </w:r>
      <w:r>
        <w:rPr>
          <w:rFonts w:hint="eastAsia" w:ascii="宋体" w:hAnsi="宋体"/>
          <w:strike/>
          <w:sz w:val="24"/>
          <w:szCs w:val="24"/>
        </w:rPr>
        <w:t>（当</w:t>
      </w:r>
      <w:r>
        <w:rPr>
          <w:rFonts w:ascii="宋体" w:hAnsi="宋体"/>
          <w:strike/>
          <w:sz w:val="24"/>
          <w:szCs w:val="24"/>
        </w:rPr>
        <w:t>N</w:t>
      </w:r>
      <w:r>
        <w:rPr>
          <w:rFonts w:hint="eastAsia" w:ascii="宋体" w:hAnsi="宋体"/>
          <w:strike/>
          <w:sz w:val="24"/>
          <w:szCs w:val="24"/>
        </w:rPr>
        <w:t>个标段同时招标且不允许兼中时，若有效投标人不足</w:t>
      </w:r>
      <w:r>
        <w:rPr>
          <w:rFonts w:ascii="宋体" w:hAnsi="宋体"/>
          <w:strike/>
          <w:sz w:val="24"/>
          <w:szCs w:val="24"/>
        </w:rPr>
        <w:t>N+</w:t>
      </w:r>
      <w:r>
        <w:rPr>
          <w:rFonts w:hint="eastAsia" w:ascii="宋体" w:hAnsi="宋体"/>
          <w:strike/>
          <w:sz w:val="24"/>
          <w:szCs w:val="24"/>
        </w:rPr>
        <w:t>2家，则重新组织招标）</w:t>
      </w:r>
      <w:r>
        <w:rPr>
          <w:rFonts w:hint="eastAsia" w:ascii="宋体" w:hAnsi="宋体"/>
          <w:sz w:val="24"/>
          <w:szCs w:val="24"/>
        </w:rPr>
        <w:t>。</w:t>
      </w:r>
    </w:p>
    <w:p w14:paraId="526FDCB6">
      <w:pPr>
        <w:wordWrap w:val="0"/>
        <w:adjustRightInd w:val="0"/>
        <w:snapToGrid w:val="0"/>
        <w:spacing w:line="360" w:lineRule="auto"/>
        <w:ind w:firstLine="480" w:firstLineChars="200"/>
        <w:rPr>
          <w:rFonts w:hint="eastAsia" w:ascii="宋体" w:hAnsi="宋体"/>
          <w:sz w:val="24"/>
          <w:szCs w:val="24"/>
        </w:rPr>
      </w:pPr>
      <w:r>
        <w:rPr>
          <w:rFonts w:hint="eastAsia" w:ascii="宋体" w:hAnsi="宋体"/>
          <w:sz w:val="24"/>
          <w:szCs w:val="24"/>
        </w:rPr>
        <w:t>36.5按下列程序进行开标：</w:t>
      </w:r>
    </w:p>
    <w:p w14:paraId="28731433">
      <w:pPr>
        <w:wordWrap w:val="0"/>
        <w:adjustRightInd w:val="0"/>
        <w:snapToGrid w:val="0"/>
        <w:spacing w:line="360" w:lineRule="auto"/>
        <w:ind w:firstLine="480" w:firstLineChars="200"/>
        <w:rPr>
          <w:rFonts w:hint="eastAsia" w:ascii="宋体" w:hAnsi="宋体"/>
          <w:sz w:val="24"/>
          <w:szCs w:val="24"/>
        </w:rPr>
      </w:pPr>
      <w:r>
        <w:rPr>
          <w:rFonts w:hint="eastAsia" w:ascii="宋体" w:hAnsi="宋体"/>
          <w:sz w:val="24"/>
          <w:szCs w:val="24"/>
        </w:rPr>
        <w:t>36.5.1在投标截止时间后</w:t>
      </w:r>
      <w:r>
        <w:rPr>
          <w:rFonts w:hint="eastAsia" w:ascii="宋体" w:hAnsi="宋体"/>
          <w:sz w:val="24"/>
          <w:szCs w:val="24"/>
          <w:u w:val="single"/>
        </w:rPr>
        <w:t>1</w:t>
      </w:r>
      <w:r>
        <w:rPr>
          <w:rFonts w:hint="eastAsia" w:ascii="宋体" w:hAnsi="宋体"/>
          <w:sz w:val="24"/>
          <w:szCs w:val="24"/>
        </w:rPr>
        <w:t>小时内，投标人通过</w:t>
      </w:r>
      <w:r>
        <w:rPr>
          <w:rFonts w:hint="eastAsia" w:ascii="宋体" w:hAnsi="宋体" w:cs="宋体"/>
          <w:b/>
          <w:bCs/>
          <w:sz w:val="24"/>
          <w:szCs w:val="24"/>
          <w:u w:val="single"/>
        </w:rPr>
        <w:t>广州交易集团有限公司（广州公共资源交易中心）</w:t>
      </w:r>
      <w:r>
        <w:rPr>
          <w:rFonts w:hint="eastAsia" w:ascii="宋体" w:hAnsi="宋体"/>
          <w:sz w:val="24"/>
          <w:szCs w:val="24"/>
        </w:rPr>
        <w:t>交易平台对已递交的电子投标文件进行解密。投标人完成解密后，再由招标人</w:t>
      </w:r>
      <w:r>
        <w:rPr>
          <w:rFonts w:hint="eastAsia" w:ascii="宋体" w:hAnsi="宋体" w:cs="宋体"/>
          <w:b/>
          <w:bCs/>
          <w:sz w:val="24"/>
          <w:szCs w:val="24"/>
          <w:u w:val="single"/>
        </w:rPr>
        <w:t>或招标代理机构</w:t>
      </w:r>
      <w:r>
        <w:rPr>
          <w:rFonts w:hint="eastAsia" w:ascii="宋体" w:hAnsi="宋体"/>
          <w:sz w:val="24"/>
          <w:szCs w:val="24"/>
        </w:rPr>
        <w:t>进行解密。解密完成后，公布招标项目名称、投标人名称、</w:t>
      </w:r>
      <w:r>
        <w:rPr>
          <w:rFonts w:hint="eastAsia" w:ascii="宋体" w:hAnsi="宋体"/>
          <w:strike/>
          <w:sz w:val="24"/>
          <w:szCs w:val="24"/>
        </w:rPr>
        <w:t>投标保证金的递交情况、</w:t>
      </w:r>
      <w:r>
        <w:rPr>
          <w:rFonts w:hint="eastAsia" w:ascii="宋体" w:hAnsi="宋体"/>
          <w:sz w:val="24"/>
          <w:szCs w:val="24"/>
        </w:rPr>
        <w:t>投标报价、工期及其他内容；</w:t>
      </w:r>
    </w:p>
    <w:p w14:paraId="61DAB973">
      <w:pPr>
        <w:tabs>
          <w:tab w:val="left" w:pos="105"/>
        </w:tabs>
        <w:wordWrap w:val="0"/>
        <w:adjustRightInd w:val="0"/>
        <w:snapToGrid w:val="0"/>
        <w:spacing w:line="360" w:lineRule="auto"/>
        <w:ind w:firstLine="480" w:firstLineChars="200"/>
        <w:rPr>
          <w:rFonts w:hint="eastAsia" w:ascii="宋体" w:hAnsi="宋体"/>
          <w:sz w:val="24"/>
          <w:szCs w:val="24"/>
        </w:rPr>
      </w:pPr>
      <w:r>
        <w:rPr>
          <w:rFonts w:hint="eastAsia" w:ascii="宋体" w:hAnsi="宋体"/>
          <w:sz w:val="24"/>
          <w:szCs w:val="24"/>
        </w:rPr>
        <w:t>36.5.2备用光盘的读取按投标须知前附表第35项的规定执行；</w:t>
      </w:r>
    </w:p>
    <w:p w14:paraId="1F095136">
      <w:pPr>
        <w:wordWrap w:val="0"/>
        <w:adjustRightInd w:val="0"/>
        <w:snapToGrid w:val="0"/>
        <w:spacing w:line="360" w:lineRule="auto"/>
        <w:ind w:firstLine="480" w:firstLineChars="200"/>
        <w:rPr>
          <w:rFonts w:hint="eastAsia" w:ascii="宋体" w:hAnsi="宋体"/>
          <w:sz w:val="24"/>
          <w:szCs w:val="24"/>
        </w:rPr>
      </w:pPr>
      <w:bookmarkStart w:id="62" w:name="_Toc501"/>
      <w:r>
        <w:rPr>
          <w:rFonts w:hint="eastAsia" w:ascii="宋体" w:hAnsi="宋体"/>
          <w:sz w:val="24"/>
          <w:szCs w:val="24"/>
        </w:rPr>
        <w:t>36.5.3投标人代表、招标人代表、监标人、记录人等有关人员在开标记录上签字确认；若有关人员不签字的，不影响开标程序；</w:t>
      </w:r>
      <w:r>
        <w:rPr>
          <w:rFonts w:hint="eastAsia" w:ascii="宋体" w:hAnsi="宋体" w:cs="宋体"/>
          <w:b/>
          <w:bCs/>
          <w:sz w:val="24"/>
          <w:szCs w:val="24"/>
          <w:u w:val="single"/>
        </w:rPr>
        <w:t>若投标人不参加开标会或不签字确认的，视同该投标人认可开标结果。</w:t>
      </w:r>
    </w:p>
    <w:p w14:paraId="437D55B1">
      <w:pPr>
        <w:wordWrap w:val="0"/>
        <w:adjustRightInd w:val="0"/>
        <w:snapToGrid w:val="0"/>
        <w:spacing w:line="360" w:lineRule="auto"/>
        <w:ind w:firstLine="480" w:firstLineChars="200"/>
        <w:rPr>
          <w:rFonts w:hint="eastAsia" w:ascii="宋体" w:hAnsi="宋体"/>
          <w:sz w:val="24"/>
          <w:szCs w:val="24"/>
        </w:rPr>
      </w:pPr>
      <w:r>
        <w:rPr>
          <w:rFonts w:hint="eastAsia" w:ascii="宋体" w:hAnsi="宋体"/>
          <w:sz w:val="24"/>
          <w:szCs w:val="24"/>
        </w:rPr>
        <w:t>36.5.6开标结束。</w:t>
      </w:r>
    </w:p>
    <w:p w14:paraId="3A4D2F4F">
      <w:pPr>
        <w:wordWrap w:val="0"/>
        <w:adjustRightInd w:val="0"/>
        <w:snapToGrid w:val="0"/>
        <w:spacing w:line="360" w:lineRule="auto"/>
        <w:ind w:firstLine="480" w:firstLineChars="200"/>
        <w:rPr>
          <w:rFonts w:hint="eastAsia" w:ascii="宋体" w:hAnsi="宋体"/>
          <w:sz w:val="24"/>
          <w:szCs w:val="24"/>
        </w:rPr>
      </w:pPr>
      <w:r>
        <w:rPr>
          <w:rFonts w:hint="eastAsia" w:ascii="宋体" w:hAnsi="宋体"/>
          <w:sz w:val="24"/>
          <w:szCs w:val="24"/>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14:paraId="3E1CB288">
      <w:pPr>
        <w:wordWrap w:val="0"/>
        <w:adjustRightInd w:val="0"/>
        <w:snapToGrid w:val="0"/>
        <w:spacing w:line="360" w:lineRule="auto"/>
        <w:ind w:firstLine="480" w:firstLineChars="200"/>
        <w:rPr>
          <w:rFonts w:hint="eastAsia" w:ascii="宋体" w:hAnsi="宋体"/>
          <w:sz w:val="24"/>
          <w:szCs w:val="24"/>
        </w:rPr>
      </w:pPr>
      <w:r>
        <w:rPr>
          <w:rFonts w:hint="eastAsia" w:ascii="宋体" w:hAnsi="宋体"/>
          <w:sz w:val="24"/>
          <w:szCs w:val="24"/>
        </w:rPr>
        <w:t>36.7开标时，两个（含两个）以上的投标人加密打包投标文件电脑机器特征码一致的，由评标委员会否决其投标。</w:t>
      </w:r>
    </w:p>
    <w:p w14:paraId="6DF9D429">
      <w:pPr>
        <w:pStyle w:val="2"/>
        <w:wordWrap w:val="0"/>
        <w:adjustRightInd w:val="0"/>
        <w:snapToGrid w:val="0"/>
        <w:spacing w:line="360" w:lineRule="auto"/>
        <w:ind w:firstLine="480" w:firstLineChars="200"/>
        <w:rPr>
          <w:rFonts w:hint="eastAsia" w:hAnsi="宋体"/>
          <w:sz w:val="24"/>
          <w:szCs w:val="24"/>
        </w:rPr>
      </w:pPr>
      <w:r>
        <w:rPr>
          <w:rFonts w:hint="eastAsia" w:hAnsi="宋体"/>
          <w:sz w:val="24"/>
          <w:szCs w:val="24"/>
        </w:rPr>
        <w:t>36.8开标异议</w:t>
      </w:r>
    </w:p>
    <w:p w14:paraId="244D110C">
      <w:pPr>
        <w:wordWrap w:val="0"/>
        <w:adjustRightInd w:val="0"/>
        <w:snapToGrid w:val="0"/>
        <w:spacing w:line="360" w:lineRule="auto"/>
        <w:ind w:firstLine="480" w:firstLineChars="200"/>
        <w:rPr>
          <w:rFonts w:hint="eastAsia" w:ascii="宋体" w:hAnsi="宋体"/>
          <w:sz w:val="24"/>
          <w:szCs w:val="24"/>
        </w:rPr>
      </w:pPr>
      <w:r>
        <w:rPr>
          <w:rFonts w:hint="eastAsia" w:ascii="宋体" w:hAnsi="宋体"/>
          <w:sz w:val="24"/>
          <w:szCs w:val="24"/>
        </w:rPr>
        <w:t>36.8.1参加现场开标的投标人对开标结果有异议的，应当在开标现场提出，该投标人代表须同时出示本人身份证原件，招标人应当当场作出答复，并制作记录。</w:t>
      </w:r>
    </w:p>
    <w:p w14:paraId="3B93BF6B">
      <w:pPr>
        <w:wordWrap w:val="0"/>
        <w:adjustRightInd w:val="0"/>
        <w:snapToGrid w:val="0"/>
        <w:spacing w:line="360" w:lineRule="auto"/>
        <w:ind w:firstLine="480" w:firstLineChars="200"/>
        <w:rPr>
          <w:rFonts w:hint="eastAsia" w:ascii="宋体" w:hAnsi="宋体"/>
          <w:sz w:val="24"/>
          <w:szCs w:val="24"/>
        </w:rPr>
      </w:pPr>
      <w:r>
        <w:rPr>
          <w:rFonts w:hint="eastAsia" w:ascii="宋体" w:hAnsi="宋体"/>
          <w:sz w:val="24"/>
          <w:szCs w:val="24"/>
        </w:rPr>
        <w:t>36.8.2参加在线开标的投标人对开标结果有异议的，应当在唱标结束后的规定时间内、使用单位数字证书登录电子招标投标交易平台后通过电子招标投标交易平台提出。招标人授权招标代理机构工作人员使用招标代理机构数字证书登录电子招标投标交易平台答复异议，异议答复是招标人真实意思表示。未答复的，开标程序不得结束。</w:t>
      </w:r>
    </w:p>
    <w:p w14:paraId="2E233F58">
      <w:pPr>
        <w:pStyle w:val="2"/>
        <w:wordWrap w:val="0"/>
        <w:adjustRightInd w:val="0"/>
        <w:snapToGrid w:val="0"/>
        <w:spacing w:line="360" w:lineRule="auto"/>
        <w:ind w:firstLine="480" w:firstLineChars="200"/>
        <w:rPr>
          <w:sz w:val="24"/>
          <w:szCs w:val="24"/>
        </w:rPr>
      </w:pPr>
      <w:r>
        <w:rPr>
          <w:rFonts w:hint="eastAsia" w:hAnsi="宋体"/>
          <w:sz w:val="24"/>
          <w:szCs w:val="24"/>
        </w:rPr>
        <w:t>36.8.3</w:t>
      </w:r>
      <w:r>
        <w:rPr>
          <w:rFonts w:hint="eastAsia" w:hAnsi="宋体" w:cs="宋体"/>
          <w:kern w:val="0"/>
          <w:sz w:val="24"/>
          <w:szCs w:val="24"/>
        </w:rPr>
        <w:t>对开标的异议，招标人应当当场作出答复并予以书面记录，异议成立的，招标人应当及时采取纠正措施，或者提交评标委员会评审确认；异议不成立的，招标人应当当场给予解释说明。</w:t>
      </w:r>
      <w:r>
        <w:rPr>
          <w:rFonts w:hint="eastAsia"/>
          <w:sz w:val="24"/>
          <w:szCs w:val="24"/>
        </w:rPr>
        <w:t>投标人未参加开标或在规定的时间内未提出异议的，视为对开标无异议。</w:t>
      </w:r>
      <w:bookmarkEnd w:id="62"/>
    </w:p>
    <w:p w14:paraId="1941D3C9">
      <w:pPr>
        <w:pStyle w:val="2"/>
        <w:wordWrap w:val="0"/>
        <w:adjustRightInd w:val="0"/>
        <w:snapToGrid w:val="0"/>
        <w:spacing w:line="360" w:lineRule="auto"/>
        <w:ind w:firstLine="480" w:firstLineChars="200"/>
        <w:rPr>
          <w:rFonts w:hint="eastAsia" w:hAnsi="宋体" w:cs="宋体"/>
          <w:kern w:val="0"/>
          <w:sz w:val="24"/>
          <w:szCs w:val="24"/>
        </w:rPr>
      </w:pPr>
      <w:r>
        <w:rPr>
          <w:rFonts w:hint="eastAsia"/>
          <w:sz w:val="24"/>
          <w:szCs w:val="24"/>
        </w:rPr>
        <w:t>36.8.4</w:t>
      </w:r>
      <w:r>
        <w:rPr>
          <w:rFonts w:hint="eastAsia" w:hAnsi="宋体" w:cs="宋体"/>
          <w:kern w:val="0"/>
          <w:sz w:val="24"/>
          <w:szCs w:val="24"/>
        </w:rPr>
        <w:t>招标人应当按照同一异议提起人一份记录的方式，对异议事项的处理应逐条进行书面记录，并由异议提起人、招标人签名确认。书面记录含义应清晰而明确，包括但不限于纠正的措施、解释说明的内容、相关依据等。</w:t>
      </w:r>
    </w:p>
    <w:p w14:paraId="0D667E12">
      <w:pPr>
        <w:wordWrap w:val="0"/>
        <w:adjustRightInd w:val="0"/>
        <w:snapToGrid w:val="0"/>
        <w:spacing w:line="360" w:lineRule="auto"/>
        <w:ind w:firstLine="480" w:firstLineChars="200"/>
        <w:rPr>
          <w:rFonts w:hint="eastAsia" w:ascii="宋体" w:hAnsi="宋体"/>
          <w:sz w:val="24"/>
          <w:szCs w:val="24"/>
        </w:rPr>
      </w:pPr>
      <w:r>
        <w:rPr>
          <w:rFonts w:ascii="宋体" w:hAnsi="宋体"/>
          <w:sz w:val="24"/>
          <w:szCs w:val="24"/>
        </w:rPr>
        <w:t>37</w:t>
      </w:r>
      <w:r>
        <w:rPr>
          <w:rFonts w:hint="eastAsia" w:ascii="宋体" w:hAnsi="宋体"/>
          <w:sz w:val="24"/>
          <w:szCs w:val="24"/>
        </w:rPr>
        <w:t>．评标</w:t>
      </w:r>
    </w:p>
    <w:p w14:paraId="2FFF26EC">
      <w:pPr>
        <w:wordWrap w:val="0"/>
        <w:adjustRightInd w:val="0"/>
        <w:snapToGrid w:val="0"/>
        <w:spacing w:line="360" w:lineRule="auto"/>
        <w:ind w:firstLine="480" w:firstLineChars="200"/>
        <w:rPr>
          <w:rFonts w:hint="eastAsia" w:ascii="宋体" w:hAnsi="宋体"/>
          <w:sz w:val="24"/>
          <w:szCs w:val="24"/>
        </w:rPr>
      </w:pPr>
      <w:r>
        <w:rPr>
          <w:rFonts w:ascii="宋体" w:hAnsi="宋体"/>
          <w:sz w:val="24"/>
          <w:szCs w:val="24"/>
        </w:rPr>
        <w:t>37.1</w:t>
      </w:r>
      <w:r>
        <w:rPr>
          <w:rFonts w:hint="eastAsia" w:ascii="宋体" w:hAnsi="宋体"/>
          <w:sz w:val="24"/>
          <w:szCs w:val="24"/>
        </w:rPr>
        <w:t>评标由招标人依法组建的评标委员会负责。评标委员会由有关技术、经济等方面的专家和招标人代表组成，专家从广东省综合评标评审专家库中抽取或按远程异地评标专家抽取相关规定组建。评标委员会成员人数以及技术、经济等方面专家的确定方式见投标人须知前附表第30项。</w:t>
      </w:r>
    </w:p>
    <w:p w14:paraId="6A84EFEB">
      <w:pPr>
        <w:wordWrap w:val="0"/>
        <w:adjustRightInd w:val="0"/>
        <w:snapToGrid w:val="0"/>
        <w:spacing w:line="360" w:lineRule="auto"/>
        <w:ind w:firstLine="480" w:firstLineChars="200"/>
        <w:rPr>
          <w:rFonts w:hint="eastAsia" w:ascii="宋体" w:hAnsi="宋体"/>
          <w:sz w:val="24"/>
          <w:szCs w:val="24"/>
        </w:rPr>
      </w:pPr>
      <w:r>
        <w:rPr>
          <w:rFonts w:hint="eastAsia" w:ascii="宋体" w:hAnsi="宋体"/>
          <w:sz w:val="24"/>
          <w:szCs w:val="24"/>
        </w:rPr>
        <w:t>37.2评标委员会成员有下列情形之一的，应当回避：</w:t>
      </w:r>
    </w:p>
    <w:p w14:paraId="08F4EF74">
      <w:pPr>
        <w:wordWrap w:val="0"/>
        <w:adjustRightInd w:val="0"/>
        <w:snapToGrid w:val="0"/>
        <w:spacing w:line="360" w:lineRule="auto"/>
        <w:ind w:firstLine="480" w:firstLineChars="200"/>
        <w:rPr>
          <w:rFonts w:hint="eastAsia" w:ascii="宋体" w:hAnsi="宋体"/>
          <w:sz w:val="24"/>
          <w:szCs w:val="24"/>
        </w:rPr>
      </w:pPr>
      <w:r>
        <w:rPr>
          <w:rFonts w:hint="eastAsia" w:ascii="宋体" w:hAnsi="宋体"/>
          <w:sz w:val="24"/>
          <w:szCs w:val="24"/>
        </w:rPr>
        <w:t>（1）招标人或投标人的主要负责人的近亲属；</w:t>
      </w:r>
    </w:p>
    <w:p w14:paraId="3792E9E4">
      <w:pPr>
        <w:wordWrap w:val="0"/>
        <w:adjustRightInd w:val="0"/>
        <w:snapToGrid w:val="0"/>
        <w:spacing w:line="360" w:lineRule="auto"/>
        <w:ind w:firstLine="480" w:firstLineChars="200"/>
        <w:rPr>
          <w:rFonts w:hint="eastAsia" w:ascii="宋体" w:hAnsi="宋体"/>
          <w:sz w:val="24"/>
          <w:szCs w:val="24"/>
        </w:rPr>
      </w:pPr>
      <w:r>
        <w:rPr>
          <w:rFonts w:hint="eastAsia" w:ascii="宋体" w:hAnsi="宋体"/>
          <w:sz w:val="24"/>
          <w:szCs w:val="24"/>
        </w:rPr>
        <w:t>（2）项目主管部门或者行政监督部门的人员；</w:t>
      </w:r>
    </w:p>
    <w:p w14:paraId="1A23A4E0">
      <w:pPr>
        <w:wordWrap w:val="0"/>
        <w:adjustRightInd w:val="0"/>
        <w:snapToGrid w:val="0"/>
        <w:spacing w:line="360" w:lineRule="auto"/>
        <w:ind w:firstLine="480" w:firstLineChars="200"/>
        <w:rPr>
          <w:rFonts w:hint="eastAsia" w:ascii="宋体" w:hAnsi="宋体"/>
          <w:sz w:val="24"/>
          <w:szCs w:val="24"/>
        </w:rPr>
      </w:pPr>
      <w:r>
        <w:rPr>
          <w:rFonts w:hint="eastAsia" w:ascii="宋体" w:hAnsi="宋体"/>
          <w:sz w:val="24"/>
          <w:szCs w:val="24"/>
        </w:rPr>
        <w:t>（3）招标人或投标人的工作人员、退休或离职未满3年的人员；</w:t>
      </w:r>
    </w:p>
    <w:p w14:paraId="6478DF11">
      <w:pPr>
        <w:wordWrap w:val="0"/>
        <w:adjustRightInd w:val="0"/>
        <w:snapToGrid w:val="0"/>
        <w:spacing w:line="360" w:lineRule="auto"/>
        <w:ind w:firstLine="480" w:firstLineChars="200"/>
        <w:rPr>
          <w:rFonts w:hint="eastAsia" w:ascii="宋体" w:hAnsi="宋体"/>
          <w:sz w:val="24"/>
          <w:szCs w:val="24"/>
        </w:rPr>
      </w:pPr>
      <w:r>
        <w:rPr>
          <w:rFonts w:hint="eastAsia" w:ascii="宋体" w:hAnsi="宋体"/>
          <w:sz w:val="24"/>
          <w:szCs w:val="24"/>
        </w:rPr>
        <w:t>（4）与投标人有经济利益关系，可能影响对投标公正评审的；</w:t>
      </w:r>
    </w:p>
    <w:p w14:paraId="0C128A23">
      <w:pPr>
        <w:wordWrap w:val="0"/>
        <w:adjustRightInd w:val="0"/>
        <w:snapToGrid w:val="0"/>
        <w:spacing w:line="360" w:lineRule="auto"/>
        <w:ind w:firstLine="480" w:firstLineChars="200"/>
        <w:rPr>
          <w:rFonts w:hint="eastAsia" w:ascii="宋体" w:hAnsi="宋体"/>
          <w:sz w:val="24"/>
          <w:szCs w:val="24"/>
        </w:rPr>
      </w:pPr>
      <w:r>
        <w:rPr>
          <w:rFonts w:hint="eastAsia" w:ascii="宋体" w:hAnsi="宋体"/>
          <w:sz w:val="24"/>
          <w:szCs w:val="24"/>
        </w:rPr>
        <w:t>（5）曾因在招标、评标以及其他与招标投标有关活动中从事违法行为而受过行政处罚或刑事处罚的。</w:t>
      </w:r>
    </w:p>
    <w:p w14:paraId="3E4A16F7">
      <w:pPr>
        <w:wordWrap w:val="0"/>
        <w:adjustRightInd w:val="0"/>
        <w:snapToGrid w:val="0"/>
        <w:spacing w:line="360" w:lineRule="auto"/>
        <w:ind w:firstLine="480" w:firstLineChars="200"/>
        <w:rPr>
          <w:rFonts w:hint="eastAsia" w:ascii="宋体" w:hAnsi="宋体"/>
          <w:sz w:val="24"/>
          <w:szCs w:val="24"/>
        </w:rPr>
      </w:pPr>
      <w:r>
        <w:rPr>
          <w:rFonts w:hint="eastAsia" w:ascii="宋体" w:hAnsi="宋体"/>
          <w:sz w:val="24"/>
          <w:szCs w:val="24"/>
        </w:rPr>
        <w:t>（6）与投标人有其他利害关系。</w:t>
      </w:r>
    </w:p>
    <w:p w14:paraId="3B5FC8B0">
      <w:pPr>
        <w:wordWrap w:val="0"/>
        <w:adjustRightInd w:val="0"/>
        <w:snapToGrid w:val="0"/>
        <w:spacing w:line="360" w:lineRule="auto"/>
        <w:ind w:firstLine="480" w:firstLineChars="200"/>
        <w:rPr>
          <w:rFonts w:hint="eastAsia" w:ascii="宋体" w:hAnsi="宋体"/>
          <w:sz w:val="24"/>
          <w:szCs w:val="24"/>
        </w:rPr>
      </w:pPr>
      <w:r>
        <w:rPr>
          <w:rFonts w:ascii="宋体" w:hAnsi="宋体"/>
          <w:sz w:val="24"/>
          <w:szCs w:val="24"/>
        </w:rPr>
        <w:t>37.</w:t>
      </w:r>
      <w:r>
        <w:rPr>
          <w:rFonts w:hint="eastAsia" w:ascii="宋体" w:hAnsi="宋体"/>
          <w:sz w:val="24"/>
          <w:szCs w:val="24"/>
        </w:rPr>
        <w:t>3评标委员会的职责及守则：</w:t>
      </w:r>
    </w:p>
    <w:p w14:paraId="64A2E24D">
      <w:pPr>
        <w:wordWrap w:val="0"/>
        <w:adjustRightInd w:val="0"/>
        <w:snapToGrid w:val="0"/>
        <w:spacing w:line="360" w:lineRule="auto"/>
        <w:ind w:firstLine="480" w:firstLineChars="200"/>
        <w:rPr>
          <w:rFonts w:hint="eastAsia" w:ascii="宋体" w:hAnsi="宋体"/>
          <w:sz w:val="24"/>
          <w:szCs w:val="24"/>
        </w:rPr>
      </w:pPr>
      <w:r>
        <w:rPr>
          <w:rFonts w:ascii="宋体" w:hAnsi="宋体"/>
          <w:sz w:val="24"/>
          <w:szCs w:val="24"/>
        </w:rPr>
        <w:t>37.</w:t>
      </w:r>
      <w:r>
        <w:rPr>
          <w:rFonts w:hint="eastAsia" w:ascii="宋体" w:hAnsi="宋体"/>
          <w:sz w:val="24"/>
          <w:szCs w:val="24"/>
        </w:rPr>
        <w:t>3</w:t>
      </w:r>
      <w:r>
        <w:rPr>
          <w:rFonts w:ascii="宋体" w:hAnsi="宋体"/>
          <w:sz w:val="24"/>
          <w:szCs w:val="24"/>
        </w:rPr>
        <w:t>.1</w:t>
      </w:r>
      <w:r>
        <w:rPr>
          <w:rFonts w:hint="eastAsia" w:ascii="宋体" w:hAnsi="宋体"/>
          <w:sz w:val="24"/>
          <w:szCs w:val="24"/>
        </w:rPr>
        <w:t>根据评标细则，对投标文件进行认真评审，完成评审报告；</w:t>
      </w:r>
    </w:p>
    <w:p w14:paraId="57D0800F">
      <w:pPr>
        <w:wordWrap w:val="0"/>
        <w:adjustRightInd w:val="0"/>
        <w:snapToGrid w:val="0"/>
        <w:spacing w:line="360" w:lineRule="auto"/>
        <w:ind w:firstLine="480" w:firstLineChars="200"/>
        <w:rPr>
          <w:rFonts w:hint="eastAsia" w:ascii="宋体" w:hAnsi="宋体"/>
          <w:sz w:val="24"/>
          <w:szCs w:val="24"/>
        </w:rPr>
      </w:pPr>
      <w:r>
        <w:rPr>
          <w:rFonts w:ascii="宋体" w:hAnsi="宋体"/>
          <w:sz w:val="24"/>
          <w:szCs w:val="24"/>
        </w:rPr>
        <w:t>37.</w:t>
      </w:r>
      <w:r>
        <w:rPr>
          <w:rFonts w:hint="eastAsia" w:ascii="宋体" w:hAnsi="宋体"/>
          <w:sz w:val="24"/>
          <w:szCs w:val="24"/>
        </w:rPr>
        <w:t>3</w:t>
      </w:r>
      <w:r>
        <w:rPr>
          <w:rFonts w:ascii="宋体" w:hAnsi="宋体"/>
          <w:sz w:val="24"/>
          <w:szCs w:val="24"/>
        </w:rPr>
        <w:t>.2</w:t>
      </w:r>
      <w:r>
        <w:rPr>
          <w:rFonts w:hint="eastAsia" w:ascii="宋体" w:hAnsi="宋体"/>
          <w:sz w:val="24"/>
          <w:szCs w:val="24"/>
        </w:rPr>
        <w:t>向招标人报告评审意见，推荐合格的中标候选人。</w:t>
      </w:r>
    </w:p>
    <w:p w14:paraId="74CDA25A">
      <w:pPr>
        <w:wordWrap w:val="0"/>
        <w:adjustRightInd w:val="0"/>
        <w:snapToGrid w:val="0"/>
        <w:spacing w:line="360" w:lineRule="auto"/>
        <w:ind w:firstLine="480" w:firstLineChars="200"/>
        <w:rPr>
          <w:rFonts w:hint="eastAsia" w:ascii="宋体" w:hAnsi="宋体"/>
          <w:sz w:val="24"/>
          <w:szCs w:val="24"/>
        </w:rPr>
      </w:pPr>
      <w:r>
        <w:rPr>
          <w:rFonts w:ascii="宋体" w:hAnsi="宋体"/>
          <w:bCs/>
          <w:sz w:val="24"/>
          <w:szCs w:val="24"/>
        </w:rPr>
        <w:t>37.</w:t>
      </w:r>
      <w:r>
        <w:rPr>
          <w:rFonts w:hint="eastAsia" w:ascii="宋体" w:hAnsi="宋体"/>
          <w:bCs/>
          <w:sz w:val="24"/>
          <w:szCs w:val="24"/>
        </w:rPr>
        <w:t>3</w:t>
      </w:r>
      <w:r>
        <w:rPr>
          <w:rFonts w:ascii="宋体" w:hAnsi="宋体"/>
          <w:bCs/>
          <w:sz w:val="24"/>
          <w:szCs w:val="24"/>
        </w:rPr>
        <w:t>.3</w:t>
      </w:r>
      <w:r>
        <w:rPr>
          <w:rFonts w:hint="eastAsia" w:ascii="宋体" w:hAnsi="宋体"/>
          <w:sz w:val="24"/>
          <w:szCs w:val="24"/>
        </w:rPr>
        <w:t>所有参加评标人员必须遵守国家、地方政府制定的有关工程招标投标的法则、规定，遵守有关工程招标投标的保密制度；如有违反者，给予行政处分；情节严重，构成犯罪的，由司法机关依法追究其刑事责任。</w:t>
      </w:r>
    </w:p>
    <w:p w14:paraId="0FDA4DE9">
      <w:pPr>
        <w:wordWrap w:val="0"/>
        <w:adjustRightInd w:val="0"/>
        <w:snapToGrid w:val="0"/>
        <w:spacing w:line="360" w:lineRule="auto"/>
        <w:ind w:firstLine="480" w:firstLineChars="200"/>
        <w:rPr>
          <w:rFonts w:hint="eastAsia" w:ascii="宋体" w:hAnsi="宋体"/>
          <w:sz w:val="24"/>
          <w:szCs w:val="24"/>
        </w:rPr>
      </w:pPr>
      <w:r>
        <w:rPr>
          <w:rFonts w:ascii="宋体" w:hAnsi="宋体"/>
          <w:sz w:val="24"/>
          <w:szCs w:val="24"/>
        </w:rPr>
        <w:t>37.</w:t>
      </w:r>
      <w:r>
        <w:rPr>
          <w:rFonts w:hint="eastAsia" w:ascii="宋体" w:hAnsi="宋体"/>
          <w:sz w:val="24"/>
          <w:szCs w:val="24"/>
        </w:rPr>
        <w:t>3</w:t>
      </w:r>
      <w:r>
        <w:rPr>
          <w:rFonts w:ascii="宋体" w:hAnsi="宋体"/>
          <w:sz w:val="24"/>
          <w:szCs w:val="24"/>
        </w:rPr>
        <w:t>.4</w:t>
      </w:r>
      <w:r>
        <w:rPr>
          <w:rFonts w:hint="eastAsia" w:ascii="宋体" w:hAnsi="宋体"/>
          <w:sz w:val="24"/>
          <w:szCs w:val="24"/>
        </w:rPr>
        <w:t>全体参与评标人员：</w:t>
      </w:r>
    </w:p>
    <w:p w14:paraId="44EB96D2">
      <w:pPr>
        <w:wordWrap w:val="0"/>
        <w:adjustRightInd w:val="0"/>
        <w:snapToGrid w:val="0"/>
        <w:spacing w:line="360" w:lineRule="auto"/>
        <w:ind w:firstLine="480" w:firstLineChars="200"/>
        <w:rPr>
          <w:rFonts w:hint="eastAsia" w:ascii="宋体" w:hAnsi="宋体"/>
          <w:sz w:val="24"/>
          <w:szCs w:val="24"/>
        </w:rPr>
      </w:pPr>
      <w:r>
        <w:rPr>
          <w:rFonts w:ascii="宋体" w:hAnsi="宋体"/>
          <w:sz w:val="24"/>
          <w:szCs w:val="24"/>
        </w:rPr>
        <w:t>37.</w:t>
      </w:r>
      <w:r>
        <w:rPr>
          <w:rFonts w:hint="eastAsia" w:ascii="宋体" w:hAnsi="宋体"/>
          <w:sz w:val="24"/>
          <w:szCs w:val="24"/>
        </w:rPr>
        <w:t>3</w:t>
      </w:r>
      <w:r>
        <w:rPr>
          <w:rFonts w:ascii="宋体" w:hAnsi="宋体"/>
          <w:sz w:val="24"/>
          <w:szCs w:val="24"/>
        </w:rPr>
        <w:t>.4.1</w:t>
      </w:r>
      <w:r>
        <w:rPr>
          <w:rFonts w:hint="eastAsia" w:ascii="宋体" w:hAnsi="宋体"/>
          <w:sz w:val="24"/>
          <w:szCs w:val="24"/>
        </w:rPr>
        <w:t>必须遵守评标纪律、不得泄密；</w:t>
      </w:r>
    </w:p>
    <w:p w14:paraId="1D05D274">
      <w:pPr>
        <w:wordWrap w:val="0"/>
        <w:adjustRightInd w:val="0"/>
        <w:snapToGrid w:val="0"/>
        <w:spacing w:line="360" w:lineRule="auto"/>
        <w:ind w:firstLine="480" w:firstLineChars="200"/>
        <w:rPr>
          <w:rFonts w:hint="eastAsia" w:ascii="宋体" w:hAnsi="宋体"/>
          <w:sz w:val="24"/>
          <w:szCs w:val="24"/>
        </w:rPr>
      </w:pPr>
      <w:r>
        <w:rPr>
          <w:rFonts w:ascii="宋体" w:hAnsi="宋体"/>
          <w:sz w:val="24"/>
          <w:szCs w:val="24"/>
        </w:rPr>
        <w:t>37.</w:t>
      </w:r>
      <w:r>
        <w:rPr>
          <w:rFonts w:hint="eastAsia" w:ascii="宋体" w:hAnsi="宋体"/>
          <w:sz w:val="24"/>
          <w:szCs w:val="24"/>
        </w:rPr>
        <w:t>3</w:t>
      </w:r>
      <w:r>
        <w:rPr>
          <w:rFonts w:ascii="宋体" w:hAnsi="宋体"/>
          <w:sz w:val="24"/>
          <w:szCs w:val="24"/>
        </w:rPr>
        <w:t>.4.2</w:t>
      </w:r>
      <w:r>
        <w:rPr>
          <w:rFonts w:hint="eastAsia" w:ascii="宋体" w:hAnsi="宋体"/>
          <w:sz w:val="24"/>
          <w:szCs w:val="24"/>
        </w:rPr>
        <w:t>必须公正、不得循私；</w:t>
      </w:r>
    </w:p>
    <w:p w14:paraId="03676FA8">
      <w:pPr>
        <w:wordWrap w:val="0"/>
        <w:adjustRightInd w:val="0"/>
        <w:snapToGrid w:val="0"/>
        <w:spacing w:line="360" w:lineRule="auto"/>
        <w:ind w:firstLine="480" w:firstLineChars="200"/>
        <w:rPr>
          <w:rFonts w:hint="eastAsia" w:ascii="宋体" w:hAnsi="宋体"/>
          <w:sz w:val="24"/>
          <w:szCs w:val="24"/>
        </w:rPr>
      </w:pPr>
      <w:r>
        <w:rPr>
          <w:rFonts w:ascii="宋体" w:hAnsi="宋体"/>
          <w:sz w:val="24"/>
          <w:szCs w:val="24"/>
        </w:rPr>
        <w:t>37.</w:t>
      </w:r>
      <w:r>
        <w:rPr>
          <w:rFonts w:hint="eastAsia" w:ascii="宋体" w:hAnsi="宋体"/>
          <w:sz w:val="24"/>
          <w:szCs w:val="24"/>
        </w:rPr>
        <w:t>3</w:t>
      </w:r>
      <w:r>
        <w:rPr>
          <w:rFonts w:ascii="宋体" w:hAnsi="宋体"/>
          <w:sz w:val="24"/>
          <w:szCs w:val="24"/>
        </w:rPr>
        <w:t>.4.3</w:t>
      </w:r>
      <w:r>
        <w:rPr>
          <w:rFonts w:hint="eastAsia" w:ascii="宋体" w:hAnsi="宋体"/>
          <w:sz w:val="24"/>
          <w:szCs w:val="24"/>
        </w:rPr>
        <w:t>必须科学、不得草率；</w:t>
      </w:r>
    </w:p>
    <w:p w14:paraId="32332665">
      <w:pPr>
        <w:wordWrap w:val="0"/>
        <w:adjustRightInd w:val="0"/>
        <w:snapToGrid w:val="0"/>
        <w:spacing w:line="360" w:lineRule="auto"/>
        <w:ind w:firstLine="480" w:firstLineChars="200"/>
        <w:rPr>
          <w:rFonts w:hint="eastAsia" w:ascii="宋体" w:hAnsi="宋体"/>
          <w:sz w:val="24"/>
          <w:szCs w:val="24"/>
        </w:rPr>
      </w:pPr>
      <w:r>
        <w:rPr>
          <w:rFonts w:ascii="宋体" w:hAnsi="宋体"/>
          <w:sz w:val="24"/>
          <w:szCs w:val="24"/>
        </w:rPr>
        <w:t>37.</w:t>
      </w:r>
      <w:r>
        <w:rPr>
          <w:rFonts w:hint="eastAsia" w:ascii="宋体" w:hAnsi="宋体"/>
          <w:sz w:val="24"/>
          <w:szCs w:val="24"/>
        </w:rPr>
        <w:t>3</w:t>
      </w:r>
      <w:r>
        <w:rPr>
          <w:rFonts w:ascii="宋体" w:hAnsi="宋体"/>
          <w:sz w:val="24"/>
          <w:szCs w:val="24"/>
        </w:rPr>
        <w:t>.4.4</w:t>
      </w:r>
      <w:r>
        <w:rPr>
          <w:rFonts w:hint="eastAsia" w:ascii="宋体" w:hAnsi="宋体"/>
          <w:sz w:val="24"/>
          <w:szCs w:val="24"/>
        </w:rPr>
        <w:t>必须客观、不得带有成见；</w:t>
      </w:r>
    </w:p>
    <w:p w14:paraId="6F54CA87">
      <w:pPr>
        <w:wordWrap w:val="0"/>
        <w:adjustRightInd w:val="0"/>
        <w:snapToGrid w:val="0"/>
        <w:spacing w:line="360" w:lineRule="auto"/>
        <w:ind w:firstLine="480" w:firstLineChars="200"/>
        <w:rPr>
          <w:rFonts w:hint="eastAsia" w:ascii="宋体" w:hAnsi="宋体"/>
          <w:sz w:val="24"/>
          <w:szCs w:val="24"/>
        </w:rPr>
      </w:pPr>
      <w:r>
        <w:rPr>
          <w:rFonts w:ascii="宋体" w:hAnsi="宋体"/>
          <w:sz w:val="24"/>
          <w:szCs w:val="24"/>
        </w:rPr>
        <w:t>37.</w:t>
      </w:r>
      <w:r>
        <w:rPr>
          <w:rFonts w:hint="eastAsia" w:ascii="宋体" w:hAnsi="宋体"/>
          <w:sz w:val="24"/>
          <w:szCs w:val="24"/>
        </w:rPr>
        <w:t>3</w:t>
      </w:r>
      <w:r>
        <w:rPr>
          <w:rFonts w:ascii="宋体" w:hAnsi="宋体"/>
          <w:sz w:val="24"/>
          <w:szCs w:val="24"/>
        </w:rPr>
        <w:t>.4.5</w:t>
      </w:r>
      <w:r>
        <w:rPr>
          <w:rFonts w:hint="eastAsia" w:ascii="宋体" w:hAnsi="宋体"/>
          <w:sz w:val="24"/>
          <w:szCs w:val="24"/>
        </w:rPr>
        <w:t>必须平等、不得强加于人；</w:t>
      </w:r>
    </w:p>
    <w:p w14:paraId="22EA9515">
      <w:pPr>
        <w:wordWrap w:val="0"/>
        <w:adjustRightInd w:val="0"/>
        <w:snapToGrid w:val="0"/>
        <w:spacing w:line="360" w:lineRule="auto"/>
        <w:ind w:firstLine="480" w:firstLineChars="200"/>
        <w:rPr>
          <w:rFonts w:hint="eastAsia" w:ascii="宋体" w:hAnsi="宋体"/>
          <w:sz w:val="24"/>
          <w:szCs w:val="24"/>
        </w:rPr>
      </w:pPr>
      <w:r>
        <w:rPr>
          <w:rFonts w:ascii="宋体" w:hAnsi="宋体"/>
          <w:sz w:val="24"/>
          <w:szCs w:val="24"/>
        </w:rPr>
        <w:t>37.</w:t>
      </w:r>
      <w:r>
        <w:rPr>
          <w:rFonts w:hint="eastAsia" w:ascii="宋体" w:hAnsi="宋体"/>
          <w:sz w:val="24"/>
          <w:szCs w:val="24"/>
        </w:rPr>
        <w:t>3</w:t>
      </w:r>
      <w:r>
        <w:rPr>
          <w:rFonts w:ascii="宋体" w:hAnsi="宋体"/>
          <w:sz w:val="24"/>
          <w:szCs w:val="24"/>
        </w:rPr>
        <w:t>.4.6</w:t>
      </w:r>
      <w:r>
        <w:rPr>
          <w:rFonts w:hint="eastAsia" w:ascii="宋体" w:hAnsi="宋体"/>
          <w:sz w:val="24"/>
          <w:szCs w:val="24"/>
        </w:rPr>
        <w:t>必须严谨、不得随意马虎。</w:t>
      </w:r>
    </w:p>
    <w:p w14:paraId="1C65F9CF">
      <w:pPr>
        <w:pStyle w:val="2"/>
        <w:wordWrap w:val="0"/>
        <w:adjustRightInd w:val="0"/>
        <w:snapToGrid w:val="0"/>
        <w:spacing w:line="360" w:lineRule="auto"/>
        <w:ind w:firstLine="480" w:firstLineChars="200"/>
        <w:rPr>
          <w:rFonts w:hint="eastAsia" w:hAnsi="宋体"/>
          <w:sz w:val="24"/>
          <w:szCs w:val="24"/>
        </w:rPr>
      </w:pPr>
      <w:r>
        <w:rPr>
          <w:rFonts w:hint="eastAsia" w:hAnsi="宋体"/>
          <w:sz w:val="24"/>
          <w:szCs w:val="24"/>
        </w:rPr>
        <w:t>37.4评标工作开始前，招标人应当向评标委员会提供评标所需的信息，包括招标项目的范围、性质、特殊性、需求目标和实施要点，以及招标文件规定的评标方法、评标因素及标准等，但不得明示或者暗示其倾向或者排斥特定投标人。</w:t>
      </w:r>
    </w:p>
    <w:p w14:paraId="0F2D3000">
      <w:pPr>
        <w:wordWrap w:val="0"/>
        <w:adjustRightInd w:val="0"/>
        <w:snapToGrid w:val="0"/>
        <w:spacing w:line="360" w:lineRule="auto"/>
        <w:ind w:firstLine="480" w:firstLineChars="200"/>
        <w:rPr>
          <w:rFonts w:hint="eastAsia" w:ascii="宋体" w:hAnsi="宋体"/>
          <w:sz w:val="24"/>
          <w:szCs w:val="24"/>
        </w:rPr>
      </w:pPr>
      <w:r>
        <w:rPr>
          <w:rFonts w:hint="eastAsia" w:ascii="宋体" w:hAnsi="宋体"/>
          <w:sz w:val="24"/>
          <w:szCs w:val="24"/>
        </w:rPr>
        <w:t>37.5评标委员会按照第二章“开标、评标及定标办法”规定的方法、评审因素、标准和程序对投标文件进行评审。第</w:t>
      </w:r>
      <w:r>
        <w:rPr>
          <w:rFonts w:hint="eastAsia" w:ascii="宋体" w:hAnsi="宋体"/>
          <w:b/>
          <w:bCs/>
          <w:sz w:val="24"/>
          <w:szCs w:val="24"/>
          <w:u w:val="single"/>
        </w:rPr>
        <w:t>二</w:t>
      </w:r>
      <w:r>
        <w:rPr>
          <w:rFonts w:hint="eastAsia" w:ascii="宋体" w:hAnsi="宋体"/>
          <w:sz w:val="24"/>
          <w:szCs w:val="24"/>
        </w:rPr>
        <w:t>章“开标、评标及定标办法”没有规定的方法、评审因素和标准，不作为评标依据。</w:t>
      </w:r>
    </w:p>
    <w:p w14:paraId="53973382">
      <w:pPr>
        <w:wordWrap w:val="0"/>
        <w:adjustRightInd w:val="0"/>
        <w:snapToGrid w:val="0"/>
        <w:spacing w:line="360" w:lineRule="auto"/>
        <w:ind w:firstLine="480" w:firstLineChars="200"/>
        <w:rPr>
          <w:rFonts w:hint="eastAsia" w:ascii="宋体" w:hAnsi="宋体"/>
          <w:sz w:val="24"/>
          <w:szCs w:val="24"/>
        </w:rPr>
      </w:pPr>
      <w:r>
        <w:rPr>
          <w:rFonts w:hint="eastAsia" w:ascii="宋体" w:hAnsi="宋体"/>
          <w:sz w:val="24"/>
          <w:szCs w:val="24"/>
        </w:rPr>
        <w:t>37.6评标结束后，评标委员会递交评标报告并依法推荐中标候选人。</w:t>
      </w:r>
    </w:p>
    <w:p w14:paraId="6A9FF550">
      <w:pPr>
        <w:wordWrap w:val="0"/>
        <w:adjustRightInd w:val="0"/>
        <w:snapToGrid w:val="0"/>
        <w:spacing w:line="360" w:lineRule="auto"/>
        <w:ind w:firstLine="480" w:firstLineChars="200"/>
        <w:rPr>
          <w:rFonts w:hint="eastAsia" w:ascii="宋体" w:hAnsi="宋体"/>
          <w:sz w:val="24"/>
          <w:szCs w:val="24"/>
        </w:rPr>
      </w:pPr>
      <w:r>
        <w:rPr>
          <w:rFonts w:hint="eastAsia" w:ascii="宋体" w:hAnsi="宋体"/>
          <w:sz w:val="24"/>
          <w:szCs w:val="24"/>
        </w:rPr>
        <w:t>38．投标文件的澄清</w:t>
      </w:r>
    </w:p>
    <w:p w14:paraId="1592FE45">
      <w:pPr>
        <w:wordWrap w:val="0"/>
        <w:adjustRightInd w:val="0"/>
        <w:snapToGrid w:val="0"/>
        <w:spacing w:line="360" w:lineRule="auto"/>
        <w:ind w:firstLine="480" w:firstLineChars="200"/>
        <w:rPr>
          <w:rFonts w:hint="eastAsia" w:ascii="宋体" w:hAnsi="宋体"/>
          <w:sz w:val="24"/>
          <w:szCs w:val="24"/>
        </w:rPr>
      </w:pPr>
      <w:r>
        <w:rPr>
          <w:rFonts w:ascii="宋体" w:hAnsi="宋体"/>
          <w:sz w:val="24"/>
          <w:szCs w:val="24"/>
        </w:rPr>
        <w:t>38.1</w:t>
      </w:r>
      <w:r>
        <w:rPr>
          <w:rFonts w:hint="eastAsia" w:ascii="宋体" w:hAnsi="宋体"/>
          <w:sz w:val="24"/>
          <w:szCs w:val="24"/>
        </w:rPr>
        <w:t>为有助于投标文件的审查、评价和比较，评标期间，经评标委员会</w:t>
      </w:r>
      <w:r>
        <w:rPr>
          <w:rFonts w:hint="eastAsia" w:ascii="宋体" w:hAnsi="宋体"/>
          <w:strike/>
          <w:sz w:val="24"/>
          <w:szCs w:val="24"/>
        </w:rPr>
        <w:t>或评标委员会专业评审组</w:t>
      </w:r>
      <w:r>
        <w:rPr>
          <w:rFonts w:hint="eastAsia" w:ascii="宋体" w:hAnsi="宋体"/>
          <w:sz w:val="24"/>
          <w:szCs w:val="24"/>
        </w:rPr>
        <w:t>中两人以上（含两人）以书面形式提出动议，评标委员会</w:t>
      </w:r>
      <w:r>
        <w:rPr>
          <w:rFonts w:hint="eastAsia" w:ascii="宋体" w:hAnsi="宋体"/>
          <w:strike/>
          <w:sz w:val="24"/>
          <w:szCs w:val="24"/>
        </w:rPr>
        <w:t>或评标委员会专业评审组</w:t>
      </w:r>
      <w:r>
        <w:rPr>
          <w:rFonts w:hint="eastAsia" w:ascii="宋体" w:hAnsi="宋体"/>
          <w:sz w:val="24"/>
          <w:szCs w:val="24"/>
        </w:rPr>
        <w:t>应当书面发出澄清通知，要求投标人对投标文件含义不明确、对同类问题表述不一致，有明显格式或文字、计算错误的内容作出澄清。</w:t>
      </w:r>
    </w:p>
    <w:p w14:paraId="43314860">
      <w:pPr>
        <w:wordWrap w:val="0"/>
        <w:adjustRightInd w:val="0"/>
        <w:snapToGrid w:val="0"/>
        <w:spacing w:line="360" w:lineRule="auto"/>
        <w:ind w:firstLine="480" w:firstLineChars="200"/>
        <w:rPr>
          <w:rFonts w:hint="eastAsia" w:ascii="宋体" w:hAnsi="宋体"/>
          <w:sz w:val="24"/>
          <w:szCs w:val="24"/>
        </w:rPr>
      </w:pPr>
      <w:r>
        <w:rPr>
          <w:rFonts w:ascii="宋体" w:hAnsi="宋体"/>
          <w:sz w:val="24"/>
          <w:szCs w:val="24"/>
        </w:rPr>
        <w:t>38.2</w:t>
      </w:r>
      <w:r>
        <w:rPr>
          <w:rFonts w:hint="eastAsia" w:ascii="宋体" w:hAnsi="宋体"/>
          <w:sz w:val="24"/>
          <w:szCs w:val="24"/>
        </w:rPr>
        <w:t>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14:paraId="54B26443">
      <w:pPr>
        <w:wordWrap w:val="0"/>
        <w:adjustRightInd w:val="0"/>
        <w:snapToGrid w:val="0"/>
        <w:spacing w:line="360" w:lineRule="auto"/>
        <w:ind w:firstLine="480" w:firstLineChars="200"/>
        <w:rPr>
          <w:rFonts w:hint="eastAsia" w:ascii="宋体" w:hAnsi="宋体"/>
          <w:sz w:val="24"/>
          <w:szCs w:val="24"/>
        </w:rPr>
      </w:pPr>
      <w:r>
        <w:rPr>
          <w:rFonts w:ascii="宋体" w:hAnsi="宋体"/>
          <w:sz w:val="24"/>
          <w:szCs w:val="24"/>
        </w:rPr>
        <w:t>38.3</w:t>
      </w:r>
      <w:r>
        <w:rPr>
          <w:rFonts w:hint="eastAsia" w:ascii="宋体" w:hAnsi="宋体"/>
          <w:sz w:val="24"/>
          <w:szCs w:val="24"/>
        </w:rPr>
        <w:t>评标委员会</w:t>
      </w:r>
      <w:r>
        <w:rPr>
          <w:rFonts w:hint="eastAsia" w:ascii="宋体" w:hAnsi="宋体"/>
          <w:strike/>
          <w:sz w:val="24"/>
          <w:szCs w:val="24"/>
        </w:rPr>
        <w:t>或评标委员会专业评审组</w:t>
      </w:r>
      <w:r>
        <w:rPr>
          <w:rFonts w:hint="eastAsia" w:ascii="宋体" w:hAnsi="宋体"/>
          <w:sz w:val="24"/>
          <w:szCs w:val="24"/>
        </w:rPr>
        <w:t>成员均应当阅读投标人的澄清，但应独立参考澄清对投标文件进行评审。</w:t>
      </w:r>
    </w:p>
    <w:p w14:paraId="5ABD52ED">
      <w:pPr>
        <w:wordWrap w:val="0"/>
        <w:adjustRightInd w:val="0"/>
        <w:snapToGrid w:val="0"/>
        <w:spacing w:line="360" w:lineRule="auto"/>
        <w:ind w:firstLine="480" w:firstLineChars="200"/>
        <w:rPr>
          <w:rFonts w:hint="eastAsia" w:ascii="宋体" w:hAnsi="宋体"/>
          <w:sz w:val="24"/>
          <w:szCs w:val="24"/>
        </w:rPr>
      </w:pPr>
      <w:r>
        <w:rPr>
          <w:rFonts w:ascii="宋体" w:hAnsi="宋体"/>
          <w:sz w:val="24"/>
          <w:szCs w:val="24"/>
        </w:rPr>
        <w:t>38.4</w:t>
      </w:r>
      <w:r>
        <w:rPr>
          <w:rFonts w:hint="eastAsia" w:ascii="宋体" w:hAnsi="宋体"/>
          <w:sz w:val="24"/>
          <w:szCs w:val="24"/>
        </w:rPr>
        <w:t>如果投标文件实质上不响应招标文件的各项要求，评标委员会将按照符合性审查标准予以拒绝，不接受投标人通过修改或撤销其不符合要求的差异或保留，使之成为具有响应性的投标。</w:t>
      </w:r>
    </w:p>
    <w:p w14:paraId="2C234037">
      <w:pPr>
        <w:wordWrap w:val="0"/>
        <w:adjustRightInd w:val="0"/>
        <w:snapToGrid w:val="0"/>
        <w:spacing w:line="360" w:lineRule="auto"/>
        <w:ind w:firstLine="480" w:firstLineChars="200"/>
        <w:rPr>
          <w:rFonts w:hint="eastAsia" w:ascii="宋体" w:hAnsi="宋体"/>
          <w:sz w:val="24"/>
          <w:szCs w:val="24"/>
        </w:rPr>
      </w:pPr>
      <w:r>
        <w:rPr>
          <w:rFonts w:hint="eastAsia" w:ascii="宋体" w:hAnsi="宋体"/>
          <w:sz w:val="24"/>
          <w:szCs w:val="24"/>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依法重新招标。</w:t>
      </w:r>
    </w:p>
    <w:p w14:paraId="5F6349F5">
      <w:pPr>
        <w:wordWrap w:val="0"/>
        <w:adjustRightInd w:val="0"/>
        <w:snapToGrid w:val="0"/>
        <w:spacing w:line="360" w:lineRule="auto"/>
        <w:ind w:firstLine="480" w:firstLineChars="200"/>
        <w:rPr>
          <w:rFonts w:hint="eastAsia" w:ascii="宋体" w:hAnsi="宋体"/>
          <w:sz w:val="24"/>
          <w:szCs w:val="24"/>
        </w:rPr>
      </w:pPr>
      <w:r>
        <w:rPr>
          <w:rFonts w:ascii="宋体" w:hAnsi="宋体"/>
          <w:sz w:val="24"/>
          <w:szCs w:val="24"/>
        </w:rPr>
        <w:t>39</w:t>
      </w:r>
      <w:r>
        <w:rPr>
          <w:rFonts w:hint="eastAsia" w:ascii="宋体" w:hAnsi="宋体"/>
          <w:sz w:val="24"/>
          <w:szCs w:val="24"/>
        </w:rPr>
        <w:t>．定标</w:t>
      </w:r>
    </w:p>
    <w:p w14:paraId="7F191CE2">
      <w:pPr>
        <w:wordWrap w:val="0"/>
        <w:adjustRightInd w:val="0"/>
        <w:snapToGrid w:val="0"/>
        <w:spacing w:line="360" w:lineRule="auto"/>
        <w:ind w:firstLine="480" w:firstLineChars="200"/>
        <w:rPr>
          <w:rFonts w:hint="eastAsia" w:ascii="宋体" w:hAnsi="宋体"/>
          <w:sz w:val="24"/>
          <w:szCs w:val="24"/>
        </w:rPr>
      </w:pPr>
      <w:r>
        <w:rPr>
          <w:rFonts w:ascii="宋体" w:hAnsi="宋体"/>
          <w:sz w:val="24"/>
          <w:szCs w:val="24"/>
        </w:rPr>
        <w:t>39.1</w:t>
      </w:r>
      <w:r>
        <w:rPr>
          <w:rFonts w:hint="eastAsia" w:ascii="宋体" w:hAnsi="宋体"/>
          <w:sz w:val="24"/>
          <w:szCs w:val="24"/>
        </w:rPr>
        <w:t>招标人根据评标委员会递交的评标报告，最终审定中标人。</w:t>
      </w:r>
    </w:p>
    <w:p w14:paraId="017604FD">
      <w:pPr>
        <w:wordWrap w:val="0"/>
        <w:adjustRightInd w:val="0"/>
        <w:snapToGrid w:val="0"/>
        <w:spacing w:line="360" w:lineRule="auto"/>
        <w:ind w:firstLine="480" w:firstLineChars="200"/>
        <w:rPr>
          <w:rFonts w:hint="eastAsia" w:ascii="宋体" w:hAnsi="宋体"/>
          <w:sz w:val="24"/>
          <w:szCs w:val="24"/>
        </w:rPr>
      </w:pPr>
      <w:r>
        <w:rPr>
          <w:rFonts w:ascii="宋体" w:hAnsi="宋体"/>
          <w:sz w:val="24"/>
          <w:szCs w:val="24"/>
        </w:rPr>
        <w:t>39.2</w:t>
      </w:r>
      <w:r>
        <w:rPr>
          <w:rFonts w:hint="eastAsia" w:ascii="宋体" w:hAnsi="宋体"/>
          <w:sz w:val="24"/>
          <w:szCs w:val="24"/>
        </w:rPr>
        <w:t>依法必须进行公开招标的项目，招标人应当确定排名第一的中标候选人为中标人。</w:t>
      </w:r>
      <w:r>
        <w:rPr>
          <w:rFonts w:hint="eastAsia" w:ascii="宋体" w:hAnsi="宋体"/>
          <w:strike/>
          <w:sz w:val="24"/>
          <w:szCs w:val="24"/>
        </w:rPr>
        <w:t>采用评定分离方式确定中标人的从其规定。</w:t>
      </w:r>
      <w:r>
        <w:rPr>
          <w:rFonts w:hint="eastAsia" w:ascii="宋体" w:hAnsi="宋体"/>
          <w:sz w:val="24"/>
          <w:szCs w:val="24"/>
        </w:rPr>
        <w:t>若发现委派的项目负责人已在其他在建项目中任职，不符合任职数量规定时，招标人可以确定排名第二的中标候选人为中标人。</w:t>
      </w:r>
    </w:p>
    <w:p w14:paraId="27AA0D31">
      <w:pPr>
        <w:wordWrap w:val="0"/>
        <w:adjustRightInd w:val="0"/>
        <w:snapToGrid w:val="0"/>
        <w:spacing w:line="360" w:lineRule="auto"/>
        <w:ind w:firstLine="480" w:firstLineChars="200"/>
        <w:rPr>
          <w:rFonts w:hint="eastAsia" w:ascii="宋体" w:hAnsi="宋体"/>
          <w:sz w:val="24"/>
          <w:szCs w:val="24"/>
        </w:rPr>
      </w:pPr>
      <w:r>
        <w:rPr>
          <w:rFonts w:ascii="宋体" w:hAnsi="宋体"/>
          <w:sz w:val="24"/>
          <w:szCs w:val="24"/>
        </w:rPr>
        <w:t>39.3</w:t>
      </w:r>
      <w:r>
        <w:rPr>
          <w:rFonts w:hint="eastAsia" w:ascii="宋体" w:hAnsi="宋体"/>
          <w:sz w:val="24"/>
          <w:szCs w:val="24"/>
        </w:rPr>
        <w:t>排名第一的中标候选人放弃中标、或因不可抗力提出不能履行合同，或者招标文件规定应当提交履约担保而在规定的期限内未能提交的，或经核查发现委派的项目负责人已在其他在建项目中任职，不符合任职数量规定时，招标人可以确定排名第二的中标候选人为中标人。</w:t>
      </w:r>
    </w:p>
    <w:p w14:paraId="41C8DBE1">
      <w:pPr>
        <w:wordWrap w:val="0"/>
        <w:adjustRightInd w:val="0"/>
        <w:snapToGrid w:val="0"/>
        <w:spacing w:line="360" w:lineRule="auto"/>
        <w:ind w:firstLine="480" w:firstLineChars="200"/>
        <w:rPr>
          <w:rFonts w:hint="eastAsia" w:ascii="宋体" w:hAnsi="宋体"/>
          <w:sz w:val="24"/>
          <w:szCs w:val="24"/>
        </w:rPr>
      </w:pPr>
      <w:r>
        <w:rPr>
          <w:rFonts w:ascii="宋体" w:hAnsi="宋体"/>
          <w:sz w:val="24"/>
          <w:szCs w:val="24"/>
        </w:rPr>
        <w:t>39.4</w:t>
      </w:r>
      <w:r>
        <w:rPr>
          <w:rFonts w:hint="eastAsia" w:ascii="宋体" w:hAnsi="宋体"/>
          <w:sz w:val="24"/>
          <w:szCs w:val="24"/>
        </w:rPr>
        <w:t>排名第二的中标候选人出现前款所列的情形的，招标人可以确定排名第三的中标候选人为中标人。以此类推，如所有中标候选人均出现前款所列的情形，为招标失败，招标人依法重新招标。</w:t>
      </w:r>
    </w:p>
    <w:p w14:paraId="51A82C3A">
      <w:pPr>
        <w:wordWrap w:val="0"/>
        <w:adjustRightInd w:val="0"/>
        <w:snapToGrid w:val="0"/>
        <w:spacing w:line="360" w:lineRule="auto"/>
        <w:ind w:firstLine="480" w:firstLineChars="200"/>
        <w:rPr>
          <w:rFonts w:hint="eastAsia" w:ascii="宋体" w:hAnsi="宋体"/>
          <w:sz w:val="24"/>
          <w:szCs w:val="24"/>
        </w:rPr>
      </w:pPr>
      <w:r>
        <w:rPr>
          <w:rFonts w:hint="eastAsia" w:ascii="宋体" w:hAnsi="宋体"/>
          <w:sz w:val="24"/>
          <w:szCs w:val="24"/>
        </w:rPr>
        <w:t>39.5重新评标的，评标信息（含业绩、奖项等）仍以投标截止时投标人的信息为准。因特殊原因需要延长投标有效期，投标人拒绝延长投标有效期的，仍参与评标，但不被推荐为中标候选人。</w:t>
      </w:r>
    </w:p>
    <w:p w14:paraId="3BB59B5E">
      <w:pPr>
        <w:wordWrap w:val="0"/>
        <w:adjustRightInd w:val="0"/>
        <w:snapToGrid w:val="0"/>
        <w:spacing w:line="360" w:lineRule="auto"/>
        <w:ind w:firstLine="480" w:firstLineChars="200"/>
        <w:rPr>
          <w:rFonts w:hint="eastAsia" w:ascii="宋体" w:hAnsi="宋体"/>
          <w:sz w:val="24"/>
          <w:szCs w:val="24"/>
        </w:rPr>
      </w:pPr>
      <w:r>
        <w:rPr>
          <w:rFonts w:hint="eastAsia" w:ascii="宋体" w:hAnsi="宋体"/>
          <w:sz w:val="24"/>
          <w:szCs w:val="24"/>
        </w:rPr>
        <w:t>39.6有效投标不足3个的，评标委员会应当对投标是否明显缺乏竞争和是否需要否决全部投标进行充分论证，并在评标报告中记载论证过程和结果。</w:t>
      </w:r>
    </w:p>
    <w:p w14:paraId="41162703">
      <w:pPr>
        <w:pStyle w:val="2"/>
        <w:wordWrap w:val="0"/>
        <w:adjustRightInd w:val="0"/>
        <w:snapToGrid w:val="0"/>
        <w:spacing w:line="360" w:lineRule="auto"/>
        <w:ind w:firstLine="480" w:firstLineChars="200"/>
        <w:rPr>
          <w:rFonts w:hint="eastAsia" w:hAnsi="宋体"/>
          <w:strike/>
          <w:sz w:val="24"/>
          <w:szCs w:val="24"/>
        </w:rPr>
      </w:pPr>
      <w:r>
        <w:rPr>
          <w:rFonts w:hint="eastAsia" w:ascii="楷体" w:hAnsi="楷体" w:eastAsia="楷体" w:cs="楷体"/>
          <w:strike/>
          <w:sz w:val="24"/>
          <w:szCs w:val="24"/>
        </w:rPr>
        <w:t>注：采用评定分离方式的，招标人应在招标文件中明确定标方式。</w:t>
      </w:r>
    </w:p>
    <w:bookmarkEnd w:id="58"/>
    <w:bookmarkEnd w:id="59"/>
    <w:p w14:paraId="09E36AF8">
      <w:pPr>
        <w:pStyle w:val="9"/>
        <w:wordWrap w:val="0"/>
        <w:adjustRightInd w:val="0"/>
        <w:snapToGrid w:val="0"/>
        <w:spacing w:before="0" w:beforeAutospacing="0" w:after="0" w:afterAutospacing="0" w:line="360" w:lineRule="auto"/>
        <w:ind w:firstLine="480" w:firstLineChars="200"/>
        <w:rPr>
          <w:rFonts w:hint="eastAsia"/>
          <w:szCs w:val="24"/>
        </w:rPr>
      </w:pPr>
      <w:bookmarkStart w:id="63" w:name="_Toc880"/>
      <w:bookmarkStart w:id="64" w:name="_Toc30429"/>
      <w:bookmarkStart w:id="65" w:name="_Toc31469"/>
      <w:bookmarkStart w:id="66" w:name="_Toc29738"/>
      <w:bookmarkStart w:id="67" w:name="_Toc8713"/>
      <w:bookmarkStart w:id="68" w:name="_Toc21525508"/>
      <w:bookmarkStart w:id="69" w:name="_Toc21268"/>
      <w:bookmarkStart w:id="70" w:name="_Toc16793"/>
      <w:bookmarkStart w:id="71" w:name="_Toc16591"/>
      <w:bookmarkStart w:id="72" w:name="_Toc8015"/>
      <w:bookmarkStart w:id="73" w:name="_Toc189644168"/>
      <w:bookmarkStart w:id="74" w:name="_Toc2272563"/>
      <w:r>
        <w:rPr>
          <w:rFonts w:hint="eastAsia"/>
          <w:szCs w:val="24"/>
        </w:rPr>
        <w:t>（二）开标评标办法程序和细则</w:t>
      </w:r>
      <w:bookmarkEnd w:id="63"/>
      <w:bookmarkEnd w:id="64"/>
      <w:bookmarkEnd w:id="65"/>
    </w:p>
    <w:p w14:paraId="748B6D81">
      <w:pPr>
        <w:wordWrap w:val="0"/>
        <w:adjustRightInd w:val="0"/>
        <w:snapToGrid w:val="0"/>
        <w:spacing w:line="360" w:lineRule="auto"/>
        <w:ind w:firstLine="480" w:firstLineChars="200"/>
        <w:jc w:val="left"/>
        <w:rPr>
          <w:rStyle w:val="126"/>
          <w:rFonts w:hint="eastAsia" w:cs="Times New Roman"/>
          <w:kern w:val="2"/>
          <w:szCs w:val="24"/>
        </w:rPr>
      </w:pPr>
      <w:r>
        <w:rPr>
          <w:rFonts w:hint="eastAsia"/>
          <w:bCs/>
          <w:sz w:val="24"/>
          <w:szCs w:val="24"/>
        </w:rPr>
        <w:t>（</w:t>
      </w:r>
      <w:r>
        <w:rPr>
          <w:rFonts w:hint="eastAsia" w:ascii="宋体" w:hAnsi="宋体"/>
          <w:sz w:val="24"/>
          <w:szCs w:val="24"/>
        </w:rPr>
        <w:t>开评标办法由招标人自行选择，鼓励招标人创新评标办法）</w:t>
      </w:r>
    </w:p>
    <w:bookmarkEnd w:id="66"/>
    <w:bookmarkEnd w:id="67"/>
    <w:bookmarkEnd w:id="68"/>
    <w:bookmarkEnd w:id="69"/>
    <w:bookmarkEnd w:id="70"/>
    <w:bookmarkEnd w:id="71"/>
    <w:bookmarkEnd w:id="72"/>
    <w:bookmarkEnd w:id="73"/>
    <w:bookmarkEnd w:id="74"/>
    <w:p w14:paraId="23F4DDA9">
      <w:pPr>
        <w:wordWrap w:val="0"/>
        <w:adjustRightInd w:val="0"/>
        <w:snapToGrid w:val="0"/>
        <w:spacing w:line="360" w:lineRule="auto"/>
        <w:ind w:firstLine="482" w:firstLineChars="200"/>
        <w:rPr>
          <w:b/>
          <w:bCs/>
          <w:sz w:val="24"/>
          <w:szCs w:val="24"/>
        </w:rPr>
      </w:pPr>
      <w:r>
        <w:rPr>
          <w:rFonts w:hint="eastAsia"/>
          <w:b/>
          <w:bCs/>
          <w:sz w:val="24"/>
          <w:szCs w:val="24"/>
        </w:rPr>
        <w:t>可选办法六（适合综合评分法三，技术标与经济标同时开启）</w:t>
      </w:r>
    </w:p>
    <w:p w14:paraId="03E8502D">
      <w:pPr>
        <w:pStyle w:val="5"/>
        <w:wordWrap w:val="0"/>
        <w:adjustRightInd w:val="0"/>
        <w:snapToGrid w:val="0"/>
        <w:spacing w:after="0" w:line="360" w:lineRule="auto"/>
        <w:ind w:firstLine="480" w:firstLineChars="200"/>
        <w:rPr>
          <w:rFonts w:hint="eastAsia" w:ascii="宋体" w:hAnsi="宋体"/>
          <w:sz w:val="24"/>
          <w:szCs w:val="24"/>
        </w:rPr>
      </w:pPr>
      <w:r>
        <w:rPr>
          <w:rFonts w:hint="eastAsia" w:ascii="宋体" w:hAnsi="宋体"/>
          <w:sz w:val="24"/>
          <w:szCs w:val="24"/>
        </w:rPr>
        <w:t>40．开标和评标程序：</w:t>
      </w:r>
    </w:p>
    <w:p w14:paraId="02586F2C">
      <w:pPr>
        <w:wordWrap w:val="0"/>
        <w:adjustRightInd w:val="0"/>
        <w:snapToGrid w:val="0"/>
        <w:spacing w:line="360" w:lineRule="auto"/>
        <w:ind w:firstLine="480" w:firstLineChars="200"/>
        <w:rPr>
          <w:rFonts w:hint="eastAsia" w:ascii="宋体" w:hAnsi="宋体"/>
          <w:sz w:val="24"/>
          <w:szCs w:val="24"/>
        </w:rPr>
      </w:pPr>
      <w:r>
        <w:rPr>
          <w:rFonts w:hint="eastAsia" w:ascii="宋体" w:hAnsi="宋体"/>
          <w:sz w:val="24"/>
          <w:szCs w:val="24"/>
        </w:rPr>
        <w:t>40.1投标人递交技术标、经济标投标文件；</w:t>
      </w:r>
    </w:p>
    <w:p w14:paraId="15AD8D87">
      <w:pPr>
        <w:wordWrap w:val="0"/>
        <w:adjustRightInd w:val="0"/>
        <w:snapToGrid w:val="0"/>
        <w:spacing w:line="360" w:lineRule="auto"/>
        <w:ind w:firstLine="480" w:firstLineChars="200"/>
        <w:rPr>
          <w:rFonts w:hint="eastAsia" w:ascii="宋体" w:hAnsi="宋体"/>
          <w:sz w:val="24"/>
          <w:szCs w:val="24"/>
        </w:rPr>
      </w:pPr>
      <w:r>
        <w:rPr>
          <w:rFonts w:hint="eastAsia" w:ascii="宋体" w:hAnsi="宋体"/>
          <w:sz w:val="24"/>
          <w:szCs w:val="24"/>
        </w:rPr>
        <w:t>40.2技术标与经济标投标文件同时公开开标；</w:t>
      </w:r>
    </w:p>
    <w:p w14:paraId="3E1B43C5">
      <w:pPr>
        <w:wordWrap w:val="0"/>
        <w:adjustRightInd w:val="0"/>
        <w:snapToGrid w:val="0"/>
        <w:spacing w:line="360" w:lineRule="auto"/>
        <w:ind w:firstLine="480" w:firstLineChars="200"/>
        <w:rPr>
          <w:rFonts w:hint="eastAsia" w:ascii="宋体" w:hAnsi="宋体"/>
          <w:sz w:val="24"/>
          <w:szCs w:val="24"/>
        </w:rPr>
      </w:pPr>
      <w:r>
        <w:rPr>
          <w:rFonts w:hint="eastAsia" w:ascii="宋体" w:hAnsi="宋体"/>
          <w:sz w:val="24"/>
          <w:szCs w:val="24"/>
        </w:rPr>
        <w:t>40.3由招标人随机抽取确定该工程计算评标参考价的等分点值X（适用于区间抽取法）；</w:t>
      </w:r>
    </w:p>
    <w:p w14:paraId="3703B13C">
      <w:pPr>
        <w:wordWrap w:val="0"/>
        <w:adjustRightInd w:val="0"/>
        <w:snapToGrid w:val="0"/>
        <w:spacing w:line="360" w:lineRule="auto"/>
        <w:ind w:firstLine="480" w:firstLineChars="200"/>
        <w:rPr>
          <w:rFonts w:hint="eastAsia" w:ascii="宋体" w:hAnsi="宋体"/>
          <w:sz w:val="24"/>
          <w:szCs w:val="24"/>
        </w:rPr>
      </w:pPr>
      <w:r>
        <w:rPr>
          <w:rFonts w:hint="eastAsia" w:ascii="宋体" w:hAnsi="宋体"/>
          <w:sz w:val="24"/>
          <w:szCs w:val="24"/>
        </w:rPr>
        <w:t>40.4由评标委员会对所有已公开开标的投标人进行资格审查；</w:t>
      </w:r>
    </w:p>
    <w:p w14:paraId="23B32E61">
      <w:pPr>
        <w:wordWrap w:val="0"/>
        <w:adjustRightInd w:val="0"/>
        <w:snapToGrid w:val="0"/>
        <w:spacing w:line="360" w:lineRule="auto"/>
        <w:ind w:firstLine="480" w:firstLineChars="200"/>
        <w:rPr>
          <w:rFonts w:hint="eastAsia" w:ascii="宋体" w:hAnsi="宋体"/>
          <w:sz w:val="24"/>
          <w:szCs w:val="24"/>
        </w:rPr>
      </w:pPr>
      <w:r>
        <w:rPr>
          <w:rFonts w:hint="eastAsia" w:ascii="宋体" w:hAnsi="宋体"/>
          <w:sz w:val="24"/>
          <w:szCs w:val="24"/>
        </w:rPr>
        <w:t>40.54技术标投标文件有效性审查；</w:t>
      </w:r>
    </w:p>
    <w:p w14:paraId="2C070213">
      <w:pPr>
        <w:wordWrap w:val="0"/>
        <w:adjustRightInd w:val="0"/>
        <w:snapToGrid w:val="0"/>
        <w:spacing w:line="360" w:lineRule="auto"/>
        <w:ind w:firstLine="480" w:firstLineChars="200"/>
        <w:rPr>
          <w:rFonts w:hint="eastAsia" w:ascii="宋体" w:hAnsi="宋体"/>
          <w:sz w:val="24"/>
          <w:szCs w:val="24"/>
        </w:rPr>
      </w:pPr>
      <w:r>
        <w:rPr>
          <w:rFonts w:hint="eastAsia" w:ascii="宋体" w:hAnsi="宋体"/>
          <w:sz w:val="24"/>
          <w:szCs w:val="24"/>
        </w:rPr>
        <w:t>40.6技术标详细审查评分；</w:t>
      </w:r>
    </w:p>
    <w:p w14:paraId="23E76DA4">
      <w:pPr>
        <w:wordWrap w:val="0"/>
        <w:adjustRightInd w:val="0"/>
        <w:snapToGrid w:val="0"/>
        <w:spacing w:line="360" w:lineRule="auto"/>
        <w:ind w:firstLine="480" w:firstLineChars="200"/>
        <w:rPr>
          <w:rFonts w:hint="eastAsia" w:ascii="宋体" w:hAnsi="宋体"/>
          <w:sz w:val="24"/>
          <w:szCs w:val="24"/>
        </w:rPr>
      </w:pPr>
      <w:r>
        <w:rPr>
          <w:rFonts w:hint="eastAsia" w:ascii="宋体" w:hAnsi="宋体"/>
          <w:sz w:val="24"/>
          <w:szCs w:val="24"/>
        </w:rPr>
        <w:t>40.7计算第一阶段得分，并按照总分从高到低排列先后次序，编写第一阶段评审报告；</w:t>
      </w:r>
    </w:p>
    <w:p w14:paraId="00660526">
      <w:pPr>
        <w:wordWrap w:val="0"/>
        <w:adjustRightInd w:val="0"/>
        <w:snapToGrid w:val="0"/>
        <w:spacing w:line="360" w:lineRule="auto"/>
        <w:ind w:firstLine="480" w:firstLineChars="200"/>
        <w:rPr>
          <w:rFonts w:hint="eastAsia" w:ascii="宋体" w:hAnsi="宋体"/>
          <w:sz w:val="24"/>
          <w:szCs w:val="24"/>
        </w:rPr>
      </w:pPr>
      <w:r>
        <w:rPr>
          <w:rFonts w:hint="eastAsia" w:ascii="宋体" w:hAnsi="宋体"/>
          <w:sz w:val="24"/>
          <w:szCs w:val="24"/>
        </w:rPr>
        <w:t>40.8按投标须知前附表第27项规定，确定进入第二阶段评审的投标人；</w:t>
      </w:r>
    </w:p>
    <w:p w14:paraId="64E02ABD">
      <w:pPr>
        <w:wordWrap w:val="0"/>
        <w:adjustRightInd w:val="0"/>
        <w:snapToGrid w:val="0"/>
        <w:spacing w:line="360" w:lineRule="auto"/>
        <w:ind w:firstLine="480" w:firstLineChars="200"/>
        <w:rPr>
          <w:rFonts w:hint="eastAsia" w:ascii="宋体" w:hAnsi="宋体"/>
          <w:sz w:val="24"/>
          <w:szCs w:val="24"/>
        </w:rPr>
      </w:pPr>
      <w:r>
        <w:rPr>
          <w:rFonts w:ascii="宋体" w:hAnsi="宋体"/>
          <w:sz w:val="24"/>
          <w:szCs w:val="24"/>
        </w:rPr>
        <w:t>40.</w:t>
      </w:r>
      <w:r>
        <w:rPr>
          <w:rFonts w:hint="eastAsia" w:ascii="宋体" w:hAnsi="宋体"/>
          <w:sz w:val="24"/>
          <w:szCs w:val="24"/>
        </w:rPr>
        <w:t>9对</w:t>
      </w:r>
      <w:r>
        <w:rPr>
          <w:rFonts w:hint="eastAsia" w:hAnsi="宋体"/>
          <w:sz w:val="24"/>
          <w:szCs w:val="24"/>
        </w:rPr>
        <w:t>进入第二阶段评审</w:t>
      </w:r>
      <w:r>
        <w:rPr>
          <w:rFonts w:hint="eastAsia" w:ascii="宋体" w:hAnsi="宋体"/>
          <w:sz w:val="24"/>
          <w:szCs w:val="24"/>
        </w:rPr>
        <w:t>的经济标投标文件的投标报价进行算术校核；</w:t>
      </w:r>
    </w:p>
    <w:p w14:paraId="06D48DC0">
      <w:pPr>
        <w:wordWrap w:val="0"/>
        <w:adjustRightInd w:val="0"/>
        <w:snapToGrid w:val="0"/>
        <w:spacing w:line="360" w:lineRule="auto"/>
        <w:ind w:firstLine="480" w:firstLineChars="200"/>
        <w:rPr>
          <w:rFonts w:hint="eastAsia" w:ascii="宋体" w:hAnsi="宋体"/>
          <w:sz w:val="24"/>
          <w:szCs w:val="24"/>
        </w:rPr>
      </w:pPr>
      <w:r>
        <w:rPr>
          <w:rFonts w:ascii="宋体" w:hAnsi="宋体"/>
          <w:sz w:val="24"/>
          <w:szCs w:val="24"/>
        </w:rPr>
        <w:t>40.</w:t>
      </w:r>
      <w:r>
        <w:rPr>
          <w:rFonts w:hint="eastAsia" w:ascii="宋体" w:hAnsi="宋体"/>
          <w:sz w:val="24"/>
          <w:szCs w:val="24"/>
        </w:rPr>
        <w:t>10对进入第二阶段评审且完成投标报价算术校核的投标人按规定进行排序；</w:t>
      </w:r>
    </w:p>
    <w:p w14:paraId="234EAEA2">
      <w:pPr>
        <w:wordWrap w:val="0"/>
        <w:adjustRightInd w:val="0"/>
        <w:snapToGrid w:val="0"/>
        <w:spacing w:line="360" w:lineRule="auto"/>
        <w:ind w:firstLine="480" w:firstLineChars="200"/>
        <w:rPr>
          <w:rFonts w:hint="eastAsia" w:ascii="宋体" w:hAnsi="宋体"/>
          <w:sz w:val="24"/>
          <w:szCs w:val="24"/>
        </w:rPr>
      </w:pPr>
      <w:r>
        <w:rPr>
          <w:rFonts w:ascii="宋体" w:hAnsi="宋体"/>
          <w:sz w:val="24"/>
          <w:szCs w:val="24"/>
        </w:rPr>
        <w:t>40.</w:t>
      </w:r>
      <w:r>
        <w:rPr>
          <w:rFonts w:hint="eastAsia" w:ascii="宋体" w:hAnsi="宋体"/>
          <w:sz w:val="24"/>
          <w:szCs w:val="24"/>
        </w:rPr>
        <w:t>11按排序对经济标投标文件进行有效性审查，直至评出所有中标候选人；</w:t>
      </w:r>
    </w:p>
    <w:p w14:paraId="1C8E32F4">
      <w:pPr>
        <w:wordWrap w:val="0"/>
        <w:adjustRightInd w:val="0"/>
        <w:snapToGrid w:val="0"/>
        <w:spacing w:line="360" w:lineRule="auto"/>
        <w:ind w:firstLine="480" w:firstLineChars="200"/>
        <w:rPr>
          <w:rFonts w:hint="eastAsia" w:ascii="宋体" w:hAnsi="宋体"/>
          <w:sz w:val="24"/>
          <w:szCs w:val="24"/>
        </w:rPr>
      </w:pPr>
      <w:r>
        <w:rPr>
          <w:rFonts w:hint="eastAsia" w:ascii="宋体" w:hAnsi="宋体"/>
          <w:sz w:val="24"/>
          <w:szCs w:val="24"/>
        </w:rPr>
        <w:t>40.12评标委员会编写评标报告，向招标人推荐中标候选人名单。</w:t>
      </w:r>
    </w:p>
    <w:p w14:paraId="164573AA">
      <w:pPr>
        <w:wordWrap w:val="0"/>
        <w:adjustRightInd w:val="0"/>
        <w:snapToGrid w:val="0"/>
        <w:spacing w:line="360" w:lineRule="auto"/>
        <w:ind w:firstLine="480" w:firstLineChars="200"/>
        <w:rPr>
          <w:rFonts w:hint="eastAsia" w:ascii="宋体" w:hAnsi="宋体"/>
          <w:sz w:val="24"/>
          <w:szCs w:val="24"/>
        </w:rPr>
      </w:pPr>
      <w:r>
        <w:rPr>
          <w:rFonts w:hint="eastAsia" w:ascii="宋体" w:hAnsi="宋体"/>
          <w:sz w:val="24"/>
          <w:szCs w:val="24"/>
        </w:rPr>
        <w:t>41．开标细则</w:t>
      </w:r>
    </w:p>
    <w:p w14:paraId="0172FD01">
      <w:pPr>
        <w:wordWrap w:val="0"/>
        <w:adjustRightInd w:val="0"/>
        <w:snapToGrid w:val="0"/>
        <w:spacing w:line="360" w:lineRule="auto"/>
        <w:ind w:firstLine="480" w:firstLineChars="200"/>
        <w:rPr>
          <w:rFonts w:hint="eastAsia" w:ascii="宋体" w:hAnsi="宋体"/>
          <w:sz w:val="24"/>
          <w:szCs w:val="24"/>
        </w:rPr>
      </w:pPr>
      <w:r>
        <w:rPr>
          <w:rFonts w:hint="eastAsia" w:ascii="宋体" w:hAnsi="宋体"/>
          <w:sz w:val="24"/>
          <w:szCs w:val="24"/>
        </w:rPr>
        <w:t>41.1开标由招标人</w:t>
      </w:r>
      <w:r>
        <w:rPr>
          <w:rFonts w:hint="eastAsia" w:ascii="宋体" w:hAnsi="宋体" w:cs="宋体"/>
          <w:b/>
          <w:bCs/>
          <w:sz w:val="24"/>
          <w:szCs w:val="24"/>
          <w:u w:val="single"/>
        </w:rPr>
        <w:t>或招标代理机构</w:t>
      </w:r>
      <w:r>
        <w:rPr>
          <w:rFonts w:hint="eastAsia" w:ascii="宋体" w:hAnsi="宋体"/>
          <w:sz w:val="24"/>
          <w:szCs w:val="24"/>
        </w:rPr>
        <w:t>主持。</w:t>
      </w:r>
    </w:p>
    <w:p w14:paraId="3360C457">
      <w:pPr>
        <w:wordWrap w:val="0"/>
        <w:adjustRightInd w:val="0"/>
        <w:snapToGrid w:val="0"/>
        <w:spacing w:line="360" w:lineRule="auto"/>
        <w:ind w:firstLine="480" w:firstLineChars="200"/>
        <w:rPr>
          <w:rFonts w:hint="eastAsia" w:ascii="宋体" w:hAnsi="宋体"/>
          <w:sz w:val="24"/>
          <w:szCs w:val="24"/>
        </w:rPr>
      </w:pPr>
      <w:r>
        <w:rPr>
          <w:rFonts w:hint="eastAsia" w:ascii="宋体" w:hAnsi="宋体"/>
          <w:sz w:val="24"/>
          <w:szCs w:val="24"/>
        </w:rPr>
        <w:t>41.2细则</w:t>
      </w:r>
    </w:p>
    <w:p w14:paraId="22590132">
      <w:pPr>
        <w:wordWrap w:val="0"/>
        <w:adjustRightInd w:val="0"/>
        <w:snapToGrid w:val="0"/>
        <w:spacing w:line="360" w:lineRule="auto"/>
        <w:ind w:firstLine="480" w:firstLineChars="200"/>
        <w:rPr>
          <w:rFonts w:hint="eastAsia" w:ascii="宋体" w:hAnsi="宋体"/>
          <w:sz w:val="24"/>
          <w:szCs w:val="24"/>
        </w:rPr>
      </w:pPr>
      <w:r>
        <w:rPr>
          <w:rFonts w:hint="eastAsia" w:ascii="宋体" w:hAnsi="宋体"/>
          <w:sz w:val="24"/>
          <w:szCs w:val="24"/>
        </w:rPr>
        <w:t>41.2.1投标截止期前，各投标人递交投标文件（包括技术标投标文件</w:t>
      </w:r>
      <w:r>
        <w:rPr>
          <w:rFonts w:hint="eastAsia" w:ascii="宋体" w:hAnsi="宋体" w:cs="宋体"/>
          <w:b/>
          <w:sz w:val="24"/>
          <w:szCs w:val="24"/>
          <w:u w:val="single"/>
        </w:rPr>
        <w:t>（含资格审查文件）</w:t>
      </w:r>
      <w:r>
        <w:rPr>
          <w:rFonts w:hint="eastAsia" w:ascii="宋体" w:hAnsi="宋体"/>
          <w:sz w:val="24"/>
          <w:szCs w:val="24"/>
        </w:rPr>
        <w:t>、经济标投标文件）至</w:t>
      </w:r>
      <w:r>
        <w:rPr>
          <w:rFonts w:hint="eastAsia" w:ascii="宋体" w:hAnsi="宋体" w:cs="宋体"/>
          <w:b/>
          <w:sz w:val="24"/>
          <w:szCs w:val="24"/>
          <w:u w:val="single"/>
        </w:rPr>
        <w:t>广州交易集团有限公司（广州公共资源交易中心）</w:t>
      </w:r>
      <w:r>
        <w:rPr>
          <w:rFonts w:hint="eastAsia" w:ascii="宋体" w:hAnsi="宋体"/>
          <w:sz w:val="24"/>
          <w:szCs w:val="24"/>
        </w:rPr>
        <w:t xml:space="preserve">交易平台。有关投标文件提交的事项详见第一章投标须知。 </w:t>
      </w:r>
    </w:p>
    <w:p w14:paraId="4B8F93FF">
      <w:pPr>
        <w:wordWrap w:val="0"/>
        <w:adjustRightInd w:val="0"/>
        <w:snapToGrid w:val="0"/>
        <w:spacing w:line="360" w:lineRule="auto"/>
        <w:ind w:firstLine="480" w:firstLineChars="200"/>
        <w:rPr>
          <w:rFonts w:hint="eastAsia" w:ascii="宋体" w:hAnsi="宋体"/>
          <w:sz w:val="24"/>
          <w:szCs w:val="24"/>
        </w:rPr>
      </w:pPr>
      <w:r>
        <w:rPr>
          <w:rFonts w:hint="eastAsia" w:ascii="宋体" w:hAnsi="宋体"/>
          <w:sz w:val="24"/>
          <w:szCs w:val="24"/>
        </w:rPr>
        <w:t>41.2.2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14:paraId="5E2D8200">
      <w:pPr>
        <w:wordWrap w:val="0"/>
        <w:adjustRightInd w:val="0"/>
        <w:snapToGrid w:val="0"/>
        <w:spacing w:line="360" w:lineRule="auto"/>
        <w:ind w:firstLine="480" w:firstLineChars="200"/>
        <w:rPr>
          <w:rFonts w:hint="eastAsia" w:ascii="宋体" w:hAnsi="宋体"/>
          <w:sz w:val="24"/>
          <w:szCs w:val="24"/>
        </w:rPr>
      </w:pPr>
      <w:r>
        <w:rPr>
          <w:rFonts w:hint="eastAsia" w:ascii="宋体" w:hAnsi="宋体"/>
          <w:sz w:val="24"/>
          <w:szCs w:val="24"/>
        </w:rPr>
        <w:t>41.3按36.5.1的规定完成解密后，公布下列内容，并予以记录，记录提交评标委员会评审：</w:t>
      </w:r>
    </w:p>
    <w:p w14:paraId="12E132CA">
      <w:pPr>
        <w:wordWrap w:val="0"/>
        <w:adjustRightInd w:val="0"/>
        <w:snapToGrid w:val="0"/>
        <w:spacing w:line="360" w:lineRule="auto"/>
        <w:ind w:firstLine="480" w:firstLineChars="200"/>
        <w:rPr>
          <w:rFonts w:hint="eastAsia" w:ascii="宋体" w:hAnsi="宋体"/>
          <w:sz w:val="24"/>
          <w:szCs w:val="24"/>
        </w:rPr>
      </w:pPr>
      <w:r>
        <w:rPr>
          <w:rFonts w:hint="eastAsia" w:ascii="宋体" w:hAnsi="宋体"/>
          <w:sz w:val="24"/>
          <w:szCs w:val="24"/>
        </w:rPr>
        <w:t>41.3.1开标时，公布：a、投标人名称；</w:t>
      </w:r>
      <w:r>
        <w:rPr>
          <w:rFonts w:ascii="宋体" w:hAnsi="宋体"/>
          <w:sz w:val="24"/>
          <w:szCs w:val="24"/>
        </w:rPr>
        <w:t>b</w:t>
      </w:r>
      <w:r>
        <w:rPr>
          <w:rFonts w:hint="eastAsia" w:ascii="宋体" w:hAnsi="宋体"/>
          <w:sz w:val="24"/>
          <w:szCs w:val="24"/>
        </w:rPr>
        <w:t>、投标文件递交情况</w:t>
      </w:r>
      <w:r>
        <w:rPr>
          <w:rFonts w:ascii="宋体" w:hAnsi="宋体"/>
          <w:sz w:val="24"/>
          <w:szCs w:val="24"/>
        </w:rPr>
        <w:t>c</w:t>
      </w:r>
      <w:r>
        <w:rPr>
          <w:rFonts w:hint="eastAsia" w:ascii="宋体" w:hAnsi="宋体"/>
          <w:sz w:val="24"/>
          <w:szCs w:val="24"/>
        </w:rPr>
        <w:t>、投标文件解密情况；</w:t>
      </w:r>
      <w:r>
        <w:rPr>
          <w:rFonts w:ascii="宋体" w:hAnsi="宋体"/>
          <w:sz w:val="24"/>
          <w:szCs w:val="24"/>
        </w:rPr>
        <w:t>d</w:t>
      </w:r>
      <w:r>
        <w:rPr>
          <w:rFonts w:hint="eastAsia" w:ascii="宋体" w:hAnsi="宋体"/>
          <w:sz w:val="24"/>
          <w:szCs w:val="24"/>
        </w:rPr>
        <w:t>、法定代表人证明及授权委托；</w:t>
      </w:r>
      <w:r>
        <w:rPr>
          <w:rFonts w:ascii="宋体" w:hAnsi="宋体"/>
          <w:sz w:val="24"/>
          <w:szCs w:val="24"/>
        </w:rPr>
        <w:t>e</w:t>
      </w:r>
      <w:r>
        <w:rPr>
          <w:rFonts w:hint="eastAsia" w:ascii="宋体" w:hAnsi="宋体"/>
          <w:sz w:val="24"/>
          <w:szCs w:val="24"/>
        </w:rPr>
        <w:t>、投标保证金；f、项目经理（负责人）名称；</w:t>
      </w:r>
      <w:r>
        <w:rPr>
          <w:rFonts w:ascii="宋体" w:hAnsi="宋体"/>
          <w:sz w:val="24"/>
          <w:szCs w:val="24"/>
        </w:rPr>
        <w:t>f</w:t>
      </w:r>
      <w:r>
        <w:rPr>
          <w:rFonts w:hint="eastAsia" w:ascii="宋体" w:hAnsi="宋体"/>
          <w:sz w:val="24"/>
          <w:szCs w:val="24"/>
        </w:rPr>
        <w:t>、投标报价等主要内容及开标记录表中的其他必要内容。投标报价以数字和文字两种方式表述的，应公布文字表述的投标报价。</w:t>
      </w:r>
    </w:p>
    <w:p w14:paraId="64661B5D">
      <w:pPr>
        <w:pStyle w:val="8"/>
        <w:wordWrap w:val="0"/>
        <w:adjustRightInd w:val="0"/>
        <w:snapToGrid w:val="0"/>
        <w:spacing w:line="360" w:lineRule="auto"/>
        <w:ind w:firstLine="480" w:firstLineChars="200"/>
        <w:rPr>
          <w:sz w:val="24"/>
          <w:szCs w:val="24"/>
        </w:rPr>
      </w:pPr>
      <w:r>
        <w:rPr>
          <w:rFonts w:hint="eastAsia" w:ascii="宋体" w:hAnsi="宋体"/>
          <w:sz w:val="24"/>
          <w:szCs w:val="24"/>
        </w:rPr>
        <w:t>41.3.2</w:t>
      </w:r>
      <w:r>
        <w:rPr>
          <w:rFonts w:hint="eastAsia" w:ascii="宋体"/>
          <w:sz w:val="24"/>
          <w:szCs w:val="24"/>
        </w:rPr>
        <w:t>由招标人随机抽取确定该工程计算评标参考价的等分点值X。</w:t>
      </w:r>
    </w:p>
    <w:p w14:paraId="3C34B087">
      <w:pPr>
        <w:wordWrap w:val="0"/>
        <w:adjustRightInd w:val="0"/>
        <w:snapToGrid w:val="0"/>
        <w:spacing w:line="360" w:lineRule="auto"/>
        <w:ind w:firstLine="480" w:firstLineChars="200"/>
        <w:rPr>
          <w:rFonts w:hint="eastAsia" w:ascii="宋体" w:hAnsi="宋体"/>
          <w:sz w:val="24"/>
          <w:szCs w:val="24"/>
        </w:rPr>
      </w:pPr>
      <w:r>
        <w:rPr>
          <w:rFonts w:hint="eastAsia" w:ascii="宋体" w:hAnsi="宋体"/>
          <w:sz w:val="24"/>
          <w:szCs w:val="24"/>
        </w:rPr>
        <w:t>41.4招标人对开标过程进行记录，并存档备查，投标人在开标记录上签字。</w:t>
      </w:r>
    </w:p>
    <w:p w14:paraId="4C64FA8B">
      <w:pPr>
        <w:wordWrap w:val="0"/>
        <w:adjustRightInd w:val="0"/>
        <w:snapToGrid w:val="0"/>
        <w:spacing w:line="360" w:lineRule="auto"/>
        <w:ind w:firstLine="480" w:firstLineChars="200"/>
        <w:rPr>
          <w:rFonts w:hint="eastAsia" w:ascii="宋体" w:hAnsi="宋体"/>
          <w:sz w:val="24"/>
          <w:szCs w:val="24"/>
        </w:rPr>
      </w:pPr>
      <w:r>
        <w:rPr>
          <w:rFonts w:hint="eastAsia" w:ascii="宋体" w:hAnsi="宋体"/>
          <w:sz w:val="24"/>
          <w:szCs w:val="24"/>
        </w:rPr>
        <w:t>41.5招标人将上述符合要求的投标文件，送至评标委员会进行评审。</w:t>
      </w:r>
    </w:p>
    <w:p w14:paraId="58EC759F">
      <w:pPr>
        <w:wordWrap w:val="0"/>
        <w:adjustRightInd w:val="0"/>
        <w:snapToGrid w:val="0"/>
        <w:spacing w:line="360" w:lineRule="auto"/>
        <w:ind w:firstLine="480" w:firstLineChars="200"/>
        <w:rPr>
          <w:rFonts w:hint="eastAsia" w:ascii="宋体" w:hAnsi="宋体"/>
          <w:sz w:val="24"/>
          <w:szCs w:val="24"/>
        </w:rPr>
      </w:pPr>
      <w:r>
        <w:rPr>
          <w:rFonts w:ascii="宋体" w:hAnsi="宋体"/>
          <w:sz w:val="24"/>
          <w:szCs w:val="24"/>
        </w:rPr>
        <w:t>42</w:t>
      </w:r>
      <w:r>
        <w:rPr>
          <w:rFonts w:hint="eastAsia" w:ascii="宋体" w:hAnsi="宋体"/>
          <w:sz w:val="24"/>
          <w:szCs w:val="24"/>
        </w:rPr>
        <w:t>．评标细则</w:t>
      </w:r>
    </w:p>
    <w:p w14:paraId="02692769">
      <w:pPr>
        <w:wordWrap w:val="0"/>
        <w:adjustRightInd w:val="0"/>
        <w:snapToGrid w:val="0"/>
        <w:spacing w:line="360" w:lineRule="auto"/>
        <w:ind w:firstLine="480" w:firstLineChars="200"/>
        <w:rPr>
          <w:rFonts w:hint="eastAsia" w:ascii="宋体" w:hAnsi="宋体"/>
          <w:sz w:val="24"/>
          <w:szCs w:val="24"/>
        </w:rPr>
      </w:pPr>
      <w:r>
        <w:rPr>
          <w:rFonts w:hint="eastAsia" w:ascii="宋体" w:hAnsi="宋体"/>
          <w:sz w:val="24"/>
          <w:szCs w:val="24"/>
        </w:rPr>
        <w:t>42.1评标委员会的组成：方式</w:t>
      </w:r>
      <w:r>
        <w:rPr>
          <w:rFonts w:hint="eastAsia" w:ascii="宋体" w:hAnsi="宋体" w:cs="宋体"/>
          <w:b/>
          <w:bCs/>
          <w:sz w:val="24"/>
          <w:szCs w:val="24"/>
          <w:u w:val="single"/>
        </w:rPr>
        <w:t>一</w:t>
      </w:r>
      <w:r>
        <w:rPr>
          <w:rFonts w:hint="eastAsia" w:ascii="宋体" w:hAnsi="宋体"/>
          <w:sz w:val="24"/>
          <w:szCs w:val="24"/>
        </w:rPr>
        <w:t>。</w:t>
      </w:r>
    </w:p>
    <w:p w14:paraId="1719A809">
      <w:pPr>
        <w:wordWrap w:val="0"/>
        <w:adjustRightInd w:val="0"/>
        <w:snapToGrid w:val="0"/>
        <w:spacing w:line="360" w:lineRule="auto"/>
        <w:ind w:firstLine="480" w:firstLineChars="200"/>
        <w:rPr>
          <w:rFonts w:hint="eastAsia" w:ascii="宋体" w:hAnsi="宋体"/>
          <w:sz w:val="24"/>
          <w:szCs w:val="24"/>
        </w:rPr>
      </w:pPr>
      <w:r>
        <w:rPr>
          <w:rFonts w:hint="eastAsia" w:ascii="宋体" w:hAnsi="宋体"/>
          <w:sz w:val="24"/>
          <w:szCs w:val="24"/>
        </w:rPr>
        <w:t>方式一：评标委员会为综合评标委员会，负责</w:t>
      </w:r>
      <w:r>
        <w:rPr>
          <w:rFonts w:hint="eastAsia" w:ascii="宋体" w:hAnsi="宋体" w:cs="宋体"/>
          <w:b/>
          <w:bCs/>
          <w:sz w:val="24"/>
          <w:szCs w:val="24"/>
          <w:u w:val="single"/>
        </w:rPr>
        <w:t>资格审查及</w:t>
      </w:r>
      <w:r>
        <w:rPr>
          <w:rFonts w:hint="eastAsia" w:ascii="宋体" w:hAnsi="宋体"/>
          <w:sz w:val="24"/>
          <w:szCs w:val="24"/>
        </w:rPr>
        <w:t>评标工作。</w:t>
      </w:r>
    </w:p>
    <w:p w14:paraId="4E502049">
      <w:pPr>
        <w:widowControl/>
        <w:wordWrap w:val="0"/>
        <w:adjustRightInd w:val="0"/>
        <w:snapToGrid w:val="0"/>
        <w:spacing w:line="360" w:lineRule="auto"/>
        <w:ind w:firstLine="480" w:firstLineChars="200"/>
        <w:jc w:val="left"/>
        <w:rPr>
          <w:rFonts w:hint="eastAsia" w:ascii="宋体" w:hAnsi="宋体" w:cs="宋体"/>
          <w:strike/>
          <w:kern w:val="0"/>
          <w:sz w:val="24"/>
          <w:szCs w:val="24"/>
        </w:rPr>
      </w:pPr>
      <w:r>
        <w:rPr>
          <w:rFonts w:hint="eastAsia" w:ascii="宋体" w:hAnsi="宋体"/>
          <w:strike/>
          <w:sz w:val="24"/>
          <w:szCs w:val="24"/>
        </w:rPr>
        <w:t>方式二：评标委员会由技术评审组和经济评审组组成。其中：资格审查、技术评审由技术评标组负责，经济评审由经济评审组负责。</w:t>
      </w:r>
      <w:r>
        <w:rPr>
          <w:rFonts w:hint="eastAsia" w:ascii="宋体" w:hAnsi="宋体" w:cs="宋体"/>
          <w:strike/>
          <w:kern w:val="0"/>
          <w:sz w:val="24"/>
          <w:szCs w:val="24"/>
        </w:rPr>
        <w:t xml:space="preserve"> </w:t>
      </w:r>
    </w:p>
    <w:p w14:paraId="72F37824">
      <w:pPr>
        <w:pStyle w:val="5"/>
        <w:tabs>
          <w:tab w:val="left" w:pos="7380"/>
        </w:tabs>
        <w:wordWrap w:val="0"/>
        <w:adjustRightInd w:val="0"/>
        <w:snapToGrid w:val="0"/>
        <w:spacing w:after="0" w:line="360" w:lineRule="auto"/>
        <w:ind w:firstLine="480" w:firstLineChars="200"/>
        <w:rPr>
          <w:rFonts w:ascii="宋体"/>
          <w:sz w:val="24"/>
          <w:szCs w:val="24"/>
        </w:rPr>
      </w:pPr>
      <w:r>
        <w:rPr>
          <w:rFonts w:hint="eastAsia" w:ascii="宋体"/>
          <w:sz w:val="24"/>
          <w:szCs w:val="24"/>
        </w:rPr>
        <w:t>42.2投标人资格审查</w:t>
      </w:r>
    </w:p>
    <w:p w14:paraId="0155054D">
      <w:pPr>
        <w:pStyle w:val="5"/>
        <w:tabs>
          <w:tab w:val="left" w:pos="7380"/>
        </w:tabs>
        <w:wordWrap w:val="0"/>
        <w:adjustRightInd w:val="0"/>
        <w:snapToGrid w:val="0"/>
        <w:spacing w:after="0" w:line="360" w:lineRule="auto"/>
        <w:ind w:firstLine="480" w:firstLineChars="200"/>
        <w:rPr>
          <w:rFonts w:ascii="宋体"/>
          <w:sz w:val="24"/>
          <w:szCs w:val="24"/>
        </w:rPr>
      </w:pPr>
      <w:r>
        <w:rPr>
          <w:rFonts w:hint="eastAsia" w:ascii="宋体"/>
          <w:sz w:val="24"/>
          <w:szCs w:val="24"/>
        </w:rPr>
        <w:t>42.2.1资格审查文件中全部符合附表一《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14:paraId="35B91724">
      <w:pPr>
        <w:pStyle w:val="5"/>
        <w:tabs>
          <w:tab w:val="left" w:pos="7380"/>
        </w:tabs>
        <w:wordWrap w:val="0"/>
        <w:adjustRightInd w:val="0"/>
        <w:snapToGrid w:val="0"/>
        <w:spacing w:after="0" w:line="360" w:lineRule="auto"/>
        <w:ind w:firstLine="480" w:firstLineChars="200"/>
        <w:rPr>
          <w:rFonts w:ascii="宋体"/>
          <w:sz w:val="24"/>
          <w:szCs w:val="24"/>
        </w:rPr>
      </w:pPr>
      <w:r>
        <w:rPr>
          <w:rFonts w:hint="eastAsia" w:ascii="宋体"/>
          <w:sz w:val="24"/>
          <w:szCs w:val="24"/>
        </w:rPr>
        <w:t>42.2.2汇总资格审查情况，编写资格审查报告。</w:t>
      </w:r>
    </w:p>
    <w:p w14:paraId="18B99474">
      <w:pPr>
        <w:pStyle w:val="5"/>
        <w:tabs>
          <w:tab w:val="left" w:pos="7380"/>
        </w:tabs>
        <w:wordWrap w:val="0"/>
        <w:adjustRightInd w:val="0"/>
        <w:snapToGrid w:val="0"/>
        <w:spacing w:after="0" w:line="360" w:lineRule="auto"/>
        <w:ind w:firstLine="480" w:firstLineChars="200"/>
        <w:rPr>
          <w:rFonts w:ascii="宋体"/>
          <w:sz w:val="24"/>
          <w:szCs w:val="24"/>
        </w:rPr>
      </w:pPr>
      <w:r>
        <w:rPr>
          <w:rFonts w:hint="eastAsia" w:ascii="宋体"/>
          <w:sz w:val="24"/>
          <w:szCs w:val="24"/>
        </w:rPr>
        <w:t>42.2.3资格审查不合格的投标文件不参加下一阶段的评标，不参与评标参考价的计算。</w:t>
      </w:r>
    </w:p>
    <w:p w14:paraId="2280D2F3">
      <w:pPr>
        <w:pStyle w:val="5"/>
        <w:tabs>
          <w:tab w:val="left" w:pos="7380"/>
        </w:tabs>
        <w:wordWrap w:val="0"/>
        <w:adjustRightInd w:val="0"/>
        <w:snapToGrid w:val="0"/>
        <w:spacing w:after="0" w:line="360" w:lineRule="auto"/>
        <w:ind w:firstLine="480" w:firstLineChars="200"/>
        <w:rPr>
          <w:rFonts w:ascii="宋体"/>
          <w:sz w:val="24"/>
          <w:szCs w:val="24"/>
        </w:rPr>
      </w:pPr>
      <w:r>
        <w:rPr>
          <w:rFonts w:hint="eastAsia" w:ascii="宋体"/>
          <w:sz w:val="24"/>
          <w:szCs w:val="24"/>
        </w:rPr>
        <w:t>42.2.4资格审查时，投标企业名称已经工商变更的，但企业及个人的资质证书未完成企业名称变更，仍然承认其有效。资质证书、安全生产许可证之间登记的信息不一致，应当允许投标人澄清，不得直接否决其投标。</w:t>
      </w:r>
    </w:p>
    <w:p w14:paraId="43297F95">
      <w:pPr>
        <w:pStyle w:val="5"/>
        <w:tabs>
          <w:tab w:val="left" w:pos="7380"/>
        </w:tabs>
        <w:wordWrap w:val="0"/>
        <w:adjustRightInd w:val="0"/>
        <w:snapToGrid w:val="0"/>
        <w:spacing w:after="0" w:line="360" w:lineRule="auto"/>
        <w:ind w:firstLine="480" w:firstLineChars="200"/>
        <w:rPr>
          <w:rFonts w:ascii="宋体"/>
          <w:sz w:val="24"/>
          <w:szCs w:val="24"/>
        </w:rPr>
      </w:pPr>
      <w:r>
        <w:rPr>
          <w:rFonts w:hint="eastAsia" w:ascii="宋体"/>
          <w:sz w:val="24"/>
          <w:szCs w:val="24"/>
        </w:rPr>
        <w:t>42.2.5资审合格后，投标人的资格发生变化而不满足投标人合格条件，在发出中标通知书前，资格问题仍未解决的，招标人将取消其中标资格。</w:t>
      </w:r>
    </w:p>
    <w:p w14:paraId="2A103FA9">
      <w:pPr>
        <w:widowControl/>
        <w:wordWrap w:val="0"/>
        <w:adjustRightInd w:val="0"/>
        <w:snapToGrid w:val="0"/>
        <w:spacing w:line="360" w:lineRule="auto"/>
        <w:ind w:firstLine="480" w:firstLineChars="200"/>
        <w:jc w:val="left"/>
        <w:rPr>
          <w:rFonts w:hint="eastAsia" w:ascii="宋体" w:hAnsi="宋体" w:cs="宋体"/>
          <w:kern w:val="0"/>
          <w:sz w:val="24"/>
          <w:szCs w:val="24"/>
        </w:rPr>
      </w:pPr>
      <w:r>
        <w:rPr>
          <w:rFonts w:hint="eastAsia" w:ascii="宋体"/>
          <w:sz w:val="24"/>
          <w:szCs w:val="24"/>
        </w:rPr>
        <w:t>42.2.6资格审查合格的投标人少于3名的</w:t>
      </w:r>
      <w:r>
        <w:rPr>
          <w:rFonts w:hint="eastAsia" w:ascii="宋体"/>
          <w:strike/>
          <w:sz w:val="24"/>
          <w:szCs w:val="24"/>
        </w:rPr>
        <w:t>（当N个标段同时招标且不允许兼中时，资格审查合格的投标人少于N+2名）</w:t>
      </w:r>
      <w:r>
        <w:rPr>
          <w:rFonts w:hint="eastAsia" w:ascii="宋体"/>
          <w:sz w:val="24"/>
          <w:szCs w:val="24"/>
        </w:rPr>
        <w:t>，则本项目招标失败，由招标人依法重新招标。</w:t>
      </w:r>
    </w:p>
    <w:p w14:paraId="4C6709A4">
      <w:pPr>
        <w:wordWrap w:val="0"/>
        <w:adjustRightInd w:val="0"/>
        <w:snapToGrid w:val="0"/>
        <w:spacing w:line="360" w:lineRule="auto"/>
        <w:ind w:firstLine="480" w:firstLineChars="200"/>
        <w:rPr>
          <w:rFonts w:hint="eastAsia" w:ascii="宋体" w:hAnsi="宋体"/>
          <w:sz w:val="24"/>
          <w:szCs w:val="24"/>
        </w:rPr>
      </w:pPr>
      <w:r>
        <w:rPr>
          <w:rFonts w:hint="eastAsia" w:ascii="宋体" w:hAnsi="宋体"/>
          <w:sz w:val="24"/>
          <w:szCs w:val="24"/>
        </w:rPr>
        <w:t>42.3第一阶段评审</w:t>
      </w:r>
    </w:p>
    <w:p w14:paraId="27E9AADA">
      <w:pPr>
        <w:wordWrap w:val="0"/>
        <w:adjustRightInd w:val="0"/>
        <w:snapToGrid w:val="0"/>
        <w:spacing w:line="360" w:lineRule="auto"/>
        <w:ind w:firstLine="480" w:firstLineChars="200"/>
        <w:rPr>
          <w:rFonts w:hint="eastAsia" w:ascii="宋体" w:hAnsi="宋体"/>
          <w:sz w:val="24"/>
          <w:szCs w:val="24"/>
        </w:rPr>
      </w:pPr>
      <w:r>
        <w:rPr>
          <w:rFonts w:ascii="宋体" w:hAnsi="宋体"/>
          <w:sz w:val="24"/>
          <w:szCs w:val="24"/>
        </w:rPr>
        <w:t>42.3</w:t>
      </w:r>
      <w:r>
        <w:rPr>
          <w:rFonts w:hint="eastAsia" w:ascii="宋体" w:hAnsi="宋体"/>
          <w:sz w:val="24"/>
          <w:szCs w:val="24"/>
        </w:rPr>
        <w:t>.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本项目招标失败</w:t>
      </w:r>
      <w:r>
        <w:rPr>
          <w:rFonts w:hint="eastAsia" w:ascii="宋体" w:hAnsi="宋体"/>
          <w:strike/>
          <w:sz w:val="24"/>
          <w:szCs w:val="24"/>
        </w:rPr>
        <w:t>（当N个标段同时招标且不允许兼中时，通过技术标有效性审查投标人应≥N+2家）</w:t>
      </w:r>
      <w:r>
        <w:rPr>
          <w:rFonts w:hint="eastAsia" w:ascii="宋体"/>
          <w:sz w:val="24"/>
          <w:szCs w:val="24"/>
        </w:rPr>
        <w:t>，由招标人依法重新招标</w:t>
      </w:r>
      <w:r>
        <w:rPr>
          <w:rFonts w:hint="eastAsia" w:ascii="宋体" w:hAnsi="宋体"/>
          <w:sz w:val="24"/>
          <w:szCs w:val="24"/>
        </w:rPr>
        <w:t>。评委发现投标文件中含义不明确、对同类问题表述不一致、有明显文字和计算错误的，应当要求投标人作必要的澄清、说明后再判定投标人是否通过有效性审查，不得直接否决投标。</w:t>
      </w:r>
    </w:p>
    <w:p w14:paraId="4A4C319B">
      <w:pPr>
        <w:wordWrap w:val="0"/>
        <w:adjustRightInd w:val="0"/>
        <w:snapToGrid w:val="0"/>
        <w:spacing w:line="360" w:lineRule="auto"/>
        <w:ind w:firstLine="480" w:firstLineChars="200"/>
        <w:rPr>
          <w:rFonts w:hint="eastAsia" w:ascii="宋体" w:hAnsi="宋体"/>
          <w:sz w:val="24"/>
          <w:szCs w:val="24"/>
        </w:rPr>
      </w:pPr>
      <w:r>
        <w:rPr>
          <w:rFonts w:hint="eastAsia" w:ascii="宋体" w:hAnsi="宋体"/>
          <w:sz w:val="24"/>
          <w:szCs w:val="24"/>
        </w:rPr>
        <w:t>42.3.2</w:t>
      </w:r>
      <w:r>
        <w:rPr>
          <w:rFonts w:hint="eastAsia" w:ascii="宋体" w:hAnsi="宋体" w:cs="宋体"/>
          <w:b/>
          <w:bCs/>
          <w:sz w:val="24"/>
          <w:szCs w:val="24"/>
          <w:u w:val="single"/>
        </w:rPr>
        <w:t>技术</w:t>
      </w:r>
      <w:r>
        <w:rPr>
          <w:rFonts w:hint="eastAsia" w:ascii="宋体" w:hAnsi="宋体"/>
          <w:sz w:val="24"/>
          <w:szCs w:val="24"/>
        </w:rPr>
        <w:t>详细审查评分：评标委员会按照本办法附表</w:t>
      </w:r>
      <w:r>
        <w:rPr>
          <w:rFonts w:hint="eastAsia" w:ascii="宋体" w:hAnsi="宋体" w:cs="宋体"/>
          <w:b/>
          <w:bCs/>
          <w:sz w:val="24"/>
          <w:szCs w:val="24"/>
          <w:u w:val="single"/>
        </w:rPr>
        <w:t>四</w:t>
      </w:r>
      <w:r>
        <w:rPr>
          <w:rFonts w:hint="eastAsia" w:ascii="宋体" w:hAnsi="宋体"/>
          <w:sz w:val="24"/>
          <w:szCs w:val="24"/>
        </w:rPr>
        <w:t>《</w:t>
      </w:r>
      <w:r>
        <w:rPr>
          <w:rFonts w:hint="eastAsia" w:ascii="宋体" w:hAnsi="宋体" w:cs="宋体"/>
          <w:b/>
          <w:bCs/>
          <w:sz w:val="24"/>
          <w:szCs w:val="24"/>
          <w:u w:val="single"/>
        </w:rPr>
        <w:t>技术标</w:t>
      </w:r>
      <w:r>
        <w:rPr>
          <w:rFonts w:hint="eastAsia" w:ascii="宋体" w:hAnsi="宋体"/>
          <w:sz w:val="24"/>
          <w:szCs w:val="24"/>
        </w:rPr>
        <w:t>详细审查评分表》对通过技术标有效性审查的投标文件进行详细审查，评出</w:t>
      </w:r>
      <w:r>
        <w:rPr>
          <w:rFonts w:hint="eastAsia" w:ascii="宋体" w:hAnsi="宋体"/>
          <w:b/>
          <w:bCs/>
          <w:sz w:val="24"/>
          <w:szCs w:val="24"/>
          <w:u w:val="single"/>
        </w:rPr>
        <w:t>技术</w:t>
      </w:r>
      <w:r>
        <w:rPr>
          <w:rFonts w:hint="eastAsia" w:ascii="宋体" w:hAnsi="宋体"/>
          <w:sz w:val="24"/>
          <w:szCs w:val="24"/>
        </w:rPr>
        <w:t>得分。</w:t>
      </w:r>
    </w:p>
    <w:p w14:paraId="6817DAED">
      <w:pPr>
        <w:wordWrap w:val="0"/>
        <w:adjustRightInd w:val="0"/>
        <w:snapToGrid w:val="0"/>
        <w:spacing w:line="360" w:lineRule="auto"/>
        <w:ind w:firstLine="480" w:firstLineChars="200"/>
        <w:rPr>
          <w:rFonts w:hint="eastAsia" w:ascii="宋体" w:hAnsi="宋体"/>
          <w:sz w:val="24"/>
          <w:szCs w:val="24"/>
        </w:rPr>
      </w:pPr>
      <w:r>
        <w:rPr>
          <w:rFonts w:hint="eastAsia" w:ascii="宋体" w:hAnsi="宋体"/>
          <w:sz w:val="24"/>
          <w:szCs w:val="24"/>
        </w:rPr>
        <w:t>42.3.4评标委员会按照“第一阶段得分=</w:t>
      </w:r>
      <w:r>
        <w:rPr>
          <w:rFonts w:hint="eastAsia" w:ascii="宋体" w:hAnsi="宋体" w:cs="宋体"/>
          <w:b/>
          <w:bCs/>
          <w:sz w:val="24"/>
          <w:szCs w:val="24"/>
          <w:u w:val="single"/>
        </w:rPr>
        <w:t>技术得分”</w:t>
      </w:r>
      <w:r>
        <w:rPr>
          <w:rFonts w:hint="eastAsia" w:ascii="宋体" w:hAnsi="宋体"/>
          <w:sz w:val="24"/>
          <w:szCs w:val="24"/>
        </w:rPr>
        <w:t>的公式及投标须知前附表第27项的规定，计算各投标人第一阶段得分(按四舍五入的原则保留两位小数)，并按照得分从高到低排列先后次序，若投标人得分相同的，则名次并列，占用名次。编写第一阶段评审报告。（适用于进行了技术标评分的）（</w:t>
      </w:r>
      <w:r>
        <w:rPr>
          <w:rFonts w:hint="eastAsia" w:ascii="楷体" w:hAnsi="楷体" w:eastAsia="楷体" w:cs="楷体"/>
          <w:sz w:val="24"/>
          <w:szCs w:val="24"/>
        </w:rPr>
        <w:t>建议进入第二阶段评审家数≥7家，当N个标段同时招标且不允许兼中时建议≥N+7家</w:t>
      </w:r>
      <w:r>
        <w:rPr>
          <w:rFonts w:hint="eastAsia" w:ascii="宋体" w:hAnsi="宋体"/>
          <w:sz w:val="24"/>
          <w:szCs w:val="24"/>
        </w:rPr>
        <w:t>）</w:t>
      </w:r>
    </w:p>
    <w:p w14:paraId="7636AB35">
      <w:pPr>
        <w:wordWrap w:val="0"/>
        <w:adjustRightInd w:val="0"/>
        <w:snapToGrid w:val="0"/>
        <w:spacing w:line="360" w:lineRule="auto"/>
        <w:ind w:firstLine="480" w:firstLineChars="200"/>
        <w:rPr>
          <w:rFonts w:hint="eastAsia" w:ascii="宋体" w:hAnsi="宋体"/>
          <w:strike/>
          <w:sz w:val="24"/>
          <w:szCs w:val="24"/>
        </w:rPr>
      </w:pPr>
      <w:r>
        <w:rPr>
          <w:rFonts w:hint="eastAsia" w:ascii="宋体" w:hAnsi="宋体"/>
          <w:strike/>
          <w:sz w:val="24"/>
          <w:szCs w:val="24"/>
        </w:rPr>
        <w:t>42.3.5招标人应在《投标须知前附表》中明确是否选择使用企业信用评价计分。</w:t>
      </w:r>
    </w:p>
    <w:p w14:paraId="2A530CC9">
      <w:pPr>
        <w:wordWrap w:val="0"/>
        <w:adjustRightInd w:val="0"/>
        <w:snapToGrid w:val="0"/>
        <w:spacing w:line="360" w:lineRule="auto"/>
        <w:ind w:firstLine="480" w:firstLineChars="200"/>
        <w:rPr>
          <w:rFonts w:hint="eastAsia" w:ascii="宋体" w:hAnsi="宋体"/>
          <w:sz w:val="24"/>
          <w:szCs w:val="24"/>
        </w:rPr>
      </w:pPr>
      <w:r>
        <w:rPr>
          <w:rFonts w:ascii="宋体" w:hAnsi="宋体"/>
          <w:sz w:val="24"/>
          <w:szCs w:val="24"/>
        </w:rPr>
        <w:t>42.4</w:t>
      </w:r>
      <w:r>
        <w:rPr>
          <w:rFonts w:hint="eastAsia" w:ascii="宋体" w:hAnsi="宋体"/>
          <w:sz w:val="24"/>
          <w:szCs w:val="24"/>
        </w:rPr>
        <w:t xml:space="preserve"> 第二阶段评审</w:t>
      </w:r>
    </w:p>
    <w:p w14:paraId="4F1E50A9">
      <w:pPr>
        <w:wordWrap w:val="0"/>
        <w:adjustRightInd w:val="0"/>
        <w:snapToGrid w:val="0"/>
        <w:spacing w:line="360" w:lineRule="auto"/>
        <w:ind w:firstLine="480" w:firstLineChars="200"/>
        <w:rPr>
          <w:rFonts w:hint="eastAsia" w:ascii="宋体" w:hAnsi="宋体"/>
          <w:sz w:val="24"/>
          <w:szCs w:val="24"/>
        </w:rPr>
      </w:pPr>
      <w:r>
        <w:rPr>
          <w:rFonts w:ascii="宋体" w:hAnsi="宋体"/>
          <w:sz w:val="24"/>
          <w:szCs w:val="24"/>
        </w:rPr>
        <w:t>42.4.1</w:t>
      </w:r>
      <w:r>
        <w:rPr>
          <w:rFonts w:hint="eastAsia" w:ascii="宋体" w:hAnsi="宋体"/>
          <w:sz w:val="24"/>
          <w:szCs w:val="24"/>
        </w:rPr>
        <w:t>按照投标须知前附表第27项规定，确定进入第二阶段评审的投标人。若在进入第二阶段的最后名次发生并列的，则所有并列的投标人均进入第二阶段。</w:t>
      </w:r>
    </w:p>
    <w:p w14:paraId="590954D6">
      <w:pPr>
        <w:wordWrap w:val="0"/>
        <w:adjustRightInd w:val="0"/>
        <w:snapToGrid w:val="0"/>
        <w:spacing w:line="360" w:lineRule="auto"/>
        <w:ind w:firstLine="480" w:firstLineChars="200"/>
        <w:rPr>
          <w:rFonts w:hint="eastAsia" w:ascii="宋体" w:hAnsi="宋体"/>
          <w:sz w:val="24"/>
          <w:szCs w:val="24"/>
        </w:rPr>
      </w:pPr>
      <w:r>
        <w:rPr>
          <w:rFonts w:ascii="宋体" w:hAnsi="宋体"/>
          <w:sz w:val="24"/>
          <w:szCs w:val="24"/>
        </w:rPr>
        <w:t>42.</w:t>
      </w:r>
      <w:r>
        <w:rPr>
          <w:rFonts w:hint="eastAsia" w:ascii="宋体" w:hAnsi="宋体"/>
          <w:sz w:val="24"/>
          <w:szCs w:val="24"/>
        </w:rPr>
        <w:t>4.2经济标的算术校核。评标委员会对进行经济标有效性审查的投标文件投标报价按照就低不就高的原则进行算术校核，具体标准如下：</w:t>
      </w:r>
    </w:p>
    <w:p w14:paraId="56086FBB">
      <w:pPr>
        <w:wordWrap w:val="0"/>
        <w:adjustRightInd w:val="0"/>
        <w:snapToGrid w:val="0"/>
        <w:spacing w:line="360" w:lineRule="auto"/>
        <w:ind w:firstLine="480" w:firstLineChars="200"/>
        <w:rPr>
          <w:rFonts w:hint="eastAsia" w:ascii="宋体" w:hAnsi="宋体"/>
          <w:sz w:val="24"/>
          <w:szCs w:val="24"/>
        </w:rPr>
      </w:pPr>
      <w:r>
        <w:rPr>
          <w:rFonts w:ascii="宋体" w:hAnsi="宋体"/>
          <w:sz w:val="24"/>
          <w:szCs w:val="24"/>
        </w:rPr>
        <w:t>42.</w:t>
      </w:r>
      <w:r>
        <w:rPr>
          <w:rFonts w:hint="eastAsia" w:ascii="宋体" w:hAnsi="宋体"/>
          <w:sz w:val="24"/>
          <w:szCs w:val="24"/>
        </w:rPr>
        <w:t>4.2.1如果数字表示的金额和用文字表示的金额不一致时，应以文字表示的金额为准；</w:t>
      </w:r>
    </w:p>
    <w:p w14:paraId="1CB3388B">
      <w:pPr>
        <w:wordWrap w:val="0"/>
        <w:adjustRightInd w:val="0"/>
        <w:snapToGrid w:val="0"/>
        <w:spacing w:line="360" w:lineRule="auto"/>
        <w:ind w:firstLine="480" w:firstLineChars="200"/>
        <w:rPr>
          <w:rFonts w:hint="eastAsia" w:ascii="宋体" w:hAnsi="宋体"/>
          <w:sz w:val="24"/>
          <w:szCs w:val="24"/>
        </w:rPr>
      </w:pPr>
      <w:r>
        <w:rPr>
          <w:rFonts w:ascii="宋体" w:hAnsi="宋体"/>
          <w:sz w:val="24"/>
          <w:szCs w:val="24"/>
        </w:rPr>
        <w:t>42.</w:t>
      </w:r>
      <w:r>
        <w:rPr>
          <w:rFonts w:hint="eastAsia" w:ascii="宋体" w:hAnsi="宋体"/>
          <w:sz w:val="24"/>
          <w:szCs w:val="24"/>
        </w:rPr>
        <w:t>4.2.2经算术复核的投标人报价与其投标报价不一致时，按就低不就高原则确定其最终报价；</w:t>
      </w:r>
    </w:p>
    <w:p w14:paraId="228CFDA5">
      <w:pPr>
        <w:wordWrap w:val="0"/>
        <w:adjustRightInd w:val="0"/>
        <w:snapToGrid w:val="0"/>
        <w:spacing w:line="360" w:lineRule="auto"/>
        <w:ind w:firstLine="480" w:firstLineChars="200"/>
        <w:rPr>
          <w:rFonts w:hint="eastAsia" w:ascii="宋体" w:hAnsi="宋体"/>
          <w:sz w:val="24"/>
          <w:szCs w:val="24"/>
        </w:rPr>
      </w:pPr>
      <w:r>
        <w:rPr>
          <w:rFonts w:ascii="宋体" w:hAnsi="宋体"/>
          <w:sz w:val="24"/>
          <w:szCs w:val="24"/>
        </w:rPr>
        <w:t>42.</w:t>
      </w:r>
      <w:r>
        <w:rPr>
          <w:rFonts w:hint="eastAsia" w:ascii="宋体" w:hAnsi="宋体"/>
          <w:sz w:val="24"/>
          <w:szCs w:val="24"/>
        </w:rPr>
        <w:t>4.2.3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14:paraId="15EB71EB">
      <w:pPr>
        <w:wordWrap w:val="0"/>
        <w:adjustRightInd w:val="0"/>
        <w:snapToGrid w:val="0"/>
        <w:spacing w:line="360" w:lineRule="auto"/>
        <w:ind w:firstLine="480" w:firstLineChars="200"/>
        <w:rPr>
          <w:rFonts w:hint="eastAsia" w:ascii="宋体" w:hAnsi="宋体"/>
          <w:sz w:val="24"/>
          <w:szCs w:val="24"/>
        </w:rPr>
      </w:pPr>
      <w:r>
        <w:rPr>
          <w:rFonts w:ascii="宋体" w:hAnsi="宋体"/>
          <w:sz w:val="24"/>
          <w:szCs w:val="24"/>
        </w:rPr>
        <w:t>42.</w:t>
      </w:r>
      <w:r>
        <w:rPr>
          <w:rFonts w:hint="eastAsia" w:ascii="宋体" w:hAnsi="宋体"/>
          <w:sz w:val="24"/>
          <w:szCs w:val="24"/>
        </w:rPr>
        <w:t>4.2.</w:t>
      </w:r>
      <w:r>
        <w:rPr>
          <w:rFonts w:ascii="宋体" w:hAnsi="宋体"/>
          <w:sz w:val="24"/>
          <w:szCs w:val="24"/>
        </w:rPr>
        <w:t>4</w:t>
      </w:r>
      <w:r>
        <w:rPr>
          <w:rFonts w:hint="eastAsia" w:ascii="宋体" w:hAnsi="宋体"/>
          <w:sz w:val="24"/>
          <w:szCs w:val="24"/>
        </w:rPr>
        <w:t>当合价、金额累加错误时，按就低不就高原则，如果累加修正值小于原累加值，则按累加修正值；如果累加修正值大于原累加值，则按原累加值；</w:t>
      </w:r>
    </w:p>
    <w:p w14:paraId="047E0916">
      <w:pPr>
        <w:wordWrap w:val="0"/>
        <w:adjustRightInd w:val="0"/>
        <w:snapToGrid w:val="0"/>
        <w:spacing w:line="360" w:lineRule="auto"/>
        <w:ind w:firstLine="480" w:firstLineChars="200"/>
        <w:rPr>
          <w:rFonts w:hint="eastAsia" w:ascii="宋体" w:hAnsi="宋体"/>
          <w:sz w:val="24"/>
          <w:szCs w:val="24"/>
        </w:rPr>
      </w:pPr>
      <w:r>
        <w:rPr>
          <w:rFonts w:ascii="宋体" w:hAnsi="宋体"/>
          <w:sz w:val="24"/>
          <w:szCs w:val="24"/>
        </w:rPr>
        <w:t>42.</w:t>
      </w:r>
      <w:r>
        <w:rPr>
          <w:rFonts w:hint="eastAsia" w:ascii="宋体" w:hAnsi="宋体"/>
          <w:sz w:val="24"/>
          <w:szCs w:val="24"/>
        </w:rPr>
        <w:t>4.2.</w:t>
      </w:r>
      <w:r>
        <w:rPr>
          <w:rFonts w:ascii="宋体" w:hAnsi="宋体"/>
          <w:sz w:val="24"/>
          <w:szCs w:val="24"/>
        </w:rPr>
        <w:t>5</w:t>
      </w:r>
      <w:r>
        <w:rPr>
          <w:rFonts w:hint="eastAsia" w:ascii="宋体" w:hAnsi="宋体"/>
          <w:sz w:val="24"/>
          <w:szCs w:val="24"/>
        </w:rPr>
        <w:t>如果投标人的有关规费、暂列金额、暂估价、</w:t>
      </w:r>
      <w:r>
        <w:rPr>
          <w:rFonts w:hint="eastAsia" w:ascii="宋体" w:hAnsi="宋体"/>
          <w:sz w:val="24"/>
          <w:szCs w:val="24"/>
          <w:lang w:eastAsia="zh-CN"/>
        </w:rPr>
        <w:t>安全生产措施费</w:t>
      </w:r>
      <w:r>
        <w:rPr>
          <w:rFonts w:hint="eastAsia" w:ascii="宋体" w:hAnsi="宋体"/>
          <w:sz w:val="24"/>
          <w:szCs w:val="24"/>
        </w:rPr>
        <w:t>等未按招标文件规定的金额填写的，由评标委员会按照招标文件规定的金额进行修正；</w:t>
      </w:r>
    </w:p>
    <w:p w14:paraId="722F33C2">
      <w:pPr>
        <w:wordWrap w:val="0"/>
        <w:adjustRightInd w:val="0"/>
        <w:snapToGrid w:val="0"/>
        <w:spacing w:line="360" w:lineRule="auto"/>
        <w:ind w:firstLine="480" w:firstLineChars="200"/>
        <w:rPr>
          <w:rFonts w:hint="eastAsia" w:ascii="宋体" w:hAnsi="宋体"/>
          <w:sz w:val="24"/>
          <w:szCs w:val="24"/>
        </w:rPr>
      </w:pPr>
      <w:r>
        <w:rPr>
          <w:rFonts w:ascii="宋体" w:hAnsi="宋体"/>
          <w:sz w:val="24"/>
          <w:szCs w:val="24"/>
        </w:rPr>
        <w:t>42.</w:t>
      </w:r>
      <w:r>
        <w:rPr>
          <w:rFonts w:hint="eastAsia" w:ascii="宋体" w:hAnsi="宋体"/>
          <w:sz w:val="24"/>
          <w:szCs w:val="24"/>
        </w:rPr>
        <w:t>4.2.</w:t>
      </w:r>
      <w:r>
        <w:rPr>
          <w:rFonts w:ascii="宋体" w:hAnsi="宋体"/>
          <w:sz w:val="24"/>
          <w:szCs w:val="24"/>
        </w:rPr>
        <w:t>6</w:t>
      </w:r>
      <w:r>
        <w:rPr>
          <w:rFonts w:hint="eastAsia" w:ascii="宋体" w:hAnsi="宋体"/>
          <w:sz w:val="24"/>
          <w:szCs w:val="24"/>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14:paraId="17E17E1C">
      <w:pPr>
        <w:wordWrap w:val="0"/>
        <w:adjustRightInd w:val="0"/>
        <w:snapToGrid w:val="0"/>
        <w:spacing w:line="360" w:lineRule="auto"/>
        <w:ind w:firstLine="480" w:firstLineChars="200"/>
        <w:rPr>
          <w:rFonts w:hint="eastAsia" w:ascii="宋体" w:hAnsi="宋体"/>
          <w:sz w:val="24"/>
          <w:szCs w:val="24"/>
        </w:rPr>
      </w:pPr>
      <w:r>
        <w:rPr>
          <w:rFonts w:ascii="宋体" w:hAnsi="宋体"/>
          <w:sz w:val="24"/>
          <w:szCs w:val="24"/>
        </w:rPr>
        <w:t>42.</w:t>
      </w:r>
      <w:r>
        <w:rPr>
          <w:rFonts w:hint="eastAsia" w:ascii="宋体" w:hAnsi="宋体"/>
          <w:sz w:val="24"/>
          <w:szCs w:val="24"/>
        </w:rPr>
        <w:t>4.2.</w:t>
      </w:r>
      <w:r>
        <w:rPr>
          <w:rFonts w:ascii="宋体" w:hAnsi="宋体"/>
          <w:sz w:val="24"/>
          <w:szCs w:val="24"/>
        </w:rPr>
        <w:t>7</w:t>
      </w:r>
      <w:r>
        <w:rPr>
          <w:rFonts w:hint="eastAsia" w:ascii="宋体" w:hAnsi="宋体"/>
          <w:sz w:val="24"/>
          <w:szCs w:val="24"/>
        </w:rPr>
        <w:t>按就低不就高原则，当修正后报价小于原报价，总价按修正后报价；当修正后报价大于原报价，总价按原报价，并在签订合同时载明在结算价中扣除修正报价与原报价的差额。</w:t>
      </w:r>
    </w:p>
    <w:p w14:paraId="40AFA98D">
      <w:pPr>
        <w:wordWrap w:val="0"/>
        <w:adjustRightInd w:val="0"/>
        <w:snapToGrid w:val="0"/>
        <w:spacing w:line="360" w:lineRule="auto"/>
        <w:ind w:firstLine="480" w:firstLineChars="200"/>
        <w:rPr>
          <w:rFonts w:hint="eastAsia" w:ascii="宋体" w:hAnsi="宋体"/>
          <w:sz w:val="24"/>
          <w:szCs w:val="24"/>
        </w:rPr>
      </w:pPr>
      <w:r>
        <w:rPr>
          <w:rFonts w:ascii="宋体" w:hAnsi="宋体"/>
          <w:sz w:val="24"/>
          <w:szCs w:val="24"/>
        </w:rPr>
        <w:t>42.</w:t>
      </w:r>
      <w:r>
        <w:rPr>
          <w:rFonts w:hint="eastAsia" w:ascii="宋体" w:hAnsi="宋体"/>
          <w:sz w:val="24"/>
          <w:szCs w:val="24"/>
        </w:rPr>
        <w:t>4.2.</w:t>
      </w:r>
      <w:r>
        <w:rPr>
          <w:rFonts w:ascii="宋体" w:hAnsi="宋体"/>
          <w:sz w:val="24"/>
          <w:szCs w:val="24"/>
        </w:rPr>
        <w:t>8</w:t>
      </w:r>
      <w:r>
        <w:rPr>
          <w:rFonts w:hint="eastAsia" w:ascii="宋体" w:hAnsi="宋体"/>
          <w:sz w:val="24"/>
          <w:szCs w:val="24"/>
        </w:rPr>
        <w:t>评标委员会按上述修正错误的原则及方法调整或修正经济标投标文件的投标报价。评标委员会应要求投标人以澄清形式进行核实和确认调整或修正的经济标投标文件的投标报价，投标人应在评标委员会在评标系统发出要求澄清的通知起120分钟内将核实和确认结果书面回复评标委员会，逾时不回复视作同意评标委员会调整或修正投标文件的投标报价。调整后的投标报价对投标人起约束作用。如果投标人无正当理由不接受修正后的报价，则取消其投标资格</w:t>
      </w:r>
      <w:r>
        <w:rPr>
          <w:rFonts w:hint="eastAsia" w:ascii="宋体" w:hAnsi="宋体"/>
          <w:strike/>
          <w:sz w:val="24"/>
          <w:szCs w:val="24"/>
        </w:rPr>
        <w:t>，并且其投标保证金也将不予退还</w:t>
      </w:r>
      <w:r>
        <w:rPr>
          <w:rFonts w:hint="eastAsia" w:ascii="宋体" w:hAnsi="宋体"/>
          <w:sz w:val="24"/>
          <w:szCs w:val="24"/>
        </w:rPr>
        <w:t>。以上修正不影响按步骤42.3.3确定的投标人进入初步第二阶段的排序。</w:t>
      </w:r>
    </w:p>
    <w:p w14:paraId="2E085499">
      <w:pPr>
        <w:wordWrap w:val="0"/>
        <w:adjustRightInd w:val="0"/>
        <w:snapToGrid w:val="0"/>
        <w:spacing w:line="360" w:lineRule="auto"/>
        <w:ind w:firstLine="480" w:firstLineChars="200"/>
        <w:rPr>
          <w:rFonts w:hint="eastAsia" w:ascii="宋体" w:hAnsi="宋体"/>
          <w:sz w:val="24"/>
          <w:szCs w:val="24"/>
        </w:rPr>
      </w:pPr>
      <w:r>
        <w:rPr>
          <w:rFonts w:hint="eastAsia" w:ascii="宋体" w:hAnsi="宋体"/>
          <w:sz w:val="24"/>
          <w:szCs w:val="24"/>
        </w:rPr>
        <w:t>42.4.3投标文件经济标的评分</w:t>
      </w:r>
    </w:p>
    <w:p w14:paraId="10A24B46">
      <w:pPr>
        <w:pStyle w:val="5"/>
        <w:tabs>
          <w:tab w:val="left" w:pos="7380"/>
        </w:tabs>
        <w:snapToGrid w:val="0"/>
        <w:spacing w:after="0" w:line="360" w:lineRule="auto"/>
        <w:ind w:firstLine="480" w:firstLineChars="200"/>
        <w:rPr>
          <w:rFonts w:hint="eastAsia" w:ascii="宋体" w:hAnsi="宋体"/>
          <w:sz w:val="24"/>
          <w:szCs w:val="24"/>
        </w:rPr>
      </w:pPr>
      <w:r>
        <w:rPr>
          <w:rFonts w:hint="eastAsia" w:ascii="宋体" w:hAnsi="宋体"/>
          <w:sz w:val="24"/>
          <w:szCs w:val="24"/>
        </w:rPr>
        <w:t>42.4.3.1按以下方法计算评标参考价：</w:t>
      </w:r>
    </w:p>
    <w:p w14:paraId="3D2E802A">
      <w:pPr>
        <w:widowControl/>
        <w:spacing w:line="360" w:lineRule="auto"/>
        <w:ind w:firstLine="480" w:firstLineChars="200"/>
        <w:rPr>
          <w:rFonts w:hint="eastAsia" w:ascii="宋体" w:hAnsi="宋体"/>
          <w:sz w:val="24"/>
          <w:szCs w:val="24"/>
        </w:rPr>
      </w:pPr>
      <w:r>
        <w:rPr>
          <w:rFonts w:hint="eastAsia" w:ascii="宋体" w:hAnsi="宋体"/>
          <w:sz w:val="24"/>
          <w:szCs w:val="24"/>
        </w:rPr>
        <w:t>区间抽取法</w:t>
      </w:r>
    </w:p>
    <w:p w14:paraId="3BF7ACE4">
      <w:pPr>
        <w:widowControl/>
        <w:snapToGrid w:val="0"/>
        <w:spacing w:line="360" w:lineRule="auto"/>
        <w:ind w:firstLine="480" w:firstLineChars="200"/>
        <w:rPr>
          <w:rFonts w:hint="eastAsia" w:ascii="宋体" w:hAnsi="宋体"/>
          <w:sz w:val="24"/>
          <w:szCs w:val="24"/>
        </w:rPr>
      </w:pPr>
      <w:r>
        <w:rPr>
          <w:rFonts w:hint="eastAsia" w:ascii="宋体" w:hAnsi="宋体"/>
          <w:sz w:val="24"/>
          <w:szCs w:val="24"/>
        </w:rPr>
        <w:t>设立入围合格分数线（技术标得分80分），达到或超过及格线的投标人的报价方能参与评标参考价的计算。将达到或超过技术标及格分数线的投标报价由低至高进行排列，按以下公式计算评标参考价，计算公式如下：</w:t>
      </w:r>
    </w:p>
    <w:p w14:paraId="27B0744E">
      <w:pPr>
        <w:widowControl/>
        <w:snapToGrid w:val="0"/>
        <w:spacing w:line="360" w:lineRule="auto"/>
        <w:ind w:firstLine="480" w:firstLineChars="200"/>
        <w:rPr>
          <w:rFonts w:hint="eastAsia" w:ascii="宋体" w:hAnsi="宋体"/>
          <w:sz w:val="24"/>
          <w:szCs w:val="24"/>
        </w:rPr>
      </w:pPr>
      <w:r>
        <w:rPr>
          <w:rFonts w:hint="eastAsia" w:ascii="宋体" w:hAnsi="宋体"/>
          <w:sz w:val="24"/>
          <w:szCs w:val="24"/>
        </w:rPr>
        <w:t>评标参考价=（Q高-Q低）/100*Ｘ+Q低</w:t>
      </w:r>
    </w:p>
    <w:p w14:paraId="376AA722">
      <w:pPr>
        <w:widowControl/>
        <w:snapToGrid w:val="0"/>
        <w:spacing w:line="360" w:lineRule="auto"/>
        <w:ind w:firstLine="480" w:firstLineChars="200"/>
        <w:rPr>
          <w:rFonts w:hint="eastAsia" w:ascii="宋体" w:hAnsi="宋体"/>
          <w:sz w:val="24"/>
          <w:szCs w:val="24"/>
        </w:rPr>
      </w:pPr>
      <w:r>
        <w:rPr>
          <w:rFonts w:hint="eastAsia" w:ascii="宋体" w:hAnsi="宋体"/>
          <w:sz w:val="24"/>
          <w:szCs w:val="24"/>
        </w:rPr>
        <w:t>Q低：为达到或超过技术标及格分数线的投标人最低报价与工程成本警示价两者中的较高值；</w:t>
      </w:r>
    </w:p>
    <w:p w14:paraId="119A922E">
      <w:pPr>
        <w:spacing w:line="360" w:lineRule="auto"/>
        <w:ind w:firstLine="480" w:firstLineChars="200"/>
        <w:rPr>
          <w:rFonts w:hint="eastAsia" w:ascii="宋体" w:hAnsi="宋体"/>
          <w:sz w:val="24"/>
          <w:szCs w:val="24"/>
        </w:rPr>
      </w:pPr>
      <w:r>
        <w:rPr>
          <w:rFonts w:hint="eastAsia" w:ascii="宋体" w:hAnsi="宋体"/>
          <w:sz w:val="24"/>
          <w:szCs w:val="24"/>
        </w:rPr>
        <w:t>Q高：为最高投标限价*D%（D的取值为98），具体金额为      元。</w:t>
      </w:r>
    </w:p>
    <w:p w14:paraId="71E6A57B">
      <w:pPr>
        <w:pBdr>
          <w:bottom w:val="none" w:color="auto" w:sz="0" w:space="1"/>
        </w:pBdr>
        <w:spacing w:line="480" w:lineRule="auto"/>
        <w:ind w:firstLine="537" w:firstLineChars="224"/>
        <w:rPr>
          <w:rFonts w:hint="eastAsia" w:ascii="宋体" w:hAnsi="宋体"/>
          <w:sz w:val="24"/>
          <w:szCs w:val="24"/>
        </w:rPr>
      </w:pPr>
      <w:r>
        <w:rPr>
          <w:rFonts w:hint="eastAsia" w:ascii="宋体" w:hAnsi="宋体"/>
          <w:sz w:val="24"/>
          <w:szCs w:val="24"/>
        </w:rPr>
        <w:t>X:为等分点值，在开标前从[0,100]整数中随机抽取</w:t>
      </w:r>
    </w:p>
    <w:p w14:paraId="3867576B">
      <w:pPr>
        <w:wordWrap w:val="0"/>
        <w:adjustRightInd w:val="0"/>
        <w:snapToGrid w:val="0"/>
        <w:spacing w:line="360" w:lineRule="auto"/>
        <w:ind w:firstLine="480" w:firstLineChars="200"/>
        <w:rPr>
          <w:rFonts w:hint="eastAsia" w:ascii="宋体" w:hAnsi="宋体"/>
          <w:sz w:val="24"/>
          <w:szCs w:val="24"/>
        </w:rPr>
      </w:pPr>
      <w:r>
        <w:rPr>
          <w:rFonts w:hint="eastAsia" w:ascii="宋体" w:hAnsi="宋体" w:cs="宋体"/>
          <w:kern w:val="0"/>
          <w:sz w:val="24"/>
          <w:szCs w:val="24"/>
        </w:rPr>
        <w:t>42.4.3.2</w:t>
      </w:r>
      <w:r>
        <w:rPr>
          <w:rFonts w:hint="eastAsia" w:ascii="宋体" w:hAnsi="宋体"/>
          <w:sz w:val="24"/>
          <w:szCs w:val="24"/>
        </w:rPr>
        <w:t>当标价等于评标参考价时得</w:t>
      </w:r>
      <w:r>
        <w:rPr>
          <w:rFonts w:ascii="宋体" w:hAnsi="宋体"/>
          <w:sz w:val="24"/>
          <w:szCs w:val="24"/>
        </w:rPr>
        <w:t>100</w:t>
      </w:r>
      <w:r>
        <w:rPr>
          <w:rFonts w:hint="eastAsia" w:ascii="宋体" w:hAnsi="宋体"/>
          <w:sz w:val="24"/>
          <w:szCs w:val="24"/>
        </w:rPr>
        <w:t>分，标价每高于评标参考价</w:t>
      </w:r>
      <w:r>
        <w:rPr>
          <w:rFonts w:ascii="宋体" w:hAnsi="宋体"/>
          <w:sz w:val="24"/>
          <w:szCs w:val="24"/>
        </w:rPr>
        <w:t>1%</w:t>
      </w:r>
      <w:r>
        <w:rPr>
          <w:rFonts w:hint="eastAsia" w:ascii="宋体" w:hAnsi="宋体"/>
          <w:sz w:val="24"/>
          <w:szCs w:val="24"/>
        </w:rPr>
        <w:t>，扣</w:t>
      </w:r>
      <w:r>
        <w:rPr>
          <w:rFonts w:ascii="宋体" w:hAnsi="宋体"/>
          <w:sz w:val="24"/>
          <w:szCs w:val="24"/>
        </w:rPr>
        <w:t>1.5</w:t>
      </w:r>
      <w:r>
        <w:rPr>
          <w:rFonts w:hint="eastAsia" w:ascii="宋体" w:hAnsi="宋体"/>
          <w:sz w:val="24"/>
          <w:szCs w:val="24"/>
        </w:rPr>
        <w:t>分，每低于评标参考价</w:t>
      </w:r>
      <w:r>
        <w:rPr>
          <w:rFonts w:ascii="宋体" w:hAnsi="宋体"/>
          <w:sz w:val="24"/>
          <w:szCs w:val="24"/>
        </w:rPr>
        <w:t>1%</w:t>
      </w:r>
      <w:r>
        <w:rPr>
          <w:rFonts w:hint="eastAsia" w:ascii="宋体" w:hAnsi="宋体"/>
          <w:sz w:val="24"/>
          <w:szCs w:val="24"/>
        </w:rPr>
        <w:t>，扣</w:t>
      </w:r>
      <w:r>
        <w:rPr>
          <w:rFonts w:ascii="宋体" w:hAnsi="宋体"/>
          <w:sz w:val="24"/>
          <w:szCs w:val="24"/>
        </w:rPr>
        <w:t>1</w:t>
      </w:r>
      <w:r>
        <w:rPr>
          <w:rFonts w:hint="eastAsia" w:ascii="宋体" w:hAnsi="宋体"/>
          <w:sz w:val="24"/>
          <w:szCs w:val="24"/>
        </w:rPr>
        <w:t>分，扣至</w:t>
      </w:r>
      <w:r>
        <w:rPr>
          <w:rFonts w:ascii="宋体" w:hAnsi="宋体"/>
          <w:sz w:val="24"/>
          <w:szCs w:val="24"/>
        </w:rPr>
        <w:t>0</w:t>
      </w:r>
      <w:r>
        <w:rPr>
          <w:rFonts w:hint="eastAsia" w:ascii="宋体" w:hAnsi="宋体"/>
          <w:sz w:val="24"/>
          <w:szCs w:val="24"/>
        </w:rPr>
        <w:t>分为止，得出经济分，精确到小数点后两位。</w:t>
      </w:r>
    </w:p>
    <w:p w14:paraId="6F9187E6">
      <w:pPr>
        <w:wordWrap w:val="0"/>
        <w:adjustRightInd w:val="0"/>
        <w:snapToGrid w:val="0"/>
        <w:spacing w:line="360" w:lineRule="auto"/>
        <w:ind w:firstLine="480" w:firstLineChars="200"/>
        <w:rPr>
          <w:rFonts w:hint="eastAsia" w:ascii="宋体" w:hAnsi="宋体"/>
          <w:sz w:val="24"/>
          <w:szCs w:val="24"/>
        </w:rPr>
      </w:pPr>
      <w:r>
        <w:rPr>
          <w:rFonts w:hint="eastAsia" w:ascii="宋体" w:hAnsi="宋体"/>
          <w:sz w:val="24"/>
          <w:szCs w:val="24"/>
        </w:rPr>
        <w:t>42.4.3.3评标委员会按投标须知前附表第34项的规定确定排序。</w:t>
      </w:r>
    </w:p>
    <w:p w14:paraId="3D176F34">
      <w:pPr>
        <w:wordWrap w:val="0"/>
        <w:adjustRightInd w:val="0"/>
        <w:snapToGrid w:val="0"/>
        <w:spacing w:line="360" w:lineRule="auto"/>
        <w:ind w:firstLine="480" w:firstLineChars="200"/>
        <w:rPr>
          <w:rFonts w:hint="eastAsia" w:ascii="宋体" w:hAnsi="宋体"/>
          <w:sz w:val="24"/>
          <w:szCs w:val="24"/>
        </w:rPr>
      </w:pPr>
      <w:r>
        <w:rPr>
          <w:rFonts w:hint="eastAsia" w:ascii="宋体" w:hAnsi="宋体"/>
          <w:sz w:val="24"/>
          <w:szCs w:val="24"/>
        </w:rPr>
        <w:t>42.4.4经济标的有效性审查：按照42.4.3.3确定的排序，依次对经济标投标文件进行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属于经济标算术校核范围的不得作为否决投标的情形。</w:t>
      </w:r>
    </w:p>
    <w:p w14:paraId="4711E00D">
      <w:pPr>
        <w:wordWrap w:val="0"/>
        <w:adjustRightInd w:val="0"/>
        <w:snapToGrid w:val="0"/>
        <w:spacing w:line="360" w:lineRule="auto"/>
        <w:ind w:firstLine="480" w:firstLineChars="200"/>
        <w:rPr>
          <w:rFonts w:hint="eastAsia" w:ascii="宋体" w:hAnsi="宋体"/>
          <w:sz w:val="24"/>
          <w:szCs w:val="24"/>
        </w:rPr>
      </w:pPr>
      <w:r>
        <w:rPr>
          <w:rFonts w:ascii="宋体" w:hAnsi="宋体"/>
          <w:sz w:val="24"/>
          <w:szCs w:val="24"/>
        </w:rPr>
        <w:t>42.</w:t>
      </w:r>
      <w:r>
        <w:rPr>
          <w:rFonts w:hint="eastAsia" w:ascii="宋体" w:hAnsi="宋体"/>
          <w:sz w:val="24"/>
          <w:szCs w:val="24"/>
        </w:rPr>
        <w:t>4.5评标委员会按只有通过有效性审查的投标人的投标文件方可进入下一阶段评审的评审原则，根据有效性审查结果，取消被否决投标的投标人的排序，其余通过有效性审查的投标人的排序依次上升替补确实，以此类推，直到评审出3家投标人通过经济标有效性审查，经济标有效性审查结束。若通过经济标有效性审查的投标人不足三家，则本项目招标失败，由招标人依法重新招标。</w:t>
      </w:r>
      <w:r>
        <w:rPr>
          <w:rFonts w:hint="eastAsia" w:ascii="宋体" w:hAnsi="宋体"/>
          <w:strike/>
          <w:sz w:val="24"/>
          <w:szCs w:val="24"/>
        </w:rPr>
        <w:t>（当</w:t>
      </w:r>
      <w:r>
        <w:rPr>
          <w:rFonts w:ascii="宋体" w:hAnsi="宋体"/>
          <w:strike/>
          <w:sz w:val="24"/>
          <w:szCs w:val="24"/>
        </w:rPr>
        <w:t>N</w:t>
      </w:r>
      <w:r>
        <w:rPr>
          <w:rFonts w:hint="eastAsia" w:ascii="宋体" w:hAnsi="宋体"/>
          <w:strike/>
          <w:sz w:val="24"/>
          <w:szCs w:val="24"/>
        </w:rPr>
        <w:t>个标段同时招标且不允许兼中时，有效投标人应≥</w:t>
      </w:r>
      <w:r>
        <w:rPr>
          <w:rFonts w:ascii="宋体" w:hAnsi="宋体"/>
          <w:strike/>
          <w:sz w:val="24"/>
          <w:szCs w:val="24"/>
        </w:rPr>
        <w:t>N+2</w:t>
      </w:r>
      <w:r>
        <w:rPr>
          <w:rFonts w:hint="eastAsia" w:ascii="宋体" w:hAnsi="宋体"/>
          <w:strike/>
          <w:sz w:val="24"/>
          <w:szCs w:val="24"/>
        </w:rPr>
        <w:t>家）</w:t>
      </w:r>
      <w:r>
        <w:rPr>
          <w:rFonts w:hint="eastAsia" w:ascii="宋体" w:hAnsi="宋体"/>
          <w:sz w:val="24"/>
          <w:szCs w:val="24"/>
        </w:rPr>
        <w:t>。</w:t>
      </w:r>
    </w:p>
    <w:p w14:paraId="13CD3B7A">
      <w:pPr>
        <w:spacing w:line="360" w:lineRule="auto"/>
        <w:ind w:firstLine="480" w:firstLineChars="200"/>
        <w:rPr>
          <w:rFonts w:hint="eastAsia" w:ascii="宋体" w:hAnsi="宋体"/>
          <w:sz w:val="24"/>
          <w:szCs w:val="24"/>
        </w:rPr>
      </w:pPr>
      <w:r>
        <w:rPr>
          <w:rFonts w:ascii="宋体" w:hAnsi="宋体"/>
          <w:sz w:val="24"/>
          <w:szCs w:val="24"/>
        </w:rPr>
        <w:t>42.</w:t>
      </w:r>
      <w:r>
        <w:rPr>
          <w:rFonts w:hint="eastAsia" w:ascii="宋体" w:hAnsi="宋体"/>
          <w:sz w:val="24"/>
          <w:szCs w:val="24"/>
        </w:rPr>
        <w:t>5评标委员会应在通过投标文件经济标有效性审查的投标人中，按步骤42.4确定的投标人第二阶段排序，推荐前</w:t>
      </w:r>
      <w:r>
        <w:rPr>
          <w:rFonts w:ascii="宋体" w:hAnsi="宋体"/>
          <w:sz w:val="24"/>
          <w:szCs w:val="24"/>
        </w:rPr>
        <w:t>3</w:t>
      </w:r>
      <w:r>
        <w:rPr>
          <w:rFonts w:hint="eastAsia" w:ascii="宋体" w:hAnsi="宋体"/>
          <w:sz w:val="24"/>
          <w:szCs w:val="24"/>
        </w:rPr>
        <w:t>名依次为第一中标候选人至第三中标候选人</w:t>
      </w:r>
      <w:r>
        <w:rPr>
          <w:rFonts w:ascii="宋体" w:hAnsi="宋体"/>
          <w:sz w:val="24"/>
          <w:szCs w:val="24"/>
        </w:rPr>
        <w:t>,</w:t>
      </w:r>
      <w:r>
        <w:rPr>
          <w:rFonts w:hint="eastAsia" w:ascii="宋体" w:hAnsi="宋体"/>
          <w:sz w:val="24"/>
          <w:szCs w:val="24"/>
        </w:rPr>
        <w:t>并编制评标报告。</w:t>
      </w:r>
    </w:p>
    <w:p w14:paraId="436F6840">
      <w:pPr>
        <w:rPr>
          <w:rFonts w:hint="eastAsia" w:ascii="宋体" w:hAnsi="宋体"/>
          <w:sz w:val="24"/>
          <w:szCs w:val="24"/>
        </w:rPr>
      </w:pPr>
      <w:r>
        <w:rPr>
          <w:rFonts w:hint="eastAsia" w:ascii="宋体" w:hAnsi="宋体"/>
          <w:sz w:val="24"/>
          <w:szCs w:val="24"/>
        </w:rPr>
        <w:br w:type="page"/>
      </w:r>
    </w:p>
    <w:p w14:paraId="23FF2A2E">
      <w:pPr>
        <w:pStyle w:val="9"/>
        <w:rPr>
          <w:rFonts w:hint="eastAsia"/>
        </w:rPr>
      </w:pPr>
      <w:bookmarkStart w:id="75" w:name="_Toc184468507"/>
      <w:bookmarkStart w:id="76" w:name="_Toc194440084"/>
      <w:bookmarkStart w:id="77" w:name="_Toc11251"/>
      <w:bookmarkStart w:id="78" w:name="_Toc7759"/>
      <w:bookmarkStart w:id="79" w:name="_Toc4987"/>
      <w:r>
        <w:rPr>
          <w:rFonts w:hint="eastAsia"/>
        </w:rPr>
        <w:t>附件</w:t>
      </w:r>
      <w:bookmarkEnd w:id="75"/>
      <w:bookmarkEnd w:id="76"/>
      <w:bookmarkEnd w:id="77"/>
      <w:bookmarkEnd w:id="78"/>
      <w:bookmarkEnd w:id="79"/>
    </w:p>
    <w:p w14:paraId="0F01F2C4">
      <w:pPr>
        <w:jc w:val="center"/>
        <w:rPr>
          <w:rFonts w:hint="eastAsia" w:ascii="宋体" w:hAnsi="宋体" w:cs="宋体"/>
          <w:b/>
          <w:sz w:val="32"/>
          <w:szCs w:val="32"/>
        </w:rPr>
      </w:pPr>
      <w:r>
        <w:rPr>
          <w:rFonts w:hint="eastAsia" w:ascii="宋体" w:hAnsi="宋体" w:cs="宋体"/>
          <w:b/>
          <w:sz w:val="32"/>
          <w:szCs w:val="32"/>
        </w:rPr>
        <w:t>评标委员会成员声明</w:t>
      </w:r>
    </w:p>
    <w:p w14:paraId="58CB0AB0">
      <w:pPr>
        <w:spacing w:line="360" w:lineRule="auto"/>
        <w:rPr>
          <w:rFonts w:hint="eastAsia" w:ascii="宋体" w:hAnsi="宋体"/>
          <w:sz w:val="24"/>
          <w:szCs w:val="24"/>
        </w:rPr>
      </w:pPr>
      <w:r>
        <w:rPr>
          <w:rFonts w:hint="eastAsia" w:ascii="宋体" w:hAnsi="宋体"/>
          <w:sz w:val="24"/>
          <w:szCs w:val="24"/>
          <w:u w:val="single"/>
        </w:rPr>
        <w:t>本项目招标人</w:t>
      </w:r>
      <w:r>
        <w:rPr>
          <w:rFonts w:hint="eastAsia" w:ascii="宋体" w:hAnsi="宋体"/>
          <w:sz w:val="24"/>
          <w:szCs w:val="24"/>
        </w:rPr>
        <w:t>：</w:t>
      </w:r>
    </w:p>
    <w:p w14:paraId="0065F8B4">
      <w:pPr>
        <w:spacing w:line="360" w:lineRule="auto"/>
        <w:ind w:firstLine="480" w:firstLineChars="200"/>
        <w:rPr>
          <w:rFonts w:hint="eastAsia" w:ascii="宋体" w:hAnsi="宋体"/>
          <w:sz w:val="24"/>
          <w:szCs w:val="24"/>
        </w:rPr>
      </w:pPr>
      <w:r>
        <w:rPr>
          <w:rFonts w:hint="eastAsia" w:ascii="宋体" w:hAnsi="宋体"/>
          <w:sz w:val="24"/>
          <w:szCs w:val="24"/>
        </w:rPr>
        <w:t>本人就参与</w:t>
      </w:r>
      <w:r>
        <w:rPr>
          <w:rFonts w:ascii="宋体" w:hAnsi="宋体"/>
          <w:sz w:val="24"/>
          <w:szCs w:val="24"/>
          <w:u w:val="single"/>
        </w:rPr>
        <w:t xml:space="preserve">               </w:t>
      </w:r>
      <w:r>
        <w:rPr>
          <w:rFonts w:hint="eastAsia" w:ascii="宋体" w:hAnsi="宋体"/>
          <w:sz w:val="24"/>
          <w:szCs w:val="24"/>
        </w:rPr>
        <w:t>项目的评标工作，作出郑重声明：</w:t>
      </w:r>
    </w:p>
    <w:p w14:paraId="6302C10B">
      <w:pPr>
        <w:spacing w:line="360" w:lineRule="auto"/>
        <w:ind w:firstLine="480" w:firstLineChars="200"/>
        <w:rPr>
          <w:rFonts w:hint="eastAsia" w:ascii="宋体" w:hAnsi="宋体"/>
          <w:sz w:val="24"/>
          <w:szCs w:val="24"/>
        </w:rPr>
      </w:pPr>
      <w:r>
        <w:rPr>
          <w:rFonts w:hint="eastAsia" w:ascii="宋体" w:hAnsi="宋体"/>
          <w:sz w:val="24"/>
          <w:szCs w:val="24"/>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14:paraId="7BB4B0EA">
      <w:pPr>
        <w:spacing w:line="360" w:lineRule="auto"/>
        <w:ind w:firstLine="480" w:firstLineChars="200"/>
        <w:rPr>
          <w:rFonts w:hint="eastAsia" w:ascii="宋体" w:hAnsi="宋体"/>
          <w:sz w:val="24"/>
          <w:szCs w:val="24"/>
        </w:rPr>
      </w:pPr>
      <w:r>
        <w:rPr>
          <w:rFonts w:hint="eastAsia" w:ascii="宋体" w:hAnsi="宋体"/>
          <w:sz w:val="24"/>
          <w:szCs w:val="24"/>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14:paraId="5DF3FB24">
      <w:pPr>
        <w:spacing w:line="360" w:lineRule="auto"/>
        <w:ind w:firstLine="480" w:firstLineChars="200"/>
        <w:rPr>
          <w:rFonts w:hint="eastAsia" w:ascii="宋体" w:hAnsi="宋体"/>
          <w:sz w:val="24"/>
          <w:szCs w:val="24"/>
        </w:rPr>
      </w:pPr>
      <w:r>
        <w:rPr>
          <w:rFonts w:hint="eastAsia" w:ascii="宋体" w:hAnsi="宋体"/>
          <w:sz w:val="24"/>
          <w:szCs w:val="24"/>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14:paraId="73F670E9">
      <w:pPr>
        <w:spacing w:line="360" w:lineRule="auto"/>
        <w:ind w:firstLine="480" w:firstLineChars="200"/>
        <w:rPr>
          <w:rFonts w:hint="eastAsia" w:ascii="宋体" w:hAnsi="宋体"/>
          <w:sz w:val="24"/>
          <w:szCs w:val="24"/>
        </w:rPr>
      </w:pPr>
      <w:r>
        <w:rPr>
          <w:rFonts w:hint="eastAsia" w:ascii="宋体" w:hAnsi="宋体"/>
          <w:sz w:val="24"/>
          <w:szCs w:val="24"/>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14:paraId="50569CDF">
      <w:pPr>
        <w:spacing w:line="360" w:lineRule="auto"/>
        <w:ind w:firstLine="480" w:firstLineChars="200"/>
        <w:rPr>
          <w:rFonts w:hint="eastAsia" w:ascii="宋体" w:hAnsi="宋体"/>
          <w:sz w:val="24"/>
          <w:szCs w:val="24"/>
        </w:rPr>
      </w:pPr>
      <w:r>
        <w:rPr>
          <w:rFonts w:hint="eastAsia" w:ascii="宋体" w:hAnsi="宋体"/>
          <w:sz w:val="24"/>
          <w:szCs w:val="24"/>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14:paraId="25CCE52A">
      <w:pPr>
        <w:spacing w:line="360" w:lineRule="auto"/>
        <w:ind w:firstLine="480" w:firstLineChars="200"/>
        <w:rPr>
          <w:rFonts w:hint="eastAsia" w:ascii="宋体" w:hAnsi="宋体"/>
          <w:sz w:val="24"/>
          <w:szCs w:val="24"/>
        </w:rPr>
      </w:pPr>
      <w:r>
        <w:rPr>
          <w:rFonts w:hint="eastAsia" w:ascii="宋体" w:hAnsi="宋体"/>
          <w:sz w:val="24"/>
          <w:szCs w:val="24"/>
        </w:rPr>
        <w:t>如果本人违反上述声明内容，造成的后果由本人自行承担。</w:t>
      </w:r>
    </w:p>
    <w:p w14:paraId="4080410B">
      <w:pPr>
        <w:spacing w:line="360" w:lineRule="auto"/>
        <w:ind w:firstLine="480" w:firstLineChars="200"/>
        <w:rPr>
          <w:rFonts w:hint="eastAsia" w:ascii="宋体" w:hAnsi="宋体"/>
          <w:sz w:val="24"/>
          <w:szCs w:val="24"/>
        </w:rPr>
      </w:pPr>
    </w:p>
    <w:p w14:paraId="134C1319">
      <w:pPr>
        <w:spacing w:line="360" w:lineRule="auto"/>
        <w:ind w:firstLine="480" w:firstLineChars="200"/>
        <w:rPr>
          <w:rFonts w:hint="eastAsia" w:ascii="宋体" w:hAnsi="宋体"/>
          <w:sz w:val="24"/>
          <w:szCs w:val="24"/>
          <w:u w:val="single"/>
        </w:rPr>
      </w:pPr>
      <w:r>
        <w:rPr>
          <w:rFonts w:ascii="宋体" w:hAnsi="宋体"/>
          <w:sz w:val="24"/>
          <w:szCs w:val="24"/>
        </w:rPr>
        <w:t xml:space="preserve">                             声明人：</w:t>
      </w:r>
      <w:r>
        <w:rPr>
          <w:rFonts w:hint="eastAsia" w:ascii="宋体" w:hAnsi="宋体"/>
          <w:sz w:val="24"/>
          <w:szCs w:val="24"/>
          <w:u w:val="single"/>
        </w:rPr>
        <w:t>（签名）</w:t>
      </w:r>
      <w:r>
        <w:rPr>
          <w:rFonts w:ascii="宋体" w:hAnsi="宋体"/>
          <w:sz w:val="24"/>
          <w:szCs w:val="24"/>
          <w:u w:val="single"/>
        </w:rPr>
        <w:t xml:space="preserve">  </w:t>
      </w:r>
    </w:p>
    <w:bookmarkEnd w:id="60"/>
    <w:p w14:paraId="68856039">
      <w:pPr>
        <w:widowControl/>
        <w:snapToGrid w:val="0"/>
        <w:spacing w:line="360" w:lineRule="auto"/>
        <w:ind w:right="102"/>
        <w:jc w:val="left"/>
        <w:rPr>
          <w:rFonts w:hint="eastAsia" w:ascii="宋体" w:hAnsi="宋体"/>
          <w:sz w:val="28"/>
          <w:szCs w:val="28"/>
        </w:rPr>
      </w:pPr>
    </w:p>
    <w:p w14:paraId="5FC9691C">
      <w:pPr>
        <w:widowControl/>
        <w:snapToGrid w:val="0"/>
        <w:spacing w:line="360" w:lineRule="auto"/>
        <w:ind w:right="102"/>
        <w:jc w:val="left"/>
        <w:rPr>
          <w:rFonts w:ascii="宋体"/>
          <w:sz w:val="28"/>
          <w:szCs w:val="28"/>
        </w:rPr>
      </w:pPr>
      <w:r>
        <w:rPr>
          <w:rFonts w:hint="eastAsia" w:ascii="宋体" w:hAnsi="宋体"/>
          <w:sz w:val="28"/>
          <w:szCs w:val="28"/>
        </w:rPr>
        <w:t>附表一</w:t>
      </w:r>
    </w:p>
    <w:p w14:paraId="4CD2416B">
      <w:pPr>
        <w:jc w:val="center"/>
        <w:rPr>
          <w:b/>
          <w:sz w:val="32"/>
          <w:szCs w:val="32"/>
        </w:rPr>
      </w:pPr>
      <w:r>
        <w:rPr>
          <w:rFonts w:hint="eastAsia"/>
          <w:b/>
          <w:sz w:val="32"/>
          <w:szCs w:val="32"/>
        </w:rPr>
        <w:t>资格审查表</w:t>
      </w:r>
    </w:p>
    <w:p w14:paraId="39249571">
      <w:pPr>
        <w:spacing w:line="480" w:lineRule="auto"/>
        <w:rPr>
          <w:sz w:val="24"/>
          <w:szCs w:val="24"/>
        </w:rPr>
      </w:pPr>
      <w:r>
        <w:rPr>
          <w:rFonts w:hint="eastAsia"/>
          <w:sz w:val="24"/>
          <w:szCs w:val="24"/>
        </w:rPr>
        <w:t>招标项目名称：</w:t>
      </w:r>
    </w:p>
    <w:p w14:paraId="4B85D549">
      <w:pPr>
        <w:spacing w:line="480" w:lineRule="auto"/>
        <w:rPr>
          <w:sz w:val="24"/>
          <w:szCs w:val="24"/>
        </w:rPr>
      </w:pPr>
      <w:r>
        <w:rPr>
          <w:rFonts w:hint="eastAsia"/>
          <w:sz w:val="24"/>
          <w:szCs w:val="24"/>
        </w:rPr>
        <w:t>投标人名称：</w:t>
      </w:r>
    </w:p>
    <w:tbl>
      <w:tblPr>
        <w:tblStyle w:val="37"/>
        <w:tblW w:w="91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9"/>
        <w:gridCol w:w="3884"/>
        <w:gridCol w:w="3294"/>
        <w:gridCol w:w="1287"/>
      </w:tblGrid>
      <w:tr w14:paraId="3739E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tcBorders>
              <w:top w:val="single" w:color="auto" w:sz="4" w:space="0"/>
              <w:left w:val="single" w:color="auto" w:sz="4" w:space="0"/>
              <w:bottom w:val="single" w:color="auto" w:sz="4" w:space="0"/>
              <w:right w:val="single" w:color="auto" w:sz="4" w:space="0"/>
            </w:tcBorders>
            <w:vAlign w:val="center"/>
          </w:tcPr>
          <w:p w14:paraId="68542510">
            <w:pPr>
              <w:spacing w:before="120" w:after="60"/>
              <w:jc w:val="center"/>
              <w:rPr>
                <w:rFonts w:hint="eastAsia" w:ascii="宋体" w:hAnsi="宋体"/>
                <w:b/>
                <w:szCs w:val="21"/>
              </w:rPr>
            </w:pPr>
            <w:r>
              <w:rPr>
                <w:rFonts w:hint="eastAsia" w:ascii="宋体" w:hAnsi="宋体"/>
                <w:b/>
                <w:szCs w:val="21"/>
              </w:rPr>
              <w:t>序号</w:t>
            </w:r>
          </w:p>
        </w:tc>
        <w:tc>
          <w:tcPr>
            <w:tcW w:w="3884" w:type="dxa"/>
            <w:tcBorders>
              <w:top w:val="single" w:color="auto" w:sz="4" w:space="0"/>
              <w:left w:val="single" w:color="auto" w:sz="4" w:space="0"/>
              <w:bottom w:val="single" w:color="auto" w:sz="4" w:space="0"/>
              <w:right w:val="single" w:color="auto" w:sz="4" w:space="0"/>
            </w:tcBorders>
            <w:vAlign w:val="center"/>
          </w:tcPr>
          <w:p w14:paraId="7F1EC4F4">
            <w:pPr>
              <w:spacing w:before="120" w:after="60"/>
              <w:jc w:val="center"/>
              <w:rPr>
                <w:rFonts w:hint="eastAsia" w:ascii="宋体" w:hAnsi="宋体"/>
                <w:b/>
                <w:szCs w:val="21"/>
              </w:rPr>
            </w:pPr>
            <w:r>
              <w:rPr>
                <w:rFonts w:hint="eastAsia" w:ascii="宋体" w:hAnsi="宋体"/>
                <w:b/>
                <w:szCs w:val="21"/>
              </w:rPr>
              <w:t>审查项目</w:t>
            </w:r>
          </w:p>
        </w:tc>
        <w:tc>
          <w:tcPr>
            <w:tcW w:w="3294" w:type="dxa"/>
            <w:tcBorders>
              <w:top w:val="single" w:color="auto" w:sz="4" w:space="0"/>
              <w:left w:val="single" w:color="auto" w:sz="4" w:space="0"/>
              <w:bottom w:val="single" w:color="auto" w:sz="4" w:space="0"/>
              <w:right w:val="single" w:color="auto" w:sz="4" w:space="0"/>
            </w:tcBorders>
            <w:vAlign w:val="center"/>
          </w:tcPr>
          <w:p w14:paraId="5A76C54B">
            <w:pPr>
              <w:spacing w:before="120" w:after="60"/>
              <w:jc w:val="center"/>
              <w:rPr>
                <w:rFonts w:hint="eastAsia" w:ascii="宋体" w:hAnsi="宋体"/>
                <w:b/>
                <w:szCs w:val="21"/>
              </w:rPr>
            </w:pPr>
            <w:r>
              <w:rPr>
                <w:rFonts w:hint="eastAsia" w:ascii="宋体" w:hAnsi="宋体"/>
                <w:b/>
                <w:szCs w:val="21"/>
              </w:rPr>
              <w:t>须审查的资料</w:t>
            </w:r>
          </w:p>
        </w:tc>
        <w:tc>
          <w:tcPr>
            <w:tcW w:w="1287" w:type="dxa"/>
            <w:tcBorders>
              <w:top w:val="single" w:color="auto" w:sz="4" w:space="0"/>
              <w:left w:val="single" w:color="auto" w:sz="4" w:space="0"/>
              <w:bottom w:val="single" w:color="auto" w:sz="4" w:space="0"/>
              <w:right w:val="single" w:color="auto" w:sz="4" w:space="0"/>
            </w:tcBorders>
            <w:vAlign w:val="center"/>
          </w:tcPr>
          <w:p w14:paraId="197BA371">
            <w:pPr>
              <w:spacing w:before="120" w:after="60"/>
              <w:jc w:val="center"/>
              <w:rPr>
                <w:rFonts w:hint="eastAsia" w:ascii="宋体" w:hAnsi="宋体"/>
                <w:b/>
                <w:szCs w:val="21"/>
              </w:rPr>
            </w:pPr>
            <w:r>
              <w:rPr>
                <w:rFonts w:hint="eastAsia" w:ascii="宋体" w:hAnsi="宋体"/>
                <w:b/>
                <w:szCs w:val="21"/>
              </w:rPr>
              <w:t>审查结果</w:t>
            </w:r>
          </w:p>
        </w:tc>
      </w:tr>
      <w:tr w14:paraId="2DDFC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tcBorders>
              <w:top w:val="single" w:color="auto" w:sz="4" w:space="0"/>
              <w:left w:val="single" w:color="auto" w:sz="4" w:space="0"/>
              <w:bottom w:val="single" w:color="auto" w:sz="4" w:space="0"/>
              <w:right w:val="single" w:color="auto" w:sz="4" w:space="0"/>
            </w:tcBorders>
            <w:vAlign w:val="center"/>
          </w:tcPr>
          <w:p w14:paraId="44601EED">
            <w:pPr>
              <w:spacing w:before="120" w:after="60"/>
              <w:jc w:val="center"/>
              <w:rPr>
                <w:rFonts w:hint="eastAsia" w:ascii="宋体" w:hAnsi="宋体"/>
                <w:szCs w:val="21"/>
              </w:rPr>
            </w:pPr>
            <w:r>
              <w:rPr>
                <w:rFonts w:ascii="宋体" w:hAnsi="宋体"/>
                <w:szCs w:val="21"/>
              </w:rPr>
              <w:t>1</w:t>
            </w:r>
          </w:p>
        </w:tc>
        <w:tc>
          <w:tcPr>
            <w:tcW w:w="3884" w:type="dxa"/>
            <w:tcBorders>
              <w:top w:val="single" w:color="auto" w:sz="4" w:space="0"/>
              <w:left w:val="single" w:color="auto" w:sz="4" w:space="0"/>
              <w:bottom w:val="single" w:color="auto" w:sz="4" w:space="0"/>
              <w:right w:val="single" w:color="auto" w:sz="4" w:space="0"/>
            </w:tcBorders>
            <w:vAlign w:val="center"/>
          </w:tcPr>
          <w:p w14:paraId="368F4776">
            <w:pPr>
              <w:spacing w:before="120" w:after="60"/>
              <w:jc w:val="center"/>
              <w:rPr>
                <w:rFonts w:hint="eastAsia" w:ascii="宋体" w:hAnsi="宋体"/>
                <w:szCs w:val="21"/>
              </w:rPr>
            </w:pPr>
            <w:r>
              <w:rPr>
                <w:rFonts w:hint="eastAsia" w:ascii="宋体" w:hAnsi="宋体"/>
                <w:szCs w:val="21"/>
              </w:rPr>
              <w:t>投标人参加投标的意思表达清楚，投标人代表被授权有效</w:t>
            </w:r>
          </w:p>
        </w:tc>
        <w:tc>
          <w:tcPr>
            <w:tcW w:w="3294" w:type="dxa"/>
            <w:tcBorders>
              <w:top w:val="single" w:color="auto" w:sz="4" w:space="0"/>
              <w:left w:val="single" w:color="auto" w:sz="4" w:space="0"/>
              <w:bottom w:val="single" w:color="auto" w:sz="4" w:space="0"/>
              <w:right w:val="single" w:color="auto" w:sz="4" w:space="0"/>
            </w:tcBorders>
            <w:vAlign w:val="center"/>
          </w:tcPr>
          <w:p w14:paraId="31B539C8">
            <w:pPr>
              <w:spacing w:before="120" w:after="60"/>
              <w:jc w:val="center"/>
              <w:rPr>
                <w:rFonts w:hint="eastAsia" w:ascii="宋体" w:hAnsi="宋体"/>
                <w:szCs w:val="21"/>
              </w:rPr>
            </w:pPr>
            <w:r>
              <w:rPr>
                <w:rFonts w:hint="eastAsia" w:ascii="宋体" w:hAnsi="宋体"/>
                <w:szCs w:val="21"/>
              </w:rPr>
              <w:t>投标人声明、法定代表人证明书；委托投标的还应提供法人授权委托证明书</w:t>
            </w:r>
          </w:p>
        </w:tc>
        <w:tc>
          <w:tcPr>
            <w:tcW w:w="1287" w:type="dxa"/>
            <w:tcBorders>
              <w:top w:val="single" w:color="auto" w:sz="4" w:space="0"/>
              <w:left w:val="single" w:color="auto" w:sz="4" w:space="0"/>
              <w:bottom w:val="single" w:color="auto" w:sz="4" w:space="0"/>
              <w:right w:val="single" w:color="auto" w:sz="4" w:space="0"/>
            </w:tcBorders>
            <w:vAlign w:val="center"/>
          </w:tcPr>
          <w:p w14:paraId="1076852D">
            <w:pPr>
              <w:spacing w:before="120" w:after="60"/>
              <w:jc w:val="center"/>
              <w:rPr>
                <w:rFonts w:hint="eastAsia" w:ascii="宋体" w:hAnsi="宋体"/>
                <w:szCs w:val="21"/>
              </w:rPr>
            </w:pPr>
          </w:p>
        </w:tc>
      </w:tr>
      <w:tr w14:paraId="353E7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tcBorders>
              <w:top w:val="single" w:color="auto" w:sz="4" w:space="0"/>
              <w:left w:val="single" w:color="auto" w:sz="4" w:space="0"/>
              <w:bottom w:val="single" w:color="auto" w:sz="4" w:space="0"/>
              <w:right w:val="single" w:color="auto" w:sz="4" w:space="0"/>
            </w:tcBorders>
            <w:vAlign w:val="center"/>
          </w:tcPr>
          <w:p w14:paraId="7D27DFFA">
            <w:pPr>
              <w:spacing w:before="120" w:after="60"/>
              <w:jc w:val="center"/>
              <w:rPr>
                <w:rFonts w:hint="eastAsia" w:ascii="宋体" w:hAnsi="宋体"/>
                <w:szCs w:val="21"/>
              </w:rPr>
            </w:pPr>
            <w:r>
              <w:rPr>
                <w:rFonts w:ascii="宋体" w:hAnsi="宋体"/>
                <w:szCs w:val="21"/>
              </w:rPr>
              <w:t>2</w:t>
            </w:r>
          </w:p>
        </w:tc>
        <w:tc>
          <w:tcPr>
            <w:tcW w:w="3884" w:type="dxa"/>
            <w:tcBorders>
              <w:top w:val="single" w:color="auto" w:sz="4" w:space="0"/>
              <w:left w:val="single" w:color="auto" w:sz="4" w:space="0"/>
              <w:bottom w:val="single" w:color="auto" w:sz="4" w:space="0"/>
              <w:right w:val="single" w:color="auto" w:sz="4" w:space="0"/>
            </w:tcBorders>
            <w:vAlign w:val="center"/>
          </w:tcPr>
          <w:p w14:paraId="7DC862CB">
            <w:pPr>
              <w:spacing w:before="120" w:after="60"/>
              <w:jc w:val="center"/>
              <w:rPr>
                <w:rFonts w:hint="eastAsia" w:ascii="宋体" w:hAnsi="宋体"/>
                <w:szCs w:val="21"/>
              </w:rPr>
            </w:pPr>
            <w:r>
              <w:rPr>
                <w:rFonts w:hint="eastAsia" w:ascii="宋体" w:hAnsi="宋体"/>
                <w:szCs w:val="21"/>
              </w:rPr>
              <w:t>投标人均具有独立法人资格，按国家法律经营</w:t>
            </w:r>
          </w:p>
        </w:tc>
        <w:tc>
          <w:tcPr>
            <w:tcW w:w="3294" w:type="dxa"/>
            <w:tcBorders>
              <w:top w:val="single" w:color="auto" w:sz="4" w:space="0"/>
              <w:left w:val="single" w:color="auto" w:sz="4" w:space="0"/>
              <w:bottom w:val="single" w:color="auto" w:sz="4" w:space="0"/>
              <w:right w:val="single" w:color="auto" w:sz="4" w:space="0"/>
            </w:tcBorders>
            <w:vAlign w:val="center"/>
          </w:tcPr>
          <w:p w14:paraId="0B82F205">
            <w:pPr>
              <w:spacing w:before="120" w:after="60"/>
              <w:jc w:val="center"/>
              <w:rPr>
                <w:rFonts w:hint="eastAsia" w:ascii="宋体" w:hAnsi="宋体"/>
                <w:szCs w:val="21"/>
              </w:rPr>
            </w:pPr>
            <w:r>
              <w:rPr>
                <w:rFonts w:hint="eastAsia" w:ascii="宋体" w:hAnsi="宋体"/>
                <w:szCs w:val="21"/>
              </w:rPr>
              <w:t>营业执照</w:t>
            </w:r>
            <w:r>
              <w:rPr>
                <w:rFonts w:hint="eastAsia" w:ascii="宋体" w:hAnsi="宋体"/>
                <w:szCs w:val="21"/>
                <w:u w:val="single"/>
              </w:rPr>
              <w:t>扫描件或电子证照</w:t>
            </w:r>
          </w:p>
        </w:tc>
        <w:tc>
          <w:tcPr>
            <w:tcW w:w="1287" w:type="dxa"/>
            <w:tcBorders>
              <w:top w:val="single" w:color="auto" w:sz="4" w:space="0"/>
              <w:left w:val="single" w:color="auto" w:sz="4" w:space="0"/>
              <w:bottom w:val="single" w:color="auto" w:sz="4" w:space="0"/>
              <w:right w:val="single" w:color="auto" w:sz="4" w:space="0"/>
            </w:tcBorders>
            <w:vAlign w:val="center"/>
          </w:tcPr>
          <w:p w14:paraId="398B6F6D">
            <w:pPr>
              <w:spacing w:before="120" w:after="60"/>
              <w:jc w:val="center"/>
              <w:rPr>
                <w:rFonts w:hint="eastAsia" w:ascii="宋体" w:hAnsi="宋体"/>
                <w:szCs w:val="21"/>
              </w:rPr>
            </w:pPr>
          </w:p>
        </w:tc>
      </w:tr>
      <w:tr w14:paraId="1BD0B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tcBorders>
              <w:top w:val="single" w:color="auto" w:sz="4" w:space="0"/>
              <w:left w:val="single" w:color="auto" w:sz="4" w:space="0"/>
              <w:bottom w:val="single" w:color="auto" w:sz="4" w:space="0"/>
              <w:right w:val="single" w:color="auto" w:sz="4" w:space="0"/>
            </w:tcBorders>
            <w:vAlign w:val="center"/>
          </w:tcPr>
          <w:p w14:paraId="38A6454D">
            <w:pPr>
              <w:spacing w:before="120" w:after="60"/>
              <w:jc w:val="center"/>
              <w:rPr>
                <w:rFonts w:hint="eastAsia" w:ascii="宋体" w:hAnsi="宋体"/>
                <w:szCs w:val="21"/>
              </w:rPr>
            </w:pPr>
            <w:r>
              <w:rPr>
                <w:rFonts w:ascii="宋体" w:hAnsi="宋体"/>
                <w:szCs w:val="21"/>
              </w:rPr>
              <w:t>3</w:t>
            </w:r>
          </w:p>
        </w:tc>
        <w:tc>
          <w:tcPr>
            <w:tcW w:w="3884" w:type="dxa"/>
            <w:tcBorders>
              <w:top w:val="single" w:color="auto" w:sz="4" w:space="0"/>
              <w:left w:val="single" w:color="auto" w:sz="4" w:space="0"/>
              <w:bottom w:val="single" w:color="auto" w:sz="4" w:space="0"/>
              <w:right w:val="single" w:color="auto" w:sz="4" w:space="0"/>
            </w:tcBorders>
            <w:vAlign w:val="center"/>
          </w:tcPr>
          <w:p w14:paraId="5DBD7722">
            <w:pPr>
              <w:spacing w:before="120" w:after="60"/>
              <w:jc w:val="center"/>
              <w:rPr>
                <w:rFonts w:hint="eastAsia" w:ascii="宋体" w:hAnsi="宋体"/>
                <w:szCs w:val="21"/>
              </w:rPr>
            </w:pPr>
            <w:r>
              <w:rPr>
                <w:rFonts w:hint="eastAsia" w:ascii="宋体" w:hAnsi="宋体"/>
                <w:szCs w:val="21"/>
              </w:rPr>
              <w:t>投标人均持有建设行政主管部门颁发有效期内的企业资质证书及安全生产许可证；投标人资质符合公告要求</w:t>
            </w:r>
          </w:p>
        </w:tc>
        <w:tc>
          <w:tcPr>
            <w:tcW w:w="3294" w:type="dxa"/>
            <w:tcBorders>
              <w:top w:val="single" w:color="auto" w:sz="4" w:space="0"/>
              <w:left w:val="single" w:color="auto" w:sz="4" w:space="0"/>
              <w:bottom w:val="single" w:color="auto" w:sz="4" w:space="0"/>
              <w:right w:val="single" w:color="auto" w:sz="4" w:space="0"/>
            </w:tcBorders>
            <w:vAlign w:val="center"/>
          </w:tcPr>
          <w:p w14:paraId="48903D3A">
            <w:pPr>
              <w:spacing w:before="120" w:after="60"/>
              <w:jc w:val="center"/>
              <w:rPr>
                <w:rFonts w:hint="eastAsia" w:ascii="宋体" w:hAnsi="宋体"/>
                <w:szCs w:val="21"/>
              </w:rPr>
            </w:pPr>
            <w:r>
              <w:rPr>
                <w:rFonts w:hint="eastAsia" w:ascii="宋体" w:hAnsi="宋体"/>
                <w:szCs w:val="21"/>
              </w:rPr>
              <w:t>资质证书及安全生产许可证</w:t>
            </w:r>
            <w:r>
              <w:rPr>
                <w:rFonts w:hint="eastAsia" w:ascii="宋体" w:hAnsi="宋体"/>
                <w:szCs w:val="21"/>
                <w:u w:val="single"/>
              </w:rPr>
              <w:t>扫描件或电子证照</w:t>
            </w:r>
          </w:p>
        </w:tc>
        <w:tc>
          <w:tcPr>
            <w:tcW w:w="1287" w:type="dxa"/>
            <w:tcBorders>
              <w:top w:val="single" w:color="auto" w:sz="4" w:space="0"/>
              <w:left w:val="single" w:color="auto" w:sz="4" w:space="0"/>
              <w:bottom w:val="single" w:color="auto" w:sz="4" w:space="0"/>
              <w:right w:val="single" w:color="auto" w:sz="4" w:space="0"/>
            </w:tcBorders>
            <w:vAlign w:val="center"/>
          </w:tcPr>
          <w:p w14:paraId="6089A6CC">
            <w:pPr>
              <w:spacing w:before="120" w:after="60"/>
              <w:jc w:val="center"/>
              <w:rPr>
                <w:rFonts w:hint="eastAsia" w:ascii="宋体" w:hAnsi="宋体"/>
                <w:szCs w:val="21"/>
              </w:rPr>
            </w:pPr>
          </w:p>
        </w:tc>
      </w:tr>
      <w:tr w14:paraId="7C508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tcBorders>
              <w:top w:val="single" w:color="auto" w:sz="4" w:space="0"/>
              <w:left w:val="single" w:color="auto" w:sz="4" w:space="0"/>
              <w:bottom w:val="single" w:color="auto" w:sz="4" w:space="0"/>
              <w:right w:val="single" w:color="auto" w:sz="4" w:space="0"/>
            </w:tcBorders>
            <w:vAlign w:val="center"/>
          </w:tcPr>
          <w:p w14:paraId="317A70F3">
            <w:pPr>
              <w:spacing w:before="120" w:after="60"/>
              <w:jc w:val="center"/>
              <w:rPr>
                <w:rFonts w:hint="eastAsia" w:ascii="宋体" w:hAnsi="宋体"/>
                <w:szCs w:val="21"/>
              </w:rPr>
            </w:pPr>
            <w:r>
              <w:rPr>
                <w:rFonts w:ascii="宋体" w:hAnsi="宋体"/>
                <w:szCs w:val="21"/>
              </w:rPr>
              <w:t>4</w:t>
            </w:r>
          </w:p>
        </w:tc>
        <w:tc>
          <w:tcPr>
            <w:tcW w:w="3884" w:type="dxa"/>
            <w:tcBorders>
              <w:top w:val="single" w:color="auto" w:sz="4" w:space="0"/>
              <w:left w:val="single" w:color="auto" w:sz="4" w:space="0"/>
              <w:bottom w:val="single" w:color="auto" w:sz="4" w:space="0"/>
              <w:right w:val="single" w:color="auto" w:sz="4" w:space="0"/>
            </w:tcBorders>
            <w:vAlign w:val="center"/>
          </w:tcPr>
          <w:p w14:paraId="414BF3AB">
            <w:pPr>
              <w:spacing w:before="120" w:after="60"/>
              <w:jc w:val="center"/>
              <w:rPr>
                <w:rFonts w:hint="eastAsia" w:ascii="宋体" w:hAnsi="宋体"/>
                <w:szCs w:val="21"/>
              </w:rPr>
            </w:pPr>
            <w:r>
              <w:rPr>
                <w:rFonts w:hint="eastAsia" w:ascii="宋体" w:hAnsi="宋体"/>
                <w:szCs w:val="21"/>
              </w:rPr>
              <w:t>投标人拟担任本工程项目负责人符合公告要求</w:t>
            </w:r>
          </w:p>
        </w:tc>
        <w:tc>
          <w:tcPr>
            <w:tcW w:w="3294" w:type="dxa"/>
            <w:tcBorders>
              <w:top w:val="single" w:color="auto" w:sz="4" w:space="0"/>
              <w:left w:val="single" w:color="auto" w:sz="4" w:space="0"/>
              <w:bottom w:val="single" w:color="auto" w:sz="4" w:space="0"/>
              <w:right w:val="single" w:color="auto" w:sz="4" w:space="0"/>
            </w:tcBorders>
            <w:vAlign w:val="center"/>
          </w:tcPr>
          <w:p w14:paraId="19CFB559">
            <w:pPr>
              <w:spacing w:before="120" w:after="60"/>
              <w:jc w:val="center"/>
              <w:rPr>
                <w:rFonts w:hint="eastAsia" w:ascii="宋体" w:hAnsi="宋体"/>
                <w:szCs w:val="21"/>
              </w:rPr>
            </w:pPr>
            <w:r>
              <w:rPr>
                <w:rFonts w:hint="eastAsia" w:ascii="宋体" w:hAnsi="宋体"/>
                <w:szCs w:val="21"/>
              </w:rPr>
              <w:t>使用有效期内的注册建造师注册证书</w:t>
            </w:r>
            <w:r>
              <w:rPr>
                <w:rFonts w:hint="eastAsia" w:ascii="宋体" w:hAnsi="宋体"/>
                <w:szCs w:val="21"/>
                <w:u w:val="single"/>
              </w:rPr>
              <w:t>扫描件或电子证照</w:t>
            </w:r>
            <w:r>
              <w:rPr>
                <w:rFonts w:hint="eastAsia" w:ascii="宋体" w:hAnsi="宋体"/>
                <w:szCs w:val="21"/>
              </w:rPr>
              <w:t>。</w:t>
            </w:r>
            <w:r>
              <w:rPr>
                <w:rStyle w:val="45"/>
                <w:rFonts w:hint="eastAsia" w:ascii="宋体" w:hAnsi="宋体" w:cs="宋体"/>
                <w:kern w:val="0"/>
                <w:u w:val="single"/>
              </w:rPr>
              <w:t>（注：打印建造师电子证书后，在个人签名处手写本人签名再扫描提交。）</w:t>
            </w:r>
          </w:p>
        </w:tc>
        <w:tc>
          <w:tcPr>
            <w:tcW w:w="1287" w:type="dxa"/>
            <w:tcBorders>
              <w:top w:val="single" w:color="auto" w:sz="4" w:space="0"/>
              <w:left w:val="single" w:color="auto" w:sz="4" w:space="0"/>
              <w:bottom w:val="single" w:color="auto" w:sz="4" w:space="0"/>
              <w:right w:val="single" w:color="auto" w:sz="4" w:space="0"/>
            </w:tcBorders>
            <w:vAlign w:val="center"/>
          </w:tcPr>
          <w:p w14:paraId="506CE315">
            <w:pPr>
              <w:spacing w:before="120" w:after="60"/>
              <w:jc w:val="center"/>
              <w:rPr>
                <w:rFonts w:hint="eastAsia" w:ascii="宋体" w:hAnsi="宋体"/>
                <w:szCs w:val="21"/>
              </w:rPr>
            </w:pPr>
          </w:p>
        </w:tc>
      </w:tr>
      <w:tr w14:paraId="06558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tcBorders>
              <w:top w:val="single" w:color="auto" w:sz="4" w:space="0"/>
              <w:left w:val="single" w:color="auto" w:sz="4" w:space="0"/>
              <w:bottom w:val="single" w:color="auto" w:sz="4" w:space="0"/>
              <w:right w:val="single" w:color="auto" w:sz="4" w:space="0"/>
            </w:tcBorders>
            <w:vAlign w:val="center"/>
          </w:tcPr>
          <w:p w14:paraId="3989A0FA">
            <w:pPr>
              <w:spacing w:before="120" w:after="60"/>
              <w:jc w:val="center"/>
              <w:rPr>
                <w:rFonts w:hint="eastAsia" w:ascii="宋体" w:hAnsi="宋体"/>
                <w:szCs w:val="21"/>
              </w:rPr>
            </w:pPr>
            <w:r>
              <w:rPr>
                <w:rFonts w:ascii="宋体" w:hAnsi="宋体"/>
                <w:szCs w:val="21"/>
              </w:rPr>
              <w:t>5</w:t>
            </w:r>
          </w:p>
        </w:tc>
        <w:tc>
          <w:tcPr>
            <w:tcW w:w="3884" w:type="dxa"/>
            <w:tcBorders>
              <w:top w:val="single" w:color="auto" w:sz="4" w:space="0"/>
              <w:left w:val="single" w:color="auto" w:sz="4" w:space="0"/>
              <w:bottom w:val="single" w:color="auto" w:sz="4" w:space="0"/>
              <w:right w:val="single" w:color="auto" w:sz="4" w:space="0"/>
            </w:tcBorders>
            <w:vAlign w:val="center"/>
          </w:tcPr>
          <w:p w14:paraId="6FF16B69">
            <w:pPr>
              <w:spacing w:before="120" w:after="60"/>
              <w:jc w:val="center"/>
              <w:rPr>
                <w:rFonts w:hint="eastAsia" w:ascii="宋体" w:hAnsi="宋体"/>
                <w:szCs w:val="21"/>
              </w:rPr>
            </w:pPr>
            <w:r>
              <w:rPr>
                <w:rFonts w:hint="eastAsia" w:ascii="宋体" w:hAnsi="宋体"/>
                <w:szCs w:val="21"/>
              </w:rPr>
              <w:t>持有</w:t>
            </w:r>
            <w:r>
              <w:rPr>
                <w:rFonts w:hint="eastAsia" w:ascii="宋体" w:hAnsi="宋体" w:cs="宋体"/>
                <w:szCs w:val="21"/>
                <w:u w:val="single"/>
              </w:rPr>
              <w:t>有效期内</w:t>
            </w:r>
            <w:r>
              <w:rPr>
                <w:rFonts w:hint="eastAsia" w:ascii="宋体" w:hAnsi="宋体"/>
                <w:szCs w:val="21"/>
              </w:rPr>
              <w:t>项目负责人安全生产考核合格证（B类）或建筑施工企业项目负责人安全生产考核合格证</w:t>
            </w:r>
          </w:p>
        </w:tc>
        <w:tc>
          <w:tcPr>
            <w:tcW w:w="3294" w:type="dxa"/>
            <w:tcBorders>
              <w:top w:val="single" w:color="auto" w:sz="4" w:space="0"/>
              <w:left w:val="single" w:color="auto" w:sz="4" w:space="0"/>
              <w:bottom w:val="single" w:color="auto" w:sz="4" w:space="0"/>
              <w:right w:val="single" w:color="auto" w:sz="4" w:space="0"/>
            </w:tcBorders>
            <w:vAlign w:val="center"/>
          </w:tcPr>
          <w:p w14:paraId="1BB29E1F">
            <w:pPr>
              <w:spacing w:before="120" w:after="60"/>
              <w:jc w:val="center"/>
              <w:rPr>
                <w:rFonts w:hint="eastAsia" w:ascii="宋体" w:hAnsi="宋体"/>
                <w:szCs w:val="21"/>
              </w:rPr>
            </w:pPr>
            <w:r>
              <w:rPr>
                <w:rFonts w:hint="eastAsia" w:ascii="宋体" w:hAnsi="宋体"/>
                <w:szCs w:val="21"/>
              </w:rPr>
              <w:t>项目负责人安全生产考核合格证（B类）或建筑施工企业项目负责人安全生产考核合格证</w:t>
            </w:r>
            <w:r>
              <w:rPr>
                <w:rFonts w:hint="eastAsia" w:ascii="宋体" w:hAnsi="宋体"/>
                <w:szCs w:val="21"/>
                <w:u w:val="single"/>
              </w:rPr>
              <w:t>扫描件或电子证照</w:t>
            </w:r>
          </w:p>
        </w:tc>
        <w:tc>
          <w:tcPr>
            <w:tcW w:w="1287" w:type="dxa"/>
            <w:tcBorders>
              <w:top w:val="single" w:color="auto" w:sz="4" w:space="0"/>
              <w:left w:val="single" w:color="auto" w:sz="4" w:space="0"/>
              <w:bottom w:val="single" w:color="auto" w:sz="4" w:space="0"/>
              <w:right w:val="single" w:color="auto" w:sz="4" w:space="0"/>
            </w:tcBorders>
            <w:vAlign w:val="center"/>
          </w:tcPr>
          <w:p w14:paraId="2E68D238">
            <w:pPr>
              <w:spacing w:before="120" w:after="60"/>
              <w:jc w:val="center"/>
              <w:rPr>
                <w:rFonts w:hint="eastAsia" w:ascii="宋体" w:hAnsi="宋体"/>
                <w:szCs w:val="21"/>
              </w:rPr>
            </w:pPr>
          </w:p>
        </w:tc>
      </w:tr>
      <w:tr w14:paraId="2863D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tcBorders>
              <w:top w:val="single" w:color="auto" w:sz="4" w:space="0"/>
              <w:left w:val="single" w:color="auto" w:sz="4" w:space="0"/>
              <w:bottom w:val="single" w:color="auto" w:sz="4" w:space="0"/>
              <w:right w:val="single" w:color="auto" w:sz="4" w:space="0"/>
            </w:tcBorders>
            <w:vAlign w:val="center"/>
          </w:tcPr>
          <w:p w14:paraId="49162FCF">
            <w:pPr>
              <w:spacing w:before="120" w:after="60"/>
              <w:jc w:val="center"/>
              <w:rPr>
                <w:rFonts w:hint="eastAsia" w:ascii="宋体" w:hAnsi="宋体" w:eastAsia="宋体"/>
                <w:szCs w:val="21"/>
                <w:lang w:eastAsia="zh-CN"/>
              </w:rPr>
            </w:pPr>
            <w:r>
              <w:rPr>
                <w:rFonts w:hint="eastAsia" w:ascii="宋体" w:hAnsi="宋体"/>
                <w:szCs w:val="21"/>
                <w:lang w:val="en-US" w:eastAsia="zh-CN"/>
              </w:rPr>
              <w:t>6</w:t>
            </w:r>
          </w:p>
        </w:tc>
        <w:tc>
          <w:tcPr>
            <w:tcW w:w="3884" w:type="dxa"/>
            <w:tcBorders>
              <w:top w:val="single" w:color="auto" w:sz="4" w:space="0"/>
              <w:left w:val="single" w:color="auto" w:sz="4" w:space="0"/>
              <w:bottom w:val="single" w:color="auto" w:sz="4" w:space="0"/>
              <w:right w:val="single" w:color="auto" w:sz="4" w:space="0"/>
            </w:tcBorders>
            <w:vAlign w:val="center"/>
          </w:tcPr>
          <w:p w14:paraId="7334E4EC">
            <w:pPr>
              <w:spacing w:before="120" w:after="60"/>
              <w:jc w:val="center"/>
              <w:rPr>
                <w:rFonts w:hint="eastAsia" w:ascii="宋体" w:hAnsi="宋体"/>
                <w:szCs w:val="21"/>
              </w:rPr>
            </w:pPr>
            <w:r>
              <w:rPr>
                <w:rFonts w:hint="eastAsia" w:ascii="宋体" w:hAnsi="宋体"/>
                <w:szCs w:val="21"/>
              </w:rPr>
              <w:t>拟配备的专职安全员不少于1人，专职安全员须具有</w:t>
            </w:r>
            <w:r>
              <w:rPr>
                <w:rFonts w:hint="eastAsia" w:ascii="宋体" w:hAnsi="宋体" w:cs="宋体"/>
                <w:szCs w:val="21"/>
                <w:u w:val="single"/>
              </w:rPr>
              <w:t>有效期内的</w:t>
            </w:r>
            <w:r>
              <w:rPr>
                <w:rFonts w:hint="eastAsia" w:ascii="宋体" w:hAnsi="宋体"/>
                <w:szCs w:val="21"/>
              </w:rPr>
              <w:t>安全生产考核合格证（C类）或建筑施工企业专职安全生产管理人员安全生产考核合格证书（C3）</w:t>
            </w:r>
          </w:p>
        </w:tc>
        <w:tc>
          <w:tcPr>
            <w:tcW w:w="3294" w:type="dxa"/>
            <w:tcBorders>
              <w:top w:val="single" w:color="auto" w:sz="4" w:space="0"/>
              <w:left w:val="single" w:color="auto" w:sz="4" w:space="0"/>
              <w:bottom w:val="single" w:color="auto" w:sz="4" w:space="0"/>
              <w:right w:val="single" w:color="auto" w:sz="4" w:space="0"/>
            </w:tcBorders>
            <w:vAlign w:val="center"/>
          </w:tcPr>
          <w:p w14:paraId="4F3F31F0">
            <w:pPr>
              <w:spacing w:before="120" w:after="60"/>
              <w:jc w:val="center"/>
              <w:rPr>
                <w:rFonts w:hint="eastAsia" w:ascii="宋体" w:hAnsi="宋体"/>
                <w:szCs w:val="21"/>
              </w:rPr>
            </w:pPr>
            <w:r>
              <w:rPr>
                <w:rFonts w:hint="eastAsia" w:ascii="宋体" w:hAnsi="宋体"/>
                <w:szCs w:val="21"/>
              </w:rPr>
              <w:t>专职安全员的安全生产考核合格证（</w:t>
            </w:r>
            <w:r>
              <w:rPr>
                <w:rFonts w:ascii="宋体" w:hAnsi="宋体"/>
                <w:szCs w:val="21"/>
              </w:rPr>
              <w:t>C</w:t>
            </w:r>
            <w:r>
              <w:rPr>
                <w:rFonts w:hint="eastAsia" w:ascii="宋体" w:hAnsi="宋体"/>
                <w:szCs w:val="21"/>
              </w:rPr>
              <w:t>证）或建筑施工企业专职安全生产管理人员安全生产考核合格证（C3）</w:t>
            </w:r>
            <w:r>
              <w:rPr>
                <w:rFonts w:hint="eastAsia" w:ascii="宋体" w:hAnsi="宋体"/>
                <w:szCs w:val="21"/>
                <w:u w:val="single"/>
              </w:rPr>
              <w:t>扫描件或电子证书，项目负责人和专职安全员不为同一人</w:t>
            </w:r>
          </w:p>
        </w:tc>
        <w:tc>
          <w:tcPr>
            <w:tcW w:w="1287" w:type="dxa"/>
            <w:tcBorders>
              <w:top w:val="single" w:color="auto" w:sz="4" w:space="0"/>
              <w:left w:val="single" w:color="auto" w:sz="4" w:space="0"/>
              <w:bottom w:val="single" w:color="auto" w:sz="4" w:space="0"/>
              <w:right w:val="single" w:color="auto" w:sz="4" w:space="0"/>
            </w:tcBorders>
            <w:vAlign w:val="center"/>
          </w:tcPr>
          <w:p w14:paraId="466B95EF">
            <w:pPr>
              <w:spacing w:before="120" w:after="60"/>
              <w:jc w:val="center"/>
              <w:rPr>
                <w:rFonts w:hint="eastAsia" w:ascii="宋体" w:hAnsi="宋体"/>
                <w:szCs w:val="21"/>
              </w:rPr>
            </w:pPr>
          </w:p>
        </w:tc>
      </w:tr>
      <w:tr w14:paraId="3D9FF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tcBorders>
              <w:top w:val="single" w:color="auto" w:sz="4" w:space="0"/>
              <w:left w:val="single" w:color="auto" w:sz="4" w:space="0"/>
              <w:bottom w:val="single" w:color="auto" w:sz="4" w:space="0"/>
              <w:right w:val="single" w:color="auto" w:sz="4" w:space="0"/>
            </w:tcBorders>
            <w:vAlign w:val="center"/>
          </w:tcPr>
          <w:p w14:paraId="18831F2E">
            <w:pPr>
              <w:spacing w:before="120" w:after="60"/>
              <w:jc w:val="center"/>
              <w:rPr>
                <w:rFonts w:hint="eastAsia" w:ascii="宋体" w:hAnsi="宋体" w:eastAsia="宋体"/>
                <w:szCs w:val="21"/>
                <w:lang w:eastAsia="zh-CN"/>
              </w:rPr>
            </w:pPr>
            <w:r>
              <w:rPr>
                <w:rFonts w:hint="eastAsia" w:ascii="宋体" w:hAnsi="宋体"/>
                <w:szCs w:val="21"/>
                <w:lang w:val="en-US" w:eastAsia="zh-CN"/>
              </w:rPr>
              <w:t>7</w:t>
            </w:r>
          </w:p>
        </w:tc>
        <w:tc>
          <w:tcPr>
            <w:tcW w:w="3884" w:type="dxa"/>
            <w:tcBorders>
              <w:top w:val="single" w:color="auto" w:sz="4" w:space="0"/>
              <w:left w:val="single" w:color="auto" w:sz="4" w:space="0"/>
              <w:bottom w:val="single" w:color="auto" w:sz="4" w:space="0"/>
              <w:right w:val="single" w:color="auto" w:sz="4" w:space="0"/>
            </w:tcBorders>
            <w:vAlign w:val="center"/>
          </w:tcPr>
          <w:p w14:paraId="794FF3D6">
            <w:pPr>
              <w:spacing w:before="120" w:after="60"/>
              <w:jc w:val="center"/>
              <w:rPr>
                <w:rFonts w:hint="eastAsia" w:ascii="宋体" w:hAnsi="宋体"/>
                <w:szCs w:val="21"/>
              </w:rPr>
            </w:pPr>
            <w:r>
              <w:rPr>
                <w:rFonts w:hint="eastAsia" w:ascii="宋体" w:hAnsi="宋体"/>
                <w:szCs w:val="21"/>
              </w:rPr>
              <w:t>投标人提供的投标人声明符合公告要求</w:t>
            </w:r>
          </w:p>
        </w:tc>
        <w:tc>
          <w:tcPr>
            <w:tcW w:w="3294" w:type="dxa"/>
            <w:tcBorders>
              <w:top w:val="single" w:color="auto" w:sz="4" w:space="0"/>
              <w:left w:val="single" w:color="auto" w:sz="4" w:space="0"/>
              <w:bottom w:val="single" w:color="auto" w:sz="4" w:space="0"/>
              <w:right w:val="single" w:color="auto" w:sz="4" w:space="0"/>
            </w:tcBorders>
            <w:vAlign w:val="center"/>
          </w:tcPr>
          <w:p w14:paraId="0B4A4791">
            <w:pPr>
              <w:spacing w:before="120" w:after="60"/>
              <w:jc w:val="center"/>
              <w:rPr>
                <w:rFonts w:hint="eastAsia" w:ascii="宋体" w:hAnsi="宋体"/>
                <w:szCs w:val="21"/>
              </w:rPr>
            </w:pPr>
            <w:r>
              <w:rPr>
                <w:rFonts w:hint="eastAsia" w:ascii="宋体" w:hAnsi="宋体"/>
                <w:szCs w:val="21"/>
              </w:rPr>
              <w:t>投标人声明</w:t>
            </w:r>
          </w:p>
        </w:tc>
        <w:tc>
          <w:tcPr>
            <w:tcW w:w="1287" w:type="dxa"/>
            <w:tcBorders>
              <w:top w:val="single" w:color="auto" w:sz="4" w:space="0"/>
              <w:left w:val="single" w:color="auto" w:sz="4" w:space="0"/>
              <w:bottom w:val="single" w:color="auto" w:sz="4" w:space="0"/>
              <w:right w:val="single" w:color="auto" w:sz="4" w:space="0"/>
            </w:tcBorders>
            <w:vAlign w:val="center"/>
          </w:tcPr>
          <w:p w14:paraId="3BA82BAA">
            <w:pPr>
              <w:spacing w:before="120" w:after="60"/>
              <w:jc w:val="center"/>
              <w:rPr>
                <w:rFonts w:hint="eastAsia" w:ascii="宋体" w:hAnsi="宋体"/>
                <w:szCs w:val="21"/>
              </w:rPr>
            </w:pPr>
          </w:p>
        </w:tc>
      </w:tr>
      <w:tr w14:paraId="685C3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tcBorders>
              <w:top w:val="single" w:color="auto" w:sz="4" w:space="0"/>
              <w:left w:val="single" w:color="auto" w:sz="4" w:space="0"/>
              <w:bottom w:val="single" w:color="auto" w:sz="4" w:space="0"/>
              <w:right w:val="single" w:color="auto" w:sz="4" w:space="0"/>
            </w:tcBorders>
            <w:vAlign w:val="center"/>
          </w:tcPr>
          <w:p w14:paraId="3CB1C32D">
            <w:pPr>
              <w:spacing w:before="120" w:after="60"/>
              <w:jc w:val="center"/>
              <w:rPr>
                <w:rFonts w:hint="eastAsia" w:ascii="宋体" w:hAnsi="宋体" w:eastAsia="宋体"/>
                <w:szCs w:val="21"/>
                <w:lang w:eastAsia="zh-CN"/>
              </w:rPr>
            </w:pPr>
            <w:r>
              <w:rPr>
                <w:rFonts w:hint="eastAsia" w:ascii="宋体" w:hAnsi="宋体"/>
                <w:szCs w:val="21"/>
                <w:lang w:val="en-US" w:eastAsia="zh-CN"/>
              </w:rPr>
              <w:t>8</w:t>
            </w:r>
          </w:p>
        </w:tc>
        <w:tc>
          <w:tcPr>
            <w:tcW w:w="3884" w:type="dxa"/>
            <w:tcBorders>
              <w:top w:val="single" w:color="auto" w:sz="4" w:space="0"/>
              <w:left w:val="single" w:color="auto" w:sz="4" w:space="0"/>
              <w:bottom w:val="single" w:color="auto" w:sz="4" w:space="0"/>
              <w:right w:val="single" w:color="auto" w:sz="4" w:space="0"/>
            </w:tcBorders>
            <w:vAlign w:val="center"/>
          </w:tcPr>
          <w:p w14:paraId="0A996CDE">
            <w:pPr>
              <w:spacing w:before="120" w:after="60"/>
              <w:jc w:val="center"/>
              <w:rPr>
                <w:rFonts w:hint="eastAsia" w:ascii="宋体" w:hAnsi="宋体"/>
                <w:szCs w:val="21"/>
              </w:rPr>
            </w:pPr>
            <w:r>
              <w:rPr>
                <w:rFonts w:hint="eastAsia" w:ascii="宋体" w:hAnsi="宋体"/>
                <w:szCs w:val="21"/>
              </w:rPr>
              <w:t>投标人声明中签字的项目负责人与本项目拟派的项目负责人人一致</w:t>
            </w:r>
          </w:p>
        </w:tc>
        <w:tc>
          <w:tcPr>
            <w:tcW w:w="3294" w:type="dxa"/>
            <w:tcBorders>
              <w:top w:val="single" w:color="auto" w:sz="4" w:space="0"/>
              <w:left w:val="single" w:color="auto" w:sz="4" w:space="0"/>
              <w:bottom w:val="single" w:color="auto" w:sz="4" w:space="0"/>
              <w:right w:val="single" w:color="auto" w:sz="4" w:space="0"/>
            </w:tcBorders>
            <w:vAlign w:val="center"/>
          </w:tcPr>
          <w:p w14:paraId="3AF23A1E">
            <w:pPr>
              <w:spacing w:before="120" w:after="60"/>
              <w:jc w:val="center"/>
              <w:rPr>
                <w:rFonts w:hint="eastAsia" w:ascii="宋体" w:hAnsi="宋体"/>
                <w:szCs w:val="21"/>
              </w:rPr>
            </w:pPr>
            <w:r>
              <w:rPr>
                <w:rFonts w:hint="eastAsia" w:ascii="宋体" w:hAnsi="宋体"/>
                <w:szCs w:val="21"/>
              </w:rPr>
              <w:t>网上投标时选择拟投标的项目负责人投标人声明</w:t>
            </w:r>
          </w:p>
        </w:tc>
        <w:tc>
          <w:tcPr>
            <w:tcW w:w="1287" w:type="dxa"/>
            <w:tcBorders>
              <w:top w:val="single" w:color="auto" w:sz="4" w:space="0"/>
              <w:left w:val="single" w:color="auto" w:sz="4" w:space="0"/>
              <w:bottom w:val="single" w:color="auto" w:sz="4" w:space="0"/>
              <w:right w:val="single" w:color="auto" w:sz="4" w:space="0"/>
            </w:tcBorders>
            <w:vAlign w:val="center"/>
          </w:tcPr>
          <w:p w14:paraId="79AC76F3">
            <w:pPr>
              <w:spacing w:before="120" w:after="60"/>
              <w:jc w:val="center"/>
              <w:rPr>
                <w:rFonts w:hint="eastAsia" w:ascii="宋体" w:hAnsi="宋体"/>
                <w:szCs w:val="21"/>
              </w:rPr>
            </w:pPr>
          </w:p>
        </w:tc>
      </w:tr>
      <w:tr w14:paraId="196B3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tcBorders>
              <w:top w:val="single" w:color="auto" w:sz="4" w:space="0"/>
              <w:left w:val="single" w:color="auto" w:sz="4" w:space="0"/>
              <w:bottom w:val="single" w:color="auto" w:sz="4" w:space="0"/>
              <w:right w:val="single" w:color="auto" w:sz="4" w:space="0"/>
            </w:tcBorders>
            <w:vAlign w:val="center"/>
          </w:tcPr>
          <w:p w14:paraId="33DA5086">
            <w:pPr>
              <w:spacing w:before="120" w:after="60"/>
              <w:jc w:val="center"/>
              <w:rPr>
                <w:rFonts w:hint="eastAsia" w:ascii="宋体" w:hAnsi="宋体" w:eastAsia="宋体"/>
                <w:szCs w:val="21"/>
                <w:lang w:eastAsia="zh-CN"/>
              </w:rPr>
            </w:pPr>
            <w:r>
              <w:rPr>
                <w:rFonts w:hint="eastAsia" w:ascii="宋体" w:hAnsi="宋体"/>
                <w:szCs w:val="21"/>
                <w:lang w:val="en-US" w:eastAsia="zh-CN"/>
              </w:rPr>
              <w:t>9</w:t>
            </w:r>
          </w:p>
        </w:tc>
        <w:tc>
          <w:tcPr>
            <w:tcW w:w="3884" w:type="dxa"/>
            <w:tcBorders>
              <w:top w:val="single" w:color="auto" w:sz="4" w:space="0"/>
              <w:left w:val="single" w:color="auto" w:sz="4" w:space="0"/>
              <w:bottom w:val="single" w:color="auto" w:sz="4" w:space="0"/>
              <w:right w:val="single" w:color="auto" w:sz="4" w:space="0"/>
            </w:tcBorders>
            <w:vAlign w:val="center"/>
          </w:tcPr>
          <w:p w14:paraId="594FEA36">
            <w:pPr>
              <w:spacing w:before="120" w:after="60"/>
              <w:jc w:val="center"/>
              <w:rPr>
                <w:rFonts w:hint="eastAsia" w:ascii="宋体" w:hAnsi="宋体"/>
                <w:szCs w:val="21"/>
              </w:rPr>
            </w:pPr>
            <w:r>
              <w:rPr>
                <w:rFonts w:hint="eastAsia" w:ascii="宋体" w:hAnsi="宋体"/>
                <w:szCs w:val="21"/>
              </w:rPr>
              <w:t>关于联合体投标：本项目不接受联合体投标。</w:t>
            </w:r>
          </w:p>
        </w:tc>
        <w:tc>
          <w:tcPr>
            <w:tcW w:w="3294" w:type="dxa"/>
            <w:tcBorders>
              <w:top w:val="single" w:color="auto" w:sz="4" w:space="0"/>
              <w:left w:val="single" w:color="auto" w:sz="4" w:space="0"/>
              <w:bottom w:val="single" w:color="auto" w:sz="4" w:space="0"/>
              <w:right w:val="single" w:color="auto" w:sz="4" w:space="0"/>
            </w:tcBorders>
            <w:vAlign w:val="center"/>
          </w:tcPr>
          <w:p w14:paraId="69D90909">
            <w:pPr>
              <w:spacing w:before="120" w:after="60"/>
              <w:jc w:val="center"/>
              <w:rPr>
                <w:rFonts w:hint="eastAsia" w:ascii="宋体" w:hAnsi="宋体"/>
                <w:szCs w:val="21"/>
              </w:rPr>
            </w:pPr>
            <w:r>
              <w:rPr>
                <w:rFonts w:hint="eastAsia" w:ascii="宋体" w:hAnsi="宋体"/>
                <w:szCs w:val="21"/>
              </w:rPr>
              <w:t>本项目不接受联合体投标。</w:t>
            </w:r>
          </w:p>
        </w:tc>
        <w:tc>
          <w:tcPr>
            <w:tcW w:w="1287" w:type="dxa"/>
            <w:tcBorders>
              <w:top w:val="single" w:color="auto" w:sz="4" w:space="0"/>
              <w:left w:val="single" w:color="auto" w:sz="4" w:space="0"/>
              <w:bottom w:val="single" w:color="auto" w:sz="4" w:space="0"/>
              <w:right w:val="single" w:color="auto" w:sz="4" w:space="0"/>
            </w:tcBorders>
            <w:vAlign w:val="center"/>
          </w:tcPr>
          <w:p w14:paraId="463C7BEE">
            <w:pPr>
              <w:spacing w:before="120" w:after="60"/>
              <w:jc w:val="center"/>
              <w:rPr>
                <w:rFonts w:hint="eastAsia" w:ascii="宋体" w:hAnsi="宋体"/>
                <w:szCs w:val="21"/>
              </w:rPr>
            </w:pPr>
          </w:p>
        </w:tc>
      </w:tr>
      <w:tr w14:paraId="64FFC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tcBorders>
              <w:top w:val="single" w:color="auto" w:sz="4" w:space="0"/>
              <w:left w:val="single" w:color="auto" w:sz="4" w:space="0"/>
              <w:bottom w:val="single" w:color="auto" w:sz="4" w:space="0"/>
              <w:right w:val="single" w:color="auto" w:sz="4" w:space="0"/>
            </w:tcBorders>
            <w:vAlign w:val="center"/>
          </w:tcPr>
          <w:p w14:paraId="40E69F48">
            <w:pPr>
              <w:spacing w:before="120" w:after="60"/>
              <w:jc w:val="center"/>
              <w:rPr>
                <w:rFonts w:hint="default" w:ascii="宋体" w:hAnsi="宋体" w:eastAsia="宋体"/>
                <w:szCs w:val="21"/>
                <w:lang w:val="en-US" w:eastAsia="zh-CN"/>
              </w:rPr>
            </w:pPr>
            <w:r>
              <w:rPr>
                <w:rFonts w:hint="eastAsia" w:ascii="宋体" w:hAnsi="宋体"/>
                <w:szCs w:val="21"/>
                <w:lang w:val="en-US" w:eastAsia="zh-CN"/>
              </w:rPr>
              <w:t>10</w:t>
            </w:r>
          </w:p>
        </w:tc>
        <w:tc>
          <w:tcPr>
            <w:tcW w:w="3884" w:type="dxa"/>
            <w:tcBorders>
              <w:top w:val="single" w:color="auto" w:sz="4" w:space="0"/>
              <w:left w:val="single" w:color="auto" w:sz="4" w:space="0"/>
              <w:bottom w:val="single" w:color="auto" w:sz="4" w:space="0"/>
              <w:right w:val="single" w:color="auto" w:sz="4" w:space="0"/>
            </w:tcBorders>
            <w:vAlign w:val="center"/>
          </w:tcPr>
          <w:p w14:paraId="6A796E7C">
            <w:pPr>
              <w:spacing w:before="120" w:after="60"/>
              <w:jc w:val="center"/>
              <w:rPr>
                <w:rFonts w:hint="eastAsia" w:ascii="宋体" w:hAnsi="宋体"/>
                <w:szCs w:val="21"/>
              </w:rPr>
            </w:pPr>
            <w:r>
              <w:rPr>
                <w:rFonts w:hint="eastAsia" w:ascii="宋体" w:hAnsi="宋体" w:cs="宋体"/>
                <w:szCs w:val="21"/>
                <w:u w:val="single"/>
              </w:rPr>
              <w:t>投标登记前，投标人须在广州交易集团有限公司（广州公共资源交易中心）办理企业信息登记及拟担任本工程项目负责人、专职安全员须是本企业信息登记信息中的在册人员</w:t>
            </w:r>
          </w:p>
        </w:tc>
        <w:tc>
          <w:tcPr>
            <w:tcW w:w="3294" w:type="dxa"/>
            <w:tcBorders>
              <w:top w:val="single" w:color="auto" w:sz="4" w:space="0"/>
              <w:left w:val="single" w:color="auto" w:sz="4" w:space="0"/>
              <w:bottom w:val="single" w:color="auto" w:sz="4" w:space="0"/>
              <w:right w:val="single" w:color="auto" w:sz="4" w:space="0"/>
            </w:tcBorders>
            <w:vAlign w:val="center"/>
          </w:tcPr>
          <w:p w14:paraId="4F908960">
            <w:pPr>
              <w:spacing w:before="120" w:after="60"/>
              <w:jc w:val="center"/>
              <w:rPr>
                <w:rFonts w:hint="eastAsia" w:ascii="宋体" w:hAnsi="宋体"/>
                <w:szCs w:val="21"/>
              </w:rPr>
            </w:pPr>
            <w:r>
              <w:rPr>
                <w:rFonts w:hint="eastAsia" w:ascii="宋体" w:hAnsi="宋体"/>
                <w:szCs w:val="21"/>
                <w:u w:val="single"/>
              </w:rPr>
              <w:t>投标人在广州交易集团有限公司（广州公共资源交易中心）的企业和人员信息。</w:t>
            </w:r>
          </w:p>
        </w:tc>
        <w:tc>
          <w:tcPr>
            <w:tcW w:w="1287" w:type="dxa"/>
            <w:tcBorders>
              <w:top w:val="single" w:color="auto" w:sz="4" w:space="0"/>
              <w:left w:val="single" w:color="auto" w:sz="4" w:space="0"/>
              <w:bottom w:val="single" w:color="auto" w:sz="4" w:space="0"/>
              <w:right w:val="single" w:color="auto" w:sz="4" w:space="0"/>
            </w:tcBorders>
            <w:vAlign w:val="center"/>
          </w:tcPr>
          <w:p w14:paraId="76F30B27">
            <w:pPr>
              <w:spacing w:before="120" w:after="60"/>
              <w:jc w:val="center"/>
              <w:rPr>
                <w:rFonts w:hint="eastAsia" w:ascii="宋体" w:hAnsi="宋体"/>
                <w:szCs w:val="21"/>
              </w:rPr>
            </w:pPr>
          </w:p>
        </w:tc>
      </w:tr>
      <w:tr w14:paraId="073C7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tcBorders>
              <w:top w:val="single" w:color="auto" w:sz="4" w:space="0"/>
              <w:left w:val="single" w:color="auto" w:sz="4" w:space="0"/>
              <w:bottom w:val="single" w:color="auto" w:sz="4" w:space="0"/>
              <w:right w:val="single" w:color="auto" w:sz="4" w:space="0"/>
            </w:tcBorders>
            <w:vAlign w:val="center"/>
          </w:tcPr>
          <w:p w14:paraId="44161EC8">
            <w:pPr>
              <w:spacing w:before="120" w:after="60"/>
              <w:jc w:val="center"/>
              <w:rPr>
                <w:rFonts w:hint="default" w:ascii="宋体" w:hAnsi="宋体" w:eastAsia="宋体"/>
                <w:szCs w:val="21"/>
                <w:lang w:val="en-US" w:eastAsia="zh-CN"/>
              </w:rPr>
            </w:pPr>
            <w:r>
              <w:rPr>
                <w:rFonts w:hint="eastAsia" w:ascii="宋体" w:hAnsi="宋体"/>
                <w:szCs w:val="21"/>
                <w:lang w:val="en-US" w:eastAsia="zh-CN"/>
              </w:rPr>
              <w:t>11</w:t>
            </w:r>
          </w:p>
        </w:tc>
        <w:tc>
          <w:tcPr>
            <w:tcW w:w="3884" w:type="dxa"/>
            <w:tcBorders>
              <w:top w:val="single" w:color="auto" w:sz="4" w:space="0"/>
              <w:left w:val="single" w:color="auto" w:sz="4" w:space="0"/>
              <w:bottom w:val="single" w:color="auto" w:sz="4" w:space="0"/>
              <w:right w:val="single" w:color="auto" w:sz="4" w:space="0"/>
            </w:tcBorders>
            <w:vAlign w:val="center"/>
          </w:tcPr>
          <w:p w14:paraId="1FA7B5BA">
            <w:pPr>
              <w:spacing w:before="120" w:after="60"/>
              <w:jc w:val="center"/>
              <w:rPr>
                <w:rFonts w:hint="eastAsia" w:ascii="宋体" w:hAnsi="宋体"/>
                <w:szCs w:val="21"/>
              </w:rPr>
            </w:pPr>
            <w:r>
              <w:rPr>
                <w:rFonts w:hint="eastAsia" w:ascii="宋体" w:hAnsi="宋体"/>
                <w:szCs w:val="21"/>
              </w:rPr>
              <w:t>投标人未出现以下情形：与其它投标人的单位负责人为同一人或者存在控股、管理关系的（按投标人提供的《投标人声明》第八条内容进行评审）</w:t>
            </w:r>
          </w:p>
        </w:tc>
        <w:tc>
          <w:tcPr>
            <w:tcW w:w="3294" w:type="dxa"/>
            <w:tcBorders>
              <w:top w:val="single" w:color="auto" w:sz="4" w:space="0"/>
              <w:left w:val="single" w:color="auto" w:sz="4" w:space="0"/>
              <w:bottom w:val="single" w:color="auto" w:sz="4" w:space="0"/>
              <w:right w:val="single" w:color="auto" w:sz="4" w:space="0"/>
            </w:tcBorders>
            <w:vAlign w:val="center"/>
          </w:tcPr>
          <w:p w14:paraId="7FF35697">
            <w:pPr>
              <w:spacing w:before="120" w:after="60"/>
              <w:jc w:val="center"/>
              <w:rPr>
                <w:rFonts w:hint="eastAsia" w:ascii="宋体" w:hAnsi="宋体"/>
                <w:szCs w:val="21"/>
              </w:rPr>
            </w:pPr>
            <w:r>
              <w:rPr>
                <w:rFonts w:hint="eastAsia" w:ascii="宋体" w:hAnsi="宋体"/>
                <w:szCs w:val="21"/>
              </w:rPr>
              <w:t>投标人声明</w:t>
            </w:r>
          </w:p>
        </w:tc>
        <w:tc>
          <w:tcPr>
            <w:tcW w:w="1287" w:type="dxa"/>
            <w:tcBorders>
              <w:top w:val="single" w:color="auto" w:sz="4" w:space="0"/>
              <w:left w:val="single" w:color="auto" w:sz="4" w:space="0"/>
              <w:bottom w:val="single" w:color="auto" w:sz="4" w:space="0"/>
              <w:right w:val="single" w:color="auto" w:sz="4" w:space="0"/>
            </w:tcBorders>
            <w:vAlign w:val="center"/>
          </w:tcPr>
          <w:p w14:paraId="354DDDA3">
            <w:pPr>
              <w:spacing w:before="120" w:after="60"/>
              <w:jc w:val="center"/>
              <w:rPr>
                <w:rFonts w:hint="eastAsia" w:ascii="宋体" w:hAnsi="宋体"/>
                <w:szCs w:val="21"/>
              </w:rPr>
            </w:pPr>
          </w:p>
        </w:tc>
      </w:tr>
      <w:tr w14:paraId="59EAB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tcBorders>
              <w:top w:val="single" w:color="auto" w:sz="4" w:space="0"/>
              <w:left w:val="single" w:color="auto" w:sz="4" w:space="0"/>
              <w:bottom w:val="single" w:color="auto" w:sz="4" w:space="0"/>
              <w:right w:val="single" w:color="auto" w:sz="4" w:space="0"/>
            </w:tcBorders>
            <w:vAlign w:val="center"/>
          </w:tcPr>
          <w:p w14:paraId="359DE6BB">
            <w:pPr>
              <w:spacing w:before="120" w:after="60"/>
              <w:jc w:val="center"/>
              <w:rPr>
                <w:rFonts w:hint="default" w:ascii="宋体" w:hAnsi="宋体" w:eastAsia="宋体"/>
                <w:szCs w:val="21"/>
                <w:lang w:val="en-US" w:eastAsia="zh-CN"/>
              </w:rPr>
            </w:pPr>
            <w:r>
              <w:rPr>
                <w:rFonts w:hint="eastAsia" w:ascii="宋体" w:hAnsi="宋体"/>
                <w:szCs w:val="21"/>
                <w:lang w:val="en-US" w:eastAsia="zh-CN"/>
              </w:rPr>
              <w:t>12</w:t>
            </w:r>
          </w:p>
        </w:tc>
        <w:tc>
          <w:tcPr>
            <w:tcW w:w="3884" w:type="dxa"/>
            <w:tcBorders>
              <w:top w:val="single" w:color="auto" w:sz="4" w:space="0"/>
              <w:left w:val="single" w:color="auto" w:sz="4" w:space="0"/>
              <w:bottom w:val="single" w:color="auto" w:sz="4" w:space="0"/>
              <w:right w:val="single" w:color="auto" w:sz="4" w:space="0"/>
            </w:tcBorders>
            <w:vAlign w:val="center"/>
          </w:tcPr>
          <w:p w14:paraId="05A95B0B">
            <w:pPr>
              <w:spacing w:before="120" w:after="60"/>
              <w:jc w:val="center"/>
              <w:rPr>
                <w:rFonts w:hint="eastAsia" w:ascii="宋体" w:hAnsi="宋体"/>
                <w:szCs w:val="21"/>
              </w:rPr>
            </w:pPr>
            <w:r>
              <w:rPr>
                <w:rFonts w:hint="eastAsia" w:ascii="宋体" w:hAnsi="宋体"/>
                <w:szCs w:val="21"/>
              </w:rPr>
              <w:t>未被列入拖欠农民工工资失信联合惩戒对象名单</w:t>
            </w:r>
          </w:p>
        </w:tc>
        <w:tc>
          <w:tcPr>
            <w:tcW w:w="3294" w:type="dxa"/>
            <w:tcBorders>
              <w:top w:val="single" w:color="auto" w:sz="4" w:space="0"/>
              <w:left w:val="single" w:color="auto" w:sz="4" w:space="0"/>
              <w:bottom w:val="single" w:color="auto" w:sz="4" w:space="0"/>
              <w:right w:val="single" w:color="auto" w:sz="4" w:space="0"/>
            </w:tcBorders>
            <w:vAlign w:val="center"/>
          </w:tcPr>
          <w:p w14:paraId="4D1676EF">
            <w:pPr>
              <w:spacing w:before="120" w:after="60"/>
              <w:jc w:val="center"/>
              <w:rPr>
                <w:rFonts w:hint="eastAsia" w:ascii="宋体" w:hAnsi="宋体"/>
                <w:szCs w:val="21"/>
              </w:rPr>
            </w:pPr>
            <w:r>
              <w:rPr>
                <w:rFonts w:hint="eastAsia" w:ascii="宋体" w:hAnsi="宋体"/>
                <w:szCs w:val="21"/>
              </w:rPr>
              <w:t>投标人无需提供资料，按交易系统比对的结果进行评审</w:t>
            </w:r>
          </w:p>
        </w:tc>
        <w:tc>
          <w:tcPr>
            <w:tcW w:w="1287" w:type="dxa"/>
            <w:tcBorders>
              <w:top w:val="single" w:color="auto" w:sz="4" w:space="0"/>
              <w:left w:val="single" w:color="auto" w:sz="4" w:space="0"/>
              <w:bottom w:val="single" w:color="auto" w:sz="4" w:space="0"/>
              <w:right w:val="single" w:color="auto" w:sz="4" w:space="0"/>
            </w:tcBorders>
            <w:vAlign w:val="center"/>
          </w:tcPr>
          <w:p w14:paraId="71DD82AB">
            <w:pPr>
              <w:spacing w:before="120" w:after="60"/>
              <w:jc w:val="center"/>
              <w:rPr>
                <w:rFonts w:hint="eastAsia" w:ascii="宋体" w:hAnsi="宋体"/>
                <w:szCs w:val="21"/>
              </w:rPr>
            </w:pPr>
          </w:p>
        </w:tc>
      </w:tr>
    </w:tbl>
    <w:p w14:paraId="1D7F4540">
      <w:pPr>
        <w:spacing w:line="480" w:lineRule="auto"/>
        <w:ind w:firstLine="470" w:firstLineChars="224"/>
        <w:rPr>
          <w:rFonts w:hint="eastAsia" w:ascii="宋体" w:hAnsi="宋体"/>
          <w:szCs w:val="21"/>
        </w:rPr>
      </w:pPr>
      <w:r>
        <w:rPr>
          <w:rFonts w:hint="eastAsia" w:ascii="宋体" w:hAnsi="宋体"/>
          <w:szCs w:val="21"/>
        </w:rPr>
        <w:t>备注：</w:t>
      </w:r>
    </w:p>
    <w:p w14:paraId="36906671">
      <w:pPr>
        <w:spacing w:line="480" w:lineRule="auto"/>
        <w:ind w:firstLine="470" w:firstLineChars="224"/>
        <w:rPr>
          <w:rFonts w:hint="eastAsia" w:ascii="宋体" w:hAnsi="宋体"/>
          <w:szCs w:val="21"/>
        </w:rPr>
      </w:pPr>
      <w:r>
        <w:rPr>
          <w:rFonts w:hint="eastAsia" w:ascii="宋体" w:hAnsi="宋体"/>
          <w:szCs w:val="21"/>
        </w:rPr>
        <w:t xml:space="preserve">1、每一项目符合的打“○”，不符合的打“×”； </w:t>
      </w:r>
    </w:p>
    <w:p w14:paraId="5CB6CDBF">
      <w:pPr>
        <w:spacing w:line="480" w:lineRule="auto"/>
        <w:ind w:firstLine="470" w:firstLineChars="224"/>
        <w:rPr>
          <w:rFonts w:hint="eastAsia" w:ascii="宋体" w:hAnsi="宋体"/>
          <w:szCs w:val="21"/>
        </w:rPr>
      </w:pPr>
      <w:r>
        <w:rPr>
          <w:rFonts w:hint="eastAsia" w:ascii="宋体" w:hAnsi="宋体"/>
          <w:szCs w:val="21"/>
        </w:rPr>
        <w:t>2、若评委意见不一致时，则按少数服从多数的原则，作出评审结论。汇总后，出现一个“×”的结论为“不通过”。</w:t>
      </w:r>
    </w:p>
    <w:p w14:paraId="6C000A46">
      <w:pPr>
        <w:spacing w:line="480" w:lineRule="auto"/>
        <w:ind w:firstLine="470" w:firstLineChars="224"/>
        <w:rPr>
          <w:rFonts w:hint="eastAsia" w:ascii="宋体" w:hAnsi="宋体"/>
          <w:szCs w:val="21"/>
        </w:rPr>
      </w:pPr>
      <w:r>
        <w:rPr>
          <w:rFonts w:hint="eastAsia" w:ascii="宋体" w:hAnsi="宋体"/>
          <w:szCs w:val="21"/>
        </w:rPr>
        <w:t>3.不得将文件顺序、明显的格式或文字错误等列为否决投标的情形。评委发现资格审查文件中含义不明确、对同类问题表述不一致、有明显格式或文字、计算错误的，应当要求投标人作必要的澄清、说明后再判定投标人是否通过资格审查，不得直接认定其不通过资格审查。</w:t>
      </w:r>
    </w:p>
    <w:p w14:paraId="56B6E506">
      <w:pPr>
        <w:sectPr>
          <w:headerReference r:id="rId4" w:type="first"/>
          <w:footerReference r:id="rId6" w:type="first"/>
          <w:headerReference r:id="rId3" w:type="default"/>
          <w:footerReference r:id="rId5" w:type="default"/>
          <w:endnotePr>
            <w:numFmt w:val="decimal"/>
          </w:endnotePr>
          <w:pgSz w:w="11906" w:h="16838"/>
          <w:pgMar w:top="1134" w:right="1418" w:bottom="1247" w:left="1418" w:header="851" w:footer="907" w:gutter="0"/>
          <w:pgNumType w:start="1"/>
          <w:cols w:space="425" w:num="1"/>
          <w:titlePg/>
          <w:docGrid w:type="lines" w:linePitch="312" w:charSpace="0"/>
        </w:sectPr>
      </w:pPr>
    </w:p>
    <w:p w14:paraId="392F5564">
      <w:pPr>
        <w:rPr>
          <w:sz w:val="28"/>
          <w:szCs w:val="28"/>
        </w:rPr>
      </w:pPr>
      <w:r>
        <w:rPr>
          <w:rFonts w:hint="eastAsia"/>
          <w:sz w:val="28"/>
          <w:szCs w:val="28"/>
        </w:rPr>
        <w:t>附表二</w:t>
      </w:r>
    </w:p>
    <w:p w14:paraId="67EBB7B1">
      <w:pPr>
        <w:jc w:val="center"/>
        <w:rPr>
          <w:b/>
          <w:sz w:val="36"/>
          <w:szCs w:val="36"/>
        </w:rPr>
      </w:pPr>
      <w:r>
        <w:rPr>
          <w:rFonts w:hint="eastAsia"/>
          <w:b/>
          <w:sz w:val="36"/>
          <w:szCs w:val="36"/>
        </w:rPr>
        <w:t>技术标有效性审查表</w:t>
      </w:r>
    </w:p>
    <w:p w14:paraId="58F2DD63">
      <w:pPr>
        <w:rPr>
          <w:szCs w:val="21"/>
        </w:rPr>
      </w:pPr>
      <w:r>
        <w:rPr>
          <w:rFonts w:hint="eastAsia"/>
          <w:szCs w:val="21"/>
        </w:rPr>
        <w:t>工程名称：</w:t>
      </w:r>
    </w:p>
    <w:tbl>
      <w:tblPr>
        <w:tblStyle w:val="37"/>
        <w:tblW w:w="139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1"/>
        <w:gridCol w:w="6243"/>
        <w:gridCol w:w="1483"/>
        <w:gridCol w:w="1434"/>
        <w:gridCol w:w="1400"/>
        <w:gridCol w:w="1483"/>
        <w:gridCol w:w="1399"/>
      </w:tblGrid>
      <w:tr w14:paraId="54751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31" w:type="dxa"/>
            <w:tcBorders>
              <w:top w:val="single" w:color="auto" w:sz="4" w:space="0"/>
              <w:left w:val="single" w:color="auto" w:sz="4" w:space="0"/>
              <w:bottom w:val="single" w:color="auto" w:sz="4" w:space="0"/>
              <w:right w:val="single" w:color="auto" w:sz="4" w:space="0"/>
            </w:tcBorders>
            <w:vAlign w:val="center"/>
          </w:tcPr>
          <w:p w14:paraId="782401DE">
            <w:pPr>
              <w:adjustRightInd w:val="0"/>
              <w:rPr>
                <w:rFonts w:hint="eastAsia" w:ascii="宋体" w:hAnsi="宋体"/>
                <w:szCs w:val="21"/>
              </w:rPr>
            </w:pPr>
            <w:r>
              <w:rPr>
                <w:rFonts w:hint="eastAsia" w:ascii="宋体" w:hAnsi="宋体"/>
                <w:szCs w:val="21"/>
              </w:rPr>
              <w:t>序号</w:t>
            </w:r>
          </w:p>
        </w:tc>
        <w:tc>
          <w:tcPr>
            <w:tcW w:w="6243" w:type="dxa"/>
            <w:tcBorders>
              <w:top w:val="single" w:color="auto" w:sz="4" w:space="0"/>
              <w:left w:val="single" w:color="auto" w:sz="4" w:space="0"/>
              <w:bottom w:val="single" w:color="auto" w:sz="4" w:space="0"/>
              <w:right w:val="single" w:color="auto" w:sz="4" w:space="0"/>
              <w:tl2br w:val="single" w:color="auto" w:sz="4" w:space="0"/>
            </w:tcBorders>
          </w:tcPr>
          <w:p w14:paraId="186898DD">
            <w:pPr>
              <w:adjustRightInd w:val="0"/>
              <w:jc w:val="right"/>
              <w:rPr>
                <w:rFonts w:hint="eastAsia" w:ascii="宋体" w:hAnsi="宋体"/>
                <w:szCs w:val="21"/>
              </w:rPr>
            </w:pPr>
            <w:r>
              <w:rPr>
                <w:rFonts w:ascii="宋体" w:hAnsi="宋体"/>
                <w:szCs w:val="21"/>
              </w:rPr>
              <w:t xml:space="preserve">               </w:t>
            </w:r>
            <w:r>
              <w:rPr>
                <w:rFonts w:hint="eastAsia" w:ascii="宋体" w:hAnsi="宋体"/>
                <w:szCs w:val="21"/>
              </w:rPr>
              <w:t>投标人</w:t>
            </w:r>
          </w:p>
          <w:p w14:paraId="7FBD0975">
            <w:pPr>
              <w:adjustRightInd w:val="0"/>
              <w:rPr>
                <w:rFonts w:hint="eastAsia" w:ascii="宋体" w:hAnsi="宋体"/>
                <w:szCs w:val="21"/>
              </w:rPr>
            </w:pPr>
            <w:r>
              <w:rPr>
                <w:rFonts w:hint="eastAsia" w:ascii="宋体" w:hAnsi="宋体"/>
                <w:szCs w:val="21"/>
              </w:rPr>
              <w:t>评审内容</w:t>
            </w:r>
          </w:p>
        </w:tc>
        <w:tc>
          <w:tcPr>
            <w:tcW w:w="1483" w:type="dxa"/>
            <w:tcBorders>
              <w:top w:val="single" w:color="auto" w:sz="4" w:space="0"/>
              <w:left w:val="single" w:color="auto" w:sz="4" w:space="0"/>
              <w:bottom w:val="single" w:color="auto" w:sz="4" w:space="0"/>
              <w:right w:val="single" w:color="auto" w:sz="4" w:space="0"/>
            </w:tcBorders>
          </w:tcPr>
          <w:p w14:paraId="1220D008">
            <w:pPr>
              <w:adjustRightInd w:val="0"/>
              <w:rPr>
                <w:rFonts w:hint="eastAsia" w:ascii="宋体" w:hAnsi="宋体"/>
                <w:szCs w:val="21"/>
              </w:rPr>
            </w:pPr>
          </w:p>
        </w:tc>
        <w:tc>
          <w:tcPr>
            <w:tcW w:w="1434" w:type="dxa"/>
            <w:tcBorders>
              <w:top w:val="single" w:color="auto" w:sz="4" w:space="0"/>
              <w:left w:val="single" w:color="auto" w:sz="4" w:space="0"/>
              <w:bottom w:val="single" w:color="auto" w:sz="4" w:space="0"/>
              <w:right w:val="single" w:color="auto" w:sz="4" w:space="0"/>
            </w:tcBorders>
          </w:tcPr>
          <w:p w14:paraId="0FD98692">
            <w:pPr>
              <w:adjustRightInd w:val="0"/>
              <w:rPr>
                <w:rFonts w:hint="eastAsia" w:ascii="宋体" w:hAnsi="宋体"/>
                <w:szCs w:val="21"/>
              </w:rPr>
            </w:pPr>
          </w:p>
        </w:tc>
        <w:tc>
          <w:tcPr>
            <w:tcW w:w="1400" w:type="dxa"/>
            <w:tcBorders>
              <w:top w:val="single" w:color="auto" w:sz="4" w:space="0"/>
              <w:left w:val="single" w:color="auto" w:sz="4" w:space="0"/>
              <w:bottom w:val="single" w:color="auto" w:sz="4" w:space="0"/>
              <w:right w:val="single" w:color="auto" w:sz="4" w:space="0"/>
            </w:tcBorders>
          </w:tcPr>
          <w:p w14:paraId="270C4357">
            <w:pPr>
              <w:adjustRightInd w:val="0"/>
              <w:rPr>
                <w:rFonts w:hint="eastAsia" w:ascii="宋体" w:hAnsi="宋体"/>
                <w:szCs w:val="21"/>
              </w:rPr>
            </w:pPr>
          </w:p>
        </w:tc>
        <w:tc>
          <w:tcPr>
            <w:tcW w:w="1483" w:type="dxa"/>
            <w:tcBorders>
              <w:top w:val="single" w:color="auto" w:sz="4" w:space="0"/>
              <w:left w:val="single" w:color="auto" w:sz="4" w:space="0"/>
              <w:bottom w:val="single" w:color="auto" w:sz="4" w:space="0"/>
              <w:right w:val="single" w:color="auto" w:sz="4" w:space="0"/>
            </w:tcBorders>
          </w:tcPr>
          <w:p w14:paraId="1C803234">
            <w:pPr>
              <w:adjustRightInd w:val="0"/>
              <w:rPr>
                <w:rFonts w:hint="eastAsia" w:ascii="宋体" w:hAnsi="宋体"/>
                <w:szCs w:val="21"/>
              </w:rPr>
            </w:pPr>
          </w:p>
        </w:tc>
        <w:tc>
          <w:tcPr>
            <w:tcW w:w="1399" w:type="dxa"/>
            <w:tcBorders>
              <w:top w:val="single" w:color="auto" w:sz="4" w:space="0"/>
              <w:left w:val="single" w:color="auto" w:sz="4" w:space="0"/>
              <w:bottom w:val="single" w:color="auto" w:sz="4" w:space="0"/>
              <w:right w:val="single" w:color="auto" w:sz="4" w:space="0"/>
            </w:tcBorders>
          </w:tcPr>
          <w:p w14:paraId="7D12C74F">
            <w:pPr>
              <w:adjustRightInd w:val="0"/>
              <w:rPr>
                <w:rFonts w:hint="eastAsia" w:ascii="宋体" w:hAnsi="宋体"/>
                <w:szCs w:val="21"/>
              </w:rPr>
            </w:pPr>
          </w:p>
        </w:tc>
      </w:tr>
      <w:tr w14:paraId="57AB5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14:paraId="2B82F999">
            <w:pPr>
              <w:adjustRightInd w:val="0"/>
              <w:rPr>
                <w:rFonts w:hint="eastAsia" w:ascii="宋体" w:hAnsi="宋体"/>
                <w:szCs w:val="21"/>
              </w:rPr>
            </w:pPr>
            <w:r>
              <w:rPr>
                <w:rFonts w:hint="eastAsia" w:ascii="宋体" w:hAnsi="宋体"/>
                <w:szCs w:val="21"/>
              </w:rPr>
              <w:t>1</w:t>
            </w:r>
          </w:p>
        </w:tc>
        <w:tc>
          <w:tcPr>
            <w:tcW w:w="6243" w:type="dxa"/>
            <w:tcBorders>
              <w:top w:val="single" w:color="auto" w:sz="4" w:space="0"/>
              <w:left w:val="single" w:color="auto" w:sz="4" w:space="0"/>
              <w:bottom w:val="single" w:color="auto" w:sz="4" w:space="0"/>
              <w:right w:val="single" w:color="auto" w:sz="4" w:space="0"/>
            </w:tcBorders>
            <w:vAlign w:val="center"/>
          </w:tcPr>
          <w:p w14:paraId="5AAE390C">
            <w:pPr>
              <w:adjustRightInd w:val="0"/>
              <w:rPr>
                <w:rFonts w:hint="eastAsia" w:ascii="宋体" w:hAnsi="宋体"/>
                <w:szCs w:val="21"/>
              </w:rPr>
            </w:pPr>
            <w:r>
              <w:rPr>
                <w:rFonts w:hint="eastAsia" w:ascii="宋体" w:hAnsi="宋体" w:cs="宋体"/>
                <w:szCs w:val="21"/>
                <w:u w:val="single"/>
              </w:rPr>
              <w:t>《广州建设工程施工招标投标书》中的投标总工期不符合招标文件要求的；</w:t>
            </w:r>
          </w:p>
        </w:tc>
        <w:tc>
          <w:tcPr>
            <w:tcW w:w="1483" w:type="dxa"/>
            <w:tcBorders>
              <w:top w:val="single" w:color="auto" w:sz="4" w:space="0"/>
              <w:left w:val="single" w:color="auto" w:sz="4" w:space="0"/>
              <w:bottom w:val="single" w:color="auto" w:sz="4" w:space="0"/>
              <w:right w:val="single" w:color="auto" w:sz="4" w:space="0"/>
            </w:tcBorders>
          </w:tcPr>
          <w:p w14:paraId="68CF72B9">
            <w:pPr>
              <w:adjustRightInd w:val="0"/>
              <w:rPr>
                <w:rFonts w:hint="eastAsia" w:ascii="宋体" w:hAnsi="宋体"/>
                <w:szCs w:val="21"/>
              </w:rPr>
            </w:pPr>
          </w:p>
        </w:tc>
        <w:tc>
          <w:tcPr>
            <w:tcW w:w="1434" w:type="dxa"/>
            <w:tcBorders>
              <w:top w:val="single" w:color="auto" w:sz="4" w:space="0"/>
              <w:left w:val="single" w:color="auto" w:sz="4" w:space="0"/>
              <w:bottom w:val="single" w:color="auto" w:sz="4" w:space="0"/>
              <w:right w:val="single" w:color="auto" w:sz="4" w:space="0"/>
            </w:tcBorders>
          </w:tcPr>
          <w:p w14:paraId="79711C96">
            <w:pPr>
              <w:adjustRightInd w:val="0"/>
              <w:rPr>
                <w:rFonts w:hint="eastAsia" w:ascii="宋体" w:hAnsi="宋体"/>
                <w:szCs w:val="21"/>
              </w:rPr>
            </w:pPr>
          </w:p>
        </w:tc>
        <w:tc>
          <w:tcPr>
            <w:tcW w:w="1400" w:type="dxa"/>
            <w:tcBorders>
              <w:top w:val="single" w:color="auto" w:sz="4" w:space="0"/>
              <w:left w:val="single" w:color="auto" w:sz="4" w:space="0"/>
              <w:bottom w:val="single" w:color="auto" w:sz="4" w:space="0"/>
              <w:right w:val="single" w:color="auto" w:sz="4" w:space="0"/>
            </w:tcBorders>
          </w:tcPr>
          <w:p w14:paraId="0362B097">
            <w:pPr>
              <w:adjustRightInd w:val="0"/>
              <w:rPr>
                <w:rFonts w:hint="eastAsia" w:ascii="宋体" w:hAnsi="宋体"/>
                <w:szCs w:val="21"/>
              </w:rPr>
            </w:pPr>
          </w:p>
        </w:tc>
        <w:tc>
          <w:tcPr>
            <w:tcW w:w="1483" w:type="dxa"/>
            <w:tcBorders>
              <w:top w:val="single" w:color="auto" w:sz="4" w:space="0"/>
              <w:left w:val="single" w:color="auto" w:sz="4" w:space="0"/>
              <w:bottom w:val="single" w:color="auto" w:sz="4" w:space="0"/>
              <w:right w:val="single" w:color="auto" w:sz="4" w:space="0"/>
            </w:tcBorders>
          </w:tcPr>
          <w:p w14:paraId="7C1D3B56">
            <w:pPr>
              <w:adjustRightInd w:val="0"/>
              <w:rPr>
                <w:rFonts w:hint="eastAsia" w:ascii="宋体" w:hAnsi="宋体"/>
                <w:szCs w:val="21"/>
              </w:rPr>
            </w:pPr>
          </w:p>
        </w:tc>
        <w:tc>
          <w:tcPr>
            <w:tcW w:w="1399" w:type="dxa"/>
            <w:tcBorders>
              <w:top w:val="single" w:color="auto" w:sz="4" w:space="0"/>
              <w:left w:val="single" w:color="auto" w:sz="4" w:space="0"/>
              <w:bottom w:val="single" w:color="auto" w:sz="4" w:space="0"/>
              <w:right w:val="single" w:color="auto" w:sz="4" w:space="0"/>
            </w:tcBorders>
          </w:tcPr>
          <w:p w14:paraId="087A5213">
            <w:pPr>
              <w:adjustRightInd w:val="0"/>
              <w:rPr>
                <w:rFonts w:hint="eastAsia" w:ascii="宋体" w:hAnsi="宋体"/>
                <w:szCs w:val="21"/>
              </w:rPr>
            </w:pPr>
          </w:p>
        </w:tc>
      </w:tr>
      <w:tr w14:paraId="32A11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14:paraId="627120AB">
            <w:pPr>
              <w:adjustRightInd w:val="0"/>
              <w:rPr>
                <w:rFonts w:hint="eastAsia" w:ascii="宋体" w:hAnsi="宋体"/>
                <w:szCs w:val="21"/>
              </w:rPr>
            </w:pPr>
            <w:r>
              <w:rPr>
                <w:rFonts w:hint="eastAsia" w:ascii="宋体" w:hAnsi="宋体"/>
                <w:szCs w:val="21"/>
              </w:rPr>
              <w:t>2</w:t>
            </w:r>
          </w:p>
        </w:tc>
        <w:tc>
          <w:tcPr>
            <w:tcW w:w="6243" w:type="dxa"/>
            <w:tcBorders>
              <w:top w:val="single" w:color="auto" w:sz="4" w:space="0"/>
              <w:left w:val="single" w:color="auto" w:sz="4" w:space="0"/>
              <w:bottom w:val="single" w:color="auto" w:sz="4" w:space="0"/>
              <w:right w:val="single" w:color="auto" w:sz="4" w:space="0"/>
            </w:tcBorders>
            <w:vAlign w:val="center"/>
          </w:tcPr>
          <w:p w14:paraId="28FF2A99">
            <w:pPr>
              <w:adjustRightInd w:val="0"/>
              <w:rPr>
                <w:rFonts w:hint="eastAsia" w:ascii="宋体" w:hAnsi="宋体"/>
                <w:szCs w:val="21"/>
              </w:rPr>
            </w:pPr>
            <w:r>
              <w:rPr>
                <w:rFonts w:hint="eastAsia" w:ascii="宋体" w:hAnsi="宋体" w:cs="宋体"/>
                <w:szCs w:val="21"/>
                <w:u w:val="single"/>
              </w:rPr>
              <w:t>《广州建设工程施工招标投标书》中的工程质量标准不符合招标文件要求的；</w:t>
            </w:r>
          </w:p>
        </w:tc>
        <w:tc>
          <w:tcPr>
            <w:tcW w:w="1483" w:type="dxa"/>
            <w:tcBorders>
              <w:top w:val="single" w:color="auto" w:sz="4" w:space="0"/>
              <w:left w:val="single" w:color="auto" w:sz="4" w:space="0"/>
              <w:bottom w:val="single" w:color="auto" w:sz="4" w:space="0"/>
              <w:right w:val="single" w:color="auto" w:sz="4" w:space="0"/>
            </w:tcBorders>
          </w:tcPr>
          <w:p w14:paraId="6011E754">
            <w:pPr>
              <w:adjustRightInd w:val="0"/>
              <w:rPr>
                <w:rFonts w:hint="eastAsia" w:ascii="宋体" w:hAnsi="宋体"/>
                <w:szCs w:val="21"/>
              </w:rPr>
            </w:pPr>
          </w:p>
        </w:tc>
        <w:tc>
          <w:tcPr>
            <w:tcW w:w="1434" w:type="dxa"/>
            <w:tcBorders>
              <w:top w:val="single" w:color="auto" w:sz="4" w:space="0"/>
              <w:left w:val="single" w:color="auto" w:sz="4" w:space="0"/>
              <w:bottom w:val="single" w:color="auto" w:sz="4" w:space="0"/>
              <w:right w:val="single" w:color="auto" w:sz="4" w:space="0"/>
            </w:tcBorders>
          </w:tcPr>
          <w:p w14:paraId="29E460C0">
            <w:pPr>
              <w:adjustRightInd w:val="0"/>
              <w:rPr>
                <w:rFonts w:hint="eastAsia" w:ascii="宋体" w:hAnsi="宋体"/>
                <w:szCs w:val="21"/>
              </w:rPr>
            </w:pPr>
          </w:p>
        </w:tc>
        <w:tc>
          <w:tcPr>
            <w:tcW w:w="1400" w:type="dxa"/>
            <w:tcBorders>
              <w:top w:val="single" w:color="auto" w:sz="4" w:space="0"/>
              <w:left w:val="single" w:color="auto" w:sz="4" w:space="0"/>
              <w:bottom w:val="single" w:color="auto" w:sz="4" w:space="0"/>
              <w:right w:val="single" w:color="auto" w:sz="4" w:space="0"/>
            </w:tcBorders>
          </w:tcPr>
          <w:p w14:paraId="39607A6B">
            <w:pPr>
              <w:adjustRightInd w:val="0"/>
              <w:rPr>
                <w:rFonts w:hint="eastAsia" w:ascii="宋体" w:hAnsi="宋体"/>
                <w:szCs w:val="21"/>
              </w:rPr>
            </w:pPr>
          </w:p>
        </w:tc>
        <w:tc>
          <w:tcPr>
            <w:tcW w:w="1483" w:type="dxa"/>
            <w:tcBorders>
              <w:top w:val="single" w:color="auto" w:sz="4" w:space="0"/>
              <w:left w:val="single" w:color="auto" w:sz="4" w:space="0"/>
              <w:bottom w:val="single" w:color="auto" w:sz="4" w:space="0"/>
              <w:right w:val="single" w:color="auto" w:sz="4" w:space="0"/>
            </w:tcBorders>
          </w:tcPr>
          <w:p w14:paraId="45453E73">
            <w:pPr>
              <w:adjustRightInd w:val="0"/>
              <w:rPr>
                <w:rFonts w:hint="eastAsia" w:ascii="宋体" w:hAnsi="宋体"/>
                <w:szCs w:val="21"/>
              </w:rPr>
            </w:pPr>
          </w:p>
        </w:tc>
        <w:tc>
          <w:tcPr>
            <w:tcW w:w="1399" w:type="dxa"/>
            <w:tcBorders>
              <w:top w:val="single" w:color="auto" w:sz="4" w:space="0"/>
              <w:left w:val="single" w:color="auto" w:sz="4" w:space="0"/>
              <w:bottom w:val="single" w:color="auto" w:sz="4" w:space="0"/>
              <w:right w:val="single" w:color="auto" w:sz="4" w:space="0"/>
            </w:tcBorders>
          </w:tcPr>
          <w:p w14:paraId="0C79AAFB">
            <w:pPr>
              <w:adjustRightInd w:val="0"/>
              <w:rPr>
                <w:rFonts w:hint="eastAsia" w:ascii="宋体" w:hAnsi="宋体"/>
                <w:szCs w:val="21"/>
              </w:rPr>
            </w:pPr>
          </w:p>
        </w:tc>
      </w:tr>
      <w:tr w14:paraId="4531F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14:paraId="68782D83">
            <w:pPr>
              <w:adjustRightInd w:val="0"/>
              <w:rPr>
                <w:rFonts w:hint="eastAsia" w:ascii="宋体" w:hAnsi="宋体"/>
                <w:szCs w:val="21"/>
              </w:rPr>
            </w:pPr>
            <w:r>
              <w:rPr>
                <w:rFonts w:hint="eastAsia" w:ascii="宋体" w:hAnsi="宋体"/>
                <w:szCs w:val="21"/>
              </w:rPr>
              <w:t>3</w:t>
            </w:r>
          </w:p>
        </w:tc>
        <w:tc>
          <w:tcPr>
            <w:tcW w:w="6243" w:type="dxa"/>
            <w:tcBorders>
              <w:top w:val="single" w:color="auto" w:sz="4" w:space="0"/>
              <w:left w:val="single" w:color="auto" w:sz="4" w:space="0"/>
              <w:bottom w:val="single" w:color="auto" w:sz="4" w:space="0"/>
              <w:right w:val="single" w:color="auto" w:sz="4" w:space="0"/>
            </w:tcBorders>
            <w:vAlign w:val="center"/>
          </w:tcPr>
          <w:p w14:paraId="6576EF40">
            <w:pPr>
              <w:adjustRightInd w:val="0"/>
              <w:rPr>
                <w:rFonts w:hint="eastAsia" w:ascii="宋体" w:hAnsi="宋体"/>
                <w:szCs w:val="21"/>
              </w:rPr>
            </w:pPr>
            <w:r>
              <w:rPr>
                <w:rFonts w:hint="eastAsia" w:ascii="宋体" w:hAnsi="宋体" w:cs="宋体"/>
                <w:szCs w:val="21"/>
              </w:rPr>
              <w:t>投标文件中没有有效的法定代表人证明书，或由委托代理人</w:t>
            </w:r>
            <w:r>
              <w:rPr>
                <w:rFonts w:hint="eastAsia" w:ascii="宋体" w:hAnsi="宋体" w:cs="宋体"/>
                <w:szCs w:val="21"/>
                <w:u w:val="single"/>
              </w:rPr>
              <w:t>签字或盖章</w:t>
            </w:r>
            <w:r>
              <w:rPr>
                <w:rFonts w:hint="eastAsia" w:ascii="宋体" w:hAnsi="宋体" w:cs="宋体"/>
                <w:szCs w:val="21"/>
              </w:rPr>
              <w:t>的投标文件中没有法定代表人授权书；</w:t>
            </w:r>
          </w:p>
        </w:tc>
        <w:tc>
          <w:tcPr>
            <w:tcW w:w="1483" w:type="dxa"/>
            <w:tcBorders>
              <w:top w:val="single" w:color="auto" w:sz="4" w:space="0"/>
              <w:left w:val="single" w:color="auto" w:sz="4" w:space="0"/>
              <w:bottom w:val="single" w:color="auto" w:sz="4" w:space="0"/>
              <w:right w:val="single" w:color="auto" w:sz="4" w:space="0"/>
            </w:tcBorders>
          </w:tcPr>
          <w:p w14:paraId="1EC56356">
            <w:pPr>
              <w:adjustRightInd w:val="0"/>
              <w:rPr>
                <w:rFonts w:hint="eastAsia" w:ascii="宋体" w:hAnsi="宋体"/>
                <w:szCs w:val="21"/>
              </w:rPr>
            </w:pPr>
          </w:p>
        </w:tc>
        <w:tc>
          <w:tcPr>
            <w:tcW w:w="1434" w:type="dxa"/>
            <w:tcBorders>
              <w:top w:val="single" w:color="auto" w:sz="4" w:space="0"/>
              <w:left w:val="single" w:color="auto" w:sz="4" w:space="0"/>
              <w:bottom w:val="single" w:color="auto" w:sz="4" w:space="0"/>
              <w:right w:val="single" w:color="auto" w:sz="4" w:space="0"/>
            </w:tcBorders>
          </w:tcPr>
          <w:p w14:paraId="1580A21A">
            <w:pPr>
              <w:adjustRightInd w:val="0"/>
              <w:rPr>
                <w:rFonts w:hint="eastAsia" w:ascii="宋体" w:hAnsi="宋体"/>
                <w:szCs w:val="21"/>
              </w:rPr>
            </w:pPr>
          </w:p>
        </w:tc>
        <w:tc>
          <w:tcPr>
            <w:tcW w:w="1400" w:type="dxa"/>
            <w:tcBorders>
              <w:top w:val="single" w:color="auto" w:sz="4" w:space="0"/>
              <w:left w:val="single" w:color="auto" w:sz="4" w:space="0"/>
              <w:bottom w:val="single" w:color="auto" w:sz="4" w:space="0"/>
              <w:right w:val="single" w:color="auto" w:sz="4" w:space="0"/>
            </w:tcBorders>
          </w:tcPr>
          <w:p w14:paraId="02D77A58">
            <w:pPr>
              <w:adjustRightInd w:val="0"/>
              <w:rPr>
                <w:rFonts w:hint="eastAsia" w:ascii="宋体" w:hAnsi="宋体"/>
                <w:szCs w:val="21"/>
              </w:rPr>
            </w:pPr>
          </w:p>
        </w:tc>
        <w:tc>
          <w:tcPr>
            <w:tcW w:w="1483" w:type="dxa"/>
            <w:tcBorders>
              <w:top w:val="single" w:color="auto" w:sz="4" w:space="0"/>
              <w:left w:val="single" w:color="auto" w:sz="4" w:space="0"/>
              <w:bottom w:val="single" w:color="auto" w:sz="4" w:space="0"/>
              <w:right w:val="single" w:color="auto" w:sz="4" w:space="0"/>
            </w:tcBorders>
          </w:tcPr>
          <w:p w14:paraId="1F7D2C9B">
            <w:pPr>
              <w:adjustRightInd w:val="0"/>
              <w:rPr>
                <w:rFonts w:hint="eastAsia" w:ascii="宋体" w:hAnsi="宋体"/>
                <w:szCs w:val="21"/>
              </w:rPr>
            </w:pPr>
          </w:p>
        </w:tc>
        <w:tc>
          <w:tcPr>
            <w:tcW w:w="1399" w:type="dxa"/>
            <w:tcBorders>
              <w:top w:val="single" w:color="auto" w:sz="4" w:space="0"/>
              <w:left w:val="single" w:color="auto" w:sz="4" w:space="0"/>
              <w:bottom w:val="single" w:color="auto" w:sz="4" w:space="0"/>
              <w:right w:val="single" w:color="auto" w:sz="4" w:space="0"/>
            </w:tcBorders>
          </w:tcPr>
          <w:p w14:paraId="2024F75A">
            <w:pPr>
              <w:adjustRightInd w:val="0"/>
              <w:rPr>
                <w:rFonts w:hint="eastAsia" w:ascii="宋体" w:hAnsi="宋体"/>
                <w:szCs w:val="21"/>
              </w:rPr>
            </w:pPr>
          </w:p>
        </w:tc>
      </w:tr>
      <w:tr w14:paraId="06C6D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14:paraId="289BD733">
            <w:pPr>
              <w:adjustRightInd w:val="0"/>
              <w:rPr>
                <w:rFonts w:hint="eastAsia" w:ascii="宋体" w:hAnsi="宋体"/>
                <w:szCs w:val="21"/>
              </w:rPr>
            </w:pPr>
            <w:r>
              <w:rPr>
                <w:rFonts w:hint="eastAsia" w:ascii="宋体" w:hAnsi="宋体"/>
                <w:szCs w:val="21"/>
              </w:rPr>
              <w:t>4</w:t>
            </w:r>
          </w:p>
        </w:tc>
        <w:tc>
          <w:tcPr>
            <w:tcW w:w="6243" w:type="dxa"/>
            <w:tcBorders>
              <w:top w:val="single" w:color="auto" w:sz="4" w:space="0"/>
              <w:left w:val="single" w:color="auto" w:sz="4" w:space="0"/>
              <w:bottom w:val="single" w:color="auto" w:sz="4" w:space="0"/>
              <w:right w:val="single" w:color="auto" w:sz="4" w:space="0"/>
            </w:tcBorders>
            <w:vAlign w:val="center"/>
          </w:tcPr>
          <w:p w14:paraId="7D9B85A8">
            <w:pPr>
              <w:adjustRightInd w:val="0"/>
              <w:rPr>
                <w:rFonts w:hint="eastAsia" w:ascii="宋体" w:hAnsi="宋体"/>
                <w:szCs w:val="21"/>
              </w:rPr>
            </w:pPr>
            <w:r>
              <w:rPr>
                <w:rFonts w:hint="eastAsia" w:ascii="宋体" w:hAnsi="宋体" w:cs="宋体"/>
                <w:szCs w:val="21"/>
              </w:rPr>
              <w:t>投标文件未按规定的格式</w:t>
            </w:r>
            <w:r>
              <w:rPr>
                <w:rFonts w:hint="eastAsia" w:ascii="宋体" w:hAnsi="宋体" w:cs="宋体"/>
                <w:szCs w:val="21"/>
                <w:u w:val="single"/>
              </w:rPr>
              <w:t>（指格式一：广州建设工程施工招标投标书）</w:t>
            </w:r>
            <w:r>
              <w:rPr>
                <w:rFonts w:hint="eastAsia" w:ascii="宋体" w:hAnsi="宋体" w:cs="宋体"/>
                <w:szCs w:val="21"/>
              </w:rPr>
              <w:t>填写，或主要内容不全，或关键字迹模糊、无法辨认的；</w:t>
            </w:r>
          </w:p>
        </w:tc>
        <w:tc>
          <w:tcPr>
            <w:tcW w:w="1483" w:type="dxa"/>
            <w:tcBorders>
              <w:top w:val="single" w:color="auto" w:sz="4" w:space="0"/>
              <w:left w:val="single" w:color="auto" w:sz="4" w:space="0"/>
              <w:bottom w:val="single" w:color="auto" w:sz="4" w:space="0"/>
              <w:right w:val="single" w:color="auto" w:sz="4" w:space="0"/>
            </w:tcBorders>
          </w:tcPr>
          <w:p w14:paraId="52637ED5">
            <w:pPr>
              <w:adjustRightInd w:val="0"/>
              <w:rPr>
                <w:rFonts w:hint="eastAsia" w:ascii="宋体" w:hAnsi="宋体"/>
                <w:szCs w:val="21"/>
              </w:rPr>
            </w:pPr>
          </w:p>
        </w:tc>
        <w:tc>
          <w:tcPr>
            <w:tcW w:w="1434" w:type="dxa"/>
            <w:tcBorders>
              <w:top w:val="single" w:color="auto" w:sz="4" w:space="0"/>
              <w:left w:val="single" w:color="auto" w:sz="4" w:space="0"/>
              <w:bottom w:val="single" w:color="auto" w:sz="4" w:space="0"/>
              <w:right w:val="single" w:color="auto" w:sz="4" w:space="0"/>
            </w:tcBorders>
          </w:tcPr>
          <w:p w14:paraId="4E059482">
            <w:pPr>
              <w:adjustRightInd w:val="0"/>
              <w:rPr>
                <w:rFonts w:hint="eastAsia" w:ascii="宋体" w:hAnsi="宋体"/>
                <w:szCs w:val="21"/>
              </w:rPr>
            </w:pPr>
          </w:p>
        </w:tc>
        <w:tc>
          <w:tcPr>
            <w:tcW w:w="1400" w:type="dxa"/>
            <w:tcBorders>
              <w:top w:val="single" w:color="auto" w:sz="4" w:space="0"/>
              <w:left w:val="single" w:color="auto" w:sz="4" w:space="0"/>
              <w:bottom w:val="single" w:color="auto" w:sz="4" w:space="0"/>
              <w:right w:val="single" w:color="auto" w:sz="4" w:space="0"/>
            </w:tcBorders>
          </w:tcPr>
          <w:p w14:paraId="471F24FB">
            <w:pPr>
              <w:adjustRightInd w:val="0"/>
              <w:rPr>
                <w:rFonts w:hint="eastAsia" w:ascii="宋体" w:hAnsi="宋体"/>
                <w:szCs w:val="21"/>
              </w:rPr>
            </w:pPr>
          </w:p>
        </w:tc>
        <w:tc>
          <w:tcPr>
            <w:tcW w:w="1483" w:type="dxa"/>
            <w:tcBorders>
              <w:top w:val="single" w:color="auto" w:sz="4" w:space="0"/>
              <w:left w:val="single" w:color="auto" w:sz="4" w:space="0"/>
              <w:bottom w:val="single" w:color="auto" w:sz="4" w:space="0"/>
              <w:right w:val="single" w:color="auto" w:sz="4" w:space="0"/>
            </w:tcBorders>
          </w:tcPr>
          <w:p w14:paraId="10DA7E4A">
            <w:pPr>
              <w:adjustRightInd w:val="0"/>
              <w:rPr>
                <w:rFonts w:hint="eastAsia" w:ascii="宋体" w:hAnsi="宋体"/>
                <w:szCs w:val="21"/>
              </w:rPr>
            </w:pPr>
          </w:p>
        </w:tc>
        <w:tc>
          <w:tcPr>
            <w:tcW w:w="1399" w:type="dxa"/>
            <w:tcBorders>
              <w:top w:val="single" w:color="auto" w:sz="4" w:space="0"/>
              <w:left w:val="single" w:color="auto" w:sz="4" w:space="0"/>
              <w:bottom w:val="single" w:color="auto" w:sz="4" w:space="0"/>
              <w:right w:val="single" w:color="auto" w:sz="4" w:space="0"/>
            </w:tcBorders>
          </w:tcPr>
          <w:p w14:paraId="292B8CD7">
            <w:pPr>
              <w:adjustRightInd w:val="0"/>
              <w:rPr>
                <w:rFonts w:hint="eastAsia" w:ascii="宋体" w:hAnsi="宋体"/>
                <w:szCs w:val="21"/>
              </w:rPr>
            </w:pPr>
          </w:p>
        </w:tc>
      </w:tr>
      <w:tr w14:paraId="05B3E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14:paraId="14536040">
            <w:pPr>
              <w:adjustRightInd w:val="0"/>
              <w:rPr>
                <w:rFonts w:hint="eastAsia" w:ascii="宋体" w:hAnsi="宋体"/>
                <w:szCs w:val="21"/>
              </w:rPr>
            </w:pPr>
            <w:r>
              <w:rPr>
                <w:rFonts w:ascii="宋体" w:hAnsi="宋体"/>
                <w:szCs w:val="21"/>
              </w:rPr>
              <w:t>5</w:t>
            </w:r>
          </w:p>
        </w:tc>
        <w:tc>
          <w:tcPr>
            <w:tcW w:w="6243" w:type="dxa"/>
            <w:tcBorders>
              <w:top w:val="single" w:color="auto" w:sz="4" w:space="0"/>
              <w:left w:val="single" w:color="auto" w:sz="4" w:space="0"/>
              <w:bottom w:val="single" w:color="auto" w:sz="4" w:space="0"/>
              <w:right w:val="single" w:color="auto" w:sz="4" w:space="0"/>
            </w:tcBorders>
            <w:vAlign w:val="center"/>
          </w:tcPr>
          <w:p w14:paraId="5DA033DE">
            <w:pPr>
              <w:adjustRightInd w:val="0"/>
              <w:rPr>
                <w:rFonts w:hint="eastAsia" w:ascii="宋体" w:hAnsi="宋体"/>
                <w:szCs w:val="21"/>
              </w:rPr>
            </w:pPr>
            <w:r>
              <w:rPr>
                <w:rFonts w:hint="eastAsia" w:ascii="宋体" w:hAnsi="宋体"/>
                <w:szCs w:val="21"/>
              </w:rPr>
              <w:t>投标人之间存在《广东省实施&lt;中华人民共和国招标投标法&gt;》第十六条所禁止的情形的；</w:t>
            </w:r>
          </w:p>
        </w:tc>
        <w:tc>
          <w:tcPr>
            <w:tcW w:w="1483" w:type="dxa"/>
            <w:tcBorders>
              <w:top w:val="single" w:color="auto" w:sz="4" w:space="0"/>
              <w:left w:val="single" w:color="auto" w:sz="4" w:space="0"/>
              <w:bottom w:val="single" w:color="auto" w:sz="4" w:space="0"/>
              <w:right w:val="single" w:color="auto" w:sz="4" w:space="0"/>
            </w:tcBorders>
          </w:tcPr>
          <w:p w14:paraId="65F2A376">
            <w:pPr>
              <w:adjustRightInd w:val="0"/>
              <w:rPr>
                <w:rFonts w:hint="eastAsia" w:ascii="宋体" w:hAnsi="宋体"/>
                <w:szCs w:val="21"/>
              </w:rPr>
            </w:pPr>
          </w:p>
        </w:tc>
        <w:tc>
          <w:tcPr>
            <w:tcW w:w="1434" w:type="dxa"/>
            <w:tcBorders>
              <w:top w:val="single" w:color="auto" w:sz="4" w:space="0"/>
              <w:left w:val="single" w:color="auto" w:sz="4" w:space="0"/>
              <w:bottom w:val="single" w:color="auto" w:sz="4" w:space="0"/>
              <w:right w:val="single" w:color="auto" w:sz="4" w:space="0"/>
            </w:tcBorders>
          </w:tcPr>
          <w:p w14:paraId="2875E193">
            <w:pPr>
              <w:adjustRightInd w:val="0"/>
              <w:rPr>
                <w:rFonts w:hint="eastAsia" w:ascii="宋体" w:hAnsi="宋体"/>
                <w:szCs w:val="21"/>
              </w:rPr>
            </w:pPr>
          </w:p>
        </w:tc>
        <w:tc>
          <w:tcPr>
            <w:tcW w:w="1400" w:type="dxa"/>
            <w:tcBorders>
              <w:top w:val="single" w:color="auto" w:sz="4" w:space="0"/>
              <w:left w:val="single" w:color="auto" w:sz="4" w:space="0"/>
              <w:bottom w:val="single" w:color="auto" w:sz="4" w:space="0"/>
              <w:right w:val="single" w:color="auto" w:sz="4" w:space="0"/>
            </w:tcBorders>
          </w:tcPr>
          <w:p w14:paraId="4D5B99F8">
            <w:pPr>
              <w:adjustRightInd w:val="0"/>
              <w:rPr>
                <w:rFonts w:hint="eastAsia" w:ascii="宋体" w:hAnsi="宋体"/>
                <w:szCs w:val="21"/>
              </w:rPr>
            </w:pPr>
          </w:p>
        </w:tc>
        <w:tc>
          <w:tcPr>
            <w:tcW w:w="1483" w:type="dxa"/>
            <w:tcBorders>
              <w:top w:val="single" w:color="auto" w:sz="4" w:space="0"/>
              <w:left w:val="single" w:color="auto" w:sz="4" w:space="0"/>
              <w:bottom w:val="single" w:color="auto" w:sz="4" w:space="0"/>
              <w:right w:val="single" w:color="auto" w:sz="4" w:space="0"/>
            </w:tcBorders>
          </w:tcPr>
          <w:p w14:paraId="4E2EA991">
            <w:pPr>
              <w:adjustRightInd w:val="0"/>
              <w:rPr>
                <w:rFonts w:hint="eastAsia" w:ascii="宋体" w:hAnsi="宋体"/>
                <w:szCs w:val="21"/>
              </w:rPr>
            </w:pPr>
          </w:p>
        </w:tc>
        <w:tc>
          <w:tcPr>
            <w:tcW w:w="1399" w:type="dxa"/>
            <w:tcBorders>
              <w:top w:val="single" w:color="auto" w:sz="4" w:space="0"/>
              <w:left w:val="single" w:color="auto" w:sz="4" w:space="0"/>
              <w:bottom w:val="single" w:color="auto" w:sz="4" w:space="0"/>
              <w:right w:val="single" w:color="auto" w:sz="4" w:space="0"/>
            </w:tcBorders>
          </w:tcPr>
          <w:p w14:paraId="6F2BFDC8">
            <w:pPr>
              <w:adjustRightInd w:val="0"/>
              <w:rPr>
                <w:rFonts w:hint="eastAsia" w:ascii="宋体" w:hAnsi="宋体"/>
                <w:szCs w:val="21"/>
              </w:rPr>
            </w:pPr>
          </w:p>
        </w:tc>
      </w:tr>
      <w:tr w14:paraId="200AA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14:paraId="61BB7D5B">
            <w:pPr>
              <w:adjustRightInd w:val="0"/>
              <w:rPr>
                <w:rFonts w:hint="eastAsia" w:ascii="宋体" w:hAnsi="宋体"/>
                <w:szCs w:val="21"/>
              </w:rPr>
            </w:pPr>
            <w:r>
              <w:rPr>
                <w:rFonts w:ascii="宋体" w:hAnsi="宋体"/>
                <w:szCs w:val="21"/>
              </w:rPr>
              <w:t>6</w:t>
            </w:r>
          </w:p>
        </w:tc>
        <w:tc>
          <w:tcPr>
            <w:tcW w:w="6243" w:type="dxa"/>
            <w:tcBorders>
              <w:top w:val="single" w:color="auto" w:sz="4" w:space="0"/>
              <w:left w:val="single" w:color="auto" w:sz="4" w:space="0"/>
              <w:bottom w:val="single" w:color="auto" w:sz="4" w:space="0"/>
              <w:right w:val="single" w:color="auto" w:sz="4" w:space="0"/>
            </w:tcBorders>
            <w:vAlign w:val="center"/>
          </w:tcPr>
          <w:p w14:paraId="70C4F69B">
            <w:pPr>
              <w:adjustRightInd w:val="0"/>
              <w:rPr>
                <w:rFonts w:hint="eastAsia" w:ascii="宋体" w:hAnsi="宋体"/>
                <w:szCs w:val="21"/>
              </w:rPr>
            </w:pPr>
            <w:r>
              <w:rPr>
                <w:rFonts w:hint="eastAsia" w:ascii="宋体" w:hAnsi="宋体"/>
                <w:szCs w:val="21"/>
              </w:rPr>
              <w:t>无《参与编制技术标投标文件人员名单》的</w:t>
            </w:r>
          </w:p>
        </w:tc>
        <w:tc>
          <w:tcPr>
            <w:tcW w:w="1483" w:type="dxa"/>
            <w:tcBorders>
              <w:top w:val="single" w:color="auto" w:sz="4" w:space="0"/>
              <w:left w:val="single" w:color="auto" w:sz="4" w:space="0"/>
              <w:bottom w:val="single" w:color="auto" w:sz="4" w:space="0"/>
              <w:right w:val="single" w:color="auto" w:sz="4" w:space="0"/>
            </w:tcBorders>
          </w:tcPr>
          <w:p w14:paraId="4F357D63">
            <w:pPr>
              <w:adjustRightInd w:val="0"/>
              <w:rPr>
                <w:rFonts w:hint="eastAsia" w:ascii="宋体" w:hAnsi="宋体"/>
                <w:szCs w:val="21"/>
                <w:shd w:val="pct10" w:color="auto" w:fill="FFFFFF"/>
              </w:rPr>
            </w:pPr>
          </w:p>
        </w:tc>
        <w:tc>
          <w:tcPr>
            <w:tcW w:w="1434" w:type="dxa"/>
            <w:tcBorders>
              <w:top w:val="single" w:color="auto" w:sz="4" w:space="0"/>
              <w:left w:val="single" w:color="auto" w:sz="4" w:space="0"/>
              <w:bottom w:val="single" w:color="auto" w:sz="4" w:space="0"/>
              <w:right w:val="single" w:color="auto" w:sz="4" w:space="0"/>
            </w:tcBorders>
          </w:tcPr>
          <w:p w14:paraId="52181A27">
            <w:pPr>
              <w:adjustRightInd w:val="0"/>
              <w:rPr>
                <w:rFonts w:hint="eastAsia" w:ascii="宋体" w:hAnsi="宋体"/>
                <w:szCs w:val="21"/>
                <w:shd w:val="pct10" w:color="auto" w:fill="FFFFFF"/>
              </w:rPr>
            </w:pPr>
          </w:p>
        </w:tc>
        <w:tc>
          <w:tcPr>
            <w:tcW w:w="1400" w:type="dxa"/>
            <w:tcBorders>
              <w:top w:val="single" w:color="auto" w:sz="4" w:space="0"/>
              <w:left w:val="single" w:color="auto" w:sz="4" w:space="0"/>
              <w:bottom w:val="single" w:color="auto" w:sz="4" w:space="0"/>
              <w:right w:val="single" w:color="auto" w:sz="4" w:space="0"/>
            </w:tcBorders>
          </w:tcPr>
          <w:p w14:paraId="01B0262F">
            <w:pPr>
              <w:adjustRightInd w:val="0"/>
              <w:rPr>
                <w:rFonts w:hint="eastAsia" w:ascii="宋体" w:hAnsi="宋体"/>
                <w:szCs w:val="21"/>
                <w:shd w:val="pct10" w:color="auto" w:fill="FFFFFF"/>
              </w:rPr>
            </w:pPr>
          </w:p>
        </w:tc>
        <w:tc>
          <w:tcPr>
            <w:tcW w:w="1483" w:type="dxa"/>
            <w:tcBorders>
              <w:top w:val="single" w:color="auto" w:sz="4" w:space="0"/>
              <w:left w:val="single" w:color="auto" w:sz="4" w:space="0"/>
              <w:bottom w:val="single" w:color="auto" w:sz="4" w:space="0"/>
              <w:right w:val="single" w:color="auto" w:sz="4" w:space="0"/>
            </w:tcBorders>
          </w:tcPr>
          <w:p w14:paraId="5DB58EA5">
            <w:pPr>
              <w:adjustRightInd w:val="0"/>
              <w:rPr>
                <w:rFonts w:hint="eastAsia" w:ascii="宋体" w:hAnsi="宋体"/>
                <w:szCs w:val="21"/>
                <w:shd w:val="pct10" w:color="auto" w:fill="FFFFFF"/>
              </w:rPr>
            </w:pPr>
          </w:p>
        </w:tc>
        <w:tc>
          <w:tcPr>
            <w:tcW w:w="1399" w:type="dxa"/>
            <w:tcBorders>
              <w:top w:val="single" w:color="auto" w:sz="4" w:space="0"/>
              <w:left w:val="single" w:color="auto" w:sz="4" w:space="0"/>
              <w:bottom w:val="single" w:color="auto" w:sz="4" w:space="0"/>
              <w:right w:val="single" w:color="auto" w:sz="4" w:space="0"/>
            </w:tcBorders>
          </w:tcPr>
          <w:p w14:paraId="192E4B47">
            <w:pPr>
              <w:adjustRightInd w:val="0"/>
              <w:rPr>
                <w:rFonts w:hint="eastAsia" w:ascii="宋体" w:hAnsi="宋体"/>
                <w:szCs w:val="21"/>
                <w:shd w:val="pct10" w:color="auto" w:fill="FFFFFF"/>
              </w:rPr>
            </w:pPr>
          </w:p>
        </w:tc>
      </w:tr>
      <w:tr w14:paraId="6046D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14:paraId="54896054">
            <w:pPr>
              <w:adjustRightInd w:val="0"/>
              <w:rPr>
                <w:rFonts w:hint="eastAsia" w:ascii="宋体" w:hAnsi="宋体"/>
                <w:szCs w:val="21"/>
              </w:rPr>
            </w:pPr>
            <w:r>
              <w:rPr>
                <w:rFonts w:ascii="宋体" w:hAnsi="宋体"/>
                <w:szCs w:val="21"/>
              </w:rPr>
              <w:t>7</w:t>
            </w:r>
          </w:p>
        </w:tc>
        <w:tc>
          <w:tcPr>
            <w:tcW w:w="6243" w:type="dxa"/>
            <w:tcBorders>
              <w:top w:val="single" w:color="auto" w:sz="4" w:space="0"/>
              <w:left w:val="single" w:color="auto" w:sz="4" w:space="0"/>
              <w:bottom w:val="single" w:color="auto" w:sz="4" w:space="0"/>
              <w:right w:val="single" w:color="auto" w:sz="4" w:space="0"/>
            </w:tcBorders>
            <w:vAlign w:val="center"/>
          </w:tcPr>
          <w:p w14:paraId="35415394">
            <w:pPr>
              <w:adjustRightInd w:val="0"/>
              <w:rPr>
                <w:rFonts w:hint="eastAsia" w:ascii="宋体" w:hAnsi="宋体"/>
                <w:szCs w:val="21"/>
              </w:rPr>
            </w:pPr>
            <w:r>
              <w:rPr>
                <w:rFonts w:hint="eastAsia" w:ascii="宋体" w:hAnsi="宋体"/>
                <w:szCs w:val="21"/>
              </w:rPr>
              <w:t>投标人与本项目其他投标人加密打包投标文件硬件机器特征码一致的</w:t>
            </w:r>
            <w:r>
              <w:rPr>
                <w:rFonts w:ascii="宋体" w:hAnsi="宋体"/>
                <w:szCs w:val="21"/>
              </w:rPr>
              <w:t>(以</w:t>
            </w:r>
            <w:r>
              <w:rPr>
                <w:rFonts w:hint="eastAsia" w:ascii="宋体" w:hAnsi="宋体" w:cs="宋体"/>
                <w:szCs w:val="21"/>
                <w:u w:val="single"/>
                <w:lang w:bidi="ar"/>
              </w:rPr>
              <w:t>广州交易集团有限公司（广州公共资源交易中心）</w:t>
            </w:r>
            <w:r>
              <w:rPr>
                <w:rFonts w:ascii="宋体" w:hAnsi="宋体"/>
                <w:szCs w:val="21"/>
              </w:rPr>
              <w:t>交易平台评标系统的检索信息为准)</w:t>
            </w:r>
          </w:p>
        </w:tc>
        <w:tc>
          <w:tcPr>
            <w:tcW w:w="1483" w:type="dxa"/>
            <w:tcBorders>
              <w:top w:val="single" w:color="auto" w:sz="4" w:space="0"/>
              <w:left w:val="single" w:color="auto" w:sz="4" w:space="0"/>
              <w:bottom w:val="single" w:color="auto" w:sz="4" w:space="0"/>
              <w:right w:val="single" w:color="auto" w:sz="4" w:space="0"/>
            </w:tcBorders>
          </w:tcPr>
          <w:p w14:paraId="26301F2C">
            <w:pPr>
              <w:adjustRightInd w:val="0"/>
              <w:rPr>
                <w:rFonts w:hint="eastAsia" w:ascii="宋体" w:hAnsi="宋体"/>
                <w:szCs w:val="21"/>
              </w:rPr>
            </w:pPr>
          </w:p>
        </w:tc>
        <w:tc>
          <w:tcPr>
            <w:tcW w:w="1434" w:type="dxa"/>
            <w:tcBorders>
              <w:top w:val="single" w:color="auto" w:sz="4" w:space="0"/>
              <w:left w:val="single" w:color="auto" w:sz="4" w:space="0"/>
              <w:bottom w:val="single" w:color="auto" w:sz="4" w:space="0"/>
              <w:right w:val="single" w:color="auto" w:sz="4" w:space="0"/>
            </w:tcBorders>
          </w:tcPr>
          <w:p w14:paraId="1F289CA0">
            <w:pPr>
              <w:adjustRightInd w:val="0"/>
              <w:rPr>
                <w:rFonts w:hint="eastAsia" w:ascii="宋体" w:hAnsi="宋体"/>
                <w:szCs w:val="21"/>
              </w:rPr>
            </w:pPr>
          </w:p>
        </w:tc>
        <w:tc>
          <w:tcPr>
            <w:tcW w:w="1400" w:type="dxa"/>
            <w:tcBorders>
              <w:top w:val="single" w:color="auto" w:sz="4" w:space="0"/>
              <w:left w:val="single" w:color="auto" w:sz="4" w:space="0"/>
              <w:bottom w:val="single" w:color="auto" w:sz="4" w:space="0"/>
              <w:right w:val="single" w:color="auto" w:sz="4" w:space="0"/>
            </w:tcBorders>
          </w:tcPr>
          <w:p w14:paraId="740D5E18">
            <w:pPr>
              <w:adjustRightInd w:val="0"/>
              <w:rPr>
                <w:rFonts w:hint="eastAsia" w:ascii="宋体" w:hAnsi="宋体"/>
                <w:szCs w:val="21"/>
              </w:rPr>
            </w:pPr>
          </w:p>
        </w:tc>
        <w:tc>
          <w:tcPr>
            <w:tcW w:w="1483" w:type="dxa"/>
            <w:tcBorders>
              <w:top w:val="single" w:color="auto" w:sz="4" w:space="0"/>
              <w:left w:val="single" w:color="auto" w:sz="4" w:space="0"/>
              <w:bottom w:val="single" w:color="auto" w:sz="4" w:space="0"/>
              <w:right w:val="single" w:color="auto" w:sz="4" w:space="0"/>
            </w:tcBorders>
          </w:tcPr>
          <w:p w14:paraId="3FDFB2DC">
            <w:pPr>
              <w:adjustRightInd w:val="0"/>
              <w:rPr>
                <w:rFonts w:hint="eastAsia" w:ascii="宋体" w:hAnsi="宋体"/>
                <w:szCs w:val="21"/>
              </w:rPr>
            </w:pPr>
          </w:p>
        </w:tc>
        <w:tc>
          <w:tcPr>
            <w:tcW w:w="1399" w:type="dxa"/>
            <w:tcBorders>
              <w:top w:val="single" w:color="auto" w:sz="4" w:space="0"/>
              <w:left w:val="single" w:color="auto" w:sz="4" w:space="0"/>
              <w:bottom w:val="single" w:color="auto" w:sz="4" w:space="0"/>
              <w:right w:val="single" w:color="auto" w:sz="4" w:space="0"/>
            </w:tcBorders>
          </w:tcPr>
          <w:p w14:paraId="03DD6A62">
            <w:pPr>
              <w:adjustRightInd w:val="0"/>
              <w:rPr>
                <w:rFonts w:hint="eastAsia" w:ascii="宋体" w:hAnsi="宋体"/>
                <w:szCs w:val="21"/>
              </w:rPr>
            </w:pPr>
          </w:p>
        </w:tc>
      </w:tr>
    </w:tbl>
    <w:p w14:paraId="18C6B959">
      <w:pPr>
        <w:rPr>
          <w:rFonts w:hint="eastAsia" w:ascii="宋体" w:hAnsi="宋体"/>
          <w:szCs w:val="21"/>
        </w:rPr>
      </w:pPr>
      <w:r>
        <w:rPr>
          <w:rFonts w:hint="eastAsia" w:ascii="宋体" w:hAnsi="宋体"/>
          <w:szCs w:val="21"/>
        </w:rPr>
        <w:t>注：1.本表使用招标文件范本，与范本内容不同之处均以下划线标明。技术标评审中，响应性、承诺性内容不应作为评分因素，可在该表中对上述内容进行符合性审查。审查标准须具备可操作性。</w:t>
      </w:r>
    </w:p>
    <w:p w14:paraId="1AC14F5F">
      <w:pPr>
        <w:rPr>
          <w:rFonts w:hint="eastAsia" w:ascii="宋体" w:hAnsi="宋体"/>
          <w:szCs w:val="21"/>
        </w:rPr>
      </w:pPr>
      <w:r>
        <w:rPr>
          <w:rFonts w:hint="eastAsia" w:ascii="宋体" w:hAnsi="宋体"/>
          <w:szCs w:val="21"/>
        </w:rPr>
        <w:t>2.不得将文件顺序、明显的文字错误等列为否决投标的情形。评委发现投标文件中含义不明确、对同类问题表述不一致、有明显格式或文字、计算错误的，应当要求投标人作必要的澄清、说明后再判定投标人是否通过有效性审查，不得直接否决投标，若出现评标委员会否决投标的，应在评标报告中载明否决投标的具体情形、原因；</w:t>
      </w:r>
    </w:p>
    <w:p w14:paraId="050EA04B">
      <w:pPr>
        <w:rPr>
          <w:rFonts w:hint="eastAsia" w:ascii="宋体" w:hAnsi="宋体"/>
          <w:szCs w:val="21"/>
        </w:rPr>
      </w:pPr>
      <w:r>
        <w:rPr>
          <w:rFonts w:hint="eastAsia" w:ascii="宋体" w:hAnsi="宋体"/>
          <w:szCs w:val="21"/>
        </w:rPr>
        <w:t>3.凡出现以上任何一项情形，结论均为无效，否则就为有效。</w:t>
      </w:r>
    </w:p>
    <w:p w14:paraId="1D281A3D">
      <w:pPr>
        <w:rPr>
          <w:szCs w:val="21"/>
        </w:rPr>
      </w:pPr>
      <w:r>
        <w:rPr>
          <w:rFonts w:hint="eastAsia" w:ascii="宋体" w:hAnsi="宋体"/>
          <w:szCs w:val="21"/>
        </w:rPr>
        <w:t>4.如对本表中某种情形的评审意见不一致时，以评标委员会过半数成员的意见作为评标委员会对该情形的认定结论。</w:t>
      </w:r>
      <w:r>
        <w:br w:type="page"/>
      </w:r>
      <w:r>
        <w:rPr>
          <w:rFonts w:hint="eastAsia"/>
          <w:sz w:val="28"/>
          <w:szCs w:val="28"/>
        </w:rPr>
        <w:t>附表三</w:t>
      </w:r>
    </w:p>
    <w:p w14:paraId="26836A75">
      <w:pPr>
        <w:jc w:val="center"/>
        <w:rPr>
          <w:b/>
          <w:sz w:val="36"/>
          <w:szCs w:val="36"/>
        </w:rPr>
      </w:pPr>
      <w:r>
        <w:rPr>
          <w:rFonts w:hint="eastAsia"/>
          <w:b/>
          <w:sz w:val="36"/>
          <w:szCs w:val="36"/>
        </w:rPr>
        <w:t>经济标有效性审查表</w:t>
      </w:r>
    </w:p>
    <w:p w14:paraId="1A97CB3F">
      <w:pPr>
        <w:rPr>
          <w:szCs w:val="21"/>
        </w:rPr>
      </w:pPr>
      <w:r>
        <w:rPr>
          <w:rFonts w:hint="eastAsia"/>
          <w:szCs w:val="21"/>
        </w:rPr>
        <w:t>工程名称：</w:t>
      </w:r>
    </w:p>
    <w:tbl>
      <w:tblPr>
        <w:tblStyle w:val="37"/>
        <w:tblW w:w="15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6102"/>
        <w:gridCol w:w="1397"/>
        <w:gridCol w:w="1397"/>
        <w:gridCol w:w="1397"/>
        <w:gridCol w:w="1396"/>
        <w:gridCol w:w="1397"/>
        <w:gridCol w:w="1397"/>
      </w:tblGrid>
      <w:tr w14:paraId="6E5D9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532" w:type="dxa"/>
            <w:tcBorders>
              <w:top w:val="single" w:color="auto" w:sz="4" w:space="0"/>
              <w:left w:val="single" w:color="auto" w:sz="4" w:space="0"/>
              <w:bottom w:val="single" w:color="auto" w:sz="4" w:space="0"/>
              <w:right w:val="single" w:color="auto" w:sz="4" w:space="0"/>
            </w:tcBorders>
            <w:vAlign w:val="center"/>
          </w:tcPr>
          <w:p w14:paraId="4C5CE0F7">
            <w:pPr>
              <w:rPr>
                <w:rFonts w:hint="eastAsia" w:ascii="宋体" w:hAnsi="宋体"/>
                <w:szCs w:val="21"/>
              </w:rPr>
            </w:pPr>
            <w:r>
              <w:rPr>
                <w:rFonts w:hint="eastAsia" w:ascii="宋体" w:hAnsi="宋体"/>
                <w:szCs w:val="21"/>
              </w:rPr>
              <w:t>序号</w:t>
            </w:r>
          </w:p>
        </w:tc>
        <w:tc>
          <w:tcPr>
            <w:tcW w:w="6102" w:type="dxa"/>
            <w:tcBorders>
              <w:top w:val="single" w:color="auto" w:sz="4" w:space="0"/>
              <w:left w:val="single" w:color="auto" w:sz="4" w:space="0"/>
              <w:bottom w:val="single" w:color="auto" w:sz="4" w:space="0"/>
              <w:right w:val="single" w:color="auto" w:sz="4" w:space="0"/>
              <w:tl2br w:val="single" w:color="auto" w:sz="4" w:space="0"/>
            </w:tcBorders>
          </w:tcPr>
          <w:p w14:paraId="222F3C99">
            <w:pPr>
              <w:rPr>
                <w:rFonts w:hint="eastAsia" w:ascii="宋体" w:hAnsi="宋体"/>
                <w:szCs w:val="21"/>
              </w:rPr>
            </w:pPr>
            <w:r>
              <w:rPr>
                <w:rFonts w:ascii="宋体" w:hAnsi="宋体"/>
                <w:szCs w:val="21"/>
              </w:rPr>
              <w:t xml:space="preserve">               </w:t>
            </w:r>
            <w:r>
              <w:rPr>
                <w:rFonts w:hint="eastAsia" w:ascii="宋体" w:hAnsi="宋体"/>
                <w:szCs w:val="21"/>
              </w:rPr>
              <w:t>投标人</w:t>
            </w:r>
          </w:p>
          <w:p w14:paraId="09347D65">
            <w:pPr>
              <w:rPr>
                <w:rFonts w:hint="eastAsia" w:ascii="宋体" w:hAnsi="宋体"/>
                <w:szCs w:val="21"/>
              </w:rPr>
            </w:pPr>
          </w:p>
          <w:p w14:paraId="3DBB4DEE">
            <w:pPr>
              <w:rPr>
                <w:rFonts w:hint="eastAsia" w:ascii="宋体" w:hAnsi="宋体"/>
                <w:szCs w:val="21"/>
              </w:rPr>
            </w:pPr>
            <w:r>
              <w:rPr>
                <w:rFonts w:hint="eastAsia" w:ascii="宋体" w:hAnsi="宋体"/>
                <w:szCs w:val="21"/>
              </w:rPr>
              <w:t>评审内容</w:t>
            </w:r>
          </w:p>
        </w:tc>
        <w:tc>
          <w:tcPr>
            <w:tcW w:w="1397" w:type="dxa"/>
            <w:tcBorders>
              <w:top w:val="single" w:color="auto" w:sz="4" w:space="0"/>
              <w:left w:val="single" w:color="auto" w:sz="4" w:space="0"/>
              <w:bottom w:val="single" w:color="auto" w:sz="4" w:space="0"/>
              <w:right w:val="single" w:color="auto" w:sz="4" w:space="0"/>
            </w:tcBorders>
          </w:tcPr>
          <w:p w14:paraId="55A96CD1">
            <w:pPr>
              <w:rPr>
                <w:rFonts w:hint="eastAsia"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14:paraId="5FC06118">
            <w:pPr>
              <w:rPr>
                <w:rFonts w:hint="eastAsia"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14:paraId="7259C762">
            <w:pPr>
              <w:rPr>
                <w:rFonts w:hint="eastAsia" w:ascii="宋体" w:hAnsi="宋体"/>
                <w:szCs w:val="21"/>
              </w:rPr>
            </w:pPr>
          </w:p>
        </w:tc>
        <w:tc>
          <w:tcPr>
            <w:tcW w:w="1396" w:type="dxa"/>
            <w:tcBorders>
              <w:top w:val="single" w:color="auto" w:sz="4" w:space="0"/>
              <w:left w:val="single" w:color="auto" w:sz="4" w:space="0"/>
              <w:bottom w:val="single" w:color="auto" w:sz="4" w:space="0"/>
              <w:right w:val="single" w:color="auto" w:sz="4" w:space="0"/>
            </w:tcBorders>
          </w:tcPr>
          <w:p w14:paraId="7942E97E">
            <w:pPr>
              <w:rPr>
                <w:rFonts w:hint="eastAsia"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14:paraId="17048063">
            <w:pPr>
              <w:rPr>
                <w:rFonts w:hint="eastAsia"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14:paraId="22BE01F3">
            <w:pPr>
              <w:rPr>
                <w:rFonts w:hint="eastAsia" w:ascii="宋体" w:hAnsi="宋体"/>
                <w:szCs w:val="21"/>
              </w:rPr>
            </w:pPr>
          </w:p>
        </w:tc>
      </w:tr>
      <w:tr w14:paraId="5CA45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16D00688">
            <w:pPr>
              <w:rPr>
                <w:rFonts w:hint="eastAsia" w:ascii="宋体" w:hAnsi="宋体"/>
                <w:szCs w:val="21"/>
              </w:rPr>
            </w:pPr>
            <w:r>
              <w:rPr>
                <w:rFonts w:ascii="宋体" w:hAnsi="宋体"/>
                <w:szCs w:val="21"/>
              </w:rPr>
              <w:t>1</w:t>
            </w:r>
          </w:p>
        </w:tc>
        <w:tc>
          <w:tcPr>
            <w:tcW w:w="6102" w:type="dxa"/>
            <w:tcBorders>
              <w:top w:val="single" w:color="auto" w:sz="4" w:space="0"/>
              <w:left w:val="single" w:color="auto" w:sz="4" w:space="0"/>
              <w:bottom w:val="single" w:color="auto" w:sz="4" w:space="0"/>
              <w:right w:val="single" w:color="auto" w:sz="4" w:space="0"/>
            </w:tcBorders>
            <w:vAlign w:val="center"/>
          </w:tcPr>
          <w:p w14:paraId="45975E9B">
            <w:pPr>
              <w:rPr>
                <w:rFonts w:hint="eastAsia" w:ascii="宋体" w:hAnsi="宋体"/>
                <w:szCs w:val="21"/>
              </w:rPr>
            </w:pPr>
            <w:r>
              <w:rPr>
                <w:rFonts w:hint="eastAsia" w:ascii="宋体" w:hAnsi="宋体"/>
                <w:szCs w:val="21"/>
              </w:rPr>
              <w:t>对同一招标项目出现两个或以上的投标报价，且没有申明哪个有效；</w:t>
            </w:r>
          </w:p>
        </w:tc>
        <w:tc>
          <w:tcPr>
            <w:tcW w:w="1397" w:type="dxa"/>
            <w:tcBorders>
              <w:top w:val="single" w:color="auto" w:sz="4" w:space="0"/>
              <w:left w:val="single" w:color="auto" w:sz="4" w:space="0"/>
              <w:bottom w:val="single" w:color="auto" w:sz="4" w:space="0"/>
              <w:right w:val="single" w:color="auto" w:sz="4" w:space="0"/>
            </w:tcBorders>
          </w:tcPr>
          <w:p w14:paraId="5B1539EC">
            <w:pPr>
              <w:rPr>
                <w:rFonts w:hint="eastAsia"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14:paraId="585BF5DD">
            <w:pPr>
              <w:rPr>
                <w:rFonts w:hint="eastAsia"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14:paraId="5AF40509">
            <w:pPr>
              <w:rPr>
                <w:rFonts w:hint="eastAsia" w:ascii="宋体" w:hAnsi="宋体"/>
                <w:szCs w:val="21"/>
              </w:rPr>
            </w:pPr>
          </w:p>
        </w:tc>
        <w:tc>
          <w:tcPr>
            <w:tcW w:w="1396" w:type="dxa"/>
            <w:tcBorders>
              <w:top w:val="single" w:color="auto" w:sz="4" w:space="0"/>
              <w:left w:val="single" w:color="auto" w:sz="4" w:space="0"/>
              <w:bottom w:val="single" w:color="auto" w:sz="4" w:space="0"/>
              <w:right w:val="single" w:color="auto" w:sz="4" w:space="0"/>
            </w:tcBorders>
          </w:tcPr>
          <w:p w14:paraId="5E721DBC">
            <w:pPr>
              <w:rPr>
                <w:rFonts w:hint="eastAsia"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14:paraId="5AEB8B9D">
            <w:pPr>
              <w:rPr>
                <w:rFonts w:hint="eastAsia"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14:paraId="1957E978">
            <w:pPr>
              <w:rPr>
                <w:rFonts w:hint="eastAsia" w:ascii="宋体" w:hAnsi="宋体"/>
                <w:szCs w:val="21"/>
              </w:rPr>
            </w:pPr>
          </w:p>
        </w:tc>
      </w:tr>
      <w:tr w14:paraId="51DC3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2770A5C1">
            <w:pPr>
              <w:rPr>
                <w:rFonts w:hint="eastAsia" w:ascii="宋体" w:hAnsi="宋体"/>
                <w:szCs w:val="21"/>
              </w:rPr>
            </w:pPr>
            <w:r>
              <w:rPr>
                <w:rFonts w:ascii="宋体" w:hAnsi="宋体"/>
                <w:szCs w:val="21"/>
              </w:rPr>
              <w:t>2</w:t>
            </w:r>
          </w:p>
        </w:tc>
        <w:tc>
          <w:tcPr>
            <w:tcW w:w="6102" w:type="dxa"/>
            <w:tcBorders>
              <w:top w:val="single" w:color="auto" w:sz="4" w:space="0"/>
              <w:left w:val="single" w:color="auto" w:sz="4" w:space="0"/>
              <w:bottom w:val="single" w:color="auto" w:sz="4" w:space="0"/>
              <w:right w:val="single" w:color="auto" w:sz="4" w:space="0"/>
            </w:tcBorders>
            <w:vAlign w:val="center"/>
          </w:tcPr>
          <w:p w14:paraId="2793B4EE">
            <w:pPr>
              <w:rPr>
                <w:rFonts w:hint="eastAsia" w:ascii="宋体" w:hAnsi="宋体"/>
                <w:szCs w:val="21"/>
              </w:rPr>
            </w:pPr>
            <w:r>
              <w:rPr>
                <w:rFonts w:hint="eastAsia" w:ascii="宋体" w:hAnsi="宋体"/>
                <w:szCs w:val="21"/>
              </w:rPr>
              <w:t>投标报价高于最高投标限价的；</w:t>
            </w:r>
          </w:p>
        </w:tc>
        <w:tc>
          <w:tcPr>
            <w:tcW w:w="1397" w:type="dxa"/>
            <w:tcBorders>
              <w:top w:val="single" w:color="auto" w:sz="4" w:space="0"/>
              <w:left w:val="single" w:color="auto" w:sz="4" w:space="0"/>
              <w:bottom w:val="single" w:color="auto" w:sz="4" w:space="0"/>
              <w:right w:val="single" w:color="auto" w:sz="4" w:space="0"/>
            </w:tcBorders>
          </w:tcPr>
          <w:p w14:paraId="6890E3CD">
            <w:pPr>
              <w:rPr>
                <w:rFonts w:hint="eastAsia"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14:paraId="19802B68">
            <w:pPr>
              <w:rPr>
                <w:rFonts w:hint="eastAsia"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14:paraId="650DF8E4">
            <w:pPr>
              <w:rPr>
                <w:rFonts w:hint="eastAsia" w:ascii="宋体" w:hAnsi="宋体"/>
                <w:szCs w:val="21"/>
              </w:rPr>
            </w:pPr>
          </w:p>
        </w:tc>
        <w:tc>
          <w:tcPr>
            <w:tcW w:w="1396" w:type="dxa"/>
            <w:tcBorders>
              <w:top w:val="single" w:color="auto" w:sz="4" w:space="0"/>
              <w:left w:val="single" w:color="auto" w:sz="4" w:space="0"/>
              <w:bottom w:val="single" w:color="auto" w:sz="4" w:space="0"/>
              <w:right w:val="single" w:color="auto" w:sz="4" w:space="0"/>
            </w:tcBorders>
          </w:tcPr>
          <w:p w14:paraId="641220F0">
            <w:pPr>
              <w:rPr>
                <w:rFonts w:hint="eastAsia"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14:paraId="2686766C">
            <w:pPr>
              <w:rPr>
                <w:rFonts w:hint="eastAsia"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14:paraId="0F79E1E8">
            <w:pPr>
              <w:rPr>
                <w:rFonts w:hint="eastAsia" w:ascii="宋体" w:hAnsi="宋体"/>
                <w:szCs w:val="21"/>
              </w:rPr>
            </w:pPr>
          </w:p>
        </w:tc>
      </w:tr>
      <w:tr w14:paraId="236B1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09567757">
            <w:pPr>
              <w:rPr>
                <w:rFonts w:hint="eastAsia" w:ascii="宋体" w:hAnsi="宋体"/>
                <w:szCs w:val="21"/>
              </w:rPr>
            </w:pPr>
            <w:r>
              <w:rPr>
                <w:rFonts w:ascii="宋体" w:hAnsi="宋体"/>
                <w:szCs w:val="21"/>
              </w:rPr>
              <w:t>3</w:t>
            </w:r>
          </w:p>
        </w:tc>
        <w:tc>
          <w:tcPr>
            <w:tcW w:w="6102" w:type="dxa"/>
            <w:tcBorders>
              <w:top w:val="single" w:color="auto" w:sz="4" w:space="0"/>
              <w:left w:val="single" w:color="auto" w:sz="4" w:space="0"/>
              <w:bottom w:val="single" w:color="auto" w:sz="4" w:space="0"/>
              <w:right w:val="single" w:color="auto" w:sz="4" w:space="0"/>
            </w:tcBorders>
            <w:vAlign w:val="center"/>
          </w:tcPr>
          <w:p w14:paraId="552CF8FB">
            <w:pPr>
              <w:autoSpaceDE w:val="0"/>
              <w:autoSpaceDN w:val="0"/>
              <w:adjustRightInd w:val="0"/>
              <w:ind w:left="-2" w:leftChars="-1"/>
              <w:jc w:val="left"/>
              <w:rPr>
                <w:rFonts w:hint="eastAsia" w:ascii="宋体" w:hAnsi="宋体"/>
                <w:szCs w:val="21"/>
              </w:rPr>
            </w:pPr>
            <w:r>
              <w:rPr>
                <w:rFonts w:hint="eastAsia" w:ascii="宋体" w:hAnsi="宋体"/>
                <w:szCs w:val="21"/>
              </w:rPr>
              <w:t>投标报价低于成本的；</w:t>
            </w:r>
          </w:p>
        </w:tc>
        <w:tc>
          <w:tcPr>
            <w:tcW w:w="1397" w:type="dxa"/>
            <w:tcBorders>
              <w:top w:val="single" w:color="auto" w:sz="4" w:space="0"/>
              <w:left w:val="single" w:color="auto" w:sz="4" w:space="0"/>
              <w:bottom w:val="single" w:color="auto" w:sz="4" w:space="0"/>
              <w:right w:val="single" w:color="auto" w:sz="4" w:space="0"/>
            </w:tcBorders>
          </w:tcPr>
          <w:p w14:paraId="39588DC0">
            <w:pPr>
              <w:rPr>
                <w:rFonts w:hint="eastAsia"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14:paraId="1542CD0E">
            <w:pPr>
              <w:rPr>
                <w:rFonts w:hint="eastAsia"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14:paraId="3EC13E72">
            <w:pPr>
              <w:rPr>
                <w:rFonts w:hint="eastAsia" w:ascii="宋体" w:hAnsi="宋体"/>
                <w:szCs w:val="21"/>
              </w:rPr>
            </w:pPr>
          </w:p>
        </w:tc>
        <w:tc>
          <w:tcPr>
            <w:tcW w:w="1396" w:type="dxa"/>
            <w:tcBorders>
              <w:top w:val="single" w:color="auto" w:sz="4" w:space="0"/>
              <w:left w:val="single" w:color="auto" w:sz="4" w:space="0"/>
              <w:bottom w:val="single" w:color="auto" w:sz="4" w:space="0"/>
              <w:right w:val="single" w:color="auto" w:sz="4" w:space="0"/>
            </w:tcBorders>
          </w:tcPr>
          <w:p w14:paraId="16856346">
            <w:pPr>
              <w:rPr>
                <w:rFonts w:hint="eastAsia"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14:paraId="163E2F54">
            <w:pPr>
              <w:rPr>
                <w:rFonts w:hint="eastAsia"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14:paraId="6AAA5426">
            <w:pPr>
              <w:rPr>
                <w:rFonts w:hint="eastAsia" w:ascii="宋体" w:hAnsi="宋体"/>
                <w:szCs w:val="21"/>
              </w:rPr>
            </w:pPr>
          </w:p>
        </w:tc>
      </w:tr>
      <w:tr w14:paraId="667A5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5F4C4734">
            <w:pPr>
              <w:rPr>
                <w:rFonts w:hint="eastAsia" w:ascii="宋体" w:hAnsi="宋体"/>
                <w:szCs w:val="21"/>
              </w:rPr>
            </w:pPr>
            <w:r>
              <w:rPr>
                <w:rFonts w:hint="eastAsia" w:ascii="宋体" w:hAnsi="宋体"/>
                <w:szCs w:val="21"/>
              </w:rPr>
              <w:t>4</w:t>
            </w:r>
          </w:p>
        </w:tc>
        <w:tc>
          <w:tcPr>
            <w:tcW w:w="6102" w:type="dxa"/>
            <w:tcBorders>
              <w:top w:val="single" w:color="auto" w:sz="4" w:space="0"/>
              <w:left w:val="single" w:color="auto" w:sz="4" w:space="0"/>
              <w:bottom w:val="single" w:color="auto" w:sz="4" w:space="0"/>
              <w:right w:val="single" w:color="auto" w:sz="4" w:space="0"/>
            </w:tcBorders>
            <w:vAlign w:val="center"/>
          </w:tcPr>
          <w:p w14:paraId="0C5484A3">
            <w:pPr>
              <w:rPr>
                <w:rFonts w:hint="eastAsia" w:ascii="宋体" w:hAnsi="宋体"/>
                <w:szCs w:val="21"/>
              </w:rPr>
            </w:pPr>
            <w:r>
              <w:rPr>
                <w:rFonts w:hint="eastAsia" w:ascii="宋体" w:hAnsi="宋体"/>
                <w:szCs w:val="21"/>
              </w:rPr>
              <w:t>投标文件未按规定的格式</w:t>
            </w:r>
            <w:r>
              <w:rPr>
                <w:rFonts w:hint="eastAsia" w:ascii="宋体" w:hAnsi="宋体" w:cs="宋体"/>
                <w:szCs w:val="21"/>
                <w:u w:val="single"/>
              </w:rPr>
              <w:t>（指格式一：广州建设工程施工招标投标书）</w:t>
            </w:r>
            <w:r>
              <w:rPr>
                <w:rFonts w:hint="eastAsia" w:ascii="宋体" w:hAnsi="宋体"/>
                <w:szCs w:val="21"/>
              </w:rPr>
              <w:t>填写，或主要内容不全，或关键字迹模糊、无法辨认的；</w:t>
            </w:r>
          </w:p>
        </w:tc>
        <w:tc>
          <w:tcPr>
            <w:tcW w:w="1397" w:type="dxa"/>
            <w:tcBorders>
              <w:top w:val="single" w:color="auto" w:sz="4" w:space="0"/>
              <w:left w:val="single" w:color="auto" w:sz="4" w:space="0"/>
              <w:bottom w:val="single" w:color="auto" w:sz="4" w:space="0"/>
              <w:right w:val="single" w:color="auto" w:sz="4" w:space="0"/>
            </w:tcBorders>
          </w:tcPr>
          <w:p w14:paraId="21712687">
            <w:pPr>
              <w:rPr>
                <w:rFonts w:hint="eastAsia"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14:paraId="0CDFBD32">
            <w:pPr>
              <w:rPr>
                <w:rFonts w:hint="eastAsia"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14:paraId="7E69EAD2">
            <w:pPr>
              <w:rPr>
                <w:rFonts w:hint="eastAsia" w:ascii="宋体" w:hAnsi="宋体"/>
                <w:szCs w:val="21"/>
              </w:rPr>
            </w:pPr>
          </w:p>
        </w:tc>
        <w:tc>
          <w:tcPr>
            <w:tcW w:w="1396" w:type="dxa"/>
            <w:tcBorders>
              <w:top w:val="single" w:color="auto" w:sz="4" w:space="0"/>
              <w:left w:val="single" w:color="auto" w:sz="4" w:space="0"/>
              <w:bottom w:val="single" w:color="auto" w:sz="4" w:space="0"/>
              <w:right w:val="single" w:color="auto" w:sz="4" w:space="0"/>
            </w:tcBorders>
          </w:tcPr>
          <w:p w14:paraId="40627B51">
            <w:pPr>
              <w:rPr>
                <w:rFonts w:hint="eastAsia"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14:paraId="1D21A42D">
            <w:pPr>
              <w:rPr>
                <w:rFonts w:hint="eastAsia"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14:paraId="2EA40C58">
            <w:pPr>
              <w:rPr>
                <w:rFonts w:hint="eastAsia" w:ascii="宋体" w:hAnsi="宋体"/>
                <w:szCs w:val="21"/>
              </w:rPr>
            </w:pPr>
          </w:p>
        </w:tc>
      </w:tr>
      <w:tr w14:paraId="4740F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7E44E307">
            <w:pPr>
              <w:rPr>
                <w:rFonts w:hint="eastAsia" w:ascii="宋体" w:hAnsi="宋体"/>
                <w:szCs w:val="21"/>
              </w:rPr>
            </w:pPr>
            <w:r>
              <w:rPr>
                <w:rFonts w:hint="eastAsia" w:ascii="宋体" w:hAnsi="宋体"/>
                <w:szCs w:val="21"/>
              </w:rPr>
              <w:t>5</w:t>
            </w:r>
          </w:p>
        </w:tc>
        <w:tc>
          <w:tcPr>
            <w:tcW w:w="6102" w:type="dxa"/>
            <w:tcBorders>
              <w:top w:val="single" w:color="auto" w:sz="4" w:space="0"/>
              <w:left w:val="single" w:color="auto" w:sz="4" w:space="0"/>
              <w:bottom w:val="single" w:color="auto" w:sz="4" w:space="0"/>
              <w:right w:val="single" w:color="auto" w:sz="4" w:space="0"/>
            </w:tcBorders>
            <w:vAlign w:val="center"/>
          </w:tcPr>
          <w:p w14:paraId="33C6725D">
            <w:pPr>
              <w:rPr>
                <w:rFonts w:hint="eastAsia" w:ascii="宋体" w:hAnsi="宋体"/>
                <w:szCs w:val="21"/>
              </w:rPr>
            </w:pPr>
            <w:r>
              <w:rPr>
                <w:rFonts w:hint="eastAsia" w:ascii="宋体" w:hAnsi="宋体"/>
                <w:szCs w:val="21"/>
              </w:rPr>
              <w:t>投标人之间存在《广东省实施&lt;中华人民共和国招标投标法&gt;》第十六条所禁止的情形的；</w:t>
            </w:r>
          </w:p>
        </w:tc>
        <w:tc>
          <w:tcPr>
            <w:tcW w:w="1397" w:type="dxa"/>
            <w:tcBorders>
              <w:top w:val="single" w:color="auto" w:sz="4" w:space="0"/>
              <w:left w:val="single" w:color="auto" w:sz="4" w:space="0"/>
              <w:bottom w:val="single" w:color="auto" w:sz="4" w:space="0"/>
              <w:right w:val="single" w:color="auto" w:sz="4" w:space="0"/>
            </w:tcBorders>
          </w:tcPr>
          <w:p w14:paraId="5F1E2623">
            <w:pPr>
              <w:rPr>
                <w:rFonts w:hint="eastAsia"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14:paraId="22A9EA14">
            <w:pPr>
              <w:rPr>
                <w:rFonts w:hint="eastAsia"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14:paraId="6B85C12D">
            <w:pPr>
              <w:rPr>
                <w:rFonts w:hint="eastAsia" w:ascii="宋体" w:hAnsi="宋体"/>
                <w:szCs w:val="21"/>
              </w:rPr>
            </w:pPr>
          </w:p>
        </w:tc>
        <w:tc>
          <w:tcPr>
            <w:tcW w:w="1396" w:type="dxa"/>
            <w:tcBorders>
              <w:top w:val="single" w:color="auto" w:sz="4" w:space="0"/>
              <w:left w:val="single" w:color="auto" w:sz="4" w:space="0"/>
              <w:bottom w:val="single" w:color="auto" w:sz="4" w:space="0"/>
              <w:right w:val="single" w:color="auto" w:sz="4" w:space="0"/>
            </w:tcBorders>
          </w:tcPr>
          <w:p w14:paraId="0550D93B">
            <w:pPr>
              <w:rPr>
                <w:rFonts w:hint="eastAsia"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14:paraId="09AA65E8">
            <w:pPr>
              <w:rPr>
                <w:rFonts w:hint="eastAsia"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14:paraId="691434F8">
            <w:pPr>
              <w:rPr>
                <w:rFonts w:hint="eastAsia" w:ascii="宋体" w:hAnsi="宋体"/>
                <w:szCs w:val="21"/>
              </w:rPr>
            </w:pPr>
          </w:p>
        </w:tc>
      </w:tr>
      <w:tr w14:paraId="3EB75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22533360">
            <w:pPr>
              <w:rPr>
                <w:rFonts w:hint="eastAsia" w:ascii="宋体" w:hAnsi="宋体"/>
                <w:szCs w:val="21"/>
              </w:rPr>
            </w:pPr>
            <w:r>
              <w:rPr>
                <w:rFonts w:hint="eastAsia" w:ascii="宋体" w:hAnsi="宋体"/>
                <w:szCs w:val="21"/>
              </w:rPr>
              <w:t>6</w:t>
            </w:r>
          </w:p>
        </w:tc>
        <w:tc>
          <w:tcPr>
            <w:tcW w:w="6102" w:type="dxa"/>
            <w:tcBorders>
              <w:top w:val="single" w:color="auto" w:sz="4" w:space="0"/>
              <w:left w:val="single" w:color="auto" w:sz="4" w:space="0"/>
              <w:bottom w:val="single" w:color="auto" w:sz="4" w:space="0"/>
              <w:right w:val="single" w:color="auto" w:sz="4" w:space="0"/>
            </w:tcBorders>
            <w:vAlign w:val="center"/>
          </w:tcPr>
          <w:p w14:paraId="6CE6A870">
            <w:pPr>
              <w:rPr>
                <w:rFonts w:hint="eastAsia" w:ascii="宋体" w:hAnsi="宋体"/>
                <w:szCs w:val="21"/>
              </w:rPr>
            </w:pPr>
            <w:r>
              <w:rPr>
                <w:rFonts w:hint="eastAsia" w:ascii="宋体" w:hAnsi="宋体"/>
                <w:szCs w:val="21"/>
              </w:rPr>
              <w:t>无《参与编制经济标投标文件人员名单》的；</w:t>
            </w:r>
          </w:p>
        </w:tc>
        <w:tc>
          <w:tcPr>
            <w:tcW w:w="1397" w:type="dxa"/>
            <w:tcBorders>
              <w:top w:val="single" w:color="auto" w:sz="4" w:space="0"/>
              <w:left w:val="single" w:color="auto" w:sz="4" w:space="0"/>
              <w:bottom w:val="single" w:color="auto" w:sz="4" w:space="0"/>
              <w:right w:val="single" w:color="auto" w:sz="4" w:space="0"/>
            </w:tcBorders>
          </w:tcPr>
          <w:p w14:paraId="67D8C43A">
            <w:pPr>
              <w:rPr>
                <w:rFonts w:hint="eastAsia"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14:paraId="01ECC283">
            <w:pPr>
              <w:rPr>
                <w:rFonts w:hint="eastAsia"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14:paraId="72EEBC1B">
            <w:pPr>
              <w:rPr>
                <w:rFonts w:hint="eastAsia" w:ascii="宋体" w:hAnsi="宋体"/>
                <w:szCs w:val="21"/>
              </w:rPr>
            </w:pPr>
          </w:p>
        </w:tc>
        <w:tc>
          <w:tcPr>
            <w:tcW w:w="1396" w:type="dxa"/>
            <w:tcBorders>
              <w:top w:val="single" w:color="auto" w:sz="4" w:space="0"/>
              <w:left w:val="single" w:color="auto" w:sz="4" w:space="0"/>
              <w:bottom w:val="single" w:color="auto" w:sz="4" w:space="0"/>
              <w:right w:val="single" w:color="auto" w:sz="4" w:space="0"/>
            </w:tcBorders>
          </w:tcPr>
          <w:p w14:paraId="4BB35192">
            <w:pPr>
              <w:rPr>
                <w:rFonts w:hint="eastAsia"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14:paraId="394D1EE3">
            <w:pPr>
              <w:rPr>
                <w:rFonts w:hint="eastAsia"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14:paraId="5EA6C3ED">
            <w:pPr>
              <w:rPr>
                <w:rFonts w:hint="eastAsia" w:ascii="宋体" w:hAnsi="宋体"/>
                <w:szCs w:val="21"/>
              </w:rPr>
            </w:pPr>
          </w:p>
        </w:tc>
      </w:tr>
      <w:tr w14:paraId="07AF1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1A8432AA">
            <w:pPr>
              <w:rPr>
                <w:rFonts w:hint="eastAsia" w:ascii="宋体" w:hAnsi="宋体"/>
                <w:szCs w:val="21"/>
              </w:rPr>
            </w:pPr>
            <w:r>
              <w:rPr>
                <w:rFonts w:hint="eastAsia" w:ascii="宋体" w:hAnsi="宋体"/>
                <w:szCs w:val="21"/>
              </w:rPr>
              <w:t>7</w:t>
            </w:r>
          </w:p>
        </w:tc>
        <w:tc>
          <w:tcPr>
            <w:tcW w:w="6102" w:type="dxa"/>
            <w:tcBorders>
              <w:top w:val="single" w:color="auto" w:sz="4" w:space="0"/>
              <w:left w:val="single" w:color="auto" w:sz="4" w:space="0"/>
              <w:bottom w:val="single" w:color="auto" w:sz="4" w:space="0"/>
              <w:right w:val="single" w:color="auto" w:sz="4" w:space="0"/>
            </w:tcBorders>
            <w:vAlign w:val="center"/>
          </w:tcPr>
          <w:p w14:paraId="5C98701C">
            <w:pPr>
              <w:rPr>
                <w:rFonts w:hint="eastAsia" w:ascii="宋体" w:hAnsi="宋体"/>
                <w:szCs w:val="21"/>
              </w:rPr>
            </w:pPr>
            <w:r>
              <w:rPr>
                <w:rFonts w:hint="eastAsia" w:ascii="宋体" w:hAnsi="宋体"/>
                <w:szCs w:val="21"/>
              </w:rPr>
              <w:t>无《对投标文件编制的承诺》</w:t>
            </w:r>
          </w:p>
        </w:tc>
        <w:tc>
          <w:tcPr>
            <w:tcW w:w="1397" w:type="dxa"/>
            <w:tcBorders>
              <w:top w:val="single" w:color="auto" w:sz="4" w:space="0"/>
              <w:left w:val="single" w:color="auto" w:sz="4" w:space="0"/>
              <w:bottom w:val="single" w:color="auto" w:sz="4" w:space="0"/>
              <w:right w:val="single" w:color="auto" w:sz="4" w:space="0"/>
            </w:tcBorders>
          </w:tcPr>
          <w:p w14:paraId="5F11BF88">
            <w:pPr>
              <w:rPr>
                <w:rFonts w:hint="eastAsia"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14:paraId="46EDAAAF">
            <w:pPr>
              <w:rPr>
                <w:rFonts w:hint="eastAsia"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14:paraId="26B9D318">
            <w:pPr>
              <w:rPr>
                <w:rFonts w:hint="eastAsia" w:ascii="宋体" w:hAnsi="宋体"/>
                <w:szCs w:val="21"/>
              </w:rPr>
            </w:pPr>
          </w:p>
        </w:tc>
        <w:tc>
          <w:tcPr>
            <w:tcW w:w="1396" w:type="dxa"/>
            <w:tcBorders>
              <w:top w:val="single" w:color="auto" w:sz="4" w:space="0"/>
              <w:left w:val="single" w:color="auto" w:sz="4" w:space="0"/>
              <w:bottom w:val="single" w:color="auto" w:sz="4" w:space="0"/>
              <w:right w:val="single" w:color="auto" w:sz="4" w:space="0"/>
            </w:tcBorders>
          </w:tcPr>
          <w:p w14:paraId="41E3F930">
            <w:pPr>
              <w:rPr>
                <w:rFonts w:hint="eastAsia"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14:paraId="61DB8C7D">
            <w:pPr>
              <w:rPr>
                <w:rFonts w:hint="eastAsia"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14:paraId="3EA98063">
            <w:pPr>
              <w:rPr>
                <w:rFonts w:hint="eastAsia" w:ascii="宋体" w:hAnsi="宋体"/>
                <w:szCs w:val="21"/>
              </w:rPr>
            </w:pPr>
          </w:p>
        </w:tc>
      </w:tr>
    </w:tbl>
    <w:p w14:paraId="16393C19">
      <w:pPr>
        <w:ind w:firstLine="458"/>
        <w:rPr>
          <w:rFonts w:hint="eastAsia" w:ascii="宋体" w:hAnsi="宋体"/>
          <w:szCs w:val="21"/>
        </w:rPr>
      </w:pPr>
      <w:bookmarkStart w:id="117" w:name="_GoBack"/>
      <w:bookmarkEnd w:id="117"/>
      <w:r>
        <w:rPr>
          <w:rFonts w:hint="eastAsia" w:ascii="宋体" w:hAnsi="宋体"/>
          <w:szCs w:val="21"/>
        </w:rPr>
        <w:t>注：1.本表使用招标文件范本，与范本内容不同之处均以下划线标明。</w:t>
      </w:r>
    </w:p>
    <w:p w14:paraId="2CC34527">
      <w:pPr>
        <w:ind w:firstLine="458"/>
        <w:rPr>
          <w:rFonts w:hint="eastAsia" w:ascii="宋体" w:hAnsi="宋体"/>
          <w:szCs w:val="21"/>
        </w:rPr>
      </w:pPr>
      <w:r>
        <w:rPr>
          <w:rFonts w:hint="eastAsia" w:ascii="宋体" w:hAnsi="宋体"/>
          <w:szCs w:val="21"/>
        </w:rPr>
        <w:t>2.凡出现以上任何一项情形，结论均为无效，否则就为有效。</w:t>
      </w:r>
    </w:p>
    <w:p w14:paraId="5A40BA3D">
      <w:pPr>
        <w:ind w:firstLine="458"/>
        <w:rPr>
          <w:rFonts w:hint="eastAsia" w:ascii="宋体" w:hAnsi="宋体"/>
          <w:szCs w:val="21"/>
        </w:rPr>
      </w:pPr>
      <w:r>
        <w:rPr>
          <w:rFonts w:hint="eastAsia" w:ascii="宋体" w:hAnsi="宋体"/>
          <w:szCs w:val="21"/>
        </w:rPr>
        <w:t>3.如对本表中某种情形的评审意见不一致时，以评标委员会过半数成员的意见作为评标委员会对该情形的认定结论。</w:t>
      </w:r>
    </w:p>
    <w:p w14:paraId="0035A489">
      <w:pPr>
        <w:ind w:firstLine="458"/>
        <w:rPr>
          <w:rFonts w:hint="eastAsia" w:ascii="宋体" w:hAnsi="宋体"/>
          <w:szCs w:val="21"/>
        </w:rPr>
      </w:pPr>
      <w:r>
        <w:rPr>
          <w:rFonts w:hint="eastAsia" w:ascii="宋体" w:hAnsi="宋体"/>
          <w:szCs w:val="21"/>
        </w:rPr>
        <w:t>4.不得将文件顺序、明显的文字错误等列为否决投标的情形。评委发现投标文件中含义不明确、对同类问题表述不一致、有明显格式或文字、计算错误、投标报价可能低于成本影响履约的，应当要求投标人作必要的澄清、说明后再判定投标人是否通过有效性审查，不得直接否决投标。</w:t>
      </w:r>
    </w:p>
    <w:p w14:paraId="24F5BE3D">
      <w:pPr>
        <w:pStyle w:val="5"/>
        <w:ind w:firstLine="458"/>
        <w:rPr>
          <w:rFonts w:hint="eastAsia" w:ascii="宋体" w:hAnsi="宋体"/>
          <w:szCs w:val="21"/>
        </w:rPr>
      </w:pPr>
    </w:p>
    <w:p w14:paraId="016E22F6">
      <w:pPr>
        <w:pStyle w:val="5"/>
        <w:ind w:firstLine="458"/>
        <w:rPr>
          <w:rFonts w:hint="eastAsia" w:ascii="宋体" w:hAnsi="宋体"/>
          <w:szCs w:val="21"/>
        </w:rPr>
        <w:sectPr>
          <w:endnotePr>
            <w:numFmt w:val="decimal"/>
          </w:endnotePr>
          <w:pgSz w:w="16838" w:h="11906" w:orient="landscape"/>
          <w:pgMar w:top="1418" w:right="1247" w:bottom="1418" w:left="1134" w:header="851" w:footer="907" w:gutter="0"/>
          <w:cols w:space="425" w:num="1"/>
          <w:titlePg/>
          <w:docGrid w:type="lines" w:linePitch="312" w:charSpace="0"/>
        </w:sectPr>
      </w:pPr>
      <w:r>
        <w:rPr>
          <w:rFonts w:hint="eastAsia" w:ascii="宋体" w:hAnsi="宋体"/>
          <w:szCs w:val="21"/>
        </w:rPr>
        <w:t>评委签名：</w:t>
      </w:r>
    </w:p>
    <w:p w14:paraId="6766F18B">
      <w:pPr>
        <w:rPr>
          <w:szCs w:val="21"/>
        </w:rPr>
      </w:pPr>
      <w:r>
        <w:rPr>
          <w:rFonts w:hint="eastAsia"/>
          <w:sz w:val="28"/>
          <w:szCs w:val="28"/>
        </w:rPr>
        <w:t>附表四</w:t>
      </w:r>
    </w:p>
    <w:p w14:paraId="734D48F9">
      <w:pPr>
        <w:jc w:val="center"/>
        <w:outlineLvl w:val="2"/>
        <w:rPr>
          <w:rFonts w:hint="eastAsia" w:ascii="宋体" w:hAnsi="宋体" w:cs="宋体"/>
          <w:b/>
          <w:sz w:val="32"/>
          <w:szCs w:val="32"/>
        </w:rPr>
      </w:pPr>
      <w:r>
        <w:rPr>
          <w:rFonts w:hint="eastAsia" w:ascii="宋体" w:hAnsi="宋体" w:cs="宋体"/>
          <w:b/>
          <w:sz w:val="32"/>
          <w:szCs w:val="32"/>
        </w:rPr>
        <w:t>技术标详细审查评分表</w:t>
      </w:r>
    </w:p>
    <w:p w14:paraId="76F56360">
      <w:pPr>
        <w:outlineLvl w:val="2"/>
        <w:rPr>
          <w:rFonts w:hint="eastAsia" w:ascii="宋体" w:hAnsi="宋体" w:cs="宋体"/>
          <w:szCs w:val="21"/>
        </w:rPr>
      </w:pPr>
      <w:r>
        <w:rPr>
          <w:rFonts w:hint="eastAsia" w:ascii="宋体" w:hAnsi="宋体" w:cs="宋体"/>
          <w:szCs w:val="21"/>
          <w:lang w:bidi="ar"/>
        </w:rPr>
        <w:t>工程名称：</w:t>
      </w:r>
    </w:p>
    <w:tbl>
      <w:tblPr>
        <w:tblStyle w:val="37"/>
        <w:tblW w:w="0" w:type="auto"/>
        <w:jc w:val="right"/>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495"/>
        <w:gridCol w:w="1215"/>
        <w:gridCol w:w="1581"/>
        <w:gridCol w:w="819"/>
        <w:gridCol w:w="10431"/>
      </w:tblGrid>
      <w:tr w14:paraId="3830E2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088" w:hRule="atLeast"/>
          <w:tblHeader/>
          <w:jc w:val="right"/>
        </w:trPr>
        <w:tc>
          <w:tcPr>
            <w:tcW w:w="495" w:type="dxa"/>
            <w:shd w:val="clear" w:color="auto" w:fill="FFFFFF"/>
            <w:vAlign w:val="center"/>
          </w:tcPr>
          <w:p w14:paraId="3EF261DF">
            <w:pPr>
              <w:adjustRightInd w:val="0"/>
              <w:snapToGrid w:val="0"/>
              <w:spacing w:line="256" w:lineRule="exact"/>
              <w:jc w:val="center"/>
              <w:rPr>
                <w:rFonts w:hint="eastAsia" w:ascii="宋体" w:hAnsi="宋体" w:cs="宋体"/>
                <w:b/>
                <w:szCs w:val="21"/>
              </w:rPr>
            </w:pPr>
            <w:r>
              <w:rPr>
                <w:rFonts w:hint="eastAsia" w:ascii="宋体" w:hAnsi="宋体" w:cs="宋体"/>
                <w:b/>
                <w:szCs w:val="21"/>
              </w:rPr>
              <w:t>序号</w:t>
            </w:r>
          </w:p>
        </w:tc>
        <w:tc>
          <w:tcPr>
            <w:tcW w:w="1215" w:type="dxa"/>
            <w:shd w:val="clear" w:color="auto" w:fill="FFFFFF"/>
            <w:vAlign w:val="center"/>
          </w:tcPr>
          <w:p w14:paraId="73A1758F">
            <w:pPr>
              <w:adjustRightInd w:val="0"/>
              <w:snapToGrid w:val="0"/>
              <w:spacing w:line="256" w:lineRule="exact"/>
              <w:jc w:val="center"/>
              <w:rPr>
                <w:rFonts w:hint="eastAsia" w:ascii="宋体" w:hAnsi="宋体" w:cs="宋体"/>
                <w:b/>
                <w:szCs w:val="21"/>
              </w:rPr>
            </w:pPr>
            <w:r>
              <w:rPr>
                <w:rFonts w:hint="eastAsia" w:ascii="宋体" w:hAnsi="宋体" w:cs="宋体"/>
                <w:b/>
                <w:szCs w:val="21"/>
              </w:rPr>
              <w:t>评分项目</w:t>
            </w:r>
          </w:p>
        </w:tc>
        <w:tc>
          <w:tcPr>
            <w:tcW w:w="1581" w:type="dxa"/>
            <w:shd w:val="clear" w:color="auto" w:fill="FFFFFF"/>
            <w:vAlign w:val="center"/>
          </w:tcPr>
          <w:p w14:paraId="1427EF14">
            <w:pPr>
              <w:adjustRightInd w:val="0"/>
              <w:snapToGrid w:val="0"/>
              <w:spacing w:line="256" w:lineRule="exact"/>
              <w:jc w:val="center"/>
              <w:rPr>
                <w:rFonts w:hint="eastAsia" w:ascii="宋体" w:hAnsi="宋体" w:cs="宋体"/>
                <w:b/>
                <w:szCs w:val="21"/>
              </w:rPr>
            </w:pPr>
            <w:r>
              <w:rPr>
                <w:rFonts w:hint="eastAsia" w:ascii="宋体" w:hAnsi="宋体" w:cs="宋体"/>
                <w:b/>
                <w:szCs w:val="21"/>
              </w:rPr>
              <w:t>评分内容</w:t>
            </w:r>
          </w:p>
        </w:tc>
        <w:tc>
          <w:tcPr>
            <w:tcW w:w="819" w:type="dxa"/>
            <w:shd w:val="clear" w:color="auto" w:fill="FFFFFF"/>
            <w:vAlign w:val="center"/>
          </w:tcPr>
          <w:p w14:paraId="5B0B9D1E">
            <w:pPr>
              <w:adjustRightInd w:val="0"/>
              <w:snapToGrid w:val="0"/>
              <w:spacing w:line="256" w:lineRule="exact"/>
              <w:jc w:val="center"/>
              <w:rPr>
                <w:rFonts w:hint="eastAsia" w:ascii="宋体" w:hAnsi="宋体" w:cs="宋体"/>
                <w:b/>
                <w:szCs w:val="21"/>
              </w:rPr>
            </w:pPr>
            <w:r>
              <w:rPr>
                <w:rFonts w:hint="eastAsia" w:ascii="宋体" w:hAnsi="宋体" w:cs="宋体"/>
                <w:b/>
                <w:szCs w:val="21"/>
              </w:rPr>
              <w:t>分值</w:t>
            </w:r>
          </w:p>
        </w:tc>
        <w:tc>
          <w:tcPr>
            <w:tcW w:w="10431" w:type="dxa"/>
            <w:shd w:val="clear" w:color="auto" w:fill="FFFFFF"/>
            <w:vAlign w:val="center"/>
          </w:tcPr>
          <w:p w14:paraId="67977358">
            <w:pPr>
              <w:adjustRightInd w:val="0"/>
              <w:snapToGrid w:val="0"/>
              <w:spacing w:line="256" w:lineRule="exact"/>
              <w:jc w:val="center"/>
              <w:rPr>
                <w:rFonts w:hint="eastAsia" w:ascii="宋体" w:hAnsi="宋体" w:cs="宋体"/>
                <w:b/>
                <w:szCs w:val="21"/>
              </w:rPr>
            </w:pPr>
            <w:r>
              <w:rPr>
                <w:rFonts w:hint="eastAsia" w:ascii="宋体" w:hAnsi="宋体" w:cs="宋体"/>
                <w:b/>
                <w:szCs w:val="21"/>
              </w:rPr>
              <w:t>评审标准</w:t>
            </w:r>
          </w:p>
        </w:tc>
      </w:tr>
      <w:tr w14:paraId="1B6B21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013" w:hRule="atLeast"/>
          <w:jc w:val="right"/>
        </w:trPr>
        <w:tc>
          <w:tcPr>
            <w:tcW w:w="495" w:type="dxa"/>
            <w:vMerge w:val="restart"/>
            <w:shd w:val="clear" w:color="auto" w:fill="FFFFFF"/>
            <w:vAlign w:val="center"/>
          </w:tcPr>
          <w:p w14:paraId="467F0793">
            <w:pPr>
              <w:adjustRightInd w:val="0"/>
              <w:snapToGrid w:val="0"/>
              <w:spacing w:line="240" w:lineRule="exact"/>
              <w:jc w:val="center"/>
              <w:rPr>
                <w:rFonts w:hint="eastAsia" w:ascii="宋体" w:hAnsi="宋体" w:cs="宋体"/>
                <w:b/>
                <w:bCs/>
                <w:szCs w:val="21"/>
              </w:rPr>
            </w:pPr>
            <w:r>
              <w:rPr>
                <w:rFonts w:hint="eastAsia" w:ascii="宋体" w:hAnsi="宋体" w:cs="宋体"/>
                <w:b/>
                <w:bCs/>
                <w:szCs w:val="21"/>
              </w:rPr>
              <w:t>一</w:t>
            </w:r>
          </w:p>
        </w:tc>
        <w:tc>
          <w:tcPr>
            <w:tcW w:w="1215" w:type="dxa"/>
            <w:vMerge w:val="restart"/>
            <w:shd w:val="clear" w:color="auto" w:fill="FFFFFF"/>
            <w:vAlign w:val="center"/>
          </w:tcPr>
          <w:p w14:paraId="12526BF2">
            <w:pPr>
              <w:jc w:val="center"/>
              <w:rPr>
                <w:rFonts w:hint="eastAsia" w:ascii="宋体" w:hAnsi="宋体" w:cs="宋体"/>
                <w:b/>
                <w:bCs/>
                <w:szCs w:val="21"/>
              </w:rPr>
            </w:pPr>
            <w:r>
              <w:rPr>
                <w:rFonts w:hint="eastAsia" w:ascii="宋体" w:hAnsi="宋体" w:cs="宋体"/>
                <w:b/>
                <w:bCs/>
                <w:kern w:val="0"/>
                <w:szCs w:val="21"/>
              </w:rPr>
              <w:t>企业资信（20分）</w:t>
            </w:r>
          </w:p>
        </w:tc>
        <w:tc>
          <w:tcPr>
            <w:tcW w:w="1581" w:type="dxa"/>
            <w:shd w:val="clear" w:color="auto" w:fill="FFFFFF"/>
            <w:vAlign w:val="center"/>
          </w:tcPr>
          <w:p w14:paraId="7F03D8B6">
            <w:pPr>
              <w:widowControl/>
              <w:jc w:val="center"/>
              <w:rPr>
                <w:rFonts w:hint="eastAsia" w:ascii="宋体" w:hAnsi="宋体" w:cs="宋体"/>
                <w:b/>
                <w:bCs/>
                <w:szCs w:val="21"/>
              </w:rPr>
            </w:pPr>
            <w:r>
              <w:rPr>
                <w:rFonts w:hint="eastAsia" w:ascii="宋体" w:hAnsi="宋体" w:cs="宋体"/>
                <w:b/>
                <w:bCs/>
                <w:kern w:val="0"/>
                <w:szCs w:val="21"/>
                <w:lang w:bidi="ar"/>
              </w:rPr>
              <w:t>类似工程业绩</w:t>
            </w:r>
          </w:p>
        </w:tc>
        <w:tc>
          <w:tcPr>
            <w:tcW w:w="819" w:type="dxa"/>
            <w:shd w:val="clear" w:color="auto" w:fill="FFFFFF"/>
            <w:vAlign w:val="center"/>
          </w:tcPr>
          <w:p w14:paraId="519DA7FD">
            <w:pPr>
              <w:widowControl/>
              <w:jc w:val="center"/>
              <w:rPr>
                <w:rFonts w:hint="eastAsia" w:ascii="宋体" w:hAnsi="宋体" w:cs="宋体"/>
                <w:szCs w:val="21"/>
              </w:rPr>
            </w:pPr>
            <w:r>
              <w:rPr>
                <w:rFonts w:hint="eastAsia" w:ascii="宋体" w:cs="宋体"/>
                <w:kern w:val="0"/>
                <w:szCs w:val="21"/>
                <w:lang w:bidi="ar"/>
              </w:rPr>
              <w:t>6</w:t>
            </w:r>
          </w:p>
        </w:tc>
        <w:tc>
          <w:tcPr>
            <w:tcW w:w="10431" w:type="dxa"/>
            <w:shd w:val="clear" w:color="auto" w:fill="FFFFFF"/>
            <w:vAlign w:val="center"/>
          </w:tcPr>
          <w:p w14:paraId="28428814">
            <w:pPr>
              <w:widowControl/>
              <w:spacing w:line="288" w:lineRule="auto"/>
              <w:jc w:val="left"/>
              <w:rPr>
                <w:rFonts w:hint="eastAsia" w:ascii="宋体" w:hAnsi="宋体" w:cs="宋体"/>
                <w:kern w:val="0"/>
                <w:szCs w:val="21"/>
              </w:rPr>
            </w:pPr>
            <w:r>
              <w:rPr>
                <w:rFonts w:hint="eastAsia" w:ascii="宋体" w:hAnsi="宋体" w:cs="宋体"/>
                <w:kern w:val="0"/>
                <w:szCs w:val="21"/>
                <w:lang w:bidi="ar"/>
              </w:rPr>
              <w:t>投标人自</w:t>
            </w:r>
            <w:r>
              <w:rPr>
                <w:rFonts w:ascii="宋体" w:hAnsi="宋体" w:cs="宋体"/>
                <w:kern w:val="0"/>
                <w:szCs w:val="21"/>
                <w:lang w:bidi="ar"/>
              </w:rPr>
              <w:t>202</w:t>
            </w:r>
            <w:r>
              <w:rPr>
                <w:rFonts w:hint="eastAsia" w:ascii="宋体" w:hAnsi="宋体" w:cs="宋体"/>
                <w:kern w:val="0"/>
                <w:szCs w:val="21"/>
                <w:lang w:bidi="ar"/>
              </w:rPr>
              <w:t>2</w:t>
            </w:r>
            <w:r>
              <w:rPr>
                <w:rFonts w:ascii="宋体" w:hAnsi="宋体" w:cs="宋体"/>
                <w:kern w:val="0"/>
                <w:szCs w:val="21"/>
                <w:lang w:bidi="ar"/>
              </w:rPr>
              <w:t>年1月1日至投标截止时间止，完成过质量合格的类</w:t>
            </w:r>
            <w:r>
              <w:rPr>
                <w:rFonts w:hint="eastAsia" w:ascii="宋体" w:hAnsi="宋体" w:cs="宋体"/>
                <w:kern w:val="0"/>
                <w:szCs w:val="21"/>
                <w:lang w:bidi="ar"/>
              </w:rPr>
              <w:t>似工程业绩，每项得3分，本项最高得6</w:t>
            </w:r>
            <w:r>
              <w:rPr>
                <w:rFonts w:ascii="宋体" w:hAnsi="宋体" w:cs="宋体"/>
                <w:kern w:val="0"/>
                <w:szCs w:val="21"/>
                <w:lang w:bidi="ar"/>
              </w:rPr>
              <w:t>分。</w:t>
            </w:r>
          </w:p>
        </w:tc>
      </w:tr>
      <w:tr w14:paraId="68DB73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1427" w:hRule="atLeast"/>
          <w:jc w:val="right"/>
        </w:trPr>
        <w:tc>
          <w:tcPr>
            <w:tcW w:w="495" w:type="dxa"/>
            <w:vMerge w:val="continue"/>
            <w:shd w:val="clear" w:color="auto" w:fill="FFFFFF"/>
            <w:vAlign w:val="center"/>
          </w:tcPr>
          <w:p w14:paraId="77F910AA">
            <w:pPr>
              <w:adjustRightInd w:val="0"/>
              <w:snapToGrid w:val="0"/>
              <w:spacing w:line="240" w:lineRule="exact"/>
              <w:jc w:val="center"/>
              <w:rPr>
                <w:rFonts w:hint="eastAsia" w:ascii="宋体" w:hAnsi="宋体" w:cs="宋体"/>
                <w:b/>
                <w:bCs/>
                <w:szCs w:val="21"/>
              </w:rPr>
            </w:pPr>
          </w:p>
        </w:tc>
        <w:tc>
          <w:tcPr>
            <w:tcW w:w="1215" w:type="dxa"/>
            <w:vMerge w:val="continue"/>
            <w:shd w:val="clear" w:color="auto" w:fill="FFFFFF"/>
            <w:vAlign w:val="center"/>
          </w:tcPr>
          <w:p w14:paraId="290149E3">
            <w:pPr>
              <w:jc w:val="center"/>
              <w:rPr>
                <w:rFonts w:hint="eastAsia" w:ascii="宋体" w:hAnsi="宋体" w:cs="宋体"/>
                <w:b/>
                <w:bCs/>
                <w:szCs w:val="21"/>
              </w:rPr>
            </w:pPr>
          </w:p>
        </w:tc>
        <w:tc>
          <w:tcPr>
            <w:tcW w:w="1581" w:type="dxa"/>
            <w:shd w:val="clear" w:color="auto" w:fill="FFFFFF"/>
            <w:vAlign w:val="center"/>
          </w:tcPr>
          <w:p w14:paraId="317C5452">
            <w:pPr>
              <w:widowControl/>
              <w:jc w:val="center"/>
              <w:rPr>
                <w:rFonts w:hint="eastAsia" w:ascii="宋体" w:hAnsi="宋体" w:cs="宋体"/>
                <w:b/>
                <w:bCs/>
                <w:szCs w:val="21"/>
              </w:rPr>
            </w:pPr>
            <w:r>
              <w:rPr>
                <w:rFonts w:hint="eastAsia" w:ascii="宋体" w:hAnsi="宋体" w:cs="宋体"/>
                <w:b/>
                <w:bCs/>
                <w:kern w:val="0"/>
                <w:szCs w:val="21"/>
                <w:lang w:bidi="ar"/>
              </w:rPr>
              <w:t>工程获奖</w:t>
            </w:r>
          </w:p>
        </w:tc>
        <w:tc>
          <w:tcPr>
            <w:tcW w:w="819" w:type="dxa"/>
            <w:shd w:val="clear" w:color="auto" w:fill="FFFFFF"/>
            <w:vAlign w:val="center"/>
          </w:tcPr>
          <w:p w14:paraId="09BB92E0">
            <w:pPr>
              <w:widowControl/>
              <w:jc w:val="center"/>
              <w:rPr>
                <w:rFonts w:hint="eastAsia" w:ascii="宋体" w:hAnsi="宋体" w:cs="宋体"/>
                <w:szCs w:val="21"/>
              </w:rPr>
            </w:pPr>
            <w:r>
              <w:rPr>
                <w:rFonts w:hint="eastAsia" w:ascii="宋体" w:cs="宋体"/>
                <w:kern w:val="0"/>
                <w:szCs w:val="21"/>
                <w:lang w:bidi="ar"/>
              </w:rPr>
              <w:t>5</w:t>
            </w:r>
          </w:p>
        </w:tc>
        <w:tc>
          <w:tcPr>
            <w:tcW w:w="10431" w:type="dxa"/>
            <w:shd w:val="clear" w:color="auto" w:fill="FFFFFF"/>
            <w:vAlign w:val="center"/>
          </w:tcPr>
          <w:p w14:paraId="7BFE60FB">
            <w:pPr>
              <w:widowControl/>
              <w:spacing w:line="288" w:lineRule="auto"/>
              <w:jc w:val="left"/>
              <w:rPr>
                <w:rFonts w:hint="eastAsia" w:ascii="宋体" w:hAnsi="宋体" w:cs="宋体"/>
                <w:kern w:val="0"/>
                <w:szCs w:val="21"/>
              </w:rPr>
            </w:pPr>
            <w:r>
              <w:rPr>
                <w:rFonts w:hint="eastAsia" w:ascii="宋体" w:hAnsi="宋体" w:cs="宋体"/>
                <w:kern w:val="0"/>
                <w:szCs w:val="21"/>
                <w:lang w:bidi="ar"/>
              </w:rPr>
              <w:t>投标人自</w:t>
            </w:r>
            <w:r>
              <w:rPr>
                <w:rFonts w:ascii="宋体" w:hAnsi="宋体" w:cs="宋体"/>
                <w:kern w:val="0"/>
                <w:szCs w:val="21"/>
                <w:lang w:bidi="ar"/>
              </w:rPr>
              <w:t>202</w:t>
            </w:r>
            <w:r>
              <w:rPr>
                <w:rFonts w:hint="eastAsia" w:ascii="宋体" w:hAnsi="宋体" w:cs="宋体"/>
                <w:kern w:val="0"/>
                <w:szCs w:val="21"/>
                <w:lang w:bidi="ar"/>
              </w:rPr>
              <w:t>2</w:t>
            </w:r>
            <w:r>
              <w:rPr>
                <w:rFonts w:ascii="宋体" w:hAnsi="宋体" w:cs="宋体"/>
                <w:kern w:val="0"/>
                <w:szCs w:val="21"/>
                <w:lang w:bidi="ar"/>
              </w:rPr>
              <w:t>年1月1日至投标截止时间止，获得过市级或以上的</w:t>
            </w:r>
            <w:r>
              <w:rPr>
                <w:rFonts w:hint="eastAsia" w:ascii="宋体" w:hAnsi="宋体" w:cs="宋体"/>
                <w:bCs/>
                <w:kern w:val="0"/>
                <w:szCs w:val="21"/>
                <w:lang w:bidi="ar"/>
              </w:rPr>
              <w:t>工程质量奖项，每项得2.5分，</w:t>
            </w:r>
            <w:r>
              <w:rPr>
                <w:rFonts w:hint="eastAsia" w:ascii="宋体" w:hAnsi="宋体" w:cs="宋体"/>
                <w:kern w:val="0"/>
                <w:szCs w:val="21"/>
                <w:lang w:bidi="ar"/>
              </w:rPr>
              <w:t>本项最高得5</w:t>
            </w:r>
            <w:r>
              <w:rPr>
                <w:rFonts w:ascii="宋体" w:hAnsi="宋体" w:cs="宋体"/>
                <w:kern w:val="0"/>
                <w:szCs w:val="21"/>
                <w:lang w:bidi="ar"/>
              </w:rPr>
              <w:t>分。</w:t>
            </w:r>
          </w:p>
        </w:tc>
      </w:tr>
      <w:tr w14:paraId="2EC74F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1034" w:hRule="atLeast"/>
          <w:jc w:val="right"/>
        </w:trPr>
        <w:tc>
          <w:tcPr>
            <w:tcW w:w="495" w:type="dxa"/>
            <w:vMerge w:val="continue"/>
            <w:shd w:val="clear" w:color="auto" w:fill="FFFFFF"/>
            <w:vAlign w:val="center"/>
          </w:tcPr>
          <w:p w14:paraId="45ED8194">
            <w:pPr>
              <w:adjustRightInd w:val="0"/>
              <w:snapToGrid w:val="0"/>
              <w:spacing w:line="240" w:lineRule="exact"/>
              <w:jc w:val="center"/>
              <w:rPr>
                <w:rFonts w:hint="eastAsia" w:ascii="宋体" w:hAnsi="宋体" w:cs="宋体"/>
                <w:b/>
                <w:bCs/>
                <w:szCs w:val="21"/>
              </w:rPr>
            </w:pPr>
          </w:p>
        </w:tc>
        <w:tc>
          <w:tcPr>
            <w:tcW w:w="1215" w:type="dxa"/>
            <w:vMerge w:val="continue"/>
            <w:shd w:val="clear" w:color="auto" w:fill="FFFFFF"/>
            <w:vAlign w:val="center"/>
          </w:tcPr>
          <w:p w14:paraId="4390E6ED">
            <w:pPr>
              <w:jc w:val="center"/>
              <w:rPr>
                <w:rFonts w:hint="eastAsia" w:ascii="宋体" w:hAnsi="宋体" w:cs="宋体"/>
                <w:b/>
                <w:bCs/>
                <w:kern w:val="0"/>
                <w:szCs w:val="21"/>
              </w:rPr>
            </w:pPr>
          </w:p>
        </w:tc>
        <w:tc>
          <w:tcPr>
            <w:tcW w:w="1581" w:type="dxa"/>
            <w:shd w:val="clear" w:color="auto" w:fill="FFFFFF"/>
            <w:vAlign w:val="center"/>
          </w:tcPr>
          <w:p w14:paraId="28F7FBF9">
            <w:pPr>
              <w:widowControl/>
              <w:jc w:val="center"/>
              <w:rPr>
                <w:rFonts w:hint="eastAsia" w:ascii="宋体" w:hAnsi="宋体" w:cs="宋体"/>
                <w:b/>
                <w:bCs/>
                <w:szCs w:val="21"/>
              </w:rPr>
            </w:pPr>
            <w:r>
              <w:rPr>
                <w:rFonts w:hint="eastAsia" w:ascii="宋体" w:hAnsi="宋体" w:cs="宋体"/>
                <w:b/>
                <w:bCs/>
                <w:kern w:val="0"/>
                <w:szCs w:val="21"/>
                <w:lang w:bidi="ar"/>
              </w:rPr>
              <w:t>工程研发能力</w:t>
            </w:r>
          </w:p>
        </w:tc>
        <w:tc>
          <w:tcPr>
            <w:tcW w:w="819" w:type="dxa"/>
            <w:shd w:val="clear" w:color="auto" w:fill="FFFFFF"/>
            <w:vAlign w:val="center"/>
          </w:tcPr>
          <w:p w14:paraId="4C8A4C2F">
            <w:pPr>
              <w:widowControl/>
              <w:jc w:val="center"/>
              <w:rPr>
                <w:rFonts w:hint="eastAsia" w:ascii="宋体" w:hAnsi="宋体" w:cs="宋体"/>
                <w:kern w:val="0"/>
                <w:szCs w:val="21"/>
              </w:rPr>
            </w:pPr>
            <w:r>
              <w:rPr>
                <w:rFonts w:hint="eastAsia" w:ascii="宋体" w:cs="宋体"/>
                <w:kern w:val="0"/>
                <w:szCs w:val="21"/>
                <w:lang w:bidi="ar"/>
              </w:rPr>
              <w:t>6</w:t>
            </w:r>
          </w:p>
        </w:tc>
        <w:tc>
          <w:tcPr>
            <w:tcW w:w="10431" w:type="dxa"/>
            <w:shd w:val="clear" w:color="auto" w:fill="FFFFFF"/>
            <w:vAlign w:val="center"/>
          </w:tcPr>
          <w:p w14:paraId="709980E9">
            <w:pPr>
              <w:pStyle w:val="2"/>
              <w:spacing w:line="288" w:lineRule="auto"/>
              <w:rPr>
                <w:rFonts w:hint="eastAsia" w:hAnsi="宋体" w:cs="宋体"/>
                <w:bCs/>
                <w:szCs w:val="21"/>
              </w:rPr>
            </w:pPr>
            <w:r>
              <w:rPr>
                <w:rFonts w:hint="eastAsia" w:hAnsi="宋体" w:cs="宋体"/>
                <w:bCs/>
                <w:szCs w:val="21"/>
              </w:rPr>
              <w:t>1、投标人自2022年1月1日至投标截止时间止，获得过工程类发明专利证书的，5项（不含）以上的，得1.5分；3-5项的，得0.5分；1-2项的，得0.2分，本项最高得1.5分。</w:t>
            </w:r>
          </w:p>
          <w:p w14:paraId="4BF362AE">
            <w:pPr>
              <w:pStyle w:val="2"/>
              <w:spacing w:line="288" w:lineRule="auto"/>
              <w:rPr>
                <w:rFonts w:hint="eastAsia" w:hAnsi="宋体" w:cs="宋体"/>
                <w:bCs/>
                <w:szCs w:val="21"/>
              </w:rPr>
            </w:pPr>
            <w:r>
              <w:rPr>
                <w:rFonts w:hint="eastAsia" w:hAnsi="宋体" w:cs="宋体"/>
                <w:bCs/>
                <w:szCs w:val="21"/>
              </w:rPr>
              <w:t>2、投标人自2022年1月1日至投标截止时间止，获得国家版权局颁发的工程类软件著作权登记证书的，5项（不含）以上的，得1.5分；3-5项的，得0.5分；1-2项的，得0.2分，本项最高得1.5分。</w:t>
            </w:r>
          </w:p>
          <w:p w14:paraId="531D86C0">
            <w:pPr>
              <w:pStyle w:val="2"/>
              <w:spacing w:line="288" w:lineRule="auto"/>
              <w:rPr>
                <w:rFonts w:hint="eastAsia" w:hAnsi="宋体" w:cs="宋体"/>
                <w:kern w:val="0"/>
                <w:szCs w:val="21"/>
              </w:rPr>
            </w:pPr>
            <w:r>
              <w:rPr>
                <w:rFonts w:hint="eastAsia" w:hAnsi="宋体" w:cs="宋体"/>
                <w:bCs/>
                <w:szCs w:val="21"/>
              </w:rPr>
              <w:t>3、投标人自2022年度至投标截止时间止，</w:t>
            </w:r>
            <w:r>
              <w:rPr>
                <w:rFonts w:hint="eastAsia" w:hAnsi="宋体" w:cs="宋体"/>
                <w:snapToGrid w:val="0"/>
                <w:szCs w:val="21"/>
              </w:rPr>
              <w:t>为主要完成单位或独立完成单位获得过省级或以上科学技术进步奖或科技进步奖或科学技术奖，每项得0.2分，合计最高得3分。</w:t>
            </w:r>
          </w:p>
        </w:tc>
      </w:tr>
      <w:tr w14:paraId="374A90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512" w:hRule="atLeast"/>
          <w:jc w:val="right"/>
        </w:trPr>
        <w:tc>
          <w:tcPr>
            <w:tcW w:w="495" w:type="dxa"/>
            <w:vMerge w:val="continue"/>
            <w:shd w:val="clear" w:color="auto" w:fill="FFFFFF"/>
            <w:vAlign w:val="center"/>
          </w:tcPr>
          <w:p w14:paraId="2F518785">
            <w:pPr>
              <w:adjustRightInd w:val="0"/>
              <w:snapToGrid w:val="0"/>
              <w:spacing w:line="240" w:lineRule="exact"/>
              <w:jc w:val="center"/>
              <w:rPr>
                <w:rFonts w:hint="eastAsia" w:ascii="宋体" w:hAnsi="宋体" w:cs="宋体"/>
                <w:b/>
                <w:bCs/>
                <w:szCs w:val="21"/>
              </w:rPr>
            </w:pPr>
          </w:p>
        </w:tc>
        <w:tc>
          <w:tcPr>
            <w:tcW w:w="1215" w:type="dxa"/>
            <w:vMerge w:val="continue"/>
            <w:shd w:val="clear" w:color="auto" w:fill="FFFFFF"/>
            <w:vAlign w:val="center"/>
          </w:tcPr>
          <w:p w14:paraId="65C8C60A">
            <w:pPr>
              <w:jc w:val="center"/>
              <w:rPr>
                <w:rFonts w:hint="eastAsia" w:ascii="宋体" w:hAnsi="宋体" w:cs="宋体"/>
                <w:b/>
                <w:bCs/>
                <w:kern w:val="0"/>
                <w:szCs w:val="21"/>
              </w:rPr>
            </w:pPr>
          </w:p>
        </w:tc>
        <w:tc>
          <w:tcPr>
            <w:tcW w:w="1581" w:type="dxa"/>
            <w:shd w:val="clear" w:color="auto" w:fill="FFFFFF"/>
            <w:vAlign w:val="center"/>
          </w:tcPr>
          <w:p w14:paraId="62626DD5">
            <w:pPr>
              <w:widowControl/>
              <w:jc w:val="center"/>
              <w:rPr>
                <w:rFonts w:hint="eastAsia" w:ascii="宋体" w:hAnsi="宋体" w:cs="宋体"/>
                <w:b/>
                <w:bCs/>
                <w:szCs w:val="21"/>
              </w:rPr>
            </w:pPr>
            <w:r>
              <w:rPr>
                <w:rFonts w:hint="eastAsia" w:ascii="宋体" w:hAnsi="宋体" w:cs="宋体"/>
                <w:b/>
                <w:bCs/>
                <w:kern w:val="0"/>
                <w:szCs w:val="21"/>
                <w:lang w:bidi="ar"/>
              </w:rPr>
              <w:t>第三方评价</w:t>
            </w:r>
          </w:p>
        </w:tc>
        <w:tc>
          <w:tcPr>
            <w:tcW w:w="819" w:type="dxa"/>
            <w:shd w:val="clear" w:color="auto" w:fill="FFFFFF"/>
            <w:vAlign w:val="center"/>
          </w:tcPr>
          <w:p w14:paraId="751C7C69">
            <w:pPr>
              <w:widowControl/>
              <w:jc w:val="center"/>
              <w:rPr>
                <w:rFonts w:hint="eastAsia" w:ascii="宋体" w:hAnsi="宋体" w:cs="宋体"/>
                <w:kern w:val="0"/>
                <w:szCs w:val="21"/>
              </w:rPr>
            </w:pPr>
            <w:r>
              <w:rPr>
                <w:rFonts w:hint="eastAsia" w:ascii="宋体" w:hAnsi="宋体" w:cs="宋体"/>
                <w:kern w:val="0"/>
                <w:szCs w:val="21"/>
                <w:lang w:bidi="ar"/>
              </w:rPr>
              <w:t>3</w:t>
            </w:r>
          </w:p>
        </w:tc>
        <w:tc>
          <w:tcPr>
            <w:tcW w:w="10431" w:type="dxa"/>
            <w:shd w:val="clear" w:color="auto" w:fill="FFFFFF"/>
            <w:vAlign w:val="center"/>
          </w:tcPr>
          <w:p w14:paraId="60DDC7E5">
            <w:pPr>
              <w:rPr>
                <w:rFonts w:hint="eastAsia" w:ascii="宋体" w:hAnsi="宋体" w:cs="宋体"/>
                <w:szCs w:val="21"/>
              </w:rPr>
            </w:pPr>
            <w:r>
              <w:rPr>
                <w:rFonts w:hint="eastAsia" w:ascii="宋体" w:hAnsi="宋体" w:cs="宋体"/>
                <w:szCs w:val="21"/>
              </w:rPr>
              <w:t>1、投标人具有有效的质量管理体系认证、环境管理体系认证、职业健康安全管理体系认证且在有效期内，每个得1分，本项最高得3分。</w:t>
            </w:r>
          </w:p>
        </w:tc>
      </w:tr>
      <w:tr w14:paraId="1A271B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right"/>
        </w:trPr>
        <w:tc>
          <w:tcPr>
            <w:tcW w:w="495" w:type="dxa"/>
            <w:shd w:val="clear" w:color="auto" w:fill="FFFFFF"/>
            <w:vAlign w:val="center"/>
          </w:tcPr>
          <w:p w14:paraId="42A3F448">
            <w:pPr>
              <w:adjustRightInd w:val="0"/>
              <w:snapToGrid w:val="0"/>
              <w:spacing w:line="240" w:lineRule="exact"/>
              <w:jc w:val="center"/>
              <w:rPr>
                <w:rFonts w:hint="eastAsia" w:ascii="宋体" w:hAnsi="宋体" w:cs="宋体"/>
                <w:b/>
                <w:bCs/>
                <w:szCs w:val="21"/>
              </w:rPr>
            </w:pPr>
          </w:p>
        </w:tc>
        <w:tc>
          <w:tcPr>
            <w:tcW w:w="1215" w:type="dxa"/>
            <w:vMerge w:val="restart"/>
            <w:shd w:val="clear" w:color="auto" w:fill="FFFFFF"/>
            <w:vAlign w:val="center"/>
          </w:tcPr>
          <w:p w14:paraId="26DF3604">
            <w:pPr>
              <w:jc w:val="center"/>
              <w:rPr>
                <w:rFonts w:hint="eastAsia" w:ascii="宋体" w:hAnsi="宋体" w:cs="宋体"/>
                <w:b/>
                <w:bCs/>
                <w:kern w:val="0"/>
                <w:szCs w:val="21"/>
              </w:rPr>
            </w:pPr>
            <w:r>
              <w:rPr>
                <w:rFonts w:hint="eastAsia" w:ascii="宋体" w:hAnsi="宋体" w:cs="宋体"/>
                <w:b/>
                <w:bCs/>
                <w:szCs w:val="21"/>
              </w:rPr>
              <w:t>项目管理机构（40分）</w:t>
            </w:r>
          </w:p>
        </w:tc>
        <w:tc>
          <w:tcPr>
            <w:tcW w:w="1581" w:type="dxa"/>
            <w:shd w:val="clear" w:color="auto" w:fill="FFFFFF"/>
            <w:vAlign w:val="center"/>
          </w:tcPr>
          <w:p w14:paraId="5C27F258">
            <w:pPr>
              <w:widowControl/>
              <w:jc w:val="center"/>
              <w:rPr>
                <w:rFonts w:hint="eastAsia" w:ascii="宋体" w:hAnsi="宋体" w:cs="宋体"/>
                <w:b/>
                <w:bCs/>
                <w:szCs w:val="21"/>
              </w:rPr>
            </w:pPr>
            <w:r>
              <w:rPr>
                <w:rFonts w:hint="eastAsia" w:ascii="宋体" w:hAnsi="宋体" w:cs="宋体"/>
                <w:b/>
                <w:bCs/>
                <w:kern w:val="0"/>
                <w:szCs w:val="21"/>
                <w:lang w:bidi="ar"/>
              </w:rPr>
              <w:t>技术负责人</w:t>
            </w:r>
          </w:p>
        </w:tc>
        <w:tc>
          <w:tcPr>
            <w:tcW w:w="819" w:type="dxa"/>
            <w:shd w:val="clear" w:color="auto" w:fill="FFFFFF"/>
            <w:vAlign w:val="center"/>
          </w:tcPr>
          <w:p w14:paraId="03891155">
            <w:pPr>
              <w:widowControl/>
              <w:jc w:val="center"/>
              <w:rPr>
                <w:rFonts w:hint="eastAsia" w:ascii="宋体" w:hAnsi="宋体" w:cs="宋体"/>
                <w:kern w:val="0"/>
                <w:szCs w:val="21"/>
              </w:rPr>
            </w:pPr>
            <w:r>
              <w:rPr>
                <w:rFonts w:hint="eastAsia" w:ascii="宋体" w:cs="宋体"/>
                <w:kern w:val="0"/>
                <w:szCs w:val="21"/>
                <w:lang w:bidi="ar"/>
              </w:rPr>
              <w:t>5</w:t>
            </w:r>
          </w:p>
        </w:tc>
        <w:tc>
          <w:tcPr>
            <w:tcW w:w="10431" w:type="dxa"/>
            <w:shd w:val="clear" w:color="auto" w:fill="FFFFFF"/>
            <w:vAlign w:val="center"/>
          </w:tcPr>
          <w:p w14:paraId="3C6AAAEB">
            <w:pPr>
              <w:widowControl/>
              <w:spacing w:line="288" w:lineRule="auto"/>
              <w:jc w:val="left"/>
              <w:rPr>
                <w:rFonts w:hint="eastAsia" w:ascii="宋体" w:hAnsi="宋体" w:cs="宋体"/>
                <w:kern w:val="0"/>
                <w:szCs w:val="21"/>
                <w:lang w:bidi="ar"/>
              </w:rPr>
            </w:pPr>
            <w:r>
              <w:rPr>
                <w:rFonts w:hint="eastAsia" w:ascii="宋体" w:hAnsi="宋体" w:cs="宋体"/>
                <w:kern w:val="0"/>
                <w:szCs w:val="21"/>
                <w:lang w:bidi="ar"/>
              </w:rPr>
              <w:t>1、技术负责人具有</w:t>
            </w:r>
            <w:r>
              <w:rPr>
                <w:rFonts w:hint="eastAsia" w:ascii="宋体" w:hAnsi="宋体" w:cs="宋体"/>
                <w:szCs w:val="21"/>
              </w:rPr>
              <w:t>市政公用</w:t>
            </w:r>
            <w:r>
              <w:rPr>
                <w:rFonts w:hint="eastAsia" w:ascii="宋体" w:hAnsi="宋体" w:cs="宋体"/>
                <w:kern w:val="0"/>
                <w:szCs w:val="21"/>
                <w:lang w:bidi="ar"/>
              </w:rPr>
              <w:t>工程相关专业高级工程师（副高）或以上技术职称的，得3</w:t>
            </w:r>
            <w:r>
              <w:rPr>
                <w:rFonts w:ascii="宋体" w:hAnsi="宋体" w:cs="宋体"/>
                <w:kern w:val="0"/>
                <w:szCs w:val="21"/>
                <w:lang w:bidi="ar"/>
              </w:rPr>
              <w:t>分</w:t>
            </w:r>
            <w:r>
              <w:rPr>
                <w:rFonts w:hint="eastAsia" w:ascii="宋体" w:hAnsi="宋体" w:cs="宋体"/>
                <w:kern w:val="0"/>
                <w:szCs w:val="21"/>
                <w:lang w:bidi="ar"/>
              </w:rPr>
              <w:t>，</w:t>
            </w:r>
          </w:p>
          <w:p w14:paraId="632BC652">
            <w:pPr>
              <w:widowControl/>
              <w:spacing w:line="288" w:lineRule="auto"/>
              <w:jc w:val="left"/>
              <w:rPr>
                <w:rFonts w:hint="eastAsia" w:ascii="宋体" w:hAnsi="宋体" w:cs="宋体"/>
                <w:kern w:val="0"/>
                <w:szCs w:val="21"/>
                <w:lang w:bidi="ar"/>
              </w:rPr>
            </w:pPr>
            <w:r>
              <w:rPr>
                <w:rFonts w:hint="eastAsia" w:ascii="宋体" w:hAnsi="宋体" w:cs="宋体"/>
                <w:kern w:val="0"/>
                <w:szCs w:val="21"/>
                <w:lang w:bidi="ar"/>
              </w:rPr>
              <w:t>2、技术负责人具有10年或以上（含10年）施工管理工作经验，得2分；具有5年（含5年）至10年（不含10年）施工管理工作经验，得1分；具有0年（含0年）至5年（不含5年）施工管理工作经验，得0.5分。</w:t>
            </w:r>
          </w:p>
          <w:p w14:paraId="21642689">
            <w:pPr>
              <w:widowControl/>
              <w:spacing w:line="288" w:lineRule="auto"/>
              <w:jc w:val="left"/>
              <w:rPr>
                <w:rFonts w:hint="eastAsia" w:ascii="宋体" w:hAnsi="宋体" w:cs="宋体"/>
                <w:kern w:val="0"/>
                <w:szCs w:val="21"/>
                <w:lang w:val="zh-TW" w:eastAsia="zh-TW"/>
              </w:rPr>
            </w:pPr>
            <w:r>
              <w:rPr>
                <w:rFonts w:hint="eastAsia" w:ascii="宋体" w:hAnsi="宋体" w:cs="宋体"/>
                <w:kern w:val="0"/>
                <w:szCs w:val="21"/>
                <w:lang w:bidi="ar"/>
              </w:rPr>
              <w:t>不满足上述情况的</w:t>
            </w:r>
            <w:r>
              <w:rPr>
                <w:rFonts w:ascii="宋体" w:hAnsi="宋体" w:cs="宋体"/>
                <w:kern w:val="0"/>
                <w:szCs w:val="21"/>
                <w:lang w:bidi="ar"/>
              </w:rPr>
              <w:t>,不得分。</w:t>
            </w:r>
          </w:p>
        </w:tc>
      </w:tr>
      <w:tr w14:paraId="51F5B1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90" w:hRule="atLeast"/>
          <w:jc w:val="right"/>
        </w:trPr>
        <w:tc>
          <w:tcPr>
            <w:tcW w:w="495" w:type="dxa"/>
            <w:vMerge w:val="restart"/>
            <w:shd w:val="clear" w:color="auto" w:fill="FFFFFF"/>
            <w:vAlign w:val="center"/>
          </w:tcPr>
          <w:p w14:paraId="6946A8C7">
            <w:pPr>
              <w:adjustRightInd w:val="0"/>
              <w:snapToGrid w:val="0"/>
              <w:spacing w:line="240" w:lineRule="exact"/>
              <w:jc w:val="center"/>
              <w:rPr>
                <w:rFonts w:hint="eastAsia" w:ascii="宋体" w:hAnsi="宋体" w:cs="宋体"/>
                <w:b/>
                <w:bCs/>
                <w:szCs w:val="21"/>
              </w:rPr>
            </w:pPr>
            <w:r>
              <w:rPr>
                <w:rFonts w:hint="eastAsia" w:ascii="宋体" w:hAnsi="宋体" w:cs="宋体"/>
                <w:b/>
                <w:bCs/>
                <w:szCs w:val="21"/>
              </w:rPr>
              <w:t>二</w:t>
            </w:r>
          </w:p>
        </w:tc>
        <w:tc>
          <w:tcPr>
            <w:tcW w:w="1215" w:type="dxa"/>
            <w:vMerge w:val="continue"/>
            <w:shd w:val="clear" w:color="auto" w:fill="FFFFFF"/>
            <w:vAlign w:val="center"/>
          </w:tcPr>
          <w:p w14:paraId="56C5C451">
            <w:pPr>
              <w:jc w:val="center"/>
              <w:rPr>
                <w:rFonts w:hint="eastAsia" w:ascii="宋体" w:hAnsi="宋体" w:cs="宋体"/>
                <w:b/>
                <w:bCs/>
                <w:kern w:val="0"/>
                <w:szCs w:val="21"/>
              </w:rPr>
            </w:pPr>
          </w:p>
        </w:tc>
        <w:tc>
          <w:tcPr>
            <w:tcW w:w="1581" w:type="dxa"/>
            <w:shd w:val="clear" w:color="auto" w:fill="FFFFFF"/>
            <w:vAlign w:val="center"/>
          </w:tcPr>
          <w:p w14:paraId="7C093216">
            <w:pPr>
              <w:widowControl/>
              <w:jc w:val="center"/>
              <w:rPr>
                <w:rFonts w:hint="eastAsia" w:ascii="宋体" w:hAnsi="宋体" w:cs="宋体"/>
                <w:b/>
                <w:bCs/>
                <w:kern w:val="0"/>
                <w:szCs w:val="21"/>
              </w:rPr>
            </w:pPr>
            <w:r>
              <w:rPr>
                <w:rFonts w:hint="eastAsia" w:ascii="宋体" w:hAnsi="宋体" w:cs="宋体"/>
                <w:b/>
                <w:bCs/>
                <w:kern w:val="0"/>
                <w:szCs w:val="21"/>
                <w:lang w:bidi="ar"/>
              </w:rPr>
              <w:t>质量负责人</w:t>
            </w:r>
          </w:p>
        </w:tc>
        <w:tc>
          <w:tcPr>
            <w:tcW w:w="819" w:type="dxa"/>
            <w:shd w:val="clear" w:color="auto" w:fill="FFFFFF"/>
            <w:vAlign w:val="center"/>
          </w:tcPr>
          <w:p w14:paraId="07D36DF5">
            <w:pPr>
              <w:widowControl/>
              <w:jc w:val="center"/>
              <w:rPr>
                <w:rFonts w:hint="eastAsia" w:ascii="宋体" w:hAnsi="宋体" w:cs="宋体"/>
                <w:kern w:val="0"/>
                <w:szCs w:val="21"/>
              </w:rPr>
            </w:pPr>
            <w:r>
              <w:rPr>
                <w:rFonts w:hint="eastAsia" w:ascii="宋体" w:cs="宋体"/>
                <w:kern w:val="0"/>
                <w:szCs w:val="21"/>
                <w:lang w:bidi="ar"/>
              </w:rPr>
              <w:t>5</w:t>
            </w:r>
          </w:p>
        </w:tc>
        <w:tc>
          <w:tcPr>
            <w:tcW w:w="10431" w:type="dxa"/>
            <w:shd w:val="clear" w:color="auto" w:fill="FFFFFF"/>
            <w:vAlign w:val="center"/>
          </w:tcPr>
          <w:p w14:paraId="552DFC23">
            <w:pPr>
              <w:widowControl/>
              <w:spacing w:line="288" w:lineRule="auto"/>
              <w:jc w:val="left"/>
              <w:rPr>
                <w:rFonts w:hint="eastAsia" w:ascii="宋体" w:hAnsi="宋体" w:cs="宋体"/>
                <w:kern w:val="0"/>
                <w:szCs w:val="21"/>
                <w:lang w:bidi="ar"/>
              </w:rPr>
            </w:pPr>
            <w:r>
              <w:rPr>
                <w:rFonts w:hint="eastAsia" w:ascii="宋体" w:hAnsi="宋体" w:cs="宋体"/>
                <w:kern w:val="0"/>
                <w:szCs w:val="21"/>
                <w:lang w:bidi="ar"/>
              </w:rPr>
              <w:t>1、质量负责人具有</w:t>
            </w:r>
            <w:r>
              <w:rPr>
                <w:rFonts w:hint="eastAsia" w:ascii="宋体" w:hAnsi="宋体" w:cs="宋体"/>
                <w:szCs w:val="21"/>
              </w:rPr>
              <w:t>市政公用</w:t>
            </w:r>
            <w:r>
              <w:rPr>
                <w:rFonts w:hint="eastAsia" w:ascii="宋体" w:hAnsi="宋体" w:cs="宋体"/>
                <w:kern w:val="0"/>
                <w:szCs w:val="21"/>
                <w:lang w:bidi="ar"/>
              </w:rPr>
              <w:t>工程相关专业高级工程师（副高）或以上技术职称的，得3分；质量负责人具有</w:t>
            </w:r>
            <w:r>
              <w:rPr>
                <w:rFonts w:hint="eastAsia" w:ascii="宋体" w:hAnsi="宋体" w:cs="宋体"/>
                <w:szCs w:val="21"/>
              </w:rPr>
              <w:t>市政公用</w:t>
            </w:r>
            <w:r>
              <w:rPr>
                <w:rFonts w:hint="eastAsia" w:ascii="宋体" w:hAnsi="宋体" w:cs="宋体"/>
                <w:kern w:val="0"/>
                <w:szCs w:val="21"/>
                <w:lang w:bidi="ar"/>
              </w:rPr>
              <w:t>工程相关专业中级工程师技术职称的，得1分；</w:t>
            </w:r>
          </w:p>
          <w:p w14:paraId="602EA407">
            <w:pPr>
              <w:widowControl/>
              <w:spacing w:line="288" w:lineRule="auto"/>
              <w:jc w:val="left"/>
              <w:rPr>
                <w:rFonts w:hint="eastAsia" w:ascii="宋体" w:hAnsi="宋体" w:cs="宋体"/>
                <w:szCs w:val="21"/>
              </w:rPr>
            </w:pPr>
            <w:r>
              <w:rPr>
                <w:rFonts w:hint="eastAsia" w:ascii="宋体" w:hAnsi="宋体" w:cs="宋体"/>
                <w:kern w:val="0"/>
                <w:szCs w:val="21"/>
                <w:lang w:bidi="ar"/>
              </w:rPr>
              <w:t>2、质量负责人具有</w:t>
            </w:r>
            <w:r>
              <w:rPr>
                <w:rFonts w:hint="eastAsia" w:ascii="宋体" w:hAnsi="宋体" w:cs="宋体"/>
                <w:szCs w:val="21"/>
              </w:rPr>
              <w:t>具有10年或以上（含10年）施工管理工作经验，得2分；具有5年（含5年）至10年（不含10年）施工管理工作经验，得2分；具有0年（含0年）至5年（不含5年）施工管理工作经验，得1分。</w:t>
            </w:r>
          </w:p>
          <w:p w14:paraId="78578E29">
            <w:pPr>
              <w:widowControl/>
              <w:spacing w:line="288" w:lineRule="auto"/>
              <w:jc w:val="left"/>
              <w:rPr>
                <w:rFonts w:hint="eastAsia" w:ascii="宋体" w:hAnsi="宋体" w:cs="宋体"/>
                <w:kern w:val="0"/>
                <w:szCs w:val="21"/>
                <w:lang w:val="zh-TW" w:eastAsia="zh-TW"/>
              </w:rPr>
            </w:pPr>
            <w:r>
              <w:rPr>
                <w:rFonts w:hint="eastAsia" w:ascii="宋体" w:hAnsi="宋体" w:cs="宋体"/>
                <w:kern w:val="0"/>
                <w:szCs w:val="21"/>
                <w:lang w:bidi="ar"/>
              </w:rPr>
              <w:t>不满足上述情况的</w:t>
            </w:r>
            <w:r>
              <w:rPr>
                <w:rFonts w:ascii="宋体" w:hAnsi="宋体" w:cs="宋体"/>
                <w:kern w:val="0"/>
                <w:szCs w:val="21"/>
                <w:lang w:bidi="ar"/>
              </w:rPr>
              <w:t>,不得分。</w:t>
            </w:r>
          </w:p>
        </w:tc>
      </w:tr>
      <w:tr w14:paraId="4FFF7D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94" w:hRule="atLeast"/>
          <w:jc w:val="right"/>
        </w:trPr>
        <w:tc>
          <w:tcPr>
            <w:tcW w:w="495" w:type="dxa"/>
            <w:vMerge w:val="continue"/>
            <w:shd w:val="clear" w:color="auto" w:fill="FFFFFF"/>
            <w:vAlign w:val="center"/>
          </w:tcPr>
          <w:p w14:paraId="5999311A">
            <w:pPr>
              <w:adjustRightInd w:val="0"/>
              <w:snapToGrid w:val="0"/>
              <w:spacing w:line="240" w:lineRule="exact"/>
              <w:jc w:val="center"/>
              <w:rPr>
                <w:rFonts w:hint="eastAsia" w:ascii="宋体" w:hAnsi="宋体" w:cs="宋体"/>
                <w:b/>
                <w:bCs/>
                <w:szCs w:val="21"/>
              </w:rPr>
            </w:pPr>
          </w:p>
        </w:tc>
        <w:tc>
          <w:tcPr>
            <w:tcW w:w="1215" w:type="dxa"/>
            <w:vMerge w:val="continue"/>
            <w:shd w:val="clear" w:color="auto" w:fill="FFFFFF"/>
            <w:vAlign w:val="center"/>
          </w:tcPr>
          <w:p w14:paraId="64FDA4C9">
            <w:pPr>
              <w:jc w:val="center"/>
              <w:rPr>
                <w:rFonts w:hint="eastAsia" w:ascii="宋体" w:hAnsi="宋体" w:cs="宋体"/>
                <w:b/>
                <w:bCs/>
                <w:kern w:val="0"/>
                <w:szCs w:val="21"/>
              </w:rPr>
            </w:pPr>
          </w:p>
        </w:tc>
        <w:tc>
          <w:tcPr>
            <w:tcW w:w="1581" w:type="dxa"/>
            <w:shd w:val="clear" w:color="auto" w:fill="FFFFFF"/>
            <w:vAlign w:val="center"/>
          </w:tcPr>
          <w:p w14:paraId="71A793E6">
            <w:pPr>
              <w:widowControl/>
              <w:jc w:val="center"/>
              <w:rPr>
                <w:rFonts w:hint="eastAsia" w:ascii="宋体" w:hAnsi="宋体" w:cs="宋体"/>
                <w:b/>
                <w:bCs/>
                <w:kern w:val="0"/>
                <w:szCs w:val="21"/>
              </w:rPr>
            </w:pPr>
            <w:r>
              <w:rPr>
                <w:rFonts w:hint="eastAsia" w:ascii="宋体" w:hAnsi="宋体" w:cs="宋体"/>
                <w:b/>
                <w:bCs/>
                <w:kern w:val="0"/>
                <w:szCs w:val="21"/>
                <w:lang w:bidi="ar"/>
              </w:rPr>
              <w:t>安全负责人</w:t>
            </w:r>
          </w:p>
        </w:tc>
        <w:tc>
          <w:tcPr>
            <w:tcW w:w="819" w:type="dxa"/>
            <w:shd w:val="clear" w:color="auto" w:fill="FFFFFF"/>
            <w:vAlign w:val="center"/>
          </w:tcPr>
          <w:p w14:paraId="44E1D970">
            <w:pPr>
              <w:widowControl/>
              <w:jc w:val="center"/>
              <w:rPr>
                <w:rFonts w:hint="eastAsia" w:ascii="宋体" w:hAnsi="宋体" w:cs="宋体"/>
                <w:kern w:val="0"/>
                <w:szCs w:val="21"/>
              </w:rPr>
            </w:pPr>
            <w:r>
              <w:rPr>
                <w:rFonts w:hint="eastAsia" w:ascii="宋体" w:cs="宋体"/>
                <w:kern w:val="0"/>
                <w:szCs w:val="21"/>
                <w:lang w:bidi="ar"/>
              </w:rPr>
              <w:t>5</w:t>
            </w:r>
          </w:p>
        </w:tc>
        <w:tc>
          <w:tcPr>
            <w:tcW w:w="10431" w:type="dxa"/>
            <w:shd w:val="clear" w:color="auto" w:fill="FFFFFF"/>
            <w:vAlign w:val="center"/>
          </w:tcPr>
          <w:p w14:paraId="275F7355">
            <w:pPr>
              <w:widowControl/>
              <w:numPr>
                <w:ilvl w:val="0"/>
                <w:numId w:val="8"/>
              </w:numPr>
              <w:spacing w:line="288" w:lineRule="auto"/>
              <w:jc w:val="left"/>
              <w:rPr>
                <w:rFonts w:hint="eastAsia" w:ascii="宋体" w:hAnsi="宋体" w:cs="宋体"/>
                <w:kern w:val="0"/>
                <w:szCs w:val="21"/>
                <w:lang w:bidi="ar"/>
              </w:rPr>
            </w:pPr>
            <w:r>
              <w:rPr>
                <w:rFonts w:ascii="宋体" w:hAnsi="宋体" w:cs="宋体"/>
                <w:kern w:val="0"/>
                <w:szCs w:val="21"/>
                <w:lang w:bidi="ar"/>
              </w:rPr>
              <w:t>安全负责人（与专职安全员不为同一人）具有工程相关专业高级工程师（副高）或以上技术职称的，得</w:t>
            </w:r>
            <w:r>
              <w:rPr>
                <w:rFonts w:hint="eastAsia" w:ascii="宋体" w:hAnsi="宋体" w:cs="宋体"/>
                <w:kern w:val="0"/>
                <w:szCs w:val="21"/>
                <w:lang w:bidi="ar"/>
              </w:rPr>
              <w:t>3</w:t>
            </w:r>
            <w:r>
              <w:rPr>
                <w:rFonts w:ascii="宋体" w:hAnsi="宋体" w:cs="宋体"/>
                <w:kern w:val="0"/>
                <w:szCs w:val="21"/>
                <w:lang w:bidi="ar"/>
              </w:rPr>
              <w:t>分；安全负责人（与专职安全员不为同一人）具有工程相关专业</w:t>
            </w:r>
            <w:r>
              <w:rPr>
                <w:rFonts w:hint="eastAsia" w:ascii="宋体" w:hAnsi="宋体" w:cs="宋体"/>
                <w:kern w:val="0"/>
                <w:szCs w:val="21"/>
                <w:lang w:bidi="ar"/>
              </w:rPr>
              <w:t>中级工程师技术职称的，得1分；</w:t>
            </w:r>
          </w:p>
          <w:p w14:paraId="13D84EF6">
            <w:pPr>
              <w:widowControl/>
              <w:numPr>
                <w:ilvl w:val="0"/>
                <w:numId w:val="8"/>
              </w:numPr>
              <w:spacing w:line="288" w:lineRule="auto"/>
              <w:jc w:val="left"/>
              <w:rPr>
                <w:rFonts w:hint="eastAsia" w:ascii="宋体" w:hAnsi="宋体" w:cs="宋体"/>
                <w:kern w:val="0"/>
                <w:szCs w:val="21"/>
                <w:lang w:bidi="ar"/>
              </w:rPr>
            </w:pPr>
            <w:r>
              <w:rPr>
                <w:rFonts w:ascii="宋体" w:hAnsi="宋体" w:cs="宋体"/>
                <w:kern w:val="0"/>
                <w:szCs w:val="21"/>
                <w:lang w:bidi="ar"/>
              </w:rPr>
              <w:t>安全负责人（与专职安全员不为同一人）具有有效期内的国家注册安全工程师执业证书的，得</w:t>
            </w:r>
            <w:r>
              <w:rPr>
                <w:rFonts w:hint="eastAsia" w:ascii="宋体" w:hAnsi="宋体" w:cs="宋体"/>
                <w:kern w:val="0"/>
                <w:szCs w:val="21"/>
                <w:lang w:bidi="ar"/>
              </w:rPr>
              <w:t>2</w:t>
            </w:r>
            <w:r>
              <w:rPr>
                <w:rFonts w:ascii="宋体" w:hAnsi="宋体" w:cs="宋体"/>
                <w:kern w:val="0"/>
                <w:szCs w:val="21"/>
                <w:lang w:bidi="ar"/>
              </w:rPr>
              <w:t>分</w:t>
            </w:r>
            <w:r>
              <w:rPr>
                <w:rFonts w:hint="eastAsia" w:ascii="宋体" w:hAnsi="宋体" w:cs="宋体"/>
                <w:kern w:val="0"/>
                <w:szCs w:val="21"/>
                <w:lang w:bidi="ar"/>
              </w:rPr>
              <w:t>；</w:t>
            </w:r>
          </w:p>
          <w:p w14:paraId="6C59E6FE">
            <w:pPr>
              <w:widowControl/>
              <w:spacing w:line="288" w:lineRule="auto"/>
              <w:jc w:val="left"/>
              <w:rPr>
                <w:rFonts w:hint="eastAsia" w:ascii="宋体" w:hAnsi="宋体" w:cs="宋体"/>
                <w:kern w:val="0"/>
                <w:szCs w:val="21"/>
                <w:lang w:val="zh-TW" w:eastAsia="zh-TW"/>
              </w:rPr>
            </w:pPr>
            <w:r>
              <w:rPr>
                <w:rFonts w:ascii="宋体" w:hAnsi="宋体" w:cs="宋体"/>
                <w:kern w:val="0"/>
                <w:szCs w:val="21"/>
                <w:lang w:bidi="ar"/>
              </w:rPr>
              <w:t>不满足上述情况的，不得分。</w:t>
            </w:r>
          </w:p>
        </w:tc>
      </w:tr>
      <w:tr w14:paraId="67865D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94" w:hRule="atLeast"/>
          <w:jc w:val="right"/>
        </w:trPr>
        <w:tc>
          <w:tcPr>
            <w:tcW w:w="495" w:type="dxa"/>
            <w:vMerge w:val="continue"/>
            <w:shd w:val="clear" w:color="auto" w:fill="FFFFFF"/>
            <w:vAlign w:val="center"/>
          </w:tcPr>
          <w:p w14:paraId="178D1840">
            <w:pPr>
              <w:adjustRightInd w:val="0"/>
              <w:snapToGrid w:val="0"/>
              <w:spacing w:line="240" w:lineRule="exact"/>
              <w:jc w:val="center"/>
              <w:rPr>
                <w:rFonts w:hint="eastAsia" w:ascii="宋体" w:hAnsi="宋体" w:cs="宋体"/>
                <w:b/>
                <w:bCs/>
                <w:szCs w:val="21"/>
              </w:rPr>
            </w:pPr>
          </w:p>
        </w:tc>
        <w:tc>
          <w:tcPr>
            <w:tcW w:w="1215" w:type="dxa"/>
            <w:vMerge w:val="continue"/>
            <w:shd w:val="clear" w:color="auto" w:fill="FFFFFF"/>
            <w:vAlign w:val="center"/>
          </w:tcPr>
          <w:p w14:paraId="1AE81E3A">
            <w:pPr>
              <w:jc w:val="center"/>
              <w:rPr>
                <w:rFonts w:hint="eastAsia" w:ascii="宋体" w:hAnsi="宋体" w:cs="宋体"/>
                <w:b/>
                <w:bCs/>
                <w:kern w:val="0"/>
                <w:szCs w:val="21"/>
              </w:rPr>
            </w:pPr>
          </w:p>
        </w:tc>
        <w:tc>
          <w:tcPr>
            <w:tcW w:w="1581" w:type="dxa"/>
            <w:shd w:val="clear" w:color="auto" w:fill="FFFFFF"/>
            <w:vAlign w:val="center"/>
          </w:tcPr>
          <w:p w14:paraId="55DC5BC7">
            <w:pPr>
              <w:widowControl/>
              <w:jc w:val="center"/>
              <w:rPr>
                <w:rFonts w:hint="eastAsia" w:ascii="宋体" w:hAnsi="宋体" w:cs="宋体"/>
                <w:b/>
                <w:bCs/>
                <w:szCs w:val="21"/>
              </w:rPr>
            </w:pPr>
            <w:r>
              <w:rPr>
                <w:rFonts w:hint="eastAsia" w:ascii="宋体" w:hAnsi="宋体" w:cs="宋体"/>
                <w:b/>
                <w:bCs/>
                <w:kern w:val="0"/>
                <w:szCs w:val="21"/>
                <w:lang w:bidi="ar"/>
              </w:rPr>
              <w:t>造价负责人</w:t>
            </w:r>
          </w:p>
        </w:tc>
        <w:tc>
          <w:tcPr>
            <w:tcW w:w="819" w:type="dxa"/>
            <w:shd w:val="clear" w:color="auto" w:fill="FFFFFF"/>
            <w:vAlign w:val="center"/>
          </w:tcPr>
          <w:p w14:paraId="01B9D0CA">
            <w:pPr>
              <w:widowControl/>
              <w:jc w:val="center"/>
              <w:rPr>
                <w:rFonts w:hint="eastAsia" w:ascii="宋体" w:hAnsi="宋体" w:cs="宋体"/>
                <w:kern w:val="0"/>
                <w:szCs w:val="21"/>
              </w:rPr>
            </w:pPr>
            <w:r>
              <w:rPr>
                <w:rFonts w:hint="eastAsia" w:ascii="宋体" w:hAnsi="宋体" w:cs="宋体"/>
                <w:kern w:val="0"/>
                <w:szCs w:val="21"/>
                <w:lang w:bidi="ar"/>
              </w:rPr>
              <w:t>5</w:t>
            </w:r>
          </w:p>
        </w:tc>
        <w:tc>
          <w:tcPr>
            <w:tcW w:w="10431" w:type="dxa"/>
            <w:shd w:val="clear" w:color="auto" w:fill="FFFFFF"/>
            <w:vAlign w:val="center"/>
          </w:tcPr>
          <w:p w14:paraId="508B93A6">
            <w:pPr>
              <w:numPr>
                <w:ilvl w:val="0"/>
                <w:numId w:val="9"/>
              </w:numPr>
              <w:spacing w:line="288" w:lineRule="auto"/>
              <w:rPr>
                <w:rFonts w:hint="eastAsia" w:ascii="宋体" w:hAnsi="宋体" w:cs="宋体"/>
                <w:kern w:val="0"/>
                <w:szCs w:val="21"/>
                <w:lang w:bidi="ar"/>
              </w:rPr>
            </w:pPr>
            <w:r>
              <w:rPr>
                <w:rFonts w:ascii="宋体" w:hAnsi="宋体" w:cs="宋体"/>
                <w:kern w:val="0"/>
                <w:szCs w:val="21"/>
                <w:lang w:bidi="ar"/>
              </w:rPr>
              <w:t>造价负责人具有工程</w:t>
            </w:r>
            <w:r>
              <w:rPr>
                <w:rFonts w:hint="eastAsia" w:ascii="宋体" w:hAnsi="宋体" w:cs="宋体"/>
                <w:kern w:val="0"/>
                <w:szCs w:val="21"/>
                <w:lang w:bidi="ar"/>
              </w:rPr>
              <w:t>造价</w:t>
            </w:r>
            <w:r>
              <w:rPr>
                <w:rFonts w:ascii="宋体" w:hAnsi="宋体" w:cs="宋体"/>
                <w:kern w:val="0"/>
                <w:szCs w:val="21"/>
                <w:lang w:bidi="ar"/>
              </w:rPr>
              <w:t>相关专业高级工程师（副高）或以上技术职称的，得</w:t>
            </w:r>
            <w:r>
              <w:rPr>
                <w:rFonts w:hint="eastAsia" w:ascii="宋体" w:hAnsi="宋体" w:cs="宋体"/>
                <w:kern w:val="0"/>
                <w:szCs w:val="21"/>
                <w:lang w:bidi="ar"/>
              </w:rPr>
              <w:t>3分；</w:t>
            </w:r>
            <w:r>
              <w:rPr>
                <w:rFonts w:ascii="宋体" w:hAnsi="宋体" w:cs="宋体"/>
                <w:kern w:val="0"/>
                <w:szCs w:val="21"/>
                <w:lang w:bidi="ar"/>
              </w:rPr>
              <w:t>造价负责人具有工程</w:t>
            </w:r>
            <w:r>
              <w:rPr>
                <w:rFonts w:hint="eastAsia" w:ascii="宋体" w:hAnsi="宋体" w:cs="宋体"/>
                <w:kern w:val="0"/>
                <w:szCs w:val="21"/>
                <w:lang w:bidi="ar"/>
              </w:rPr>
              <w:t>造价</w:t>
            </w:r>
            <w:r>
              <w:rPr>
                <w:rFonts w:ascii="宋体" w:hAnsi="宋体" w:cs="宋体"/>
                <w:kern w:val="0"/>
                <w:szCs w:val="21"/>
                <w:lang w:bidi="ar"/>
              </w:rPr>
              <w:t>相关专业中级工程师技术职称的，得</w:t>
            </w:r>
            <w:r>
              <w:rPr>
                <w:rFonts w:hint="eastAsia" w:ascii="宋体" w:hAnsi="宋体" w:cs="宋体"/>
                <w:kern w:val="0"/>
                <w:szCs w:val="21"/>
                <w:lang w:bidi="ar"/>
              </w:rPr>
              <w:t>1</w:t>
            </w:r>
            <w:r>
              <w:rPr>
                <w:rFonts w:ascii="宋体" w:hAnsi="宋体" w:cs="宋体"/>
                <w:kern w:val="0"/>
                <w:szCs w:val="21"/>
                <w:lang w:bidi="ar"/>
              </w:rPr>
              <w:t>分；</w:t>
            </w:r>
          </w:p>
          <w:p w14:paraId="15AC1EFA">
            <w:pPr>
              <w:numPr>
                <w:ilvl w:val="0"/>
                <w:numId w:val="9"/>
              </w:numPr>
              <w:spacing w:line="288" w:lineRule="auto"/>
              <w:rPr>
                <w:rFonts w:hint="eastAsia" w:ascii="宋体" w:hAnsi="宋体" w:cs="宋体"/>
                <w:kern w:val="0"/>
                <w:szCs w:val="21"/>
                <w:lang w:bidi="ar"/>
              </w:rPr>
            </w:pPr>
            <w:r>
              <w:rPr>
                <w:rFonts w:ascii="宋体" w:hAnsi="宋体" w:cs="宋体"/>
                <w:kern w:val="0"/>
                <w:szCs w:val="21"/>
                <w:lang w:bidi="ar"/>
              </w:rPr>
              <w:t>造价负责人</w:t>
            </w:r>
            <w:r>
              <w:rPr>
                <w:rFonts w:hint="eastAsia" w:ascii="宋体" w:hAnsi="宋体" w:cs="宋体"/>
                <w:kern w:val="0"/>
                <w:szCs w:val="21"/>
                <w:lang w:bidi="ar"/>
              </w:rPr>
              <w:t>具有有效期内的一级注册造价工程师执业证书的，得2分；</w:t>
            </w:r>
          </w:p>
          <w:p w14:paraId="072D14DF">
            <w:pPr>
              <w:spacing w:line="288" w:lineRule="auto"/>
              <w:rPr>
                <w:rFonts w:hint="eastAsia" w:ascii="宋体" w:hAnsi="宋体" w:cs="宋体"/>
                <w:kern w:val="0"/>
                <w:szCs w:val="21"/>
                <w:lang w:val="zh-TW" w:eastAsia="zh-TW"/>
              </w:rPr>
            </w:pPr>
            <w:r>
              <w:rPr>
                <w:rFonts w:hint="eastAsia" w:ascii="宋体" w:hAnsi="宋体" w:cs="宋体"/>
                <w:kern w:val="0"/>
                <w:szCs w:val="21"/>
                <w:lang w:bidi="ar"/>
              </w:rPr>
              <w:t>不满足上述情况的</w:t>
            </w:r>
            <w:r>
              <w:rPr>
                <w:rFonts w:ascii="宋体" w:hAnsi="宋体" w:cs="宋体"/>
                <w:kern w:val="0"/>
                <w:szCs w:val="21"/>
                <w:lang w:bidi="ar"/>
              </w:rPr>
              <w:t>,不得分。</w:t>
            </w:r>
          </w:p>
        </w:tc>
      </w:tr>
      <w:tr w14:paraId="3AFA76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94" w:hRule="atLeast"/>
          <w:jc w:val="right"/>
        </w:trPr>
        <w:tc>
          <w:tcPr>
            <w:tcW w:w="495" w:type="dxa"/>
            <w:vMerge w:val="continue"/>
            <w:shd w:val="clear" w:color="auto" w:fill="FFFFFF"/>
            <w:vAlign w:val="center"/>
          </w:tcPr>
          <w:p w14:paraId="28B9AFE1">
            <w:pPr>
              <w:adjustRightInd w:val="0"/>
              <w:snapToGrid w:val="0"/>
              <w:spacing w:line="240" w:lineRule="exact"/>
              <w:jc w:val="center"/>
              <w:rPr>
                <w:rFonts w:hint="eastAsia" w:ascii="宋体" w:hAnsi="宋体" w:cs="宋体"/>
                <w:b/>
                <w:bCs/>
                <w:szCs w:val="21"/>
              </w:rPr>
            </w:pPr>
          </w:p>
        </w:tc>
        <w:tc>
          <w:tcPr>
            <w:tcW w:w="1215" w:type="dxa"/>
            <w:vMerge w:val="continue"/>
            <w:shd w:val="clear" w:color="auto" w:fill="FFFFFF"/>
            <w:vAlign w:val="center"/>
          </w:tcPr>
          <w:p w14:paraId="769D0973">
            <w:pPr>
              <w:jc w:val="center"/>
              <w:rPr>
                <w:rFonts w:hint="eastAsia" w:ascii="宋体" w:hAnsi="宋体" w:cs="宋体"/>
                <w:b/>
                <w:bCs/>
                <w:kern w:val="0"/>
                <w:szCs w:val="21"/>
              </w:rPr>
            </w:pPr>
          </w:p>
        </w:tc>
        <w:tc>
          <w:tcPr>
            <w:tcW w:w="1581" w:type="dxa"/>
            <w:shd w:val="clear" w:color="auto" w:fill="FFFFFF"/>
            <w:vAlign w:val="center"/>
          </w:tcPr>
          <w:p w14:paraId="01808242">
            <w:pPr>
              <w:widowControl/>
              <w:jc w:val="center"/>
              <w:rPr>
                <w:rFonts w:hint="eastAsia" w:ascii="宋体" w:hAnsi="宋体" w:cs="宋体"/>
                <w:b/>
                <w:bCs/>
                <w:kern w:val="0"/>
                <w:szCs w:val="21"/>
                <w:lang w:bidi="ar"/>
              </w:rPr>
            </w:pPr>
            <w:r>
              <w:rPr>
                <w:rFonts w:ascii="宋体" w:hAnsi="宋体" w:cs="宋体"/>
                <w:b/>
                <w:bCs/>
                <w:kern w:val="0"/>
                <w:szCs w:val="21"/>
                <w:lang w:bidi="ar"/>
              </w:rPr>
              <w:t>项目管理班子</w:t>
            </w:r>
          </w:p>
          <w:p w14:paraId="3A11CCA8">
            <w:pPr>
              <w:widowControl/>
              <w:jc w:val="center"/>
              <w:rPr>
                <w:rFonts w:hint="eastAsia" w:ascii="宋体" w:hAnsi="宋体" w:cs="宋体"/>
                <w:szCs w:val="21"/>
                <w:shd w:val="clear" w:color="auto" w:fill="FFFFFF"/>
                <w:lang w:bidi="ar"/>
              </w:rPr>
            </w:pPr>
            <w:r>
              <w:rPr>
                <w:rFonts w:ascii="宋体" w:hAnsi="宋体" w:cs="宋体"/>
                <w:b/>
                <w:bCs/>
                <w:kern w:val="0"/>
                <w:szCs w:val="21"/>
                <w:lang w:bidi="ar"/>
              </w:rPr>
              <w:t>答辩</w:t>
            </w:r>
          </w:p>
        </w:tc>
        <w:tc>
          <w:tcPr>
            <w:tcW w:w="819" w:type="dxa"/>
            <w:shd w:val="clear" w:color="auto" w:fill="FFFFFF"/>
            <w:vAlign w:val="center"/>
          </w:tcPr>
          <w:p w14:paraId="57E52917">
            <w:pPr>
              <w:jc w:val="center"/>
              <w:rPr>
                <w:rFonts w:hint="eastAsia" w:ascii="宋体" w:hAnsi="宋体" w:cs="宋体"/>
                <w:szCs w:val="21"/>
                <w:lang w:bidi="ar"/>
              </w:rPr>
            </w:pPr>
            <w:r>
              <w:rPr>
                <w:rFonts w:hint="eastAsia" w:ascii="宋体" w:hAnsi="宋体" w:cs="宋体"/>
                <w:szCs w:val="21"/>
                <w:lang w:bidi="ar"/>
              </w:rPr>
              <w:t>20</w:t>
            </w:r>
          </w:p>
        </w:tc>
        <w:tc>
          <w:tcPr>
            <w:tcW w:w="10431" w:type="dxa"/>
            <w:shd w:val="clear" w:color="auto" w:fill="FFFFFF"/>
            <w:vAlign w:val="center"/>
          </w:tcPr>
          <w:p w14:paraId="0D66376B">
            <w:pPr>
              <w:widowControl/>
              <w:jc w:val="left"/>
              <w:rPr>
                <w:rFonts w:ascii="宋体" w:cs="宋体"/>
                <w:kern w:val="0"/>
                <w:szCs w:val="21"/>
              </w:rPr>
            </w:pPr>
            <w:r>
              <w:rPr>
                <w:rFonts w:hint="eastAsia" w:ascii="宋体" w:cs="宋体"/>
                <w:kern w:val="0"/>
                <w:szCs w:val="21"/>
              </w:rPr>
              <w:t>1、项目管理团队答辩（包括但不限于以下）：</w:t>
            </w:r>
          </w:p>
          <w:p w14:paraId="2568B21B">
            <w:pPr>
              <w:widowControl/>
              <w:jc w:val="left"/>
              <w:rPr>
                <w:rFonts w:ascii="宋体" w:cs="宋体"/>
                <w:kern w:val="0"/>
                <w:szCs w:val="21"/>
              </w:rPr>
            </w:pPr>
            <w:r>
              <w:rPr>
                <w:rFonts w:hint="eastAsia" w:ascii="宋体" w:cs="宋体"/>
                <w:kern w:val="0"/>
                <w:szCs w:val="21"/>
              </w:rPr>
              <w:t>（1）介绍参加答辩的项目管理班子情况。</w:t>
            </w:r>
          </w:p>
          <w:p w14:paraId="3C856C0F">
            <w:pPr>
              <w:widowControl/>
              <w:jc w:val="left"/>
              <w:rPr>
                <w:rFonts w:ascii="宋体" w:cs="宋体"/>
                <w:kern w:val="0"/>
                <w:szCs w:val="21"/>
              </w:rPr>
            </w:pPr>
            <w:r>
              <w:rPr>
                <w:rFonts w:hint="eastAsia" w:ascii="宋体" w:cs="宋体"/>
                <w:kern w:val="0"/>
                <w:szCs w:val="21"/>
              </w:rPr>
              <w:t>（2）介绍现场踏勘情况，对参与投标项目的了解情况。</w:t>
            </w:r>
          </w:p>
          <w:p w14:paraId="658F4268">
            <w:pPr>
              <w:widowControl/>
              <w:jc w:val="left"/>
              <w:rPr>
                <w:rFonts w:ascii="宋体" w:cs="宋体"/>
                <w:kern w:val="0"/>
                <w:szCs w:val="21"/>
              </w:rPr>
            </w:pPr>
            <w:r>
              <w:rPr>
                <w:rFonts w:hint="eastAsia" w:ascii="宋体" w:cs="宋体"/>
                <w:kern w:val="0"/>
                <w:szCs w:val="21"/>
              </w:rPr>
              <w:t>（3）施工组织方案要点；</w:t>
            </w:r>
          </w:p>
          <w:p w14:paraId="43F36A25">
            <w:pPr>
              <w:widowControl/>
              <w:jc w:val="left"/>
              <w:rPr>
                <w:rFonts w:ascii="宋体" w:cs="宋体"/>
                <w:kern w:val="0"/>
                <w:szCs w:val="21"/>
              </w:rPr>
            </w:pPr>
            <w:r>
              <w:rPr>
                <w:rFonts w:hint="eastAsia" w:ascii="宋体" w:cs="宋体"/>
                <w:kern w:val="0"/>
                <w:szCs w:val="21"/>
              </w:rPr>
              <w:t>（4）项目施工组织的重点、难点分析及应对措施；</w:t>
            </w:r>
          </w:p>
          <w:p w14:paraId="6C3BE987">
            <w:pPr>
              <w:widowControl/>
              <w:jc w:val="left"/>
              <w:rPr>
                <w:rFonts w:ascii="宋体" w:cs="宋体"/>
                <w:kern w:val="0"/>
                <w:szCs w:val="21"/>
              </w:rPr>
            </w:pPr>
            <w:r>
              <w:rPr>
                <w:rFonts w:hint="eastAsia" w:ascii="宋体" w:cs="宋体"/>
                <w:kern w:val="0"/>
                <w:szCs w:val="21"/>
              </w:rPr>
              <w:t>（5）人员、设备投入计划</w:t>
            </w:r>
          </w:p>
          <w:p w14:paraId="517AC2F3">
            <w:pPr>
              <w:widowControl/>
              <w:jc w:val="left"/>
              <w:rPr>
                <w:rFonts w:ascii="宋体" w:cs="宋体"/>
                <w:kern w:val="0"/>
                <w:szCs w:val="21"/>
              </w:rPr>
            </w:pPr>
            <w:r>
              <w:rPr>
                <w:rFonts w:hint="eastAsia" w:ascii="宋体" w:cs="宋体"/>
                <w:kern w:val="0"/>
                <w:szCs w:val="21"/>
              </w:rPr>
              <w:t>2、评委针对其陈述内容及方案所提的相关问题</w:t>
            </w:r>
          </w:p>
          <w:p w14:paraId="6D95B51F">
            <w:pPr>
              <w:widowControl/>
              <w:jc w:val="left"/>
              <w:rPr>
                <w:rFonts w:ascii="宋体" w:cs="宋体"/>
                <w:kern w:val="0"/>
                <w:szCs w:val="21"/>
              </w:rPr>
            </w:pPr>
            <w:r>
              <w:rPr>
                <w:rFonts w:hint="eastAsia" w:ascii="宋体" w:cs="宋体"/>
                <w:kern w:val="0"/>
                <w:szCs w:val="21"/>
              </w:rPr>
              <w:t>优：【20，12）项目管理班子掌握项目情况，对施工组织方案认识清晰，对施工的重点、难点认识深刻，应对措施合理可行，人员、设备投入计划对工程进度有保障，施工组织方案对工程质量、工期的保证合理可行；回答评委提问思路清晰、内容准确。</w:t>
            </w:r>
          </w:p>
          <w:p w14:paraId="23526617">
            <w:pPr>
              <w:widowControl/>
              <w:jc w:val="left"/>
              <w:rPr>
                <w:rFonts w:ascii="宋体" w:cs="宋体"/>
                <w:kern w:val="0"/>
                <w:szCs w:val="21"/>
              </w:rPr>
            </w:pPr>
            <w:r>
              <w:rPr>
                <w:rFonts w:hint="eastAsia" w:ascii="宋体" w:cs="宋体"/>
                <w:kern w:val="0"/>
                <w:szCs w:val="21"/>
              </w:rPr>
              <w:t>良：【12,6）项目管理班子了解项目情况，对施工组织方案认识较清晰，对施工的重点、难点认识到位，应对措施基本合理，人员、设备投入计划对工程进度基本有保障，施工组织方案对工程质量、工期的保证基本合理可行；回答评委提问思路比较清晰、内容基本准确。</w:t>
            </w:r>
          </w:p>
          <w:p w14:paraId="2B2355B3">
            <w:pPr>
              <w:widowControl/>
              <w:jc w:val="left"/>
              <w:rPr>
                <w:rFonts w:ascii="宋体" w:cs="宋体"/>
                <w:kern w:val="0"/>
                <w:szCs w:val="21"/>
              </w:rPr>
            </w:pPr>
            <w:r>
              <w:rPr>
                <w:rFonts w:hint="eastAsia" w:ascii="宋体" w:cs="宋体"/>
                <w:kern w:val="0"/>
                <w:szCs w:val="21"/>
              </w:rPr>
              <w:t>中：【6,0)项目管理班子不了解项目情况；或对施工组织方案认识一般；或未能把握施工的重点、难点；或人员、设备投入计划对工程进度保障差，施工组织方案对工程质量、工期的保证可行性较差；或回答评委提问思路不清晰、答非所问。</w:t>
            </w:r>
          </w:p>
          <w:p w14:paraId="059B8999">
            <w:pPr>
              <w:pStyle w:val="6"/>
              <w:rPr>
                <w:rFonts w:ascii="Calibri" w:hAnsi="Calibri"/>
                <w:kern w:val="0"/>
                <w:sz w:val="20"/>
                <w:lang w:val="zh-TW" w:eastAsia="zh-TW"/>
              </w:rPr>
            </w:pPr>
            <w:r>
              <w:rPr>
                <w:rFonts w:hint="eastAsia" w:ascii="宋体" w:hAnsi="Calibri" w:cs="宋体"/>
                <w:kern w:val="0"/>
                <w:szCs w:val="21"/>
              </w:rPr>
              <w:t>差：0项目负责人、项目技术负责人均未参加答辩。</w:t>
            </w:r>
          </w:p>
        </w:tc>
      </w:tr>
      <w:tr w14:paraId="0CA973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1034" w:hRule="atLeast"/>
          <w:jc w:val="right"/>
        </w:trPr>
        <w:tc>
          <w:tcPr>
            <w:tcW w:w="495" w:type="dxa"/>
            <w:vMerge w:val="restart"/>
            <w:shd w:val="clear" w:color="auto" w:fill="FFFFFF"/>
            <w:vAlign w:val="center"/>
          </w:tcPr>
          <w:p w14:paraId="35A84269">
            <w:pPr>
              <w:adjustRightInd w:val="0"/>
              <w:snapToGrid w:val="0"/>
              <w:spacing w:line="240" w:lineRule="exact"/>
              <w:jc w:val="center"/>
              <w:rPr>
                <w:rFonts w:hint="eastAsia" w:ascii="宋体" w:hAnsi="宋体" w:cs="宋体"/>
                <w:b/>
                <w:bCs/>
                <w:szCs w:val="21"/>
              </w:rPr>
            </w:pPr>
            <w:r>
              <w:rPr>
                <w:rFonts w:hint="eastAsia" w:ascii="宋体" w:hAnsi="宋体" w:cs="宋体"/>
                <w:b/>
                <w:bCs/>
                <w:szCs w:val="21"/>
              </w:rPr>
              <w:t>三</w:t>
            </w:r>
          </w:p>
        </w:tc>
        <w:tc>
          <w:tcPr>
            <w:tcW w:w="1215" w:type="dxa"/>
            <w:vMerge w:val="restart"/>
            <w:shd w:val="clear" w:color="auto" w:fill="FFFFFF"/>
            <w:vAlign w:val="center"/>
          </w:tcPr>
          <w:p w14:paraId="13089562">
            <w:pPr>
              <w:jc w:val="center"/>
              <w:rPr>
                <w:rFonts w:hint="eastAsia" w:ascii="宋体" w:hAnsi="宋体" w:cs="宋体"/>
                <w:b/>
                <w:bCs/>
                <w:kern w:val="0"/>
                <w:szCs w:val="21"/>
              </w:rPr>
            </w:pPr>
            <w:r>
              <w:rPr>
                <w:rFonts w:hint="eastAsia" w:ascii="宋体" w:hAnsi="宋体" w:cs="宋体"/>
                <w:b/>
                <w:bCs/>
                <w:kern w:val="0"/>
                <w:szCs w:val="21"/>
              </w:rPr>
              <w:t>施工组织设计（40）</w:t>
            </w:r>
          </w:p>
        </w:tc>
        <w:tc>
          <w:tcPr>
            <w:tcW w:w="1581" w:type="dxa"/>
            <w:shd w:val="clear" w:color="auto" w:fill="FFFFFF"/>
            <w:vAlign w:val="center"/>
          </w:tcPr>
          <w:p w14:paraId="4B577EE8">
            <w:pPr>
              <w:widowControl/>
              <w:jc w:val="left"/>
              <w:rPr>
                <w:rFonts w:hint="eastAsia" w:ascii="宋体" w:hAnsi="宋体" w:cs="宋体"/>
                <w:b/>
                <w:bCs/>
                <w:szCs w:val="21"/>
              </w:rPr>
            </w:pPr>
            <w:r>
              <w:rPr>
                <w:rFonts w:hint="eastAsia" w:ascii="宋体" w:cs="宋体"/>
                <w:b/>
                <w:bCs/>
                <w:kern w:val="0"/>
                <w:szCs w:val="21"/>
              </w:rPr>
              <w:t>安全控制措施</w:t>
            </w:r>
          </w:p>
        </w:tc>
        <w:tc>
          <w:tcPr>
            <w:tcW w:w="819" w:type="dxa"/>
            <w:shd w:val="clear" w:color="auto" w:fill="FFFFFF"/>
            <w:vAlign w:val="center"/>
          </w:tcPr>
          <w:p w14:paraId="76AC6DDC">
            <w:pPr>
              <w:widowControl/>
              <w:jc w:val="center"/>
              <w:rPr>
                <w:rFonts w:hint="eastAsia" w:ascii="宋体" w:hAnsi="宋体" w:cs="宋体"/>
                <w:kern w:val="0"/>
                <w:szCs w:val="21"/>
              </w:rPr>
            </w:pPr>
            <w:r>
              <w:rPr>
                <w:rFonts w:hint="eastAsia" w:ascii="宋体" w:cs="宋体"/>
                <w:kern w:val="0"/>
                <w:szCs w:val="21"/>
              </w:rPr>
              <w:t>6</w:t>
            </w:r>
          </w:p>
        </w:tc>
        <w:tc>
          <w:tcPr>
            <w:tcW w:w="10431" w:type="dxa"/>
            <w:shd w:val="clear" w:color="auto" w:fill="FFFFFF"/>
            <w:vAlign w:val="center"/>
          </w:tcPr>
          <w:p w14:paraId="4FFF7A1F">
            <w:pPr>
              <w:rPr>
                <w:rFonts w:hint="eastAsia" w:ascii="宋体" w:hAnsi="宋体"/>
                <w:b/>
                <w:bCs/>
                <w:szCs w:val="21"/>
                <w:u w:val="single"/>
              </w:rPr>
            </w:pPr>
            <w:r>
              <w:rPr>
                <w:rFonts w:hint="eastAsia" w:ascii="宋体" w:hAnsi="宋体" w:cs="宋体"/>
                <w:b/>
                <w:bCs/>
                <w:szCs w:val="21"/>
                <w:u w:val="single"/>
              </w:rPr>
              <w:t>对投标人</w:t>
            </w:r>
            <w:r>
              <w:rPr>
                <w:rFonts w:hint="eastAsia" w:ascii="宋体" w:hAnsi="宋体"/>
                <w:b/>
                <w:bCs/>
                <w:szCs w:val="21"/>
                <w:u w:val="single"/>
              </w:rPr>
              <w:t>安全控制措施进行评审：</w:t>
            </w:r>
          </w:p>
          <w:p w14:paraId="16FCD201">
            <w:pPr>
              <w:pStyle w:val="129"/>
              <w:spacing w:line="288" w:lineRule="auto"/>
              <w:rPr>
                <w:rFonts w:hint="eastAsia" w:cs="仿宋"/>
                <w:color w:val="000000"/>
                <w:sz w:val="21"/>
                <w:szCs w:val="21"/>
              </w:rPr>
            </w:pPr>
            <w:r>
              <w:rPr>
                <w:rFonts w:hint="eastAsia" w:cs="仿宋"/>
                <w:color w:val="000000"/>
                <w:sz w:val="21"/>
                <w:szCs w:val="21"/>
              </w:rPr>
              <w:t>【优】</w:t>
            </w:r>
            <w:r>
              <w:rPr>
                <w:rFonts w:hint="eastAsia" w:cs="仿宋"/>
                <w:color w:val="000000"/>
                <w:sz w:val="21"/>
                <w:szCs w:val="21"/>
                <w:lang w:val="en-US" w:eastAsia="zh-CN"/>
              </w:rPr>
              <w:t>制定了</w:t>
            </w:r>
            <w:r>
              <w:rPr>
                <w:rFonts w:hint="eastAsia" w:cs="仿宋"/>
                <w:color w:val="000000"/>
                <w:sz w:val="21"/>
                <w:szCs w:val="21"/>
              </w:rPr>
              <w:t>安全</w:t>
            </w:r>
            <w:r>
              <w:rPr>
                <w:rFonts w:hint="eastAsia" w:cs="仿宋"/>
                <w:color w:val="000000"/>
                <w:sz w:val="21"/>
                <w:szCs w:val="21"/>
                <w:lang w:val="en-US" w:eastAsia="zh-CN"/>
              </w:rPr>
              <w:t>文明</w:t>
            </w:r>
            <w:r>
              <w:rPr>
                <w:rFonts w:hint="eastAsia" w:cs="仿宋"/>
                <w:color w:val="000000"/>
                <w:sz w:val="21"/>
                <w:szCs w:val="21"/>
              </w:rPr>
              <w:t>施工的保证体系和保证措施</w:t>
            </w:r>
            <w:r>
              <w:rPr>
                <w:rFonts w:hint="eastAsia" w:cs="仿宋"/>
                <w:color w:val="000000"/>
                <w:sz w:val="21"/>
                <w:szCs w:val="21"/>
                <w:lang w:eastAsia="zh-CN"/>
              </w:rPr>
              <w:t>，提供</w:t>
            </w:r>
            <w:r>
              <w:rPr>
                <w:rFonts w:hint="eastAsia" w:cs="仿宋"/>
                <w:color w:val="000000"/>
                <w:sz w:val="21"/>
                <w:szCs w:val="21"/>
                <w:lang w:val="en-US" w:eastAsia="zh-CN"/>
              </w:rPr>
              <w:t>施工管理安全措施控制措施、施工环境类危害控制措施、人为因素控制措施、建筑类危害控制措施、设备和材料类因素危害控制措施</w:t>
            </w:r>
            <w:r>
              <w:rPr>
                <w:rFonts w:hint="eastAsia" w:cs="仿宋"/>
                <w:b/>
                <w:bCs/>
                <w:color w:val="000000"/>
                <w:sz w:val="21"/>
                <w:szCs w:val="21"/>
                <w:lang w:val="en-US" w:eastAsia="zh-CN"/>
              </w:rPr>
              <w:t>以上全部五项的</w:t>
            </w:r>
            <w:r>
              <w:rPr>
                <w:rFonts w:hint="eastAsia" w:cs="仿宋"/>
                <w:color w:val="000000"/>
                <w:sz w:val="21"/>
                <w:szCs w:val="21"/>
                <w:lang w:eastAsia="zh-CN"/>
              </w:rPr>
              <w:t>，</w:t>
            </w:r>
            <w:r>
              <w:rPr>
                <w:rFonts w:hint="eastAsia" w:cs="仿宋"/>
                <w:color w:val="000000"/>
                <w:sz w:val="21"/>
                <w:szCs w:val="21"/>
              </w:rPr>
              <w:t>得</w:t>
            </w:r>
            <w:r>
              <w:rPr>
                <w:rFonts w:hint="eastAsia" w:cs="仿宋"/>
                <w:color w:val="000000"/>
                <w:sz w:val="21"/>
                <w:szCs w:val="21"/>
                <w:lang w:val="en-US" w:eastAsia="zh-CN"/>
              </w:rPr>
              <w:t>6分</w:t>
            </w:r>
            <w:r>
              <w:rPr>
                <w:rFonts w:hint="eastAsia" w:cs="仿宋"/>
                <w:color w:val="000000"/>
                <w:sz w:val="21"/>
                <w:szCs w:val="21"/>
              </w:rPr>
              <w:t>。</w:t>
            </w:r>
          </w:p>
          <w:p w14:paraId="7C112290">
            <w:pPr>
              <w:pStyle w:val="129"/>
              <w:spacing w:line="288" w:lineRule="auto"/>
              <w:rPr>
                <w:rFonts w:hint="eastAsia" w:cs="仿宋"/>
                <w:color w:val="000000"/>
                <w:sz w:val="21"/>
                <w:szCs w:val="21"/>
              </w:rPr>
            </w:pPr>
            <w:r>
              <w:rPr>
                <w:rFonts w:hint="eastAsia" w:cs="仿宋"/>
                <w:color w:val="000000"/>
                <w:sz w:val="21"/>
                <w:szCs w:val="21"/>
              </w:rPr>
              <w:t>【良】</w:t>
            </w:r>
            <w:r>
              <w:rPr>
                <w:rFonts w:hint="eastAsia" w:cs="仿宋"/>
                <w:color w:val="000000"/>
                <w:sz w:val="21"/>
                <w:szCs w:val="21"/>
                <w:lang w:val="en-US" w:eastAsia="zh-CN"/>
              </w:rPr>
              <w:t>制定了</w:t>
            </w:r>
            <w:r>
              <w:rPr>
                <w:rFonts w:hint="eastAsia" w:cs="仿宋"/>
                <w:color w:val="000000"/>
                <w:sz w:val="21"/>
                <w:szCs w:val="21"/>
              </w:rPr>
              <w:t>安全</w:t>
            </w:r>
            <w:r>
              <w:rPr>
                <w:rFonts w:hint="eastAsia" w:cs="仿宋"/>
                <w:color w:val="000000"/>
                <w:sz w:val="21"/>
                <w:szCs w:val="21"/>
                <w:lang w:val="en-US" w:eastAsia="zh-CN"/>
              </w:rPr>
              <w:t>文明</w:t>
            </w:r>
            <w:r>
              <w:rPr>
                <w:rFonts w:hint="eastAsia" w:cs="仿宋"/>
                <w:color w:val="000000"/>
                <w:sz w:val="21"/>
                <w:szCs w:val="21"/>
              </w:rPr>
              <w:t>施工的保证体系和保证措施，</w:t>
            </w:r>
            <w:r>
              <w:rPr>
                <w:rFonts w:hint="eastAsia" w:cs="仿宋"/>
                <w:color w:val="000000"/>
                <w:sz w:val="21"/>
                <w:szCs w:val="21"/>
                <w:lang w:eastAsia="zh-CN"/>
              </w:rPr>
              <w:t>提供</w:t>
            </w:r>
            <w:r>
              <w:rPr>
                <w:rFonts w:hint="eastAsia" w:cs="仿宋"/>
                <w:color w:val="000000"/>
                <w:sz w:val="21"/>
                <w:szCs w:val="21"/>
                <w:lang w:val="en-US" w:eastAsia="zh-CN"/>
              </w:rPr>
              <w:t>施工管理安全措施控制措施、施工环境类危害控制措施、人为因素控制措施、建筑类危害控制措施、设备和材料类因素危害控制措施</w:t>
            </w:r>
            <w:r>
              <w:rPr>
                <w:rFonts w:hint="eastAsia" w:cs="仿宋"/>
                <w:b/>
                <w:bCs/>
                <w:color w:val="000000"/>
                <w:sz w:val="21"/>
                <w:szCs w:val="21"/>
                <w:lang w:val="en-US" w:eastAsia="zh-CN"/>
              </w:rPr>
              <w:t>其中四项的</w:t>
            </w:r>
            <w:r>
              <w:rPr>
                <w:rFonts w:hint="eastAsia" w:cs="仿宋"/>
                <w:color w:val="000000"/>
                <w:sz w:val="21"/>
                <w:szCs w:val="21"/>
                <w:lang w:val="en-US" w:eastAsia="zh-CN"/>
              </w:rPr>
              <w:t>，</w:t>
            </w:r>
            <w:r>
              <w:rPr>
                <w:rFonts w:hint="eastAsia" w:cs="仿宋"/>
                <w:color w:val="000000"/>
                <w:sz w:val="21"/>
                <w:szCs w:val="21"/>
              </w:rPr>
              <w:t>得</w:t>
            </w:r>
            <w:r>
              <w:rPr>
                <w:rFonts w:hint="eastAsia" w:cs="仿宋"/>
                <w:color w:val="000000"/>
                <w:sz w:val="21"/>
                <w:szCs w:val="21"/>
                <w:lang w:val="en-US" w:eastAsia="zh-CN"/>
              </w:rPr>
              <w:t>4分</w:t>
            </w:r>
            <w:r>
              <w:rPr>
                <w:rFonts w:hint="eastAsia" w:cs="仿宋"/>
                <w:color w:val="000000"/>
                <w:sz w:val="21"/>
                <w:szCs w:val="21"/>
              </w:rPr>
              <w:t>。</w:t>
            </w:r>
          </w:p>
          <w:p w14:paraId="3867E2FA">
            <w:pPr>
              <w:pStyle w:val="129"/>
              <w:spacing w:line="288" w:lineRule="auto"/>
              <w:rPr>
                <w:rFonts w:hint="eastAsia" w:cs="仿宋"/>
                <w:color w:val="000000"/>
                <w:sz w:val="21"/>
                <w:szCs w:val="21"/>
              </w:rPr>
            </w:pPr>
            <w:r>
              <w:rPr>
                <w:rFonts w:hint="eastAsia" w:cs="仿宋"/>
                <w:color w:val="000000"/>
                <w:sz w:val="21"/>
                <w:szCs w:val="21"/>
              </w:rPr>
              <w:t>【中】</w:t>
            </w:r>
            <w:r>
              <w:rPr>
                <w:rFonts w:hint="eastAsia" w:cs="仿宋"/>
                <w:color w:val="000000"/>
                <w:sz w:val="21"/>
                <w:szCs w:val="21"/>
                <w:lang w:val="en-US" w:eastAsia="zh-CN"/>
              </w:rPr>
              <w:t>制定了</w:t>
            </w:r>
            <w:r>
              <w:rPr>
                <w:rFonts w:hint="eastAsia" w:cs="仿宋"/>
                <w:color w:val="000000"/>
                <w:sz w:val="21"/>
                <w:szCs w:val="21"/>
              </w:rPr>
              <w:t>安全</w:t>
            </w:r>
            <w:r>
              <w:rPr>
                <w:rFonts w:hint="eastAsia" w:cs="仿宋"/>
                <w:color w:val="000000"/>
                <w:sz w:val="21"/>
                <w:szCs w:val="21"/>
                <w:lang w:val="en-US" w:eastAsia="zh-CN"/>
              </w:rPr>
              <w:t>文明</w:t>
            </w:r>
            <w:r>
              <w:rPr>
                <w:rFonts w:hint="eastAsia" w:cs="仿宋"/>
                <w:color w:val="000000"/>
                <w:sz w:val="21"/>
                <w:szCs w:val="21"/>
              </w:rPr>
              <w:t>施工的保证体系和保证措施</w:t>
            </w:r>
            <w:r>
              <w:rPr>
                <w:rFonts w:hint="eastAsia" w:cs="仿宋"/>
                <w:color w:val="000000"/>
                <w:sz w:val="21"/>
                <w:szCs w:val="21"/>
                <w:lang w:eastAsia="zh-CN"/>
              </w:rPr>
              <w:t>，提供</w:t>
            </w:r>
            <w:r>
              <w:rPr>
                <w:rFonts w:hint="eastAsia" w:cs="仿宋"/>
                <w:color w:val="000000"/>
                <w:sz w:val="21"/>
                <w:szCs w:val="21"/>
                <w:lang w:val="en-US" w:eastAsia="zh-CN"/>
              </w:rPr>
              <w:t>施工管理安全措施控制措施、施工环境类危害控制措施、人为因素控制措施、建筑类危害控制措施、设备和材料类因素危害控制措施</w:t>
            </w:r>
            <w:r>
              <w:rPr>
                <w:rFonts w:hint="eastAsia" w:cs="仿宋"/>
                <w:b/>
                <w:bCs/>
                <w:color w:val="000000"/>
                <w:sz w:val="21"/>
                <w:szCs w:val="21"/>
                <w:lang w:val="en-US" w:eastAsia="zh-CN"/>
              </w:rPr>
              <w:t>其中三项的</w:t>
            </w:r>
            <w:r>
              <w:rPr>
                <w:rFonts w:hint="eastAsia" w:cs="仿宋"/>
                <w:color w:val="000000"/>
                <w:sz w:val="21"/>
                <w:szCs w:val="21"/>
                <w:lang w:val="en-US" w:eastAsia="zh-CN"/>
              </w:rPr>
              <w:t>，</w:t>
            </w:r>
            <w:r>
              <w:rPr>
                <w:rFonts w:hint="eastAsia" w:cs="仿宋"/>
                <w:color w:val="000000"/>
                <w:sz w:val="21"/>
                <w:szCs w:val="21"/>
              </w:rPr>
              <w:t>得</w:t>
            </w:r>
            <w:r>
              <w:rPr>
                <w:rFonts w:hint="eastAsia" w:cs="仿宋"/>
                <w:color w:val="000000"/>
                <w:sz w:val="21"/>
                <w:szCs w:val="21"/>
                <w:lang w:val="en-US" w:eastAsia="zh-CN"/>
              </w:rPr>
              <w:t>2分</w:t>
            </w:r>
            <w:r>
              <w:rPr>
                <w:rFonts w:hint="eastAsia" w:cs="仿宋"/>
                <w:color w:val="000000"/>
                <w:sz w:val="21"/>
                <w:szCs w:val="21"/>
              </w:rPr>
              <w:t>。</w:t>
            </w:r>
          </w:p>
          <w:p w14:paraId="047B639F">
            <w:pPr>
              <w:pStyle w:val="129"/>
              <w:spacing w:line="288" w:lineRule="auto"/>
              <w:jc w:val="left"/>
              <w:rPr>
                <w:rFonts w:hint="eastAsia"/>
                <w:kern w:val="0"/>
                <w:szCs w:val="21"/>
              </w:rPr>
            </w:pPr>
            <w:r>
              <w:rPr>
                <w:rFonts w:hint="eastAsia" w:cs="仿宋"/>
                <w:color w:val="000000"/>
                <w:sz w:val="21"/>
                <w:szCs w:val="21"/>
              </w:rPr>
              <w:t>【差】其他情况或不提供的，得</w:t>
            </w:r>
            <w:r>
              <w:rPr>
                <w:rFonts w:hint="eastAsia" w:cs="仿宋"/>
                <w:color w:val="000000"/>
                <w:sz w:val="21"/>
                <w:szCs w:val="21"/>
                <w:lang w:val="en-US" w:eastAsia="zh-CN"/>
              </w:rPr>
              <w:t>0</w:t>
            </w:r>
            <w:r>
              <w:rPr>
                <w:rFonts w:hint="eastAsia" w:cs="仿宋"/>
                <w:color w:val="000000"/>
                <w:sz w:val="21"/>
                <w:szCs w:val="21"/>
              </w:rPr>
              <w:t>分。</w:t>
            </w:r>
          </w:p>
        </w:tc>
      </w:tr>
      <w:tr w14:paraId="78CF7C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1034" w:hRule="atLeast"/>
          <w:jc w:val="right"/>
        </w:trPr>
        <w:tc>
          <w:tcPr>
            <w:tcW w:w="495" w:type="dxa"/>
            <w:vMerge w:val="continue"/>
            <w:shd w:val="clear" w:color="auto" w:fill="FFFFFF"/>
            <w:vAlign w:val="center"/>
          </w:tcPr>
          <w:p w14:paraId="5BB62ED7">
            <w:pPr>
              <w:adjustRightInd w:val="0"/>
              <w:snapToGrid w:val="0"/>
              <w:spacing w:line="240" w:lineRule="exact"/>
              <w:jc w:val="center"/>
              <w:rPr>
                <w:rFonts w:hint="eastAsia" w:ascii="宋体" w:hAnsi="宋体" w:cs="宋体"/>
                <w:b/>
                <w:bCs/>
                <w:szCs w:val="21"/>
              </w:rPr>
            </w:pPr>
          </w:p>
        </w:tc>
        <w:tc>
          <w:tcPr>
            <w:tcW w:w="1215" w:type="dxa"/>
            <w:vMerge w:val="continue"/>
            <w:shd w:val="clear" w:color="auto" w:fill="FFFFFF"/>
            <w:vAlign w:val="center"/>
          </w:tcPr>
          <w:p w14:paraId="772FE5D6">
            <w:pPr>
              <w:jc w:val="center"/>
              <w:rPr>
                <w:rFonts w:hint="eastAsia" w:ascii="宋体" w:hAnsi="宋体" w:cs="宋体"/>
                <w:b/>
                <w:bCs/>
                <w:kern w:val="0"/>
                <w:szCs w:val="21"/>
              </w:rPr>
            </w:pPr>
          </w:p>
        </w:tc>
        <w:tc>
          <w:tcPr>
            <w:tcW w:w="1581" w:type="dxa"/>
            <w:shd w:val="clear" w:color="auto" w:fill="FFFFFF"/>
            <w:vAlign w:val="center"/>
          </w:tcPr>
          <w:p w14:paraId="03914CFD">
            <w:pPr>
              <w:pStyle w:val="48"/>
              <w:rPr>
                <w:rFonts w:hint="eastAsia" w:ascii="宋体" w:hAnsi="宋体" w:cs="宋体"/>
                <w:b/>
                <w:bCs/>
                <w:szCs w:val="21"/>
              </w:rPr>
            </w:pPr>
            <w:r>
              <w:rPr>
                <w:rFonts w:hint="eastAsia" w:ascii="宋体" w:cs="宋体"/>
                <w:b/>
                <w:bCs/>
                <w:kern w:val="0"/>
                <w:szCs w:val="21"/>
              </w:rPr>
              <w:t>质量控制措施</w:t>
            </w:r>
          </w:p>
        </w:tc>
        <w:tc>
          <w:tcPr>
            <w:tcW w:w="819" w:type="dxa"/>
            <w:shd w:val="clear" w:color="auto" w:fill="FFFFFF"/>
            <w:vAlign w:val="center"/>
          </w:tcPr>
          <w:p w14:paraId="78433E54">
            <w:pPr>
              <w:widowControl/>
              <w:jc w:val="center"/>
              <w:rPr>
                <w:rFonts w:hint="eastAsia" w:ascii="宋体" w:hAnsi="宋体" w:cs="宋体"/>
                <w:kern w:val="0"/>
                <w:szCs w:val="21"/>
              </w:rPr>
            </w:pPr>
            <w:r>
              <w:rPr>
                <w:rFonts w:hint="eastAsia" w:ascii="宋体" w:cs="宋体"/>
                <w:kern w:val="0"/>
                <w:szCs w:val="21"/>
              </w:rPr>
              <w:t>6</w:t>
            </w:r>
          </w:p>
        </w:tc>
        <w:tc>
          <w:tcPr>
            <w:tcW w:w="10431" w:type="dxa"/>
            <w:shd w:val="clear" w:color="auto" w:fill="FFFFFF"/>
            <w:vAlign w:val="center"/>
          </w:tcPr>
          <w:p w14:paraId="46BB141A">
            <w:pPr>
              <w:pStyle w:val="48"/>
              <w:rPr>
                <w:rFonts w:hint="eastAsia" w:ascii="宋体" w:hAnsi="宋体" w:cs="宋体"/>
                <w:b/>
                <w:bCs/>
                <w:szCs w:val="21"/>
                <w:u w:val="single"/>
              </w:rPr>
            </w:pPr>
            <w:r>
              <w:rPr>
                <w:rFonts w:hint="eastAsia" w:ascii="宋体" w:hAnsi="宋体" w:cs="宋体"/>
                <w:b/>
                <w:bCs/>
                <w:szCs w:val="21"/>
                <w:u w:val="single"/>
              </w:rPr>
              <w:t>对投标人质量控制措施进行评审：</w:t>
            </w:r>
          </w:p>
          <w:p w14:paraId="11FEFF64">
            <w:pPr>
              <w:pStyle w:val="129"/>
              <w:spacing w:line="288" w:lineRule="auto"/>
              <w:jc w:val="left"/>
              <w:rPr>
                <w:rFonts w:hint="eastAsia" w:cs="仿宋"/>
                <w:color w:val="000000"/>
                <w:sz w:val="21"/>
                <w:szCs w:val="21"/>
                <w:lang w:eastAsia="zh-CN"/>
              </w:rPr>
            </w:pPr>
            <w:r>
              <w:rPr>
                <w:rFonts w:hint="eastAsia" w:cs="仿宋"/>
                <w:color w:val="000000"/>
                <w:sz w:val="21"/>
                <w:szCs w:val="21"/>
              </w:rPr>
              <w:t>【优】制定质量控制措施</w:t>
            </w:r>
            <w:r>
              <w:rPr>
                <w:rFonts w:hint="eastAsia" w:cs="仿宋"/>
                <w:color w:val="000000"/>
                <w:sz w:val="21"/>
                <w:szCs w:val="21"/>
                <w:lang w:eastAsia="zh-CN"/>
              </w:rPr>
              <w:t>，内容有质量目标、质量保证体系、质量保证措施、质量通病预防措施、材料进场检验措施、成品保护措施、质量事故应急预案</w:t>
            </w:r>
            <w:r>
              <w:rPr>
                <w:rFonts w:hint="eastAsia" w:cs="仿宋"/>
                <w:b/>
                <w:bCs/>
                <w:color w:val="000000"/>
                <w:sz w:val="21"/>
                <w:szCs w:val="21"/>
                <w:lang w:eastAsia="zh-CN"/>
              </w:rPr>
              <w:t>以上全部七项的</w:t>
            </w:r>
            <w:r>
              <w:rPr>
                <w:rFonts w:hint="eastAsia" w:cs="仿宋"/>
                <w:color w:val="000000"/>
                <w:sz w:val="21"/>
                <w:szCs w:val="21"/>
                <w:lang w:eastAsia="zh-CN"/>
              </w:rPr>
              <w:t>，</w:t>
            </w:r>
            <w:r>
              <w:rPr>
                <w:rFonts w:hint="eastAsia" w:cs="仿宋"/>
                <w:color w:val="000000"/>
                <w:sz w:val="21"/>
                <w:szCs w:val="21"/>
              </w:rPr>
              <w:t>得</w:t>
            </w:r>
            <w:r>
              <w:rPr>
                <w:rFonts w:hint="eastAsia" w:cs="仿宋"/>
                <w:color w:val="000000"/>
                <w:sz w:val="21"/>
                <w:szCs w:val="21"/>
                <w:lang w:val="en-US" w:eastAsia="zh-CN"/>
              </w:rPr>
              <w:t>6分</w:t>
            </w:r>
            <w:r>
              <w:rPr>
                <w:rFonts w:hint="eastAsia" w:cs="仿宋"/>
                <w:color w:val="000000"/>
                <w:sz w:val="21"/>
                <w:szCs w:val="21"/>
              </w:rPr>
              <w:t>。</w:t>
            </w:r>
          </w:p>
          <w:p w14:paraId="7E985FEA">
            <w:pPr>
              <w:pStyle w:val="129"/>
              <w:spacing w:line="288" w:lineRule="auto"/>
              <w:jc w:val="left"/>
              <w:rPr>
                <w:rFonts w:hint="eastAsia" w:cs="仿宋"/>
                <w:color w:val="000000"/>
                <w:sz w:val="21"/>
                <w:szCs w:val="21"/>
                <w:lang w:eastAsia="zh-CN"/>
              </w:rPr>
            </w:pPr>
            <w:r>
              <w:rPr>
                <w:rFonts w:hint="eastAsia" w:cs="仿宋"/>
                <w:color w:val="000000"/>
                <w:sz w:val="21"/>
                <w:szCs w:val="21"/>
              </w:rPr>
              <w:t>【良】有质量控制措施</w:t>
            </w:r>
            <w:r>
              <w:rPr>
                <w:rFonts w:hint="eastAsia" w:cs="仿宋"/>
                <w:color w:val="000000"/>
                <w:sz w:val="21"/>
                <w:szCs w:val="21"/>
                <w:lang w:eastAsia="zh-CN"/>
              </w:rPr>
              <w:t>，内容有质量目标、质量保证体系、质量保证措施、质量通病预防措施、材料进场检验措施、成品保护措施、质量事故应急预案</w:t>
            </w:r>
            <w:r>
              <w:rPr>
                <w:rFonts w:hint="eastAsia" w:cs="仿宋"/>
                <w:b/>
                <w:bCs/>
                <w:color w:val="000000"/>
                <w:sz w:val="21"/>
                <w:szCs w:val="21"/>
                <w:lang w:eastAsia="zh-CN"/>
              </w:rPr>
              <w:t>其中六项的</w:t>
            </w:r>
            <w:r>
              <w:rPr>
                <w:rFonts w:hint="eastAsia" w:cs="仿宋"/>
                <w:color w:val="000000"/>
                <w:sz w:val="21"/>
                <w:szCs w:val="21"/>
                <w:lang w:eastAsia="zh-CN"/>
              </w:rPr>
              <w:t>，</w:t>
            </w:r>
            <w:r>
              <w:rPr>
                <w:rFonts w:hint="eastAsia" w:cs="仿宋"/>
                <w:color w:val="000000"/>
                <w:sz w:val="21"/>
                <w:szCs w:val="21"/>
              </w:rPr>
              <w:t>得</w:t>
            </w:r>
            <w:r>
              <w:rPr>
                <w:rFonts w:hint="eastAsia" w:cs="仿宋"/>
                <w:color w:val="000000"/>
                <w:sz w:val="21"/>
                <w:szCs w:val="21"/>
                <w:lang w:val="en-US" w:eastAsia="zh-CN"/>
              </w:rPr>
              <w:t>4分</w:t>
            </w:r>
            <w:r>
              <w:rPr>
                <w:rFonts w:hint="eastAsia" w:cs="仿宋"/>
                <w:color w:val="000000"/>
                <w:sz w:val="21"/>
                <w:szCs w:val="21"/>
              </w:rPr>
              <w:t>。</w:t>
            </w:r>
          </w:p>
          <w:p w14:paraId="36A483E0">
            <w:pPr>
              <w:pStyle w:val="129"/>
              <w:tabs>
                <w:tab w:val="left" w:pos="5650"/>
              </w:tabs>
              <w:spacing w:line="288" w:lineRule="auto"/>
              <w:jc w:val="left"/>
              <w:rPr>
                <w:rFonts w:hint="eastAsia" w:cs="仿宋"/>
                <w:color w:val="000000"/>
                <w:sz w:val="21"/>
                <w:szCs w:val="21"/>
                <w:lang w:eastAsia="zh-CN"/>
              </w:rPr>
            </w:pPr>
            <w:r>
              <w:rPr>
                <w:rFonts w:hint="eastAsia" w:cs="仿宋"/>
                <w:color w:val="000000"/>
                <w:sz w:val="21"/>
                <w:szCs w:val="21"/>
              </w:rPr>
              <w:t>【中】有质量控制措施</w:t>
            </w:r>
            <w:r>
              <w:rPr>
                <w:rFonts w:hint="eastAsia" w:cs="仿宋"/>
                <w:color w:val="000000"/>
                <w:sz w:val="21"/>
                <w:szCs w:val="21"/>
                <w:lang w:eastAsia="zh-CN"/>
              </w:rPr>
              <w:t>，内容有质量目标、质量保证体系、质量保证措施、质量通病预防措施、材料进场检验措施、成品保护措施、质量事故应急预案</w:t>
            </w:r>
            <w:r>
              <w:rPr>
                <w:rFonts w:hint="eastAsia" w:cs="仿宋"/>
                <w:b/>
                <w:bCs/>
                <w:color w:val="000000"/>
                <w:sz w:val="21"/>
                <w:szCs w:val="21"/>
                <w:lang w:eastAsia="zh-CN"/>
              </w:rPr>
              <w:t>其中五项的</w:t>
            </w:r>
            <w:r>
              <w:rPr>
                <w:rFonts w:hint="eastAsia" w:cs="仿宋"/>
                <w:color w:val="000000"/>
                <w:sz w:val="21"/>
                <w:szCs w:val="21"/>
                <w:lang w:eastAsia="zh-CN"/>
              </w:rPr>
              <w:t>，</w:t>
            </w:r>
            <w:r>
              <w:rPr>
                <w:rFonts w:hint="eastAsia" w:cs="仿宋"/>
                <w:color w:val="000000"/>
                <w:sz w:val="21"/>
                <w:szCs w:val="21"/>
              </w:rPr>
              <w:t>得</w:t>
            </w:r>
            <w:r>
              <w:rPr>
                <w:rFonts w:hint="eastAsia" w:cs="仿宋"/>
                <w:color w:val="000000"/>
                <w:sz w:val="21"/>
                <w:szCs w:val="21"/>
                <w:lang w:val="en-US" w:eastAsia="zh-CN"/>
              </w:rPr>
              <w:t>2分</w:t>
            </w:r>
            <w:r>
              <w:rPr>
                <w:rFonts w:hint="eastAsia" w:cs="仿宋"/>
                <w:color w:val="000000"/>
                <w:sz w:val="21"/>
                <w:szCs w:val="21"/>
              </w:rPr>
              <w:t>。</w:t>
            </w:r>
          </w:p>
          <w:p w14:paraId="6064098E">
            <w:pPr>
              <w:pStyle w:val="129"/>
              <w:spacing w:line="288" w:lineRule="auto"/>
              <w:jc w:val="left"/>
              <w:rPr>
                <w:rFonts w:hint="eastAsia"/>
                <w:kern w:val="0"/>
                <w:szCs w:val="21"/>
              </w:rPr>
            </w:pPr>
            <w:r>
              <w:rPr>
                <w:rFonts w:hint="eastAsia" w:cs="仿宋"/>
                <w:color w:val="000000"/>
                <w:sz w:val="21"/>
                <w:szCs w:val="21"/>
              </w:rPr>
              <w:t>【差】其他情况或不提供的，得</w:t>
            </w:r>
            <w:r>
              <w:rPr>
                <w:rFonts w:hint="eastAsia" w:cs="仿宋"/>
                <w:color w:val="000000"/>
                <w:sz w:val="21"/>
                <w:szCs w:val="21"/>
                <w:lang w:val="en-US" w:eastAsia="zh-CN"/>
              </w:rPr>
              <w:t>0</w:t>
            </w:r>
            <w:r>
              <w:rPr>
                <w:rFonts w:hint="eastAsia" w:cs="仿宋"/>
                <w:color w:val="000000"/>
                <w:sz w:val="21"/>
                <w:szCs w:val="21"/>
              </w:rPr>
              <w:t>分。</w:t>
            </w:r>
          </w:p>
        </w:tc>
      </w:tr>
      <w:tr w14:paraId="36B461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1034" w:hRule="atLeast"/>
          <w:jc w:val="right"/>
        </w:trPr>
        <w:tc>
          <w:tcPr>
            <w:tcW w:w="495" w:type="dxa"/>
            <w:vMerge w:val="continue"/>
            <w:shd w:val="clear" w:color="auto" w:fill="FFFFFF"/>
            <w:vAlign w:val="center"/>
          </w:tcPr>
          <w:p w14:paraId="4AFA6E58">
            <w:pPr>
              <w:adjustRightInd w:val="0"/>
              <w:snapToGrid w:val="0"/>
              <w:spacing w:line="240" w:lineRule="exact"/>
              <w:jc w:val="center"/>
              <w:rPr>
                <w:rFonts w:hint="eastAsia" w:ascii="宋体" w:hAnsi="宋体" w:cs="宋体"/>
                <w:b/>
                <w:bCs/>
                <w:szCs w:val="21"/>
              </w:rPr>
            </w:pPr>
          </w:p>
        </w:tc>
        <w:tc>
          <w:tcPr>
            <w:tcW w:w="1215" w:type="dxa"/>
            <w:vMerge w:val="continue"/>
            <w:shd w:val="clear" w:color="auto" w:fill="FFFFFF"/>
            <w:vAlign w:val="center"/>
          </w:tcPr>
          <w:p w14:paraId="0467F2A0">
            <w:pPr>
              <w:jc w:val="center"/>
              <w:rPr>
                <w:rFonts w:hint="eastAsia" w:ascii="宋体" w:hAnsi="宋体" w:cs="宋体"/>
                <w:b/>
                <w:bCs/>
                <w:kern w:val="0"/>
                <w:szCs w:val="21"/>
              </w:rPr>
            </w:pPr>
          </w:p>
        </w:tc>
        <w:tc>
          <w:tcPr>
            <w:tcW w:w="1581" w:type="dxa"/>
            <w:shd w:val="clear" w:color="auto" w:fill="FFFFFF"/>
            <w:vAlign w:val="center"/>
          </w:tcPr>
          <w:p w14:paraId="22D390A2">
            <w:pPr>
              <w:pStyle w:val="48"/>
              <w:rPr>
                <w:rFonts w:hint="eastAsia" w:ascii="宋体" w:hAnsi="宋体" w:cs="宋体"/>
                <w:b/>
                <w:bCs/>
                <w:kern w:val="0"/>
                <w:szCs w:val="21"/>
              </w:rPr>
            </w:pPr>
            <w:r>
              <w:rPr>
                <w:rFonts w:hint="eastAsia" w:ascii="宋体" w:cs="宋体"/>
                <w:b/>
                <w:bCs/>
                <w:kern w:val="0"/>
                <w:szCs w:val="21"/>
              </w:rPr>
              <w:t>进度控制措施</w:t>
            </w:r>
          </w:p>
        </w:tc>
        <w:tc>
          <w:tcPr>
            <w:tcW w:w="819" w:type="dxa"/>
            <w:shd w:val="clear" w:color="auto" w:fill="FFFFFF"/>
            <w:vAlign w:val="center"/>
          </w:tcPr>
          <w:p w14:paraId="29606CA5">
            <w:pPr>
              <w:widowControl/>
              <w:jc w:val="center"/>
              <w:rPr>
                <w:rFonts w:hint="eastAsia" w:ascii="宋体" w:hAnsi="宋体" w:cs="宋体"/>
                <w:kern w:val="0"/>
                <w:szCs w:val="21"/>
              </w:rPr>
            </w:pPr>
            <w:r>
              <w:rPr>
                <w:rFonts w:hint="eastAsia" w:ascii="宋体" w:cs="宋体"/>
                <w:kern w:val="0"/>
                <w:szCs w:val="21"/>
              </w:rPr>
              <w:t>6</w:t>
            </w:r>
          </w:p>
        </w:tc>
        <w:tc>
          <w:tcPr>
            <w:tcW w:w="10431" w:type="dxa"/>
            <w:shd w:val="clear" w:color="auto" w:fill="FFFFFF"/>
            <w:vAlign w:val="center"/>
          </w:tcPr>
          <w:p w14:paraId="7334CEF4">
            <w:pPr>
              <w:pStyle w:val="48"/>
              <w:rPr>
                <w:rFonts w:hint="eastAsia" w:ascii="宋体" w:hAnsi="宋体" w:cs="宋体"/>
                <w:b/>
                <w:bCs/>
                <w:szCs w:val="21"/>
                <w:u w:val="single"/>
              </w:rPr>
            </w:pPr>
            <w:r>
              <w:rPr>
                <w:rFonts w:hint="eastAsia" w:ascii="宋体" w:hAnsi="宋体" w:cs="宋体"/>
                <w:b/>
                <w:bCs/>
                <w:szCs w:val="21"/>
                <w:u w:val="single"/>
              </w:rPr>
              <w:t>对投标人进度控制措施进行评审：</w:t>
            </w:r>
          </w:p>
          <w:p w14:paraId="4BF45EC0">
            <w:pPr>
              <w:pStyle w:val="129"/>
              <w:tabs>
                <w:tab w:val="left" w:pos="5650"/>
              </w:tabs>
              <w:spacing w:line="288" w:lineRule="auto"/>
              <w:jc w:val="left"/>
              <w:rPr>
                <w:rFonts w:hint="eastAsia" w:cs="仿宋"/>
                <w:color w:val="000000"/>
                <w:sz w:val="21"/>
                <w:szCs w:val="21"/>
                <w:lang w:eastAsia="zh-CN"/>
              </w:rPr>
            </w:pPr>
            <w:r>
              <w:rPr>
                <w:rFonts w:hint="eastAsia" w:cs="仿宋"/>
                <w:color w:val="000000"/>
                <w:sz w:val="21"/>
                <w:szCs w:val="21"/>
                <w:lang w:eastAsia="zh-CN"/>
              </w:rPr>
              <w:t>【优】制定了施工进度计划并有进度计划保证措施，总工期比招标文件要求提前10天（或以上）的，得</w:t>
            </w:r>
            <w:r>
              <w:rPr>
                <w:rFonts w:hint="eastAsia" w:cs="仿宋"/>
                <w:color w:val="000000"/>
                <w:sz w:val="21"/>
                <w:szCs w:val="21"/>
                <w:lang w:val="en-US" w:eastAsia="zh-CN"/>
              </w:rPr>
              <w:t>6分</w:t>
            </w:r>
            <w:r>
              <w:rPr>
                <w:rFonts w:hint="eastAsia" w:cs="仿宋"/>
                <w:color w:val="000000"/>
                <w:sz w:val="21"/>
                <w:szCs w:val="21"/>
                <w:lang w:eastAsia="zh-CN"/>
              </w:rPr>
              <w:t>。</w:t>
            </w:r>
          </w:p>
          <w:p w14:paraId="78E3CC2E">
            <w:pPr>
              <w:pStyle w:val="129"/>
              <w:tabs>
                <w:tab w:val="left" w:pos="5650"/>
              </w:tabs>
              <w:spacing w:line="288" w:lineRule="auto"/>
              <w:jc w:val="left"/>
              <w:rPr>
                <w:rFonts w:hint="eastAsia" w:cs="仿宋"/>
                <w:color w:val="000000"/>
                <w:sz w:val="21"/>
                <w:szCs w:val="21"/>
                <w:lang w:eastAsia="zh-CN"/>
              </w:rPr>
            </w:pPr>
            <w:r>
              <w:rPr>
                <w:rFonts w:hint="eastAsia" w:cs="仿宋"/>
                <w:color w:val="000000"/>
                <w:sz w:val="21"/>
                <w:szCs w:val="21"/>
                <w:lang w:eastAsia="zh-CN"/>
              </w:rPr>
              <w:t>【良】制定了施工进度计划并有进度计划保证措施，总工期比招标文件要求提前5天（含本数）-10天（不含本数）的，得</w:t>
            </w:r>
            <w:r>
              <w:rPr>
                <w:rFonts w:hint="eastAsia" w:cs="仿宋"/>
                <w:color w:val="000000"/>
                <w:sz w:val="21"/>
                <w:szCs w:val="21"/>
                <w:lang w:val="en-US" w:eastAsia="zh-CN"/>
              </w:rPr>
              <w:t>4分</w:t>
            </w:r>
            <w:r>
              <w:rPr>
                <w:rFonts w:hint="eastAsia" w:cs="仿宋"/>
                <w:color w:val="000000"/>
                <w:sz w:val="21"/>
                <w:szCs w:val="21"/>
                <w:lang w:eastAsia="zh-CN"/>
              </w:rPr>
              <w:t>。</w:t>
            </w:r>
          </w:p>
          <w:p w14:paraId="561CF825">
            <w:pPr>
              <w:pStyle w:val="129"/>
              <w:tabs>
                <w:tab w:val="left" w:pos="5650"/>
              </w:tabs>
              <w:spacing w:line="288" w:lineRule="auto"/>
              <w:jc w:val="left"/>
              <w:rPr>
                <w:rFonts w:hint="eastAsia" w:cs="仿宋"/>
                <w:color w:val="000000"/>
                <w:sz w:val="21"/>
                <w:szCs w:val="21"/>
                <w:lang w:eastAsia="zh-CN"/>
              </w:rPr>
            </w:pPr>
            <w:r>
              <w:rPr>
                <w:rFonts w:hint="eastAsia" w:cs="仿宋"/>
                <w:color w:val="000000"/>
                <w:sz w:val="21"/>
                <w:szCs w:val="21"/>
                <w:lang w:eastAsia="zh-CN"/>
              </w:rPr>
              <w:t>【中】制定了施工进度计划并有进度计划保证措施，总工期比招标文件要求提前1天（含本数）-5天（不含本数）的，得</w:t>
            </w:r>
            <w:r>
              <w:rPr>
                <w:rFonts w:hint="eastAsia" w:cs="仿宋"/>
                <w:color w:val="000000"/>
                <w:sz w:val="21"/>
                <w:szCs w:val="21"/>
                <w:lang w:val="en-US" w:eastAsia="zh-CN"/>
              </w:rPr>
              <w:t>2分</w:t>
            </w:r>
            <w:r>
              <w:rPr>
                <w:rFonts w:hint="eastAsia" w:cs="仿宋"/>
                <w:color w:val="000000"/>
                <w:sz w:val="21"/>
                <w:szCs w:val="21"/>
                <w:lang w:eastAsia="zh-CN"/>
              </w:rPr>
              <w:t>。</w:t>
            </w:r>
          </w:p>
          <w:p w14:paraId="306891F6">
            <w:pPr>
              <w:pStyle w:val="129"/>
              <w:tabs>
                <w:tab w:val="left" w:pos="5650"/>
              </w:tabs>
              <w:spacing w:line="288" w:lineRule="auto"/>
              <w:jc w:val="left"/>
              <w:rPr>
                <w:rFonts w:hint="eastAsia"/>
                <w:kern w:val="0"/>
                <w:szCs w:val="21"/>
              </w:rPr>
            </w:pPr>
            <w:r>
              <w:rPr>
                <w:rFonts w:hint="eastAsia" w:cs="仿宋"/>
                <w:color w:val="000000"/>
                <w:sz w:val="21"/>
                <w:szCs w:val="21"/>
                <w:lang w:eastAsia="zh-CN"/>
              </w:rPr>
              <w:t>【差】其他情况或</w:t>
            </w:r>
            <w:r>
              <w:rPr>
                <w:rFonts w:hint="eastAsia" w:cs="仿宋"/>
                <w:color w:val="000000"/>
                <w:sz w:val="21"/>
                <w:szCs w:val="21"/>
              </w:rPr>
              <w:t>不提供的或</w:t>
            </w:r>
            <w:r>
              <w:rPr>
                <w:rFonts w:hint="eastAsia" w:cs="仿宋"/>
                <w:color w:val="000000"/>
                <w:sz w:val="21"/>
                <w:szCs w:val="21"/>
                <w:lang w:eastAsia="zh-CN"/>
              </w:rPr>
              <w:t>总工期不比招标文件要求提前的，得</w:t>
            </w:r>
            <w:r>
              <w:rPr>
                <w:rFonts w:hint="eastAsia" w:cs="仿宋"/>
                <w:color w:val="000000"/>
                <w:sz w:val="21"/>
                <w:szCs w:val="21"/>
                <w:lang w:val="en-US" w:eastAsia="zh-CN"/>
              </w:rPr>
              <w:t>0分</w:t>
            </w:r>
            <w:r>
              <w:rPr>
                <w:rFonts w:hint="eastAsia" w:cs="仿宋"/>
                <w:color w:val="000000"/>
                <w:sz w:val="21"/>
                <w:szCs w:val="21"/>
                <w:lang w:eastAsia="zh-CN"/>
              </w:rPr>
              <w:t>。</w:t>
            </w:r>
          </w:p>
        </w:tc>
      </w:tr>
      <w:tr w14:paraId="22FD72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544" w:hRule="atLeast"/>
          <w:jc w:val="right"/>
        </w:trPr>
        <w:tc>
          <w:tcPr>
            <w:tcW w:w="495" w:type="dxa"/>
            <w:vMerge w:val="continue"/>
            <w:shd w:val="clear" w:color="auto" w:fill="FFFFFF"/>
            <w:vAlign w:val="center"/>
          </w:tcPr>
          <w:p w14:paraId="40FF3C3A">
            <w:pPr>
              <w:adjustRightInd w:val="0"/>
              <w:snapToGrid w:val="0"/>
              <w:spacing w:line="240" w:lineRule="exact"/>
              <w:jc w:val="center"/>
              <w:rPr>
                <w:rFonts w:hint="eastAsia" w:ascii="宋体" w:hAnsi="宋体" w:cs="宋体"/>
                <w:b/>
                <w:bCs/>
                <w:szCs w:val="21"/>
              </w:rPr>
            </w:pPr>
          </w:p>
        </w:tc>
        <w:tc>
          <w:tcPr>
            <w:tcW w:w="1215" w:type="dxa"/>
            <w:vMerge w:val="continue"/>
            <w:shd w:val="clear" w:color="auto" w:fill="FFFFFF"/>
            <w:vAlign w:val="center"/>
          </w:tcPr>
          <w:p w14:paraId="1AB665F9">
            <w:pPr>
              <w:jc w:val="center"/>
              <w:rPr>
                <w:rFonts w:hint="eastAsia" w:ascii="宋体" w:hAnsi="宋体" w:cs="宋体"/>
                <w:b/>
                <w:bCs/>
                <w:kern w:val="0"/>
                <w:szCs w:val="21"/>
              </w:rPr>
            </w:pPr>
          </w:p>
        </w:tc>
        <w:tc>
          <w:tcPr>
            <w:tcW w:w="1581" w:type="dxa"/>
            <w:shd w:val="clear" w:color="auto" w:fill="FFFFFF"/>
            <w:vAlign w:val="center"/>
          </w:tcPr>
          <w:p w14:paraId="6272C052">
            <w:pPr>
              <w:pStyle w:val="48"/>
              <w:rPr>
                <w:rFonts w:hint="eastAsia" w:ascii="宋体" w:hAnsi="宋体" w:cs="宋体"/>
                <w:b/>
                <w:bCs/>
                <w:szCs w:val="21"/>
              </w:rPr>
            </w:pPr>
            <w:r>
              <w:rPr>
                <w:rFonts w:hint="eastAsia" w:ascii="宋体" w:cs="宋体"/>
                <w:b/>
                <w:bCs/>
                <w:kern w:val="0"/>
                <w:szCs w:val="21"/>
              </w:rPr>
              <w:t>绿色节能控制措施</w:t>
            </w:r>
          </w:p>
        </w:tc>
        <w:tc>
          <w:tcPr>
            <w:tcW w:w="819" w:type="dxa"/>
            <w:shd w:val="clear" w:color="auto" w:fill="FFFFFF"/>
            <w:vAlign w:val="center"/>
          </w:tcPr>
          <w:p w14:paraId="6748F2D6">
            <w:pPr>
              <w:widowControl/>
              <w:jc w:val="center"/>
              <w:rPr>
                <w:rFonts w:hint="eastAsia" w:ascii="宋体" w:hAnsi="宋体" w:cs="宋体"/>
                <w:kern w:val="0"/>
                <w:szCs w:val="21"/>
              </w:rPr>
            </w:pPr>
            <w:r>
              <w:rPr>
                <w:rFonts w:hint="eastAsia" w:ascii="宋体" w:cs="宋体"/>
                <w:kern w:val="0"/>
                <w:szCs w:val="21"/>
              </w:rPr>
              <w:t>8</w:t>
            </w:r>
          </w:p>
        </w:tc>
        <w:tc>
          <w:tcPr>
            <w:tcW w:w="10431" w:type="dxa"/>
            <w:shd w:val="clear" w:color="auto" w:fill="FFFFFF"/>
            <w:vAlign w:val="center"/>
          </w:tcPr>
          <w:p w14:paraId="7498EEE7">
            <w:pPr>
              <w:pStyle w:val="48"/>
              <w:rPr>
                <w:rFonts w:hint="eastAsia" w:ascii="宋体" w:hAnsi="宋体" w:cs="宋体"/>
                <w:b/>
                <w:bCs/>
                <w:szCs w:val="21"/>
                <w:u w:val="single"/>
              </w:rPr>
            </w:pPr>
            <w:r>
              <w:rPr>
                <w:rFonts w:hint="eastAsia" w:ascii="宋体" w:hAnsi="宋体" w:cs="宋体"/>
                <w:b/>
                <w:bCs/>
                <w:szCs w:val="21"/>
                <w:u w:val="single"/>
              </w:rPr>
              <w:t>对投标人的绿色节能控制措施进行评审：</w:t>
            </w:r>
          </w:p>
          <w:p w14:paraId="2A121B17">
            <w:pPr>
              <w:pStyle w:val="48"/>
              <w:rPr>
                <w:rFonts w:hint="eastAsia" w:ascii="宋体" w:hAnsi="宋体" w:cs="仿宋"/>
                <w:color w:val="000000"/>
                <w:szCs w:val="21"/>
                <w:lang w:val="zh-TW" w:bidi="zh-TW"/>
              </w:rPr>
            </w:pPr>
            <w:r>
              <w:rPr>
                <w:rFonts w:hint="eastAsia" w:cs="仿宋"/>
                <w:color w:val="000000"/>
                <w:szCs w:val="21"/>
              </w:rPr>
              <w:t>【优】</w:t>
            </w:r>
            <w:r>
              <w:rPr>
                <w:rFonts w:hint="eastAsia" w:ascii="宋体" w:hAnsi="宋体" w:cs="仿宋"/>
                <w:color w:val="000000"/>
                <w:szCs w:val="21"/>
                <w:lang w:val="zh-TW" w:bidi="zh-TW"/>
              </w:rPr>
              <w:t>有绿色节能控制措施，措施具体、可行、针对性强，措施完善的，最大限度地节约资源与减少对环境的负面影响，以达到四节一环保（节能、节地、节水、节材和环境保护）的目标，得</w:t>
            </w:r>
            <w:r>
              <w:rPr>
                <w:rFonts w:hint="eastAsia" w:ascii="宋体" w:hAnsi="宋体" w:cs="仿宋"/>
                <w:color w:val="000000"/>
                <w:szCs w:val="21"/>
                <w:lang w:bidi="zh-TW"/>
              </w:rPr>
              <w:t>8</w:t>
            </w:r>
            <w:r>
              <w:rPr>
                <w:rFonts w:hint="eastAsia" w:ascii="宋体" w:hAnsi="宋体" w:cs="仿宋"/>
                <w:color w:val="000000"/>
                <w:szCs w:val="21"/>
                <w:lang w:val="zh-TW" w:bidi="zh-TW"/>
              </w:rPr>
              <w:t>分；</w:t>
            </w:r>
          </w:p>
          <w:p w14:paraId="13A60EE9">
            <w:pPr>
              <w:pStyle w:val="48"/>
              <w:rPr>
                <w:rFonts w:hint="eastAsia" w:ascii="宋体" w:hAnsi="宋体" w:cs="仿宋"/>
                <w:color w:val="000000"/>
                <w:szCs w:val="21"/>
                <w:lang w:val="zh-TW" w:bidi="zh-TW"/>
              </w:rPr>
            </w:pPr>
            <w:r>
              <w:rPr>
                <w:rFonts w:hint="eastAsia" w:cs="仿宋"/>
                <w:color w:val="000000"/>
                <w:szCs w:val="21"/>
              </w:rPr>
              <w:t>【良】</w:t>
            </w:r>
            <w:r>
              <w:rPr>
                <w:rFonts w:hint="eastAsia" w:ascii="宋体" w:hAnsi="宋体" w:cs="仿宋"/>
                <w:color w:val="000000"/>
                <w:szCs w:val="21"/>
                <w:lang w:val="zh-TW" w:bidi="zh-TW"/>
              </w:rPr>
              <w:t>有绿色节能控制措施，措施较具体、较可行、针对性较强，措施较完善的，较好地节约资源与减少对环境的负面影响，以达到四节一环保（节能、节地、节水、节材和环境保护）的目标，得</w:t>
            </w:r>
            <w:r>
              <w:rPr>
                <w:rFonts w:hint="eastAsia" w:ascii="宋体" w:hAnsi="宋体" w:cs="仿宋"/>
                <w:color w:val="000000"/>
                <w:szCs w:val="21"/>
                <w:lang w:bidi="zh-TW"/>
              </w:rPr>
              <w:t>6</w:t>
            </w:r>
            <w:r>
              <w:rPr>
                <w:rFonts w:hint="eastAsia" w:ascii="宋体" w:hAnsi="宋体" w:cs="仿宋"/>
                <w:color w:val="000000"/>
                <w:szCs w:val="21"/>
                <w:lang w:val="zh-TW" w:bidi="zh-TW"/>
              </w:rPr>
              <w:t>分；</w:t>
            </w:r>
          </w:p>
          <w:p w14:paraId="6496B40B">
            <w:pPr>
              <w:pStyle w:val="48"/>
              <w:rPr>
                <w:rFonts w:hint="eastAsia" w:ascii="宋体" w:hAnsi="宋体" w:cs="仿宋"/>
                <w:color w:val="000000"/>
                <w:szCs w:val="21"/>
                <w:lang w:val="zh-TW" w:bidi="zh-TW"/>
              </w:rPr>
            </w:pPr>
            <w:r>
              <w:rPr>
                <w:rFonts w:hint="eastAsia" w:cs="仿宋"/>
                <w:color w:val="000000"/>
                <w:szCs w:val="21"/>
              </w:rPr>
              <w:t>【中】</w:t>
            </w:r>
            <w:r>
              <w:rPr>
                <w:rFonts w:hint="eastAsia" w:ascii="宋体" w:hAnsi="宋体" w:cs="仿宋"/>
                <w:color w:val="000000"/>
                <w:szCs w:val="21"/>
                <w:lang w:val="zh-TW" w:bidi="zh-TW"/>
              </w:rPr>
              <w:t>有绿色节能控制措施，不够具体、针对性一般的，得</w:t>
            </w:r>
            <w:r>
              <w:rPr>
                <w:rFonts w:hint="eastAsia" w:ascii="宋体" w:hAnsi="宋体" w:cs="仿宋"/>
                <w:color w:val="000000"/>
                <w:szCs w:val="21"/>
                <w:lang w:bidi="zh-TW"/>
              </w:rPr>
              <w:t>4</w:t>
            </w:r>
            <w:r>
              <w:rPr>
                <w:rFonts w:hint="eastAsia" w:ascii="宋体" w:hAnsi="宋体" w:cs="仿宋"/>
                <w:color w:val="000000"/>
                <w:szCs w:val="21"/>
                <w:lang w:val="zh-TW" w:bidi="zh-TW"/>
              </w:rPr>
              <w:t>分。</w:t>
            </w:r>
          </w:p>
          <w:p w14:paraId="0485FB11">
            <w:pPr>
              <w:pStyle w:val="48"/>
              <w:rPr>
                <w:rFonts w:hint="eastAsia" w:ascii="宋体" w:hAnsi="宋体" w:cs="宋体"/>
                <w:kern w:val="0"/>
                <w:szCs w:val="21"/>
              </w:rPr>
            </w:pPr>
            <w:r>
              <w:rPr>
                <w:rFonts w:hint="eastAsia" w:cs="仿宋"/>
                <w:color w:val="000000"/>
                <w:szCs w:val="21"/>
              </w:rPr>
              <w:t>【差】</w:t>
            </w:r>
            <w:r>
              <w:rPr>
                <w:rFonts w:hint="eastAsia" w:ascii="宋体" w:hAnsi="宋体" w:cs="仿宋"/>
                <w:color w:val="000000"/>
                <w:szCs w:val="21"/>
                <w:lang w:val="zh-TW" w:bidi="zh-TW"/>
              </w:rPr>
              <w:t>不满足前述要求者或不提供内容的，得</w:t>
            </w:r>
            <w:r>
              <w:rPr>
                <w:rFonts w:hint="eastAsia" w:ascii="宋体" w:hAnsi="宋体" w:cs="仿宋"/>
                <w:color w:val="000000"/>
                <w:szCs w:val="21"/>
                <w:lang w:bidi="zh-TW"/>
              </w:rPr>
              <w:t>0</w:t>
            </w:r>
            <w:r>
              <w:rPr>
                <w:rFonts w:hint="eastAsia" w:ascii="宋体" w:hAnsi="宋体" w:cs="仿宋"/>
                <w:color w:val="000000"/>
                <w:szCs w:val="21"/>
                <w:lang w:val="zh-TW" w:bidi="zh-TW"/>
              </w:rPr>
              <w:t>分。</w:t>
            </w:r>
          </w:p>
        </w:tc>
      </w:tr>
      <w:tr w14:paraId="71BF55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right"/>
        </w:trPr>
        <w:tc>
          <w:tcPr>
            <w:tcW w:w="495" w:type="dxa"/>
            <w:vMerge w:val="continue"/>
            <w:shd w:val="clear" w:color="auto" w:fill="FFFFFF"/>
            <w:vAlign w:val="center"/>
          </w:tcPr>
          <w:p w14:paraId="7017A800">
            <w:pPr>
              <w:adjustRightInd w:val="0"/>
              <w:snapToGrid w:val="0"/>
              <w:spacing w:line="240" w:lineRule="exact"/>
              <w:jc w:val="center"/>
              <w:rPr>
                <w:rFonts w:hint="eastAsia" w:ascii="宋体" w:hAnsi="宋体" w:cs="宋体"/>
                <w:b/>
                <w:bCs/>
                <w:szCs w:val="21"/>
              </w:rPr>
            </w:pPr>
          </w:p>
        </w:tc>
        <w:tc>
          <w:tcPr>
            <w:tcW w:w="1215" w:type="dxa"/>
            <w:vMerge w:val="continue"/>
            <w:shd w:val="clear" w:color="auto" w:fill="FFFFFF"/>
            <w:vAlign w:val="center"/>
          </w:tcPr>
          <w:p w14:paraId="5694FDA3">
            <w:pPr>
              <w:jc w:val="center"/>
              <w:rPr>
                <w:rFonts w:hint="eastAsia" w:ascii="宋体" w:hAnsi="宋体" w:cs="宋体"/>
                <w:b/>
                <w:bCs/>
                <w:kern w:val="0"/>
                <w:szCs w:val="21"/>
              </w:rPr>
            </w:pPr>
          </w:p>
        </w:tc>
        <w:tc>
          <w:tcPr>
            <w:tcW w:w="1581" w:type="dxa"/>
            <w:shd w:val="clear" w:color="auto" w:fill="FFFFFF"/>
            <w:vAlign w:val="center"/>
          </w:tcPr>
          <w:p w14:paraId="2CD336F3">
            <w:pPr>
              <w:pStyle w:val="48"/>
              <w:rPr>
                <w:rFonts w:hint="eastAsia" w:ascii="宋体" w:hAnsi="宋体" w:cs="宋体"/>
                <w:b/>
                <w:bCs/>
                <w:kern w:val="0"/>
                <w:szCs w:val="21"/>
              </w:rPr>
            </w:pPr>
            <w:r>
              <w:rPr>
                <w:rFonts w:hint="eastAsia" w:ascii="宋体" w:cs="宋体"/>
                <w:b/>
                <w:bCs/>
                <w:kern w:val="0"/>
                <w:szCs w:val="21"/>
              </w:rPr>
              <w:t>针对项目重点难点的措施</w:t>
            </w:r>
          </w:p>
        </w:tc>
        <w:tc>
          <w:tcPr>
            <w:tcW w:w="819" w:type="dxa"/>
            <w:shd w:val="clear" w:color="auto" w:fill="FFFFFF"/>
            <w:vAlign w:val="center"/>
          </w:tcPr>
          <w:p w14:paraId="3DEFCEDC">
            <w:pPr>
              <w:widowControl/>
              <w:jc w:val="center"/>
              <w:rPr>
                <w:rFonts w:hint="eastAsia" w:ascii="宋体" w:hAnsi="宋体" w:cs="宋体"/>
                <w:kern w:val="0"/>
                <w:szCs w:val="21"/>
              </w:rPr>
            </w:pPr>
            <w:r>
              <w:rPr>
                <w:rFonts w:hint="eastAsia" w:ascii="宋体" w:cs="宋体"/>
                <w:kern w:val="0"/>
                <w:szCs w:val="21"/>
              </w:rPr>
              <w:t>8</w:t>
            </w:r>
          </w:p>
        </w:tc>
        <w:tc>
          <w:tcPr>
            <w:tcW w:w="10431" w:type="dxa"/>
            <w:shd w:val="clear" w:color="auto" w:fill="FFFFFF"/>
            <w:vAlign w:val="center"/>
          </w:tcPr>
          <w:p w14:paraId="33DFABCF">
            <w:pPr>
              <w:pStyle w:val="48"/>
              <w:rPr>
                <w:rFonts w:hint="eastAsia" w:ascii="宋体" w:hAnsi="宋体" w:cs="宋体"/>
                <w:b/>
                <w:bCs/>
                <w:szCs w:val="21"/>
                <w:u w:val="single"/>
              </w:rPr>
            </w:pPr>
            <w:r>
              <w:rPr>
                <w:rFonts w:hint="eastAsia" w:ascii="宋体" w:hAnsi="宋体" w:cs="宋体"/>
                <w:b/>
                <w:bCs/>
                <w:szCs w:val="21"/>
                <w:u w:val="single"/>
              </w:rPr>
              <w:t>对投标人的编制关键技术、工艺，重点难点的措施进行评审：</w:t>
            </w:r>
          </w:p>
          <w:p w14:paraId="26CEEE88">
            <w:pPr>
              <w:pStyle w:val="48"/>
              <w:rPr>
                <w:rFonts w:hint="eastAsia" w:ascii="宋体" w:hAnsi="宋体" w:cs="仿宋"/>
                <w:color w:val="000000"/>
                <w:szCs w:val="21"/>
                <w:lang w:val="zh-TW" w:bidi="zh-TW"/>
              </w:rPr>
            </w:pPr>
            <w:r>
              <w:rPr>
                <w:rFonts w:hint="eastAsia" w:ascii="宋体" w:hAnsi="宋体" w:cs="仿宋"/>
                <w:color w:val="000000"/>
                <w:szCs w:val="21"/>
                <w:lang w:val="zh-TW" w:bidi="zh-TW"/>
              </w:rPr>
              <w:t>【优】对项目前期调研充分，关键技术、工艺满足项目需求，对重点难点表述清晰、完整、严谨、可靠、合理，措施具体、针对性优，</w:t>
            </w:r>
            <w:r>
              <w:rPr>
                <w:rFonts w:hint="eastAsia" w:ascii="宋体" w:hAnsi="宋体" w:cs="仿宋"/>
                <w:color w:val="000000"/>
                <w:szCs w:val="21"/>
                <w:lang w:bidi="zh-TW"/>
              </w:rPr>
              <w:t>得8</w:t>
            </w:r>
            <w:r>
              <w:rPr>
                <w:rFonts w:hint="eastAsia" w:ascii="宋体" w:hAnsi="宋体" w:cs="仿宋"/>
                <w:color w:val="000000"/>
                <w:szCs w:val="21"/>
                <w:lang w:val="zh-TW" w:bidi="zh-TW"/>
              </w:rPr>
              <w:t>分。</w:t>
            </w:r>
          </w:p>
          <w:p w14:paraId="6BA19213">
            <w:pPr>
              <w:pStyle w:val="48"/>
              <w:rPr>
                <w:rFonts w:hint="eastAsia" w:ascii="宋体" w:hAnsi="宋体" w:cs="仿宋"/>
                <w:color w:val="000000"/>
                <w:szCs w:val="21"/>
                <w:lang w:val="zh-TW" w:bidi="zh-TW"/>
              </w:rPr>
            </w:pPr>
            <w:r>
              <w:rPr>
                <w:rFonts w:hint="eastAsia" w:ascii="宋体" w:hAnsi="宋体" w:cs="仿宋"/>
                <w:color w:val="000000"/>
                <w:szCs w:val="21"/>
                <w:lang w:val="zh-TW" w:bidi="zh-TW"/>
              </w:rPr>
              <w:t>【良】对项目前期调研较为充分，关键技术、工艺满足项目需求，对重点难点表述比较清晰和完整、合理，措施比较具体，有一定的的针对性，</w:t>
            </w:r>
            <w:r>
              <w:rPr>
                <w:rFonts w:hint="eastAsia" w:ascii="宋体" w:hAnsi="宋体" w:cs="仿宋"/>
                <w:color w:val="000000"/>
                <w:szCs w:val="21"/>
                <w:lang w:bidi="zh-TW"/>
              </w:rPr>
              <w:t>得6</w:t>
            </w:r>
            <w:r>
              <w:rPr>
                <w:rFonts w:hint="eastAsia" w:ascii="宋体" w:hAnsi="宋体" w:cs="仿宋"/>
                <w:color w:val="000000"/>
                <w:szCs w:val="21"/>
                <w:lang w:val="zh-TW" w:bidi="zh-TW"/>
              </w:rPr>
              <w:t>分。</w:t>
            </w:r>
          </w:p>
          <w:p w14:paraId="306DC55C">
            <w:pPr>
              <w:pStyle w:val="48"/>
              <w:rPr>
                <w:rFonts w:hint="eastAsia" w:ascii="宋体" w:hAnsi="宋体" w:cs="仿宋"/>
                <w:color w:val="000000"/>
                <w:szCs w:val="21"/>
                <w:lang w:val="zh-TW" w:bidi="zh-TW"/>
              </w:rPr>
            </w:pPr>
            <w:r>
              <w:rPr>
                <w:rFonts w:hint="eastAsia" w:ascii="宋体" w:hAnsi="宋体" w:cs="仿宋"/>
                <w:color w:val="000000"/>
                <w:szCs w:val="21"/>
                <w:lang w:val="zh-TW" w:bidi="zh-TW"/>
              </w:rPr>
              <w:t>【中】对项目前期调研情况程度一般，关键技术、工艺满足项目需求，对项目重点难点的分析及表述一般，措施可行性一般或不具体，</w:t>
            </w:r>
            <w:r>
              <w:rPr>
                <w:rFonts w:hint="eastAsia" w:ascii="宋体" w:hAnsi="宋体" w:cs="仿宋"/>
                <w:color w:val="000000"/>
                <w:szCs w:val="21"/>
                <w:lang w:bidi="zh-TW"/>
              </w:rPr>
              <w:t>得4</w:t>
            </w:r>
            <w:r>
              <w:rPr>
                <w:rFonts w:hint="eastAsia" w:ascii="宋体" w:hAnsi="宋体" w:cs="仿宋"/>
                <w:color w:val="000000"/>
                <w:szCs w:val="21"/>
                <w:lang w:val="zh-TW" w:bidi="zh-TW"/>
              </w:rPr>
              <w:t>分。</w:t>
            </w:r>
          </w:p>
          <w:p w14:paraId="7E3927F8">
            <w:pPr>
              <w:pStyle w:val="48"/>
              <w:rPr>
                <w:rFonts w:hint="eastAsia" w:ascii="宋体" w:hAnsi="宋体" w:cs="宋体"/>
                <w:kern w:val="0"/>
                <w:szCs w:val="21"/>
              </w:rPr>
            </w:pPr>
            <w:r>
              <w:rPr>
                <w:rFonts w:hint="eastAsia" w:ascii="宋体" w:hAnsi="宋体" w:cs="仿宋"/>
                <w:color w:val="000000"/>
                <w:szCs w:val="21"/>
                <w:lang w:val="zh-TW" w:bidi="zh-TW"/>
              </w:rPr>
              <w:t>【差】不满足以上情况，</w:t>
            </w:r>
            <w:r>
              <w:rPr>
                <w:rFonts w:hint="eastAsia" w:ascii="宋体" w:hAnsi="宋体" w:cs="仿宋"/>
                <w:color w:val="000000"/>
                <w:szCs w:val="21"/>
                <w:lang w:bidi="zh-TW"/>
              </w:rPr>
              <w:t>得0</w:t>
            </w:r>
            <w:r>
              <w:rPr>
                <w:rFonts w:hint="eastAsia" w:ascii="宋体" w:hAnsi="宋体" w:cs="仿宋"/>
                <w:color w:val="000000"/>
                <w:szCs w:val="21"/>
                <w:lang w:val="zh-TW" w:bidi="zh-TW"/>
              </w:rPr>
              <w:t>分。</w:t>
            </w:r>
          </w:p>
        </w:tc>
      </w:tr>
      <w:tr w14:paraId="541870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1034" w:hRule="atLeast"/>
          <w:jc w:val="right"/>
        </w:trPr>
        <w:tc>
          <w:tcPr>
            <w:tcW w:w="495" w:type="dxa"/>
            <w:vMerge w:val="continue"/>
            <w:shd w:val="clear" w:color="auto" w:fill="FFFFFF"/>
            <w:vAlign w:val="center"/>
          </w:tcPr>
          <w:p w14:paraId="5435368F">
            <w:pPr>
              <w:adjustRightInd w:val="0"/>
              <w:snapToGrid w:val="0"/>
              <w:spacing w:line="240" w:lineRule="exact"/>
              <w:jc w:val="center"/>
              <w:rPr>
                <w:rFonts w:hint="eastAsia" w:ascii="宋体" w:hAnsi="宋体" w:cs="宋体"/>
                <w:b/>
                <w:bCs/>
                <w:szCs w:val="21"/>
              </w:rPr>
            </w:pPr>
          </w:p>
        </w:tc>
        <w:tc>
          <w:tcPr>
            <w:tcW w:w="1215" w:type="dxa"/>
            <w:vMerge w:val="continue"/>
            <w:shd w:val="clear" w:color="auto" w:fill="FFFFFF"/>
            <w:vAlign w:val="center"/>
          </w:tcPr>
          <w:p w14:paraId="187AF779">
            <w:pPr>
              <w:jc w:val="center"/>
              <w:rPr>
                <w:rFonts w:hint="eastAsia" w:ascii="宋体" w:hAnsi="宋体" w:cs="宋体"/>
                <w:b/>
                <w:bCs/>
                <w:kern w:val="0"/>
                <w:szCs w:val="21"/>
              </w:rPr>
            </w:pPr>
          </w:p>
        </w:tc>
        <w:tc>
          <w:tcPr>
            <w:tcW w:w="1581" w:type="dxa"/>
            <w:shd w:val="clear" w:color="auto" w:fill="FFFFFF"/>
            <w:vAlign w:val="center"/>
          </w:tcPr>
          <w:p w14:paraId="4074A989">
            <w:pPr>
              <w:jc w:val="center"/>
              <w:rPr>
                <w:rFonts w:hint="eastAsia" w:ascii="宋体" w:hAnsi="宋体" w:cs="宋体"/>
                <w:b/>
                <w:bCs/>
              </w:rPr>
            </w:pPr>
            <w:r>
              <w:rPr>
                <w:rFonts w:hint="eastAsia" w:ascii="宋体" w:hAnsi="宋体" w:cs="宋体"/>
                <w:b/>
                <w:bCs/>
              </w:rPr>
              <w:t>施工现场建筑垃圾处理措施</w:t>
            </w:r>
          </w:p>
        </w:tc>
        <w:tc>
          <w:tcPr>
            <w:tcW w:w="819" w:type="dxa"/>
            <w:shd w:val="clear" w:color="auto" w:fill="FFFFFF"/>
            <w:vAlign w:val="center"/>
          </w:tcPr>
          <w:p w14:paraId="5698B8AC">
            <w:pPr>
              <w:snapToGrid w:val="0"/>
              <w:spacing w:line="360" w:lineRule="exact"/>
              <w:ind w:right="-76" w:rightChars="-36"/>
              <w:jc w:val="center"/>
              <w:rPr>
                <w:rFonts w:hint="eastAsia" w:ascii="宋体" w:hAnsi="宋体" w:cs="宋体"/>
                <w:kern w:val="0"/>
                <w:szCs w:val="21"/>
              </w:rPr>
            </w:pPr>
            <w:r>
              <w:rPr>
                <w:rFonts w:hint="eastAsia" w:ascii="宋体" w:hAnsi="宋体" w:cs="宋体"/>
              </w:rPr>
              <w:t>6</w:t>
            </w:r>
          </w:p>
        </w:tc>
        <w:tc>
          <w:tcPr>
            <w:tcW w:w="10431" w:type="dxa"/>
            <w:shd w:val="clear" w:color="auto" w:fill="FFFFFF"/>
            <w:vAlign w:val="center"/>
          </w:tcPr>
          <w:p w14:paraId="3BF17866">
            <w:pPr>
              <w:pStyle w:val="48"/>
              <w:rPr>
                <w:rFonts w:hint="eastAsia" w:ascii="宋体" w:hAnsi="宋体" w:cs="宋体"/>
                <w:b/>
                <w:bCs/>
                <w:szCs w:val="21"/>
                <w:u w:val="single"/>
              </w:rPr>
            </w:pPr>
            <w:r>
              <w:rPr>
                <w:rFonts w:hint="eastAsia" w:ascii="宋体" w:hAnsi="宋体" w:cs="宋体"/>
                <w:b/>
                <w:bCs/>
                <w:szCs w:val="21"/>
                <w:u w:val="single"/>
              </w:rPr>
              <w:t>对投标人的编制施工现场建筑垃圾处理措施进行评审：</w:t>
            </w:r>
          </w:p>
          <w:p w14:paraId="39A4B9B2">
            <w:pPr>
              <w:snapToGrid w:val="0"/>
              <w:spacing w:line="360" w:lineRule="exact"/>
              <w:ind w:right="-76" w:rightChars="-36"/>
              <w:jc w:val="left"/>
              <w:rPr>
                <w:rFonts w:hint="eastAsia" w:ascii="宋体" w:hAnsi="宋体" w:cs="宋体"/>
              </w:rPr>
            </w:pPr>
            <w:r>
              <w:rPr>
                <w:rFonts w:hint="eastAsia" w:ascii="宋体" w:hAnsi="宋体" w:cs="仿宋"/>
                <w:color w:val="000000"/>
                <w:szCs w:val="21"/>
                <w:lang w:val="zh-TW" w:bidi="zh-TW"/>
              </w:rPr>
              <w:t>【优】</w:t>
            </w:r>
            <w:r>
              <w:rPr>
                <w:rFonts w:hint="eastAsia" w:ascii="宋体" w:hAnsi="宋体" w:cs="宋体"/>
              </w:rPr>
              <w:t>：有提供建筑垃圾源头减量、分类收集、综合利用、污染防治的相关措施，且内容得</w:t>
            </w:r>
            <w:r>
              <w:rPr>
                <w:rFonts w:hint="eastAsia" w:ascii="宋体" w:hAnsi="宋体" w:cs="宋体"/>
                <w:kern w:val="0"/>
                <w:szCs w:val="21"/>
              </w:rPr>
              <w:t>当合理</w:t>
            </w:r>
            <w:r>
              <w:rPr>
                <w:rFonts w:hint="eastAsia" w:ascii="宋体" w:hAnsi="宋体" w:cs="宋体"/>
              </w:rPr>
              <w:t>，</w:t>
            </w:r>
            <w:r>
              <w:rPr>
                <w:rFonts w:hint="eastAsia" w:ascii="宋体" w:hAnsi="宋体" w:cs="宋体"/>
                <w:kern w:val="0"/>
                <w:szCs w:val="21"/>
              </w:rPr>
              <w:t>针对性</w:t>
            </w:r>
            <w:r>
              <w:rPr>
                <w:rFonts w:hint="eastAsia" w:ascii="宋体" w:hAnsi="宋体" w:cs="宋体"/>
              </w:rPr>
              <w:t>强，得6分；</w:t>
            </w:r>
          </w:p>
          <w:p w14:paraId="7F74B6EE">
            <w:pPr>
              <w:snapToGrid w:val="0"/>
              <w:spacing w:line="360" w:lineRule="exact"/>
              <w:ind w:right="-76" w:rightChars="-36"/>
              <w:jc w:val="left"/>
              <w:rPr>
                <w:rFonts w:hint="eastAsia" w:ascii="宋体" w:hAnsi="宋体" w:cs="宋体"/>
              </w:rPr>
            </w:pPr>
            <w:r>
              <w:rPr>
                <w:rFonts w:hint="eastAsia" w:ascii="宋体" w:hAnsi="宋体" w:cs="仿宋"/>
                <w:color w:val="000000"/>
                <w:szCs w:val="21"/>
                <w:lang w:val="zh-TW" w:bidi="zh-TW"/>
              </w:rPr>
              <w:t>【良】</w:t>
            </w:r>
            <w:r>
              <w:rPr>
                <w:rFonts w:hint="eastAsia" w:ascii="宋体" w:hAnsi="宋体" w:cs="宋体"/>
              </w:rPr>
              <w:t>：有提供建筑垃圾源头减量、分类收集、综合利用的相关措施，且内</w:t>
            </w:r>
            <w:r>
              <w:rPr>
                <w:rFonts w:hint="eastAsia" w:ascii="宋体" w:hAnsi="宋体" w:cs="宋体"/>
                <w:kern w:val="0"/>
                <w:szCs w:val="21"/>
              </w:rPr>
              <w:t>容一般</w:t>
            </w:r>
            <w:r>
              <w:rPr>
                <w:rFonts w:hint="eastAsia" w:ascii="宋体" w:hAnsi="宋体" w:cs="宋体"/>
              </w:rPr>
              <w:t>，针</w:t>
            </w:r>
            <w:r>
              <w:rPr>
                <w:rFonts w:hint="eastAsia" w:ascii="宋体" w:hAnsi="宋体" w:cs="宋体"/>
                <w:kern w:val="0"/>
                <w:szCs w:val="21"/>
              </w:rPr>
              <w:t>对性一般</w:t>
            </w:r>
            <w:r>
              <w:rPr>
                <w:rFonts w:hint="eastAsia" w:ascii="宋体" w:hAnsi="宋体" w:cs="宋体"/>
              </w:rPr>
              <w:t>，得4分；</w:t>
            </w:r>
          </w:p>
          <w:p w14:paraId="3B9ABD6D">
            <w:pPr>
              <w:snapToGrid w:val="0"/>
              <w:spacing w:line="360" w:lineRule="exact"/>
              <w:ind w:right="-76" w:rightChars="-36"/>
              <w:jc w:val="left"/>
              <w:rPr>
                <w:rFonts w:hint="eastAsia" w:ascii="宋体" w:hAnsi="宋体" w:cs="宋体"/>
              </w:rPr>
            </w:pPr>
            <w:r>
              <w:rPr>
                <w:rFonts w:hint="eastAsia" w:ascii="宋体" w:hAnsi="宋体" w:cs="仿宋"/>
                <w:color w:val="000000"/>
                <w:szCs w:val="21"/>
                <w:lang w:val="zh-TW" w:bidi="zh-TW"/>
              </w:rPr>
              <w:t>【中】</w:t>
            </w:r>
            <w:r>
              <w:rPr>
                <w:rFonts w:hint="eastAsia" w:ascii="宋体" w:hAnsi="宋体" w:cs="宋体"/>
              </w:rPr>
              <w:t>：有提供建筑垃圾源头减量、综合利用的相关措施，内容较差，针对性较差，得2分；</w:t>
            </w:r>
          </w:p>
          <w:p w14:paraId="3A61C6E7">
            <w:pPr>
              <w:snapToGrid w:val="0"/>
              <w:spacing w:line="360" w:lineRule="exact"/>
              <w:ind w:right="-76" w:rightChars="-36"/>
              <w:jc w:val="left"/>
              <w:rPr>
                <w:rFonts w:hint="eastAsia" w:ascii="宋体" w:hAnsi="宋体" w:cs="宋体"/>
                <w:kern w:val="0"/>
                <w:szCs w:val="21"/>
              </w:rPr>
            </w:pPr>
            <w:r>
              <w:rPr>
                <w:rFonts w:hint="eastAsia" w:ascii="宋体" w:hAnsi="宋体" w:cs="仿宋"/>
                <w:color w:val="000000"/>
                <w:szCs w:val="21"/>
                <w:lang w:val="zh-TW" w:bidi="zh-TW"/>
              </w:rPr>
              <w:t>【差】</w:t>
            </w:r>
            <w:r>
              <w:rPr>
                <w:rFonts w:hint="eastAsia" w:ascii="宋体" w:hAnsi="宋体" w:cs="宋体"/>
              </w:rPr>
              <w:t>：不提供或不响应，</w:t>
            </w:r>
            <w:r>
              <w:rPr>
                <w:rFonts w:hint="eastAsia" w:ascii="宋体" w:hAnsi="宋体" w:cs="仿宋"/>
                <w:color w:val="000000"/>
                <w:szCs w:val="21"/>
                <w:lang w:bidi="zh-TW"/>
              </w:rPr>
              <w:t>得0</w:t>
            </w:r>
            <w:r>
              <w:rPr>
                <w:rFonts w:hint="eastAsia" w:ascii="宋体" w:hAnsi="宋体" w:cs="仿宋"/>
                <w:color w:val="000000"/>
                <w:szCs w:val="21"/>
                <w:lang w:val="zh-TW" w:bidi="zh-TW"/>
              </w:rPr>
              <w:t>分。</w:t>
            </w:r>
          </w:p>
        </w:tc>
      </w:tr>
      <w:tr w14:paraId="107487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91" w:hRule="atLeast"/>
          <w:jc w:val="right"/>
        </w:trPr>
        <w:tc>
          <w:tcPr>
            <w:tcW w:w="1710" w:type="dxa"/>
            <w:gridSpan w:val="2"/>
            <w:shd w:val="clear" w:color="auto" w:fill="FFFFFF"/>
            <w:vAlign w:val="center"/>
          </w:tcPr>
          <w:p w14:paraId="48A56265">
            <w:pPr>
              <w:adjustRightInd w:val="0"/>
              <w:snapToGrid w:val="0"/>
              <w:spacing w:line="240" w:lineRule="exact"/>
              <w:jc w:val="center"/>
              <w:rPr>
                <w:rFonts w:hint="eastAsia" w:ascii="宋体" w:hAnsi="宋体" w:cs="宋体"/>
                <w:szCs w:val="21"/>
              </w:rPr>
            </w:pPr>
            <w:r>
              <w:rPr>
                <w:rFonts w:hint="eastAsia" w:ascii="宋体" w:hAnsi="宋体" w:cs="宋体"/>
                <w:szCs w:val="21"/>
              </w:rPr>
              <w:t>合  计</w:t>
            </w:r>
          </w:p>
        </w:tc>
        <w:tc>
          <w:tcPr>
            <w:tcW w:w="1581" w:type="dxa"/>
            <w:shd w:val="clear" w:color="auto" w:fill="FFFFFF"/>
            <w:vAlign w:val="center"/>
          </w:tcPr>
          <w:p w14:paraId="0BBCA658">
            <w:pPr>
              <w:snapToGrid w:val="0"/>
              <w:spacing w:line="260" w:lineRule="exact"/>
              <w:jc w:val="center"/>
              <w:rPr>
                <w:rFonts w:hint="eastAsia" w:ascii="宋体" w:hAnsi="宋体" w:cs="宋体"/>
                <w:szCs w:val="21"/>
              </w:rPr>
            </w:pPr>
          </w:p>
        </w:tc>
        <w:tc>
          <w:tcPr>
            <w:tcW w:w="819" w:type="dxa"/>
            <w:shd w:val="clear" w:color="auto" w:fill="FFFFFF"/>
            <w:vAlign w:val="center"/>
          </w:tcPr>
          <w:p w14:paraId="5F4635CA">
            <w:pPr>
              <w:snapToGrid w:val="0"/>
              <w:spacing w:line="260" w:lineRule="exact"/>
              <w:jc w:val="center"/>
              <w:rPr>
                <w:rFonts w:hint="eastAsia" w:ascii="宋体" w:hAnsi="宋体" w:cs="宋体"/>
                <w:szCs w:val="21"/>
              </w:rPr>
            </w:pPr>
            <w:r>
              <w:rPr>
                <w:rFonts w:hint="eastAsia" w:ascii="宋体" w:hAnsi="宋体" w:cs="宋体"/>
                <w:szCs w:val="21"/>
              </w:rPr>
              <w:t>100分</w:t>
            </w:r>
          </w:p>
        </w:tc>
        <w:tc>
          <w:tcPr>
            <w:tcW w:w="10431" w:type="dxa"/>
            <w:shd w:val="clear" w:color="auto" w:fill="FFFFFF"/>
            <w:vAlign w:val="center"/>
          </w:tcPr>
          <w:p w14:paraId="238A6C96">
            <w:pPr>
              <w:adjustRightInd w:val="0"/>
              <w:snapToGrid w:val="0"/>
              <w:spacing w:line="260" w:lineRule="exact"/>
              <w:jc w:val="center"/>
              <w:rPr>
                <w:rFonts w:hint="eastAsia" w:ascii="宋体" w:hAnsi="宋体" w:cs="宋体"/>
                <w:szCs w:val="21"/>
              </w:rPr>
            </w:pPr>
          </w:p>
        </w:tc>
      </w:tr>
    </w:tbl>
    <w:p w14:paraId="616D6E96">
      <w:pPr>
        <w:jc w:val="left"/>
        <w:rPr>
          <w:rFonts w:hint="eastAsia" w:ascii="宋体" w:hAnsi="宋体" w:cs="宋体"/>
          <w:szCs w:val="21"/>
        </w:rPr>
      </w:pPr>
    </w:p>
    <w:p w14:paraId="3E38562C">
      <w:pPr>
        <w:snapToGrid w:val="0"/>
        <w:ind w:firstLine="420"/>
        <w:rPr>
          <w:rFonts w:hint="eastAsia" w:ascii="宋体" w:hAnsi="宋体" w:cs="宋体"/>
          <w:b/>
          <w:szCs w:val="21"/>
        </w:rPr>
      </w:pPr>
      <w:r>
        <w:rPr>
          <w:rFonts w:hint="eastAsia" w:ascii="宋体" w:hAnsi="宋体" w:cs="宋体"/>
          <w:szCs w:val="21"/>
        </w:rPr>
        <w:t>备注：</w:t>
      </w:r>
      <w:r>
        <w:rPr>
          <w:rFonts w:hint="eastAsia" w:ascii="宋体" w:hAnsi="宋体" w:cs="宋体"/>
          <w:b/>
          <w:szCs w:val="21"/>
        </w:rPr>
        <w:t>1.</w:t>
      </w:r>
      <w:r>
        <w:rPr>
          <w:rFonts w:hint="eastAsia" w:ascii="宋体" w:hAnsi="宋体" w:cs="宋体"/>
          <w:b/>
          <w:bCs/>
          <w:szCs w:val="21"/>
        </w:rPr>
        <w:t>企业业绩</w:t>
      </w:r>
      <w:r>
        <w:rPr>
          <w:rFonts w:hint="eastAsia" w:ascii="宋体" w:hAnsi="宋体" w:cs="宋体"/>
          <w:b/>
          <w:szCs w:val="21"/>
        </w:rPr>
        <w:t>：</w:t>
      </w:r>
    </w:p>
    <w:p w14:paraId="124E9C1F">
      <w:pPr>
        <w:widowControl/>
        <w:shd w:val="clear" w:color="auto" w:fill="FFFFFF"/>
        <w:autoSpaceDE w:val="0"/>
        <w:ind w:firstLine="420" w:firstLineChars="200"/>
        <w:rPr>
          <w:rFonts w:hint="eastAsia" w:ascii="微软雅黑" w:hAnsi="微软雅黑" w:eastAsia="微软雅黑" w:cs="宋体"/>
          <w:kern w:val="0"/>
          <w:szCs w:val="21"/>
          <w:shd w:val="clear" w:color="auto" w:fill="FFFFFF"/>
        </w:rPr>
      </w:pPr>
      <w:r>
        <w:rPr>
          <w:rFonts w:hint="eastAsia" w:ascii="宋体" w:hAnsi="宋体" w:cs="宋体"/>
          <w:kern w:val="0"/>
          <w:szCs w:val="21"/>
          <w:shd w:val="clear" w:color="auto" w:fill="FFFFFF"/>
          <w:lang w:bidi="ar"/>
        </w:rPr>
        <w:t>类似工程业绩指单项工程造价大于或等于人民币2000万元的市政公用工程施工总承包业绩</w:t>
      </w:r>
      <w:r>
        <w:rPr>
          <w:rFonts w:ascii="宋体" w:hAnsi="宋体" w:cs="宋体"/>
          <w:kern w:val="0"/>
          <w:szCs w:val="21"/>
          <w:shd w:val="clear" w:color="auto" w:fill="FFFFFF"/>
          <w:lang w:bidi="ar"/>
        </w:rPr>
        <w:t>。</w:t>
      </w:r>
    </w:p>
    <w:p w14:paraId="6CC80556">
      <w:pPr>
        <w:widowControl/>
        <w:shd w:val="clear" w:color="auto" w:fill="FFFFFF"/>
        <w:ind w:firstLine="420" w:firstLineChars="200"/>
        <w:rPr>
          <w:rFonts w:hint="eastAsia" w:ascii="宋体" w:hAnsi="宋体" w:cs="宋体"/>
          <w:kern w:val="0"/>
          <w:szCs w:val="21"/>
          <w:shd w:val="clear" w:color="auto" w:fill="FFFFFF"/>
          <w:lang w:bidi="ar"/>
        </w:rPr>
      </w:pPr>
      <w:r>
        <w:rPr>
          <w:rFonts w:hint="eastAsia" w:ascii="宋体" w:hAnsi="宋体" w:cs="宋体"/>
          <w:kern w:val="0"/>
          <w:szCs w:val="21"/>
          <w:shd w:val="clear" w:color="auto" w:fill="FFFFFF"/>
          <w:lang w:bidi="ar"/>
        </w:rPr>
        <w:t>（1）投标人须同时提供中标通知书、施工合同（可只提供关键信息页）、竣工验收报告或验收证明；金额以中标通知书为准，中标通知书上没有金额，以施工合同（不含补充合同）为准；完成时间以竣工验收时间为准，验收文件至少具有建设单位、设计、施工和监理单位盖章；（2）上述资料显示的内容须一致且工程业绩须为市政公用工程施工总承包资质方能承接的业绩（工程总承包业绩以施工资质为准）。（3）工程总承包业绩包括勘察设计施工总承包或设计施工总承包或设计采购施工总承包或勘察设计采购施工总承包业绩等。(4)市政公用工程包括：给水工程、排水工程、燃气工程、热力工程、城市道路工程、城市桥梁工程、城市隧道工程（指城市规划区内的穿山过江隧道、地铁隧道、地下交通工程、地下过街通道）、公共交通工程、轨道交通工程、环境卫生工程、照明工程、绿化工程。（5）不符合上述条件或提供的资料不齐全的业绩不得分。</w:t>
      </w:r>
    </w:p>
    <w:p w14:paraId="5081974C">
      <w:pPr>
        <w:widowControl/>
        <w:ind w:firstLine="422" w:firstLineChars="200"/>
        <w:rPr>
          <w:rFonts w:hint="eastAsia" w:ascii="宋体" w:hAnsi="宋体" w:cs="宋体"/>
          <w:b/>
          <w:szCs w:val="21"/>
        </w:rPr>
      </w:pPr>
      <w:r>
        <w:rPr>
          <w:rFonts w:hint="eastAsia" w:ascii="宋体" w:hAnsi="宋体" w:cs="宋体"/>
          <w:b/>
          <w:szCs w:val="21"/>
        </w:rPr>
        <w:t>2.工程获奖：</w:t>
      </w:r>
    </w:p>
    <w:p w14:paraId="16961D8C">
      <w:pPr>
        <w:widowControl/>
        <w:ind w:firstLine="420" w:firstLineChars="200"/>
        <w:rPr>
          <w:rFonts w:hint="eastAsia" w:ascii="宋体" w:hAnsi="宋体" w:cs="宋体"/>
          <w:bCs/>
          <w:szCs w:val="21"/>
        </w:rPr>
      </w:pPr>
      <w:r>
        <w:rPr>
          <w:rFonts w:hint="eastAsia" w:ascii="宋体" w:hAnsi="宋体" w:cs="宋体"/>
          <w:bCs/>
          <w:szCs w:val="21"/>
        </w:rPr>
        <w:t>（1）国家级工程质量奖项指的是中国建设工程鲁班奖、中国土木工程詹天佑奖、国家优质工程金质奖、国家优质工程奖、中国市政工程最高质量水平评价；省、市级工程质量奖项指省、市级建设主管部门或行业协会颁发的工程质量奖项；工程质量奖项不含安全文明、绿色施工、技术创新QC成果、科技进步及技术应用类奖项。同一项目只按最高奖项计算一次得分，不得重复计算，只计算</w:t>
      </w:r>
      <w:r>
        <w:rPr>
          <w:rFonts w:hint="eastAsia" w:ascii="宋体" w:hAnsi="宋体" w:cs="宋体"/>
          <w:szCs w:val="21"/>
        </w:rPr>
        <w:t>承建，参建不予计算</w:t>
      </w:r>
      <w:r>
        <w:rPr>
          <w:rFonts w:hint="eastAsia" w:ascii="宋体" w:hAnsi="宋体" w:cs="宋体"/>
          <w:bCs/>
          <w:szCs w:val="21"/>
        </w:rPr>
        <w:t>。</w:t>
      </w:r>
    </w:p>
    <w:p w14:paraId="17F83CA8">
      <w:pPr>
        <w:pStyle w:val="8"/>
        <w:ind w:firstLine="422"/>
        <w:rPr>
          <w:rFonts w:hint="eastAsia" w:ascii="宋体" w:hAnsi="宋体" w:cs="宋体"/>
          <w:b/>
          <w:szCs w:val="21"/>
        </w:rPr>
      </w:pPr>
      <w:r>
        <w:rPr>
          <w:rFonts w:hint="eastAsia" w:ascii="宋体" w:hAnsi="宋体" w:cs="宋体"/>
          <w:b/>
          <w:szCs w:val="21"/>
        </w:rPr>
        <w:t>3.工程研发能力：</w:t>
      </w:r>
    </w:p>
    <w:p w14:paraId="293BC6BC">
      <w:pPr>
        <w:pStyle w:val="2"/>
        <w:ind w:firstLine="420" w:firstLineChars="200"/>
        <w:rPr>
          <w:rFonts w:hint="eastAsia" w:hAnsi="宋体" w:cs="宋体"/>
          <w:bCs/>
          <w:szCs w:val="21"/>
        </w:rPr>
      </w:pPr>
      <w:r>
        <w:rPr>
          <w:rFonts w:hint="eastAsia" w:hAnsi="宋体" w:cs="宋体"/>
          <w:bCs/>
          <w:szCs w:val="21"/>
        </w:rPr>
        <w:t>（1）发明专利证书授权以中华人民共和国国家知识产权局网站（http://www.cnipa.gov.cn/,网站中“专利公布公告”）可查询的专利为准，投标人需提交可反映企业专利类型为“发明授权”、授权公告号、专利权人的查询页面打印件，时间以授权公告日为准，专利权期限须在有效期内；</w:t>
      </w:r>
    </w:p>
    <w:p w14:paraId="7543DBA2">
      <w:pPr>
        <w:pStyle w:val="2"/>
        <w:ind w:firstLine="420" w:firstLineChars="200"/>
        <w:rPr>
          <w:rFonts w:hint="eastAsia" w:hAnsi="宋体" w:cs="宋体"/>
          <w:bCs/>
          <w:szCs w:val="21"/>
        </w:rPr>
      </w:pPr>
      <w:r>
        <w:rPr>
          <w:rFonts w:hint="eastAsia" w:hAnsi="宋体" w:cs="宋体"/>
          <w:bCs/>
          <w:szCs w:val="21"/>
        </w:rPr>
        <w:t>（2）软件著作权登记证书需提供中国版权保护中心（https://www.ccopyright.com.cn/）的软件登记公告网页查询截图和软件著作权登记证书扫描件。时间以登记日期为准，不符合上述条件或未提供上述资料的不得分；</w:t>
      </w:r>
    </w:p>
    <w:p w14:paraId="474DBEAD">
      <w:pPr>
        <w:widowControl/>
        <w:shd w:val="clear" w:color="auto" w:fill="FFFFFF"/>
        <w:autoSpaceDE w:val="0"/>
        <w:ind w:firstLine="420" w:firstLineChars="200"/>
        <w:rPr>
          <w:rFonts w:hint="eastAsia" w:ascii="宋体" w:hAnsi="宋体" w:cs="宋体"/>
          <w:kern w:val="0"/>
          <w:szCs w:val="21"/>
          <w:shd w:val="clear" w:color="auto" w:fill="FFFFFF"/>
          <w:lang w:bidi="ar"/>
        </w:rPr>
      </w:pPr>
      <w:r>
        <w:rPr>
          <w:rFonts w:hint="eastAsia" w:ascii="宋体" w:hAnsi="宋体" w:cs="宋体"/>
          <w:bCs/>
          <w:szCs w:val="21"/>
        </w:rPr>
        <w:t>（3）</w:t>
      </w:r>
      <w:r>
        <w:rPr>
          <w:rFonts w:hint="eastAsia" w:ascii="宋体" w:hAnsi="宋体" w:cs="宋体"/>
          <w:szCs w:val="21"/>
        </w:rPr>
        <w:t>科学技术进步奖或科技进步奖或科学技术奖：指省级或以上政府部门或中国社会组织依法依规设立的“科学技术进步奖”或“科技进步奖”或“科学技术奖”，须提供获奖证书扫描件，时间以证书中载明的发证时间为准，其中协会颁发的奖项，要求发证协会必须经民政部门依法登记成立，且提供其在“中国社会组织政务服务平台”（网址：https://chinanpo.mca.gov.cn/）询结果的网页打印页，否则该项不得分。仅计算工程获得的科学技术进步奖或科技进步奖或科学技术奖，须提供当地行政主管部门或科技行政部门认可的组织出具的科学技术成果鉴定证书或第三方技术评价证明材料扫描件，并且在科学技术成果鉴定证书或第三方评价证明材料中需明确该科学技术奖励的研究背景项目为工程项目，否则不得分。同一科学技术进步奖或科技进步奖或科学技术奖获得不同级别奖项的按最高级别只计一次得分。不符合上述条件或提供的资料不齐全的不得分。</w:t>
      </w:r>
    </w:p>
    <w:p w14:paraId="0C98D130">
      <w:pPr>
        <w:widowControl/>
        <w:ind w:firstLine="422" w:firstLineChars="200"/>
        <w:rPr>
          <w:rFonts w:hint="eastAsia" w:ascii="宋体" w:hAnsi="宋体" w:cs="宋体"/>
          <w:b/>
          <w:bCs/>
          <w:kern w:val="0"/>
          <w:szCs w:val="21"/>
        </w:rPr>
      </w:pPr>
      <w:r>
        <w:rPr>
          <w:rFonts w:hint="eastAsia" w:ascii="宋体" w:hAnsi="宋体" w:cs="宋体"/>
          <w:b/>
          <w:szCs w:val="21"/>
        </w:rPr>
        <w:t>4.</w:t>
      </w:r>
      <w:r>
        <w:rPr>
          <w:rFonts w:hint="eastAsia" w:ascii="宋体" w:hAnsi="宋体" w:cs="宋体"/>
          <w:b/>
          <w:bCs/>
          <w:kern w:val="0"/>
          <w:szCs w:val="21"/>
        </w:rPr>
        <w:t>第三方评价：</w:t>
      </w:r>
    </w:p>
    <w:p w14:paraId="5D9DC5D9">
      <w:pPr>
        <w:tabs>
          <w:tab w:val="left" w:pos="360"/>
        </w:tabs>
        <w:snapToGrid w:val="0"/>
        <w:ind w:firstLine="420" w:firstLineChars="200"/>
        <w:contextualSpacing/>
        <w:jc w:val="left"/>
        <w:rPr>
          <w:rFonts w:hint="eastAsia" w:ascii="宋体" w:hAnsi="宋体" w:cs="宋体"/>
          <w:kern w:val="0"/>
          <w:szCs w:val="21"/>
        </w:rPr>
      </w:pPr>
      <w:r>
        <w:rPr>
          <w:rFonts w:hint="eastAsia" w:ascii="宋体" w:hAnsi="宋体" w:cs="宋体"/>
          <w:kern w:val="0"/>
          <w:szCs w:val="21"/>
        </w:rPr>
        <w:t>（1）体系认证证书：需提供有效期内的认证证书扫描件及在全国认证认可信息公告服务平台（http://cx.cnca.cn/CertECloud/index/index/page）相关截图；</w:t>
      </w:r>
    </w:p>
    <w:p w14:paraId="08BC0481">
      <w:pPr>
        <w:widowControl/>
        <w:ind w:firstLine="422" w:firstLineChars="200"/>
        <w:rPr>
          <w:rFonts w:hint="eastAsia" w:ascii="宋体" w:hAnsi="宋体" w:cs="宋体"/>
          <w:b/>
          <w:szCs w:val="21"/>
        </w:rPr>
      </w:pPr>
      <w:r>
        <w:rPr>
          <w:rFonts w:hint="eastAsia" w:ascii="宋体" w:hAnsi="宋体" w:cs="宋体"/>
          <w:b/>
          <w:szCs w:val="21"/>
        </w:rPr>
        <w:t>5.</w:t>
      </w:r>
      <w:r>
        <w:rPr>
          <w:rFonts w:hint="eastAsia" w:ascii="宋体" w:hAnsi="宋体" w:cs="宋体"/>
          <w:b/>
          <w:bCs/>
          <w:szCs w:val="21"/>
        </w:rPr>
        <w:t>项目管理机构</w:t>
      </w:r>
      <w:r>
        <w:rPr>
          <w:rFonts w:hint="eastAsia" w:ascii="宋体" w:hAnsi="宋体" w:cs="宋体"/>
          <w:b/>
          <w:szCs w:val="21"/>
        </w:rPr>
        <w:t>：</w:t>
      </w:r>
    </w:p>
    <w:p w14:paraId="30058734">
      <w:pPr>
        <w:widowControl/>
        <w:ind w:firstLine="420" w:firstLineChars="200"/>
        <w:rPr>
          <w:rFonts w:hint="eastAsia" w:ascii="宋体" w:hAnsi="宋体" w:cs="宋体"/>
          <w:kern w:val="0"/>
          <w:szCs w:val="21"/>
        </w:rPr>
      </w:pPr>
      <w:r>
        <w:rPr>
          <w:rFonts w:hint="eastAsia" w:ascii="宋体" w:hAnsi="宋体" w:cs="宋体"/>
          <w:kern w:val="0"/>
          <w:szCs w:val="21"/>
        </w:rPr>
        <w:t>（1）上述人员需提供相关证明资料的扫描件并加盖投标人电子印章；各岗位人员不得相互兼职，上述材料不提供或提供不齐全的不得分。</w:t>
      </w:r>
    </w:p>
    <w:p w14:paraId="5F20B486">
      <w:pPr>
        <w:widowControl/>
        <w:ind w:firstLine="420" w:firstLineChars="200"/>
        <w:rPr>
          <w:rFonts w:hint="eastAsia" w:ascii="宋体" w:hAnsi="宋体" w:cs="宋体"/>
          <w:kern w:val="0"/>
          <w:szCs w:val="21"/>
        </w:rPr>
      </w:pPr>
      <w:r>
        <w:rPr>
          <w:rFonts w:hint="eastAsia" w:ascii="宋体" w:hAnsi="宋体" w:cs="宋体"/>
          <w:kern w:val="0"/>
          <w:szCs w:val="21"/>
        </w:rPr>
        <w:t>（2）上述人员除须提供相关证明资料外，还须提供近1个月（即2025年9月）在投标人单位（或其非独立法人分支机构）参保的社保缴纳记录证明扫描件（若当地政府部门允许企业在疫情期间缓缴社会保险费且投标人未缴纳的，投标人可提供当地政府部门允许缓缴社保的相关文件作为缴纳社保的证明，确定中标人后，招标人将核实中标人拟派人员的社保补缴情况），未提供或提供资料不全的不得分。</w:t>
      </w:r>
    </w:p>
    <w:p w14:paraId="04BA6255">
      <w:pPr>
        <w:widowControl/>
        <w:ind w:firstLine="420" w:firstLineChars="200"/>
        <w:rPr>
          <w:rFonts w:hint="eastAsia" w:ascii="宋体" w:hAnsi="宋体" w:cs="宋体"/>
          <w:kern w:val="0"/>
          <w:szCs w:val="21"/>
        </w:rPr>
      </w:pPr>
      <w:r>
        <w:rPr>
          <w:rFonts w:hint="eastAsia" w:ascii="宋体" w:hAnsi="宋体" w:cs="宋体"/>
          <w:kern w:val="0"/>
          <w:szCs w:val="21"/>
        </w:rPr>
        <w:t>（3）按照《造价工程师职业资格制度规定》的规定，根据原人事部、原建设部发布的《造价工程师执业资格制度暂行规定》（人发〔1996〕77号）取得的造价工程师执业资格，并经注册且在有效期内的，等同于一级注册造价工程师</w:t>
      </w:r>
    </w:p>
    <w:p w14:paraId="7D5B0EB2">
      <w:pPr>
        <w:pStyle w:val="8"/>
      </w:pPr>
      <w:r>
        <w:rPr>
          <w:rFonts w:hint="eastAsia" w:ascii="宋体" w:hAnsi="宋体" w:cs="宋体"/>
          <w:kern w:val="0"/>
          <w:szCs w:val="21"/>
        </w:rPr>
        <w:t>（4）</w:t>
      </w:r>
      <w:r>
        <w:rPr>
          <w:rFonts w:hint="eastAsia" w:ascii="宋体" w:hAnsi="宋体" w:cs="宋体"/>
          <w:szCs w:val="21"/>
        </w:rPr>
        <w:t>施工管理工作经验以相关人员大专或以上学历证的发证日期开始计算。</w:t>
      </w:r>
    </w:p>
    <w:p w14:paraId="294FCF3B">
      <w:pPr>
        <w:widowControl/>
        <w:shd w:val="clear" w:color="auto" w:fill="FFFFFF"/>
        <w:ind w:firstLine="420" w:firstLineChars="200"/>
        <w:rPr>
          <w:rFonts w:hint="eastAsia" w:ascii="宋体" w:hAnsi="宋体" w:cs="宋体"/>
          <w:bCs/>
          <w:kern w:val="0"/>
          <w:szCs w:val="21"/>
          <w:shd w:val="clear" w:color="auto" w:fill="FFFFFF"/>
          <w:lang w:bidi="ar"/>
        </w:rPr>
      </w:pPr>
      <w:r>
        <w:rPr>
          <w:rFonts w:hint="eastAsia" w:ascii="宋体" w:hAnsi="宋体" w:cs="宋体"/>
          <w:bCs/>
          <w:kern w:val="0"/>
          <w:szCs w:val="21"/>
          <w:shd w:val="clear" w:color="auto" w:fill="FFFFFF"/>
          <w:lang w:bidi="ar"/>
        </w:rPr>
        <w:t>6</w:t>
      </w:r>
      <w:r>
        <w:rPr>
          <w:rFonts w:ascii="宋体" w:hAnsi="宋体" w:cs="宋体"/>
          <w:bCs/>
          <w:kern w:val="0"/>
          <w:szCs w:val="21"/>
          <w:shd w:val="clear" w:color="auto" w:fill="FFFFFF"/>
          <w:lang w:bidi="ar"/>
        </w:rPr>
        <w:t>、</w:t>
      </w:r>
      <w:r>
        <w:rPr>
          <w:rFonts w:hint="eastAsia" w:ascii="宋体" w:hAnsi="宋体" w:cs="宋体"/>
          <w:b/>
          <w:bCs/>
          <w:kern w:val="0"/>
          <w:szCs w:val="21"/>
          <w:shd w:val="clear" w:color="auto" w:fill="FFFFFF"/>
          <w:lang w:bidi="ar"/>
        </w:rPr>
        <w:t>答辩</w:t>
      </w:r>
      <w:r>
        <w:rPr>
          <w:rFonts w:hint="eastAsia" w:ascii="宋体" w:hAnsi="宋体" w:cs="宋体"/>
          <w:bCs/>
          <w:kern w:val="0"/>
          <w:szCs w:val="21"/>
          <w:shd w:val="clear" w:color="auto" w:fill="FFFFFF"/>
          <w:lang w:bidi="ar"/>
        </w:rPr>
        <w:t>：</w:t>
      </w:r>
    </w:p>
    <w:p w14:paraId="75CDDAFB">
      <w:pPr>
        <w:widowControl/>
        <w:shd w:val="clear" w:color="auto" w:fill="FFFFFF"/>
        <w:ind w:firstLine="420" w:firstLineChars="200"/>
        <w:rPr>
          <w:rFonts w:hint="eastAsia" w:ascii="宋体" w:hAnsi="宋体" w:cs="宋体"/>
          <w:bCs/>
          <w:kern w:val="0"/>
          <w:szCs w:val="21"/>
          <w:shd w:val="clear" w:color="auto" w:fill="FFFFFF"/>
          <w:lang w:bidi="ar"/>
        </w:rPr>
      </w:pPr>
      <w:r>
        <w:rPr>
          <w:rFonts w:hint="eastAsia" w:ascii="宋体" w:hAnsi="宋体" w:cs="宋体"/>
          <w:bCs/>
          <w:kern w:val="0"/>
          <w:szCs w:val="21"/>
          <w:shd w:val="clear" w:color="auto" w:fill="FFFFFF"/>
          <w:lang w:bidi="ar"/>
        </w:rPr>
        <w:t>由通过技术标有效性审查的投标人拟投入本项目负责人、技术负责人讲解投标方案、解答疑问，评标委员会专家根据答辩情况进行评审。讲解投标方案注意事项如下：</w:t>
      </w:r>
    </w:p>
    <w:p w14:paraId="7556B323">
      <w:pPr>
        <w:pStyle w:val="113"/>
        <w:widowControl/>
        <w:numPr>
          <w:ilvl w:val="0"/>
          <w:numId w:val="10"/>
        </w:numPr>
        <w:shd w:val="clear" w:color="auto" w:fill="FFFFFF"/>
        <w:ind w:firstLineChars="0"/>
        <w:rPr>
          <w:rFonts w:hint="eastAsia" w:ascii="宋体" w:hAnsi="宋体" w:cs="宋体"/>
          <w:bCs/>
          <w:kern w:val="0"/>
          <w:szCs w:val="21"/>
          <w:shd w:val="clear" w:color="auto" w:fill="FFFFFF"/>
          <w:lang w:bidi="ar"/>
        </w:rPr>
      </w:pPr>
      <w:r>
        <w:rPr>
          <w:rFonts w:hint="eastAsia" w:ascii="宋体" w:hAnsi="宋体" w:cs="宋体"/>
          <w:bCs/>
          <w:kern w:val="0"/>
          <w:szCs w:val="21"/>
          <w:shd w:val="clear" w:color="auto" w:fill="FFFFFF"/>
          <w:lang w:bidi="ar"/>
        </w:rPr>
        <w:t>讲解投标方案的人员组成：由项目负责人和技术负责人组成(参与人员须是本单位的在职人员，且后期管理中，不得无故更换）。</w:t>
      </w:r>
    </w:p>
    <w:p w14:paraId="1A232B8C">
      <w:pPr>
        <w:pStyle w:val="113"/>
        <w:widowControl/>
        <w:numPr>
          <w:ilvl w:val="0"/>
          <w:numId w:val="10"/>
        </w:numPr>
        <w:shd w:val="clear" w:color="auto" w:fill="FFFFFF"/>
        <w:ind w:firstLineChars="0"/>
        <w:rPr>
          <w:rFonts w:hint="eastAsia" w:ascii="宋体" w:hAnsi="宋体" w:cs="宋体"/>
          <w:bCs/>
          <w:kern w:val="0"/>
          <w:szCs w:val="21"/>
          <w:shd w:val="clear" w:color="auto" w:fill="FFFFFF"/>
          <w:lang w:bidi="ar"/>
        </w:rPr>
      </w:pPr>
      <w:r>
        <w:rPr>
          <w:rFonts w:hint="eastAsia" w:ascii="宋体" w:hAnsi="宋体" w:cs="宋体"/>
          <w:bCs/>
          <w:kern w:val="0"/>
          <w:szCs w:val="21"/>
          <w:shd w:val="clear" w:color="auto" w:fill="FFFFFF"/>
          <w:lang w:bidi="ar"/>
        </w:rPr>
        <w:t>讲解投标方案的顺序：通过答辩现场签到顺序确定讲解顺序。</w:t>
      </w:r>
    </w:p>
    <w:p w14:paraId="524A47A4">
      <w:pPr>
        <w:widowControl/>
        <w:shd w:val="clear" w:color="auto" w:fill="FFFFFF"/>
        <w:ind w:firstLine="420" w:firstLineChars="200"/>
        <w:rPr>
          <w:rFonts w:hint="eastAsia" w:ascii="宋体" w:hAnsi="宋体" w:cs="宋体"/>
          <w:bCs/>
          <w:kern w:val="0"/>
          <w:szCs w:val="21"/>
          <w:shd w:val="clear" w:color="auto" w:fill="FFFFFF"/>
          <w:lang w:bidi="ar"/>
        </w:rPr>
      </w:pPr>
      <w:r>
        <w:rPr>
          <w:rFonts w:hint="eastAsia" w:ascii="宋体" w:hAnsi="宋体" w:cs="宋体"/>
          <w:bCs/>
          <w:kern w:val="0"/>
          <w:szCs w:val="21"/>
          <w:shd w:val="clear" w:color="auto" w:fill="FFFFFF"/>
          <w:lang w:bidi="ar"/>
        </w:rPr>
        <w:t>③ 讲解方案人员的要求：投标人在参加讲解时，</w:t>
      </w:r>
      <w:r>
        <w:rPr>
          <w:rFonts w:hint="eastAsia" w:ascii="宋体" w:hAnsi="宋体" w:cs="宋体"/>
          <w:b/>
          <w:kern w:val="0"/>
          <w:szCs w:val="21"/>
          <w:shd w:val="clear" w:color="auto" w:fill="FFFFFF"/>
          <w:lang w:bidi="ar"/>
        </w:rPr>
        <w:t>应向招标人（招标代理）提供一份加盖公章的法定代表人证明书及授权委托书，并展示讲解人员在本单位</w:t>
      </w:r>
      <w:r>
        <w:rPr>
          <w:rFonts w:ascii="宋体" w:hAnsi="宋体" w:cs="宋体"/>
          <w:b/>
          <w:kern w:val="0"/>
          <w:szCs w:val="21"/>
          <w:shd w:val="clear" w:color="auto" w:fill="FFFFFF"/>
          <w:lang w:bidi="ar"/>
        </w:rPr>
        <w:t>202</w:t>
      </w:r>
      <w:r>
        <w:rPr>
          <w:rFonts w:hint="eastAsia" w:ascii="宋体" w:hAnsi="宋体" w:cs="宋体"/>
          <w:b/>
          <w:kern w:val="0"/>
          <w:szCs w:val="21"/>
          <w:shd w:val="clear" w:color="auto" w:fill="FFFFFF"/>
          <w:lang w:bidi="ar"/>
        </w:rPr>
        <w:t>5年9月的有效社保证明复印件并加盖单位公章</w:t>
      </w:r>
      <w:r>
        <w:rPr>
          <w:rFonts w:ascii="宋体" w:hAnsi="宋体" w:cs="宋体"/>
          <w:b/>
          <w:kern w:val="0"/>
          <w:szCs w:val="21"/>
          <w:shd w:val="clear" w:color="auto" w:fill="FFFFFF"/>
          <w:lang w:bidi="ar"/>
        </w:rPr>
        <w:t>)、身份证原件</w:t>
      </w:r>
      <w:r>
        <w:rPr>
          <w:rFonts w:hint="eastAsia" w:ascii="宋体" w:hAnsi="宋体" w:cs="宋体"/>
          <w:bCs/>
          <w:kern w:val="0"/>
          <w:szCs w:val="21"/>
          <w:shd w:val="clear" w:color="auto" w:fill="FFFFFF"/>
          <w:lang w:bidi="ar"/>
        </w:rPr>
        <w:t>，招标人（招标代理）核对确认身份后再进行讲解。未能出示前述证明文件的单位不予参加讲解环节。</w:t>
      </w:r>
    </w:p>
    <w:p w14:paraId="06AB37BF">
      <w:pPr>
        <w:pStyle w:val="8"/>
        <w:ind w:firstLineChars="200"/>
        <w:rPr>
          <w:rFonts w:hint="eastAsia" w:ascii="宋体" w:hAnsi="宋体" w:cs="宋体"/>
          <w:kern w:val="0"/>
          <w:szCs w:val="21"/>
        </w:rPr>
      </w:pPr>
      <w:r>
        <w:rPr>
          <w:rFonts w:hint="eastAsia"/>
        </w:rPr>
        <w:t>7、</w:t>
      </w:r>
      <w:r>
        <w:rPr>
          <w:rFonts w:hint="eastAsia" w:ascii="宋体" w:hAnsi="Calibri" w:cs="宋体"/>
          <w:b/>
          <w:bCs/>
          <w:kern w:val="0"/>
          <w:szCs w:val="21"/>
        </w:rPr>
        <w:t>施工</w:t>
      </w:r>
      <w:r>
        <w:rPr>
          <w:rFonts w:hint="eastAsia" w:ascii="宋体" w:cs="宋体"/>
          <w:b/>
          <w:bCs/>
          <w:kern w:val="0"/>
          <w:szCs w:val="21"/>
        </w:rPr>
        <w:t>组织设计：</w:t>
      </w:r>
      <w:r>
        <w:rPr>
          <w:rFonts w:hint="eastAsia" w:ascii="宋体" w:hAnsi="宋体" w:cs="宋体"/>
          <w:szCs w:val="21"/>
        </w:rPr>
        <w:t>内容突出重点，标准、规范中已有的内容无需赘述，一般篇幅不宜超过200页；超过部分不予评审。</w:t>
      </w:r>
    </w:p>
    <w:p w14:paraId="718653B4">
      <w:pPr>
        <w:widowControl/>
        <w:ind w:firstLine="420" w:firstLineChars="200"/>
        <w:rPr>
          <w:rFonts w:hint="eastAsia" w:ascii="宋体" w:hAnsi="宋体" w:cs="宋体"/>
          <w:kern w:val="0"/>
          <w:szCs w:val="21"/>
        </w:rPr>
      </w:pPr>
      <w:r>
        <w:rPr>
          <w:rFonts w:hint="eastAsia" w:ascii="宋体" w:hAnsi="宋体" w:cs="宋体"/>
          <w:kern w:val="0"/>
          <w:szCs w:val="21"/>
        </w:rPr>
        <w:t>8.投标人得分为各评委每个分项的分数汇总后的算术平均值为投标人的最终得分（若分数出现小数点时，保留小数点后二位，第三位小数四舍五入）。</w:t>
      </w:r>
    </w:p>
    <w:p w14:paraId="2DEDD24F">
      <w:pPr>
        <w:rPr>
          <w:sz w:val="28"/>
          <w:szCs w:val="28"/>
        </w:rPr>
      </w:pPr>
      <w:r>
        <w:rPr>
          <w:rFonts w:hint="eastAsia" w:ascii="宋体" w:hAnsi="宋体" w:cs="宋体"/>
          <w:szCs w:val="21"/>
        </w:rPr>
        <w:br w:type="page"/>
      </w:r>
      <w:r>
        <w:rPr>
          <w:rFonts w:hint="eastAsia"/>
          <w:sz w:val="28"/>
          <w:szCs w:val="28"/>
        </w:rPr>
        <w:t>附表五</w:t>
      </w:r>
    </w:p>
    <w:p w14:paraId="17A9FA2B">
      <w:pPr>
        <w:jc w:val="center"/>
        <w:rPr>
          <w:b/>
          <w:sz w:val="36"/>
          <w:szCs w:val="36"/>
        </w:rPr>
      </w:pPr>
      <w:r>
        <w:rPr>
          <w:rFonts w:hint="eastAsia"/>
          <w:b/>
          <w:sz w:val="36"/>
          <w:szCs w:val="36"/>
        </w:rPr>
        <w:t>经济标评分表</w:t>
      </w:r>
    </w:p>
    <w:p w14:paraId="6EEEF273">
      <w:pPr>
        <w:rPr>
          <w:szCs w:val="21"/>
        </w:rPr>
      </w:pPr>
      <w:r>
        <w:rPr>
          <w:rFonts w:hint="eastAsia"/>
          <w:szCs w:val="21"/>
        </w:rPr>
        <w:t>工程名称：</w:t>
      </w:r>
    </w:p>
    <w:tbl>
      <w:tblPr>
        <w:tblStyle w:val="37"/>
        <w:tblW w:w="144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1013"/>
        <w:gridCol w:w="963"/>
        <w:gridCol w:w="1031"/>
        <w:gridCol w:w="1031"/>
        <w:gridCol w:w="1031"/>
        <w:gridCol w:w="1031"/>
        <w:gridCol w:w="1031"/>
        <w:gridCol w:w="1031"/>
        <w:gridCol w:w="1031"/>
        <w:gridCol w:w="1031"/>
        <w:gridCol w:w="1031"/>
        <w:gridCol w:w="1032"/>
      </w:tblGrid>
      <w:tr w14:paraId="22C6D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160" w:type="dxa"/>
            <w:tcBorders>
              <w:top w:val="single" w:color="auto" w:sz="4" w:space="0"/>
              <w:left w:val="single" w:color="auto" w:sz="4" w:space="0"/>
              <w:bottom w:val="single" w:color="auto" w:sz="4" w:space="0"/>
              <w:right w:val="single" w:color="auto" w:sz="4" w:space="0"/>
            </w:tcBorders>
            <w:vAlign w:val="center"/>
          </w:tcPr>
          <w:p w14:paraId="5FD813C5">
            <w:pPr>
              <w:rPr>
                <w:rFonts w:hint="eastAsia" w:ascii="宋体" w:hAnsi="宋体"/>
                <w:szCs w:val="21"/>
              </w:rPr>
            </w:pPr>
            <w:r>
              <w:rPr>
                <w:rFonts w:hint="eastAsia" w:ascii="宋体" w:hAnsi="宋体"/>
                <w:szCs w:val="21"/>
              </w:rPr>
              <w:t>投标人名称</w:t>
            </w:r>
          </w:p>
        </w:tc>
        <w:tc>
          <w:tcPr>
            <w:tcW w:w="1013" w:type="dxa"/>
            <w:tcBorders>
              <w:top w:val="single" w:color="auto" w:sz="4" w:space="0"/>
              <w:left w:val="single" w:color="auto" w:sz="4" w:space="0"/>
              <w:bottom w:val="single" w:color="auto" w:sz="4" w:space="0"/>
              <w:right w:val="single" w:color="auto" w:sz="4" w:space="0"/>
            </w:tcBorders>
            <w:vAlign w:val="center"/>
          </w:tcPr>
          <w:p w14:paraId="7F7B5F47">
            <w:pPr>
              <w:rPr>
                <w:rFonts w:hint="eastAsia" w:ascii="宋体" w:hAnsi="宋体"/>
                <w:szCs w:val="21"/>
              </w:rPr>
            </w:pPr>
          </w:p>
        </w:tc>
        <w:tc>
          <w:tcPr>
            <w:tcW w:w="963" w:type="dxa"/>
            <w:tcBorders>
              <w:top w:val="single" w:color="auto" w:sz="4" w:space="0"/>
              <w:left w:val="single" w:color="auto" w:sz="4" w:space="0"/>
              <w:bottom w:val="single" w:color="auto" w:sz="4" w:space="0"/>
              <w:right w:val="single" w:color="auto" w:sz="4" w:space="0"/>
            </w:tcBorders>
            <w:vAlign w:val="center"/>
          </w:tcPr>
          <w:p w14:paraId="3B032A84">
            <w:pPr>
              <w:rPr>
                <w:rFonts w:hint="eastAsia"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0382F062">
            <w:pPr>
              <w:rPr>
                <w:rFonts w:hint="eastAsia"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514C9EB1">
            <w:pPr>
              <w:rPr>
                <w:rFonts w:hint="eastAsia"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0370C3E5">
            <w:pPr>
              <w:rPr>
                <w:rFonts w:hint="eastAsia"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1817E8A2">
            <w:pPr>
              <w:rPr>
                <w:rFonts w:hint="eastAsia"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68444A6B">
            <w:pPr>
              <w:rPr>
                <w:rFonts w:hint="eastAsia"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1EE7D439">
            <w:pPr>
              <w:rPr>
                <w:rFonts w:hint="eastAsia"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3EC55105">
            <w:pPr>
              <w:rPr>
                <w:rFonts w:hint="eastAsia"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32C1FD24">
            <w:pPr>
              <w:rPr>
                <w:rFonts w:hint="eastAsia"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57191D20">
            <w:pPr>
              <w:rPr>
                <w:rFonts w:hint="eastAsia" w:ascii="宋体" w:hAnsi="宋体"/>
                <w:szCs w:val="21"/>
              </w:rPr>
            </w:pPr>
          </w:p>
        </w:tc>
        <w:tc>
          <w:tcPr>
            <w:tcW w:w="1032" w:type="dxa"/>
            <w:tcBorders>
              <w:top w:val="single" w:color="auto" w:sz="4" w:space="0"/>
              <w:left w:val="single" w:color="auto" w:sz="4" w:space="0"/>
              <w:bottom w:val="single" w:color="auto" w:sz="4" w:space="0"/>
              <w:right w:val="single" w:color="auto" w:sz="4" w:space="0"/>
            </w:tcBorders>
            <w:vAlign w:val="center"/>
          </w:tcPr>
          <w:p w14:paraId="797F46AA">
            <w:pPr>
              <w:rPr>
                <w:rFonts w:hint="eastAsia" w:ascii="宋体" w:hAnsi="宋体"/>
                <w:szCs w:val="21"/>
              </w:rPr>
            </w:pPr>
          </w:p>
        </w:tc>
      </w:tr>
      <w:tr w14:paraId="1550A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160" w:type="dxa"/>
            <w:tcBorders>
              <w:top w:val="single" w:color="auto" w:sz="4" w:space="0"/>
              <w:left w:val="single" w:color="auto" w:sz="4" w:space="0"/>
              <w:bottom w:val="single" w:color="auto" w:sz="4" w:space="0"/>
              <w:right w:val="single" w:color="auto" w:sz="4" w:space="0"/>
            </w:tcBorders>
            <w:vAlign w:val="center"/>
          </w:tcPr>
          <w:p w14:paraId="409E7E11">
            <w:pPr>
              <w:rPr>
                <w:rFonts w:hint="eastAsia" w:ascii="宋体" w:hAnsi="宋体"/>
                <w:szCs w:val="21"/>
              </w:rPr>
            </w:pPr>
            <w:r>
              <w:rPr>
                <w:rFonts w:hint="eastAsia" w:ascii="宋体" w:hAnsi="宋体"/>
                <w:szCs w:val="21"/>
              </w:rPr>
              <w:t>投标报价</w:t>
            </w:r>
            <w:r>
              <w:rPr>
                <w:rFonts w:ascii="宋体" w:hAnsi="宋体"/>
                <w:szCs w:val="21"/>
              </w:rPr>
              <w:t>PT</w:t>
            </w:r>
            <w:r>
              <w:rPr>
                <w:rFonts w:hint="eastAsia" w:ascii="宋体" w:hAnsi="宋体"/>
                <w:szCs w:val="21"/>
              </w:rPr>
              <w:t>（元）</w:t>
            </w:r>
          </w:p>
        </w:tc>
        <w:tc>
          <w:tcPr>
            <w:tcW w:w="1013" w:type="dxa"/>
            <w:tcBorders>
              <w:top w:val="single" w:color="auto" w:sz="4" w:space="0"/>
              <w:left w:val="single" w:color="auto" w:sz="4" w:space="0"/>
              <w:bottom w:val="single" w:color="auto" w:sz="4" w:space="0"/>
              <w:right w:val="single" w:color="auto" w:sz="4" w:space="0"/>
            </w:tcBorders>
            <w:vAlign w:val="center"/>
          </w:tcPr>
          <w:p w14:paraId="1B572D4B">
            <w:pPr>
              <w:rPr>
                <w:rFonts w:hint="eastAsia" w:ascii="宋体" w:hAnsi="宋体"/>
                <w:szCs w:val="21"/>
              </w:rPr>
            </w:pPr>
          </w:p>
        </w:tc>
        <w:tc>
          <w:tcPr>
            <w:tcW w:w="963" w:type="dxa"/>
            <w:tcBorders>
              <w:top w:val="single" w:color="auto" w:sz="4" w:space="0"/>
              <w:left w:val="single" w:color="auto" w:sz="4" w:space="0"/>
              <w:bottom w:val="single" w:color="auto" w:sz="4" w:space="0"/>
              <w:right w:val="single" w:color="auto" w:sz="4" w:space="0"/>
            </w:tcBorders>
            <w:vAlign w:val="center"/>
          </w:tcPr>
          <w:p w14:paraId="7A7144EC">
            <w:pPr>
              <w:rPr>
                <w:rFonts w:hint="eastAsia"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666E1827">
            <w:pPr>
              <w:rPr>
                <w:rFonts w:hint="eastAsia"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28A18B47">
            <w:pPr>
              <w:rPr>
                <w:rFonts w:hint="eastAsia"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5868E6FA">
            <w:pPr>
              <w:rPr>
                <w:rFonts w:hint="eastAsia"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4B71E9E6">
            <w:pPr>
              <w:rPr>
                <w:rFonts w:hint="eastAsia"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6C26F7AA">
            <w:pPr>
              <w:rPr>
                <w:rFonts w:hint="eastAsia"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2DF8302B">
            <w:pPr>
              <w:rPr>
                <w:rFonts w:hint="eastAsia"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255C9B65">
            <w:pPr>
              <w:rPr>
                <w:rFonts w:hint="eastAsia"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6CC226E3">
            <w:pPr>
              <w:rPr>
                <w:rFonts w:hint="eastAsia"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6F5AD151">
            <w:pPr>
              <w:rPr>
                <w:rFonts w:hint="eastAsia" w:ascii="宋体" w:hAnsi="宋体"/>
                <w:szCs w:val="21"/>
              </w:rPr>
            </w:pPr>
          </w:p>
        </w:tc>
        <w:tc>
          <w:tcPr>
            <w:tcW w:w="1032" w:type="dxa"/>
            <w:tcBorders>
              <w:top w:val="single" w:color="auto" w:sz="4" w:space="0"/>
              <w:left w:val="single" w:color="auto" w:sz="4" w:space="0"/>
              <w:bottom w:val="single" w:color="auto" w:sz="4" w:space="0"/>
              <w:right w:val="single" w:color="auto" w:sz="4" w:space="0"/>
            </w:tcBorders>
            <w:vAlign w:val="center"/>
          </w:tcPr>
          <w:p w14:paraId="0A1CFE33">
            <w:pPr>
              <w:rPr>
                <w:rFonts w:hint="eastAsia" w:ascii="宋体" w:hAnsi="宋体"/>
                <w:szCs w:val="21"/>
              </w:rPr>
            </w:pPr>
          </w:p>
        </w:tc>
      </w:tr>
      <w:tr w14:paraId="351D0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160" w:type="dxa"/>
            <w:tcBorders>
              <w:top w:val="single" w:color="auto" w:sz="4" w:space="0"/>
              <w:left w:val="single" w:color="auto" w:sz="4" w:space="0"/>
              <w:bottom w:val="single" w:color="auto" w:sz="4" w:space="0"/>
              <w:right w:val="single" w:color="auto" w:sz="4" w:space="0"/>
            </w:tcBorders>
            <w:vAlign w:val="center"/>
          </w:tcPr>
          <w:p w14:paraId="5165970D">
            <w:pPr>
              <w:rPr>
                <w:rFonts w:hint="eastAsia" w:ascii="宋体" w:hAnsi="宋体"/>
                <w:szCs w:val="21"/>
              </w:rPr>
            </w:pPr>
            <w:r>
              <w:rPr>
                <w:rFonts w:hint="eastAsia" w:ascii="宋体" w:hAnsi="宋体"/>
                <w:szCs w:val="21"/>
              </w:rPr>
              <w:t>计算评标参考价的等分点值X</w:t>
            </w:r>
          </w:p>
        </w:tc>
        <w:tc>
          <w:tcPr>
            <w:tcW w:w="12287" w:type="dxa"/>
            <w:gridSpan w:val="12"/>
            <w:tcBorders>
              <w:top w:val="single" w:color="auto" w:sz="4" w:space="0"/>
              <w:left w:val="single" w:color="auto" w:sz="4" w:space="0"/>
              <w:bottom w:val="single" w:color="auto" w:sz="4" w:space="0"/>
              <w:right w:val="single" w:color="auto" w:sz="4" w:space="0"/>
            </w:tcBorders>
            <w:vAlign w:val="center"/>
          </w:tcPr>
          <w:p w14:paraId="4160AEC1">
            <w:pPr>
              <w:rPr>
                <w:rFonts w:hint="eastAsia" w:ascii="宋体" w:hAnsi="宋体"/>
                <w:szCs w:val="21"/>
              </w:rPr>
            </w:pPr>
          </w:p>
        </w:tc>
      </w:tr>
      <w:tr w14:paraId="19F8C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160" w:type="dxa"/>
            <w:tcBorders>
              <w:top w:val="single" w:color="auto" w:sz="4" w:space="0"/>
              <w:left w:val="single" w:color="auto" w:sz="4" w:space="0"/>
              <w:bottom w:val="single" w:color="auto" w:sz="4" w:space="0"/>
              <w:right w:val="single" w:color="auto" w:sz="4" w:space="0"/>
            </w:tcBorders>
            <w:vAlign w:val="center"/>
          </w:tcPr>
          <w:p w14:paraId="35452271">
            <w:pPr>
              <w:rPr>
                <w:rFonts w:hint="eastAsia" w:ascii="宋体" w:hAnsi="宋体"/>
                <w:szCs w:val="21"/>
              </w:rPr>
            </w:pPr>
            <w:r>
              <w:rPr>
                <w:rFonts w:hint="eastAsia" w:ascii="宋体" w:hAnsi="宋体"/>
                <w:szCs w:val="21"/>
              </w:rPr>
              <w:t>评标参考价PC（元）</w:t>
            </w:r>
          </w:p>
        </w:tc>
        <w:tc>
          <w:tcPr>
            <w:tcW w:w="12287" w:type="dxa"/>
            <w:gridSpan w:val="12"/>
            <w:tcBorders>
              <w:top w:val="single" w:color="auto" w:sz="4" w:space="0"/>
              <w:left w:val="single" w:color="auto" w:sz="4" w:space="0"/>
              <w:bottom w:val="single" w:color="auto" w:sz="4" w:space="0"/>
              <w:right w:val="single" w:color="auto" w:sz="4" w:space="0"/>
            </w:tcBorders>
            <w:vAlign w:val="center"/>
          </w:tcPr>
          <w:p w14:paraId="384714E1">
            <w:pPr>
              <w:rPr>
                <w:rFonts w:hint="eastAsia" w:ascii="宋体" w:hAnsi="宋体"/>
                <w:szCs w:val="21"/>
              </w:rPr>
            </w:pPr>
          </w:p>
        </w:tc>
      </w:tr>
      <w:tr w14:paraId="5BCE3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160" w:type="dxa"/>
            <w:tcBorders>
              <w:top w:val="single" w:color="auto" w:sz="4" w:space="0"/>
              <w:left w:val="single" w:color="auto" w:sz="4" w:space="0"/>
              <w:bottom w:val="single" w:color="auto" w:sz="4" w:space="0"/>
              <w:right w:val="single" w:color="auto" w:sz="4" w:space="0"/>
            </w:tcBorders>
            <w:vAlign w:val="center"/>
          </w:tcPr>
          <w:p w14:paraId="791DEC55">
            <w:pPr>
              <w:rPr>
                <w:rFonts w:hint="eastAsia" w:ascii="宋体" w:hAnsi="宋体"/>
                <w:szCs w:val="21"/>
              </w:rPr>
            </w:pPr>
            <w:r>
              <w:rPr>
                <w:rFonts w:hint="eastAsia" w:ascii="宋体" w:hAnsi="宋体"/>
                <w:szCs w:val="21"/>
              </w:rPr>
              <w:t>偏差（（</w:t>
            </w:r>
            <w:r>
              <w:rPr>
                <w:rFonts w:ascii="宋体" w:hAnsi="宋体"/>
                <w:szCs w:val="21"/>
              </w:rPr>
              <w:t>PT-PC</w:t>
            </w:r>
            <w:r>
              <w:rPr>
                <w:rFonts w:hint="eastAsia" w:ascii="宋体" w:hAnsi="宋体"/>
                <w:szCs w:val="21"/>
              </w:rPr>
              <w:t>）</w:t>
            </w:r>
            <w:r>
              <w:rPr>
                <w:rFonts w:ascii="宋体" w:hAnsi="宋体"/>
                <w:szCs w:val="21"/>
              </w:rPr>
              <w:t>/PC</w:t>
            </w:r>
            <w:r>
              <w:rPr>
                <w:rFonts w:hint="eastAsia" w:ascii="宋体" w:hAnsi="宋体"/>
                <w:szCs w:val="21"/>
              </w:rPr>
              <w:t>）（</w:t>
            </w:r>
            <w:r>
              <w:rPr>
                <w:rFonts w:ascii="宋体" w:hAnsi="宋体"/>
                <w:szCs w:val="21"/>
              </w:rPr>
              <w:t>%</w:t>
            </w:r>
            <w:r>
              <w:rPr>
                <w:rFonts w:hint="eastAsia" w:ascii="宋体" w:hAnsi="宋体"/>
                <w:szCs w:val="21"/>
              </w:rPr>
              <w:t>）</w:t>
            </w:r>
          </w:p>
        </w:tc>
        <w:tc>
          <w:tcPr>
            <w:tcW w:w="1013" w:type="dxa"/>
            <w:tcBorders>
              <w:top w:val="single" w:color="auto" w:sz="4" w:space="0"/>
              <w:left w:val="single" w:color="auto" w:sz="4" w:space="0"/>
              <w:bottom w:val="single" w:color="auto" w:sz="4" w:space="0"/>
              <w:right w:val="single" w:color="auto" w:sz="4" w:space="0"/>
            </w:tcBorders>
            <w:vAlign w:val="center"/>
          </w:tcPr>
          <w:p w14:paraId="0C007424">
            <w:pPr>
              <w:rPr>
                <w:rFonts w:hint="eastAsia" w:ascii="宋体" w:hAnsi="宋体"/>
                <w:szCs w:val="21"/>
              </w:rPr>
            </w:pPr>
          </w:p>
        </w:tc>
        <w:tc>
          <w:tcPr>
            <w:tcW w:w="963" w:type="dxa"/>
            <w:tcBorders>
              <w:top w:val="single" w:color="auto" w:sz="4" w:space="0"/>
              <w:left w:val="single" w:color="auto" w:sz="4" w:space="0"/>
              <w:bottom w:val="single" w:color="auto" w:sz="4" w:space="0"/>
              <w:right w:val="single" w:color="auto" w:sz="4" w:space="0"/>
            </w:tcBorders>
            <w:vAlign w:val="center"/>
          </w:tcPr>
          <w:p w14:paraId="087434EA">
            <w:pPr>
              <w:rPr>
                <w:rFonts w:hint="eastAsia"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6D1EB272">
            <w:pPr>
              <w:rPr>
                <w:rFonts w:hint="eastAsia"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4DB0BD85">
            <w:pPr>
              <w:rPr>
                <w:rFonts w:hint="eastAsia"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106365C5">
            <w:pPr>
              <w:rPr>
                <w:rFonts w:hint="eastAsia"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5043F0DC">
            <w:pPr>
              <w:rPr>
                <w:rFonts w:hint="eastAsia"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597C0DE6">
            <w:pPr>
              <w:rPr>
                <w:rFonts w:hint="eastAsia"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072E1291">
            <w:pPr>
              <w:rPr>
                <w:rFonts w:hint="eastAsia"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0D8AE845">
            <w:pPr>
              <w:rPr>
                <w:rFonts w:hint="eastAsia"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24FD5D42">
            <w:pPr>
              <w:rPr>
                <w:rFonts w:hint="eastAsia"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26EF7DAD">
            <w:pPr>
              <w:rPr>
                <w:rFonts w:hint="eastAsia" w:ascii="宋体" w:hAnsi="宋体"/>
                <w:szCs w:val="21"/>
              </w:rPr>
            </w:pPr>
          </w:p>
        </w:tc>
        <w:tc>
          <w:tcPr>
            <w:tcW w:w="1032" w:type="dxa"/>
            <w:tcBorders>
              <w:top w:val="single" w:color="auto" w:sz="4" w:space="0"/>
              <w:left w:val="single" w:color="auto" w:sz="4" w:space="0"/>
              <w:bottom w:val="single" w:color="auto" w:sz="4" w:space="0"/>
              <w:right w:val="single" w:color="auto" w:sz="4" w:space="0"/>
            </w:tcBorders>
            <w:vAlign w:val="center"/>
          </w:tcPr>
          <w:p w14:paraId="4CB52160">
            <w:pPr>
              <w:rPr>
                <w:rFonts w:hint="eastAsia" w:ascii="宋体" w:hAnsi="宋体"/>
                <w:szCs w:val="21"/>
              </w:rPr>
            </w:pPr>
          </w:p>
        </w:tc>
      </w:tr>
      <w:tr w14:paraId="090F6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160" w:type="dxa"/>
            <w:tcBorders>
              <w:top w:val="single" w:color="auto" w:sz="4" w:space="0"/>
              <w:left w:val="single" w:color="auto" w:sz="4" w:space="0"/>
              <w:bottom w:val="single" w:color="auto" w:sz="4" w:space="0"/>
              <w:right w:val="single" w:color="auto" w:sz="4" w:space="0"/>
            </w:tcBorders>
            <w:vAlign w:val="center"/>
          </w:tcPr>
          <w:p w14:paraId="1212ECF3">
            <w:pPr>
              <w:rPr>
                <w:rFonts w:hint="eastAsia" w:ascii="宋体" w:hAnsi="宋体"/>
                <w:szCs w:val="21"/>
              </w:rPr>
            </w:pPr>
            <w:r>
              <w:rPr>
                <w:rFonts w:hint="eastAsia" w:ascii="宋体" w:hAnsi="宋体"/>
                <w:szCs w:val="21"/>
              </w:rPr>
              <w:t>减分（</w:t>
            </w:r>
            <w:r>
              <w:rPr>
                <w:rFonts w:ascii="宋体" w:hAnsi="宋体"/>
                <w:szCs w:val="21"/>
              </w:rPr>
              <w:t>A</w:t>
            </w:r>
            <w:r>
              <w:rPr>
                <w:rFonts w:hint="eastAsia" w:ascii="宋体" w:hAnsi="宋体"/>
                <w:szCs w:val="21"/>
              </w:rPr>
              <w:t>）</w:t>
            </w:r>
          </w:p>
        </w:tc>
        <w:tc>
          <w:tcPr>
            <w:tcW w:w="1013" w:type="dxa"/>
            <w:tcBorders>
              <w:top w:val="single" w:color="auto" w:sz="4" w:space="0"/>
              <w:left w:val="single" w:color="auto" w:sz="4" w:space="0"/>
              <w:bottom w:val="single" w:color="auto" w:sz="4" w:space="0"/>
              <w:right w:val="single" w:color="auto" w:sz="4" w:space="0"/>
            </w:tcBorders>
            <w:vAlign w:val="center"/>
          </w:tcPr>
          <w:p w14:paraId="7B18D34E">
            <w:pPr>
              <w:rPr>
                <w:rFonts w:hint="eastAsia" w:ascii="宋体" w:hAnsi="宋体"/>
                <w:szCs w:val="21"/>
              </w:rPr>
            </w:pPr>
          </w:p>
        </w:tc>
        <w:tc>
          <w:tcPr>
            <w:tcW w:w="963" w:type="dxa"/>
            <w:tcBorders>
              <w:top w:val="single" w:color="auto" w:sz="4" w:space="0"/>
              <w:left w:val="single" w:color="auto" w:sz="4" w:space="0"/>
              <w:bottom w:val="single" w:color="auto" w:sz="4" w:space="0"/>
              <w:right w:val="single" w:color="auto" w:sz="4" w:space="0"/>
            </w:tcBorders>
            <w:vAlign w:val="center"/>
          </w:tcPr>
          <w:p w14:paraId="026F5DE9">
            <w:pPr>
              <w:rPr>
                <w:rFonts w:hint="eastAsia"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05726FD1">
            <w:pPr>
              <w:rPr>
                <w:rFonts w:hint="eastAsia"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123852F0">
            <w:pPr>
              <w:rPr>
                <w:rFonts w:hint="eastAsia"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15D27987">
            <w:pPr>
              <w:rPr>
                <w:rFonts w:hint="eastAsia"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468CEB0D">
            <w:pPr>
              <w:rPr>
                <w:rFonts w:hint="eastAsia"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272219FE">
            <w:pPr>
              <w:rPr>
                <w:rFonts w:hint="eastAsia"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624BF359">
            <w:pPr>
              <w:rPr>
                <w:rFonts w:hint="eastAsia"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16C38184">
            <w:pPr>
              <w:rPr>
                <w:rFonts w:hint="eastAsia"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654C52CF">
            <w:pPr>
              <w:rPr>
                <w:rFonts w:hint="eastAsia"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3C11AF55">
            <w:pPr>
              <w:rPr>
                <w:rFonts w:hint="eastAsia" w:ascii="宋体" w:hAnsi="宋体"/>
                <w:szCs w:val="21"/>
              </w:rPr>
            </w:pPr>
          </w:p>
        </w:tc>
        <w:tc>
          <w:tcPr>
            <w:tcW w:w="1032" w:type="dxa"/>
            <w:tcBorders>
              <w:top w:val="single" w:color="auto" w:sz="4" w:space="0"/>
              <w:left w:val="single" w:color="auto" w:sz="4" w:space="0"/>
              <w:bottom w:val="single" w:color="auto" w:sz="4" w:space="0"/>
              <w:right w:val="single" w:color="auto" w:sz="4" w:space="0"/>
            </w:tcBorders>
            <w:vAlign w:val="center"/>
          </w:tcPr>
          <w:p w14:paraId="0D802B72">
            <w:pPr>
              <w:rPr>
                <w:rFonts w:hint="eastAsia" w:ascii="宋体" w:hAnsi="宋体"/>
                <w:szCs w:val="21"/>
              </w:rPr>
            </w:pPr>
          </w:p>
        </w:tc>
      </w:tr>
      <w:tr w14:paraId="7FE20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160" w:type="dxa"/>
            <w:tcBorders>
              <w:top w:val="single" w:color="auto" w:sz="4" w:space="0"/>
              <w:left w:val="single" w:color="auto" w:sz="4" w:space="0"/>
              <w:bottom w:val="single" w:color="auto" w:sz="4" w:space="0"/>
              <w:right w:val="single" w:color="auto" w:sz="4" w:space="0"/>
            </w:tcBorders>
            <w:vAlign w:val="center"/>
          </w:tcPr>
          <w:p w14:paraId="2EDDA9D4">
            <w:pPr>
              <w:rPr>
                <w:rFonts w:hint="eastAsia" w:ascii="宋体" w:hAnsi="宋体"/>
                <w:szCs w:val="21"/>
              </w:rPr>
            </w:pPr>
            <w:r>
              <w:rPr>
                <w:rFonts w:hint="eastAsia" w:ascii="宋体" w:hAnsi="宋体"/>
                <w:szCs w:val="21"/>
              </w:rPr>
              <w:t>得分</w:t>
            </w:r>
            <w:r>
              <w:rPr>
                <w:rFonts w:ascii="宋体" w:hAnsi="宋体"/>
                <w:szCs w:val="21"/>
              </w:rPr>
              <w:t>(</w:t>
            </w:r>
            <w:r>
              <w:rPr>
                <w:rFonts w:hint="eastAsia" w:ascii="宋体" w:hAnsi="宋体"/>
                <w:szCs w:val="21"/>
              </w:rPr>
              <w:t>Ｉ</w:t>
            </w:r>
            <w:r>
              <w:rPr>
                <w:rFonts w:ascii="宋体" w:hAnsi="宋体"/>
                <w:szCs w:val="21"/>
              </w:rPr>
              <w:t>=100-A)</w:t>
            </w:r>
          </w:p>
        </w:tc>
        <w:tc>
          <w:tcPr>
            <w:tcW w:w="1013" w:type="dxa"/>
            <w:tcBorders>
              <w:top w:val="single" w:color="auto" w:sz="4" w:space="0"/>
              <w:left w:val="single" w:color="auto" w:sz="4" w:space="0"/>
              <w:bottom w:val="single" w:color="auto" w:sz="4" w:space="0"/>
              <w:right w:val="single" w:color="auto" w:sz="4" w:space="0"/>
            </w:tcBorders>
            <w:vAlign w:val="center"/>
          </w:tcPr>
          <w:p w14:paraId="08C900DC">
            <w:pPr>
              <w:rPr>
                <w:rFonts w:hint="eastAsia" w:ascii="宋体" w:hAnsi="宋体"/>
                <w:szCs w:val="21"/>
              </w:rPr>
            </w:pPr>
          </w:p>
        </w:tc>
        <w:tc>
          <w:tcPr>
            <w:tcW w:w="963" w:type="dxa"/>
            <w:tcBorders>
              <w:top w:val="single" w:color="auto" w:sz="4" w:space="0"/>
              <w:left w:val="single" w:color="auto" w:sz="4" w:space="0"/>
              <w:bottom w:val="single" w:color="auto" w:sz="4" w:space="0"/>
              <w:right w:val="single" w:color="auto" w:sz="4" w:space="0"/>
            </w:tcBorders>
            <w:vAlign w:val="center"/>
          </w:tcPr>
          <w:p w14:paraId="2232BF68">
            <w:pPr>
              <w:rPr>
                <w:rFonts w:hint="eastAsia"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0FE5B733">
            <w:pPr>
              <w:rPr>
                <w:rFonts w:hint="eastAsia"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7AB1DEC3">
            <w:pPr>
              <w:rPr>
                <w:rFonts w:hint="eastAsia"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14BBEABC">
            <w:pPr>
              <w:rPr>
                <w:rFonts w:hint="eastAsia"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0828E692">
            <w:pPr>
              <w:rPr>
                <w:rFonts w:hint="eastAsia"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24223254">
            <w:pPr>
              <w:rPr>
                <w:rFonts w:hint="eastAsia"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4EF17856">
            <w:pPr>
              <w:rPr>
                <w:rFonts w:hint="eastAsia"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20A26172">
            <w:pPr>
              <w:rPr>
                <w:rFonts w:hint="eastAsia"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108122F7">
            <w:pPr>
              <w:rPr>
                <w:rFonts w:hint="eastAsia"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45271B52">
            <w:pPr>
              <w:rPr>
                <w:rFonts w:hint="eastAsia" w:ascii="宋体" w:hAnsi="宋体"/>
                <w:szCs w:val="21"/>
              </w:rPr>
            </w:pPr>
          </w:p>
        </w:tc>
        <w:tc>
          <w:tcPr>
            <w:tcW w:w="1032" w:type="dxa"/>
            <w:tcBorders>
              <w:top w:val="single" w:color="auto" w:sz="4" w:space="0"/>
              <w:left w:val="single" w:color="auto" w:sz="4" w:space="0"/>
              <w:bottom w:val="single" w:color="auto" w:sz="4" w:space="0"/>
              <w:right w:val="single" w:color="auto" w:sz="4" w:space="0"/>
            </w:tcBorders>
            <w:vAlign w:val="center"/>
          </w:tcPr>
          <w:p w14:paraId="084FFE78">
            <w:pPr>
              <w:rPr>
                <w:rFonts w:hint="eastAsia" w:ascii="宋体" w:hAnsi="宋体"/>
                <w:szCs w:val="21"/>
              </w:rPr>
            </w:pPr>
          </w:p>
        </w:tc>
      </w:tr>
      <w:tr w14:paraId="6A634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160" w:type="dxa"/>
            <w:tcBorders>
              <w:top w:val="single" w:color="auto" w:sz="4" w:space="0"/>
              <w:left w:val="single" w:color="auto" w:sz="4" w:space="0"/>
              <w:bottom w:val="single" w:color="auto" w:sz="4" w:space="0"/>
              <w:right w:val="single" w:color="auto" w:sz="4" w:space="0"/>
            </w:tcBorders>
            <w:vAlign w:val="center"/>
          </w:tcPr>
          <w:p w14:paraId="1D4F4503">
            <w:pPr>
              <w:rPr>
                <w:rFonts w:hint="eastAsia" w:ascii="宋体" w:hAnsi="宋体"/>
                <w:szCs w:val="21"/>
              </w:rPr>
            </w:pPr>
            <w:r>
              <w:rPr>
                <w:rFonts w:hint="eastAsia" w:ascii="宋体" w:hAnsi="宋体"/>
                <w:szCs w:val="21"/>
              </w:rPr>
              <w:t>得分排名次序</w:t>
            </w:r>
          </w:p>
        </w:tc>
        <w:tc>
          <w:tcPr>
            <w:tcW w:w="1013" w:type="dxa"/>
            <w:tcBorders>
              <w:top w:val="single" w:color="auto" w:sz="4" w:space="0"/>
              <w:left w:val="single" w:color="auto" w:sz="4" w:space="0"/>
              <w:bottom w:val="single" w:color="auto" w:sz="4" w:space="0"/>
              <w:right w:val="single" w:color="auto" w:sz="4" w:space="0"/>
            </w:tcBorders>
            <w:vAlign w:val="center"/>
          </w:tcPr>
          <w:p w14:paraId="051740DC">
            <w:pPr>
              <w:rPr>
                <w:rFonts w:hint="eastAsia" w:ascii="宋体" w:hAnsi="宋体"/>
                <w:szCs w:val="21"/>
              </w:rPr>
            </w:pPr>
          </w:p>
        </w:tc>
        <w:tc>
          <w:tcPr>
            <w:tcW w:w="963" w:type="dxa"/>
            <w:tcBorders>
              <w:top w:val="single" w:color="auto" w:sz="4" w:space="0"/>
              <w:left w:val="single" w:color="auto" w:sz="4" w:space="0"/>
              <w:bottom w:val="single" w:color="auto" w:sz="4" w:space="0"/>
              <w:right w:val="single" w:color="auto" w:sz="4" w:space="0"/>
            </w:tcBorders>
            <w:vAlign w:val="center"/>
          </w:tcPr>
          <w:p w14:paraId="681FF74F">
            <w:pPr>
              <w:rPr>
                <w:rFonts w:hint="eastAsia"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2D5F852A">
            <w:pPr>
              <w:rPr>
                <w:rFonts w:hint="eastAsia"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44847293">
            <w:pPr>
              <w:rPr>
                <w:rFonts w:hint="eastAsia"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282C54D5">
            <w:pPr>
              <w:rPr>
                <w:rFonts w:hint="eastAsia"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47BF4AA4">
            <w:pPr>
              <w:rPr>
                <w:rFonts w:hint="eastAsia"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109F5890">
            <w:pPr>
              <w:rPr>
                <w:rFonts w:hint="eastAsia"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4C153DC4">
            <w:pPr>
              <w:rPr>
                <w:rFonts w:hint="eastAsia"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65EF5D8B">
            <w:pPr>
              <w:rPr>
                <w:rFonts w:hint="eastAsia"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2AE4996E">
            <w:pPr>
              <w:rPr>
                <w:rFonts w:hint="eastAsia"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1EDED513">
            <w:pPr>
              <w:rPr>
                <w:rFonts w:hint="eastAsia" w:ascii="宋体" w:hAnsi="宋体"/>
                <w:szCs w:val="21"/>
              </w:rPr>
            </w:pPr>
          </w:p>
        </w:tc>
        <w:tc>
          <w:tcPr>
            <w:tcW w:w="1032" w:type="dxa"/>
            <w:tcBorders>
              <w:top w:val="single" w:color="auto" w:sz="4" w:space="0"/>
              <w:left w:val="single" w:color="auto" w:sz="4" w:space="0"/>
              <w:bottom w:val="single" w:color="auto" w:sz="4" w:space="0"/>
              <w:right w:val="single" w:color="auto" w:sz="4" w:space="0"/>
            </w:tcBorders>
            <w:vAlign w:val="center"/>
          </w:tcPr>
          <w:p w14:paraId="65A0F1A6">
            <w:pPr>
              <w:rPr>
                <w:rFonts w:hint="eastAsia" w:ascii="宋体" w:hAnsi="宋体"/>
                <w:szCs w:val="21"/>
              </w:rPr>
            </w:pPr>
          </w:p>
        </w:tc>
      </w:tr>
    </w:tbl>
    <w:p w14:paraId="7E7C1ECC">
      <w:pPr>
        <w:rPr>
          <w:szCs w:val="21"/>
        </w:rPr>
      </w:pPr>
      <w:r>
        <w:rPr>
          <w:rFonts w:hint="eastAsia"/>
          <w:szCs w:val="21"/>
        </w:rPr>
        <w:t>评委签名：</w:t>
      </w:r>
    </w:p>
    <w:p w14:paraId="7AB6820D">
      <w:pPr>
        <w:rPr>
          <w:szCs w:val="21"/>
        </w:rPr>
      </w:pPr>
    </w:p>
    <w:p w14:paraId="46A815FF">
      <w:pPr>
        <w:pStyle w:val="2"/>
      </w:pPr>
    </w:p>
    <w:p w14:paraId="3960B96B"/>
    <w:p w14:paraId="4EB61948">
      <w:pPr>
        <w:rPr>
          <w:rFonts w:ascii="Tahoma" w:hAnsi="Tahoma" w:cs="Tahoma"/>
          <w:strike/>
          <w:sz w:val="28"/>
          <w:szCs w:val="28"/>
        </w:rPr>
      </w:pPr>
      <w:r>
        <w:rPr>
          <w:rFonts w:hint="eastAsia" w:ascii="Tahoma" w:hAnsi="Tahoma" w:cs="Tahoma"/>
          <w:strike/>
          <w:sz w:val="28"/>
          <w:szCs w:val="28"/>
        </w:rPr>
        <w:t>附表六：（适用于有主要项目单价评审的项目）</w:t>
      </w:r>
    </w:p>
    <w:p w14:paraId="3AF4D013">
      <w:pPr>
        <w:jc w:val="center"/>
        <w:rPr>
          <w:b/>
          <w:strike/>
          <w:sz w:val="36"/>
          <w:szCs w:val="36"/>
        </w:rPr>
      </w:pPr>
      <w:r>
        <w:rPr>
          <w:rFonts w:hint="eastAsia"/>
          <w:b/>
          <w:strike/>
          <w:sz w:val="36"/>
          <w:szCs w:val="36"/>
        </w:rPr>
        <w:t>需评审的主要项目表</w:t>
      </w:r>
    </w:p>
    <w:tbl>
      <w:tblPr>
        <w:tblStyle w:val="37"/>
        <w:tblW w:w="131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7"/>
        <w:gridCol w:w="1947"/>
        <w:gridCol w:w="2310"/>
        <w:gridCol w:w="2835"/>
        <w:gridCol w:w="1134"/>
        <w:gridCol w:w="1701"/>
        <w:gridCol w:w="1275"/>
      </w:tblGrid>
      <w:tr w14:paraId="7F75B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947" w:type="dxa"/>
            <w:vAlign w:val="center"/>
          </w:tcPr>
          <w:p w14:paraId="5CDF387A">
            <w:pPr>
              <w:tabs>
                <w:tab w:val="left" w:pos="720"/>
              </w:tabs>
              <w:spacing w:line="360" w:lineRule="auto"/>
              <w:jc w:val="center"/>
              <w:rPr>
                <w:rFonts w:ascii="Tahoma" w:hAnsi="Tahoma" w:cs="Tahoma"/>
                <w:strike/>
                <w:szCs w:val="21"/>
              </w:rPr>
            </w:pPr>
            <w:r>
              <w:rPr>
                <w:rFonts w:ascii="Tahoma" w:hAnsi="Tahoma" w:cs="Tahoma"/>
                <w:strike/>
                <w:szCs w:val="21"/>
              </w:rPr>
              <w:t>清单序号</w:t>
            </w:r>
          </w:p>
        </w:tc>
        <w:tc>
          <w:tcPr>
            <w:tcW w:w="1947" w:type="dxa"/>
            <w:vAlign w:val="center"/>
          </w:tcPr>
          <w:p w14:paraId="7A867669">
            <w:pPr>
              <w:tabs>
                <w:tab w:val="left" w:pos="720"/>
              </w:tabs>
              <w:spacing w:line="360" w:lineRule="auto"/>
              <w:jc w:val="center"/>
              <w:rPr>
                <w:rFonts w:ascii="Tahoma" w:hAnsi="Tahoma" w:cs="Tahoma"/>
                <w:strike/>
                <w:szCs w:val="21"/>
              </w:rPr>
            </w:pPr>
            <w:r>
              <w:rPr>
                <w:rFonts w:ascii="Tahoma" w:hAnsi="Tahoma" w:cs="Tahoma"/>
                <w:strike/>
                <w:szCs w:val="21"/>
              </w:rPr>
              <w:t>项目编码</w:t>
            </w:r>
          </w:p>
        </w:tc>
        <w:tc>
          <w:tcPr>
            <w:tcW w:w="2310" w:type="dxa"/>
            <w:vAlign w:val="center"/>
          </w:tcPr>
          <w:p w14:paraId="13798F09">
            <w:pPr>
              <w:tabs>
                <w:tab w:val="left" w:pos="720"/>
              </w:tabs>
              <w:spacing w:line="360" w:lineRule="auto"/>
              <w:jc w:val="center"/>
              <w:rPr>
                <w:rFonts w:ascii="Tahoma" w:hAnsi="Tahoma" w:cs="Tahoma"/>
                <w:strike/>
                <w:szCs w:val="21"/>
              </w:rPr>
            </w:pPr>
            <w:r>
              <w:rPr>
                <w:rFonts w:ascii="Tahoma" w:hAnsi="Tahoma" w:cs="Tahoma"/>
                <w:strike/>
                <w:szCs w:val="21"/>
              </w:rPr>
              <w:t>项目名称</w:t>
            </w:r>
          </w:p>
        </w:tc>
        <w:tc>
          <w:tcPr>
            <w:tcW w:w="2835" w:type="dxa"/>
            <w:vAlign w:val="center"/>
          </w:tcPr>
          <w:p w14:paraId="39710D88">
            <w:pPr>
              <w:tabs>
                <w:tab w:val="left" w:pos="720"/>
              </w:tabs>
              <w:spacing w:line="360" w:lineRule="auto"/>
              <w:jc w:val="center"/>
              <w:rPr>
                <w:rFonts w:ascii="Tahoma" w:hAnsi="Tahoma" w:cs="Tahoma"/>
                <w:strike/>
                <w:szCs w:val="21"/>
              </w:rPr>
            </w:pPr>
            <w:r>
              <w:rPr>
                <w:rFonts w:ascii="Tahoma" w:hAnsi="Tahoma" w:cs="Tahoma"/>
                <w:strike/>
                <w:szCs w:val="21"/>
              </w:rPr>
              <w:t>项目特征描述</w:t>
            </w:r>
          </w:p>
        </w:tc>
        <w:tc>
          <w:tcPr>
            <w:tcW w:w="1134" w:type="dxa"/>
            <w:vAlign w:val="center"/>
          </w:tcPr>
          <w:p w14:paraId="4120FC43">
            <w:pPr>
              <w:tabs>
                <w:tab w:val="left" w:pos="720"/>
              </w:tabs>
              <w:spacing w:line="360" w:lineRule="auto"/>
              <w:jc w:val="center"/>
              <w:rPr>
                <w:rFonts w:ascii="Tahoma" w:hAnsi="Tahoma" w:cs="Tahoma"/>
                <w:strike/>
                <w:szCs w:val="21"/>
              </w:rPr>
            </w:pPr>
            <w:r>
              <w:rPr>
                <w:rFonts w:ascii="Tahoma" w:hAnsi="Tahoma" w:cs="Tahoma"/>
                <w:strike/>
                <w:szCs w:val="21"/>
              </w:rPr>
              <w:t>计量单位</w:t>
            </w:r>
          </w:p>
        </w:tc>
        <w:tc>
          <w:tcPr>
            <w:tcW w:w="1701" w:type="dxa"/>
            <w:vAlign w:val="center"/>
          </w:tcPr>
          <w:p w14:paraId="297A78B9">
            <w:pPr>
              <w:tabs>
                <w:tab w:val="left" w:pos="720"/>
              </w:tabs>
              <w:spacing w:line="360" w:lineRule="auto"/>
              <w:jc w:val="center"/>
              <w:rPr>
                <w:rFonts w:ascii="Tahoma" w:hAnsi="Tahoma" w:cs="Tahoma"/>
                <w:strike/>
                <w:szCs w:val="21"/>
              </w:rPr>
            </w:pPr>
            <w:r>
              <w:rPr>
                <w:rFonts w:ascii="Tahoma" w:hAnsi="Tahoma" w:cs="Tahoma"/>
                <w:strike/>
                <w:szCs w:val="21"/>
              </w:rPr>
              <w:t>工程量</w:t>
            </w:r>
          </w:p>
        </w:tc>
        <w:tc>
          <w:tcPr>
            <w:tcW w:w="1275" w:type="dxa"/>
            <w:vAlign w:val="center"/>
          </w:tcPr>
          <w:p w14:paraId="5A7617A3">
            <w:pPr>
              <w:tabs>
                <w:tab w:val="left" w:pos="720"/>
              </w:tabs>
              <w:spacing w:line="360" w:lineRule="auto"/>
              <w:jc w:val="center"/>
              <w:rPr>
                <w:rFonts w:ascii="Tahoma" w:hAnsi="Tahoma" w:cs="Tahoma"/>
                <w:strike/>
                <w:szCs w:val="21"/>
              </w:rPr>
            </w:pPr>
            <w:r>
              <w:rPr>
                <w:rFonts w:ascii="Tahoma" w:hAnsi="Tahoma" w:cs="Tahoma"/>
                <w:strike/>
                <w:szCs w:val="21"/>
              </w:rPr>
              <w:t>备注</w:t>
            </w:r>
          </w:p>
        </w:tc>
      </w:tr>
      <w:tr w14:paraId="00B0F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1947" w:type="dxa"/>
            <w:vAlign w:val="center"/>
          </w:tcPr>
          <w:p w14:paraId="631B139D">
            <w:pPr>
              <w:tabs>
                <w:tab w:val="left" w:pos="720"/>
              </w:tabs>
              <w:spacing w:line="360" w:lineRule="auto"/>
              <w:jc w:val="center"/>
              <w:rPr>
                <w:rFonts w:ascii="Tahoma" w:hAnsi="Tahoma" w:cs="Tahoma"/>
                <w:strike/>
                <w:szCs w:val="21"/>
              </w:rPr>
            </w:pPr>
          </w:p>
        </w:tc>
        <w:tc>
          <w:tcPr>
            <w:tcW w:w="1947" w:type="dxa"/>
            <w:tcBorders>
              <w:top w:val="single" w:color="auto" w:sz="4" w:space="0"/>
              <w:left w:val="single" w:color="auto" w:sz="4" w:space="0"/>
              <w:bottom w:val="single" w:color="auto" w:sz="4" w:space="0"/>
              <w:right w:val="single" w:color="auto" w:sz="4" w:space="0"/>
            </w:tcBorders>
            <w:vAlign w:val="center"/>
          </w:tcPr>
          <w:p w14:paraId="20CC4E78">
            <w:pPr>
              <w:tabs>
                <w:tab w:val="left" w:pos="720"/>
              </w:tabs>
              <w:spacing w:line="360" w:lineRule="auto"/>
              <w:jc w:val="center"/>
              <w:rPr>
                <w:rFonts w:ascii="Tahoma" w:hAnsi="Tahoma" w:cs="Tahoma"/>
                <w:strike/>
                <w:szCs w:val="21"/>
              </w:rPr>
            </w:pPr>
          </w:p>
        </w:tc>
        <w:tc>
          <w:tcPr>
            <w:tcW w:w="2310" w:type="dxa"/>
            <w:tcBorders>
              <w:top w:val="single" w:color="auto" w:sz="4" w:space="0"/>
              <w:left w:val="nil"/>
              <w:bottom w:val="single" w:color="auto" w:sz="4" w:space="0"/>
              <w:right w:val="single" w:color="auto" w:sz="4" w:space="0"/>
            </w:tcBorders>
            <w:vAlign w:val="center"/>
          </w:tcPr>
          <w:p w14:paraId="58EB22AA">
            <w:pPr>
              <w:tabs>
                <w:tab w:val="left" w:pos="720"/>
              </w:tabs>
              <w:spacing w:line="360" w:lineRule="auto"/>
              <w:jc w:val="center"/>
              <w:rPr>
                <w:rFonts w:ascii="Tahoma" w:hAnsi="Tahoma" w:cs="Tahoma"/>
                <w:strike/>
                <w:szCs w:val="21"/>
              </w:rPr>
            </w:pPr>
          </w:p>
        </w:tc>
        <w:tc>
          <w:tcPr>
            <w:tcW w:w="2835" w:type="dxa"/>
            <w:tcBorders>
              <w:top w:val="single" w:color="auto" w:sz="4" w:space="0"/>
              <w:left w:val="nil"/>
              <w:bottom w:val="single" w:color="auto" w:sz="4" w:space="0"/>
              <w:right w:val="single" w:color="auto" w:sz="4" w:space="0"/>
            </w:tcBorders>
            <w:vAlign w:val="center"/>
          </w:tcPr>
          <w:p w14:paraId="4F9DC220">
            <w:pPr>
              <w:tabs>
                <w:tab w:val="left" w:pos="720"/>
              </w:tabs>
              <w:spacing w:line="360" w:lineRule="auto"/>
              <w:jc w:val="center"/>
              <w:rPr>
                <w:rFonts w:ascii="Tahoma" w:hAnsi="Tahoma" w:cs="Tahoma"/>
                <w:strike/>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722D34D1">
            <w:pPr>
              <w:tabs>
                <w:tab w:val="left" w:pos="720"/>
              </w:tabs>
              <w:spacing w:line="360" w:lineRule="auto"/>
              <w:jc w:val="center"/>
              <w:rPr>
                <w:rFonts w:ascii="Tahoma" w:hAnsi="Tahoma" w:cs="Tahoma"/>
                <w:strike/>
                <w:sz w:val="28"/>
                <w:szCs w:val="28"/>
              </w:rPr>
            </w:pPr>
          </w:p>
        </w:tc>
        <w:tc>
          <w:tcPr>
            <w:tcW w:w="1701" w:type="dxa"/>
            <w:tcBorders>
              <w:top w:val="single" w:color="auto" w:sz="4" w:space="0"/>
              <w:left w:val="nil"/>
              <w:bottom w:val="single" w:color="auto" w:sz="4" w:space="0"/>
              <w:right w:val="single" w:color="auto" w:sz="4" w:space="0"/>
            </w:tcBorders>
            <w:vAlign w:val="center"/>
          </w:tcPr>
          <w:p w14:paraId="4B50250B">
            <w:pPr>
              <w:tabs>
                <w:tab w:val="left" w:pos="720"/>
              </w:tabs>
              <w:spacing w:line="360" w:lineRule="auto"/>
              <w:jc w:val="center"/>
              <w:rPr>
                <w:rFonts w:ascii="Tahoma" w:hAnsi="Tahoma" w:cs="Tahoma"/>
                <w:strike/>
                <w:szCs w:val="21"/>
              </w:rPr>
            </w:pPr>
          </w:p>
        </w:tc>
        <w:tc>
          <w:tcPr>
            <w:tcW w:w="1275" w:type="dxa"/>
            <w:vAlign w:val="center"/>
          </w:tcPr>
          <w:p w14:paraId="5CA9FF38">
            <w:pPr>
              <w:tabs>
                <w:tab w:val="left" w:pos="720"/>
              </w:tabs>
              <w:spacing w:line="360" w:lineRule="auto"/>
              <w:jc w:val="center"/>
              <w:rPr>
                <w:rFonts w:ascii="Tahoma" w:hAnsi="Tahoma" w:cs="Tahoma"/>
                <w:strike/>
                <w:szCs w:val="21"/>
              </w:rPr>
            </w:pPr>
          </w:p>
        </w:tc>
      </w:tr>
      <w:tr w14:paraId="4BE5B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jc w:val="center"/>
        </w:trPr>
        <w:tc>
          <w:tcPr>
            <w:tcW w:w="1947" w:type="dxa"/>
            <w:vAlign w:val="center"/>
          </w:tcPr>
          <w:p w14:paraId="208A0DE8">
            <w:pPr>
              <w:tabs>
                <w:tab w:val="left" w:pos="720"/>
              </w:tabs>
              <w:spacing w:line="360" w:lineRule="auto"/>
              <w:jc w:val="center"/>
              <w:rPr>
                <w:rFonts w:ascii="Tahoma" w:hAnsi="Tahoma" w:cs="Tahoma"/>
                <w:strike/>
                <w:szCs w:val="21"/>
              </w:rPr>
            </w:pPr>
          </w:p>
        </w:tc>
        <w:tc>
          <w:tcPr>
            <w:tcW w:w="1947" w:type="dxa"/>
            <w:tcBorders>
              <w:top w:val="single" w:color="auto" w:sz="4" w:space="0"/>
              <w:left w:val="single" w:color="auto" w:sz="4" w:space="0"/>
              <w:bottom w:val="single" w:color="auto" w:sz="4" w:space="0"/>
              <w:right w:val="single" w:color="auto" w:sz="4" w:space="0"/>
            </w:tcBorders>
            <w:vAlign w:val="center"/>
          </w:tcPr>
          <w:p w14:paraId="6B4446B6">
            <w:pPr>
              <w:tabs>
                <w:tab w:val="left" w:pos="720"/>
              </w:tabs>
              <w:spacing w:line="360" w:lineRule="auto"/>
              <w:jc w:val="center"/>
              <w:rPr>
                <w:rFonts w:ascii="Tahoma" w:hAnsi="Tahoma" w:cs="Tahoma"/>
                <w:strike/>
                <w:szCs w:val="21"/>
              </w:rPr>
            </w:pPr>
          </w:p>
        </w:tc>
        <w:tc>
          <w:tcPr>
            <w:tcW w:w="2310" w:type="dxa"/>
            <w:tcBorders>
              <w:top w:val="single" w:color="auto" w:sz="4" w:space="0"/>
              <w:left w:val="nil"/>
              <w:bottom w:val="single" w:color="auto" w:sz="4" w:space="0"/>
              <w:right w:val="single" w:color="auto" w:sz="4" w:space="0"/>
            </w:tcBorders>
            <w:vAlign w:val="center"/>
          </w:tcPr>
          <w:p w14:paraId="355999C2">
            <w:pPr>
              <w:tabs>
                <w:tab w:val="left" w:pos="720"/>
              </w:tabs>
              <w:spacing w:line="360" w:lineRule="auto"/>
              <w:jc w:val="center"/>
              <w:rPr>
                <w:rFonts w:ascii="Tahoma" w:hAnsi="Tahoma" w:cs="Tahoma"/>
                <w:strike/>
                <w:szCs w:val="21"/>
              </w:rPr>
            </w:pPr>
          </w:p>
        </w:tc>
        <w:tc>
          <w:tcPr>
            <w:tcW w:w="2835" w:type="dxa"/>
            <w:tcBorders>
              <w:top w:val="single" w:color="auto" w:sz="4" w:space="0"/>
              <w:left w:val="nil"/>
              <w:bottom w:val="single" w:color="auto" w:sz="4" w:space="0"/>
              <w:right w:val="single" w:color="auto" w:sz="4" w:space="0"/>
            </w:tcBorders>
            <w:vAlign w:val="center"/>
          </w:tcPr>
          <w:p w14:paraId="496C7D6B">
            <w:pPr>
              <w:tabs>
                <w:tab w:val="left" w:pos="720"/>
              </w:tabs>
              <w:spacing w:line="360" w:lineRule="auto"/>
              <w:jc w:val="center"/>
              <w:rPr>
                <w:rFonts w:ascii="Tahoma" w:hAnsi="Tahoma" w:cs="Tahoma"/>
                <w:strike/>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621458D2">
            <w:pPr>
              <w:tabs>
                <w:tab w:val="left" w:pos="720"/>
              </w:tabs>
              <w:spacing w:line="360" w:lineRule="auto"/>
              <w:jc w:val="center"/>
              <w:rPr>
                <w:rFonts w:ascii="Tahoma" w:hAnsi="Tahoma" w:cs="Tahoma"/>
                <w:strike/>
                <w:szCs w:val="21"/>
              </w:rPr>
            </w:pPr>
          </w:p>
        </w:tc>
        <w:tc>
          <w:tcPr>
            <w:tcW w:w="1701" w:type="dxa"/>
            <w:tcBorders>
              <w:top w:val="single" w:color="auto" w:sz="4" w:space="0"/>
              <w:left w:val="nil"/>
              <w:bottom w:val="single" w:color="auto" w:sz="4" w:space="0"/>
              <w:right w:val="single" w:color="auto" w:sz="4" w:space="0"/>
            </w:tcBorders>
            <w:vAlign w:val="center"/>
          </w:tcPr>
          <w:p w14:paraId="41A06028">
            <w:pPr>
              <w:tabs>
                <w:tab w:val="left" w:pos="720"/>
              </w:tabs>
              <w:spacing w:line="360" w:lineRule="auto"/>
              <w:jc w:val="center"/>
              <w:rPr>
                <w:rFonts w:ascii="Tahoma" w:hAnsi="Tahoma" w:cs="Tahoma"/>
                <w:strike/>
                <w:szCs w:val="21"/>
              </w:rPr>
            </w:pPr>
          </w:p>
        </w:tc>
        <w:tc>
          <w:tcPr>
            <w:tcW w:w="1275" w:type="dxa"/>
            <w:vAlign w:val="center"/>
          </w:tcPr>
          <w:p w14:paraId="4095BFA3">
            <w:pPr>
              <w:tabs>
                <w:tab w:val="left" w:pos="720"/>
              </w:tabs>
              <w:spacing w:line="360" w:lineRule="auto"/>
              <w:jc w:val="center"/>
              <w:rPr>
                <w:rFonts w:ascii="Tahoma" w:hAnsi="Tahoma" w:cs="Tahoma"/>
                <w:strike/>
                <w:szCs w:val="21"/>
              </w:rPr>
            </w:pPr>
          </w:p>
        </w:tc>
      </w:tr>
      <w:tr w14:paraId="69DC1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jc w:val="center"/>
        </w:trPr>
        <w:tc>
          <w:tcPr>
            <w:tcW w:w="1947" w:type="dxa"/>
            <w:vAlign w:val="center"/>
          </w:tcPr>
          <w:p w14:paraId="470F91DC">
            <w:pPr>
              <w:tabs>
                <w:tab w:val="left" w:pos="720"/>
              </w:tabs>
              <w:spacing w:line="360" w:lineRule="auto"/>
              <w:jc w:val="center"/>
              <w:rPr>
                <w:rFonts w:ascii="Tahoma" w:hAnsi="Tahoma" w:cs="Tahoma"/>
                <w:strike/>
                <w:szCs w:val="21"/>
              </w:rPr>
            </w:pPr>
          </w:p>
        </w:tc>
        <w:tc>
          <w:tcPr>
            <w:tcW w:w="1947" w:type="dxa"/>
            <w:tcBorders>
              <w:top w:val="single" w:color="auto" w:sz="4" w:space="0"/>
              <w:left w:val="single" w:color="auto" w:sz="4" w:space="0"/>
              <w:bottom w:val="single" w:color="auto" w:sz="4" w:space="0"/>
              <w:right w:val="single" w:color="auto" w:sz="4" w:space="0"/>
            </w:tcBorders>
            <w:vAlign w:val="center"/>
          </w:tcPr>
          <w:p w14:paraId="3B5B7120">
            <w:pPr>
              <w:tabs>
                <w:tab w:val="left" w:pos="720"/>
              </w:tabs>
              <w:spacing w:line="360" w:lineRule="auto"/>
              <w:jc w:val="center"/>
              <w:rPr>
                <w:rFonts w:ascii="Tahoma" w:hAnsi="Tahoma" w:cs="Tahoma"/>
                <w:strike/>
                <w:szCs w:val="21"/>
              </w:rPr>
            </w:pPr>
          </w:p>
        </w:tc>
        <w:tc>
          <w:tcPr>
            <w:tcW w:w="2310" w:type="dxa"/>
            <w:tcBorders>
              <w:top w:val="single" w:color="auto" w:sz="4" w:space="0"/>
              <w:left w:val="nil"/>
              <w:bottom w:val="single" w:color="auto" w:sz="4" w:space="0"/>
              <w:right w:val="single" w:color="auto" w:sz="4" w:space="0"/>
            </w:tcBorders>
            <w:vAlign w:val="center"/>
          </w:tcPr>
          <w:p w14:paraId="3E0FA80D">
            <w:pPr>
              <w:tabs>
                <w:tab w:val="left" w:pos="720"/>
              </w:tabs>
              <w:spacing w:line="360" w:lineRule="auto"/>
              <w:jc w:val="center"/>
              <w:rPr>
                <w:rFonts w:ascii="Tahoma" w:hAnsi="Tahoma" w:cs="Tahoma"/>
                <w:strike/>
                <w:szCs w:val="21"/>
              </w:rPr>
            </w:pPr>
          </w:p>
        </w:tc>
        <w:tc>
          <w:tcPr>
            <w:tcW w:w="2835" w:type="dxa"/>
            <w:tcBorders>
              <w:top w:val="single" w:color="auto" w:sz="4" w:space="0"/>
              <w:left w:val="nil"/>
              <w:bottom w:val="single" w:color="auto" w:sz="4" w:space="0"/>
              <w:right w:val="single" w:color="auto" w:sz="4" w:space="0"/>
            </w:tcBorders>
            <w:vAlign w:val="center"/>
          </w:tcPr>
          <w:p w14:paraId="79AEC2E0">
            <w:pPr>
              <w:tabs>
                <w:tab w:val="left" w:pos="720"/>
              </w:tabs>
              <w:spacing w:line="360" w:lineRule="auto"/>
              <w:jc w:val="center"/>
              <w:rPr>
                <w:rFonts w:ascii="Tahoma" w:hAnsi="Tahoma" w:cs="Tahoma"/>
                <w:strike/>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40770881">
            <w:pPr>
              <w:tabs>
                <w:tab w:val="left" w:pos="720"/>
              </w:tabs>
              <w:spacing w:line="360" w:lineRule="auto"/>
              <w:jc w:val="center"/>
              <w:rPr>
                <w:rFonts w:ascii="Tahoma" w:hAnsi="Tahoma" w:cs="Tahoma"/>
                <w:strike/>
                <w:szCs w:val="21"/>
              </w:rPr>
            </w:pPr>
          </w:p>
        </w:tc>
        <w:tc>
          <w:tcPr>
            <w:tcW w:w="1701" w:type="dxa"/>
            <w:tcBorders>
              <w:top w:val="single" w:color="auto" w:sz="4" w:space="0"/>
              <w:left w:val="nil"/>
              <w:bottom w:val="single" w:color="auto" w:sz="4" w:space="0"/>
              <w:right w:val="single" w:color="auto" w:sz="4" w:space="0"/>
            </w:tcBorders>
            <w:vAlign w:val="center"/>
          </w:tcPr>
          <w:p w14:paraId="318E23E4">
            <w:pPr>
              <w:tabs>
                <w:tab w:val="left" w:pos="720"/>
              </w:tabs>
              <w:spacing w:line="360" w:lineRule="auto"/>
              <w:jc w:val="center"/>
              <w:rPr>
                <w:rFonts w:ascii="Tahoma" w:hAnsi="Tahoma" w:cs="Tahoma"/>
                <w:strike/>
                <w:szCs w:val="21"/>
              </w:rPr>
            </w:pPr>
          </w:p>
        </w:tc>
        <w:tc>
          <w:tcPr>
            <w:tcW w:w="1275" w:type="dxa"/>
            <w:vAlign w:val="center"/>
          </w:tcPr>
          <w:p w14:paraId="3503B24D">
            <w:pPr>
              <w:tabs>
                <w:tab w:val="left" w:pos="720"/>
              </w:tabs>
              <w:spacing w:line="360" w:lineRule="auto"/>
              <w:jc w:val="center"/>
              <w:rPr>
                <w:rFonts w:ascii="Tahoma" w:hAnsi="Tahoma" w:cs="Tahoma"/>
                <w:strike/>
                <w:szCs w:val="21"/>
              </w:rPr>
            </w:pPr>
          </w:p>
        </w:tc>
      </w:tr>
      <w:tr w14:paraId="2CF0F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jc w:val="center"/>
        </w:trPr>
        <w:tc>
          <w:tcPr>
            <w:tcW w:w="1947" w:type="dxa"/>
            <w:vAlign w:val="center"/>
          </w:tcPr>
          <w:p w14:paraId="3A8370CE">
            <w:pPr>
              <w:tabs>
                <w:tab w:val="left" w:pos="720"/>
              </w:tabs>
              <w:spacing w:line="360" w:lineRule="auto"/>
              <w:jc w:val="center"/>
              <w:rPr>
                <w:rFonts w:ascii="Tahoma" w:hAnsi="Tahoma" w:cs="Tahoma"/>
                <w:strike/>
                <w:szCs w:val="21"/>
              </w:rPr>
            </w:pPr>
          </w:p>
        </w:tc>
        <w:tc>
          <w:tcPr>
            <w:tcW w:w="1947" w:type="dxa"/>
            <w:tcBorders>
              <w:top w:val="single" w:color="auto" w:sz="4" w:space="0"/>
              <w:left w:val="single" w:color="auto" w:sz="4" w:space="0"/>
              <w:bottom w:val="single" w:color="auto" w:sz="4" w:space="0"/>
              <w:right w:val="single" w:color="auto" w:sz="4" w:space="0"/>
            </w:tcBorders>
            <w:vAlign w:val="center"/>
          </w:tcPr>
          <w:p w14:paraId="5F8B5498">
            <w:pPr>
              <w:tabs>
                <w:tab w:val="left" w:pos="720"/>
              </w:tabs>
              <w:spacing w:line="360" w:lineRule="auto"/>
              <w:jc w:val="center"/>
              <w:rPr>
                <w:rFonts w:ascii="Tahoma" w:hAnsi="Tahoma" w:cs="Tahoma"/>
                <w:strike/>
                <w:szCs w:val="21"/>
              </w:rPr>
            </w:pPr>
          </w:p>
        </w:tc>
        <w:tc>
          <w:tcPr>
            <w:tcW w:w="2310" w:type="dxa"/>
            <w:tcBorders>
              <w:top w:val="single" w:color="auto" w:sz="4" w:space="0"/>
              <w:left w:val="nil"/>
              <w:bottom w:val="single" w:color="auto" w:sz="4" w:space="0"/>
              <w:right w:val="single" w:color="auto" w:sz="4" w:space="0"/>
            </w:tcBorders>
            <w:vAlign w:val="center"/>
          </w:tcPr>
          <w:p w14:paraId="7F39292D">
            <w:pPr>
              <w:tabs>
                <w:tab w:val="left" w:pos="720"/>
              </w:tabs>
              <w:spacing w:line="360" w:lineRule="auto"/>
              <w:jc w:val="center"/>
              <w:rPr>
                <w:rFonts w:ascii="Tahoma" w:hAnsi="Tahoma" w:cs="Tahoma"/>
                <w:strike/>
                <w:szCs w:val="21"/>
              </w:rPr>
            </w:pPr>
          </w:p>
        </w:tc>
        <w:tc>
          <w:tcPr>
            <w:tcW w:w="2835" w:type="dxa"/>
            <w:tcBorders>
              <w:top w:val="single" w:color="auto" w:sz="4" w:space="0"/>
              <w:left w:val="nil"/>
              <w:bottom w:val="single" w:color="auto" w:sz="4" w:space="0"/>
              <w:right w:val="single" w:color="auto" w:sz="4" w:space="0"/>
            </w:tcBorders>
            <w:vAlign w:val="center"/>
          </w:tcPr>
          <w:p w14:paraId="4EED9B02">
            <w:pPr>
              <w:tabs>
                <w:tab w:val="left" w:pos="720"/>
              </w:tabs>
              <w:spacing w:line="360" w:lineRule="auto"/>
              <w:jc w:val="center"/>
              <w:rPr>
                <w:rFonts w:ascii="Tahoma" w:hAnsi="Tahoma" w:cs="Tahoma"/>
                <w:strike/>
                <w:szCs w:val="21"/>
              </w:rPr>
            </w:pPr>
          </w:p>
        </w:tc>
        <w:tc>
          <w:tcPr>
            <w:tcW w:w="1134" w:type="dxa"/>
            <w:vAlign w:val="center"/>
          </w:tcPr>
          <w:p w14:paraId="0C6078B7">
            <w:pPr>
              <w:tabs>
                <w:tab w:val="left" w:pos="720"/>
              </w:tabs>
              <w:spacing w:line="360" w:lineRule="auto"/>
              <w:jc w:val="center"/>
              <w:rPr>
                <w:rFonts w:ascii="Tahoma" w:hAnsi="Tahoma" w:cs="Tahoma"/>
                <w:strike/>
                <w:szCs w:val="21"/>
              </w:rPr>
            </w:pPr>
          </w:p>
        </w:tc>
        <w:tc>
          <w:tcPr>
            <w:tcW w:w="1701" w:type="dxa"/>
            <w:vAlign w:val="center"/>
          </w:tcPr>
          <w:p w14:paraId="6C03C7EA">
            <w:pPr>
              <w:tabs>
                <w:tab w:val="left" w:pos="720"/>
              </w:tabs>
              <w:spacing w:line="360" w:lineRule="auto"/>
              <w:jc w:val="center"/>
              <w:rPr>
                <w:rFonts w:ascii="Tahoma" w:hAnsi="Tahoma" w:cs="Tahoma"/>
                <w:strike/>
                <w:szCs w:val="21"/>
              </w:rPr>
            </w:pPr>
          </w:p>
        </w:tc>
        <w:tc>
          <w:tcPr>
            <w:tcW w:w="1275" w:type="dxa"/>
            <w:vAlign w:val="center"/>
          </w:tcPr>
          <w:p w14:paraId="68194821">
            <w:pPr>
              <w:tabs>
                <w:tab w:val="left" w:pos="720"/>
              </w:tabs>
              <w:spacing w:line="360" w:lineRule="auto"/>
              <w:jc w:val="center"/>
              <w:rPr>
                <w:rFonts w:ascii="Tahoma" w:hAnsi="Tahoma" w:cs="Tahoma"/>
                <w:strike/>
                <w:szCs w:val="21"/>
              </w:rPr>
            </w:pPr>
          </w:p>
        </w:tc>
      </w:tr>
      <w:tr w14:paraId="20E21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jc w:val="center"/>
        </w:trPr>
        <w:tc>
          <w:tcPr>
            <w:tcW w:w="1947" w:type="dxa"/>
            <w:vAlign w:val="center"/>
          </w:tcPr>
          <w:p w14:paraId="3367D672">
            <w:pPr>
              <w:tabs>
                <w:tab w:val="left" w:pos="720"/>
              </w:tabs>
              <w:spacing w:line="360" w:lineRule="auto"/>
              <w:jc w:val="center"/>
              <w:rPr>
                <w:rFonts w:ascii="Tahoma" w:hAnsi="Tahoma" w:cs="Tahoma"/>
                <w:strike/>
                <w:szCs w:val="21"/>
              </w:rPr>
            </w:pPr>
          </w:p>
        </w:tc>
        <w:tc>
          <w:tcPr>
            <w:tcW w:w="1947" w:type="dxa"/>
            <w:vAlign w:val="center"/>
          </w:tcPr>
          <w:p w14:paraId="319AAC35">
            <w:pPr>
              <w:tabs>
                <w:tab w:val="left" w:pos="720"/>
              </w:tabs>
              <w:spacing w:line="360" w:lineRule="auto"/>
              <w:jc w:val="center"/>
              <w:rPr>
                <w:rFonts w:ascii="Tahoma" w:hAnsi="Tahoma" w:cs="Tahoma"/>
                <w:strike/>
                <w:szCs w:val="21"/>
              </w:rPr>
            </w:pPr>
          </w:p>
        </w:tc>
        <w:tc>
          <w:tcPr>
            <w:tcW w:w="2310" w:type="dxa"/>
            <w:vAlign w:val="center"/>
          </w:tcPr>
          <w:p w14:paraId="15CD2A19">
            <w:pPr>
              <w:tabs>
                <w:tab w:val="left" w:pos="720"/>
              </w:tabs>
              <w:spacing w:line="360" w:lineRule="auto"/>
              <w:jc w:val="center"/>
              <w:rPr>
                <w:rFonts w:ascii="Tahoma" w:hAnsi="Tahoma" w:cs="Tahoma"/>
                <w:strike/>
                <w:szCs w:val="21"/>
              </w:rPr>
            </w:pPr>
          </w:p>
        </w:tc>
        <w:tc>
          <w:tcPr>
            <w:tcW w:w="2835" w:type="dxa"/>
            <w:vAlign w:val="center"/>
          </w:tcPr>
          <w:p w14:paraId="7AD4C770">
            <w:pPr>
              <w:tabs>
                <w:tab w:val="left" w:pos="720"/>
              </w:tabs>
              <w:spacing w:line="360" w:lineRule="auto"/>
              <w:jc w:val="center"/>
              <w:rPr>
                <w:rFonts w:ascii="Tahoma" w:hAnsi="Tahoma" w:cs="Tahoma"/>
                <w:strike/>
                <w:szCs w:val="21"/>
              </w:rPr>
            </w:pPr>
          </w:p>
        </w:tc>
        <w:tc>
          <w:tcPr>
            <w:tcW w:w="1134" w:type="dxa"/>
            <w:vAlign w:val="center"/>
          </w:tcPr>
          <w:p w14:paraId="4FF40308">
            <w:pPr>
              <w:tabs>
                <w:tab w:val="left" w:pos="720"/>
              </w:tabs>
              <w:spacing w:line="360" w:lineRule="auto"/>
              <w:jc w:val="center"/>
              <w:rPr>
                <w:rFonts w:ascii="Tahoma" w:hAnsi="Tahoma" w:cs="Tahoma"/>
                <w:strike/>
                <w:szCs w:val="21"/>
              </w:rPr>
            </w:pPr>
          </w:p>
        </w:tc>
        <w:tc>
          <w:tcPr>
            <w:tcW w:w="1701" w:type="dxa"/>
            <w:vAlign w:val="center"/>
          </w:tcPr>
          <w:p w14:paraId="5F2520BF">
            <w:pPr>
              <w:tabs>
                <w:tab w:val="left" w:pos="720"/>
              </w:tabs>
              <w:spacing w:line="360" w:lineRule="auto"/>
              <w:jc w:val="center"/>
              <w:rPr>
                <w:rFonts w:ascii="Tahoma" w:hAnsi="Tahoma" w:cs="Tahoma"/>
                <w:strike/>
                <w:szCs w:val="21"/>
              </w:rPr>
            </w:pPr>
          </w:p>
        </w:tc>
        <w:tc>
          <w:tcPr>
            <w:tcW w:w="1275" w:type="dxa"/>
            <w:vAlign w:val="center"/>
          </w:tcPr>
          <w:p w14:paraId="2E662D3C">
            <w:pPr>
              <w:tabs>
                <w:tab w:val="left" w:pos="720"/>
              </w:tabs>
              <w:spacing w:line="360" w:lineRule="auto"/>
              <w:jc w:val="center"/>
              <w:rPr>
                <w:rFonts w:ascii="Tahoma" w:hAnsi="Tahoma" w:cs="Tahoma"/>
                <w:strike/>
                <w:szCs w:val="21"/>
              </w:rPr>
            </w:pPr>
          </w:p>
        </w:tc>
      </w:tr>
    </w:tbl>
    <w:p w14:paraId="1C549E39">
      <w:pPr>
        <w:tabs>
          <w:tab w:val="left" w:pos="720"/>
        </w:tabs>
        <w:spacing w:line="360" w:lineRule="auto"/>
        <w:ind w:firstLine="480" w:firstLineChars="200"/>
        <w:rPr>
          <w:rFonts w:ascii="Tahoma" w:hAnsi="Tahoma" w:cs="Tahoma"/>
          <w:strike/>
          <w:sz w:val="24"/>
          <w:szCs w:val="24"/>
        </w:rPr>
      </w:pPr>
    </w:p>
    <w:p w14:paraId="7546AFDE">
      <w:pPr>
        <w:tabs>
          <w:tab w:val="left" w:pos="720"/>
        </w:tabs>
        <w:spacing w:line="360" w:lineRule="auto"/>
        <w:ind w:firstLine="480" w:firstLineChars="200"/>
        <w:rPr>
          <w:rFonts w:ascii="Tahoma" w:hAnsi="Tahoma" w:cs="Tahoma"/>
          <w:strike/>
          <w:sz w:val="24"/>
          <w:szCs w:val="24"/>
        </w:rPr>
      </w:pPr>
      <w:r>
        <w:rPr>
          <w:rFonts w:ascii="Tahoma" w:hAnsi="Tahoma" w:cs="Tahoma"/>
          <w:strike/>
          <w:sz w:val="24"/>
          <w:szCs w:val="24"/>
        </w:rPr>
        <w:t>评委签名：</w:t>
      </w:r>
    </w:p>
    <w:p w14:paraId="33D5DC93">
      <w:pPr>
        <w:tabs>
          <w:tab w:val="left" w:pos="720"/>
        </w:tabs>
        <w:spacing w:line="360" w:lineRule="auto"/>
        <w:ind w:firstLine="480" w:firstLineChars="200"/>
        <w:rPr>
          <w:rFonts w:ascii="Tahoma" w:hAnsi="Tahoma" w:cs="Tahoma"/>
          <w:strike/>
          <w:sz w:val="24"/>
          <w:szCs w:val="24"/>
        </w:rPr>
      </w:pPr>
      <w:r>
        <w:rPr>
          <w:rFonts w:ascii="Tahoma" w:hAnsi="Tahoma" w:cs="Tahoma"/>
          <w:strike/>
          <w:sz w:val="24"/>
          <w:szCs w:val="24"/>
        </w:rPr>
        <w:br w:type="page"/>
      </w:r>
    </w:p>
    <w:p w14:paraId="2E7BAFDF">
      <w:pPr>
        <w:rPr>
          <w:rFonts w:ascii="Tahoma" w:hAnsi="Tahoma" w:cs="Tahoma"/>
          <w:strike/>
          <w:sz w:val="28"/>
          <w:szCs w:val="28"/>
        </w:rPr>
      </w:pPr>
      <w:r>
        <w:rPr>
          <w:rFonts w:hint="eastAsia" w:ascii="Tahoma" w:hAnsi="Tahoma" w:cs="Tahoma"/>
          <w:strike/>
          <w:sz w:val="28"/>
          <w:szCs w:val="28"/>
        </w:rPr>
        <w:t>附表七：（适用于有主要项目单价评审的项目）</w:t>
      </w:r>
    </w:p>
    <w:p w14:paraId="5A16C7E4">
      <w:pPr>
        <w:jc w:val="center"/>
        <w:rPr>
          <w:b/>
          <w:strike/>
          <w:sz w:val="36"/>
          <w:szCs w:val="36"/>
        </w:rPr>
      </w:pPr>
      <w:r>
        <w:rPr>
          <w:rFonts w:hint="eastAsia"/>
          <w:b/>
          <w:strike/>
          <w:sz w:val="36"/>
          <w:szCs w:val="36"/>
        </w:rPr>
        <w:t>单价基准值计算表</w:t>
      </w:r>
    </w:p>
    <w:tbl>
      <w:tblPr>
        <w:tblStyle w:val="37"/>
        <w:tblW w:w="14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7"/>
        <w:gridCol w:w="2460"/>
        <w:gridCol w:w="2043"/>
        <w:gridCol w:w="2268"/>
        <w:gridCol w:w="2410"/>
        <w:gridCol w:w="2126"/>
        <w:gridCol w:w="2163"/>
      </w:tblGrid>
      <w:tr w14:paraId="0EA81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47" w:type="dxa"/>
            <w:vAlign w:val="center"/>
          </w:tcPr>
          <w:p w14:paraId="36FF536A">
            <w:pPr>
              <w:tabs>
                <w:tab w:val="left" w:pos="720"/>
              </w:tabs>
              <w:spacing w:line="360" w:lineRule="auto"/>
              <w:jc w:val="center"/>
              <w:rPr>
                <w:rFonts w:ascii="Tahoma" w:hAnsi="Tahoma" w:cs="Tahoma"/>
                <w:strike/>
                <w:kern w:val="0"/>
                <w:szCs w:val="21"/>
              </w:rPr>
            </w:pPr>
            <w:r>
              <w:rPr>
                <w:rFonts w:ascii="Tahoma" w:hAnsi="Tahoma" w:cs="Tahoma"/>
                <w:strike/>
                <w:kern w:val="0"/>
                <w:szCs w:val="21"/>
              </w:rPr>
              <w:t>清单序号</w:t>
            </w:r>
          </w:p>
        </w:tc>
        <w:tc>
          <w:tcPr>
            <w:tcW w:w="2460" w:type="dxa"/>
            <w:vAlign w:val="center"/>
          </w:tcPr>
          <w:p w14:paraId="7C2FDE53">
            <w:pPr>
              <w:tabs>
                <w:tab w:val="left" w:pos="720"/>
              </w:tabs>
              <w:spacing w:line="360" w:lineRule="auto"/>
              <w:jc w:val="center"/>
              <w:rPr>
                <w:rFonts w:ascii="Tahoma" w:hAnsi="Tahoma" w:cs="Tahoma"/>
                <w:strike/>
                <w:kern w:val="0"/>
                <w:szCs w:val="21"/>
              </w:rPr>
            </w:pPr>
            <w:r>
              <w:rPr>
                <w:rFonts w:ascii="Tahoma" w:hAnsi="Tahoma" w:cs="Tahoma"/>
                <w:strike/>
                <w:kern w:val="0"/>
                <w:szCs w:val="21"/>
              </w:rPr>
              <w:t>主要单价项目名称</w:t>
            </w:r>
          </w:p>
        </w:tc>
        <w:tc>
          <w:tcPr>
            <w:tcW w:w="2043" w:type="dxa"/>
            <w:vAlign w:val="center"/>
          </w:tcPr>
          <w:p w14:paraId="537107AB">
            <w:pPr>
              <w:tabs>
                <w:tab w:val="left" w:pos="720"/>
              </w:tabs>
              <w:spacing w:line="360" w:lineRule="auto"/>
              <w:ind w:firstLine="199" w:firstLineChars="95"/>
              <w:jc w:val="center"/>
              <w:rPr>
                <w:rFonts w:ascii="Tahoma" w:hAnsi="Tahoma" w:cs="Tahoma"/>
                <w:strike/>
                <w:kern w:val="0"/>
                <w:szCs w:val="21"/>
              </w:rPr>
            </w:pPr>
            <w:r>
              <w:rPr>
                <w:rFonts w:ascii="Tahoma" w:hAnsi="Tahoma" w:cs="Tahoma"/>
                <w:strike/>
                <w:kern w:val="0"/>
                <w:szCs w:val="21"/>
              </w:rPr>
              <w:t>单价基准值Di</w:t>
            </w:r>
          </w:p>
        </w:tc>
        <w:tc>
          <w:tcPr>
            <w:tcW w:w="2268" w:type="dxa"/>
            <w:vAlign w:val="center"/>
          </w:tcPr>
          <w:p w14:paraId="32400C28">
            <w:pPr>
              <w:tabs>
                <w:tab w:val="left" w:pos="720"/>
              </w:tabs>
              <w:spacing w:line="360" w:lineRule="auto"/>
              <w:jc w:val="center"/>
              <w:rPr>
                <w:rFonts w:ascii="Tahoma" w:hAnsi="Tahoma" w:cs="Tahoma"/>
                <w:strike/>
                <w:kern w:val="0"/>
                <w:szCs w:val="21"/>
              </w:rPr>
            </w:pPr>
            <w:r>
              <w:rPr>
                <w:rFonts w:ascii="Tahoma" w:hAnsi="Tahoma" w:cs="Tahoma"/>
                <w:strike/>
                <w:kern w:val="0"/>
                <w:szCs w:val="21"/>
              </w:rPr>
              <w:t>投标人1报价</w:t>
            </w:r>
          </w:p>
        </w:tc>
        <w:tc>
          <w:tcPr>
            <w:tcW w:w="2410" w:type="dxa"/>
            <w:vAlign w:val="center"/>
          </w:tcPr>
          <w:p w14:paraId="5E1F169F">
            <w:pPr>
              <w:tabs>
                <w:tab w:val="left" w:pos="720"/>
              </w:tabs>
              <w:spacing w:line="360" w:lineRule="auto"/>
              <w:jc w:val="center"/>
              <w:rPr>
                <w:rFonts w:ascii="Tahoma" w:hAnsi="Tahoma" w:cs="Tahoma"/>
                <w:strike/>
                <w:kern w:val="0"/>
                <w:szCs w:val="21"/>
              </w:rPr>
            </w:pPr>
            <w:r>
              <w:rPr>
                <w:rFonts w:ascii="Tahoma" w:hAnsi="Tahoma" w:cs="Tahoma"/>
                <w:strike/>
                <w:kern w:val="0"/>
                <w:szCs w:val="21"/>
              </w:rPr>
              <w:t>投标人2报价</w:t>
            </w:r>
          </w:p>
        </w:tc>
        <w:tc>
          <w:tcPr>
            <w:tcW w:w="2126" w:type="dxa"/>
            <w:vAlign w:val="center"/>
          </w:tcPr>
          <w:p w14:paraId="69B3C586">
            <w:pPr>
              <w:tabs>
                <w:tab w:val="left" w:pos="720"/>
              </w:tabs>
              <w:spacing w:line="360" w:lineRule="auto"/>
              <w:jc w:val="center"/>
              <w:rPr>
                <w:rFonts w:ascii="Tahoma" w:hAnsi="Tahoma" w:cs="Tahoma"/>
                <w:strike/>
                <w:kern w:val="0"/>
                <w:szCs w:val="21"/>
              </w:rPr>
            </w:pPr>
            <w:r>
              <w:rPr>
                <w:rFonts w:ascii="Tahoma" w:hAnsi="Tahoma" w:cs="Tahoma"/>
                <w:strike/>
                <w:kern w:val="0"/>
                <w:szCs w:val="21"/>
              </w:rPr>
              <w:t>投标人3报价</w:t>
            </w:r>
          </w:p>
        </w:tc>
        <w:tc>
          <w:tcPr>
            <w:tcW w:w="2163" w:type="dxa"/>
            <w:vAlign w:val="center"/>
          </w:tcPr>
          <w:p w14:paraId="30AD97DF">
            <w:pPr>
              <w:tabs>
                <w:tab w:val="left" w:pos="720"/>
              </w:tabs>
              <w:spacing w:line="360" w:lineRule="auto"/>
              <w:jc w:val="center"/>
              <w:rPr>
                <w:rFonts w:ascii="Tahoma" w:hAnsi="Tahoma" w:cs="Tahoma"/>
                <w:strike/>
                <w:kern w:val="0"/>
                <w:szCs w:val="21"/>
              </w:rPr>
            </w:pPr>
            <w:r>
              <w:rPr>
                <w:rFonts w:ascii="Tahoma" w:hAnsi="Tahoma" w:cs="Tahoma"/>
                <w:strike/>
                <w:kern w:val="0"/>
                <w:szCs w:val="21"/>
              </w:rPr>
              <w:t>……</w:t>
            </w:r>
          </w:p>
        </w:tc>
      </w:tr>
      <w:tr w14:paraId="380E2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47" w:type="dxa"/>
            <w:vAlign w:val="center"/>
          </w:tcPr>
          <w:p w14:paraId="61D24BC3">
            <w:pPr>
              <w:tabs>
                <w:tab w:val="left" w:pos="720"/>
              </w:tabs>
              <w:spacing w:line="360" w:lineRule="auto"/>
              <w:ind w:firstLine="420" w:firstLineChars="200"/>
              <w:jc w:val="center"/>
              <w:rPr>
                <w:rFonts w:ascii="Tahoma" w:hAnsi="Tahoma" w:cs="Tahoma"/>
                <w:strike/>
                <w:kern w:val="0"/>
                <w:szCs w:val="21"/>
              </w:rPr>
            </w:pPr>
          </w:p>
        </w:tc>
        <w:tc>
          <w:tcPr>
            <w:tcW w:w="2460" w:type="dxa"/>
            <w:vAlign w:val="center"/>
          </w:tcPr>
          <w:p w14:paraId="5BB17318">
            <w:pPr>
              <w:tabs>
                <w:tab w:val="left" w:pos="720"/>
              </w:tabs>
              <w:spacing w:line="360" w:lineRule="auto"/>
              <w:ind w:firstLine="420" w:firstLineChars="200"/>
              <w:jc w:val="center"/>
              <w:rPr>
                <w:rFonts w:ascii="Tahoma" w:hAnsi="Tahoma" w:cs="Tahoma"/>
                <w:strike/>
                <w:kern w:val="0"/>
                <w:szCs w:val="21"/>
              </w:rPr>
            </w:pPr>
          </w:p>
        </w:tc>
        <w:tc>
          <w:tcPr>
            <w:tcW w:w="2043" w:type="dxa"/>
            <w:vAlign w:val="center"/>
          </w:tcPr>
          <w:p w14:paraId="41995834">
            <w:pPr>
              <w:tabs>
                <w:tab w:val="left" w:pos="720"/>
              </w:tabs>
              <w:spacing w:line="360" w:lineRule="auto"/>
              <w:ind w:firstLine="420" w:firstLineChars="200"/>
              <w:jc w:val="center"/>
              <w:rPr>
                <w:rFonts w:ascii="Tahoma" w:hAnsi="Tahoma" w:cs="Tahoma"/>
                <w:strike/>
                <w:kern w:val="0"/>
                <w:szCs w:val="21"/>
              </w:rPr>
            </w:pPr>
          </w:p>
        </w:tc>
        <w:tc>
          <w:tcPr>
            <w:tcW w:w="2268" w:type="dxa"/>
            <w:vAlign w:val="center"/>
          </w:tcPr>
          <w:p w14:paraId="32D99FBA">
            <w:pPr>
              <w:tabs>
                <w:tab w:val="left" w:pos="720"/>
              </w:tabs>
              <w:spacing w:line="360" w:lineRule="auto"/>
              <w:ind w:firstLine="420" w:firstLineChars="200"/>
              <w:jc w:val="center"/>
              <w:rPr>
                <w:rFonts w:ascii="Tahoma" w:hAnsi="Tahoma" w:cs="Tahoma"/>
                <w:strike/>
                <w:kern w:val="0"/>
                <w:szCs w:val="21"/>
              </w:rPr>
            </w:pPr>
          </w:p>
        </w:tc>
        <w:tc>
          <w:tcPr>
            <w:tcW w:w="2410" w:type="dxa"/>
            <w:vAlign w:val="center"/>
          </w:tcPr>
          <w:p w14:paraId="61D17E6E">
            <w:pPr>
              <w:tabs>
                <w:tab w:val="left" w:pos="720"/>
              </w:tabs>
              <w:spacing w:line="360" w:lineRule="auto"/>
              <w:ind w:firstLine="420" w:firstLineChars="200"/>
              <w:jc w:val="center"/>
              <w:rPr>
                <w:rFonts w:ascii="Tahoma" w:hAnsi="Tahoma" w:cs="Tahoma"/>
                <w:strike/>
                <w:kern w:val="0"/>
                <w:szCs w:val="21"/>
              </w:rPr>
            </w:pPr>
          </w:p>
        </w:tc>
        <w:tc>
          <w:tcPr>
            <w:tcW w:w="2126" w:type="dxa"/>
            <w:vAlign w:val="center"/>
          </w:tcPr>
          <w:p w14:paraId="3CEC3653">
            <w:pPr>
              <w:tabs>
                <w:tab w:val="left" w:pos="720"/>
              </w:tabs>
              <w:spacing w:line="360" w:lineRule="auto"/>
              <w:ind w:firstLine="420" w:firstLineChars="200"/>
              <w:jc w:val="center"/>
              <w:rPr>
                <w:rFonts w:ascii="Tahoma" w:hAnsi="Tahoma" w:cs="Tahoma"/>
                <w:strike/>
                <w:kern w:val="0"/>
                <w:szCs w:val="21"/>
              </w:rPr>
            </w:pPr>
          </w:p>
        </w:tc>
        <w:tc>
          <w:tcPr>
            <w:tcW w:w="2163" w:type="dxa"/>
            <w:vAlign w:val="center"/>
          </w:tcPr>
          <w:p w14:paraId="4CECEB5D">
            <w:pPr>
              <w:tabs>
                <w:tab w:val="left" w:pos="720"/>
              </w:tabs>
              <w:spacing w:line="360" w:lineRule="auto"/>
              <w:ind w:firstLine="420" w:firstLineChars="200"/>
              <w:jc w:val="center"/>
              <w:rPr>
                <w:rFonts w:ascii="Tahoma" w:hAnsi="Tahoma" w:cs="Tahoma"/>
                <w:strike/>
                <w:kern w:val="0"/>
                <w:szCs w:val="21"/>
              </w:rPr>
            </w:pPr>
          </w:p>
        </w:tc>
      </w:tr>
      <w:tr w14:paraId="16243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47" w:type="dxa"/>
            <w:vAlign w:val="center"/>
          </w:tcPr>
          <w:p w14:paraId="11FFD663">
            <w:pPr>
              <w:tabs>
                <w:tab w:val="left" w:pos="720"/>
              </w:tabs>
              <w:spacing w:line="360" w:lineRule="auto"/>
              <w:ind w:firstLine="420" w:firstLineChars="200"/>
              <w:jc w:val="center"/>
              <w:rPr>
                <w:rFonts w:ascii="Tahoma" w:hAnsi="Tahoma" w:cs="Tahoma"/>
                <w:strike/>
                <w:kern w:val="0"/>
                <w:szCs w:val="21"/>
              </w:rPr>
            </w:pPr>
          </w:p>
        </w:tc>
        <w:tc>
          <w:tcPr>
            <w:tcW w:w="2460" w:type="dxa"/>
            <w:vAlign w:val="center"/>
          </w:tcPr>
          <w:p w14:paraId="1ED04CB0">
            <w:pPr>
              <w:tabs>
                <w:tab w:val="left" w:pos="720"/>
              </w:tabs>
              <w:spacing w:line="360" w:lineRule="auto"/>
              <w:ind w:firstLine="420" w:firstLineChars="200"/>
              <w:jc w:val="center"/>
              <w:rPr>
                <w:rFonts w:ascii="Tahoma" w:hAnsi="Tahoma" w:cs="Tahoma"/>
                <w:strike/>
                <w:kern w:val="0"/>
                <w:szCs w:val="21"/>
              </w:rPr>
            </w:pPr>
          </w:p>
        </w:tc>
        <w:tc>
          <w:tcPr>
            <w:tcW w:w="2043" w:type="dxa"/>
            <w:vAlign w:val="center"/>
          </w:tcPr>
          <w:p w14:paraId="381AC2AC">
            <w:pPr>
              <w:tabs>
                <w:tab w:val="left" w:pos="720"/>
              </w:tabs>
              <w:spacing w:line="360" w:lineRule="auto"/>
              <w:ind w:firstLine="420" w:firstLineChars="200"/>
              <w:jc w:val="center"/>
              <w:rPr>
                <w:rFonts w:ascii="Tahoma" w:hAnsi="Tahoma" w:cs="Tahoma"/>
                <w:strike/>
                <w:kern w:val="0"/>
                <w:szCs w:val="21"/>
              </w:rPr>
            </w:pPr>
          </w:p>
        </w:tc>
        <w:tc>
          <w:tcPr>
            <w:tcW w:w="2268" w:type="dxa"/>
            <w:vAlign w:val="center"/>
          </w:tcPr>
          <w:p w14:paraId="75AB05F1">
            <w:pPr>
              <w:tabs>
                <w:tab w:val="left" w:pos="720"/>
              </w:tabs>
              <w:spacing w:line="360" w:lineRule="auto"/>
              <w:ind w:firstLine="420" w:firstLineChars="200"/>
              <w:jc w:val="center"/>
              <w:rPr>
                <w:rFonts w:ascii="Tahoma" w:hAnsi="Tahoma" w:cs="Tahoma"/>
                <w:strike/>
                <w:kern w:val="0"/>
                <w:szCs w:val="21"/>
              </w:rPr>
            </w:pPr>
          </w:p>
        </w:tc>
        <w:tc>
          <w:tcPr>
            <w:tcW w:w="2410" w:type="dxa"/>
            <w:vAlign w:val="center"/>
          </w:tcPr>
          <w:p w14:paraId="3D0FD700">
            <w:pPr>
              <w:tabs>
                <w:tab w:val="left" w:pos="720"/>
              </w:tabs>
              <w:spacing w:line="360" w:lineRule="auto"/>
              <w:ind w:firstLine="420" w:firstLineChars="200"/>
              <w:jc w:val="center"/>
              <w:rPr>
                <w:rFonts w:ascii="Tahoma" w:hAnsi="Tahoma" w:cs="Tahoma"/>
                <w:strike/>
                <w:kern w:val="0"/>
                <w:szCs w:val="21"/>
              </w:rPr>
            </w:pPr>
          </w:p>
        </w:tc>
        <w:tc>
          <w:tcPr>
            <w:tcW w:w="2126" w:type="dxa"/>
            <w:vAlign w:val="center"/>
          </w:tcPr>
          <w:p w14:paraId="23B7FCEF">
            <w:pPr>
              <w:tabs>
                <w:tab w:val="left" w:pos="720"/>
              </w:tabs>
              <w:spacing w:line="360" w:lineRule="auto"/>
              <w:ind w:firstLine="420" w:firstLineChars="200"/>
              <w:jc w:val="center"/>
              <w:rPr>
                <w:rFonts w:ascii="Tahoma" w:hAnsi="Tahoma" w:cs="Tahoma"/>
                <w:strike/>
                <w:kern w:val="0"/>
                <w:szCs w:val="21"/>
              </w:rPr>
            </w:pPr>
          </w:p>
        </w:tc>
        <w:tc>
          <w:tcPr>
            <w:tcW w:w="2163" w:type="dxa"/>
            <w:vAlign w:val="center"/>
          </w:tcPr>
          <w:p w14:paraId="646F1FCF">
            <w:pPr>
              <w:tabs>
                <w:tab w:val="left" w:pos="720"/>
              </w:tabs>
              <w:spacing w:line="360" w:lineRule="auto"/>
              <w:ind w:firstLine="420" w:firstLineChars="200"/>
              <w:jc w:val="center"/>
              <w:rPr>
                <w:rFonts w:ascii="Tahoma" w:hAnsi="Tahoma" w:cs="Tahoma"/>
                <w:strike/>
                <w:kern w:val="0"/>
                <w:szCs w:val="21"/>
              </w:rPr>
            </w:pPr>
          </w:p>
        </w:tc>
      </w:tr>
      <w:tr w14:paraId="3AD05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47" w:type="dxa"/>
            <w:vAlign w:val="center"/>
          </w:tcPr>
          <w:p w14:paraId="0573D1B4">
            <w:pPr>
              <w:tabs>
                <w:tab w:val="left" w:pos="720"/>
              </w:tabs>
              <w:spacing w:line="360" w:lineRule="auto"/>
              <w:ind w:firstLine="420" w:firstLineChars="200"/>
              <w:jc w:val="center"/>
              <w:rPr>
                <w:rFonts w:ascii="Tahoma" w:hAnsi="Tahoma" w:cs="Tahoma"/>
                <w:strike/>
                <w:kern w:val="0"/>
                <w:szCs w:val="21"/>
              </w:rPr>
            </w:pPr>
          </w:p>
        </w:tc>
        <w:tc>
          <w:tcPr>
            <w:tcW w:w="2460" w:type="dxa"/>
            <w:vAlign w:val="center"/>
          </w:tcPr>
          <w:p w14:paraId="47408F14">
            <w:pPr>
              <w:tabs>
                <w:tab w:val="left" w:pos="720"/>
              </w:tabs>
              <w:spacing w:line="360" w:lineRule="auto"/>
              <w:ind w:firstLine="420" w:firstLineChars="200"/>
              <w:jc w:val="center"/>
              <w:rPr>
                <w:rFonts w:ascii="Tahoma" w:hAnsi="Tahoma" w:cs="Tahoma"/>
                <w:strike/>
                <w:kern w:val="0"/>
                <w:szCs w:val="21"/>
              </w:rPr>
            </w:pPr>
          </w:p>
        </w:tc>
        <w:tc>
          <w:tcPr>
            <w:tcW w:w="2043" w:type="dxa"/>
            <w:vAlign w:val="center"/>
          </w:tcPr>
          <w:p w14:paraId="12BDBDF2">
            <w:pPr>
              <w:tabs>
                <w:tab w:val="left" w:pos="720"/>
              </w:tabs>
              <w:spacing w:line="360" w:lineRule="auto"/>
              <w:ind w:firstLine="420" w:firstLineChars="200"/>
              <w:jc w:val="center"/>
              <w:rPr>
                <w:rFonts w:ascii="Tahoma" w:hAnsi="Tahoma" w:cs="Tahoma"/>
                <w:strike/>
                <w:kern w:val="0"/>
                <w:szCs w:val="21"/>
              </w:rPr>
            </w:pPr>
          </w:p>
        </w:tc>
        <w:tc>
          <w:tcPr>
            <w:tcW w:w="2268" w:type="dxa"/>
            <w:vAlign w:val="center"/>
          </w:tcPr>
          <w:p w14:paraId="142CB1ED">
            <w:pPr>
              <w:tabs>
                <w:tab w:val="left" w:pos="720"/>
              </w:tabs>
              <w:spacing w:line="360" w:lineRule="auto"/>
              <w:ind w:firstLine="420" w:firstLineChars="200"/>
              <w:jc w:val="center"/>
              <w:rPr>
                <w:rFonts w:ascii="Tahoma" w:hAnsi="Tahoma" w:cs="Tahoma"/>
                <w:strike/>
                <w:kern w:val="0"/>
                <w:szCs w:val="21"/>
              </w:rPr>
            </w:pPr>
          </w:p>
        </w:tc>
        <w:tc>
          <w:tcPr>
            <w:tcW w:w="2410" w:type="dxa"/>
            <w:vAlign w:val="center"/>
          </w:tcPr>
          <w:p w14:paraId="11B28FBE">
            <w:pPr>
              <w:tabs>
                <w:tab w:val="left" w:pos="720"/>
              </w:tabs>
              <w:spacing w:line="360" w:lineRule="auto"/>
              <w:ind w:firstLine="420" w:firstLineChars="200"/>
              <w:jc w:val="center"/>
              <w:rPr>
                <w:rFonts w:ascii="Tahoma" w:hAnsi="Tahoma" w:cs="Tahoma"/>
                <w:strike/>
                <w:kern w:val="0"/>
                <w:szCs w:val="21"/>
              </w:rPr>
            </w:pPr>
          </w:p>
        </w:tc>
        <w:tc>
          <w:tcPr>
            <w:tcW w:w="2126" w:type="dxa"/>
            <w:vAlign w:val="center"/>
          </w:tcPr>
          <w:p w14:paraId="0A4119CF">
            <w:pPr>
              <w:tabs>
                <w:tab w:val="left" w:pos="720"/>
              </w:tabs>
              <w:spacing w:line="360" w:lineRule="auto"/>
              <w:ind w:firstLine="420" w:firstLineChars="200"/>
              <w:jc w:val="center"/>
              <w:rPr>
                <w:rFonts w:ascii="Tahoma" w:hAnsi="Tahoma" w:cs="Tahoma"/>
                <w:strike/>
                <w:kern w:val="0"/>
                <w:szCs w:val="21"/>
              </w:rPr>
            </w:pPr>
          </w:p>
        </w:tc>
        <w:tc>
          <w:tcPr>
            <w:tcW w:w="2163" w:type="dxa"/>
            <w:vAlign w:val="center"/>
          </w:tcPr>
          <w:p w14:paraId="7E87CCFF">
            <w:pPr>
              <w:tabs>
                <w:tab w:val="left" w:pos="720"/>
              </w:tabs>
              <w:spacing w:line="360" w:lineRule="auto"/>
              <w:ind w:firstLine="420" w:firstLineChars="200"/>
              <w:jc w:val="center"/>
              <w:rPr>
                <w:rFonts w:ascii="Tahoma" w:hAnsi="Tahoma" w:cs="Tahoma"/>
                <w:strike/>
                <w:kern w:val="0"/>
                <w:szCs w:val="21"/>
              </w:rPr>
            </w:pPr>
          </w:p>
        </w:tc>
      </w:tr>
      <w:tr w14:paraId="213EA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47" w:type="dxa"/>
            <w:vAlign w:val="center"/>
          </w:tcPr>
          <w:p w14:paraId="65E709C3">
            <w:pPr>
              <w:tabs>
                <w:tab w:val="left" w:pos="720"/>
              </w:tabs>
              <w:spacing w:line="360" w:lineRule="auto"/>
              <w:ind w:firstLine="420" w:firstLineChars="200"/>
              <w:jc w:val="center"/>
              <w:rPr>
                <w:rFonts w:ascii="Tahoma" w:hAnsi="Tahoma" w:cs="Tahoma"/>
                <w:strike/>
                <w:kern w:val="0"/>
                <w:szCs w:val="21"/>
              </w:rPr>
            </w:pPr>
          </w:p>
        </w:tc>
        <w:tc>
          <w:tcPr>
            <w:tcW w:w="2460" w:type="dxa"/>
            <w:vAlign w:val="center"/>
          </w:tcPr>
          <w:p w14:paraId="6B6E7606">
            <w:pPr>
              <w:tabs>
                <w:tab w:val="left" w:pos="720"/>
              </w:tabs>
              <w:spacing w:line="360" w:lineRule="auto"/>
              <w:ind w:firstLine="420" w:firstLineChars="200"/>
              <w:jc w:val="center"/>
              <w:rPr>
                <w:rFonts w:ascii="Tahoma" w:hAnsi="Tahoma" w:cs="Tahoma"/>
                <w:strike/>
                <w:kern w:val="0"/>
                <w:szCs w:val="21"/>
              </w:rPr>
            </w:pPr>
          </w:p>
        </w:tc>
        <w:tc>
          <w:tcPr>
            <w:tcW w:w="2043" w:type="dxa"/>
            <w:vAlign w:val="center"/>
          </w:tcPr>
          <w:p w14:paraId="07B2AB82">
            <w:pPr>
              <w:tabs>
                <w:tab w:val="left" w:pos="720"/>
              </w:tabs>
              <w:spacing w:line="360" w:lineRule="auto"/>
              <w:ind w:firstLine="420" w:firstLineChars="200"/>
              <w:jc w:val="center"/>
              <w:rPr>
                <w:rFonts w:ascii="Tahoma" w:hAnsi="Tahoma" w:cs="Tahoma"/>
                <w:strike/>
                <w:kern w:val="0"/>
                <w:szCs w:val="21"/>
              </w:rPr>
            </w:pPr>
          </w:p>
        </w:tc>
        <w:tc>
          <w:tcPr>
            <w:tcW w:w="2268" w:type="dxa"/>
            <w:vAlign w:val="center"/>
          </w:tcPr>
          <w:p w14:paraId="6C6A6048">
            <w:pPr>
              <w:tabs>
                <w:tab w:val="left" w:pos="720"/>
              </w:tabs>
              <w:spacing w:line="360" w:lineRule="auto"/>
              <w:ind w:firstLine="420" w:firstLineChars="200"/>
              <w:jc w:val="center"/>
              <w:rPr>
                <w:rFonts w:ascii="Tahoma" w:hAnsi="Tahoma" w:cs="Tahoma"/>
                <w:strike/>
                <w:kern w:val="0"/>
                <w:szCs w:val="21"/>
              </w:rPr>
            </w:pPr>
          </w:p>
        </w:tc>
        <w:tc>
          <w:tcPr>
            <w:tcW w:w="2410" w:type="dxa"/>
            <w:vAlign w:val="center"/>
          </w:tcPr>
          <w:p w14:paraId="47FCA3FD">
            <w:pPr>
              <w:tabs>
                <w:tab w:val="left" w:pos="720"/>
              </w:tabs>
              <w:spacing w:line="360" w:lineRule="auto"/>
              <w:ind w:firstLine="420" w:firstLineChars="200"/>
              <w:jc w:val="center"/>
              <w:rPr>
                <w:rFonts w:ascii="Tahoma" w:hAnsi="Tahoma" w:cs="Tahoma"/>
                <w:strike/>
                <w:kern w:val="0"/>
                <w:szCs w:val="21"/>
              </w:rPr>
            </w:pPr>
          </w:p>
        </w:tc>
        <w:tc>
          <w:tcPr>
            <w:tcW w:w="2126" w:type="dxa"/>
            <w:vAlign w:val="center"/>
          </w:tcPr>
          <w:p w14:paraId="422C083D">
            <w:pPr>
              <w:tabs>
                <w:tab w:val="left" w:pos="720"/>
              </w:tabs>
              <w:spacing w:line="360" w:lineRule="auto"/>
              <w:ind w:firstLine="420" w:firstLineChars="200"/>
              <w:jc w:val="center"/>
              <w:rPr>
                <w:rFonts w:ascii="Tahoma" w:hAnsi="Tahoma" w:cs="Tahoma"/>
                <w:strike/>
                <w:kern w:val="0"/>
                <w:szCs w:val="21"/>
              </w:rPr>
            </w:pPr>
          </w:p>
        </w:tc>
        <w:tc>
          <w:tcPr>
            <w:tcW w:w="2163" w:type="dxa"/>
            <w:vAlign w:val="center"/>
          </w:tcPr>
          <w:p w14:paraId="2E44D225">
            <w:pPr>
              <w:tabs>
                <w:tab w:val="left" w:pos="720"/>
              </w:tabs>
              <w:spacing w:line="360" w:lineRule="auto"/>
              <w:ind w:firstLine="420" w:firstLineChars="200"/>
              <w:jc w:val="center"/>
              <w:rPr>
                <w:rFonts w:ascii="Tahoma" w:hAnsi="Tahoma" w:cs="Tahoma"/>
                <w:strike/>
                <w:kern w:val="0"/>
                <w:szCs w:val="21"/>
              </w:rPr>
            </w:pPr>
          </w:p>
        </w:tc>
      </w:tr>
      <w:tr w14:paraId="78A33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47" w:type="dxa"/>
            <w:vAlign w:val="center"/>
          </w:tcPr>
          <w:p w14:paraId="7AD785D8">
            <w:pPr>
              <w:tabs>
                <w:tab w:val="left" w:pos="720"/>
              </w:tabs>
              <w:spacing w:line="360" w:lineRule="auto"/>
              <w:ind w:firstLine="420" w:firstLineChars="200"/>
              <w:jc w:val="center"/>
              <w:rPr>
                <w:rFonts w:ascii="Tahoma" w:hAnsi="Tahoma" w:cs="Tahoma"/>
                <w:strike/>
                <w:kern w:val="0"/>
                <w:szCs w:val="21"/>
              </w:rPr>
            </w:pPr>
          </w:p>
        </w:tc>
        <w:tc>
          <w:tcPr>
            <w:tcW w:w="2460" w:type="dxa"/>
            <w:vAlign w:val="center"/>
          </w:tcPr>
          <w:p w14:paraId="3936B3DE">
            <w:pPr>
              <w:tabs>
                <w:tab w:val="left" w:pos="720"/>
              </w:tabs>
              <w:spacing w:line="360" w:lineRule="auto"/>
              <w:ind w:firstLine="420" w:firstLineChars="200"/>
              <w:jc w:val="center"/>
              <w:rPr>
                <w:rFonts w:ascii="Tahoma" w:hAnsi="Tahoma" w:cs="Tahoma"/>
                <w:strike/>
                <w:kern w:val="0"/>
                <w:szCs w:val="21"/>
              </w:rPr>
            </w:pPr>
          </w:p>
        </w:tc>
        <w:tc>
          <w:tcPr>
            <w:tcW w:w="2043" w:type="dxa"/>
            <w:vAlign w:val="center"/>
          </w:tcPr>
          <w:p w14:paraId="029F23FE">
            <w:pPr>
              <w:tabs>
                <w:tab w:val="left" w:pos="720"/>
              </w:tabs>
              <w:spacing w:line="360" w:lineRule="auto"/>
              <w:ind w:firstLine="420" w:firstLineChars="200"/>
              <w:jc w:val="center"/>
              <w:rPr>
                <w:rFonts w:ascii="Tahoma" w:hAnsi="Tahoma" w:cs="Tahoma"/>
                <w:strike/>
                <w:kern w:val="0"/>
                <w:szCs w:val="21"/>
              </w:rPr>
            </w:pPr>
          </w:p>
        </w:tc>
        <w:tc>
          <w:tcPr>
            <w:tcW w:w="2268" w:type="dxa"/>
            <w:vAlign w:val="center"/>
          </w:tcPr>
          <w:p w14:paraId="2E3480AC">
            <w:pPr>
              <w:tabs>
                <w:tab w:val="left" w:pos="720"/>
              </w:tabs>
              <w:spacing w:line="360" w:lineRule="auto"/>
              <w:ind w:firstLine="420" w:firstLineChars="200"/>
              <w:jc w:val="center"/>
              <w:rPr>
                <w:rFonts w:ascii="Tahoma" w:hAnsi="Tahoma" w:cs="Tahoma"/>
                <w:strike/>
                <w:kern w:val="0"/>
                <w:szCs w:val="21"/>
              </w:rPr>
            </w:pPr>
          </w:p>
        </w:tc>
        <w:tc>
          <w:tcPr>
            <w:tcW w:w="2410" w:type="dxa"/>
            <w:vAlign w:val="center"/>
          </w:tcPr>
          <w:p w14:paraId="2F38FF35">
            <w:pPr>
              <w:tabs>
                <w:tab w:val="left" w:pos="720"/>
              </w:tabs>
              <w:spacing w:line="360" w:lineRule="auto"/>
              <w:ind w:firstLine="420" w:firstLineChars="200"/>
              <w:jc w:val="center"/>
              <w:rPr>
                <w:rFonts w:ascii="Tahoma" w:hAnsi="Tahoma" w:cs="Tahoma"/>
                <w:strike/>
                <w:kern w:val="0"/>
                <w:szCs w:val="21"/>
              </w:rPr>
            </w:pPr>
          </w:p>
        </w:tc>
        <w:tc>
          <w:tcPr>
            <w:tcW w:w="2126" w:type="dxa"/>
            <w:vAlign w:val="center"/>
          </w:tcPr>
          <w:p w14:paraId="38A371FD">
            <w:pPr>
              <w:tabs>
                <w:tab w:val="left" w:pos="720"/>
              </w:tabs>
              <w:spacing w:line="360" w:lineRule="auto"/>
              <w:ind w:firstLine="420" w:firstLineChars="200"/>
              <w:jc w:val="center"/>
              <w:rPr>
                <w:rFonts w:ascii="Tahoma" w:hAnsi="Tahoma" w:cs="Tahoma"/>
                <w:strike/>
                <w:kern w:val="0"/>
                <w:szCs w:val="21"/>
              </w:rPr>
            </w:pPr>
          </w:p>
        </w:tc>
        <w:tc>
          <w:tcPr>
            <w:tcW w:w="2163" w:type="dxa"/>
            <w:vAlign w:val="center"/>
          </w:tcPr>
          <w:p w14:paraId="7158D9AA">
            <w:pPr>
              <w:tabs>
                <w:tab w:val="left" w:pos="720"/>
              </w:tabs>
              <w:spacing w:line="360" w:lineRule="auto"/>
              <w:ind w:firstLine="420" w:firstLineChars="200"/>
              <w:jc w:val="center"/>
              <w:rPr>
                <w:rFonts w:ascii="Tahoma" w:hAnsi="Tahoma" w:cs="Tahoma"/>
                <w:strike/>
                <w:kern w:val="0"/>
                <w:szCs w:val="21"/>
              </w:rPr>
            </w:pPr>
          </w:p>
        </w:tc>
      </w:tr>
      <w:tr w14:paraId="7BFEB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47" w:type="dxa"/>
            <w:vAlign w:val="center"/>
          </w:tcPr>
          <w:p w14:paraId="28A96CB0">
            <w:pPr>
              <w:tabs>
                <w:tab w:val="left" w:pos="720"/>
              </w:tabs>
              <w:spacing w:line="360" w:lineRule="auto"/>
              <w:ind w:firstLine="420" w:firstLineChars="200"/>
              <w:jc w:val="center"/>
              <w:rPr>
                <w:rFonts w:ascii="Tahoma" w:hAnsi="Tahoma" w:cs="Tahoma"/>
                <w:strike/>
                <w:kern w:val="0"/>
                <w:szCs w:val="21"/>
              </w:rPr>
            </w:pPr>
          </w:p>
        </w:tc>
        <w:tc>
          <w:tcPr>
            <w:tcW w:w="2460" w:type="dxa"/>
            <w:vAlign w:val="center"/>
          </w:tcPr>
          <w:p w14:paraId="06BB776E">
            <w:pPr>
              <w:tabs>
                <w:tab w:val="left" w:pos="720"/>
              </w:tabs>
              <w:spacing w:line="360" w:lineRule="auto"/>
              <w:ind w:firstLine="420" w:firstLineChars="200"/>
              <w:jc w:val="center"/>
              <w:rPr>
                <w:rFonts w:ascii="Tahoma" w:hAnsi="Tahoma" w:cs="Tahoma"/>
                <w:strike/>
                <w:kern w:val="0"/>
                <w:szCs w:val="21"/>
              </w:rPr>
            </w:pPr>
          </w:p>
        </w:tc>
        <w:tc>
          <w:tcPr>
            <w:tcW w:w="2043" w:type="dxa"/>
            <w:vAlign w:val="center"/>
          </w:tcPr>
          <w:p w14:paraId="60E1621E">
            <w:pPr>
              <w:tabs>
                <w:tab w:val="left" w:pos="720"/>
              </w:tabs>
              <w:spacing w:line="360" w:lineRule="auto"/>
              <w:ind w:firstLine="420" w:firstLineChars="200"/>
              <w:jc w:val="center"/>
              <w:rPr>
                <w:rFonts w:ascii="Tahoma" w:hAnsi="Tahoma" w:cs="Tahoma"/>
                <w:strike/>
                <w:kern w:val="0"/>
                <w:szCs w:val="21"/>
              </w:rPr>
            </w:pPr>
          </w:p>
        </w:tc>
        <w:tc>
          <w:tcPr>
            <w:tcW w:w="2268" w:type="dxa"/>
            <w:vAlign w:val="center"/>
          </w:tcPr>
          <w:p w14:paraId="417E0AB7">
            <w:pPr>
              <w:tabs>
                <w:tab w:val="left" w:pos="720"/>
              </w:tabs>
              <w:spacing w:line="360" w:lineRule="auto"/>
              <w:ind w:firstLine="420" w:firstLineChars="200"/>
              <w:jc w:val="center"/>
              <w:rPr>
                <w:rFonts w:ascii="Tahoma" w:hAnsi="Tahoma" w:cs="Tahoma"/>
                <w:strike/>
                <w:kern w:val="0"/>
                <w:szCs w:val="21"/>
              </w:rPr>
            </w:pPr>
          </w:p>
        </w:tc>
        <w:tc>
          <w:tcPr>
            <w:tcW w:w="2410" w:type="dxa"/>
            <w:vAlign w:val="center"/>
          </w:tcPr>
          <w:p w14:paraId="1B6DE4F3">
            <w:pPr>
              <w:tabs>
                <w:tab w:val="left" w:pos="720"/>
              </w:tabs>
              <w:spacing w:line="360" w:lineRule="auto"/>
              <w:ind w:firstLine="420" w:firstLineChars="200"/>
              <w:jc w:val="center"/>
              <w:rPr>
                <w:rFonts w:ascii="Tahoma" w:hAnsi="Tahoma" w:cs="Tahoma"/>
                <w:strike/>
                <w:kern w:val="0"/>
                <w:szCs w:val="21"/>
              </w:rPr>
            </w:pPr>
          </w:p>
        </w:tc>
        <w:tc>
          <w:tcPr>
            <w:tcW w:w="2126" w:type="dxa"/>
            <w:vAlign w:val="center"/>
          </w:tcPr>
          <w:p w14:paraId="61F50947">
            <w:pPr>
              <w:tabs>
                <w:tab w:val="left" w:pos="720"/>
              </w:tabs>
              <w:spacing w:line="360" w:lineRule="auto"/>
              <w:ind w:firstLine="420" w:firstLineChars="200"/>
              <w:jc w:val="center"/>
              <w:rPr>
                <w:rFonts w:ascii="Tahoma" w:hAnsi="Tahoma" w:cs="Tahoma"/>
                <w:strike/>
                <w:kern w:val="0"/>
                <w:szCs w:val="21"/>
              </w:rPr>
            </w:pPr>
          </w:p>
        </w:tc>
        <w:tc>
          <w:tcPr>
            <w:tcW w:w="2163" w:type="dxa"/>
            <w:vAlign w:val="center"/>
          </w:tcPr>
          <w:p w14:paraId="1071E22E">
            <w:pPr>
              <w:tabs>
                <w:tab w:val="left" w:pos="720"/>
              </w:tabs>
              <w:spacing w:line="360" w:lineRule="auto"/>
              <w:ind w:firstLine="420" w:firstLineChars="200"/>
              <w:jc w:val="center"/>
              <w:rPr>
                <w:rFonts w:ascii="Tahoma" w:hAnsi="Tahoma" w:cs="Tahoma"/>
                <w:strike/>
                <w:kern w:val="0"/>
                <w:szCs w:val="21"/>
              </w:rPr>
            </w:pPr>
          </w:p>
        </w:tc>
      </w:tr>
      <w:tr w14:paraId="43E54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47" w:type="dxa"/>
            <w:vAlign w:val="center"/>
          </w:tcPr>
          <w:p w14:paraId="76821C09">
            <w:pPr>
              <w:tabs>
                <w:tab w:val="left" w:pos="720"/>
              </w:tabs>
              <w:spacing w:line="360" w:lineRule="auto"/>
              <w:ind w:firstLine="420" w:firstLineChars="200"/>
              <w:jc w:val="center"/>
              <w:rPr>
                <w:rFonts w:ascii="Tahoma" w:hAnsi="Tahoma" w:cs="Tahoma"/>
                <w:strike/>
                <w:kern w:val="0"/>
                <w:szCs w:val="21"/>
              </w:rPr>
            </w:pPr>
          </w:p>
        </w:tc>
        <w:tc>
          <w:tcPr>
            <w:tcW w:w="2460" w:type="dxa"/>
            <w:vAlign w:val="center"/>
          </w:tcPr>
          <w:p w14:paraId="787A7E47">
            <w:pPr>
              <w:tabs>
                <w:tab w:val="left" w:pos="720"/>
              </w:tabs>
              <w:spacing w:line="360" w:lineRule="auto"/>
              <w:ind w:firstLine="420" w:firstLineChars="200"/>
              <w:jc w:val="center"/>
              <w:rPr>
                <w:rFonts w:ascii="Tahoma" w:hAnsi="Tahoma" w:cs="Tahoma"/>
                <w:strike/>
                <w:kern w:val="0"/>
                <w:szCs w:val="21"/>
              </w:rPr>
            </w:pPr>
          </w:p>
        </w:tc>
        <w:tc>
          <w:tcPr>
            <w:tcW w:w="2043" w:type="dxa"/>
            <w:vAlign w:val="center"/>
          </w:tcPr>
          <w:p w14:paraId="0E4B511F">
            <w:pPr>
              <w:tabs>
                <w:tab w:val="left" w:pos="720"/>
              </w:tabs>
              <w:spacing w:line="360" w:lineRule="auto"/>
              <w:ind w:firstLine="420" w:firstLineChars="200"/>
              <w:jc w:val="center"/>
              <w:rPr>
                <w:rFonts w:ascii="Tahoma" w:hAnsi="Tahoma" w:cs="Tahoma"/>
                <w:strike/>
                <w:kern w:val="0"/>
                <w:szCs w:val="21"/>
              </w:rPr>
            </w:pPr>
          </w:p>
        </w:tc>
        <w:tc>
          <w:tcPr>
            <w:tcW w:w="2268" w:type="dxa"/>
            <w:vAlign w:val="center"/>
          </w:tcPr>
          <w:p w14:paraId="7A73D851">
            <w:pPr>
              <w:tabs>
                <w:tab w:val="left" w:pos="720"/>
              </w:tabs>
              <w:spacing w:line="360" w:lineRule="auto"/>
              <w:ind w:firstLine="420" w:firstLineChars="200"/>
              <w:jc w:val="center"/>
              <w:rPr>
                <w:rFonts w:ascii="Tahoma" w:hAnsi="Tahoma" w:cs="Tahoma"/>
                <w:strike/>
                <w:kern w:val="0"/>
                <w:szCs w:val="21"/>
              </w:rPr>
            </w:pPr>
          </w:p>
        </w:tc>
        <w:tc>
          <w:tcPr>
            <w:tcW w:w="2410" w:type="dxa"/>
            <w:vAlign w:val="center"/>
          </w:tcPr>
          <w:p w14:paraId="493E9542">
            <w:pPr>
              <w:tabs>
                <w:tab w:val="left" w:pos="720"/>
              </w:tabs>
              <w:spacing w:line="360" w:lineRule="auto"/>
              <w:ind w:firstLine="420" w:firstLineChars="200"/>
              <w:jc w:val="center"/>
              <w:rPr>
                <w:rFonts w:ascii="Tahoma" w:hAnsi="Tahoma" w:cs="Tahoma"/>
                <w:strike/>
                <w:kern w:val="0"/>
                <w:szCs w:val="21"/>
              </w:rPr>
            </w:pPr>
          </w:p>
        </w:tc>
        <w:tc>
          <w:tcPr>
            <w:tcW w:w="2126" w:type="dxa"/>
            <w:vAlign w:val="center"/>
          </w:tcPr>
          <w:p w14:paraId="00F0EC4F">
            <w:pPr>
              <w:tabs>
                <w:tab w:val="left" w:pos="720"/>
              </w:tabs>
              <w:spacing w:line="360" w:lineRule="auto"/>
              <w:ind w:firstLine="420" w:firstLineChars="200"/>
              <w:jc w:val="center"/>
              <w:rPr>
                <w:rFonts w:ascii="Tahoma" w:hAnsi="Tahoma" w:cs="Tahoma"/>
                <w:strike/>
                <w:kern w:val="0"/>
                <w:szCs w:val="21"/>
              </w:rPr>
            </w:pPr>
          </w:p>
        </w:tc>
        <w:tc>
          <w:tcPr>
            <w:tcW w:w="2163" w:type="dxa"/>
            <w:vAlign w:val="center"/>
          </w:tcPr>
          <w:p w14:paraId="35A63252">
            <w:pPr>
              <w:tabs>
                <w:tab w:val="left" w:pos="720"/>
              </w:tabs>
              <w:spacing w:line="360" w:lineRule="auto"/>
              <w:ind w:firstLine="420" w:firstLineChars="200"/>
              <w:jc w:val="center"/>
              <w:rPr>
                <w:rFonts w:ascii="Tahoma" w:hAnsi="Tahoma" w:cs="Tahoma"/>
                <w:strike/>
                <w:kern w:val="0"/>
                <w:szCs w:val="21"/>
              </w:rPr>
            </w:pPr>
          </w:p>
        </w:tc>
      </w:tr>
      <w:tr w14:paraId="0918A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47" w:type="dxa"/>
            <w:vAlign w:val="center"/>
          </w:tcPr>
          <w:p w14:paraId="4CE04DA5">
            <w:pPr>
              <w:tabs>
                <w:tab w:val="left" w:pos="720"/>
              </w:tabs>
              <w:spacing w:line="360" w:lineRule="auto"/>
              <w:ind w:firstLine="420" w:firstLineChars="200"/>
              <w:jc w:val="center"/>
              <w:rPr>
                <w:rFonts w:ascii="Tahoma" w:hAnsi="Tahoma" w:cs="Tahoma"/>
                <w:strike/>
                <w:kern w:val="0"/>
                <w:szCs w:val="21"/>
              </w:rPr>
            </w:pPr>
          </w:p>
        </w:tc>
        <w:tc>
          <w:tcPr>
            <w:tcW w:w="2460" w:type="dxa"/>
            <w:vAlign w:val="center"/>
          </w:tcPr>
          <w:p w14:paraId="540F88F5">
            <w:pPr>
              <w:tabs>
                <w:tab w:val="left" w:pos="720"/>
              </w:tabs>
              <w:spacing w:line="360" w:lineRule="auto"/>
              <w:ind w:firstLine="420" w:firstLineChars="200"/>
              <w:jc w:val="center"/>
              <w:rPr>
                <w:rFonts w:ascii="Tahoma" w:hAnsi="Tahoma" w:cs="Tahoma"/>
                <w:strike/>
                <w:kern w:val="0"/>
                <w:szCs w:val="21"/>
              </w:rPr>
            </w:pPr>
          </w:p>
        </w:tc>
        <w:tc>
          <w:tcPr>
            <w:tcW w:w="2043" w:type="dxa"/>
            <w:vAlign w:val="center"/>
          </w:tcPr>
          <w:p w14:paraId="73060CEC">
            <w:pPr>
              <w:tabs>
                <w:tab w:val="left" w:pos="720"/>
              </w:tabs>
              <w:spacing w:line="360" w:lineRule="auto"/>
              <w:ind w:firstLine="420" w:firstLineChars="200"/>
              <w:jc w:val="center"/>
              <w:rPr>
                <w:rFonts w:ascii="Tahoma" w:hAnsi="Tahoma" w:cs="Tahoma"/>
                <w:strike/>
                <w:kern w:val="0"/>
                <w:szCs w:val="21"/>
              </w:rPr>
            </w:pPr>
          </w:p>
        </w:tc>
        <w:tc>
          <w:tcPr>
            <w:tcW w:w="2268" w:type="dxa"/>
            <w:vAlign w:val="center"/>
          </w:tcPr>
          <w:p w14:paraId="4A2AA57B">
            <w:pPr>
              <w:tabs>
                <w:tab w:val="left" w:pos="720"/>
              </w:tabs>
              <w:spacing w:line="360" w:lineRule="auto"/>
              <w:ind w:firstLine="420" w:firstLineChars="200"/>
              <w:jc w:val="center"/>
              <w:rPr>
                <w:rFonts w:ascii="Tahoma" w:hAnsi="Tahoma" w:cs="Tahoma"/>
                <w:strike/>
                <w:kern w:val="0"/>
                <w:szCs w:val="21"/>
              </w:rPr>
            </w:pPr>
          </w:p>
        </w:tc>
        <w:tc>
          <w:tcPr>
            <w:tcW w:w="2410" w:type="dxa"/>
            <w:vAlign w:val="center"/>
          </w:tcPr>
          <w:p w14:paraId="611B4150">
            <w:pPr>
              <w:tabs>
                <w:tab w:val="left" w:pos="720"/>
              </w:tabs>
              <w:spacing w:line="360" w:lineRule="auto"/>
              <w:ind w:firstLine="420" w:firstLineChars="200"/>
              <w:jc w:val="center"/>
              <w:rPr>
                <w:rFonts w:ascii="Tahoma" w:hAnsi="Tahoma" w:cs="Tahoma"/>
                <w:strike/>
                <w:kern w:val="0"/>
                <w:szCs w:val="21"/>
              </w:rPr>
            </w:pPr>
          </w:p>
        </w:tc>
        <w:tc>
          <w:tcPr>
            <w:tcW w:w="2126" w:type="dxa"/>
            <w:vAlign w:val="center"/>
          </w:tcPr>
          <w:p w14:paraId="6DA58DE6">
            <w:pPr>
              <w:tabs>
                <w:tab w:val="left" w:pos="720"/>
              </w:tabs>
              <w:spacing w:line="360" w:lineRule="auto"/>
              <w:ind w:firstLine="420" w:firstLineChars="200"/>
              <w:jc w:val="center"/>
              <w:rPr>
                <w:rFonts w:ascii="Tahoma" w:hAnsi="Tahoma" w:cs="Tahoma"/>
                <w:strike/>
                <w:kern w:val="0"/>
                <w:szCs w:val="21"/>
              </w:rPr>
            </w:pPr>
          </w:p>
        </w:tc>
        <w:tc>
          <w:tcPr>
            <w:tcW w:w="2163" w:type="dxa"/>
            <w:vAlign w:val="center"/>
          </w:tcPr>
          <w:p w14:paraId="0341A9B8">
            <w:pPr>
              <w:tabs>
                <w:tab w:val="left" w:pos="720"/>
              </w:tabs>
              <w:spacing w:line="360" w:lineRule="auto"/>
              <w:ind w:firstLine="420" w:firstLineChars="200"/>
              <w:jc w:val="center"/>
              <w:rPr>
                <w:rFonts w:ascii="Tahoma" w:hAnsi="Tahoma" w:cs="Tahoma"/>
                <w:strike/>
                <w:kern w:val="0"/>
                <w:szCs w:val="21"/>
              </w:rPr>
            </w:pPr>
          </w:p>
        </w:tc>
      </w:tr>
      <w:tr w14:paraId="06777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47" w:type="dxa"/>
            <w:vAlign w:val="center"/>
          </w:tcPr>
          <w:p w14:paraId="10CD8D59">
            <w:pPr>
              <w:tabs>
                <w:tab w:val="left" w:pos="720"/>
              </w:tabs>
              <w:spacing w:line="360" w:lineRule="auto"/>
              <w:ind w:firstLine="420" w:firstLineChars="200"/>
              <w:jc w:val="center"/>
              <w:rPr>
                <w:rFonts w:ascii="Tahoma" w:hAnsi="Tahoma" w:cs="Tahoma"/>
                <w:strike/>
                <w:kern w:val="0"/>
                <w:szCs w:val="21"/>
              </w:rPr>
            </w:pPr>
          </w:p>
        </w:tc>
        <w:tc>
          <w:tcPr>
            <w:tcW w:w="2460" w:type="dxa"/>
            <w:vAlign w:val="center"/>
          </w:tcPr>
          <w:p w14:paraId="38B44D37">
            <w:pPr>
              <w:tabs>
                <w:tab w:val="left" w:pos="720"/>
              </w:tabs>
              <w:spacing w:line="360" w:lineRule="auto"/>
              <w:ind w:firstLine="420" w:firstLineChars="200"/>
              <w:jc w:val="center"/>
              <w:rPr>
                <w:rFonts w:ascii="Tahoma" w:hAnsi="Tahoma" w:cs="Tahoma"/>
                <w:strike/>
                <w:kern w:val="0"/>
                <w:szCs w:val="21"/>
              </w:rPr>
            </w:pPr>
          </w:p>
        </w:tc>
        <w:tc>
          <w:tcPr>
            <w:tcW w:w="2043" w:type="dxa"/>
            <w:vAlign w:val="center"/>
          </w:tcPr>
          <w:p w14:paraId="780302EB">
            <w:pPr>
              <w:tabs>
                <w:tab w:val="left" w:pos="720"/>
              </w:tabs>
              <w:spacing w:line="360" w:lineRule="auto"/>
              <w:ind w:firstLine="420" w:firstLineChars="200"/>
              <w:jc w:val="center"/>
              <w:rPr>
                <w:rFonts w:ascii="Tahoma" w:hAnsi="Tahoma" w:cs="Tahoma"/>
                <w:strike/>
                <w:kern w:val="0"/>
                <w:szCs w:val="21"/>
              </w:rPr>
            </w:pPr>
          </w:p>
        </w:tc>
        <w:tc>
          <w:tcPr>
            <w:tcW w:w="2268" w:type="dxa"/>
            <w:vAlign w:val="center"/>
          </w:tcPr>
          <w:p w14:paraId="2693E1EA">
            <w:pPr>
              <w:tabs>
                <w:tab w:val="left" w:pos="720"/>
              </w:tabs>
              <w:spacing w:line="360" w:lineRule="auto"/>
              <w:ind w:firstLine="420" w:firstLineChars="200"/>
              <w:jc w:val="center"/>
              <w:rPr>
                <w:rFonts w:ascii="Tahoma" w:hAnsi="Tahoma" w:cs="Tahoma"/>
                <w:strike/>
                <w:kern w:val="0"/>
                <w:szCs w:val="21"/>
              </w:rPr>
            </w:pPr>
          </w:p>
        </w:tc>
        <w:tc>
          <w:tcPr>
            <w:tcW w:w="2410" w:type="dxa"/>
            <w:vAlign w:val="center"/>
          </w:tcPr>
          <w:p w14:paraId="124EA142">
            <w:pPr>
              <w:tabs>
                <w:tab w:val="left" w:pos="720"/>
              </w:tabs>
              <w:spacing w:line="360" w:lineRule="auto"/>
              <w:ind w:firstLine="420" w:firstLineChars="200"/>
              <w:jc w:val="center"/>
              <w:rPr>
                <w:rFonts w:ascii="Tahoma" w:hAnsi="Tahoma" w:cs="Tahoma"/>
                <w:strike/>
                <w:kern w:val="0"/>
                <w:szCs w:val="21"/>
              </w:rPr>
            </w:pPr>
          </w:p>
        </w:tc>
        <w:tc>
          <w:tcPr>
            <w:tcW w:w="2126" w:type="dxa"/>
            <w:vAlign w:val="center"/>
          </w:tcPr>
          <w:p w14:paraId="6D8D0CE2">
            <w:pPr>
              <w:tabs>
                <w:tab w:val="left" w:pos="720"/>
              </w:tabs>
              <w:spacing w:line="360" w:lineRule="auto"/>
              <w:ind w:firstLine="420" w:firstLineChars="200"/>
              <w:jc w:val="center"/>
              <w:rPr>
                <w:rFonts w:ascii="Tahoma" w:hAnsi="Tahoma" w:cs="Tahoma"/>
                <w:strike/>
                <w:kern w:val="0"/>
                <w:szCs w:val="21"/>
              </w:rPr>
            </w:pPr>
          </w:p>
        </w:tc>
        <w:tc>
          <w:tcPr>
            <w:tcW w:w="2163" w:type="dxa"/>
            <w:vAlign w:val="center"/>
          </w:tcPr>
          <w:p w14:paraId="573424E0">
            <w:pPr>
              <w:tabs>
                <w:tab w:val="left" w:pos="720"/>
              </w:tabs>
              <w:spacing w:line="360" w:lineRule="auto"/>
              <w:ind w:firstLine="420" w:firstLineChars="200"/>
              <w:jc w:val="center"/>
              <w:rPr>
                <w:rFonts w:ascii="Tahoma" w:hAnsi="Tahoma" w:cs="Tahoma"/>
                <w:strike/>
                <w:kern w:val="0"/>
                <w:szCs w:val="21"/>
              </w:rPr>
            </w:pPr>
          </w:p>
        </w:tc>
      </w:tr>
      <w:tr w14:paraId="67E59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47" w:type="dxa"/>
            <w:vAlign w:val="center"/>
          </w:tcPr>
          <w:p w14:paraId="306C7D42">
            <w:pPr>
              <w:tabs>
                <w:tab w:val="left" w:pos="720"/>
              </w:tabs>
              <w:spacing w:line="360" w:lineRule="auto"/>
              <w:ind w:firstLine="420" w:firstLineChars="200"/>
              <w:jc w:val="center"/>
              <w:rPr>
                <w:rFonts w:ascii="Tahoma" w:hAnsi="Tahoma" w:cs="Tahoma"/>
                <w:strike/>
                <w:kern w:val="0"/>
                <w:szCs w:val="21"/>
              </w:rPr>
            </w:pPr>
          </w:p>
        </w:tc>
        <w:tc>
          <w:tcPr>
            <w:tcW w:w="2460" w:type="dxa"/>
            <w:vAlign w:val="center"/>
          </w:tcPr>
          <w:p w14:paraId="4D0E1F06">
            <w:pPr>
              <w:tabs>
                <w:tab w:val="left" w:pos="720"/>
              </w:tabs>
              <w:spacing w:line="360" w:lineRule="auto"/>
              <w:ind w:firstLine="420" w:firstLineChars="200"/>
              <w:jc w:val="center"/>
              <w:rPr>
                <w:rFonts w:ascii="Tahoma" w:hAnsi="Tahoma" w:cs="Tahoma"/>
                <w:strike/>
                <w:kern w:val="0"/>
                <w:szCs w:val="21"/>
              </w:rPr>
            </w:pPr>
          </w:p>
        </w:tc>
        <w:tc>
          <w:tcPr>
            <w:tcW w:w="2043" w:type="dxa"/>
            <w:vAlign w:val="center"/>
          </w:tcPr>
          <w:p w14:paraId="31C8FF0C">
            <w:pPr>
              <w:tabs>
                <w:tab w:val="left" w:pos="720"/>
              </w:tabs>
              <w:spacing w:line="360" w:lineRule="auto"/>
              <w:ind w:firstLine="420" w:firstLineChars="200"/>
              <w:jc w:val="center"/>
              <w:rPr>
                <w:rFonts w:ascii="Tahoma" w:hAnsi="Tahoma" w:cs="Tahoma"/>
                <w:strike/>
                <w:kern w:val="0"/>
                <w:szCs w:val="21"/>
              </w:rPr>
            </w:pPr>
          </w:p>
        </w:tc>
        <w:tc>
          <w:tcPr>
            <w:tcW w:w="2268" w:type="dxa"/>
            <w:vAlign w:val="center"/>
          </w:tcPr>
          <w:p w14:paraId="06ED4F59">
            <w:pPr>
              <w:tabs>
                <w:tab w:val="left" w:pos="720"/>
              </w:tabs>
              <w:spacing w:line="360" w:lineRule="auto"/>
              <w:ind w:firstLine="420" w:firstLineChars="200"/>
              <w:jc w:val="center"/>
              <w:rPr>
                <w:rFonts w:ascii="Tahoma" w:hAnsi="Tahoma" w:cs="Tahoma"/>
                <w:strike/>
                <w:kern w:val="0"/>
                <w:szCs w:val="21"/>
              </w:rPr>
            </w:pPr>
          </w:p>
        </w:tc>
        <w:tc>
          <w:tcPr>
            <w:tcW w:w="2410" w:type="dxa"/>
            <w:vAlign w:val="center"/>
          </w:tcPr>
          <w:p w14:paraId="5909B098">
            <w:pPr>
              <w:tabs>
                <w:tab w:val="left" w:pos="720"/>
              </w:tabs>
              <w:spacing w:line="360" w:lineRule="auto"/>
              <w:ind w:firstLine="420" w:firstLineChars="200"/>
              <w:jc w:val="center"/>
              <w:rPr>
                <w:rFonts w:ascii="Tahoma" w:hAnsi="Tahoma" w:cs="Tahoma"/>
                <w:strike/>
                <w:kern w:val="0"/>
                <w:szCs w:val="21"/>
              </w:rPr>
            </w:pPr>
          </w:p>
        </w:tc>
        <w:tc>
          <w:tcPr>
            <w:tcW w:w="2126" w:type="dxa"/>
            <w:vAlign w:val="center"/>
          </w:tcPr>
          <w:p w14:paraId="63C897F3">
            <w:pPr>
              <w:tabs>
                <w:tab w:val="left" w:pos="720"/>
              </w:tabs>
              <w:spacing w:line="360" w:lineRule="auto"/>
              <w:ind w:firstLine="420" w:firstLineChars="200"/>
              <w:jc w:val="center"/>
              <w:rPr>
                <w:rFonts w:ascii="Tahoma" w:hAnsi="Tahoma" w:cs="Tahoma"/>
                <w:strike/>
                <w:kern w:val="0"/>
                <w:szCs w:val="21"/>
              </w:rPr>
            </w:pPr>
          </w:p>
        </w:tc>
        <w:tc>
          <w:tcPr>
            <w:tcW w:w="2163" w:type="dxa"/>
            <w:vAlign w:val="center"/>
          </w:tcPr>
          <w:p w14:paraId="217A323A">
            <w:pPr>
              <w:tabs>
                <w:tab w:val="left" w:pos="720"/>
              </w:tabs>
              <w:spacing w:line="360" w:lineRule="auto"/>
              <w:ind w:firstLine="420" w:firstLineChars="200"/>
              <w:jc w:val="center"/>
              <w:rPr>
                <w:rFonts w:ascii="Tahoma" w:hAnsi="Tahoma" w:cs="Tahoma"/>
                <w:strike/>
                <w:kern w:val="0"/>
                <w:szCs w:val="21"/>
              </w:rPr>
            </w:pPr>
          </w:p>
        </w:tc>
      </w:tr>
    </w:tbl>
    <w:p w14:paraId="6D359B8C">
      <w:pPr>
        <w:tabs>
          <w:tab w:val="left" w:pos="720"/>
        </w:tabs>
        <w:spacing w:line="360" w:lineRule="auto"/>
        <w:ind w:firstLine="480" w:firstLineChars="200"/>
        <w:rPr>
          <w:rFonts w:ascii="Tahoma" w:hAnsi="Tahoma" w:cs="Tahoma"/>
          <w:strike/>
          <w:sz w:val="24"/>
          <w:szCs w:val="24"/>
        </w:rPr>
      </w:pPr>
    </w:p>
    <w:p w14:paraId="3C9D2AE4">
      <w:pPr>
        <w:tabs>
          <w:tab w:val="left" w:pos="720"/>
        </w:tabs>
        <w:spacing w:line="360" w:lineRule="auto"/>
        <w:ind w:firstLine="480" w:firstLineChars="200"/>
        <w:rPr>
          <w:rFonts w:ascii="Tahoma" w:hAnsi="Tahoma" w:cs="Tahoma"/>
          <w:strike/>
          <w:sz w:val="24"/>
          <w:szCs w:val="24"/>
        </w:rPr>
      </w:pPr>
      <w:r>
        <w:rPr>
          <w:rFonts w:ascii="Tahoma" w:hAnsi="Tahoma" w:cs="Tahoma"/>
          <w:strike/>
          <w:sz w:val="24"/>
          <w:szCs w:val="24"/>
        </w:rPr>
        <w:t>评委签名：</w:t>
      </w:r>
    </w:p>
    <w:p w14:paraId="74834F5B">
      <w:pPr>
        <w:tabs>
          <w:tab w:val="left" w:pos="720"/>
        </w:tabs>
        <w:spacing w:line="360" w:lineRule="auto"/>
        <w:ind w:firstLine="480" w:firstLineChars="200"/>
        <w:rPr>
          <w:rFonts w:ascii="Tahoma" w:hAnsi="Tahoma" w:cs="Tahoma"/>
          <w:strike/>
          <w:sz w:val="24"/>
          <w:szCs w:val="24"/>
        </w:rPr>
      </w:pPr>
      <w:r>
        <w:rPr>
          <w:rFonts w:ascii="Tahoma" w:hAnsi="Tahoma" w:cs="Tahoma"/>
          <w:strike/>
          <w:sz w:val="24"/>
          <w:szCs w:val="24"/>
        </w:rPr>
        <w:br w:type="page"/>
      </w:r>
    </w:p>
    <w:p w14:paraId="6C8850CA">
      <w:pPr>
        <w:rPr>
          <w:rFonts w:ascii="Tahoma" w:hAnsi="Tahoma" w:cs="Tahoma"/>
          <w:strike/>
          <w:sz w:val="28"/>
          <w:szCs w:val="28"/>
        </w:rPr>
      </w:pPr>
      <w:r>
        <w:rPr>
          <w:rFonts w:hint="eastAsia" w:ascii="Tahoma" w:hAnsi="Tahoma" w:cs="Tahoma"/>
          <w:strike/>
          <w:sz w:val="28"/>
          <w:szCs w:val="28"/>
        </w:rPr>
        <w:t>附表八：（适用于有主要项目单价评审的项目）</w:t>
      </w:r>
    </w:p>
    <w:p w14:paraId="4490439A">
      <w:pPr>
        <w:jc w:val="center"/>
        <w:rPr>
          <w:b/>
          <w:strike/>
          <w:sz w:val="36"/>
          <w:szCs w:val="36"/>
        </w:rPr>
      </w:pPr>
      <w:r>
        <w:rPr>
          <w:rFonts w:hint="eastAsia"/>
          <w:b/>
          <w:strike/>
          <w:sz w:val="36"/>
          <w:szCs w:val="36"/>
        </w:rPr>
        <w:t xml:space="preserve"> 投标人（名称）经济标的主要单价评分表</w:t>
      </w:r>
    </w:p>
    <w:tbl>
      <w:tblPr>
        <w:tblStyle w:val="37"/>
        <w:tblW w:w="137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5"/>
        <w:gridCol w:w="2524"/>
        <w:gridCol w:w="2817"/>
        <w:gridCol w:w="2268"/>
        <w:gridCol w:w="2552"/>
        <w:gridCol w:w="1984"/>
      </w:tblGrid>
      <w:tr w14:paraId="7ED4C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vAlign w:val="center"/>
          </w:tcPr>
          <w:p w14:paraId="6D7E4C46">
            <w:pPr>
              <w:tabs>
                <w:tab w:val="left" w:pos="720"/>
              </w:tabs>
              <w:spacing w:line="360" w:lineRule="auto"/>
              <w:jc w:val="center"/>
              <w:rPr>
                <w:rFonts w:ascii="Tahoma" w:hAnsi="Tahoma" w:cs="Tahoma"/>
                <w:strike/>
                <w:kern w:val="0"/>
                <w:sz w:val="24"/>
                <w:szCs w:val="24"/>
              </w:rPr>
            </w:pPr>
            <w:r>
              <w:rPr>
                <w:rFonts w:ascii="Tahoma" w:hAnsi="Tahoma" w:cs="Tahoma"/>
                <w:strike/>
                <w:kern w:val="0"/>
                <w:sz w:val="24"/>
                <w:szCs w:val="24"/>
              </w:rPr>
              <w:t>清单序号</w:t>
            </w:r>
          </w:p>
        </w:tc>
        <w:tc>
          <w:tcPr>
            <w:tcW w:w="2524" w:type="dxa"/>
            <w:vAlign w:val="center"/>
          </w:tcPr>
          <w:p w14:paraId="214117C3">
            <w:pPr>
              <w:tabs>
                <w:tab w:val="left" w:pos="720"/>
              </w:tabs>
              <w:spacing w:line="360" w:lineRule="auto"/>
              <w:jc w:val="center"/>
              <w:rPr>
                <w:rFonts w:ascii="Tahoma" w:hAnsi="Tahoma" w:cs="Tahoma"/>
                <w:strike/>
                <w:kern w:val="0"/>
                <w:sz w:val="24"/>
                <w:szCs w:val="24"/>
              </w:rPr>
            </w:pPr>
            <w:r>
              <w:rPr>
                <w:rFonts w:ascii="Tahoma" w:hAnsi="Tahoma" w:cs="Tahoma"/>
                <w:strike/>
                <w:kern w:val="0"/>
                <w:sz w:val="24"/>
                <w:szCs w:val="24"/>
              </w:rPr>
              <w:t>主要单价项目名称</w:t>
            </w:r>
          </w:p>
        </w:tc>
        <w:tc>
          <w:tcPr>
            <w:tcW w:w="2817" w:type="dxa"/>
            <w:vAlign w:val="center"/>
          </w:tcPr>
          <w:p w14:paraId="593950E8">
            <w:pPr>
              <w:tabs>
                <w:tab w:val="left" w:pos="720"/>
              </w:tabs>
              <w:spacing w:line="360" w:lineRule="auto"/>
              <w:jc w:val="center"/>
              <w:rPr>
                <w:rFonts w:ascii="Tahoma" w:hAnsi="Tahoma" w:cs="Tahoma"/>
                <w:strike/>
                <w:kern w:val="0"/>
                <w:sz w:val="24"/>
                <w:szCs w:val="24"/>
              </w:rPr>
            </w:pPr>
            <w:r>
              <w:rPr>
                <w:rFonts w:ascii="Tahoma" w:hAnsi="Tahoma" w:cs="Tahoma"/>
                <w:strike/>
                <w:kern w:val="0"/>
                <w:sz w:val="24"/>
                <w:szCs w:val="24"/>
              </w:rPr>
              <w:t>投标人单价</w:t>
            </w:r>
          </w:p>
        </w:tc>
        <w:tc>
          <w:tcPr>
            <w:tcW w:w="2268" w:type="dxa"/>
            <w:vAlign w:val="center"/>
          </w:tcPr>
          <w:p w14:paraId="06E1AF8C">
            <w:pPr>
              <w:tabs>
                <w:tab w:val="left" w:pos="720"/>
              </w:tabs>
              <w:spacing w:line="360" w:lineRule="auto"/>
              <w:jc w:val="center"/>
              <w:rPr>
                <w:rFonts w:ascii="Tahoma" w:hAnsi="Tahoma" w:cs="Tahoma"/>
                <w:strike/>
                <w:kern w:val="0"/>
                <w:sz w:val="24"/>
                <w:szCs w:val="24"/>
              </w:rPr>
            </w:pPr>
            <w:r>
              <w:rPr>
                <w:rFonts w:ascii="Tahoma" w:hAnsi="Tahoma" w:cs="Tahoma"/>
                <w:strike/>
                <w:kern w:val="0"/>
                <w:sz w:val="24"/>
                <w:szCs w:val="24"/>
              </w:rPr>
              <w:t>单价基准值Di</w:t>
            </w:r>
          </w:p>
        </w:tc>
        <w:tc>
          <w:tcPr>
            <w:tcW w:w="2552" w:type="dxa"/>
            <w:vAlign w:val="center"/>
          </w:tcPr>
          <w:p w14:paraId="1B184A7B">
            <w:pPr>
              <w:tabs>
                <w:tab w:val="left" w:pos="720"/>
              </w:tabs>
              <w:spacing w:line="360" w:lineRule="auto"/>
              <w:jc w:val="center"/>
              <w:rPr>
                <w:rFonts w:ascii="Tahoma" w:hAnsi="Tahoma" w:cs="Tahoma"/>
                <w:strike/>
                <w:kern w:val="0"/>
                <w:sz w:val="24"/>
                <w:szCs w:val="24"/>
              </w:rPr>
            </w:pPr>
            <w:r>
              <w:rPr>
                <w:rFonts w:ascii="Tahoma" w:hAnsi="Tahoma" w:cs="Tahoma"/>
                <w:strike/>
                <w:kern w:val="0"/>
                <w:sz w:val="24"/>
                <w:szCs w:val="24"/>
              </w:rPr>
              <w:t>偏离率</w:t>
            </w:r>
          </w:p>
        </w:tc>
        <w:tc>
          <w:tcPr>
            <w:tcW w:w="1984" w:type="dxa"/>
            <w:vAlign w:val="center"/>
          </w:tcPr>
          <w:p w14:paraId="0DEE0224">
            <w:pPr>
              <w:tabs>
                <w:tab w:val="left" w:pos="720"/>
              </w:tabs>
              <w:spacing w:line="360" w:lineRule="auto"/>
              <w:jc w:val="center"/>
              <w:rPr>
                <w:rFonts w:ascii="Tahoma" w:hAnsi="Tahoma" w:cs="Tahoma"/>
                <w:strike/>
                <w:kern w:val="0"/>
                <w:sz w:val="24"/>
                <w:szCs w:val="24"/>
              </w:rPr>
            </w:pPr>
            <w:r>
              <w:rPr>
                <w:rFonts w:ascii="Tahoma" w:hAnsi="Tahoma" w:cs="Tahoma"/>
                <w:strike/>
                <w:kern w:val="0"/>
                <w:sz w:val="24"/>
                <w:szCs w:val="24"/>
              </w:rPr>
              <w:t>得分</w:t>
            </w:r>
          </w:p>
        </w:tc>
      </w:tr>
      <w:tr w14:paraId="6FF15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vAlign w:val="center"/>
          </w:tcPr>
          <w:p w14:paraId="44F1EB04">
            <w:pPr>
              <w:tabs>
                <w:tab w:val="left" w:pos="720"/>
              </w:tabs>
              <w:spacing w:line="360" w:lineRule="auto"/>
              <w:jc w:val="center"/>
              <w:rPr>
                <w:rFonts w:ascii="Tahoma" w:hAnsi="Tahoma" w:cs="Tahoma"/>
                <w:strike/>
                <w:kern w:val="0"/>
                <w:sz w:val="24"/>
                <w:szCs w:val="24"/>
              </w:rPr>
            </w:pPr>
          </w:p>
        </w:tc>
        <w:tc>
          <w:tcPr>
            <w:tcW w:w="2524" w:type="dxa"/>
            <w:vAlign w:val="center"/>
          </w:tcPr>
          <w:p w14:paraId="0FD1E314">
            <w:pPr>
              <w:tabs>
                <w:tab w:val="left" w:pos="720"/>
              </w:tabs>
              <w:spacing w:line="360" w:lineRule="auto"/>
              <w:jc w:val="center"/>
              <w:rPr>
                <w:rFonts w:ascii="Tahoma" w:hAnsi="Tahoma" w:cs="Tahoma"/>
                <w:strike/>
                <w:kern w:val="0"/>
                <w:sz w:val="24"/>
                <w:szCs w:val="24"/>
              </w:rPr>
            </w:pPr>
          </w:p>
        </w:tc>
        <w:tc>
          <w:tcPr>
            <w:tcW w:w="2817" w:type="dxa"/>
            <w:vAlign w:val="center"/>
          </w:tcPr>
          <w:p w14:paraId="02013BF4">
            <w:pPr>
              <w:tabs>
                <w:tab w:val="left" w:pos="720"/>
              </w:tabs>
              <w:spacing w:line="360" w:lineRule="auto"/>
              <w:jc w:val="center"/>
              <w:rPr>
                <w:rFonts w:ascii="Tahoma" w:hAnsi="Tahoma" w:cs="Tahoma"/>
                <w:strike/>
                <w:kern w:val="0"/>
                <w:sz w:val="24"/>
                <w:szCs w:val="24"/>
              </w:rPr>
            </w:pPr>
          </w:p>
        </w:tc>
        <w:tc>
          <w:tcPr>
            <w:tcW w:w="2268" w:type="dxa"/>
            <w:vAlign w:val="center"/>
          </w:tcPr>
          <w:p w14:paraId="0465B046">
            <w:pPr>
              <w:tabs>
                <w:tab w:val="left" w:pos="720"/>
              </w:tabs>
              <w:spacing w:line="360" w:lineRule="auto"/>
              <w:jc w:val="center"/>
              <w:rPr>
                <w:rFonts w:ascii="Tahoma" w:hAnsi="Tahoma" w:cs="Tahoma"/>
                <w:strike/>
                <w:kern w:val="0"/>
                <w:sz w:val="24"/>
                <w:szCs w:val="24"/>
              </w:rPr>
            </w:pPr>
          </w:p>
        </w:tc>
        <w:tc>
          <w:tcPr>
            <w:tcW w:w="2552" w:type="dxa"/>
            <w:vAlign w:val="center"/>
          </w:tcPr>
          <w:p w14:paraId="4C281C7D">
            <w:pPr>
              <w:tabs>
                <w:tab w:val="left" w:pos="720"/>
              </w:tabs>
              <w:spacing w:line="360" w:lineRule="auto"/>
              <w:jc w:val="center"/>
              <w:rPr>
                <w:rFonts w:ascii="Tahoma" w:hAnsi="Tahoma" w:cs="Tahoma"/>
                <w:strike/>
                <w:kern w:val="0"/>
                <w:sz w:val="24"/>
                <w:szCs w:val="24"/>
              </w:rPr>
            </w:pPr>
          </w:p>
        </w:tc>
        <w:tc>
          <w:tcPr>
            <w:tcW w:w="1984" w:type="dxa"/>
            <w:vAlign w:val="center"/>
          </w:tcPr>
          <w:p w14:paraId="39D9B494">
            <w:pPr>
              <w:tabs>
                <w:tab w:val="left" w:pos="720"/>
              </w:tabs>
              <w:spacing w:line="360" w:lineRule="auto"/>
              <w:jc w:val="center"/>
              <w:rPr>
                <w:rFonts w:ascii="Tahoma" w:hAnsi="Tahoma" w:cs="Tahoma"/>
                <w:strike/>
                <w:kern w:val="0"/>
                <w:sz w:val="24"/>
                <w:szCs w:val="24"/>
              </w:rPr>
            </w:pPr>
          </w:p>
        </w:tc>
      </w:tr>
      <w:tr w14:paraId="55C61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vAlign w:val="center"/>
          </w:tcPr>
          <w:p w14:paraId="19F3BF6B">
            <w:pPr>
              <w:tabs>
                <w:tab w:val="left" w:pos="720"/>
              </w:tabs>
              <w:spacing w:line="360" w:lineRule="auto"/>
              <w:jc w:val="center"/>
              <w:rPr>
                <w:rFonts w:ascii="Tahoma" w:hAnsi="Tahoma" w:cs="Tahoma"/>
                <w:strike/>
                <w:kern w:val="0"/>
                <w:sz w:val="24"/>
                <w:szCs w:val="24"/>
              </w:rPr>
            </w:pPr>
          </w:p>
        </w:tc>
        <w:tc>
          <w:tcPr>
            <w:tcW w:w="2524" w:type="dxa"/>
            <w:vAlign w:val="center"/>
          </w:tcPr>
          <w:p w14:paraId="37031DD9">
            <w:pPr>
              <w:tabs>
                <w:tab w:val="left" w:pos="720"/>
              </w:tabs>
              <w:spacing w:line="360" w:lineRule="auto"/>
              <w:jc w:val="center"/>
              <w:rPr>
                <w:rFonts w:ascii="Tahoma" w:hAnsi="Tahoma" w:cs="Tahoma"/>
                <w:strike/>
                <w:kern w:val="0"/>
                <w:sz w:val="24"/>
                <w:szCs w:val="24"/>
              </w:rPr>
            </w:pPr>
          </w:p>
        </w:tc>
        <w:tc>
          <w:tcPr>
            <w:tcW w:w="2817" w:type="dxa"/>
            <w:vAlign w:val="center"/>
          </w:tcPr>
          <w:p w14:paraId="0D9CED98">
            <w:pPr>
              <w:tabs>
                <w:tab w:val="left" w:pos="720"/>
              </w:tabs>
              <w:spacing w:line="360" w:lineRule="auto"/>
              <w:jc w:val="center"/>
              <w:rPr>
                <w:rFonts w:ascii="Tahoma" w:hAnsi="Tahoma" w:cs="Tahoma"/>
                <w:strike/>
                <w:kern w:val="0"/>
                <w:sz w:val="24"/>
                <w:szCs w:val="24"/>
              </w:rPr>
            </w:pPr>
          </w:p>
        </w:tc>
        <w:tc>
          <w:tcPr>
            <w:tcW w:w="2268" w:type="dxa"/>
            <w:vAlign w:val="center"/>
          </w:tcPr>
          <w:p w14:paraId="585398F0">
            <w:pPr>
              <w:tabs>
                <w:tab w:val="left" w:pos="720"/>
              </w:tabs>
              <w:spacing w:line="360" w:lineRule="auto"/>
              <w:jc w:val="center"/>
              <w:rPr>
                <w:rFonts w:ascii="Tahoma" w:hAnsi="Tahoma" w:cs="Tahoma"/>
                <w:strike/>
                <w:kern w:val="0"/>
                <w:sz w:val="24"/>
                <w:szCs w:val="24"/>
              </w:rPr>
            </w:pPr>
          </w:p>
        </w:tc>
        <w:tc>
          <w:tcPr>
            <w:tcW w:w="2552" w:type="dxa"/>
            <w:vAlign w:val="center"/>
          </w:tcPr>
          <w:p w14:paraId="1A1F1C49">
            <w:pPr>
              <w:tabs>
                <w:tab w:val="left" w:pos="720"/>
              </w:tabs>
              <w:spacing w:line="360" w:lineRule="auto"/>
              <w:jc w:val="center"/>
              <w:rPr>
                <w:rFonts w:ascii="Tahoma" w:hAnsi="Tahoma" w:cs="Tahoma"/>
                <w:strike/>
                <w:kern w:val="0"/>
                <w:sz w:val="24"/>
                <w:szCs w:val="24"/>
              </w:rPr>
            </w:pPr>
          </w:p>
        </w:tc>
        <w:tc>
          <w:tcPr>
            <w:tcW w:w="1984" w:type="dxa"/>
            <w:vAlign w:val="center"/>
          </w:tcPr>
          <w:p w14:paraId="368CE1FB">
            <w:pPr>
              <w:tabs>
                <w:tab w:val="left" w:pos="720"/>
              </w:tabs>
              <w:spacing w:line="360" w:lineRule="auto"/>
              <w:jc w:val="center"/>
              <w:rPr>
                <w:rFonts w:ascii="Tahoma" w:hAnsi="Tahoma" w:cs="Tahoma"/>
                <w:strike/>
                <w:kern w:val="0"/>
                <w:sz w:val="24"/>
                <w:szCs w:val="24"/>
              </w:rPr>
            </w:pPr>
          </w:p>
        </w:tc>
      </w:tr>
      <w:tr w14:paraId="7063F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vAlign w:val="center"/>
          </w:tcPr>
          <w:p w14:paraId="2C3764D9">
            <w:pPr>
              <w:tabs>
                <w:tab w:val="left" w:pos="720"/>
              </w:tabs>
              <w:spacing w:line="360" w:lineRule="auto"/>
              <w:jc w:val="center"/>
              <w:rPr>
                <w:rFonts w:ascii="Tahoma" w:hAnsi="Tahoma" w:cs="Tahoma"/>
                <w:strike/>
                <w:kern w:val="0"/>
                <w:sz w:val="24"/>
                <w:szCs w:val="24"/>
              </w:rPr>
            </w:pPr>
          </w:p>
        </w:tc>
        <w:tc>
          <w:tcPr>
            <w:tcW w:w="2524" w:type="dxa"/>
            <w:vAlign w:val="center"/>
          </w:tcPr>
          <w:p w14:paraId="6424B43E">
            <w:pPr>
              <w:tabs>
                <w:tab w:val="left" w:pos="720"/>
              </w:tabs>
              <w:spacing w:line="360" w:lineRule="auto"/>
              <w:jc w:val="center"/>
              <w:rPr>
                <w:rFonts w:ascii="Tahoma" w:hAnsi="Tahoma" w:cs="Tahoma"/>
                <w:strike/>
                <w:kern w:val="0"/>
                <w:sz w:val="24"/>
                <w:szCs w:val="24"/>
              </w:rPr>
            </w:pPr>
          </w:p>
        </w:tc>
        <w:tc>
          <w:tcPr>
            <w:tcW w:w="2817" w:type="dxa"/>
            <w:vAlign w:val="center"/>
          </w:tcPr>
          <w:p w14:paraId="6F239F70">
            <w:pPr>
              <w:tabs>
                <w:tab w:val="left" w:pos="720"/>
              </w:tabs>
              <w:spacing w:line="360" w:lineRule="auto"/>
              <w:jc w:val="center"/>
              <w:rPr>
                <w:rFonts w:ascii="Tahoma" w:hAnsi="Tahoma" w:cs="Tahoma"/>
                <w:strike/>
                <w:kern w:val="0"/>
                <w:sz w:val="24"/>
                <w:szCs w:val="24"/>
              </w:rPr>
            </w:pPr>
          </w:p>
        </w:tc>
        <w:tc>
          <w:tcPr>
            <w:tcW w:w="2268" w:type="dxa"/>
            <w:vAlign w:val="center"/>
          </w:tcPr>
          <w:p w14:paraId="44A881A0">
            <w:pPr>
              <w:tabs>
                <w:tab w:val="left" w:pos="720"/>
              </w:tabs>
              <w:spacing w:line="360" w:lineRule="auto"/>
              <w:jc w:val="center"/>
              <w:rPr>
                <w:rFonts w:ascii="Tahoma" w:hAnsi="Tahoma" w:cs="Tahoma"/>
                <w:strike/>
                <w:kern w:val="0"/>
                <w:sz w:val="24"/>
                <w:szCs w:val="24"/>
              </w:rPr>
            </w:pPr>
          </w:p>
        </w:tc>
        <w:tc>
          <w:tcPr>
            <w:tcW w:w="2552" w:type="dxa"/>
            <w:vAlign w:val="center"/>
          </w:tcPr>
          <w:p w14:paraId="0F81AD5F">
            <w:pPr>
              <w:tabs>
                <w:tab w:val="left" w:pos="720"/>
              </w:tabs>
              <w:spacing w:line="360" w:lineRule="auto"/>
              <w:jc w:val="center"/>
              <w:rPr>
                <w:rFonts w:ascii="Tahoma" w:hAnsi="Tahoma" w:cs="Tahoma"/>
                <w:strike/>
                <w:kern w:val="0"/>
                <w:sz w:val="24"/>
                <w:szCs w:val="24"/>
              </w:rPr>
            </w:pPr>
          </w:p>
        </w:tc>
        <w:tc>
          <w:tcPr>
            <w:tcW w:w="1984" w:type="dxa"/>
            <w:vAlign w:val="center"/>
          </w:tcPr>
          <w:p w14:paraId="7CE4CB9B">
            <w:pPr>
              <w:tabs>
                <w:tab w:val="left" w:pos="720"/>
              </w:tabs>
              <w:spacing w:line="360" w:lineRule="auto"/>
              <w:jc w:val="center"/>
              <w:rPr>
                <w:rFonts w:ascii="Tahoma" w:hAnsi="Tahoma" w:cs="Tahoma"/>
                <w:strike/>
                <w:kern w:val="0"/>
                <w:sz w:val="24"/>
                <w:szCs w:val="24"/>
              </w:rPr>
            </w:pPr>
          </w:p>
        </w:tc>
      </w:tr>
      <w:tr w14:paraId="1EA61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vAlign w:val="center"/>
          </w:tcPr>
          <w:p w14:paraId="473C9EC4">
            <w:pPr>
              <w:tabs>
                <w:tab w:val="left" w:pos="720"/>
              </w:tabs>
              <w:spacing w:line="360" w:lineRule="auto"/>
              <w:jc w:val="center"/>
              <w:rPr>
                <w:rFonts w:ascii="Tahoma" w:hAnsi="Tahoma" w:cs="Tahoma"/>
                <w:strike/>
                <w:kern w:val="0"/>
                <w:sz w:val="24"/>
                <w:szCs w:val="24"/>
              </w:rPr>
            </w:pPr>
          </w:p>
        </w:tc>
        <w:tc>
          <w:tcPr>
            <w:tcW w:w="2524" w:type="dxa"/>
            <w:vAlign w:val="center"/>
          </w:tcPr>
          <w:p w14:paraId="7BA3A795">
            <w:pPr>
              <w:tabs>
                <w:tab w:val="left" w:pos="720"/>
              </w:tabs>
              <w:spacing w:line="360" w:lineRule="auto"/>
              <w:jc w:val="center"/>
              <w:rPr>
                <w:rFonts w:ascii="Tahoma" w:hAnsi="Tahoma" w:cs="Tahoma"/>
                <w:strike/>
                <w:kern w:val="0"/>
                <w:sz w:val="24"/>
                <w:szCs w:val="24"/>
              </w:rPr>
            </w:pPr>
          </w:p>
        </w:tc>
        <w:tc>
          <w:tcPr>
            <w:tcW w:w="2817" w:type="dxa"/>
            <w:vAlign w:val="center"/>
          </w:tcPr>
          <w:p w14:paraId="5060EBED">
            <w:pPr>
              <w:tabs>
                <w:tab w:val="left" w:pos="720"/>
              </w:tabs>
              <w:spacing w:line="360" w:lineRule="auto"/>
              <w:jc w:val="center"/>
              <w:rPr>
                <w:rFonts w:ascii="Tahoma" w:hAnsi="Tahoma" w:cs="Tahoma"/>
                <w:strike/>
                <w:kern w:val="0"/>
                <w:sz w:val="24"/>
                <w:szCs w:val="24"/>
              </w:rPr>
            </w:pPr>
          </w:p>
        </w:tc>
        <w:tc>
          <w:tcPr>
            <w:tcW w:w="2268" w:type="dxa"/>
            <w:vAlign w:val="center"/>
          </w:tcPr>
          <w:p w14:paraId="3147B30C">
            <w:pPr>
              <w:tabs>
                <w:tab w:val="left" w:pos="720"/>
              </w:tabs>
              <w:spacing w:line="360" w:lineRule="auto"/>
              <w:jc w:val="center"/>
              <w:rPr>
                <w:rFonts w:ascii="Tahoma" w:hAnsi="Tahoma" w:cs="Tahoma"/>
                <w:strike/>
                <w:kern w:val="0"/>
                <w:sz w:val="24"/>
                <w:szCs w:val="24"/>
              </w:rPr>
            </w:pPr>
          </w:p>
        </w:tc>
        <w:tc>
          <w:tcPr>
            <w:tcW w:w="2552" w:type="dxa"/>
            <w:vAlign w:val="center"/>
          </w:tcPr>
          <w:p w14:paraId="26ACA5EF">
            <w:pPr>
              <w:tabs>
                <w:tab w:val="left" w:pos="720"/>
              </w:tabs>
              <w:spacing w:line="360" w:lineRule="auto"/>
              <w:jc w:val="center"/>
              <w:rPr>
                <w:rFonts w:ascii="Tahoma" w:hAnsi="Tahoma" w:cs="Tahoma"/>
                <w:strike/>
                <w:kern w:val="0"/>
                <w:sz w:val="24"/>
                <w:szCs w:val="24"/>
              </w:rPr>
            </w:pPr>
          </w:p>
        </w:tc>
        <w:tc>
          <w:tcPr>
            <w:tcW w:w="1984" w:type="dxa"/>
            <w:vAlign w:val="center"/>
          </w:tcPr>
          <w:p w14:paraId="48667BBE">
            <w:pPr>
              <w:tabs>
                <w:tab w:val="left" w:pos="720"/>
              </w:tabs>
              <w:spacing w:line="360" w:lineRule="auto"/>
              <w:jc w:val="center"/>
              <w:rPr>
                <w:rFonts w:ascii="Tahoma" w:hAnsi="Tahoma" w:cs="Tahoma"/>
                <w:strike/>
                <w:kern w:val="0"/>
                <w:sz w:val="24"/>
                <w:szCs w:val="24"/>
              </w:rPr>
            </w:pPr>
          </w:p>
        </w:tc>
      </w:tr>
      <w:tr w14:paraId="336DB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vAlign w:val="center"/>
          </w:tcPr>
          <w:p w14:paraId="63FB11ED">
            <w:pPr>
              <w:tabs>
                <w:tab w:val="left" w:pos="720"/>
              </w:tabs>
              <w:spacing w:line="360" w:lineRule="auto"/>
              <w:jc w:val="center"/>
              <w:rPr>
                <w:rFonts w:ascii="Tahoma" w:hAnsi="Tahoma" w:cs="Tahoma"/>
                <w:strike/>
                <w:kern w:val="0"/>
                <w:sz w:val="24"/>
                <w:szCs w:val="24"/>
              </w:rPr>
            </w:pPr>
          </w:p>
        </w:tc>
        <w:tc>
          <w:tcPr>
            <w:tcW w:w="2524" w:type="dxa"/>
            <w:vAlign w:val="center"/>
          </w:tcPr>
          <w:p w14:paraId="31EB9F8B">
            <w:pPr>
              <w:tabs>
                <w:tab w:val="left" w:pos="720"/>
              </w:tabs>
              <w:spacing w:line="360" w:lineRule="auto"/>
              <w:jc w:val="center"/>
              <w:rPr>
                <w:rFonts w:ascii="Tahoma" w:hAnsi="Tahoma" w:cs="Tahoma"/>
                <w:strike/>
                <w:kern w:val="0"/>
                <w:sz w:val="24"/>
                <w:szCs w:val="24"/>
              </w:rPr>
            </w:pPr>
          </w:p>
        </w:tc>
        <w:tc>
          <w:tcPr>
            <w:tcW w:w="2817" w:type="dxa"/>
            <w:vAlign w:val="center"/>
          </w:tcPr>
          <w:p w14:paraId="3754674C">
            <w:pPr>
              <w:tabs>
                <w:tab w:val="left" w:pos="720"/>
              </w:tabs>
              <w:spacing w:line="360" w:lineRule="auto"/>
              <w:jc w:val="center"/>
              <w:rPr>
                <w:rFonts w:ascii="Tahoma" w:hAnsi="Tahoma" w:cs="Tahoma"/>
                <w:strike/>
                <w:kern w:val="0"/>
                <w:sz w:val="24"/>
                <w:szCs w:val="24"/>
              </w:rPr>
            </w:pPr>
          </w:p>
        </w:tc>
        <w:tc>
          <w:tcPr>
            <w:tcW w:w="2268" w:type="dxa"/>
            <w:vAlign w:val="center"/>
          </w:tcPr>
          <w:p w14:paraId="3C0B933F">
            <w:pPr>
              <w:tabs>
                <w:tab w:val="left" w:pos="720"/>
              </w:tabs>
              <w:spacing w:line="360" w:lineRule="auto"/>
              <w:jc w:val="center"/>
              <w:rPr>
                <w:rFonts w:ascii="Tahoma" w:hAnsi="Tahoma" w:cs="Tahoma"/>
                <w:strike/>
                <w:kern w:val="0"/>
                <w:sz w:val="24"/>
                <w:szCs w:val="24"/>
              </w:rPr>
            </w:pPr>
          </w:p>
        </w:tc>
        <w:tc>
          <w:tcPr>
            <w:tcW w:w="2552" w:type="dxa"/>
            <w:vAlign w:val="center"/>
          </w:tcPr>
          <w:p w14:paraId="231C9A0D">
            <w:pPr>
              <w:tabs>
                <w:tab w:val="left" w:pos="720"/>
              </w:tabs>
              <w:spacing w:line="360" w:lineRule="auto"/>
              <w:jc w:val="center"/>
              <w:rPr>
                <w:rFonts w:ascii="Tahoma" w:hAnsi="Tahoma" w:cs="Tahoma"/>
                <w:strike/>
                <w:kern w:val="0"/>
                <w:sz w:val="24"/>
                <w:szCs w:val="24"/>
              </w:rPr>
            </w:pPr>
          </w:p>
        </w:tc>
        <w:tc>
          <w:tcPr>
            <w:tcW w:w="1984" w:type="dxa"/>
            <w:vAlign w:val="center"/>
          </w:tcPr>
          <w:p w14:paraId="1B4EA71D">
            <w:pPr>
              <w:tabs>
                <w:tab w:val="left" w:pos="720"/>
              </w:tabs>
              <w:spacing w:line="360" w:lineRule="auto"/>
              <w:jc w:val="center"/>
              <w:rPr>
                <w:rFonts w:ascii="Tahoma" w:hAnsi="Tahoma" w:cs="Tahoma"/>
                <w:strike/>
                <w:kern w:val="0"/>
                <w:sz w:val="24"/>
                <w:szCs w:val="24"/>
              </w:rPr>
            </w:pPr>
          </w:p>
        </w:tc>
      </w:tr>
      <w:tr w14:paraId="71D52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vAlign w:val="center"/>
          </w:tcPr>
          <w:p w14:paraId="12B10429">
            <w:pPr>
              <w:tabs>
                <w:tab w:val="left" w:pos="720"/>
              </w:tabs>
              <w:spacing w:line="360" w:lineRule="auto"/>
              <w:jc w:val="center"/>
              <w:rPr>
                <w:rFonts w:ascii="Tahoma" w:hAnsi="Tahoma" w:cs="Tahoma"/>
                <w:strike/>
                <w:kern w:val="0"/>
                <w:sz w:val="24"/>
                <w:szCs w:val="24"/>
              </w:rPr>
            </w:pPr>
          </w:p>
        </w:tc>
        <w:tc>
          <w:tcPr>
            <w:tcW w:w="2524" w:type="dxa"/>
            <w:vAlign w:val="center"/>
          </w:tcPr>
          <w:p w14:paraId="2BF964F3">
            <w:pPr>
              <w:tabs>
                <w:tab w:val="left" w:pos="720"/>
              </w:tabs>
              <w:spacing w:line="360" w:lineRule="auto"/>
              <w:jc w:val="center"/>
              <w:rPr>
                <w:rFonts w:ascii="Tahoma" w:hAnsi="Tahoma" w:cs="Tahoma"/>
                <w:strike/>
                <w:kern w:val="0"/>
                <w:sz w:val="24"/>
                <w:szCs w:val="24"/>
              </w:rPr>
            </w:pPr>
          </w:p>
        </w:tc>
        <w:tc>
          <w:tcPr>
            <w:tcW w:w="2817" w:type="dxa"/>
            <w:vAlign w:val="center"/>
          </w:tcPr>
          <w:p w14:paraId="19A27FC4">
            <w:pPr>
              <w:tabs>
                <w:tab w:val="left" w:pos="720"/>
              </w:tabs>
              <w:spacing w:line="360" w:lineRule="auto"/>
              <w:jc w:val="center"/>
              <w:rPr>
                <w:rFonts w:ascii="Tahoma" w:hAnsi="Tahoma" w:cs="Tahoma"/>
                <w:strike/>
                <w:kern w:val="0"/>
                <w:sz w:val="24"/>
                <w:szCs w:val="24"/>
              </w:rPr>
            </w:pPr>
          </w:p>
        </w:tc>
        <w:tc>
          <w:tcPr>
            <w:tcW w:w="2268" w:type="dxa"/>
            <w:vAlign w:val="center"/>
          </w:tcPr>
          <w:p w14:paraId="0A0C529B">
            <w:pPr>
              <w:tabs>
                <w:tab w:val="left" w:pos="720"/>
              </w:tabs>
              <w:spacing w:line="360" w:lineRule="auto"/>
              <w:jc w:val="center"/>
              <w:rPr>
                <w:rFonts w:ascii="Tahoma" w:hAnsi="Tahoma" w:cs="Tahoma"/>
                <w:strike/>
                <w:kern w:val="0"/>
                <w:sz w:val="24"/>
                <w:szCs w:val="24"/>
              </w:rPr>
            </w:pPr>
          </w:p>
        </w:tc>
        <w:tc>
          <w:tcPr>
            <w:tcW w:w="2552" w:type="dxa"/>
            <w:vAlign w:val="center"/>
          </w:tcPr>
          <w:p w14:paraId="15C9B3F7">
            <w:pPr>
              <w:tabs>
                <w:tab w:val="left" w:pos="720"/>
              </w:tabs>
              <w:spacing w:line="360" w:lineRule="auto"/>
              <w:jc w:val="center"/>
              <w:rPr>
                <w:rFonts w:ascii="Tahoma" w:hAnsi="Tahoma" w:cs="Tahoma"/>
                <w:strike/>
                <w:kern w:val="0"/>
                <w:sz w:val="24"/>
                <w:szCs w:val="24"/>
              </w:rPr>
            </w:pPr>
          </w:p>
        </w:tc>
        <w:tc>
          <w:tcPr>
            <w:tcW w:w="1984" w:type="dxa"/>
            <w:vAlign w:val="center"/>
          </w:tcPr>
          <w:p w14:paraId="7609D249">
            <w:pPr>
              <w:tabs>
                <w:tab w:val="left" w:pos="720"/>
              </w:tabs>
              <w:spacing w:line="360" w:lineRule="auto"/>
              <w:jc w:val="center"/>
              <w:rPr>
                <w:rFonts w:ascii="Tahoma" w:hAnsi="Tahoma" w:cs="Tahoma"/>
                <w:strike/>
                <w:kern w:val="0"/>
                <w:sz w:val="24"/>
                <w:szCs w:val="24"/>
              </w:rPr>
            </w:pPr>
          </w:p>
        </w:tc>
      </w:tr>
      <w:tr w14:paraId="347E1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vAlign w:val="center"/>
          </w:tcPr>
          <w:p w14:paraId="1929E056">
            <w:pPr>
              <w:tabs>
                <w:tab w:val="left" w:pos="720"/>
              </w:tabs>
              <w:spacing w:line="360" w:lineRule="auto"/>
              <w:jc w:val="center"/>
              <w:rPr>
                <w:rFonts w:ascii="Tahoma" w:hAnsi="Tahoma" w:cs="Tahoma"/>
                <w:strike/>
                <w:kern w:val="0"/>
                <w:sz w:val="24"/>
                <w:szCs w:val="24"/>
              </w:rPr>
            </w:pPr>
          </w:p>
        </w:tc>
        <w:tc>
          <w:tcPr>
            <w:tcW w:w="2524" w:type="dxa"/>
            <w:vAlign w:val="center"/>
          </w:tcPr>
          <w:p w14:paraId="769010CA">
            <w:pPr>
              <w:tabs>
                <w:tab w:val="left" w:pos="720"/>
              </w:tabs>
              <w:spacing w:line="360" w:lineRule="auto"/>
              <w:jc w:val="center"/>
              <w:rPr>
                <w:rFonts w:ascii="Tahoma" w:hAnsi="Tahoma" w:cs="Tahoma"/>
                <w:strike/>
                <w:kern w:val="0"/>
                <w:sz w:val="24"/>
                <w:szCs w:val="24"/>
              </w:rPr>
            </w:pPr>
          </w:p>
        </w:tc>
        <w:tc>
          <w:tcPr>
            <w:tcW w:w="2817" w:type="dxa"/>
            <w:vAlign w:val="center"/>
          </w:tcPr>
          <w:p w14:paraId="0FE11583">
            <w:pPr>
              <w:tabs>
                <w:tab w:val="left" w:pos="720"/>
              </w:tabs>
              <w:spacing w:line="360" w:lineRule="auto"/>
              <w:jc w:val="center"/>
              <w:rPr>
                <w:rFonts w:ascii="Tahoma" w:hAnsi="Tahoma" w:cs="Tahoma"/>
                <w:strike/>
                <w:kern w:val="0"/>
                <w:sz w:val="24"/>
                <w:szCs w:val="24"/>
              </w:rPr>
            </w:pPr>
          </w:p>
        </w:tc>
        <w:tc>
          <w:tcPr>
            <w:tcW w:w="2268" w:type="dxa"/>
            <w:vAlign w:val="center"/>
          </w:tcPr>
          <w:p w14:paraId="49030D71">
            <w:pPr>
              <w:tabs>
                <w:tab w:val="left" w:pos="720"/>
              </w:tabs>
              <w:spacing w:line="360" w:lineRule="auto"/>
              <w:jc w:val="center"/>
              <w:rPr>
                <w:rFonts w:ascii="Tahoma" w:hAnsi="Tahoma" w:cs="Tahoma"/>
                <w:strike/>
                <w:kern w:val="0"/>
                <w:sz w:val="24"/>
                <w:szCs w:val="24"/>
              </w:rPr>
            </w:pPr>
          </w:p>
        </w:tc>
        <w:tc>
          <w:tcPr>
            <w:tcW w:w="2552" w:type="dxa"/>
            <w:vAlign w:val="center"/>
          </w:tcPr>
          <w:p w14:paraId="15279380">
            <w:pPr>
              <w:tabs>
                <w:tab w:val="left" w:pos="720"/>
              </w:tabs>
              <w:spacing w:line="360" w:lineRule="auto"/>
              <w:jc w:val="center"/>
              <w:rPr>
                <w:rFonts w:ascii="Tahoma" w:hAnsi="Tahoma" w:cs="Tahoma"/>
                <w:strike/>
                <w:kern w:val="0"/>
                <w:sz w:val="24"/>
                <w:szCs w:val="24"/>
              </w:rPr>
            </w:pPr>
          </w:p>
        </w:tc>
        <w:tc>
          <w:tcPr>
            <w:tcW w:w="1984" w:type="dxa"/>
            <w:vAlign w:val="center"/>
          </w:tcPr>
          <w:p w14:paraId="2A525B1C">
            <w:pPr>
              <w:tabs>
                <w:tab w:val="left" w:pos="720"/>
              </w:tabs>
              <w:spacing w:line="360" w:lineRule="auto"/>
              <w:jc w:val="center"/>
              <w:rPr>
                <w:rFonts w:ascii="Tahoma" w:hAnsi="Tahoma" w:cs="Tahoma"/>
                <w:strike/>
                <w:kern w:val="0"/>
                <w:sz w:val="24"/>
                <w:szCs w:val="24"/>
              </w:rPr>
            </w:pPr>
          </w:p>
        </w:tc>
      </w:tr>
      <w:tr w14:paraId="29652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vAlign w:val="center"/>
          </w:tcPr>
          <w:p w14:paraId="636684B4">
            <w:pPr>
              <w:tabs>
                <w:tab w:val="left" w:pos="720"/>
              </w:tabs>
              <w:spacing w:line="360" w:lineRule="auto"/>
              <w:jc w:val="center"/>
              <w:rPr>
                <w:rFonts w:ascii="Tahoma" w:hAnsi="Tahoma" w:cs="Tahoma"/>
                <w:strike/>
                <w:kern w:val="0"/>
                <w:sz w:val="24"/>
                <w:szCs w:val="24"/>
              </w:rPr>
            </w:pPr>
          </w:p>
        </w:tc>
        <w:tc>
          <w:tcPr>
            <w:tcW w:w="2524" w:type="dxa"/>
            <w:vAlign w:val="center"/>
          </w:tcPr>
          <w:p w14:paraId="6EFDC98D">
            <w:pPr>
              <w:tabs>
                <w:tab w:val="left" w:pos="720"/>
              </w:tabs>
              <w:spacing w:line="360" w:lineRule="auto"/>
              <w:jc w:val="center"/>
              <w:rPr>
                <w:rFonts w:ascii="Tahoma" w:hAnsi="Tahoma" w:cs="Tahoma"/>
                <w:strike/>
                <w:kern w:val="0"/>
                <w:sz w:val="24"/>
                <w:szCs w:val="24"/>
              </w:rPr>
            </w:pPr>
          </w:p>
        </w:tc>
        <w:tc>
          <w:tcPr>
            <w:tcW w:w="2817" w:type="dxa"/>
            <w:vAlign w:val="center"/>
          </w:tcPr>
          <w:p w14:paraId="192A1019">
            <w:pPr>
              <w:tabs>
                <w:tab w:val="left" w:pos="720"/>
              </w:tabs>
              <w:spacing w:line="360" w:lineRule="auto"/>
              <w:jc w:val="center"/>
              <w:rPr>
                <w:rFonts w:ascii="Tahoma" w:hAnsi="Tahoma" w:cs="Tahoma"/>
                <w:strike/>
                <w:kern w:val="0"/>
                <w:sz w:val="24"/>
                <w:szCs w:val="24"/>
              </w:rPr>
            </w:pPr>
          </w:p>
        </w:tc>
        <w:tc>
          <w:tcPr>
            <w:tcW w:w="2268" w:type="dxa"/>
            <w:vAlign w:val="center"/>
          </w:tcPr>
          <w:p w14:paraId="7DB85BE1">
            <w:pPr>
              <w:tabs>
                <w:tab w:val="left" w:pos="720"/>
              </w:tabs>
              <w:spacing w:line="360" w:lineRule="auto"/>
              <w:jc w:val="center"/>
              <w:rPr>
                <w:rFonts w:ascii="Tahoma" w:hAnsi="Tahoma" w:cs="Tahoma"/>
                <w:strike/>
                <w:kern w:val="0"/>
                <w:sz w:val="24"/>
                <w:szCs w:val="24"/>
              </w:rPr>
            </w:pPr>
          </w:p>
        </w:tc>
        <w:tc>
          <w:tcPr>
            <w:tcW w:w="2552" w:type="dxa"/>
            <w:vAlign w:val="center"/>
          </w:tcPr>
          <w:p w14:paraId="24A9CDE9">
            <w:pPr>
              <w:tabs>
                <w:tab w:val="left" w:pos="720"/>
              </w:tabs>
              <w:spacing w:line="360" w:lineRule="auto"/>
              <w:jc w:val="center"/>
              <w:rPr>
                <w:rFonts w:ascii="Tahoma" w:hAnsi="Tahoma" w:cs="Tahoma"/>
                <w:strike/>
                <w:kern w:val="0"/>
                <w:sz w:val="24"/>
                <w:szCs w:val="24"/>
              </w:rPr>
            </w:pPr>
          </w:p>
        </w:tc>
        <w:tc>
          <w:tcPr>
            <w:tcW w:w="1984" w:type="dxa"/>
            <w:vAlign w:val="center"/>
          </w:tcPr>
          <w:p w14:paraId="214D3133">
            <w:pPr>
              <w:tabs>
                <w:tab w:val="left" w:pos="720"/>
              </w:tabs>
              <w:spacing w:line="360" w:lineRule="auto"/>
              <w:jc w:val="center"/>
              <w:rPr>
                <w:rFonts w:ascii="Tahoma" w:hAnsi="Tahoma" w:cs="Tahoma"/>
                <w:strike/>
                <w:kern w:val="0"/>
                <w:sz w:val="24"/>
                <w:szCs w:val="24"/>
              </w:rPr>
            </w:pPr>
          </w:p>
        </w:tc>
      </w:tr>
      <w:tr w14:paraId="5417D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vAlign w:val="center"/>
          </w:tcPr>
          <w:p w14:paraId="2846892B">
            <w:pPr>
              <w:tabs>
                <w:tab w:val="left" w:pos="720"/>
              </w:tabs>
              <w:spacing w:line="360" w:lineRule="auto"/>
              <w:jc w:val="center"/>
              <w:rPr>
                <w:rFonts w:ascii="Tahoma" w:hAnsi="Tahoma" w:cs="Tahoma"/>
                <w:strike/>
                <w:kern w:val="0"/>
                <w:sz w:val="24"/>
                <w:szCs w:val="24"/>
              </w:rPr>
            </w:pPr>
          </w:p>
        </w:tc>
        <w:tc>
          <w:tcPr>
            <w:tcW w:w="2524" w:type="dxa"/>
            <w:vAlign w:val="center"/>
          </w:tcPr>
          <w:p w14:paraId="3508EDC5">
            <w:pPr>
              <w:tabs>
                <w:tab w:val="left" w:pos="720"/>
              </w:tabs>
              <w:spacing w:line="360" w:lineRule="auto"/>
              <w:jc w:val="center"/>
              <w:rPr>
                <w:rFonts w:ascii="Tahoma" w:hAnsi="Tahoma" w:cs="Tahoma"/>
                <w:strike/>
                <w:kern w:val="0"/>
                <w:sz w:val="24"/>
                <w:szCs w:val="24"/>
              </w:rPr>
            </w:pPr>
            <w:r>
              <w:rPr>
                <w:rFonts w:ascii="Tahoma" w:hAnsi="Tahoma" w:cs="Tahoma"/>
                <w:strike/>
                <w:kern w:val="0"/>
                <w:sz w:val="24"/>
                <w:szCs w:val="24"/>
              </w:rPr>
              <w:t>………</w:t>
            </w:r>
          </w:p>
        </w:tc>
        <w:tc>
          <w:tcPr>
            <w:tcW w:w="2817" w:type="dxa"/>
            <w:vAlign w:val="center"/>
          </w:tcPr>
          <w:p w14:paraId="32966C6B">
            <w:pPr>
              <w:tabs>
                <w:tab w:val="left" w:pos="720"/>
              </w:tabs>
              <w:spacing w:line="360" w:lineRule="auto"/>
              <w:jc w:val="center"/>
              <w:rPr>
                <w:rFonts w:ascii="Tahoma" w:hAnsi="Tahoma" w:cs="Tahoma"/>
                <w:strike/>
                <w:kern w:val="0"/>
                <w:sz w:val="24"/>
                <w:szCs w:val="24"/>
              </w:rPr>
            </w:pPr>
          </w:p>
        </w:tc>
        <w:tc>
          <w:tcPr>
            <w:tcW w:w="2268" w:type="dxa"/>
            <w:vAlign w:val="center"/>
          </w:tcPr>
          <w:p w14:paraId="4FCA1425">
            <w:pPr>
              <w:tabs>
                <w:tab w:val="left" w:pos="720"/>
              </w:tabs>
              <w:spacing w:line="360" w:lineRule="auto"/>
              <w:jc w:val="center"/>
              <w:rPr>
                <w:rFonts w:ascii="Tahoma" w:hAnsi="Tahoma" w:cs="Tahoma"/>
                <w:strike/>
                <w:kern w:val="0"/>
                <w:sz w:val="24"/>
                <w:szCs w:val="24"/>
              </w:rPr>
            </w:pPr>
          </w:p>
        </w:tc>
        <w:tc>
          <w:tcPr>
            <w:tcW w:w="2552" w:type="dxa"/>
            <w:vAlign w:val="center"/>
          </w:tcPr>
          <w:p w14:paraId="1673B007">
            <w:pPr>
              <w:tabs>
                <w:tab w:val="left" w:pos="720"/>
              </w:tabs>
              <w:spacing w:line="360" w:lineRule="auto"/>
              <w:jc w:val="center"/>
              <w:rPr>
                <w:rFonts w:ascii="Tahoma" w:hAnsi="Tahoma" w:cs="Tahoma"/>
                <w:strike/>
                <w:kern w:val="0"/>
                <w:sz w:val="24"/>
                <w:szCs w:val="24"/>
              </w:rPr>
            </w:pPr>
          </w:p>
        </w:tc>
        <w:tc>
          <w:tcPr>
            <w:tcW w:w="1984" w:type="dxa"/>
            <w:vAlign w:val="center"/>
          </w:tcPr>
          <w:p w14:paraId="6F34B530">
            <w:pPr>
              <w:tabs>
                <w:tab w:val="left" w:pos="720"/>
              </w:tabs>
              <w:spacing w:line="360" w:lineRule="auto"/>
              <w:jc w:val="center"/>
              <w:rPr>
                <w:rFonts w:ascii="Tahoma" w:hAnsi="Tahoma" w:cs="Tahoma"/>
                <w:strike/>
                <w:kern w:val="0"/>
                <w:sz w:val="24"/>
                <w:szCs w:val="24"/>
              </w:rPr>
            </w:pPr>
          </w:p>
        </w:tc>
      </w:tr>
      <w:tr w14:paraId="2B903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vAlign w:val="center"/>
          </w:tcPr>
          <w:p w14:paraId="31DBFC55">
            <w:pPr>
              <w:tabs>
                <w:tab w:val="left" w:pos="720"/>
              </w:tabs>
              <w:spacing w:line="360" w:lineRule="auto"/>
              <w:jc w:val="center"/>
              <w:rPr>
                <w:rFonts w:ascii="Tahoma" w:hAnsi="Tahoma" w:cs="Tahoma"/>
                <w:strike/>
                <w:kern w:val="0"/>
                <w:sz w:val="24"/>
                <w:szCs w:val="24"/>
              </w:rPr>
            </w:pPr>
          </w:p>
        </w:tc>
        <w:tc>
          <w:tcPr>
            <w:tcW w:w="2524" w:type="dxa"/>
            <w:vAlign w:val="center"/>
          </w:tcPr>
          <w:p w14:paraId="5F6C118F">
            <w:pPr>
              <w:tabs>
                <w:tab w:val="left" w:pos="720"/>
              </w:tabs>
              <w:spacing w:line="360" w:lineRule="auto"/>
              <w:jc w:val="center"/>
              <w:rPr>
                <w:rFonts w:ascii="Tahoma" w:hAnsi="Tahoma" w:cs="Tahoma"/>
                <w:strike/>
                <w:kern w:val="0"/>
                <w:sz w:val="24"/>
                <w:szCs w:val="24"/>
              </w:rPr>
            </w:pPr>
            <w:r>
              <w:rPr>
                <w:rFonts w:ascii="Tahoma" w:hAnsi="Tahoma" w:cs="Tahoma"/>
                <w:strike/>
                <w:kern w:val="0"/>
                <w:sz w:val="24"/>
                <w:szCs w:val="24"/>
              </w:rPr>
              <w:t>合计</w:t>
            </w:r>
          </w:p>
        </w:tc>
        <w:tc>
          <w:tcPr>
            <w:tcW w:w="2817" w:type="dxa"/>
            <w:vAlign w:val="center"/>
          </w:tcPr>
          <w:p w14:paraId="4FEA7C21">
            <w:pPr>
              <w:tabs>
                <w:tab w:val="left" w:pos="720"/>
              </w:tabs>
              <w:spacing w:line="360" w:lineRule="auto"/>
              <w:jc w:val="center"/>
              <w:rPr>
                <w:rFonts w:ascii="Tahoma" w:hAnsi="Tahoma" w:cs="Tahoma"/>
                <w:strike/>
                <w:kern w:val="0"/>
                <w:sz w:val="24"/>
                <w:szCs w:val="24"/>
              </w:rPr>
            </w:pPr>
          </w:p>
        </w:tc>
        <w:tc>
          <w:tcPr>
            <w:tcW w:w="2268" w:type="dxa"/>
            <w:vAlign w:val="center"/>
          </w:tcPr>
          <w:p w14:paraId="71A8EE61">
            <w:pPr>
              <w:tabs>
                <w:tab w:val="left" w:pos="720"/>
              </w:tabs>
              <w:spacing w:line="360" w:lineRule="auto"/>
              <w:jc w:val="center"/>
              <w:rPr>
                <w:rFonts w:ascii="Tahoma" w:hAnsi="Tahoma" w:cs="Tahoma"/>
                <w:strike/>
                <w:kern w:val="0"/>
                <w:sz w:val="24"/>
                <w:szCs w:val="24"/>
              </w:rPr>
            </w:pPr>
          </w:p>
        </w:tc>
        <w:tc>
          <w:tcPr>
            <w:tcW w:w="2552" w:type="dxa"/>
            <w:vAlign w:val="center"/>
          </w:tcPr>
          <w:p w14:paraId="78CDEAC2">
            <w:pPr>
              <w:tabs>
                <w:tab w:val="left" w:pos="720"/>
              </w:tabs>
              <w:spacing w:line="360" w:lineRule="auto"/>
              <w:jc w:val="center"/>
              <w:rPr>
                <w:rFonts w:ascii="Tahoma" w:hAnsi="Tahoma" w:cs="Tahoma"/>
                <w:strike/>
                <w:kern w:val="0"/>
                <w:sz w:val="24"/>
                <w:szCs w:val="24"/>
              </w:rPr>
            </w:pPr>
          </w:p>
        </w:tc>
        <w:tc>
          <w:tcPr>
            <w:tcW w:w="1984" w:type="dxa"/>
            <w:vAlign w:val="center"/>
          </w:tcPr>
          <w:p w14:paraId="0EB4077F">
            <w:pPr>
              <w:tabs>
                <w:tab w:val="left" w:pos="720"/>
              </w:tabs>
              <w:spacing w:line="360" w:lineRule="auto"/>
              <w:jc w:val="center"/>
              <w:rPr>
                <w:rFonts w:ascii="Tahoma" w:hAnsi="Tahoma" w:cs="Tahoma"/>
                <w:strike/>
                <w:kern w:val="0"/>
                <w:sz w:val="24"/>
                <w:szCs w:val="24"/>
              </w:rPr>
            </w:pPr>
          </w:p>
        </w:tc>
      </w:tr>
    </w:tbl>
    <w:p w14:paraId="57E9529B">
      <w:pPr>
        <w:tabs>
          <w:tab w:val="left" w:pos="720"/>
        </w:tabs>
        <w:spacing w:line="360" w:lineRule="auto"/>
        <w:ind w:firstLine="480" w:firstLineChars="200"/>
        <w:rPr>
          <w:rFonts w:ascii="Tahoma" w:hAnsi="Tahoma" w:cs="Tahoma"/>
          <w:strike/>
          <w:sz w:val="24"/>
          <w:szCs w:val="24"/>
        </w:rPr>
      </w:pPr>
    </w:p>
    <w:p w14:paraId="2D12D934">
      <w:pPr>
        <w:tabs>
          <w:tab w:val="left" w:pos="720"/>
        </w:tabs>
        <w:spacing w:line="360" w:lineRule="auto"/>
        <w:ind w:firstLine="480" w:firstLineChars="200"/>
        <w:rPr>
          <w:rFonts w:ascii="Tahoma" w:hAnsi="Tahoma" w:cs="Tahoma"/>
          <w:strike/>
          <w:sz w:val="24"/>
          <w:szCs w:val="24"/>
        </w:rPr>
      </w:pPr>
      <w:r>
        <w:rPr>
          <w:rFonts w:ascii="Tahoma" w:hAnsi="Tahoma" w:cs="Tahoma"/>
          <w:strike/>
          <w:sz w:val="24"/>
          <w:szCs w:val="24"/>
        </w:rPr>
        <w:t>评委签名：</w:t>
      </w:r>
    </w:p>
    <w:p w14:paraId="47237203">
      <w:pPr>
        <w:rPr>
          <w:rFonts w:ascii="Tahoma" w:hAnsi="Tahoma" w:cs="Tahoma"/>
          <w:strike/>
          <w:szCs w:val="21"/>
        </w:rPr>
      </w:pPr>
      <w:r>
        <w:rPr>
          <w:rFonts w:ascii="Tahoma" w:hAnsi="Tahoma" w:cs="Tahoma"/>
          <w:strike/>
          <w:sz w:val="24"/>
          <w:szCs w:val="24"/>
        </w:rPr>
        <w:br w:type="page"/>
      </w:r>
      <w:r>
        <w:rPr>
          <w:rFonts w:hint="eastAsia" w:ascii="Tahoma" w:hAnsi="Tahoma" w:cs="Tahoma"/>
          <w:strike/>
          <w:sz w:val="28"/>
          <w:szCs w:val="28"/>
        </w:rPr>
        <w:t>附表九：（适用于有主要项目单价评审的项目）</w:t>
      </w:r>
    </w:p>
    <w:p w14:paraId="35D9B9ED">
      <w:pPr>
        <w:jc w:val="center"/>
        <w:rPr>
          <w:b/>
          <w:strike/>
          <w:sz w:val="36"/>
          <w:szCs w:val="36"/>
        </w:rPr>
      </w:pPr>
      <w:r>
        <w:rPr>
          <w:b/>
          <w:strike/>
          <w:sz w:val="36"/>
          <w:szCs w:val="36"/>
        </w:rPr>
        <w:t>经济分汇总表</w:t>
      </w:r>
    </w:p>
    <w:tbl>
      <w:tblPr>
        <w:tblStyle w:val="37"/>
        <w:tblpPr w:leftFromText="180" w:rightFromText="180" w:vertAnchor="text" w:tblpXSpec="center"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3060"/>
        <w:gridCol w:w="1440"/>
        <w:gridCol w:w="1980"/>
        <w:gridCol w:w="1620"/>
        <w:gridCol w:w="1620"/>
        <w:gridCol w:w="1800"/>
        <w:gridCol w:w="1980"/>
      </w:tblGrid>
      <w:tr w14:paraId="6030A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tblHeader/>
        </w:trPr>
        <w:tc>
          <w:tcPr>
            <w:tcW w:w="828" w:type="dxa"/>
            <w:vAlign w:val="center"/>
          </w:tcPr>
          <w:p w14:paraId="7CBE94F5">
            <w:pPr>
              <w:tabs>
                <w:tab w:val="left" w:pos="720"/>
              </w:tabs>
              <w:spacing w:line="360" w:lineRule="auto"/>
              <w:jc w:val="center"/>
              <w:rPr>
                <w:rFonts w:ascii="Tahoma" w:hAnsi="Tahoma" w:cs="Tahoma"/>
                <w:strike/>
                <w:sz w:val="24"/>
                <w:szCs w:val="24"/>
              </w:rPr>
            </w:pPr>
            <w:r>
              <w:rPr>
                <w:rFonts w:ascii="Tahoma" w:hAnsi="Tahoma" w:cs="Tahoma"/>
                <w:strike/>
                <w:sz w:val="24"/>
                <w:szCs w:val="24"/>
              </w:rPr>
              <w:t>序号</w:t>
            </w:r>
          </w:p>
        </w:tc>
        <w:tc>
          <w:tcPr>
            <w:tcW w:w="3060" w:type="dxa"/>
            <w:vAlign w:val="center"/>
          </w:tcPr>
          <w:p w14:paraId="36656F5E">
            <w:pPr>
              <w:tabs>
                <w:tab w:val="left" w:pos="720"/>
              </w:tabs>
              <w:spacing w:line="360" w:lineRule="auto"/>
              <w:jc w:val="center"/>
              <w:rPr>
                <w:rFonts w:ascii="Tahoma" w:hAnsi="Tahoma" w:cs="Tahoma"/>
                <w:strike/>
                <w:sz w:val="24"/>
                <w:szCs w:val="24"/>
              </w:rPr>
            </w:pPr>
            <w:r>
              <w:rPr>
                <w:rFonts w:ascii="Tahoma" w:hAnsi="Tahoma" w:cs="Tahoma"/>
                <w:strike/>
                <w:sz w:val="24"/>
                <w:szCs w:val="24"/>
              </w:rPr>
              <w:t>项目</w:t>
            </w:r>
          </w:p>
        </w:tc>
        <w:tc>
          <w:tcPr>
            <w:tcW w:w="1440" w:type="dxa"/>
            <w:vAlign w:val="center"/>
          </w:tcPr>
          <w:p w14:paraId="6C6E466F">
            <w:pPr>
              <w:tabs>
                <w:tab w:val="left" w:pos="720"/>
              </w:tabs>
              <w:spacing w:line="360" w:lineRule="auto"/>
              <w:jc w:val="center"/>
              <w:rPr>
                <w:rFonts w:ascii="Tahoma" w:hAnsi="Tahoma" w:cs="Tahoma"/>
                <w:strike/>
                <w:sz w:val="24"/>
                <w:szCs w:val="24"/>
              </w:rPr>
            </w:pPr>
            <w:r>
              <w:rPr>
                <w:rFonts w:ascii="Tahoma" w:hAnsi="Tahoma" w:cs="Tahoma"/>
                <w:strike/>
                <w:sz w:val="24"/>
                <w:szCs w:val="24"/>
              </w:rPr>
              <w:t>标准分</w:t>
            </w:r>
          </w:p>
        </w:tc>
        <w:tc>
          <w:tcPr>
            <w:tcW w:w="1980" w:type="dxa"/>
            <w:vAlign w:val="center"/>
          </w:tcPr>
          <w:p w14:paraId="5D90EFA2">
            <w:pPr>
              <w:tabs>
                <w:tab w:val="left" w:pos="720"/>
              </w:tabs>
              <w:spacing w:line="360" w:lineRule="auto"/>
              <w:jc w:val="center"/>
              <w:rPr>
                <w:rFonts w:ascii="Tahoma" w:hAnsi="Tahoma" w:cs="Tahoma"/>
                <w:strike/>
                <w:sz w:val="24"/>
                <w:szCs w:val="24"/>
              </w:rPr>
            </w:pPr>
            <w:r>
              <w:rPr>
                <w:rFonts w:ascii="Tahoma" w:hAnsi="Tahoma" w:cs="Tahoma"/>
                <w:strike/>
                <w:sz w:val="24"/>
                <w:szCs w:val="24"/>
              </w:rPr>
              <w:t>投标单位1</w:t>
            </w:r>
          </w:p>
        </w:tc>
        <w:tc>
          <w:tcPr>
            <w:tcW w:w="1620" w:type="dxa"/>
            <w:vAlign w:val="center"/>
          </w:tcPr>
          <w:p w14:paraId="1C45F57E">
            <w:pPr>
              <w:tabs>
                <w:tab w:val="left" w:pos="720"/>
              </w:tabs>
              <w:spacing w:line="360" w:lineRule="auto"/>
              <w:jc w:val="center"/>
              <w:rPr>
                <w:rFonts w:ascii="Tahoma" w:hAnsi="Tahoma" w:cs="Tahoma"/>
                <w:strike/>
                <w:sz w:val="24"/>
                <w:szCs w:val="24"/>
              </w:rPr>
            </w:pPr>
            <w:r>
              <w:rPr>
                <w:rFonts w:ascii="Tahoma" w:hAnsi="Tahoma" w:cs="Tahoma"/>
                <w:strike/>
                <w:sz w:val="24"/>
                <w:szCs w:val="24"/>
              </w:rPr>
              <w:t>投标单位2</w:t>
            </w:r>
          </w:p>
        </w:tc>
        <w:tc>
          <w:tcPr>
            <w:tcW w:w="1620" w:type="dxa"/>
            <w:vAlign w:val="center"/>
          </w:tcPr>
          <w:p w14:paraId="42E79BDE">
            <w:pPr>
              <w:tabs>
                <w:tab w:val="left" w:pos="720"/>
              </w:tabs>
              <w:spacing w:line="360" w:lineRule="auto"/>
              <w:jc w:val="center"/>
              <w:rPr>
                <w:rFonts w:ascii="Tahoma" w:hAnsi="Tahoma" w:cs="Tahoma"/>
                <w:strike/>
                <w:sz w:val="24"/>
                <w:szCs w:val="24"/>
              </w:rPr>
            </w:pPr>
            <w:r>
              <w:rPr>
                <w:rFonts w:ascii="Tahoma" w:hAnsi="Tahoma" w:cs="Tahoma"/>
                <w:strike/>
                <w:sz w:val="24"/>
                <w:szCs w:val="24"/>
              </w:rPr>
              <w:t>投标单位3</w:t>
            </w:r>
          </w:p>
        </w:tc>
        <w:tc>
          <w:tcPr>
            <w:tcW w:w="1800" w:type="dxa"/>
            <w:vAlign w:val="center"/>
          </w:tcPr>
          <w:p w14:paraId="4A537D39">
            <w:pPr>
              <w:tabs>
                <w:tab w:val="left" w:pos="720"/>
              </w:tabs>
              <w:spacing w:line="360" w:lineRule="auto"/>
              <w:jc w:val="center"/>
              <w:rPr>
                <w:rFonts w:ascii="Tahoma" w:hAnsi="Tahoma" w:cs="Tahoma"/>
                <w:strike/>
                <w:sz w:val="24"/>
                <w:szCs w:val="24"/>
              </w:rPr>
            </w:pPr>
            <w:r>
              <w:rPr>
                <w:rFonts w:ascii="Tahoma" w:hAnsi="Tahoma" w:cs="Tahoma"/>
                <w:strike/>
                <w:sz w:val="24"/>
                <w:szCs w:val="24"/>
              </w:rPr>
              <w:t>……</w:t>
            </w:r>
          </w:p>
        </w:tc>
        <w:tc>
          <w:tcPr>
            <w:tcW w:w="1980" w:type="dxa"/>
            <w:vAlign w:val="center"/>
          </w:tcPr>
          <w:p w14:paraId="7FF7CAEC">
            <w:pPr>
              <w:tabs>
                <w:tab w:val="left" w:pos="720"/>
              </w:tabs>
              <w:spacing w:line="360" w:lineRule="auto"/>
              <w:jc w:val="center"/>
              <w:rPr>
                <w:rFonts w:ascii="Tahoma" w:hAnsi="Tahoma" w:cs="Tahoma"/>
                <w:strike/>
                <w:sz w:val="24"/>
                <w:szCs w:val="24"/>
              </w:rPr>
            </w:pPr>
            <w:r>
              <w:rPr>
                <w:rFonts w:ascii="Tahoma" w:hAnsi="Tahoma" w:cs="Tahoma"/>
                <w:strike/>
                <w:sz w:val="24"/>
                <w:szCs w:val="24"/>
              </w:rPr>
              <w:t>备注</w:t>
            </w:r>
          </w:p>
        </w:tc>
      </w:tr>
      <w:tr w14:paraId="3BE43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trPr>
        <w:tc>
          <w:tcPr>
            <w:tcW w:w="828" w:type="dxa"/>
            <w:vAlign w:val="center"/>
          </w:tcPr>
          <w:p w14:paraId="45F8D1B3">
            <w:pPr>
              <w:tabs>
                <w:tab w:val="left" w:pos="720"/>
              </w:tabs>
              <w:spacing w:line="360" w:lineRule="auto"/>
              <w:jc w:val="center"/>
              <w:rPr>
                <w:rFonts w:ascii="Tahoma" w:hAnsi="Tahoma" w:cs="Tahoma"/>
                <w:strike/>
                <w:sz w:val="24"/>
                <w:szCs w:val="24"/>
              </w:rPr>
            </w:pPr>
            <w:r>
              <w:rPr>
                <w:rFonts w:ascii="Tahoma" w:hAnsi="Tahoma" w:cs="Tahoma"/>
                <w:strike/>
                <w:sz w:val="24"/>
                <w:szCs w:val="24"/>
              </w:rPr>
              <w:t>1</w:t>
            </w:r>
          </w:p>
        </w:tc>
        <w:tc>
          <w:tcPr>
            <w:tcW w:w="3060" w:type="dxa"/>
            <w:vAlign w:val="center"/>
          </w:tcPr>
          <w:p w14:paraId="7591881B">
            <w:pPr>
              <w:tabs>
                <w:tab w:val="left" w:pos="720"/>
              </w:tabs>
              <w:spacing w:line="360" w:lineRule="auto"/>
              <w:jc w:val="center"/>
              <w:rPr>
                <w:rFonts w:ascii="Tahoma" w:hAnsi="Tahoma" w:cs="Tahoma"/>
                <w:strike/>
                <w:sz w:val="24"/>
                <w:szCs w:val="24"/>
              </w:rPr>
            </w:pPr>
            <w:r>
              <w:rPr>
                <w:rFonts w:ascii="Tahoma" w:hAnsi="Tahoma" w:cs="Tahoma"/>
                <w:strike/>
                <w:sz w:val="24"/>
                <w:szCs w:val="24"/>
              </w:rPr>
              <w:t>经济标的评标价评分</w:t>
            </w:r>
          </w:p>
        </w:tc>
        <w:tc>
          <w:tcPr>
            <w:tcW w:w="1440" w:type="dxa"/>
            <w:vAlign w:val="center"/>
          </w:tcPr>
          <w:p w14:paraId="6B1F69F8">
            <w:pPr>
              <w:tabs>
                <w:tab w:val="left" w:pos="720"/>
              </w:tabs>
              <w:spacing w:line="360" w:lineRule="auto"/>
              <w:jc w:val="center"/>
              <w:rPr>
                <w:rFonts w:ascii="Tahoma" w:hAnsi="Tahoma" w:cs="Tahoma"/>
                <w:strike/>
                <w:sz w:val="24"/>
                <w:szCs w:val="24"/>
              </w:rPr>
            </w:pPr>
            <w:r>
              <w:rPr>
                <w:rFonts w:hint="eastAsia" w:ascii="Tahoma" w:hAnsi="Tahoma" w:cs="Tahoma"/>
                <w:strike/>
                <w:sz w:val="24"/>
                <w:szCs w:val="24"/>
              </w:rPr>
              <w:t>...</w:t>
            </w:r>
          </w:p>
        </w:tc>
        <w:tc>
          <w:tcPr>
            <w:tcW w:w="1980" w:type="dxa"/>
            <w:vAlign w:val="center"/>
          </w:tcPr>
          <w:p w14:paraId="2F313A2B">
            <w:pPr>
              <w:tabs>
                <w:tab w:val="left" w:pos="720"/>
              </w:tabs>
              <w:spacing w:line="360" w:lineRule="auto"/>
              <w:jc w:val="center"/>
              <w:rPr>
                <w:rFonts w:ascii="Tahoma" w:hAnsi="Tahoma" w:cs="Tahoma"/>
                <w:strike/>
                <w:sz w:val="24"/>
                <w:szCs w:val="24"/>
              </w:rPr>
            </w:pPr>
          </w:p>
        </w:tc>
        <w:tc>
          <w:tcPr>
            <w:tcW w:w="1620" w:type="dxa"/>
            <w:vAlign w:val="center"/>
          </w:tcPr>
          <w:p w14:paraId="0E914CD4">
            <w:pPr>
              <w:tabs>
                <w:tab w:val="left" w:pos="720"/>
              </w:tabs>
              <w:spacing w:line="360" w:lineRule="auto"/>
              <w:jc w:val="center"/>
              <w:rPr>
                <w:rFonts w:ascii="Tahoma" w:hAnsi="Tahoma" w:cs="Tahoma"/>
                <w:strike/>
                <w:sz w:val="24"/>
                <w:szCs w:val="24"/>
              </w:rPr>
            </w:pPr>
          </w:p>
        </w:tc>
        <w:tc>
          <w:tcPr>
            <w:tcW w:w="1620" w:type="dxa"/>
            <w:vAlign w:val="center"/>
          </w:tcPr>
          <w:p w14:paraId="773D263F">
            <w:pPr>
              <w:tabs>
                <w:tab w:val="left" w:pos="720"/>
              </w:tabs>
              <w:spacing w:line="360" w:lineRule="auto"/>
              <w:jc w:val="center"/>
              <w:rPr>
                <w:rFonts w:ascii="Tahoma" w:hAnsi="Tahoma" w:cs="Tahoma"/>
                <w:strike/>
                <w:sz w:val="24"/>
                <w:szCs w:val="24"/>
              </w:rPr>
            </w:pPr>
          </w:p>
        </w:tc>
        <w:tc>
          <w:tcPr>
            <w:tcW w:w="1800" w:type="dxa"/>
            <w:vAlign w:val="center"/>
          </w:tcPr>
          <w:p w14:paraId="7FF138CB">
            <w:pPr>
              <w:tabs>
                <w:tab w:val="left" w:pos="720"/>
              </w:tabs>
              <w:spacing w:line="360" w:lineRule="auto"/>
              <w:jc w:val="center"/>
              <w:rPr>
                <w:rFonts w:ascii="Tahoma" w:hAnsi="Tahoma" w:cs="Tahoma"/>
                <w:strike/>
                <w:sz w:val="24"/>
                <w:szCs w:val="24"/>
              </w:rPr>
            </w:pPr>
          </w:p>
        </w:tc>
        <w:tc>
          <w:tcPr>
            <w:tcW w:w="1980" w:type="dxa"/>
            <w:vAlign w:val="center"/>
          </w:tcPr>
          <w:p w14:paraId="641CB1F7">
            <w:pPr>
              <w:tabs>
                <w:tab w:val="left" w:pos="720"/>
              </w:tabs>
              <w:spacing w:line="360" w:lineRule="auto"/>
              <w:jc w:val="center"/>
              <w:rPr>
                <w:rFonts w:ascii="Tahoma" w:hAnsi="Tahoma" w:cs="Tahoma"/>
                <w:strike/>
                <w:sz w:val="24"/>
                <w:szCs w:val="24"/>
              </w:rPr>
            </w:pPr>
          </w:p>
        </w:tc>
      </w:tr>
      <w:tr w14:paraId="32136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trPr>
        <w:tc>
          <w:tcPr>
            <w:tcW w:w="828" w:type="dxa"/>
            <w:vAlign w:val="center"/>
          </w:tcPr>
          <w:p w14:paraId="3C6167C7">
            <w:pPr>
              <w:tabs>
                <w:tab w:val="left" w:pos="720"/>
              </w:tabs>
              <w:spacing w:line="360" w:lineRule="auto"/>
              <w:jc w:val="center"/>
              <w:rPr>
                <w:rFonts w:ascii="Tahoma" w:hAnsi="Tahoma" w:cs="Tahoma"/>
                <w:strike/>
                <w:sz w:val="24"/>
                <w:szCs w:val="24"/>
              </w:rPr>
            </w:pPr>
            <w:r>
              <w:rPr>
                <w:rFonts w:ascii="Tahoma" w:hAnsi="Tahoma" w:cs="Tahoma"/>
                <w:strike/>
                <w:sz w:val="24"/>
                <w:szCs w:val="24"/>
              </w:rPr>
              <w:t>2</w:t>
            </w:r>
          </w:p>
        </w:tc>
        <w:tc>
          <w:tcPr>
            <w:tcW w:w="3060" w:type="dxa"/>
            <w:vAlign w:val="center"/>
          </w:tcPr>
          <w:p w14:paraId="7FD72092">
            <w:pPr>
              <w:tabs>
                <w:tab w:val="left" w:pos="720"/>
              </w:tabs>
              <w:spacing w:line="360" w:lineRule="auto"/>
              <w:jc w:val="center"/>
              <w:rPr>
                <w:rFonts w:ascii="Tahoma" w:hAnsi="Tahoma" w:cs="Tahoma"/>
                <w:strike/>
                <w:sz w:val="24"/>
                <w:szCs w:val="24"/>
              </w:rPr>
            </w:pPr>
            <w:r>
              <w:rPr>
                <w:rFonts w:ascii="Tahoma" w:hAnsi="Tahoma" w:cs="Tahoma"/>
                <w:strike/>
                <w:kern w:val="0"/>
                <w:sz w:val="24"/>
                <w:szCs w:val="24"/>
              </w:rPr>
              <w:t>经济标的主要单价评分</w:t>
            </w:r>
          </w:p>
        </w:tc>
        <w:tc>
          <w:tcPr>
            <w:tcW w:w="1440" w:type="dxa"/>
            <w:vAlign w:val="center"/>
          </w:tcPr>
          <w:p w14:paraId="7B0974BA">
            <w:pPr>
              <w:tabs>
                <w:tab w:val="left" w:pos="720"/>
              </w:tabs>
              <w:spacing w:line="360" w:lineRule="auto"/>
              <w:jc w:val="center"/>
              <w:rPr>
                <w:rFonts w:ascii="Tahoma" w:hAnsi="Tahoma" w:cs="Tahoma"/>
                <w:strike/>
                <w:sz w:val="24"/>
                <w:szCs w:val="24"/>
              </w:rPr>
            </w:pPr>
            <w:r>
              <w:rPr>
                <w:rFonts w:hint="eastAsia" w:ascii="Tahoma" w:hAnsi="Tahoma" w:cs="Tahoma"/>
                <w:strike/>
                <w:sz w:val="24"/>
                <w:szCs w:val="24"/>
              </w:rPr>
              <w:t>...</w:t>
            </w:r>
          </w:p>
        </w:tc>
        <w:tc>
          <w:tcPr>
            <w:tcW w:w="1980" w:type="dxa"/>
            <w:vAlign w:val="center"/>
          </w:tcPr>
          <w:p w14:paraId="34CFEECB">
            <w:pPr>
              <w:tabs>
                <w:tab w:val="left" w:pos="720"/>
              </w:tabs>
              <w:spacing w:line="360" w:lineRule="auto"/>
              <w:jc w:val="center"/>
              <w:rPr>
                <w:rFonts w:ascii="Tahoma" w:hAnsi="Tahoma" w:cs="Tahoma"/>
                <w:strike/>
                <w:sz w:val="24"/>
                <w:szCs w:val="24"/>
              </w:rPr>
            </w:pPr>
          </w:p>
        </w:tc>
        <w:tc>
          <w:tcPr>
            <w:tcW w:w="1620" w:type="dxa"/>
            <w:vAlign w:val="center"/>
          </w:tcPr>
          <w:p w14:paraId="2808B8E4">
            <w:pPr>
              <w:tabs>
                <w:tab w:val="left" w:pos="720"/>
              </w:tabs>
              <w:spacing w:line="360" w:lineRule="auto"/>
              <w:jc w:val="center"/>
              <w:rPr>
                <w:rFonts w:ascii="Tahoma" w:hAnsi="Tahoma" w:cs="Tahoma"/>
                <w:strike/>
                <w:sz w:val="24"/>
                <w:szCs w:val="24"/>
              </w:rPr>
            </w:pPr>
          </w:p>
        </w:tc>
        <w:tc>
          <w:tcPr>
            <w:tcW w:w="1620" w:type="dxa"/>
            <w:vAlign w:val="center"/>
          </w:tcPr>
          <w:p w14:paraId="71A9BFD1">
            <w:pPr>
              <w:tabs>
                <w:tab w:val="left" w:pos="720"/>
              </w:tabs>
              <w:spacing w:line="360" w:lineRule="auto"/>
              <w:jc w:val="center"/>
              <w:rPr>
                <w:rFonts w:ascii="Tahoma" w:hAnsi="Tahoma" w:cs="Tahoma"/>
                <w:strike/>
                <w:sz w:val="24"/>
                <w:szCs w:val="24"/>
              </w:rPr>
            </w:pPr>
          </w:p>
        </w:tc>
        <w:tc>
          <w:tcPr>
            <w:tcW w:w="1800" w:type="dxa"/>
            <w:vAlign w:val="center"/>
          </w:tcPr>
          <w:p w14:paraId="1830AF96">
            <w:pPr>
              <w:tabs>
                <w:tab w:val="left" w:pos="720"/>
              </w:tabs>
              <w:spacing w:line="360" w:lineRule="auto"/>
              <w:jc w:val="center"/>
              <w:rPr>
                <w:rFonts w:ascii="Tahoma" w:hAnsi="Tahoma" w:cs="Tahoma"/>
                <w:strike/>
                <w:sz w:val="24"/>
                <w:szCs w:val="24"/>
              </w:rPr>
            </w:pPr>
          </w:p>
        </w:tc>
        <w:tc>
          <w:tcPr>
            <w:tcW w:w="1980" w:type="dxa"/>
            <w:vAlign w:val="center"/>
          </w:tcPr>
          <w:p w14:paraId="1ECCCE4F">
            <w:pPr>
              <w:tabs>
                <w:tab w:val="left" w:pos="720"/>
              </w:tabs>
              <w:spacing w:line="360" w:lineRule="auto"/>
              <w:jc w:val="center"/>
              <w:rPr>
                <w:rFonts w:ascii="Tahoma" w:hAnsi="Tahoma" w:cs="Tahoma"/>
                <w:strike/>
                <w:sz w:val="24"/>
                <w:szCs w:val="24"/>
              </w:rPr>
            </w:pPr>
          </w:p>
        </w:tc>
      </w:tr>
      <w:tr w14:paraId="762DB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trPr>
        <w:tc>
          <w:tcPr>
            <w:tcW w:w="3888" w:type="dxa"/>
            <w:gridSpan w:val="2"/>
            <w:vAlign w:val="center"/>
          </w:tcPr>
          <w:p w14:paraId="2D0CC822">
            <w:pPr>
              <w:tabs>
                <w:tab w:val="left" w:pos="720"/>
              </w:tabs>
              <w:spacing w:line="360" w:lineRule="auto"/>
              <w:jc w:val="center"/>
              <w:rPr>
                <w:rFonts w:ascii="Tahoma" w:hAnsi="Tahoma" w:cs="Tahoma"/>
                <w:strike/>
                <w:sz w:val="24"/>
                <w:szCs w:val="24"/>
              </w:rPr>
            </w:pPr>
            <w:r>
              <w:rPr>
                <w:rFonts w:ascii="Tahoma" w:hAnsi="Tahoma" w:cs="Tahoma"/>
                <w:strike/>
                <w:sz w:val="24"/>
                <w:szCs w:val="24"/>
              </w:rPr>
              <w:t>经济得分</w:t>
            </w:r>
          </w:p>
        </w:tc>
        <w:tc>
          <w:tcPr>
            <w:tcW w:w="1440" w:type="dxa"/>
            <w:vAlign w:val="center"/>
          </w:tcPr>
          <w:p w14:paraId="5E668489">
            <w:pPr>
              <w:tabs>
                <w:tab w:val="left" w:pos="720"/>
              </w:tabs>
              <w:spacing w:line="360" w:lineRule="auto"/>
              <w:jc w:val="center"/>
              <w:rPr>
                <w:rFonts w:ascii="Tahoma" w:hAnsi="Tahoma" w:cs="Tahoma"/>
                <w:strike/>
                <w:sz w:val="24"/>
                <w:szCs w:val="24"/>
              </w:rPr>
            </w:pPr>
            <w:r>
              <w:rPr>
                <w:rFonts w:ascii="Tahoma" w:hAnsi="Tahoma" w:cs="Tahoma"/>
                <w:strike/>
                <w:sz w:val="24"/>
                <w:szCs w:val="24"/>
              </w:rPr>
              <w:t>100</w:t>
            </w:r>
          </w:p>
        </w:tc>
        <w:tc>
          <w:tcPr>
            <w:tcW w:w="1980" w:type="dxa"/>
            <w:vAlign w:val="center"/>
          </w:tcPr>
          <w:p w14:paraId="1DF760DA">
            <w:pPr>
              <w:tabs>
                <w:tab w:val="left" w:pos="720"/>
              </w:tabs>
              <w:spacing w:line="360" w:lineRule="auto"/>
              <w:jc w:val="center"/>
              <w:rPr>
                <w:rFonts w:ascii="Tahoma" w:hAnsi="Tahoma" w:cs="Tahoma"/>
                <w:strike/>
                <w:sz w:val="24"/>
                <w:szCs w:val="24"/>
              </w:rPr>
            </w:pPr>
          </w:p>
        </w:tc>
        <w:tc>
          <w:tcPr>
            <w:tcW w:w="1620" w:type="dxa"/>
            <w:vAlign w:val="center"/>
          </w:tcPr>
          <w:p w14:paraId="364B3FF2">
            <w:pPr>
              <w:tabs>
                <w:tab w:val="left" w:pos="720"/>
              </w:tabs>
              <w:spacing w:line="360" w:lineRule="auto"/>
              <w:jc w:val="center"/>
              <w:rPr>
                <w:rFonts w:ascii="Tahoma" w:hAnsi="Tahoma" w:cs="Tahoma"/>
                <w:strike/>
                <w:sz w:val="24"/>
                <w:szCs w:val="24"/>
              </w:rPr>
            </w:pPr>
          </w:p>
        </w:tc>
        <w:tc>
          <w:tcPr>
            <w:tcW w:w="1620" w:type="dxa"/>
            <w:vAlign w:val="center"/>
          </w:tcPr>
          <w:p w14:paraId="7FE0FBF4">
            <w:pPr>
              <w:tabs>
                <w:tab w:val="left" w:pos="720"/>
              </w:tabs>
              <w:spacing w:line="360" w:lineRule="auto"/>
              <w:jc w:val="center"/>
              <w:rPr>
                <w:rFonts w:ascii="Tahoma" w:hAnsi="Tahoma" w:cs="Tahoma"/>
                <w:strike/>
                <w:sz w:val="24"/>
                <w:szCs w:val="24"/>
              </w:rPr>
            </w:pPr>
          </w:p>
        </w:tc>
        <w:tc>
          <w:tcPr>
            <w:tcW w:w="1800" w:type="dxa"/>
            <w:vAlign w:val="center"/>
          </w:tcPr>
          <w:p w14:paraId="752EC60F">
            <w:pPr>
              <w:tabs>
                <w:tab w:val="left" w:pos="720"/>
              </w:tabs>
              <w:spacing w:line="360" w:lineRule="auto"/>
              <w:jc w:val="center"/>
              <w:rPr>
                <w:rFonts w:ascii="Tahoma" w:hAnsi="Tahoma" w:cs="Tahoma"/>
                <w:strike/>
                <w:sz w:val="24"/>
                <w:szCs w:val="24"/>
              </w:rPr>
            </w:pPr>
          </w:p>
        </w:tc>
        <w:tc>
          <w:tcPr>
            <w:tcW w:w="1980" w:type="dxa"/>
            <w:vAlign w:val="center"/>
          </w:tcPr>
          <w:p w14:paraId="1E71288F">
            <w:pPr>
              <w:tabs>
                <w:tab w:val="left" w:pos="720"/>
              </w:tabs>
              <w:spacing w:line="360" w:lineRule="auto"/>
              <w:jc w:val="center"/>
              <w:rPr>
                <w:rFonts w:ascii="Tahoma" w:hAnsi="Tahoma" w:cs="Tahoma"/>
                <w:strike/>
                <w:sz w:val="24"/>
                <w:szCs w:val="24"/>
              </w:rPr>
            </w:pPr>
          </w:p>
        </w:tc>
      </w:tr>
    </w:tbl>
    <w:p w14:paraId="534D6F4D">
      <w:pPr>
        <w:tabs>
          <w:tab w:val="left" w:pos="720"/>
        </w:tabs>
        <w:spacing w:line="360" w:lineRule="auto"/>
        <w:rPr>
          <w:rFonts w:ascii="Tahoma" w:hAnsi="Tahoma" w:cs="Tahoma"/>
          <w:strike/>
          <w:sz w:val="24"/>
          <w:szCs w:val="24"/>
        </w:rPr>
      </w:pPr>
    </w:p>
    <w:p w14:paraId="5CB3B41D">
      <w:pPr>
        <w:tabs>
          <w:tab w:val="left" w:pos="720"/>
        </w:tabs>
        <w:spacing w:line="360" w:lineRule="auto"/>
        <w:ind w:firstLine="480" w:firstLineChars="200"/>
        <w:rPr>
          <w:rFonts w:ascii="Tahoma" w:hAnsi="Tahoma" w:cs="Tahoma"/>
          <w:strike/>
          <w:sz w:val="24"/>
          <w:szCs w:val="24"/>
        </w:rPr>
      </w:pPr>
      <w:r>
        <w:rPr>
          <w:rFonts w:ascii="Tahoma" w:hAnsi="Tahoma" w:cs="Tahoma"/>
          <w:strike/>
          <w:sz w:val="24"/>
          <w:szCs w:val="24"/>
        </w:rPr>
        <w:t>评委签名</w:t>
      </w:r>
    </w:p>
    <w:p w14:paraId="75119FE3">
      <w:pPr>
        <w:tabs>
          <w:tab w:val="left" w:pos="720"/>
        </w:tabs>
        <w:spacing w:line="360" w:lineRule="auto"/>
        <w:ind w:firstLine="480" w:firstLineChars="200"/>
        <w:rPr>
          <w:rFonts w:ascii="Tahoma" w:hAnsi="Tahoma" w:cs="Tahoma"/>
          <w:sz w:val="24"/>
          <w:szCs w:val="24"/>
        </w:rPr>
      </w:pPr>
      <w:r>
        <w:rPr>
          <w:rFonts w:ascii="Tahoma" w:hAnsi="Tahoma" w:cs="Tahoma"/>
          <w:strike/>
          <w:sz w:val="24"/>
          <w:szCs w:val="24"/>
        </w:rPr>
        <w:br w:type="page"/>
      </w:r>
    </w:p>
    <w:p w14:paraId="402FC21F">
      <w:pPr>
        <w:rPr>
          <w:b/>
          <w:sz w:val="28"/>
          <w:szCs w:val="28"/>
        </w:rPr>
      </w:pPr>
      <w:r>
        <w:rPr>
          <w:rFonts w:hint="eastAsia"/>
          <w:sz w:val="28"/>
          <w:szCs w:val="28"/>
        </w:rPr>
        <w:t>附表十</w:t>
      </w:r>
    </w:p>
    <w:p w14:paraId="03370671">
      <w:pPr>
        <w:jc w:val="center"/>
        <w:rPr>
          <w:b/>
          <w:sz w:val="36"/>
          <w:szCs w:val="36"/>
        </w:rPr>
      </w:pPr>
      <w:r>
        <w:rPr>
          <w:rFonts w:hint="eastAsia"/>
          <w:b/>
          <w:sz w:val="36"/>
          <w:szCs w:val="36"/>
        </w:rPr>
        <w:t>算术复核表</w:t>
      </w:r>
    </w:p>
    <w:p w14:paraId="70FED518">
      <w:pPr>
        <w:rPr>
          <w:rFonts w:hint="eastAsia" w:ascii="宋体" w:hAnsi="宋体"/>
          <w:kern w:val="0"/>
          <w:szCs w:val="21"/>
        </w:rPr>
      </w:pPr>
      <w:r>
        <w:rPr>
          <w:rFonts w:hint="eastAsia"/>
          <w:kern w:val="0"/>
          <w:szCs w:val="21"/>
        </w:rPr>
        <w:t>工程名称：</w:t>
      </w:r>
      <w:r>
        <w:rPr>
          <w:kern w:val="0"/>
          <w:szCs w:val="21"/>
        </w:rPr>
        <w:t xml:space="preserve">                                          </w:t>
      </w:r>
      <w:r>
        <w:rPr>
          <w:rFonts w:ascii="宋体" w:hAnsi="宋体"/>
          <w:kern w:val="0"/>
          <w:szCs w:val="21"/>
        </w:rPr>
        <w:t xml:space="preserve"> </w:t>
      </w:r>
      <w:r>
        <w:rPr>
          <w:rFonts w:hint="eastAsia" w:ascii="宋体" w:hAnsi="宋体"/>
          <w:kern w:val="0"/>
          <w:szCs w:val="21"/>
        </w:rPr>
        <w:t>投标人</w:t>
      </w:r>
      <w:r>
        <w:rPr>
          <w:rFonts w:ascii="宋体" w:hAnsi="宋体"/>
          <w:kern w:val="0"/>
          <w:szCs w:val="21"/>
        </w:rPr>
        <w:t xml:space="preserve">:                                                  </w:t>
      </w:r>
      <w:r>
        <w:rPr>
          <w:rFonts w:hint="eastAsia" w:ascii="宋体" w:hAnsi="宋体"/>
          <w:kern w:val="0"/>
          <w:szCs w:val="21"/>
        </w:rPr>
        <w:t>单位：元</w:t>
      </w:r>
    </w:p>
    <w:tbl>
      <w:tblPr>
        <w:tblStyle w:val="37"/>
        <w:tblW w:w="14820" w:type="dxa"/>
        <w:tblInd w:w="0" w:type="dxa"/>
        <w:tblLayout w:type="fixed"/>
        <w:tblCellMar>
          <w:top w:w="0" w:type="dxa"/>
          <w:left w:w="108" w:type="dxa"/>
          <w:bottom w:w="0" w:type="dxa"/>
          <w:right w:w="108" w:type="dxa"/>
        </w:tblCellMar>
      </w:tblPr>
      <w:tblGrid>
        <w:gridCol w:w="645"/>
        <w:gridCol w:w="4488"/>
        <w:gridCol w:w="1602"/>
        <w:gridCol w:w="1575"/>
        <w:gridCol w:w="1575"/>
        <w:gridCol w:w="1470"/>
        <w:gridCol w:w="3465"/>
      </w:tblGrid>
      <w:tr w14:paraId="2E38D755">
        <w:tblPrEx>
          <w:tblCellMar>
            <w:top w:w="0" w:type="dxa"/>
            <w:left w:w="108" w:type="dxa"/>
            <w:bottom w:w="0" w:type="dxa"/>
            <w:right w:w="108" w:type="dxa"/>
          </w:tblCellMar>
        </w:tblPrEx>
        <w:trPr>
          <w:trHeight w:val="705" w:hRule="atLeast"/>
        </w:trPr>
        <w:tc>
          <w:tcPr>
            <w:tcW w:w="645" w:type="dxa"/>
            <w:tcBorders>
              <w:top w:val="single" w:color="auto" w:sz="4" w:space="0"/>
              <w:left w:val="single" w:color="auto" w:sz="4" w:space="0"/>
              <w:bottom w:val="single" w:color="auto" w:sz="4" w:space="0"/>
              <w:right w:val="single" w:color="auto" w:sz="4" w:space="0"/>
            </w:tcBorders>
            <w:vAlign w:val="center"/>
          </w:tcPr>
          <w:p w14:paraId="7B41F4D3">
            <w:pPr>
              <w:rPr>
                <w:rFonts w:hint="eastAsia" w:ascii="宋体" w:hAnsi="宋体"/>
                <w:kern w:val="0"/>
                <w:szCs w:val="21"/>
              </w:rPr>
            </w:pPr>
            <w:r>
              <w:rPr>
                <w:rFonts w:hint="eastAsia" w:ascii="宋体" w:hAnsi="宋体"/>
                <w:kern w:val="0"/>
                <w:szCs w:val="21"/>
              </w:rPr>
              <w:t>编号</w:t>
            </w:r>
          </w:p>
        </w:tc>
        <w:tc>
          <w:tcPr>
            <w:tcW w:w="4488" w:type="dxa"/>
            <w:tcBorders>
              <w:top w:val="single" w:color="auto" w:sz="4" w:space="0"/>
              <w:left w:val="nil"/>
              <w:bottom w:val="single" w:color="auto" w:sz="4" w:space="0"/>
              <w:right w:val="single" w:color="auto" w:sz="4" w:space="0"/>
            </w:tcBorders>
            <w:vAlign w:val="center"/>
          </w:tcPr>
          <w:p w14:paraId="2C5A4434">
            <w:pPr>
              <w:rPr>
                <w:rFonts w:hint="eastAsia" w:ascii="宋体" w:hAnsi="宋体"/>
                <w:kern w:val="0"/>
                <w:szCs w:val="21"/>
              </w:rPr>
            </w:pPr>
            <w:r>
              <w:rPr>
                <w:rFonts w:hint="eastAsia" w:ascii="宋体" w:hAnsi="宋体"/>
                <w:kern w:val="0"/>
                <w:szCs w:val="21"/>
              </w:rPr>
              <w:t>算术校核项目</w:t>
            </w:r>
          </w:p>
        </w:tc>
        <w:tc>
          <w:tcPr>
            <w:tcW w:w="1602" w:type="dxa"/>
            <w:tcBorders>
              <w:top w:val="single" w:color="auto" w:sz="4" w:space="0"/>
              <w:left w:val="nil"/>
              <w:bottom w:val="single" w:color="auto" w:sz="4" w:space="0"/>
              <w:right w:val="single" w:color="auto" w:sz="4" w:space="0"/>
            </w:tcBorders>
            <w:vAlign w:val="center"/>
          </w:tcPr>
          <w:p w14:paraId="1DF75AFB">
            <w:pPr>
              <w:rPr>
                <w:rFonts w:hint="eastAsia" w:ascii="宋体" w:hAnsi="宋体"/>
                <w:kern w:val="0"/>
                <w:szCs w:val="21"/>
              </w:rPr>
            </w:pPr>
            <w:r>
              <w:rPr>
                <w:rFonts w:hint="eastAsia" w:ascii="宋体" w:hAnsi="宋体"/>
                <w:kern w:val="0"/>
                <w:szCs w:val="21"/>
              </w:rPr>
              <w:t>修正前投标</w:t>
            </w:r>
          </w:p>
          <w:p w14:paraId="356A0BBA">
            <w:pPr>
              <w:rPr>
                <w:rFonts w:hint="eastAsia" w:ascii="宋体" w:hAnsi="宋体"/>
                <w:kern w:val="0"/>
                <w:szCs w:val="21"/>
              </w:rPr>
            </w:pPr>
            <w:r>
              <w:rPr>
                <w:rFonts w:hint="eastAsia" w:ascii="宋体" w:hAnsi="宋体"/>
                <w:kern w:val="0"/>
                <w:szCs w:val="21"/>
              </w:rPr>
              <w:t>报价</w:t>
            </w:r>
            <w:r>
              <w:rPr>
                <w:rFonts w:ascii="宋体" w:hAnsi="宋体"/>
                <w:kern w:val="0"/>
                <w:szCs w:val="21"/>
              </w:rPr>
              <w:t>A</w:t>
            </w:r>
          </w:p>
        </w:tc>
        <w:tc>
          <w:tcPr>
            <w:tcW w:w="1575" w:type="dxa"/>
            <w:tcBorders>
              <w:top w:val="single" w:color="auto" w:sz="4" w:space="0"/>
              <w:left w:val="nil"/>
              <w:bottom w:val="single" w:color="auto" w:sz="4" w:space="0"/>
              <w:right w:val="single" w:color="auto" w:sz="4" w:space="0"/>
            </w:tcBorders>
            <w:vAlign w:val="center"/>
          </w:tcPr>
          <w:p w14:paraId="4050AF6B">
            <w:pPr>
              <w:rPr>
                <w:rFonts w:hint="eastAsia" w:ascii="宋体" w:hAnsi="宋体"/>
                <w:kern w:val="0"/>
                <w:szCs w:val="21"/>
              </w:rPr>
            </w:pPr>
            <w:r>
              <w:rPr>
                <w:rFonts w:hint="eastAsia" w:ascii="宋体" w:hAnsi="宋体"/>
                <w:kern w:val="0"/>
                <w:szCs w:val="21"/>
              </w:rPr>
              <w:t>修正后投标</w:t>
            </w:r>
          </w:p>
          <w:p w14:paraId="72667555">
            <w:pPr>
              <w:rPr>
                <w:rFonts w:hint="eastAsia" w:ascii="宋体" w:hAnsi="宋体"/>
                <w:kern w:val="0"/>
                <w:szCs w:val="21"/>
              </w:rPr>
            </w:pPr>
            <w:r>
              <w:rPr>
                <w:rFonts w:hint="eastAsia" w:ascii="宋体" w:hAnsi="宋体"/>
                <w:kern w:val="0"/>
                <w:szCs w:val="21"/>
              </w:rPr>
              <w:t>报价</w:t>
            </w:r>
            <w:r>
              <w:rPr>
                <w:rFonts w:ascii="宋体" w:hAnsi="宋体"/>
                <w:kern w:val="0"/>
                <w:szCs w:val="21"/>
              </w:rPr>
              <w:t>B</w:t>
            </w:r>
          </w:p>
        </w:tc>
        <w:tc>
          <w:tcPr>
            <w:tcW w:w="1575" w:type="dxa"/>
            <w:tcBorders>
              <w:top w:val="single" w:color="auto" w:sz="4" w:space="0"/>
              <w:left w:val="nil"/>
              <w:bottom w:val="single" w:color="auto" w:sz="4" w:space="0"/>
              <w:right w:val="single" w:color="auto" w:sz="4" w:space="0"/>
            </w:tcBorders>
            <w:vAlign w:val="center"/>
          </w:tcPr>
          <w:p w14:paraId="5FB0396F">
            <w:pPr>
              <w:rPr>
                <w:rFonts w:hint="eastAsia" w:ascii="宋体" w:hAnsi="宋体"/>
                <w:kern w:val="0"/>
                <w:szCs w:val="21"/>
              </w:rPr>
            </w:pPr>
            <w:r>
              <w:rPr>
                <w:rFonts w:hint="eastAsia" w:ascii="宋体" w:hAnsi="宋体"/>
                <w:kern w:val="0"/>
                <w:szCs w:val="21"/>
              </w:rPr>
              <w:t>修正率</w:t>
            </w:r>
            <w:r>
              <w:rPr>
                <w:rFonts w:ascii="宋体" w:hAnsi="宋体"/>
                <w:kern w:val="0"/>
                <w:szCs w:val="21"/>
              </w:rPr>
              <w:br w:type="textWrapping"/>
            </w:r>
            <w:r>
              <w:rPr>
                <w:rFonts w:ascii="宋体" w:hAnsi="宋体"/>
                <w:kern w:val="0"/>
                <w:szCs w:val="21"/>
              </w:rPr>
              <w:t>r=|A-B|/A*100%</w:t>
            </w:r>
          </w:p>
        </w:tc>
        <w:tc>
          <w:tcPr>
            <w:tcW w:w="1470" w:type="dxa"/>
            <w:tcBorders>
              <w:top w:val="single" w:color="auto" w:sz="4" w:space="0"/>
              <w:left w:val="nil"/>
              <w:bottom w:val="single" w:color="auto" w:sz="4" w:space="0"/>
              <w:right w:val="single" w:color="auto" w:sz="4" w:space="0"/>
            </w:tcBorders>
            <w:vAlign w:val="center"/>
          </w:tcPr>
          <w:p w14:paraId="06984566">
            <w:pPr>
              <w:rPr>
                <w:rFonts w:hint="eastAsia" w:ascii="宋体" w:hAnsi="宋体"/>
                <w:kern w:val="0"/>
                <w:szCs w:val="21"/>
              </w:rPr>
            </w:pPr>
            <w:r>
              <w:rPr>
                <w:rFonts w:hint="eastAsia" w:ascii="宋体" w:hAnsi="宋体"/>
                <w:kern w:val="0"/>
                <w:szCs w:val="21"/>
              </w:rPr>
              <w:t>经评审的最终投标报价</w:t>
            </w:r>
          </w:p>
        </w:tc>
        <w:tc>
          <w:tcPr>
            <w:tcW w:w="3465" w:type="dxa"/>
            <w:tcBorders>
              <w:top w:val="single" w:color="auto" w:sz="4" w:space="0"/>
              <w:left w:val="nil"/>
              <w:bottom w:val="single" w:color="auto" w:sz="4" w:space="0"/>
              <w:right w:val="single" w:color="auto" w:sz="4" w:space="0"/>
            </w:tcBorders>
            <w:vAlign w:val="center"/>
          </w:tcPr>
          <w:p w14:paraId="1AAB0704">
            <w:pPr>
              <w:rPr>
                <w:rFonts w:hint="eastAsia" w:ascii="宋体" w:hAnsi="宋体"/>
                <w:kern w:val="0"/>
                <w:szCs w:val="21"/>
              </w:rPr>
            </w:pPr>
            <w:r>
              <w:rPr>
                <w:rFonts w:hint="eastAsia" w:ascii="宋体" w:hAnsi="宋体"/>
                <w:kern w:val="0"/>
                <w:szCs w:val="21"/>
              </w:rPr>
              <w:t>当</w:t>
            </w:r>
            <w:r>
              <w:rPr>
                <w:rFonts w:ascii="宋体" w:hAnsi="宋体"/>
                <w:kern w:val="0"/>
                <w:szCs w:val="21"/>
              </w:rPr>
              <w:t>B&gt;A</w:t>
            </w:r>
            <w:r>
              <w:rPr>
                <w:rFonts w:hint="eastAsia" w:ascii="宋体" w:hAnsi="宋体"/>
                <w:kern w:val="0"/>
                <w:szCs w:val="21"/>
              </w:rPr>
              <w:t>时，修正后报价与原报价的差额；当</w:t>
            </w:r>
            <w:r>
              <w:rPr>
                <w:rFonts w:ascii="宋体" w:hAnsi="宋体"/>
                <w:kern w:val="0"/>
                <w:szCs w:val="21"/>
              </w:rPr>
              <w:t>B</w:t>
            </w:r>
            <w:r>
              <w:rPr>
                <w:rFonts w:hint="eastAsia" w:ascii="宋体" w:hAnsi="宋体"/>
                <w:kern w:val="0"/>
                <w:szCs w:val="21"/>
              </w:rPr>
              <w:t>≤</w:t>
            </w:r>
            <w:r>
              <w:rPr>
                <w:rFonts w:ascii="宋体" w:hAnsi="宋体"/>
                <w:kern w:val="0"/>
                <w:szCs w:val="21"/>
              </w:rPr>
              <w:t>A</w:t>
            </w:r>
            <w:r>
              <w:rPr>
                <w:rFonts w:hint="eastAsia" w:ascii="宋体" w:hAnsi="宋体"/>
                <w:kern w:val="0"/>
                <w:szCs w:val="21"/>
              </w:rPr>
              <w:t>时</w:t>
            </w:r>
            <w:r>
              <w:rPr>
                <w:rFonts w:ascii="宋体" w:hAnsi="宋体"/>
                <w:kern w:val="0"/>
                <w:szCs w:val="21"/>
              </w:rPr>
              <w:t>,R=0</w:t>
            </w:r>
          </w:p>
        </w:tc>
      </w:tr>
      <w:tr w14:paraId="16D232B9">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55A9982B">
            <w:pPr>
              <w:rPr>
                <w:rFonts w:hint="eastAsia" w:ascii="宋体" w:hAnsi="宋体"/>
                <w:kern w:val="0"/>
                <w:szCs w:val="21"/>
              </w:rPr>
            </w:pPr>
            <w:r>
              <w:rPr>
                <w:rFonts w:ascii="宋体" w:hAnsi="宋体"/>
                <w:kern w:val="0"/>
                <w:szCs w:val="21"/>
              </w:rPr>
              <w:t>1</w:t>
            </w:r>
          </w:p>
        </w:tc>
        <w:tc>
          <w:tcPr>
            <w:tcW w:w="4488" w:type="dxa"/>
            <w:tcBorders>
              <w:top w:val="nil"/>
              <w:left w:val="nil"/>
              <w:bottom w:val="single" w:color="auto" w:sz="4" w:space="0"/>
              <w:right w:val="single" w:color="auto" w:sz="4" w:space="0"/>
            </w:tcBorders>
            <w:vAlign w:val="center"/>
          </w:tcPr>
          <w:p w14:paraId="663F7D9D">
            <w:pPr>
              <w:rPr>
                <w:rFonts w:hint="eastAsia" w:ascii="宋体" w:hAnsi="宋体"/>
                <w:kern w:val="0"/>
                <w:szCs w:val="21"/>
              </w:rPr>
            </w:pPr>
            <w:r>
              <w:rPr>
                <w:rFonts w:ascii="宋体" w:hAnsi="宋体"/>
                <w:kern w:val="0"/>
                <w:szCs w:val="21"/>
              </w:rPr>
              <w:t>[</w:t>
            </w:r>
            <w:r>
              <w:rPr>
                <w:rFonts w:hint="eastAsia" w:ascii="宋体" w:hAnsi="宋体"/>
                <w:kern w:val="0"/>
                <w:szCs w:val="21"/>
              </w:rPr>
              <w:t>单位工程</w:t>
            </w:r>
            <w:r>
              <w:rPr>
                <w:rFonts w:ascii="宋体" w:hAnsi="宋体"/>
                <w:kern w:val="0"/>
                <w:szCs w:val="21"/>
              </w:rPr>
              <w:t>1]</w:t>
            </w:r>
          </w:p>
        </w:tc>
        <w:tc>
          <w:tcPr>
            <w:tcW w:w="1602" w:type="dxa"/>
            <w:tcBorders>
              <w:top w:val="nil"/>
              <w:left w:val="nil"/>
              <w:bottom w:val="single" w:color="auto" w:sz="4" w:space="0"/>
              <w:right w:val="single" w:color="auto" w:sz="4" w:space="0"/>
            </w:tcBorders>
            <w:vAlign w:val="center"/>
          </w:tcPr>
          <w:p w14:paraId="2CC2E1A1">
            <w:pPr>
              <w:rPr>
                <w:rFonts w:hint="eastAsia"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14:paraId="4B569F0D">
            <w:pPr>
              <w:rPr>
                <w:rFonts w:hint="eastAsia"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14:paraId="55208D17">
            <w:pPr>
              <w:rPr>
                <w:rFonts w:hint="eastAsia" w:ascii="宋体" w:hAnsi="宋体"/>
                <w:kern w:val="0"/>
                <w:szCs w:val="21"/>
              </w:rPr>
            </w:pPr>
            <w:r>
              <w:rPr>
                <w:rFonts w:hint="eastAsia" w:ascii="宋体" w:hAnsi="宋体"/>
                <w:kern w:val="0"/>
                <w:szCs w:val="21"/>
              </w:rPr>
              <w:t>　</w:t>
            </w:r>
          </w:p>
        </w:tc>
        <w:tc>
          <w:tcPr>
            <w:tcW w:w="1470" w:type="dxa"/>
            <w:tcBorders>
              <w:top w:val="nil"/>
              <w:left w:val="nil"/>
              <w:bottom w:val="single" w:color="auto" w:sz="4" w:space="0"/>
              <w:right w:val="single" w:color="auto" w:sz="4" w:space="0"/>
            </w:tcBorders>
            <w:vAlign w:val="center"/>
          </w:tcPr>
          <w:p w14:paraId="5CD17D40">
            <w:pPr>
              <w:rPr>
                <w:rFonts w:hint="eastAsia" w:ascii="宋体" w:hAnsi="宋体"/>
                <w:kern w:val="0"/>
                <w:szCs w:val="21"/>
              </w:rPr>
            </w:pPr>
            <w:r>
              <w:rPr>
                <w:rFonts w:hint="eastAsia" w:ascii="宋体" w:hAnsi="宋体"/>
                <w:kern w:val="0"/>
                <w:szCs w:val="21"/>
              </w:rPr>
              <w:t>　</w:t>
            </w:r>
          </w:p>
        </w:tc>
        <w:tc>
          <w:tcPr>
            <w:tcW w:w="3465" w:type="dxa"/>
            <w:tcBorders>
              <w:top w:val="single" w:color="auto" w:sz="4" w:space="0"/>
              <w:left w:val="nil"/>
              <w:bottom w:val="single" w:color="auto" w:sz="4" w:space="0"/>
              <w:right w:val="single" w:color="auto" w:sz="4" w:space="0"/>
            </w:tcBorders>
            <w:vAlign w:val="center"/>
          </w:tcPr>
          <w:p w14:paraId="6BBEEE8B">
            <w:pPr>
              <w:rPr>
                <w:rFonts w:hint="eastAsia" w:ascii="宋体" w:hAnsi="宋体"/>
                <w:kern w:val="0"/>
                <w:szCs w:val="21"/>
              </w:rPr>
            </w:pPr>
          </w:p>
        </w:tc>
      </w:tr>
      <w:tr w14:paraId="337E349E">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18F0B029">
            <w:pPr>
              <w:rPr>
                <w:rFonts w:hint="eastAsia" w:ascii="宋体" w:hAnsi="宋体"/>
                <w:kern w:val="0"/>
                <w:szCs w:val="21"/>
              </w:rPr>
            </w:pPr>
            <w:r>
              <w:rPr>
                <w:rFonts w:ascii="宋体" w:hAnsi="宋体"/>
                <w:kern w:val="0"/>
                <w:szCs w:val="21"/>
              </w:rPr>
              <w:t>2</w:t>
            </w:r>
          </w:p>
        </w:tc>
        <w:tc>
          <w:tcPr>
            <w:tcW w:w="4488" w:type="dxa"/>
            <w:tcBorders>
              <w:top w:val="nil"/>
              <w:left w:val="nil"/>
              <w:bottom w:val="single" w:color="auto" w:sz="4" w:space="0"/>
              <w:right w:val="single" w:color="auto" w:sz="4" w:space="0"/>
            </w:tcBorders>
            <w:vAlign w:val="center"/>
          </w:tcPr>
          <w:p w14:paraId="64A2DD46">
            <w:pPr>
              <w:rPr>
                <w:rFonts w:hint="eastAsia" w:ascii="宋体" w:hAnsi="宋体"/>
                <w:kern w:val="0"/>
                <w:szCs w:val="21"/>
              </w:rPr>
            </w:pPr>
            <w:r>
              <w:rPr>
                <w:rFonts w:ascii="宋体" w:hAnsi="宋体"/>
                <w:kern w:val="0"/>
                <w:szCs w:val="21"/>
              </w:rPr>
              <w:t>[</w:t>
            </w:r>
            <w:r>
              <w:rPr>
                <w:rFonts w:hint="eastAsia" w:ascii="宋体" w:hAnsi="宋体"/>
                <w:kern w:val="0"/>
                <w:szCs w:val="21"/>
              </w:rPr>
              <w:t>单位工程</w:t>
            </w:r>
            <w:r>
              <w:rPr>
                <w:rFonts w:ascii="宋体" w:hAnsi="宋体"/>
                <w:kern w:val="0"/>
                <w:szCs w:val="21"/>
              </w:rPr>
              <w:t>2]</w:t>
            </w:r>
          </w:p>
        </w:tc>
        <w:tc>
          <w:tcPr>
            <w:tcW w:w="1602" w:type="dxa"/>
            <w:tcBorders>
              <w:top w:val="nil"/>
              <w:left w:val="nil"/>
              <w:bottom w:val="single" w:color="auto" w:sz="4" w:space="0"/>
              <w:right w:val="single" w:color="auto" w:sz="4" w:space="0"/>
            </w:tcBorders>
            <w:vAlign w:val="center"/>
          </w:tcPr>
          <w:p w14:paraId="570FB21A">
            <w:pPr>
              <w:rPr>
                <w:rFonts w:hint="eastAsia"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14:paraId="103069F6">
            <w:pPr>
              <w:rPr>
                <w:rFonts w:hint="eastAsia"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14:paraId="2C5DC607">
            <w:pPr>
              <w:rPr>
                <w:rFonts w:hint="eastAsia" w:ascii="宋体" w:hAnsi="宋体"/>
                <w:kern w:val="0"/>
                <w:szCs w:val="21"/>
              </w:rPr>
            </w:pPr>
            <w:r>
              <w:rPr>
                <w:rFonts w:hint="eastAsia" w:ascii="宋体" w:hAnsi="宋体"/>
                <w:kern w:val="0"/>
                <w:szCs w:val="21"/>
              </w:rPr>
              <w:t>　</w:t>
            </w:r>
          </w:p>
        </w:tc>
        <w:tc>
          <w:tcPr>
            <w:tcW w:w="1470" w:type="dxa"/>
            <w:tcBorders>
              <w:top w:val="nil"/>
              <w:left w:val="nil"/>
              <w:bottom w:val="single" w:color="auto" w:sz="4" w:space="0"/>
              <w:right w:val="single" w:color="auto" w:sz="4" w:space="0"/>
            </w:tcBorders>
            <w:vAlign w:val="center"/>
          </w:tcPr>
          <w:p w14:paraId="2482D535">
            <w:pPr>
              <w:rPr>
                <w:rFonts w:hint="eastAsia" w:ascii="宋体" w:hAnsi="宋体"/>
                <w:kern w:val="0"/>
                <w:szCs w:val="21"/>
              </w:rPr>
            </w:pPr>
            <w:r>
              <w:rPr>
                <w:rFonts w:hint="eastAsia" w:ascii="宋体" w:hAnsi="宋体"/>
                <w:kern w:val="0"/>
                <w:szCs w:val="21"/>
              </w:rPr>
              <w:t>　</w:t>
            </w:r>
          </w:p>
        </w:tc>
        <w:tc>
          <w:tcPr>
            <w:tcW w:w="3465" w:type="dxa"/>
            <w:tcBorders>
              <w:top w:val="single" w:color="auto" w:sz="4" w:space="0"/>
              <w:left w:val="nil"/>
              <w:bottom w:val="single" w:color="auto" w:sz="4" w:space="0"/>
              <w:right w:val="single" w:color="auto" w:sz="4" w:space="0"/>
            </w:tcBorders>
            <w:vAlign w:val="center"/>
          </w:tcPr>
          <w:p w14:paraId="4A3A23DA">
            <w:pPr>
              <w:rPr>
                <w:rFonts w:hint="eastAsia" w:ascii="宋体" w:hAnsi="宋体"/>
                <w:kern w:val="0"/>
                <w:szCs w:val="21"/>
              </w:rPr>
            </w:pPr>
          </w:p>
        </w:tc>
      </w:tr>
      <w:tr w14:paraId="5D4A4019">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0BB563C0">
            <w:pPr>
              <w:rPr>
                <w:rFonts w:hint="eastAsia" w:ascii="宋体" w:hAnsi="宋体"/>
                <w:kern w:val="0"/>
                <w:szCs w:val="21"/>
              </w:rPr>
            </w:pPr>
            <w:r>
              <w:rPr>
                <w:rFonts w:hint="eastAsia" w:ascii="宋体" w:hAnsi="宋体"/>
                <w:kern w:val="0"/>
                <w:szCs w:val="21"/>
              </w:rPr>
              <w:t>…</w:t>
            </w:r>
          </w:p>
        </w:tc>
        <w:tc>
          <w:tcPr>
            <w:tcW w:w="4488" w:type="dxa"/>
            <w:tcBorders>
              <w:top w:val="nil"/>
              <w:left w:val="nil"/>
              <w:bottom w:val="single" w:color="auto" w:sz="4" w:space="0"/>
              <w:right w:val="single" w:color="auto" w:sz="4" w:space="0"/>
            </w:tcBorders>
            <w:vAlign w:val="center"/>
          </w:tcPr>
          <w:p w14:paraId="48C061C4">
            <w:pPr>
              <w:rPr>
                <w:rFonts w:hint="eastAsia" w:ascii="宋体" w:hAnsi="宋体"/>
                <w:kern w:val="0"/>
                <w:szCs w:val="21"/>
              </w:rPr>
            </w:pPr>
            <w:r>
              <w:rPr>
                <w:rFonts w:hint="eastAsia" w:ascii="宋体" w:hAnsi="宋体"/>
                <w:kern w:val="0"/>
                <w:szCs w:val="21"/>
              </w:rPr>
              <w:t>…</w:t>
            </w:r>
          </w:p>
        </w:tc>
        <w:tc>
          <w:tcPr>
            <w:tcW w:w="1602" w:type="dxa"/>
            <w:tcBorders>
              <w:top w:val="nil"/>
              <w:left w:val="nil"/>
              <w:bottom w:val="single" w:color="auto" w:sz="4" w:space="0"/>
              <w:right w:val="single" w:color="auto" w:sz="4" w:space="0"/>
            </w:tcBorders>
            <w:vAlign w:val="center"/>
          </w:tcPr>
          <w:p w14:paraId="17736BB4">
            <w:pPr>
              <w:rPr>
                <w:rFonts w:hint="eastAsia"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14:paraId="41F7A784">
            <w:pPr>
              <w:rPr>
                <w:rFonts w:hint="eastAsia"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14:paraId="54E24599">
            <w:pPr>
              <w:rPr>
                <w:rFonts w:hint="eastAsia" w:ascii="宋体" w:hAnsi="宋体"/>
                <w:kern w:val="0"/>
                <w:szCs w:val="21"/>
              </w:rPr>
            </w:pPr>
            <w:r>
              <w:rPr>
                <w:rFonts w:hint="eastAsia" w:ascii="宋体" w:hAnsi="宋体"/>
                <w:kern w:val="0"/>
                <w:szCs w:val="21"/>
              </w:rPr>
              <w:t>　</w:t>
            </w:r>
          </w:p>
        </w:tc>
        <w:tc>
          <w:tcPr>
            <w:tcW w:w="1470" w:type="dxa"/>
            <w:tcBorders>
              <w:top w:val="nil"/>
              <w:left w:val="nil"/>
              <w:bottom w:val="single" w:color="auto" w:sz="4" w:space="0"/>
              <w:right w:val="single" w:color="auto" w:sz="4" w:space="0"/>
            </w:tcBorders>
            <w:vAlign w:val="center"/>
          </w:tcPr>
          <w:p w14:paraId="0794E5D6">
            <w:pPr>
              <w:rPr>
                <w:rFonts w:hint="eastAsia" w:ascii="宋体" w:hAnsi="宋体"/>
                <w:kern w:val="0"/>
                <w:szCs w:val="21"/>
              </w:rPr>
            </w:pPr>
            <w:r>
              <w:rPr>
                <w:rFonts w:hint="eastAsia" w:ascii="宋体" w:hAnsi="宋体"/>
                <w:kern w:val="0"/>
                <w:szCs w:val="21"/>
              </w:rPr>
              <w:t>　</w:t>
            </w:r>
          </w:p>
        </w:tc>
        <w:tc>
          <w:tcPr>
            <w:tcW w:w="3465" w:type="dxa"/>
            <w:tcBorders>
              <w:top w:val="single" w:color="auto" w:sz="4" w:space="0"/>
              <w:left w:val="nil"/>
              <w:bottom w:val="single" w:color="auto" w:sz="4" w:space="0"/>
              <w:right w:val="single" w:color="auto" w:sz="4" w:space="0"/>
            </w:tcBorders>
            <w:vAlign w:val="center"/>
          </w:tcPr>
          <w:p w14:paraId="764201C1">
            <w:pPr>
              <w:rPr>
                <w:rFonts w:hint="eastAsia" w:ascii="宋体" w:hAnsi="宋体"/>
                <w:kern w:val="0"/>
                <w:szCs w:val="21"/>
              </w:rPr>
            </w:pPr>
          </w:p>
        </w:tc>
      </w:tr>
      <w:tr w14:paraId="5F25CF3B">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0489EA02">
            <w:pPr>
              <w:rPr>
                <w:rFonts w:hint="eastAsia" w:ascii="宋体" w:hAnsi="宋体"/>
                <w:kern w:val="0"/>
                <w:szCs w:val="21"/>
              </w:rPr>
            </w:pPr>
            <w:r>
              <w:rPr>
                <w:rFonts w:hint="eastAsia" w:ascii="宋体" w:hAnsi="宋体"/>
                <w:kern w:val="0"/>
                <w:szCs w:val="21"/>
              </w:rPr>
              <w:t>…</w:t>
            </w:r>
          </w:p>
        </w:tc>
        <w:tc>
          <w:tcPr>
            <w:tcW w:w="4488" w:type="dxa"/>
            <w:tcBorders>
              <w:top w:val="nil"/>
              <w:left w:val="nil"/>
              <w:bottom w:val="single" w:color="auto" w:sz="4" w:space="0"/>
              <w:right w:val="single" w:color="auto" w:sz="4" w:space="0"/>
            </w:tcBorders>
            <w:vAlign w:val="center"/>
          </w:tcPr>
          <w:p w14:paraId="39E309EC">
            <w:pPr>
              <w:rPr>
                <w:rFonts w:hint="eastAsia" w:ascii="宋体" w:hAnsi="宋体"/>
                <w:kern w:val="0"/>
                <w:szCs w:val="21"/>
              </w:rPr>
            </w:pPr>
            <w:r>
              <w:rPr>
                <w:rFonts w:hint="eastAsia" w:ascii="宋体" w:hAnsi="宋体"/>
                <w:kern w:val="0"/>
                <w:szCs w:val="21"/>
              </w:rPr>
              <w:t>…</w:t>
            </w:r>
          </w:p>
        </w:tc>
        <w:tc>
          <w:tcPr>
            <w:tcW w:w="1602" w:type="dxa"/>
            <w:tcBorders>
              <w:top w:val="nil"/>
              <w:left w:val="nil"/>
              <w:bottom w:val="single" w:color="auto" w:sz="4" w:space="0"/>
              <w:right w:val="single" w:color="auto" w:sz="4" w:space="0"/>
            </w:tcBorders>
            <w:vAlign w:val="center"/>
          </w:tcPr>
          <w:p w14:paraId="5600693E">
            <w:pPr>
              <w:rPr>
                <w:rFonts w:hint="eastAsia"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14:paraId="68D24670">
            <w:pPr>
              <w:rPr>
                <w:rFonts w:hint="eastAsia"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14:paraId="65E52B80">
            <w:pPr>
              <w:rPr>
                <w:rFonts w:hint="eastAsia" w:ascii="宋体" w:hAnsi="宋体"/>
                <w:kern w:val="0"/>
                <w:szCs w:val="21"/>
              </w:rPr>
            </w:pPr>
            <w:r>
              <w:rPr>
                <w:rFonts w:hint="eastAsia" w:ascii="宋体" w:hAnsi="宋体"/>
                <w:kern w:val="0"/>
                <w:szCs w:val="21"/>
              </w:rPr>
              <w:t>　</w:t>
            </w:r>
          </w:p>
        </w:tc>
        <w:tc>
          <w:tcPr>
            <w:tcW w:w="1470" w:type="dxa"/>
            <w:tcBorders>
              <w:top w:val="nil"/>
              <w:left w:val="nil"/>
              <w:bottom w:val="single" w:color="auto" w:sz="4" w:space="0"/>
              <w:right w:val="single" w:color="auto" w:sz="4" w:space="0"/>
            </w:tcBorders>
            <w:vAlign w:val="center"/>
          </w:tcPr>
          <w:p w14:paraId="23C2AE29">
            <w:pPr>
              <w:rPr>
                <w:rFonts w:hint="eastAsia" w:ascii="宋体" w:hAnsi="宋体"/>
                <w:kern w:val="0"/>
                <w:szCs w:val="21"/>
              </w:rPr>
            </w:pPr>
            <w:r>
              <w:rPr>
                <w:rFonts w:hint="eastAsia" w:ascii="宋体" w:hAnsi="宋体"/>
                <w:kern w:val="0"/>
                <w:szCs w:val="21"/>
              </w:rPr>
              <w:t>　</w:t>
            </w:r>
          </w:p>
        </w:tc>
        <w:tc>
          <w:tcPr>
            <w:tcW w:w="3465" w:type="dxa"/>
            <w:tcBorders>
              <w:top w:val="single" w:color="auto" w:sz="4" w:space="0"/>
              <w:left w:val="nil"/>
              <w:bottom w:val="single" w:color="auto" w:sz="4" w:space="0"/>
              <w:right w:val="single" w:color="auto" w:sz="4" w:space="0"/>
            </w:tcBorders>
            <w:vAlign w:val="center"/>
          </w:tcPr>
          <w:p w14:paraId="7EA01A81">
            <w:pPr>
              <w:rPr>
                <w:rFonts w:hint="eastAsia" w:ascii="宋体" w:hAnsi="宋体"/>
                <w:kern w:val="0"/>
                <w:szCs w:val="21"/>
              </w:rPr>
            </w:pPr>
          </w:p>
        </w:tc>
      </w:tr>
      <w:tr w14:paraId="483A2614">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488BFAC0">
            <w:pPr>
              <w:rPr>
                <w:rFonts w:hint="eastAsia" w:ascii="宋体" w:hAnsi="宋体"/>
                <w:kern w:val="0"/>
                <w:szCs w:val="21"/>
              </w:rPr>
            </w:pPr>
            <w:r>
              <w:rPr>
                <w:rFonts w:hint="eastAsia" w:ascii="宋体" w:hAnsi="宋体"/>
                <w:kern w:val="0"/>
                <w:szCs w:val="21"/>
              </w:rPr>
              <w:t>…</w:t>
            </w:r>
          </w:p>
        </w:tc>
        <w:tc>
          <w:tcPr>
            <w:tcW w:w="4488" w:type="dxa"/>
            <w:tcBorders>
              <w:top w:val="nil"/>
              <w:left w:val="nil"/>
              <w:bottom w:val="single" w:color="auto" w:sz="4" w:space="0"/>
              <w:right w:val="single" w:color="auto" w:sz="4" w:space="0"/>
            </w:tcBorders>
            <w:vAlign w:val="center"/>
          </w:tcPr>
          <w:p w14:paraId="3D1F7C4E">
            <w:pPr>
              <w:rPr>
                <w:rFonts w:hint="eastAsia" w:ascii="宋体" w:hAnsi="宋体"/>
                <w:kern w:val="0"/>
                <w:szCs w:val="21"/>
              </w:rPr>
            </w:pPr>
            <w:r>
              <w:rPr>
                <w:rFonts w:hint="eastAsia" w:ascii="宋体" w:hAnsi="宋体"/>
                <w:kern w:val="0"/>
                <w:szCs w:val="21"/>
              </w:rPr>
              <w:t>…</w:t>
            </w:r>
          </w:p>
        </w:tc>
        <w:tc>
          <w:tcPr>
            <w:tcW w:w="1602" w:type="dxa"/>
            <w:tcBorders>
              <w:top w:val="nil"/>
              <w:left w:val="nil"/>
              <w:bottom w:val="single" w:color="auto" w:sz="4" w:space="0"/>
              <w:right w:val="single" w:color="auto" w:sz="4" w:space="0"/>
            </w:tcBorders>
            <w:vAlign w:val="center"/>
          </w:tcPr>
          <w:p w14:paraId="7BF08D08">
            <w:pPr>
              <w:rPr>
                <w:rFonts w:hint="eastAsia"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14:paraId="565F5DCC">
            <w:pPr>
              <w:rPr>
                <w:rFonts w:hint="eastAsia"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14:paraId="239E388C">
            <w:pPr>
              <w:rPr>
                <w:rFonts w:hint="eastAsia" w:ascii="宋体" w:hAnsi="宋体"/>
                <w:kern w:val="0"/>
                <w:szCs w:val="21"/>
              </w:rPr>
            </w:pPr>
            <w:r>
              <w:rPr>
                <w:rFonts w:hint="eastAsia" w:ascii="宋体" w:hAnsi="宋体"/>
                <w:kern w:val="0"/>
                <w:szCs w:val="21"/>
              </w:rPr>
              <w:t>　</w:t>
            </w:r>
          </w:p>
        </w:tc>
        <w:tc>
          <w:tcPr>
            <w:tcW w:w="1470" w:type="dxa"/>
            <w:tcBorders>
              <w:top w:val="nil"/>
              <w:left w:val="nil"/>
              <w:bottom w:val="single" w:color="auto" w:sz="4" w:space="0"/>
              <w:right w:val="single" w:color="auto" w:sz="4" w:space="0"/>
            </w:tcBorders>
            <w:vAlign w:val="center"/>
          </w:tcPr>
          <w:p w14:paraId="07EC19BF">
            <w:pPr>
              <w:rPr>
                <w:rFonts w:hint="eastAsia" w:ascii="宋体" w:hAnsi="宋体"/>
                <w:kern w:val="0"/>
                <w:szCs w:val="21"/>
              </w:rPr>
            </w:pPr>
            <w:r>
              <w:rPr>
                <w:rFonts w:hint="eastAsia" w:ascii="宋体" w:hAnsi="宋体"/>
                <w:kern w:val="0"/>
                <w:szCs w:val="21"/>
              </w:rPr>
              <w:t>　</w:t>
            </w:r>
          </w:p>
        </w:tc>
        <w:tc>
          <w:tcPr>
            <w:tcW w:w="3465" w:type="dxa"/>
            <w:tcBorders>
              <w:top w:val="single" w:color="auto" w:sz="4" w:space="0"/>
              <w:left w:val="nil"/>
              <w:bottom w:val="single" w:color="auto" w:sz="4" w:space="0"/>
              <w:right w:val="single" w:color="auto" w:sz="4" w:space="0"/>
            </w:tcBorders>
            <w:vAlign w:val="center"/>
          </w:tcPr>
          <w:p w14:paraId="07A4616C">
            <w:pPr>
              <w:rPr>
                <w:rFonts w:hint="eastAsia" w:ascii="宋体" w:hAnsi="宋体"/>
                <w:kern w:val="0"/>
                <w:szCs w:val="21"/>
              </w:rPr>
            </w:pPr>
          </w:p>
        </w:tc>
      </w:tr>
      <w:tr w14:paraId="23DDB8EC">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79D3AFCB">
            <w:pPr>
              <w:rPr>
                <w:rFonts w:hint="eastAsia" w:ascii="宋体" w:hAnsi="宋体"/>
                <w:kern w:val="0"/>
                <w:szCs w:val="21"/>
              </w:rPr>
            </w:pPr>
            <w:r>
              <w:rPr>
                <w:rFonts w:ascii="宋体" w:hAnsi="宋体"/>
                <w:kern w:val="0"/>
                <w:szCs w:val="21"/>
              </w:rPr>
              <w:t>n</w:t>
            </w:r>
          </w:p>
        </w:tc>
        <w:tc>
          <w:tcPr>
            <w:tcW w:w="4488" w:type="dxa"/>
            <w:tcBorders>
              <w:top w:val="nil"/>
              <w:left w:val="nil"/>
              <w:bottom w:val="single" w:color="auto" w:sz="4" w:space="0"/>
              <w:right w:val="single" w:color="auto" w:sz="4" w:space="0"/>
            </w:tcBorders>
            <w:vAlign w:val="center"/>
          </w:tcPr>
          <w:p w14:paraId="490BF97A">
            <w:pPr>
              <w:rPr>
                <w:rFonts w:hint="eastAsia" w:ascii="宋体" w:hAnsi="宋体"/>
                <w:kern w:val="0"/>
                <w:szCs w:val="21"/>
              </w:rPr>
            </w:pPr>
            <w:r>
              <w:rPr>
                <w:rFonts w:ascii="宋体" w:hAnsi="宋体"/>
                <w:kern w:val="0"/>
                <w:szCs w:val="21"/>
              </w:rPr>
              <w:t>[</w:t>
            </w:r>
            <w:r>
              <w:rPr>
                <w:rFonts w:hint="eastAsia" w:ascii="宋体" w:hAnsi="宋体"/>
                <w:kern w:val="0"/>
                <w:szCs w:val="21"/>
              </w:rPr>
              <w:t>单位工程</w:t>
            </w:r>
            <w:r>
              <w:rPr>
                <w:rFonts w:ascii="宋体" w:hAnsi="宋体"/>
                <w:kern w:val="0"/>
                <w:szCs w:val="21"/>
              </w:rPr>
              <w:t>n]</w:t>
            </w:r>
          </w:p>
        </w:tc>
        <w:tc>
          <w:tcPr>
            <w:tcW w:w="1602" w:type="dxa"/>
            <w:tcBorders>
              <w:top w:val="nil"/>
              <w:left w:val="nil"/>
              <w:bottom w:val="single" w:color="auto" w:sz="4" w:space="0"/>
              <w:right w:val="single" w:color="auto" w:sz="4" w:space="0"/>
            </w:tcBorders>
            <w:vAlign w:val="center"/>
          </w:tcPr>
          <w:p w14:paraId="6B6EAB8A">
            <w:pPr>
              <w:rPr>
                <w:rFonts w:hint="eastAsia"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14:paraId="0FB7AE65">
            <w:pPr>
              <w:rPr>
                <w:rFonts w:hint="eastAsia"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14:paraId="14AA037A">
            <w:pPr>
              <w:rPr>
                <w:rFonts w:hint="eastAsia" w:ascii="宋体" w:hAnsi="宋体"/>
                <w:kern w:val="0"/>
                <w:szCs w:val="21"/>
              </w:rPr>
            </w:pPr>
            <w:r>
              <w:rPr>
                <w:rFonts w:hint="eastAsia" w:ascii="宋体" w:hAnsi="宋体"/>
                <w:kern w:val="0"/>
                <w:szCs w:val="21"/>
              </w:rPr>
              <w:t>　</w:t>
            </w:r>
          </w:p>
        </w:tc>
        <w:tc>
          <w:tcPr>
            <w:tcW w:w="1470" w:type="dxa"/>
            <w:tcBorders>
              <w:top w:val="nil"/>
              <w:left w:val="nil"/>
              <w:bottom w:val="single" w:color="auto" w:sz="4" w:space="0"/>
              <w:right w:val="single" w:color="auto" w:sz="4" w:space="0"/>
            </w:tcBorders>
            <w:vAlign w:val="center"/>
          </w:tcPr>
          <w:p w14:paraId="59542E4B">
            <w:pPr>
              <w:rPr>
                <w:rFonts w:hint="eastAsia" w:ascii="宋体" w:hAnsi="宋体"/>
                <w:kern w:val="0"/>
                <w:szCs w:val="21"/>
              </w:rPr>
            </w:pPr>
            <w:r>
              <w:rPr>
                <w:rFonts w:hint="eastAsia" w:ascii="宋体" w:hAnsi="宋体"/>
                <w:kern w:val="0"/>
                <w:szCs w:val="21"/>
              </w:rPr>
              <w:t>　</w:t>
            </w:r>
          </w:p>
        </w:tc>
        <w:tc>
          <w:tcPr>
            <w:tcW w:w="3465" w:type="dxa"/>
            <w:tcBorders>
              <w:top w:val="single" w:color="auto" w:sz="4" w:space="0"/>
              <w:left w:val="nil"/>
              <w:bottom w:val="single" w:color="auto" w:sz="4" w:space="0"/>
              <w:right w:val="single" w:color="auto" w:sz="4" w:space="0"/>
            </w:tcBorders>
            <w:vAlign w:val="center"/>
          </w:tcPr>
          <w:p w14:paraId="0D80DE52">
            <w:pPr>
              <w:rPr>
                <w:rFonts w:hint="eastAsia" w:ascii="宋体" w:hAnsi="宋体"/>
                <w:kern w:val="0"/>
                <w:szCs w:val="21"/>
              </w:rPr>
            </w:pPr>
          </w:p>
        </w:tc>
      </w:tr>
      <w:tr w14:paraId="6BF9A7A7">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0C0BF401">
            <w:pPr>
              <w:rPr>
                <w:rFonts w:hint="eastAsia" w:ascii="宋体" w:hAnsi="宋体"/>
                <w:kern w:val="0"/>
                <w:szCs w:val="21"/>
              </w:rPr>
            </w:pPr>
            <w:r>
              <w:rPr>
                <w:rFonts w:hint="eastAsia" w:ascii="宋体" w:hAnsi="宋体"/>
                <w:kern w:val="0"/>
                <w:szCs w:val="21"/>
              </w:rPr>
              <w:t>∑</w:t>
            </w:r>
          </w:p>
        </w:tc>
        <w:tc>
          <w:tcPr>
            <w:tcW w:w="4488" w:type="dxa"/>
            <w:tcBorders>
              <w:top w:val="nil"/>
              <w:left w:val="nil"/>
              <w:bottom w:val="single" w:color="auto" w:sz="4" w:space="0"/>
              <w:right w:val="single" w:color="auto" w:sz="4" w:space="0"/>
            </w:tcBorders>
            <w:vAlign w:val="center"/>
          </w:tcPr>
          <w:p w14:paraId="419C7BAB">
            <w:pPr>
              <w:rPr>
                <w:rFonts w:hint="eastAsia" w:ascii="宋体" w:hAnsi="宋体"/>
                <w:kern w:val="0"/>
                <w:szCs w:val="21"/>
              </w:rPr>
            </w:pPr>
            <w:r>
              <w:rPr>
                <w:rFonts w:hint="eastAsia" w:ascii="宋体" w:hAnsi="宋体"/>
                <w:kern w:val="0"/>
                <w:szCs w:val="21"/>
              </w:rPr>
              <w:t>投标总报价</w:t>
            </w:r>
          </w:p>
        </w:tc>
        <w:tc>
          <w:tcPr>
            <w:tcW w:w="1602" w:type="dxa"/>
            <w:tcBorders>
              <w:top w:val="nil"/>
              <w:left w:val="nil"/>
              <w:bottom w:val="single" w:color="auto" w:sz="4" w:space="0"/>
              <w:right w:val="single" w:color="auto" w:sz="4" w:space="0"/>
            </w:tcBorders>
            <w:vAlign w:val="center"/>
          </w:tcPr>
          <w:p w14:paraId="2B411688">
            <w:pPr>
              <w:rPr>
                <w:rFonts w:hint="eastAsia"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14:paraId="7B0A16DA">
            <w:pPr>
              <w:rPr>
                <w:rFonts w:hint="eastAsia"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r2bl w:val="single" w:color="auto" w:sz="4" w:space="0"/>
            </w:tcBorders>
            <w:vAlign w:val="center"/>
          </w:tcPr>
          <w:p w14:paraId="4D1B92EB">
            <w:pPr>
              <w:rPr>
                <w:rFonts w:hint="eastAsia" w:ascii="宋体" w:hAnsi="宋体"/>
                <w:kern w:val="0"/>
                <w:szCs w:val="21"/>
              </w:rPr>
            </w:pPr>
            <w:r>
              <w:rPr>
                <w:rFonts w:hint="eastAsia" w:ascii="宋体" w:hAnsi="宋体"/>
                <w:kern w:val="0"/>
                <w:szCs w:val="21"/>
              </w:rPr>
              <w:t>　</w:t>
            </w:r>
          </w:p>
        </w:tc>
        <w:tc>
          <w:tcPr>
            <w:tcW w:w="1470" w:type="dxa"/>
            <w:tcBorders>
              <w:top w:val="nil"/>
              <w:left w:val="nil"/>
              <w:bottom w:val="single" w:color="auto" w:sz="4" w:space="0"/>
              <w:right w:val="single" w:color="auto" w:sz="4" w:space="0"/>
            </w:tcBorders>
            <w:vAlign w:val="center"/>
          </w:tcPr>
          <w:p w14:paraId="35E0269A">
            <w:pPr>
              <w:rPr>
                <w:rFonts w:hint="eastAsia" w:ascii="宋体" w:hAnsi="宋体"/>
                <w:kern w:val="0"/>
                <w:szCs w:val="21"/>
              </w:rPr>
            </w:pPr>
            <w:r>
              <w:rPr>
                <w:rFonts w:hint="eastAsia" w:ascii="宋体" w:hAnsi="宋体"/>
                <w:kern w:val="0"/>
                <w:szCs w:val="21"/>
              </w:rPr>
              <w:t>　</w:t>
            </w:r>
          </w:p>
        </w:tc>
        <w:tc>
          <w:tcPr>
            <w:tcW w:w="3465" w:type="dxa"/>
            <w:tcBorders>
              <w:top w:val="single" w:color="auto" w:sz="4" w:space="0"/>
              <w:left w:val="nil"/>
              <w:bottom w:val="single" w:color="auto" w:sz="4" w:space="0"/>
              <w:right w:val="single" w:color="auto" w:sz="4" w:space="0"/>
            </w:tcBorders>
            <w:vAlign w:val="center"/>
          </w:tcPr>
          <w:p w14:paraId="7335A4A1">
            <w:pPr>
              <w:rPr>
                <w:rFonts w:hint="eastAsia" w:ascii="宋体" w:hAnsi="宋体"/>
                <w:kern w:val="0"/>
                <w:szCs w:val="21"/>
              </w:rPr>
            </w:pPr>
            <w:r>
              <w:rPr>
                <w:rFonts w:hint="eastAsia" w:ascii="宋体" w:hAnsi="宋体"/>
                <w:kern w:val="0"/>
                <w:szCs w:val="21"/>
              </w:rPr>
              <w:t>∑</w:t>
            </w:r>
            <w:r>
              <w:rPr>
                <w:rFonts w:ascii="宋体" w:hAnsi="宋体"/>
                <w:kern w:val="0"/>
                <w:szCs w:val="21"/>
              </w:rPr>
              <w:t>A=A</w:t>
            </w:r>
            <w:r>
              <w:rPr>
                <w:rFonts w:ascii="宋体" w:hAnsi="宋体"/>
                <w:kern w:val="0"/>
                <w:szCs w:val="21"/>
                <w:vertAlign w:val="subscript"/>
              </w:rPr>
              <w:t>1</w:t>
            </w:r>
            <w:r>
              <w:rPr>
                <w:rFonts w:ascii="宋体" w:hAnsi="宋体"/>
                <w:kern w:val="0"/>
                <w:szCs w:val="21"/>
              </w:rPr>
              <w:t>+A</w:t>
            </w:r>
            <w:r>
              <w:rPr>
                <w:rFonts w:ascii="宋体" w:hAnsi="宋体"/>
                <w:kern w:val="0"/>
                <w:szCs w:val="21"/>
                <w:vertAlign w:val="subscript"/>
              </w:rPr>
              <w:t>2</w:t>
            </w:r>
            <w:r>
              <w:rPr>
                <w:rFonts w:ascii="宋体" w:hAnsi="宋体"/>
                <w:kern w:val="0"/>
                <w:szCs w:val="21"/>
              </w:rPr>
              <w:t>+</w:t>
            </w:r>
            <w:r>
              <w:rPr>
                <w:rFonts w:hint="eastAsia" w:ascii="宋体" w:hAnsi="宋体"/>
                <w:kern w:val="0"/>
                <w:szCs w:val="21"/>
              </w:rPr>
              <w:t>…</w:t>
            </w:r>
            <w:r>
              <w:rPr>
                <w:rFonts w:ascii="宋体" w:hAnsi="宋体"/>
                <w:kern w:val="0"/>
                <w:szCs w:val="21"/>
              </w:rPr>
              <w:t>An</w:t>
            </w:r>
            <w:r>
              <w:rPr>
                <w:rFonts w:hint="eastAsia" w:ascii="宋体" w:hAnsi="宋体"/>
                <w:kern w:val="0"/>
                <w:szCs w:val="21"/>
              </w:rPr>
              <w:t>；∑</w:t>
            </w:r>
            <w:r>
              <w:rPr>
                <w:rFonts w:ascii="宋体" w:hAnsi="宋体"/>
                <w:kern w:val="0"/>
                <w:szCs w:val="21"/>
              </w:rPr>
              <w:t>B=B</w:t>
            </w:r>
            <w:r>
              <w:rPr>
                <w:rFonts w:ascii="宋体" w:hAnsi="宋体"/>
                <w:kern w:val="0"/>
                <w:szCs w:val="21"/>
                <w:vertAlign w:val="subscript"/>
              </w:rPr>
              <w:t>1</w:t>
            </w:r>
            <w:r>
              <w:rPr>
                <w:rFonts w:ascii="宋体" w:hAnsi="宋体"/>
                <w:kern w:val="0"/>
                <w:szCs w:val="21"/>
              </w:rPr>
              <w:t>+B</w:t>
            </w:r>
            <w:r>
              <w:rPr>
                <w:rFonts w:ascii="宋体" w:hAnsi="宋体"/>
                <w:kern w:val="0"/>
                <w:szCs w:val="21"/>
                <w:vertAlign w:val="subscript"/>
              </w:rPr>
              <w:t>2</w:t>
            </w:r>
            <w:r>
              <w:rPr>
                <w:rFonts w:ascii="宋体" w:hAnsi="宋体"/>
                <w:kern w:val="0"/>
                <w:szCs w:val="21"/>
              </w:rPr>
              <w:t>+</w:t>
            </w:r>
            <w:r>
              <w:rPr>
                <w:rFonts w:hint="eastAsia" w:ascii="宋体" w:hAnsi="宋体"/>
                <w:kern w:val="0"/>
                <w:szCs w:val="21"/>
              </w:rPr>
              <w:t>…</w:t>
            </w:r>
            <w:r>
              <w:rPr>
                <w:rFonts w:ascii="宋体" w:hAnsi="宋体"/>
                <w:kern w:val="0"/>
                <w:szCs w:val="21"/>
              </w:rPr>
              <w:t>Bn</w:t>
            </w:r>
          </w:p>
        </w:tc>
      </w:tr>
    </w:tbl>
    <w:p w14:paraId="63A1928C">
      <w:pPr>
        <w:rPr>
          <w:rFonts w:cs="宋体"/>
          <w:kern w:val="0"/>
          <w:szCs w:val="21"/>
        </w:rPr>
      </w:pPr>
      <w:r>
        <w:rPr>
          <w:rFonts w:hint="eastAsia" w:cs="宋体"/>
          <w:kern w:val="0"/>
          <w:szCs w:val="21"/>
        </w:rPr>
        <w:t>修正原则：</w:t>
      </w:r>
      <w:r>
        <w:rPr>
          <w:rFonts w:hint="eastAsia"/>
          <w:szCs w:val="21"/>
        </w:rPr>
        <w:t>按就低不就高原则，当修正后报价小于原报价，总价按修正后报价；当修正后报价大于原报价，总价按原报价，并在签订合同时载明在结算价中扣除修正报价与原报价的差额。</w:t>
      </w:r>
      <w:r>
        <w:rPr>
          <w:rFonts w:cs="宋体"/>
          <w:kern w:val="0"/>
          <w:szCs w:val="21"/>
        </w:rPr>
        <w:tab/>
      </w:r>
    </w:p>
    <w:p w14:paraId="487FFFD1">
      <w:pPr>
        <w:rPr>
          <w:kern w:val="0"/>
          <w:szCs w:val="21"/>
        </w:rPr>
      </w:pPr>
    </w:p>
    <w:p w14:paraId="7185D189">
      <w:pPr>
        <w:rPr>
          <w:kern w:val="0"/>
          <w:szCs w:val="21"/>
        </w:rPr>
      </w:pPr>
      <w:r>
        <w:rPr>
          <w:rFonts w:hint="eastAsia"/>
          <w:kern w:val="0"/>
          <w:szCs w:val="21"/>
        </w:rPr>
        <w:t>评委签名：</w:t>
      </w:r>
      <w:r>
        <w:rPr>
          <w:kern w:val="0"/>
          <w:szCs w:val="21"/>
        </w:rPr>
        <w:tab/>
      </w:r>
      <w:r>
        <w:rPr>
          <w:kern w:val="0"/>
          <w:szCs w:val="21"/>
        </w:rPr>
        <w:tab/>
      </w:r>
      <w:r>
        <w:rPr>
          <w:kern w:val="0"/>
          <w:szCs w:val="21"/>
        </w:rPr>
        <w:tab/>
      </w:r>
      <w:r>
        <w:rPr>
          <w:kern w:val="0"/>
          <w:szCs w:val="21"/>
        </w:rPr>
        <w:tab/>
      </w:r>
      <w:r>
        <w:rPr>
          <w:kern w:val="0"/>
          <w:szCs w:val="21"/>
        </w:rPr>
        <w:tab/>
      </w:r>
      <w:r>
        <w:rPr>
          <w:rFonts w:hint="eastAsia"/>
          <w:kern w:val="0"/>
          <w:szCs w:val="21"/>
        </w:rPr>
        <w:t>日期：</w:t>
      </w:r>
    </w:p>
    <w:p w14:paraId="35C46217"/>
    <w:p w14:paraId="1EC2C617">
      <w:pPr>
        <w:sectPr>
          <w:headerReference r:id="rId9" w:type="first"/>
          <w:footerReference r:id="rId12" w:type="first"/>
          <w:headerReference r:id="rId7" w:type="default"/>
          <w:footerReference r:id="rId10" w:type="default"/>
          <w:headerReference r:id="rId8" w:type="even"/>
          <w:footerReference r:id="rId11" w:type="even"/>
          <w:endnotePr>
            <w:numFmt w:val="decimal"/>
          </w:endnotePr>
          <w:pgSz w:w="16838" w:h="11906" w:orient="landscape"/>
          <w:pgMar w:top="1418" w:right="1247" w:bottom="1418" w:left="1134" w:header="851" w:footer="907" w:gutter="0"/>
          <w:cols w:space="425" w:num="1"/>
          <w:titlePg/>
          <w:docGrid w:type="lines" w:linePitch="312" w:charSpace="0"/>
        </w:sectPr>
      </w:pPr>
      <w:r>
        <w:br w:type="page"/>
      </w:r>
    </w:p>
    <w:p w14:paraId="2CE9DCCE"/>
    <w:p w14:paraId="22C88342">
      <w:pPr>
        <w:pStyle w:val="3"/>
      </w:pPr>
      <w:bookmarkStart w:id="80" w:name="_Toc21525511"/>
      <w:bookmarkStart w:id="81" w:name="_Toc2272566"/>
      <w:bookmarkStart w:id="82" w:name="_Toc25611"/>
      <w:bookmarkStart w:id="83" w:name="_Toc5517"/>
      <w:r>
        <w:rPr>
          <w:rFonts w:hint="eastAsia"/>
        </w:rPr>
        <w:t>第三章</w:t>
      </w:r>
      <w:r>
        <w:t xml:space="preserve">  </w:t>
      </w:r>
      <w:r>
        <w:rPr>
          <w:rFonts w:hint="eastAsia"/>
        </w:rPr>
        <w:t>合同条款</w:t>
      </w:r>
      <w:bookmarkEnd w:id="80"/>
      <w:bookmarkEnd w:id="81"/>
      <w:r>
        <w:rPr>
          <w:rFonts w:hint="eastAsia"/>
        </w:rPr>
        <w:t>及格式</w:t>
      </w:r>
      <w:bookmarkEnd w:id="82"/>
      <w:bookmarkEnd w:id="83"/>
    </w:p>
    <w:p w14:paraId="01604C34">
      <w:pPr>
        <w:spacing w:line="300" w:lineRule="auto"/>
        <w:ind w:firstLine="560" w:firstLineChars="200"/>
        <w:jc w:val="center"/>
        <w:rPr>
          <w:sz w:val="24"/>
          <w:szCs w:val="24"/>
        </w:rPr>
      </w:pPr>
      <w:r>
        <w:rPr>
          <w:rFonts w:hint="eastAsia" w:ascii="宋体" w:hAnsi="宋体"/>
          <w:sz w:val="28"/>
          <w:szCs w:val="28"/>
        </w:rPr>
        <w:t>另册</w:t>
      </w:r>
      <w:r>
        <w:rPr>
          <w:rFonts w:hint="eastAsia" w:ascii="宋体" w:hAnsi="宋体" w:cs="宋体"/>
          <w:sz w:val="28"/>
          <w:szCs w:val="28"/>
        </w:rPr>
        <w:t>。</w:t>
      </w:r>
    </w:p>
    <w:p w14:paraId="66581678">
      <w:pPr>
        <w:pStyle w:val="5"/>
        <w:spacing w:line="360" w:lineRule="auto"/>
        <w:rPr>
          <w:sz w:val="24"/>
          <w:szCs w:val="24"/>
        </w:rPr>
      </w:pPr>
    </w:p>
    <w:p w14:paraId="5C62E08C">
      <w:pPr>
        <w:pStyle w:val="5"/>
        <w:spacing w:line="360" w:lineRule="auto"/>
        <w:rPr>
          <w:sz w:val="24"/>
          <w:szCs w:val="24"/>
        </w:rPr>
      </w:pPr>
    </w:p>
    <w:p w14:paraId="584D2FD4">
      <w:pPr>
        <w:pStyle w:val="5"/>
        <w:spacing w:line="360" w:lineRule="auto"/>
        <w:rPr>
          <w:sz w:val="24"/>
          <w:szCs w:val="24"/>
        </w:rPr>
      </w:pPr>
    </w:p>
    <w:p w14:paraId="2430B11B">
      <w:pPr>
        <w:pStyle w:val="5"/>
        <w:spacing w:line="360" w:lineRule="auto"/>
        <w:rPr>
          <w:sz w:val="24"/>
          <w:szCs w:val="24"/>
        </w:rPr>
      </w:pPr>
    </w:p>
    <w:p w14:paraId="7B073185">
      <w:pPr>
        <w:pStyle w:val="5"/>
        <w:spacing w:line="360" w:lineRule="auto"/>
        <w:rPr>
          <w:sz w:val="24"/>
          <w:szCs w:val="24"/>
        </w:rPr>
      </w:pPr>
    </w:p>
    <w:p w14:paraId="5E03BDEA">
      <w:pPr>
        <w:pStyle w:val="5"/>
        <w:spacing w:line="360" w:lineRule="auto"/>
        <w:rPr>
          <w:sz w:val="24"/>
          <w:szCs w:val="24"/>
        </w:rPr>
      </w:pPr>
    </w:p>
    <w:p w14:paraId="5099AAED">
      <w:pPr>
        <w:pStyle w:val="5"/>
        <w:spacing w:line="360" w:lineRule="auto"/>
        <w:rPr>
          <w:sz w:val="24"/>
          <w:szCs w:val="24"/>
        </w:rPr>
      </w:pPr>
    </w:p>
    <w:p w14:paraId="323F15AC">
      <w:pPr>
        <w:pStyle w:val="5"/>
        <w:spacing w:line="360" w:lineRule="auto"/>
        <w:rPr>
          <w:sz w:val="24"/>
          <w:szCs w:val="24"/>
        </w:rPr>
      </w:pPr>
    </w:p>
    <w:p w14:paraId="392F3D94">
      <w:pPr>
        <w:pStyle w:val="5"/>
        <w:spacing w:line="360" w:lineRule="auto"/>
        <w:rPr>
          <w:sz w:val="24"/>
          <w:szCs w:val="24"/>
        </w:rPr>
      </w:pPr>
    </w:p>
    <w:p w14:paraId="645A254A">
      <w:pPr>
        <w:pStyle w:val="5"/>
        <w:spacing w:line="360" w:lineRule="auto"/>
        <w:rPr>
          <w:sz w:val="24"/>
          <w:szCs w:val="24"/>
        </w:rPr>
      </w:pPr>
    </w:p>
    <w:p w14:paraId="71556F82">
      <w:pPr>
        <w:pStyle w:val="5"/>
        <w:spacing w:line="360" w:lineRule="auto"/>
        <w:rPr>
          <w:sz w:val="24"/>
          <w:szCs w:val="24"/>
        </w:rPr>
      </w:pPr>
    </w:p>
    <w:p w14:paraId="75A3B014">
      <w:pPr>
        <w:pStyle w:val="5"/>
        <w:spacing w:line="360" w:lineRule="auto"/>
        <w:rPr>
          <w:sz w:val="24"/>
          <w:szCs w:val="24"/>
        </w:rPr>
      </w:pPr>
    </w:p>
    <w:p w14:paraId="23A6F829">
      <w:pPr>
        <w:pStyle w:val="5"/>
        <w:spacing w:line="360" w:lineRule="auto"/>
        <w:rPr>
          <w:sz w:val="24"/>
          <w:szCs w:val="24"/>
        </w:rPr>
      </w:pPr>
    </w:p>
    <w:p w14:paraId="578B1156">
      <w:pPr>
        <w:pStyle w:val="5"/>
        <w:spacing w:line="360" w:lineRule="auto"/>
        <w:ind w:firstLine="0"/>
        <w:rPr>
          <w:sz w:val="24"/>
          <w:szCs w:val="24"/>
        </w:rPr>
      </w:pPr>
    </w:p>
    <w:p w14:paraId="0D250549">
      <w:pPr>
        <w:pStyle w:val="2"/>
        <w:spacing w:line="360" w:lineRule="auto"/>
        <w:rPr>
          <w:sz w:val="24"/>
          <w:szCs w:val="24"/>
        </w:rPr>
      </w:pPr>
    </w:p>
    <w:p w14:paraId="60486A5B">
      <w:pPr>
        <w:pStyle w:val="2"/>
        <w:spacing w:line="360" w:lineRule="auto"/>
        <w:rPr>
          <w:sz w:val="24"/>
          <w:szCs w:val="24"/>
        </w:rPr>
      </w:pPr>
      <w:r>
        <w:rPr>
          <w:sz w:val="24"/>
          <w:szCs w:val="24"/>
        </w:rPr>
        <w:br w:type="page"/>
      </w:r>
    </w:p>
    <w:p w14:paraId="5524FEAC">
      <w:pPr>
        <w:pStyle w:val="3"/>
      </w:pPr>
      <w:bookmarkStart w:id="84" w:name="_Toc32300"/>
      <w:bookmarkStart w:id="85" w:name="_Toc21812"/>
      <w:bookmarkStart w:id="86" w:name="_Toc21525512"/>
      <w:bookmarkStart w:id="87" w:name="_Toc2272567"/>
      <w:r>
        <w:rPr>
          <w:rFonts w:hint="eastAsia"/>
        </w:rPr>
        <w:t>第四章</w:t>
      </w:r>
      <w:r>
        <w:t xml:space="preserve">  </w:t>
      </w:r>
      <w:r>
        <w:rPr>
          <w:rFonts w:hint="eastAsia"/>
        </w:rPr>
        <w:t>投标文件格式</w:t>
      </w:r>
      <w:bookmarkEnd w:id="84"/>
      <w:bookmarkEnd w:id="85"/>
      <w:bookmarkEnd w:id="86"/>
      <w:bookmarkEnd w:id="87"/>
    </w:p>
    <w:p w14:paraId="074AEF9E">
      <w:pPr>
        <w:rPr>
          <w:rFonts w:ascii="宋体"/>
          <w:b/>
          <w:sz w:val="28"/>
          <w:szCs w:val="28"/>
        </w:rPr>
      </w:pPr>
    </w:p>
    <w:p w14:paraId="60D73FC9">
      <w:pPr>
        <w:autoSpaceDE w:val="0"/>
        <w:autoSpaceDN w:val="0"/>
        <w:adjustRightInd w:val="0"/>
        <w:rPr>
          <w:bCs/>
          <w:szCs w:val="21"/>
        </w:rPr>
      </w:pPr>
      <w:r>
        <w:br w:type="page"/>
      </w:r>
      <w:r>
        <w:rPr>
          <w:rFonts w:hint="eastAsia"/>
          <w:b/>
          <w:sz w:val="28"/>
          <w:szCs w:val="28"/>
        </w:rPr>
        <w:t>格式一</w:t>
      </w:r>
    </w:p>
    <w:p w14:paraId="3CB6F57C">
      <w:pPr>
        <w:autoSpaceDE w:val="0"/>
        <w:autoSpaceDN w:val="0"/>
        <w:adjustRightInd w:val="0"/>
        <w:ind w:left="-540" w:leftChars="-257" w:firstLine="1135" w:firstLineChars="257"/>
        <w:jc w:val="center"/>
        <w:rPr>
          <w:rFonts w:hint="eastAsia" w:ascii="宋体" w:hAnsi="宋体" w:cs="宋体"/>
          <w:b/>
          <w:bCs/>
          <w:sz w:val="44"/>
          <w:szCs w:val="44"/>
          <w:lang w:val="zh-CN"/>
        </w:rPr>
      </w:pPr>
    </w:p>
    <w:p w14:paraId="51F46C5D">
      <w:pPr>
        <w:jc w:val="center"/>
        <w:rPr>
          <w:b/>
          <w:bCs/>
          <w:sz w:val="44"/>
          <w:szCs w:val="44"/>
          <w:lang w:val="zh-CN"/>
        </w:rPr>
      </w:pPr>
      <w:r>
        <w:rPr>
          <w:rFonts w:hint="eastAsia"/>
          <w:b/>
          <w:bCs/>
          <w:sz w:val="44"/>
          <w:szCs w:val="44"/>
          <w:lang w:val="zh-CN"/>
        </w:rPr>
        <w:t>广州建设工程施工招标投标书</w:t>
      </w:r>
    </w:p>
    <w:p w14:paraId="28EE0F37">
      <w:pPr>
        <w:jc w:val="center"/>
        <w:rPr>
          <w:sz w:val="28"/>
          <w:szCs w:val="28"/>
          <w:lang w:val="zh-CN"/>
        </w:rPr>
      </w:pPr>
      <w:r>
        <w:rPr>
          <w:rFonts w:hint="eastAsia"/>
          <w:sz w:val="28"/>
          <w:szCs w:val="28"/>
        </w:rPr>
        <w:t>（适用于技术标与经济标同时开启）</w:t>
      </w:r>
    </w:p>
    <w:tbl>
      <w:tblPr>
        <w:tblStyle w:val="37"/>
        <w:tblpPr w:leftFromText="180" w:rightFromText="180" w:vertAnchor="text" w:horzAnchor="margin" w:tblpXSpec="center" w:tblpY="275"/>
        <w:tblW w:w="93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05"/>
        <w:gridCol w:w="3574"/>
      </w:tblGrid>
      <w:tr w14:paraId="60407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14:paraId="4FCA8C3E">
            <w:pPr>
              <w:rPr>
                <w:sz w:val="28"/>
                <w:szCs w:val="28"/>
                <w:lang w:val="zh-CN"/>
              </w:rPr>
            </w:pPr>
            <w:r>
              <w:rPr>
                <w:rFonts w:hint="eastAsia"/>
                <w:sz w:val="28"/>
                <w:szCs w:val="28"/>
                <w:lang w:val="zh-CN"/>
              </w:rPr>
              <w:t>工</w:t>
            </w:r>
            <w:r>
              <w:rPr>
                <w:sz w:val="28"/>
                <w:szCs w:val="28"/>
                <w:lang w:val="zh-CN"/>
              </w:rPr>
              <w:t xml:space="preserve"> </w:t>
            </w:r>
            <w:r>
              <w:rPr>
                <w:rFonts w:hint="eastAsia"/>
                <w:sz w:val="28"/>
                <w:szCs w:val="28"/>
                <w:lang w:val="zh-CN"/>
              </w:rPr>
              <w:t>程</w:t>
            </w:r>
            <w:r>
              <w:rPr>
                <w:sz w:val="28"/>
                <w:szCs w:val="28"/>
                <w:lang w:val="zh-CN"/>
              </w:rPr>
              <w:t xml:space="preserve"> </w:t>
            </w:r>
            <w:r>
              <w:rPr>
                <w:rFonts w:hint="eastAsia"/>
                <w:sz w:val="28"/>
                <w:szCs w:val="28"/>
                <w:lang w:val="zh-CN"/>
              </w:rPr>
              <w:t>名</w:t>
            </w:r>
            <w:r>
              <w:rPr>
                <w:sz w:val="28"/>
                <w:szCs w:val="28"/>
                <w:lang w:val="zh-CN"/>
              </w:rPr>
              <w:t xml:space="preserve"> </w:t>
            </w:r>
            <w:r>
              <w:rPr>
                <w:rFonts w:hint="eastAsia"/>
                <w:sz w:val="28"/>
                <w:szCs w:val="28"/>
                <w:lang w:val="zh-CN"/>
              </w:rPr>
              <w:t>称</w:t>
            </w:r>
          </w:p>
        </w:tc>
        <w:tc>
          <w:tcPr>
            <w:tcW w:w="3574" w:type="dxa"/>
            <w:tcBorders>
              <w:top w:val="single" w:color="auto" w:sz="4" w:space="0"/>
              <w:left w:val="single" w:color="auto" w:sz="4" w:space="0"/>
              <w:bottom w:val="single" w:color="auto" w:sz="4" w:space="0"/>
              <w:right w:val="single" w:color="auto" w:sz="4" w:space="0"/>
            </w:tcBorders>
          </w:tcPr>
          <w:p w14:paraId="28730981">
            <w:pPr>
              <w:rPr>
                <w:sz w:val="28"/>
                <w:szCs w:val="28"/>
                <w:lang w:val="zh-CN"/>
              </w:rPr>
            </w:pPr>
          </w:p>
        </w:tc>
      </w:tr>
      <w:tr w14:paraId="0623A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14:paraId="2355F58E">
            <w:pPr>
              <w:rPr>
                <w:sz w:val="28"/>
                <w:szCs w:val="28"/>
                <w:lang w:val="zh-CN"/>
              </w:rPr>
            </w:pPr>
            <w:r>
              <w:rPr>
                <w:rFonts w:hint="eastAsia"/>
                <w:sz w:val="28"/>
                <w:szCs w:val="28"/>
                <w:lang w:val="zh-CN"/>
              </w:rPr>
              <w:t>投标总报价（元）</w:t>
            </w:r>
          </w:p>
        </w:tc>
        <w:tc>
          <w:tcPr>
            <w:tcW w:w="3574" w:type="dxa"/>
            <w:tcBorders>
              <w:top w:val="single" w:color="auto" w:sz="4" w:space="0"/>
              <w:left w:val="single" w:color="auto" w:sz="4" w:space="0"/>
              <w:bottom w:val="single" w:color="auto" w:sz="4" w:space="0"/>
              <w:right w:val="single" w:color="auto" w:sz="4" w:space="0"/>
            </w:tcBorders>
            <w:vAlign w:val="center"/>
          </w:tcPr>
          <w:p w14:paraId="33BA1E28">
            <w:pPr>
              <w:rPr>
                <w:sz w:val="28"/>
                <w:szCs w:val="28"/>
                <w:lang w:val="zh-CN"/>
              </w:rPr>
            </w:pPr>
          </w:p>
        </w:tc>
      </w:tr>
      <w:tr w14:paraId="01745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14:paraId="210979B1">
            <w:pPr>
              <w:rPr>
                <w:sz w:val="28"/>
                <w:szCs w:val="28"/>
                <w:lang w:val="zh-CN"/>
              </w:rPr>
            </w:pPr>
            <w:r>
              <w:rPr>
                <w:rFonts w:hint="eastAsia"/>
                <w:sz w:val="28"/>
                <w:szCs w:val="28"/>
                <w:lang w:val="zh-CN"/>
              </w:rPr>
              <w:t>其中：人工费（元）</w:t>
            </w:r>
          </w:p>
        </w:tc>
        <w:tc>
          <w:tcPr>
            <w:tcW w:w="3574" w:type="dxa"/>
            <w:tcBorders>
              <w:top w:val="single" w:color="auto" w:sz="4" w:space="0"/>
              <w:left w:val="single" w:color="auto" w:sz="4" w:space="0"/>
              <w:bottom w:val="single" w:color="auto" w:sz="4" w:space="0"/>
              <w:right w:val="single" w:color="auto" w:sz="4" w:space="0"/>
            </w:tcBorders>
            <w:vAlign w:val="center"/>
          </w:tcPr>
          <w:p w14:paraId="038E342D">
            <w:pPr>
              <w:rPr>
                <w:sz w:val="28"/>
                <w:szCs w:val="28"/>
                <w:lang w:val="zh-CN"/>
              </w:rPr>
            </w:pPr>
          </w:p>
        </w:tc>
      </w:tr>
      <w:tr w14:paraId="7DD72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14:paraId="6646FA3F">
            <w:pPr>
              <w:rPr>
                <w:sz w:val="28"/>
                <w:szCs w:val="28"/>
                <w:lang w:val="zh-CN"/>
              </w:rPr>
            </w:pPr>
            <w:r>
              <w:rPr>
                <w:rFonts w:hint="eastAsia"/>
                <w:sz w:val="28"/>
                <w:szCs w:val="28"/>
                <w:lang w:val="zh-CN"/>
              </w:rPr>
              <w:t>其中：安全生产措施费（元）</w:t>
            </w:r>
          </w:p>
        </w:tc>
        <w:tc>
          <w:tcPr>
            <w:tcW w:w="3574" w:type="dxa"/>
            <w:tcBorders>
              <w:top w:val="single" w:color="auto" w:sz="4" w:space="0"/>
              <w:left w:val="single" w:color="auto" w:sz="4" w:space="0"/>
              <w:bottom w:val="single" w:color="auto" w:sz="4" w:space="0"/>
              <w:right w:val="single" w:color="auto" w:sz="4" w:space="0"/>
            </w:tcBorders>
            <w:vAlign w:val="center"/>
          </w:tcPr>
          <w:p w14:paraId="4BFB2C16">
            <w:pPr>
              <w:rPr>
                <w:sz w:val="28"/>
                <w:szCs w:val="28"/>
                <w:lang w:val="zh-CN"/>
              </w:rPr>
            </w:pPr>
          </w:p>
        </w:tc>
      </w:tr>
      <w:tr w14:paraId="5C90D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14:paraId="431404B6">
            <w:pPr>
              <w:rPr>
                <w:sz w:val="28"/>
                <w:szCs w:val="28"/>
                <w:lang w:val="zh-CN"/>
              </w:rPr>
            </w:pPr>
            <w:r>
              <w:rPr>
                <w:rFonts w:hint="eastAsia"/>
                <w:sz w:val="28"/>
                <w:szCs w:val="28"/>
                <w:lang w:val="zh-CN"/>
              </w:rPr>
              <w:t>投</w:t>
            </w:r>
            <w:r>
              <w:rPr>
                <w:sz w:val="28"/>
                <w:szCs w:val="28"/>
                <w:lang w:val="zh-CN"/>
              </w:rPr>
              <w:t xml:space="preserve"> </w:t>
            </w:r>
            <w:r>
              <w:rPr>
                <w:rFonts w:hint="eastAsia"/>
                <w:sz w:val="28"/>
                <w:szCs w:val="28"/>
                <w:lang w:val="zh-CN"/>
              </w:rPr>
              <w:t>标</w:t>
            </w:r>
            <w:r>
              <w:rPr>
                <w:sz w:val="28"/>
                <w:szCs w:val="28"/>
                <w:lang w:val="zh-CN"/>
              </w:rPr>
              <w:t xml:space="preserve"> </w:t>
            </w:r>
            <w:r>
              <w:rPr>
                <w:rFonts w:hint="eastAsia"/>
                <w:sz w:val="28"/>
                <w:szCs w:val="28"/>
                <w:lang w:val="zh-CN"/>
              </w:rPr>
              <w:t>总工</w:t>
            </w:r>
            <w:r>
              <w:rPr>
                <w:sz w:val="28"/>
                <w:szCs w:val="28"/>
                <w:lang w:val="zh-CN"/>
              </w:rPr>
              <w:t xml:space="preserve"> </w:t>
            </w:r>
            <w:r>
              <w:rPr>
                <w:rFonts w:hint="eastAsia"/>
                <w:sz w:val="28"/>
                <w:szCs w:val="28"/>
                <w:lang w:val="zh-CN"/>
              </w:rPr>
              <w:t>期</w:t>
            </w:r>
          </w:p>
        </w:tc>
        <w:tc>
          <w:tcPr>
            <w:tcW w:w="3574" w:type="dxa"/>
            <w:tcBorders>
              <w:top w:val="single" w:color="auto" w:sz="4" w:space="0"/>
              <w:left w:val="single" w:color="auto" w:sz="4" w:space="0"/>
              <w:bottom w:val="single" w:color="auto" w:sz="4" w:space="0"/>
              <w:right w:val="single" w:color="auto" w:sz="4" w:space="0"/>
            </w:tcBorders>
          </w:tcPr>
          <w:p w14:paraId="72059E25">
            <w:pPr>
              <w:rPr>
                <w:sz w:val="28"/>
                <w:szCs w:val="28"/>
                <w:lang w:val="zh-CN"/>
              </w:rPr>
            </w:pPr>
          </w:p>
        </w:tc>
      </w:tr>
      <w:tr w14:paraId="4888E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14:paraId="3CA4DA85">
            <w:pPr>
              <w:rPr>
                <w:sz w:val="28"/>
                <w:szCs w:val="28"/>
              </w:rPr>
            </w:pPr>
            <w:r>
              <w:rPr>
                <w:rFonts w:hint="eastAsia"/>
                <w:sz w:val="28"/>
                <w:szCs w:val="28"/>
                <w:lang w:val="zh-CN"/>
              </w:rPr>
              <w:t>工程质量标准</w:t>
            </w:r>
          </w:p>
        </w:tc>
        <w:tc>
          <w:tcPr>
            <w:tcW w:w="3574" w:type="dxa"/>
            <w:tcBorders>
              <w:top w:val="single" w:color="auto" w:sz="4" w:space="0"/>
              <w:left w:val="single" w:color="auto" w:sz="4" w:space="0"/>
              <w:bottom w:val="single" w:color="auto" w:sz="4" w:space="0"/>
              <w:right w:val="single" w:color="auto" w:sz="4" w:space="0"/>
            </w:tcBorders>
          </w:tcPr>
          <w:p w14:paraId="1B5FE2B5">
            <w:pPr>
              <w:rPr>
                <w:sz w:val="28"/>
                <w:szCs w:val="28"/>
                <w:lang w:val="zh-CN"/>
              </w:rPr>
            </w:pPr>
          </w:p>
        </w:tc>
      </w:tr>
      <w:tr w14:paraId="15AE4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14:paraId="47A00681">
            <w:pPr>
              <w:rPr>
                <w:sz w:val="28"/>
                <w:szCs w:val="28"/>
                <w:lang w:val="zh-CN"/>
              </w:rPr>
            </w:pPr>
            <w:r>
              <w:rPr>
                <w:rFonts w:hint="eastAsia"/>
                <w:sz w:val="28"/>
                <w:szCs w:val="28"/>
                <w:lang w:val="zh-CN"/>
              </w:rPr>
              <w:t>保</w:t>
            </w:r>
            <w:r>
              <w:rPr>
                <w:sz w:val="28"/>
                <w:szCs w:val="28"/>
                <w:lang w:val="zh-CN"/>
              </w:rPr>
              <w:t xml:space="preserve"> </w:t>
            </w:r>
            <w:r>
              <w:rPr>
                <w:rFonts w:hint="eastAsia"/>
                <w:sz w:val="28"/>
                <w:szCs w:val="28"/>
                <w:lang w:val="zh-CN"/>
              </w:rPr>
              <w:t>修</w:t>
            </w:r>
            <w:r>
              <w:rPr>
                <w:sz w:val="28"/>
                <w:szCs w:val="28"/>
                <w:lang w:val="zh-CN"/>
              </w:rPr>
              <w:t xml:space="preserve"> </w:t>
            </w:r>
            <w:r>
              <w:rPr>
                <w:rFonts w:hint="eastAsia"/>
                <w:sz w:val="28"/>
                <w:szCs w:val="28"/>
                <w:lang w:val="zh-CN"/>
              </w:rPr>
              <w:t>期</w:t>
            </w:r>
            <w:r>
              <w:rPr>
                <w:sz w:val="28"/>
                <w:szCs w:val="28"/>
                <w:lang w:val="zh-CN"/>
              </w:rPr>
              <w:t xml:space="preserve"> </w:t>
            </w:r>
            <w:r>
              <w:rPr>
                <w:rFonts w:hint="eastAsia"/>
                <w:sz w:val="28"/>
                <w:szCs w:val="28"/>
                <w:lang w:val="zh-CN"/>
              </w:rPr>
              <w:t>限</w:t>
            </w:r>
          </w:p>
        </w:tc>
        <w:tc>
          <w:tcPr>
            <w:tcW w:w="3574" w:type="dxa"/>
            <w:tcBorders>
              <w:top w:val="single" w:color="auto" w:sz="4" w:space="0"/>
              <w:left w:val="single" w:color="auto" w:sz="4" w:space="0"/>
              <w:bottom w:val="single" w:color="auto" w:sz="4" w:space="0"/>
              <w:right w:val="single" w:color="auto" w:sz="4" w:space="0"/>
            </w:tcBorders>
          </w:tcPr>
          <w:p w14:paraId="61264EEA">
            <w:pPr>
              <w:rPr>
                <w:sz w:val="28"/>
                <w:szCs w:val="28"/>
                <w:lang w:val="zh-CN"/>
              </w:rPr>
            </w:pPr>
          </w:p>
        </w:tc>
      </w:tr>
    </w:tbl>
    <w:p w14:paraId="5B141E52"/>
    <w:p w14:paraId="2DDC05CF">
      <w:r>
        <w:br w:type="page"/>
      </w:r>
    </w:p>
    <w:p w14:paraId="6CD79DC1">
      <w:pPr>
        <w:autoSpaceDE w:val="0"/>
        <w:autoSpaceDN w:val="0"/>
        <w:adjustRightInd w:val="0"/>
        <w:rPr>
          <w:b/>
          <w:sz w:val="28"/>
          <w:szCs w:val="28"/>
        </w:rPr>
      </w:pPr>
      <w:r>
        <w:rPr>
          <w:rFonts w:hint="eastAsia"/>
          <w:b/>
          <w:sz w:val="28"/>
          <w:szCs w:val="28"/>
        </w:rPr>
        <w:t>格式二</w:t>
      </w:r>
    </w:p>
    <w:p w14:paraId="26CBE0DD">
      <w:pPr>
        <w:jc w:val="center"/>
        <w:rPr>
          <w:rFonts w:ascii="Arial" w:hAnsi="Arial"/>
          <w:b/>
          <w:kern w:val="44"/>
          <w:sz w:val="28"/>
          <w:szCs w:val="28"/>
        </w:rPr>
      </w:pPr>
      <w:r>
        <w:rPr>
          <w:rFonts w:hint="eastAsia" w:ascii="宋体" w:hAnsi="宋体" w:cs="宋体"/>
          <w:b/>
          <w:kern w:val="44"/>
          <w:sz w:val="28"/>
          <w:szCs w:val="28"/>
          <w:lang w:bidi="ar"/>
        </w:rPr>
        <w:t>施工项目管理团队人员信息表</w:t>
      </w:r>
    </w:p>
    <w:p w14:paraId="767E398D">
      <w:pPr>
        <w:rPr>
          <w:rFonts w:hint="eastAsia" w:ascii="宋体" w:hAnsi="宋体"/>
          <w:szCs w:val="21"/>
        </w:rPr>
      </w:pPr>
      <w:r>
        <w:rPr>
          <w:rFonts w:hint="eastAsia" w:ascii="宋体" w:hAnsi="宋体"/>
          <w:szCs w:val="21"/>
          <w:lang w:bidi="ar"/>
        </w:rPr>
        <w:t xml:space="preserve"> </w:t>
      </w:r>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2"/>
        <w:gridCol w:w="1707"/>
        <w:gridCol w:w="2099"/>
        <w:gridCol w:w="2099"/>
        <w:gridCol w:w="3190"/>
      </w:tblGrid>
      <w:tr w14:paraId="12931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433" w:type="pct"/>
            <w:tcBorders>
              <w:top w:val="single" w:color="auto" w:sz="4" w:space="0"/>
              <w:left w:val="single" w:color="auto" w:sz="4" w:space="0"/>
              <w:bottom w:val="single" w:color="auto" w:sz="4" w:space="0"/>
              <w:right w:val="single" w:color="auto" w:sz="4" w:space="0"/>
            </w:tcBorders>
            <w:vAlign w:val="center"/>
          </w:tcPr>
          <w:p w14:paraId="6372CA0F">
            <w:pPr>
              <w:widowControl/>
              <w:jc w:val="center"/>
              <w:rPr>
                <w:rFonts w:hint="eastAsia" w:ascii="宋体" w:hAnsi="宋体" w:cs="宋体"/>
                <w:b/>
                <w:bCs/>
                <w:kern w:val="0"/>
                <w:szCs w:val="21"/>
              </w:rPr>
            </w:pPr>
            <w:r>
              <w:rPr>
                <w:rFonts w:hint="eastAsia" w:ascii="宋体" w:hAnsi="宋体" w:cs="宋体"/>
                <w:b/>
                <w:bCs/>
                <w:kern w:val="0"/>
                <w:szCs w:val="21"/>
                <w:lang w:bidi="ar"/>
              </w:rPr>
              <w:t>序号</w:t>
            </w:r>
          </w:p>
        </w:tc>
        <w:tc>
          <w:tcPr>
            <w:tcW w:w="857" w:type="pct"/>
            <w:tcBorders>
              <w:top w:val="single" w:color="auto" w:sz="4" w:space="0"/>
              <w:left w:val="single" w:color="auto" w:sz="4" w:space="0"/>
              <w:bottom w:val="single" w:color="auto" w:sz="4" w:space="0"/>
              <w:right w:val="single" w:color="auto" w:sz="4" w:space="0"/>
            </w:tcBorders>
            <w:vAlign w:val="center"/>
          </w:tcPr>
          <w:p w14:paraId="45BE9AC2">
            <w:pPr>
              <w:widowControl/>
              <w:jc w:val="center"/>
              <w:rPr>
                <w:rFonts w:hint="eastAsia" w:ascii="宋体" w:hAnsi="宋体" w:cs="宋体"/>
                <w:b/>
                <w:bCs/>
                <w:kern w:val="0"/>
                <w:szCs w:val="21"/>
              </w:rPr>
            </w:pPr>
            <w:r>
              <w:rPr>
                <w:rFonts w:hint="eastAsia" w:ascii="宋体" w:hAnsi="宋体" w:cs="宋体"/>
                <w:b/>
                <w:bCs/>
                <w:kern w:val="0"/>
                <w:szCs w:val="21"/>
                <w:lang w:bidi="ar"/>
              </w:rPr>
              <w:t>姓名</w:t>
            </w:r>
          </w:p>
        </w:tc>
        <w:tc>
          <w:tcPr>
            <w:tcW w:w="1054" w:type="pct"/>
            <w:tcBorders>
              <w:top w:val="single" w:color="auto" w:sz="4" w:space="0"/>
              <w:left w:val="single" w:color="auto" w:sz="4" w:space="0"/>
              <w:bottom w:val="single" w:color="auto" w:sz="4" w:space="0"/>
              <w:right w:val="single" w:color="auto" w:sz="4" w:space="0"/>
            </w:tcBorders>
            <w:vAlign w:val="center"/>
          </w:tcPr>
          <w:p w14:paraId="3C43E13D">
            <w:pPr>
              <w:widowControl/>
              <w:jc w:val="center"/>
              <w:rPr>
                <w:rFonts w:hint="eastAsia" w:ascii="宋体" w:hAnsi="宋体" w:cs="宋体"/>
                <w:b/>
                <w:bCs/>
                <w:kern w:val="0"/>
                <w:szCs w:val="21"/>
              </w:rPr>
            </w:pPr>
            <w:r>
              <w:rPr>
                <w:rFonts w:hint="eastAsia" w:ascii="宋体" w:hAnsi="宋体" w:cs="宋体"/>
                <w:b/>
                <w:bCs/>
                <w:kern w:val="0"/>
                <w:szCs w:val="21"/>
                <w:lang w:bidi="ar"/>
              </w:rPr>
              <w:t>岗位</w:t>
            </w:r>
          </w:p>
        </w:tc>
        <w:tc>
          <w:tcPr>
            <w:tcW w:w="1054" w:type="pct"/>
            <w:tcBorders>
              <w:top w:val="single" w:color="auto" w:sz="4" w:space="0"/>
              <w:left w:val="single" w:color="auto" w:sz="4" w:space="0"/>
              <w:bottom w:val="single" w:color="auto" w:sz="4" w:space="0"/>
              <w:right w:val="single" w:color="auto" w:sz="4" w:space="0"/>
            </w:tcBorders>
            <w:vAlign w:val="center"/>
          </w:tcPr>
          <w:p w14:paraId="1324B60F">
            <w:pPr>
              <w:widowControl/>
              <w:jc w:val="center"/>
              <w:rPr>
                <w:rFonts w:hint="eastAsia" w:ascii="宋体" w:hAnsi="宋体" w:cs="宋体"/>
                <w:b/>
                <w:bCs/>
                <w:kern w:val="0"/>
                <w:szCs w:val="21"/>
              </w:rPr>
            </w:pPr>
            <w:r>
              <w:rPr>
                <w:rFonts w:hint="eastAsia" w:ascii="宋体" w:hAnsi="宋体" w:cs="宋体"/>
                <w:b/>
                <w:bCs/>
                <w:kern w:val="0"/>
                <w:szCs w:val="21"/>
                <w:lang w:bidi="ar"/>
              </w:rPr>
              <w:t>职称</w:t>
            </w:r>
          </w:p>
        </w:tc>
        <w:tc>
          <w:tcPr>
            <w:tcW w:w="1599" w:type="pct"/>
            <w:tcBorders>
              <w:top w:val="single" w:color="auto" w:sz="4" w:space="0"/>
              <w:left w:val="single" w:color="auto" w:sz="4" w:space="0"/>
              <w:bottom w:val="single" w:color="auto" w:sz="4" w:space="0"/>
              <w:right w:val="single" w:color="auto" w:sz="4" w:space="0"/>
            </w:tcBorders>
            <w:vAlign w:val="center"/>
          </w:tcPr>
          <w:p w14:paraId="02690936">
            <w:pPr>
              <w:widowControl/>
              <w:jc w:val="center"/>
              <w:rPr>
                <w:rFonts w:hint="eastAsia" w:ascii="宋体" w:hAnsi="宋体" w:cs="宋体"/>
                <w:b/>
                <w:bCs/>
                <w:kern w:val="0"/>
                <w:szCs w:val="21"/>
              </w:rPr>
            </w:pPr>
            <w:r>
              <w:rPr>
                <w:rFonts w:hint="eastAsia" w:ascii="宋体" w:hAnsi="宋体" w:cs="宋体"/>
                <w:b/>
                <w:bCs/>
                <w:kern w:val="0"/>
                <w:szCs w:val="21"/>
                <w:lang w:bidi="ar"/>
              </w:rPr>
              <w:t>职称证书或资格证书编号</w:t>
            </w:r>
          </w:p>
        </w:tc>
      </w:tr>
      <w:tr w14:paraId="23DB7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433" w:type="pct"/>
            <w:tcBorders>
              <w:top w:val="single" w:color="auto" w:sz="4" w:space="0"/>
              <w:left w:val="single" w:color="auto" w:sz="4" w:space="0"/>
              <w:bottom w:val="single" w:color="auto" w:sz="4" w:space="0"/>
              <w:right w:val="single" w:color="auto" w:sz="4" w:space="0"/>
            </w:tcBorders>
            <w:noWrap/>
            <w:vAlign w:val="center"/>
          </w:tcPr>
          <w:p w14:paraId="2F503539">
            <w:pPr>
              <w:widowControl/>
              <w:jc w:val="center"/>
              <w:rPr>
                <w:rFonts w:hint="eastAsia" w:ascii="宋体" w:hAnsi="宋体" w:cs="宋体"/>
                <w:kern w:val="0"/>
                <w:szCs w:val="21"/>
              </w:rPr>
            </w:pPr>
            <w:r>
              <w:rPr>
                <w:rFonts w:hint="eastAsia" w:ascii="宋体" w:hAnsi="宋体" w:cs="宋体"/>
                <w:kern w:val="0"/>
                <w:szCs w:val="21"/>
                <w:lang w:bidi="ar"/>
              </w:rPr>
              <w:t>1</w:t>
            </w:r>
          </w:p>
        </w:tc>
        <w:tc>
          <w:tcPr>
            <w:tcW w:w="857" w:type="pct"/>
            <w:tcBorders>
              <w:top w:val="single" w:color="auto" w:sz="4" w:space="0"/>
              <w:left w:val="single" w:color="auto" w:sz="4" w:space="0"/>
              <w:bottom w:val="single" w:color="auto" w:sz="4" w:space="0"/>
              <w:right w:val="single" w:color="auto" w:sz="4" w:space="0"/>
            </w:tcBorders>
            <w:noWrap/>
            <w:vAlign w:val="center"/>
          </w:tcPr>
          <w:p w14:paraId="33168A59">
            <w:pPr>
              <w:widowControl/>
              <w:jc w:val="center"/>
              <w:rPr>
                <w:rFonts w:hint="eastAsia" w:ascii="宋体" w:hAnsi="宋体" w:cs="宋体"/>
                <w:kern w:val="0"/>
                <w:szCs w:val="21"/>
              </w:rPr>
            </w:pPr>
            <w:r>
              <w:rPr>
                <w:rFonts w:hint="eastAsia" w:ascii="宋体" w:hAnsi="宋体" w:cs="宋体"/>
                <w:kern w:val="0"/>
                <w:szCs w:val="21"/>
                <w:lang w:bidi="ar"/>
              </w:rPr>
              <w:t>　</w:t>
            </w:r>
          </w:p>
        </w:tc>
        <w:tc>
          <w:tcPr>
            <w:tcW w:w="1054" w:type="pct"/>
            <w:tcBorders>
              <w:top w:val="single" w:color="auto" w:sz="4" w:space="0"/>
              <w:left w:val="single" w:color="auto" w:sz="4" w:space="0"/>
              <w:bottom w:val="single" w:color="auto" w:sz="4" w:space="0"/>
              <w:right w:val="single" w:color="auto" w:sz="4" w:space="0"/>
            </w:tcBorders>
            <w:noWrap/>
            <w:vAlign w:val="center"/>
          </w:tcPr>
          <w:p w14:paraId="02C64C7B">
            <w:pPr>
              <w:widowControl/>
              <w:jc w:val="center"/>
              <w:rPr>
                <w:rFonts w:hint="eastAsia" w:ascii="宋体" w:hAnsi="宋体" w:cs="宋体"/>
                <w:kern w:val="0"/>
                <w:szCs w:val="21"/>
              </w:rPr>
            </w:pPr>
            <w:r>
              <w:rPr>
                <w:rFonts w:hint="eastAsia" w:ascii="宋体" w:hAnsi="宋体" w:cs="宋体"/>
                <w:kern w:val="0"/>
                <w:szCs w:val="21"/>
                <w:lang w:bidi="ar"/>
              </w:rPr>
              <w:t>　</w:t>
            </w:r>
          </w:p>
        </w:tc>
        <w:tc>
          <w:tcPr>
            <w:tcW w:w="1054" w:type="pct"/>
            <w:tcBorders>
              <w:top w:val="single" w:color="auto" w:sz="4" w:space="0"/>
              <w:left w:val="single" w:color="auto" w:sz="4" w:space="0"/>
              <w:bottom w:val="single" w:color="auto" w:sz="4" w:space="0"/>
              <w:right w:val="single" w:color="auto" w:sz="4" w:space="0"/>
            </w:tcBorders>
            <w:noWrap/>
            <w:vAlign w:val="center"/>
          </w:tcPr>
          <w:p w14:paraId="0C70BD7D">
            <w:pPr>
              <w:widowControl/>
              <w:jc w:val="center"/>
              <w:rPr>
                <w:rFonts w:hint="eastAsia" w:ascii="宋体" w:hAnsi="宋体" w:cs="宋体"/>
                <w:kern w:val="0"/>
                <w:szCs w:val="21"/>
              </w:rPr>
            </w:pPr>
            <w:r>
              <w:rPr>
                <w:rFonts w:hint="eastAsia" w:ascii="宋体" w:hAnsi="宋体" w:cs="宋体"/>
                <w:kern w:val="0"/>
                <w:szCs w:val="21"/>
                <w:lang w:bidi="ar"/>
              </w:rPr>
              <w:t>　</w:t>
            </w:r>
          </w:p>
        </w:tc>
        <w:tc>
          <w:tcPr>
            <w:tcW w:w="1599" w:type="pct"/>
            <w:tcBorders>
              <w:top w:val="single" w:color="auto" w:sz="4" w:space="0"/>
              <w:left w:val="single" w:color="auto" w:sz="4" w:space="0"/>
              <w:bottom w:val="single" w:color="auto" w:sz="4" w:space="0"/>
              <w:right w:val="single" w:color="auto" w:sz="4" w:space="0"/>
            </w:tcBorders>
            <w:noWrap/>
            <w:vAlign w:val="center"/>
          </w:tcPr>
          <w:p w14:paraId="5C221DBB">
            <w:pPr>
              <w:widowControl/>
              <w:jc w:val="center"/>
              <w:rPr>
                <w:rFonts w:hint="eastAsia" w:ascii="宋体" w:hAnsi="宋体" w:cs="宋体"/>
                <w:kern w:val="0"/>
                <w:szCs w:val="21"/>
              </w:rPr>
            </w:pPr>
            <w:r>
              <w:rPr>
                <w:rFonts w:hint="eastAsia" w:ascii="宋体" w:hAnsi="宋体" w:cs="宋体"/>
                <w:kern w:val="0"/>
                <w:szCs w:val="21"/>
                <w:lang w:bidi="ar"/>
              </w:rPr>
              <w:t>　</w:t>
            </w:r>
          </w:p>
        </w:tc>
      </w:tr>
      <w:tr w14:paraId="68BB5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433" w:type="pct"/>
            <w:tcBorders>
              <w:top w:val="single" w:color="auto" w:sz="4" w:space="0"/>
              <w:left w:val="single" w:color="auto" w:sz="4" w:space="0"/>
              <w:bottom w:val="single" w:color="auto" w:sz="4" w:space="0"/>
              <w:right w:val="single" w:color="auto" w:sz="4" w:space="0"/>
            </w:tcBorders>
            <w:noWrap/>
            <w:vAlign w:val="center"/>
          </w:tcPr>
          <w:p w14:paraId="367F44DD">
            <w:pPr>
              <w:widowControl/>
              <w:jc w:val="center"/>
              <w:rPr>
                <w:rFonts w:hint="eastAsia" w:ascii="宋体" w:hAnsi="宋体" w:cs="宋体"/>
                <w:kern w:val="0"/>
                <w:szCs w:val="21"/>
              </w:rPr>
            </w:pPr>
            <w:r>
              <w:rPr>
                <w:rFonts w:hint="eastAsia" w:ascii="宋体" w:hAnsi="宋体" w:cs="宋体"/>
                <w:kern w:val="0"/>
                <w:szCs w:val="21"/>
                <w:lang w:bidi="ar"/>
              </w:rPr>
              <w:t>2</w:t>
            </w:r>
          </w:p>
        </w:tc>
        <w:tc>
          <w:tcPr>
            <w:tcW w:w="857" w:type="pct"/>
            <w:tcBorders>
              <w:top w:val="single" w:color="auto" w:sz="4" w:space="0"/>
              <w:left w:val="single" w:color="auto" w:sz="4" w:space="0"/>
              <w:bottom w:val="single" w:color="auto" w:sz="4" w:space="0"/>
              <w:right w:val="single" w:color="auto" w:sz="4" w:space="0"/>
            </w:tcBorders>
            <w:noWrap/>
            <w:vAlign w:val="center"/>
          </w:tcPr>
          <w:p w14:paraId="4B819618">
            <w:pPr>
              <w:widowControl/>
              <w:jc w:val="center"/>
              <w:rPr>
                <w:rFonts w:hint="eastAsia" w:ascii="宋体" w:hAnsi="宋体" w:cs="宋体"/>
                <w:kern w:val="0"/>
                <w:szCs w:val="21"/>
              </w:rPr>
            </w:pPr>
            <w:r>
              <w:rPr>
                <w:rFonts w:hint="eastAsia" w:ascii="宋体" w:hAnsi="宋体" w:cs="宋体"/>
                <w:kern w:val="0"/>
                <w:szCs w:val="21"/>
                <w:lang w:bidi="ar"/>
              </w:rPr>
              <w:t>　</w:t>
            </w:r>
          </w:p>
        </w:tc>
        <w:tc>
          <w:tcPr>
            <w:tcW w:w="1054" w:type="pct"/>
            <w:tcBorders>
              <w:top w:val="single" w:color="auto" w:sz="4" w:space="0"/>
              <w:left w:val="single" w:color="auto" w:sz="4" w:space="0"/>
              <w:bottom w:val="single" w:color="auto" w:sz="4" w:space="0"/>
              <w:right w:val="single" w:color="auto" w:sz="4" w:space="0"/>
            </w:tcBorders>
            <w:noWrap/>
            <w:vAlign w:val="center"/>
          </w:tcPr>
          <w:p w14:paraId="4567FF52">
            <w:pPr>
              <w:widowControl/>
              <w:jc w:val="center"/>
              <w:rPr>
                <w:rFonts w:hint="eastAsia" w:ascii="宋体" w:hAnsi="宋体" w:cs="宋体"/>
                <w:kern w:val="0"/>
                <w:szCs w:val="21"/>
              </w:rPr>
            </w:pPr>
            <w:r>
              <w:rPr>
                <w:rFonts w:hint="eastAsia" w:ascii="宋体" w:hAnsi="宋体" w:cs="宋体"/>
                <w:kern w:val="0"/>
                <w:szCs w:val="21"/>
                <w:lang w:bidi="ar"/>
              </w:rPr>
              <w:t>　</w:t>
            </w:r>
          </w:p>
        </w:tc>
        <w:tc>
          <w:tcPr>
            <w:tcW w:w="1054" w:type="pct"/>
            <w:tcBorders>
              <w:top w:val="single" w:color="auto" w:sz="4" w:space="0"/>
              <w:left w:val="single" w:color="auto" w:sz="4" w:space="0"/>
              <w:bottom w:val="single" w:color="auto" w:sz="4" w:space="0"/>
              <w:right w:val="single" w:color="auto" w:sz="4" w:space="0"/>
            </w:tcBorders>
            <w:noWrap/>
            <w:vAlign w:val="center"/>
          </w:tcPr>
          <w:p w14:paraId="41BAB625">
            <w:pPr>
              <w:widowControl/>
              <w:jc w:val="center"/>
              <w:rPr>
                <w:rFonts w:hint="eastAsia" w:ascii="宋体" w:hAnsi="宋体" w:cs="宋体"/>
                <w:kern w:val="0"/>
                <w:szCs w:val="21"/>
              </w:rPr>
            </w:pPr>
            <w:r>
              <w:rPr>
                <w:rFonts w:hint="eastAsia" w:ascii="宋体" w:hAnsi="宋体" w:cs="宋体"/>
                <w:kern w:val="0"/>
                <w:szCs w:val="21"/>
                <w:lang w:bidi="ar"/>
              </w:rPr>
              <w:t>　</w:t>
            </w:r>
          </w:p>
        </w:tc>
        <w:tc>
          <w:tcPr>
            <w:tcW w:w="1599" w:type="pct"/>
            <w:tcBorders>
              <w:top w:val="single" w:color="auto" w:sz="4" w:space="0"/>
              <w:left w:val="single" w:color="auto" w:sz="4" w:space="0"/>
              <w:bottom w:val="single" w:color="auto" w:sz="4" w:space="0"/>
              <w:right w:val="single" w:color="auto" w:sz="4" w:space="0"/>
            </w:tcBorders>
            <w:noWrap/>
            <w:vAlign w:val="center"/>
          </w:tcPr>
          <w:p w14:paraId="32EA7C9D">
            <w:pPr>
              <w:widowControl/>
              <w:jc w:val="center"/>
              <w:rPr>
                <w:rFonts w:hint="eastAsia" w:ascii="宋体" w:hAnsi="宋体" w:cs="宋体"/>
                <w:kern w:val="0"/>
                <w:szCs w:val="21"/>
              </w:rPr>
            </w:pPr>
            <w:r>
              <w:rPr>
                <w:rFonts w:hint="eastAsia" w:ascii="宋体" w:hAnsi="宋体" w:cs="宋体"/>
                <w:kern w:val="0"/>
                <w:szCs w:val="21"/>
                <w:lang w:bidi="ar"/>
              </w:rPr>
              <w:t>　</w:t>
            </w:r>
          </w:p>
        </w:tc>
      </w:tr>
      <w:tr w14:paraId="6ACFC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433" w:type="pct"/>
            <w:tcBorders>
              <w:top w:val="single" w:color="auto" w:sz="4" w:space="0"/>
              <w:left w:val="single" w:color="auto" w:sz="4" w:space="0"/>
              <w:bottom w:val="single" w:color="auto" w:sz="4" w:space="0"/>
              <w:right w:val="single" w:color="auto" w:sz="4" w:space="0"/>
            </w:tcBorders>
            <w:noWrap/>
            <w:vAlign w:val="center"/>
          </w:tcPr>
          <w:p w14:paraId="771EF822">
            <w:pPr>
              <w:widowControl/>
              <w:jc w:val="center"/>
              <w:rPr>
                <w:rFonts w:hint="eastAsia" w:ascii="宋体" w:hAnsi="宋体" w:cs="宋体"/>
                <w:kern w:val="0"/>
                <w:szCs w:val="21"/>
              </w:rPr>
            </w:pPr>
            <w:r>
              <w:rPr>
                <w:rFonts w:hint="eastAsia" w:ascii="宋体" w:hAnsi="宋体" w:cs="宋体"/>
                <w:kern w:val="0"/>
                <w:szCs w:val="21"/>
                <w:lang w:bidi="ar"/>
              </w:rPr>
              <w:t>3</w:t>
            </w:r>
          </w:p>
        </w:tc>
        <w:tc>
          <w:tcPr>
            <w:tcW w:w="857" w:type="pct"/>
            <w:tcBorders>
              <w:top w:val="single" w:color="auto" w:sz="4" w:space="0"/>
              <w:left w:val="single" w:color="auto" w:sz="4" w:space="0"/>
              <w:bottom w:val="single" w:color="auto" w:sz="4" w:space="0"/>
              <w:right w:val="single" w:color="auto" w:sz="4" w:space="0"/>
            </w:tcBorders>
            <w:noWrap/>
            <w:vAlign w:val="center"/>
          </w:tcPr>
          <w:p w14:paraId="7A2229F5">
            <w:pPr>
              <w:widowControl/>
              <w:jc w:val="center"/>
              <w:rPr>
                <w:rFonts w:hint="eastAsia" w:ascii="宋体" w:hAnsi="宋体" w:cs="宋体"/>
                <w:kern w:val="0"/>
                <w:szCs w:val="21"/>
              </w:rPr>
            </w:pPr>
            <w:r>
              <w:rPr>
                <w:rFonts w:hint="eastAsia" w:ascii="宋体" w:hAnsi="宋体" w:cs="宋体"/>
                <w:kern w:val="0"/>
                <w:szCs w:val="21"/>
                <w:lang w:bidi="ar"/>
              </w:rPr>
              <w:t>　</w:t>
            </w:r>
          </w:p>
        </w:tc>
        <w:tc>
          <w:tcPr>
            <w:tcW w:w="1054" w:type="pct"/>
            <w:tcBorders>
              <w:top w:val="single" w:color="auto" w:sz="4" w:space="0"/>
              <w:left w:val="single" w:color="auto" w:sz="4" w:space="0"/>
              <w:bottom w:val="single" w:color="auto" w:sz="4" w:space="0"/>
              <w:right w:val="single" w:color="auto" w:sz="4" w:space="0"/>
            </w:tcBorders>
            <w:noWrap/>
            <w:vAlign w:val="center"/>
          </w:tcPr>
          <w:p w14:paraId="0BB094B8">
            <w:pPr>
              <w:widowControl/>
              <w:jc w:val="center"/>
              <w:rPr>
                <w:rFonts w:hint="eastAsia" w:ascii="宋体" w:hAnsi="宋体" w:cs="宋体"/>
                <w:kern w:val="0"/>
                <w:szCs w:val="21"/>
              </w:rPr>
            </w:pPr>
            <w:r>
              <w:rPr>
                <w:rFonts w:hint="eastAsia" w:ascii="宋体" w:hAnsi="宋体" w:cs="宋体"/>
                <w:kern w:val="0"/>
                <w:szCs w:val="21"/>
                <w:lang w:bidi="ar"/>
              </w:rPr>
              <w:t>　</w:t>
            </w:r>
          </w:p>
        </w:tc>
        <w:tc>
          <w:tcPr>
            <w:tcW w:w="1054" w:type="pct"/>
            <w:tcBorders>
              <w:top w:val="single" w:color="auto" w:sz="4" w:space="0"/>
              <w:left w:val="single" w:color="auto" w:sz="4" w:space="0"/>
              <w:bottom w:val="single" w:color="auto" w:sz="4" w:space="0"/>
              <w:right w:val="single" w:color="auto" w:sz="4" w:space="0"/>
            </w:tcBorders>
            <w:noWrap/>
            <w:vAlign w:val="center"/>
          </w:tcPr>
          <w:p w14:paraId="1045FBF0">
            <w:pPr>
              <w:widowControl/>
              <w:jc w:val="center"/>
              <w:rPr>
                <w:rFonts w:hint="eastAsia" w:ascii="宋体" w:hAnsi="宋体" w:cs="宋体"/>
                <w:kern w:val="0"/>
                <w:szCs w:val="21"/>
              </w:rPr>
            </w:pPr>
            <w:r>
              <w:rPr>
                <w:rFonts w:hint="eastAsia" w:ascii="宋体" w:hAnsi="宋体" w:cs="宋体"/>
                <w:kern w:val="0"/>
                <w:szCs w:val="21"/>
                <w:lang w:bidi="ar"/>
              </w:rPr>
              <w:t>　</w:t>
            </w:r>
          </w:p>
        </w:tc>
        <w:tc>
          <w:tcPr>
            <w:tcW w:w="1599" w:type="pct"/>
            <w:tcBorders>
              <w:top w:val="single" w:color="auto" w:sz="4" w:space="0"/>
              <w:left w:val="single" w:color="auto" w:sz="4" w:space="0"/>
              <w:bottom w:val="single" w:color="auto" w:sz="4" w:space="0"/>
              <w:right w:val="single" w:color="auto" w:sz="4" w:space="0"/>
            </w:tcBorders>
            <w:noWrap/>
            <w:vAlign w:val="center"/>
          </w:tcPr>
          <w:p w14:paraId="67DED64A">
            <w:pPr>
              <w:widowControl/>
              <w:jc w:val="center"/>
              <w:rPr>
                <w:rFonts w:hint="eastAsia" w:ascii="宋体" w:hAnsi="宋体" w:cs="宋体"/>
                <w:kern w:val="0"/>
                <w:szCs w:val="21"/>
              </w:rPr>
            </w:pPr>
            <w:r>
              <w:rPr>
                <w:rFonts w:hint="eastAsia" w:ascii="宋体" w:hAnsi="宋体" w:cs="宋体"/>
                <w:kern w:val="0"/>
                <w:szCs w:val="21"/>
                <w:lang w:bidi="ar"/>
              </w:rPr>
              <w:t>　</w:t>
            </w:r>
          </w:p>
        </w:tc>
      </w:tr>
      <w:tr w14:paraId="01A21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433" w:type="pct"/>
            <w:tcBorders>
              <w:top w:val="single" w:color="auto" w:sz="4" w:space="0"/>
              <w:left w:val="single" w:color="auto" w:sz="4" w:space="0"/>
              <w:bottom w:val="single" w:color="auto" w:sz="4" w:space="0"/>
              <w:right w:val="single" w:color="auto" w:sz="4" w:space="0"/>
            </w:tcBorders>
            <w:noWrap/>
            <w:vAlign w:val="center"/>
          </w:tcPr>
          <w:p w14:paraId="3FF55845">
            <w:pPr>
              <w:widowControl/>
              <w:jc w:val="center"/>
              <w:rPr>
                <w:rFonts w:hint="eastAsia" w:ascii="宋体" w:hAnsi="宋体" w:cs="宋体"/>
                <w:kern w:val="0"/>
                <w:szCs w:val="21"/>
              </w:rPr>
            </w:pPr>
            <w:r>
              <w:rPr>
                <w:rFonts w:hint="eastAsia" w:ascii="宋体" w:hAnsi="宋体" w:cs="宋体"/>
                <w:kern w:val="0"/>
                <w:szCs w:val="21"/>
                <w:lang w:bidi="ar"/>
              </w:rPr>
              <w:t>4</w:t>
            </w:r>
          </w:p>
        </w:tc>
        <w:tc>
          <w:tcPr>
            <w:tcW w:w="857" w:type="pct"/>
            <w:tcBorders>
              <w:top w:val="single" w:color="auto" w:sz="4" w:space="0"/>
              <w:left w:val="single" w:color="auto" w:sz="4" w:space="0"/>
              <w:bottom w:val="single" w:color="auto" w:sz="4" w:space="0"/>
              <w:right w:val="single" w:color="auto" w:sz="4" w:space="0"/>
            </w:tcBorders>
            <w:noWrap/>
            <w:vAlign w:val="center"/>
          </w:tcPr>
          <w:p w14:paraId="424832CC">
            <w:pPr>
              <w:widowControl/>
              <w:jc w:val="center"/>
              <w:rPr>
                <w:rFonts w:hint="eastAsia" w:ascii="宋体" w:hAnsi="宋体" w:cs="宋体"/>
                <w:kern w:val="0"/>
                <w:szCs w:val="21"/>
              </w:rPr>
            </w:pPr>
            <w:r>
              <w:rPr>
                <w:rFonts w:hint="eastAsia" w:ascii="宋体" w:hAnsi="宋体" w:cs="宋体"/>
                <w:kern w:val="0"/>
                <w:szCs w:val="21"/>
                <w:lang w:bidi="ar"/>
              </w:rPr>
              <w:t>　</w:t>
            </w:r>
          </w:p>
        </w:tc>
        <w:tc>
          <w:tcPr>
            <w:tcW w:w="1054" w:type="pct"/>
            <w:tcBorders>
              <w:top w:val="single" w:color="auto" w:sz="4" w:space="0"/>
              <w:left w:val="single" w:color="auto" w:sz="4" w:space="0"/>
              <w:bottom w:val="single" w:color="auto" w:sz="4" w:space="0"/>
              <w:right w:val="single" w:color="auto" w:sz="4" w:space="0"/>
            </w:tcBorders>
            <w:noWrap/>
            <w:vAlign w:val="center"/>
          </w:tcPr>
          <w:p w14:paraId="66D18CE1">
            <w:pPr>
              <w:widowControl/>
              <w:jc w:val="center"/>
              <w:rPr>
                <w:rFonts w:hint="eastAsia" w:ascii="宋体" w:hAnsi="宋体" w:cs="宋体"/>
                <w:kern w:val="0"/>
                <w:szCs w:val="21"/>
              </w:rPr>
            </w:pPr>
            <w:r>
              <w:rPr>
                <w:rFonts w:hint="eastAsia" w:ascii="宋体" w:hAnsi="宋体" w:cs="宋体"/>
                <w:kern w:val="0"/>
                <w:szCs w:val="21"/>
                <w:lang w:bidi="ar"/>
              </w:rPr>
              <w:t>　</w:t>
            </w:r>
          </w:p>
        </w:tc>
        <w:tc>
          <w:tcPr>
            <w:tcW w:w="1054" w:type="pct"/>
            <w:tcBorders>
              <w:top w:val="single" w:color="auto" w:sz="4" w:space="0"/>
              <w:left w:val="single" w:color="auto" w:sz="4" w:space="0"/>
              <w:bottom w:val="single" w:color="auto" w:sz="4" w:space="0"/>
              <w:right w:val="single" w:color="auto" w:sz="4" w:space="0"/>
            </w:tcBorders>
            <w:noWrap/>
            <w:vAlign w:val="center"/>
          </w:tcPr>
          <w:p w14:paraId="10168C9A">
            <w:pPr>
              <w:widowControl/>
              <w:jc w:val="center"/>
              <w:rPr>
                <w:rFonts w:hint="eastAsia" w:ascii="宋体" w:hAnsi="宋体" w:cs="宋体"/>
                <w:kern w:val="0"/>
                <w:szCs w:val="21"/>
              </w:rPr>
            </w:pPr>
            <w:r>
              <w:rPr>
                <w:rFonts w:hint="eastAsia" w:ascii="宋体" w:hAnsi="宋体" w:cs="宋体"/>
                <w:kern w:val="0"/>
                <w:szCs w:val="21"/>
                <w:lang w:bidi="ar"/>
              </w:rPr>
              <w:t>　</w:t>
            </w:r>
          </w:p>
        </w:tc>
        <w:tc>
          <w:tcPr>
            <w:tcW w:w="1599" w:type="pct"/>
            <w:tcBorders>
              <w:top w:val="single" w:color="auto" w:sz="4" w:space="0"/>
              <w:left w:val="single" w:color="auto" w:sz="4" w:space="0"/>
              <w:bottom w:val="single" w:color="auto" w:sz="4" w:space="0"/>
              <w:right w:val="single" w:color="auto" w:sz="4" w:space="0"/>
            </w:tcBorders>
            <w:noWrap/>
            <w:vAlign w:val="center"/>
          </w:tcPr>
          <w:p w14:paraId="4C1CA2E5">
            <w:pPr>
              <w:widowControl/>
              <w:jc w:val="center"/>
              <w:rPr>
                <w:rFonts w:hint="eastAsia" w:ascii="宋体" w:hAnsi="宋体" w:cs="宋体"/>
                <w:kern w:val="0"/>
                <w:szCs w:val="21"/>
              </w:rPr>
            </w:pPr>
            <w:r>
              <w:rPr>
                <w:rFonts w:hint="eastAsia" w:ascii="宋体" w:hAnsi="宋体" w:cs="宋体"/>
                <w:kern w:val="0"/>
                <w:szCs w:val="21"/>
                <w:lang w:bidi="ar"/>
              </w:rPr>
              <w:t>　</w:t>
            </w:r>
          </w:p>
        </w:tc>
      </w:tr>
      <w:tr w14:paraId="5BE61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433" w:type="pct"/>
            <w:tcBorders>
              <w:top w:val="single" w:color="auto" w:sz="4" w:space="0"/>
              <w:left w:val="single" w:color="auto" w:sz="4" w:space="0"/>
              <w:bottom w:val="single" w:color="auto" w:sz="4" w:space="0"/>
              <w:right w:val="single" w:color="auto" w:sz="4" w:space="0"/>
            </w:tcBorders>
            <w:noWrap/>
            <w:vAlign w:val="center"/>
          </w:tcPr>
          <w:p w14:paraId="429EB370">
            <w:pPr>
              <w:widowControl/>
              <w:jc w:val="center"/>
              <w:rPr>
                <w:rFonts w:hint="eastAsia" w:ascii="宋体" w:hAnsi="宋体" w:cs="宋体"/>
                <w:kern w:val="0"/>
                <w:szCs w:val="21"/>
              </w:rPr>
            </w:pPr>
            <w:r>
              <w:rPr>
                <w:rFonts w:hint="eastAsia" w:ascii="宋体" w:hAnsi="宋体" w:cs="宋体"/>
                <w:kern w:val="0"/>
                <w:szCs w:val="21"/>
                <w:lang w:bidi="ar"/>
              </w:rPr>
              <w:t>5</w:t>
            </w:r>
          </w:p>
        </w:tc>
        <w:tc>
          <w:tcPr>
            <w:tcW w:w="857" w:type="pct"/>
            <w:tcBorders>
              <w:top w:val="single" w:color="auto" w:sz="4" w:space="0"/>
              <w:left w:val="single" w:color="auto" w:sz="4" w:space="0"/>
              <w:bottom w:val="single" w:color="auto" w:sz="4" w:space="0"/>
              <w:right w:val="single" w:color="auto" w:sz="4" w:space="0"/>
            </w:tcBorders>
            <w:noWrap/>
            <w:vAlign w:val="center"/>
          </w:tcPr>
          <w:p w14:paraId="5D569B4A">
            <w:pPr>
              <w:widowControl/>
              <w:jc w:val="center"/>
              <w:rPr>
                <w:rFonts w:hint="eastAsia" w:ascii="宋体" w:hAnsi="宋体" w:cs="宋体"/>
                <w:kern w:val="0"/>
                <w:szCs w:val="21"/>
              </w:rPr>
            </w:pPr>
            <w:r>
              <w:rPr>
                <w:rFonts w:hint="eastAsia" w:ascii="宋体" w:hAnsi="宋体" w:cs="宋体"/>
                <w:kern w:val="0"/>
                <w:szCs w:val="21"/>
                <w:lang w:bidi="ar"/>
              </w:rPr>
              <w:t>　</w:t>
            </w:r>
          </w:p>
        </w:tc>
        <w:tc>
          <w:tcPr>
            <w:tcW w:w="1054" w:type="pct"/>
            <w:tcBorders>
              <w:top w:val="single" w:color="auto" w:sz="4" w:space="0"/>
              <w:left w:val="single" w:color="auto" w:sz="4" w:space="0"/>
              <w:bottom w:val="single" w:color="auto" w:sz="4" w:space="0"/>
              <w:right w:val="single" w:color="auto" w:sz="4" w:space="0"/>
            </w:tcBorders>
            <w:noWrap/>
            <w:vAlign w:val="center"/>
          </w:tcPr>
          <w:p w14:paraId="5E9055C0">
            <w:pPr>
              <w:widowControl/>
              <w:jc w:val="center"/>
              <w:rPr>
                <w:rFonts w:hint="eastAsia" w:ascii="宋体" w:hAnsi="宋体" w:cs="宋体"/>
                <w:kern w:val="0"/>
                <w:szCs w:val="21"/>
              </w:rPr>
            </w:pPr>
            <w:r>
              <w:rPr>
                <w:rFonts w:hint="eastAsia" w:ascii="宋体" w:hAnsi="宋体" w:cs="宋体"/>
                <w:kern w:val="0"/>
                <w:szCs w:val="21"/>
                <w:lang w:bidi="ar"/>
              </w:rPr>
              <w:t>　</w:t>
            </w:r>
          </w:p>
        </w:tc>
        <w:tc>
          <w:tcPr>
            <w:tcW w:w="1054" w:type="pct"/>
            <w:tcBorders>
              <w:top w:val="single" w:color="auto" w:sz="4" w:space="0"/>
              <w:left w:val="single" w:color="auto" w:sz="4" w:space="0"/>
              <w:bottom w:val="single" w:color="auto" w:sz="4" w:space="0"/>
              <w:right w:val="single" w:color="auto" w:sz="4" w:space="0"/>
            </w:tcBorders>
            <w:noWrap/>
            <w:vAlign w:val="center"/>
          </w:tcPr>
          <w:p w14:paraId="623687DB">
            <w:pPr>
              <w:widowControl/>
              <w:jc w:val="center"/>
              <w:rPr>
                <w:rFonts w:hint="eastAsia" w:ascii="宋体" w:hAnsi="宋体" w:cs="宋体"/>
                <w:kern w:val="0"/>
                <w:szCs w:val="21"/>
              </w:rPr>
            </w:pPr>
            <w:r>
              <w:rPr>
                <w:rFonts w:hint="eastAsia" w:ascii="宋体" w:hAnsi="宋体" w:cs="宋体"/>
                <w:kern w:val="0"/>
                <w:szCs w:val="21"/>
                <w:lang w:bidi="ar"/>
              </w:rPr>
              <w:t>　</w:t>
            </w:r>
          </w:p>
        </w:tc>
        <w:tc>
          <w:tcPr>
            <w:tcW w:w="1599" w:type="pct"/>
            <w:tcBorders>
              <w:top w:val="single" w:color="auto" w:sz="4" w:space="0"/>
              <w:left w:val="single" w:color="auto" w:sz="4" w:space="0"/>
              <w:bottom w:val="single" w:color="auto" w:sz="4" w:space="0"/>
              <w:right w:val="single" w:color="auto" w:sz="4" w:space="0"/>
            </w:tcBorders>
            <w:noWrap/>
            <w:vAlign w:val="center"/>
          </w:tcPr>
          <w:p w14:paraId="6106C5FB">
            <w:pPr>
              <w:widowControl/>
              <w:jc w:val="center"/>
              <w:rPr>
                <w:rFonts w:hint="eastAsia" w:ascii="宋体" w:hAnsi="宋体" w:cs="宋体"/>
                <w:kern w:val="0"/>
                <w:szCs w:val="21"/>
              </w:rPr>
            </w:pPr>
            <w:r>
              <w:rPr>
                <w:rFonts w:hint="eastAsia" w:ascii="宋体" w:hAnsi="宋体" w:cs="宋体"/>
                <w:kern w:val="0"/>
                <w:szCs w:val="21"/>
                <w:lang w:bidi="ar"/>
              </w:rPr>
              <w:t>　</w:t>
            </w:r>
          </w:p>
        </w:tc>
      </w:tr>
      <w:tr w14:paraId="6788D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433" w:type="pct"/>
            <w:tcBorders>
              <w:top w:val="single" w:color="auto" w:sz="4" w:space="0"/>
              <w:left w:val="single" w:color="auto" w:sz="4" w:space="0"/>
              <w:bottom w:val="single" w:color="auto" w:sz="4" w:space="0"/>
              <w:right w:val="single" w:color="auto" w:sz="4" w:space="0"/>
            </w:tcBorders>
            <w:noWrap/>
            <w:vAlign w:val="center"/>
          </w:tcPr>
          <w:p w14:paraId="26131A38">
            <w:pPr>
              <w:widowControl/>
              <w:jc w:val="center"/>
              <w:rPr>
                <w:rFonts w:hint="eastAsia" w:ascii="宋体" w:hAnsi="宋体" w:cs="宋体"/>
                <w:kern w:val="0"/>
                <w:szCs w:val="21"/>
              </w:rPr>
            </w:pPr>
            <w:r>
              <w:rPr>
                <w:rFonts w:hint="eastAsia" w:ascii="宋体" w:hAnsi="宋体" w:cs="宋体"/>
                <w:kern w:val="0"/>
                <w:szCs w:val="21"/>
                <w:lang w:bidi="ar"/>
              </w:rPr>
              <w:t>……</w:t>
            </w:r>
          </w:p>
        </w:tc>
        <w:tc>
          <w:tcPr>
            <w:tcW w:w="857" w:type="pct"/>
            <w:tcBorders>
              <w:top w:val="single" w:color="auto" w:sz="4" w:space="0"/>
              <w:left w:val="single" w:color="auto" w:sz="4" w:space="0"/>
              <w:bottom w:val="single" w:color="auto" w:sz="4" w:space="0"/>
              <w:right w:val="single" w:color="auto" w:sz="4" w:space="0"/>
            </w:tcBorders>
            <w:noWrap/>
            <w:vAlign w:val="center"/>
          </w:tcPr>
          <w:p w14:paraId="45E1A5C5">
            <w:pPr>
              <w:widowControl/>
              <w:jc w:val="center"/>
              <w:rPr>
                <w:rFonts w:hint="eastAsia" w:ascii="宋体" w:hAnsi="宋体" w:cs="宋体"/>
                <w:kern w:val="0"/>
                <w:szCs w:val="21"/>
              </w:rPr>
            </w:pPr>
            <w:r>
              <w:rPr>
                <w:rFonts w:hint="eastAsia" w:ascii="宋体" w:hAnsi="宋体" w:cs="宋体"/>
                <w:kern w:val="0"/>
                <w:szCs w:val="21"/>
                <w:lang w:bidi="ar"/>
              </w:rPr>
              <w:t>　</w:t>
            </w:r>
          </w:p>
        </w:tc>
        <w:tc>
          <w:tcPr>
            <w:tcW w:w="1054" w:type="pct"/>
            <w:tcBorders>
              <w:top w:val="single" w:color="auto" w:sz="4" w:space="0"/>
              <w:left w:val="single" w:color="auto" w:sz="4" w:space="0"/>
              <w:bottom w:val="single" w:color="auto" w:sz="4" w:space="0"/>
              <w:right w:val="single" w:color="auto" w:sz="4" w:space="0"/>
            </w:tcBorders>
            <w:noWrap/>
            <w:vAlign w:val="center"/>
          </w:tcPr>
          <w:p w14:paraId="7CA13EB8">
            <w:pPr>
              <w:widowControl/>
              <w:jc w:val="center"/>
              <w:rPr>
                <w:rFonts w:hint="eastAsia" w:ascii="宋体" w:hAnsi="宋体" w:cs="宋体"/>
                <w:kern w:val="0"/>
                <w:szCs w:val="21"/>
              </w:rPr>
            </w:pPr>
            <w:r>
              <w:rPr>
                <w:rFonts w:hint="eastAsia" w:ascii="宋体" w:hAnsi="宋体" w:cs="宋体"/>
                <w:kern w:val="0"/>
                <w:szCs w:val="21"/>
                <w:lang w:bidi="ar"/>
              </w:rPr>
              <w:t>　</w:t>
            </w:r>
          </w:p>
        </w:tc>
        <w:tc>
          <w:tcPr>
            <w:tcW w:w="1054" w:type="pct"/>
            <w:tcBorders>
              <w:top w:val="single" w:color="auto" w:sz="4" w:space="0"/>
              <w:left w:val="single" w:color="auto" w:sz="4" w:space="0"/>
              <w:bottom w:val="single" w:color="auto" w:sz="4" w:space="0"/>
              <w:right w:val="single" w:color="auto" w:sz="4" w:space="0"/>
            </w:tcBorders>
            <w:noWrap/>
            <w:vAlign w:val="center"/>
          </w:tcPr>
          <w:p w14:paraId="50F015F9">
            <w:pPr>
              <w:widowControl/>
              <w:jc w:val="center"/>
              <w:rPr>
                <w:rFonts w:hint="eastAsia" w:ascii="宋体" w:hAnsi="宋体" w:cs="宋体"/>
                <w:kern w:val="0"/>
                <w:szCs w:val="21"/>
              </w:rPr>
            </w:pPr>
            <w:r>
              <w:rPr>
                <w:rFonts w:hint="eastAsia" w:ascii="宋体" w:hAnsi="宋体" w:cs="宋体"/>
                <w:kern w:val="0"/>
                <w:szCs w:val="21"/>
                <w:lang w:bidi="ar"/>
              </w:rPr>
              <w:t>　</w:t>
            </w:r>
          </w:p>
        </w:tc>
        <w:tc>
          <w:tcPr>
            <w:tcW w:w="1599" w:type="pct"/>
            <w:tcBorders>
              <w:top w:val="single" w:color="auto" w:sz="4" w:space="0"/>
              <w:left w:val="single" w:color="auto" w:sz="4" w:space="0"/>
              <w:bottom w:val="single" w:color="auto" w:sz="4" w:space="0"/>
              <w:right w:val="single" w:color="auto" w:sz="4" w:space="0"/>
            </w:tcBorders>
            <w:noWrap/>
            <w:vAlign w:val="center"/>
          </w:tcPr>
          <w:p w14:paraId="2587D87C">
            <w:pPr>
              <w:widowControl/>
              <w:jc w:val="center"/>
              <w:rPr>
                <w:rFonts w:hint="eastAsia" w:ascii="宋体" w:hAnsi="宋体" w:cs="宋体"/>
                <w:kern w:val="0"/>
                <w:szCs w:val="21"/>
              </w:rPr>
            </w:pPr>
            <w:r>
              <w:rPr>
                <w:rFonts w:hint="eastAsia" w:ascii="宋体" w:hAnsi="宋体" w:cs="宋体"/>
                <w:kern w:val="0"/>
                <w:szCs w:val="21"/>
                <w:lang w:bidi="ar"/>
              </w:rPr>
              <w:t>　</w:t>
            </w:r>
          </w:p>
        </w:tc>
      </w:tr>
      <w:tr w14:paraId="7803B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6" w:hRule="atLeast"/>
          <w:jc w:val="center"/>
        </w:trPr>
        <w:tc>
          <w:tcPr>
            <w:tcW w:w="5000" w:type="pct"/>
            <w:gridSpan w:val="5"/>
            <w:tcBorders>
              <w:top w:val="single" w:color="auto" w:sz="4" w:space="0"/>
              <w:left w:val="single" w:color="auto" w:sz="4" w:space="0"/>
              <w:bottom w:val="single" w:color="auto" w:sz="4" w:space="0"/>
              <w:right w:val="single" w:color="auto" w:sz="4" w:space="0"/>
            </w:tcBorders>
            <w:vAlign w:val="center"/>
          </w:tcPr>
          <w:p w14:paraId="08A7144E">
            <w:pPr>
              <w:widowControl/>
              <w:jc w:val="left"/>
              <w:rPr>
                <w:rFonts w:hint="eastAsia" w:ascii="宋体" w:hAnsi="宋体" w:cs="宋体"/>
                <w:kern w:val="0"/>
                <w:szCs w:val="21"/>
              </w:rPr>
            </w:pPr>
            <w:r>
              <w:rPr>
                <w:rFonts w:hint="eastAsia" w:ascii="宋体" w:hAnsi="宋体" w:cs="宋体"/>
                <w:kern w:val="0"/>
                <w:szCs w:val="21"/>
                <w:lang w:bidi="ar"/>
              </w:rPr>
              <w:t>备注：</w:t>
            </w:r>
          </w:p>
          <w:p w14:paraId="0CC2B7C6">
            <w:pPr>
              <w:widowControl/>
              <w:jc w:val="left"/>
              <w:rPr>
                <w:rFonts w:hint="eastAsia" w:ascii="宋体" w:hAnsi="宋体" w:cs="宋体"/>
                <w:kern w:val="0"/>
                <w:szCs w:val="21"/>
              </w:rPr>
            </w:pPr>
            <w:r>
              <w:rPr>
                <w:rFonts w:hint="eastAsia" w:ascii="宋体" w:hAnsi="宋体" w:cs="宋体"/>
                <w:kern w:val="0"/>
                <w:szCs w:val="21"/>
                <w:lang w:bidi="ar"/>
              </w:rPr>
              <w:t>1、“岗位”要求</w:t>
            </w:r>
            <w:r>
              <w:rPr>
                <w:rFonts w:hint="eastAsia" w:ascii="宋体" w:hAnsi="宋体" w:cs="宋体"/>
                <w:b/>
                <w:bCs/>
                <w:kern w:val="0"/>
                <w:szCs w:val="21"/>
                <w:lang w:bidi="ar"/>
              </w:rPr>
              <w:t>（除项目负责人和专职安全员外）</w:t>
            </w:r>
            <w:r>
              <w:rPr>
                <w:rFonts w:hint="eastAsia" w:ascii="宋体" w:hAnsi="宋体" w:cs="宋体"/>
                <w:kern w:val="0"/>
                <w:szCs w:val="21"/>
                <w:lang w:bidi="ar"/>
              </w:rPr>
              <w:t>由投标人根据项目管理需要结合自身实力在本表中明确。以上项目管理团队人员信息将由交易系统提取后供各相关单位在履约时比对、查核。</w:t>
            </w:r>
          </w:p>
          <w:p w14:paraId="2510ECB1">
            <w:pPr>
              <w:widowControl/>
              <w:jc w:val="left"/>
              <w:rPr>
                <w:rFonts w:hint="eastAsia" w:ascii="宋体" w:hAnsi="宋体" w:cs="宋体"/>
                <w:kern w:val="0"/>
                <w:szCs w:val="21"/>
              </w:rPr>
            </w:pPr>
            <w:r>
              <w:rPr>
                <w:rFonts w:hint="eastAsia" w:ascii="宋体" w:hAnsi="宋体" w:cs="宋体"/>
                <w:kern w:val="0"/>
                <w:szCs w:val="21"/>
                <w:lang w:bidi="ar"/>
              </w:rPr>
              <w:t>2、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方可递交投标文。</w:t>
            </w:r>
          </w:p>
          <w:p w14:paraId="1554F9E7">
            <w:pPr>
              <w:widowControl/>
              <w:jc w:val="left"/>
              <w:rPr>
                <w:rFonts w:hint="eastAsia" w:ascii="宋体" w:hAnsi="宋体" w:cs="宋体"/>
                <w:kern w:val="0"/>
                <w:szCs w:val="21"/>
              </w:rPr>
            </w:pPr>
            <w:r>
              <w:rPr>
                <w:rFonts w:hint="eastAsia" w:ascii="宋体" w:hAnsi="宋体" w:cs="宋体"/>
                <w:kern w:val="0"/>
                <w:szCs w:val="21"/>
                <w:lang w:bidi="ar"/>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tc>
      </w:tr>
    </w:tbl>
    <w:p w14:paraId="4297311B">
      <w:pPr>
        <w:rPr>
          <w:rFonts w:cs="宋体"/>
          <w:sz w:val="28"/>
          <w:szCs w:val="28"/>
        </w:rPr>
      </w:pPr>
      <w:r>
        <w:rPr>
          <w:rFonts w:hint="eastAsia" w:cs="宋体"/>
          <w:sz w:val="28"/>
          <w:szCs w:val="28"/>
          <w:lang w:bidi="ar"/>
        </w:rPr>
        <w:br w:type="page"/>
      </w:r>
    </w:p>
    <w:p w14:paraId="3D43BBA4">
      <w:pPr>
        <w:rPr>
          <w:rFonts w:hint="eastAsia" w:ascii="宋体" w:hAnsi="宋体" w:cs="宋体"/>
          <w:b/>
          <w:sz w:val="36"/>
          <w:szCs w:val="36"/>
        </w:rPr>
      </w:pPr>
    </w:p>
    <w:p w14:paraId="6A824C75">
      <w:pPr>
        <w:ind w:firstLine="824" w:firstLineChars="228"/>
        <w:jc w:val="center"/>
        <w:rPr>
          <w:rFonts w:hint="eastAsia" w:ascii="宋体" w:hAnsi="宋体" w:cs="宋体"/>
          <w:b/>
          <w:sz w:val="36"/>
          <w:szCs w:val="36"/>
        </w:rPr>
      </w:pPr>
      <w:r>
        <w:rPr>
          <w:rFonts w:hint="eastAsia" w:ascii="宋体" w:hAnsi="宋体" w:cs="宋体"/>
          <w:b/>
          <w:sz w:val="36"/>
          <w:szCs w:val="36"/>
        </w:rPr>
        <w:t>主要人员简历表</w:t>
      </w:r>
    </w:p>
    <w:tbl>
      <w:tblPr>
        <w:tblStyle w:val="37"/>
        <w:tblW w:w="0" w:type="auto"/>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60" w:type="dxa"/>
          <w:left w:w="60" w:type="dxa"/>
          <w:bottom w:w="60" w:type="dxa"/>
          <w:right w:w="60" w:type="dxa"/>
        </w:tblCellMar>
      </w:tblPr>
      <w:tblGrid>
        <w:gridCol w:w="1334"/>
        <w:gridCol w:w="1488"/>
        <w:gridCol w:w="1534"/>
        <w:gridCol w:w="1911"/>
        <w:gridCol w:w="1361"/>
        <w:gridCol w:w="1582"/>
      </w:tblGrid>
      <w:tr w14:paraId="38E83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720" w:hRule="atLeast"/>
          <w:tblCellSpacing w:w="0" w:type="dxa"/>
          <w:jc w:val="center"/>
        </w:trPr>
        <w:tc>
          <w:tcPr>
            <w:tcW w:w="1334" w:type="dxa"/>
            <w:vAlign w:val="center"/>
          </w:tcPr>
          <w:p w14:paraId="23BC0217">
            <w:pPr>
              <w:spacing w:line="360" w:lineRule="auto"/>
              <w:jc w:val="center"/>
              <w:rPr>
                <w:rFonts w:hint="eastAsia" w:ascii="宋体" w:hAnsi="宋体" w:cs="宋体"/>
                <w:szCs w:val="21"/>
              </w:rPr>
            </w:pPr>
            <w:r>
              <w:rPr>
                <w:rFonts w:hint="eastAsia" w:ascii="宋体" w:hAnsi="宋体" w:cs="宋体"/>
                <w:szCs w:val="21"/>
              </w:rPr>
              <w:t>姓名</w:t>
            </w:r>
          </w:p>
        </w:tc>
        <w:tc>
          <w:tcPr>
            <w:tcW w:w="1488" w:type="dxa"/>
            <w:vAlign w:val="center"/>
          </w:tcPr>
          <w:p w14:paraId="7EA9012C">
            <w:pPr>
              <w:spacing w:line="360" w:lineRule="auto"/>
              <w:jc w:val="center"/>
              <w:rPr>
                <w:rFonts w:hint="eastAsia" w:ascii="宋体" w:hAnsi="宋体" w:cs="宋体"/>
                <w:szCs w:val="21"/>
              </w:rPr>
            </w:pPr>
          </w:p>
        </w:tc>
        <w:tc>
          <w:tcPr>
            <w:tcW w:w="1534" w:type="dxa"/>
            <w:vAlign w:val="center"/>
          </w:tcPr>
          <w:p w14:paraId="349EE680">
            <w:pPr>
              <w:spacing w:line="360" w:lineRule="auto"/>
              <w:jc w:val="center"/>
              <w:rPr>
                <w:rFonts w:hint="eastAsia" w:ascii="宋体" w:hAnsi="宋体" w:cs="宋体"/>
                <w:szCs w:val="21"/>
              </w:rPr>
            </w:pPr>
            <w:r>
              <w:rPr>
                <w:rFonts w:hint="eastAsia" w:ascii="宋体" w:hAnsi="宋体" w:cs="宋体"/>
                <w:szCs w:val="21"/>
              </w:rPr>
              <w:t>性别</w:t>
            </w:r>
          </w:p>
        </w:tc>
        <w:tc>
          <w:tcPr>
            <w:tcW w:w="1911" w:type="dxa"/>
            <w:vAlign w:val="center"/>
          </w:tcPr>
          <w:p w14:paraId="4EFD9D88">
            <w:pPr>
              <w:spacing w:line="360" w:lineRule="auto"/>
              <w:jc w:val="center"/>
              <w:rPr>
                <w:rFonts w:hint="eastAsia" w:ascii="宋体" w:hAnsi="宋体" w:cs="宋体"/>
                <w:szCs w:val="21"/>
              </w:rPr>
            </w:pPr>
          </w:p>
        </w:tc>
        <w:tc>
          <w:tcPr>
            <w:tcW w:w="1361" w:type="dxa"/>
            <w:vAlign w:val="center"/>
          </w:tcPr>
          <w:p w14:paraId="72914CDC">
            <w:pPr>
              <w:spacing w:line="360" w:lineRule="auto"/>
              <w:jc w:val="center"/>
              <w:rPr>
                <w:rFonts w:hint="eastAsia" w:ascii="宋体" w:hAnsi="宋体" w:cs="宋体"/>
                <w:szCs w:val="21"/>
              </w:rPr>
            </w:pPr>
            <w:r>
              <w:rPr>
                <w:rFonts w:hint="eastAsia" w:ascii="宋体" w:hAnsi="宋体" w:cs="宋体"/>
                <w:szCs w:val="21"/>
              </w:rPr>
              <w:t>年龄</w:t>
            </w:r>
          </w:p>
        </w:tc>
        <w:tc>
          <w:tcPr>
            <w:tcW w:w="1582" w:type="dxa"/>
            <w:vAlign w:val="center"/>
          </w:tcPr>
          <w:p w14:paraId="4B3E87B0">
            <w:pPr>
              <w:spacing w:line="360" w:lineRule="auto"/>
              <w:jc w:val="center"/>
              <w:rPr>
                <w:rFonts w:hint="eastAsia" w:ascii="宋体" w:hAnsi="宋体" w:cs="宋体"/>
                <w:szCs w:val="21"/>
              </w:rPr>
            </w:pPr>
          </w:p>
        </w:tc>
      </w:tr>
      <w:tr w14:paraId="6B539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735" w:hRule="atLeast"/>
          <w:tblCellSpacing w:w="0" w:type="dxa"/>
          <w:jc w:val="center"/>
        </w:trPr>
        <w:tc>
          <w:tcPr>
            <w:tcW w:w="1334" w:type="dxa"/>
            <w:vAlign w:val="center"/>
          </w:tcPr>
          <w:p w14:paraId="3F8CB005">
            <w:pPr>
              <w:spacing w:line="360" w:lineRule="auto"/>
              <w:jc w:val="center"/>
              <w:rPr>
                <w:rFonts w:hint="eastAsia" w:ascii="宋体" w:hAnsi="宋体" w:cs="宋体"/>
                <w:szCs w:val="21"/>
              </w:rPr>
            </w:pPr>
            <w:r>
              <w:rPr>
                <w:rFonts w:hint="eastAsia" w:ascii="宋体" w:hAnsi="宋体" w:cs="宋体"/>
                <w:szCs w:val="21"/>
              </w:rPr>
              <w:t>职务</w:t>
            </w:r>
          </w:p>
        </w:tc>
        <w:tc>
          <w:tcPr>
            <w:tcW w:w="1488" w:type="dxa"/>
            <w:vAlign w:val="center"/>
          </w:tcPr>
          <w:p w14:paraId="13498876">
            <w:pPr>
              <w:spacing w:line="360" w:lineRule="auto"/>
              <w:jc w:val="center"/>
              <w:rPr>
                <w:rFonts w:hint="eastAsia" w:ascii="宋体" w:hAnsi="宋体" w:cs="宋体"/>
                <w:szCs w:val="21"/>
              </w:rPr>
            </w:pPr>
          </w:p>
        </w:tc>
        <w:tc>
          <w:tcPr>
            <w:tcW w:w="1534" w:type="dxa"/>
            <w:vAlign w:val="center"/>
          </w:tcPr>
          <w:p w14:paraId="0704C5C7">
            <w:pPr>
              <w:spacing w:line="360" w:lineRule="auto"/>
              <w:jc w:val="center"/>
              <w:rPr>
                <w:rFonts w:hint="eastAsia" w:ascii="宋体" w:hAnsi="宋体" w:cs="宋体"/>
                <w:szCs w:val="21"/>
              </w:rPr>
            </w:pPr>
            <w:r>
              <w:rPr>
                <w:rFonts w:hint="eastAsia" w:ascii="宋体" w:hAnsi="宋体" w:cs="宋体"/>
                <w:szCs w:val="21"/>
              </w:rPr>
              <w:t>职称</w:t>
            </w:r>
          </w:p>
        </w:tc>
        <w:tc>
          <w:tcPr>
            <w:tcW w:w="1911" w:type="dxa"/>
            <w:vAlign w:val="center"/>
          </w:tcPr>
          <w:p w14:paraId="5D240B87">
            <w:pPr>
              <w:spacing w:line="360" w:lineRule="auto"/>
              <w:jc w:val="center"/>
              <w:rPr>
                <w:rFonts w:hint="eastAsia" w:ascii="宋体" w:hAnsi="宋体" w:cs="宋体"/>
                <w:szCs w:val="21"/>
              </w:rPr>
            </w:pPr>
          </w:p>
        </w:tc>
        <w:tc>
          <w:tcPr>
            <w:tcW w:w="1361" w:type="dxa"/>
            <w:vAlign w:val="center"/>
          </w:tcPr>
          <w:p w14:paraId="4ADB28A3">
            <w:pPr>
              <w:spacing w:line="360" w:lineRule="auto"/>
              <w:jc w:val="center"/>
              <w:rPr>
                <w:rFonts w:hint="eastAsia" w:ascii="宋体" w:hAnsi="宋体" w:cs="宋体"/>
                <w:szCs w:val="21"/>
              </w:rPr>
            </w:pPr>
            <w:r>
              <w:rPr>
                <w:rFonts w:hint="eastAsia" w:ascii="宋体" w:hAnsi="宋体" w:cs="宋体"/>
                <w:szCs w:val="21"/>
              </w:rPr>
              <w:t>学历</w:t>
            </w:r>
          </w:p>
        </w:tc>
        <w:tc>
          <w:tcPr>
            <w:tcW w:w="1582" w:type="dxa"/>
            <w:vAlign w:val="center"/>
          </w:tcPr>
          <w:p w14:paraId="54B2D2F3">
            <w:pPr>
              <w:spacing w:line="360" w:lineRule="auto"/>
              <w:jc w:val="center"/>
              <w:rPr>
                <w:rFonts w:hint="eastAsia" w:ascii="宋体" w:hAnsi="宋体" w:cs="宋体"/>
                <w:szCs w:val="21"/>
              </w:rPr>
            </w:pPr>
          </w:p>
        </w:tc>
      </w:tr>
      <w:tr w14:paraId="79073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735" w:hRule="atLeast"/>
          <w:tblCellSpacing w:w="0" w:type="dxa"/>
          <w:jc w:val="center"/>
        </w:trPr>
        <w:tc>
          <w:tcPr>
            <w:tcW w:w="2822" w:type="dxa"/>
            <w:gridSpan w:val="2"/>
            <w:vAlign w:val="center"/>
          </w:tcPr>
          <w:p w14:paraId="00D5F72F">
            <w:pPr>
              <w:spacing w:line="360" w:lineRule="auto"/>
              <w:jc w:val="center"/>
              <w:rPr>
                <w:rFonts w:hint="eastAsia" w:ascii="宋体" w:hAnsi="宋体" w:cs="宋体"/>
                <w:szCs w:val="21"/>
              </w:rPr>
            </w:pPr>
            <w:r>
              <w:rPr>
                <w:rFonts w:hint="eastAsia" w:ascii="宋体" w:hAnsi="宋体" w:cs="宋体"/>
                <w:szCs w:val="21"/>
              </w:rPr>
              <w:t>参加工作时间</w:t>
            </w:r>
          </w:p>
        </w:tc>
        <w:tc>
          <w:tcPr>
            <w:tcW w:w="1534" w:type="dxa"/>
            <w:vAlign w:val="center"/>
          </w:tcPr>
          <w:p w14:paraId="2B78817E">
            <w:pPr>
              <w:spacing w:line="360" w:lineRule="auto"/>
              <w:jc w:val="center"/>
              <w:rPr>
                <w:rFonts w:hint="eastAsia" w:ascii="宋体" w:hAnsi="宋体" w:cs="宋体"/>
                <w:szCs w:val="21"/>
              </w:rPr>
            </w:pPr>
          </w:p>
        </w:tc>
        <w:tc>
          <w:tcPr>
            <w:tcW w:w="1911" w:type="dxa"/>
            <w:vAlign w:val="center"/>
          </w:tcPr>
          <w:p w14:paraId="490C9A30">
            <w:pPr>
              <w:spacing w:line="360" w:lineRule="auto"/>
              <w:jc w:val="center"/>
              <w:rPr>
                <w:rFonts w:hint="eastAsia" w:ascii="宋体" w:hAnsi="宋体" w:cs="宋体"/>
                <w:szCs w:val="21"/>
              </w:rPr>
            </w:pPr>
            <w:r>
              <w:rPr>
                <w:rFonts w:hint="eastAsia" w:ascii="宋体" w:hAnsi="宋体" w:cs="宋体"/>
                <w:szCs w:val="21"/>
              </w:rPr>
              <w:t>担任相应职务年限</w:t>
            </w:r>
          </w:p>
        </w:tc>
        <w:tc>
          <w:tcPr>
            <w:tcW w:w="2943" w:type="dxa"/>
            <w:gridSpan w:val="2"/>
            <w:vAlign w:val="center"/>
          </w:tcPr>
          <w:p w14:paraId="0383F97F">
            <w:pPr>
              <w:spacing w:line="360" w:lineRule="auto"/>
              <w:jc w:val="center"/>
              <w:rPr>
                <w:rFonts w:hint="eastAsia" w:ascii="宋体" w:hAnsi="宋体" w:cs="宋体"/>
                <w:szCs w:val="21"/>
              </w:rPr>
            </w:pPr>
          </w:p>
        </w:tc>
      </w:tr>
      <w:tr w14:paraId="014C3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735" w:hRule="atLeast"/>
          <w:tblCellSpacing w:w="0" w:type="dxa"/>
          <w:jc w:val="center"/>
        </w:trPr>
        <w:tc>
          <w:tcPr>
            <w:tcW w:w="2822" w:type="dxa"/>
            <w:gridSpan w:val="2"/>
            <w:vAlign w:val="center"/>
          </w:tcPr>
          <w:p w14:paraId="248A6114">
            <w:pPr>
              <w:spacing w:line="360" w:lineRule="auto"/>
              <w:jc w:val="center"/>
              <w:rPr>
                <w:rFonts w:hint="eastAsia" w:ascii="宋体" w:hAnsi="宋体" w:cs="宋体"/>
                <w:szCs w:val="21"/>
              </w:rPr>
            </w:pPr>
            <w:r>
              <w:rPr>
                <w:rFonts w:hint="eastAsia" w:ascii="宋体" w:hAnsi="宋体" w:cs="宋体"/>
                <w:szCs w:val="21"/>
              </w:rPr>
              <w:t>资格证书号</w:t>
            </w:r>
          </w:p>
        </w:tc>
        <w:tc>
          <w:tcPr>
            <w:tcW w:w="6388" w:type="dxa"/>
            <w:gridSpan w:val="4"/>
            <w:vAlign w:val="center"/>
          </w:tcPr>
          <w:p w14:paraId="6BBB08C4">
            <w:pPr>
              <w:spacing w:line="360" w:lineRule="auto"/>
              <w:jc w:val="center"/>
              <w:rPr>
                <w:rFonts w:hint="eastAsia" w:ascii="宋体" w:hAnsi="宋体" w:cs="宋体"/>
                <w:szCs w:val="21"/>
              </w:rPr>
            </w:pPr>
          </w:p>
        </w:tc>
      </w:tr>
      <w:tr w14:paraId="4B4AF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735" w:hRule="atLeast"/>
          <w:tblCellSpacing w:w="0" w:type="dxa"/>
          <w:jc w:val="center"/>
        </w:trPr>
        <w:tc>
          <w:tcPr>
            <w:tcW w:w="9210" w:type="dxa"/>
            <w:gridSpan w:val="6"/>
            <w:vAlign w:val="center"/>
          </w:tcPr>
          <w:p w14:paraId="633A3688">
            <w:pPr>
              <w:spacing w:line="360" w:lineRule="auto"/>
              <w:jc w:val="center"/>
              <w:rPr>
                <w:rFonts w:hint="eastAsia" w:ascii="宋体" w:hAnsi="宋体" w:cs="宋体"/>
                <w:szCs w:val="21"/>
              </w:rPr>
            </w:pPr>
            <w:r>
              <w:rPr>
                <w:rFonts w:hint="eastAsia" w:ascii="宋体" w:hAnsi="宋体" w:cs="宋体"/>
                <w:szCs w:val="21"/>
              </w:rPr>
              <w:t>业绩简介</w:t>
            </w:r>
          </w:p>
        </w:tc>
      </w:tr>
      <w:tr w14:paraId="5D15F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735" w:hRule="atLeast"/>
          <w:tblCellSpacing w:w="0" w:type="dxa"/>
          <w:jc w:val="center"/>
        </w:trPr>
        <w:tc>
          <w:tcPr>
            <w:tcW w:w="1334" w:type="dxa"/>
            <w:vAlign w:val="center"/>
          </w:tcPr>
          <w:p w14:paraId="17008387">
            <w:pPr>
              <w:spacing w:line="360" w:lineRule="auto"/>
              <w:jc w:val="center"/>
              <w:rPr>
                <w:rFonts w:hint="eastAsia" w:ascii="宋体" w:hAnsi="宋体" w:cs="宋体"/>
                <w:szCs w:val="21"/>
              </w:rPr>
            </w:pPr>
            <w:r>
              <w:rPr>
                <w:rFonts w:hint="eastAsia" w:ascii="宋体" w:hAnsi="宋体" w:cs="宋体"/>
                <w:szCs w:val="21"/>
              </w:rPr>
              <w:t>建设单位</w:t>
            </w:r>
          </w:p>
        </w:tc>
        <w:tc>
          <w:tcPr>
            <w:tcW w:w="1488" w:type="dxa"/>
            <w:vAlign w:val="center"/>
          </w:tcPr>
          <w:p w14:paraId="09C286DF">
            <w:pPr>
              <w:spacing w:line="360" w:lineRule="auto"/>
              <w:jc w:val="center"/>
              <w:rPr>
                <w:rFonts w:hint="eastAsia" w:ascii="宋体" w:hAnsi="宋体" w:cs="宋体"/>
                <w:szCs w:val="21"/>
              </w:rPr>
            </w:pPr>
            <w:r>
              <w:rPr>
                <w:rFonts w:hint="eastAsia" w:ascii="宋体" w:hAnsi="宋体" w:cs="宋体"/>
                <w:szCs w:val="21"/>
              </w:rPr>
              <w:t>项目名称</w:t>
            </w:r>
          </w:p>
        </w:tc>
        <w:tc>
          <w:tcPr>
            <w:tcW w:w="1534" w:type="dxa"/>
            <w:vAlign w:val="center"/>
          </w:tcPr>
          <w:p w14:paraId="06BCCEAA">
            <w:pPr>
              <w:spacing w:line="360" w:lineRule="auto"/>
              <w:jc w:val="center"/>
              <w:rPr>
                <w:rFonts w:hint="eastAsia" w:ascii="宋体" w:hAnsi="宋体" w:cs="宋体"/>
                <w:szCs w:val="21"/>
              </w:rPr>
            </w:pPr>
            <w:r>
              <w:rPr>
                <w:rFonts w:hint="eastAsia" w:ascii="宋体" w:hAnsi="宋体" w:cs="宋体"/>
                <w:szCs w:val="21"/>
              </w:rPr>
              <w:t>建设规模</w:t>
            </w:r>
          </w:p>
        </w:tc>
        <w:tc>
          <w:tcPr>
            <w:tcW w:w="1911" w:type="dxa"/>
            <w:vAlign w:val="center"/>
          </w:tcPr>
          <w:p w14:paraId="14510556">
            <w:pPr>
              <w:spacing w:line="360" w:lineRule="auto"/>
              <w:jc w:val="center"/>
              <w:rPr>
                <w:rFonts w:hint="eastAsia" w:ascii="宋体" w:hAnsi="宋体" w:cs="宋体"/>
                <w:szCs w:val="21"/>
              </w:rPr>
            </w:pPr>
            <w:r>
              <w:rPr>
                <w:rFonts w:hint="eastAsia" w:ascii="宋体" w:hAnsi="宋体" w:cs="宋体"/>
                <w:szCs w:val="21"/>
              </w:rPr>
              <w:t>开、竣工日期</w:t>
            </w:r>
          </w:p>
        </w:tc>
        <w:tc>
          <w:tcPr>
            <w:tcW w:w="1361" w:type="dxa"/>
            <w:vAlign w:val="center"/>
          </w:tcPr>
          <w:p w14:paraId="034662DA">
            <w:pPr>
              <w:spacing w:line="360" w:lineRule="auto"/>
              <w:jc w:val="center"/>
              <w:rPr>
                <w:rFonts w:hint="eastAsia" w:ascii="宋体" w:hAnsi="宋体" w:cs="宋体"/>
                <w:szCs w:val="21"/>
              </w:rPr>
            </w:pPr>
            <w:r>
              <w:rPr>
                <w:rFonts w:hint="eastAsia" w:ascii="宋体" w:hAnsi="宋体" w:cs="宋体"/>
                <w:szCs w:val="21"/>
              </w:rPr>
              <w:t>在建或已完工程质量</w:t>
            </w:r>
          </w:p>
        </w:tc>
        <w:tc>
          <w:tcPr>
            <w:tcW w:w="1582" w:type="dxa"/>
            <w:vAlign w:val="center"/>
          </w:tcPr>
          <w:p w14:paraId="3E4AF7EC">
            <w:pPr>
              <w:spacing w:line="360" w:lineRule="auto"/>
              <w:jc w:val="center"/>
              <w:rPr>
                <w:rFonts w:hint="eastAsia" w:ascii="宋体" w:hAnsi="宋体" w:cs="宋体"/>
                <w:szCs w:val="21"/>
              </w:rPr>
            </w:pPr>
            <w:r>
              <w:rPr>
                <w:rFonts w:hint="eastAsia" w:ascii="宋体" w:hAnsi="宋体" w:cs="宋体"/>
                <w:szCs w:val="21"/>
              </w:rPr>
              <w:t>担任职务</w:t>
            </w:r>
          </w:p>
        </w:tc>
      </w:tr>
      <w:tr w14:paraId="4B0FB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735" w:hRule="atLeast"/>
          <w:tblCellSpacing w:w="0" w:type="dxa"/>
          <w:jc w:val="center"/>
        </w:trPr>
        <w:tc>
          <w:tcPr>
            <w:tcW w:w="1334" w:type="dxa"/>
            <w:vAlign w:val="center"/>
          </w:tcPr>
          <w:p w14:paraId="2DDCBC05">
            <w:pPr>
              <w:spacing w:line="360" w:lineRule="auto"/>
              <w:jc w:val="left"/>
              <w:rPr>
                <w:rFonts w:hint="eastAsia" w:ascii="宋体" w:hAnsi="宋体" w:cs="宋体"/>
                <w:szCs w:val="21"/>
              </w:rPr>
            </w:pPr>
          </w:p>
        </w:tc>
        <w:tc>
          <w:tcPr>
            <w:tcW w:w="1488" w:type="dxa"/>
            <w:vAlign w:val="center"/>
          </w:tcPr>
          <w:p w14:paraId="0825CD3C">
            <w:pPr>
              <w:spacing w:line="360" w:lineRule="auto"/>
              <w:jc w:val="left"/>
              <w:rPr>
                <w:rFonts w:hint="eastAsia" w:ascii="宋体" w:hAnsi="宋体" w:cs="宋体"/>
                <w:szCs w:val="21"/>
              </w:rPr>
            </w:pPr>
          </w:p>
        </w:tc>
        <w:tc>
          <w:tcPr>
            <w:tcW w:w="1534" w:type="dxa"/>
            <w:vAlign w:val="center"/>
          </w:tcPr>
          <w:p w14:paraId="2D3F19DD">
            <w:pPr>
              <w:spacing w:line="360" w:lineRule="auto"/>
              <w:jc w:val="left"/>
              <w:rPr>
                <w:rFonts w:hint="eastAsia" w:ascii="宋体" w:hAnsi="宋体" w:cs="宋体"/>
                <w:szCs w:val="21"/>
              </w:rPr>
            </w:pPr>
          </w:p>
        </w:tc>
        <w:tc>
          <w:tcPr>
            <w:tcW w:w="1911" w:type="dxa"/>
            <w:vAlign w:val="center"/>
          </w:tcPr>
          <w:p w14:paraId="68D00D6C">
            <w:pPr>
              <w:spacing w:line="360" w:lineRule="auto"/>
              <w:jc w:val="left"/>
              <w:rPr>
                <w:rFonts w:hint="eastAsia" w:ascii="宋体" w:hAnsi="宋体" w:cs="宋体"/>
                <w:szCs w:val="21"/>
              </w:rPr>
            </w:pPr>
          </w:p>
        </w:tc>
        <w:tc>
          <w:tcPr>
            <w:tcW w:w="1361" w:type="dxa"/>
            <w:vAlign w:val="center"/>
          </w:tcPr>
          <w:p w14:paraId="109FD5C8">
            <w:pPr>
              <w:spacing w:line="360" w:lineRule="auto"/>
              <w:jc w:val="left"/>
              <w:rPr>
                <w:rFonts w:hint="eastAsia" w:ascii="宋体" w:hAnsi="宋体" w:cs="宋体"/>
                <w:szCs w:val="21"/>
              </w:rPr>
            </w:pPr>
          </w:p>
        </w:tc>
        <w:tc>
          <w:tcPr>
            <w:tcW w:w="1582" w:type="dxa"/>
            <w:vAlign w:val="center"/>
          </w:tcPr>
          <w:p w14:paraId="5ED9228F">
            <w:pPr>
              <w:spacing w:line="360" w:lineRule="auto"/>
              <w:jc w:val="left"/>
              <w:rPr>
                <w:rFonts w:hint="eastAsia" w:ascii="宋体" w:hAnsi="宋体" w:cs="宋体"/>
                <w:szCs w:val="21"/>
              </w:rPr>
            </w:pPr>
          </w:p>
        </w:tc>
      </w:tr>
      <w:tr w14:paraId="1E3B8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735" w:hRule="atLeast"/>
          <w:tblCellSpacing w:w="0" w:type="dxa"/>
          <w:jc w:val="center"/>
        </w:trPr>
        <w:tc>
          <w:tcPr>
            <w:tcW w:w="1334" w:type="dxa"/>
            <w:vAlign w:val="center"/>
          </w:tcPr>
          <w:p w14:paraId="35FA434D">
            <w:pPr>
              <w:spacing w:line="360" w:lineRule="auto"/>
              <w:jc w:val="left"/>
              <w:rPr>
                <w:rFonts w:hint="eastAsia" w:ascii="宋体" w:hAnsi="宋体" w:cs="宋体"/>
                <w:szCs w:val="21"/>
              </w:rPr>
            </w:pPr>
          </w:p>
        </w:tc>
        <w:tc>
          <w:tcPr>
            <w:tcW w:w="1488" w:type="dxa"/>
            <w:vAlign w:val="center"/>
          </w:tcPr>
          <w:p w14:paraId="5CF4A741">
            <w:pPr>
              <w:spacing w:line="360" w:lineRule="auto"/>
              <w:jc w:val="left"/>
              <w:rPr>
                <w:rFonts w:hint="eastAsia" w:ascii="宋体" w:hAnsi="宋体" w:cs="宋体"/>
                <w:szCs w:val="21"/>
              </w:rPr>
            </w:pPr>
          </w:p>
        </w:tc>
        <w:tc>
          <w:tcPr>
            <w:tcW w:w="1534" w:type="dxa"/>
            <w:vAlign w:val="center"/>
          </w:tcPr>
          <w:p w14:paraId="30C150FD">
            <w:pPr>
              <w:spacing w:line="360" w:lineRule="auto"/>
              <w:jc w:val="left"/>
              <w:rPr>
                <w:rFonts w:hint="eastAsia" w:ascii="宋体" w:hAnsi="宋体" w:cs="宋体"/>
                <w:szCs w:val="21"/>
              </w:rPr>
            </w:pPr>
          </w:p>
        </w:tc>
        <w:tc>
          <w:tcPr>
            <w:tcW w:w="1911" w:type="dxa"/>
            <w:vAlign w:val="center"/>
          </w:tcPr>
          <w:p w14:paraId="034CD4BA">
            <w:pPr>
              <w:spacing w:line="360" w:lineRule="auto"/>
              <w:jc w:val="left"/>
              <w:rPr>
                <w:rFonts w:hint="eastAsia" w:ascii="宋体" w:hAnsi="宋体" w:cs="宋体"/>
                <w:szCs w:val="21"/>
              </w:rPr>
            </w:pPr>
          </w:p>
        </w:tc>
        <w:tc>
          <w:tcPr>
            <w:tcW w:w="1361" w:type="dxa"/>
            <w:vAlign w:val="center"/>
          </w:tcPr>
          <w:p w14:paraId="35899CBE">
            <w:pPr>
              <w:spacing w:line="360" w:lineRule="auto"/>
              <w:jc w:val="left"/>
              <w:rPr>
                <w:rFonts w:hint="eastAsia" w:ascii="宋体" w:hAnsi="宋体" w:cs="宋体"/>
                <w:szCs w:val="21"/>
              </w:rPr>
            </w:pPr>
          </w:p>
        </w:tc>
        <w:tc>
          <w:tcPr>
            <w:tcW w:w="1582" w:type="dxa"/>
            <w:vAlign w:val="center"/>
          </w:tcPr>
          <w:p w14:paraId="7B4EEF34">
            <w:pPr>
              <w:spacing w:line="360" w:lineRule="auto"/>
              <w:jc w:val="left"/>
              <w:rPr>
                <w:rFonts w:hint="eastAsia" w:ascii="宋体" w:hAnsi="宋体" w:cs="宋体"/>
                <w:szCs w:val="21"/>
              </w:rPr>
            </w:pPr>
          </w:p>
        </w:tc>
      </w:tr>
      <w:tr w14:paraId="301B4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735" w:hRule="atLeast"/>
          <w:tblCellSpacing w:w="0" w:type="dxa"/>
          <w:jc w:val="center"/>
        </w:trPr>
        <w:tc>
          <w:tcPr>
            <w:tcW w:w="1334" w:type="dxa"/>
            <w:vAlign w:val="center"/>
          </w:tcPr>
          <w:p w14:paraId="6CDCD68A">
            <w:pPr>
              <w:spacing w:line="360" w:lineRule="auto"/>
              <w:jc w:val="left"/>
              <w:rPr>
                <w:rFonts w:hint="eastAsia" w:ascii="宋体" w:hAnsi="宋体" w:cs="宋体"/>
                <w:szCs w:val="21"/>
              </w:rPr>
            </w:pPr>
          </w:p>
        </w:tc>
        <w:tc>
          <w:tcPr>
            <w:tcW w:w="1488" w:type="dxa"/>
            <w:vAlign w:val="center"/>
          </w:tcPr>
          <w:p w14:paraId="6F1F5FF8">
            <w:pPr>
              <w:spacing w:line="360" w:lineRule="auto"/>
              <w:jc w:val="left"/>
              <w:rPr>
                <w:rFonts w:hint="eastAsia" w:ascii="宋体" w:hAnsi="宋体" w:cs="宋体"/>
                <w:szCs w:val="21"/>
              </w:rPr>
            </w:pPr>
          </w:p>
        </w:tc>
        <w:tc>
          <w:tcPr>
            <w:tcW w:w="1534" w:type="dxa"/>
            <w:vAlign w:val="center"/>
          </w:tcPr>
          <w:p w14:paraId="21B1A668">
            <w:pPr>
              <w:spacing w:line="360" w:lineRule="auto"/>
              <w:jc w:val="left"/>
              <w:rPr>
                <w:rFonts w:hint="eastAsia" w:ascii="宋体" w:hAnsi="宋体" w:cs="宋体"/>
                <w:szCs w:val="21"/>
              </w:rPr>
            </w:pPr>
          </w:p>
        </w:tc>
        <w:tc>
          <w:tcPr>
            <w:tcW w:w="1911" w:type="dxa"/>
            <w:vAlign w:val="center"/>
          </w:tcPr>
          <w:p w14:paraId="37499A41">
            <w:pPr>
              <w:spacing w:line="360" w:lineRule="auto"/>
              <w:jc w:val="left"/>
              <w:rPr>
                <w:rFonts w:hint="eastAsia" w:ascii="宋体" w:hAnsi="宋体" w:cs="宋体"/>
                <w:szCs w:val="21"/>
              </w:rPr>
            </w:pPr>
          </w:p>
        </w:tc>
        <w:tc>
          <w:tcPr>
            <w:tcW w:w="1361" w:type="dxa"/>
            <w:vAlign w:val="center"/>
          </w:tcPr>
          <w:p w14:paraId="1DAF8B7A">
            <w:pPr>
              <w:spacing w:line="360" w:lineRule="auto"/>
              <w:jc w:val="left"/>
              <w:rPr>
                <w:rFonts w:hint="eastAsia" w:ascii="宋体" w:hAnsi="宋体" w:cs="宋体"/>
                <w:szCs w:val="21"/>
              </w:rPr>
            </w:pPr>
          </w:p>
        </w:tc>
        <w:tc>
          <w:tcPr>
            <w:tcW w:w="1582" w:type="dxa"/>
            <w:vAlign w:val="center"/>
          </w:tcPr>
          <w:p w14:paraId="72869551">
            <w:pPr>
              <w:spacing w:line="360" w:lineRule="auto"/>
              <w:jc w:val="left"/>
              <w:rPr>
                <w:rFonts w:hint="eastAsia" w:ascii="宋体" w:hAnsi="宋体" w:cs="宋体"/>
                <w:szCs w:val="21"/>
              </w:rPr>
            </w:pPr>
          </w:p>
        </w:tc>
      </w:tr>
    </w:tbl>
    <w:p w14:paraId="21A60058">
      <w:pPr>
        <w:topLinePunct/>
        <w:spacing w:line="360" w:lineRule="auto"/>
        <w:ind w:firstLine="706" w:firstLineChars="285"/>
        <w:rPr>
          <w:rFonts w:hint="eastAsia" w:ascii="宋体" w:hAnsi="宋体" w:cs="宋体"/>
          <w:spacing w:val="4"/>
          <w:kern w:val="0"/>
          <w:sz w:val="24"/>
          <w:szCs w:val="24"/>
        </w:rPr>
      </w:pPr>
    </w:p>
    <w:p w14:paraId="7867E95C">
      <w:pPr>
        <w:topLinePunct/>
        <w:adjustRightInd w:val="0"/>
        <w:snapToGrid w:val="0"/>
        <w:spacing w:line="360" w:lineRule="auto"/>
        <w:ind w:firstLine="691" w:firstLineChars="279"/>
        <w:rPr>
          <w:rFonts w:hint="eastAsia" w:ascii="宋体" w:hAnsi="宋体" w:cs="宋体"/>
          <w:snapToGrid w:val="0"/>
          <w:spacing w:val="4"/>
          <w:kern w:val="0"/>
          <w:sz w:val="24"/>
          <w:szCs w:val="24"/>
        </w:rPr>
      </w:pPr>
      <w:r>
        <w:rPr>
          <w:rFonts w:hint="eastAsia" w:ascii="宋体" w:hAnsi="宋体" w:cs="宋体"/>
          <w:snapToGrid w:val="0"/>
          <w:spacing w:val="4"/>
          <w:kern w:val="0"/>
          <w:sz w:val="24"/>
          <w:szCs w:val="24"/>
        </w:rPr>
        <w:t>投</w:t>
      </w:r>
      <w:r>
        <w:rPr>
          <w:rFonts w:ascii="宋体" w:hAnsi="宋体" w:cs="宋体"/>
          <w:snapToGrid w:val="0"/>
          <w:spacing w:val="4"/>
          <w:kern w:val="0"/>
          <w:sz w:val="24"/>
          <w:szCs w:val="24"/>
        </w:rPr>
        <w:t xml:space="preserve"> </w:t>
      </w:r>
      <w:r>
        <w:rPr>
          <w:rFonts w:hint="eastAsia" w:ascii="宋体" w:hAnsi="宋体" w:cs="宋体"/>
          <w:snapToGrid w:val="0"/>
          <w:spacing w:val="4"/>
          <w:kern w:val="0"/>
          <w:sz w:val="24"/>
          <w:szCs w:val="24"/>
        </w:rPr>
        <w:t>标</w:t>
      </w:r>
      <w:r>
        <w:rPr>
          <w:rFonts w:ascii="宋体" w:hAnsi="宋体" w:cs="宋体"/>
          <w:snapToGrid w:val="0"/>
          <w:spacing w:val="4"/>
          <w:kern w:val="0"/>
          <w:sz w:val="24"/>
          <w:szCs w:val="24"/>
        </w:rPr>
        <w:t xml:space="preserve"> </w:t>
      </w:r>
      <w:r>
        <w:rPr>
          <w:rFonts w:hint="eastAsia" w:ascii="宋体" w:hAnsi="宋体" w:cs="宋体"/>
          <w:snapToGrid w:val="0"/>
          <w:spacing w:val="4"/>
          <w:kern w:val="0"/>
          <w:sz w:val="24"/>
          <w:szCs w:val="24"/>
        </w:rPr>
        <w:t xml:space="preserve">人： </w:t>
      </w:r>
    </w:p>
    <w:p w14:paraId="457073DF">
      <w:pPr>
        <w:spacing w:line="360" w:lineRule="auto"/>
        <w:ind w:firstLine="691" w:firstLineChars="279"/>
        <w:jc w:val="left"/>
        <w:rPr>
          <w:rFonts w:hint="eastAsia" w:ascii="宋体" w:hAnsi="宋体" w:cs="宋体"/>
          <w:sz w:val="24"/>
          <w:szCs w:val="24"/>
        </w:rPr>
      </w:pPr>
      <w:r>
        <w:rPr>
          <w:rFonts w:hint="eastAsia" w:ascii="宋体" w:hAnsi="宋体" w:cs="宋体"/>
          <w:snapToGrid w:val="0"/>
          <w:spacing w:val="4"/>
          <w:kern w:val="0"/>
          <w:sz w:val="24"/>
          <w:szCs w:val="24"/>
        </w:rPr>
        <w:t>日</w:t>
      </w:r>
      <w:r>
        <w:rPr>
          <w:rFonts w:ascii="宋体" w:hAnsi="宋体" w:cs="宋体"/>
          <w:snapToGrid w:val="0"/>
          <w:spacing w:val="4"/>
          <w:kern w:val="0"/>
          <w:sz w:val="24"/>
          <w:szCs w:val="24"/>
        </w:rPr>
        <w:t xml:space="preserve">    </w:t>
      </w:r>
      <w:r>
        <w:rPr>
          <w:rFonts w:hint="eastAsia" w:ascii="宋体" w:hAnsi="宋体" w:cs="宋体"/>
          <w:snapToGrid w:val="0"/>
          <w:spacing w:val="4"/>
          <w:kern w:val="0"/>
          <w:sz w:val="24"/>
          <w:szCs w:val="24"/>
        </w:rPr>
        <w:t>期：</w:t>
      </w:r>
    </w:p>
    <w:p w14:paraId="0619F8D3">
      <w:pPr>
        <w:spacing w:line="360" w:lineRule="auto"/>
        <w:ind w:firstLine="585" w:firstLineChars="279"/>
        <w:jc w:val="left"/>
        <w:rPr>
          <w:rFonts w:hint="eastAsia" w:ascii="宋体" w:hAnsi="宋体" w:cs="宋体"/>
          <w:szCs w:val="20"/>
        </w:rPr>
      </w:pPr>
      <w:r>
        <w:rPr>
          <w:rFonts w:ascii="宋体" w:hAnsi="宋体" w:cs="宋体"/>
          <w:szCs w:val="20"/>
        </w:rPr>
        <w:br w:type="page"/>
      </w:r>
    </w:p>
    <w:p w14:paraId="2D6B5CB8">
      <w:pPr>
        <w:widowControl/>
        <w:autoSpaceDE w:val="0"/>
        <w:autoSpaceDN w:val="0"/>
        <w:adjustRightInd w:val="0"/>
        <w:jc w:val="left"/>
        <w:rPr>
          <w:b/>
          <w:sz w:val="28"/>
          <w:szCs w:val="28"/>
        </w:rPr>
      </w:pPr>
      <w:bookmarkStart w:id="88" w:name="_Toc19356"/>
      <w:bookmarkStart w:id="89" w:name="_Toc504722513"/>
      <w:bookmarkStart w:id="90" w:name="_Toc18330"/>
      <w:bookmarkStart w:id="91" w:name="_Toc125032262"/>
      <w:bookmarkStart w:id="92" w:name="_Toc116898065"/>
      <w:bookmarkStart w:id="93" w:name="_Toc24988"/>
      <w:bookmarkStart w:id="94" w:name="_Toc29476915"/>
      <w:bookmarkStart w:id="95" w:name="_Toc40024389"/>
      <w:bookmarkStart w:id="96" w:name="_Toc116898651"/>
      <w:bookmarkStart w:id="97" w:name="_Toc4277"/>
      <w:bookmarkStart w:id="98" w:name="_Toc16792"/>
      <w:r>
        <w:rPr>
          <w:rFonts w:hint="eastAsia"/>
          <w:b/>
          <w:sz w:val="28"/>
          <w:szCs w:val="28"/>
        </w:rPr>
        <w:t>格式三</w:t>
      </w:r>
      <w:bookmarkEnd w:id="88"/>
      <w:bookmarkEnd w:id="89"/>
      <w:bookmarkEnd w:id="90"/>
      <w:bookmarkEnd w:id="91"/>
      <w:bookmarkEnd w:id="92"/>
      <w:bookmarkEnd w:id="93"/>
      <w:bookmarkEnd w:id="94"/>
      <w:bookmarkEnd w:id="95"/>
      <w:bookmarkEnd w:id="96"/>
      <w:bookmarkEnd w:id="97"/>
      <w:bookmarkEnd w:id="98"/>
    </w:p>
    <w:p w14:paraId="0AD0BCD0">
      <w:pPr>
        <w:autoSpaceDE w:val="0"/>
        <w:autoSpaceDN w:val="0"/>
        <w:adjustRightInd w:val="0"/>
        <w:spacing w:before="120" w:beforeLines="50" w:after="120" w:afterLines="50" w:line="360" w:lineRule="auto"/>
        <w:jc w:val="center"/>
        <w:rPr>
          <w:rFonts w:hint="eastAsia" w:ascii="宋体" w:hAnsi="宋体" w:cs="宋体"/>
          <w:b/>
          <w:bCs/>
          <w:sz w:val="32"/>
          <w:szCs w:val="32"/>
          <w:lang w:val="zh-CN"/>
        </w:rPr>
      </w:pPr>
      <w:r>
        <w:rPr>
          <w:rFonts w:hint="eastAsia" w:ascii="宋体" w:hAnsi="宋体" w:cs="宋体"/>
          <w:b/>
          <w:bCs/>
          <w:sz w:val="32"/>
          <w:szCs w:val="32"/>
          <w:lang w:val="zh-CN"/>
        </w:rPr>
        <w:t>法定代表人证明书、授权委托书</w:t>
      </w:r>
    </w:p>
    <w:p w14:paraId="04E8335C">
      <w:pPr>
        <w:topLinePunct/>
        <w:adjustRightInd w:val="0"/>
        <w:snapToGrid w:val="0"/>
        <w:spacing w:line="240" w:lineRule="exact"/>
        <w:rPr>
          <w:rFonts w:hint="eastAsia" w:ascii="宋体" w:hAnsi="宋体" w:cs="宋体"/>
          <w:snapToGrid w:val="0"/>
          <w:spacing w:val="4"/>
          <w:sz w:val="24"/>
          <w:szCs w:val="24"/>
        </w:rPr>
      </w:pPr>
      <w:r>
        <w:rPr>
          <w:rFonts w:hint="eastAsia" w:ascii="宋体" w:hAnsi="宋体" w:cs="宋体"/>
          <w:snapToGrid w:val="0"/>
          <w:spacing w:val="4"/>
          <w:sz w:val="24"/>
          <w:szCs w:val="24"/>
        </w:rPr>
        <w:t>（1）法定代表人证明书</w:t>
      </w:r>
    </w:p>
    <w:p w14:paraId="5B0701F3">
      <w:pPr>
        <w:topLinePunct/>
        <w:adjustRightInd w:val="0"/>
        <w:snapToGrid w:val="0"/>
        <w:ind w:right="249"/>
        <w:jc w:val="right"/>
        <w:rPr>
          <w:rFonts w:hint="eastAsia" w:ascii="宋体" w:hAnsi="宋体" w:cs="宋体"/>
          <w:snapToGrid w:val="0"/>
          <w:spacing w:val="4"/>
          <w:sz w:val="24"/>
          <w:szCs w:val="24"/>
        </w:rPr>
      </w:pPr>
      <w:r>
        <w:rPr>
          <w:rFonts w:hint="eastAsia" w:ascii="宋体" w:hAnsi="宋体" w:cs="宋体"/>
          <w:snapToGrid w:val="0"/>
          <w:spacing w:val="4"/>
          <w:sz w:val="24"/>
          <w:szCs w:val="24"/>
        </w:rPr>
        <w:t>（　 ）第　号</w:t>
      </w:r>
    </w:p>
    <w:p w14:paraId="36E2A397">
      <w:pPr>
        <w:topLinePunct/>
        <w:adjustRightInd w:val="0"/>
        <w:snapToGrid w:val="0"/>
        <w:spacing w:line="360" w:lineRule="auto"/>
        <w:ind w:firstLine="420" w:firstLineChars="200"/>
        <w:rPr>
          <w:rFonts w:hint="eastAsia" w:ascii="宋体" w:hAnsi="宋体" w:cs="宋体"/>
          <w:snapToGrid w:val="0"/>
          <w:spacing w:val="4"/>
          <w:sz w:val="24"/>
          <w:szCs w:val="24"/>
        </w:rPr>
      </w:pPr>
      <w:r>
        <w:rPr>
          <w:rFonts w:hint="eastAsia" w:ascii="宋体" w:hAnsi="宋体" w:cs="宋体"/>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55880</wp:posOffset>
                </wp:positionV>
                <wp:extent cx="5791200" cy="2809875"/>
                <wp:effectExtent l="4445" t="4445" r="14605" b="5080"/>
                <wp:wrapNone/>
                <wp:docPr id="31" name="文本框 31"/>
                <wp:cNvGraphicFramePr/>
                <a:graphic xmlns:a="http://schemas.openxmlformats.org/drawingml/2006/main">
                  <a:graphicData uri="http://schemas.microsoft.com/office/word/2010/wordprocessingShape">
                    <wps:wsp>
                      <wps:cNvSpPr txBox="1">
                        <a:spLocks noChangeArrowheads="1"/>
                      </wps:cNvSpPr>
                      <wps:spPr bwMode="auto">
                        <a:xfrm>
                          <a:off x="0" y="0"/>
                          <a:ext cx="5791200" cy="2809875"/>
                        </a:xfrm>
                        <a:prstGeom prst="rect">
                          <a:avLst/>
                        </a:prstGeom>
                        <a:solidFill>
                          <a:srgbClr val="FFFFFF"/>
                        </a:solidFill>
                        <a:ln w="9525">
                          <a:solidFill>
                            <a:srgbClr val="000000"/>
                          </a:solidFill>
                          <a:miter lim="800000"/>
                        </a:ln>
                        <a:effectLst/>
                      </wps:spPr>
                      <wps:txbx>
                        <w:txbxContent>
                          <w:p w14:paraId="6A1EDF4E">
                            <w:pPr>
                              <w:pStyle w:val="122"/>
                              <w:ind w:firstLine="0" w:firstLineChars="0"/>
                              <w:rPr>
                                <w:rFonts w:hint="eastAsia" w:eastAsia="宋体" w:cs="宋体"/>
                                <w:szCs w:val="28"/>
                              </w:rPr>
                            </w:pPr>
                            <w:r>
                              <w:rPr>
                                <w:rFonts w:hint="eastAsia" w:eastAsia="宋体" w:cs="宋体"/>
                                <w:szCs w:val="28"/>
                              </w:rPr>
                              <w:t>　　</w:t>
                            </w:r>
                            <w:r>
                              <w:rPr>
                                <w:rFonts w:hint="eastAsia" w:eastAsia="宋体" w:cs="宋体"/>
                                <w:szCs w:val="28"/>
                                <w:u w:val="single"/>
                              </w:rPr>
                              <w:t>　　　　　　</w:t>
                            </w:r>
                            <w:r>
                              <w:rPr>
                                <w:rFonts w:hint="eastAsia" w:eastAsia="宋体" w:cs="宋体"/>
                                <w:szCs w:val="28"/>
                              </w:rPr>
                              <w:t>现任我单位</w:t>
                            </w:r>
                            <w:r>
                              <w:rPr>
                                <w:rFonts w:hint="eastAsia" w:eastAsia="宋体" w:cs="宋体"/>
                                <w:szCs w:val="28"/>
                                <w:u w:val="single"/>
                              </w:rPr>
                              <w:t>　　　　　</w:t>
                            </w:r>
                            <w:r>
                              <w:rPr>
                                <w:rFonts w:hint="eastAsia" w:eastAsia="宋体" w:cs="宋体"/>
                                <w:szCs w:val="28"/>
                              </w:rPr>
                              <w:t>职务，为法定代表人（负责人），</w:t>
                            </w:r>
                          </w:p>
                          <w:p w14:paraId="3D69A5E7">
                            <w:pPr>
                              <w:pStyle w:val="122"/>
                              <w:ind w:firstLine="0" w:firstLineChars="0"/>
                              <w:rPr>
                                <w:rFonts w:hint="eastAsia" w:eastAsia="宋体" w:cs="宋体"/>
                                <w:szCs w:val="28"/>
                              </w:rPr>
                            </w:pPr>
                            <w:r>
                              <w:rPr>
                                <w:rFonts w:hint="eastAsia" w:eastAsia="宋体" w:cs="宋体"/>
                                <w:szCs w:val="28"/>
                              </w:rPr>
                              <w:t>特此证明。</w:t>
                            </w:r>
                          </w:p>
                          <w:p w14:paraId="190E5E58">
                            <w:pPr>
                              <w:pStyle w:val="122"/>
                              <w:ind w:firstLine="0" w:firstLineChars="0"/>
                              <w:rPr>
                                <w:rFonts w:hint="eastAsia" w:eastAsia="宋体" w:cs="宋体"/>
                                <w:szCs w:val="28"/>
                              </w:rPr>
                            </w:pPr>
                            <w:r>
                              <w:rPr>
                                <w:rFonts w:hint="eastAsia" w:eastAsia="宋体" w:cs="宋体"/>
                                <w:szCs w:val="28"/>
                              </w:rPr>
                              <w:t>有效期限：</w:t>
                            </w:r>
                          </w:p>
                          <w:p w14:paraId="57461E20">
                            <w:pPr>
                              <w:pStyle w:val="122"/>
                              <w:ind w:firstLine="0" w:firstLineChars="0"/>
                              <w:rPr>
                                <w:rFonts w:hint="eastAsia" w:eastAsia="宋体" w:cs="宋体"/>
                                <w:szCs w:val="28"/>
                              </w:rPr>
                            </w:pPr>
                            <w:r>
                              <w:rPr>
                                <w:rFonts w:hint="eastAsia" w:eastAsia="宋体" w:cs="宋体"/>
                                <w:szCs w:val="28"/>
                              </w:rPr>
                              <w:t>附：法定代表人（负责人）性别：</w:t>
                            </w:r>
                            <w:r>
                              <w:rPr>
                                <w:rFonts w:hint="eastAsia" w:eastAsia="宋体" w:cs="宋体"/>
                                <w:szCs w:val="28"/>
                                <w:u w:val="single"/>
                              </w:rPr>
                              <w:t>　　</w:t>
                            </w:r>
                            <w:r>
                              <w:rPr>
                                <w:rFonts w:hint="eastAsia" w:eastAsia="宋体" w:cs="宋体"/>
                                <w:szCs w:val="28"/>
                              </w:rPr>
                              <w:t>年龄：</w:t>
                            </w:r>
                            <w:r>
                              <w:rPr>
                                <w:rFonts w:hint="eastAsia" w:eastAsia="宋体" w:cs="宋体"/>
                                <w:szCs w:val="28"/>
                                <w:u w:val="single"/>
                              </w:rPr>
                              <w:t>　　</w:t>
                            </w:r>
                            <w:r>
                              <w:rPr>
                                <w:rFonts w:hint="eastAsia" w:eastAsia="宋体" w:cs="宋体"/>
                                <w:szCs w:val="28"/>
                              </w:rPr>
                              <w:t>身份证号码：</w:t>
                            </w:r>
                          </w:p>
                          <w:p w14:paraId="37FE8865">
                            <w:pPr>
                              <w:pStyle w:val="122"/>
                              <w:ind w:firstLine="0" w:firstLineChars="0"/>
                              <w:rPr>
                                <w:rFonts w:hint="eastAsia" w:eastAsia="宋体" w:cs="宋体"/>
                                <w:szCs w:val="28"/>
                              </w:rPr>
                            </w:pPr>
                            <w:r>
                              <w:rPr>
                                <w:rFonts w:hint="eastAsia" w:eastAsia="宋体" w:cs="宋体"/>
                                <w:szCs w:val="28"/>
                              </w:rPr>
                              <w:t>注册号码：</w:t>
                            </w:r>
                            <w:r>
                              <w:rPr>
                                <w:rFonts w:hint="eastAsia" w:eastAsia="宋体" w:cs="宋体"/>
                                <w:szCs w:val="28"/>
                                <w:u w:val="single"/>
                              </w:rPr>
                              <w:t>　　　　　　　　　　</w:t>
                            </w:r>
                            <w:r>
                              <w:rPr>
                                <w:rFonts w:hint="eastAsia" w:eastAsia="宋体" w:cs="宋体"/>
                                <w:szCs w:val="28"/>
                              </w:rPr>
                              <w:t>企业类型：</w:t>
                            </w:r>
                          </w:p>
                          <w:p w14:paraId="3AC34B35">
                            <w:pPr>
                              <w:pStyle w:val="122"/>
                              <w:ind w:firstLine="0" w:firstLineChars="0"/>
                              <w:rPr>
                                <w:rFonts w:hint="eastAsia" w:eastAsia="宋体" w:cs="宋体"/>
                                <w:szCs w:val="28"/>
                              </w:rPr>
                            </w:pPr>
                            <w:r>
                              <w:rPr>
                                <w:rFonts w:hint="eastAsia" w:eastAsia="宋体" w:cs="宋体"/>
                                <w:szCs w:val="28"/>
                              </w:rPr>
                              <w:t>经营范围：</w:t>
                            </w:r>
                          </w:p>
                          <w:p w14:paraId="7128F2CA">
                            <w:pPr>
                              <w:pStyle w:val="122"/>
                              <w:ind w:firstLine="0" w:firstLineChars="0"/>
                              <w:rPr>
                                <w:rFonts w:hint="eastAsia" w:eastAsia="宋体" w:cs="宋体"/>
                                <w:color w:val="000000"/>
                                <w:szCs w:val="28"/>
                              </w:rPr>
                            </w:pPr>
                            <w:r>
                              <w:rPr>
                                <w:rFonts w:hint="eastAsia" w:eastAsia="宋体" w:cs="宋体"/>
                                <w:szCs w:val="28"/>
                              </w:rPr>
                              <w:t>　　　　　　　　</w:t>
                            </w:r>
                            <w:r>
                              <w:rPr>
                                <w:rFonts w:hint="eastAsia" w:eastAsia="宋体" w:cs="宋体"/>
                                <w:color w:val="000000"/>
                                <w:szCs w:val="28"/>
                              </w:rPr>
                              <w:t>　　单位：</w:t>
                            </w:r>
                            <w:r>
                              <w:rPr>
                                <w:rFonts w:hint="eastAsia" w:eastAsia="宋体" w:cs="宋体"/>
                                <w:color w:val="000000"/>
                                <w:szCs w:val="28"/>
                                <w:u w:val="single"/>
                              </w:rPr>
                              <w:t>　　　　　　　　　　　</w:t>
                            </w:r>
                            <w:r>
                              <w:rPr>
                                <w:rFonts w:hint="eastAsia" w:eastAsia="宋体" w:cs="宋体"/>
                                <w:color w:val="000000"/>
                                <w:szCs w:val="28"/>
                              </w:rPr>
                              <w:t>（盖章）</w:t>
                            </w:r>
                          </w:p>
                          <w:p w14:paraId="4AF7149C">
                            <w:pPr>
                              <w:pStyle w:val="122"/>
                              <w:ind w:firstLine="0" w:firstLineChars="0"/>
                              <w:rPr>
                                <w:rFonts w:hint="eastAsia" w:eastAsia="宋体" w:cs="宋体"/>
                                <w:color w:val="000000"/>
                                <w:szCs w:val="28"/>
                              </w:rPr>
                            </w:pPr>
                            <w:r>
                              <w:rPr>
                                <w:rFonts w:hint="eastAsia" w:eastAsia="宋体" w:cs="宋体"/>
                                <w:color w:val="000000"/>
                                <w:szCs w:val="28"/>
                              </w:rPr>
                              <w:t>　　　　　　　　　　　　　　　　　　　　　</w:t>
                            </w:r>
                            <w:r>
                              <w:rPr>
                                <w:rFonts w:hint="eastAsia" w:eastAsia="宋体" w:cs="宋体"/>
                                <w:color w:val="000000"/>
                                <w:szCs w:val="28"/>
                                <w:u w:val="single"/>
                              </w:rPr>
                              <w:t>　　　</w:t>
                            </w:r>
                            <w:r>
                              <w:rPr>
                                <w:rFonts w:hint="eastAsia" w:eastAsia="宋体" w:cs="宋体"/>
                                <w:color w:val="000000"/>
                                <w:szCs w:val="28"/>
                              </w:rPr>
                              <w:t>年</w:t>
                            </w:r>
                            <w:r>
                              <w:rPr>
                                <w:rFonts w:hint="eastAsia" w:eastAsia="宋体" w:cs="宋体"/>
                                <w:color w:val="000000"/>
                                <w:szCs w:val="28"/>
                                <w:u w:val="single"/>
                              </w:rPr>
                              <w:t>　　　</w:t>
                            </w:r>
                            <w:r>
                              <w:rPr>
                                <w:rFonts w:hint="eastAsia" w:eastAsia="宋体" w:cs="宋体"/>
                                <w:color w:val="000000"/>
                                <w:szCs w:val="28"/>
                              </w:rPr>
                              <w:t>月</w:t>
                            </w:r>
                            <w:r>
                              <w:rPr>
                                <w:rFonts w:hint="eastAsia" w:eastAsia="宋体" w:cs="宋体"/>
                                <w:color w:val="000000"/>
                                <w:szCs w:val="28"/>
                                <w:u w:val="single"/>
                              </w:rPr>
                              <w:t>　　　</w:t>
                            </w:r>
                            <w:r>
                              <w:rPr>
                                <w:rFonts w:hint="eastAsia" w:eastAsia="宋体" w:cs="宋体"/>
                                <w:color w:val="000000"/>
                                <w:szCs w:val="28"/>
                              </w:rPr>
                              <w:t>日</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0pt;margin-top:4.4pt;height:221.25pt;width:456pt;z-index:251660288;mso-width-relative:page;mso-height-relative:page;" fillcolor="#FFFFFF" filled="t" stroked="t" coordsize="21600,21600" o:gfxdata="UEsDBAoAAAAAAIdO4kAAAAAAAAAAAAAAAAAEAAAAZHJzL1BLAwQUAAAACACHTuJAAYme19UAAAAG&#10;AQAADwAAAGRycy9kb3ducmV2LnhtbE2Py07DMBBF90j8gzVIbBB10hdtiNMFEgh2bUGwdeNpEmGP&#10;g+2m7d93WMHy6o7OPVOuTs6KAUPsPCnIRxkIpNqbjhoFH+/P9wsQMWky2npCBWeMsKqur0pdGH+k&#10;DQ7b1AiGUCy0gjalvpAy1i06HUe+R+Ju74PTiWNopAn6yHBn5TjL5tLpjnih1T0+tVh/bw9OwWL6&#10;OnzFt8n6s57v7TLdPQwvP0Gp25s8ewSR8JT+juFXn9WhYqedP5CJwirgRxKTWJ/LZT7mvFMwneUT&#10;kFUp/+tXF1BLAwQUAAAACACHTuJAHTG3KUkCAACYBAAADgAAAGRycy9lMm9Eb2MueG1srVTNbhMx&#10;EL4j8Q6W73ST0NBk1U1VWhUhlR+p8ACO15u1sD1m7GS3PAC8AScu3HmuPAdjbxpCAakH9mB57PE3&#10;M983s6dnvTVsozBocBUfH404U05Crd2q4u/fXT2ZcRaicLUw4FTFb1XgZ4vHj047X6oJtGBqhYxA&#10;XCg7X/E2Rl8WRZCtsiIcgVeOLhtAKyKZuCpqFB2hW1NMRqNnRQdYewSpQqDTy+GS7xDxIYDQNFqq&#10;S5Brq1wcUFEZEamk0Gof+CJn2zRKxjdNE1RkpuJUacwrBaH9Mq3F4lSUKxS+1XKXgnhICvdqskI7&#10;CrqHuhRRsDXqP6CslggBmngkwRZDIZkRqmI8usfNTSu8yrUQ1cHvSQ//D1a+3rxFpuuKPx1z5oQl&#10;xbdfv2y//dh+/8zojAjqfCjJ78aTZ+yfQ09tk4sN/hrkh8AcXLTCrdQ5InStEjUlmF8WB08HnJBA&#10;lt0rqCmQWEfIQH2DNrFHfDBCJ3Fu9+KoPjJJh9OT+Zj6hzNJd5PZaD47mabsClHePfcY4gsFlqVN&#10;xZHUz/Bicx3i4HrnkqIFMLq+0sZkA1fLC4NsI6hTrvK3Q//NzTjWVXw+nUwHBv4JMcrf3yCsjjRA&#10;RtuKzw6djEt5qNy0u3wTfYmxgbvYL/udHEuob4lIhKGhaZxp0wJ+4qyjZq54+LgWqDgzLx2JMR8f&#10;H6fuz8bx9GRCBh7eLA9vhJMEVfHI2bC9iMPErD3qVUuRBvkdnJOAjc7UplSHrEiSZFDDZnF2w5Um&#10;4tDOXr9+KIu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AYme19UAAAAGAQAADwAAAAAAAAABACAA&#10;AAAiAAAAZHJzL2Rvd25yZXYueG1sUEsBAhQAFAAAAAgAh07iQB0xtylJAgAAmAQAAA4AAAAAAAAA&#10;AQAgAAAAJAEAAGRycy9lMm9Eb2MueG1sUEsFBgAAAAAGAAYAWQEAAN8FAAAAAA==&#10;">
                <v:fill on="t" focussize="0,0"/>
                <v:stroke color="#000000" miterlimit="8" joinstyle="miter"/>
                <v:imagedata o:title=""/>
                <o:lock v:ext="edit" aspectratio="f"/>
                <v:textbox>
                  <w:txbxContent>
                    <w:p w14:paraId="6A1EDF4E">
                      <w:pPr>
                        <w:pStyle w:val="122"/>
                        <w:ind w:firstLine="0" w:firstLineChars="0"/>
                        <w:rPr>
                          <w:rFonts w:hint="eastAsia" w:eastAsia="宋体" w:cs="宋体"/>
                          <w:szCs w:val="28"/>
                        </w:rPr>
                      </w:pPr>
                      <w:r>
                        <w:rPr>
                          <w:rFonts w:hint="eastAsia" w:eastAsia="宋体" w:cs="宋体"/>
                          <w:szCs w:val="28"/>
                        </w:rPr>
                        <w:t>　　</w:t>
                      </w:r>
                      <w:r>
                        <w:rPr>
                          <w:rFonts w:hint="eastAsia" w:eastAsia="宋体" w:cs="宋体"/>
                          <w:szCs w:val="28"/>
                          <w:u w:val="single"/>
                        </w:rPr>
                        <w:t>　　　　　　</w:t>
                      </w:r>
                      <w:r>
                        <w:rPr>
                          <w:rFonts w:hint="eastAsia" w:eastAsia="宋体" w:cs="宋体"/>
                          <w:szCs w:val="28"/>
                        </w:rPr>
                        <w:t>现任我单位</w:t>
                      </w:r>
                      <w:r>
                        <w:rPr>
                          <w:rFonts w:hint="eastAsia" w:eastAsia="宋体" w:cs="宋体"/>
                          <w:szCs w:val="28"/>
                          <w:u w:val="single"/>
                        </w:rPr>
                        <w:t>　　　　　</w:t>
                      </w:r>
                      <w:r>
                        <w:rPr>
                          <w:rFonts w:hint="eastAsia" w:eastAsia="宋体" w:cs="宋体"/>
                          <w:szCs w:val="28"/>
                        </w:rPr>
                        <w:t>职务，为法定代表人（负责人），</w:t>
                      </w:r>
                    </w:p>
                    <w:p w14:paraId="3D69A5E7">
                      <w:pPr>
                        <w:pStyle w:val="122"/>
                        <w:ind w:firstLine="0" w:firstLineChars="0"/>
                        <w:rPr>
                          <w:rFonts w:hint="eastAsia" w:eastAsia="宋体" w:cs="宋体"/>
                          <w:szCs w:val="28"/>
                        </w:rPr>
                      </w:pPr>
                      <w:r>
                        <w:rPr>
                          <w:rFonts w:hint="eastAsia" w:eastAsia="宋体" w:cs="宋体"/>
                          <w:szCs w:val="28"/>
                        </w:rPr>
                        <w:t>特此证明。</w:t>
                      </w:r>
                    </w:p>
                    <w:p w14:paraId="190E5E58">
                      <w:pPr>
                        <w:pStyle w:val="122"/>
                        <w:ind w:firstLine="0" w:firstLineChars="0"/>
                        <w:rPr>
                          <w:rFonts w:hint="eastAsia" w:eastAsia="宋体" w:cs="宋体"/>
                          <w:szCs w:val="28"/>
                        </w:rPr>
                      </w:pPr>
                      <w:r>
                        <w:rPr>
                          <w:rFonts w:hint="eastAsia" w:eastAsia="宋体" w:cs="宋体"/>
                          <w:szCs w:val="28"/>
                        </w:rPr>
                        <w:t>有效期限：</w:t>
                      </w:r>
                    </w:p>
                    <w:p w14:paraId="57461E20">
                      <w:pPr>
                        <w:pStyle w:val="122"/>
                        <w:ind w:firstLine="0" w:firstLineChars="0"/>
                        <w:rPr>
                          <w:rFonts w:hint="eastAsia" w:eastAsia="宋体" w:cs="宋体"/>
                          <w:szCs w:val="28"/>
                        </w:rPr>
                      </w:pPr>
                      <w:r>
                        <w:rPr>
                          <w:rFonts w:hint="eastAsia" w:eastAsia="宋体" w:cs="宋体"/>
                          <w:szCs w:val="28"/>
                        </w:rPr>
                        <w:t>附：法定代表人（负责人）性别：</w:t>
                      </w:r>
                      <w:r>
                        <w:rPr>
                          <w:rFonts w:hint="eastAsia" w:eastAsia="宋体" w:cs="宋体"/>
                          <w:szCs w:val="28"/>
                          <w:u w:val="single"/>
                        </w:rPr>
                        <w:t>　　</w:t>
                      </w:r>
                      <w:r>
                        <w:rPr>
                          <w:rFonts w:hint="eastAsia" w:eastAsia="宋体" w:cs="宋体"/>
                          <w:szCs w:val="28"/>
                        </w:rPr>
                        <w:t>年龄：</w:t>
                      </w:r>
                      <w:r>
                        <w:rPr>
                          <w:rFonts w:hint="eastAsia" w:eastAsia="宋体" w:cs="宋体"/>
                          <w:szCs w:val="28"/>
                          <w:u w:val="single"/>
                        </w:rPr>
                        <w:t>　　</w:t>
                      </w:r>
                      <w:r>
                        <w:rPr>
                          <w:rFonts w:hint="eastAsia" w:eastAsia="宋体" w:cs="宋体"/>
                          <w:szCs w:val="28"/>
                        </w:rPr>
                        <w:t>身份证号码：</w:t>
                      </w:r>
                    </w:p>
                    <w:p w14:paraId="37FE8865">
                      <w:pPr>
                        <w:pStyle w:val="122"/>
                        <w:ind w:firstLine="0" w:firstLineChars="0"/>
                        <w:rPr>
                          <w:rFonts w:hint="eastAsia" w:eastAsia="宋体" w:cs="宋体"/>
                          <w:szCs w:val="28"/>
                        </w:rPr>
                      </w:pPr>
                      <w:r>
                        <w:rPr>
                          <w:rFonts w:hint="eastAsia" w:eastAsia="宋体" w:cs="宋体"/>
                          <w:szCs w:val="28"/>
                        </w:rPr>
                        <w:t>注册号码：</w:t>
                      </w:r>
                      <w:r>
                        <w:rPr>
                          <w:rFonts w:hint="eastAsia" w:eastAsia="宋体" w:cs="宋体"/>
                          <w:szCs w:val="28"/>
                          <w:u w:val="single"/>
                        </w:rPr>
                        <w:t>　　　　　　　　　　</w:t>
                      </w:r>
                      <w:r>
                        <w:rPr>
                          <w:rFonts w:hint="eastAsia" w:eastAsia="宋体" w:cs="宋体"/>
                          <w:szCs w:val="28"/>
                        </w:rPr>
                        <w:t>企业类型：</w:t>
                      </w:r>
                    </w:p>
                    <w:p w14:paraId="3AC34B35">
                      <w:pPr>
                        <w:pStyle w:val="122"/>
                        <w:ind w:firstLine="0" w:firstLineChars="0"/>
                        <w:rPr>
                          <w:rFonts w:hint="eastAsia" w:eastAsia="宋体" w:cs="宋体"/>
                          <w:szCs w:val="28"/>
                        </w:rPr>
                      </w:pPr>
                      <w:r>
                        <w:rPr>
                          <w:rFonts w:hint="eastAsia" w:eastAsia="宋体" w:cs="宋体"/>
                          <w:szCs w:val="28"/>
                        </w:rPr>
                        <w:t>经营范围：</w:t>
                      </w:r>
                    </w:p>
                    <w:p w14:paraId="7128F2CA">
                      <w:pPr>
                        <w:pStyle w:val="122"/>
                        <w:ind w:firstLine="0" w:firstLineChars="0"/>
                        <w:rPr>
                          <w:rFonts w:hint="eastAsia" w:eastAsia="宋体" w:cs="宋体"/>
                          <w:color w:val="000000"/>
                          <w:szCs w:val="28"/>
                        </w:rPr>
                      </w:pPr>
                      <w:r>
                        <w:rPr>
                          <w:rFonts w:hint="eastAsia" w:eastAsia="宋体" w:cs="宋体"/>
                          <w:szCs w:val="28"/>
                        </w:rPr>
                        <w:t>　　　　　　　　</w:t>
                      </w:r>
                      <w:r>
                        <w:rPr>
                          <w:rFonts w:hint="eastAsia" w:eastAsia="宋体" w:cs="宋体"/>
                          <w:color w:val="000000"/>
                          <w:szCs w:val="28"/>
                        </w:rPr>
                        <w:t>　　单位：</w:t>
                      </w:r>
                      <w:r>
                        <w:rPr>
                          <w:rFonts w:hint="eastAsia" w:eastAsia="宋体" w:cs="宋体"/>
                          <w:color w:val="000000"/>
                          <w:szCs w:val="28"/>
                          <w:u w:val="single"/>
                        </w:rPr>
                        <w:t>　　　　　　　　　　　</w:t>
                      </w:r>
                      <w:r>
                        <w:rPr>
                          <w:rFonts w:hint="eastAsia" w:eastAsia="宋体" w:cs="宋体"/>
                          <w:color w:val="000000"/>
                          <w:szCs w:val="28"/>
                        </w:rPr>
                        <w:t>（盖章）</w:t>
                      </w:r>
                    </w:p>
                    <w:p w14:paraId="4AF7149C">
                      <w:pPr>
                        <w:pStyle w:val="122"/>
                        <w:ind w:firstLine="0" w:firstLineChars="0"/>
                        <w:rPr>
                          <w:rFonts w:hint="eastAsia" w:eastAsia="宋体" w:cs="宋体"/>
                          <w:color w:val="000000"/>
                          <w:szCs w:val="28"/>
                        </w:rPr>
                      </w:pPr>
                      <w:r>
                        <w:rPr>
                          <w:rFonts w:hint="eastAsia" w:eastAsia="宋体" w:cs="宋体"/>
                          <w:color w:val="000000"/>
                          <w:szCs w:val="28"/>
                        </w:rPr>
                        <w:t>　　　　　　　　　　　　　　　　　　　　　</w:t>
                      </w:r>
                      <w:r>
                        <w:rPr>
                          <w:rFonts w:hint="eastAsia" w:eastAsia="宋体" w:cs="宋体"/>
                          <w:color w:val="000000"/>
                          <w:szCs w:val="28"/>
                          <w:u w:val="single"/>
                        </w:rPr>
                        <w:t>　　　</w:t>
                      </w:r>
                      <w:r>
                        <w:rPr>
                          <w:rFonts w:hint="eastAsia" w:eastAsia="宋体" w:cs="宋体"/>
                          <w:color w:val="000000"/>
                          <w:szCs w:val="28"/>
                        </w:rPr>
                        <w:t>年</w:t>
                      </w:r>
                      <w:r>
                        <w:rPr>
                          <w:rFonts w:hint="eastAsia" w:eastAsia="宋体" w:cs="宋体"/>
                          <w:color w:val="000000"/>
                          <w:szCs w:val="28"/>
                          <w:u w:val="single"/>
                        </w:rPr>
                        <w:t>　　　</w:t>
                      </w:r>
                      <w:r>
                        <w:rPr>
                          <w:rFonts w:hint="eastAsia" w:eastAsia="宋体" w:cs="宋体"/>
                          <w:color w:val="000000"/>
                          <w:szCs w:val="28"/>
                        </w:rPr>
                        <w:t>月</w:t>
                      </w:r>
                      <w:r>
                        <w:rPr>
                          <w:rFonts w:hint="eastAsia" w:eastAsia="宋体" w:cs="宋体"/>
                          <w:color w:val="000000"/>
                          <w:szCs w:val="28"/>
                          <w:u w:val="single"/>
                        </w:rPr>
                        <w:t>　　　</w:t>
                      </w:r>
                      <w:r>
                        <w:rPr>
                          <w:rFonts w:hint="eastAsia" w:eastAsia="宋体" w:cs="宋体"/>
                          <w:color w:val="000000"/>
                          <w:szCs w:val="28"/>
                        </w:rPr>
                        <w:t>日</w:t>
                      </w:r>
                    </w:p>
                  </w:txbxContent>
                </v:textbox>
              </v:shape>
            </w:pict>
          </mc:Fallback>
        </mc:AlternateContent>
      </w:r>
    </w:p>
    <w:p w14:paraId="2FAAA94E">
      <w:pPr>
        <w:topLinePunct/>
        <w:adjustRightInd w:val="0"/>
        <w:snapToGrid w:val="0"/>
        <w:spacing w:line="360" w:lineRule="auto"/>
        <w:ind w:firstLine="496" w:firstLineChars="200"/>
        <w:rPr>
          <w:rFonts w:hint="eastAsia" w:ascii="宋体" w:hAnsi="宋体" w:cs="宋体"/>
          <w:snapToGrid w:val="0"/>
          <w:spacing w:val="4"/>
          <w:sz w:val="24"/>
          <w:szCs w:val="24"/>
        </w:rPr>
      </w:pPr>
    </w:p>
    <w:p w14:paraId="412DD9D2">
      <w:pPr>
        <w:topLinePunct/>
        <w:adjustRightInd w:val="0"/>
        <w:snapToGrid w:val="0"/>
        <w:spacing w:line="360" w:lineRule="auto"/>
        <w:ind w:firstLine="496" w:firstLineChars="200"/>
        <w:rPr>
          <w:rFonts w:hint="eastAsia" w:ascii="宋体" w:hAnsi="宋体" w:cs="宋体"/>
          <w:snapToGrid w:val="0"/>
          <w:spacing w:val="4"/>
          <w:sz w:val="24"/>
          <w:szCs w:val="24"/>
        </w:rPr>
      </w:pPr>
    </w:p>
    <w:p w14:paraId="170A27E1">
      <w:pPr>
        <w:topLinePunct/>
        <w:adjustRightInd w:val="0"/>
        <w:snapToGrid w:val="0"/>
        <w:spacing w:line="360" w:lineRule="auto"/>
        <w:ind w:firstLine="496" w:firstLineChars="200"/>
        <w:rPr>
          <w:rFonts w:hint="eastAsia" w:ascii="宋体" w:hAnsi="宋体" w:cs="宋体"/>
          <w:snapToGrid w:val="0"/>
          <w:spacing w:val="4"/>
          <w:sz w:val="24"/>
          <w:szCs w:val="24"/>
        </w:rPr>
      </w:pPr>
    </w:p>
    <w:p w14:paraId="7BA8AD5D">
      <w:pPr>
        <w:topLinePunct/>
        <w:adjustRightInd w:val="0"/>
        <w:snapToGrid w:val="0"/>
        <w:spacing w:line="360" w:lineRule="auto"/>
        <w:ind w:firstLine="496" w:firstLineChars="200"/>
        <w:rPr>
          <w:rFonts w:hint="eastAsia" w:ascii="宋体" w:hAnsi="宋体" w:cs="宋体"/>
          <w:snapToGrid w:val="0"/>
          <w:spacing w:val="4"/>
          <w:sz w:val="24"/>
          <w:szCs w:val="24"/>
        </w:rPr>
      </w:pPr>
    </w:p>
    <w:p w14:paraId="110FC5B2">
      <w:pPr>
        <w:topLinePunct/>
        <w:adjustRightInd w:val="0"/>
        <w:snapToGrid w:val="0"/>
        <w:spacing w:line="360" w:lineRule="auto"/>
        <w:ind w:firstLine="496" w:firstLineChars="200"/>
        <w:rPr>
          <w:rFonts w:hint="eastAsia" w:ascii="宋体" w:hAnsi="宋体" w:cs="宋体"/>
          <w:snapToGrid w:val="0"/>
          <w:spacing w:val="4"/>
          <w:sz w:val="24"/>
          <w:szCs w:val="24"/>
        </w:rPr>
      </w:pPr>
    </w:p>
    <w:p w14:paraId="251FE959">
      <w:pPr>
        <w:topLinePunct/>
        <w:adjustRightInd w:val="0"/>
        <w:snapToGrid w:val="0"/>
        <w:spacing w:line="360" w:lineRule="auto"/>
        <w:ind w:firstLine="496" w:firstLineChars="200"/>
        <w:rPr>
          <w:rFonts w:hint="eastAsia" w:ascii="宋体" w:hAnsi="宋体" w:cs="宋体"/>
          <w:snapToGrid w:val="0"/>
          <w:spacing w:val="4"/>
          <w:sz w:val="24"/>
          <w:szCs w:val="24"/>
        </w:rPr>
      </w:pPr>
    </w:p>
    <w:p w14:paraId="5447D133">
      <w:pPr>
        <w:topLinePunct/>
        <w:adjustRightInd w:val="0"/>
        <w:snapToGrid w:val="0"/>
        <w:spacing w:line="360" w:lineRule="auto"/>
        <w:ind w:firstLine="496" w:firstLineChars="200"/>
        <w:rPr>
          <w:rFonts w:hint="eastAsia" w:ascii="宋体" w:hAnsi="宋体" w:cs="宋体"/>
          <w:snapToGrid w:val="0"/>
          <w:spacing w:val="4"/>
          <w:sz w:val="24"/>
          <w:szCs w:val="24"/>
        </w:rPr>
      </w:pPr>
    </w:p>
    <w:p w14:paraId="62317182">
      <w:pPr>
        <w:topLinePunct/>
        <w:adjustRightInd w:val="0"/>
        <w:snapToGrid w:val="0"/>
        <w:spacing w:line="360" w:lineRule="auto"/>
        <w:ind w:firstLine="496" w:firstLineChars="200"/>
        <w:rPr>
          <w:rFonts w:hint="eastAsia" w:ascii="宋体" w:hAnsi="宋体" w:cs="宋体"/>
          <w:snapToGrid w:val="0"/>
          <w:spacing w:val="4"/>
          <w:sz w:val="24"/>
          <w:szCs w:val="24"/>
        </w:rPr>
      </w:pPr>
    </w:p>
    <w:p w14:paraId="1DDC7C38">
      <w:pPr>
        <w:topLinePunct/>
        <w:adjustRightInd w:val="0"/>
        <w:snapToGrid w:val="0"/>
        <w:spacing w:line="360" w:lineRule="auto"/>
        <w:rPr>
          <w:rFonts w:hint="eastAsia" w:ascii="宋体" w:hAnsi="宋体" w:cs="宋体"/>
          <w:snapToGrid w:val="0"/>
          <w:spacing w:val="4"/>
          <w:sz w:val="24"/>
          <w:szCs w:val="24"/>
        </w:rPr>
      </w:pPr>
    </w:p>
    <w:p w14:paraId="2E962AB7">
      <w:pPr>
        <w:topLinePunct/>
        <w:adjustRightInd w:val="0"/>
        <w:snapToGrid w:val="0"/>
        <w:ind w:firstLine="496" w:firstLineChars="200"/>
        <w:rPr>
          <w:rFonts w:hint="eastAsia" w:ascii="宋体" w:hAnsi="宋体" w:cs="宋体"/>
          <w:snapToGrid w:val="0"/>
          <w:spacing w:val="4"/>
          <w:sz w:val="24"/>
          <w:szCs w:val="24"/>
        </w:rPr>
      </w:pPr>
      <w:r>
        <w:rPr>
          <w:rFonts w:hint="eastAsia" w:ascii="宋体" w:hAnsi="宋体" w:cs="宋体"/>
          <w:snapToGrid w:val="0"/>
          <w:spacing w:val="4"/>
          <w:sz w:val="24"/>
          <w:szCs w:val="24"/>
        </w:rPr>
        <w:t>（2）法定代表人授权委托书</w:t>
      </w:r>
    </w:p>
    <w:p w14:paraId="51F17510">
      <w:pPr>
        <w:topLinePunct/>
        <w:adjustRightInd w:val="0"/>
        <w:snapToGrid w:val="0"/>
        <w:ind w:firstLine="496" w:firstLineChars="200"/>
        <w:rPr>
          <w:rFonts w:hint="eastAsia" w:ascii="宋体" w:hAnsi="宋体" w:cs="宋体"/>
          <w:snapToGrid w:val="0"/>
          <w:spacing w:val="4"/>
          <w:sz w:val="24"/>
          <w:szCs w:val="24"/>
        </w:rPr>
      </w:pPr>
      <w:r>
        <w:rPr>
          <w:rFonts w:hint="eastAsia" w:ascii="宋体" w:hAnsi="宋体" w:cs="宋体"/>
          <w:snapToGrid w:val="0"/>
          <w:spacing w:val="4"/>
          <w:sz w:val="24"/>
          <w:szCs w:val="24"/>
        </w:rPr>
        <w:t xml:space="preserve">                                                 （   ）第  号</w:t>
      </w:r>
    </w:p>
    <w:p w14:paraId="3724C4B3">
      <w:pPr>
        <w:topLinePunct/>
        <w:adjustRightInd w:val="0"/>
        <w:snapToGrid w:val="0"/>
        <w:spacing w:line="360" w:lineRule="auto"/>
        <w:ind w:firstLine="420" w:firstLineChars="200"/>
        <w:rPr>
          <w:rFonts w:hint="eastAsia" w:ascii="宋体" w:hAnsi="宋体" w:cs="宋体"/>
          <w:snapToGrid w:val="0"/>
          <w:spacing w:val="4"/>
          <w:sz w:val="24"/>
          <w:szCs w:val="24"/>
        </w:rPr>
      </w:pPr>
      <w:r>
        <w:rPr>
          <w:rFonts w:hint="eastAsia" w:ascii="宋体" w:hAnsi="宋体" w:cs="宋体"/>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99695</wp:posOffset>
                </wp:positionV>
                <wp:extent cx="5791200" cy="2907665"/>
                <wp:effectExtent l="4445" t="4445" r="14605" b="21590"/>
                <wp:wrapNone/>
                <wp:docPr id="32" name="文本框 32"/>
                <wp:cNvGraphicFramePr/>
                <a:graphic xmlns:a="http://schemas.openxmlformats.org/drawingml/2006/main">
                  <a:graphicData uri="http://schemas.microsoft.com/office/word/2010/wordprocessingShape">
                    <wps:wsp>
                      <wps:cNvSpPr txBox="1">
                        <a:spLocks noChangeArrowheads="1"/>
                      </wps:cNvSpPr>
                      <wps:spPr bwMode="auto">
                        <a:xfrm>
                          <a:off x="0" y="0"/>
                          <a:ext cx="5791200" cy="2907665"/>
                        </a:xfrm>
                        <a:prstGeom prst="rect">
                          <a:avLst/>
                        </a:prstGeom>
                        <a:solidFill>
                          <a:srgbClr val="FFFFFF"/>
                        </a:solidFill>
                        <a:ln w="9525">
                          <a:solidFill>
                            <a:srgbClr val="000000"/>
                          </a:solidFill>
                          <a:miter lim="800000"/>
                        </a:ln>
                        <a:effectLst/>
                      </wps:spPr>
                      <wps:txbx>
                        <w:txbxContent>
                          <w:p w14:paraId="0BF29EE2">
                            <w:pPr>
                              <w:pStyle w:val="122"/>
                              <w:ind w:firstLine="0" w:firstLineChars="0"/>
                              <w:rPr>
                                <w:rFonts w:hint="eastAsia" w:eastAsia="宋体" w:cs="宋体"/>
                              </w:rPr>
                            </w:pPr>
                            <w:r>
                              <w:rPr>
                                <w:rFonts w:hint="eastAsia" w:eastAsia="宋体" w:cs="宋体"/>
                              </w:rPr>
                              <w:t>兹授权为我方委托代理人，其权限是：</w:t>
                            </w:r>
                          </w:p>
                          <w:p w14:paraId="75C5FA6C">
                            <w:pPr>
                              <w:pStyle w:val="122"/>
                              <w:ind w:firstLine="0" w:firstLineChars="0"/>
                              <w:rPr>
                                <w:rFonts w:hint="eastAsia" w:eastAsia="宋体" w:cs="宋体"/>
                              </w:rPr>
                            </w:pPr>
                            <w:r>
                              <w:rPr>
                                <w:rFonts w:hint="eastAsia" w:eastAsia="宋体" w:cs="宋体"/>
                              </w:rPr>
                              <w:t>有效期限：</w:t>
                            </w:r>
                          </w:p>
                          <w:p w14:paraId="4724F586">
                            <w:pPr>
                              <w:pStyle w:val="122"/>
                              <w:ind w:firstLine="0" w:firstLineChars="0"/>
                              <w:rPr>
                                <w:rFonts w:hint="eastAsia" w:eastAsia="宋体" w:cs="宋体"/>
                              </w:rPr>
                            </w:pPr>
                            <w:r>
                              <w:rPr>
                                <w:rFonts w:hint="eastAsia" w:eastAsia="宋体" w:cs="宋体"/>
                              </w:rPr>
                              <w:t>附：代理人性别：年龄：身份证号码：</w:t>
                            </w:r>
                          </w:p>
                          <w:p w14:paraId="6FEBEBEB">
                            <w:pPr>
                              <w:pStyle w:val="122"/>
                              <w:ind w:firstLine="0" w:firstLineChars="0"/>
                              <w:rPr>
                                <w:rFonts w:hint="eastAsia" w:eastAsia="宋体" w:cs="宋体"/>
                              </w:rPr>
                            </w:pPr>
                            <w:r>
                              <w:rPr>
                                <w:rFonts w:hint="eastAsia" w:eastAsia="宋体" w:cs="宋体"/>
                              </w:rPr>
                              <w:t>注册号码：企业类型：</w:t>
                            </w:r>
                          </w:p>
                          <w:p w14:paraId="48C69932">
                            <w:pPr>
                              <w:pStyle w:val="122"/>
                              <w:ind w:firstLine="0" w:firstLineChars="0"/>
                              <w:rPr>
                                <w:rFonts w:hint="eastAsia" w:eastAsia="宋体" w:cs="宋体"/>
                              </w:rPr>
                            </w:pPr>
                            <w:r>
                              <w:rPr>
                                <w:rFonts w:hint="eastAsia" w:eastAsia="宋体" w:cs="宋体"/>
                              </w:rPr>
                              <w:t>经营范围：</w:t>
                            </w:r>
                          </w:p>
                          <w:p w14:paraId="05EFF2B4">
                            <w:pPr>
                              <w:pStyle w:val="122"/>
                              <w:ind w:firstLine="0" w:firstLineChars="0"/>
                              <w:rPr>
                                <w:rFonts w:hint="eastAsia" w:eastAsia="宋体" w:cs="宋体"/>
                              </w:rPr>
                            </w:pPr>
                            <w:r>
                              <w:rPr>
                                <w:rFonts w:hint="eastAsia" w:eastAsia="宋体" w:cs="宋体"/>
                              </w:rPr>
                              <w:t>法定代表人（负责人）：（签字或盖章）</w:t>
                            </w:r>
                          </w:p>
                          <w:p w14:paraId="613E8734">
                            <w:pPr>
                              <w:pStyle w:val="122"/>
                              <w:ind w:firstLine="0" w:firstLineChars="0"/>
                              <w:rPr>
                                <w:rFonts w:hint="eastAsia" w:eastAsia="宋体" w:cs="宋体"/>
                              </w:rPr>
                            </w:pPr>
                            <w:r>
                              <w:rPr>
                                <w:rFonts w:hint="eastAsia" w:eastAsia="宋体" w:cs="宋体"/>
                              </w:rPr>
                              <w:t>授权单位：（盖章）</w:t>
                            </w:r>
                          </w:p>
                          <w:p w14:paraId="36D5CF5A">
                            <w:pPr>
                              <w:pStyle w:val="122"/>
                              <w:ind w:firstLine="5952" w:firstLineChars="2400"/>
                              <w:rPr>
                                <w:rFonts w:hint="eastAsia" w:eastAsia="宋体" w:cs="宋体"/>
                              </w:rPr>
                            </w:pPr>
                            <w:r>
                              <w:rPr>
                                <w:rFonts w:hint="eastAsia" w:eastAsia="宋体" w:cs="宋体"/>
                              </w:rPr>
                              <w:t>年 月 日</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0.75pt;margin-top:7.85pt;height:228.95pt;width:456pt;z-index:251659264;mso-width-relative:page;mso-height-relative:page;" fillcolor="#FFFFFF" filled="t" stroked="t" coordsize="21600,21600" o:gfxdata="UEsDBAoAAAAAAIdO4kAAAAAAAAAAAAAAAAAEAAAAZHJzL1BLAwQUAAAACACHTuJAJslv6tkAAAAJ&#10;AQAADwAAAGRycy9kb3ducmV2LnhtbE2PwU7DMBBE70j8g7VIXFBrh7ZJG+L0gASCWymovbqxm0TY&#10;62C7afl7lhMcd2Y0+6ZaX5xlowmx9yghmwpgBhuve2wlfLw/TZbAYlKolfVoJHybCOv6+qpSpfZn&#10;fDPjNrWMSjCWSkKX0lByHpvOOBWnfjBI3tEHpxKdoeU6qDOVO8vvhci5Uz3Sh04N5rEzzef25CQs&#10;5y/jPr7ONrsmP9pVuivG568g5e1NJh6AJXNJf2H4xSd0qInp4E+oI7MSJtmCkqQvCmDkrzJBwkHC&#10;vJjlwOuK/19Q/wBQSwMEFAAAAAgAh07iQDAWjbZKAgAAmAQAAA4AAABkcnMvZTJvRG9jLnhtbK1U&#10;zW4UMQy+I/EOUe50dpdu2x11tiqtipDKj1R4gGwmsxORxMHJ7kx5APoGnLhw57n6HDiZaVkKSD0w&#10;h8iOnc/2Z3uOT3pr2FZh0OAqPt2bcKachFq7dcU/vL94dsRZiMLVwoBTFb9WgZ8snz457nypZtCC&#10;qRUyAnGh7HzF2xh9WRRBtsqKsAdeOTI2gFZEUnFd1Cg6QremmE0mB0UHWHsEqUKg2/PByEdEfAwg&#10;NI2W6hzkxioXB1RURkQqKbTaB77M2TaNkvFt0wQVmak4VRrzSUFIXqWzWB6Lco3Ct1qOKYjHpPCg&#10;Jiu0o6D3UOciCrZB/QeU1RIhQBP3JNhiKCQzQlVMJw+4uWqFV7kWojr4e9LD/4OVb7bvkOm64s9n&#10;nDlhqeO3X29uv/24/f6F0R0R1PlQkt+VJ8/Yv4CexiYXG/wlyI+BOThrhVurU0ToWiVqSnCaXhY7&#10;TweckEBW3WuoKZDYRMhAfYM2sUd8MEKn5lzfN0f1kUm6nB8upjQ/nEmyzRaTw4ODeY4hyrvnHkN8&#10;qcCyJFQcqfsZXmwvQ0zpiPLOJUULYHR9oY3JCq5XZwbZVtCkXORvRP/NzTjWVXwxn80HBv4JMcnf&#10;3yCsjrRARtuKH+06GZfyUHlox3wTfYmxgbvYr/qxHSuor4lIhGGgaZ1JaAE/c9bRMFc8fNoIVJyZ&#10;V46asZju76fpz8r+/HBGCu5aVrsW4SRBVTxyNohncdiYjUe9binS0H4Hp9TARmdqU6pDVmPbaWAz&#10;4+NypY3Y1bPXrx/K8i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myW/q2QAAAAkBAAAPAAAAAAAA&#10;AAEAIAAAACIAAABkcnMvZG93bnJldi54bWxQSwECFAAUAAAACACHTuJAMBaNtkoCAACYBAAADgAA&#10;AAAAAAABACAAAAAoAQAAZHJzL2Uyb0RvYy54bWxQSwUGAAAAAAYABgBZAQAA5AUAAAAA&#10;">
                <v:fill on="t" focussize="0,0"/>
                <v:stroke color="#000000" miterlimit="8" joinstyle="miter"/>
                <v:imagedata o:title=""/>
                <o:lock v:ext="edit" aspectratio="f"/>
                <v:textbox>
                  <w:txbxContent>
                    <w:p w14:paraId="0BF29EE2">
                      <w:pPr>
                        <w:pStyle w:val="122"/>
                        <w:ind w:firstLine="0" w:firstLineChars="0"/>
                        <w:rPr>
                          <w:rFonts w:hint="eastAsia" w:eastAsia="宋体" w:cs="宋体"/>
                        </w:rPr>
                      </w:pPr>
                      <w:r>
                        <w:rPr>
                          <w:rFonts w:hint="eastAsia" w:eastAsia="宋体" w:cs="宋体"/>
                        </w:rPr>
                        <w:t>兹授权为我方委托代理人，其权限是：</w:t>
                      </w:r>
                    </w:p>
                    <w:p w14:paraId="75C5FA6C">
                      <w:pPr>
                        <w:pStyle w:val="122"/>
                        <w:ind w:firstLine="0" w:firstLineChars="0"/>
                        <w:rPr>
                          <w:rFonts w:hint="eastAsia" w:eastAsia="宋体" w:cs="宋体"/>
                        </w:rPr>
                      </w:pPr>
                      <w:r>
                        <w:rPr>
                          <w:rFonts w:hint="eastAsia" w:eastAsia="宋体" w:cs="宋体"/>
                        </w:rPr>
                        <w:t>有效期限：</w:t>
                      </w:r>
                    </w:p>
                    <w:p w14:paraId="4724F586">
                      <w:pPr>
                        <w:pStyle w:val="122"/>
                        <w:ind w:firstLine="0" w:firstLineChars="0"/>
                        <w:rPr>
                          <w:rFonts w:hint="eastAsia" w:eastAsia="宋体" w:cs="宋体"/>
                        </w:rPr>
                      </w:pPr>
                      <w:r>
                        <w:rPr>
                          <w:rFonts w:hint="eastAsia" w:eastAsia="宋体" w:cs="宋体"/>
                        </w:rPr>
                        <w:t>附：代理人性别：年龄：身份证号码：</w:t>
                      </w:r>
                    </w:p>
                    <w:p w14:paraId="6FEBEBEB">
                      <w:pPr>
                        <w:pStyle w:val="122"/>
                        <w:ind w:firstLine="0" w:firstLineChars="0"/>
                        <w:rPr>
                          <w:rFonts w:hint="eastAsia" w:eastAsia="宋体" w:cs="宋体"/>
                        </w:rPr>
                      </w:pPr>
                      <w:r>
                        <w:rPr>
                          <w:rFonts w:hint="eastAsia" w:eastAsia="宋体" w:cs="宋体"/>
                        </w:rPr>
                        <w:t>注册号码：企业类型：</w:t>
                      </w:r>
                    </w:p>
                    <w:p w14:paraId="48C69932">
                      <w:pPr>
                        <w:pStyle w:val="122"/>
                        <w:ind w:firstLine="0" w:firstLineChars="0"/>
                        <w:rPr>
                          <w:rFonts w:hint="eastAsia" w:eastAsia="宋体" w:cs="宋体"/>
                        </w:rPr>
                      </w:pPr>
                      <w:r>
                        <w:rPr>
                          <w:rFonts w:hint="eastAsia" w:eastAsia="宋体" w:cs="宋体"/>
                        </w:rPr>
                        <w:t>经营范围：</w:t>
                      </w:r>
                    </w:p>
                    <w:p w14:paraId="05EFF2B4">
                      <w:pPr>
                        <w:pStyle w:val="122"/>
                        <w:ind w:firstLine="0" w:firstLineChars="0"/>
                        <w:rPr>
                          <w:rFonts w:hint="eastAsia" w:eastAsia="宋体" w:cs="宋体"/>
                        </w:rPr>
                      </w:pPr>
                      <w:r>
                        <w:rPr>
                          <w:rFonts w:hint="eastAsia" w:eastAsia="宋体" w:cs="宋体"/>
                        </w:rPr>
                        <w:t>法定代表人（负责人）：（签字或盖章）</w:t>
                      </w:r>
                    </w:p>
                    <w:p w14:paraId="613E8734">
                      <w:pPr>
                        <w:pStyle w:val="122"/>
                        <w:ind w:firstLine="0" w:firstLineChars="0"/>
                        <w:rPr>
                          <w:rFonts w:hint="eastAsia" w:eastAsia="宋体" w:cs="宋体"/>
                        </w:rPr>
                      </w:pPr>
                      <w:r>
                        <w:rPr>
                          <w:rFonts w:hint="eastAsia" w:eastAsia="宋体" w:cs="宋体"/>
                        </w:rPr>
                        <w:t>授权单位：（盖章）</w:t>
                      </w:r>
                    </w:p>
                    <w:p w14:paraId="36D5CF5A">
                      <w:pPr>
                        <w:pStyle w:val="122"/>
                        <w:ind w:firstLine="5952" w:firstLineChars="2400"/>
                        <w:rPr>
                          <w:rFonts w:hint="eastAsia" w:eastAsia="宋体" w:cs="宋体"/>
                        </w:rPr>
                      </w:pPr>
                      <w:r>
                        <w:rPr>
                          <w:rFonts w:hint="eastAsia" w:eastAsia="宋体" w:cs="宋体"/>
                        </w:rPr>
                        <w:t>年 月 日</w:t>
                      </w:r>
                    </w:p>
                  </w:txbxContent>
                </v:textbox>
              </v:shape>
            </w:pict>
          </mc:Fallback>
        </mc:AlternateContent>
      </w:r>
    </w:p>
    <w:p w14:paraId="189AD15C">
      <w:pPr>
        <w:topLinePunct/>
        <w:adjustRightInd w:val="0"/>
        <w:snapToGrid w:val="0"/>
        <w:spacing w:line="360" w:lineRule="auto"/>
        <w:ind w:firstLine="496" w:firstLineChars="200"/>
        <w:rPr>
          <w:rFonts w:hint="eastAsia" w:ascii="宋体" w:hAnsi="宋体" w:cs="宋体"/>
          <w:snapToGrid w:val="0"/>
          <w:spacing w:val="4"/>
          <w:sz w:val="24"/>
          <w:szCs w:val="24"/>
        </w:rPr>
      </w:pPr>
    </w:p>
    <w:p w14:paraId="065E7118">
      <w:pPr>
        <w:topLinePunct/>
        <w:adjustRightInd w:val="0"/>
        <w:snapToGrid w:val="0"/>
        <w:spacing w:line="360" w:lineRule="auto"/>
        <w:ind w:firstLine="496" w:firstLineChars="200"/>
        <w:rPr>
          <w:rFonts w:hint="eastAsia" w:ascii="宋体" w:hAnsi="宋体" w:cs="宋体"/>
          <w:snapToGrid w:val="0"/>
          <w:spacing w:val="4"/>
          <w:sz w:val="24"/>
          <w:szCs w:val="24"/>
        </w:rPr>
      </w:pPr>
    </w:p>
    <w:p w14:paraId="702561CF">
      <w:pPr>
        <w:topLinePunct/>
        <w:adjustRightInd w:val="0"/>
        <w:snapToGrid w:val="0"/>
        <w:spacing w:line="360" w:lineRule="auto"/>
        <w:ind w:firstLine="496" w:firstLineChars="200"/>
        <w:rPr>
          <w:rFonts w:hint="eastAsia" w:ascii="宋体" w:hAnsi="宋体" w:cs="宋体"/>
          <w:snapToGrid w:val="0"/>
          <w:spacing w:val="4"/>
          <w:sz w:val="24"/>
          <w:szCs w:val="24"/>
        </w:rPr>
      </w:pPr>
    </w:p>
    <w:p w14:paraId="652635F6">
      <w:pPr>
        <w:topLinePunct/>
        <w:adjustRightInd w:val="0"/>
        <w:snapToGrid w:val="0"/>
        <w:spacing w:line="360" w:lineRule="auto"/>
        <w:ind w:firstLine="496" w:firstLineChars="200"/>
        <w:rPr>
          <w:rFonts w:hint="eastAsia" w:ascii="宋体" w:hAnsi="宋体" w:cs="宋体"/>
          <w:snapToGrid w:val="0"/>
          <w:spacing w:val="4"/>
          <w:sz w:val="24"/>
          <w:szCs w:val="24"/>
        </w:rPr>
      </w:pPr>
    </w:p>
    <w:p w14:paraId="05F110A3">
      <w:pPr>
        <w:topLinePunct/>
        <w:adjustRightInd w:val="0"/>
        <w:snapToGrid w:val="0"/>
        <w:spacing w:line="360" w:lineRule="auto"/>
        <w:ind w:firstLine="496" w:firstLineChars="200"/>
        <w:rPr>
          <w:rFonts w:hint="eastAsia" w:ascii="宋体" w:hAnsi="宋体" w:cs="宋体"/>
          <w:snapToGrid w:val="0"/>
          <w:spacing w:val="4"/>
          <w:sz w:val="24"/>
          <w:szCs w:val="24"/>
        </w:rPr>
      </w:pPr>
    </w:p>
    <w:p w14:paraId="0C17F0C5">
      <w:pPr>
        <w:topLinePunct/>
        <w:adjustRightInd w:val="0"/>
        <w:snapToGrid w:val="0"/>
        <w:spacing w:line="360" w:lineRule="auto"/>
        <w:ind w:firstLine="496" w:firstLineChars="200"/>
        <w:rPr>
          <w:rFonts w:hint="eastAsia" w:ascii="宋体" w:hAnsi="宋体" w:cs="宋体"/>
          <w:snapToGrid w:val="0"/>
          <w:spacing w:val="4"/>
          <w:sz w:val="24"/>
          <w:szCs w:val="24"/>
        </w:rPr>
      </w:pPr>
    </w:p>
    <w:p w14:paraId="0D7C67D9">
      <w:pPr>
        <w:topLinePunct/>
        <w:adjustRightInd w:val="0"/>
        <w:snapToGrid w:val="0"/>
        <w:spacing w:line="360" w:lineRule="auto"/>
        <w:ind w:firstLine="496" w:firstLineChars="200"/>
        <w:rPr>
          <w:rFonts w:hint="eastAsia" w:ascii="宋体" w:hAnsi="宋体" w:cs="宋体"/>
          <w:snapToGrid w:val="0"/>
          <w:spacing w:val="4"/>
          <w:sz w:val="24"/>
          <w:szCs w:val="24"/>
        </w:rPr>
      </w:pPr>
    </w:p>
    <w:p w14:paraId="78A89EBC">
      <w:pPr>
        <w:topLinePunct/>
        <w:adjustRightInd w:val="0"/>
        <w:snapToGrid w:val="0"/>
        <w:spacing w:line="360" w:lineRule="auto"/>
        <w:ind w:firstLine="496" w:firstLineChars="200"/>
        <w:rPr>
          <w:rFonts w:hint="eastAsia" w:ascii="宋体" w:hAnsi="宋体" w:cs="宋体"/>
          <w:snapToGrid w:val="0"/>
          <w:spacing w:val="4"/>
          <w:sz w:val="24"/>
          <w:szCs w:val="24"/>
        </w:rPr>
      </w:pPr>
    </w:p>
    <w:p w14:paraId="77DE8742">
      <w:pPr>
        <w:topLinePunct/>
        <w:adjustRightInd w:val="0"/>
        <w:snapToGrid w:val="0"/>
        <w:spacing w:line="360" w:lineRule="auto"/>
        <w:ind w:firstLine="496" w:firstLineChars="200"/>
        <w:rPr>
          <w:rFonts w:hint="eastAsia" w:ascii="宋体" w:hAnsi="宋体" w:cs="宋体"/>
          <w:snapToGrid w:val="0"/>
          <w:spacing w:val="4"/>
          <w:sz w:val="24"/>
          <w:szCs w:val="24"/>
        </w:rPr>
      </w:pPr>
    </w:p>
    <w:p w14:paraId="2EF7DDA6">
      <w:pPr>
        <w:rPr>
          <w:rFonts w:hint="eastAsia" w:ascii="宋体" w:hAnsi="宋体" w:cs="宋体"/>
        </w:rPr>
      </w:pPr>
    </w:p>
    <w:p w14:paraId="75FEE7B8">
      <w:pPr>
        <w:rPr>
          <w:rFonts w:hint="eastAsia" w:ascii="宋体" w:hAnsi="宋体" w:cs="宋体"/>
        </w:rPr>
      </w:pPr>
      <w:r>
        <w:rPr>
          <w:rFonts w:hint="eastAsia" w:ascii="宋体" w:hAnsi="宋体" w:cs="宋体"/>
        </w:rPr>
        <w:t>注：按提供的格式或使用从工商管理部门购买的格式填写。</w:t>
      </w:r>
    </w:p>
    <w:p w14:paraId="4F0C6372">
      <w:pPr>
        <w:rPr>
          <w:rFonts w:hint="eastAsia" w:ascii="宋体" w:hAnsi="宋体" w:cs="宋体"/>
        </w:rPr>
      </w:pPr>
    </w:p>
    <w:p w14:paraId="294FF1F2">
      <w:pPr>
        <w:autoSpaceDE w:val="0"/>
        <w:autoSpaceDN w:val="0"/>
        <w:adjustRightInd w:val="0"/>
        <w:rPr>
          <w:bCs/>
          <w:sz w:val="28"/>
          <w:szCs w:val="28"/>
        </w:rPr>
      </w:pPr>
      <w:r>
        <w:rPr>
          <w:spacing w:val="4"/>
          <w:kern w:val="0"/>
          <w:sz w:val="24"/>
          <w:szCs w:val="24"/>
        </w:rPr>
        <w:br w:type="page"/>
      </w:r>
    </w:p>
    <w:p w14:paraId="7B01891B">
      <w:pPr>
        <w:autoSpaceDE w:val="0"/>
        <w:autoSpaceDN w:val="0"/>
        <w:adjustRightInd w:val="0"/>
        <w:rPr>
          <w:b/>
          <w:sz w:val="28"/>
          <w:szCs w:val="28"/>
        </w:rPr>
      </w:pPr>
      <w:r>
        <w:rPr>
          <w:rFonts w:hint="eastAsia"/>
          <w:b/>
          <w:sz w:val="28"/>
          <w:szCs w:val="28"/>
        </w:rPr>
        <w:t>格式四</w:t>
      </w:r>
    </w:p>
    <w:p w14:paraId="04F5D9DB">
      <w:pPr>
        <w:tabs>
          <w:tab w:val="left" w:pos="720"/>
        </w:tabs>
        <w:snapToGrid w:val="0"/>
        <w:spacing w:line="360" w:lineRule="auto"/>
        <w:jc w:val="center"/>
        <w:rPr>
          <w:b/>
          <w:sz w:val="32"/>
          <w:szCs w:val="32"/>
        </w:rPr>
      </w:pPr>
      <w:r>
        <w:rPr>
          <w:rFonts w:hint="eastAsia"/>
          <w:b/>
          <w:sz w:val="32"/>
          <w:szCs w:val="32"/>
        </w:rPr>
        <w:t>投标文件编制人员名单</w:t>
      </w:r>
    </w:p>
    <w:p w14:paraId="66B36293">
      <w:pPr>
        <w:tabs>
          <w:tab w:val="left" w:pos="720"/>
        </w:tabs>
        <w:snapToGrid w:val="0"/>
        <w:spacing w:line="360" w:lineRule="auto"/>
        <w:rPr>
          <w:sz w:val="24"/>
          <w:szCs w:val="24"/>
        </w:rPr>
      </w:pPr>
    </w:p>
    <w:p w14:paraId="0AD98E34">
      <w:pPr>
        <w:tabs>
          <w:tab w:val="left" w:pos="720"/>
        </w:tabs>
        <w:snapToGrid w:val="0"/>
        <w:spacing w:line="360" w:lineRule="auto"/>
        <w:jc w:val="center"/>
        <w:rPr>
          <w:szCs w:val="21"/>
        </w:rPr>
      </w:pPr>
      <w:r>
        <w:rPr>
          <w:rFonts w:hint="eastAsia"/>
          <w:szCs w:val="21"/>
        </w:rPr>
        <w:t>一、参与编制技术标投标文件人员名单</w:t>
      </w:r>
    </w:p>
    <w:tbl>
      <w:tblPr>
        <w:tblStyle w:val="37"/>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347"/>
        <w:gridCol w:w="2274"/>
        <w:gridCol w:w="2182"/>
        <w:gridCol w:w="1328"/>
      </w:tblGrid>
      <w:tr w14:paraId="0F6BB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8296" w:type="dxa"/>
            <w:gridSpan w:val="5"/>
            <w:tcBorders>
              <w:top w:val="single" w:color="auto" w:sz="4" w:space="0"/>
              <w:left w:val="single" w:color="auto" w:sz="4" w:space="0"/>
              <w:bottom w:val="single" w:color="auto" w:sz="4" w:space="0"/>
              <w:right w:val="single" w:color="auto" w:sz="4" w:space="0"/>
            </w:tcBorders>
            <w:vAlign w:val="center"/>
          </w:tcPr>
          <w:p w14:paraId="57310A7A">
            <w:pPr>
              <w:tabs>
                <w:tab w:val="left" w:pos="720"/>
              </w:tabs>
              <w:snapToGrid w:val="0"/>
              <w:spacing w:line="360" w:lineRule="auto"/>
              <w:jc w:val="center"/>
              <w:rPr>
                <w:rFonts w:hint="eastAsia" w:ascii="宋体" w:hAnsi="宋体"/>
                <w:szCs w:val="21"/>
              </w:rPr>
            </w:pPr>
            <w:r>
              <w:rPr>
                <w:rFonts w:hint="eastAsia" w:ascii="宋体" w:hAnsi="宋体"/>
                <w:szCs w:val="21"/>
              </w:rPr>
              <w:t>投标人名称</w:t>
            </w:r>
          </w:p>
        </w:tc>
      </w:tr>
      <w:tr w14:paraId="2F2AB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14:paraId="333A571D">
            <w:pPr>
              <w:tabs>
                <w:tab w:val="left" w:pos="720"/>
              </w:tabs>
              <w:snapToGrid w:val="0"/>
              <w:spacing w:line="360" w:lineRule="auto"/>
              <w:jc w:val="center"/>
              <w:rPr>
                <w:rFonts w:hint="eastAsia" w:ascii="宋体" w:hAnsi="宋体"/>
                <w:szCs w:val="21"/>
              </w:rPr>
            </w:pPr>
            <w:r>
              <w:rPr>
                <w:rFonts w:hint="eastAsia" w:ascii="宋体" w:hAnsi="宋体"/>
                <w:szCs w:val="21"/>
              </w:rPr>
              <w:t>姓名</w:t>
            </w:r>
          </w:p>
        </w:tc>
        <w:tc>
          <w:tcPr>
            <w:tcW w:w="1347" w:type="dxa"/>
            <w:tcBorders>
              <w:top w:val="single" w:color="auto" w:sz="4" w:space="0"/>
              <w:left w:val="single" w:color="auto" w:sz="4" w:space="0"/>
              <w:bottom w:val="single" w:color="auto" w:sz="4" w:space="0"/>
              <w:right w:val="single" w:color="auto" w:sz="4" w:space="0"/>
            </w:tcBorders>
            <w:vAlign w:val="center"/>
          </w:tcPr>
          <w:p w14:paraId="602CB6AB">
            <w:pPr>
              <w:tabs>
                <w:tab w:val="left" w:pos="720"/>
              </w:tabs>
              <w:snapToGrid w:val="0"/>
              <w:spacing w:line="360" w:lineRule="auto"/>
              <w:jc w:val="center"/>
              <w:rPr>
                <w:rFonts w:hint="eastAsia" w:ascii="宋体" w:hAnsi="宋体"/>
                <w:szCs w:val="21"/>
              </w:rPr>
            </w:pPr>
            <w:r>
              <w:rPr>
                <w:rFonts w:hint="eastAsia" w:ascii="宋体" w:hAnsi="宋体"/>
                <w:szCs w:val="21"/>
              </w:rPr>
              <w:t>职务</w:t>
            </w:r>
          </w:p>
        </w:tc>
        <w:tc>
          <w:tcPr>
            <w:tcW w:w="2274" w:type="dxa"/>
            <w:tcBorders>
              <w:top w:val="single" w:color="auto" w:sz="4" w:space="0"/>
              <w:left w:val="single" w:color="auto" w:sz="4" w:space="0"/>
              <w:bottom w:val="single" w:color="auto" w:sz="4" w:space="0"/>
              <w:right w:val="single" w:color="auto" w:sz="4" w:space="0"/>
            </w:tcBorders>
            <w:vAlign w:val="center"/>
          </w:tcPr>
          <w:p w14:paraId="2E68B4BC">
            <w:pPr>
              <w:tabs>
                <w:tab w:val="left" w:pos="720"/>
              </w:tabs>
              <w:snapToGrid w:val="0"/>
              <w:spacing w:line="360" w:lineRule="auto"/>
              <w:jc w:val="center"/>
              <w:rPr>
                <w:rFonts w:hint="eastAsia" w:ascii="宋体" w:hAnsi="宋体"/>
                <w:szCs w:val="21"/>
              </w:rPr>
            </w:pPr>
            <w:r>
              <w:rPr>
                <w:rFonts w:hint="eastAsia" w:ascii="宋体" w:hAnsi="宋体"/>
                <w:szCs w:val="21"/>
              </w:rPr>
              <w:t>所承担工作</w:t>
            </w:r>
          </w:p>
        </w:tc>
        <w:tc>
          <w:tcPr>
            <w:tcW w:w="2182" w:type="dxa"/>
            <w:tcBorders>
              <w:top w:val="single" w:color="auto" w:sz="4" w:space="0"/>
              <w:left w:val="single" w:color="auto" w:sz="4" w:space="0"/>
              <w:bottom w:val="single" w:color="auto" w:sz="4" w:space="0"/>
              <w:right w:val="single" w:color="auto" w:sz="4" w:space="0"/>
            </w:tcBorders>
            <w:vAlign w:val="center"/>
          </w:tcPr>
          <w:p w14:paraId="01EA5862">
            <w:pPr>
              <w:tabs>
                <w:tab w:val="left" w:pos="720"/>
              </w:tabs>
              <w:snapToGrid w:val="0"/>
              <w:spacing w:line="360" w:lineRule="auto"/>
              <w:jc w:val="center"/>
              <w:rPr>
                <w:rFonts w:hint="eastAsia" w:ascii="宋体" w:hAnsi="宋体"/>
                <w:szCs w:val="21"/>
              </w:rPr>
            </w:pPr>
            <w:r>
              <w:rPr>
                <w:rFonts w:hint="eastAsia" w:ascii="宋体" w:hAnsi="宋体"/>
                <w:szCs w:val="21"/>
              </w:rPr>
              <w:t>身份证号码</w:t>
            </w:r>
          </w:p>
        </w:tc>
        <w:tc>
          <w:tcPr>
            <w:tcW w:w="1328" w:type="dxa"/>
            <w:tcBorders>
              <w:top w:val="single" w:color="auto" w:sz="4" w:space="0"/>
              <w:left w:val="single" w:color="auto" w:sz="4" w:space="0"/>
              <w:bottom w:val="single" w:color="auto" w:sz="4" w:space="0"/>
              <w:right w:val="single" w:color="auto" w:sz="4" w:space="0"/>
            </w:tcBorders>
            <w:vAlign w:val="center"/>
          </w:tcPr>
          <w:p w14:paraId="164D510A">
            <w:pPr>
              <w:tabs>
                <w:tab w:val="left" w:pos="720"/>
              </w:tabs>
              <w:snapToGrid w:val="0"/>
              <w:spacing w:line="360" w:lineRule="auto"/>
              <w:jc w:val="center"/>
              <w:rPr>
                <w:rFonts w:hint="eastAsia" w:ascii="宋体" w:hAnsi="宋体"/>
                <w:szCs w:val="21"/>
              </w:rPr>
            </w:pPr>
            <w:r>
              <w:rPr>
                <w:rFonts w:hint="eastAsia" w:ascii="宋体" w:hAnsi="宋体"/>
                <w:szCs w:val="21"/>
              </w:rPr>
              <w:t>本人签名栏</w:t>
            </w:r>
          </w:p>
        </w:tc>
      </w:tr>
      <w:tr w14:paraId="53D18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14:paraId="13DF7D3C">
            <w:pPr>
              <w:tabs>
                <w:tab w:val="left" w:pos="720"/>
              </w:tabs>
              <w:snapToGrid w:val="0"/>
              <w:spacing w:line="360" w:lineRule="auto"/>
              <w:jc w:val="center"/>
              <w:rPr>
                <w:rFonts w:hint="eastAsia"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14:paraId="7FD4201D">
            <w:pPr>
              <w:tabs>
                <w:tab w:val="left" w:pos="720"/>
              </w:tabs>
              <w:snapToGrid w:val="0"/>
              <w:spacing w:line="360" w:lineRule="auto"/>
              <w:jc w:val="center"/>
              <w:rPr>
                <w:rFonts w:hint="eastAsia"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14:paraId="07E0F705">
            <w:pPr>
              <w:tabs>
                <w:tab w:val="left" w:pos="720"/>
              </w:tabs>
              <w:snapToGrid w:val="0"/>
              <w:spacing w:line="360" w:lineRule="auto"/>
              <w:jc w:val="center"/>
              <w:rPr>
                <w:rFonts w:hint="eastAsia"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14:paraId="5C711F4E">
            <w:pPr>
              <w:tabs>
                <w:tab w:val="left" w:pos="720"/>
              </w:tabs>
              <w:snapToGrid w:val="0"/>
              <w:spacing w:line="360" w:lineRule="auto"/>
              <w:jc w:val="center"/>
              <w:rPr>
                <w:rFonts w:hint="eastAsia"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7ACADEC8">
            <w:pPr>
              <w:tabs>
                <w:tab w:val="left" w:pos="720"/>
              </w:tabs>
              <w:snapToGrid w:val="0"/>
              <w:spacing w:line="360" w:lineRule="auto"/>
              <w:jc w:val="center"/>
              <w:rPr>
                <w:rFonts w:hint="eastAsia" w:ascii="宋体" w:hAnsi="宋体"/>
                <w:szCs w:val="21"/>
              </w:rPr>
            </w:pPr>
          </w:p>
        </w:tc>
      </w:tr>
      <w:tr w14:paraId="6B772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14:paraId="28C01297">
            <w:pPr>
              <w:tabs>
                <w:tab w:val="left" w:pos="720"/>
              </w:tabs>
              <w:snapToGrid w:val="0"/>
              <w:spacing w:line="360" w:lineRule="auto"/>
              <w:jc w:val="center"/>
              <w:rPr>
                <w:rFonts w:hint="eastAsia"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14:paraId="6B95E4FF">
            <w:pPr>
              <w:tabs>
                <w:tab w:val="left" w:pos="720"/>
              </w:tabs>
              <w:snapToGrid w:val="0"/>
              <w:spacing w:line="360" w:lineRule="auto"/>
              <w:jc w:val="center"/>
              <w:rPr>
                <w:rFonts w:hint="eastAsia"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14:paraId="707F090A">
            <w:pPr>
              <w:tabs>
                <w:tab w:val="left" w:pos="720"/>
              </w:tabs>
              <w:snapToGrid w:val="0"/>
              <w:spacing w:line="360" w:lineRule="auto"/>
              <w:jc w:val="center"/>
              <w:rPr>
                <w:rFonts w:hint="eastAsia"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14:paraId="548AAEF5">
            <w:pPr>
              <w:tabs>
                <w:tab w:val="left" w:pos="720"/>
              </w:tabs>
              <w:snapToGrid w:val="0"/>
              <w:spacing w:line="360" w:lineRule="auto"/>
              <w:jc w:val="center"/>
              <w:rPr>
                <w:rFonts w:hint="eastAsia"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6766BD40">
            <w:pPr>
              <w:tabs>
                <w:tab w:val="left" w:pos="720"/>
              </w:tabs>
              <w:snapToGrid w:val="0"/>
              <w:spacing w:line="360" w:lineRule="auto"/>
              <w:jc w:val="center"/>
              <w:rPr>
                <w:rFonts w:hint="eastAsia" w:ascii="宋体" w:hAnsi="宋体"/>
                <w:szCs w:val="21"/>
              </w:rPr>
            </w:pPr>
          </w:p>
        </w:tc>
      </w:tr>
      <w:tr w14:paraId="0F858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14:paraId="56473276">
            <w:pPr>
              <w:tabs>
                <w:tab w:val="left" w:pos="720"/>
              </w:tabs>
              <w:snapToGrid w:val="0"/>
              <w:spacing w:line="360" w:lineRule="auto"/>
              <w:jc w:val="center"/>
              <w:rPr>
                <w:rFonts w:hint="eastAsia"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14:paraId="0467C3F2">
            <w:pPr>
              <w:tabs>
                <w:tab w:val="left" w:pos="720"/>
              </w:tabs>
              <w:snapToGrid w:val="0"/>
              <w:spacing w:line="360" w:lineRule="auto"/>
              <w:jc w:val="center"/>
              <w:rPr>
                <w:rFonts w:hint="eastAsia"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14:paraId="1BD4BDAF">
            <w:pPr>
              <w:tabs>
                <w:tab w:val="left" w:pos="720"/>
              </w:tabs>
              <w:snapToGrid w:val="0"/>
              <w:spacing w:line="360" w:lineRule="auto"/>
              <w:jc w:val="center"/>
              <w:rPr>
                <w:rFonts w:hint="eastAsia"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14:paraId="4B7DA0D7">
            <w:pPr>
              <w:tabs>
                <w:tab w:val="left" w:pos="720"/>
              </w:tabs>
              <w:snapToGrid w:val="0"/>
              <w:spacing w:line="360" w:lineRule="auto"/>
              <w:jc w:val="center"/>
              <w:rPr>
                <w:rFonts w:hint="eastAsia"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2D902FC6">
            <w:pPr>
              <w:tabs>
                <w:tab w:val="left" w:pos="720"/>
              </w:tabs>
              <w:snapToGrid w:val="0"/>
              <w:spacing w:line="360" w:lineRule="auto"/>
              <w:jc w:val="center"/>
              <w:rPr>
                <w:rFonts w:hint="eastAsia" w:ascii="宋体" w:hAnsi="宋体"/>
                <w:szCs w:val="21"/>
              </w:rPr>
            </w:pPr>
          </w:p>
        </w:tc>
      </w:tr>
      <w:tr w14:paraId="506A3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14:paraId="107F6F0E">
            <w:pPr>
              <w:tabs>
                <w:tab w:val="left" w:pos="720"/>
              </w:tabs>
              <w:snapToGrid w:val="0"/>
              <w:spacing w:line="360" w:lineRule="auto"/>
              <w:jc w:val="center"/>
              <w:rPr>
                <w:rFonts w:hint="eastAsia"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14:paraId="03D42F73">
            <w:pPr>
              <w:tabs>
                <w:tab w:val="left" w:pos="720"/>
              </w:tabs>
              <w:snapToGrid w:val="0"/>
              <w:spacing w:line="360" w:lineRule="auto"/>
              <w:jc w:val="center"/>
              <w:rPr>
                <w:rFonts w:hint="eastAsia"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14:paraId="7E2D0D90">
            <w:pPr>
              <w:tabs>
                <w:tab w:val="left" w:pos="720"/>
              </w:tabs>
              <w:snapToGrid w:val="0"/>
              <w:spacing w:line="360" w:lineRule="auto"/>
              <w:jc w:val="center"/>
              <w:rPr>
                <w:rFonts w:hint="eastAsia"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14:paraId="216E55C2">
            <w:pPr>
              <w:tabs>
                <w:tab w:val="left" w:pos="720"/>
              </w:tabs>
              <w:snapToGrid w:val="0"/>
              <w:spacing w:line="360" w:lineRule="auto"/>
              <w:jc w:val="center"/>
              <w:rPr>
                <w:rFonts w:hint="eastAsia"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20DCC47A">
            <w:pPr>
              <w:tabs>
                <w:tab w:val="left" w:pos="720"/>
              </w:tabs>
              <w:snapToGrid w:val="0"/>
              <w:spacing w:line="360" w:lineRule="auto"/>
              <w:jc w:val="center"/>
              <w:rPr>
                <w:rFonts w:hint="eastAsia" w:ascii="宋体" w:hAnsi="宋体"/>
                <w:szCs w:val="21"/>
              </w:rPr>
            </w:pPr>
          </w:p>
        </w:tc>
      </w:tr>
      <w:tr w14:paraId="25F5B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14:paraId="16C0BF60">
            <w:pPr>
              <w:tabs>
                <w:tab w:val="left" w:pos="720"/>
              </w:tabs>
              <w:snapToGrid w:val="0"/>
              <w:spacing w:line="360" w:lineRule="auto"/>
              <w:jc w:val="center"/>
              <w:rPr>
                <w:rFonts w:hint="eastAsia"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14:paraId="7B7A8E41">
            <w:pPr>
              <w:tabs>
                <w:tab w:val="left" w:pos="720"/>
              </w:tabs>
              <w:snapToGrid w:val="0"/>
              <w:spacing w:line="360" w:lineRule="auto"/>
              <w:jc w:val="center"/>
              <w:rPr>
                <w:rFonts w:hint="eastAsia"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14:paraId="27B03F49">
            <w:pPr>
              <w:tabs>
                <w:tab w:val="left" w:pos="720"/>
              </w:tabs>
              <w:snapToGrid w:val="0"/>
              <w:spacing w:line="360" w:lineRule="auto"/>
              <w:jc w:val="center"/>
              <w:rPr>
                <w:rFonts w:hint="eastAsia"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14:paraId="2F78AE1C">
            <w:pPr>
              <w:tabs>
                <w:tab w:val="left" w:pos="720"/>
              </w:tabs>
              <w:snapToGrid w:val="0"/>
              <w:spacing w:line="360" w:lineRule="auto"/>
              <w:jc w:val="center"/>
              <w:rPr>
                <w:rFonts w:hint="eastAsia"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43BC32CD">
            <w:pPr>
              <w:tabs>
                <w:tab w:val="left" w:pos="720"/>
              </w:tabs>
              <w:snapToGrid w:val="0"/>
              <w:spacing w:line="360" w:lineRule="auto"/>
              <w:jc w:val="center"/>
              <w:rPr>
                <w:rFonts w:hint="eastAsia" w:ascii="宋体" w:hAnsi="宋体"/>
                <w:szCs w:val="21"/>
              </w:rPr>
            </w:pPr>
          </w:p>
        </w:tc>
      </w:tr>
      <w:tr w14:paraId="77D54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14:paraId="5EC7A06C">
            <w:pPr>
              <w:tabs>
                <w:tab w:val="left" w:pos="720"/>
              </w:tabs>
              <w:snapToGrid w:val="0"/>
              <w:spacing w:line="360" w:lineRule="auto"/>
              <w:jc w:val="center"/>
              <w:rPr>
                <w:rFonts w:hint="eastAsia"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14:paraId="2B624480">
            <w:pPr>
              <w:tabs>
                <w:tab w:val="left" w:pos="720"/>
              </w:tabs>
              <w:snapToGrid w:val="0"/>
              <w:spacing w:line="360" w:lineRule="auto"/>
              <w:jc w:val="center"/>
              <w:rPr>
                <w:rFonts w:hint="eastAsia"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14:paraId="73EAA03D">
            <w:pPr>
              <w:tabs>
                <w:tab w:val="left" w:pos="720"/>
              </w:tabs>
              <w:snapToGrid w:val="0"/>
              <w:spacing w:line="360" w:lineRule="auto"/>
              <w:jc w:val="center"/>
              <w:rPr>
                <w:rFonts w:hint="eastAsia"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14:paraId="0B1237C7">
            <w:pPr>
              <w:tabs>
                <w:tab w:val="left" w:pos="720"/>
              </w:tabs>
              <w:snapToGrid w:val="0"/>
              <w:spacing w:line="360" w:lineRule="auto"/>
              <w:jc w:val="center"/>
              <w:rPr>
                <w:rFonts w:hint="eastAsia"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54F28B42">
            <w:pPr>
              <w:tabs>
                <w:tab w:val="left" w:pos="720"/>
              </w:tabs>
              <w:snapToGrid w:val="0"/>
              <w:spacing w:line="360" w:lineRule="auto"/>
              <w:jc w:val="center"/>
              <w:rPr>
                <w:rFonts w:hint="eastAsia" w:ascii="宋体" w:hAnsi="宋体"/>
                <w:szCs w:val="21"/>
              </w:rPr>
            </w:pPr>
          </w:p>
        </w:tc>
      </w:tr>
      <w:tr w14:paraId="2A44F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14:paraId="4BCA013E">
            <w:pPr>
              <w:tabs>
                <w:tab w:val="left" w:pos="720"/>
              </w:tabs>
              <w:snapToGrid w:val="0"/>
              <w:spacing w:line="360" w:lineRule="auto"/>
              <w:jc w:val="center"/>
              <w:rPr>
                <w:rFonts w:hint="eastAsia"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14:paraId="1F9E83EA">
            <w:pPr>
              <w:tabs>
                <w:tab w:val="left" w:pos="720"/>
              </w:tabs>
              <w:snapToGrid w:val="0"/>
              <w:spacing w:line="360" w:lineRule="auto"/>
              <w:jc w:val="center"/>
              <w:rPr>
                <w:rFonts w:hint="eastAsia"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14:paraId="1F375A10">
            <w:pPr>
              <w:tabs>
                <w:tab w:val="left" w:pos="720"/>
              </w:tabs>
              <w:snapToGrid w:val="0"/>
              <w:spacing w:line="360" w:lineRule="auto"/>
              <w:jc w:val="center"/>
              <w:rPr>
                <w:rFonts w:hint="eastAsia"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14:paraId="2986D82D">
            <w:pPr>
              <w:tabs>
                <w:tab w:val="left" w:pos="720"/>
              </w:tabs>
              <w:snapToGrid w:val="0"/>
              <w:spacing w:line="360" w:lineRule="auto"/>
              <w:jc w:val="center"/>
              <w:rPr>
                <w:rFonts w:hint="eastAsia"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35201150">
            <w:pPr>
              <w:tabs>
                <w:tab w:val="left" w:pos="720"/>
              </w:tabs>
              <w:snapToGrid w:val="0"/>
              <w:spacing w:line="360" w:lineRule="auto"/>
              <w:jc w:val="center"/>
              <w:rPr>
                <w:rFonts w:hint="eastAsia" w:ascii="宋体" w:hAnsi="宋体"/>
                <w:szCs w:val="21"/>
              </w:rPr>
            </w:pPr>
          </w:p>
        </w:tc>
      </w:tr>
      <w:tr w14:paraId="487B7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14:paraId="31E4E6EC">
            <w:pPr>
              <w:tabs>
                <w:tab w:val="left" w:pos="720"/>
              </w:tabs>
              <w:snapToGrid w:val="0"/>
              <w:spacing w:line="360" w:lineRule="auto"/>
              <w:jc w:val="center"/>
              <w:rPr>
                <w:rFonts w:hint="eastAsia"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14:paraId="357BBF95">
            <w:pPr>
              <w:tabs>
                <w:tab w:val="left" w:pos="720"/>
              </w:tabs>
              <w:snapToGrid w:val="0"/>
              <w:spacing w:line="360" w:lineRule="auto"/>
              <w:jc w:val="center"/>
              <w:rPr>
                <w:rFonts w:hint="eastAsia"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14:paraId="6771746B">
            <w:pPr>
              <w:tabs>
                <w:tab w:val="left" w:pos="720"/>
              </w:tabs>
              <w:snapToGrid w:val="0"/>
              <w:spacing w:line="360" w:lineRule="auto"/>
              <w:jc w:val="center"/>
              <w:rPr>
                <w:rFonts w:hint="eastAsia"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14:paraId="068C1D0B">
            <w:pPr>
              <w:tabs>
                <w:tab w:val="left" w:pos="720"/>
              </w:tabs>
              <w:snapToGrid w:val="0"/>
              <w:spacing w:line="360" w:lineRule="auto"/>
              <w:jc w:val="center"/>
              <w:rPr>
                <w:rFonts w:hint="eastAsia"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4842DF40">
            <w:pPr>
              <w:tabs>
                <w:tab w:val="left" w:pos="720"/>
              </w:tabs>
              <w:snapToGrid w:val="0"/>
              <w:spacing w:line="360" w:lineRule="auto"/>
              <w:jc w:val="center"/>
              <w:rPr>
                <w:rFonts w:hint="eastAsia" w:ascii="宋体" w:hAnsi="宋体"/>
                <w:szCs w:val="21"/>
              </w:rPr>
            </w:pPr>
          </w:p>
        </w:tc>
      </w:tr>
    </w:tbl>
    <w:p w14:paraId="42FEE994">
      <w:pPr>
        <w:tabs>
          <w:tab w:val="left" w:pos="720"/>
        </w:tabs>
        <w:snapToGrid w:val="0"/>
        <w:spacing w:line="360" w:lineRule="auto"/>
        <w:rPr>
          <w:sz w:val="24"/>
          <w:szCs w:val="24"/>
        </w:rPr>
      </w:pPr>
    </w:p>
    <w:p w14:paraId="4853B73F">
      <w:pPr>
        <w:tabs>
          <w:tab w:val="left" w:pos="720"/>
        </w:tabs>
        <w:snapToGrid w:val="0"/>
        <w:spacing w:line="360" w:lineRule="auto"/>
        <w:rPr>
          <w:sz w:val="24"/>
          <w:szCs w:val="24"/>
        </w:rPr>
      </w:pPr>
    </w:p>
    <w:p w14:paraId="4EA9B59E">
      <w:pPr>
        <w:tabs>
          <w:tab w:val="left" w:pos="720"/>
        </w:tabs>
        <w:snapToGrid w:val="0"/>
        <w:spacing w:line="360" w:lineRule="auto"/>
        <w:jc w:val="center"/>
        <w:rPr>
          <w:szCs w:val="21"/>
        </w:rPr>
      </w:pPr>
      <w:r>
        <w:rPr>
          <w:rFonts w:hint="eastAsia"/>
          <w:szCs w:val="21"/>
        </w:rPr>
        <w:t>二、参与编制经济标投标文件人员名单</w:t>
      </w:r>
    </w:p>
    <w:tbl>
      <w:tblPr>
        <w:tblStyle w:val="37"/>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347"/>
        <w:gridCol w:w="2274"/>
        <w:gridCol w:w="2182"/>
        <w:gridCol w:w="1328"/>
      </w:tblGrid>
      <w:tr w14:paraId="7ABE2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8296" w:type="dxa"/>
            <w:gridSpan w:val="5"/>
            <w:tcBorders>
              <w:top w:val="single" w:color="auto" w:sz="4" w:space="0"/>
              <w:left w:val="single" w:color="auto" w:sz="4" w:space="0"/>
              <w:bottom w:val="single" w:color="auto" w:sz="4" w:space="0"/>
              <w:right w:val="single" w:color="auto" w:sz="4" w:space="0"/>
            </w:tcBorders>
            <w:vAlign w:val="center"/>
          </w:tcPr>
          <w:p w14:paraId="5FA93E0C">
            <w:pPr>
              <w:tabs>
                <w:tab w:val="left" w:pos="720"/>
              </w:tabs>
              <w:snapToGrid w:val="0"/>
              <w:spacing w:line="360" w:lineRule="auto"/>
              <w:jc w:val="center"/>
              <w:rPr>
                <w:rFonts w:hint="eastAsia" w:ascii="宋体" w:hAnsi="宋体"/>
                <w:szCs w:val="21"/>
              </w:rPr>
            </w:pPr>
            <w:r>
              <w:rPr>
                <w:rFonts w:hint="eastAsia" w:ascii="宋体" w:hAnsi="宋体"/>
                <w:szCs w:val="21"/>
              </w:rPr>
              <w:t>投标人名称</w:t>
            </w:r>
          </w:p>
        </w:tc>
      </w:tr>
      <w:tr w14:paraId="7D373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14:paraId="6D2E0CA3">
            <w:pPr>
              <w:tabs>
                <w:tab w:val="left" w:pos="720"/>
              </w:tabs>
              <w:snapToGrid w:val="0"/>
              <w:spacing w:line="360" w:lineRule="auto"/>
              <w:jc w:val="center"/>
              <w:rPr>
                <w:rFonts w:hint="eastAsia" w:ascii="宋体" w:hAnsi="宋体"/>
                <w:szCs w:val="21"/>
              </w:rPr>
            </w:pPr>
            <w:r>
              <w:rPr>
                <w:rFonts w:hint="eastAsia" w:ascii="宋体" w:hAnsi="宋体"/>
                <w:szCs w:val="21"/>
              </w:rPr>
              <w:t>姓名</w:t>
            </w:r>
          </w:p>
        </w:tc>
        <w:tc>
          <w:tcPr>
            <w:tcW w:w="1347" w:type="dxa"/>
            <w:tcBorders>
              <w:top w:val="single" w:color="auto" w:sz="4" w:space="0"/>
              <w:left w:val="single" w:color="auto" w:sz="4" w:space="0"/>
              <w:bottom w:val="single" w:color="auto" w:sz="4" w:space="0"/>
              <w:right w:val="single" w:color="auto" w:sz="4" w:space="0"/>
            </w:tcBorders>
            <w:vAlign w:val="center"/>
          </w:tcPr>
          <w:p w14:paraId="1AA7B14B">
            <w:pPr>
              <w:tabs>
                <w:tab w:val="left" w:pos="720"/>
              </w:tabs>
              <w:snapToGrid w:val="0"/>
              <w:spacing w:line="360" w:lineRule="auto"/>
              <w:jc w:val="center"/>
              <w:rPr>
                <w:rFonts w:hint="eastAsia" w:ascii="宋体" w:hAnsi="宋体"/>
                <w:szCs w:val="21"/>
              </w:rPr>
            </w:pPr>
            <w:r>
              <w:rPr>
                <w:rFonts w:hint="eastAsia" w:ascii="宋体" w:hAnsi="宋体"/>
                <w:szCs w:val="21"/>
              </w:rPr>
              <w:t>职务</w:t>
            </w:r>
          </w:p>
        </w:tc>
        <w:tc>
          <w:tcPr>
            <w:tcW w:w="2274" w:type="dxa"/>
            <w:tcBorders>
              <w:top w:val="single" w:color="auto" w:sz="4" w:space="0"/>
              <w:left w:val="single" w:color="auto" w:sz="4" w:space="0"/>
              <w:bottom w:val="single" w:color="auto" w:sz="4" w:space="0"/>
              <w:right w:val="single" w:color="auto" w:sz="4" w:space="0"/>
            </w:tcBorders>
            <w:vAlign w:val="center"/>
          </w:tcPr>
          <w:p w14:paraId="2E494943">
            <w:pPr>
              <w:tabs>
                <w:tab w:val="left" w:pos="720"/>
              </w:tabs>
              <w:snapToGrid w:val="0"/>
              <w:spacing w:line="360" w:lineRule="auto"/>
              <w:jc w:val="center"/>
              <w:rPr>
                <w:rFonts w:hint="eastAsia" w:ascii="宋体" w:hAnsi="宋体"/>
                <w:szCs w:val="21"/>
              </w:rPr>
            </w:pPr>
            <w:r>
              <w:rPr>
                <w:rFonts w:hint="eastAsia" w:ascii="宋体" w:hAnsi="宋体"/>
                <w:szCs w:val="21"/>
              </w:rPr>
              <w:t>所承担工作</w:t>
            </w:r>
          </w:p>
        </w:tc>
        <w:tc>
          <w:tcPr>
            <w:tcW w:w="2182" w:type="dxa"/>
            <w:tcBorders>
              <w:top w:val="single" w:color="auto" w:sz="4" w:space="0"/>
              <w:left w:val="single" w:color="auto" w:sz="4" w:space="0"/>
              <w:bottom w:val="single" w:color="auto" w:sz="4" w:space="0"/>
              <w:right w:val="single" w:color="auto" w:sz="4" w:space="0"/>
            </w:tcBorders>
            <w:vAlign w:val="center"/>
          </w:tcPr>
          <w:p w14:paraId="4C8C5FF6">
            <w:pPr>
              <w:tabs>
                <w:tab w:val="left" w:pos="720"/>
              </w:tabs>
              <w:snapToGrid w:val="0"/>
              <w:spacing w:line="360" w:lineRule="auto"/>
              <w:jc w:val="center"/>
              <w:rPr>
                <w:rFonts w:hint="eastAsia" w:ascii="宋体" w:hAnsi="宋体"/>
                <w:szCs w:val="21"/>
              </w:rPr>
            </w:pPr>
            <w:r>
              <w:rPr>
                <w:rFonts w:hint="eastAsia" w:ascii="宋体" w:hAnsi="宋体"/>
                <w:szCs w:val="21"/>
              </w:rPr>
              <w:t>身份证号码</w:t>
            </w:r>
          </w:p>
        </w:tc>
        <w:tc>
          <w:tcPr>
            <w:tcW w:w="1328" w:type="dxa"/>
            <w:tcBorders>
              <w:top w:val="single" w:color="auto" w:sz="4" w:space="0"/>
              <w:left w:val="single" w:color="auto" w:sz="4" w:space="0"/>
              <w:bottom w:val="single" w:color="auto" w:sz="4" w:space="0"/>
              <w:right w:val="single" w:color="auto" w:sz="4" w:space="0"/>
            </w:tcBorders>
            <w:vAlign w:val="center"/>
          </w:tcPr>
          <w:p w14:paraId="404A4B4A">
            <w:pPr>
              <w:tabs>
                <w:tab w:val="left" w:pos="720"/>
              </w:tabs>
              <w:snapToGrid w:val="0"/>
              <w:spacing w:line="360" w:lineRule="auto"/>
              <w:jc w:val="center"/>
              <w:rPr>
                <w:rFonts w:hint="eastAsia" w:ascii="宋体" w:hAnsi="宋体"/>
                <w:szCs w:val="21"/>
              </w:rPr>
            </w:pPr>
            <w:r>
              <w:rPr>
                <w:rFonts w:hint="eastAsia" w:ascii="宋体" w:hAnsi="宋体"/>
                <w:szCs w:val="21"/>
              </w:rPr>
              <w:t>本人签名栏</w:t>
            </w:r>
          </w:p>
        </w:tc>
      </w:tr>
      <w:tr w14:paraId="00142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14:paraId="4A56B08F">
            <w:pPr>
              <w:tabs>
                <w:tab w:val="left" w:pos="720"/>
              </w:tabs>
              <w:snapToGrid w:val="0"/>
              <w:spacing w:line="360" w:lineRule="auto"/>
              <w:jc w:val="center"/>
              <w:rPr>
                <w:rFonts w:hint="eastAsia"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14:paraId="7AC034F0">
            <w:pPr>
              <w:tabs>
                <w:tab w:val="left" w:pos="720"/>
              </w:tabs>
              <w:snapToGrid w:val="0"/>
              <w:spacing w:line="360" w:lineRule="auto"/>
              <w:jc w:val="center"/>
              <w:rPr>
                <w:rFonts w:hint="eastAsia"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14:paraId="3ABBD6F8">
            <w:pPr>
              <w:tabs>
                <w:tab w:val="left" w:pos="720"/>
              </w:tabs>
              <w:snapToGrid w:val="0"/>
              <w:spacing w:line="360" w:lineRule="auto"/>
              <w:jc w:val="center"/>
              <w:rPr>
                <w:rFonts w:hint="eastAsia"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14:paraId="5332C4A1">
            <w:pPr>
              <w:tabs>
                <w:tab w:val="left" w:pos="720"/>
              </w:tabs>
              <w:snapToGrid w:val="0"/>
              <w:spacing w:line="360" w:lineRule="auto"/>
              <w:jc w:val="center"/>
              <w:rPr>
                <w:rFonts w:hint="eastAsia"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5DAE3AD7">
            <w:pPr>
              <w:tabs>
                <w:tab w:val="left" w:pos="720"/>
              </w:tabs>
              <w:snapToGrid w:val="0"/>
              <w:spacing w:line="360" w:lineRule="auto"/>
              <w:jc w:val="center"/>
              <w:rPr>
                <w:rFonts w:hint="eastAsia" w:ascii="宋体" w:hAnsi="宋体"/>
                <w:szCs w:val="21"/>
              </w:rPr>
            </w:pPr>
          </w:p>
        </w:tc>
      </w:tr>
      <w:tr w14:paraId="3700B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14:paraId="20660492">
            <w:pPr>
              <w:tabs>
                <w:tab w:val="left" w:pos="720"/>
              </w:tabs>
              <w:snapToGrid w:val="0"/>
              <w:spacing w:line="360" w:lineRule="auto"/>
              <w:jc w:val="center"/>
              <w:rPr>
                <w:rFonts w:hint="eastAsia"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14:paraId="04CA151C">
            <w:pPr>
              <w:tabs>
                <w:tab w:val="left" w:pos="720"/>
              </w:tabs>
              <w:snapToGrid w:val="0"/>
              <w:spacing w:line="360" w:lineRule="auto"/>
              <w:jc w:val="center"/>
              <w:rPr>
                <w:rFonts w:hint="eastAsia"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14:paraId="57987989">
            <w:pPr>
              <w:tabs>
                <w:tab w:val="left" w:pos="720"/>
              </w:tabs>
              <w:snapToGrid w:val="0"/>
              <w:spacing w:line="360" w:lineRule="auto"/>
              <w:jc w:val="center"/>
              <w:rPr>
                <w:rFonts w:hint="eastAsia"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14:paraId="0F7B569D">
            <w:pPr>
              <w:tabs>
                <w:tab w:val="left" w:pos="720"/>
              </w:tabs>
              <w:snapToGrid w:val="0"/>
              <w:spacing w:line="360" w:lineRule="auto"/>
              <w:jc w:val="center"/>
              <w:rPr>
                <w:rFonts w:hint="eastAsia"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09B67059">
            <w:pPr>
              <w:tabs>
                <w:tab w:val="left" w:pos="720"/>
              </w:tabs>
              <w:snapToGrid w:val="0"/>
              <w:spacing w:line="360" w:lineRule="auto"/>
              <w:jc w:val="center"/>
              <w:rPr>
                <w:rFonts w:hint="eastAsia" w:ascii="宋体" w:hAnsi="宋体"/>
                <w:szCs w:val="21"/>
              </w:rPr>
            </w:pPr>
          </w:p>
        </w:tc>
      </w:tr>
      <w:tr w14:paraId="3BEBD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14:paraId="31D3CCA6">
            <w:pPr>
              <w:tabs>
                <w:tab w:val="left" w:pos="720"/>
              </w:tabs>
              <w:snapToGrid w:val="0"/>
              <w:spacing w:line="360" w:lineRule="auto"/>
              <w:jc w:val="center"/>
              <w:rPr>
                <w:rFonts w:hint="eastAsia"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14:paraId="255EC80F">
            <w:pPr>
              <w:tabs>
                <w:tab w:val="left" w:pos="720"/>
              </w:tabs>
              <w:snapToGrid w:val="0"/>
              <w:spacing w:line="360" w:lineRule="auto"/>
              <w:jc w:val="center"/>
              <w:rPr>
                <w:rFonts w:hint="eastAsia"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14:paraId="402DB36D">
            <w:pPr>
              <w:tabs>
                <w:tab w:val="left" w:pos="720"/>
              </w:tabs>
              <w:snapToGrid w:val="0"/>
              <w:spacing w:line="360" w:lineRule="auto"/>
              <w:jc w:val="center"/>
              <w:rPr>
                <w:rFonts w:hint="eastAsia"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14:paraId="34493D7B">
            <w:pPr>
              <w:tabs>
                <w:tab w:val="left" w:pos="720"/>
              </w:tabs>
              <w:snapToGrid w:val="0"/>
              <w:spacing w:line="360" w:lineRule="auto"/>
              <w:jc w:val="center"/>
              <w:rPr>
                <w:rFonts w:hint="eastAsia"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78C86C33">
            <w:pPr>
              <w:tabs>
                <w:tab w:val="left" w:pos="720"/>
              </w:tabs>
              <w:snapToGrid w:val="0"/>
              <w:spacing w:line="360" w:lineRule="auto"/>
              <w:jc w:val="center"/>
              <w:rPr>
                <w:rFonts w:hint="eastAsia" w:ascii="宋体" w:hAnsi="宋体"/>
                <w:szCs w:val="21"/>
              </w:rPr>
            </w:pPr>
          </w:p>
        </w:tc>
      </w:tr>
      <w:tr w14:paraId="4D772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14:paraId="62783EEC">
            <w:pPr>
              <w:tabs>
                <w:tab w:val="left" w:pos="720"/>
              </w:tabs>
              <w:snapToGrid w:val="0"/>
              <w:spacing w:line="360" w:lineRule="auto"/>
              <w:jc w:val="center"/>
              <w:rPr>
                <w:rFonts w:hint="eastAsia"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14:paraId="3A12C4B1">
            <w:pPr>
              <w:tabs>
                <w:tab w:val="left" w:pos="720"/>
              </w:tabs>
              <w:snapToGrid w:val="0"/>
              <w:spacing w:line="360" w:lineRule="auto"/>
              <w:jc w:val="center"/>
              <w:rPr>
                <w:rFonts w:hint="eastAsia"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14:paraId="7D1095C9">
            <w:pPr>
              <w:tabs>
                <w:tab w:val="left" w:pos="720"/>
              </w:tabs>
              <w:snapToGrid w:val="0"/>
              <w:spacing w:line="360" w:lineRule="auto"/>
              <w:jc w:val="center"/>
              <w:rPr>
                <w:rFonts w:hint="eastAsia"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14:paraId="004F37E9">
            <w:pPr>
              <w:tabs>
                <w:tab w:val="left" w:pos="720"/>
              </w:tabs>
              <w:snapToGrid w:val="0"/>
              <w:spacing w:line="360" w:lineRule="auto"/>
              <w:jc w:val="center"/>
              <w:rPr>
                <w:rFonts w:hint="eastAsia"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7A208ABB">
            <w:pPr>
              <w:tabs>
                <w:tab w:val="left" w:pos="720"/>
              </w:tabs>
              <w:snapToGrid w:val="0"/>
              <w:spacing w:line="360" w:lineRule="auto"/>
              <w:jc w:val="center"/>
              <w:rPr>
                <w:rFonts w:hint="eastAsia" w:ascii="宋体" w:hAnsi="宋体"/>
                <w:szCs w:val="21"/>
              </w:rPr>
            </w:pPr>
          </w:p>
        </w:tc>
      </w:tr>
      <w:tr w14:paraId="754DC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14:paraId="6ECA4C97">
            <w:pPr>
              <w:tabs>
                <w:tab w:val="left" w:pos="720"/>
              </w:tabs>
              <w:snapToGrid w:val="0"/>
              <w:spacing w:line="360" w:lineRule="auto"/>
              <w:jc w:val="center"/>
              <w:rPr>
                <w:rFonts w:hint="eastAsia"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14:paraId="61E93171">
            <w:pPr>
              <w:tabs>
                <w:tab w:val="left" w:pos="720"/>
              </w:tabs>
              <w:snapToGrid w:val="0"/>
              <w:spacing w:line="360" w:lineRule="auto"/>
              <w:jc w:val="center"/>
              <w:rPr>
                <w:rFonts w:hint="eastAsia"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14:paraId="4A1AAE2B">
            <w:pPr>
              <w:tabs>
                <w:tab w:val="left" w:pos="720"/>
              </w:tabs>
              <w:snapToGrid w:val="0"/>
              <w:spacing w:line="360" w:lineRule="auto"/>
              <w:jc w:val="center"/>
              <w:rPr>
                <w:rFonts w:hint="eastAsia"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14:paraId="7C987398">
            <w:pPr>
              <w:tabs>
                <w:tab w:val="left" w:pos="720"/>
              </w:tabs>
              <w:snapToGrid w:val="0"/>
              <w:spacing w:line="360" w:lineRule="auto"/>
              <w:jc w:val="center"/>
              <w:rPr>
                <w:rFonts w:hint="eastAsia"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7F979576">
            <w:pPr>
              <w:tabs>
                <w:tab w:val="left" w:pos="720"/>
              </w:tabs>
              <w:snapToGrid w:val="0"/>
              <w:spacing w:line="360" w:lineRule="auto"/>
              <w:jc w:val="center"/>
              <w:rPr>
                <w:rFonts w:hint="eastAsia" w:ascii="宋体" w:hAnsi="宋体"/>
                <w:szCs w:val="21"/>
              </w:rPr>
            </w:pPr>
          </w:p>
        </w:tc>
      </w:tr>
      <w:tr w14:paraId="722F8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14:paraId="446ADD57">
            <w:pPr>
              <w:tabs>
                <w:tab w:val="left" w:pos="720"/>
              </w:tabs>
              <w:snapToGrid w:val="0"/>
              <w:spacing w:line="360" w:lineRule="auto"/>
              <w:jc w:val="center"/>
              <w:rPr>
                <w:rFonts w:hint="eastAsia"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14:paraId="52BA209B">
            <w:pPr>
              <w:tabs>
                <w:tab w:val="left" w:pos="720"/>
              </w:tabs>
              <w:snapToGrid w:val="0"/>
              <w:spacing w:line="360" w:lineRule="auto"/>
              <w:jc w:val="center"/>
              <w:rPr>
                <w:rFonts w:hint="eastAsia"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14:paraId="4981B785">
            <w:pPr>
              <w:tabs>
                <w:tab w:val="left" w:pos="720"/>
              </w:tabs>
              <w:snapToGrid w:val="0"/>
              <w:spacing w:line="360" w:lineRule="auto"/>
              <w:jc w:val="center"/>
              <w:rPr>
                <w:rFonts w:hint="eastAsia"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14:paraId="106A41A9">
            <w:pPr>
              <w:tabs>
                <w:tab w:val="left" w:pos="720"/>
              </w:tabs>
              <w:snapToGrid w:val="0"/>
              <w:spacing w:line="360" w:lineRule="auto"/>
              <w:jc w:val="center"/>
              <w:rPr>
                <w:rFonts w:hint="eastAsia"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5765A9CA">
            <w:pPr>
              <w:tabs>
                <w:tab w:val="left" w:pos="720"/>
              </w:tabs>
              <w:snapToGrid w:val="0"/>
              <w:spacing w:line="360" w:lineRule="auto"/>
              <w:jc w:val="center"/>
              <w:rPr>
                <w:rFonts w:hint="eastAsia" w:ascii="宋体" w:hAnsi="宋体"/>
                <w:szCs w:val="21"/>
              </w:rPr>
            </w:pPr>
          </w:p>
        </w:tc>
      </w:tr>
      <w:tr w14:paraId="0FBBA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14:paraId="24B98754">
            <w:pPr>
              <w:tabs>
                <w:tab w:val="left" w:pos="720"/>
              </w:tabs>
              <w:snapToGrid w:val="0"/>
              <w:spacing w:line="360" w:lineRule="auto"/>
              <w:jc w:val="center"/>
              <w:rPr>
                <w:rFonts w:hint="eastAsia"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14:paraId="7C8966F9">
            <w:pPr>
              <w:tabs>
                <w:tab w:val="left" w:pos="720"/>
              </w:tabs>
              <w:snapToGrid w:val="0"/>
              <w:spacing w:line="360" w:lineRule="auto"/>
              <w:jc w:val="center"/>
              <w:rPr>
                <w:rFonts w:hint="eastAsia"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14:paraId="3E4046E8">
            <w:pPr>
              <w:tabs>
                <w:tab w:val="left" w:pos="720"/>
              </w:tabs>
              <w:snapToGrid w:val="0"/>
              <w:spacing w:line="360" w:lineRule="auto"/>
              <w:jc w:val="center"/>
              <w:rPr>
                <w:rFonts w:hint="eastAsia"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14:paraId="42ED1436">
            <w:pPr>
              <w:tabs>
                <w:tab w:val="left" w:pos="720"/>
              </w:tabs>
              <w:snapToGrid w:val="0"/>
              <w:spacing w:line="360" w:lineRule="auto"/>
              <w:jc w:val="center"/>
              <w:rPr>
                <w:rFonts w:hint="eastAsia"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1C2D44F8">
            <w:pPr>
              <w:tabs>
                <w:tab w:val="left" w:pos="720"/>
              </w:tabs>
              <w:snapToGrid w:val="0"/>
              <w:spacing w:line="360" w:lineRule="auto"/>
              <w:jc w:val="center"/>
              <w:rPr>
                <w:rFonts w:hint="eastAsia" w:ascii="宋体" w:hAnsi="宋体"/>
                <w:szCs w:val="21"/>
              </w:rPr>
            </w:pPr>
          </w:p>
        </w:tc>
      </w:tr>
      <w:tr w14:paraId="22DE5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14:paraId="2C05861B">
            <w:pPr>
              <w:tabs>
                <w:tab w:val="left" w:pos="720"/>
              </w:tabs>
              <w:snapToGrid w:val="0"/>
              <w:spacing w:line="360" w:lineRule="auto"/>
              <w:jc w:val="center"/>
              <w:rPr>
                <w:rFonts w:hint="eastAsia"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14:paraId="6AF688DB">
            <w:pPr>
              <w:tabs>
                <w:tab w:val="left" w:pos="720"/>
              </w:tabs>
              <w:snapToGrid w:val="0"/>
              <w:spacing w:line="360" w:lineRule="auto"/>
              <w:jc w:val="center"/>
              <w:rPr>
                <w:rFonts w:hint="eastAsia"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14:paraId="0EED2B9A">
            <w:pPr>
              <w:tabs>
                <w:tab w:val="left" w:pos="720"/>
              </w:tabs>
              <w:snapToGrid w:val="0"/>
              <w:spacing w:line="360" w:lineRule="auto"/>
              <w:jc w:val="center"/>
              <w:rPr>
                <w:rFonts w:hint="eastAsia"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14:paraId="3BAE781B">
            <w:pPr>
              <w:tabs>
                <w:tab w:val="left" w:pos="720"/>
              </w:tabs>
              <w:snapToGrid w:val="0"/>
              <w:spacing w:line="360" w:lineRule="auto"/>
              <w:jc w:val="center"/>
              <w:rPr>
                <w:rFonts w:hint="eastAsia"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2F427063">
            <w:pPr>
              <w:tabs>
                <w:tab w:val="left" w:pos="720"/>
              </w:tabs>
              <w:snapToGrid w:val="0"/>
              <w:spacing w:line="360" w:lineRule="auto"/>
              <w:jc w:val="center"/>
              <w:rPr>
                <w:rFonts w:hint="eastAsia" w:ascii="宋体" w:hAnsi="宋体"/>
                <w:szCs w:val="21"/>
              </w:rPr>
            </w:pPr>
          </w:p>
        </w:tc>
      </w:tr>
    </w:tbl>
    <w:p w14:paraId="45F78B90">
      <w:pPr>
        <w:pStyle w:val="5"/>
        <w:spacing w:after="0" w:line="360" w:lineRule="auto"/>
        <w:ind w:left="-2" w:leftChars="-1" w:firstLine="367" w:firstLineChars="175"/>
        <w:jc w:val="left"/>
        <w:rPr>
          <w:szCs w:val="21"/>
        </w:rPr>
      </w:pPr>
      <w:r>
        <w:rPr>
          <w:rFonts w:hint="eastAsia"/>
          <w:szCs w:val="21"/>
        </w:rPr>
        <w:t>注：参与编制投标文件所有人员名单应包括如编制技术投标方案、编制各种专业工程量清单投标报价、负责清样校对、负责打印及复印等所有人员在内的人员名单。</w:t>
      </w:r>
    </w:p>
    <w:p w14:paraId="44B1EBF4">
      <w:pPr>
        <w:widowControl/>
        <w:jc w:val="left"/>
      </w:pPr>
    </w:p>
    <w:p w14:paraId="78B5C4E8">
      <w:pPr>
        <w:autoSpaceDE w:val="0"/>
        <w:autoSpaceDN w:val="0"/>
        <w:adjustRightInd w:val="0"/>
        <w:rPr>
          <w:bCs/>
          <w:sz w:val="28"/>
          <w:szCs w:val="28"/>
        </w:rPr>
      </w:pPr>
      <w:r>
        <w:rPr>
          <w:rFonts w:hint="eastAsia"/>
          <w:b/>
          <w:sz w:val="28"/>
          <w:szCs w:val="28"/>
        </w:rPr>
        <w:t>格式五</w:t>
      </w:r>
    </w:p>
    <w:p w14:paraId="704FED3E">
      <w:pPr>
        <w:tabs>
          <w:tab w:val="left" w:pos="720"/>
        </w:tabs>
        <w:snapToGrid w:val="0"/>
        <w:spacing w:line="360" w:lineRule="auto"/>
        <w:jc w:val="center"/>
        <w:rPr>
          <w:b/>
          <w:sz w:val="32"/>
          <w:szCs w:val="32"/>
          <w:lang w:val="zh-CN"/>
        </w:rPr>
      </w:pPr>
      <w:bookmarkStart w:id="99" w:name="_Toc29953"/>
      <w:bookmarkStart w:id="100" w:name="_Toc10641"/>
    </w:p>
    <w:bookmarkEnd w:id="99"/>
    <w:bookmarkEnd w:id="100"/>
    <w:p w14:paraId="454D5231">
      <w:pPr>
        <w:pStyle w:val="5"/>
        <w:spacing w:after="0" w:line="360" w:lineRule="auto"/>
        <w:ind w:firstLine="0"/>
        <w:jc w:val="center"/>
        <w:rPr>
          <w:sz w:val="32"/>
          <w:szCs w:val="32"/>
        </w:rPr>
      </w:pPr>
      <w:r>
        <w:rPr>
          <w:rFonts w:hint="eastAsia"/>
          <w:b/>
          <w:sz w:val="32"/>
          <w:szCs w:val="32"/>
        </w:rPr>
        <w:t>对投标文件编制的承诺</w:t>
      </w:r>
    </w:p>
    <w:p w14:paraId="42570694">
      <w:pPr>
        <w:pStyle w:val="5"/>
        <w:spacing w:after="0" w:line="360" w:lineRule="auto"/>
        <w:ind w:left="-2" w:leftChars="-1" w:firstLine="540" w:firstLineChars="225"/>
        <w:rPr>
          <w:rFonts w:hint="eastAsia" w:ascii="宋体" w:hAnsi="宋体"/>
          <w:sz w:val="24"/>
          <w:szCs w:val="24"/>
        </w:rPr>
      </w:pPr>
      <w:r>
        <w:rPr>
          <w:rFonts w:hint="eastAsia" w:ascii="宋体" w:hAnsi="宋体"/>
          <w:sz w:val="24"/>
          <w:szCs w:val="24"/>
        </w:rPr>
        <w:t>本公司授权</w:t>
      </w:r>
      <w:r>
        <w:rPr>
          <w:rFonts w:hint="eastAsia" w:ascii="宋体" w:hAnsi="宋体"/>
          <w:sz w:val="24"/>
          <w:szCs w:val="24"/>
          <w:u w:val="single"/>
        </w:rPr>
        <w:t xml:space="preserve">         （身份证号：               ）</w:t>
      </w:r>
      <w:r>
        <w:rPr>
          <w:rFonts w:hint="eastAsia" w:ascii="宋体" w:hAnsi="宋体"/>
          <w:sz w:val="24"/>
          <w:szCs w:val="24"/>
        </w:rPr>
        <w:t>负责对投标文件的编制及内容进行解释、说明，并承诺以下事项：</w:t>
      </w:r>
    </w:p>
    <w:p w14:paraId="1FA4415F">
      <w:pPr>
        <w:pStyle w:val="5"/>
        <w:spacing w:after="0" w:line="360" w:lineRule="auto"/>
        <w:ind w:left="-2" w:leftChars="-1" w:firstLine="540" w:firstLineChars="225"/>
        <w:rPr>
          <w:rFonts w:hint="eastAsia" w:ascii="宋体" w:hAnsi="宋体"/>
          <w:sz w:val="24"/>
          <w:szCs w:val="24"/>
        </w:rPr>
      </w:pPr>
      <w:r>
        <w:rPr>
          <w:rFonts w:hint="eastAsia" w:ascii="宋体" w:hAnsi="宋体"/>
          <w:sz w:val="24"/>
          <w:szCs w:val="24"/>
        </w:rPr>
        <w:t>1.被授权人清楚投标文件编制的具体情况，包括技术方案文件、工程量清单、以及投标文件的加密打包的理解；</w:t>
      </w:r>
    </w:p>
    <w:p w14:paraId="7B6C98AC">
      <w:pPr>
        <w:pStyle w:val="5"/>
        <w:spacing w:after="0" w:line="360" w:lineRule="auto"/>
        <w:ind w:left="-2" w:leftChars="-1" w:firstLine="540" w:firstLineChars="225"/>
        <w:rPr>
          <w:rFonts w:hint="eastAsia" w:ascii="宋体" w:hAnsi="宋体"/>
          <w:sz w:val="24"/>
          <w:szCs w:val="24"/>
        </w:rPr>
      </w:pPr>
      <w:r>
        <w:rPr>
          <w:rFonts w:hint="eastAsia" w:ascii="宋体" w:hAnsi="宋体"/>
          <w:sz w:val="24"/>
          <w:szCs w:val="24"/>
        </w:rPr>
        <w:t>2.在本项目开标至评标结束前，努力确保被授权人在项目评标所在地附近；</w:t>
      </w:r>
    </w:p>
    <w:p w14:paraId="102A0369">
      <w:pPr>
        <w:pStyle w:val="5"/>
        <w:spacing w:after="0" w:line="360" w:lineRule="auto"/>
        <w:ind w:left="-2" w:leftChars="-1" w:firstLine="540" w:firstLineChars="225"/>
        <w:rPr>
          <w:rFonts w:hint="eastAsia" w:ascii="宋体" w:hAnsi="宋体"/>
          <w:sz w:val="24"/>
          <w:szCs w:val="24"/>
        </w:rPr>
      </w:pPr>
      <w:r>
        <w:rPr>
          <w:rFonts w:hint="eastAsia" w:ascii="宋体" w:hAnsi="宋体"/>
          <w:sz w:val="24"/>
          <w:szCs w:val="24"/>
        </w:rPr>
        <w:t>3.从评标委员会要求澄清起二小时内，被授权人应如实地书面澄清。</w:t>
      </w:r>
    </w:p>
    <w:p w14:paraId="36D18F9D">
      <w:pPr>
        <w:pStyle w:val="5"/>
        <w:spacing w:after="0" w:line="360" w:lineRule="auto"/>
        <w:ind w:left="-2" w:leftChars="-1" w:firstLine="540" w:firstLineChars="225"/>
        <w:rPr>
          <w:rFonts w:hint="eastAsia" w:ascii="宋体" w:hAnsi="宋体"/>
          <w:sz w:val="24"/>
          <w:szCs w:val="24"/>
        </w:rPr>
      </w:pPr>
      <w:r>
        <w:rPr>
          <w:rFonts w:hint="eastAsia" w:ascii="宋体" w:hAnsi="宋体"/>
          <w:sz w:val="24"/>
          <w:szCs w:val="24"/>
        </w:rPr>
        <w:t xml:space="preserve">如由于未遵守上述承诺内容之一导致无法进行澄清的，我公司认可和接受评标委员会作出的评审结论。                                 </w:t>
      </w:r>
    </w:p>
    <w:p w14:paraId="207F43EB">
      <w:pPr>
        <w:pStyle w:val="5"/>
        <w:spacing w:after="0" w:line="360" w:lineRule="auto"/>
        <w:ind w:firstLine="360" w:firstLineChars="150"/>
        <w:rPr>
          <w:rFonts w:hint="eastAsia" w:ascii="宋体" w:hAnsi="宋体"/>
          <w:sz w:val="24"/>
          <w:szCs w:val="24"/>
        </w:rPr>
      </w:pPr>
      <w:r>
        <w:rPr>
          <w:rFonts w:hint="eastAsia" w:ascii="宋体" w:hAnsi="宋体"/>
          <w:sz w:val="24"/>
          <w:szCs w:val="24"/>
        </w:rPr>
        <w:t xml:space="preserve"> </w:t>
      </w:r>
    </w:p>
    <w:p w14:paraId="4D5D4598">
      <w:pPr>
        <w:pStyle w:val="5"/>
        <w:spacing w:after="0" w:line="360" w:lineRule="auto"/>
        <w:ind w:firstLine="480" w:firstLineChars="200"/>
        <w:rPr>
          <w:rFonts w:hint="eastAsia" w:ascii="宋体" w:hAnsi="宋体"/>
          <w:sz w:val="24"/>
          <w:szCs w:val="24"/>
        </w:rPr>
      </w:pPr>
      <w:r>
        <w:rPr>
          <w:rFonts w:hint="eastAsia" w:ascii="宋体" w:hAnsi="宋体"/>
          <w:sz w:val="24"/>
          <w:szCs w:val="24"/>
        </w:rPr>
        <w:t>附件：《投标文件编制情况》</w:t>
      </w:r>
    </w:p>
    <w:p w14:paraId="0E43AD0A">
      <w:pPr>
        <w:spacing w:line="360" w:lineRule="auto"/>
        <w:ind w:right="90" w:firstLine="3240" w:firstLineChars="1350"/>
        <w:rPr>
          <w:rFonts w:hint="eastAsia" w:ascii="宋体" w:hAnsi="宋体"/>
          <w:sz w:val="24"/>
          <w:szCs w:val="24"/>
          <w:u w:val="single"/>
        </w:rPr>
      </w:pPr>
      <w:r>
        <w:rPr>
          <w:rFonts w:hint="eastAsia" w:ascii="宋体" w:hAnsi="宋体"/>
          <w:sz w:val="24"/>
          <w:szCs w:val="24"/>
        </w:rPr>
        <w:t xml:space="preserve"> 投标人名称：</w:t>
      </w:r>
      <w:r>
        <w:rPr>
          <w:rFonts w:hint="eastAsia" w:ascii="宋体" w:hAnsi="宋体"/>
          <w:sz w:val="24"/>
          <w:szCs w:val="24"/>
          <w:u w:val="single"/>
        </w:rPr>
        <w:t xml:space="preserve">                  </w:t>
      </w:r>
    </w:p>
    <w:p w14:paraId="555223C9">
      <w:pPr>
        <w:spacing w:line="360" w:lineRule="auto"/>
        <w:ind w:firstLine="4440" w:firstLineChars="1850"/>
        <w:jc w:val="center"/>
        <w:rPr>
          <w:sz w:val="24"/>
          <w:szCs w:val="24"/>
        </w:rPr>
      </w:pPr>
      <w:r>
        <w:rPr>
          <w:rFonts w:hint="eastAsia"/>
          <w:sz w:val="24"/>
          <w:szCs w:val="24"/>
        </w:rPr>
        <w:t xml:space="preserve"> 日期：      年   月   日 </w:t>
      </w:r>
      <w:r>
        <w:rPr>
          <w:rFonts w:hint="eastAsia"/>
          <w:sz w:val="18"/>
          <w:szCs w:val="18"/>
        </w:rPr>
        <w:t xml:space="preserve"> </w:t>
      </w:r>
      <w:r>
        <w:rPr>
          <w:rFonts w:hint="eastAsia"/>
          <w:sz w:val="24"/>
          <w:szCs w:val="24"/>
        </w:rPr>
        <w:t xml:space="preserve">    </w:t>
      </w:r>
    </w:p>
    <w:p w14:paraId="4B33B6FA">
      <w:pPr>
        <w:pStyle w:val="5"/>
        <w:spacing w:after="0"/>
        <w:ind w:firstLine="0"/>
        <w:rPr>
          <w:b/>
          <w:sz w:val="32"/>
          <w:szCs w:val="32"/>
        </w:rPr>
      </w:pPr>
    </w:p>
    <w:p w14:paraId="19FF704F">
      <w:pPr>
        <w:pStyle w:val="5"/>
        <w:spacing w:after="0" w:line="360" w:lineRule="auto"/>
        <w:ind w:firstLine="643" w:firstLineChars="200"/>
        <w:jc w:val="center"/>
        <w:rPr>
          <w:sz w:val="18"/>
          <w:szCs w:val="18"/>
        </w:rPr>
      </w:pPr>
      <w:r>
        <w:rPr>
          <w:rFonts w:hint="eastAsia"/>
          <w:b/>
          <w:sz w:val="32"/>
          <w:szCs w:val="32"/>
        </w:rPr>
        <w:t>投标文件编制情况</w:t>
      </w:r>
    </w:p>
    <w:p w14:paraId="77845838">
      <w:pPr>
        <w:pStyle w:val="5"/>
        <w:spacing w:after="0" w:line="360" w:lineRule="auto"/>
        <w:ind w:firstLine="480" w:firstLineChars="200"/>
        <w:rPr>
          <w:rFonts w:hint="eastAsia" w:ascii="宋体" w:hAnsi="宋体"/>
          <w:sz w:val="24"/>
          <w:szCs w:val="24"/>
          <w:u w:val="single"/>
        </w:rPr>
      </w:pPr>
      <w:r>
        <w:rPr>
          <w:rFonts w:hint="eastAsia" w:ascii="宋体" w:hAnsi="宋体"/>
          <w:sz w:val="24"/>
          <w:szCs w:val="24"/>
        </w:rPr>
        <w:t>1.投标文件报价编制方式: □自行编制的，编制的负责人：</w:t>
      </w:r>
      <w:r>
        <w:rPr>
          <w:rFonts w:hint="eastAsia" w:ascii="宋体" w:hAnsi="宋体"/>
          <w:sz w:val="24"/>
          <w:szCs w:val="24"/>
          <w:u w:val="single"/>
        </w:rPr>
        <w:t xml:space="preserve"> （盖造价工程师执业专用章或全国建设工程造价员章，执业单位应与投标人一致） </w:t>
      </w:r>
      <w:r>
        <w:rPr>
          <w:rFonts w:hint="eastAsia" w:ascii="宋体" w:hAnsi="宋体"/>
          <w:sz w:val="24"/>
          <w:szCs w:val="24"/>
        </w:rPr>
        <w:t>。□委托编制的，受委托单位</w:t>
      </w:r>
      <w:r>
        <w:rPr>
          <w:rFonts w:hint="eastAsia" w:ascii="宋体" w:hAnsi="宋体"/>
          <w:sz w:val="24"/>
          <w:szCs w:val="24"/>
          <w:u w:val="single"/>
        </w:rPr>
        <w:t xml:space="preserve">                    </w:t>
      </w:r>
      <w:r>
        <w:rPr>
          <w:rFonts w:hint="eastAsia" w:ascii="宋体" w:hAnsi="宋体"/>
          <w:sz w:val="24"/>
          <w:szCs w:val="24"/>
        </w:rPr>
        <w:t>，编制的负责人：</w:t>
      </w:r>
      <w:r>
        <w:rPr>
          <w:rFonts w:hint="eastAsia" w:ascii="宋体" w:hAnsi="宋体"/>
          <w:sz w:val="24"/>
          <w:szCs w:val="24"/>
          <w:u w:val="single"/>
        </w:rPr>
        <w:t xml:space="preserve"> （盖造价工程师执业专用章或全国建设工程造价员章，执业单位应与受委托单位一致） </w:t>
      </w:r>
      <w:r>
        <w:rPr>
          <w:rFonts w:hint="eastAsia" w:ascii="宋体" w:hAnsi="宋体"/>
          <w:sz w:val="24"/>
          <w:szCs w:val="24"/>
        </w:rPr>
        <w:t>。</w:t>
      </w:r>
    </w:p>
    <w:p w14:paraId="2B394E29">
      <w:pPr>
        <w:pStyle w:val="5"/>
        <w:spacing w:after="0" w:line="360" w:lineRule="auto"/>
        <w:ind w:firstLine="480" w:firstLineChars="200"/>
        <w:rPr>
          <w:rFonts w:hint="eastAsia" w:ascii="宋体" w:hAnsi="宋体"/>
          <w:sz w:val="24"/>
          <w:szCs w:val="24"/>
        </w:rPr>
      </w:pPr>
      <w:r>
        <w:rPr>
          <w:rFonts w:hint="eastAsia" w:ascii="宋体" w:hAnsi="宋体"/>
          <w:sz w:val="24"/>
          <w:szCs w:val="24"/>
        </w:rPr>
        <w:t>2.投标文件加密打包的电脑情况</w:t>
      </w:r>
    </w:p>
    <w:tbl>
      <w:tblPr>
        <w:tblStyle w:val="37"/>
        <w:tblW w:w="8306" w:type="dxa"/>
        <w:jc w:val="center"/>
        <w:tblLayout w:type="fixed"/>
        <w:tblCellMar>
          <w:top w:w="0" w:type="dxa"/>
          <w:left w:w="108" w:type="dxa"/>
          <w:bottom w:w="0" w:type="dxa"/>
          <w:right w:w="108" w:type="dxa"/>
        </w:tblCellMar>
      </w:tblPr>
      <w:tblGrid>
        <w:gridCol w:w="8306"/>
      </w:tblGrid>
      <w:tr w14:paraId="2E841BF3">
        <w:tblPrEx>
          <w:tblCellMar>
            <w:top w:w="0" w:type="dxa"/>
            <w:left w:w="108" w:type="dxa"/>
            <w:bottom w:w="0" w:type="dxa"/>
            <w:right w:w="108" w:type="dxa"/>
          </w:tblCellMar>
        </w:tblPrEx>
        <w:trPr>
          <w:trHeight w:val="2819" w:hRule="atLeast"/>
          <w:jc w:val="center"/>
        </w:trPr>
        <w:tc>
          <w:tcPr>
            <w:tcW w:w="8306" w:type="dxa"/>
          </w:tcPr>
          <w:p w14:paraId="50785170">
            <w:pPr>
              <w:pStyle w:val="5"/>
              <w:spacing w:after="0" w:line="360" w:lineRule="auto"/>
              <w:ind w:firstLine="0"/>
              <w:rPr>
                <w:rFonts w:hint="eastAsia" w:ascii="宋体" w:hAnsi="宋体"/>
                <w:sz w:val="24"/>
                <w:szCs w:val="24"/>
              </w:rPr>
            </w:pPr>
            <w:r>
              <w:rPr>
                <w:rFonts w:hint="eastAsia" w:ascii="宋体" w:hAnsi="宋体"/>
                <w:sz w:val="24"/>
                <w:szCs w:val="24"/>
              </w:rPr>
              <w:t>投标文件加密打包的电脑     自有    □      外包    □     其他    □</w:t>
            </w:r>
          </w:p>
          <w:p w14:paraId="32D907A9">
            <w:pPr>
              <w:pStyle w:val="5"/>
              <w:spacing w:after="0" w:line="360" w:lineRule="auto"/>
              <w:ind w:firstLine="0"/>
              <w:rPr>
                <w:rFonts w:hint="eastAsia" w:ascii="宋体" w:hAnsi="宋体"/>
                <w:sz w:val="24"/>
                <w:szCs w:val="24"/>
              </w:rPr>
            </w:pPr>
            <w:r>
              <w:rPr>
                <w:rFonts w:hint="eastAsia" w:ascii="宋体" w:hAnsi="宋体"/>
                <w:sz w:val="24"/>
                <w:szCs w:val="24"/>
              </w:rPr>
              <w:t>电脑类型</w:t>
            </w:r>
          </w:p>
          <w:p w14:paraId="4B07AD4B">
            <w:pPr>
              <w:pStyle w:val="5"/>
              <w:spacing w:after="0" w:line="360" w:lineRule="auto"/>
              <w:ind w:firstLine="0"/>
              <w:rPr>
                <w:rFonts w:hint="eastAsia" w:ascii="宋体" w:hAnsi="宋体"/>
                <w:sz w:val="24"/>
                <w:szCs w:val="24"/>
              </w:rPr>
            </w:pPr>
            <w:r>
              <w:rPr>
                <w:rFonts w:hint="eastAsia" w:ascii="宋体" w:hAnsi="宋体"/>
                <w:sz w:val="24"/>
                <w:szCs w:val="24"/>
              </w:rPr>
              <w:t>电脑所属单位</w:t>
            </w:r>
          </w:p>
          <w:p w14:paraId="008FFA5B">
            <w:pPr>
              <w:pStyle w:val="5"/>
              <w:spacing w:after="0" w:line="360" w:lineRule="auto"/>
              <w:ind w:firstLine="0"/>
              <w:rPr>
                <w:rFonts w:hint="eastAsia" w:ascii="宋体" w:hAnsi="宋体"/>
                <w:sz w:val="24"/>
                <w:szCs w:val="24"/>
              </w:rPr>
            </w:pPr>
            <w:r>
              <w:rPr>
                <w:rFonts w:hint="eastAsia" w:ascii="宋体" w:hAnsi="宋体"/>
                <w:sz w:val="24"/>
                <w:szCs w:val="24"/>
              </w:rPr>
              <w:t>电脑所在地址        （如××市××区(县) ××街（路）××号××大厦××房）</w:t>
            </w:r>
          </w:p>
        </w:tc>
      </w:tr>
    </w:tbl>
    <w:p w14:paraId="1D30F72C">
      <w:pPr>
        <w:autoSpaceDE w:val="0"/>
        <w:autoSpaceDN w:val="0"/>
        <w:adjustRightInd w:val="0"/>
        <w:rPr>
          <w:bCs/>
          <w:sz w:val="28"/>
          <w:szCs w:val="28"/>
        </w:rPr>
      </w:pPr>
      <w:bookmarkStart w:id="101" w:name="_Toc21525513"/>
      <w:bookmarkStart w:id="102" w:name="_Toc15835"/>
      <w:bookmarkStart w:id="103" w:name="_Toc2272568"/>
      <w:r>
        <w:rPr>
          <w:rFonts w:hint="eastAsia"/>
          <w:bCs/>
          <w:sz w:val="28"/>
          <w:szCs w:val="28"/>
        </w:rPr>
        <w:br w:type="page"/>
      </w:r>
    </w:p>
    <w:p w14:paraId="7A87134F">
      <w:pPr>
        <w:autoSpaceDE w:val="0"/>
        <w:autoSpaceDN w:val="0"/>
        <w:adjustRightInd w:val="0"/>
        <w:rPr>
          <w:b/>
          <w:sz w:val="28"/>
          <w:szCs w:val="28"/>
        </w:rPr>
      </w:pPr>
      <w:r>
        <w:rPr>
          <w:rFonts w:hint="eastAsia"/>
          <w:b/>
          <w:sz w:val="28"/>
          <w:szCs w:val="28"/>
        </w:rPr>
        <w:t>格式六</w:t>
      </w:r>
    </w:p>
    <w:p w14:paraId="2AFCA85C">
      <w:pPr>
        <w:pStyle w:val="33"/>
        <w:spacing w:before="120" w:beforeLines="50" w:beforeAutospacing="0" w:after="120" w:afterLines="50" w:afterAutospacing="0" w:line="360" w:lineRule="auto"/>
        <w:ind w:firstLine="482"/>
        <w:jc w:val="center"/>
        <w:rPr>
          <w:rFonts w:hint="eastAsia"/>
          <w:b/>
          <w:bCs/>
          <w:sz w:val="32"/>
          <w:szCs w:val="32"/>
        </w:rPr>
      </w:pPr>
      <w:r>
        <w:rPr>
          <w:rFonts w:hint="eastAsia" w:eastAsia="宋体"/>
          <w:b/>
          <w:bCs/>
          <w:sz w:val="32"/>
          <w:szCs w:val="32"/>
        </w:rPr>
        <w:t>投标人廉洁承诺书</w:t>
      </w:r>
    </w:p>
    <w:p w14:paraId="39D3ADCF">
      <w:pPr>
        <w:pStyle w:val="2"/>
        <w:spacing w:line="360" w:lineRule="auto"/>
        <w:ind w:right="420"/>
        <w:rPr>
          <w:rFonts w:hint="eastAsia" w:hAnsi="宋体" w:cs="宋体"/>
          <w:szCs w:val="21"/>
        </w:rPr>
      </w:pPr>
      <w:r>
        <w:rPr>
          <w:rFonts w:hint="eastAsia" w:hAnsi="宋体" w:cs="宋体"/>
          <w:szCs w:val="21"/>
        </w:rPr>
        <w:t>本招标项目招标人及招标监管机构：</w:t>
      </w:r>
    </w:p>
    <w:p w14:paraId="08BFB69E">
      <w:pPr>
        <w:pStyle w:val="2"/>
        <w:spacing w:line="360" w:lineRule="auto"/>
        <w:ind w:right="420" w:firstLine="420" w:firstLineChars="200"/>
        <w:rPr>
          <w:rFonts w:hint="eastAsia" w:hAnsi="宋体" w:cs="宋体"/>
          <w:szCs w:val="21"/>
        </w:rPr>
      </w:pPr>
      <w:r>
        <w:rPr>
          <w:rFonts w:hint="eastAsia" w:hAnsi="宋体" w:cs="宋体"/>
          <w:szCs w:val="21"/>
        </w:rPr>
        <w:t>本公司参加了</w:t>
      </w:r>
      <w:r>
        <w:rPr>
          <w:rFonts w:hint="eastAsia" w:hAnsi="宋体" w:cs="宋体"/>
          <w:szCs w:val="21"/>
          <w:u w:val="single"/>
        </w:rPr>
        <w:t xml:space="preserve">   （项目名称/标段名称）    </w:t>
      </w:r>
      <w:r>
        <w:rPr>
          <w:rFonts w:hint="eastAsia" w:hAnsi="宋体" w:cs="宋体"/>
          <w:szCs w:val="21"/>
        </w:rPr>
        <w:t>投标， 为确保招标工作的公平、公正、公开、有序进行，我们保证遵守《中华人民共和国招标投标法》、《中华人民共和国招标投标法实施条例》、《广东省实施&lt;中华人民共和国招标投标法&gt;办法》等法律法规，特承诺如下事项：</w:t>
      </w:r>
    </w:p>
    <w:p w14:paraId="3DCD8BC3">
      <w:pPr>
        <w:pStyle w:val="2"/>
        <w:spacing w:line="360" w:lineRule="auto"/>
        <w:ind w:right="420" w:firstLine="420" w:firstLineChars="200"/>
        <w:rPr>
          <w:rFonts w:hint="eastAsia" w:hAnsi="宋体" w:cs="宋体"/>
          <w:szCs w:val="21"/>
        </w:rPr>
      </w:pPr>
      <w:r>
        <w:rPr>
          <w:rFonts w:hint="eastAsia" w:hAnsi="宋体" w:cs="宋体"/>
          <w:szCs w:val="21"/>
        </w:rPr>
        <w:t>一、自觉遵守国家有关法律法规及廉洁规定。</w:t>
      </w:r>
    </w:p>
    <w:p w14:paraId="117792CE">
      <w:pPr>
        <w:pStyle w:val="2"/>
        <w:spacing w:line="360" w:lineRule="auto"/>
        <w:ind w:right="420" w:firstLine="420" w:firstLineChars="200"/>
        <w:rPr>
          <w:rFonts w:hint="eastAsia" w:hAnsi="宋体" w:cs="宋体"/>
          <w:szCs w:val="21"/>
        </w:rPr>
      </w:pPr>
      <w:r>
        <w:rPr>
          <w:rFonts w:hint="eastAsia" w:hAnsi="宋体" w:cs="宋体"/>
          <w:szCs w:val="21"/>
        </w:rPr>
        <w:t>二、不与招标单位工作人员串通投标，损害国家利益、企业利益以及他人的合法利益；</w:t>
      </w:r>
    </w:p>
    <w:p w14:paraId="3347AFF2">
      <w:pPr>
        <w:pStyle w:val="2"/>
        <w:spacing w:line="360" w:lineRule="auto"/>
        <w:ind w:right="420" w:firstLine="420" w:firstLineChars="200"/>
        <w:rPr>
          <w:rFonts w:hint="eastAsia" w:hAnsi="宋体" w:cs="宋体"/>
          <w:szCs w:val="21"/>
        </w:rPr>
      </w:pPr>
      <w:r>
        <w:rPr>
          <w:rFonts w:hint="eastAsia" w:hAnsi="宋体" w:cs="宋体"/>
          <w:szCs w:val="21"/>
        </w:rPr>
        <w:t>三、不与其他单位围标、串标，不出让投标资格，不向招标人或评标委员会成员行贿。</w:t>
      </w:r>
    </w:p>
    <w:p w14:paraId="603598D9">
      <w:pPr>
        <w:pStyle w:val="2"/>
        <w:spacing w:line="360" w:lineRule="auto"/>
        <w:ind w:right="420" w:firstLine="420" w:firstLineChars="200"/>
        <w:rPr>
          <w:rFonts w:hint="eastAsia" w:hAnsi="宋体" w:cs="宋体"/>
          <w:szCs w:val="21"/>
        </w:rPr>
      </w:pPr>
      <w:r>
        <w:rPr>
          <w:rFonts w:hint="eastAsia" w:hAnsi="宋体" w:cs="宋体"/>
          <w:szCs w:val="21"/>
        </w:rPr>
        <w:t xml:space="preserve">四、不以任何名义向参与招标、评标工作的有关人员提供高消费宴请及娱乐活动和赠送回扣、红包、礼金、购物卡、有价证券、贵重物品和好处费、感谢费等； </w:t>
      </w:r>
    </w:p>
    <w:p w14:paraId="0335B70B">
      <w:pPr>
        <w:pStyle w:val="2"/>
        <w:spacing w:line="360" w:lineRule="auto"/>
        <w:ind w:right="420" w:firstLine="420" w:firstLineChars="200"/>
        <w:rPr>
          <w:rFonts w:hint="eastAsia" w:hAnsi="宋体" w:cs="宋体"/>
          <w:szCs w:val="21"/>
        </w:rPr>
      </w:pPr>
      <w:r>
        <w:rPr>
          <w:rFonts w:hint="eastAsia" w:hAnsi="宋体" w:cs="宋体"/>
          <w:szCs w:val="21"/>
        </w:rPr>
        <w:t>五、不以任何名义为参与招标、评标工作的有关人员装修住房、婚丧嫁娶、配偶子女的工作安排以及境内外旅游等提供方便；</w:t>
      </w:r>
    </w:p>
    <w:p w14:paraId="3EBBDE4A">
      <w:pPr>
        <w:pStyle w:val="2"/>
        <w:spacing w:line="360" w:lineRule="auto"/>
        <w:ind w:right="420" w:firstLine="420" w:firstLineChars="200"/>
        <w:rPr>
          <w:rFonts w:hint="eastAsia" w:hAnsi="宋体" w:cs="宋体"/>
          <w:szCs w:val="21"/>
        </w:rPr>
      </w:pPr>
      <w:r>
        <w:rPr>
          <w:rFonts w:hint="eastAsia" w:hAnsi="宋体" w:cs="宋体"/>
          <w:szCs w:val="21"/>
        </w:rPr>
        <w:t>六、不以谋取非正当利益为目的，擅自与参与招标、评标工作的有关人员就业务问题进行私下商谈或者达成利益默契。</w:t>
      </w:r>
    </w:p>
    <w:p w14:paraId="484B86B0">
      <w:pPr>
        <w:pStyle w:val="2"/>
        <w:spacing w:line="360" w:lineRule="auto"/>
        <w:ind w:right="420" w:firstLine="420" w:firstLineChars="200"/>
        <w:rPr>
          <w:rFonts w:hint="eastAsia" w:hAnsi="宋体" w:cs="宋体"/>
          <w:szCs w:val="21"/>
        </w:rPr>
      </w:pPr>
      <w:r>
        <w:rPr>
          <w:rFonts w:hint="eastAsia" w:hAnsi="宋体" w:cs="宋体"/>
          <w:szCs w:val="21"/>
        </w:rPr>
        <w:t>本公司违反上述承诺，或本承诺陈述与事实不符，经查实，本公司愿意接受公开通报，被招标监管部门信用评价记录不良行为并扣分，并承担由此带来的法律后果。</w:t>
      </w:r>
    </w:p>
    <w:p w14:paraId="147AFB90">
      <w:pPr>
        <w:rPr>
          <w:rFonts w:hint="eastAsia" w:hAnsi="宋体" w:cs="宋体"/>
          <w:szCs w:val="21"/>
        </w:rPr>
      </w:pPr>
    </w:p>
    <w:p w14:paraId="4D116CD3">
      <w:pPr>
        <w:pStyle w:val="8"/>
        <w:rPr>
          <w:rFonts w:hint="eastAsia" w:hAnsi="宋体" w:cs="宋体"/>
          <w:szCs w:val="21"/>
        </w:rPr>
      </w:pPr>
    </w:p>
    <w:p w14:paraId="3088A642">
      <w:pPr>
        <w:spacing w:line="360" w:lineRule="auto"/>
        <w:ind w:firstLine="4200" w:firstLineChars="2000"/>
        <w:jc w:val="left"/>
      </w:pPr>
      <w:r>
        <w:rPr>
          <w:rFonts w:hint="eastAsia" w:hAnsi="宋体" w:cs="宋体"/>
          <w:szCs w:val="21"/>
        </w:rPr>
        <w:t>承诺企业：</w:t>
      </w:r>
      <w:r>
        <w:rPr>
          <w:rFonts w:hint="eastAsia" w:hAnsi="宋体" w:cs="宋体"/>
          <w:szCs w:val="21"/>
          <w:u w:val="single"/>
        </w:rPr>
        <w:t xml:space="preserve">                           </w:t>
      </w:r>
    </w:p>
    <w:p w14:paraId="055EF005">
      <w:pPr>
        <w:spacing w:line="360" w:lineRule="auto"/>
        <w:ind w:firstLine="4200" w:firstLineChars="2000"/>
        <w:jc w:val="left"/>
        <w:rPr>
          <w:rFonts w:hint="eastAsia" w:hAnsi="宋体" w:cs="宋体"/>
          <w:szCs w:val="21"/>
        </w:rPr>
      </w:pPr>
      <w:r>
        <w:rPr>
          <w:rFonts w:hint="eastAsia" w:hAnsi="宋体" w:cs="宋体"/>
          <w:szCs w:val="21"/>
        </w:rPr>
        <w:t>日期：    年    月  日</w:t>
      </w:r>
    </w:p>
    <w:p w14:paraId="262AB294">
      <w:pPr>
        <w:rPr>
          <w:rStyle w:val="63"/>
        </w:rPr>
      </w:pPr>
      <w:r>
        <w:rPr>
          <w:rStyle w:val="63"/>
          <w:rFonts w:hint="eastAsia"/>
        </w:rPr>
        <w:br w:type="page"/>
      </w:r>
    </w:p>
    <w:p w14:paraId="4F11AB89">
      <w:pPr>
        <w:pStyle w:val="3"/>
        <w:rPr>
          <w:rStyle w:val="121"/>
          <w:rFonts w:hint="eastAsia" w:ascii="宋体" w:hAnsi="宋体"/>
          <w:b w:val="0"/>
        </w:rPr>
      </w:pPr>
      <w:bookmarkStart w:id="104" w:name="_Toc28494"/>
      <w:r>
        <w:rPr>
          <w:rStyle w:val="63"/>
          <w:rFonts w:hint="eastAsia"/>
          <w:b/>
        </w:rPr>
        <w:t>第五章</w:t>
      </w:r>
      <w:r>
        <w:rPr>
          <w:rStyle w:val="63"/>
          <w:b/>
        </w:rPr>
        <w:t xml:space="preserve">  </w:t>
      </w:r>
      <w:r>
        <w:rPr>
          <w:rStyle w:val="63"/>
          <w:rFonts w:hint="eastAsia"/>
          <w:b/>
        </w:rPr>
        <w:t>技术条件</w:t>
      </w:r>
      <w:bookmarkEnd w:id="101"/>
      <w:bookmarkEnd w:id="102"/>
      <w:bookmarkEnd w:id="103"/>
      <w:bookmarkStart w:id="105" w:name="_Toc21525514"/>
      <w:bookmarkStart w:id="106" w:name="_Toc2272569"/>
      <w:bookmarkStart w:id="107" w:name="_Toc24011"/>
      <w:r>
        <w:rPr>
          <w:rFonts w:hint="eastAsia" w:ascii="宋体" w:hAnsi="宋体"/>
        </w:rPr>
        <w:t>（工程建设标准）</w:t>
      </w:r>
      <w:bookmarkEnd w:id="104"/>
    </w:p>
    <w:p w14:paraId="73EE8374">
      <w:pPr>
        <w:spacing w:line="360" w:lineRule="auto"/>
        <w:ind w:firstLine="525" w:firstLineChars="218"/>
        <w:jc w:val="center"/>
        <w:rPr>
          <w:rFonts w:hint="eastAsia" w:ascii="宋体" w:hAnsi="宋体" w:cs="宋体"/>
          <w:b/>
          <w:bCs/>
          <w:sz w:val="24"/>
          <w:szCs w:val="24"/>
        </w:rPr>
      </w:pPr>
      <w:r>
        <w:rPr>
          <w:rFonts w:hint="eastAsia" w:ascii="宋体" w:hAnsi="宋体" w:cs="宋体"/>
          <w:b/>
          <w:bCs/>
          <w:sz w:val="24"/>
          <w:szCs w:val="24"/>
        </w:rPr>
        <w:t>详见另册</w:t>
      </w:r>
    </w:p>
    <w:p w14:paraId="2035ED6E">
      <w:pPr>
        <w:spacing w:line="360" w:lineRule="auto"/>
        <w:ind w:firstLine="525" w:firstLineChars="218"/>
        <w:rPr>
          <w:rFonts w:hint="eastAsia" w:ascii="宋体" w:hAnsi="宋体" w:cs="宋体"/>
          <w:b/>
          <w:bCs/>
          <w:sz w:val="24"/>
          <w:szCs w:val="24"/>
        </w:rPr>
      </w:pPr>
      <w:r>
        <w:rPr>
          <w:rFonts w:hint="eastAsia" w:ascii="宋体" w:hAnsi="宋体" w:cs="宋体"/>
          <w:b/>
          <w:bCs/>
          <w:sz w:val="24"/>
          <w:szCs w:val="24"/>
        </w:rPr>
        <w:t>（一）技术条件要求</w:t>
      </w:r>
    </w:p>
    <w:p w14:paraId="4FE26B34">
      <w:pPr>
        <w:spacing w:line="360" w:lineRule="auto"/>
        <w:ind w:firstLine="523" w:firstLineChars="218"/>
        <w:rPr>
          <w:rFonts w:hint="eastAsia" w:ascii="宋体" w:hAnsi="宋体" w:cs="宋体"/>
          <w:sz w:val="24"/>
          <w:szCs w:val="24"/>
        </w:rPr>
      </w:pPr>
      <w:r>
        <w:rPr>
          <w:rFonts w:hint="eastAsia" w:ascii="宋体" w:hAnsi="宋体" w:cs="宋体"/>
          <w:sz w:val="24"/>
          <w:szCs w:val="24"/>
        </w:rPr>
        <w:t>1、具体按施工图纸、中华人民共和国现行技术和验收规范、图纸中规定的其它技术和验收标准、遵照招标人相关规定要求为准。</w:t>
      </w:r>
    </w:p>
    <w:p w14:paraId="3C37865A">
      <w:pPr>
        <w:spacing w:line="360" w:lineRule="auto"/>
        <w:ind w:firstLine="523" w:firstLineChars="218"/>
        <w:rPr>
          <w:rFonts w:hint="eastAsia" w:ascii="宋体" w:hAnsi="宋体" w:cs="宋体"/>
          <w:sz w:val="24"/>
          <w:szCs w:val="24"/>
        </w:rPr>
      </w:pPr>
      <w:r>
        <w:rPr>
          <w:rFonts w:hint="eastAsia" w:ascii="宋体" w:hAnsi="宋体" w:cs="宋体"/>
          <w:sz w:val="24"/>
          <w:szCs w:val="24"/>
        </w:rPr>
        <w:t>2、依据设计文件的要求，本招标工程项目的材料、设备、施工须达到中华人民共和国以及省、市或行业的工程建设标准、规范的要求。</w:t>
      </w:r>
    </w:p>
    <w:p w14:paraId="392A0A14">
      <w:pPr>
        <w:spacing w:line="360" w:lineRule="auto"/>
        <w:ind w:firstLine="523" w:firstLineChars="218"/>
        <w:rPr>
          <w:rFonts w:hint="eastAsia" w:ascii="宋体" w:hAnsi="宋体" w:cs="宋体"/>
          <w:sz w:val="24"/>
          <w:szCs w:val="24"/>
        </w:rPr>
      </w:pPr>
      <w:r>
        <w:rPr>
          <w:rFonts w:hint="eastAsia" w:ascii="宋体" w:hAnsi="宋体" w:cs="宋体"/>
          <w:sz w:val="24"/>
          <w:szCs w:val="24"/>
        </w:rPr>
        <w:t>3、施工现场建筑垃圾源头减量的具体要求和建筑垃圾综合利用产品的使用要求</w:t>
      </w:r>
    </w:p>
    <w:p w14:paraId="1CD183E0">
      <w:pPr>
        <w:spacing w:line="360" w:lineRule="auto"/>
        <w:ind w:firstLine="523" w:firstLineChars="218"/>
        <w:rPr>
          <w:rFonts w:hint="eastAsia" w:ascii="宋体" w:hAnsi="宋体" w:cs="宋体"/>
          <w:sz w:val="24"/>
          <w:szCs w:val="24"/>
        </w:rPr>
      </w:pPr>
      <w:r>
        <w:rPr>
          <w:rFonts w:hint="eastAsia" w:ascii="宋体" w:hAnsi="宋体" w:cs="宋体"/>
          <w:sz w:val="24"/>
          <w:szCs w:val="24"/>
        </w:rPr>
        <w:t>（1）工程施工单位应当编制建筑垃圾处理方案，采取污染防治措施，并在开工前报工程所在地县级人民政府建筑垃圾主管部门备案。建筑垃圾处理方案内容有调整的，应当及时报告接受备案的部门。建筑垃圾处理方案应当包括下列内容：1）工程概况和施工单位基本信息；2）建筑垃圾产生量与种类；3）建筑垃圾源头减量、分类收集、综合利用、污染防治的措施和目标；4）需要外运的建筑垃圾种类、数量与运输的时间、路线、方式和运输单位；5）建筑垃圾回填、消纳、综合利用场所名称；6）法律、法规规定的其他内容。</w:t>
      </w:r>
    </w:p>
    <w:p w14:paraId="2CBCDD5A">
      <w:pPr>
        <w:spacing w:line="360" w:lineRule="auto"/>
        <w:ind w:firstLine="523" w:firstLineChars="218"/>
        <w:rPr>
          <w:rFonts w:hint="eastAsia" w:ascii="宋体" w:hAnsi="宋体" w:cs="宋体"/>
          <w:sz w:val="24"/>
          <w:szCs w:val="24"/>
        </w:rPr>
      </w:pPr>
      <w:r>
        <w:rPr>
          <w:rFonts w:hint="eastAsia" w:ascii="宋体" w:hAnsi="宋体" w:cs="宋体"/>
          <w:sz w:val="24"/>
          <w:szCs w:val="24"/>
        </w:rPr>
        <w:t>（2）建筑垃圾应当按照国家有关规定进行分类，实行分类收集、分类贮存、分类运输、分类处置。</w:t>
      </w:r>
    </w:p>
    <w:p w14:paraId="64848947">
      <w:pPr>
        <w:spacing w:line="360" w:lineRule="auto"/>
        <w:ind w:firstLine="523" w:firstLineChars="218"/>
        <w:rPr>
          <w:rFonts w:hint="eastAsia" w:ascii="宋体" w:hAnsi="宋体" w:cs="宋体"/>
          <w:sz w:val="24"/>
          <w:szCs w:val="24"/>
        </w:rPr>
      </w:pPr>
      <w:r>
        <w:rPr>
          <w:rFonts w:hint="eastAsia" w:ascii="宋体" w:hAnsi="宋体" w:cs="宋体"/>
          <w:sz w:val="24"/>
          <w:szCs w:val="24"/>
        </w:rPr>
        <w:t>（3）建设单位督促施工单位开展建筑垃圾分类和合法装载，并及时向工程所在地县级人民政府建筑垃圾主管部门报送建筑垃圾处理方案。施工单位应当建立建筑垃圾管理台账，分类收集、贮存和及时清运施工过程中产生的建筑垃圾，采取有效措施防止混合已分类的建筑垃圾。工程施工单位应当将建筑垃圾的产生量与种类、清运时间、最终去向等信息在施工现场公示，接受社会监督。</w:t>
      </w:r>
    </w:p>
    <w:p w14:paraId="4B9362DA">
      <w:pPr>
        <w:spacing w:line="360" w:lineRule="auto"/>
        <w:ind w:firstLine="523" w:firstLineChars="218"/>
        <w:rPr>
          <w:rFonts w:hint="eastAsia" w:ascii="宋体" w:hAnsi="宋体" w:cs="宋体"/>
          <w:sz w:val="24"/>
          <w:szCs w:val="24"/>
        </w:rPr>
      </w:pPr>
      <w:r>
        <w:rPr>
          <w:rFonts w:hint="eastAsia" w:ascii="宋体" w:hAnsi="宋体" w:cs="宋体"/>
          <w:sz w:val="24"/>
          <w:szCs w:val="24"/>
        </w:rPr>
        <w:t>（4）运输建筑垃圾应当遵守下列规定：1）建立建筑垃圾运输管理台账；2）不得将工程渣土、工程泥浆与其他建筑垃圾混合运输；3）保持运输车辆、船舶等运输工具的行驶记录、卫星定位等电子装置正常使用；4）运输过程中保持运输工具整洁，采取密闭或者其他有效措施防止遗撒建筑垃圾，不得擅自倾倒、抛撒建筑垃圾；5）按照建筑垃圾处理方案确定的时间、路线、方式、场所进行运输。建筑垃圾运输车辆、船舶应当符合相应的载运技术条件。建筑垃圾处置场所为陆域的，不得采用开底式船舶运输建筑垃圾。</w:t>
      </w:r>
    </w:p>
    <w:p w14:paraId="70441AE9">
      <w:pPr>
        <w:spacing w:line="360" w:lineRule="auto"/>
        <w:ind w:firstLine="523" w:firstLineChars="218"/>
        <w:rPr>
          <w:rFonts w:hint="eastAsia" w:ascii="宋体" w:hAnsi="宋体" w:cs="宋体"/>
          <w:sz w:val="24"/>
          <w:szCs w:val="24"/>
        </w:rPr>
      </w:pPr>
      <w:r>
        <w:rPr>
          <w:rFonts w:hint="eastAsia" w:ascii="宋体" w:hAnsi="宋体" w:cs="宋体"/>
          <w:sz w:val="24"/>
          <w:szCs w:val="24"/>
        </w:rPr>
        <w:t>（5）工程泥浆应当在施工现场进行脱水固化处理。施工现场不具备条件的，应当采用罐装器具密闭运输至依法设置的建筑垃圾处置场所进行处置。水上工程中依法无需经脱水处理的除外。</w:t>
      </w:r>
    </w:p>
    <w:p w14:paraId="7FC9550D">
      <w:pPr>
        <w:spacing w:line="360" w:lineRule="auto"/>
        <w:ind w:firstLine="523" w:firstLineChars="218"/>
        <w:rPr>
          <w:rFonts w:hint="eastAsia" w:ascii="宋体" w:hAnsi="宋体" w:cs="宋体"/>
          <w:sz w:val="24"/>
          <w:szCs w:val="24"/>
        </w:rPr>
      </w:pPr>
      <w:r>
        <w:rPr>
          <w:rFonts w:hint="eastAsia" w:ascii="宋体" w:hAnsi="宋体" w:cs="宋体"/>
          <w:sz w:val="24"/>
          <w:szCs w:val="24"/>
        </w:rPr>
        <w:t>（6）建筑垃圾应当按照下列方式，优先就地就近利用：1）工程渣土及脱水后的工程泥浆优先用于土方平衡、矿坑修复、环境治理、烧结制品及回填等；2）工程垃圾、拆除垃圾和装修垃圾优先用于生产再生骨料、再生砖、再生砌块、再生沥青混合料等建筑垃圾综合利用产品。具备现场综合利用条件的建设工程，应当进行建筑垃圾现场综合利用。</w:t>
      </w:r>
    </w:p>
    <w:p w14:paraId="69D0D007">
      <w:pPr>
        <w:spacing w:line="360" w:lineRule="auto"/>
        <w:ind w:firstLine="523" w:firstLineChars="218"/>
        <w:rPr>
          <w:rFonts w:hint="eastAsia" w:ascii="宋体" w:hAnsi="宋体" w:cs="宋体"/>
          <w:sz w:val="24"/>
          <w:szCs w:val="24"/>
        </w:rPr>
      </w:pPr>
      <w:r>
        <w:rPr>
          <w:rFonts w:hint="eastAsia" w:ascii="宋体" w:hAnsi="宋体" w:cs="宋体"/>
          <w:sz w:val="24"/>
          <w:szCs w:val="24"/>
        </w:rPr>
        <w:t>（7）建设单位和施工单位严格遵守并执行《广东省建筑垃圾管理条例》。</w:t>
      </w:r>
    </w:p>
    <w:p w14:paraId="0AC98393">
      <w:pPr>
        <w:spacing w:line="360" w:lineRule="auto"/>
        <w:ind w:firstLine="523" w:firstLineChars="218"/>
        <w:rPr>
          <w:rFonts w:hint="eastAsia" w:ascii="宋体" w:hAnsi="宋体" w:cs="宋体"/>
          <w:sz w:val="24"/>
          <w:szCs w:val="24"/>
        </w:rPr>
      </w:pPr>
      <w:r>
        <w:rPr>
          <w:rFonts w:hint="eastAsia" w:ascii="宋体" w:hAnsi="宋体" w:cs="宋体"/>
          <w:sz w:val="24"/>
          <w:szCs w:val="24"/>
        </w:rPr>
        <w:t>备注：以上相关条款等均需符合《广东省建筑垃圾管理条例》的相关要求。</w:t>
      </w:r>
    </w:p>
    <w:p w14:paraId="6FC94882">
      <w:pPr>
        <w:spacing w:line="360" w:lineRule="auto"/>
        <w:ind w:firstLine="523" w:firstLineChars="218"/>
        <w:rPr>
          <w:rFonts w:hint="eastAsia" w:ascii="宋体" w:hAnsi="宋体" w:cs="宋体"/>
          <w:sz w:val="24"/>
          <w:szCs w:val="24"/>
        </w:rPr>
      </w:pPr>
      <w:r>
        <w:rPr>
          <w:rFonts w:hint="eastAsia" w:ascii="宋体" w:hAnsi="宋体" w:cs="宋体"/>
          <w:sz w:val="24"/>
          <w:szCs w:val="24"/>
        </w:rPr>
        <w:t>4、占道施工相关告知、围蔽、修复等要求。</w:t>
      </w:r>
    </w:p>
    <w:p w14:paraId="17EFA694">
      <w:pPr>
        <w:spacing w:line="360" w:lineRule="auto"/>
        <w:ind w:firstLine="523" w:firstLineChars="218"/>
        <w:rPr>
          <w:rFonts w:hint="eastAsia" w:ascii="宋体" w:hAnsi="宋体" w:cs="宋体"/>
          <w:sz w:val="24"/>
          <w:szCs w:val="24"/>
        </w:rPr>
      </w:pPr>
      <w:r>
        <w:rPr>
          <w:rFonts w:hint="eastAsia" w:ascii="宋体" w:hAnsi="宋体" w:cs="宋体"/>
          <w:sz w:val="24"/>
          <w:szCs w:val="24"/>
        </w:rPr>
        <w:t>施工过程中，如涉及到占道施工、围蔽、修复等应符合国家、省、市及有关部门的相关规定。由此产生的相关费用已包含在投标报价中。</w:t>
      </w:r>
    </w:p>
    <w:p w14:paraId="5FD63F46">
      <w:pPr>
        <w:spacing w:line="360" w:lineRule="auto"/>
        <w:ind w:firstLine="523" w:firstLineChars="218"/>
        <w:rPr>
          <w:rFonts w:hint="eastAsia" w:ascii="宋体" w:hAnsi="宋体" w:cs="宋体"/>
          <w:sz w:val="24"/>
          <w:szCs w:val="24"/>
        </w:rPr>
      </w:pPr>
      <w:r>
        <w:rPr>
          <w:rFonts w:hint="eastAsia" w:ascii="宋体" w:hAnsi="宋体" w:cs="宋体"/>
          <w:sz w:val="24"/>
          <w:szCs w:val="24"/>
        </w:rPr>
        <w:t>5、鼓励施工单位按照《广州市住房和城乡建设局关于印发广州市智能建造技术清单（1.0版）的通知》（穗建筑〔2024〕596号），开展使用《技术清单》中的相关技术，相关费用由投标人综合考虑。</w:t>
      </w:r>
    </w:p>
    <w:p w14:paraId="39465385">
      <w:pPr>
        <w:spacing w:line="360" w:lineRule="auto"/>
        <w:ind w:firstLine="523" w:firstLineChars="218"/>
        <w:rPr>
          <w:rFonts w:hint="eastAsia" w:ascii="宋体" w:hAnsi="宋体" w:cs="宋体"/>
          <w:sz w:val="24"/>
          <w:szCs w:val="24"/>
        </w:rPr>
      </w:pPr>
      <w:r>
        <w:rPr>
          <w:rFonts w:hint="eastAsia" w:ascii="宋体" w:hAnsi="宋体" w:cs="宋体"/>
          <w:sz w:val="24"/>
          <w:szCs w:val="24"/>
        </w:rPr>
        <w:t>6、鼓励施工单位按照《广州市人民政府办公厅关于印发加快推动氢能产业高质量发展若干措施的通知》（穗府办规〔2024〕16号），实施交通绿色替代，积极使用氢燃料电池建筑废弃物运输车、混凝土搅拌车和物流运输车辆参与运输作业，相关费用由投标人综合考虑。</w:t>
      </w:r>
    </w:p>
    <w:p w14:paraId="59FEEF27">
      <w:pPr>
        <w:spacing w:line="360" w:lineRule="auto"/>
        <w:ind w:firstLine="523" w:firstLineChars="218"/>
        <w:rPr>
          <w:rFonts w:hint="eastAsia" w:ascii="宋体" w:hAnsi="宋体" w:cs="宋体"/>
          <w:sz w:val="24"/>
          <w:szCs w:val="24"/>
        </w:rPr>
      </w:pPr>
    </w:p>
    <w:p w14:paraId="2429A335">
      <w:pPr>
        <w:spacing w:line="360" w:lineRule="auto"/>
        <w:ind w:firstLine="525" w:firstLineChars="218"/>
        <w:jc w:val="center"/>
        <w:rPr>
          <w:rFonts w:hint="eastAsia" w:ascii="宋体" w:hAnsi="宋体" w:cs="宋体"/>
          <w:b/>
          <w:bCs/>
          <w:sz w:val="24"/>
          <w:szCs w:val="24"/>
        </w:rPr>
      </w:pPr>
      <w:r>
        <w:rPr>
          <w:rFonts w:hint="eastAsia" w:ascii="宋体" w:hAnsi="宋体" w:cs="宋体"/>
          <w:b/>
          <w:bCs/>
          <w:sz w:val="24"/>
          <w:szCs w:val="24"/>
        </w:rPr>
        <w:t>详见另册</w:t>
      </w:r>
    </w:p>
    <w:p w14:paraId="6C66DB47">
      <w:pPr>
        <w:spacing w:line="360" w:lineRule="auto"/>
        <w:ind w:firstLine="523" w:firstLineChars="218"/>
        <w:rPr>
          <w:rFonts w:hint="eastAsia" w:ascii="宋体" w:hAnsi="宋体" w:cs="宋体"/>
          <w:sz w:val="24"/>
          <w:szCs w:val="24"/>
        </w:rPr>
      </w:pPr>
    </w:p>
    <w:p w14:paraId="40F72762">
      <w:pPr>
        <w:spacing w:line="360" w:lineRule="auto"/>
        <w:ind w:firstLine="523" w:firstLineChars="218"/>
        <w:rPr>
          <w:rFonts w:hint="eastAsia" w:ascii="宋体" w:hAnsi="宋体" w:cs="宋体"/>
          <w:sz w:val="24"/>
          <w:szCs w:val="24"/>
        </w:rPr>
      </w:pPr>
    </w:p>
    <w:p w14:paraId="01558C03">
      <w:pPr>
        <w:spacing w:line="360" w:lineRule="auto"/>
        <w:ind w:firstLine="523" w:firstLineChars="218"/>
        <w:rPr>
          <w:rFonts w:hint="eastAsia" w:ascii="宋体" w:hAnsi="宋体" w:cs="宋体"/>
          <w:sz w:val="24"/>
          <w:szCs w:val="24"/>
        </w:rPr>
        <w:sectPr>
          <w:headerReference r:id="rId13" w:type="default"/>
          <w:footerReference r:id="rId14" w:type="default"/>
          <w:pgSz w:w="11907" w:h="16839"/>
          <w:pgMar w:top="1440" w:right="1083" w:bottom="1440" w:left="1083" w:header="0" w:footer="1476" w:gutter="0"/>
          <w:cols w:space="720" w:num="1"/>
        </w:sectPr>
      </w:pPr>
    </w:p>
    <w:p w14:paraId="1B30BD0A"/>
    <w:p w14:paraId="37D0E327">
      <w:pPr>
        <w:pStyle w:val="3"/>
      </w:pPr>
      <w:bookmarkStart w:id="108" w:name="_Toc31301"/>
      <w:r>
        <w:rPr>
          <w:rFonts w:hint="eastAsia"/>
        </w:rPr>
        <w:t>第六章</w:t>
      </w:r>
      <w:r>
        <w:t xml:space="preserve">  </w:t>
      </w:r>
      <w:r>
        <w:rPr>
          <w:rFonts w:hint="eastAsia"/>
        </w:rPr>
        <w:t>图纸及勘察资料</w:t>
      </w:r>
      <w:bookmarkEnd w:id="105"/>
      <w:bookmarkEnd w:id="106"/>
      <w:bookmarkEnd w:id="107"/>
      <w:bookmarkEnd w:id="108"/>
    </w:p>
    <w:p w14:paraId="63A723AF">
      <w:pPr>
        <w:jc w:val="center"/>
        <w:rPr>
          <w:rFonts w:ascii="宋体"/>
          <w:b/>
          <w:bCs/>
          <w:sz w:val="24"/>
          <w:szCs w:val="24"/>
        </w:rPr>
      </w:pPr>
      <w:r>
        <w:rPr>
          <w:rFonts w:hint="eastAsia" w:ascii="宋体" w:hAnsi="宋体"/>
          <w:b/>
          <w:bCs/>
          <w:sz w:val="24"/>
          <w:szCs w:val="24"/>
        </w:rPr>
        <w:t>另册</w:t>
      </w:r>
    </w:p>
    <w:p w14:paraId="1E10EC95">
      <w:pPr>
        <w:pStyle w:val="3"/>
      </w:pPr>
      <w:r>
        <w:rPr>
          <w:sz w:val="24"/>
          <w:szCs w:val="24"/>
        </w:rPr>
        <w:br w:type="page"/>
      </w:r>
      <w:bookmarkStart w:id="109" w:name="_Toc1393"/>
      <w:bookmarkStart w:id="110" w:name="_Toc24640"/>
      <w:bookmarkStart w:id="111" w:name="_Toc21525515"/>
      <w:bookmarkStart w:id="112" w:name="_Toc2272570"/>
      <w:r>
        <w:rPr>
          <w:rFonts w:hint="eastAsia"/>
        </w:rPr>
        <w:t>第七章</w:t>
      </w:r>
      <w:r>
        <w:t xml:space="preserve">  </w:t>
      </w:r>
      <w:r>
        <w:rPr>
          <w:rFonts w:hint="eastAsia"/>
        </w:rPr>
        <w:t>工程量清单</w:t>
      </w:r>
      <w:bookmarkEnd w:id="109"/>
      <w:bookmarkEnd w:id="110"/>
      <w:bookmarkEnd w:id="111"/>
      <w:bookmarkEnd w:id="112"/>
    </w:p>
    <w:p w14:paraId="0A50DB36">
      <w:pPr>
        <w:jc w:val="center"/>
        <w:rPr>
          <w:rFonts w:ascii="宋体"/>
          <w:b/>
          <w:bCs/>
          <w:sz w:val="24"/>
          <w:szCs w:val="24"/>
        </w:rPr>
      </w:pPr>
      <w:r>
        <w:rPr>
          <w:rFonts w:hint="eastAsia" w:ascii="宋体" w:hAnsi="宋体"/>
          <w:b/>
          <w:bCs/>
          <w:sz w:val="24"/>
          <w:szCs w:val="24"/>
        </w:rPr>
        <w:t>另册</w:t>
      </w:r>
    </w:p>
    <w:p w14:paraId="5AF65A3E">
      <w:pPr>
        <w:pStyle w:val="5"/>
        <w:spacing w:after="0" w:line="360" w:lineRule="auto"/>
        <w:ind w:left="-2" w:leftChars="-1" w:firstLine="960" w:firstLineChars="400"/>
        <w:rPr>
          <w:rFonts w:ascii="宋体"/>
          <w:sz w:val="24"/>
        </w:rPr>
      </w:pPr>
    </w:p>
    <w:p w14:paraId="37F0DC22">
      <w:pPr>
        <w:pStyle w:val="3"/>
      </w:pPr>
    </w:p>
    <w:p w14:paraId="2E39D580">
      <w:pPr>
        <w:pStyle w:val="3"/>
      </w:pPr>
      <w:r>
        <w:rPr>
          <w:sz w:val="24"/>
          <w:szCs w:val="24"/>
        </w:rPr>
        <w:br w:type="page"/>
      </w:r>
      <w:bookmarkStart w:id="113" w:name="_Toc2272571"/>
      <w:bookmarkStart w:id="114" w:name="_Toc19152"/>
      <w:bookmarkStart w:id="115" w:name="_Toc21525516"/>
      <w:bookmarkStart w:id="116" w:name="_Toc8603"/>
      <w:r>
        <w:rPr>
          <w:rFonts w:hint="eastAsia"/>
        </w:rPr>
        <w:t>第八章</w:t>
      </w:r>
      <w:r>
        <w:t xml:space="preserve">  </w:t>
      </w:r>
      <w:r>
        <w:rPr>
          <w:rFonts w:hint="eastAsia"/>
        </w:rPr>
        <w:t>最高投标限价</w:t>
      </w:r>
      <w:bookmarkEnd w:id="113"/>
      <w:bookmarkEnd w:id="114"/>
      <w:bookmarkEnd w:id="115"/>
      <w:bookmarkEnd w:id="116"/>
    </w:p>
    <w:p w14:paraId="7BC05E79">
      <w:pPr>
        <w:spacing w:line="360" w:lineRule="auto"/>
        <w:rPr>
          <w:sz w:val="36"/>
          <w:u w:val="single"/>
        </w:rPr>
      </w:pPr>
    </w:p>
    <w:sectPr>
      <w:headerReference r:id="rId15" w:type="default"/>
      <w:footerReference r:id="rId1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楷体_GB2312">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Calisto MT">
    <w:altName w:val="Segoe Print"/>
    <w:panose1 w:val="02040603050505030304"/>
    <w:charset w:val="00"/>
    <w:family w:val="roman"/>
    <w:pitch w:val="default"/>
    <w:sig w:usb0="00000000" w:usb1="00000000" w:usb2="00000000" w:usb3="00000000" w:csb0="2000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716069">
    <w:pPr>
      <w:pStyle w:val="25"/>
      <w:ind w:firstLine="392"/>
      <w:jc w:val="center"/>
      <w:rPr>
        <w:rStyle w:val="42"/>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E943A5">
                          <w:pPr>
                            <w:pStyle w:val="2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52E943A5">
                    <w:pPr>
                      <w:pStyle w:val="2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D8AF17">
    <w:pPr>
      <w:pStyle w:val="25"/>
      <w:ind w:firstLine="392"/>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90F7D1">
                          <w:pPr>
                            <w:pStyle w:val="25"/>
                            <w:ind w:firstLine="392"/>
                            <w:jc w:val="center"/>
                          </w:pPr>
                          <w:r>
                            <w:rPr>
                              <w:rStyle w:val="42"/>
                            </w:rPr>
                            <w:fldChar w:fldCharType="begin"/>
                          </w:r>
                          <w:r>
                            <w:rPr>
                              <w:rStyle w:val="42"/>
                            </w:rPr>
                            <w:instrText xml:space="preserve"> PAGE </w:instrText>
                          </w:r>
                          <w:r>
                            <w:rPr>
                              <w:rStyle w:val="42"/>
                            </w:rPr>
                            <w:fldChar w:fldCharType="separate"/>
                          </w:r>
                          <w:r>
                            <w:rPr>
                              <w:rStyle w:val="42"/>
                            </w:rPr>
                            <w:t>52</w:t>
                          </w:r>
                          <w:r>
                            <w:rPr>
                              <w:rStyle w:val="4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490F7D1">
                    <w:pPr>
                      <w:pStyle w:val="25"/>
                      <w:ind w:firstLine="392"/>
                      <w:jc w:val="center"/>
                    </w:pPr>
                    <w:r>
                      <w:rPr>
                        <w:rStyle w:val="42"/>
                      </w:rPr>
                      <w:fldChar w:fldCharType="begin"/>
                    </w:r>
                    <w:r>
                      <w:rPr>
                        <w:rStyle w:val="42"/>
                      </w:rPr>
                      <w:instrText xml:space="preserve"> PAGE </w:instrText>
                    </w:r>
                    <w:r>
                      <w:rPr>
                        <w:rStyle w:val="42"/>
                      </w:rPr>
                      <w:fldChar w:fldCharType="separate"/>
                    </w:r>
                    <w:r>
                      <w:rPr>
                        <w:rStyle w:val="42"/>
                      </w:rPr>
                      <w:t>52</w:t>
                    </w:r>
                    <w:r>
                      <w:rPr>
                        <w:rStyle w:val="42"/>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09370A">
    <w:pPr>
      <w:pStyle w:val="25"/>
      <w:ind w:right="360" w:firstLine="36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683B9B">
                          <w:pPr>
                            <w:pStyle w:val="25"/>
                            <w:jc w:val="center"/>
                            <w:rPr>
                              <w:rStyle w:val="42"/>
                            </w:rPr>
                          </w:pPr>
                          <w:r>
                            <w:rPr>
                              <w:rStyle w:val="42"/>
                            </w:rPr>
                            <w:fldChar w:fldCharType="begin"/>
                          </w:r>
                          <w:r>
                            <w:rPr>
                              <w:rStyle w:val="42"/>
                            </w:rPr>
                            <w:instrText xml:space="preserve">PAGE  </w:instrText>
                          </w:r>
                          <w:r>
                            <w:rPr>
                              <w:rStyle w:val="42"/>
                            </w:rPr>
                            <w:fldChar w:fldCharType="separate"/>
                          </w:r>
                          <w:r>
                            <w:rPr>
                              <w:rStyle w:val="42"/>
                            </w:rPr>
                            <w:t>74</w:t>
                          </w:r>
                          <w:r>
                            <w:rPr>
                              <w:rStyle w:val="42"/>
                            </w:rPr>
                            <w:fldChar w:fldCharType="end"/>
                          </w:r>
                        </w:p>
                        <w:p w14:paraId="52C39820">
                          <w:pPr>
                            <w:pStyle w:val="25"/>
                            <w:ind w:left="-4410" w:leftChars="-2100" w:right="-4439" w:rightChars="-2114"/>
                            <w:rPr>
                              <w:rStyle w:val="42"/>
                            </w:rPr>
                          </w:pPr>
                        </w:p>
                        <w:p w14:paraId="34AFF657"/>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6D683B9B">
                    <w:pPr>
                      <w:pStyle w:val="25"/>
                      <w:jc w:val="center"/>
                      <w:rPr>
                        <w:rStyle w:val="42"/>
                      </w:rPr>
                    </w:pPr>
                    <w:r>
                      <w:rPr>
                        <w:rStyle w:val="42"/>
                      </w:rPr>
                      <w:fldChar w:fldCharType="begin"/>
                    </w:r>
                    <w:r>
                      <w:rPr>
                        <w:rStyle w:val="42"/>
                      </w:rPr>
                      <w:instrText xml:space="preserve">PAGE  </w:instrText>
                    </w:r>
                    <w:r>
                      <w:rPr>
                        <w:rStyle w:val="42"/>
                      </w:rPr>
                      <w:fldChar w:fldCharType="separate"/>
                    </w:r>
                    <w:r>
                      <w:rPr>
                        <w:rStyle w:val="42"/>
                      </w:rPr>
                      <w:t>74</w:t>
                    </w:r>
                    <w:r>
                      <w:rPr>
                        <w:rStyle w:val="42"/>
                      </w:rPr>
                      <w:fldChar w:fldCharType="end"/>
                    </w:r>
                  </w:p>
                  <w:p w14:paraId="52C39820">
                    <w:pPr>
                      <w:pStyle w:val="25"/>
                      <w:ind w:left="-4410" w:leftChars="-2100" w:right="-4439" w:rightChars="-2114"/>
                      <w:rPr>
                        <w:rStyle w:val="42"/>
                      </w:rPr>
                    </w:pPr>
                  </w:p>
                  <w:p w14:paraId="34AFF657"/>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73DA93">
    <w:pPr>
      <w:pStyle w:val="25"/>
      <w:framePr w:wrap="around" w:vAnchor="text" w:hAnchor="margin" w:xAlign="outside" w:y="1"/>
      <w:rPr>
        <w:rStyle w:val="42"/>
      </w:rPr>
    </w:pPr>
    <w:r>
      <w:rPr>
        <w:rStyle w:val="42"/>
      </w:rPr>
      <w:fldChar w:fldCharType="begin"/>
    </w:r>
    <w:r>
      <w:rPr>
        <w:rStyle w:val="42"/>
      </w:rPr>
      <w:instrText xml:space="preserve">PAGE  </w:instrText>
    </w:r>
    <w:r>
      <w:rPr>
        <w:rStyle w:val="42"/>
      </w:rPr>
      <w:fldChar w:fldCharType="separate"/>
    </w:r>
    <w:r>
      <w:rPr>
        <w:rStyle w:val="42"/>
        <w:rFonts w:hint="eastAsia"/>
      </w:rPr>
      <w:t>一</w:t>
    </w:r>
    <w:r>
      <w:rPr>
        <w:rStyle w:val="42"/>
      </w:rPr>
      <w:t>–2</w:t>
    </w:r>
    <w:r>
      <w:rPr>
        <w:rStyle w:val="42"/>
      </w:rPr>
      <w:fldChar w:fldCharType="end"/>
    </w:r>
  </w:p>
  <w:p w14:paraId="7A9532A3">
    <w:pPr>
      <w:pStyle w:val="25"/>
      <w:ind w:right="360" w:firstLine="360"/>
      <w:jc w:val="center"/>
    </w:pPr>
    <w:r>
      <w:rPr>
        <w:kern w:val="0"/>
        <w:sz w:val="20"/>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D3064B">
    <w:pPr>
      <w:pStyle w:val="25"/>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095A4B">
                          <w:pPr>
                            <w:pStyle w:val="25"/>
                            <w:jc w:val="center"/>
                          </w:pPr>
                          <w:r>
                            <w:rPr>
                              <w:rStyle w:val="42"/>
                            </w:rPr>
                            <w:fldChar w:fldCharType="begin"/>
                          </w:r>
                          <w:r>
                            <w:rPr>
                              <w:rStyle w:val="42"/>
                            </w:rPr>
                            <w:instrText xml:space="preserve"> PAGE </w:instrText>
                          </w:r>
                          <w:r>
                            <w:rPr>
                              <w:rStyle w:val="42"/>
                            </w:rPr>
                            <w:fldChar w:fldCharType="separate"/>
                          </w:r>
                          <w:r>
                            <w:rPr>
                              <w:rStyle w:val="42"/>
                            </w:rPr>
                            <w:t>55</w:t>
                          </w:r>
                          <w:r>
                            <w:rPr>
                              <w:rStyle w:val="4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57095A4B">
                    <w:pPr>
                      <w:pStyle w:val="25"/>
                      <w:jc w:val="center"/>
                    </w:pPr>
                    <w:r>
                      <w:rPr>
                        <w:rStyle w:val="42"/>
                      </w:rPr>
                      <w:fldChar w:fldCharType="begin"/>
                    </w:r>
                    <w:r>
                      <w:rPr>
                        <w:rStyle w:val="42"/>
                      </w:rPr>
                      <w:instrText xml:space="preserve"> PAGE </w:instrText>
                    </w:r>
                    <w:r>
                      <w:rPr>
                        <w:rStyle w:val="42"/>
                      </w:rPr>
                      <w:fldChar w:fldCharType="separate"/>
                    </w:r>
                    <w:r>
                      <w:rPr>
                        <w:rStyle w:val="42"/>
                      </w:rPr>
                      <w:t>55</w:t>
                    </w:r>
                    <w:r>
                      <w:rPr>
                        <w:rStyle w:val="42"/>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09C092">
    <w:pPr>
      <w:spacing w:line="116" w:lineRule="exact"/>
      <w:ind w:firstLine="4083"/>
      <w:rPr>
        <w:rFonts w:eastAsia="Calibri" w:cs="Calibri"/>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C849E03">
                          <w:pPr>
                            <w:pStyle w:val="25"/>
                          </w:pPr>
                          <w:r>
                            <w:fldChar w:fldCharType="begin"/>
                          </w:r>
                          <w:r>
                            <w:instrText xml:space="preserve"> PAGE  \* MERGEFORMAT </w:instrText>
                          </w:r>
                          <w:r>
                            <w:fldChar w:fldCharType="separate"/>
                          </w:r>
                          <w:r>
                            <w:t>67</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06/Tc4BAACnAwAADgAAAGRycy9lMm9Eb2MueG1srVPNjtMwEL4j8Q6W&#10;7zRppUVV1HQFqhYhIUBaeADXcRpLtsfyuE36AvAGnLhw57n6HIydpLsslz1wcebP38z3ebK5Haxh&#10;JxVQg6v5clFyppyERrtDzb9+uXu15gyjcI0w4FTNzwr57fbli03vK7WCDkyjAiMQh1Xva97F6Kui&#10;QNkpK3ABXjlKthCsiOSGQ9EE0RO6NcWqLF8XPYTGB5AKkaK7McknxPAcQGhbLdUO5NEqF0fUoIyI&#10;RAk77ZFv87Rtq2T81LaoIjM1J6Yxn9SE7H06i+1GVIcgfKflNIJ4zghPOFmhHTW9Qu1EFOwY9D9Q&#10;VssACG1cSLDFSCQrQiyW5RNt7jvhVeZCUqO/io7/D1Z+PH0OTDc1v+HMCUsPfvnx/fLz9+XXN3aT&#10;5Ok9VlR176kuDm9hoKWZ40jBxHpog01f4sMoT+Ker+KqITKZLq1X63VJKUm52SH84uG6DxjfKbAs&#10;GTUP9HpZVHH6gHEsnUtSNwd32pj8gsb9FSDMMaLyCky3E5Nx4mTFYT9M9PbQnIldT2tQc0dbz5l5&#10;70jltDGzEWZjPxtHH/Sho0GXeUr0b46RRsqTpg4jLDFMDr1f5jrtWlqQx36uevi/tn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CtOv03OAQAApwMAAA4AAAAAAAAAAQAgAAAAHgEAAGRycy9l&#10;Mm9Eb2MueG1sUEsFBgAAAAAGAAYAWQEAAF4FAAAAAA==&#10;">
              <v:fill on="f" focussize="0,0"/>
              <v:stroke on="f"/>
              <v:imagedata o:title=""/>
              <o:lock v:ext="edit" aspectratio="f"/>
              <v:textbox inset="0mm,0mm,0mm,0mm" style="mso-fit-shape-to-text:t;">
                <w:txbxContent>
                  <w:p w14:paraId="1C849E03">
                    <w:pPr>
                      <w:pStyle w:val="25"/>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D0E45F">
    <w:pPr>
      <w:pStyle w:val="25"/>
      <w:ind w:right="360" w:firstLine="360"/>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FA4C5C">
                          <w:pPr>
                            <w:pStyle w:val="25"/>
                            <w:jc w:val="center"/>
                            <w:rPr>
                              <w:rStyle w:val="42"/>
                            </w:rPr>
                          </w:pPr>
                          <w:r>
                            <w:rPr>
                              <w:rStyle w:val="42"/>
                            </w:rPr>
                            <w:fldChar w:fldCharType="begin"/>
                          </w:r>
                          <w:r>
                            <w:rPr>
                              <w:rStyle w:val="42"/>
                            </w:rPr>
                            <w:instrText xml:space="preserve">PAGE  </w:instrText>
                          </w:r>
                          <w:r>
                            <w:rPr>
                              <w:rStyle w:val="42"/>
                            </w:rPr>
                            <w:fldChar w:fldCharType="separate"/>
                          </w:r>
                          <w:r>
                            <w:rPr>
                              <w:rStyle w:val="42"/>
                            </w:rPr>
                            <w:t>74</w:t>
                          </w:r>
                          <w:r>
                            <w:rPr>
                              <w:rStyle w:val="42"/>
                            </w:rPr>
                            <w:fldChar w:fldCharType="end"/>
                          </w:r>
                        </w:p>
                        <w:p w14:paraId="6D50251C">
                          <w:pPr>
                            <w:pStyle w:val="25"/>
                            <w:ind w:left="-4410" w:leftChars="-2100" w:right="-4439" w:rightChars="-2114"/>
                            <w:rPr>
                              <w:rStyle w:val="42"/>
                            </w:rPr>
                          </w:pPr>
                        </w:p>
                        <w:p w14:paraId="36AC8C26"/>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10FA4C5C">
                    <w:pPr>
                      <w:pStyle w:val="25"/>
                      <w:jc w:val="center"/>
                      <w:rPr>
                        <w:rStyle w:val="42"/>
                      </w:rPr>
                    </w:pPr>
                    <w:r>
                      <w:rPr>
                        <w:rStyle w:val="42"/>
                      </w:rPr>
                      <w:fldChar w:fldCharType="begin"/>
                    </w:r>
                    <w:r>
                      <w:rPr>
                        <w:rStyle w:val="42"/>
                      </w:rPr>
                      <w:instrText xml:space="preserve">PAGE  </w:instrText>
                    </w:r>
                    <w:r>
                      <w:rPr>
                        <w:rStyle w:val="42"/>
                      </w:rPr>
                      <w:fldChar w:fldCharType="separate"/>
                    </w:r>
                    <w:r>
                      <w:rPr>
                        <w:rStyle w:val="42"/>
                      </w:rPr>
                      <w:t>74</w:t>
                    </w:r>
                    <w:r>
                      <w:rPr>
                        <w:rStyle w:val="42"/>
                      </w:rPr>
                      <w:fldChar w:fldCharType="end"/>
                    </w:r>
                  </w:p>
                  <w:p w14:paraId="6D50251C">
                    <w:pPr>
                      <w:pStyle w:val="25"/>
                      <w:ind w:left="-4410" w:leftChars="-2100" w:right="-4439" w:rightChars="-2114"/>
                      <w:rPr>
                        <w:rStyle w:val="42"/>
                      </w:rPr>
                    </w:pPr>
                  </w:p>
                  <w:p w14:paraId="36AC8C26"/>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9BD3C4">
    <w:pPr>
      <w:pStyle w:val="26"/>
      <w:pBdr>
        <w:bottom w:val="none" w:color="auto" w:sz="0" w:space="1"/>
      </w:pBdr>
      <w:ind w:firstLine="39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950FE5">
    <w:pPr>
      <w:pStyle w:val="26"/>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27FBC7">
    <w:pPr>
      <w:pStyle w:val="26"/>
      <w:pBdr>
        <w:bottom w:val="none" w:color="auto" w:sz="0" w:space="0"/>
      </w:pBd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2F6EC6">
    <w:pPr>
      <w:pStyle w:val="26"/>
      <w:jc w:val="right"/>
      <w:rPr>
        <w:i/>
        <w:iCs/>
      </w:rPr>
    </w:pPr>
    <w:r>
      <w:rPr>
        <w:rFonts w:hint="eastAsia"/>
        <w:i/>
        <w:iCs/>
      </w:rPr>
      <w:t>横枝岗路道路排水改造工程招标文件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BA42C">
    <w:pPr>
      <w:pStyle w:val="26"/>
      <w:pBdr>
        <w:bottom w:val="none" w:color="auto" w:sz="0" w:space="0"/>
      </w:pBdr>
      <w:jc w:val="right"/>
      <w:rPr>
        <w:i/>
        <w:iCs/>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6EAB3F">
    <w:pPr>
      <w:spacing w:line="14" w:lineRule="auto"/>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28A061">
    <w:pPr>
      <w:pStyle w:val="26"/>
      <w:pBdr>
        <w:bottom w:val="none" w:color="auto" w:sz="0"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98F24C"/>
    <w:multiLevelType w:val="singleLevel"/>
    <w:tmpl w:val="8798F24C"/>
    <w:lvl w:ilvl="0" w:tentative="0">
      <w:start w:val="1"/>
      <w:numFmt w:val="decimal"/>
      <w:suff w:val="nothing"/>
      <w:lvlText w:val="%1、"/>
      <w:lvlJc w:val="left"/>
    </w:lvl>
  </w:abstractNum>
  <w:abstractNum w:abstractNumId="1">
    <w:nsid w:val="CF9C1B05"/>
    <w:multiLevelType w:val="singleLevel"/>
    <w:tmpl w:val="CF9C1B05"/>
    <w:lvl w:ilvl="0" w:tentative="0">
      <w:start w:val="1"/>
      <w:numFmt w:val="decimal"/>
      <w:suff w:val="nothing"/>
      <w:lvlText w:val="%1、"/>
      <w:lvlJc w:val="left"/>
    </w:lvl>
  </w:abstractNum>
  <w:abstractNum w:abstractNumId="2">
    <w:nsid w:val="E70D7EBD"/>
    <w:multiLevelType w:val="singleLevel"/>
    <w:tmpl w:val="E70D7EBD"/>
    <w:lvl w:ilvl="0" w:tentative="0">
      <w:start w:val="27"/>
      <w:numFmt w:val="decimal"/>
      <w:suff w:val="nothing"/>
      <w:lvlText w:val="%1．"/>
      <w:lvlJc w:val="left"/>
    </w:lvl>
  </w:abstractNum>
  <w:abstractNum w:abstractNumId="3">
    <w:nsid w:val="E998A4BE"/>
    <w:multiLevelType w:val="singleLevel"/>
    <w:tmpl w:val="E998A4BE"/>
    <w:lvl w:ilvl="0" w:tentative="0">
      <w:start w:val="32"/>
      <w:numFmt w:val="decimal"/>
      <w:suff w:val="space"/>
      <w:lvlText w:val="%1."/>
      <w:lvlJc w:val="left"/>
    </w:lvl>
  </w:abstractNum>
  <w:abstractNum w:abstractNumId="4">
    <w:nsid w:val="EB206D3D"/>
    <w:multiLevelType w:val="singleLevel"/>
    <w:tmpl w:val="EB206D3D"/>
    <w:lvl w:ilvl="0" w:tentative="0">
      <w:start w:val="1"/>
      <w:numFmt w:val="decimal"/>
      <w:suff w:val="nothing"/>
      <w:lvlText w:val="%1、"/>
      <w:lvlJc w:val="left"/>
    </w:lvl>
  </w:abstractNum>
  <w:abstractNum w:abstractNumId="5">
    <w:nsid w:val="259905B5"/>
    <w:multiLevelType w:val="multilevel"/>
    <w:tmpl w:val="259905B5"/>
    <w:lvl w:ilvl="0" w:tentative="0">
      <w:start w:val="1"/>
      <w:numFmt w:val="chineseCountingThousand"/>
      <w:pStyle w:val="97"/>
      <w:suff w:val="space"/>
      <w:lvlText w:val="第%1章"/>
      <w:lvlJc w:val="left"/>
      <w:pPr>
        <w:ind w:left="567" w:hanging="279"/>
      </w:pPr>
      <w:rPr>
        <w:rFonts w:hint="eastAsia" w:ascii="宋体" w:eastAsia="宋体" w:cs="Times New Roman"/>
        <w:b/>
        <w:i w:val="0"/>
        <w:spacing w:val="0"/>
        <w:position w:val="0"/>
        <w:sz w:val="44"/>
      </w:rPr>
    </w:lvl>
    <w:lvl w:ilvl="1" w:tentative="0">
      <w:start w:val="1"/>
      <w:numFmt w:val="decimal"/>
      <w:suff w:val="space"/>
      <w:lvlText w:val="%2."/>
      <w:lvlJc w:val="left"/>
      <w:pPr>
        <w:ind w:left="454" w:hanging="454"/>
      </w:pPr>
      <w:rPr>
        <w:rFonts w:hint="eastAsia" w:ascii="宋体" w:eastAsia="宋体" w:cs="Times New Roman"/>
        <w:b/>
        <w:i w:val="0"/>
        <w:sz w:val="32"/>
      </w:rPr>
    </w:lvl>
    <w:lvl w:ilvl="2" w:tentative="0">
      <w:start w:val="1"/>
      <w:numFmt w:val="decimal"/>
      <w:suff w:val="space"/>
      <w:lvlText w:val="%2.%3"/>
      <w:lvlJc w:val="left"/>
      <w:pPr>
        <w:ind w:left="454" w:hanging="454"/>
      </w:pPr>
      <w:rPr>
        <w:rFonts w:hint="eastAsia" w:ascii="宋体" w:eastAsia="宋体" w:cs="Times New Roman"/>
        <w:b/>
        <w:i w:val="0"/>
        <w:sz w:val="28"/>
      </w:rPr>
    </w:lvl>
    <w:lvl w:ilvl="3" w:tentative="0">
      <w:start w:val="1"/>
      <w:numFmt w:val="decimal"/>
      <w:pStyle w:val="10"/>
      <w:suff w:val="space"/>
      <w:lvlText w:val="%2.%3.%4"/>
      <w:lvlJc w:val="left"/>
      <w:pPr>
        <w:ind w:left="284" w:hanging="284"/>
      </w:pPr>
      <w:rPr>
        <w:rFonts w:hint="eastAsia" w:ascii="宋体" w:eastAsia="宋体" w:cs="Times New Roman"/>
        <w:b/>
        <w:i w:val="0"/>
        <w:sz w:val="28"/>
      </w:rPr>
    </w:lvl>
    <w:lvl w:ilvl="4" w:tentative="0">
      <w:start w:val="1"/>
      <w:numFmt w:val="decimal"/>
      <w:pStyle w:val="11"/>
      <w:isLgl/>
      <w:suff w:val="space"/>
      <w:lvlText w:val="%2.%3.%4.%5"/>
      <w:lvlJc w:val="left"/>
      <w:pPr>
        <w:ind w:left="284" w:hanging="284"/>
      </w:pPr>
      <w:rPr>
        <w:rFonts w:hint="eastAsia" w:ascii="宋体" w:eastAsia="宋体" w:cs="Times New Roman"/>
        <w:b/>
        <w:i w:val="0"/>
        <w:strike w:val="0"/>
        <w:dstrike w:val="0"/>
        <w:sz w:val="28"/>
      </w:rPr>
    </w:lvl>
    <w:lvl w:ilvl="5" w:tentative="0">
      <w:start w:val="1"/>
      <w:numFmt w:val="decimal"/>
      <w:lvlRestart w:val="0"/>
      <w:suff w:val="space"/>
      <w:lvlText w:val="1.1.1.1.1.%6%5"/>
      <w:lvlJc w:val="left"/>
      <w:rPr>
        <w:rFonts w:hint="eastAsia" w:ascii="宋体" w:eastAsia="宋体" w:cs="Times New Roman"/>
        <w:b/>
        <w:i w:val="0"/>
        <w:sz w:val="28"/>
      </w:rPr>
    </w:lvl>
    <w:lvl w:ilvl="6" w:tentative="0">
      <w:start w:val="1"/>
      <w:numFmt w:val="none"/>
      <w:pStyle w:val="13"/>
      <w:suff w:val="nothing"/>
      <w:lvlText w:val=""/>
      <w:lvlJc w:val="left"/>
      <w:rPr>
        <w:rFonts w:hint="eastAsia" w:cs="Times New Roman"/>
      </w:rPr>
    </w:lvl>
    <w:lvl w:ilvl="7" w:tentative="0">
      <w:start w:val="1"/>
      <w:numFmt w:val="none"/>
      <w:pStyle w:val="14"/>
      <w:suff w:val="nothing"/>
      <w:lvlText w:val=""/>
      <w:lvlJc w:val="left"/>
      <w:rPr>
        <w:rFonts w:hint="eastAsia" w:cs="Times New Roman"/>
      </w:rPr>
    </w:lvl>
    <w:lvl w:ilvl="8" w:tentative="0">
      <w:start w:val="1"/>
      <w:numFmt w:val="none"/>
      <w:pStyle w:val="15"/>
      <w:suff w:val="nothing"/>
      <w:lvlText w:val=""/>
      <w:lvlJc w:val="left"/>
      <w:rPr>
        <w:rFonts w:hint="eastAsia" w:cs="Times New Roman"/>
      </w:rPr>
    </w:lvl>
  </w:abstractNum>
  <w:abstractNum w:abstractNumId="6">
    <w:nsid w:val="2E750945"/>
    <w:multiLevelType w:val="multilevel"/>
    <w:tmpl w:val="2E750945"/>
    <w:lvl w:ilvl="0" w:tentative="0">
      <w:start w:val="1"/>
      <w:numFmt w:val="decimalEnclosedCircle"/>
      <w:lvlText w:val="%1"/>
      <w:lvlJc w:val="left"/>
      <w:pPr>
        <w:ind w:left="780" w:hanging="360"/>
      </w:pPr>
      <w:rPr>
        <w:rFonts w:hint="default"/>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7">
    <w:nsid w:val="4A4A6516"/>
    <w:multiLevelType w:val="singleLevel"/>
    <w:tmpl w:val="4A4A6516"/>
    <w:lvl w:ilvl="0" w:tentative="0">
      <w:start w:val="1"/>
      <w:numFmt w:val="decimal"/>
      <w:suff w:val="nothing"/>
      <w:lvlText w:val="（%1）"/>
      <w:lvlJc w:val="left"/>
    </w:lvl>
  </w:abstractNum>
  <w:abstractNum w:abstractNumId="8">
    <w:nsid w:val="553AFA00"/>
    <w:multiLevelType w:val="singleLevel"/>
    <w:tmpl w:val="553AFA00"/>
    <w:lvl w:ilvl="0" w:tentative="0">
      <w:start w:val="1"/>
      <w:numFmt w:val="decimal"/>
      <w:suff w:val="nothing"/>
      <w:lvlText w:val="（%1）"/>
      <w:lvlJc w:val="left"/>
    </w:lvl>
  </w:abstractNum>
  <w:abstractNum w:abstractNumId="9">
    <w:nsid w:val="74FB0463"/>
    <w:multiLevelType w:val="multilevel"/>
    <w:tmpl w:val="74FB0463"/>
    <w:lvl w:ilvl="0" w:tentative="0">
      <w:start w:val="1"/>
      <w:numFmt w:val="decimal"/>
      <w:suff w:val="nothing"/>
      <w:lvlText w:val="第%1篇"/>
      <w:lvlJc w:val="left"/>
      <w:rPr>
        <w:rFonts w:hint="eastAsia" w:cs="Times New Roman"/>
        <w:spacing w:val="60"/>
      </w:rPr>
    </w:lvl>
    <w:lvl w:ilvl="1" w:tentative="0">
      <w:start w:val="1"/>
      <w:numFmt w:val="none"/>
      <w:suff w:val="nothing"/>
      <w:lvlText w:val=""/>
      <w:lvlJc w:val="left"/>
      <w:rPr>
        <w:rFonts w:hint="eastAsia" w:cs="Times New Roman"/>
      </w:rPr>
    </w:lvl>
    <w:lvl w:ilvl="2" w:tentative="0">
      <w:start w:val="1"/>
      <w:numFmt w:val="none"/>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center"/>
      <w:pPr>
        <w:ind w:firstLine="288"/>
      </w:pPr>
      <w:rPr>
        <w:rFonts w:hint="eastAsia" w:cs="Times New Roman"/>
      </w:rPr>
    </w:lvl>
    <w:lvl w:ilvl="5" w:tentative="0">
      <w:start w:val="1"/>
      <w:numFmt w:val="none"/>
      <w:pStyle w:val="12"/>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num w:numId="1">
    <w:abstractNumId w:val="5"/>
  </w:num>
  <w:num w:numId="2">
    <w:abstractNumId w:val="9"/>
  </w:num>
  <w:num w:numId="3">
    <w:abstractNumId w:val="0"/>
  </w:num>
  <w:num w:numId="4">
    <w:abstractNumId w:val="7"/>
  </w:num>
  <w:num w:numId="5">
    <w:abstractNumId w:val="8"/>
  </w:num>
  <w:num w:numId="6">
    <w:abstractNumId w:val="2"/>
  </w:num>
  <w:num w:numId="7">
    <w:abstractNumId w:val="3"/>
  </w:num>
  <w:num w:numId="8">
    <w:abstractNumId w:val="4"/>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trackRevisions w:val="1"/>
  <w:documentProtection w:enforcement="0"/>
  <w:defaultTabStop w:val="420"/>
  <w:drawingGridVerticalSpacing w:val="156"/>
  <w:noPunctuationKerning w:val="1"/>
  <w:characterSpacingControl w:val="compressPunctuation"/>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BhMTk3ODRhYWFkMTIyNGI4YmYwMzFmNjM5Mzk4ZmUifQ=="/>
  </w:docVars>
  <w:rsids>
    <w:rsidRoot w:val="007B41BE"/>
    <w:rsid w:val="000200EE"/>
    <w:rsid w:val="00055C10"/>
    <w:rsid w:val="000575F8"/>
    <w:rsid w:val="00074FD1"/>
    <w:rsid w:val="0007706A"/>
    <w:rsid w:val="00091BFE"/>
    <w:rsid w:val="000B5826"/>
    <w:rsid w:val="000C1007"/>
    <w:rsid w:val="000C11E0"/>
    <w:rsid w:val="000C2710"/>
    <w:rsid w:val="000C702B"/>
    <w:rsid w:val="000D396E"/>
    <w:rsid w:val="000D66F4"/>
    <w:rsid w:val="001667FD"/>
    <w:rsid w:val="00181CAA"/>
    <w:rsid w:val="001820CD"/>
    <w:rsid w:val="00193EB2"/>
    <w:rsid w:val="001C5D94"/>
    <w:rsid w:val="001F3D02"/>
    <w:rsid w:val="002025C6"/>
    <w:rsid w:val="00204515"/>
    <w:rsid w:val="0022299B"/>
    <w:rsid w:val="00250092"/>
    <w:rsid w:val="00266748"/>
    <w:rsid w:val="00277A51"/>
    <w:rsid w:val="00280CC3"/>
    <w:rsid w:val="002C4F11"/>
    <w:rsid w:val="003177EA"/>
    <w:rsid w:val="003204F0"/>
    <w:rsid w:val="00336AA3"/>
    <w:rsid w:val="003613EE"/>
    <w:rsid w:val="0037590B"/>
    <w:rsid w:val="00393E04"/>
    <w:rsid w:val="003A5C56"/>
    <w:rsid w:val="003D77EC"/>
    <w:rsid w:val="00405D31"/>
    <w:rsid w:val="00417E45"/>
    <w:rsid w:val="004370EC"/>
    <w:rsid w:val="004424B8"/>
    <w:rsid w:val="00472A98"/>
    <w:rsid w:val="004A23D5"/>
    <w:rsid w:val="004B0516"/>
    <w:rsid w:val="004B295D"/>
    <w:rsid w:val="004D63FD"/>
    <w:rsid w:val="0051044E"/>
    <w:rsid w:val="00510754"/>
    <w:rsid w:val="005118C8"/>
    <w:rsid w:val="00576448"/>
    <w:rsid w:val="005866FB"/>
    <w:rsid w:val="005B2977"/>
    <w:rsid w:val="005B5915"/>
    <w:rsid w:val="005C212B"/>
    <w:rsid w:val="006036EF"/>
    <w:rsid w:val="0061225E"/>
    <w:rsid w:val="00644C57"/>
    <w:rsid w:val="00673B83"/>
    <w:rsid w:val="00680BFD"/>
    <w:rsid w:val="006B5ED1"/>
    <w:rsid w:val="006B6B0D"/>
    <w:rsid w:val="006F3576"/>
    <w:rsid w:val="00701E40"/>
    <w:rsid w:val="00715025"/>
    <w:rsid w:val="00727B59"/>
    <w:rsid w:val="0073229B"/>
    <w:rsid w:val="00743AA6"/>
    <w:rsid w:val="00743D38"/>
    <w:rsid w:val="00780EC8"/>
    <w:rsid w:val="007A3304"/>
    <w:rsid w:val="007B41BE"/>
    <w:rsid w:val="007B6534"/>
    <w:rsid w:val="007D6D06"/>
    <w:rsid w:val="007E2745"/>
    <w:rsid w:val="008308AC"/>
    <w:rsid w:val="00835C9E"/>
    <w:rsid w:val="008371B5"/>
    <w:rsid w:val="00855F4C"/>
    <w:rsid w:val="008639C3"/>
    <w:rsid w:val="008849A3"/>
    <w:rsid w:val="008A2DD0"/>
    <w:rsid w:val="008C4DAF"/>
    <w:rsid w:val="008D2515"/>
    <w:rsid w:val="008D4846"/>
    <w:rsid w:val="008E20BD"/>
    <w:rsid w:val="008E4AD1"/>
    <w:rsid w:val="0091139F"/>
    <w:rsid w:val="00920E49"/>
    <w:rsid w:val="0092441C"/>
    <w:rsid w:val="00934DF4"/>
    <w:rsid w:val="009417CB"/>
    <w:rsid w:val="009564BA"/>
    <w:rsid w:val="00981010"/>
    <w:rsid w:val="00981683"/>
    <w:rsid w:val="00990844"/>
    <w:rsid w:val="00991949"/>
    <w:rsid w:val="009A60FB"/>
    <w:rsid w:val="009A704D"/>
    <w:rsid w:val="009E5A35"/>
    <w:rsid w:val="009F18D3"/>
    <w:rsid w:val="00A0387A"/>
    <w:rsid w:val="00A05F7D"/>
    <w:rsid w:val="00A0619D"/>
    <w:rsid w:val="00A15723"/>
    <w:rsid w:val="00A20AF3"/>
    <w:rsid w:val="00A2579D"/>
    <w:rsid w:val="00A460C3"/>
    <w:rsid w:val="00A50D34"/>
    <w:rsid w:val="00A55066"/>
    <w:rsid w:val="00A55F9B"/>
    <w:rsid w:val="00A64E29"/>
    <w:rsid w:val="00AD3DEE"/>
    <w:rsid w:val="00AD6716"/>
    <w:rsid w:val="00AF1BCD"/>
    <w:rsid w:val="00AF2A6F"/>
    <w:rsid w:val="00B10085"/>
    <w:rsid w:val="00B36FF0"/>
    <w:rsid w:val="00B37592"/>
    <w:rsid w:val="00B408B3"/>
    <w:rsid w:val="00B433D3"/>
    <w:rsid w:val="00B53804"/>
    <w:rsid w:val="00B72862"/>
    <w:rsid w:val="00BC2597"/>
    <w:rsid w:val="00BC7B91"/>
    <w:rsid w:val="00BE1732"/>
    <w:rsid w:val="00BE216D"/>
    <w:rsid w:val="00BE7667"/>
    <w:rsid w:val="00BF1FEA"/>
    <w:rsid w:val="00C267C0"/>
    <w:rsid w:val="00C32C1E"/>
    <w:rsid w:val="00C408D3"/>
    <w:rsid w:val="00C55E95"/>
    <w:rsid w:val="00C62A7B"/>
    <w:rsid w:val="00C81F53"/>
    <w:rsid w:val="00C82C8A"/>
    <w:rsid w:val="00CA0A0A"/>
    <w:rsid w:val="00CB3932"/>
    <w:rsid w:val="00CC050D"/>
    <w:rsid w:val="00CD156B"/>
    <w:rsid w:val="00CF68BB"/>
    <w:rsid w:val="00D105F1"/>
    <w:rsid w:val="00D55A85"/>
    <w:rsid w:val="00D60B3D"/>
    <w:rsid w:val="00D60E1D"/>
    <w:rsid w:val="00D75B45"/>
    <w:rsid w:val="00D84E64"/>
    <w:rsid w:val="00D86190"/>
    <w:rsid w:val="00DC4023"/>
    <w:rsid w:val="00DE5743"/>
    <w:rsid w:val="00DF1C79"/>
    <w:rsid w:val="00E00011"/>
    <w:rsid w:val="00E02EBE"/>
    <w:rsid w:val="00E22EAB"/>
    <w:rsid w:val="00E36378"/>
    <w:rsid w:val="00E457F6"/>
    <w:rsid w:val="00E54A7D"/>
    <w:rsid w:val="00E638F3"/>
    <w:rsid w:val="00E64686"/>
    <w:rsid w:val="00EA368C"/>
    <w:rsid w:val="00EB4FAD"/>
    <w:rsid w:val="00EB6530"/>
    <w:rsid w:val="00EC014E"/>
    <w:rsid w:val="00F214CA"/>
    <w:rsid w:val="00F26640"/>
    <w:rsid w:val="00F40301"/>
    <w:rsid w:val="00F46EF4"/>
    <w:rsid w:val="00F50A88"/>
    <w:rsid w:val="00FA5926"/>
    <w:rsid w:val="00FC5596"/>
    <w:rsid w:val="02690261"/>
    <w:rsid w:val="02C05BB1"/>
    <w:rsid w:val="02E92054"/>
    <w:rsid w:val="02FD74EC"/>
    <w:rsid w:val="03027BAD"/>
    <w:rsid w:val="030977B8"/>
    <w:rsid w:val="03234368"/>
    <w:rsid w:val="03A9429B"/>
    <w:rsid w:val="03B73450"/>
    <w:rsid w:val="03F53B6F"/>
    <w:rsid w:val="04016C0A"/>
    <w:rsid w:val="042965C4"/>
    <w:rsid w:val="04A75B49"/>
    <w:rsid w:val="04FD0233"/>
    <w:rsid w:val="051C7DDD"/>
    <w:rsid w:val="055C64B1"/>
    <w:rsid w:val="05935ABA"/>
    <w:rsid w:val="05E866D4"/>
    <w:rsid w:val="05EA2C50"/>
    <w:rsid w:val="061A393B"/>
    <w:rsid w:val="061C7FBD"/>
    <w:rsid w:val="065E0921"/>
    <w:rsid w:val="06991D23"/>
    <w:rsid w:val="06CF5060"/>
    <w:rsid w:val="06D038B7"/>
    <w:rsid w:val="071250C8"/>
    <w:rsid w:val="0717375D"/>
    <w:rsid w:val="072F44E3"/>
    <w:rsid w:val="07312890"/>
    <w:rsid w:val="073C3C45"/>
    <w:rsid w:val="07A13F45"/>
    <w:rsid w:val="07EF4429"/>
    <w:rsid w:val="08061A64"/>
    <w:rsid w:val="08517165"/>
    <w:rsid w:val="08A51580"/>
    <w:rsid w:val="08C11542"/>
    <w:rsid w:val="090C13B6"/>
    <w:rsid w:val="090F4EF1"/>
    <w:rsid w:val="094E1D6F"/>
    <w:rsid w:val="09DB7981"/>
    <w:rsid w:val="09EB6AE1"/>
    <w:rsid w:val="09F33618"/>
    <w:rsid w:val="0A0F62EE"/>
    <w:rsid w:val="0AE53B72"/>
    <w:rsid w:val="0AF54E47"/>
    <w:rsid w:val="0AF62F6A"/>
    <w:rsid w:val="0AFA761E"/>
    <w:rsid w:val="0B417BF9"/>
    <w:rsid w:val="0B4354CB"/>
    <w:rsid w:val="0B6E4437"/>
    <w:rsid w:val="0B8B64C8"/>
    <w:rsid w:val="0B9109AA"/>
    <w:rsid w:val="0BA4690C"/>
    <w:rsid w:val="0BC3240C"/>
    <w:rsid w:val="0BC83F60"/>
    <w:rsid w:val="0C3D3456"/>
    <w:rsid w:val="0C521233"/>
    <w:rsid w:val="0C730B66"/>
    <w:rsid w:val="0D020937"/>
    <w:rsid w:val="0D4A0241"/>
    <w:rsid w:val="0DA717DD"/>
    <w:rsid w:val="0DD5693F"/>
    <w:rsid w:val="0E1D06E9"/>
    <w:rsid w:val="0E4C4CAD"/>
    <w:rsid w:val="0E6C4374"/>
    <w:rsid w:val="0E9D6C3E"/>
    <w:rsid w:val="0F6A1B72"/>
    <w:rsid w:val="0F7E4AB5"/>
    <w:rsid w:val="0FDF5C57"/>
    <w:rsid w:val="0FEF45D8"/>
    <w:rsid w:val="104A4B9C"/>
    <w:rsid w:val="10644AB8"/>
    <w:rsid w:val="106B07D0"/>
    <w:rsid w:val="10B57C21"/>
    <w:rsid w:val="11052D75"/>
    <w:rsid w:val="11121F8F"/>
    <w:rsid w:val="11C4600D"/>
    <w:rsid w:val="11CA3566"/>
    <w:rsid w:val="11E8746F"/>
    <w:rsid w:val="11FC43D8"/>
    <w:rsid w:val="123A4518"/>
    <w:rsid w:val="1248390A"/>
    <w:rsid w:val="129B2E90"/>
    <w:rsid w:val="12C51E21"/>
    <w:rsid w:val="13142D0C"/>
    <w:rsid w:val="13712F1D"/>
    <w:rsid w:val="137A5404"/>
    <w:rsid w:val="13A541C5"/>
    <w:rsid w:val="13B12D47"/>
    <w:rsid w:val="13EF0EA4"/>
    <w:rsid w:val="142C45C0"/>
    <w:rsid w:val="14B24AC5"/>
    <w:rsid w:val="14C82305"/>
    <w:rsid w:val="14D34591"/>
    <w:rsid w:val="14D74F4B"/>
    <w:rsid w:val="14D9719C"/>
    <w:rsid w:val="14F35BB7"/>
    <w:rsid w:val="151C2CF4"/>
    <w:rsid w:val="15325C06"/>
    <w:rsid w:val="15DD252D"/>
    <w:rsid w:val="162C4539"/>
    <w:rsid w:val="16D559A4"/>
    <w:rsid w:val="16D83F87"/>
    <w:rsid w:val="17077E1E"/>
    <w:rsid w:val="17232A22"/>
    <w:rsid w:val="173741A6"/>
    <w:rsid w:val="17497256"/>
    <w:rsid w:val="174B1C4B"/>
    <w:rsid w:val="17684412"/>
    <w:rsid w:val="17822770"/>
    <w:rsid w:val="17AE485B"/>
    <w:rsid w:val="17B0263E"/>
    <w:rsid w:val="17B8199D"/>
    <w:rsid w:val="17EC2627"/>
    <w:rsid w:val="18151F96"/>
    <w:rsid w:val="181C07FE"/>
    <w:rsid w:val="1828329C"/>
    <w:rsid w:val="18474916"/>
    <w:rsid w:val="18504D21"/>
    <w:rsid w:val="18891660"/>
    <w:rsid w:val="19AE6A7C"/>
    <w:rsid w:val="19D2412A"/>
    <w:rsid w:val="1A205D77"/>
    <w:rsid w:val="1A2F4635"/>
    <w:rsid w:val="1A6500CD"/>
    <w:rsid w:val="1A6E3101"/>
    <w:rsid w:val="1A8A1F53"/>
    <w:rsid w:val="1AA40A79"/>
    <w:rsid w:val="1AAA7997"/>
    <w:rsid w:val="1AB67180"/>
    <w:rsid w:val="1AD03189"/>
    <w:rsid w:val="1AD432CC"/>
    <w:rsid w:val="1AEA5623"/>
    <w:rsid w:val="1B927ADD"/>
    <w:rsid w:val="1B9E2075"/>
    <w:rsid w:val="1BAE4885"/>
    <w:rsid w:val="1BDF0B10"/>
    <w:rsid w:val="1BED33B9"/>
    <w:rsid w:val="1BFD0D1C"/>
    <w:rsid w:val="1C2633D9"/>
    <w:rsid w:val="1C403FB2"/>
    <w:rsid w:val="1C471BAE"/>
    <w:rsid w:val="1C4B40B5"/>
    <w:rsid w:val="1C5C0C26"/>
    <w:rsid w:val="1C9C4B48"/>
    <w:rsid w:val="1C9D6AB7"/>
    <w:rsid w:val="1CD4051D"/>
    <w:rsid w:val="1CDD2E94"/>
    <w:rsid w:val="1D027F1C"/>
    <w:rsid w:val="1D0A3E09"/>
    <w:rsid w:val="1D5F5B75"/>
    <w:rsid w:val="1E1D26F4"/>
    <w:rsid w:val="1E486D96"/>
    <w:rsid w:val="1E513B7B"/>
    <w:rsid w:val="1E66059A"/>
    <w:rsid w:val="1E801486"/>
    <w:rsid w:val="1EBA5A37"/>
    <w:rsid w:val="1F0D1100"/>
    <w:rsid w:val="1F47327D"/>
    <w:rsid w:val="1F615307"/>
    <w:rsid w:val="1F69491A"/>
    <w:rsid w:val="1F816AF6"/>
    <w:rsid w:val="1F8E47EB"/>
    <w:rsid w:val="1FBA61AB"/>
    <w:rsid w:val="1FCD6E14"/>
    <w:rsid w:val="1FFA6F58"/>
    <w:rsid w:val="208A18F1"/>
    <w:rsid w:val="208F342C"/>
    <w:rsid w:val="20E36C50"/>
    <w:rsid w:val="21250A1F"/>
    <w:rsid w:val="21645399"/>
    <w:rsid w:val="21840024"/>
    <w:rsid w:val="219F1FA0"/>
    <w:rsid w:val="21E76FBA"/>
    <w:rsid w:val="22016D7A"/>
    <w:rsid w:val="226B42AC"/>
    <w:rsid w:val="226F3203"/>
    <w:rsid w:val="22965A26"/>
    <w:rsid w:val="22AD29BB"/>
    <w:rsid w:val="22E73BCC"/>
    <w:rsid w:val="232F5F2B"/>
    <w:rsid w:val="232F6B26"/>
    <w:rsid w:val="23355E47"/>
    <w:rsid w:val="233A2E13"/>
    <w:rsid w:val="23AD17DA"/>
    <w:rsid w:val="24116252"/>
    <w:rsid w:val="244D1F35"/>
    <w:rsid w:val="24615AF1"/>
    <w:rsid w:val="24A47FAB"/>
    <w:rsid w:val="24A972CC"/>
    <w:rsid w:val="24B2644C"/>
    <w:rsid w:val="24BD7292"/>
    <w:rsid w:val="259D757A"/>
    <w:rsid w:val="25B03F51"/>
    <w:rsid w:val="25C90160"/>
    <w:rsid w:val="25EB1CBA"/>
    <w:rsid w:val="26556E14"/>
    <w:rsid w:val="268830E0"/>
    <w:rsid w:val="26B45F5D"/>
    <w:rsid w:val="26CA70AB"/>
    <w:rsid w:val="27206676"/>
    <w:rsid w:val="27323AFD"/>
    <w:rsid w:val="273625F3"/>
    <w:rsid w:val="27640D6C"/>
    <w:rsid w:val="277F2F2D"/>
    <w:rsid w:val="281929B4"/>
    <w:rsid w:val="284631BC"/>
    <w:rsid w:val="28790229"/>
    <w:rsid w:val="28955221"/>
    <w:rsid w:val="29163C7F"/>
    <w:rsid w:val="29463324"/>
    <w:rsid w:val="29483044"/>
    <w:rsid w:val="29904F47"/>
    <w:rsid w:val="29DB5E89"/>
    <w:rsid w:val="2A0C1188"/>
    <w:rsid w:val="2A880A7B"/>
    <w:rsid w:val="2AE47E9C"/>
    <w:rsid w:val="2AE5327C"/>
    <w:rsid w:val="2AEC5CA9"/>
    <w:rsid w:val="2AF14141"/>
    <w:rsid w:val="2B044026"/>
    <w:rsid w:val="2B585185"/>
    <w:rsid w:val="2B987E93"/>
    <w:rsid w:val="2BA900DA"/>
    <w:rsid w:val="2BFF6D43"/>
    <w:rsid w:val="2C5E4903"/>
    <w:rsid w:val="2CA3146B"/>
    <w:rsid w:val="2CDE257A"/>
    <w:rsid w:val="2CEE627B"/>
    <w:rsid w:val="2D1D0F10"/>
    <w:rsid w:val="2D254805"/>
    <w:rsid w:val="2D3E6293"/>
    <w:rsid w:val="2D636E4D"/>
    <w:rsid w:val="2D716FB7"/>
    <w:rsid w:val="2D7D1990"/>
    <w:rsid w:val="2DB66D80"/>
    <w:rsid w:val="2DC144F7"/>
    <w:rsid w:val="2DC4660F"/>
    <w:rsid w:val="2E1B4A8B"/>
    <w:rsid w:val="2ED85E73"/>
    <w:rsid w:val="2EDA6F06"/>
    <w:rsid w:val="2F384988"/>
    <w:rsid w:val="2F3E13BB"/>
    <w:rsid w:val="2F60641D"/>
    <w:rsid w:val="2F6239B5"/>
    <w:rsid w:val="2F7710B2"/>
    <w:rsid w:val="2FAA2B98"/>
    <w:rsid w:val="2FC04BEF"/>
    <w:rsid w:val="30057BEC"/>
    <w:rsid w:val="301A4A2F"/>
    <w:rsid w:val="30287B62"/>
    <w:rsid w:val="30442541"/>
    <w:rsid w:val="305C69DC"/>
    <w:rsid w:val="30997F39"/>
    <w:rsid w:val="30B03D7B"/>
    <w:rsid w:val="30EA7003"/>
    <w:rsid w:val="30F42C13"/>
    <w:rsid w:val="31047F0E"/>
    <w:rsid w:val="315C46BD"/>
    <w:rsid w:val="326A47D9"/>
    <w:rsid w:val="329135B7"/>
    <w:rsid w:val="32BF3509"/>
    <w:rsid w:val="32E35695"/>
    <w:rsid w:val="33110959"/>
    <w:rsid w:val="33B916E0"/>
    <w:rsid w:val="33D321A9"/>
    <w:rsid w:val="33E31656"/>
    <w:rsid w:val="33FC15EB"/>
    <w:rsid w:val="34403A44"/>
    <w:rsid w:val="349E2586"/>
    <w:rsid w:val="34AC0990"/>
    <w:rsid w:val="35150EE6"/>
    <w:rsid w:val="3542559A"/>
    <w:rsid w:val="35993F69"/>
    <w:rsid w:val="36107F4A"/>
    <w:rsid w:val="36174299"/>
    <w:rsid w:val="36504865"/>
    <w:rsid w:val="366D489F"/>
    <w:rsid w:val="367C1664"/>
    <w:rsid w:val="36807F5F"/>
    <w:rsid w:val="368F09FA"/>
    <w:rsid w:val="36E76FE1"/>
    <w:rsid w:val="375D203C"/>
    <w:rsid w:val="38026A6F"/>
    <w:rsid w:val="38244844"/>
    <w:rsid w:val="383C5696"/>
    <w:rsid w:val="386749B0"/>
    <w:rsid w:val="387B18EF"/>
    <w:rsid w:val="387E303B"/>
    <w:rsid w:val="38FD1C54"/>
    <w:rsid w:val="392D582E"/>
    <w:rsid w:val="39754190"/>
    <w:rsid w:val="39C15447"/>
    <w:rsid w:val="39E2464B"/>
    <w:rsid w:val="3A3C34B9"/>
    <w:rsid w:val="3A4D2A17"/>
    <w:rsid w:val="3A5E1FC1"/>
    <w:rsid w:val="3A9827B6"/>
    <w:rsid w:val="3AB578C7"/>
    <w:rsid w:val="3AC55322"/>
    <w:rsid w:val="3AD14697"/>
    <w:rsid w:val="3B0F4A4D"/>
    <w:rsid w:val="3BC63B24"/>
    <w:rsid w:val="3BCD3EBF"/>
    <w:rsid w:val="3BE15B0C"/>
    <w:rsid w:val="3C524578"/>
    <w:rsid w:val="3CAB19CD"/>
    <w:rsid w:val="3CAC7EDE"/>
    <w:rsid w:val="3CDB3BDA"/>
    <w:rsid w:val="3CFB3391"/>
    <w:rsid w:val="3D036158"/>
    <w:rsid w:val="3D235CB1"/>
    <w:rsid w:val="3D562934"/>
    <w:rsid w:val="3D60411F"/>
    <w:rsid w:val="3D8A02CD"/>
    <w:rsid w:val="3D956D9C"/>
    <w:rsid w:val="3DA93298"/>
    <w:rsid w:val="3DDF4B2C"/>
    <w:rsid w:val="3DF94976"/>
    <w:rsid w:val="3E004CF1"/>
    <w:rsid w:val="3E547E99"/>
    <w:rsid w:val="3EC82150"/>
    <w:rsid w:val="3EF45B57"/>
    <w:rsid w:val="3EFA5782"/>
    <w:rsid w:val="3F0D44AE"/>
    <w:rsid w:val="3F1D6618"/>
    <w:rsid w:val="3F36468C"/>
    <w:rsid w:val="3F92288A"/>
    <w:rsid w:val="3F923B1A"/>
    <w:rsid w:val="3FB75AA7"/>
    <w:rsid w:val="3FBA1F41"/>
    <w:rsid w:val="3FC94A24"/>
    <w:rsid w:val="3FFC782B"/>
    <w:rsid w:val="401B3CF2"/>
    <w:rsid w:val="40327DB0"/>
    <w:rsid w:val="404B5C4A"/>
    <w:rsid w:val="40AB1D23"/>
    <w:rsid w:val="40F53849"/>
    <w:rsid w:val="410D55D9"/>
    <w:rsid w:val="41884FF2"/>
    <w:rsid w:val="41E657FF"/>
    <w:rsid w:val="41E70D48"/>
    <w:rsid w:val="42066E08"/>
    <w:rsid w:val="422C694B"/>
    <w:rsid w:val="42497F67"/>
    <w:rsid w:val="42917FBA"/>
    <w:rsid w:val="42E157C0"/>
    <w:rsid w:val="436C0A8D"/>
    <w:rsid w:val="43BC471E"/>
    <w:rsid w:val="43DC2B82"/>
    <w:rsid w:val="43E22ABA"/>
    <w:rsid w:val="43EE5236"/>
    <w:rsid w:val="43F80DCD"/>
    <w:rsid w:val="43FB75A4"/>
    <w:rsid w:val="445D41D8"/>
    <w:rsid w:val="44751F2B"/>
    <w:rsid w:val="44836A5F"/>
    <w:rsid w:val="44884C83"/>
    <w:rsid w:val="448C5A6C"/>
    <w:rsid w:val="449622B7"/>
    <w:rsid w:val="45301EBD"/>
    <w:rsid w:val="453074E6"/>
    <w:rsid w:val="46500EC4"/>
    <w:rsid w:val="467E1C70"/>
    <w:rsid w:val="468A4245"/>
    <w:rsid w:val="46F51B6C"/>
    <w:rsid w:val="46FA5CD4"/>
    <w:rsid w:val="4748596C"/>
    <w:rsid w:val="47500045"/>
    <w:rsid w:val="476B40D2"/>
    <w:rsid w:val="478B7839"/>
    <w:rsid w:val="48040645"/>
    <w:rsid w:val="48523C0A"/>
    <w:rsid w:val="48763CF2"/>
    <w:rsid w:val="487C78C9"/>
    <w:rsid w:val="489E3890"/>
    <w:rsid w:val="494975E8"/>
    <w:rsid w:val="497A2C70"/>
    <w:rsid w:val="499C04BE"/>
    <w:rsid w:val="49E47F6E"/>
    <w:rsid w:val="4A387D4B"/>
    <w:rsid w:val="4A4F766A"/>
    <w:rsid w:val="4A51245D"/>
    <w:rsid w:val="4B1B11D7"/>
    <w:rsid w:val="4B2B621A"/>
    <w:rsid w:val="4B3A06D7"/>
    <w:rsid w:val="4B3F6B82"/>
    <w:rsid w:val="4B447127"/>
    <w:rsid w:val="4B5736F5"/>
    <w:rsid w:val="4B6B7860"/>
    <w:rsid w:val="4B822253"/>
    <w:rsid w:val="4BC56187"/>
    <w:rsid w:val="4BD34E49"/>
    <w:rsid w:val="4C0C01C1"/>
    <w:rsid w:val="4C883156"/>
    <w:rsid w:val="4CBC28D9"/>
    <w:rsid w:val="4CD64032"/>
    <w:rsid w:val="4D3021F3"/>
    <w:rsid w:val="4D3F455B"/>
    <w:rsid w:val="4D6E3BBD"/>
    <w:rsid w:val="4D8810D0"/>
    <w:rsid w:val="4DBC088F"/>
    <w:rsid w:val="4DCF2F60"/>
    <w:rsid w:val="4E2174AB"/>
    <w:rsid w:val="4E2C1433"/>
    <w:rsid w:val="4E300D69"/>
    <w:rsid w:val="4E4E5A90"/>
    <w:rsid w:val="4E6C325B"/>
    <w:rsid w:val="4EC54C1D"/>
    <w:rsid w:val="4ED334A3"/>
    <w:rsid w:val="4ED35B75"/>
    <w:rsid w:val="4EE00DE1"/>
    <w:rsid w:val="4F7072B9"/>
    <w:rsid w:val="4F7E2EF6"/>
    <w:rsid w:val="4F8464B4"/>
    <w:rsid w:val="4F9A1B35"/>
    <w:rsid w:val="4FA92276"/>
    <w:rsid w:val="4FD70343"/>
    <w:rsid w:val="4FDC066D"/>
    <w:rsid w:val="50391FDB"/>
    <w:rsid w:val="504E4830"/>
    <w:rsid w:val="50530F7D"/>
    <w:rsid w:val="50806617"/>
    <w:rsid w:val="50D76907"/>
    <w:rsid w:val="50E71153"/>
    <w:rsid w:val="513F1823"/>
    <w:rsid w:val="515E18BA"/>
    <w:rsid w:val="516F27CB"/>
    <w:rsid w:val="5196143C"/>
    <w:rsid w:val="51E63FE0"/>
    <w:rsid w:val="52043826"/>
    <w:rsid w:val="520C0506"/>
    <w:rsid w:val="52125025"/>
    <w:rsid w:val="524266BE"/>
    <w:rsid w:val="52701540"/>
    <w:rsid w:val="52BC24D3"/>
    <w:rsid w:val="52F13971"/>
    <w:rsid w:val="531151F6"/>
    <w:rsid w:val="53193AC3"/>
    <w:rsid w:val="53356AB0"/>
    <w:rsid w:val="53597175"/>
    <w:rsid w:val="53687418"/>
    <w:rsid w:val="53720DE2"/>
    <w:rsid w:val="53777452"/>
    <w:rsid w:val="53BA0C6B"/>
    <w:rsid w:val="53CD4272"/>
    <w:rsid w:val="53D2179B"/>
    <w:rsid w:val="53F92C98"/>
    <w:rsid w:val="54067AFD"/>
    <w:rsid w:val="5468609C"/>
    <w:rsid w:val="55197C6D"/>
    <w:rsid w:val="555D67A4"/>
    <w:rsid w:val="55B3075E"/>
    <w:rsid w:val="55B60238"/>
    <w:rsid w:val="55EA5219"/>
    <w:rsid w:val="561505D4"/>
    <w:rsid w:val="563102A4"/>
    <w:rsid w:val="565151E5"/>
    <w:rsid w:val="56973E1F"/>
    <w:rsid w:val="56FE711B"/>
    <w:rsid w:val="576772B5"/>
    <w:rsid w:val="57CD71C9"/>
    <w:rsid w:val="57E34306"/>
    <w:rsid w:val="57E57589"/>
    <w:rsid w:val="57EB3DEA"/>
    <w:rsid w:val="57ED2754"/>
    <w:rsid w:val="58AC71CF"/>
    <w:rsid w:val="58B323EC"/>
    <w:rsid w:val="591254B9"/>
    <w:rsid w:val="59A92A61"/>
    <w:rsid w:val="59C9560C"/>
    <w:rsid w:val="5ABF4E13"/>
    <w:rsid w:val="5ADE1F73"/>
    <w:rsid w:val="5B370E4D"/>
    <w:rsid w:val="5BAA7871"/>
    <w:rsid w:val="5BF5557A"/>
    <w:rsid w:val="5BF8382F"/>
    <w:rsid w:val="5C22684F"/>
    <w:rsid w:val="5C4557EC"/>
    <w:rsid w:val="5CB52BD2"/>
    <w:rsid w:val="5CDF456F"/>
    <w:rsid w:val="5CE3322E"/>
    <w:rsid w:val="5D572C78"/>
    <w:rsid w:val="5DA327CA"/>
    <w:rsid w:val="5DCB33F6"/>
    <w:rsid w:val="5DD153DA"/>
    <w:rsid w:val="5DDE3802"/>
    <w:rsid w:val="5DFF429F"/>
    <w:rsid w:val="5E224037"/>
    <w:rsid w:val="5E2558D5"/>
    <w:rsid w:val="5E3556CC"/>
    <w:rsid w:val="5E6A2CC5"/>
    <w:rsid w:val="5E88642D"/>
    <w:rsid w:val="5E990EF9"/>
    <w:rsid w:val="5E99583F"/>
    <w:rsid w:val="5EBF74D1"/>
    <w:rsid w:val="5EDE1CB9"/>
    <w:rsid w:val="5F1B5775"/>
    <w:rsid w:val="5F2465E8"/>
    <w:rsid w:val="5F306102"/>
    <w:rsid w:val="5F4B72E8"/>
    <w:rsid w:val="5F4F0E5B"/>
    <w:rsid w:val="5F783DAA"/>
    <w:rsid w:val="601A24B3"/>
    <w:rsid w:val="603119B9"/>
    <w:rsid w:val="603B11D0"/>
    <w:rsid w:val="608C563B"/>
    <w:rsid w:val="60E15CF6"/>
    <w:rsid w:val="60FE4D9D"/>
    <w:rsid w:val="61067EA9"/>
    <w:rsid w:val="61264E94"/>
    <w:rsid w:val="612C47B1"/>
    <w:rsid w:val="614B502C"/>
    <w:rsid w:val="61894496"/>
    <w:rsid w:val="61A601AB"/>
    <w:rsid w:val="61AA49D7"/>
    <w:rsid w:val="61BD3233"/>
    <w:rsid w:val="61BE3540"/>
    <w:rsid w:val="61DB480A"/>
    <w:rsid w:val="61F63C97"/>
    <w:rsid w:val="61FC694D"/>
    <w:rsid w:val="620D2F4D"/>
    <w:rsid w:val="624479E6"/>
    <w:rsid w:val="626A12F1"/>
    <w:rsid w:val="62C25DC1"/>
    <w:rsid w:val="62E713AB"/>
    <w:rsid w:val="62F241E8"/>
    <w:rsid w:val="632B71C6"/>
    <w:rsid w:val="634C153F"/>
    <w:rsid w:val="636F7002"/>
    <w:rsid w:val="639C03E7"/>
    <w:rsid w:val="6438051B"/>
    <w:rsid w:val="645940DA"/>
    <w:rsid w:val="64834DD8"/>
    <w:rsid w:val="648C318D"/>
    <w:rsid w:val="64D30970"/>
    <w:rsid w:val="651F11BC"/>
    <w:rsid w:val="65242442"/>
    <w:rsid w:val="653505E7"/>
    <w:rsid w:val="658F218E"/>
    <w:rsid w:val="661B154B"/>
    <w:rsid w:val="662114A5"/>
    <w:rsid w:val="662E766F"/>
    <w:rsid w:val="665E1BAC"/>
    <w:rsid w:val="66AC2722"/>
    <w:rsid w:val="670664EA"/>
    <w:rsid w:val="67305B69"/>
    <w:rsid w:val="675B4115"/>
    <w:rsid w:val="676A38DC"/>
    <w:rsid w:val="678F1196"/>
    <w:rsid w:val="67A05B7E"/>
    <w:rsid w:val="67ED5EED"/>
    <w:rsid w:val="68101CC4"/>
    <w:rsid w:val="687424E1"/>
    <w:rsid w:val="68D433DA"/>
    <w:rsid w:val="68D81006"/>
    <w:rsid w:val="69146FEF"/>
    <w:rsid w:val="69B83AA1"/>
    <w:rsid w:val="69D34CDF"/>
    <w:rsid w:val="6A5F4FA1"/>
    <w:rsid w:val="6A7A4E34"/>
    <w:rsid w:val="6AB77194"/>
    <w:rsid w:val="6ADA6866"/>
    <w:rsid w:val="6AE564D0"/>
    <w:rsid w:val="6B3B614C"/>
    <w:rsid w:val="6B61332D"/>
    <w:rsid w:val="6BA90C3F"/>
    <w:rsid w:val="6C4516BE"/>
    <w:rsid w:val="6C4F5101"/>
    <w:rsid w:val="6C7621DF"/>
    <w:rsid w:val="6C787452"/>
    <w:rsid w:val="6C853C97"/>
    <w:rsid w:val="6CE1254E"/>
    <w:rsid w:val="6CEF4F0F"/>
    <w:rsid w:val="6D1E36FB"/>
    <w:rsid w:val="6D397846"/>
    <w:rsid w:val="6DAA12B9"/>
    <w:rsid w:val="6DAB59DE"/>
    <w:rsid w:val="6DAC0CA7"/>
    <w:rsid w:val="6E434EF0"/>
    <w:rsid w:val="6E6E4E06"/>
    <w:rsid w:val="6E7A016D"/>
    <w:rsid w:val="6E934195"/>
    <w:rsid w:val="6EC32CCC"/>
    <w:rsid w:val="6EC47A23"/>
    <w:rsid w:val="6EF47564"/>
    <w:rsid w:val="701B0E3A"/>
    <w:rsid w:val="70235C5C"/>
    <w:rsid w:val="702C1048"/>
    <w:rsid w:val="70455FF7"/>
    <w:rsid w:val="705B4869"/>
    <w:rsid w:val="707215D5"/>
    <w:rsid w:val="708B7B34"/>
    <w:rsid w:val="71493855"/>
    <w:rsid w:val="71525973"/>
    <w:rsid w:val="71B53A87"/>
    <w:rsid w:val="71D55BDA"/>
    <w:rsid w:val="71DA2ABA"/>
    <w:rsid w:val="71DF79D6"/>
    <w:rsid w:val="71F76241"/>
    <w:rsid w:val="726971FF"/>
    <w:rsid w:val="72F42593"/>
    <w:rsid w:val="730043D2"/>
    <w:rsid w:val="73724465"/>
    <w:rsid w:val="73CC483B"/>
    <w:rsid w:val="73D96AEE"/>
    <w:rsid w:val="7406129A"/>
    <w:rsid w:val="74125A53"/>
    <w:rsid w:val="741D2362"/>
    <w:rsid w:val="742B0FF5"/>
    <w:rsid w:val="74493C73"/>
    <w:rsid w:val="74933D70"/>
    <w:rsid w:val="749C2B7B"/>
    <w:rsid w:val="749D1342"/>
    <w:rsid w:val="75566EE4"/>
    <w:rsid w:val="7583200C"/>
    <w:rsid w:val="7660428B"/>
    <w:rsid w:val="76C56DC4"/>
    <w:rsid w:val="76F2653C"/>
    <w:rsid w:val="77606F01"/>
    <w:rsid w:val="77B4314C"/>
    <w:rsid w:val="77CD13AB"/>
    <w:rsid w:val="77D84AFD"/>
    <w:rsid w:val="789E6215"/>
    <w:rsid w:val="78C647AD"/>
    <w:rsid w:val="79900684"/>
    <w:rsid w:val="799139C7"/>
    <w:rsid w:val="79963F39"/>
    <w:rsid w:val="79A65463"/>
    <w:rsid w:val="79F31D17"/>
    <w:rsid w:val="7A266805"/>
    <w:rsid w:val="7A286456"/>
    <w:rsid w:val="7A2A625A"/>
    <w:rsid w:val="7A5A14F8"/>
    <w:rsid w:val="7AB20098"/>
    <w:rsid w:val="7ACF0E2A"/>
    <w:rsid w:val="7ADC31A8"/>
    <w:rsid w:val="7AE11CFE"/>
    <w:rsid w:val="7B025D8A"/>
    <w:rsid w:val="7B071AE4"/>
    <w:rsid w:val="7B275319"/>
    <w:rsid w:val="7B4324F0"/>
    <w:rsid w:val="7B453B00"/>
    <w:rsid w:val="7B8F0214"/>
    <w:rsid w:val="7BF111A2"/>
    <w:rsid w:val="7C250561"/>
    <w:rsid w:val="7C280C89"/>
    <w:rsid w:val="7CAE4569"/>
    <w:rsid w:val="7CB121DB"/>
    <w:rsid w:val="7CBE43EB"/>
    <w:rsid w:val="7CD200A4"/>
    <w:rsid w:val="7CFC261F"/>
    <w:rsid w:val="7D040A54"/>
    <w:rsid w:val="7D2B5029"/>
    <w:rsid w:val="7D783FF4"/>
    <w:rsid w:val="7DBB4185"/>
    <w:rsid w:val="7DC934DB"/>
    <w:rsid w:val="7E097FCF"/>
    <w:rsid w:val="7E5739DC"/>
    <w:rsid w:val="7E9E3841"/>
    <w:rsid w:val="7ECB1A77"/>
    <w:rsid w:val="7ECC1B65"/>
    <w:rsid w:val="7ED60533"/>
    <w:rsid w:val="7EE23AE4"/>
    <w:rsid w:val="7EE52B34"/>
    <w:rsid w:val="7FB77874"/>
    <w:rsid w:val="7FE32DAA"/>
    <w:rsid w:val="7FF536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4"/>
    <w:next w:val="5"/>
    <w:link w:val="121"/>
    <w:qFormat/>
    <w:uiPriority w:val="0"/>
    <w:pPr>
      <w:keepNext/>
      <w:keepLines/>
      <w:spacing w:after="120" w:line="360" w:lineRule="auto"/>
      <w:outlineLvl w:val="0"/>
    </w:pPr>
    <w:rPr>
      <w:kern w:val="44"/>
      <w:sz w:val="28"/>
      <w:szCs w:val="28"/>
    </w:rPr>
  </w:style>
  <w:style w:type="paragraph" w:styleId="7">
    <w:name w:val="heading 2"/>
    <w:basedOn w:val="1"/>
    <w:next w:val="8"/>
    <w:link w:val="64"/>
    <w:qFormat/>
    <w:uiPriority w:val="0"/>
    <w:pPr>
      <w:keepNext/>
      <w:keepLines/>
      <w:spacing w:before="120" w:after="120" w:line="415" w:lineRule="auto"/>
      <w:ind w:left="454"/>
      <w:jc w:val="center"/>
      <w:outlineLvl w:val="1"/>
    </w:pPr>
    <w:rPr>
      <w:rFonts w:ascii="Arial" w:hAnsi="Arial"/>
      <w:b/>
      <w:color w:val="000000"/>
      <w:sz w:val="24"/>
      <w:szCs w:val="24"/>
    </w:rPr>
  </w:style>
  <w:style w:type="paragraph" w:styleId="9">
    <w:name w:val="heading 3"/>
    <w:basedOn w:val="1"/>
    <w:next w:val="1"/>
    <w:link w:val="126"/>
    <w:qFormat/>
    <w:uiPriority w:val="0"/>
    <w:pPr>
      <w:widowControl/>
      <w:spacing w:before="100" w:beforeAutospacing="1" w:after="100" w:afterAutospacing="1"/>
      <w:jc w:val="left"/>
      <w:outlineLvl w:val="2"/>
    </w:pPr>
    <w:rPr>
      <w:rFonts w:ascii="宋体" w:hAnsi="宋体" w:cs="宋体"/>
      <w:kern w:val="0"/>
      <w:sz w:val="24"/>
      <w:szCs w:val="27"/>
    </w:rPr>
  </w:style>
  <w:style w:type="paragraph" w:styleId="10">
    <w:name w:val="heading 4"/>
    <w:basedOn w:val="9"/>
    <w:next w:val="8"/>
    <w:link w:val="65"/>
    <w:qFormat/>
    <w:uiPriority w:val="0"/>
    <w:pPr>
      <w:keepNext/>
      <w:keepLines/>
      <w:widowControl w:val="0"/>
      <w:numPr>
        <w:ilvl w:val="3"/>
        <w:numId w:val="1"/>
      </w:numPr>
      <w:spacing w:before="0" w:beforeLines="50" w:beforeAutospacing="0" w:after="0" w:afterLines="50" w:afterAutospacing="0" w:line="360" w:lineRule="auto"/>
      <w:outlineLvl w:val="3"/>
    </w:pPr>
    <w:rPr>
      <w:rFonts w:ascii="Arial" w:hAnsi="Arial" w:cs="Times New Roman"/>
      <w:color w:val="000000"/>
      <w:kern w:val="2"/>
      <w:sz w:val="21"/>
      <w:szCs w:val="21"/>
    </w:rPr>
  </w:style>
  <w:style w:type="paragraph" w:styleId="11">
    <w:name w:val="heading 5"/>
    <w:basedOn w:val="10"/>
    <w:next w:val="8"/>
    <w:link w:val="66"/>
    <w:qFormat/>
    <w:uiPriority w:val="0"/>
    <w:pPr>
      <w:numPr>
        <w:ilvl w:val="4"/>
      </w:numPr>
      <w:spacing w:line="240" w:lineRule="exact"/>
      <w:outlineLvl w:val="4"/>
    </w:pPr>
  </w:style>
  <w:style w:type="paragraph" w:styleId="12">
    <w:name w:val="heading 6"/>
    <w:basedOn w:val="1"/>
    <w:next w:val="1"/>
    <w:link w:val="67"/>
    <w:qFormat/>
    <w:uiPriority w:val="0"/>
    <w:pPr>
      <w:keepNext/>
      <w:keepLines/>
      <w:numPr>
        <w:ilvl w:val="5"/>
        <w:numId w:val="2"/>
      </w:numPr>
      <w:spacing w:before="240" w:after="64" w:line="320" w:lineRule="auto"/>
      <w:outlineLvl w:val="5"/>
    </w:pPr>
    <w:rPr>
      <w:rFonts w:ascii="Arial" w:hAnsi="Arial" w:eastAsia="黑体"/>
      <w:b/>
      <w:bCs/>
      <w:sz w:val="24"/>
      <w:szCs w:val="24"/>
    </w:rPr>
  </w:style>
  <w:style w:type="paragraph" w:styleId="13">
    <w:name w:val="heading 7"/>
    <w:basedOn w:val="1"/>
    <w:next w:val="8"/>
    <w:link w:val="68"/>
    <w:qFormat/>
    <w:uiPriority w:val="0"/>
    <w:pPr>
      <w:keepNext/>
      <w:keepLines/>
      <w:numPr>
        <w:ilvl w:val="6"/>
        <w:numId w:val="1"/>
      </w:numPr>
      <w:spacing w:before="240" w:after="64" w:line="320" w:lineRule="auto"/>
      <w:outlineLvl w:val="6"/>
    </w:pPr>
    <w:rPr>
      <w:rFonts w:ascii="Times New Roman" w:hAnsi="Times New Roman"/>
      <w:b/>
      <w:sz w:val="24"/>
      <w:szCs w:val="20"/>
    </w:rPr>
  </w:style>
  <w:style w:type="paragraph" w:styleId="14">
    <w:name w:val="heading 8"/>
    <w:basedOn w:val="1"/>
    <w:next w:val="8"/>
    <w:link w:val="69"/>
    <w:qFormat/>
    <w:uiPriority w:val="0"/>
    <w:pPr>
      <w:keepNext/>
      <w:keepLines/>
      <w:numPr>
        <w:ilvl w:val="7"/>
        <w:numId w:val="1"/>
      </w:numPr>
      <w:spacing w:before="240" w:after="64" w:line="320" w:lineRule="auto"/>
      <w:outlineLvl w:val="7"/>
    </w:pPr>
    <w:rPr>
      <w:rFonts w:ascii="Arial" w:hAnsi="Arial" w:eastAsia="黑体"/>
      <w:sz w:val="24"/>
      <w:szCs w:val="20"/>
    </w:rPr>
  </w:style>
  <w:style w:type="paragraph" w:styleId="15">
    <w:name w:val="heading 9"/>
    <w:basedOn w:val="1"/>
    <w:next w:val="8"/>
    <w:link w:val="70"/>
    <w:qFormat/>
    <w:uiPriority w:val="0"/>
    <w:pPr>
      <w:keepNext/>
      <w:keepLines/>
      <w:numPr>
        <w:ilvl w:val="8"/>
        <w:numId w:val="1"/>
      </w:numPr>
      <w:spacing w:before="240" w:after="64" w:line="320" w:lineRule="auto"/>
      <w:outlineLvl w:val="8"/>
    </w:pPr>
    <w:rPr>
      <w:rFonts w:ascii="Arial" w:hAnsi="Arial" w:eastAsia="黑体"/>
      <w:szCs w:val="20"/>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84"/>
    <w:qFormat/>
    <w:uiPriority w:val="0"/>
    <w:rPr>
      <w:rFonts w:ascii="宋体" w:hAnsi="Courier New"/>
      <w:szCs w:val="20"/>
    </w:rPr>
  </w:style>
  <w:style w:type="paragraph" w:styleId="4">
    <w:name w:val="Title"/>
    <w:basedOn w:val="1"/>
    <w:link w:val="72"/>
    <w:qFormat/>
    <w:uiPriority w:val="0"/>
    <w:pPr>
      <w:spacing w:before="120" w:after="60"/>
      <w:jc w:val="center"/>
    </w:pPr>
    <w:rPr>
      <w:rFonts w:ascii="Arial" w:hAnsi="Arial"/>
      <w:b/>
      <w:sz w:val="44"/>
      <w:szCs w:val="20"/>
    </w:rPr>
  </w:style>
  <w:style w:type="paragraph" w:styleId="5">
    <w:name w:val="Body Text First Indent"/>
    <w:basedOn w:val="6"/>
    <w:link w:val="76"/>
    <w:qFormat/>
    <w:uiPriority w:val="0"/>
    <w:pPr>
      <w:ind w:firstLine="420"/>
    </w:pPr>
  </w:style>
  <w:style w:type="paragraph" w:styleId="6">
    <w:name w:val="Body Text"/>
    <w:basedOn w:val="1"/>
    <w:link w:val="74"/>
    <w:qFormat/>
    <w:uiPriority w:val="0"/>
    <w:pPr>
      <w:spacing w:after="120"/>
    </w:pPr>
    <w:rPr>
      <w:rFonts w:ascii="Times New Roman" w:hAnsi="Times New Roman"/>
      <w:szCs w:val="20"/>
    </w:rPr>
  </w:style>
  <w:style w:type="paragraph" w:styleId="8">
    <w:name w:val="Normal Indent"/>
    <w:basedOn w:val="1"/>
    <w:next w:val="1"/>
    <w:qFormat/>
    <w:uiPriority w:val="0"/>
    <w:pPr>
      <w:ind w:firstLine="420"/>
    </w:pPr>
    <w:rPr>
      <w:rFonts w:ascii="Times New Roman" w:hAnsi="Times New Roman"/>
      <w:szCs w:val="20"/>
    </w:rPr>
  </w:style>
  <w:style w:type="paragraph" w:styleId="16">
    <w:name w:val="Document Map"/>
    <w:basedOn w:val="1"/>
    <w:link w:val="82"/>
    <w:qFormat/>
    <w:uiPriority w:val="0"/>
    <w:pPr>
      <w:shd w:val="clear" w:color="auto" w:fill="000080"/>
    </w:pPr>
    <w:rPr>
      <w:rFonts w:ascii="Times New Roman" w:hAnsi="Times New Roman"/>
      <w:szCs w:val="20"/>
    </w:rPr>
  </w:style>
  <w:style w:type="paragraph" w:styleId="17">
    <w:name w:val="annotation text"/>
    <w:basedOn w:val="1"/>
    <w:link w:val="108"/>
    <w:qFormat/>
    <w:uiPriority w:val="0"/>
    <w:pPr>
      <w:spacing w:line="360" w:lineRule="auto"/>
      <w:ind w:firstLine="523" w:firstLineChars="218"/>
      <w:jc w:val="left"/>
    </w:pPr>
    <w:rPr>
      <w:rFonts w:ascii="宋体" w:hAnsi="宋体"/>
      <w:sz w:val="24"/>
      <w:szCs w:val="24"/>
    </w:rPr>
  </w:style>
  <w:style w:type="paragraph" w:styleId="18">
    <w:name w:val="Body Text Indent"/>
    <w:basedOn w:val="1"/>
    <w:link w:val="80"/>
    <w:qFormat/>
    <w:uiPriority w:val="0"/>
    <w:pPr>
      <w:ind w:firstLine="570"/>
    </w:pPr>
    <w:rPr>
      <w:rFonts w:ascii="Times New Roman" w:hAnsi="Times New Roman"/>
      <w:sz w:val="28"/>
      <w:szCs w:val="20"/>
    </w:rPr>
  </w:style>
  <w:style w:type="paragraph" w:styleId="19">
    <w:name w:val="index 4"/>
    <w:basedOn w:val="1"/>
    <w:next w:val="1"/>
    <w:unhideWhenUsed/>
    <w:qFormat/>
    <w:uiPriority w:val="99"/>
    <w:pPr>
      <w:ind w:left="600" w:leftChars="600"/>
    </w:pPr>
  </w:style>
  <w:style w:type="paragraph" w:styleId="20">
    <w:name w:val="toc 3"/>
    <w:basedOn w:val="1"/>
    <w:next w:val="1"/>
    <w:qFormat/>
    <w:uiPriority w:val="39"/>
    <w:pPr>
      <w:snapToGrid w:val="0"/>
      <w:spacing w:line="360" w:lineRule="auto"/>
      <w:ind w:left="400" w:leftChars="400"/>
      <w:jc w:val="left"/>
    </w:pPr>
    <w:rPr>
      <w:rFonts w:ascii="Times New Roman" w:hAnsi="Times New Roman"/>
      <w:sz w:val="24"/>
      <w:szCs w:val="20"/>
    </w:rPr>
  </w:style>
  <w:style w:type="paragraph" w:styleId="21">
    <w:name w:val="Date"/>
    <w:basedOn w:val="1"/>
    <w:next w:val="1"/>
    <w:link w:val="78"/>
    <w:qFormat/>
    <w:uiPriority w:val="0"/>
    <w:rPr>
      <w:rFonts w:ascii="Times New Roman" w:hAnsi="Times New Roman"/>
      <w:szCs w:val="20"/>
    </w:rPr>
  </w:style>
  <w:style w:type="paragraph" w:styleId="22">
    <w:name w:val="Body Text Indent 2"/>
    <w:basedOn w:val="1"/>
    <w:link w:val="86"/>
    <w:qFormat/>
    <w:uiPriority w:val="0"/>
    <w:pPr>
      <w:spacing w:line="400" w:lineRule="exact"/>
      <w:ind w:left="425"/>
    </w:pPr>
    <w:rPr>
      <w:rFonts w:ascii="Times New Roman" w:hAnsi="Times New Roman"/>
      <w:color w:val="000000"/>
      <w:sz w:val="24"/>
      <w:szCs w:val="20"/>
    </w:rPr>
  </w:style>
  <w:style w:type="paragraph" w:styleId="23">
    <w:name w:val="endnote text"/>
    <w:basedOn w:val="1"/>
    <w:link w:val="95"/>
    <w:qFormat/>
    <w:uiPriority w:val="0"/>
    <w:pPr>
      <w:snapToGrid w:val="0"/>
      <w:jc w:val="left"/>
    </w:pPr>
    <w:rPr>
      <w:rFonts w:ascii="Times New Roman" w:hAnsi="Times New Roman"/>
      <w:szCs w:val="20"/>
    </w:rPr>
  </w:style>
  <w:style w:type="paragraph" w:styleId="24">
    <w:name w:val="Balloon Text"/>
    <w:basedOn w:val="1"/>
    <w:link w:val="105"/>
    <w:qFormat/>
    <w:uiPriority w:val="0"/>
    <w:rPr>
      <w:rFonts w:ascii="Times New Roman" w:hAnsi="Times New Roman"/>
      <w:sz w:val="18"/>
      <w:szCs w:val="18"/>
    </w:rPr>
  </w:style>
  <w:style w:type="paragraph" w:styleId="25">
    <w:name w:val="footer"/>
    <w:basedOn w:val="1"/>
    <w:link w:val="62"/>
    <w:unhideWhenUsed/>
    <w:qFormat/>
    <w:uiPriority w:val="0"/>
    <w:pPr>
      <w:tabs>
        <w:tab w:val="center" w:pos="4153"/>
        <w:tab w:val="right" w:pos="8306"/>
      </w:tabs>
      <w:snapToGrid w:val="0"/>
      <w:jc w:val="left"/>
    </w:pPr>
    <w:rPr>
      <w:sz w:val="18"/>
      <w:szCs w:val="18"/>
    </w:rPr>
  </w:style>
  <w:style w:type="paragraph" w:styleId="26">
    <w:name w:val="header"/>
    <w:basedOn w:val="1"/>
    <w:link w:val="60"/>
    <w:unhideWhenUsed/>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39"/>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28">
    <w:name w:val="footnote text"/>
    <w:basedOn w:val="1"/>
    <w:link w:val="110"/>
    <w:qFormat/>
    <w:uiPriority w:val="0"/>
    <w:pPr>
      <w:snapToGrid w:val="0"/>
      <w:spacing w:line="360" w:lineRule="auto"/>
      <w:ind w:firstLine="523" w:firstLineChars="218"/>
      <w:jc w:val="left"/>
    </w:pPr>
    <w:rPr>
      <w:rFonts w:ascii="宋体" w:hAnsi="宋体"/>
      <w:sz w:val="18"/>
      <w:szCs w:val="18"/>
    </w:rPr>
  </w:style>
  <w:style w:type="paragraph" w:styleId="29">
    <w:name w:val="Body Text Indent 3"/>
    <w:basedOn w:val="1"/>
    <w:link w:val="88"/>
    <w:qFormat/>
    <w:uiPriority w:val="0"/>
    <w:pPr>
      <w:tabs>
        <w:tab w:val="left" w:pos="0"/>
      </w:tabs>
      <w:spacing w:line="400" w:lineRule="exact"/>
      <w:ind w:left="563" w:leftChars="228" w:hanging="84" w:hangingChars="35"/>
    </w:pPr>
    <w:rPr>
      <w:rFonts w:ascii="Times New Roman" w:hAnsi="Times New Roman"/>
      <w:color w:val="000000"/>
      <w:sz w:val="24"/>
      <w:szCs w:val="20"/>
    </w:rPr>
  </w:style>
  <w:style w:type="paragraph" w:styleId="30">
    <w:name w:val="toc 2"/>
    <w:basedOn w:val="1"/>
    <w:next w:val="1"/>
    <w:qFormat/>
    <w:uiPriority w:val="39"/>
    <w:pPr>
      <w:tabs>
        <w:tab w:val="right" w:leader="dot" w:pos="9060"/>
      </w:tabs>
      <w:snapToGrid w:val="0"/>
      <w:spacing w:line="360" w:lineRule="auto"/>
      <w:ind w:left="420" w:leftChars="200"/>
      <w:jc w:val="left"/>
    </w:pPr>
    <w:rPr>
      <w:rFonts w:ascii="Times New Roman" w:hAnsi="Times New Roman"/>
      <w:sz w:val="24"/>
      <w:szCs w:val="24"/>
    </w:rPr>
  </w:style>
  <w:style w:type="paragraph" w:styleId="31">
    <w:name w:val="Body Text 2"/>
    <w:basedOn w:val="1"/>
    <w:link w:val="92"/>
    <w:qFormat/>
    <w:uiPriority w:val="0"/>
    <w:rPr>
      <w:rFonts w:ascii="宋体" w:hAnsi="宋体"/>
      <w:szCs w:val="24"/>
      <w:u w:val="single"/>
    </w:rPr>
  </w:style>
  <w:style w:type="paragraph" w:styleId="32">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33">
    <w:name w:val="Normal (Web)"/>
    <w:basedOn w:val="1"/>
    <w:qFormat/>
    <w:uiPriority w:val="0"/>
    <w:pPr>
      <w:widowControl/>
      <w:spacing w:before="100" w:beforeAutospacing="1" w:after="100" w:afterAutospacing="1"/>
    </w:pPr>
    <w:rPr>
      <w:rFonts w:ascii="宋体" w:hAnsi="宋体" w:eastAsia="方正楷体_GB2312" w:cs="宋体"/>
      <w:sz w:val="24"/>
      <w:szCs w:val="24"/>
    </w:rPr>
  </w:style>
  <w:style w:type="paragraph" w:styleId="34">
    <w:name w:val="index 1"/>
    <w:basedOn w:val="1"/>
    <w:next w:val="1"/>
    <w:qFormat/>
    <w:uiPriority w:val="0"/>
    <w:rPr>
      <w:rFonts w:ascii="Times New Roman" w:hAnsi="Times New Roman" w:eastAsia="仿宋_GB2312"/>
      <w:sz w:val="28"/>
      <w:szCs w:val="20"/>
    </w:rPr>
  </w:style>
  <w:style w:type="paragraph" w:styleId="35">
    <w:name w:val="annotation subject"/>
    <w:basedOn w:val="17"/>
    <w:next w:val="17"/>
    <w:link w:val="112"/>
    <w:qFormat/>
    <w:uiPriority w:val="0"/>
    <w:rPr>
      <w:b/>
      <w:bCs/>
    </w:rPr>
  </w:style>
  <w:style w:type="paragraph" w:styleId="36">
    <w:name w:val="Body Text First Indent 2"/>
    <w:semiHidden/>
    <w:unhideWhenUsed/>
    <w:qFormat/>
    <w:uiPriority w:val="99"/>
    <w:pPr>
      <w:widowControl w:val="0"/>
      <w:spacing w:after="120"/>
      <w:ind w:left="200" w:leftChars="200" w:firstLine="200" w:firstLineChars="200"/>
      <w:jc w:val="both"/>
    </w:pPr>
    <w:rPr>
      <w:rFonts w:ascii="Times New Roman" w:hAnsi="Times New Roman" w:eastAsia="宋体" w:cs="Times New Roman"/>
      <w:kern w:val="2"/>
      <w:sz w:val="28"/>
      <w:szCs w:val="28"/>
      <w:lang w:val="en-US" w:eastAsia="zh-CN" w:bidi="ar-SA"/>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0">
    <w:name w:val="Strong"/>
    <w:qFormat/>
    <w:uiPriority w:val="0"/>
    <w:rPr>
      <w:b/>
    </w:rPr>
  </w:style>
  <w:style w:type="character" w:styleId="41">
    <w:name w:val="endnote reference"/>
    <w:qFormat/>
    <w:uiPriority w:val="0"/>
    <w:rPr>
      <w:vertAlign w:val="superscript"/>
    </w:rPr>
  </w:style>
  <w:style w:type="character" w:styleId="42">
    <w:name w:val="page number"/>
    <w:qFormat/>
    <w:uiPriority w:val="0"/>
    <w:rPr>
      <w:rFonts w:cs="Times New Roman"/>
    </w:rPr>
  </w:style>
  <w:style w:type="character" w:styleId="43">
    <w:name w:val="FollowedHyperlink"/>
    <w:semiHidden/>
    <w:unhideWhenUsed/>
    <w:qFormat/>
    <w:uiPriority w:val="99"/>
    <w:rPr>
      <w:color w:val="954F72"/>
      <w:u w:val="single"/>
    </w:rPr>
  </w:style>
  <w:style w:type="character" w:styleId="44">
    <w:name w:val="Hyperlink"/>
    <w:qFormat/>
    <w:uiPriority w:val="99"/>
    <w:rPr>
      <w:color w:val="0000FF"/>
      <w:u w:val="single"/>
    </w:rPr>
  </w:style>
  <w:style w:type="character" w:styleId="45">
    <w:name w:val="annotation reference"/>
    <w:qFormat/>
    <w:uiPriority w:val="0"/>
    <w:rPr>
      <w:sz w:val="21"/>
      <w:szCs w:val="21"/>
    </w:rPr>
  </w:style>
  <w:style w:type="character" w:styleId="46">
    <w:name w:val="footnote reference"/>
    <w:qFormat/>
    <w:uiPriority w:val="0"/>
    <w:rPr>
      <w:vertAlign w:val="superscript"/>
    </w:rPr>
  </w:style>
  <w:style w:type="paragraph" w:customStyle="1" w:styleId="47">
    <w:name w:val="样式 宋体 行距: 1.5 倍行距"/>
    <w:basedOn w:val="1"/>
    <w:qFormat/>
    <w:uiPriority w:val="0"/>
    <w:pPr>
      <w:jc w:val="center"/>
    </w:pPr>
    <w:rPr>
      <w:rFonts w:ascii="Times New Roman" w:hAnsi="Times New Roman"/>
      <w:b/>
    </w:rPr>
  </w:style>
  <w:style w:type="paragraph" w:customStyle="1" w:styleId="48">
    <w:name w:val="_Style 3"/>
    <w:qFormat/>
    <w:uiPriority w:val="0"/>
    <w:pPr>
      <w:widowControl w:val="0"/>
      <w:jc w:val="both"/>
    </w:pPr>
    <w:rPr>
      <w:rFonts w:ascii="Calibri" w:hAnsi="Calibri" w:eastAsia="宋体" w:cs="Times New Roman"/>
      <w:kern w:val="2"/>
      <w:sz w:val="21"/>
      <w:szCs w:val="22"/>
      <w:lang w:val="en-US" w:eastAsia="zh-CN" w:bidi="ar-SA"/>
    </w:rPr>
  </w:style>
  <w:style w:type="character" w:customStyle="1" w:styleId="49">
    <w:name w:val="标题 3 Char"/>
    <w:qFormat/>
    <w:uiPriority w:val="0"/>
    <w:rPr>
      <w:rFonts w:ascii="宋体" w:hAnsi="宋体" w:eastAsia="宋体" w:cs="宋体"/>
      <w:kern w:val="0"/>
      <w:sz w:val="24"/>
      <w:szCs w:val="27"/>
    </w:rPr>
  </w:style>
  <w:style w:type="character" w:customStyle="1" w:styleId="50">
    <w:name w:val="标题 1 字符"/>
    <w:qFormat/>
    <w:uiPriority w:val="9"/>
    <w:rPr>
      <w:rFonts w:ascii="Calibri" w:hAnsi="Calibri" w:eastAsia="宋体" w:cs="Times New Roman"/>
      <w:b/>
      <w:bCs/>
      <w:kern w:val="44"/>
      <w:sz w:val="44"/>
      <w:szCs w:val="44"/>
    </w:rPr>
  </w:style>
  <w:style w:type="character" w:customStyle="1" w:styleId="51">
    <w:name w:val="标题 2 字符"/>
    <w:semiHidden/>
    <w:qFormat/>
    <w:uiPriority w:val="9"/>
    <w:rPr>
      <w:rFonts w:ascii="等线 Light" w:hAnsi="等线 Light" w:eastAsia="等线 Light" w:cs="Times New Roman"/>
      <w:b/>
      <w:bCs/>
      <w:sz w:val="32"/>
      <w:szCs w:val="32"/>
    </w:rPr>
  </w:style>
  <w:style w:type="character" w:customStyle="1" w:styleId="52">
    <w:name w:val="标题 3 字符"/>
    <w:semiHidden/>
    <w:qFormat/>
    <w:uiPriority w:val="9"/>
    <w:rPr>
      <w:rFonts w:ascii="Calibri" w:hAnsi="Calibri" w:eastAsia="宋体" w:cs="Times New Roman"/>
      <w:b/>
      <w:bCs/>
      <w:sz w:val="32"/>
      <w:szCs w:val="32"/>
    </w:rPr>
  </w:style>
  <w:style w:type="character" w:customStyle="1" w:styleId="53">
    <w:name w:val="标题 4 字符"/>
    <w:semiHidden/>
    <w:qFormat/>
    <w:uiPriority w:val="9"/>
    <w:rPr>
      <w:rFonts w:ascii="等线 Light" w:hAnsi="等线 Light" w:eastAsia="等线 Light" w:cs="Times New Roman"/>
      <w:b/>
      <w:bCs/>
      <w:sz w:val="28"/>
      <w:szCs w:val="28"/>
    </w:rPr>
  </w:style>
  <w:style w:type="character" w:customStyle="1" w:styleId="54">
    <w:name w:val="标题 5 字符"/>
    <w:semiHidden/>
    <w:qFormat/>
    <w:uiPriority w:val="9"/>
    <w:rPr>
      <w:rFonts w:ascii="Calibri" w:hAnsi="Calibri" w:eastAsia="宋体" w:cs="Times New Roman"/>
      <w:b/>
      <w:bCs/>
      <w:sz w:val="28"/>
      <w:szCs w:val="28"/>
    </w:rPr>
  </w:style>
  <w:style w:type="character" w:customStyle="1" w:styleId="55">
    <w:name w:val="标题 6 字符"/>
    <w:semiHidden/>
    <w:qFormat/>
    <w:uiPriority w:val="9"/>
    <w:rPr>
      <w:rFonts w:ascii="等线 Light" w:hAnsi="等线 Light" w:eastAsia="等线 Light" w:cs="Times New Roman"/>
      <w:b/>
      <w:bCs/>
      <w:sz w:val="24"/>
      <w:szCs w:val="24"/>
    </w:rPr>
  </w:style>
  <w:style w:type="character" w:customStyle="1" w:styleId="56">
    <w:name w:val="标题 7 字符"/>
    <w:semiHidden/>
    <w:qFormat/>
    <w:uiPriority w:val="9"/>
    <w:rPr>
      <w:rFonts w:ascii="Calibri" w:hAnsi="Calibri" w:eastAsia="宋体" w:cs="Times New Roman"/>
      <w:b/>
      <w:bCs/>
      <w:sz w:val="24"/>
      <w:szCs w:val="24"/>
    </w:rPr>
  </w:style>
  <w:style w:type="character" w:customStyle="1" w:styleId="57">
    <w:name w:val="标题 8 字符"/>
    <w:semiHidden/>
    <w:qFormat/>
    <w:uiPriority w:val="9"/>
    <w:rPr>
      <w:rFonts w:ascii="等线 Light" w:hAnsi="等线 Light" w:eastAsia="等线 Light" w:cs="Times New Roman"/>
      <w:sz w:val="24"/>
      <w:szCs w:val="24"/>
    </w:rPr>
  </w:style>
  <w:style w:type="character" w:customStyle="1" w:styleId="58">
    <w:name w:val="标题 9 字符"/>
    <w:semiHidden/>
    <w:qFormat/>
    <w:uiPriority w:val="9"/>
    <w:rPr>
      <w:rFonts w:ascii="等线 Light" w:hAnsi="等线 Light" w:eastAsia="等线 Light" w:cs="Times New Roman"/>
      <w:szCs w:val="21"/>
    </w:rPr>
  </w:style>
  <w:style w:type="character" w:customStyle="1" w:styleId="59">
    <w:name w:val="页眉 字符"/>
    <w:semiHidden/>
    <w:qFormat/>
    <w:uiPriority w:val="99"/>
    <w:rPr>
      <w:rFonts w:ascii="Calibri" w:hAnsi="Calibri" w:eastAsia="宋体" w:cs="Times New Roman"/>
      <w:sz w:val="18"/>
      <w:szCs w:val="18"/>
    </w:rPr>
  </w:style>
  <w:style w:type="character" w:customStyle="1" w:styleId="60">
    <w:name w:val="页眉 字符1"/>
    <w:link w:val="26"/>
    <w:qFormat/>
    <w:uiPriority w:val="0"/>
    <w:rPr>
      <w:rFonts w:ascii="Calibri" w:hAnsi="Calibri" w:eastAsia="宋体" w:cs="Times New Roman"/>
      <w:sz w:val="18"/>
      <w:szCs w:val="18"/>
    </w:rPr>
  </w:style>
  <w:style w:type="character" w:customStyle="1" w:styleId="61">
    <w:name w:val="页脚 字符"/>
    <w:semiHidden/>
    <w:qFormat/>
    <w:uiPriority w:val="99"/>
    <w:rPr>
      <w:rFonts w:ascii="Calibri" w:hAnsi="Calibri" w:eastAsia="宋体" w:cs="Times New Roman"/>
      <w:sz w:val="18"/>
      <w:szCs w:val="18"/>
    </w:rPr>
  </w:style>
  <w:style w:type="character" w:customStyle="1" w:styleId="62">
    <w:name w:val="页脚 字符1"/>
    <w:link w:val="25"/>
    <w:qFormat/>
    <w:uiPriority w:val="0"/>
    <w:rPr>
      <w:rFonts w:ascii="Calibri" w:hAnsi="Calibri" w:eastAsia="宋体" w:cs="Times New Roman"/>
      <w:sz w:val="18"/>
      <w:szCs w:val="18"/>
    </w:rPr>
  </w:style>
  <w:style w:type="character" w:customStyle="1" w:styleId="63">
    <w:name w:val="标题 1 Char"/>
    <w:qFormat/>
    <w:uiPriority w:val="0"/>
    <w:rPr>
      <w:rFonts w:ascii="Arial" w:hAnsi="Arial" w:eastAsia="宋体"/>
      <w:b/>
      <w:kern w:val="44"/>
      <w:sz w:val="28"/>
      <w:szCs w:val="28"/>
    </w:rPr>
  </w:style>
  <w:style w:type="character" w:customStyle="1" w:styleId="64">
    <w:name w:val="标题 2 字符1"/>
    <w:link w:val="7"/>
    <w:qFormat/>
    <w:uiPriority w:val="0"/>
    <w:rPr>
      <w:rFonts w:ascii="Arial" w:hAnsi="Arial" w:eastAsia="宋体" w:cs="Times New Roman"/>
      <w:b/>
      <w:color w:val="000000"/>
      <w:sz w:val="24"/>
      <w:szCs w:val="24"/>
    </w:rPr>
  </w:style>
  <w:style w:type="character" w:customStyle="1" w:styleId="65">
    <w:name w:val="标题 4 字符1"/>
    <w:link w:val="10"/>
    <w:qFormat/>
    <w:uiPriority w:val="0"/>
    <w:rPr>
      <w:rFonts w:ascii="Arial" w:hAnsi="Arial" w:eastAsia="宋体" w:cs="Times New Roman"/>
      <w:color w:val="000000"/>
      <w:szCs w:val="21"/>
    </w:rPr>
  </w:style>
  <w:style w:type="character" w:customStyle="1" w:styleId="66">
    <w:name w:val="标题 5 字符1"/>
    <w:link w:val="11"/>
    <w:qFormat/>
    <w:uiPriority w:val="0"/>
    <w:rPr>
      <w:rFonts w:ascii="Arial" w:hAnsi="Arial" w:eastAsia="宋体" w:cs="Times New Roman"/>
      <w:color w:val="000000"/>
      <w:szCs w:val="21"/>
    </w:rPr>
  </w:style>
  <w:style w:type="character" w:customStyle="1" w:styleId="67">
    <w:name w:val="标题 6 字符1"/>
    <w:link w:val="12"/>
    <w:qFormat/>
    <w:uiPriority w:val="0"/>
    <w:rPr>
      <w:rFonts w:ascii="Arial" w:hAnsi="Arial" w:eastAsia="黑体" w:cs="Times New Roman"/>
      <w:b/>
      <w:bCs/>
      <w:sz w:val="24"/>
      <w:szCs w:val="24"/>
    </w:rPr>
  </w:style>
  <w:style w:type="character" w:customStyle="1" w:styleId="68">
    <w:name w:val="标题 7 字符1"/>
    <w:link w:val="13"/>
    <w:qFormat/>
    <w:uiPriority w:val="0"/>
    <w:rPr>
      <w:rFonts w:ascii="Times New Roman" w:hAnsi="Times New Roman" w:eastAsia="宋体" w:cs="Times New Roman"/>
      <w:b/>
      <w:sz w:val="24"/>
      <w:szCs w:val="20"/>
    </w:rPr>
  </w:style>
  <w:style w:type="character" w:customStyle="1" w:styleId="69">
    <w:name w:val="标题 8 字符1"/>
    <w:link w:val="14"/>
    <w:qFormat/>
    <w:uiPriority w:val="0"/>
    <w:rPr>
      <w:rFonts w:ascii="Arial" w:hAnsi="Arial" w:eastAsia="黑体" w:cs="Times New Roman"/>
      <w:sz w:val="24"/>
      <w:szCs w:val="20"/>
    </w:rPr>
  </w:style>
  <w:style w:type="character" w:customStyle="1" w:styleId="70">
    <w:name w:val="标题 9 字符1"/>
    <w:link w:val="15"/>
    <w:qFormat/>
    <w:uiPriority w:val="0"/>
    <w:rPr>
      <w:rFonts w:ascii="Arial" w:hAnsi="Arial" w:eastAsia="黑体" w:cs="Times New Roman"/>
      <w:szCs w:val="20"/>
    </w:rPr>
  </w:style>
  <w:style w:type="character" w:customStyle="1" w:styleId="71">
    <w:name w:val="标题 字符"/>
    <w:qFormat/>
    <w:uiPriority w:val="10"/>
    <w:rPr>
      <w:rFonts w:ascii="等线 Light" w:hAnsi="等线 Light" w:eastAsia="等线 Light" w:cs="Times New Roman"/>
      <w:b/>
      <w:bCs/>
      <w:sz w:val="32"/>
      <w:szCs w:val="32"/>
    </w:rPr>
  </w:style>
  <w:style w:type="character" w:customStyle="1" w:styleId="72">
    <w:name w:val="标题 字符1"/>
    <w:link w:val="4"/>
    <w:qFormat/>
    <w:uiPriority w:val="0"/>
    <w:rPr>
      <w:rFonts w:ascii="Arial" w:hAnsi="Arial" w:eastAsia="宋体" w:cs="Times New Roman"/>
      <w:b/>
      <w:sz w:val="44"/>
      <w:szCs w:val="20"/>
    </w:rPr>
  </w:style>
  <w:style w:type="character" w:customStyle="1" w:styleId="73">
    <w:name w:val="正文文本 字符"/>
    <w:semiHidden/>
    <w:qFormat/>
    <w:uiPriority w:val="99"/>
    <w:rPr>
      <w:rFonts w:ascii="Calibri" w:hAnsi="Calibri" w:eastAsia="宋体" w:cs="Times New Roman"/>
    </w:rPr>
  </w:style>
  <w:style w:type="character" w:customStyle="1" w:styleId="74">
    <w:name w:val="正文文本 字符1"/>
    <w:link w:val="6"/>
    <w:qFormat/>
    <w:uiPriority w:val="0"/>
    <w:rPr>
      <w:rFonts w:ascii="Times New Roman" w:hAnsi="Times New Roman" w:eastAsia="宋体" w:cs="Times New Roman"/>
      <w:szCs w:val="20"/>
    </w:rPr>
  </w:style>
  <w:style w:type="character" w:customStyle="1" w:styleId="75">
    <w:name w:val="正文首行缩进 字符"/>
    <w:basedOn w:val="73"/>
    <w:semiHidden/>
    <w:qFormat/>
    <w:uiPriority w:val="99"/>
    <w:rPr>
      <w:rFonts w:ascii="Calibri" w:hAnsi="Calibri" w:eastAsia="宋体" w:cs="Times New Roman"/>
    </w:rPr>
  </w:style>
  <w:style w:type="character" w:customStyle="1" w:styleId="76">
    <w:name w:val="正文文本首行缩进 字符"/>
    <w:link w:val="5"/>
    <w:qFormat/>
    <w:uiPriority w:val="0"/>
  </w:style>
  <w:style w:type="character" w:customStyle="1" w:styleId="77">
    <w:name w:val="日期 字符"/>
    <w:semiHidden/>
    <w:qFormat/>
    <w:uiPriority w:val="99"/>
    <w:rPr>
      <w:rFonts w:ascii="Calibri" w:hAnsi="Calibri" w:eastAsia="宋体" w:cs="Times New Roman"/>
    </w:rPr>
  </w:style>
  <w:style w:type="character" w:customStyle="1" w:styleId="78">
    <w:name w:val="日期 字符1"/>
    <w:link w:val="21"/>
    <w:qFormat/>
    <w:uiPriority w:val="0"/>
    <w:rPr>
      <w:rFonts w:ascii="Times New Roman" w:hAnsi="Times New Roman" w:eastAsia="宋体" w:cs="Times New Roman"/>
      <w:szCs w:val="20"/>
    </w:rPr>
  </w:style>
  <w:style w:type="character" w:customStyle="1" w:styleId="79">
    <w:name w:val="正文文本缩进 字符"/>
    <w:semiHidden/>
    <w:qFormat/>
    <w:uiPriority w:val="99"/>
    <w:rPr>
      <w:rFonts w:ascii="Calibri" w:hAnsi="Calibri" w:eastAsia="宋体" w:cs="Times New Roman"/>
    </w:rPr>
  </w:style>
  <w:style w:type="character" w:customStyle="1" w:styleId="80">
    <w:name w:val="正文文本缩进 字符1"/>
    <w:link w:val="18"/>
    <w:qFormat/>
    <w:uiPriority w:val="0"/>
    <w:rPr>
      <w:rFonts w:ascii="Times New Roman" w:hAnsi="Times New Roman" w:eastAsia="宋体" w:cs="Times New Roman"/>
      <w:sz w:val="28"/>
      <w:szCs w:val="20"/>
    </w:rPr>
  </w:style>
  <w:style w:type="character" w:customStyle="1" w:styleId="81">
    <w:name w:val="文档结构图 字符"/>
    <w:semiHidden/>
    <w:qFormat/>
    <w:uiPriority w:val="99"/>
    <w:rPr>
      <w:rFonts w:ascii="Microsoft YaHei UI" w:hAnsi="Calibri" w:eastAsia="Microsoft YaHei UI" w:cs="Times New Roman"/>
      <w:sz w:val="18"/>
      <w:szCs w:val="18"/>
    </w:rPr>
  </w:style>
  <w:style w:type="character" w:customStyle="1" w:styleId="82">
    <w:name w:val="文档结构图 字符1"/>
    <w:link w:val="16"/>
    <w:qFormat/>
    <w:uiPriority w:val="0"/>
    <w:rPr>
      <w:rFonts w:ascii="Times New Roman" w:hAnsi="Times New Roman" w:eastAsia="宋体" w:cs="Times New Roman"/>
      <w:szCs w:val="20"/>
      <w:shd w:val="clear" w:color="auto" w:fill="000080"/>
    </w:rPr>
  </w:style>
  <w:style w:type="character" w:customStyle="1" w:styleId="83">
    <w:name w:val="纯文本 字符"/>
    <w:semiHidden/>
    <w:qFormat/>
    <w:uiPriority w:val="99"/>
    <w:rPr>
      <w:rFonts w:ascii="等线" w:hAnsi="Courier New" w:cs="Courier New"/>
    </w:rPr>
  </w:style>
  <w:style w:type="character" w:customStyle="1" w:styleId="84">
    <w:name w:val="纯文本 字符1"/>
    <w:link w:val="2"/>
    <w:qFormat/>
    <w:uiPriority w:val="0"/>
    <w:rPr>
      <w:rFonts w:ascii="宋体" w:hAnsi="Courier New" w:eastAsia="宋体" w:cs="Times New Roman"/>
      <w:szCs w:val="20"/>
    </w:rPr>
  </w:style>
  <w:style w:type="character" w:customStyle="1" w:styleId="85">
    <w:name w:val="正文文本缩进 2 字符"/>
    <w:semiHidden/>
    <w:qFormat/>
    <w:uiPriority w:val="99"/>
    <w:rPr>
      <w:rFonts w:ascii="Calibri" w:hAnsi="Calibri" w:eastAsia="宋体" w:cs="Times New Roman"/>
    </w:rPr>
  </w:style>
  <w:style w:type="character" w:customStyle="1" w:styleId="86">
    <w:name w:val="正文文本缩进 2 字符1"/>
    <w:link w:val="22"/>
    <w:qFormat/>
    <w:uiPriority w:val="0"/>
    <w:rPr>
      <w:rFonts w:ascii="Times New Roman" w:hAnsi="Times New Roman" w:eastAsia="宋体" w:cs="Times New Roman"/>
      <w:color w:val="000000"/>
      <w:sz w:val="24"/>
      <w:szCs w:val="20"/>
    </w:rPr>
  </w:style>
  <w:style w:type="character" w:customStyle="1" w:styleId="87">
    <w:name w:val="正文文本缩进 3 字符"/>
    <w:semiHidden/>
    <w:qFormat/>
    <w:uiPriority w:val="99"/>
    <w:rPr>
      <w:rFonts w:ascii="Calibri" w:hAnsi="Calibri" w:eastAsia="宋体" w:cs="Times New Roman"/>
      <w:sz w:val="16"/>
      <w:szCs w:val="16"/>
    </w:rPr>
  </w:style>
  <w:style w:type="character" w:customStyle="1" w:styleId="88">
    <w:name w:val="正文文本缩进 3 字符1"/>
    <w:link w:val="29"/>
    <w:qFormat/>
    <w:uiPriority w:val="0"/>
    <w:rPr>
      <w:rFonts w:ascii="Times New Roman" w:hAnsi="Times New Roman" w:eastAsia="宋体" w:cs="Times New Roman"/>
      <w:color w:val="000000"/>
      <w:sz w:val="24"/>
      <w:szCs w:val="20"/>
    </w:rPr>
  </w:style>
  <w:style w:type="paragraph" w:customStyle="1" w:styleId="89">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90">
    <w:name w:val="_Style 69"/>
    <w:qFormat/>
    <w:uiPriority w:val="0"/>
    <w:rPr>
      <w:rFonts w:ascii="等线" w:hAnsi="等线" w:eastAsia="等线" w:cs="Times New Roman"/>
      <w:lang w:val="en-US" w:eastAsia="zh-CN" w:bidi="ar-SA"/>
    </w:rPr>
  </w:style>
  <w:style w:type="character" w:customStyle="1" w:styleId="91">
    <w:name w:val="正文文本 2 字符"/>
    <w:semiHidden/>
    <w:qFormat/>
    <w:uiPriority w:val="99"/>
    <w:rPr>
      <w:rFonts w:ascii="Calibri" w:hAnsi="Calibri" w:eastAsia="宋体" w:cs="Times New Roman"/>
    </w:rPr>
  </w:style>
  <w:style w:type="character" w:customStyle="1" w:styleId="92">
    <w:name w:val="正文文本 2 字符1"/>
    <w:link w:val="31"/>
    <w:qFormat/>
    <w:uiPriority w:val="0"/>
    <w:rPr>
      <w:rFonts w:ascii="宋体" w:hAnsi="宋体" w:eastAsia="宋体" w:cs="Times New Roman"/>
      <w:szCs w:val="24"/>
      <w:u w:val="single"/>
    </w:rPr>
  </w:style>
  <w:style w:type="paragraph" w:customStyle="1" w:styleId="93">
    <w:name w:val="表头"/>
    <w:basedOn w:val="1"/>
    <w:qFormat/>
    <w:uiPriority w:val="0"/>
    <w:pPr>
      <w:spacing w:line="360" w:lineRule="auto"/>
      <w:jc w:val="center"/>
    </w:pPr>
    <w:rPr>
      <w:rFonts w:ascii="黑体" w:hAnsi="Times New Roman" w:eastAsia="黑体"/>
      <w:kern w:val="0"/>
      <w:sz w:val="24"/>
      <w:szCs w:val="20"/>
    </w:rPr>
  </w:style>
  <w:style w:type="character" w:customStyle="1" w:styleId="94">
    <w:name w:val="尾注文本 字符"/>
    <w:semiHidden/>
    <w:qFormat/>
    <w:uiPriority w:val="99"/>
    <w:rPr>
      <w:rFonts w:ascii="Calibri" w:hAnsi="Calibri" w:eastAsia="宋体" w:cs="Times New Roman"/>
    </w:rPr>
  </w:style>
  <w:style w:type="character" w:customStyle="1" w:styleId="95">
    <w:name w:val="尾注文本 字符1"/>
    <w:link w:val="23"/>
    <w:qFormat/>
    <w:uiPriority w:val="0"/>
    <w:rPr>
      <w:rFonts w:ascii="Times New Roman" w:hAnsi="Times New Roman" w:eastAsia="宋体" w:cs="Times New Roman"/>
      <w:szCs w:val="20"/>
    </w:rPr>
  </w:style>
  <w:style w:type="paragraph" w:customStyle="1" w:styleId="96">
    <w:name w:val="Char"/>
    <w:basedOn w:val="1"/>
    <w:qFormat/>
    <w:uiPriority w:val="0"/>
    <w:rPr>
      <w:rFonts w:ascii="Tahoma" w:hAnsi="Tahoma"/>
      <w:sz w:val="24"/>
      <w:szCs w:val="20"/>
    </w:rPr>
  </w:style>
  <w:style w:type="paragraph" w:customStyle="1" w:styleId="97">
    <w:name w:val="Char1"/>
    <w:basedOn w:val="1"/>
    <w:qFormat/>
    <w:uiPriority w:val="0"/>
    <w:pPr>
      <w:numPr>
        <w:ilvl w:val="0"/>
        <w:numId w:val="1"/>
      </w:numPr>
    </w:pPr>
    <w:rPr>
      <w:rFonts w:ascii="Times New Roman" w:hAnsi="Times New Roman"/>
      <w:sz w:val="24"/>
      <w:szCs w:val="24"/>
    </w:rPr>
  </w:style>
  <w:style w:type="paragraph" w:customStyle="1" w:styleId="98">
    <w:name w:val="公文抬头"/>
    <w:basedOn w:val="8"/>
    <w:qFormat/>
    <w:uiPriority w:val="0"/>
    <w:pPr>
      <w:ind w:firstLine="0"/>
    </w:pPr>
    <w:rPr>
      <w:rFonts w:ascii="仿宋_GB2312" w:eastAsia="仿宋_GB2312"/>
      <w:sz w:val="30"/>
      <w:szCs w:val="24"/>
    </w:rPr>
  </w:style>
  <w:style w:type="paragraph" w:customStyle="1" w:styleId="99">
    <w:name w:val="Char Char Char1 Char"/>
    <w:basedOn w:val="16"/>
    <w:qFormat/>
    <w:uiPriority w:val="0"/>
    <w:rPr>
      <w:rFonts w:ascii="Tahoma" w:hAnsi="Tahoma"/>
      <w:sz w:val="24"/>
      <w:szCs w:val="24"/>
    </w:rPr>
  </w:style>
  <w:style w:type="paragraph" w:customStyle="1" w:styleId="100">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01">
    <w:name w:val="公文标题"/>
    <w:basedOn w:val="9"/>
    <w:qFormat/>
    <w:uiPriority w:val="0"/>
    <w:pPr>
      <w:keepNext/>
      <w:keepLines/>
      <w:widowControl w:val="0"/>
      <w:spacing w:before="0" w:beforeAutospacing="0" w:after="0" w:afterAutospacing="0"/>
      <w:ind w:left="1469" w:right="1542"/>
    </w:pPr>
    <w:rPr>
      <w:rFonts w:hAnsi="Times New Roman" w:cs="Times New Roman"/>
      <w:b/>
      <w:kern w:val="2"/>
      <w:sz w:val="44"/>
      <w:szCs w:val="21"/>
    </w:rPr>
  </w:style>
  <w:style w:type="paragraph" w:customStyle="1" w:styleId="102">
    <w:name w:val="发文落款"/>
    <w:basedOn w:val="100"/>
    <w:qFormat/>
    <w:uiPriority w:val="0"/>
    <w:pPr>
      <w:ind w:left="4094" w:right="607" w:firstLine="0"/>
      <w:jc w:val="center"/>
    </w:pPr>
  </w:style>
  <w:style w:type="paragraph" w:customStyle="1" w:styleId="103">
    <w:name w:val="Char Char Char Char"/>
    <w:basedOn w:val="1"/>
    <w:qFormat/>
    <w:uiPriority w:val="0"/>
    <w:rPr>
      <w:rFonts w:ascii="Times New Roman" w:hAnsi="Times New Roman"/>
      <w:sz w:val="30"/>
      <w:szCs w:val="24"/>
    </w:rPr>
  </w:style>
  <w:style w:type="character" w:customStyle="1" w:styleId="104">
    <w:name w:val="批注框文本 字符"/>
    <w:semiHidden/>
    <w:qFormat/>
    <w:uiPriority w:val="99"/>
    <w:rPr>
      <w:rFonts w:ascii="Calibri" w:hAnsi="Calibri" w:eastAsia="宋体" w:cs="Times New Roman"/>
      <w:sz w:val="18"/>
      <w:szCs w:val="18"/>
    </w:rPr>
  </w:style>
  <w:style w:type="character" w:customStyle="1" w:styleId="105">
    <w:name w:val="批注框文本 字符1"/>
    <w:link w:val="24"/>
    <w:qFormat/>
    <w:uiPriority w:val="0"/>
    <w:rPr>
      <w:rFonts w:ascii="Times New Roman" w:hAnsi="Times New Roman" w:eastAsia="宋体" w:cs="Times New Roman"/>
      <w:sz w:val="18"/>
      <w:szCs w:val="18"/>
    </w:rPr>
  </w:style>
  <w:style w:type="paragraph" w:customStyle="1" w:styleId="106">
    <w:name w:val="TOC 标题1"/>
    <w:basedOn w:val="3"/>
    <w:next w:val="1"/>
    <w:semiHidden/>
    <w:unhideWhenUsed/>
    <w:qFormat/>
    <w:uiPriority w:val="39"/>
    <w:pPr>
      <w:widowControl/>
      <w:spacing w:before="480" w:after="0" w:line="276" w:lineRule="auto"/>
      <w:outlineLvl w:val="9"/>
    </w:pPr>
    <w:rPr>
      <w:rFonts w:ascii="Cambria" w:hAnsi="Cambria"/>
      <w:color w:val="365F91"/>
      <w:kern w:val="0"/>
    </w:rPr>
  </w:style>
  <w:style w:type="character" w:customStyle="1" w:styleId="107">
    <w:name w:val="批注文字 字符"/>
    <w:semiHidden/>
    <w:qFormat/>
    <w:uiPriority w:val="99"/>
    <w:rPr>
      <w:rFonts w:ascii="Calibri" w:hAnsi="Calibri" w:eastAsia="宋体" w:cs="Times New Roman"/>
    </w:rPr>
  </w:style>
  <w:style w:type="character" w:customStyle="1" w:styleId="108">
    <w:name w:val="批注文字 字符1"/>
    <w:link w:val="17"/>
    <w:qFormat/>
    <w:uiPriority w:val="0"/>
    <w:rPr>
      <w:rFonts w:ascii="宋体" w:hAnsi="宋体" w:eastAsia="宋体" w:cs="Times New Roman"/>
      <w:sz w:val="24"/>
      <w:szCs w:val="24"/>
    </w:rPr>
  </w:style>
  <w:style w:type="character" w:customStyle="1" w:styleId="109">
    <w:name w:val="脚注文本 字符"/>
    <w:semiHidden/>
    <w:qFormat/>
    <w:uiPriority w:val="99"/>
    <w:rPr>
      <w:rFonts w:ascii="Calibri" w:hAnsi="Calibri" w:eastAsia="宋体" w:cs="Times New Roman"/>
      <w:sz w:val="18"/>
      <w:szCs w:val="18"/>
    </w:rPr>
  </w:style>
  <w:style w:type="character" w:customStyle="1" w:styleId="110">
    <w:name w:val="脚注文本 字符1"/>
    <w:link w:val="28"/>
    <w:qFormat/>
    <w:uiPriority w:val="0"/>
    <w:rPr>
      <w:rFonts w:ascii="宋体" w:hAnsi="宋体" w:eastAsia="宋体" w:cs="Times New Roman"/>
      <w:sz w:val="18"/>
      <w:szCs w:val="18"/>
    </w:rPr>
  </w:style>
  <w:style w:type="character" w:customStyle="1" w:styleId="111">
    <w:name w:val="批注主题 字符"/>
    <w:semiHidden/>
    <w:qFormat/>
    <w:uiPriority w:val="99"/>
    <w:rPr>
      <w:rFonts w:ascii="Calibri" w:hAnsi="Calibri" w:eastAsia="宋体" w:cs="Times New Roman"/>
      <w:b/>
      <w:bCs/>
    </w:rPr>
  </w:style>
  <w:style w:type="character" w:customStyle="1" w:styleId="112">
    <w:name w:val="批注主题 字符1"/>
    <w:link w:val="35"/>
    <w:qFormat/>
    <w:uiPriority w:val="0"/>
    <w:rPr>
      <w:rFonts w:ascii="宋体" w:hAnsi="宋体" w:eastAsia="宋体" w:cs="Times New Roman"/>
      <w:b/>
      <w:bCs/>
      <w:sz w:val="24"/>
      <w:szCs w:val="24"/>
    </w:rPr>
  </w:style>
  <w:style w:type="paragraph" w:styleId="113">
    <w:name w:val="List Paragraph"/>
    <w:basedOn w:val="1"/>
    <w:qFormat/>
    <w:uiPriority w:val="34"/>
    <w:pPr>
      <w:ind w:firstLine="420" w:firstLineChars="200"/>
    </w:pPr>
    <w:rPr>
      <w:rFonts w:ascii="Times New Roman" w:hAnsi="Times New Roman"/>
      <w:szCs w:val="20"/>
    </w:rPr>
  </w:style>
  <w:style w:type="paragraph" w:customStyle="1" w:styleId="114">
    <w:name w:val="修订1"/>
    <w:hidden/>
    <w:semiHidden/>
    <w:qFormat/>
    <w:uiPriority w:val="99"/>
    <w:rPr>
      <w:rFonts w:ascii="Times New Roman" w:hAnsi="Times New Roman" w:eastAsia="宋体" w:cs="Times New Roman"/>
      <w:kern w:val="2"/>
      <w:sz w:val="21"/>
      <w:lang w:val="en-US" w:eastAsia="zh-CN" w:bidi="ar-SA"/>
    </w:rPr>
  </w:style>
  <w:style w:type="paragraph" w:customStyle="1" w:styleId="115">
    <w:name w:val="修订2"/>
    <w:hidden/>
    <w:unhideWhenUsed/>
    <w:qFormat/>
    <w:uiPriority w:val="99"/>
    <w:rPr>
      <w:rFonts w:ascii="Calibri" w:hAnsi="Calibri" w:eastAsia="宋体" w:cs="Times New Roman"/>
      <w:kern w:val="2"/>
      <w:sz w:val="21"/>
      <w:szCs w:val="22"/>
      <w:lang w:val="en-US" w:eastAsia="zh-CN" w:bidi="ar-SA"/>
    </w:rPr>
  </w:style>
  <w:style w:type="paragraph" w:customStyle="1" w:styleId="116">
    <w:name w:val="修订3"/>
    <w:hidden/>
    <w:unhideWhenUsed/>
    <w:qFormat/>
    <w:uiPriority w:val="99"/>
    <w:rPr>
      <w:rFonts w:ascii="Calibri" w:hAnsi="Calibri" w:eastAsia="宋体" w:cs="Times New Roman"/>
      <w:kern w:val="2"/>
      <w:sz w:val="21"/>
      <w:szCs w:val="22"/>
      <w:lang w:val="en-US" w:eastAsia="zh-CN" w:bidi="ar-SA"/>
    </w:rPr>
  </w:style>
  <w:style w:type="character" w:customStyle="1" w:styleId="117">
    <w:name w:val="页眉 Char"/>
    <w:qFormat/>
    <w:uiPriority w:val="99"/>
    <w:rPr>
      <w:kern w:val="2"/>
      <w:sz w:val="18"/>
      <w:szCs w:val="18"/>
      <w:lang w:val="zh-CN" w:eastAsia="zh-CN"/>
    </w:rPr>
  </w:style>
  <w:style w:type="character" w:customStyle="1" w:styleId="118">
    <w:name w:val="标准正文 Char"/>
    <w:link w:val="119"/>
    <w:qFormat/>
    <w:uiPriority w:val="0"/>
    <w:rPr>
      <w:szCs w:val="24"/>
    </w:rPr>
  </w:style>
  <w:style w:type="paragraph" w:customStyle="1" w:styleId="119">
    <w:name w:val="标准正文"/>
    <w:basedOn w:val="1"/>
    <w:link w:val="118"/>
    <w:qFormat/>
    <w:uiPriority w:val="0"/>
    <w:pPr>
      <w:tabs>
        <w:tab w:val="left" w:pos="720"/>
      </w:tabs>
      <w:spacing w:line="360" w:lineRule="auto"/>
      <w:ind w:firstLine="200" w:firstLineChars="200"/>
    </w:pPr>
    <w:rPr>
      <w:rFonts w:ascii="等线" w:hAnsi="等线" w:eastAsia="等线"/>
      <w:kern w:val="0"/>
      <w:sz w:val="20"/>
      <w:szCs w:val="24"/>
    </w:rPr>
  </w:style>
  <w:style w:type="paragraph" w:customStyle="1" w:styleId="120">
    <w:name w:val="PlainText"/>
    <w:basedOn w:val="1"/>
    <w:qFormat/>
    <w:uiPriority w:val="0"/>
    <w:pPr>
      <w:textAlignment w:val="baseline"/>
    </w:pPr>
    <w:rPr>
      <w:rFonts w:ascii="宋体" w:hAnsi="Courier New" w:cs="Calibri"/>
      <w:color w:val="000000"/>
      <w:kern w:val="0"/>
      <w:sz w:val="20"/>
      <w:szCs w:val="20"/>
    </w:rPr>
  </w:style>
  <w:style w:type="character" w:customStyle="1" w:styleId="121">
    <w:name w:val="标题 1 字符1"/>
    <w:link w:val="3"/>
    <w:qFormat/>
    <w:uiPriority w:val="0"/>
    <w:rPr>
      <w:rFonts w:ascii="Arial" w:hAnsi="Arial" w:eastAsia="宋体" w:cs="Times New Roman"/>
      <w:b/>
      <w:kern w:val="44"/>
      <w:sz w:val="28"/>
      <w:szCs w:val="28"/>
    </w:rPr>
  </w:style>
  <w:style w:type="paragraph" w:customStyle="1" w:styleId="122">
    <w:name w:val="文一"/>
    <w:basedOn w:val="1"/>
    <w:qFormat/>
    <w:uiPriority w:val="0"/>
    <w:pPr>
      <w:topLinePunct/>
      <w:adjustRightInd w:val="0"/>
      <w:snapToGrid w:val="0"/>
      <w:spacing w:line="360" w:lineRule="auto"/>
      <w:ind w:firstLine="200" w:firstLineChars="200"/>
    </w:pPr>
    <w:rPr>
      <w:rFonts w:ascii="宋体" w:hAnsi="宋体" w:eastAsiaTheme="minorEastAsia" w:cstheme="minorBidi"/>
      <w:spacing w:val="4"/>
      <w:sz w:val="24"/>
      <w:szCs w:val="24"/>
    </w:rPr>
  </w:style>
  <w:style w:type="character" w:customStyle="1" w:styleId="123">
    <w:name w:val="15"/>
    <w:basedOn w:val="39"/>
    <w:qFormat/>
    <w:uiPriority w:val="0"/>
    <w:rPr>
      <w:rFonts w:hint="default" w:ascii="Times New Roman" w:hAnsi="Times New Roman" w:cs="Times New Roman"/>
    </w:rPr>
  </w:style>
  <w:style w:type="paragraph" w:customStyle="1" w:styleId="124">
    <w:name w:val="null3"/>
    <w:basedOn w:val="1"/>
    <w:qFormat/>
    <w:uiPriority w:val="0"/>
    <w:pPr>
      <w:widowControl/>
      <w:jc w:val="left"/>
    </w:pPr>
    <w:rPr>
      <w:rFonts w:hint="eastAsia"/>
      <w:kern w:val="0"/>
      <w:sz w:val="24"/>
      <w:szCs w:val="24"/>
    </w:rPr>
  </w:style>
  <w:style w:type="character" w:customStyle="1" w:styleId="125">
    <w:name w:val="font11"/>
    <w:qFormat/>
    <w:uiPriority w:val="0"/>
    <w:rPr>
      <w:rFonts w:hint="eastAsia" w:ascii="仿宋" w:hAnsi="仿宋" w:eastAsia="仿宋" w:cs="仿宋"/>
      <w:color w:val="000000"/>
      <w:sz w:val="28"/>
      <w:szCs w:val="28"/>
      <w:u w:val="none"/>
    </w:rPr>
  </w:style>
  <w:style w:type="character" w:customStyle="1" w:styleId="126">
    <w:name w:val="标题 3 字符1"/>
    <w:link w:val="9"/>
    <w:qFormat/>
    <w:uiPriority w:val="0"/>
    <w:rPr>
      <w:rFonts w:ascii="宋体" w:hAnsi="宋体" w:eastAsia="宋体" w:cs="宋体"/>
      <w:kern w:val="0"/>
      <w:sz w:val="24"/>
      <w:szCs w:val="27"/>
    </w:rPr>
  </w:style>
  <w:style w:type="character" w:customStyle="1" w:styleId="127">
    <w:name w:val="正文文本1"/>
    <w:qFormat/>
    <w:uiPriority w:val="0"/>
    <w:rPr>
      <w:rFonts w:ascii="宋体" w:hAnsi="宋体" w:eastAsia="宋体" w:cs="宋体"/>
      <w:color w:val="000000"/>
      <w:spacing w:val="0"/>
      <w:w w:val="100"/>
      <w:position w:val="0"/>
      <w:sz w:val="19"/>
      <w:szCs w:val="19"/>
      <w:shd w:val="clear" w:color="auto" w:fill="FFFFFF"/>
      <w:lang w:val="zh-TW"/>
    </w:rPr>
  </w:style>
  <w:style w:type="paragraph" w:customStyle="1" w:styleId="128">
    <w:name w:val="正文文本3"/>
    <w:basedOn w:val="1"/>
    <w:qFormat/>
    <w:uiPriority w:val="0"/>
    <w:pPr>
      <w:shd w:val="clear" w:color="auto" w:fill="FFFFFF"/>
      <w:spacing w:line="0" w:lineRule="atLeast"/>
      <w:jc w:val="left"/>
    </w:pPr>
    <w:rPr>
      <w:rFonts w:ascii="宋体" w:hAnsi="宋体" w:cs="宋体"/>
      <w:sz w:val="19"/>
      <w:szCs w:val="19"/>
    </w:rPr>
  </w:style>
  <w:style w:type="paragraph" w:customStyle="1" w:styleId="129">
    <w:name w:val="Other|1"/>
    <w:basedOn w:val="1"/>
    <w:qFormat/>
    <w:uiPriority w:val="0"/>
    <w:pPr>
      <w:spacing w:line="228" w:lineRule="exact"/>
    </w:pPr>
    <w:rPr>
      <w:rFonts w:ascii="宋体" w:hAnsi="宋体" w:cs="宋体"/>
      <w:sz w:val="17"/>
      <w:szCs w:val="17"/>
      <w:lang w:val="zh-TW" w:eastAsia="zh-TW" w:bidi="zh-TW"/>
    </w:rPr>
  </w:style>
  <w:style w:type="paragraph" w:customStyle="1" w:styleId="130">
    <w:name w:val="章节三"/>
    <w:basedOn w:val="1"/>
    <w:next w:val="1"/>
    <w:qFormat/>
    <w:uiPriority w:val="0"/>
    <w:pPr>
      <w:topLinePunct/>
      <w:adjustRightInd w:val="0"/>
      <w:snapToGrid w:val="0"/>
      <w:spacing w:beforeLines="50" w:afterLines="50"/>
      <w:jc w:val="left"/>
      <w:outlineLvl w:val="2"/>
    </w:pPr>
    <w:rPr>
      <w:rFonts w:ascii="黑体" w:hAnsi="宋体" w:eastAsia="黑体"/>
      <w:b/>
      <w:spacing w:val="4"/>
      <w:kern w:val="0"/>
      <w:sz w:val="24"/>
    </w:rPr>
  </w:style>
  <w:style w:type="paragraph" w:customStyle="1" w:styleId="131">
    <w:name w:val="修订4"/>
    <w:hidden/>
    <w:unhideWhenUsed/>
    <w:qFormat/>
    <w:uiPriority w:val="99"/>
    <w:rPr>
      <w:rFonts w:ascii="Calibri" w:hAnsi="Calibri" w:eastAsia="宋体" w:cs="Times New Roman"/>
      <w:kern w:val="2"/>
      <w:sz w:val="21"/>
      <w:szCs w:val="22"/>
      <w:lang w:val="en-US" w:eastAsia="zh-CN" w:bidi="ar-SA"/>
    </w:rPr>
  </w:style>
  <w:style w:type="paragraph" w:customStyle="1" w:styleId="132">
    <w:name w:val="Revision"/>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80</Pages>
  <Words>14018</Words>
  <Characters>14615</Characters>
  <Lines>60</Lines>
  <Paragraphs>111</Paragraphs>
  <TotalTime>7</TotalTime>
  <ScaleCrop>false</ScaleCrop>
  <LinksUpToDate>false</LinksUpToDate>
  <CharactersWithSpaces>15412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2025-09-28T03:35:00Z</dcterms:created>
  <dc:creator>管理员</dc:creator>
  <cp:lastModifiedBy>1</cp:lastModifiedBy>
  <cp:lastPrinted>2025-08-29T02:38:00Z</cp:lastPrinted>
  <dcterms:modified xsi:type="dcterms:W3CDTF">2025-09-30T03:51:50Z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6CC597BACA53423DBBB1E25B5BE18B69_13</vt:lpwstr>
  </property>
  <property fmtid="{D5CDD505-2E9C-101B-9397-08002B2CF9AE}" pid="4" name="KSOTemplateDocerSaveRecord">
    <vt:lpwstr>eyJoZGlkIjoiZTE2YzRkNzM4ZWE4ZDY4ZjdkNTJiNTRjYzNiNzdhMDkiLCJ1c2VySWQiOiIxOTI5NDk1MDIifQ==</vt:lpwstr>
  </property>
</Properties>
</file>