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5FC6">
      <w:pPr>
        <w:ind w:firstLine="643"/>
        <w:jc w:val="center"/>
        <w:rPr>
          <w:rFonts w:ascii="黑体" w:eastAsia="黑体"/>
          <w:b/>
          <w:color w:val="auto"/>
          <w:sz w:val="32"/>
          <w:szCs w:val="32"/>
        </w:rPr>
      </w:pPr>
      <w:bookmarkStart w:id="0" w:name="_GoBack"/>
      <w:r>
        <w:rPr>
          <w:rFonts w:hint="eastAsia" w:ascii="黑体" w:eastAsia="黑体"/>
          <w:b/>
          <w:color w:val="auto"/>
          <w:sz w:val="32"/>
          <w:szCs w:val="32"/>
        </w:rPr>
        <w:t>顺丰翠园项目</w:t>
      </w:r>
    </w:p>
    <w:p w14:paraId="028B09B2">
      <w:pPr>
        <w:ind w:firstLine="643"/>
        <w:jc w:val="center"/>
        <w:rPr>
          <w:rFonts w:ascii="黑体" w:eastAsia="黑体"/>
          <w:b/>
          <w:color w:val="auto"/>
          <w:sz w:val="32"/>
          <w:szCs w:val="32"/>
        </w:rPr>
      </w:pPr>
      <w:r>
        <w:rPr>
          <w:rFonts w:hint="eastAsia" w:ascii="黑体" w:eastAsia="黑体"/>
          <w:b/>
          <w:color w:val="auto"/>
          <w:sz w:val="32"/>
          <w:szCs w:val="32"/>
        </w:rPr>
        <w:t>整合销售代理服务合同（2025）</w:t>
      </w:r>
    </w:p>
    <w:p w14:paraId="0C2B041D">
      <w:pPr>
        <w:rPr>
          <w:rFonts w:asciiTheme="minorEastAsia" w:hAnsiTheme="minorEastAsia" w:eastAsiaTheme="minorEastAsia"/>
          <w:color w:val="auto"/>
          <w:sz w:val="24"/>
        </w:rPr>
      </w:pPr>
    </w:p>
    <w:p w14:paraId="1CF46B88">
      <w:pPr>
        <w:rPr>
          <w:rFonts w:asciiTheme="minorEastAsia" w:hAnsiTheme="minorEastAsia" w:eastAsiaTheme="minorEastAsia"/>
          <w:color w:val="auto"/>
          <w:sz w:val="24"/>
        </w:rPr>
      </w:pPr>
    </w:p>
    <w:p w14:paraId="330DE703">
      <w:pPr>
        <w:tabs>
          <w:tab w:val="left" w:pos="8624"/>
        </w:tabs>
        <w:spacing w:line="360" w:lineRule="auto"/>
        <w:rPr>
          <w:rFonts w:asciiTheme="minorEastAsia" w:hAnsiTheme="minorEastAsia" w:eastAsiaTheme="minorEastAsia"/>
          <w:i/>
          <w:color w:val="auto"/>
          <w:sz w:val="24"/>
        </w:rPr>
      </w:pPr>
      <w:r>
        <w:rPr>
          <w:rFonts w:hint="eastAsia" w:asciiTheme="minorEastAsia" w:hAnsiTheme="minorEastAsia" w:eastAsiaTheme="minorEastAsia"/>
          <w:color w:val="auto"/>
          <w:sz w:val="24"/>
        </w:rPr>
        <w:t>委托方（甲方）：广州市继丰房地产开发有限公司</w:t>
      </w:r>
      <w:r>
        <w:rPr>
          <w:rFonts w:asciiTheme="minorEastAsia" w:hAnsiTheme="minorEastAsia" w:eastAsiaTheme="minorEastAsia"/>
          <w:i/>
          <w:color w:val="auto"/>
          <w:sz w:val="24"/>
        </w:rPr>
        <w:tab/>
      </w:r>
    </w:p>
    <w:p w14:paraId="66037B17">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法定代表人：张启华</w:t>
      </w:r>
    </w:p>
    <w:p w14:paraId="32FD7DD1">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地址：广州市白云区石井街兆丰路138号五楼502房</w:t>
      </w:r>
    </w:p>
    <w:p w14:paraId="3AD61D56">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电话：020-86418889    统一社会信用代码：91440101721921061K</w:t>
      </w:r>
    </w:p>
    <w:p w14:paraId="18DE63A6">
      <w:pPr>
        <w:spacing w:line="360" w:lineRule="auto"/>
        <w:rPr>
          <w:rFonts w:asciiTheme="minorEastAsia" w:hAnsiTheme="minorEastAsia" w:eastAsiaTheme="minorEastAsia"/>
          <w:color w:val="auto"/>
          <w:sz w:val="24"/>
        </w:rPr>
      </w:pPr>
    </w:p>
    <w:p w14:paraId="6F01A81F">
      <w:pPr>
        <w:spacing w:line="360" w:lineRule="auto"/>
        <w:rPr>
          <w:rFonts w:asciiTheme="minorEastAsia" w:hAnsiTheme="minorEastAsia" w:eastAsiaTheme="minorEastAsia"/>
          <w:i/>
          <w:color w:val="auto"/>
          <w:sz w:val="24"/>
        </w:rPr>
      </w:pPr>
      <w:r>
        <w:rPr>
          <w:rFonts w:hint="eastAsia" w:asciiTheme="minorEastAsia" w:hAnsiTheme="minorEastAsia" w:eastAsiaTheme="minorEastAsia"/>
          <w:color w:val="auto"/>
          <w:sz w:val="24"/>
        </w:rPr>
        <w:t>受委托方（乙方）：</w:t>
      </w:r>
      <w:r>
        <w:rPr>
          <w:rFonts w:asciiTheme="minorEastAsia" w:hAnsiTheme="minorEastAsia" w:eastAsiaTheme="minorEastAsia"/>
          <w:i/>
          <w:color w:val="auto"/>
          <w:sz w:val="24"/>
        </w:rPr>
        <w:t xml:space="preserve"> </w:t>
      </w:r>
    </w:p>
    <w:p w14:paraId="6667F4B0">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w:t>
      </w:r>
    </w:p>
    <w:p w14:paraId="5B5383E4">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地址：</w:t>
      </w:r>
    </w:p>
    <w:p w14:paraId="0832E057">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电话：</w:t>
      </w:r>
    </w:p>
    <w:p w14:paraId="4BA18900">
      <w:pPr>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p w14:paraId="0277615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依据《中华人民共和国民法典》及相关法规，甲、乙方双方本着自愿、平等及互惠互利的原则，经友好协商，就甲方委托乙方为甲方开发建设的</w:t>
      </w:r>
      <w:r>
        <w:rPr>
          <w:rFonts w:hint="eastAsia" w:asciiTheme="minorEastAsia" w:hAnsiTheme="minorEastAsia" w:eastAsiaTheme="minorEastAsia"/>
          <w:color w:val="auto"/>
          <w:sz w:val="24"/>
          <w:u w:val="single"/>
        </w:rPr>
        <w:t>顺丰翠园</w:t>
      </w:r>
      <w:r>
        <w:rPr>
          <w:rFonts w:hint="eastAsia" w:asciiTheme="minorEastAsia" w:hAnsiTheme="minorEastAsia" w:eastAsiaTheme="minorEastAsia"/>
          <w:color w:val="auto"/>
          <w:sz w:val="24"/>
        </w:rPr>
        <w:t>项目（以下简称“本项目”）提供独家销售代理及渠道总包服务以促进项目成交事宜，特签订本合同，以供信守。</w:t>
      </w:r>
    </w:p>
    <w:p w14:paraId="71C9D711">
      <w:pPr>
        <w:pStyle w:val="19"/>
        <w:numPr>
          <w:ilvl w:val="0"/>
          <w:numId w:val="1"/>
        </w:numPr>
        <w:spacing w:line="360" w:lineRule="auto"/>
        <w:ind w:firstLineChars="0"/>
        <w:rPr>
          <w:rFonts w:eastAsia="黑体"/>
          <w:b/>
          <w:color w:val="auto"/>
          <w:sz w:val="24"/>
        </w:rPr>
      </w:pPr>
      <w:r>
        <w:rPr>
          <w:rFonts w:hint="eastAsia" w:eastAsia="黑体"/>
          <w:b/>
          <w:color w:val="auto"/>
          <w:sz w:val="24"/>
        </w:rPr>
        <w:t>双方声明及保证</w:t>
      </w:r>
    </w:p>
    <w:p w14:paraId="0AC32FB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1.1 甲乙双方均为在中国正式成立和登记的法人，有依其章程规定、在其企业法人营业执照规定的经营范围内行事的法律能力。</w:t>
      </w:r>
    </w:p>
    <w:p w14:paraId="39AA02A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甲乙双方保证有签署和执行本合同一切条款的权利及行为能力。</w:t>
      </w:r>
    </w:p>
    <w:p w14:paraId="3E245106">
      <w:pPr>
        <w:pStyle w:val="19"/>
        <w:numPr>
          <w:ilvl w:val="0"/>
          <w:numId w:val="1"/>
        </w:numPr>
        <w:spacing w:line="360" w:lineRule="auto"/>
        <w:ind w:firstLineChars="0"/>
        <w:rPr>
          <w:rFonts w:eastAsia="黑体"/>
          <w:b/>
          <w:color w:val="auto"/>
          <w:sz w:val="24"/>
        </w:rPr>
      </w:pPr>
      <w:r>
        <w:rPr>
          <w:rFonts w:hint="eastAsia" w:eastAsia="黑体"/>
          <w:b/>
          <w:color w:val="auto"/>
          <w:sz w:val="24"/>
        </w:rPr>
        <w:t>合作项目概况</w:t>
      </w:r>
    </w:p>
    <w:p w14:paraId="0BAA6FB7">
      <w:pPr>
        <w:spacing w:line="360" w:lineRule="auto"/>
        <w:ind w:firstLine="480" w:firstLineChars="200"/>
        <w:rPr>
          <w:rFonts w:ascii="宋体" w:hAnsi="宋体"/>
          <w:color w:val="auto"/>
          <w:kern w:val="28"/>
          <w:sz w:val="24"/>
        </w:rPr>
      </w:pPr>
      <w:r>
        <w:rPr>
          <w:rFonts w:hint="eastAsia" w:ascii="宋体" w:hAnsi="宋体"/>
          <w:color w:val="auto"/>
          <w:kern w:val="28"/>
          <w:sz w:val="24"/>
        </w:rPr>
        <w:t>2.1 项目名称：</w:t>
      </w:r>
      <w:r>
        <w:rPr>
          <w:rFonts w:hint="eastAsia" w:ascii="宋体" w:hAnsi="宋体"/>
          <w:color w:val="auto"/>
          <w:kern w:val="28"/>
          <w:sz w:val="24"/>
          <w:u w:val="single"/>
        </w:rPr>
        <w:t>顺丰翠园</w:t>
      </w:r>
      <w:r>
        <w:rPr>
          <w:rFonts w:hint="eastAsia" w:ascii="宋体" w:hAnsi="宋体"/>
          <w:color w:val="auto"/>
          <w:kern w:val="28"/>
          <w:sz w:val="24"/>
        </w:rPr>
        <w:t>。</w:t>
      </w:r>
    </w:p>
    <w:p w14:paraId="02C4374B">
      <w:pPr>
        <w:spacing w:line="360" w:lineRule="auto"/>
        <w:ind w:firstLine="480" w:firstLineChars="200"/>
        <w:rPr>
          <w:rFonts w:ascii="宋体" w:hAnsi="宋体"/>
          <w:color w:val="auto"/>
          <w:kern w:val="28"/>
          <w:sz w:val="24"/>
        </w:rPr>
      </w:pPr>
      <w:r>
        <w:rPr>
          <w:rFonts w:hint="eastAsia" w:ascii="宋体" w:hAnsi="宋体"/>
          <w:color w:val="auto"/>
          <w:kern w:val="28"/>
          <w:sz w:val="24"/>
        </w:rPr>
        <w:t>2.2 项目位置：广州市</w:t>
      </w:r>
      <w:r>
        <w:rPr>
          <w:rFonts w:hint="eastAsia" w:ascii="宋体" w:hAnsi="宋体"/>
          <w:color w:val="auto"/>
          <w:kern w:val="28"/>
          <w:sz w:val="24"/>
          <w:u w:val="single"/>
        </w:rPr>
        <w:t>白云区石井兆丰路168号广花高速公路东侧</w:t>
      </w:r>
      <w:r>
        <w:rPr>
          <w:rFonts w:hint="eastAsia" w:ascii="宋体" w:hAnsi="宋体"/>
          <w:color w:val="auto"/>
          <w:kern w:val="28"/>
          <w:sz w:val="24"/>
        </w:rPr>
        <w:t>。</w:t>
      </w:r>
    </w:p>
    <w:p w14:paraId="2CD671A2">
      <w:pPr>
        <w:spacing w:line="360" w:lineRule="auto"/>
        <w:ind w:firstLine="480" w:firstLineChars="200"/>
        <w:rPr>
          <w:rFonts w:ascii="宋体" w:hAnsi="宋体"/>
          <w:color w:val="auto"/>
          <w:kern w:val="28"/>
          <w:sz w:val="24"/>
        </w:rPr>
      </w:pPr>
      <w:r>
        <w:rPr>
          <w:rFonts w:hint="eastAsia" w:ascii="宋体" w:hAnsi="宋体"/>
          <w:color w:val="auto"/>
          <w:kern w:val="28"/>
          <w:sz w:val="24"/>
        </w:rPr>
        <w:t>2.3 项目物业类型：</w:t>
      </w:r>
      <w:r>
        <w:rPr>
          <w:rFonts w:hint="eastAsia" w:ascii="宋体" w:hAnsi="宋体"/>
          <w:color w:val="auto"/>
          <w:kern w:val="28"/>
          <w:sz w:val="24"/>
          <w:u w:val="single"/>
        </w:rPr>
        <w:t>住宅</w:t>
      </w:r>
      <w:r>
        <w:rPr>
          <w:rFonts w:hint="eastAsia" w:ascii="宋体" w:hAnsi="宋体"/>
          <w:color w:val="auto"/>
          <w:kern w:val="28"/>
          <w:sz w:val="24"/>
        </w:rPr>
        <w:t>。</w:t>
      </w:r>
    </w:p>
    <w:p w14:paraId="218A1B92">
      <w:pPr>
        <w:spacing w:line="360" w:lineRule="auto"/>
        <w:ind w:firstLine="480" w:firstLineChars="200"/>
        <w:jc w:val="left"/>
        <w:rPr>
          <w:rFonts w:hint="eastAsia" w:asciiTheme="minorEastAsia" w:hAnsiTheme="minorEastAsia" w:eastAsiaTheme="minorEastAsia"/>
          <w:color w:val="auto"/>
          <w:sz w:val="24"/>
        </w:rPr>
      </w:pPr>
      <w:r>
        <w:rPr>
          <w:rFonts w:hint="eastAsia" w:ascii="宋体" w:hAnsi="宋体"/>
          <w:color w:val="auto"/>
          <w:kern w:val="28"/>
          <w:sz w:val="24"/>
        </w:rPr>
        <w:t>2.4</w:t>
      </w:r>
      <w:r>
        <w:rPr>
          <w:rFonts w:hint="eastAsia" w:ascii="宋体" w:hAnsi="宋体"/>
          <w:color w:val="auto"/>
          <w:kern w:val="28"/>
          <w:sz w:val="24"/>
        </w:rPr>
        <w:t xml:space="preserve"> 委托独家销售代理及</w:t>
      </w:r>
      <w:r>
        <w:rPr>
          <w:rFonts w:hint="eastAsia" w:asciiTheme="minorEastAsia" w:hAnsiTheme="minorEastAsia" w:eastAsiaTheme="minorEastAsia"/>
          <w:color w:val="auto"/>
          <w:sz w:val="24"/>
        </w:rPr>
        <w:t>渠道总包服务的</w:t>
      </w:r>
      <w:r>
        <w:rPr>
          <w:rFonts w:hint="eastAsia" w:ascii="宋体" w:hAnsi="宋体"/>
          <w:color w:val="auto"/>
          <w:kern w:val="28"/>
          <w:sz w:val="24"/>
        </w:rPr>
        <w:t>服务范围：本项目五期翠丰路9号F5栋、翠丰路11号F6栋、翠丰路1号F8栋、翠丰路3号F9栋所有可售房屋，四期兆丰路126、128、130号所有可售房屋</w:t>
      </w:r>
      <w:r>
        <w:rPr>
          <w:rFonts w:hint="eastAsia" w:asciiTheme="minorEastAsia" w:hAnsiTheme="minorEastAsia" w:eastAsiaTheme="minorEastAsia"/>
          <w:color w:val="auto"/>
          <w:sz w:val="24"/>
        </w:rPr>
        <w:t>。</w:t>
      </w:r>
    </w:p>
    <w:p w14:paraId="54F5FE79">
      <w:pPr>
        <w:pStyle w:val="19"/>
        <w:numPr>
          <w:ilvl w:val="0"/>
          <w:numId w:val="1"/>
        </w:numPr>
        <w:spacing w:line="360" w:lineRule="auto"/>
        <w:ind w:firstLineChars="0"/>
        <w:rPr>
          <w:rFonts w:eastAsia="黑体"/>
          <w:b/>
          <w:color w:val="auto"/>
          <w:sz w:val="24"/>
        </w:rPr>
      </w:pPr>
      <w:r>
        <w:rPr>
          <w:rFonts w:hint="eastAsia" w:eastAsia="黑体"/>
          <w:b/>
          <w:color w:val="auto"/>
          <w:sz w:val="24"/>
        </w:rPr>
        <w:t>合同期限</w:t>
      </w:r>
    </w:p>
    <w:p w14:paraId="06F73EE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 xml:space="preserve">3.1 </w:t>
      </w:r>
      <w:r>
        <w:rPr>
          <w:rFonts w:hint="eastAsia" w:asciiTheme="minorEastAsia" w:hAnsiTheme="minorEastAsia" w:eastAsiaTheme="minorEastAsia"/>
          <w:color w:val="auto"/>
          <w:sz w:val="24"/>
        </w:rPr>
        <w:t>本合同签订后生效，</w:t>
      </w:r>
      <w:r>
        <w:rPr>
          <w:rFonts w:hint="eastAsia" w:asciiTheme="minorEastAsia" w:hAnsiTheme="minorEastAsia" w:eastAsiaTheme="minorEastAsia"/>
          <w:color w:val="auto"/>
          <w:sz w:val="24"/>
          <w:lang w:val="en-US" w:eastAsia="zh-CN"/>
        </w:rPr>
        <w:t>至2026年12月31日</w:t>
      </w:r>
      <w:r>
        <w:rPr>
          <w:rFonts w:hint="eastAsia" w:asciiTheme="minorEastAsia" w:hAnsiTheme="minorEastAsia" w:eastAsiaTheme="minorEastAsia"/>
          <w:color w:val="auto"/>
          <w:sz w:val="24"/>
        </w:rPr>
        <w:t>合同自然终止。</w:t>
      </w:r>
    </w:p>
    <w:p w14:paraId="3860082B">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3.2 合同设有考核期，考核期为合同签订之日起6个月。</w:t>
      </w:r>
    </w:p>
    <w:p w14:paraId="1BA7F95F">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3.3 合同签订后3个月内，F8、F9栋未开售的，考核期任务指标为销售房屋50套；合同签订当时或签订后3个月内，F8、F9栋已取得商品房预售许可证开售的，考核期任务指标为销售房屋80套；</w:t>
      </w:r>
      <w:r>
        <w:rPr>
          <w:rFonts w:hint="eastAsia" w:asciiTheme="minorEastAsia" w:hAnsiTheme="minorEastAsia" w:eastAsiaTheme="minorEastAsia"/>
          <w:color w:val="auto"/>
          <w:sz w:val="24"/>
        </w:rPr>
        <w:t>销售房屋数量计算以客户向甲方完成定金缴纳并签订本项目《广州市房地产认购书》的销售套数为准</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如</w:t>
      </w:r>
      <w:r>
        <w:rPr>
          <w:rFonts w:hint="eastAsia" w:asciiTheme="minorEastAsia" w:hAnsiTheme="minorEastAsia" w:eastAsiaTheme="minorEastAsia"/>
          <w:color w:val="auto"/>
          <w:sz w:val="24"/>
          <w:lang w:val="en-US" w:eastAsia="zh-CN"/>
        </w:rPr>
        <w:t>考核期内</w:t>
      </w:r>
      <w:r>
        <w:rPr>
          <w:rFonts w:hint="eastAsia" w:asciiTheme="minorEastAsia" w:hAnsiTheme="minorEastAsia" w:eastAsiaTheme="minorEastAsia"/>
          <w:color w:val="auto"/>
          <w:sz w:val="24"/>
        </w:rPr>
        <w:t>乙方未能完成</w:t>
      </w:r>
      <w:r>
        <w:rPr>
          <w:rFonts w:hint="eastAsia" w:asciiTheme="minorEastAsia" w:hAnsiTheme="minorEastAsia" w:eastAsiaTheme="minorEastAsia"/>
          <w:color w:val="auto"/>
          <w:sz w:val="24"/>
          <w:lang w:val="en-US" w:eastAsia="zh-CN"/>
        </w:rPr>
        <w:t>销售任务指标</w:t>
      </w:r>
      <w:r>
        <w:rPr>
          <w:rFonts w:hint="eastAsia" w:asciiTheme="minorEastAsia" w:hAnsiTheme="minorEastAsia" w:eastAsiaTheme="minorEastAsia"/>
          <w:color w:val="auto"/>
          <w:sz w:val="24"/>
        </w:rPr>
        <w:t>甲方有权</w:t>
      </w:r>
      <w:r>
        <w:rPr>
          <w:rFonts w:hint="eastAsia" w:asciiTheme="minorEastAsia" w:hAnsiTheme="minorEastAsia" w:eastAsiaTheme="minorEastAsia"/>
          <w:color w:val="auto"/>
          <w:sz w:val="24"/>
          <w:lang w:val="en-US" w:eastAsia="zh-CN"/>
        </w:rPr>
        <w:t>单方</w:t>
      </w:r>
      <w:r>
        <w:rPr>
          <w:rFonts w:hint="eastAsia" w:asciiTheme="minorEastAsia" w:hAnsiTheme="minorEastAsia" w:eastAsiaTheme="minorEastAsia"/>
          <w:color w:val="auto"/>
          <w:sz w:val="24"/>
        </w:rPr>
        <w:t>解除合同。</w:t>
      </w:r>
    </w:p>
    <w:p w14:paraId="012C43DF">
      <w:pPr>
        <w:spacing w:line="360" w:lineRule="auto"/>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3.4  </w:t>
      </w:r>
      <w:r>
        <w:rPr>
          <w:rFonts w:hint="eastAsia" w:asciiTheme="minorEastAsia" w:hAnsiTheme="minorEastAsia" w:eastAsiaTheme="minorEastAsia"/>
          <w:color w:val="auto"/>
          <w:sz w:val="24"/>
        </w:rPr>
        <w:t>如</w:t>
      </w:r>
      <w:r>
        <w:rPr>
          <w:rFonts w:hint="eastAsia" w:asciiTheme="minorEastAsia" w:hAnsiTheme="minorEastAsia" w:eastAsiaTheme="minorEastAsia"/>
          <w:color w:val="auto"/>
          <w:sz w:val="24"/>
          <w:lang w:val="en-US" w:eastAsia="zh-CN"/>
        </w:rPr>
        <w:t>考核期内</w:t>
      </w:r>
      <w:r>
        <w:rPr>
          <w:rFonts w:hint="eastAsia" w:asciiTheme="minorEastAsia" w:hAnsiTheme="minorEastAsia" w:eastAsiaTheme="minorEastAsia"/>
          <w:color w:val="auto"/>
          <w:sz w:val="24"/>
        </w:rPr>
        <w:t>乙方未能完成</w:t>
      </w:r>
      <w:r>
        <w:rPr>
          <w:rFonts w:hint="eastAsia" w:asciiTheme="minorEastAsia" w:hAnsiTheme="minorEastAsia" w:eastAsiaTheme="minorEastAsia"/>
          <w:color w:val="auto"/>
          <w:sz w:val="24"/>
          <w:lang w:val="en-US" w:eastAsia="zh-CN"/>
        </w:rPr>
        <w:t>销售任务指标，甲方有权就考核任务销售房屋套数差额按照3000元/套标准对乙方进行扣罚。</w:t>
      </w:r>
    </w:p>
    <w:p w14:paraId="0BA4B3E8">
      <w:pPr>
        <w:pStyle w:val="19"/>
        <w:numPr>
          <w:ilvl w:val="0"/>
          <w:numId w:val="1"/>
        </w:numPr>
        <w:spacing w:line="360" w:lineRule="auto"/>
        <w:ind w:firstLineChars="0"/>
        <w:rPr>
          <w:rFonts w:eastAsia="黑体"/>
          <w:b/>
          <w:color w:val="auto"/>
          <w:sz w:val="24"/>
        </w:rPr>
      </w:pPr>
      <w:r>
        <w:rPr>
          <w:rFonts w:hint="eastAsia" w:eastAsia="黑体"/>
          <w:b/>
          <w:color w:val="auto"/>
          <w:sz w:val="24"/>
        </w:rPr>
        <w:t>合作方式及服务费用</w:t>
      </w:r>
    </w:p>
    <w:p w14:paraId="135806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1合作方式</w:t>
      </w:r>
    </w:p>
    <w:p w14:paraId="4448841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.1.1甲乙双方同意</w:t>
      </w:r>
      <w:r>
        <w:rPr>
          <w:rFonts w:hint="eastAsia" w:asciiTheme="minorEastAsia" w:hAnsiTheme="minorEastAsia" w:eastAsiaTheme="minorEastAsia"/>
          <w:color w:val="auto"/>
          <w:sz w:val="24"/>
        </w:rPr>
        <w:t>，合同期内，甲方委托乙方为本项目的独家销售代理及渠道服务商，为本项目整合内场代理、外场营销、渠道整合等。</w:t>
      </w:r>
    </w:p>
    <w:p w14:paraId="21252F2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4.1.2 甲方原有</w:t>
      </w:r>
      <w:r>
        <w:rPr>
          <w:rFonts w:hint="eastAsia" w:asciiTheme="minorEastAsia" w:hAnsiTheme="minorEastAsia" w:eastAsiaTheme="minorEastAsia"/>
          <w:color w:val="auto"/>
          <w:sz w:val="24"/>
          <w:lang w:val="en-US" w:eastAsia="zh-CN"/>
        </w:rPr>
        <w:t>劳务派遣的</w:t>
      </w:r>
      <w:r>
        <w:rPr>
          <w:rFonts w:hint="eastAsia" w:asciiTheme="minorEastAsia" w:hAnsiTheme="minorEastAsia" w:eastAsiaTheme="minorEastAsia"/>
          <w:color w:val="auto"/>
          <w:sz w:val="24"/>
        </w:rPr>
        <w:t>销售人员工作关系不变，由乙方管理；底薪由甲方支付，销售佣金按照乙方标准由乙方支付。</w:t>
      </w:r>
    </w:p>
    <w:p w14:paraId="6DFDD11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 代理服务费用标准</w:t>
      </w:r>
    </w:p>
    <w:p w14:paraId="338F511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4.2.1代理费、代理费率约定：</w:t>
      </w:r>
    </w:p>
    <w:p w14:paraId="303AE52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本项目乙方代理费率的计算方式为：</w:t>
      </w:r>
    </w:p>
    <w:p w14:paraId="6A35464F">
      <w:pPr>
        <w:spacing w:line="360" w:lineRule="auto"/>
        <w:ind w:firstLine="480" w:firstLineChars="200"/>
        <w:rPr>
          <w:rFonts w:ascii="宋体" w:hAnsi="宋体" w:cs="宋体"/>
          <w:color w:val="auto"/>
          <w:sz w:val="24"/>
        </w:rPr>
      </w:pPr>
      <w:r>
        <w:rPr>
          <w:rFonts w:hint="eastAsia" w:ascii="宋体" w:hAnsi="宋体" w:cs="宋体"/>
          <w:color w:val="auto"/>
          <w:sz w:val="24"/>
        </w:rPr>
        <w:t>销售房屋总价=客户网签合同记载的房屋成交总价</w:t>
      </w:r>
    </w:p>
    <w:p w14:paraId="340997F3">
      <w:pPr>
        <w:spacing w:line="360" w:lineRule="auto"/>
        <w:ind w:firstLine="480" w:firstLineChars="200"/>
        <w:rPr>
          <w:rFonts w:hint="default" w:eastAsia="宋体" w:asciiTheme="minorEastAsia" w:hAnsiTheme="minorEastAsia"/>
          <w:color w:val="auto"/>
          <w:sz w:val="24"/>
          <w:lang w:val="en-US" w:eastAsia="zh-CN"/>
        </w:rPr>
      </w:pPr>
      <w:r>
        <w:rPr>
          <w:rFonts w:hint="eastAsia" w:ascii="宋体" w:hAnsi="宋体" w:cs="宋体"/>
          <w:color w:val="auto"/>
          <w:sz w:val="24"/>
        </w:rPr>
        <w:t>房屋</w:t>
      </w:r>
      <w:r>
        <w:rPr>
          <w:rFonts w:hint="eastAsia" w:ascii="宋体" w:hAnsi="宋体" w:cs="宋体"/>
          <w:color w:val="auto"/>
          <w:sz w:val="24"/>
          <w:lang w:val="en-US" w:eastAsia="zh-CN"/>
        </w:rPr>
        <w:t>销售</w:t>
      </w:r>
      <w:r>
        <w:rPr>
          <w:rFonts w:hint="eastAsia" w:ascii="宋体" w:hAnsi="宋体" w:cs="宋体"/>
          <w:color w:val="auto"/>
          <w:sz w:val="24"/>
        </w:rPr>
        <w:t>代理服务费=销售房屋总价×代理费率（精确到小数点后2位，不四舍五入）</w:t>
      </w:r>
    </w:p>
    <w:p w14:paraId="36DA306B">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4.2.2代理费率表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4170"/>
        <w:gridCol w:w="2998"/>
      </w:tblGrid>
      <w:tr w14:paraId="2547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E26B60A">
            <w:pPr>
              <w:spacing w:line="360" w:lineRule="auto"/>
              <w:jc w:val="center"/>
              <w:rPr>
                <w:rFonts w:hint="eastAsia"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序号</w:t>
            </w:r>
          </w:p>
        </w:tc>
        <w:tc>
          <w:tcPr>
            <w:tcW w:w="4170" w:type="dxa"/>
          </w:tcPr>
          <w:p w14:paraId="39D35801">
            <w:pPr>
              <w:spacing w:line="360" w:lineRule="auto"/>
              <w:jc w:val="center"/>
              <w:rPr>
                <w:rFonts w:hint="eastAsia"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成交客户类型</w:t>
            </w:r>
          </w:p>
        </w:tc>
        <w:tc>
          <w:tcPr>
            <w:tcW w:w="2998" w:type="dxa"/>
          </w:tcPr>
          <w:p w14:paraId="5D2ED322">
            <w:pPr>
              <w:spacing w:line="360" w:lineRule="auto"/>
              <w:jc w:val="center"/>
              <w:rPr>
                <w:rFonts w:hint="eastAsia"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代理费率</w:t>
            </w:r>
          </w:p>
        </w:tc>
      </w:tr>
      <w:tr w14:paraId="5864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280BD09C">
            <w:pPr>
              <w:spacing w:line="360" w:lineRule="auto"/>
              <w:jc w:val="center"/>
              <w:rPr>
                <w:rFonts w:hint="eastAsia"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1</w:t>
            </w:r>
          </w:p>
        </w:tc>
        <w:tc>
          <w:tcPr>
            <w:tcW w:w="4170" w:type="dxa"/>
          </w:tcPr>
          <w:p w14:paraId="778824D1">
            <w:pPr>
              <w:spacing w:line="360" w:lineRule="auto"/>
              <w:jc w:val="center"/>
              <w:rPr>
                <w:rFonts w:hint="default"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自然来访客户</w:t>
            </w:r>
          </w:p>
        </w:tc>
        <w:tc>
          <w:tcPr>
            <w:tcW w:w="2998" w:type="dxa"/>
          </w:tcPr>
          <w:p w14:paraId="4F8BBE3A">
            <w:pPr>
              <w:spacing w:line="360" w:lineRule="auto"/>
              <w:jc w:val="center"/>
              <w:rPr>
                <w:rFonts w:hint="default"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1%</w:t>
            </w:r>
          </w:p>
        </w:tc>
      </w:tr>
      <w:tr w14:paraId="75FB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6F8DA692">
            <w:pPr>
              <w:spacing w:line="360" w:lineRule="auto"/>
              <w:jc w:val="center"/>
              <w:rPr>
                <w:rFonts w:hint="eastAsia"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2</w:t>
            </w:r>
          </w:p>
        </w:tc>
        <w:tc>
          <w:tcPr>
            <w:tcW w:w="4170" w:type="dxa"/>
          </w:tcPr>
          <w:p w14:paraId="1A7450D1">
            <w:pPr>
              <w:spacing w:line="360" w:lineRule="auto"/>
              <w:jc w:val="center"/>
              <w:rPr>
                <w:rFonts w:hint="eastAsia"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渠道带访客户</w:t>
            </w:r>
          </w:p>
        </w:tc>
        <w:tc>
          <w:tcPr>
            <w:tcW w:w="2998" w:type="dxa"/>
          </w:tcPr>
          <w:p w14:paraId="373EF8D3">
            <w:pPr>
              <w:spacing w:line="360" w:lineRule="auto"/>
              <w:jc w:val="center"/>
              <w:rPr>
                <w:rFonts w:hint="default"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4%</w:t>
            </w:r>
          </w:p>
        </w:tc>
      </w:tr>
      <w:tr w14:paraId="543D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1F281E3D">
            <w:pPr>
              <w:spacing w:line="360" w:lineRule="auto"/>
              <w:jc w:val="center"/>
              <w:rPr>
                <w:rFonts w:hint="eastAsia"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3</w:t>
            </w:r>
          </w:p>
        </w:tc>
        <w:tc>
          <w:tcPr>
            <w:tcW w:w="4170" w:type="dxa"/>
          </w:tcPr>
          <w:p w14:paraId="72776559">
            <w:pPr>
              <w:spacing w:line="360" w:lineRule="auto"/>
              <w:jc w:val="center"/>
              <w:rPr>
                <w:rFonts w:hint="eastAsia"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全民营销客户</w:t>
            </w:r>
          </w:p>
        </w:tc>
        <w:tc>
          <w:tcPr>
            <w:tcW w:w="2998" w:type="dxa"/>
          </w:tcPr>
          <w:p w14:paraId="481ED178">
            <w:pPr>
              <w:spacing w:line="360" w:lineRule="auto"/>
              <w:jc w:val="center"/>
              <w:rPr>
                <w:rFonts w:hint="default" w:asciiTheme="minorEastAsia" w:hAnsiTheme="minorEastAsia" w:eastAsiaTheme="minorEastAsia"/>
                <w:color w:val="auto"/>
                <w:sz w:val="24"/>
                <w:vertAlign w:val="baseline"/>
                <w:lang w:val="en-US" w:eastAsia="zh-CN"/>
              </w:rPr>
            </w:pPr>
            <w:r>
              <w:rPr>
                <w:rFonts w:hint="eastAsia" w:asciiTheme="minorEastAsia" w:hAnsiTheme="minorEastAsia" w:eastAsiaTheme="minorEastAsia"/>
                <w:color w:val="auto"/>
                <w:sz w:val="24"/>
                <w:vertAlign w:val="baseline"/>
                <w:lang w:val="en-US" w:eastAsia="zh-CN"/>
              </w:rPr>
              <w:t>0%</w:t>
            </w:r>
          </w:p>
        </w:tc>
      </w:tr>
    </w:tbl>
    <w:p w14:paraId="36232069">
      <w:pPr>
        <w:spacing w:line="360" w:lineRule="auto"/>
        <w:rPr>
          <w:rFonts w:asciiTheme="minorEastAsia" w:hAnsiTheme="minorEastAsia" w:eastAsiaTheme="minorEastAsia"/>
          <w:color w:val="auto"/>
          <w:sz w:val="24"/>
        </w:rPr>
      </w:pPr>
    </w:p>
    <w:p w14:paraId="63DAFA38">
      <w:pPr>
        <w:spacing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备注</w:t>
      </w:r>
      <w:r>
        <w:rPr>
          <w:rFonts w:hint="eastAsia" w:asciiTheme="minorEastAsia" w:hAnsiTheme="minorEastAsia" w:eastAsiaTheme="minorEastAsia"/>
          <w:color w:val="auto"/>
          <w:sz w:val="24"/>
        </w:rPr>
        <w:t>：</w:t>
      </w:r>
    </w:p>
    <w:p w14:paraId="5B3BE158">
      <w:pPr>
        <w:spacing w:line="360" w:lineRule="auto"/>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①自然来访客户定义：通过项目自身宣传推广等途径，获知项目信息后自主到访或经由内场销售邀约到访的客户。渠道带访客户定义：通过渠道中介邀约到访的客户。全民营销客户：归属甲方全民营销活动的客户。</w:t>
      </w:r>
    </w:p>
    <w:p w14:paraId="4DE8392C">
      <w:pPr>
        <w:spacing w:line="360" w:lineRule="auto"/>
        <w:ind w:firstLine="480" w:firstLineChars="200"/>
        <w:rPr>
          <w:rFonts w:asciiTheme="minorEastAsia" w:hAnsiTheme="minorEastAsia"/>
          <w:color w:val="auto"/>
          <w:sz w:val="24"/>
        </w:rPr>
      </w:pPr>
      <w:r>
        <w:rPr>
          <w:rFonts w:hint="eastAsia" w:asciiTheme="minorEastAsia" w:hAnsiTheme="minorEastAsia" w:eastAsiaTheme="minorEastAsia"/>
          <w:color w:val="auto"/>
          <w:sz w:val="24"/>
          <w:lang w:val="en-US" w:eastAsia="zh-CN"/>
        </w:rPr>
        <w:t>②</w:t>
      </w:r>
      <w:r>
        <w:rPr>
          <w:rFonts w:hint="eastAsia" w:asciiTheme="minorEastAsia" w:hAnsiTheme="minorEastAsia" w:eastAsiaTheme="minorEastAsia"/>
          <w:color w:val="auto"/>
          <w:sz w:val="24"/>
        </w:rPr>
        <w:t>销售代理服务费月结或结算按网签套数为准。</w:t>
      </w:r>
    </w:p>
    <w:p w14:paraId="069BA6D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③</w:t>
      </w:r>
      <w:r>
        <w:rPr>
          <w:rFonts w:hint="eastAsia" w:asciiTheme="minorEastAsia" w:hAnsiTheme="minorEastAsia" w:eastAsiaTheme="minorEastAsia"/>
          <w:color w:val="auto"/>
          <w:sz w:val="24"/>
        </w:rPr>
        <w:t>客户签订本项目《广州市房地产认购书》或《商品房买卖合同》或银行按揭合同后，但最终未能实际成交的（包括但不限于以上合同解除、撤销、终止、无效等），不视为乙方成交客户，甲方无需向乙方支付代理费；如已支付代理费的，乙方应在30天内予以全额退还，或甲方有权在应付未付的代理费中直接扣除。</w:t>
      </w:r>
    </w:p>
    <w:p w14:paraId="4B4FE33D">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④</w:t>
      </w:r>
      <w:r>
        <w:rPr>
          <w:rFonts w:hint="eastAsia" w:asciiTheme="minorEastAsia" w:hAnsiTheme="minorEastAsia" w:eastAsiaTheme="minorEastAsia"/>
          <w:color w:val="auto"/>
          <w:sz w:val="24"/>
        </w:rPr>
        <w:t>代理费率以乙方投标时的销售代理费率报价为准。</w:t>
      </w:r>
    </w:p>
    <w:p w14:paraId="10584C7F">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⑤合同签订后，如甲方房屋备案价均价下调幅度大于或等于5%，各档销售代理费率须同步下调10%。按照下调后备案价成交的房屋，须同步按照下调后的销售代理费率结算代理服务费用。</w:t>
      </w:r>
    </w:p>
    <w:p w14:paraId="385CAAA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.3 代理服务费用月结条件</w:t>
      </w:r>
    </w:p>
    <w:p w14:paraId="5D7CB324">
      <w:pPr>
        <w:spacing w:line="360" w:lineRule="auto"/>
        <w:ind w:firstLine="480" w:firstLineChars="200"/>
        <w:rPr>
          <w:rFonts w:ascii="宋体" w:hAnsi="宋体" w:cs="宋体"/>
          <w:color w:val="auto"/>
          <w:sz w:val="24"/>
        </w:rPr>
      </w:pPr>
      <w:r>
        <w:rPr>
          <w:rFonts w:hint="eastAsia" w:ascii="宋体" w:hAnsi="宋体" w:cs="宋体"/>
          <w:color w:val="auto"/>
          <w:sz w:val="24"/>
        </w:rPr>
        <w:t>一、按揭或分期付款的购房客户，甲方确认客户已将所认购房屋的全额首付款交纳至甲方指定账户，并已完成商品房买卖合同网签手续的，乙方可申请月结该套房屋全额销售代理服务费。</w:t>
      </w:r>
    </w:p>
    <w:p w14:paraId="1EC981EE">
      <w:pPr>
        <w:spacing w:line="360" w:lineRule="auto"/>
        <w:ind w:firstLine="480" w:firstLineChars="200"/>
        <w:rPr>
          <w:rFonts w:ascii="宋体" w:hAnsi="宋体" w:cs="宋体"/>
          <w:color w:val="auto"/>
          <w:sz w:val="24"/>
        </w:rPr>
      </w:pPr>
      <w:r>
        <w:rPr>
          <w:rFonts w:hint="eastAsia" w:ascii="宋体" w:hAnsi="宋体" w:cs="宋体"/>
          <w:color w:val="auto"/>
          <w:sz w:val="24"/>
        </w:rPr>
        <w:t>二、一次性付款的购房客户，甲方确认客户已将所认购房屋的首付款缴纳至甲方指定账户，并已完成商品房买卖合同网签手续。乙方可申请结算该套房屋全额销售代理服务费，销售面积、销售时间、销售房屋总价均以网签合同内容为准。</w:t>
      </w:r>
    </w:p>
    <w:p w14:paraId="47A9C11B">
      <w:pPr>
        <w:spacing w:line="360" w:lineRule="auto"/>
        <w:ind w:firstLine="480" w:firstLineChars="200"/>
        <w:rPr>
          <w:rFonts w:asciiTheme="minorEastAsia" w:hAnsiTheme="minorEastAsia" w:eastAsiaTheme="minorEastAsia"/>
          <w:color w:val="auto"/>
          <w:sz w:val="24"/>
        </w:rPr>
      </w:pPr>
      <w:r>
        <w:rPr>
          <w:rFonts w:hint="eastAsia" w:ascii="宋体" w:hAnsi="宋体" w:cs="宋体"/>
          <w:color w:val="auto"/>
          <w:sz w:val="24"/>
        </w:rPr>
        <w:t>4.</w:t>
      </w:r>
      <w:r>
        <w:rPr>
          <w:rFonts w:ascii="宋体" w:hAnsi="宋体" w:cs="宋体"/>
          <w:color w:val="auto"/>
          <w:sz w:val="24"/>
        </w:rPr>
        <w:t>3月结</w:t>
      </w:r>
      <w:r>
        <w:rPr>
          <w:rFonts w:hint="eastAsia" w:asciiTheme="minorEastAsia" w:hAnsiTheme="minorEastAsia" w:eastAsiaTheme="minorEastAsia"/>
          <w:color w:val="auto"/>
          <w:sz w:val="24"/>
        </w:rPr>
        <w:t>及支付时间：</w:t>
      </w:r>
    </w:p>
    <w:p w14:paraId="6F934D7A">
      <w:pPr>
        <w:spacing w:line="360" w:lineRule="auto"/>
        <w:ind w:firstLine="480" w:firstLineChars="200"/>
        <w:rPr>
          <w:rFonts w:asciiTheme="minorEastAsia" w:hAnsiTheme="minorEastAsia" w:eastAsiaTheme="minorEastAsia"/>
          <w:color w:val="auto"/>
          <w:sz w:val="24"/>
        </w:rPr>
      </w:pPr>
      <w:r>
        <w:rPr>
          <w:rFonts w:ascii="宋体" w:hAnsi="宋体"/>
          <w:color w:val="auto"/>
          <w:sz w:val="24"/>
        </w:rPr>
        <w:t>销售代理服务费采用月结方式。</w:t>
      </w:r>
      <w:r>
        <w:rPr>
          <w:rFonts w:hint="eastAsia" w:asciiTheme="minorEastAsia" w:hAnsiTheme="minorEastAsia" w:eastAsiaTheme="minorEastAsia"/>
          <w:color w:val="auto"/>
          <w:sz w:val="24"/>
        </w:rPr>
        <w:t>乙方每月5号前将上月</w:t>
      </w:r>
      <w:r>
        <w:rPr>
          <w:rFonts w:ascii="宋体" w:hAnsi="宋体"/>
          <w:color w:val="auto"/>
          <w:sz w:val="24"/>
        </w:rPr>
        <w:t>月结</w:t>
      </w:r>
      <w:r>
        <w:rPr>
          <w:rFonts w:hint="eastAsia" w:asciiTheme="minorEastAsia" w:hAnsiTheme="minorEastAsia" w:eastAsiaTheme="minorEastAsia"/>
          <w:color w:val="auto"/>
          <w:sz w:val="24"/>
        </w:rPr>
        <w:t>单提供给甲方审核，甲方应在10个工作日内将审批通过签章确认的月结单返回给乙方；如遇甲方对月结结果有异议，则返回日期顺延至异议解决之日，期间乙方应积极配合甲方核对月结结果。乙方在收到月结单一周内应向甲方开具等额有效的增值税专用电子发票，甲方收到发票后10个工作日内将服务费划转至乙方账号。</w:t>
      </w:r>
    </w:p>
    <w:p w14:paraId="7C799DAB">
      <w:pPr>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公司全称：</w:t>
      </w:r>
    </w:p>
    <w:p w14:paraId="61705B56">
      <w:pPr>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银行账号：</w:t>
      </w:r>
    </w:p>
    <w:p w14:paraId="58038890">
      <w:pPr>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汇入地点：</w:t>
      </w:r>
      <w:r>
        <w:rPr>
          <w:rFonts w:asciiTheme="minorEastAsia" w:hAnsiTheme="minorEastAsia" w:eastAsiaTheme="minorEastAsia"/>
          <w:color w:val="auto"/>
          <w:sz w:val="24"/>
        </w:rPr>
        <w:t xml:space="preserve"> </w:t>
      </w:r>
    </w:p>
    <w:p w14:paraId="1F58741D">
      <w:pPr>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开户银行：</w:t>
      </w:r>
      <w:r>
        <w:rPr>
          <w:rFonts w:asciiTheme="minorEastAsia" w:hAnsiTheme="minorEastAsia" w:eastAsiaTheme="minorEastAsia"/>
          <w:color w:val="auto"/>
          <w:sz w:val="24"/>
        </w:rPr>
        <w:t xml:space="preserve"> </w:t>
      </w:r>
    </w:p>
    <w:p w14:paraId="28F779DC">
      <w:pPr>
        <w:spacing w:line="360" w:lineRule="auto"/>
        <w:ind w:firstLine="480" w:firstLineChars="200"/>
        <w:rPr>
          <w:rFonts w:ascii="宋体" w:hAnsi="宋体"/>
          <w:color w:val="auto"/>
          <w:kern w:val="28"/>
          <w:sz w:val="24"/>
        </w:rPr>
      </w:pPr>
      <w:r>
        <w:rPr>
          <w:rFonts w:hint="eastAsia" w:ascii="宋体" w:hAnsi="宋体"/>
          <w:color w:val="auto"/>
          <w:kern w:val="28"/>
          <w:sz w:val="24"/>
        </w:rPr>
        <w:t>4.4结算规则</w:t>
      </w:r>
    </w:p>
    <w:p w14:paraId="20DE30A3">
      <w:pPr>
        <w:spacing w:line="360" w:lineRule="auto"/>
        <w:ind w:firstLine="480" w:firstLineChars="200"/>
        <w:rPr>
          <w:rFonts w:hint="eastAsia" w:ascii="宋体" w:hAnsi="宋体"/>
          <w:color w:val="auto"/>
          <w:kern w:val="28"/>
          <w:sz w:val="24"/>
        </w:rPr>
      </w:pPr>
      <w:r>
        <w:rPr>
          <w:rFonts w:hint="eastAsia" w:ascii="宋体" w:hAnsi="宋体"/>
          <w:color w:val="auto"/>
          <w:kern w:val="28"/>
          <w:sz w:val="24"/>
        </w:rPr>
        <w:t>4.4.1销售代理服务费结算应按照网签时间先后顺序月结及结算。</w:t>
      </w:r>
    </w:p>
    <w:p w14:paraId="45A41DCE">
      <w:pPr>
        <w:spacing w:line="360" w:lineRule="auto"/>
        <w:ind w:firstLine="480" w:firstLineChars="200"/>
        <w:rPr>
          <w:rFonts w:ascii="宋体" w:hAnsi="宋体"/>
          <w:color w:val="auto"/>
          <w:kern w:val="28"/>
          <w:sz w:val="24"/>
        </w:rPr>
      </w:pPr>
      <w:r>
        <w:rPr>
          <w:rFonts w:hint="eastAsia" w:ascii="宋体" w:hAnsi="宋体"/>
          <w:color w:val="auto"/>
          <w:kern w:val="28"/>
          <w:sz w:val="24"/>
        </w:rPr>
        <w:t>4.4.2 本代理合同中止或合同期满，乙方申请销售代理服务费结算，按照</w:t>
      </w:r>
      <w:r>
        <w:rPr>
          <w:rFonts w:hint="eastAsia" w:asciiTheme="minorEastAsia" w:hAnsiTheme="minorEastAsia" w:eastAsiaTheme="minorEastAsia"/>
          <w:color w:val="auto"/>
          <w:sz w:val="24"/>
        </w:rPr>
        <w:t>计入乙方销售</w:t>
      </w:r>
      <w:r>
        <w:rPr>
          <w:rFonts w:hint="eastAsia" w:ascii="宋体" w:hAnsi="宋体"/>
          <w:color w:val="auto"/>
          <w:kern w:val="28"/>
          <w:sz w:val="24"/>
        </w:rPr>
        <w:t>网签总</w:t>
      </w:r>
      <w:r>
        <w:rPr>
          <w:rFonts w:hint="eastAsia" w:asciiTheme="minorEastAsia" w:hAnsiTheme="minorEastAsia" w:eastAsiaTheme="minorEastAsia"/>
          <w:color w:val="auto"/>
          <w:sz w:val="24"/>
        </w:rPr>
        <w:t>套数</w:t>
      </w:r>
      <w:r>
        <w:rPr>
          <w:rFonts w:hint="eastAsia" w:ascii="宋体" w:hAnsi="宋体"/>
          <w:color w:val="auto"/>
          <w:kern w:val="28"/>
          <w:sz w:val="24"/>
        </w:rPr>
        <w:t>对应</w:t>
      </w:r>
      <w:r>
        <w:rPr>
          <w:rFonts w:hint="eastAsia" w:ascii="宋体" w:hAnsi="宋体" w:cs="宋体"/>
          <w:color w:val="auto"/>
          <w:sz w:val="24"/>
        </w:rPr>
        <w:t>销售房屋总价作为</w:t>
      </w:r>
      <w:r>
        <w:rPr>
          <w:rFonts w:hint="eastAsia" w:ascii="宋体" w:hAnsi="宋体"/>
          <w:color w:val="auto"/>
          <w:kern w:val="28"/>
          <w:sz w:val="24"/>
        </w:rPr>
        <w:t>结算依据。结算时，应合理扣除</w:t>
      </w:r>
      <w:r>
        <w:rPr>
          <w:rFonts w:hint="eastAsia" w:asciiTheme="minorEastAsia" w:hAnsiTheme="minorEastAsia" w:eastAsiaTheme="minorEastAsia"/>
          <w:color w:val="auto"/>
          <w:sz w:val="24"/>
        </w:rPr>
        <w:t>解除、撤销、终止、无效等的销售合同数量对应销售房屋总价</w:t>
      </w:r>
      <w:r>
        <w:rPr>
          <w:rFonts w:hint="eastAsia" w:ascii="宋体" w:hAnsi="宋体"/>
          <w:color w:val="auto"/>
          <w:kern w:val="28"/>
          <w:sz w:val="24"/>
        </w:rPr>
        <w:t>。</w:t>
      </w:r>
    </w:p>
    <w:p w14:paraId="295852C0">
      <w:pPr>
        <w:spacing w:line="360" w:lineRule="auto"/>
        <w:ind w:firstLine="480" w:firstLineChars="200"/>
        <w:rPr>
          <w:rFonts w:ascii="宋体" w:hAnsi="宋体"/>
          <w:color w:val="auto"/>
          <w:kern w:val="28"/>
          <w:sz w:val="24"/>
        </w:rPr>
      </w:pPr>
      <w:r>
        <w:rPr>
          <w:rFonts w:hint="eastAsia" w:ascii="宋体" w:hAnsi="宋体"/>
          <w:color w:val="auto"/>
          <w:kern w:val="28"/>
          <w:sz w:val="24"/>
        </w:rPr>
        <w:t>4.4.3</w:t>
      </w:r>
      <w:r>
        <w:rPr>
          <w:rFonts w:hint="eastAsia" w:asciiTheme="minorEastAsia" w:hAnsiTheme="minorEastAsia" w:eastAsiaTheme="minorEastAsia"/>
          <w:color w:val="auto"/>
          <w:sz w:val="24"/>
        </w:rPr>
        <w:t>本合同</w:t>
      </w:r>
      <w:r>
        <w:rPr>
          <w:rFonts w:hint="eastAsia" w:ascii="宋体" w:hAnsi="宋体"/>
          <w:color w:val="auto"/>
          <w:kern w:val="28"/>
          <w:sz w:val="24"/>
        </w:rPr>
        <w:t>中止或合同期满时</w:t>
      </w:r>
      <w:r>
        <w:rPr>
          <w:rFonts w:hint="eastAsia" w:asciiTheme="minorEastAsia" w:hAnsiTheme="minorEastAsia" w:eastAsiaTheme="minorEastAsia"/>
          <w:color w:val="auto"/>
          <w:sz w:val="24"/>
        </w:rPr>
        <w:t>，在合同期限内已交付定金且签署《</w:t>
      </w:r>
      <w:r>
        <w:rPr>
          <w:rFonts w:hint="eastAsia" w:cs="宋体" w:asciiTheme="minorEastAsia" w:hAnsiTheme="minorEastAsia" w:eastAsiaTheme="minorEastAsia"/>
          <w:color w:val="auto"/>
          <w:sz w:val="24"/>
        </w:rPr>
        <w:t>广州市房地产认购书</w:t>
      </w:r>
      <w:r>
        <w:rPr>
          <w:rFonts w:hint="eastAsia" w:asciiTheme="minorEastAsia" w:hAnsiTheme="minorEastAsia" w:eastAsiaTheme="minorEastAsia"/>
          <w:color w:val="auto"/>
          <w:sz w:val="24"/>
        </w:rPr>
        <w:t>》的销售套数；或在本合同有效期内到访的客户，自</w:t>
      </w:r>
      <w:r>
        <w:rPr>
          <w:rFonts w:hint="eastAsia" w:ascii="宋体" w:hAnsi="宋体"/>
          <w:color w:val="auto"/>
          <w:kern w:val="28"/>
          <w:sz w:val="24"/>
        </w:rPr>
        <w:t>合同中止或合同期满</w:t>
      </w:r>
      <w:r>
        <w:rPr>
          <w:rFonts w:hint="eastAsia" w:asciiTheme="minorEastAsia" w:hAnsiTheme="minorEastAsia" w:eastAsiaTheme="minorEastAsia"/>
          <w:color w:val="auto"/>
          <w:sz w:val="24"/>
        </w:rPr>
        <w:t>之日起15天内交付定金且签署《</w:t>
      </w:r>
      <w:r>
        <w:rPr>
          <w:rFonts w:hint="eastAsia" w:cs="宋体" w:asciiTheme="minorEastAsia" w:hAnsiTheme="minorEastAsia" w:eastAsiaTheme="minorEastAsia"/>
          <w:color w:val="auto"/>
          <w:sz w:val="24"/>
        </w:rPr>
        <w:t>广州市房地产认购书</w:t>
      </w:r>
      <w:r>
        <w:rPr>
          <w:rFonts w:hint="eastAsia" w:asciiTheme="minorEastAsia" w:hAnsiTheme="minorEastAsia" w:eastAsiaTheme="minorEastAsia"/>
          <w:color w:val="auto"/>
          <w:sz w:val="24"/>
        </w:rPr>
        <w:t>》的销售套数，视为本合同结算时可计算代理费的销售套数。乙方应于合同</w:t>
      </w:r>
      <w:r>
        <w:rPr>
          <w:rFonts w:hint="eastAsia" w:ascii="宋体" w:hAnsi="宋体"/>
          <w:color w:val="auto"/>
          <w:kern w:val="28"/>
          <w:sz w:val="24"/>
        </w:rPr>
        <w:t>中止或合同期满后，满足4.2.3款结算规定</w:t>
      </w:r>
      <w:r>
        <w:rPr>
          <w:rFonts w:hint="eastAsia" w:asciiTheme="minorEastAsia" w:hAnsiTheme="minorEastAsia" w:eastAsiaTheme="minorEastAsia"/>
          <w:color w:val="auto"/>
          <w:sz w:val="24"/>
        </w:rPr>
        <w:t>之日起20工作天内向甲方申请结算，甲方按照4.2、4.3条款规定向乙方支付剩余全额销售代理服务费。</w:t>
      </w:r>
    </w:p>
    <w:p w14:paraId="788DCD24">
      <w:pPr>
        <w:spacing w:line="360" w:lineRule="auto"/>
        <w:ind w:firstLine="480" w:firstLineChars="200"/>
        <w:rPr>
          <w:rFonts w:asciiTheme="minorEastAsia" w:hAnsiTheme="minorEastAsia" w:eastAsiaTheme="minorEastAsia"/>
          <w:color w:val="auto"/>
          <w:sz w:val="24"/>
        </w:rPr>
      </w:pPr>
      <w:r>
        <w:rPr>
          <w:rFonts w:hint="eastAsia" w:ascii="宋体" w:hAnsi="宋体"/>
          <w:color w:val="auto"/>
          <w:kern w:val="28"/>
          <w:sz w:val="24"/>
        </w:rPr>
        <w:t xml:space="preserve">4.5 </w:t>
      </w:r>
      <w:r>
        <w:rPr>
          <w:rFonts w:hint="eastAsia" w:asciiTheme="minorEastAsia" w:hAnsiTheme="minorEastAsia" w:eastAsiaTheme="minorEastAsia"/>
          <w:color w:val="auto"/>
          <w:sz w:val="24"/>
        </w:rPr>
        <w:t>乙方整合的内场</w:t>
      </w:r>
      <w:r>
        <w:rPr>
          <w:rFonts w:asciiTheme="minorEastAsia" w:hAnsiTheme="minorEastAsia" w:eastAsiaTheme="minorEastAsia"/>
          <w:color w:val="auto"/>
          <w:sz w:val="24"/>
        </w:rPr>
        <w:t>代理服务商、</w:t>
      </w:r>
      <w:r>
        <w:rPr>
          <w:rFonts w:hint="eastAsia" w:asciiTheme="minorEastAsia" w:hAnsiTheme="minorEastAsia" w:eastAsiaTheme="minorEastAsia"/>
          <w:color w:val="auto"/>
          <w:sz w:val="24"/>
        </w:rPr>
        <w:t>渠道公司</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外场销售的</w:t>
      </w:r>
      <w:r>
        <w:rPr>
          <w:rFonts w:asciiTheme="minorEastAsia" w:hAnsiTheme="minorEastAsia" w:eastAsiaTheme="minorEastAsia"/>
          <w:color w:val="auto"/>
          <w:sz w:val="24"/>
        </w:rPr>
        <w:t>相关代理费用，均由乙方负责支付和结算，</w:t>
      </w:r>
      <w:r>
        <w:rPr>
          <w:rFonts w:hint="eastAsia" w:asciiTheme="minorEastAsia" w:hAnsiTheme="minorEastAsia" w:eastAsiaTheme="minorEastAsia"/>
          <w:color w:val="auto"/>
          <w:sz w:val="24"/>
        </w:rPr>
        <w:t>与</w:t>
      </w:r>
      <w:r>
        <w:rPr>
          <w:rFonts w:asciiTheme="minorEastAsia" w:hAnsiTheme="minorEastAsia" w:eastAsiaTheme="minorEastAsia"/>
          <w:color w:val="auto"/>
          <w:sz w:val="24"/>
        </w:rPr>
        <w:t>甲方无关，</w:t>
      </w:r>
      <w:r>
        <w:rPr>
          <w:rFonts w:hint="eastAsia" w:asciiTheme="minorEastAsia" w:hAnsiTheme="minorEastAsia" w:eastAsiaTheme="minorEastAsia"/>
          <w:color w:val="auto"/>
          <w:sz w:val="24"/>
        </w:rPr>
        <w:t>甲方</w:t>
      </w:r>
      <w:r>
        <w:rPr>
          <w:rFonts w:asciiTheme="minorEastAsia" w:hAnsiTheme="minorEastAsia" w:eastAsiaTheme="minorEastAsia"/>
          <w:color w:val="auto"/>
          <w:sz w:val="24"/>
        </w:rPr>
        <w:t>无需另行支付任何费用。</w:t>
      </w:r>
    </w:p>
    <w:p w14:paraId="2FF1C81E">
      <w:pPr>
        <w:pStyle w:val="19"/>
        <w:numPr>
          <w:ilvl w:val="0"/>
          <w:numId w:val="1"/>
        </w:numPr>
        <w:spacing w:line="360" w:lineRule="auto"/>
        <w:ind w:firstLineChars="0"/>
        <w:rPr>
          <w:rFonts w:eastAsia="黑体"/>
          <w:b/>
          <w:color w:val="auto"/>
          <w:sz w:val="24"/>
        </w:rPr>
      </w:pPr>
      <w:r>
        <w:rPr>
          <w:rFonts w:eastAsia="黑体"/>
          <w:b/>
          <w:color w:val="auto"/>
          <w:sz w:val="24"/>
        </w:rPr>
        <w:t>销售房源约定</w:t>
      </w:r>
    </w:p>
    <w:p w14:paraId="2EEE906E">
      <w:pPr>
        <w:pStyle w:val="19"/>
        <w:numPr>
          <w:ilvl w:val="0"/>
          <w:numId w:val="0"/>
        </w:num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 xml:space="preserve">5.1 </w:t>
      </w:r>
      <w:r>
        <w:rPr>
          <w:rFonts w:hint="eastAsia" w:asciiTheme="minorEastAsia" w:hAnsiTheme="minorEastAsia" w:eastAsiaTheme="minorEastAsia"/>
          <w:color w:val="auto"/>
          <w:sz w:val="24"/>
        </w:rPr>
        <w:t>乙方可销售房源以甲方盖章确认的《房源确认表》上列明的具体房源为准。</w:t>
      </w:r>
    </w:p>
    <w:p w14:paraId="14A1F621">
      <w:pPr>
        <w:pStyle w:val="19"/>
        <w:numPr>
          <w:ilvl w:val="0"/>
          <w:numId w:val="0"/>
        </w:num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 xml:space="preserve">5.2 </w:t>
      </w:r>
      <w:r>
        <w:rPr>
          <w:rFonts w:hint="eastAsia" w:asciiTheme="minorEastAsia" w:hAnsiTheme="minorEastAsia" w:eastAsiaTheme="minorEastAsia"/>
          <w:color w:val="auto"/>
          <w:sz w:val="24"/>
        </w:rPr>
        <w:t>《房源确认表》范围以外的房屋发生交易的，不作为乙方销售业绩，不计提销售代理服务费。</w:t>
      </w:r>
    </w:p>
    <w:p w14:paraId="235403D1">
      <w:pPr>
        <w:pStyle w:val="19"/>
        <w:numPr>
          <w:ilvl w:val="0"/>
          <w:numId w:val="1"/>
        </w:numPr>
        <w:spacing w:line="360" w:lineRule="auto"/>
        <w:ind w:firstLineChars="0"/>
        <w:rPr>
          <w:rFonts w:eastAsia="黑体"/>
          <w:b/>
          <w:color w:val="auto"/>
          <w:sz w:val="24"/>
        </w:rPr>
      </w:pPr>
      <w:r>
        <w:rPr>
          <w:rFonts w:hint="eastAsia" w:eastAsia="黑体"/>
          <w:b/>
          <w:color w:val="auto"/>
          <w:sz w:val="24"/>
        </w:rPr>
        <w:t>甲方权利与义务</w:t>
      </w:r>
    </w:p>
    <w:p w14:paraId="4399DBAD">
      <w:pPr>
        <w:spacing w:line="360" w:lineRule="auto"/>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6.1 甲方对本项目享有最高决策权，包括但不限于房屋定价、销售折扣执行等。可以审核、确认、修正乙方为本项目委托所提交的策划方案、广告方案、营销方案及其他方案、计划、预算等。甲方将根据销售情况，不断更正并重新发出</w:t>
      </w:r>
      <w:r>
        <w:rPr>
          <w:rFonts w:hint="eastAsia" w:ascii="宋体" w:hAnsi="宋体"/>
          <w:color w:val="auto"/>
          <w:kern w:val="28"/>
          <w:sz w:val="24"/>
        </w:rPr>
        <w:t>《</w:t>
      </w:r>
      <w:r>
        <w:rPr>
          <w:rFonts w:hint="eastAsia" w:asciiTheme="minorEastAsia" w:hAnsiTheme="minorEastAsia" w:eastAsiaTheme="minorEastAsia"/>
          <w:color w:val="auto"/>
          <w:sz w:val="24"/>
        </w:rPr>
        <w:t>房源确认表</w:t>
      </w:r>
      <w:r>
        <w:rPr>
          <w:rFonts w:hint="eastAsia" w:ascii="宋体" w:hAnsi="宋体"/>
          <w:color w:val="auto"/>
          <w:kern w:val="28"/>
          <w:sz w:val="24"/>
        </w:rPr>
        <w:t>》</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项目所有客户来访登记由甲方负责，成交客户类型只能由甲方进行判别，并享有最终判定权。</w:t>
      </w:r>
    </w:p>
    <w:p w14:paraId="18FEBE4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6.2 甲方承诺标的资产属于甲方且权属状况清晰、合法，质量及附属设施符合法定要求，且无任何产权纠纷，甲方承诺标的资产未设定或已解除任何形式的查封。若在售房屋存在银行抵押的，客户认购后甲方应配合办理涂销手续。</w:t>
      </w:r>
    </w:p>
    <w:p w14:paraId="7F04233E">
      <w:pPr>
        <w:pStyle w:val="3"/>
        <w:rPr>
          <w:color w:val="auto"/>
        </w:rPr>
      </w:pPr>
      <w:r>
        <w:rPr>
          <w:rFonts w:hint="eastAsia"/>
          <w:color w:val="auto"/>
        </w:rPr>
        <w:t>6</w:t>
      </w:r>
      <w:r>
        <w:rPr>
          <w:color w:val="auto"/>
        </w:rPr>
        <w:t>.</w:t>
      </w:r>
      <w:r>
        <w:rPr>
          <w:rFonts w:hint="eastAsia"/>
          <w:color w:val="auto"/>
        </w:rPr>
        <w:t>3 合作期间，甲方确保提供乙方必要的销售道具和销售条件，包括提供办公场所、售楼处、展示区、销售物料等，同时保证标的物业的售楼处、样板间、展示区在合作期间的使用功能完好，乙方可正常使用。</w:t>
      </w:r>
    </w:p>
    <w:p w14:paraId="76BE2F3C">
      <w:pPr>
        <w:pStyle w:val="3"/>
        <w:rPr>
          <w:color w:val="auto"/>
        </w:rPr>
      </w:pPr>
      <w:r>
        <w:rPr>
          <w:rFonts w:hint="eastAsia"/>
          <w:color w:val="auto"/>
        </w:rPr>
        <w:t>6</w:t>
      </w:r>
      <w:r>
        <w:rPr>
          <w:color w:val="auto"/>
        </w:rPr>
        <w:t>.4</w:t>
      </w:r>
      <w:r>
        <w:rPr>
          <w:rFonts w:hint="eastAsia"/>
          <w:color w:val="auto"/>
        </w:rPr>
        <w:t>合作期间，甲方应配合乙方顺利销售，承担以下方面的工作内容及费用：</w:t>
      </w:r>
    </w:p>
    <w:p w14:paraId="1075B399">
      <w:pPr>
        <w:pStyle w:val="3"/>
        <w:rPr>
          <w:color w:val="auto"/>
        </w:rPr>
      </w:pPr>
      <w:r>
        <w:rPr>
          <w:rFonts w:hint="eastAsia"/>
          <w:color w:val="auto"/>
        </w:rPr>
        <w:t>项目展示样板间质保及工程维护；</w:t>
      </w:r>
    </w:p>
    <w:p w14:paraId="0EC47195">
      <w:pPr>
        <w:pStyle w:val="3"/>
        <w:rPr>
          <w:color w:val="auto"/>
        </w:rPr>
      </w:pPr>
      <w:r>
        <w:rPr>
          <w:rFonts w:hint="eastAsia"/>
          <w:color w:val="auto"/>
        </w:rPr>
        <w:t>项目销售中心及样板间水电费；</w:t>
      </w:r>
    </w:p>
    <w:p w14:paraId="26FAE26B">
      <w:pPr>
        <w:pStyle w:val="3"/>
        <w:rPr>
          <w:color w:val="auto"/>
        </w:rPr>
      </w:pPr>
      <w:r>
        <w:rPr>
          <w:rFonts w:hint="eastAsia"/>
          <w:color w:val="auto"/>
        </w:rPr>
        <w:t>活动费用（暖场活动、开盘活动、业主活动等）；</w:t>
      </w:r>
    </w:p>
    <w:p w14:paraId="7BC9C2EC">
      <w:pPr>
        <w:pStyle w:val="3"/>
        <w:rPr>
          <w:color w:val="auto"/>
        </w:rPr>
      </w:pPr>
      <w:r>
        <w:rPr>
          <w:rFonts w:hint="eastAsia"/>
          <w:color w:val="auto"/>
        </w:rPr>
        <w:t>展点费用（参展费用、展点租赁费用、展架等）；</w:t>
      </w:r>
    </w:p>
    <w:p w14:paraId="32FFA357">
      <w:pPr>
        <w:pStyle w:val="3"/>
        <w:rPr>
          <w:color w:val="auto"/>
        </w:rPr>
      </w:pPr>
      <w:r>
        <w:rPr>
          <w:rFonts w:hint="eastAsia"/>
          <w:color w:val="auto"/>
        </w:rPr>
        <w:t>物料制作费用（展板、宣传单张、动线包装等）；</w:t>
      </w:r>
    </w:p>
    <w:p w14:paraId="1FD9D656">
      <w:pPr>
        <w:pStyle w:val="3"/>
        <w:rPr>
          <w:color w:val="auto"/>
        </w:rPr>
      </w:pPr>
      <w:r>
        <w:rPr>
          <w:rFonts w:hint="eastAsia"/>
          <w:color w:val="auto"/>
        </w:rPr>
        <w:t>广告设计及投放（广告公司费用、网媒、户外大牌等费用）；</w:t>
      </w:r>
    </w:p>
    <w:p w14:paraId="44FC15B3">
      <w:pPr>
        <w:pStyle w:val="3"/>
        <w:rPr>
          <w:color w:val="auto"/>
        </w:rPr>
      </w:pPr>
      <w:r>
        <w:rPr>
          <w:rFonts w:hint="eastAsia"/>
          <w:color w:val="auto"/>
        </w:rPr>
        <w:t>礼品费用（客户拓展及拜访礼品、成交相关礼品等）；</w:t>
      </w:r>
    </w:p>
    <w:p w14:paraId="4869F9E5">
      <w:pPr>
        <w:pStyle w:val="3"/>
        <w:rPr>
          <w:color w:val="auto"/>
        </w:rPr>
      </w:pPr>
      <w:r>
        <w:rPr>
          <w:rFonts w:hint="eastAsia"/>
          <w:color w:val="auto"/>
        </w:rPr>
        <w:t>律师费用（合同草拟、法务咨询等）。</w:t>
      </w:r>
    </w:p>
    <w:p w14:paraId="121AED36">
      <w:pPr>
        <w:pStyle w:val="3"/>
        <w:rPr>
          <w:color w:val="auto"/>
        </w:rPr>
      </w:pPr>
      <w:r>
        <w:rPr>
          <w:rFonts w:hint="eastAsia"/>
          <w:color w:val="auto"/>
        </w:rPr>
        <w:t>年度广告及营销活动类费用由甲方根据年度计划销售目标确定，最高预算为计划完成的年度销售金额的1%。甲方有权在预算范围内根据实际需要及销售情况开展广告及其他营销类活动。</w:t>
      </w:r>
    </w:p>
    <w:p w14:paraId="63ED571E">
      <w:pPr>
        <w:pStyle w:val="3"/>
        <w:rPr>
          <w:color w:val="auto"/>
        </w:rPr>
      </w:pPr>
      <w:r>
        <w:rPr>
          <w:rFonts w:hint="eastAsia"/>
          <w:color w:val="auto"/>
        </w:rPr>
        <w:t>如在对应销售阶段内甲方已投入的营销费用，超出乙方已销售房源金额1%的，视为甲方已全面履行配合乙方销售的营销费用投入义务，乙方不得以甲方投入不足作为理由怠于履行销售代理义务。</w:t>
      </w:r>
    </w:p>
    <w:p w14:paraId="79C81771">
      <w:pPr>
        <w:pStyle w:val="3"/>
        <w:rPr>
          <w:color w:val="auto"/>
        </w:rPr>
      </w:pPr>
      <w:r>
        <w:rPr>
          <w:color w:val="auto"/>
        </w:rPr>
        <w:t>超出甲方审批的销售计划或甲方营销预算外</w:t>
      </w:r>
      <w:r>
        <w:rPr>
          <w:rFonts w:hint="eastAsia"/>
          <w:color w:val="auto"/>
        </w:rPr>
        <w:t>，</w:t>
      </w:r>
      <w:r>
        <w:rPr>
          <w:color w:val="auto"/>
        </w:rPr>
        <w:t>乙方为揽客自行组织的活动，乙方应提前向甲方报备，待甲方确认同意后方可执行，费用由乙方承担。</w:t>
      </w:r>
    </w:p>
    <w:p w14:paraId="47A2AD5F">
      <w:pPr>
        <w:pStyle w:val="3"/>
        <w:rPr>
          <w:color w:val="auto"/>
        </w:rPr>
      </w:pPr>
      <w:r>
        <w:rPr>
          <w:rFonts w:hint="eastAsia"/>
          <w:color w:val="auto"/>
        </w:rPr>
        <w:t>6</w:t>
      </w:r>
      <w:r>
        <w:rPr>
          <w:color w:val="auto"/>
        </w:rPr>
        <w:t>.5</w:t>
      </w:r>
      <w:r>
        <w:rPr>
          <w:rFonts w:hint="eastAsia"/>
          <w:color w:val="auto"/>
        </w:rPr>
        <w:t>为开展销售工作，乙方如对标的物业有工程、设计类的疑问可随时向甲方提出，甲方须及时进行答疑。合作期间，甲方负责协调处理因标的物业项目建筑材料、施工质量、产权等方面产生的各种投诉。</w:t>
      </w:r>
    </w:p>
    <w:p w14:paraId="0A7848ED">
      <w:pPr>
        <w:pStyle w:val="3"/>
        <w:rPr>
          <w:color w:val="auto"/>
        </w:rPr>
      </w:pPr>
      <w:r>
        <w:rPr>
          <w:rFonts w:hint="eastAsia"/>
          <w:color w:val="auto"/>
        </w:rPr>
        <w:t>6</w:t>
      </w:r>
      <w:r>
        <w:rPr>
          <w:color w:val="auto"/>
        </w:rPr>
        <w:t>.6</w:t>
      </w:r>
      <w:r>
        <w:rPr>
          <w:rFonts w:hint="eastAsia"/>
          <w:color w:val="auto"/>
        </w:rPr>
        <w:t>合作期间，甲方负责与乙方指定的购房客户网签正式商品房买卖合同、办理预告登记、撤销登记、产权登记等交易登记手续。甲方负责收取乙方指定的购房客户所交付之房款，并负责开具甲方的房款收据和发票。</w:t>
      </w:r>
    </w:p>
    <w:p w14:paraId="6A8560AA">
      <w:pPr>
        <w:spacing w:line="360" w:lineRule="auto"/>
        <w:ind w:firstLine="480" w:firstLineChars="200"/>
        <w:rPr>
          <w:rFonts w:asciiTheme="minorEastAsia" w:hAnsiTheme="minorEastAsia" w:eastAsiaTheme="minorEastAsia"/>
          <w:strike/>
          <w:color w:val="auto"/>
          <w:sz w:val="24"/>
        </w:rPr>
      </w:pPr>
      <w:r>
        <w:rPr>
          <w:rFonts w:hint="eastAsia" w:asciiTheme="minorEastAsia" w:hAnsiTheme="minorEastAsia" w:eastAsiaTheme="minorEastAsia"/>
          <w:color w:val="auto"/>
          <w:sz w:val="24"/>
        </w:rPr>
        <w:t>6</w:t>
      </w:r>
      <w:r>
        <w:rPr>
          <w:rFonts w:asciiTheme="minorEastAsia" w:hAnsiTheme="minorEastAsia" w:eastAsiaTheme="minorEastAsia"/>
          <w:color w:val="auto"/>
          <w:sz w:val="24"/>
        </w:rPr>
        <w:t>.7</w:t>
      </w:r>
      <w:r>
        <w:rPr>
          <w:rFonts w:hint="eastAsia" w:asciiTheme="minorEastAsia" w:hAnsiTheme="minorEastAsia" w:eastAsiaTheme="minorEastAsia"/>
          <w:color w:val="auto"/>
          <w:sz w:val="24"/>
        </w:rPr>
        <w:t>甲方指定</w:t>
      </w:r>
      <w:r>
        <w:rPr>
          <w:rFonts w:hint="eastAsia" w:asciiTheme="minorEastAsia" w:hAnsiTheme="minorEastAsia" w:eastAsiaTheme="minorEastAsia"/>
          <w:color w:val="auto"/>
          <w:sz w:val="24"/>
          <w:u w:val="single"/>
        </w:rPr>
        <w:t>姓名：张启诏（身份证号：440105198504195434，联系电话</w:t>
      </w:r>
      <w:r>
        <w:rPr>
          <w:rFonts w:asciiTheme="minorEastAsia" w:hAnsiTheme="minorEastAsia" w:eastAsiaTheme="minorEastAsia"/>
          <w:color w:val="auto"/>
          <w:sz w:val="24"/>
          <w:u w:val="single"/>
        </w:rPr>
        <w:t>：</w:t>
      </w:r>
      <w:r>
        <w:rPr>
          <w:rFonts w:hint="eastAsia" w:asciiTheme="minorEastAsia" w:hAnsiTheme="minorEastAsia" w:eastAsiaTheme="minorEastAsia"/>
          <w:color w:val="auto"/>
          <w:sz w:val="24"/>
          <w:u w:val="single"/>
        </w:rPr>
        <w:t>13500031821电子邮件：hellozqz@sina.com）</w:t>
      </w:r>
      <w:r>
        <w:rPr>
          <w:rFonts w:hint="eastAsia" w:asciiTheme="minorEastAsia" w:hAnsiTheme="minorEastAsia" w:eastAsiaTheme="minorEastAsia"/>
          <w:color w:val="auto"/>
          <w:sz w:val="24"/>
        </w:rPr>
        <w:t>作为现场对接人，负责与乙方进行工作对接。</w:t>
      </w:r>
    </w:p>
    <w:p w14:paraId="57F473D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6.8 甲方应保证在合作期内，独家委托乙方销售，不得再自行或以任何形式委托其他第三方销售。</w:t>
      </w:r>
    </w:p>
    <w:p w14:paraId="4389257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6.9 如甲方要求，乙方须在其经营场所或门店提供必要的项目宣传区域，并放置不少于3个X展架（面积不小于0.8㎡），同时可由甲方安排人员在该区域分发宣传单张。</w:t>
      </w:r>
    </w:p>
    <w:p w14:paraId="375FFCE8">
      <w:pPr>
        <w:pStyle w:val="19"/>
        <w:numPr>
          <w:ilvl w:val="0"/>
          <w:numId w:val="1"/>
        </w:numPr>
        <w:spacing w:line="360" w:lineRule="auto"/>
        <w:ind w:firstLineChars="0"/>
        <w:rPr>
          <w:rFonts w:eastAsia="黑体"/>
          <w:b/>
          <w:color w:val="auto"/>
          <w:sz w:val="24"/>
        </w:rPr>
      </w:pPr>
      <w:r>
        <w:rPr>
          <w:rFonts w:hint="eastAsia" w:eastAsia="黑体"/>
          <w:b/>
          <w:color w:val="auto"/>
          <w:sz w:val="24"/>
        </w:rPr>
        <w:t>乙方权利与义务</w:t>
      </w:r>
    </w:p>
    <w:p w14:paraId="204ED91B">
      <w:pPr>
        <w:pStyle w:val="12"/>
        <w:spacing w:line="360" w:lineRule="auto"/>
        <w:ind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7.1合作期间乙方不得将本项目转包给第三方销售。乙方或乙方授权机构保证具备进行渠道服务的合法资质，由此产生的法律责任由乙方承担，如因此导致甲方遭受处罚的，甲方有权向乙方追偿处罚款项。</w:t>
      </w:r>
    </w:p>
    <w:p w14:paraId="08CB2DC0">
      <w:pPr>
        <w:pStyle w:val="12"/>
        <w:spacing w:line="360" w:lineRule="auto"/>
        <w:ind w:left="59" w:leftChars="28" w:firstLine="48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7.2合同期限内，标的物业的销售由乙方全面负责，开展销售及推广工作。乙方所有销售价格调整行为需先向甲方书面申请并取得许可，方可实施。乙方有权随时通过政府公开房地产交易系统查询标的物业的销售状态，甲方擅自收取售出物业的定金或者本项目物业因甲方原因导致合同无法履行，乙方有权要求甲方立即停止违约行为，并及时纠正。如甲方出现上述行为且经乙方指正后的</w:t>
      </w:r>
      <w:r>
        <w:rPr>
          <w:rFonts w:cs="宋体" w:asciiTheme="minorEastAsia" w:hAnsiTheme="minorEastAsia" w:eastAsiaTheme="minorEastAsia"/>
          <w:color w:val="auto"/>
          <w:sz w:val="24"/>
          <w:szCs w:val="24"/>
        </w:rPr>
        <w:t>30天</w:t>
      </w:r>
      <w:r>
        <w:rPr>
          <w:rFonts w:hint="eastAsia" w:cs="宋体" w:asciiTheme="minorEastAsia" w:hAnsiTheme="minorEastAsia" w:eastAsiaTheme="minorEastAsia"/>
          <w:color w:val="auto"/>
          <w:sz w:val="24"/>
          <w:szCs w:val="24"/>
        </w:rPr>
        <w:t>内，甲方仍无法纠正的，则乙方有权解除合同，并有权要求甲方向乙方支付因此造成的实际经济损失。</w:t>
      </w:r>
    </w:p>
    <w:p w14:paraId="7BA38CE7">
      <w:pPr>
        <w:pStyle w:val="12"/>
        <w:spacing w:line="360" w:lineRule="auto"/>
        <w:ind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7.3乙方根据甲方授权的范围与提供的资料进行渠道服务，不得超宣传口径进行任何承诺。如乙方对客户做出超越甲方授权的承诺造成的不良后果，乙方负责处理并承担相应责任，甲方可因此解除合同，并有权要求乙方向甲方支付因此造成的实际经济损失。</w:t>
      </w:r>
    </w:p>
    <w:p w14:paraId="63AFC292">
      <w:pPr>
        <w:pStyle w:val="12"/>
        <w:spacing w:line="360" w:lineRule="auto"/>
        <w:ind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7.4乙方通过合法方式与渠道组织本项目渠道销售、向客户推广本项目产品，如因乙方渠道服务行为违反相关法律规范产生的纠纷由乙方处理，甲方可因此解除合同，且有权要求乙方支付因此造成的实际经济损失。</w:t>
      </w:r>
    </w:p>
    <w:p w14:paraId="32189E45">
      <w:pPr>
        <w:pStyle w:val="12"/>
        <w:spacing w:line="360" w:lineRule="auto"/>
        <w:ind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7.5乙方经甲方同意有权于合同期内在本宣传物料、推广现场等适当位置以“销售代理服务商”名义署名。</w:t>
      </w:r>
    </w:p>
    <w:p w14:paraId="64CC81C8">
      <w:pPr>
        <w:pStyle w:val="12"/>
        <w:spacing w:line="360" w:lineRule="auto"/>
        <w:ind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7.6乙方对合作过程中知悉的甲方商业秘密承担保密责任，合作过程中所有留资、到访、成交的客户资料归甲方所有，合作期满乙方应无条件将相关资料移交甲方。乙方人员泄密，给甲方造成损失的，乙方必须承担全部赔偿责任。乙方的保密义务不因合同终止、解除而免除。乙方应当按照合同约定时间及方式向甲方支付渠道合作保证金以及未售房源保证金。甲、乙双方在本合同有效期内及本合同有效期届满或终止之日起的三年内应严格保守对方商业秘密。未经双方书面同意不得将保密信息对外发布或披露、提供给任何第三方。</w:t>
      </w:r>
    </w:p>
    <w:p w14:paraId="55C68F71">
      <w:pPr>
        <w:pStyle w:val="12"/>
        <w:spacing w:line="360" w:lineRule="auto"/>
        <w:ind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7.7乙方指定</w:t>
      </w:r>
      <w:r>
        <w:rPr>
          <w:rFonts w:hint="eastAsia" w:cs="宋体" w:asciiTheme="minorEastAsia" w:hAnsiTheme="minorEastAsia" w:eastAsiaTheme="minorEastAsia"/>
          <w:color w:val="auto"/>
          <w:sz w:val="24"/>
          <w:szCs w:val="24"/>
          <w:u w:val="single"/>
        </w:rPr>
        <w:t xml:space="preserve">姓名：                                       </w:t>
      </w:r>
      <w:r>
        <w:rPr>
          <w:rFonts w:hint="eastAsia" w:asciiTheme="minorEastAsia" w:hAnsiTheme="minorEastAsia" w:eastAsiaTheme="minorEastAsia"/>
          <w:color w:val="auto"/>
          <w:sz w:val="24"/>
          <w:u w:val="single"/>
        </w:rPr>
        <w:t>）</w:t>
      </w:r>
      <w:r>
        <w:rPr>
          <w:rFonts w:hint="eastAsia" w:cs="宋体" w:asciiTheme="minorEastAsia" w:hAnsiTheme="minorEastAsia" w:eastAsiaTheme="minorEastAsia"/>
          <w:color w:val="auto"/>
          <w:sz w:val="24"/>
          <w:szCs w:val="24"/>
        </w:rPr>
        <w:t>作为现场对接人，负责与甲方进行工作对接，处理对账、费用支出确认等事宜。</w:t>
      </w:r>
    </w:p>
    <w:p w14:paraId="299B96B6">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r>
        <w:rPr>
          <w:rFonts w:cs="宋体" w:asciiTheme="minorEastAsia" w:hAnsiTheme="minorEastAsia" w:eastAsiaTheme="minorEastAsia"/>
          <w:color w:val="auto"/>
          <w:sz w:val="24"/>
        </w:rPr>
        <w:t>8</w:t>
      </w:r>
      <w:r>
        <w:rPr>
          <w:rFonts w:hint="eastAsia" w:cs="宋体" w:asciiTheme="minorEastAsia" w:hAnsiTheme="minorEastAsia" w:eastAsiaTheme="minorEastAsia"/>
          <w:color w:val="auto"/>
          <w:sz w:val="24"/>
        </w:rPr>
        <w:t>合作期限内，乙方需确保不少于以下人员配备：现场销售经理1名，现场销售策划1名，现场销售顾问6名。乙方提供的销售代理服务中应包括但不限于相关售后服务，如协助客户办理银行按揭手续、房屋收楼手续、指导客户办理房屋契税、签收相关文件资料等。乙方工作人员应注重职业道德、个人形象，坚持文明销售、礼貌待客，且必须做到诚实、信誉、高效、热情。</w:t>
      </w:r>
    </w:p>
    <w:p w14:paraId="2160EEFE">
      <w:pPr>
        <w:spacing w:line="360" w:lineRule="auto"/>
        <w:ind w:firstLine="480" w:firstLineChars="200"/>
        <w:rPr>
          <w:rFonts w:ascii="新宋体" w:hAnsi="新宋体" w:eastAsia="新宋体"/>
          <w:color w:val="auto"/>
          <w:sz w:val="24"/>
        </w:rPr>
      </w:pPr>
      <w:r>
        <w:rPr>
          <w:rFonts w:hint="eastAsia" w:ascii="新宋体" w:hAnsi="新宋体" w:eastAsia="新宋体"/>
          <w:color w:val="auto"/>
          <w:sz w:val="24"/>
        </w:rPr>
        <w:t>乙方对销售人员</w:t>
      </w:r>
      <w:r>
        <w:rPr>
          <w:rFonts w:ascii="新宋体" w:hAnsi="新宋体" w:eastAsia="新宋体"/>
          <w:color w:val="auto"/>
          <w:sz w:val="24"/>
        </w:rPr>
        <w:t>必须严格着装</w:t>
      </w:r>
      <w:r>
        <w:rPr>
          <w:rFonts w:hint="eastAsia" w:ascii="新宋体" w:hAnsi="新宋体" w:eastAsia="新宋体"/>
          <w:color w:val="auto"/>
          <w:sz w:val="24"/>
        </w:rPr>
        <w:t>要求</w:t>
      </w:r>
      <w:r>
        <w:rPr>
          <w:rFonts w:ascii="新宋体" w:hAnsi="新宋体" w:eastAsia="新宋体"/>
          <w:color w:val="auto"/>
          <w:sz w:val="24"/>
        </w:rPr>
        <w:t>。仪表应保持整洁、大方、得体,</w:t>
      </w:r>
      <w:r>
        <w:rPr>
          <w:rFonts w:hint="eastAsia" w:ascii="新宋体" w:hAnsi="新宋体" w:eastAsia="新宋体"/>
          <w:color w:val="auto"/>
          <w:sz w:val="24"/>
        </w:rPr>
        <w:t>未</w:t>
      </w:r>
      <w:r>
        <w:rPr>
          <w:rFonts w:ascii="新宋体" w:hAnsi="新宋体" w:eastAsia="新宋体"/>
          <w:color w:val="auto"/>
          <w:sz w:val="24"/>
        </w:rPr>
        <w:t>着工装的同事</w:t>
      </w:r>
      <w:r>
        <w:rPr>
          <w:rFonts w:hint="eastAsia" w:ascii="新宋体" w:hAnsi="新宋体" w:eastAsia="新宋体"/>
          <w:color w:val="auto"/>
          <w:sz w:val="24"/>
        </w:rPr>
        <w:t>一</w:t>
      </w:r>
      <w:r>
        <w:rPr>
          <w:rFonts w:ascii="新宋体" w:hAnsi="新宋体" w:eastAsia="新宋体"/>
          <w:color w:val="auto"/>
          <w:sz w:val="24"/>
        </w:rPr>
        <w:t>律不得坐在销售前台。</w:t>
      </w:r>
      <w:r>
        <w:rPr>
          <w:rFonts w:hint="eastAsia" w:ascii="新宋体" w:hAnsi="新宋体" w:eastAsia="新宋体"/>
          <w:color w:val="auto"/>
          <w:sz w:val="24"/>
        </w:rPr>
        <w:t>否则甲方有权扣罚100元/次。</w:t>
      </w:r>
    </w:p>
    <w:p w14:paraId="7EC1DF35">
      <w:pPr>
        <w:spacing w:line="360" w:lineRule="auto"/>
        <w:ind w:firstLine="480" w:firstLineChars="200"/>
        <w:rPr>
          <w:rFonts w:ascii="新宋体" w:hAnsi="新宋体" w:eastAsia="新宋体"/>
          <w:color w:val="auto"/>
          <w:sz w:val="24"/>
        </w:rPr>
      </w:pPr>
      <w:r>
        <w:rPr>
          <w:rFonts w:hint="eastAsia" w:ascii="新宋体" w:hAnsi="新宋体" w:eastAsia="新宋体"/>
          <w:color w:val="auto"/>
          <w:sz w:val="24"/>
        </w:rPr>
        <w:t>乙方销售人员上班时间不得在前台阅读任何非销售资料的读物；不准在前台吃零食、存放零食、抽烟;不得在销售前台大声喧哗、闲聊、嬉闹。否则甲方有权对乙方予以书面警告，如同等情况出现两次以上，甲方有权扣罚500元/次，出现三次以上甲方有权扣罚1000元/次。</w:t>
      </w:r>
    </w:p>
    <w:p w14:paraId="483AD1D7">
      <w:pPr>
        <w:spacing w:line="360" w:lineRule="auto"/>
        <w:ind w:firstLine="480" w:firstLineChars="200"/>
        <w:rPr>
          <w:rFonts w:ascii="新宋体" w:hAnsi="新宋体" w:eastAsia="新宋体"/>
          <w:color w:val="auto"/>
          <w:sz w:val="24"/>
        </w:rPr>
      </w:pPr>
      <w:r>
        <w:rPr>
          <w:rFonts w:hint="eastAsia" w:ascii="新宋体" w:hAnsi="新宋体" w:eastAsia="新宋体"/>
          <w:color w:val="auto"/>
          <w:sz w:val="24"/>
        </w:rPr>
        <w:t>乙方所有工作人员必须遵守甲方安全生产管理相关规定，施工期间进入看房通道及样板间区域本人及所带客户必须佩戴安全帽，禁止吸烟，不得靠近阳台栏杆区域，上下楼梯须提醒客户注意安全。如有违反甲方有权扣罚500元/次，出现三次以上甲方有权扣罚1000元/次。</w:t>
      </w:r>
    </w:p>
    <w:p w14:paraId="3BE5AB5A">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乙方提供的销售代理服务具体工作内容为：乙方负责提供项目的整体营销推广策略、销售节奏安排计划、价格策略、认筹方案、开盘方案、推广活动及项目包装方案等重要策略建议。乙方还应定期向甲方提交销售周报、月报，报告包括但不限于收集到本项目竞争对手的动态销售策略和销售情况。</w:t>
      </w:r>
      <w:r>
        <w:rPr>
          <w:rFonts w:hint="eastAsia" w:ascii="新宋体" w:hAnsi="新宋体" w:eastAsia="新宋体"/>
          <w:color w:val="auto"/>
          <w:sz w:val="24"/>
        </w:rPr>
        <w:t>乙方应按时按质完成工作，否则甲方有权对乙方予以书面警告，如同等情况出现两次以上，甲方有权扣罚500元/次，出现三次以上甲方有权扣罚1000元/次。</w:t>
      </w:r>
    </w:p>
    <w:p w14:paraId="1F03D11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乙方负责完成对本项目销售团队的培训工作，并建立项目销售管理制度。乙方代表甲方负责项目销售现场的管理，维持现场秩序。乙方代表甲方严格按照接待流程接洽所有购房客户、同业人士及交流参观人员，负责分类登记来访客户信息，负责收集来电来访客户信息，录入甲方营销系统，建立来电来访客户档案，定期汇总向甲方反馈客户意见。</w:t>
      </w:r>
    </w:p>
    <w:p w14:paraId="2A8A0BD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乙方负责</w:t>
      </w:r>
      <w:r>
        <w:rPr>
          <w:rFonts w:hint="eastAsia" w:cs="华文中宋" w:asciiTheme="minorEastAsia" w:hAnsiTheme="minorEastAsia" w:eastAsiaTheme="minorEastAsia"/>
          <w:color w:val="auto"/>
          <w:kern w:val="0"/>
          <w:sz w:val="24"/>
        </w:rPr>
        <w:t>流量中心费用，内容包括确保每周一篇视频或文章出稿，每月保底四篇视频或文章；短视频拍摄、剧本撰写、专业设备、后期制作、投放宣传但不包括第三方平台投放费用。视频和文章应突出项目卖点，结合社会热点，配合销售节点，题材正面，易于宣传。视频和文章其制作形式及费用甲方不得作硬性规定，乙方应根据甲方意见及需求自行决策，并符合相关法律法规。</w:t>
      </w:r>
    </w:p>
    <w:p w14:paraId="331244A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项目正式开盘后，经甲方确认客户交纳定金到账后，乙方协助甲方与客户签订《广州市房地产认购书》，销售行为严格按照事先制定的认购流程执行。</w:t>
      </w:r>
    </w:p>
    <w:p w14:paraId="4EF0DEB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签订《广州市商品房买卖合同》：经甲方确认购房客户交纳首期房款（按揭）或全部房款（一次性支付）到账后，乙方协助甲方与客户签订《广州市商品房买卖合同》、补充协议及相关文件，完成甲乙双方确认的签约行为。签约行为严格按照事先制定的签约流程执行。</w:t>
      </w:r>
    </w:p>
    <w:p w14:paraId="32C2406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乙方协助甲方管理本项目房号销控表，在自有销售渠道范围内组织好楼盘的销售工作，相关细则及费用由甲乙双方另行书面约定。</w:t>
      </w:r>
    </w:p>
    <w:p w14:paraId="5CBA441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收集客户按揭贷款资料：乙方负责收集齐备客户办理按揭贷款等相关资料，并将上述资料转交至办理按揭贷款的相关单位或者甲方指定工作人员处。</w:t>
      </w:r>
    </w:p>
    <w:p w14:paraId="6CCBA51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售后服务：乙方销售之物业与客户签订《广州市商品房买卖合同》后，乙方应继续协助甲方做好本项目的催款等售后服务工作，不限于办理按揭、催款，以及协助办理产权等相关售后服务工作。</w:t>
      </w:r>
    </w:p>
    <w:p w14:paraId="6A0E696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r>
        <w:rPr>
          <w:rFonts w:cs="宋体" w:asciiTheme="minorEastAsia" w:hAnsiTheme="minorEastAsia" w:eastAsiaTheme="minorEastAsia"/>
          <w:color w:val="auto"/>
          <w:sz w:val="24"/>
        </w:rPr>
        <w:t>9</w:t>
      </w:r>
      <w:r>
        <w:rPr>
          <w:rFonts w:hint="eastAsia" w:cs="宋体" w:asciiTheme="minorEastAsia" w:hAnsiTheme="minorEastAsia" w:eastAsiaTheme="minorEastAsia"/>
          <w:color w:val="auto"/>
          <w:sz w:val="24"/>
        </w:rPr>
        <w:t>甲方与乙方派出的驻场人员不存在劳动关系，乙方自行承担其派出的驻场人员及营销推广人员工作中非因甲方过错造成的一切人身和财产安全事故责任。同时乙方须为其所属工作人员购买相关安全保险，社会保险等。</w:t>
      </w:r>
    </w:p>
    <w:p w14:paraId="4E87887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7.10乙方负责培训驻场人员及营销推广人员向客户讲解项目相关信息，充分挖掘市场潜能、开发客户和提高看房选房及购房的效率。</w:t>
      </w:r>
    </w:p>
    <w:p w14:paraId="36490AF8">
      <w:pPr>
        <w:spacing w:line="360" w:lineRule="auto"/>
        <w:ind w:firstLine="480" w:firstLineChars="200"/>
        <w:rPr>
          <w:rFonts w:asciiTheme="minorEastAsia" w:hAnsiTheme="minorEastAsia"/>
          <w:color w:val="auto"/>
          <w:sz w:val="24"/>
        </w:rPr>
      </w:pPr>
      <w:r>
        <w:rPr>
          <w:rFonts w:hint="eastAsia" w:cs="宋体" w:asciiTheme="minorEastAsia" w:hAnsiTheme="minorEastAsia" w:eastAsiaTheme="minorEastAsia"/>
          <w:color w:val="auto"/>
          <w:sz w:val="24"/>
        </w:rPr>
        <w:t>7.11 乙方应根据甲方要求提供营销推广方案并经甲方审核后实施。乙方的人员不得做出欺骗、欺诈、虚假承诺等损害甲方所服务项目及甲方公司形象与利益的事情。否则</w:t>
      </w:r>
      <w:r>
        <w:rPr>
          <w:rFonts w:hint="eastAsia" w:asciiTheme="minorEastAsia" w:hAnsiTheme="minorEastAsia"/>
          <w:color w:val="auto"/>
          <w:sz w:val="24"/>
        </w:rPr>
        <w:t>甲方有权书面发函责令乙方整改，如乙方仍未整改的，甲方有权进行扣罚1000元/次。</w:t>
      </w:r>
    </w:p>
    <w:p w14:paraId="7A0DD74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r>
        <w:rPr>
          <w:rFonts w:cs="宋体" w:asciiTheme="minorEastAsia" w:hAnsiTheme="minorEastAsia" w:eastAsiaTheme="minorEastAsia"/>
          <w:color w:val="auto"/>
          <w:sz w:val="24"/>
        </w:rPr>
        <w:t>1</w:t>
      </w:r>
      <w:r>
        <w:rPr>
          <w:rFonts w:hint="eastAsia" w:cs="宋体" w:asciiTheme="minorEastAsia" w:hAnsiTheme="minorEastAsia" w:eastAsiaTheme="minorEastAsia"/>
          <w:color w:val="auto"/>
          <w:sz w:val="24"/>
        </w:rPr>
        <w:t>2乙方禁止以甲方名义从事本合同约定的业务之外的商业活动。</w:t>
      </w:r>
    </w:p>
    <w:p w14:paraId="1CEED16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3乙方为本项目的独家销售代理及渠道方，非经乙方书面同意，甲方不得擅自引进或委托其他第三方进行本项目的渠道、营销工作。</w:t>
      </w:r>
    </w:p>
    <w:p w14:paraId="165585FE">
      <w:pPr>
        <w:spacing w:line="360" w:lineRule="auto"/>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7.14乙方不能以任何名义直接向客户收取任何费用。</w:t>
      </w:r>
    </w:p>
    <w:p w14:paraId="7A5B549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7.15本合同因任何原因提前解除的，乙方仍可按照本合同4.2.3及4.4.2款之规定向甲方申请结算所应得的销售代理服务费。</w:t>
      </w:r>
    </w:p>
    <w:p w14:paraId="5F178E71">
      <w:pPr>
        <w:spacing w:line="360" w:lineRule="auto"/>
        <w:ind w:firstLine="480" w:firstLineChars="200"/>
        <w:rPr>
          <w:color w:val="auto"/>
          <w:sz w:val="24"/>
        </w:rPr>
      </w:pPr>
      <w:r>
        <w:rPr>
          <w:rFonts w:hint="eastAsia" w:asciiTheme="majorEastAsia" w:hAnsiTheme="majorEastAsia" w:eastAsiaTheme="majorEastAsia"/>
          <w:color w:val="auto"/>
          <w:sz w:val="24"/>
        </w:rPr>
        <w:t>7.16</w:t>
      </w:r>
      <w:r>
        <w:rPr>
          <w:rFonts w:hint="eastAsia"/>
          <w:color w:val="auto"/>
          <w:sz w:val="24"/>
        </w:rPr>
        <w:t>客户网签需由乙方向甲方提出书面申请并提交网签申请表。乙方应确保客户拥有购房资格符合广州市房屋限购相关规定及取得银行同贷后向甲方申请，经甲方确认同意后方可安排客户网签。如因乙方过错对客户资料审核不严，引入不符合购买资格的客户进行网签合同，导致退房重签的，甲方有权扣除该套房屋应付代理服务费的50%，剩余部分按本合同约定正常结算；导致客户退房不重签的，乙方须退还该套房屋已收取的代理服务费并向甲方交纳1万元人民币罚款。</w:t>
      </w:r>
    </w:p>
    <w:p w14:paraId="21D88323">
      <w:pPr>
        <w:spacing w:line="360" w:lineRule="auto"/>
        <w:ind w:firstLine="480" w:firstLineChars="200"/>
        <w:rPr>
          <w:rFonts w:asciiTheme="minorEastAsia" w:hAnsiTheme="minorEastAsia"/>
          <w:color w:val="auto"/>
          <w:sz w:val="24"/>
        </w:rPr>
      </w:pPr>
      <w:r>
        <w:rPr>
          <w:rFonts w:hint="eastAsia" w:asciiTheme="majorEastAsia" w:hAnsiTheme="majorEastAsia" w:eastAsiaTheme="majorEastAsia"/>
          <w:color w:val="auto"/>
          <w:sz w:val="24"/>
        </w:rPr>
        <w:t>7.17</w:t>
      </w:r>
      <w:r>
        <w:rPr>
          <w:rFonts w:hint="eastAsia" w:asciiTheme="minorEastAsia" w:hAnsiTheme="minorEastAsia"/>
          <w:color w:val="auto"/>
          <w:sz w:val="24"/>
        </w:rPr>
        <w:t>合作期间，乙方应全力配合甲方的各项销售推广活动，乙方可以甲方名义进行各类推广、宣传，为销售之目的无偿使用甲方名称、品牌、标志、标识，</w:t>
      </w:r>
      <w:r>
        <w:rPr>
          <w:rFonts w:asciiTheme="minorEastAsia" w:hAnsiTheme="minorEastAsia"/>
          <w:color w:val="auto"/>
          <w:sz w:val="24"/>
        </w:rPr>
        <w:t>但不得超出授权范围使用</w:t>
      </w:r>
      <w:r>
        <w:rPr>
          <w:rFonts w:hint="eastAsia" w:asciiTheme="minorEastAsia" w:hAnsiTheme="minorEastAsia"/>
          <w:color w:val="auto"/>
          <w:sz w:val="24"/>
        </w:rPr>
        <w:t>，使用前乙方须提前5个工作日向甲方申请，待甲方审批同意后方可使用。</w:t>
      </w:r>
    </w:p>
    <w:p w14:paraId="7337D4E1">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 xml:space="preserve">7.18 </w:t>
      </w:r>
      <w:r>
        <w:rPr>
          <w:rFonts w:hint="eastAsia" w:asciiTheme="minorEastAsia" w:hAnsiTheme="minorEastAsia" w:eastAsiaTheme="minorEastAsia"/>
          <w:color w:val="auto"/>
          <w:sz w:val="24"/>
        </w:rPr>
        <w:t>合作期间，乙方</w:t>
      </w:r>
      <w:r>
        <w:rPr>
          <w:rFonts w:hint="eastAsia" w:asciiTheme="minorEastAsia" w:hAnsiTheme="minorEastAsia" w:eastAsiaTheme="minorEastAsia"/>
          <w:color w:val="auto"/>
          <w:sz w:val="24"/>
          <w:lang w:val="en-US" w:eastAsia="zh-CN"/>
        </w:rPr>
        <w:t>须严格按照甲方判客规则进行客户登记及报备。如有发现故意飞单、洗客等风险行为，甲方有权对乙方进行扣罚，扣罚金额为乙方当次不当得利的双倍数额</w:t>
      </w:r>
      <w:r>
        <w:rPr>
          <w:rFonts w:hint="eastAsia" w:asciiTheme="minorEastAsia" w:hAnsiTheme="minorEastAsia" w:eastAsiaTheme="minorEastAsia"/>
          <w:color w:val="auto"/>
          <w:sz w:val="24"/>
        </w:rPr>
        <w:t>。</w:t>
      </w:r>
    </w:p>
    <w:p w14:paraId="2BF628CB">
      <w:pPr>
        <w:pStyle w:val="19"/>
        <w:numPr>
          <w:ilvl w:val="0"/>
          <w:numId w:val="1"/>
        </w:numPr>
        <w:spacing w:line="360" w:lineRule="auto"/>
        <w:ind w:firstLineChars="0"/>
        <w:rPr>
          <w:rFonts w:eastAsia="黑体"/>
          <w:b/>
          <w:color w:val="auto"/>
          <w:sz w:val="24"/>
        </w:rPr>
      </w:pPr>
      <w:r>
        <w:rPr>
          <w:rFonts w:hint="eastAsia" w:eastAsia="黑体"/>
          <w:b/>
          <w:color w:val="auto"/>
          <w:sz w:val="24"/>
        </w:rPr>
        <w:t>违约责任</w:t>
      </w:r>
    </w:p>
    <w:p w14:paraId="1A02EB90">
      <w:pPr>
        <w:widowControl/>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 如因甲方原因，导致标的资产存在被查封导致无法签署《商品房</w:t>
      </w:r>
      <w:r>
        <w:rPr>
          <w:rFonts w:asciiTheme="minorEastAsia" w:hAnsiTheme="minorEastAsia" w:eastAsiaTheme="minorEastAsia"/>
          <w:color w:val="auto"/>
          <w:sz w:val="24"/>
        </w:rPr>
        <w:t>买卖</w:t>
      </w:r>
      <w:r>
        <w:rPr>
          <w:rFonts w:hint="eastAsia" w:asciiTheme="minorEastAsia" w:hAnsiTheme="minorEastAsia" w:eastAsiaTheme="minorEastAsia"/>
          <w:color w:val="auto"/>
          <w:sz w:val="24"/>
        </w:rPr>
        <w:t>合同》的，乙方有权就所涉及的标的资产要求甲方返还乙方已经支付的全部款项，乙方有权单方解除所涉标的资产部分的委托合同且</w:t>
      </w:r>
      <w:r>
        <w:rPr>
          <w:rFonts w:asciiTheme="minorEastAsia" w:hAnsiTheme="minorEastAsia" w:eastAsiaTheme="minorEastAsia"/>
          <w:color w:val="auto"/>
          <w:sz w:val="24"/>
        </w:rPr>
        <w:t>不承担任何违约责任</w:t>
      </w:r>
      <w:r>
        <w:rPr>
          <w:rFonts w:hint="eastAsia" w:asciiTheme="minorEastAsia" w:hAnsiTheme="minorEastAsia" w:eastAsiaTheme="minorEastAsia"/>
          <w:color w:val="auto"/>
          <w:sz w:val="24"/>
        </w:rPr>
        <w:t>。</w:t>
      </w:r>
    </w:p>
    <w:p w14:paraId="34C5336B">
      <w:pPr>
        <w:widowControl/>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2 </w:t>
      </w:r>
      <w:r>
        <w:rPr>
          <w:rFonts w:asciiTheme="minorEastAsia" w:hAnsiTheme="minorEastAsia" w:eastAsiaTheme="minorEastAsia"/>
          <w:color w:val="auto"/>
          <w:sz w:val="24"/>
        </w:rPr>
        <w:t>如因</w:t>
      </w:r>
      <w:r>
        <w:rPr>
          <w:rFonts w:hint="eastAsia" w:asciiTheme="minorEastAsia" w:hAnsiTheme="minorEastAsia" w:eastAsiaTheme="minorEastAsia"/>
          <w:color w:val="auto"/>
          <w:sz w:val="24"/>
        </w:rPr>
        <w:t>不可抗力的因素或</w:t>
      </w:r>
      <w:r>
        <w:rPr>
          <w:rFonts w:asciiTheme="minorEastAsia" w:hAnsiTheme="minorEastAsia" w:eastAsiaTheme="minorEastAsia"/>
          <w:color w:val="auto"/>
          <w:sz w:val="24"/>
        </w:rPr>
        <w:t>在本协议合作期间出现政府干预房地产市场的情形</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包括但不限于房地产监管部门调控房价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银行金融信贷政策紧缩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限购限贷限签政策</w:t>
      </w:r>
      <w:r>
        <w:rPr>
          <w:rFonts w:hint="eastAsia" w:asciiTheme="minorEastAsia" w:hAnsiTheme="minorEastAsia" w:eastAsiaTheme="minorEastAsia"/>
          <w:color w:val="auto"/>
          <w:sz w:val="24"/>
        </w:rPr>
        <w:t>、无法收取服务费</w:t>
      </w:r>
      <w:r>
        <w:rPr>
          <w:rFonts w:asciiTheme="minorEastAsia" w:hAnsiTheme="minorEastAsia" w:eastAsiaTheme="minorEastAsia"/>
          <w:color w:val="auto"/>
          <w:sz w:val="24"/>
        </w:rPr>
        <w:t>等</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则甲乙双方可在该事由出现后的15日内对价格或者合作内容进行协商，双方互不追究违约责任</w:t>
      </w:r>
      <w:r>
        <w:rPr>
          <w:rFonts w:hint="eastAsia" w:asciiTheme="minorEastAsia" w:hAnsiTheme="minorEastAsia" w:eastAsiaTheme="minorEastAsia"/>
          <w:color w:val="auto"/>
          <w:sz w:val="24"/>
        </w:rPr>
        <w:t>。</w:t>
      </w:r>
    </w:p>
    <w:p w14:paraId="3FBBEC4A">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8</w:t>
      </w:r>
      <w:r>
        <w:rPr>
          <w:rFonts w:asciiTheme="minorEastAsia" w:hAnsiTheme="minorEastAsia"/>
          <w:color w:val="auto"/>
          <w:sz w:val="24"/>
        </w:rPr>
        <w:t>.3如</w:t>
      </w:r>
      <w:r>
        <w:rPr>
          <w:rFonts w:hint="eastAsia" w:asciiTheme="minorEastAsia" w:hAnsiTheme="minorEastAsia"/>
          <w:color w:val="auto"/>
          <w:sz w:val="24"/>
        </w:rPr>
        <w:t>甲方</w:t>
      </w:r>
      <w:r>
        <w:rPr>
          <w:rFonts w:asciiTheme="minorEastAsia" w:hAnsiTheme="minorEastAsia"/>
          <w:color w:val="auto"/>
          <w:sz w:val="24"/>
        </w:rPr>
        <w:t>逾期支付</w:t>
      </w:r>
      <w:r>
        <w:rPr>
          <w:rFonts w:hint="eastAsia" w:asciiTheme="minorEastAsia" w:hAnsiTheme="minorEastAsia"/>
          <w:color w:val="auto"/>
          <w:sz w:val="24"/>
        </w:rPr>
        <w:t>代理服务</w:t>
      </w:r>
      <w:r>
        <w:rPr>
          <w:rFonts w:asciiTheme="minorEastAsia" w:hAnsiTheme="minorEastAsia"/>
          <w:color w:val="auto"/>
          <w:sz w:val="24"/>
        </w:rPr>
        <w:t>费用</w:t>
      </w:r>
      <w:r>
        <w:rPr>
          <w:rFonts w:hint="eastAsia" w:asciiTheme="minorEastAsia" w:hAnsiTheme="minorEastAsia"/>
          <w:color w:val="auto"/>
          <w:sz w:val="24"/>
        </w:rPr>
        <w:t>，乙方应给予10个工作日宽限期，宽限期内付清代理服务费的，乙方不追讨违约金；宽限期后甲方仍逾期支付的，</w:t>
      </w:r>
      <w:r>
        <w:rPr>
          <w:rFonts w:asciiTheme="minorEastAsia" w:hAnsiTheme="minorEastAsia"/>
          <w:color w:val="auto"/>
          <w:sz w:val="24"/>
        </w:rPr>
        <w:t>每逾期一天</w:t>
      </w:r>
      <w:r>
        <w:rPr>
          <w:rFonts w:hint="eastAsia" w:asciiTheme="minorEastAsia" w:hAnsiTheme="minorEastAsia"/>
          <w:color w:val="auto"/>
          <w:sz w:val="24"/>
        </w:rPr>
        <w:t>，甲方</w:t>
      </w:r>
      <w:r>
        <w:rPr>
          <w:rFonts w:asciiTheme="minorEastAsia" w:hAnsiTheme="minorEastAsia"/>
          <w:color w:val="auto"/>
          <w:sz w:val="24"/>
        </w:rPr>
        <w:t>应当按照</w:t>
      </w:r>
      <w:r>
        <w:rPr>
          <w:rFonts w:hint="eastAsia" w:asciiTheme="minorEastAsia" w:hAnsiTheme="minorEastAsia"/>
          <w:color w:val="auto"/>
          <w:sz w:val="24"/>
        </w:rPr>
        <w:t>未付金额</w:t>
      </w:r>
      <w:r>
        <w:rPr>
          <w:rFonts w:asciiTheme="minorEastAsia" w:hAnsiTheme="minorEastAsia"/>
          <w:color w:val="auto"/>
          <w:sz w:val="24"/>
        </w:rPr>
        <w:t>的</w:t>
      </w:r>
      <w:r>
        <w:rPr>
          <w:rFonts w:hint="eastAsia" w:asciiTheme="minorEastAsia" w:hAnsiTheme="minorEastAsia"/>
          <w:color w:val="auto"/>
          <w:sz w:val="24"/>
        </w:rPr>
        <w:t>万</w:t>
      </w:r>
      <w:r>
        <w:rPr>
          <w:rFonts w:asciiTheme="minorEastAsia" w:hAnsiTheme="minorEastAsia"/>
          <w:color w:val="auto"/>
          <w:sz w:val="24"/>
        </w:rPr>
        <w:t>分之五向乙方支付违约金</w:t>
      </w:r>
      <w:r>
        <w:rPr>
          <w:rFonts w:hint="eastAsia" w:asciiTheme="minorEastAsia" w:hAnsiTheme="minorEastAsia"/>
          <w:color w:val="auto"/>
          <w:sz w:val="24"/>
        </w:rPr>
        <w:t>，违约金最高不超过应付金额5%；宽限期后如</w:t>
      </w:r>
      <w:r>
        <w:rPr>
          <w:rFonts w:asciiTheme="minorEastAsia" w:hAnsiTheme="minorEastAsia"/>
          <w:color w:val="auto"/>
          <w:sz w:val="24"/>
        </w:rPr>
        <w:t>逾期超过</w:t>
      </w:r>
      <w:r>
        <w:rPr>
          <w:rFonts w:hint="eastAsia" w:asciiTheme="minorEastAsia" w:hAnsiTheme="minorEastAsia"/>
          <w:color w:val="auto"/>
          <w:sz w:val="24"/>
        </w:rPr>
        <w:t>2</w:t>
      </w:r>
      <w:r>
        <w:rPr>
          <w:rFonts w:asciiTheme="minorEastAsia" w:hAnsiTheme="minorEastAsia"/>
          <w:color w:val="auto"/>
          <w:sz w:val="24"/>
        </w:rPr>
        <w:t>0天</w:t>
      </w:r>
      <w:r>
        <w:rPr>
          <w:rFonts w:hint="eastAsia" w:asciiTheme="minorEastAsia" w:hAnsiTheme="minorEastAsia"/>
          <w:color w:val="auto"/>
          <w:sz w:val="24"/>
        </w:rPr>
        <w:t>，</w:t>
      </w:r>
      <w:r>
        <w:rPr>
          <w:rFonts w:asciiTheme="minorEastAsia" w:hAnsiTheme="minorEastAsia"/>
          <w:color w:val="auto"/>
          <w:sz w:val="24"/>
        </w:rPr>
        <w:t>乙方有权解除本协议</w:t>
      </w:r>
      <w:r>
        <w:rPr>
          <w:rFonts w:hint="eastAsia" w:asciiTheme="minorEastAsia" w:hAnsiTheme="minorEastAsia"/>
          <w:color w:val="auto"/>
          <w:sz w:val="24"/>
        </w:rPr>
        <w:t>，并</w:t>
      </w:r>
      <w:r>
        <w:rPr>
          <w:rFonts w:asciiTheme="minorEastAsia" w:hAnsiTheme="minorEastAsia"/>
          <w:color w:val="auto"/>
          <w:sz w:val="24"/>
        </w:rPr>
        <w:t>有权向甲方</w:t>
      </w:r>
      <w:r>
        <w:rPr>
          <w:rFonts w:hint="eastAsia" w:asciiTheme="minorEastAsia" w:hAnsiTheme="minorEastAsia"/>
          <w:color w:val="auto"/>
          <w:sz w:val="24"/>
        </w:rPr>
        <w:t>追偿</w:t>
      </w:r>
      <w:r>
        <w:rPr>
          <w:rFonts w:asciiTheme="minorEastAsia" w:hAnsiTheme="minorEastAsia"/>
          <w:color w:val="auto"/>
          <w:sz w:val="24"/>
        </w:rPr>
        <w:t>。</w:t>
      </w:r>
    </w:p>
    <w:p w14:paraId="61F0752E">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若乙方存在对本合同义务即7.8条所约定的服务内容履行不到位的情形，甲方需书面发函责令乙方整改。如乙方收到函件后10个工作日内仍未整改，甲方有权延期支付代理费用，直至乙方按函件要求整改完毕。</w:t>
      </w:r>
    </w:p>
    <w:p w14:paraId="1574490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禁止招募条款：在履行本合同期间以及在合同终止后一年内，在没有获得另一方明确书面同意的情况下，任何一方（包括但不限于其所属集团公司、关联公司或控股公司）不得招募或雇用根据本合同由另一方委派为此项目提供服务的现任或前任（在离职后不超过一年）员工，代管人员除外。若违反上述约定，违约方须一次性按招募人数向守约方支付违约金人民币伍万元整每人次（￥50000元/人）。</w:t>
      </w:r>
    </w:p>
    <w:p w14:paraId="62E239B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8.5如因本项目商品房发生规划、质量、交付标准等合同纠纷，影响本项目销售进度或销售目标达成的，甲乙双方可另行协商合作内容，经甲方同意乙方可选择提前解除本协议，且无需向甲方承担任何违约责任。因甲方原因导致的退房，乙方已收取的佣金不再退回。甲方应于合同解除后的15日内向乙方结清所有应付未付的佣金。</w:t>
      </w:r>
    </w:p>
    <w:p w14:paraId="1A526B0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8.6 如因乙方原因导致</w:t>
      </w:r>
      <w:r>
        <w:rPr>
          <w:rFonts w:asciiTheme="minorEastAsia" w:hAnsiTheme="minorEastAsia" w:eastAsiaTheme="minorEastAsia"/>
          <w:color w:val="auto"/>
          <w:sz w:val="24"/>
        </w:rPr>
        <w:t>销售过程中造成的</w:t>
      </w:r>
      <w:r>
        <w:rPr>
          <w:rFonts w:hint="eastAsia" w:asciiTheme="minorEastAsia" w:hAnsiTheme="minorEastAsia" w:eastAsiaTheme="minorEastAsia"/>
          <w:color w:val="auto"/>
          <w:sz w:val="24"/>
        </w:rPr>
        <w:t>投诉</w:t>
      </w:r>
      <w:r>
        <w:rPr>
          <w:rFonts w:asciiTheme="minorEastAsia" w:hAnsiTheme="minorEastAsia" w:eastAsiaTheme="minorEastAsia"/>
          <w:color w:val="auto"/>
          <w:sz w:val="24"/>
        </w:rPr>
        <w:t>、夸大、</w:t>
      </w:r>
      <w:r>
        <w:rPr>
          <w:rFonts w:hint="eastAsia" w:asciiTheme="minorEastAsia" w:hAnsiTheme="minorEastAsia" w:eastAsiaTheme="minorEastAsia"/>
          <w:color w:val="auto"/>
          <w:sz w:val="24"/>
        </w:rPr>
        <w:t>虚假宣传</w:t>
      </w:r>
      <w:r>
        <w:rPr>
          <w:rFonts w:asciiTheme="minorEastAsia" w:hAnsiTheme="minorEastAsia" w:eastAsiaTheme="minorEastAsia"/>
          <w:color w:val="auto"/>
          <w:sz w:val="24"/>
        </w:rPr>
        <w:t>、不实承诺</w:t>
      </w:r>
      <w:r>
        <w:rPr>
          <w:rFonts w:hint="eastAsia" w:asciiTheme="minorEastAsia" w:hAnsiTheme="minorEastAsia" w:eastAsiaTheme="minorEastAsia"/>
          <w:color w:val="auto"/>
          <w:sz w:val="24"/>
        </w:rPr>
        <w:t>导致</w:t>
      </w:r>
      <w:r>
        <w:rPr>
          <w:rFonts w:asciiTheme="minorEastAsia" w:hAnsiTheme="minorEastAsia" w:eastAsiaTheme="minorEastAsia"/>
          <w:color w:val="auto"/>
          <w:sz w:val="24"/>
        </w:rPr>
        <w:t>的客户投诉及纠纷，乙方应负责处理并承担责任</w:t>
      </w:r>
      <w:r>
        <w:rPr>
          <w:rFonts w:hint="eastAsia" w:asciiTheme="minorEastAsia" w:hAnsiTheme="minorEastAsia" w:eastAsiaTheme="minorEastAsia"/>
          <w:color w:val="auto"/>
          <w:sz w:val="24"/>
        </w:rPr>
        <w:t>，如因此导致甲方垫付有关款项或支出有关费用的（如诉讼费、仲裁费、律师费、担保费、保全费、人工成本、行政处罚款等），甲方有权向乙方追偿，甲方并有权在应付未付给乙方的款项中直接扣除，并赔偿甲方的经济损失。但乙方按照甲方提供的宣传资料导致的客户纠纷除外。</w:t>
      </w:r>
    </w:p>
    <w:p w14:paraId="3E80E3C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7 除本协议约定的情形</w:t>
      </w:r>
      <w:r>
        <w:rPr>
          <w:rFonts w:asciiTheme="minorEastAsia" w:hAnsiTheme="minorEastAsia" w:eastAsiaTheme="minorEastAsia"/>
          <w:color w:val="auto"/>
          <w:sz w:val="24"/>
        </w:rPr>
        <w:t>或者</w:t>
      </w:r>
      <w:r>
        <w:rPr>
          <w:rFonts w:hint="eastAsia" w:asciiTheme="minorEastAsia" w:hAnsiTheme="minorEastAsia" w:eastAsiaTheme="minorEastAsia"/>
          <w:color w:val="auto"/>
          <w:sz w:val="24"/>
        </w:rPr>
        <w:t>甲乙双方协商一致外，任何一方不得无故单方面解除本协议。</w:t>
      </w:r>
    </w:p>
    <w:p w14:paraId="3A7DFC7E">
      <w:pPr>
        <w:pStyle w:val="19"/>
        <w:numPr>
          <w:ilvl w:val="0"/>
          <w:numId w:val="1"/>
        </w:numPr>
        <w:spacing w:line="360" w:lineRule="auto"/>
        <w:ind w:firstLineChars="0"/>
        <w:rPr>
          <w:rFonts w:eastAsia="黑体"/>
          <w:b/>
          <w:color w:val="auto"/>
          <w:sz w:val="24"/>
        </w:rPr>
      </w:pPr>
      <w:r>
        <w:rPr>
          <w:rFonts w:hint="eastAsia" w:eastAsia="黑体"/>
          <w:b/>
          <w:color w:val="auto"/>
          <w:sz w:val="24"/>
        </w:rPr>
        <w:t>其他约定</w:t>
      </w:r>
    </w:p>
    <w:p w14:paraId="6576BD2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在本合同有效期内，未经过双方书面同意，任何一方不得擅自修改、变更本合同的内容。经双方书面同意根据实际需要对合同中的任何条款的修改，与原合同有同等法律效力。</w:t>
      </w:r>
    </w:p>
    <w:p w14:paraId="5ECC3F3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2本合同履行过程中出现的纠纷，甲、乙双方应友好协商解决并书面确认。若双方协商不成，则任何一方可向项目所在地的人民法院提起诉讼。</w:t>
      </w:r>
    </w:p>
    <w:p w14:paraId="3084EE8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3合同未尽事宜，双方可另行协商，如有需要，双方可另立补充合同，以补充合同进行修正完善。</w:t>
      </w:r>
    </w:p>
    <w:p w14:paraId="55256AF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4本合同及其所有附件均为本合同不可分割之组成部分。甲乙双方对本合同附件均应进行盖章。本合同及其附件一式四份，甲乙双方各执二份，均具有同等法律效力，自双方签署盖章后立即生效。</w:t>
      </w:r>
    </w:p>
    <w:p w14:paraId="5ACCFD6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9.5合同双方按本合同所列明的地址为送达地址，其适用范围包括双方非诉时各类通知、协议等文件以及就协议发生纠纷时相关文件和法律文书的送达，同时包括在争议进入仲裁、民事诉讼的相关程序。一方向对方发出的通知及文件，可以通过直接送达，或者邮寄、电话通知、传真、电子邮件、微信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58899DF3">
      <w:pPr>
        <w:tabs>
          <w:tab w:val="left" w:pos="600"/>
        </w:tabs>
        <w:spacing w:line="360" w:lineRule="auto"/>
        <w:jc w:val="center"/>
        <w:rPr>
          <w:rFonts w:asciiTheme="minorEastAsia" w:hAnsiTheme="minorEastAsia" w:eastAsiaTheme="minorEastAsia"/>
          <w:color w:val="auto"/>
          <w:sz w:val="24"/>
        </w:rPr>
      </w:pPr>
    </w:p>
    <w:p w14:paraId="51A1D500">
      <w:pPr>
        <w:tabs>
          <w:tab w:val="left" w:pos="600"/>
        </w:tabs>
        <w:spacing w:line="360" w:lineRule="auto"/>
        <w:jc w:val="center"/>
        <w:rPr>
          <w:rFonts w:hint="eastAsia" w:asciiTheme="minorEastAsia" w:hAnsiTheme="minorEastAsia" w:eastAsiaTheme="minorEastAsia"/>
          <w:color w:val="auto"/>
          <w:sz w:val="24"/>
        </w:rPr>
      </w:pPr>
    </w:p>
    <w:p w14:paraId="1BC0DC7B">
      <w:pPr>
        <w:tabs>
          <w:tab w:val="left" w:pos="600"/>
        </w:tabs>
        <w:spacing w:line="360" w:lineRule="auto"/>
        <w:jc w:val="center"/>
        <w:rPr>
          <w:rFonts w:hint="eastAsia" w:asciiTheme="minorEastAsia" w:hAnsiTheme="minorEastAsia" w:eastAsiaTheme="minorEastAsia"/>
          <w:color w:val="auto"/>
          <w:sz w:val="24"/>
        </w:rPr>
      </w:pPr>
    </w:p>
    <w:p w14:paraId="00229664">
      <w:pPr>
        <w:tabs>
          <w:tab w:val="left" w:pos="600"/>
        </w:tabs>
        <w:spacing w:line="360" w:lineRule="auto"/>
        <w:jc w:val="center"/>
        <w:rPr>
          <w:rFonts w:hint="eastAsia" w:asciiTheme="minorEastAsia" w:hAnsiTheme="minorEastAsia" w:eastAsiaTheme="minorEastAsia"/>
          <w:color w:val="auto"/>
          <w:sz w:val="24"/>
        </w:rPr>
      </w:pPr>
    </w:p>
    <w:p w14:paraId="39EFF5DB">
      <w:pPr>
        <w:tabs>
          <w:tab w:val="left" w:pos="600"/>
        </w:tabs>
        <w:spacing w:line="360" w:lineRule="auto"/>
        <w:jc w:val="center"/>
        <w:rPr>
          <w:rFonts w:hint="eastAsia" w:asciiTheme="minorEastAsia" w:hAnsiTheme="minorEastAsia" w:eastAsiaTheme="minorEastAsia"/>
          <w:color w:val="auto"/>
          <w:sz w:val="24"/>
        </w:rPr>
      </w:pPr>
    </w:p>
    <w:p w14:paraId="1E23AF14">
      <w:pPr>
        <w:tabs>
          <w:tab w:val="left" w:pos="600"/>
        </w:tabs>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（以下无正文）</w:t>
      </w:r>
    </w:p>
    <w:p w14:paraId="016B95C6">
      <w:pPr>
        <w:tabs>
          <w:tab w:val="left" w:pos="600"/>
        </w:tabs>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附件一：房源确认表</w:t>
      </w:r>
    </w:p>
    <w:tbl>
      <w:tblPr>
        <w:tblStyle w:val="8"/>
        <w:tblW w:w="0" w:type="auto"/>
        <w:jc w:val="center"/>
        <w:tblLayout w:type="fixed"/>
        <w:tblCellMar>
          <w:top w:w="0" w:type="dxa"/>
          <w:left w:w="108" w:type="dxa"/>
          <w:bottom w:w="0" w:type="dxa"/>
          <w:right w:w="108" w:type="dxa"/>
        </w:tblCellMar>
      </w:tblPr>
      <w:tblGrid>
        <w:gridCol w:w="4452"/>
        <w:gridCol w:w="4453"/>
      </w:tblGrid>
      <w:tr w14:paraId="3896A8A7">
        <w:tblPrEx>
          <w:tblCellMar>
            <w:top w:w="0" w:type="dxa"/>
            <w:left w:w="108" w:type="dxa"/>
            <w:bottom w:w="0" w:type="dxa"/>
            <w:right w:w="108" w:type="dxa"/>
          </w:tblCellMar>
        </w:tblPrEx>
        <w:trPr>
          <w:trHeight w:val="425" w:hRule="atLeast"/>
          <w:jc w:val="center"/>
        </w:trPr>
        <w:tc>
          <w:tcPr>
            <w:tcW w:w="4452" w:type="dxa"/>
          </w:tcPr>
          <w:p w14:paraId="79721C8A">
            <w:pPr>
              <w:spacing w:before="156" w:beforeLines="50" w:after="156" w:afterLines="50"/>
              <w:jc w:val="left"/>
              <w:rPr>
                <w:rFonts w:ascii="宋体" w:hAnsi="宋体"/>
                <w:color w:val="auto"/>
                <w:szCs w:val="21"/>
              </w:rPr>
            </w:pPr>
          </w:p>
          <w:p w14:paraId="295995F7">
            <w:pPr>
              <w:spacing w:before="156" w:beforeLines="50" w:after="156" w:afterLines="50"/>
              <w:jc w:val="left"/>
              <w:rPr>
                <w:rFonts w:ascii="宋体" w:hAnsi="宋体"/>
                <w:color w:val="auto"/>
                <w:szCs w:val="21"/>
              </w:rPr>
            </w:pPr>
          </w:p>
          <w:p w14:paraId="13C52F56">
            <w:pPr>
              <w:spacing w:before="156" w:beforeLines="50" w:after="156" w:afterLines="50"/>
              <w:ind w:firstLine="480"/>
              <w:jc w:val="left"/>
              <w:rPr>
                <w:rFonts w:ascii="宋体" w:hAnsi="宋体"/>
                <w:color w:val="auto"/>
                <w:szCs w:val="21"/>
              </w:rPr>
            </w:pPr>
            <w:r>
              <w:rPr>
                <w:rFonts w:hint="eastAsia" w:ascii="宋体" w:hAnsi="宋体"/>
                <w:color w:val="auto"/>
                <w:szCs w:val="21"/>
              </w:rPr>
              <w:t>以下为签署页：</w:t>
            </w:r>
          </w:p>
          <w:p w14:paraId="1FC279C6">
            <w:pPr>
              <w:spacing w:before="156" w:beforeLines="50" w:after="156" w:afterLines="50"/>
              <w:ind w:firstLine="480"/>
              <w:jc w:val="left"/>
              <w:rPr>
                <w:rFonts w:ascii="宋体" w:hAnsi="宋体"/>
                <w:color w:val="auto"/>
                <w:szCs w:val="21"/>
              </w:rPr>
            </w:pPr>
          </w:p>
          <w:p w14:paraId="38CFF533">
            <w:pPr>
              <w:spacing w:before="156" w:beforeLines="50" w:after="156" w:afterLines="50"/>
              <w:ind w:firstLine="480"/>
              <w:jc w:val="left"/>
              <w:rPr>
                <w:rFonts w:ascii="宋体" w:hAnsi="宋体"/>
                <w:color w:val="auto"/>
                <w:szCs w:val="21"/>
              </w:rPr>
            </w:pPr>
          </w:p>
        </w:tc>
        <w:tc>
          <w:tcPr>
            <w:tcW w:w="4453" w:type="dxa"/>
          </w:tcPr>
          <w:p w14:paraId="4CC73DFE">
            <w:pPr>
              <w:spacing w:before="156" w:beforeLines="50" w:after="156" w:afterLines="50"/>
              <w:jc w:val="left"/>
              <w:rPr>
                <w:rFonts w:ascii="宋体" w:hAnsi="宋体"/>
                <w:color w:val="auto"/>
                <w:szCs w:val="21"/>
              </w:rPr>
            </w:pPr>
          </w:p>
        </w:tc>
      </w:tr>
      <w:tr w14:paraId="65774343">
        <w:tblPrEx>
          <w:tblCellMar>
            <w:top w:w="0" w:type="dxa"/>
            <w:left w:w="108" w:type="dxa"/>
            <w:bottom w:w="0" w:type="dxa"/>
            <w:right w:w="108" w:type="dxa"/>
          </w:tblCellMar>
        </w:tblPrEx>
        <w:trPr>
          <w:trHeight w:val="363" w:hRule="atLeast"/>
          <w:jc w:val="center"/>
        </w:trPr>
        <w:tc>
          <w:tcPr>
            <w:tcW w:w="4452" w:type="dxa"/>
          </w:tcPr>
          <w:p w14:paraId="0E7A05EF">
            <w:pPr>
              <w:spacing w:before="156" w:beforeLines="50" w:after="156" w:afterLines="50"/>
              <w:ind w:firstLine="480"/>
              <w:jc w:val="left"/>
              <w:rPr>
                <w:rStyle w:val="13"/>
                <w:color w:val="auto"/>
                <w:sz w:val="21"/>
                <w:szCs w:val="21"/>
              </w:rPr>
            </w:pPr>
            <w:r>
              <w:rPr>
                <w:rFonts w:hint="eastAsia" w:ascii="宋体" w:hAnsi="宋体"/>
                <w:color w:val="auto"/>
                <w:szCs w:val="21"/>
              </w:rPr>
              <w:t>甲方（单位盖章）：</w:t>
            </w:r>
          </w:p>
        </w:tc>
        <w:tc>
          <w:tcPr>
            <w:tcW w:w="4453" w:type="dxa"/>
          </w:tcPr>
          <w:p w14:paraId="1DEB4F77">
            <w:pPr>
              <w:spacing w:before="156" w:beforeLines="50" w:after="156" w:afterLines="50"/>
              <w:ind w:firstLine="420" w:firstLineChars="200"/>
              <w:rPr>
                <w:rFonts w:ascii="宋体" w:hAnsi="宋体"/>
                <w:color w:val="auto"/>
                <w:szCs w:val="21"/>
              </w:rPr>
            </w:pPr>
            <w:r>
              <w:rPr>
                <w:rFonts w:hint="eastAsia" w:ascii="宋体" w:hAnsi="宋体"/>
                <w:color w:val="auto"/>
                <w:szCs w:val="21"/>
              </w:rPr>
              <w:t>乙方（单位盖章）：</w:t>
            </w:r>
          </w:p>
        </w:tc>
      </w:tr>
      <w:tr w14:paraId="3D9F50CA">
        <w:tblPrEx>
          <w:tblCellMar>
            <w:top w:w="0" w:type="dxa"/>
            <w:left w:w="108" w:type="dxa"/>
            <w:bottom w:w="0" w:type="dxa"/>
            <w:right w:w="108" w:type="dxa"/>
          </w:tblCellMar>
        </w:tblPrEx>
        <w:trPr>
          <w:trHeight w:val="366" w:hRule="atLeast"/>
          <w:jc w:val="center"/>
        </w:trPr>
        <w:tc>
          <w:tcPr>
            <w:tcW w:w="4452" w:type="dxa"/>
          </w:tcPr>
          <w:p w14:paraId="53243AEB">
            <w:pPr>
              <w:spacing w:before="156" w:beforeLines="50" w:after="156" w:afterLines="50"/>
              <w:ind w:firstLine="480"/>
              <w:jc w:val="left"/>
              <w:rPr>
                <w:rFonts w:ascii="宋体" w:hAnsi="宋体"/>
                <w:color w:val="auto"/>
                <w:szCs w:val="21"/>
              </w:rPr>
            </w:pPr>
          </w:p>
          <w:p w14:paraId="76CFEA35">
            <w:pPr>
              <w:spacing w:before="156" w:beforeLines="50" w:after="156" w:afterLines="50"/>
              <w:ind w:firstLine="480"/>
              <w:jc w:val="left"/>
              <w:rPr>
                <w:rFonts w:ascii="宋体" w:hAnsi="宋体"/>
                <w:color w:val="auto"/>
                <w:szCs w:val="21"/>
              </w:rPr>
            </w:pPr>
            <w:r>
              <w:rPr>
                <w:rFonts w:hint="eastAsia" w:ascii="宋体" w:hAnsi="宋体"/>
                <w:color w:val="auto"/>
                <w:szCs w:val="21"/>
              </w:rPr>
              <w:t>法定代表人或授权人（签章）：</w:t>
            </w:r>
          </w:p>
        </w:tc>
        <w:tc>
          <w:tcPr>
            <w:tcW w:w="4453" w:type="dxa"/>
          </w:tcPr>
          <w:p w14:paraId="1CCFEF0E">
            <w:pPr>
              <w:spacing w:before="156" w:beforeLines="50" w:after="156" w:afterLines="50"/>
              <w:ind w:firstLine="420" w:firstLineChars="200"/>
              <w:jc w:val="left"/>
              <w:rPr>
                <w:rFonts w:ascii="宋体" w:hAnsi="宋体"/>
                <w:color w:val="auto"/>
                <w:szCs w:val="21"/>
              </w:rPr>
            </w:pPr>
          </w:p>
          <w:p w14:paraId="7BAEF55B">
            <w:pPr>
              <w:spacing w:before="156" w:beforeLines="50" w:after="156" w:afterLines="50"/>
              <w:ind w:firstLine="420" w:firstLineChars="200"/>
              <w:jc w:val="left"/>
              <w:rPr>
                <w:rFonts w:ascii="宋体" w:hAnsi="宋体"/>
                <w:color w:val="auto"/>
                <w:szCs w:val="21"/>
              </w:rPr>
            </w:pPr>
            <w:r>
              <w:rPr>
                <w:rFonts w:hint="eastAsia" w:ascii="宋体" w:hAnsi="宋体"/>
                <w:color w:val="auto"/>
                <w:szCs w:val="21"/>
              </w:rPr>
              <w:t>法定代表人或授权人（签章）：</w:t>
            </w:r>
          </w:p>
        </w:tc>
      </w:tr>
      <w:tr w14:paraId="2A23F371">
        <w:tblPrEx>
          <w:tblCellMar>
            <w:top w:w="0" w:type="dxa"/>
            <w:left w:w="108" w:type="dxa"/>
            <w:bottom w:w="0" w:type="dxa"/>
            <w:right w:w="108" w:type="dxa"/>
          </w:tblCellMar>
        </w:tblPrEx>
        <w:trPr>
          <w:trHeight w:val="445" w:hRule="atLeast"/>
          <w:jc w:val="center"/>
        </w:trPr>
        <w:tc>
          <w:tcPr>
            <w:tcW w:w="4452" w:type="dxa"/>
          </w:tcPr>
          <w:p w14:paraId="34460222">
            <w:pPr>
              <w:adjustRightInd w:val="0"/>
              <w:snapToGrid w:val="0"/>
              <w:spacing w:before="156" w:beforeLines="50" w:after="156" w:afterLines="50"/>
              <w:ind w:firstLine="480"/>
              <w:jc w:val="left"/>
              <w:rPr>
                <w:rFonts w:ascii="宋体" w:hAnsi="宋体"/>
                <w:color w:val="auto"/>
                <w:szCs w:val="21"/>
              </w:rPr>
            </w:pPr>
          </w:p>
          <w:p w14:paraId="7E865AC1">
            <w:pPr>
              <w:adjustRightInd w:val="0"/>
              <w:snapToGrid w:val="0"/>
              <w:spacing w:before="156" w:beforeLines="50" w:after="156" w:afterLines="50"/>
              <w:ind w:firstLine="480"/>
              <w:jc w:val="left"/>
              <w:rPr>
                <w:color w:val="auto"/>
                <w:szCs w:val="21"/>
              </w:rPr>
            </w:pPr>
            <w:r>
              <w:rPr>
                <w:rFonts w:hint="eastAsia" w:ascii="宋体" w:hAnsi="宋体"/>
                <w:color w:val="auto"/>
                <w:szCs w:val="21"/>
              </w:rPr>
              <w:t>日期：</w:t>
            </w:r>
          </w:p>
        </w:tc>
        <w:tc>
          <w:tcPr>
            <w:tcW w:w="4453" w:type="dxa"/>
          </w:tcPr>
          <w:p w14:paraId="4C30D377">
            <w:pPr>
              <w:spacing w:before="156" w:beforeLines="50" w:after="156" w:afterLines="50"/>
              <w:ind w:firstLine="420" w:firstLineChars="200"/>
              <w:jc w:val="left"/>
              <w:rPr>
                <w:rFonts w:ascii="宋体" w:hAnsi="宋体"/>
                <w:color w:val="auto"/>
                <w:szCs w:val="21"/>
              </w:rPr>
            </w:pPr>
          </w:p>
          <w:p w14:paraId="3222DC42">
            <w:pPr>
              <w:spacing w:before="156" w:beforeLines="50" w:after="156" w:afterLines="50"/>
              <w:ind w:firstLine="420" w:firstLineChars="200"/>
              <w:jc w:val="left"/>
              <w:rPr>
                <w:rFonts w:ascii="宋体" w:hAnsi="宋体"/>
                <w:color w:val="auto"/>
                <w:szCs w:val="21"/>
              </w:rPr>
            </w:pPr>
            <w:r>
              <w:rPr>
                <w:rFonts w:hint="eastAsia" w:ascii="宋体" w:hAnsi="宋体"/>
                <w:color w:val="auto"/>
                <w:szCs w:val="21"/>
              </w:rPr>
              <w:t>日期：</w:t>
            </w:r>
          </w:p>
        </w:tc>
      </w:tr>
    </w:tbl>
    <w:p w14:paraId="43B42655">
      <w:pPr>
        <w:ind w:firstLine="480"/>
        <w:rPr>
          <w:color w:val="auto"/>
        </w:rPr>
      </w:pPr>
    </w:p>
    <w:bookmarkEnd w:id="0"/>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8456127"/>
    </w:sdtPr>
    <w:sdtContent>
      <w:p w14:paraId="79C17930">
        <w:pPr>
          <w:pStyle w:val="5"/>
          <w:ind w:firstLine="360"/>
          <w:jc w:val="center"/>
        </w:pPr>
        <w:r>
          <w:fldChar w:fldCharType="begin"/>
        </w:r>
        <w:r>
          <w:instrText xml:space="preserve">PAGE   \* MERGEFORMAT</w:instrText>
        </w:r>
        <w:r>
          <w:fldChar w:fldCharType="separate"/>
        </w:r>
        <w:r>
          <w:rPr>
            <w:lang w:val="zh-CN"/>
          </w:rPr>
          <w:t>13</w:t>
        </w:r>
        <w:r>
          <w:fldChar w:fldCharType="end"/>
        </w:r>
      </w:p>
    </w:sdtContent>
  </w:sdt>
  <w:p w14:paraId="688200BF"/>
  <w:p w14:paraId="6E4676F3"/>
  <w:p w14:paraId="2933DC4D"/>
  <w:p w14:paraId="5242C6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CA7CF">
    <w:pPr>
      <w:pStyle w:val="5"/>
      <w:ind w:firstLine="360"/>
    </w:pPr>
  </w:p>
  <w:p w14:paraId="1E8EB099">
    <w:pPr>
      <w:ind w:firstLine="480"/>
    </w:pPr>
  </w:p>
  <w:p w14:paraId="535D5437">
    <w:pPr>
      <w:ind w:firstLine="480"/>
    </w:pPr>
  </w:p>
  <w:p w14:paraId="14EFF5C1">
    <w:pPr>
      <w:ind w:firstLine="480"/>
    </w:pPr>
  </w:p>
  <w:p w14:paraId="34827927">
    <w:pPr>
      <w:ind w:firstLine="480"/>
    </w:pPr>
  </w:p>
  <w:p w14:paraId="680294BE">
    <w:pPr>
      <w:ind w:firstLine="480"/>
    </w:pPr>
  </w:p>
  <w:p w14:paraId="2D507B4A">
    <w:pPr>
      <w:ind w:firstLine="480"/>
    </w:pPr>
  </w:p>
  <w:p w14:paraId="211A03CC">
    <w:pPr>
      <w:ind w:firstLine="480"/>
    </w:pPr>
  </w:p>
  <w:p w14:paraId="2AE15C32">
    <w:pPr>
      <w:ind w:firstLine="480"/>
    </w:pPr>
  </w:p>
  <w:p w14:paraId="4941A556">
    <w:pPr>
      <w:ind w:firstLine="480"/>
    </w:pPr>
  </w:p>
  <w:p w14:paraId="45864E1E">
    <w:pPr>
      <w:ind w:firstLine="480"/>
    </w:pPr>
  </w:p>
  <w:p w14:paraId="1A9A1E6A">
    <w:pPr>
      <w:ind w:firstLine="480"/>
    </w:pPr>
  </w:p>
  <w:p w14:paraId="202A20AF">
    <w:pPr>
      <w:ind w:firstLine="480"/>
    </w:pPr>
  </w:p>
  <w:p w14:paraId="670954F5">
    <w:pPr>
      <w:ind w:firstLine="480"/>
    </w:pPr>
  </w:p>
  <w:p w14:paraId="4320B6E3">
    <w:pPr>
      <w:ind w:firstLine="480"/>
    </w:pPr>
  </w:p>
  <w:p w14:paraId="713DA571">
    <w:pPr>
      <w:ind w:firstLine="480"/>
    </w:pPr>
  </w:p>
  <w:p w14:paraId="78D5F8F6">
    <w:pPr>
      <w:ind w:firstLine="480"/>
    </w:pPr>
  </w:p>
  <w:p w14:paraId="4143B964">
    <w:pPr>
      <w:ind w:firstLine="480"/>
    </w:pPr>
  </w:p>
  <w:p w14:paraId="0CEDA782"/>
  <w:p w14:paraId="1748B784"/>
  <w:p w14:paraId="730A89CA"/>
  <w:p w14:paraId="04BEF62D"/>
  <w:p w14:paraId="5D150C66"/>
  <w:p w14:paraId="06F65311"/>
  <w:p w14:paraId="6E5741DE"/>
  <w:p w14:paraId="2793C2DE"/>
  <w:p w14:paraId="70B8D69D"/>
  <w:p w14:paraId="40A717EB"/>
  <w:p w14:paraId="64635BEC"/>
  <w:p w14:paraId="5C8593B5"/>
  <w:p w14:paraId="5AB760FD"/>
  <w:p w14:paraId="0A6D5BCE"/>
  <w:p w14:paraId="24D1685E"/>
  <w:p w14:paraId="66B9AF0A"/>
  <w:p w14:paraId="73303D7B"/>
  <w:p w14:paraId="04CE75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79E5">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396A">
    <w:pPr>
      <w:pStyle w:val="6"/>
      <w:ind w:firstLine="360"/>
    </w:pPr>
  </w:p>
  <w:p w14:paraId="4021DFBB">
    <w:pPr>
      <w:ind w:firstLine="480"/>
    </w:pPr>
  </w:p>
  <w:p w14:paraId="31C830CF">
    <w:pPr>
      <w:ind w:firstLine="480"/>
    </w:pPr>
  </w:p>
  <w:p w14:paraId="36052C9D">
    <w:pPr>
      <w:ind w:firstLine="480"/>
    </w:pPr>
  </w:p>
  <w:p w14:paraId="79DE647C">
    <w:pPr>
      <w:ind w:firstLine="480"/>
    </w:pPr>
  </w:p>
  <w:p w14:paraId="1AA465B8">
    <w:pPr>
      <w:ind w:firstLine="480"/>
    </w:pPr>
  </w:p>
  <w:p w14:paraId="1966EE23">
    <w:pPr>
      <w:ind w:firstLine="480"/>
    </w:pPr>
  </w:p>
  <w:p w14:paraId="761B6873">
    <w:pPr>
      <w:ind w:firstLine="480"/>
    </w:pPr>
  </w:p>
  <w:p w14:paraId="2E4D29A2">
    <w:pPr>
      <w:ind w:firstLine="480"/>
    </w:pPr>
  </w:p>
  <w:p w14:paraId="0761FFF4">
    <w:pPr>
      <w:ind w:firstLine="480"/>
    </w:pPr>
  </w:p>
  <w:p w14:paraId="74E3D7C3">
    <w:pPr>
      <w:ind w:firstLine="480"/>
    </w:pPr>
  </w:p>
  <w:p w14:paraId="1CAA9D1F">
    <w:pPr>
      <w:ind w:firstLine="480"/>
    </w:pPr>
  </w:p>
  <w:p w14:paraId="3B563BC0">
    <w:pPr>
      <w:ind w:firstLine="480"/>
    </w:pPr>
  </w:p>
  <w:p w14:paraId="2FBD3A65">
    <w:pPr>
      <w:ind w:firstLine="480"/>
    </w:pPr>
  </w:p>
  <w:p w14:paraId="775E73A4">
    <w:pPr>
      <w:ind w:firstLine="480"/>
    </w:pPr>
  </w:p>
  <w:p w14:paraId="6BCD71E8">
    <w:pPr>
      <w:ind w:firstLine="480"/>
    </w:pPr>
  </w:p>
  <w:p w14:paraId="3F1B34DD">
    <w:pPr>
      <w:ind w:firstLine="480"/>
    </w:pPr>
  </w:p>
  <w:p w14:paraId="50D65171">
    <w:pPr>
      <w:ind w:firstLine="480"/>
    </w:pPr>
  </w:p>
  <w:p w14:paraId="5EEDCD08"/>
  <w:p w14:paraId="51732967"/>
  <w:p w14:paraId="6AF76A73"/>
  <w:p w14:paraId="5DF97F19"/>
  <w:p w14:paraId="7469CD08"/>
  <w:p w14:paraId="53CD6CC5"/>
  <w:p w14:paraId="2C263803"/>
  <w:p w14:paraId="1A611497"/>
  <w:p w14:paraId="5848E61C"/>
  <w:p w14:paraId="5EAEC1E9"/>
  <w:p w14:paraId="5DE6AAFB"/>
  <w:p w14:paraId="07E0078B"/>
  <w:p w14:paraId="45463647"/>
  <w:p w14:paraId="2B4BD2DF"/>
  <w:p w14:paraId="1345E39D"/>
  <w:p w14:paraId="530131C3"/>
  <w:p w14:paraId="7034802B"/>
  <w:p w14:paraId="70980D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9DCE2">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B2035"/>
    <w:multiLevelType w:val="multilevel"/>
    <w:tmpl w:val="377B2035"/>
    <w:lvl w:ilvl="0" w:tentative="0">
      <w:start w:val="1"/>
      <w:numFmt w:val="chineseCountingThousand"/>
      <w:lvlText w:val="第%1条．"/>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Dc4NTUyMmYzMzAyMTliMjEzMjYxYWQ5ZjY4OGEifQ=="/>
  </w:docVars>
  <w:rsids>
    <w:rsidRoot w:val="003375BA"/>
    <w:rsid w:val="000008ED"/>
    <w:rsid w:val="00006C65"/>
    <w:rsid w:val="00007EBA"/>
    <w:rsid w:val="00015470"/>
    <w:rsid w:val="0001555B"/>
    <w:rsid w:val="000212E2"/>
    <w:rsid w:val="00024F8A"/>
    <w:rsid w:val="000255AA"/>
    <w:rsid w:val="00034C3D"/>
    <w:rsid w:val="00034F55"/>
    <w:rsid w:val="00035F47"/>
    <w:rsid w:val="0003619E"/>
    <w:rsid w:val="00040CF5"/>
    <w:rsid w:val="00042225"/>
    <w:rsid w:val="0005534F"/>
    <w:rsid w:val="000568C9"/>
    <w:rsid w:val="000602E4"/>
    <w:rsid w:val="00063D0F"/>
    <w:rsid w:val="000647B0"/>
    <w:rsid w:val="0006670E"/>
    <w:rsid w:val="0007089A"/>
    <w:rsid w:val="00082737"/>
    <w:rsid w:val="00082F52"/>
    <w:rsid w:val="00084076"/>
    <w:rsid w:val="000866D6"/>
    <w:rsid w:val="00091B66"/>
    <w:rsid w:val="00092616"/>
    <w:rsid w:val="00095563"/>
    <w:rsid w:val="00096BB6"/>
    <w:rsid w:val="00097E52"/>
    <w:rsid w:val="000A0C83"/>
    <w:rsid w:val="000A3EBC"/>
    <w:rsid w:val="000A51B1"/>
    <w:rsid w:val="000A7CDF"/>
    <w:rsid w:val="000B042C"/>
    <w:rsid w:val="000B22EB"/>
    <w:rsid w:val="000B6FAD"/>
    <w:rsid w:val="000C1741"/>
    <w:rsid w:val="000C3CC0"/>
    <w:rsid w:val="000C5458"/>
    <w:rsid w:val="000D1525"/>
    <w:rsid w:val="000D6BA4"/>
    <w:rsid w:val="000E2E95"/>
    <w:rsid w:val="000E4A1C"/>
    <w:rsid w:val="000E5A03"/>
    <w:rsid w:val="000E6711"/>
    <w:rsid w:val="000F04DF"/>
    <w:rsid w:val="000F1D3F"/>
    <w:rsid w:val="00100C4E"/>
    <w:rsid w:val="00101C5E"/>
    <w:rsid w:val="00102E76"/>
    <w:rsid w:val="00104C3A"/>
    <w:rsid w:val="001059A6"/>
    <w:rsid w:val="00111418"/>
    <w:rsid w:val="00111DF2"/>
    <w:rsid w:val="00115797"/>
    <w:rsid w:val="00116224"/>
    <w:rsid w:val="00116B9B"/>
    <w:rsid w:val="00116D78"/>
    <w:rsid w:val="00121592"/>
    <w:rsid w:val="001228D2"/>
    <w:rsid w:val="00124FCA"/>
    <w:rsid w:val="00127A41"/>
    <w:rsid w:val="001320FC"/>
    <w:rsid w:val="00135F1C"/>
    <w:rsid w:val="00137378"/>
    <w:rsid w:val="001411CA"/>
    <w:rsid w:val="00146FE6"/>
    <w:rsid w:val="001513A5"/>
    <w:rsid w:val="0015210A"/>
    <w:rsid w:val="00155190"/>
    <w:rsid w:val="0016134B"/>
    <w:rsid w:val="00162369"/>
    <w:rsid w:val="00164715"/>
    <w:rsid w:val="00167711"/>
    <w:rsid w:val="0017462B"/>
    <w:rsid w:val="0017768C"/>
    <w:rsid w:val="00177A2A"/>
    <w:rsid w:val="00181667"/>
    <w:rsid w:val="0018624E"/>
    <w:rsid w:val="00187B92"/>
    <w:rsid w:val="00187C80"/>
    <w:rsid w:val="00190116"/>
    <w:rsid w:val="001901A0"/>
    <w:rsid w:val="001B04E5"/>
    <w:rsid w:val="001B2937"/>
    <w:rsid w:val="001B30F5"/>
    <w:rsid w:val="001B3D29"/>
    <w:rsid w:val="001B54CE"/>
    <w:rsid w:val="001C5BB3"/>
    <w:rsid w:val="001C6854"/>
    <w:rsid w:val="001D3479"/>
    <w:rsid w:val="001D4221"/>
    <w:rsid w:val="001E217F"/>
    <w:rsid w:val="001E365F"/>
    <w:rsid w:val="001E6BC9"/>
    <w:rsid w:val="001F5E91"/>
    <w:rsid w:val="001F6809"/>
    <w:rsid w:val="001F7999"/>
    <w:rsid w:val="00203EF9"/>
    <w:rsid w:val="0020663F"/>
    <w:rsid w:val="00206739"/>
    <w:rsid w:val="00207EB3"/>
    <w:rsid w:val="0021016F"/>
    <w:rsid w:val="002169F2"/>
    <w:rsid w:val="002173F8"/>
    <w:rsid w:val="00231012"/>
    <w:rsid w:val="0023103C"/>
    <w:rsid w:val="00233CB2"/>
    <w:rsid w:val="00236355"/>
    <w:rsid w:val="00240D1D"/>
    <w:rsid w:val="00242C9A"/>
    <w:rsid w:val="00242CD0"/>
    <w:rsid w:val="00246DEE"/>
    <w:rsid w:val="00250402"/>
    <w:rsid w:val="002646BC"/>
    <w:rsid w:val="00271B57"/>
    <w:rsid w:val="002727AB"/>
    <w:rsid w:val="002774E8"/>
    <w:rsid w:val="00283096"/>
    <w:rsid w:val="002854CB"/>
    <w:rsid w:val="00290D29"/>
    <w:rsid w:val="00295428"/>
    <w:rsid w:val="002B05AF"/>
    <w:rsid w:val="002B2021"/>
    <w:rsid w:val="002B29A0"/>
    <w:rsid w:val="002B38CF"/>
    <w:rsid w:val="002C1745"/>
    <w:rsid w:val="002C2985"/>
    <w:rsid w:val="002C2A8A"/>
    <w:rsid w:val="002C56FD"/>
    <w:rsid w:val="002C7403"/>
    <w:rsid w:val="002D3A0D"/>
    <w:rsid w:val="002D741D"/>
    <w:rsid w:val="002D794A"/>
    <w:rsid w:val="002D7B46"/>
    <w:rsid w:val="002E057A"/>
    <w:rsid w:val="002E14B7"/>
    <w:rsid w:val="002E3418"/>
    <w:rsid w:val="002E3886"/>
    <w:rsid w:val="002E3FD9"/>
    <w:rsid w:val="002E788D"/>
    <w:rsid w:val="002F071B"/>
    <w:rsid w:val="002F1207"/>
    <w:rsid w:val="002F2016"/>
    <w:rsid w:val="002F3A7C"/>
    <w:rsid w:val="002F401F"/>
    <w:rsid w:val="002F4EDB"/>
    <w:rsid w:val="002F6986"/>
    <w:rsid w:val="002F73DF"/>
    <w:rsid w:val="0030206E"/>
    <w:rsid w:val="00310849"/>
    <w:rsid w:val="003114EC"/>
    <w:rsid w:val="00313A53"/>
    <w:rsid w:val="00324F6F"/>
    <w:rsid w:val="00326CDE"/>
    <w:rsid w:val="00327702"/>
    <w:rsid w:val="00332CB6"/>
    <w:rsid w:val="00333022"/>
    <w:rsid w:val="0033494E"/>
    <w:rsid w:val="003375BA"/>
    <w:rsid w:val="00340577"/>
    <w:rsid w:val="00342B6C"/>
    <w:rsid w:val="003459B1"/>
    <w:rsid w:val="00352440"/>
    <w:rsid w:val="00352A8B"/>
    <w:rsid w:val="0035554A"/>
    <w:rsid w:val="003555ED"/>
    <w:rsid w:val="003560A2"/>
    <w:rsid w:val="00357560"/>
    <w:rsid w:val="003611DF"/>
    <w:rsid w:val="00363DE2"/>
    <w:rsid w:val="0036486D"/>
    <w:rsid w:val="00365FF6"/>
    <w:rsid w:val="003773A5"/>
    <w:rsid w:val="003815CC"/>
    <w:rsid w:val="00385102"/>
    <w:rsid w:val="0039686A"/>
    <w:rsid w:val="003A17BE"/>
    <w:rsid w:val="003A6159"/>
    <w:rsid w:val="003B053A"/>
    <w:rsid w:val="003B27B8"/>
    <w:rsid w:val="003B42A4"/>
    <w:rsid w:val="003B4969"/>
    <w:rsid w:val="003B525C"/>
    <w:rsid w:val="003B5F1C"/>
    <w:rsid w:val="003B7ECA"/>
    <w:rsid w:val="003B7EDC"/>
    <w:rsid w:val="003C22E8"/>
    <w:rsid w:val="003C4941"/>
    <w:rsid w:val="003D1CE0"/>
    <w:rsid w:val="003D2AF9"/>
    <w:rsid w:val="003D3731"/>
    <w:rsid w:val="003D47B9"/>
    <w:rsid w:val="003D67F9"/>
    <w:rsid w:val="003D72A6"/>
    <w:rsid w:val="003E041A"/>
    <w:rsid w:val="003E1820"/>
    <w:rsid w:val="003E2FE5"/>
    <w:rsid w:val="003E70C0"/>
    <w:rsid w:val="003E7E68"/>
    <w:rsid w:val="004002EB"/>
    <w:rsid w:val="004040CE"/>
    <w:rsid w:val="00405EEC"/>
    <w:rsid w:val="0040631C"/>
    <w:rsid w:val="00407D26"/>
    <w:rsid w:val="004133AC"/>
    <w:rsid w:val="00413727"/>
    <w:rsid w:val="00416825"/>
    <w:rsid w:val="0042163B"/>
    <w:rsid w:val="004218BB"/>
    <w:rsid w:val="00422AF2"/>
    <w:rsid w:val="00425445"/>
    <w:rsid w:val="00426981"/>
    <w:rsid w:val="00432E5E"/>
    <w:rsid w:val="00434C26"/>
    <w:rsid w:val="00435E10"/>
    <w:rsid w:val="00441C54"/>
    <w:rsid w:val="004429EA"/>
    <w:rsid w:val="00445CB6"/>
    <w:rsid w:val="00446DA8"/>
    <w:rsid w:val="00447912"/>
    <w:rsid w:val="0045297A"/>
    <w:rsid w:val="00454810"/>
    <w:rsid w:val="00457E68"/>
    <w:rsid w:val="00461AE0"/>
    <w:rsid w:val="004654B5"/>
    <w:rsid w:val="004675C8"/>
    <w:rsid w:val="0047166A"/>
    <w:rsid w:val="00476B80"/>
    <w:rsid w:val="00477A4A"/>
    <w:rsid w:val="00493D67"/>
    <w:rsid w:val="00495382"/>
    <w:rsid w:val="004A086B"/>
    <w:rsid w:val="004A3922"/>
    <w:rsid w:val="004A4723"/>
    <w:rsid w:val="004A4B00"/>
    <w:rsid w:val="004A597C"/>
    <w:rsid w:val="004B280E"/>
    <w:rsid w:val="004B34B9"/>
    <w:rsid w:val="004B4508"/>
    <w:rsid w:val="004B4E07"/>
    <w:rsid w:val="004B6EAC"/>
    <w:rsid w:val="004D10C8"/>
    <w:rsid w:val="004D2595"/>
    <w:rsid w:val="004D2C3A"/>
    <w:rsid w:val="004D546F"/>
    <w:rsid w:val="004D64AA"/>
    <w:rsid w:val="004E5F7A"/>
    <w:rsid w:val="0050009D"/>
    <w:rsid w:val="00502583"/>
    <w:rsid w:val="005052ED"/>
    <w:rsid w:val="0050680A"/>
    <w:rsid w:val="00506CD1"/>
    <w:rsid w:val="00513C1B"/>
    <w:rsid w:val="00522D2D"/>
    <w:rsid w:val="00523ADE"/>
    <w:rsid w:val="0053096C"/>
    <w:rsid w:val="00532770"/>
    <w:rsid w:val="00532F52"/>
    <w:rsid w:val="005343B2"/>
    <w:rsid w:val="005353F1"/>
    <w:rsid w:val="005360F7"/>
    <w:rsid w:val="0054030E"/>
    <w:rsid w:val="00542831"/>
    <w:rsid w:val="00543916"/>
    <w:rsid w:val="00550B29"/>
    <w:rsid w:val="0055625C"/>
    <w:rsid w:val="00573755"/>
    <w:rsid w:val="00574432"/>
    <w:rsid w:val="00576F48"/>
    <w:rsid w:val="00577877"/>
    <w:rsid w:val="0058088F"/>
    <w:rsid w:val="00581049"/>
    <w:rsid w:val="00582FC8"/>
    <w:rsid w:val="00585108"/>
    <w:rsid w:val="005924A9"/>
    <w:rsid w:val="00592BE5"/>
    <w:rsid w:val="00596BEB"/>
    <w:rsid w:val="005A15FA"/>
    <w:rsid w:val="005A31EA"/>
    <w:rsid w:val="005A3D9D"/>
    <w:rsid w:val="005A4515"/>
    <w:rsid w:val="005B4C52"/>
    <w:rsid w:val="005B60D6"/>
    <w:rsid w:val="005C2CD6"/>
    <w:rsid w:val="005D1C91"/>
    <w:rsid w:val="005D1FFB"/>
    <w:rsid w:val="005D71E9"/>
    <w:rsid w:val="005E0512"/>
    <w:rsid w:val="005E20CE"/>
    <w:rsid w:val="005E4BE6"/>
    <w:rsid w:val="005E5A0F"/>
    <w:rsid w:val="005E71F5"/>
    <w:rsid w:val="005E7FEE"/>
    <w:rsid w:val="005F29AA"/>
    <w:rsid w:val="005F58CF"/>
    <w:rsid w:val="00601A9C"/>
    <w:rsid w:val="00602C47"/>
    <w:rsid w:val="006031AF"/>
    <w:rsid w:val="0060421F"/>
    <w:rsid w:val="00605FDF"/>
    <w:rsid w:val="006072EB"/>
    <w:rsid w:val="0061044F"/>
    <w:rsid w:val="00616874"/>
    <w:rsid w:val="0062018F"/>
    <w:rsid w:val="006219D8"/>
    <w:rsid w:val="006261F2"/>
    <w:rsid w:val="00626386"/>
    <w:rsid w:val="00632033"/>
    <w:rsid w:val="00632E55"/>
    <w:rsid w:val="00632F7F"/>
    <w:rsid w:val="0063666B"/>
    <w:rsid w:val="00636A13"/>
    <w:rsid w:val="00643183"/>
    <w:rsid w:val="0064527A"/>
    <w:rsid w:val="00655909"/>
    <w:rsid w:val="00660DC8"/>
    <w:rsid w:val="006713FA"/>
    <w:rsid w:val="006749F6"/>
    <w:rsid w:val="00674DF8"/>
    <w:rsid w:val="00680D28"/>
    <w:rsid w:val="00681B99"/>
    <w:rsid w:val="00690C2A"/>
    <w:rsid w:val="00693EEC"/>
    <w:rsid w:val="006976CC"/>
    <w:rsid w:val="006A0645"/>
    <w:rsid w:val="006A1D92"/>
    <w:rsid w:val="006B05E0"/>
    <w:rsid w:val="006B2127"/>
    <w:rsid w:val="006B25F8"/>
    <w:rsid w:val="006B3492"/>
    <w:rsid w:val="006B4D12"/>
    <w:rsid w:val="006B6AF2"/>
    <w:rsid w:val="006B7895"/>
    <w:rsid w:val="006C0B54"/>
    <w:rsid w:val="006C3CF1"/>
    <w:rsid w:val="006C4BE5"/>
    <w:rsid w:val="006C5681"/>
    <w:rsid w:val="006D029C"/>
    <w:rsid w:val="006E0DDD"/>
    <w:rsid w:val="006E24CC"/>
    <w:rsid w:val="006E3C2C"/>
    <w:rsid w:val="006F548B"/>
    <w:rsid w:val="006F752C"/>
    <w:rsid w:val="006F7819"/>
    <w:rsid w:val="00702280"/>
    <w:rsid w:val="00703CED"/>
    <w:rsid w:val="00707748"/>
    <w:rsid w:val="0071191B"/>
    <w:rsid w:val="007156CD"/>
    <w:rsid w:val="0073218E"/>
    <w:rsid w:val="00733601"/>
    <w:rsid w:val="007379B2"/>
    <w:rsid w:val="00743BB3"/>
    <w:rsid w:val="007460A3"/>
    <w:rsid w:val="0074624F"/>
    <w:rsid w:val="0074639D"/>
    <w:rsid w:val="00753F2B"/>
    <w:rsid w:val="0076016B"/>
    <w:rsid w:val="00760776"/>
    <w:rsid w:val="0076107D"/>
    <w:rsid w:val="00762F5D"/>
    <w:rsid w:val="0076447C"/>
    <w:rsid w:val="007650AE"/>
    <w:rsid w:val="00765D6B"/>
    <w:rsid w:val="00766635"/>
    <w:rsid w:val="00770E60"/>
    <w:rsid w:val="00773285"/>
    <w:rsid w:val="00774175"/>
    <w:rsid w:val="007757AC"/>
    <w:rsid w:val="00777C2D"/>
    <w:rsid w:val="0078014D"/>
    <w:rsid w:val="00781E53"/>
    <w:rsid w:val="00783969"/>
    <w:rsid w:val="00796E2D"/>
    <w:rsid w:val="007A150E"/>
    <w:rsid w:val="007A1EBB"/>
    <w:rsid w:val="007A3ED3"/>
    <w:rsid w:val="007A4B0A"/>
    <w:rsid w:val="007A5A89"/>
    <w:rsid w:val="007A6763"/>
    <w:rsid w:val="007A77F3"/>
    <w:rsid w:val="007A797A"/>
    <w:rsid w:val="007B43E0"/>
    <w:rsid w:val="007B65CA"/>
    <w:rsid w:val="007B715A"/>
    <w:rsid w:val="007C06ED"/>
    <w:rsid w:val="007C0F45"/>
    <w:rsid w:val="007C27E1"/>
    <w:rsid w:val="007D20D2"/>
    <w:rsid w:val="007D2FC4"/>
    <w:rsid w:val="007D422D"/>
    <w:rsid w:val="007D4672"/>
    <w:rsid w:val="007E095B"/>
    <w:rsid w:val="007E2AFF"/>
    <w:rsid w:val="007E3BA9"/>
    <w:rsid w:val="007E5745"/>
    <w:rsid w:val="007F0415"/>
    <w:rsid w:val="007F0AF6"/>
    <w:rsid w:val="007F316D"/>
    <w:rsid w:val="007F3CB2"/>
    <w:rsid w:val="007F5DE6"/>
    <w:rsid w:val="00802B3E"/>
    <w:rsid w:val="00804327"/>
    <w:rsid w:val="00805466"/>
    <w:rsid w:val="008104B8"/>
    <w:rsid w:val="00811E49"/>
    <w:rsid w:val="00813747"/>
    <w:rsid w:val="00815135"/>
    <w:rsid w:val="008204D6"/>
    <w:rsid w:val="0082091B"/>
    <w:rsid w:val="0082100E"/>
    <w:rsid w:val="00823232"/>
    <w:rsid w:val="00823282"/>
    <w:rsid w:val="00830A55"/>
    <w:rsid w:val="00832C97"/>
    <w:rsid w:val="00836021"/>
    <w:rsid w:val="008363B6"/>
    <w:rsid w:val="00837733"/>
    <w:rsid w:val="008427D4"/>
    <w:rsid w:val="0084425B"/>
    <w:rsid w:val="008465DF"/>
    <w:rsid w:val="00846CFF"/>
    <w:rsid w:val="00851C3B"/>
    <w:rsid w:val="00853691"/>
    <w:rsid w:val="0086006D"/>
    <w:rsid w:val="00860BB4"/>
    <w:rsid w:val="00860E84"/>
    <w:rsid w:val="00863850"/>
    <w:rsid w:val="00866056"/>
    <w:rsid w:val="00866DAD"/>
    <w:rsid w:val="00872A61"/>
    <w:rsid w:val="00883DDF"/>
    <w:rsid w:val="00885C27"/>
    <w:rsid w:val="00893B07"/>
    <w:rsid w:val="008943C1"/>
    <w:rsid w:val="0089451A"/>
    <w:rsid w:val="00894F87"/>
    <w:rsid w:val="008A05A4"/>
    <w:rsid w:val="008A138D"/>
    <w:rsid w:val="008A1E27"/>
    <w:rsid w:val="008A385C"/>
    <w:rsid w:val="008B641D"/>
    <w:rsid w:val="008B7371"/>
    <w:rsid w:val="008C2A2D"/>
    <w:rsid w:val="008C340B"/>
    <w:rsid w:val="008C344F"/>
    <w:rsid w:val="008D4464"/>
    <w:rsid w:val="008D5B49"/>
    <w:rsid w:val="008D63D0"/>
    <w:rsid w:val="008D79EF"/>
    <w:rsid w:val="008E01B2"/>
    <w:rsid w:val="008E2B3E"/>
    <w:rsid w:val="008E4ABF"/>
    <w:rsid w:val="008E74E4"/>
    <w:rsid w:val="008F1B81"/>
    <w:rsid w:val="008F7CBA"/>
    <w:rsid w:val="00900A5E"/>
    <w:rsid w:val="00902301"/>
    <w:rsid w:val="00904676"/>
    <w:rsid w:val="00904AC2"/>
    <w:rsid w:val="00907A77"/>
    <w:rsid w:val="00913AEE"/>
    <w:rsid w:val="00913F07"/>
    <w:rsid w:val="009148BD"/>
    <w:rsid w:val="00916573"/>
    <w:rsid w:val="00917610"/>
    <w:rsid w:val="00920E0E"/>
    <w:rsid w:val="009242FC"/>
    <w:rsid w:val="009304AC"/>
    <w:rsid w:val="00931CE3"/>
    <w:rsid w:val="009322B9"/>
    <w:rsid w:val="00933CA6"/>
    <w:rsid w:val="00936C01"/>
    <w:rsid w:val="00940959"/>
    <w:rsid w:val="00943DD0"/>
    <w:rsid w:val="00947F19"/>
    <w:rsid w:val="00950321"/>
    <w:rsid w:val="0095085B"/>
    <w:rsid w:val="009521F6"/>
    <w:rsid w:val="009654BB"/>
    <w:rsid w:val="009752EE"/>
    <w:rsid w:val="00976E90"/>
    <w:rsid w:val="0097701A"/>
    <w:rsid w:val="00984BF5"/>
    <w:rsid w:val="00986194"/>
    <w:rsid w:val="009904B8"/>
    <w:rsid w:val="009911CC"/>
    <w:rsid w:val="009934A5"/>
    <w:rsid w:val="00994DFB"/>
    <w:rsid w:val="009A1D66"/>
    <w:rsid w:val="009A2F4F"/>
    <w:rsid w:val="009B160B"/>
    <w:rsid w:val="009B3E63"/>
    <w:rsid w:val="009C21C2"/>
    <w:rsid w:val="009C2854"/>
    <w:rsid w:val="009C5735"/>
    <w:rsid w:val="009C6FD3"/>
    <w:rsid w:val="009D0ADF"/>
    <w:rsid w:val="009D737E"/>
    <w:rsid w:val="009D75FA"/>
    <w:rsid w:val="009D772D"/>
    <w:rsid w:val="009E58BC"/>
    <w:rsid w:val="009E5909"/>
    <w:rsid w:val="009E5A18"/>
    <w:rsid w:val="009F68BB"/>
    <w:rsid w:val="00A011B4"/>
    <w:rsid w:val="00A050D9"/>
    <w:rsid w:val="00A11E5B"/>
    <w:rsid w:val="00A136BF"/>
    <w:rsid w:val="00A1437A"/>
    <w:rsid w:val="00A14FD6"/>
    <w:rsid w:val="00A22ACC"/>
    <w:rsid w:val="00A22FD9"/>
    <w:rsid w:val="00A27A37"/>
    <w:rsid w:val="00A335D2"/>
    <w:rsid w:val="00A35756"/>
    <w:rsid w:val="00A3592B"/>
    <w:rsid w:val="00A43CD0"/>
    <w:rsid w:val="00A4466F"/>
    <w:rsid w:val="00A502DB"/>
    <w:rsid w:val="00A5197C"/>
    <w:rsid w:val="00A567A5"/>
    <w:rsid w:val="00A56AA8"/>
    <w:rsid w:val="00A56C8C"/>
    <w:rsid w:val="00A60C90"/>
    <w:rsid w:val="00A60ECA"/>
    <w:rsid w:val="00A614AF"/>
    <w:rsid w:val="00A649A2"/>
    <w:rsid w:val="00A6736B"/>
    <w:rsid w:val="00A70513"/>
    <w:rsid w:val="00A80580"/>
    <w:rsid w:val="00A81905"/>
    <w:rsid w:val="00A832DE"/>
    <w:rsid w:val="00A843AA"/>
    <w:rsid w:val="00A869B8"/>
    <w:rsid w:val="00A90439"/>
    <w:rsid w:val="00A91FBC"/>
    <w:rsid w:val="00A957FB"/>
    <w:rsid w:val="00A95A09"/>
    <w:rsid w:val="00A97063"/>
    <w:rsid w:val="00AA4B6E"/>
    <w:rsid w:val="00AB0FB2"/>
    <w:rsid w:val="00AB2B67"/>
    <w:rsid w:val="00AB2CC1"/>
    <w:rsid w:val="00AB48D4"/>
    <w:rsid w:val="00AB4A52"/>
    <w:rsid w:val="00AB7770"/>
    <w:rsid w:val="00AC07B8"/>
    <w:rsid w:val="00AC1E42"/>
    <w:rsid w:val="00AC2EA4"/>
    <w:rsid w:val="00AC3FB0"/>
    <w:rsid w:val="00AC656E"/>
    <w:rsid w:val="00AD55D6"/>
    <w:rsid w:val="00AE19C7"/>
    <w:rsid w:val="00AE1B49"/>
    <w:rsid w:val="00AE2F73"/>
    <w:rsid w:val="00AE66A1"/>
    <w:rsid w:val="00AE6D99"/>
    <w:rsid w:val="00AE7F28"/>
    <w:rsid w:val="00AF4AD5"/>
    <w:rsid w:val="00B03AF7"/>
    <w:rsid w:val="00B044AC"/>
    <w:rsid w:val="00B05D3C"/>
    <w:rsid w:val="00B06F99"/>
    <w:rsid w:val="00B0768A"/>
    <w:rsid w:val="00B07BBF"/>
    <w:rsid w:val="00B10999"/>
    <w:rsid w:val="00B121D3"/>
    <w:rsid w:val="00B124C7"/>
    <w:rsid w:val="00B1442A"/>
    <w:rsid w:val="00B17E6E"/>
    <w:rsid w:val="00B2288A"/>
    <w:rsid w:val="00B229A4"/>
    <w:rsid w:val="00B32FF7"/>
    <w:rsid w:val="00B35E7B"/>
    <w:rsid w:val="00B37AFB"/>
    <w:rsid w:val="00B41A65"/>
    <w:rsid w:val="00B510FC"/>
    <w:rsid w:val="00B5122D"/>
    <w:rsid w:val="00B55BFC"/>
    <w:rsid w:val="00B60414"/>
    <w:rsid w:val="00B61C12"/>
    <w:rsid w:val="00B61DE7"/>
    <w:rsid w:val="00B62425"/>
    <w:rsid w:val="00B64000"/>
    <w:rsid w:val="00B71B0E"/>
    <w:rsid w:val="00B71E42"/>
    <w:rsid w:val="00B73313"/>
    <w:rsid w:val="00B765E7"/>
    <w:rsid w:val="00B7745C"/>
    <w:rsid w:val="00B82B02"/>
    <w:rsid w:val="00B841CA"/>
    <w:rsid w:val="00B8566C"/>
    <w:rsid w:val="00B9266C"/>
    <w:rsid w:val="00B95C3E"/>
    <w:rsid w:val="00B96A98"/>
    <w:rsid w:val="00BA67D1"/>
    <w:rsid w:val="00BB2A36"/>
    <w:rsid w:val="00BB50FB"/>
    <w:rsid w:val="00BB58B4"/>
    <w:rsid w:val="00BC11AE"/>
    <w:rsid w:val="00BC2DDC"/>
    <w:rsid w:val="00BC3B37"/>
    <w:rsid w:val="00BC4754"/>
    <w:rsid w:val="00BC7DEA"/>
    <w:rsid w:val="00BD1561"/>
    <w:rsid w:val="00BD4B76"/>
    <w:rsid w:val="00BD638C"/>
    <w:rsid w:val="00BD67DA"/>
    <w:rsid w:val="00BE1077"/>
    <w:rsid w:val="00BE11E7"/>
    <w:rsid w:val="00BE1F6C"/>
    <w:rsid w:val="00BE3476"/>
    <w:rsid w:val="00BE4E42"/>
    <w:rsid w:val="00BF38C5"/>
    <w:rsid w:val="00BF441E"/>
    <w:rsid w:val="00BF5490"/>
    <w:rsid w:val="00BF6917"/>
    <w:rsid w:val="00BF7028"/>
    <w:rsid w:val="00C04E65"/>
    <w:rsid w:val="00C05CBF"/>
    <w:rsid w:val="00C06841"/>
    <w:rsid w:val="00C103B1"/>
    <w:rsid w:val="00C1348D"/>
    <w:rsid w:val="00C150E4"/>
    <w:rsid w:val="00C15B31"/>
    <w:rsid w:val="00C163E8"/>
    <w:rsid w:val="00C207AA"/>
    <w:rsid w:val="00C21BE7"/>
    <w:rsid w:val="00C2225E"/>
    <w:rsid w:val="00C25DC5"/>
    <w:rsid w:val="00C30E40"/>
    <w:rsid w:val="00C318DF"/>
    <w:rsid w:val="00C325D4"/>
    <w:rsid w:val="00C364CE"/>
    <w:rsid w:val="00C45F83"/>
    <w:rsid w:val="00C50627"/>
    <w:rsid w:val="00C51684"/>
    <w:rsid w:val="00C55803"/>
    <w:rsid w:val="00C5673F"/>
    <w:rsid w:val="00C57A4B"/>
    <w:rsid w:val="00C61DD9"/>
    <w:rsid w:val="00C634CD"/>
    <w:rsid w:val="00C66976"/>
    <w:rsid w:val="00C67CC0"/>
    <w:rsid w:val="00C7109B"/>
    <w:rsid w:val="00C74D3E"/>
    <w:rsid w:val="00C77ACE"/>
    <w:rsid w:val="00C80392"/>
    <w:rsid w:val="00C84CD9"/>
    <w:rsid w:val="00C85E2B"/>
    <w:rsid w:val="00C863BC"/>
    <w:rsid w:val="00C90039"/>
    <w:rsid w:val="00C91EA7"/>
    <w:rsid w:val="00C924F9"/>
    <w:rsid w:val="00C92817"/>
    <w:rsid w:val="00C928F3"/>
    <w:rsid w:val="00C95CF0"/>
    <w:rsid w:val="00CA4AC6"/>
    <w:rsid w:val="00CB1AF7"/>
    <w:rsid w:val="00CB24CC"/>
    <w:rsid w:val="00CB5812"/>
    <w:rsid w:val="00CB6C35"/>
    <w:rsid w:val="00CC10FB"/>
    <w:rsid w:val="00CC12B7"/>
    <w:rsid w:val="00CC4202"/>
    <w:rsid w:val="00CC6BF0"/>
    <w:rsid w:val="00CC7D79"/>
    <w:rsid w:val="00CD0233"/>
    <w:rsid w:val="00CD15FA"/>
    <w:rsid w:val="00CD1A72"/>
    <w:rsid w:val="00CD2D39"/>
    <w:rsid w:val="00CD7767"/>
    <w:rsid w:val="00CE2DF0"/>
    <w:rsid w:val="00CE485C"/>
    <w:rsid w:val="00CE4F1F"/>
    <w:rsid w:val="00CE6D2B"/>
    <w:rsid w:val="00CE7568"/>
    <w:rsid w:val="00CF00B9"/>
    <w:rsid w:val="00CF3227"/>
    <w:rsid w:val="00CF4133"/>
    <w:rsid w:val="00CF5907"/>
    <w:rsid w:val="00CF63FD"/>
    <w:rsid w:val="00D002D2"/>
    <w:rsid w:val="00D0062F"/>
    <w:rsid w:val="00D02481"/>
    <w:rsid w:val="00D038C8"/>
    <w:rsid w:val="00D062D8"/>
    <w:rsid w:val="00D12107"/>
    <w:rsid w:val="00D12128"/>
    <w:rsid w:val="00D13D99"/>
    <w:rsid w:val="00D157C1"/>
    <w:rsid w:val="00D218FC"/>
    <w:rsid w:val="00D23A49"/>
    <w:rsid w:val="00D27C46"/>
    <w:rsid w:val="00D30EC9"/>
    <w:rsid w:val="00D31D83"/>
    <w:rsid w:val="00D37344"/>
    <w:rsid w:val="00D416F9"/>
    <w:rsid w:val="00D43B01"/>
    <w:rsid w:val="00D45217"/>
    <w:rsid w:val="00D51C30"/>
    <w:rsid w:val="00D605F1"/>
    <w:rsid w:val="00D6076A"/>
    <w:rsid w:val="00D60934"/>
    <w:rsid w:val="00D63183"/>
    <w:rsid w:val="00D64CF4"/>
    <w:rsid w:val="00D65176"/>
    <w:rsid w:val="00D65A08"/>
    <w:rsid w:val="00D66187"/>
    <w:rsid w:val="00D82E0B"/>
    <w:rsid w:val="00D847FB"/>
    <w:rsid w:val="00D87B23"/>
    <w:rsid w:val="00D926B9"/>
    <w:rsid w:val="00D94E11"/>
    <w:rsid w:val="00DA56FD"/>
    <w:rsid w:val="00DA78E9"/>
    <w:rsid w:val="00DA7938"/>
    <w:rsid w:val="00DB1BE3"/>
    <w:rsid w:val="00DB24E0"/>
    <w:rsid w:val="00DB37BD"/>
    <w:rsid w:val="00DB3FA5"/>
    <w:rsid w:val="00DB4268"/>
    <w:rsid w:val="00DB5B4D"/>
    <w:rsid w:val="00DC4191"/>
    <w:rsid w:val="00DC5FA5"/>
    <w:rsid w:val="00DC6A6C"/>
    <w:rsid w:val="00DD297D"/>
    <w:rsid w:val="00DD5B6D"/>
    <w:rsid w:val="00DD7DFC"/>
    <w:rsid w:val="00DE02E0"/>
    <w:rsid w:val="00DE4C04"/>
    <w:rsid w:val="00DE5266"/>
    <w:rsid w:val="00DE635E"/>
    <w:rsid w:val="00DF1269"/>
    <w:rsid w:val="00DF3053"/>
    <w:rsid w:val="00DF3D68"/>
    <w:rsid w:val="00DF64E0"/>
    <w:rsid w:val="00E025B5"/>
    <w:rsid w:val="00E0321F"/>
    <w:rsid w:val="00E03F14"/>
    <w:rsid w:val="00E0409C"/>
    <w:rsid w:val="00E04A8E"/>
    <w:rsid w:val="00E05CCD"/>
    <w:rsid w:val="00E06AAD"/>
    <w:rsid w:val="00E1032B"/>
    <w:rsid w:val="00E1276D"/>
    <w:rsid w:val="00E20F6E"/>
    <w:rsid w:val="00E26C9E"/>
    <w:rsid w:val="00E2777C"/>
    <w:rsid w:val="00E3252B"/>
    <w:rsid w:val="00E40F8E"/>
    <w:rsid w:val="00E41971"/>
    <w:rsid w:val="00E4260E"/>
    <w:rsid w:val="00E4430D"/>
    <w:rsid w:val="00E44A72"/>
    <w:rsid w:val="00E50B98"/>
    <w:rsid w:val="00E52856"/>
    <w:rsid w:val="00E532EA"/>
    <w:rsid w:val="00E570EF"/>
    <w:rsid w:val="00E616DB"/>
    <w:rsid w:val="00E64870"/>
    <w:rsid w:val="00E71857"/>
    <w:rsid w:val="00E72BCD"/>
    <w:rsid w:val="00E74295"/>
    <w:rsid w:val="00E77567"/>
    <w:rsid w:val="00E77E26"/>
    <w:rsid w:val="00E86810"/>
    <w:rsid w:val="00E90A13"/>
    <w:rsid w:val="00E94D49"/>
    <w:rsid w:val="00E95610"/>
    <w:rsid w:val="00EA4A1B"/>
    <w:rsid w:val="00EB59EF"/>
    <w:rsid w:val="00EC23D8"/>
    <w:rsid w:val="00EC433C"/>
    <w:rsid w:val="00EC718D"/>
    <w:rsid w:val="00ED317D"/>
    <w:rsid w:val="00ED35BD"/>
    <w:rsid w:val="00ED44AB"/>
    <w:rsid w:val="00EE0676"/>
    <w:rsid w:val="00EE077A"/>
    <w:rsid w:val="00EE2547"/>
    <w:rsid w:val="00EE49E0"/>
    <w:rsid w:val="00EE6069"/>
    <w:rsid w:val="00EF1146"/>
    <w:rsid w:val="00EF301F"/>
    <w:rsid w:val="00EF4564"/>
    <w:rsid w:val="00EF5FE5"/>
    <w:rsid w:val="00F01770"/>
    <w:rsid w:val="00F032D1"/>
    <w:rsid w:val="00F036DF"/>
    <w:rsid w:val="00F06982"/>
    <w:rsid w:val="00F07F8E"/>
    <w:rsid w:val="00F160F4"/>
    <w:rsid w:val="00F203C5"/>
    <w:rsid w:val="00F219C9"/>
    <w:rsid w:val="00F26224"/>
    <w:rsid w:val="00F3115F"/>
    <w:rsid w:val="00F32DB5"/>
    <w:rsid w:val="00F34B16"/>
    <w:rsid w:val="00F34DAD"/>
    <w:rsid w:val="00F4257A"/>
    <w:rsid w:val="00F505D8"/>
    <w:rsid w:val="00F51DD7"/>
    <w:rsid w:val="00F576D7"/>
    <w:rsid w:val="00F577B3"/>
    <w:rsid w:val="00F6727D"/>
    <w:rsid w:val="00F719DC"/>
    <w:rsid w:val="00F71FDE"/>
    <w:rsid w:val="00F806CE"/>
    <w:rsid w:val="00F81CEE"/>
    <w:rsid w:val="00F92366"/>
    <w:rsid w:val="00F97F04"/>
    <w:rsid w:val="00FA3AE3"/>
    <w:rsid w:val="00FA415F"/>
    <w:rsid w:val="00FB0724"/>
    <w:rsid w:val="00FB35DA"/>
    <w:rsid w:val="00FB496A"/>
    <w:rsid w:val="00FC02B4"/>
    <w:rsid w:val="00FC445B"/>
    <w:rsid w:val="00FD65FE"/>
    <w:rsid w:val="00FE22D1"/>
    <w:rsid w:val="00FF47A9"/>
    <w:rsid w:val="00FF48EA"/>
    <w:rsid w:val="00FF6C55"/>
    <w:rsid w:val="014D0B1B"/>
    <w:rsid w:val="018F6A3E"/>
    <w:rsid w:val="024C0DD3"/>
    <w:rsid w:val="027520D7"/>
    <w:rsid w:val="046D5ADF"/>
    <w:rsid w:val="04CD48FE"/>
    <w:rsid w:val="04FD623C"/>
    <w:rsid w:val="05CD3FD8"/>
    <w:rsid w:val="067D77AC"/>
    <w:rsid w:val="06DD024B"/>
    <w:rsid w:val="071C2B35"/>
    <w:rsid w:val="07750484"/>
    <w:rsid w:val="077F1302"/>
    <w:rsid w:val="08A41020"/>
    <w:rsid w:val="0992531D"/>
    <w:rsid w:val="09D44AD0"/>
    <w:rsid w:val="0B6E5916"/>
    <w:rsid w:val="0BD240F7"/>
    <w:rsid w:val="0D354E38"/>
    <w:rsid w:val="0FF075FC"/>
    <w:rsid w:val="112278CE"/>
    <w:rsid w:val="119B31DD"/>
    <w:rsid w:val="11C82D0E"/>
    <w:rsid w:val="12AD43AC"/>
    <w:rsid w:val="17982698"/>
    <w:rsid w:val="17EF1B5C"/>
    <w:rsid w:val="18221F62"/>
    <w:rsid w:val="188B3FAB"/>
    <w:rsid w:val="18EC0E59"/>
    <w:rsid w:val="18F95B43"/>
    <w:rsid w:val="199724DC"/>
    <w:rsid w:val="19E64CE9"/>
    <w:rsid w:val="1A69031C"/>
    <w:rsid w:val="1A82318C"/>
    <w:rsid w:val="1AFC1190"/>
    <w:rsid w:val="1C422BD3"/>
    <w:rsid w:val="1C6E7E6B"/>
    <w:rsid w:val="1C93342E"/>
    <w:rsid w:val="1DE1595C"/>
    <w:rsid w:val="1E1C7453"/>
    <w:rsid w:val="1E796654"/>
    <w:rsid w:val="1EDF295B"/>
    <w:rsid w:val="1F015F4D"/>
    <w:rsid w:val="1F973891"/>
    <w:rsid w:val="1FA53849"/>
    <w:rsid w:val="2027280B"/>
    <w:rsid w:val="205904EB"/>
    <w:rsid w:val="226D38CB"/>
    <w:rsid w:val="23B154E2"/>
    <w:rsid w:val="24443260"/>
    <w:rsid w:val="24FB6014"/>
    <w:rsid w:val="25891872"/>
    <w:rsid w:val="274E3872"/>
    <w:rsid w:val="27764078"/>
    <w:rsid w:val="278B7B24"/>
    <w:rsid w:val="29194CBB"/>
    <w:rsid w:val="29CE019B"/>
    <w:rsid w:val="2B1C6B7F"/>
    <w:rsid w:val="2B2818FA"/>
    <w:rsid w:val="2B287437"/>
    <w:rsid w:val="2B8B7262"/>
    <w:rsid w:val="2C1725A9"/>
    <w:rsid w:val="2CD772AC"/>
    <w:rsid w:val="2E23110B"/>
    <w:rsid w:val="2FF87D20"/>
    <w:rsid w:val="30807DBF"/>
    <w:rsid w:val="31B9703B"/>
    <w:rsid w:val="31CF4AB1"/>
    <w:rsid w:val="328E2276"/>
    <w:rsid w:val="33A3187F"/>
    <w:rsid w:val="347F27BE"/>
    <w:rsid w:val="38997BC6"/>
    <w:rsid w:val="38C20ECB"/>
    <w:rsid w:val="38C335FA"/>
    <w:rsid w:val="39146498"/>
    <w:rsid w:val="39461AFC"/>
    <w:rsid w:val="396106E4"/>
    <w:rsid w:val="39847134"/>
    <w:rsid w:val="3A4F49E1"/>
    <w:rsid w:val="3A52002D"/>
    <w:rsid w:val="3CEF24AB"/>
    <w:rsid w:val="3D77795B"/>
    <w:rsid w:val="3E7C7D6E"/>
    <w:rsid w:val="3FF322B2"/>
    <w:rsid w:val="418F1B67"/>
    <w:rsid w:val="426B4382"/>
    <w:rsid w:val="42D53EF1"/>
    <w:rsid w:val="433E3844"/>
    <w:rsid w:val="44F3240C"/>
    <w:rsid w:val="455407C7"/>
    <w:rsid w:val="465363CC"/>
    <w:rsid w:val="46C10A14"/>
    <w:rsid w:val="49A2669D"/>
    <w:rsid w:val="4AC565F9"/>
    <w:rsid w:val="4B3317B5"/>
    <w:rsid w:val="4C3A4CE6"/>
    <w:rsid w:val="4D7A36CB"/>
    <w:rsid w:val="4D9E1AAF"/>
    <w:rsid w:val="4E4C7358"/>
    <w:rsid w:val="4E4F252C"/>
    <w:rsid w:val="4F0022F6"/>
    <w:rsid w:val="4FB76E58"/>
    <w:rsid w:val="502618E8"/>
    <w:rsid w:val="54BA6AA3"/>
    <w:rsid w:val="555A5A85"/>
    <w:rsid w:val="561A5A4B"/>
    <w:rsid w:val="56B20379"/>
    <w:rsid w:val="57452F9B"/>
    <w:rsid w:val="57633422"/>
    <w:rsid w:val="57BD0D84"/>
    <w:rsid w:val="57F66044"/>
    <w:rsid w:val="58490869"/>
    <w:rsid w:val="588875E4"/>
    <w:rsid w:val="59777658"/>
    <w:rsid w:val="5996188C"/>
    <w:rsid w:val="59E412A7"/>
    <w:rsid w:val="5AE34FA5"/>
    <w:rsid w:val="5B6339F0"/>
    <w:rsid w:val="5C5E2199"/>
    <w:rsid w:val="5F011E9E"/>
    <w:rsid w:val="5FDB4823"/>
    <w:rsid w:val="5FEB2206"/>
    <w:rsid w:val="60575AEE"/>
    <w:rsid w:val="6118702B"/>
    <w:rsid w:val="61EA4E6B"/>
    <w:rsid w:val="61FC4B9F"/>
    <w:rsid w:val="62966DA1"/>
    <w:rsid w:val="62C05BCC"/>
    <w:rsid w:val="635D64A4"/>
    <w:rsid w:val="637846F9"/>
    <w:rsid w:val="63EB3CF2"/>
    <w:rsid w:val="6401024A"/>
    <w:rsid w:val="65EE0CA2"/>
    <w:rsid w:val="68D66149"/>
    <w:rsid w:val="68ED24AD"/>
    <w:rsid w:val="69823BDB"/>
    <w:rsid w:val="6A4470E3"/>
    <w:rsid w:val="6AFC79BD"/>
    <w:rsid w:val="6BDF4621"/>
    <w:rsid w:val="6C054650"/>
    <w:rsid w:val="6C2A0027"/>
    <w:rsid w:val="6CF21078"/>
    <w:rsid w:val="6E1374F8"/>
    <w:rsid w:val="6E7F06E9"/>
    <w:rsid w:val="6EBD1212"/>
    <w:rsid w:val="6FAA3E8C"/>
    <w:rsid w:val="6FB10D76"/>
    <w:rsid w:val="705A140E"/>
    <w:rsid w:val="70922C3F"/>
    <w:rsid w:val="70DC0CFB"/>
    <w:rsid w:val="70EC5DDE"/>
    <w:rsid w:val="7419338E"/>
    <w:rsid w:val="75034358"/>
    <w:rsid w:val="7553467E"/>
    <w:rsid w:val="764919A3"/>
    <w:rsid w:val="76F65C09"/>
    <w:rsid w:val="780103C1"/>
    <w:rsid w:val="78D0392F"/>
    <w:rsid w:val="793A6280"/>
    <w:rsid w:val="796416DF"/>
    <w:rsid w:val="796E7CD8"/>
    <w:rsid w:val="79AE7BD1"/>
    <w:rsid w:val="7B8E2585"/>
    <w:rsid w:val="7C66113B"/>
    <w:rsid w:val="7ECE1250"/>
    <w:rsid w:val="7F4514DB"/>
    <w:rsid w:val="7F4F235A"/>
    <w:rsid w:val="7F78540D"/>
    <w:rsid w:val="7F9D4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0"/>
    <w:pPr>
      <w:jc w:val="left"/>
    </w:pPr>
  </w:style>
  <w:style w:type="paragraph" w:styleId="3">
    <w:name w:val="Body Text Indent"/>
    <w:basedOn w:val="1"/>
    <w:autoRedefine/>
    <w:qFormat/>
    <w:uiPriority w:val="0"/>
    <w:pPr>
      <w:spacing w:line="360" w:lineRule="auto"/>
      <w:ind w:firstLine="480" w:firstLineChars="200"/>
      <w:jc w:val="left"/>
    </w:pPr>
    <w:rPr>
      <w:rFonts w:asciiTheme="minorEastAsia" w:hAnsiTheme="minorEastAsia"/>
      <w:color w:val="000000" w:themeColor="text1"/>
      <w:kern w:val="0"/>
      <w:sz w:val="24"/>
      <w14:textFill>
        <w14:solidFill>
          <w14:schemeClr w14:val="tx1"/>
        </w14:solidFill>
      </w14:textFill>
    </w:rPr>
  </w:style>
  <w:style w:type="paragraph" w:styleId="4">
    <w:name w:val="Balloon Text"/>
    <w:basedOn w:val="1"/>
    <w:link w:val="14"/>
    <w:autoRedefine/>
    <w:qFormat/>
    <w:uiPriority w:val="0"/>
    <w:rPr>
      <w:sz w:val="18"/>
      <w:szCs w:val="18"/>
    </w:rPr>
  </w:style>
  <w:style w:type="paragraph" w:styleId="5">
    <w:name w:val="footer"/>
    <w:basedOn w:val="1"/>
    <w:link w:val="18"/>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autoRedefine/>
    <w:semiHidden/>
    <w:unhideWhenUsed/>
    <w:qFormat/>
    <w:uiPriority w:val="0"/>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autoRedefine/>
    <w:semiHidden/>
    <w:unhideWhenUsed/>
    <w:qFormat/>
    <w:uiPriority w:val="0"/>
    <w:rPr>
      <w:sz w:val="21"/>
      <w:szCs w:val="21"/>
    </w:rPr>
  </w:style>
  <w:style w:type="paragraph" w:customStyle="1" w:styleId="12">
    <w:name w:val="列出段落4"/>
    <w:basedOn w:val="1"/>
    <w:autoRedefine/>
    <w:qFormat/>
    <w:uiPriority w:val="99"/>
    <w:pPr>
      <w:ind w:firstLine="420" w:firstLineChars="200"/>
    </w:pPr>
    <w:rPr>
      <w:szCs w:val="21"/>
    </w:rPr>
  </w:style>
  <w:style w:type="character" w:customStyle="1" w:styleId="13">
    <w:name w:val="填空格"/>
    <w:autoRedefine/>
    <w:qFormat/>
    <w:uiPriority w:val="1"/>
    <w:rPr>
      <w:rFonts w:eastAsia="宋体"/>
      <w:sz w:val="24"/>
      <w:u w:val="single"/>
    </w:rPr>
  </w:style>
  <w:style w:type="character" w:customStyle="1" w:styleId="14">
    <w:name w:val="批注框文本 Char"/>
    <w:basedOn w:val="10"/>
    <w:link w:val="4"/>
    <w:autoRedefine/>
    <w:qFormat/>
    <w:uiPriority w:val="0"/>
    <w:rPr>
      <w:rFonts w:ascii="Times New Roman" w:hAnsi="Times New Roman" w:eastAsia="宋体" w:cs="Times New Roman"/>
      <w:kern w:val="2"/>
      <w:sz w:val="18"/>
      <w:szCs w:val="18"/>
    </w:rPr>
  </w:style>
  <w:style w:type="character" w:customStyle="1" w:styleId="15">
    <w:name w:val="批注文字 Char"/>
    <w:basedOn w:val="10"/>
    <w:link w:val="2"/>
    <w:autoRedefine/>
    <w:semiHidden/>
    <w:qFormat/>
    <w:uiPriority w:val="0"/>
    <w:rPr>
      <w:rFonts w:ascii="Times New Roman" w:hAnsi="Times New Roman" w:eastAsia="宋体" w:cs="Times New Roman"/>
      <w:kern w:val="2"/>
      <w:sz w:val="21"/>
      <w:szCs w:val="24"/>
    </w:rPr>
  </w:style>
  <w:style w:type="character" w:customStyle="1" w:styleId="16">
    <w:name w:val="批注主题 Char"/>
    <w:basedOn w:val="15"/>
    <w:link w:val="7"/>
    <w:autoRedefine/>
    <w:semiHidden/>
    <w:qFormat/>
    <w:uiPriority w:val="0"/>
    <w:rPr>
      <w:rFonts w:ascii="Times New Roman" w:hAnsi="Times New Roman" w:eastAsia="宋体" w:cs="Times New Roman"/>
      <w:b/>
      <w:bCs/>
      <w:kern w:val="2"/>
      <w:sz w:val="21"/>
      <w:szCs w:val="24"/>
    </w:rPr>
  </w:style>
  <w:style w:type="character" w:customStyle="1" w:styleId="17">
    <w:name w:val="页眉 Char"/>
    <w:basedOn w:val="10"/>
    <w:link w:val="6"/>
    <w:autoRedefine/>
    <w:qFormat/>
    <w:uiPriority w:val="0"/>
    <w:rPr>
      <w:rFonts w:ascii="Times New Roman" w:hAnsi="Times New Roman" w:eastAsia="宋体" w:cs="Times New Roman"/>
      <w:kern w:val="2"/>
      <w:sz w:val="18"/>
      <w:szCs w:val="18"/>
    </w:rPr>
  </w:style>
  <w:style w:type="character" w:customStyle="1" w:styleId="18">
    <w:name w:val="页脚 Char"/>
    <w:basedOn w:val="10"/>
    <w:link w:val="5"/>
    <w:autoRedefine/>
    <w:qFormat/>
    <w:uiPriority w:val="99"/>
    <w:rPr>
      <w:rFonts w:ascii="Times New Roman" w:hAnsi="Times New Roman" w:eastAsia="宋体" w:cs="Times New Roman"/>
      <w:kern w:val="2"/>
      <w:sz w:val="18"/>
      <w:szCs w:val="18"/>
    </w:rPr>
  </w:style>
  <w:style w:type="paragraph" w:styleId="1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F535-E786-4CFF-85D8-629BF41EF8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5814</Words>
  <Characters>6074</Characters>
  <Lines>68</Lines>
  <Paragraphs>19</Paragraphs>
  <TotalTime>2</TotalTime>
  <ScaleCrop>false</ScaleCrop>
  <LinksUpToDate>false</LinksUpToDate>
  <CharactersWithSpaces>6146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2023-06-12T13:01:00Z</dcterms:created>
  <dc:creator>ASUS</dc:creator>
  <cp:lastModifiedBy>An</cp:lastModifiedBy>
  <cp:lastPrinted>2025-02-21T01:18:00Z</cp:lastPrinted>
  <dcterms:modified xsi:type="dcterms:W3CDTF">2025-09-30T03:06:41Z</dcterms:modified>
  <cp:revision>1258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7C17820D72D54A75A1F91B8ABCCCA79D_13</vt:lpwstr>
  </property>
  <property fmtid="{D5CDD505-2E9C-101B-9397-08002B2CF9AE}" pid="4" name="KSOTemplateDocerSaveRecord">
    <vt:lpwstr>eyJoZGlkIjoiMDEwYzI2ZTI4MDA0ODg3MjA0ZTYxNTVhYzAzYTY5OTkiLCJ1c2VySWQiOiIzNjQxMjMwNTgifQ==</vt:lpwstr>
  </property>
</Properties>
</file>