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0"/>
          <w:szCs w:val="30"/>
        </w:rPr>
      </w:pPr>
      <w:bookmarkStart w:id="22" w:name="_GoBack"/>
      <w:bookmarkEnd w:id="22"/>
      <w:r>
        <w:rPr>
          <w:rFonts w:hint="eastAsia" w:ascii="宋体" w:hAnsi="宋体" w:eastAsia="宋体"/>
          <w:b/>
          <w:bCs/>
          <w:sz w:val="30"/>
          <w:szCs w:val="30"/>
        </w:rPr>
        <w:t>全过程造价咨询服务任务书</w:t>
      </w:r>
    </w:p>
    <w:p>
      <w:pPr>
        <w:rPr>
          <w:rFonts w:hint="eastAsia" w:ascii="宋体" w:hAnsi="宋体" w:eastAsia="宋体"/>
        </w:rPr>
      </w:pPr>
    </w:p>
    <w:p>
      <w:pPr>
        <w:numPr>
          <w:ilvl w:val="0"/>
          <w:numId w:val="1"/>
        </w:numPr>
        <w:rPr>
          <w:rFonts w:hint="eastAsia" w:ascii="宋体" w:hAnsi="宋体" w:eastAsia="宋体"/>
          <w:b/>
          <w:bCs/>
        </w:rPr>
      </w:pPr>
      <w:r>
        <w:rPr>
          <w:rFonts w:hint="eastAsia" w:ascii="宋体" w:hAnsi="宋体" w:eastAsia="宋体"/>
          <w:b/>
          <w:bCs/>
        </w:rPr>
        <w:t>项目概况：</w:t>
      </w:r>
    </w:p>
    <w:p>
      <w:pPr>
        <w:numPr>
          <w:ilvl w:val="0"/>
          <w:numId w:val="2"/>
        </w:numPr>
        <w:rPr>
          <w:rFonts w:hint="eastAsia" w:ascii="宋体" w:hAnsi="宋体" w:eastAsia="宋体"/>
        </w:rPr>
      </w:pPr>
      <w:r>
        <w:rPr>
          <w:rFonts w:hint="eastAsia" w:ascii="宋体" w:hAnsi="宋体" w:eastAsia="宋体"/>
        </w:rPr>
        <w:t>建设地点：</w:t>
      </w:r>
      <w:r>
        <w:rPr>
          <w:rFonts w:hint="eastAsia" w:ascii="宋体" w:hAnsi="宋体" w:eastAsia="宋体"/>
          <w:u w:val="single"/>
        </w:rPr>
        <w:t>广州市白云区螺涌村、松南村、松北村城中村改造项目实施范围内</w:t>
      </w:r>
    </w:p>
    <w:p>
      <w:pPr>
        <w:numPr>
          <w:ilvl w:val="0"/>
          <w:numId w:val="2"/>
        </w:numPr>
        <w:rPr>
          <w:rFonts w:hint="eastAsia" w:ascii="宋体" w:hAnsi="宋体" w:eastAsia="宋体"/>
        </w:rPr>
      </w:pPr>
      <w:r>
        <w:rPr>
          <w:rFonts w:hint="eastAsia" w:ascii="宋体" w:hAnsi="宋体" w:eastAsia="宋体"/>
        </w:rPr>
        <w:t>建设规模及投资：</w:t>
      </w:r>
      <w:bookmarkStart w:id="0" w:name="OLE_LINK9"/>
    </w:p>
    <w:p>
      <w:pPr>
        <w:pStyle w:val="32"/>
        <w:numPr>
          <w:ilvl w:val="0"/>
          <w:numId w:val="3"/>
        </w:numPr>
        <w:rPr>
          <w:rFonts w:hint="eastAsia" w:ascii="宋体" w:hAnsi="宋体" w:eastAsia="宋体"/>
        </w:rPr>
      </w:pPr>
      <w:bookmarkStart w:id="1" w:name="OLE_LINK5"/>
      <w:r>
        <w:rPr>
          <w:rFonts w:hint="eastAsia" w:ascii="宋体" w:hAnsi="宋体" w:eastAsia="宋体"/>
        </w:rPr>
        <w:t>AB380</w:t>
      </w:r>
      <w:bookmarkStart w:id="2" w:name="OLE_LINK12"/>
      <w:r>
        <w:rPr>
          <w:rFonts w:hint="eastAsia" w:ascii="宋体" w:hAnsi="宋体" w:eastAsia="宋体"/>
        </w:rPr>
        <w:t>2042安置</w:t>
      </w:r>
      <w:bookmarkEnd w:id="2"/>
      <w:r>
        <w:rPr>
          <w:rFonts w:hint="eastAsia" w:ascii="宋体" w:hAnsi="宋体" w:eastAsia="宋体"/>
        </w:rPr>
        <w:t>地块项目</w:t>
      </w:r>
      <w:bookmarkEnd w:id="0"/>
      <w:r>
        <w:rPr>
          <w:rFonts w:hint="eastAsia" w:ascii="宋体" w:hAnsi="宋体" w:eastAsia="宋体"/>
        </w:rPr>
        <w:t>配建市政道路包括：</w:t>
      </w:r>
      <w:bookmarkStart w:id="3" w:name="OLE_LINK14"/>
      <w:bookmarkStart w:id="4" w:name="OLE_LINK4"/>
      <w:r>
        <w:rPr>
          <w:rFonts w:hint="eastAsia" w:ascii="宋体" w:hAnsi="宋体" w:eastAsia="宋体"/>
          <w:u w:val="single"/>
        </w:rPr>
        <w:t>①规划八路中段：道路长度为231米，道路宽度为15米，道路面积约为3465平方米，道路等级为支路，工程费约为968.13万元；</w:t>
      </w:r>
      <w:bookmarkEnd w:id="3"/>
      <w:r>
        <w:rPr>
          <w:rFonts w:hint="eastAsia" w:ascii="宋体" w:hAnsi="宋体" w:eastAsia="宋体"/>
          <w:u w:val="single"/>
        </w:rPr>
        <w:t>②规划八路东段：道路长度为80米，道路宽度为15米，道路面积约为1200平方米，</w:t>
      </w:r>
      <w:bookmarkStart w:id="5" w:name="OLE_LINK2"/>
      <w:r>
        <w:rPr>
          <w:rFonts w:hint="eastAsia" w:ascii="宋体" w:hAnsi="宋体" w:eastAsia="宋体"/>
          <w:u w:val="single"/>
        </w:rPr>
        <w:t>道路等级为支路，</w:t>
      </w:r>
      <w:bookmarkEnd w:id="5"/>
      <w:r>
        <w:rPr>
          <w:rFonts w:hint="eastAsia" w:ascii="宋体" w:hAnsi="宋体" w:eastAsia="宋体"/>
          <w:u w:val="single"/>
        </w:rPr>
        <w:t>工程费约为335.28万元；③规划九路A段：道路长度为155米，道路宽度为15米，道路面积约为2325平方米</w:t>
      </w:r>
      <w:bookmarkStart w:id="6" w:name="OLE_LINK19"/>
      <w:r>
        <w:rPr>
          <w:rFonts w:hint="eastAsia" w:ascii="宋体" w:hAnsi="宋体" w:eastAsia="宋体"/>
          <w:u w:val="single"/>
        </w:rPr>
        <w:t>，</w:t>
      </w:r>
      <w:bookmarkEnd w:id="6"/>
      <w:r>
        <w:rPr>
          <w:rFonts w:hint="eastAsia" w:ascii="宋体" w:hAnsi="宋体" w:eastAsia="宋体"/>
          <w:u w:val="single"/>
        </w:rPr>
        <w:t>道路等级为支路，</w:t>
      </w:r>
      <w:bookmarkEnd w:id="4"/>
      <w:r>
        <w:rPr>
          <w:rFonts w:hint="eastAsia" w:ascii="宋体" w:hAnsi="宋体" w:eastAsia="宋体"/>
          <w:u w:val="single"/>
        </w:rPr>
        <w:t>工程费约为649.62万元。（以上最终建设规模以建筑工程设计方案审查批复为准）。</w:t>
      </w:r>
    </w:p>
    <w:bookmarkEnd w:id="1"/>
    <w:p>
      <w:pPr>
        <w:pStyle w:val="32"/>
        <w:numPr>
          <w:ilvl w:val="0"/>
          <w:numId w:val="3"/>
        </w:numPr>
        <w:rPr>
          <w:rFonts w:hint="eastAsia" w:ascii="宋体" w:hAnsi="宋体" w:eastAsia="宋体"/>
        </w:rPr>
      </w:pPr>
      <w:r>
        <w:rPr>
          <w:rFonts w:hint="eastAsia" w:ascii="宋体" w:hAnsi="宋体" w:eastAsia="宋体"/>
        </w:rPr>
        <w:t>AB3802044安置地块项目配建市政道路包括：</w:t>
      </w:r>
      <w:bookmarkStart w:id="7" w:name="_Hlk208851451"/>
      <w:r>
        <w:rPr>
          <w:rFonts w:hint="eastAsia" w:ascii="宋体" w:hAnsi="宋体" w:eastAsia="宋体"/>
          <w:u w:val="single"/>
        </w:rPr>
        <w:t>①规划八路西段：道路长度为234米，道路宽度为15米，道路面积约为3510平方米，道路等级为支路，工程费约为2141.85万元；②规划一路：道路长度为577米，道路宽度为15-30m米，道路面积约为13489平方米，道路等级为支路，工程费约为3823.50万元；③规划三路：</w:t>
      </w:r>
      <w:bookmarkStart w:id="8" w:name="OLE_LINK20"/>
      <w:r>
        <w:rPr>
          <w:rFonts w:hint="eastAsia" w:ascii="宋体" w:hAnsi="宋体" w:eastAsia="宋体"/>
          <w:u w:val="single"/>
        </w:rPr>
        <w:t>道路长度为409米，道路宽度为15米，道路面积约为6135平方米，道路等级为支路，工程费约为1779.74万元</w:t>
      </w:r>
      <w:bookmarkEnd w:id="8"/>
      <w:r>
        <w:rPr>
          <w:rFonts w:hint="eastAsia" w:ascii="宋体" w:hAnsi="宋体" w:eastAsia="宋体"/>
          <w:u w:val="single"/>
        </w:rPr>
        <w:t>；④规划十八路西段：道路长度为115米，道路宽度为30米，道路面积约为3450平方米，道路等级为次干路，工程费约为1059.71万元。</w:t>
      </w:r>
      <w:bookmarkEnd w:id="7"/>
      <w:r>
        <w:rPr>
          <w:rFonts w:hint="eastAsia" w:ascii="宋体" w:hAnsi="宋体" w:eastAsia="宋体"/>
          <w:u w:val="single"/>
        </w:rPr>
        <w:t>（以上最终建设规模以建筑工程设计方案审查批复为准）。</w:t>
      </w:r>
    </w:p>
    <w:p>
      <w:pPr>
        <w:pStyle w:val="32"/>
        <w:numPr>
          <w:ilvl w:val="0"/>
          <w:numId w:val="3"/>
        </w:numPr>
        <w:rPr>
          <w:rFonts w:hint="eastAsia" w:ascii="宋体" w:hAnsi="宋体" w:eastAsia="宋体"/>
        </w:rPr>
      </w:pPr>
      <w:r>
        <w:rPr>
          <w:rFonts w:hint="eastAsia" w:ascii="宋体" w:hAnsi="宋体" w:eastAsia="宋体"/>
        </w:rPr>
        <w:t>AB3802027安置地块项目配建市政道路包括：</w:t>
      </w:r>
      <w:bookmarkStart w:id="9" w:name="_Hlk208908475"/>
      <w:r>
        <w:rPr>
          <w:rFonts w:hint="eastAsia" w:ascii="宋体" w:hAnsi="宋体" w:eastAsia="宋体"/>
          <w:u w:val="single"/>
        </w:rPr>
        <w:t>①石井河西侧路B段：道路长度为592米，道路宽度为40米，道路面积约为23680平方米，道路等级为次干路，工程费约为6455.17万元；②同康路西延线：道路长度为515米，道路宽度为40米，道路面积约为15650平方米，道路等级为次干路，工程费约为4689.92万元；③华糖内环环形匝道：道路长度为180米，道路面积约为6115平方米，道路等级为匝道，工程费约为1632.71万元。</w:t>
      </w:r>
      <w:bookmarkEnd w:id="9"/>
      <w:r>
        <w:rPr>
          <w:rFonts w:hint="eastAsia" w:ascii="宋体" w:hAnsi="宋体" w:eastAsia="宋体"/>
          <w:u w:val="single"/>
        </w:rPr>
        <w:t>（以上最终建设规模以建筑工程设计方案审查批复为准）。</w:t>
      </w:r>
    </w:p>
    <w:p>
      <w:pPr>
        <w:pStyle w:val="32"/>
        <w:numPr>
          <w:ilvl w:val="0"/>
          <w:numId w:val="3"/>
        </w:numPr>
        <w:rPr>
          <w:rFonts w:hint="eastAsia" w:ascii="宋体" w:hAnsi="宋体" w:eastAsia="宋体"/>
        </w:rPr>
      </w:pPr>
      <w:r>
        <w:rPr>
          <w:rFonts w:hint="eastAsia" w:ascii="宋体" w:hAnsi="宋体" w:eastAsia="宋体"/>
        </w:rPr>
        <w:t>AB3806001安置地块项目配建市政道路包括：</w:t>
      </w:r>
      <w:bookmarkStart w:id="10" w:name="_Hlk208912037"/>
      <w:r>
        <w:rPr>
          <w:rFonts w:hint="eastAsia" w:ascii="宋体" w:hAnsi="宋体" w:eastAsia="宋体"/>
          <w:u w:val="single"/>
        </w:rPr>
        <w:t>①</w:t>
      </w:r>
      <w:bookmarkStart w:id="11" w:name="OLE_LINK6"/>
      <w:r>
        <w:rPr>
          <w:rFonts w:hint="eastAsia" w:ascii="宋体" w:hAnsi="宋体" w:eastAsia="宋体"/>
          <w:u w:val="single"/>
        </w:rPr>
        <w:t>规划九路B段</w:t>
      </w:r>
      <w:bookmarkEnd w:id="11"/>
      <w:r>
        <w:rPr>
          <w:rFonts w:hint="eastAsia" w:ascii="宋体" w:hAnsi="宋体" w:eastAsia="宋体"/>
          <w:u w:val="single"/>
        </w:rPr>
        <w:t>：道路长度为147米，道路宽度为15米，道路面积约为2205平方米，道路等级为支路，工程费约为</w:t>
      </w:r>
      <w:bookmarkStart w:id="12" w:name="OLE_LINK7"/>
      <w:r>
        <w:rPr>
          <w:rFonts w:hint="eastAsia" w:ascii="宋体" w:hAnsi="宋体" w:eastAsia="宋体"/>
          <w:u w:val="single"/>
        </w:rPr>
        <w:t>932.14</w:t>
      </w:r>
      <w:bookmarkEnd w:id="12"/>
      <w:r>
        <w:rPr>
          <w:rFonts w:hint="eastAsia" w:ascii="宋体" w:hAnsi="宋体" w:eastAsia="宋体"/>
          <w:u w:val="single"/>
        </w:rPr>
        <w:t>万元；②规划九路C段：道路长度为499米，道路宽度为15米，道路面积约为7485平方米，道路等级为支路，工程费约为3655.85万元；</w:t>
      </w:r>
      <w:bookmarkStart w:id="13" w:name="OLE_LINK21"/>
      <w:r>
        <w:rPr>
          <w:rFonts w:hint="eastAsia" w:ascii="宋体" w:hAnsi="宋体" w:eastAsia="宋体"/>
          <w:u w:val="single"/>
        </w:rPr>
        <w:t>③规划十七路：道路长度为306米，道路宽度为15米，道路面积约为4590平方米，道路等级为支路，工程费约为1293.46万元</w:t>
      </w:r>
      <w:bookmarkEnd w:id="13"/>
      <w:r>
        <w:rPr>
          <w:rFonts w:hint="eastAsia" w:ascii="宋体" w:hAnsi="宋体" w:eastAsia="宋体"/>
          <w:u w:val="single"/>
        </w:rPr>
        <w:t>；④</w:t>
      </w:r>
      <w:bookmarkStart w:id="14" w:name="OLE_LINK8"/>
      <w:r>
        <w:rPr>
          <w:rFonts w:hint="eastAsia" w:ascii="宋体" w:hAnsi="宋体" w:eastAsia="宋体"/>
          <w:u w:val="single"/>
        </w:rPr>
        <w:t>规划十八路</w:t>
      </w:r>
      <w:bookmarkEnd w:id="14"/>
      <w:r>
        <w:rPr>
          <w:rFonts w:hint="eastAsia" w:ascii="宋体" w:hAnsi="宋体" w:eastAsia="宋体"/>
          <w:u w:val="single"/>
        </w:rPr>
        <w:t>东段：道路长度为384米，道路宽度为30米，道路面积约为11520平方米，道路等级为次干路，工程费约为3497.74万元</w:t>
      </w:r>
      <w:bookmarkEnd w:id="10"/>
      <w:r>
        <w:rPr>
          <w:rFonts w:hint="eastAsia" w:ascii="宋体" w:hAnsi="宋体" w:eastAsia="宋体"/>
          <w:u w:val="single"/>
        </w:rPr>
        <w:t>。（以上最终建设规模以建筑工程设计方案审查批复为准）。</w:t>
      </w:r>
    </w:p>
    <w:p>
      <w:pPr>
        <w:rPr>
          <w:rFonts w:hint="eastAsia" w:ascii="宋体" w:hAnsi="宋体" w:eastAsia="宋体"/>
          <w:color w:val="EE0000"/>
        </w:rPr>
      </w:pPr>
    </w:p>
    <w:p>
      <w:pPr>
        <w:jc w:val="center"/>
        <w:rPr>
          <w:rFonts w:hint="eastAsia" w:ascii="宋体" w:hAnsi="宋体" w:eastAsia="宋体"/>
          <w:color w:val="EE0000"/>
        </w:rPr>
      </w:pPr>
      <w:r>
        <w:rPr>
          <w:rFonts w:ascii="宋体" w:hAnsi="宋体" w:eastAsia="宋体"/>
          <w:color w:val="EE0000"/>
        </w:rPr>
        <w:drawing>
          <wp:inline distT="0" distB="0" distL="0" distR="0">
            <wp:extent cx="3781425" cy="5160010"/>
            <wp:effectExtent l="0" t="0" r="0" b="2540"/>
            <wp:docPr id="9958252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2526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88345" cy="5169864"/>
                    </a:xfrm>
                    <a:prstGeom prst="rect">
                      <a:avLst/>
                    </a:prstGeom>
                    <a:noFill/>
                    <a:ln>
                      <a:noFill/>
                    </a:ln>
                  </pic:spPr>
                </pic:pic>
              </a:graphicData>
            </a:graphic>
          </wp:inline>
        </w:drawing>
      </w:r>
    </w:p>
    <w:p>
      <w:pPr>
        <w:pStyle w:val="32"/>
        <w:rPr>
          <w:rFonts w:hint="eastAsia" w:ascii="宋体" w:hAnsi="宋体" w:eastAsia="宋体"/>
        </w:rPr>
      </w:pPr>
    </w:p>
    <w:p>
      <w:pPr>
        <w:pStyle w:val="32"/>
        <w:jc w:val="center"/>
        <w:rPr>
          <w:rFonts w:hint="eastAsia" w:ascii="宋体" w:hAnsi="宋体" w:eastAsia="宋体"/>
        </w:rPr>
      </w:pPr>
      <w:bookmarkStart w:id="15" w:name="OLE_LINK3"/>
      <w:r>
        <w:rPr>
          <w:rFonts w:hint="eastAsia" w:ascii="宋体" w:hAnsi="宋体" w:eastAsia="宋体"/>
        </w:rPr>
        <w:t>配套市政道路建设范围示意图</w:t>
      </w:r>
    </w:p>
    <w:bookmarkEnd w:id="15"/>
    <w:p>
      <w:pPr>
        <w:numPr>
          <w:ilvl w:val="0"/>
          <w:numId w:val="1"/>
        </w:numPr>
        <w:rPr>
          <w:rFonts w:hint="eastAsia" w:ascii="宋体" w:hAnsi="宋体" w:eastAsia="宋体"/>
          <w:b/>
          <w:bCs/>
        </w:rPr>
      </w:pPr>
      <w:r>
        <w:rPr>
          <w:rFonts w:hint="eastAsia" w:ascii="宋体" w:hAnsi="宋体" w:eastAsia="宋体"/>
          <w:b/>
          <w:bCs/>
        </w:rPr>
        <w:t>服务内容：</w:t>
      </w:r>
    </w:p>
    <w:p>
      <w:pPr>
        <w:ind w:firstLine="440" w:firstLineChars="200"/>
        <w:rPr>
          <w:rFonts w:hint="eastAsia" w:ascii="宋体" w:hAnsi="宋体" w:eastAsia="宋体"/>
        </w:rPr>
      </w:pPr>
      <w:bookmarkStart w:id="16" w:name="_Hlk165323266"/>
      <w:r>
        <w:rPr>
          <w:rFonts w:hint="eastAsia" w:ascii="宋体" w:hAnsi="宋体" w:eastAsia="宋体"/>
        </w:rPr>
        <w:t>全过程造价咨询服务，包括但不限于以下内容：本项目的工程范围所述的一切工程从编制概预算、招标清单、标底、预审、付款、审核变更签证及索赔、竣工结算及保修阶段尾款支付工作、项目后评估等全面全过程造价咨询服务；具体可分为以下阶段服务内容：前期阶段和设计阶段造价咨询、项目招标阶段和施工图预算阶段造价咨询、施工阶段造价咨询、项目竣工结算阶段造价咨询、项目决算阶段造价咨询及委托人要求的本工程其他全过程投资控制服务事项等。</w:t>
      </w:r>
    </w:p>
    <w:bookmarkEnd w:id="16"/>
    <w:tbl>
      <w:tblPr>
        <w:tblStyle w:val="17"/>
        <w:tblW w:w="882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337"/>
        <w:gridCol w:w="672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序号</w:t>
            </w:r>
          </w:p>
        </w:tc>
        <w:tc>
          <w:tcPr>
            <w:tcW w:w="133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阶段</w:t>
            </w:r>
          </w:p>
        </w:tc>
        <w:tc>
          <w:tcPr>
            <w:tcW w:w="6728"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工作内容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1</w:t>
            </w:r>
          </w:p>
        </w:tc>
        <w:tc>
          <w:tcPr>
            <w:tcW w:w="133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前期阶段和设计阶段</w:t>
            </w:r>
          </w:p>
        </w:tc>
        <w:tc>
          <w:tcPr>
            <w:tcW w:w="6728"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（1）根据委托人提供的资料审核初步设计概算，给出专业意见及合理化建议。</w:t>
            </w:r>
          </w:p>
          <w:p>
            <w:pPr>
              <w:rPr>
                <w:rFonts w:hint="eastAsia" w:ascii="宋体" w:hAnsi="宋体" w:eastAsia="宋体"/>
              </w:rPr>
            </w:pPr>
            <w:r>
              <w:rPr>
                <w:rFonts w:hint="eastAsia" w:ascii="宋体" w:hAnsi="宋体" w:eastAsia="宋体"/>
              </w:rPr>
              <w:t>（2）负责对设计中采用的主材、设备等提供市场信息，进行方案比较，提出优化建议。</w:t>
            </w:r>
          </w:p>
          <w:p>
            <w:pPr>
              <w:rPr>
                <w:rFonts w:hint="eastAsia" w:ascii="宋体" w:hAnsi="宋体" w:eastAsia="宋体"/>
              </w:rPr>
            </w:pPr>
            <w:r>
              <w:rPr>
                <w:rFonts w:hint="eastAsia" w:ascii="宋体" w:hAnsi="宋体" w:eastAsia="宋体"/>
              </w:rPr>
              <w:t>（3）负责参加概算评审会议、设计方案论证会议、工程图纸会审、变更论证等专题会，提出造价专业意见。</w:t>
            </w:r>
          </w:p>
          <w:p>
            <w:pPr>
              <w:rPr>
                <w:rFonts w:hint="eastAsia" w:ascii="宋体" w:hAnsi="宋体" w:eastAsia="宋体"/>
              </w:rPr>
            </w:pPr>
            <w:r>
              <w:rPr>
                <w:rFonts w:hint="eastAsia" w:ascii="宋体" w:hAnsi="宋体" w:eastAsia="宋体"/>
              </w:rPr>
              <w:t>（4）根据确定的设计方案编（审）详细的工程成本预测和资金流量预测分析，以作为进度和成本控制的目标；随设计的深入定期分析修正工程成本和资金流量预测。</w:t>
            </w:r>
          </w:p>
          <w:p>
            <w:pPr>
              <w:rPr>
                <w:rFonts w:hint="eastAsia" w:ascii="宋体" w:hAnsi="宋体" w:eastAsia="宋体"/>
              </w:rPr>
            </w:pPr>
            <w:r>
              <w:rPr>
                <w:rFonts w:hint="eastAsia" w:ascii="宋体" w:hAnsi="宋体" w:eastAsia="宋体"/>
              </w:rPr>
              <w:t>（5）负责按委托人要求编（审）各类造价管理文件。</w:t>
            </w:r>
          </w:p>
          <w:p>
            <w:pPr>
              <w:rPr>
                <w:rFonts w:hint="eastAsia" w:ascii="宋体" w:hAnsi="宋体" w:eastAsia="宋体"/>
              </w:rPr>
            </w:pPr>
            <w:r>
              <w:rPr>
                <w:rFonts w:hint="eastAsia" w:ascii="宋体" w:hAnsi="宋体" w:eastAsia="宋体"/>
              </w:rPr>
              <w:t>（6）负责为BIM信息模型提供造价信息数据。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2</w:t>
            </w:r>
          </w:p>
        </w:tc>
        <w:tc>
          <w:tcPr>
            <w:tcW w:w="133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招标阶段和施工图预算阶段</w:t>
            </w:r>
          </w:p>
        </w:tc>
        <w:tc>
          <w:tcPr>
            <w:tcW w:w="6728"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（1）负责按委托人要求编制招标工程量清单及招标控制价；负责进行市场调查、询价，在委托人指定地点进行工程量、定额、主材的对数等。</w:t>
            </w:r>
          </w:p>
          <w:p>
            <w:pPr>
              <w:rPr>
                <w:rFonts w:hint="eastAsia" w:ascii="宋体" w:hAnsi="宋体" w:eastAsia="宋体"/>
              </w:rPr>
            </w:pPr>
            <w:r>
              <w:rPr>
                <w:rFonts w:hint="eastAsia" w:ascii="宋体" w:hAnsi="宋体" w:eastAsia="宋体"/>
              </w:rPr>
              <w:t>（2）负责根据设计单位的图纸及技术规范、用户需求书，编制设备、材料询价或采购清单。</w:t>
            </w:r>
          </w:p>
          <w:p>
            <w:pPr>
              <w:rPr>
                <w:rFonts w:hint="eastAsia" w:ascii="宋体" w:hAnsi="宋体" w:eastAsia="宋体"/>
              </w:rPr>
            </w:pPr>
            <w:r>
              <w:rPr>
                <w:rFonts w:hint="eastAsia" w:ascii="宋体" w:hAnsi="宋体" w:eastAsia="宋体"/>
              </w:rPr>
              <w:t>（3）负责答疑阶段造价问题的解答。按广州市建设工程造价管理站招标控制价备案要求提供造价文件（含编制说明、招标控制价公布函、招标控制价软件版、EXCEL版、XML版、指标分析表等），负责对投标人提出的工程量清单问题进行回复，并会同招标代理完成招标控制价备案工作。</w:t>
            </w:r>
          </w:p>
          <w:p>
            <w:pPr>
              <w:rPr>
                <w:rFonts w:hint="eastAsia" w:ascii="宋体" w:hAnsi="宋体" w:eastAsia="宋体"/>
              </w:rPr>
            </w:pPr>
            <w:r>
              <w:rPr>
                <w:rFonts w:hint="eastAsia" w:ascii="宋体" w:hAnsi="宋体" w:eastAsia="宋体"/>
              </w:rPr>
              <w:t>（4）负责对中标人的经济标文件或报价书等进行分析和汇总，提出造价控制建议，并形成清标报告。</w:t>
            </w:r>
          </w:p>
          <w:p>
            <w:pPr>
              <w:rPr>
                <w:rFonts w:hint="eastAsia" w:ascii="宋体" w:hAnsi="宋体" w:eastAsia="宋体"/>
              </w:rPr>
            </w:pPr>
            <w:r>
              <w:rPr>
                <w:rFonts w:hint="eastAsia" w:ascii="宋体" w:hAnsi="宋体" w:eastAsia="宋体"/>
              </w:rPr>
              <w:t>（5）负责对合同方式和可能的风险因素及解决办法等提出合理化建议，以供委托人参考。</w:t>
            </w:r>
          </w:p>
          <w:p>
            <w:pPr>
              <w:rPr>
                <w:rFonts w:hint="eastAsia" w:ascii="宋体" w:hAnsi="宋体" w:eastAsia="宋体"/>
              </w:rPr>
            </w:pPr>
            <w:r>
              <w:rPr>
                <w:rFonts w:hint="eastAsia" w:ascii="宋体" w:hAnsi="宋体" w:eastAsia="宋体"/>
              </w:rPr>
              <w:t>（6）负责编制和审核施工图预算（含设计图纸修改后调整相应预算）并与承包商完成对数，按委托人要求提交审核报告，协助完成项目补充合同的签订工作。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3</w:t>
            </w:r>
          </w:p>
        </w:tc>
        <w:tc>
          <w:tcPr>
            <w:tcW w:w="133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bookmarkStart w:id="17" w:name="OLE_LINK16"/>
            <w:r>
              <w:rPr>
                <w:rFonts w:hint="eastAsia" w:ascii="宋体" w:hAnsi="宋体" w:eastAsia="宋体"/>
              </w:rPr>
              <w:t>施工阶段</w:t>
            </w:r>
            <w:bookmarkEnd w:id="17"/>
          </w:p>
        </w:tc>
        <w:tc>
          <w:tcPr>
            <w:tcW w:w="6728"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（1）负责主材单价、综合单价、变更签证和合同变更等费用的编制或审核；检测监测等工程其他费用编制或审核；图纸设计变更会签、材料设备看样定板会签。</w:t>
            </w:r>
          </w:p>
          <w:p>
            <w:pPr>
              <w:rPr>
                <w:rFonts w:hint="eastAsia" w:ascii="宋体" w:hAnsi="宋体" w:eastAsia="宋体"/>
              </w:rPr>
            </w:pPr>
            <w:r>
              <w:rPr>
                <w:rFonts w:hint="eastAsia" w:ascii="宋体" w:hAnsi="宋体" w:eastAsia="宋体"/>
              </w:rPr>
              <w:t>（2）负责施工过程造价控制（含编制方案及实施计划），审核工程量与进度款，向委托人发出付款建议（避免超付），由委托人审定后付款。</w:t>
            </w:r>
          </w:p>
          <w:p>
            <w:pPr>
              <w:rPr>
                <w:rFonts w:hint="eastAsia" w:ascii="宋体" w:hAnsi="宋体" w:eastAsia="宋体"/>
              </w:rPr>
            </w:pPr>
            <w:r>
              <w:rPr>
                <w:rFonts w:hint="eastAsia" w:ascii="宋体" w:hAnsi="宋体" w:eastAsia="宋体"/>
              </w:rPr>
              <w:t>（3）制定项目总体投资资金计划，对每月实际投资和计划投资作分析比较，分析差异的原因。</w:t>
            </w:r>
          </w:p>
          <w:p>
            <w:pPr>
              <w:rPr>
                <w:rFonts w:hint="eastAsia" w:ascii="宋体" w:hAnsi="宋体" w:eastAsia="宋体"/>
              </w:rPr>
            </w:pPr>
            <w:r>
              <w:rPr>
                <w:rFonts w:hint="eastAsia" w:ascii="宋体" w:hAnsi="宋体" w:eastAsia="宋体"/>
              </w:rPr>
              <w:t>（4）负责建立合同台账、支付台账、变更台账（按变更原因分类）、签证台账、动态投资台账。</w:t>
            </w:r>
          </w:p>
          <w:p>
            <w:pPr>
              <w:rPr>
                <w:rFonts w:hint="eastAsia" w:ascii="宋体" w:hAnsi="宋体" w:eastAsia="宋体"/>
              </w:rPr>
            </w:pPr>
            <w:r>
              <w:rPr>
                <w:rFonts w:hint="eastAsia" w:ascii="宋体" w:hAnsi="宋体" w:eastAsia="宋体"/>
              </w:rPr>
              <w:t>（5）负责定期召开造价控制会议，负责每月底提交投资控制报告，含项目整体结算价预估分析、动态成本（须与目标成本对比分析偏差原因及解决方案建议）等。</w:t>
            </w:r>
          </w:p>
          <w:p>
            <w:pPr>
              <w:rPr>
                <w:rFonts w:hint="eastAsia" w:ascii="宋体" w:hAnsi="宋体" w:eastAsia="宋体"/>
              </w:rPr>
            </w:pPr>
            <w:bookmarkStart w:id="18" w:name="OLE_LINK22"/>
            <w:r>
              <w:rPr>
                <w:rFonts w:hint="eastAsia" w:ascii="宋体" w:hAnsi="宋体" w:eastAsia="宋体"/>
              </w:rPr>
              <w:t>（6）负责参加施工过程中涉及造价相关的各类会议，提出造价专业意见。</w:t>
            </w:r>
            <w:bookmarkEnd w:id="18"/>
          </w:p>
          <w:p>
            <w:pPr>
              <w:rPr>
                <w:rFonts w:hint="eastAsia" w:ascii="宋体" w:hAnsi="宋体" w:eastAsia="宋体"/>
              </w:rPr>
            </w:pPr>
            <w:r>
              <w:rPr>
                <w:rFonts w:hint="eastAsia" w:ascii="宋体" w:hAnsi="宋体" w:eastAsia="宋体"/>
              </w:rPr>
              <w:t xml:space="preserve">  （7）负责定期收集和整理有关设备材料的市场价格动态信息，对施工方案、材料选用提供成本控制建议。每月底提交人工机械主材设备价格造价影响分析。</w:t>
            </w:r>
          </w:p>
          <w:p>
            <w:pPr>
              <w:rPr>
                <w:rFonts w:hint="eastAsia" w:ascii="宋体" w:hAnsi="宋体" w:eastAsia="宋体"/>
              </w:rPr>
            </w:pPr>
            <w:r>
              <w:rPr>
                <w:rFonts w:hint="eastAsia" w:ascii="宋体" w:hAnsi="宋体" w:eastAsia="宋体"/>
              </w:rPr>
              <w:t>（8）负责协助第三方的合同索赔处理，参加合同变更谈判、处理合同变更，维护委托人的合法权益。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4</w:t>
            </w:r>
          </w:p>
        </w:tc>
        <w:tc>
          <w:tcPr>
            <w:tcW w:w="133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结（决）算阶段</w:t>
            </w:r>
          </w:p>
        </w:tc>
        <w:tc>
          <w:tcPr>
            <w:tcW w:w="6728" w:type="dxa"/>
            <w:tcBorders>
              <w:top w:val="single" w:color="000000" w:sz="4" w:space="0"/>
              <w:left w:val="single" w:color="000000" w:sz="4" w:space="0"/>
              <w:bottom w:val="single" w:color="000000" w:sz="4" w:space="0"/>
              <w:right w:val="single" w:color="000000" w:sz="4" w:space="0"/>
            </w:tcBorders>
            <w:shd w:val="solid" w:color="FFFFFF" w:fill="auto"/>
            <w:vAlign w:val="center"/>
          </w:tcPr>
          <w:p>
            <w:pPr>
              <w:numPr>
                <w:ilvl w:val="0"/>
                <w:numId w:val="4"/>
              </w:numPr>
              <w:ind w:firstLine="220" w:firstLineChars="100"/>
              <w:rPr>
                <w:rFonts w:hint="eastAsia" w:ascii="宋体" w:hAnsi="宋体" w:eastAsia="宋体"/>
              </w:rPr>
            </w:pPr>
            <w:r>
              <w:rPr>
                <w:rFonts w:hint="eastAsia" w:ascii="宋体" w:hAnsi="宋体" w:eastAsia="宋体"/>
              </w:rPr>
              <w:t>负责编（审）结算计划，建立结算台账。</w:t>
            </w:r>
          </w:p>
          <w:p>
            <w:pPr>
              <w:numPr>
                <w:ilvl w:val="0"/>
                <w:numId w:val="4"/>
              </w:numPr>
              <w:ind w:firstLine="220" w:firstLineChars="100"/>
              <w:rPr>
                <w:rFonts w:hint="eastAsia" w:ascii="宋体" w:hAnsi="宋体" w:eastAsia="宋体"/>
              </w:rPr>
            </w:pPr>
            <w:r>
              <w:rPr>
                <w:rFonts w:hint="eastAsia" w:ascii="宋体" w:hAnsi="宋体" w:eastAsia="宋体"/>
              </w:rPr>
              <w:t>根据委托人的要求对施工图纸及竣工图纸进行核对。</w:t>
            </w:r>
          </w:p>
          <w:p>
            <w:pPr>
              <w:numPr>
                <w:ilvl w:val="0"/>
                <w:numId w:val="4"/>
              </w:numPr>
              <w:ind w:firstLine="220" w:firstLineChars="100"/>
              <w:rPr>
                <w:rFonts w:hint="eastAsia" w:ascii="宋体" w:hAnsi="宋体" w:eastAsia="宋体"/>
              </w:rPr>
            </w:pPr>
            <w:r>
              <w:rPr>
                <w:rFonts w:hint="eastAsia" w:ascii="宋体" w:hAnsi="宋体" w:eastAsia="宋体"/>
              </w:rPr>
              <w:t>竣工结算时，根据委托人的结算程序及相关规定审核总包、各分包工程及材料设备的竣工结算书并提供审核报告，审核报告的结果必须以委托人书面确认为准。</w:t>
            </w:r>
          </w:p>
          <w:p>
            <w:pPr>
              <w:numPr>
                <w:ilvl w:val="0"/>
                <w:numId w:val="4"/>
              </w:numPr>
              <w:ind w:firstLine="220" w:firstLineChars="100"/>
              <w:rPr>
                <w:rFonts w:hint="eastAsia" w:ascii="宋体" w:hAnsi="宋体" w:eastAsia="宋体"/>
              </w:rPr>
            </w:pPr>
            <w:r>
              <w:rPr>
                <w:rFonts w:hint="eastAsia" w:ascii="宋体" w:hAnsi="宋体" w:eastAsia="宋体"/>
              </w:rPr>
              <w:t>收集项目整体造价资料，配合委托人编（审）建安总成本分析，并与当地同类项目各类经济指标进行对比分析。</w:t>
            </w:r>
          </w:p>
          <w:p>
            <w:pPr>
              <w:rPr>
                <w:rFonts w:hint="eastAsia" w:ascii="宋体" w:hAnsi="宋体" w:eastAsia="宋体"/>
              </w:rPr>
            </w:pPr>
            <w:r>
              <w:rPr>
                <w:rFonts w:hint="eastAsia" w:ascii="宋体" w:hAnsi="宋体" w:eastAsia="宋体"/>
              </w:rPr>
              <w:t>（5）配合委托人决算工作。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5</w:t>
            </w:r>
          </w:p>
        </w:tc>
        <w:tc>
          <w:tcPr>
            <w:tcW w:w="1337"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其他</w:t>
            </w:r>
          </w:p>
        </w:tc>
        <w:tc>
          <w:tcPr>
            <w:tcW w:w="6728" w:type="dxa"/>
            <w:tcBorders>
              <w:top w:val="single" w:color="000000" w:sz="4" w:space="0"/>
              <w:left w:val="single" w:color="000000" w:sz="4" w:space="0"/>
              <w:bottom w:val="single" w:color="000000" w:sz="4" w:space="0"/>
              <w:right w:val="single" w:color="000000" w:sz="4" w:space="0"/>
            </w:tcBorders>
            <w:shd w:val="solid" w:color="FFFFFF" w:fill="auto"/>
            <w:vAlign w:val="center"/>
          </w:tcPr>
          <w:p>
            <w:pPr>
              <w:rPr>
                <w:rFonts w:hint="eastAsia" w:ascii="宋体" w:hAnsi="宋体" w:eastAsia="宋体"/>
              </w:rPr>
            </w:pPr>
            <w:r>
              <w:rPr>
                <w:rFonts w:hint="eastAsia" w:ascii="宋体" w:hAnsi="宋体" w:eastAsia="宋体"/>
              </w:rPr>
              <w:t>（1）负责按委托人要求编（审）各类造价管理文件。</w:t>
            </w:r>
          </w:p>
          <w:p>
            <w:pPr>
              <w:rPr>
                <w:rFonts w:hint="eastAsia" w:ascii="宋体" w:hAnsi="宋体" w:eastAsia="宋体"/>
              </w:rPr>
            </w:pPr>
            <w:r>
              <w:rPr>
                <w:rFonts w:hint="eastAsia" w:ascii="宋体" w:hAnsi="宋体" w:eastAsia="宋体"/>
              </w:rPr>
              <w:t>（2）负责非招标委托合同的价格审核。</w:t>
            </w:r>
          </w:p>
          <w:p>
            <w:pPr>
              <w:rPr>
                <w:rFonts w:hint="eastAsia" w:ascii="宋体" w:hAnsi="宋体" w:eastAsia="宋体"/>
              </w:rPr>
            </w:pPr>
            <w:r>
              <w:rPr>
                <w:rFonts w:hint="eastAsia" w:ascii="宋体" w:hAnsi="宋体" w:eastAsia="宋体"/>
              </w:rPr>
              <w:t>（3）参与设计方案论证会议、技术经济方案比选、变更论证等专题会，提出造价专业意见；督促落实各阶段、各专业工程造价限额设计量化指标。</w:t>
            </w:r>
          </w:p>
          <w:p>
            <w:pPr>
              <w:rPr>
                <w:rFonts w:hint="eastAsia" w:ascii="宋体" w:hAnsi="宋体" w:eastAsia="宋体"/>
              </w:rPr>
            </w:pPr>
            <w:r>
              <w:rPr>
                <w:rFonts w:hint="eastAsia" w:ascii="宋体" w:hAnsi="宋体" w:eastAsia="宋体"/>
              </w:rPr>
              <w:t>（4）负责组织相关造价控制评审会议，包括邀请相应的经济专家，视情况邀请高级经济顾问对造价问题进行咨询把关。</w:t>
            </w:r>
          </w:p>
          <w:p>
            <w:pPr>
              <w:rPr>
                <w:rFonts w:hint="eastAsia" w:ascii="宋体" w:hAnsi="宋体" w:eastAsia="宋体"/>
              </w:rPr>
            </w:pPr>
            <w:r>
              <w:rPr>
                <w:rFonts w:hint="eastAsia" w:ascii="宋体" w:hAnsi="宋体" w:eastAsia="宋体"/>
              </w:rPr>
              <w:t>（5）配合委托人编（审）详细的工程成本预测和资金流量预测分析，以作为进度和成本控制的目标；随设计的深入定期分析工程成本、定期修正资金流量预测。</w:t>
            </w:r>
          </w:p>
          <w:p>
            <w:pPr>
              <w:rPr>
                <w:rFonts w:hint="eastAsia" w:ascii="宋体" w:hAnsi="宋体" w:eastAsia="宋体"/>
              </w:rPr>
            </w:pPr>
            <w:r>
              <w:rPr>
                <w:rFonts w:hint="eastAsia" w:ascii="宋体" w:hAnsi="宋体" w:eastAsia="宋体"/>
              </w:rPr>
              <w:t>（6）配合委托人完成财政部门项目合同预算、结算评审工作。</w:t>
            </w:r>
          </w:p>
          <w:p>
            <w:pPr>
              <w:rPr>
                <w:rFonts w:hint="eastAsia" w:ascii="宋体" w:hAnsi="宋体" w:eastAsia="宋体"/>
              </w:rPr>
            </w:pPr>
            <w:r>
              <w:rPr>
                <w:rFonts w:hint="eastAsia" w:ascii="宋体" w:hAnsi="宋体" w:eastAsia="宋体"/>
              </w:rPr>
              <w:t>（7）委托人安排的其他造价管理工作。</w:t>
            </w:r>
          </w:p>
        </w:tc>
      </w:tr>
    </w:tbl>
    <w:p>
      <w:pPr>
        <w:adjustRightInd w:val="0"/>
        <w:spacing w:line="360" w:lineRule="auto"/>
        <w:rPr>
          <w:rFonts w:hint="eastAsia" w:ascii="宋体" w:hAnsi="宋体" w:eastAsia="宋体" w:cs="宋体"/>
          <w:b/>
          <w:bCs/>
          <w:sz w:val="24"/>
        </w:rPr>
      </w:pPr>
    </w:p>
    <w:p>
      <w:pPr>
        <w:adjustRightInd w:val="0"/>
        <w:spacing w:line="360" w:lineRule="auto"/>
        <w:rPr>
          <w:rFonts w:hint="eastAsia" w:ascii="宋体" w:hAnsi="宋体" w:eastAsia="宋体" w:cs="宋体"/>
          <w:b/>
          <w:bCs/>
          <w:sz w:val="24"/>
        </w:rPr>
      </w:pPr>
      <w:r>
        <w:rPr>
          <w:rFonts w:hint="eastAsia" w:ascii="宋体" w:hAnsi="宋体" w:eastAsia="宋体" w:cs="宋体"/>
          <w:b/>
          <w:bCs/>
          <w:sz w:val="24"/>
        </w:rPr>
        <w:t>三、服务要求</w:t>
      </w:r>
    </w:p>
    <w:p>
      <w:pPr>
        <w:adjustRightInd w:val="0"/>
        <w:spacing w:line="480" w:lineRule="exact"/>
        <w:rPr>
          <w:rFonts w:hint="eastAsia" w:ascii="宋体" w:hAnsi="宋体" w:eastAsia="宋体" w:cs="宋体"/>
          <w:b/>
          <w:bCs/>
          <w:sz w:val="24"/>
        </w:rPr>
      </w:pPr>
      <w:r>
        <w:rPr>
          <w:rFonts w:hint="eastAsia" w:ascii="宋体" w:hAnsi="宋体" w:eastAsia="宋体" w:cs="宋体"/>
          <w:b/>
          <w:bCs/>
          <w:sz w:val="24"/>
        </w:rPr>
        <w:t>（一）</w:t>
      </w:r>
      <w:bookmarkStart w:id="19" w:name="OLE_LINK1"/>
      <w:r>
        <w:rPr>
          <w:rFonts w:hint="eastAsia" w:ascii="宋体" w:hAnsi="宋体" w:eastAsia="宋体" w:cs="宋体"/>
          <w:b/>
          <w:bCs/>
          <w:sz w:val="24"/>
        </w:rPr>
        <w:t>服务期限</w:t>
      </w:r>
      <w:bookmarkEnd w:id="19"/>
    </w:p>
    <w:p>
      <w:pPr>
        <w:pStyle w:val="39"/>
        <w:spacing w:line="360" w:lineRule="auto"/>
        <w:ind w:left="59" w:leftChars="27" w:right="144" w:firstLine="516" w:firstLineChars="215"/>
        <w:jc w:val="left"/>
        <w:rPr>
          <w:rFonts w:hint="eastAsia" w:cs="宋体"/>
          <w:color w:val="auto"/>
          <w:szCs w:val="22"/>
        </w:rPr>
      </w:pPr>
      <w:bookmarkStart w:id="20" w:name="_Hlk165323819"/>
      <w:r>
        <w:rPr>
          <w:rFonts w:hint="eastAsia" w:cs="宋体"/>
          <w:color w:val="auto"/>
          <w:szCs w:val="22"/>
        </w:rPr>
        <w:t>服务期自本项目合同签订之日起至工程全部竣工结算完毕。</w:t>
      </w:r>
    </w:p>
    <w:p>
      <w:pPr>
        <w:adjustRightInd w:val="0"/>
        <w:spacing w:line="480" w:lineRule="exact"/>
        <w:rPr>
          <w:rFonts w:hint="eastAsia" w:ascii="宋体" w:hAnsi="宋体" w:eastAsia="宋体" w:cs="宋体"/>
          <w:b/>
          <w:bCs/>
          <w:sz w:val="24"/>
        </w:rPr>
      </w:pPr>
      <w:r>
        <w:rPr>
          <w:rFonts w:hint="eastAsia" w:ascii="宋体" w:hAnsi="宋体" w:eastAsia="宋体" w:cs="宋体"/>
          <w:b/>
          <w:bCs/>
          <w:sz w:val="24"/>
        </w:rPr>
        <w:t>（二）项目管理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咨询人必须针对本项目招标要求，制订具体详细的、可操作性强的项目管理方案，详细列明承诺投入本项目的各专业人员情况。</w:t>
      </w:r>
    </w:p>
    <w:bookmarkEnd w:id="20"/>
    <w:p>
      <w:pPr>
        <w:adjustRightInd w:val="0"/>
        <w:spacing w:line="480" w:lineRule="exact"/>
        <w:rPr>
          <w:rFonts w:hint="eastAsia" w:ascii="宋体" w:hAnsi="宋体" w:eastAsia="宋体" w:cs="宋体"/>
          <w:b/>
          <w:bCs/>
          <w:sz w:val="24"/>
        </w:rPr>
      </w:pPr>
      <w:r>
        <w:rPr>
          <w:rFonts w:hint="eastAsia" w:ascii="宋体" w:hAnsi="宋体" w:eastAsia="宋体" w:cs="宋体"/>
          <w:b/>
          <w:bCs/>
          <w:sz w:val="24"/>
        </w:rPr>
        <w:t>（三）质量要求</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投资控制</w:t>
      </w:r>
      <w:r>
        <w:rPr>
          <w:rFonts w:hint="eastAsia" w:ascii="宋体" w:hAnsi="宋体" w:eastAsia="宋体" w:cs="宋体"/>
          <w:sz w:val="24"/>
        </w:rPr>
        <w:t>目标</w:t>
      </w:r>
      <w:r>
        <w:rPr>
          <w:rFonts w:ascii="宋体" w:hAnsi="宋体" w:eastAsia="宋体" w:cs="宋体"/>
          <w:sz w:val="24"/>
        </w:rPr>
        <w:t>：项目建设实行全过程限额设计和施工。概算金额应低于项目立项批复的估算金额。在不降低勘察设计任务书、初步设计文件、材料设备技术需求书中的主要设计指标（建筑高度、建筑面积等）的前提下，确保施工图预算不</w:t>
      </w:r>
      <w:r>
        <w:rPr>
          <w:rFonts w:hint="eastAsia" w:ascii="宋体" w:hAnsi="宋体" w:eastAsia="宋体" w:cs="宋体"/>
          <w:sz w:val="24"/>
        </w:rPr>
        <w:t>超</w:t>
      </w:r>
      <w:r>
        <w:rPr>
          <w:rFonts w:ascii="宋体" w:hAnsi="宋体" w:eastAsia="宋体" w:cs="宋体"/>
          <w:sz w:val="24"/>
        </w:rPr>
        <w:t>概算中的建安工程费总额。</w:t>
      </w:r>
      <w:r>
        <w:rPr>
          <w:rFonts w:hint="eastAsia" w:ascii="宋体" w:hAnsi="宋体" w:eastAsia="宋体" w:cs="宋体"/>
          <w:sz w:val="24"/>
        </w:rPr>
        <w:t>咨询人</w:t>
      </w:r>
      <w:r>
        <w:rPr>
          <w:rFonts w:ascii="宋体" w:hAnsi="宋体" w:eastAsia="宋体" w:cs="宋体"/>
          <w:sz w:val="24"/>
        </w:rPr>
        <w:t>根据上述投资控制目标开展造价咨询服务各项工作。</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2．咨询人应熟悉并严格按照国家、省、市有关财政、基建、工程造价方面的法律、法规，以及委托人工程造价管理业务制度要求，依据相关合同约定，本着有依有据、合法合规的原则，科学、客观、公正地开展造价咨询工作，要合理体现委托人控制项目投资的要求。</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3． 咨询人应建立健全内部控制制度、质量保证体系和档案管理制度，保证工程造价咨询成果文件的质量，对其完整性、真实性、准确性、有效性负责，并负有保密责任。</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（1）造价成果文件必须文字表达清晰、装订整齐。</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2）造价成果文件应执行由专业造价师（造价员）编制、技术负责人审核、项目负责人审定的三级审查制度。工程造价咨询成果文件的编制人应具有注册造价工程师执业资格或造价员从业资格，工程造价咨询成果文件的审核人、审定人应具有注册造价工程师执业资格。工程造价咨询成果文件的编制人、审核人、审定人应在工程造价咨询的成果文件上签署执业(或从业)资格专用印章，最终的成果文件需经项目指挥长或法人代表签字并加盖公章。</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 xml:space="preserve">（3）编制人应甄别或质疑委托人提供的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 </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4）审核人应进一步审核委托人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5）审定人应再次审核委托人提供的书面资料的有效性、合规性，编制人使用工程计价基础资料和编制依据的全面性、真实性和有效性，并应依据工程经济指标进行工程造价的合理性分析，对工程造价咨询质量进行整体控制。</w:t>
      </w:r>
    </w:p>
    <w:p>
      <w:pPr>
        <w:pStyle w:val="15"/>
        <w:spacing w:before="0" w:beforeAutospacing="0" w:after="0" w:afterAutospacing="0" w:line="360" w:lineRule="auto"/>
        <w:jc w:val="both"/>
        <w:rPr>
          <w:rFonts w:hint="eastAsia"/>
          <w:kern w:val="2"/>
          <w:szCs w:val="22"/>
        </w:rPr>
      </w:pPr>
      <w:r>
        <w:rPr>
          <w:rFonts w:hint="eastAsia"/>
          <w:kern w:val="2"/>
          <w:szCs w:val="22"/>
        </w:rPr>
        <w:t>（6）咨询人应建立工程造价咨询项目档案（含书面原件、电子文档及软件文档），保证项目资料的完整，不得损坏、遗失项目资料。加强项目档案管理，及时做好已完项目的资料移交和归档工作。</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（7）加强信息系统管理，及时建立电子信息台账；保证在委托人信息系统中录入或审核的工程造价相关信息及时、完整。</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4． 咨询人应确保本工程方案估算文件、初步设计概算文件、施工图预算文件、工程量清单、工程招标控制价的编（审）工作质量，必须做到“开项齐全、数量准确、造价合理”，并满足工程投资控制和相关合同的要求。</w:t>
      </w:r>
    </w:p>
    <w:p>
      <w:pPr>
        <w:adjustRightInd w:val="0"/>
        <w:spacing w:line="480" w:lineRule="exact"/>
        <w:rPr>
          <w:rFonts w:hint="eastAsia" w:ascii="宋体" w:hAnsi="宋体" w:eastAsia="宋体" w:cs="宋体"/>
          <w:sz w:val="24"/>
        </w:rPr>
      </w:pPr>
      <w:r>
        <w:rPr>
          <w:rFonts w:hint="eastAsia" w:ascii="宋体" w:hAnsi="宋体" w:eastAsia="宋体" w:cs="宋体"/>
          <w:sz w:val="24"/>
        </w:rPr>
        <w:t>5． 咨询人</w:t>
      </w:r>
      <w:r>
        <w:rPr>
          <w:rFonts w:ascii="宋体" w:hAnsi="宋体" w:eastAsia="宋体" w:cs="宋体"/>
          <w:sz w:val="24"/>
        </w:rPr>
        <w:t>提供的</w:t>
      </w:r>
      <w:r>
        <w:rPr>
          <w:rFonts w:hint="eastAsia" w:ascii="宋体" w:hAnsi="宋体" w:eastAsia="宋体" w:cs="宋体"/>
          <w:sz w:val="24"/>
        </w:rPr>
        <w:t>造价成果</w:t>
      </w:r>
      <w:r>
        <w:rPr>
          <w:rFonts w:ascii="宋体" w:hAnsi="宋体" w:eastAsia="宋体" w:cs="宋体"/>
          <w:sz w:val="24"/>
        </w:rPr>
        <w:t>文件应包括并不限于：</w:t>
      </w:r>
      <w:r>
        <w:rPr>
          <w:rFonts w:hint="eastAsia" w:ascii="宋体" w:hAnsi="宋体" w:eastAsia="宋体" w:cs="宋体"/>
          <w:sz w:val="24"/>
        </w:rPr>
        <w:t>编（审）</w:t>
      </w:r>
      <w:r>
        <w:rPr>
          <w:rFonts w:ascii="宋体" w:hAnsi="宋体" w:eastAsia="宋体" w:cs="宋体"/>
          <w:sz w:val="24"/>
        </w:rPr>
        <w:t>说明、根据委托人要求</w:t>
      </w:r>
      <w:r>
        <w:rPr>
          <w:rFonts w:hint="eastAsia" w:ascii="宋体" w:hAnsi="宋体" w:eastAsia="宋体" w:cs="宋体"/>
          <w:sz w:val="24"/>
        </w:rPr>
        <w:t>编（审）</w:t>
      </w:r>
      <w:r>
        <w:rPr>
          <w:rFonts w:ascii="宋体" w:hAnsi="宋体" w:eastAsia="宋体" w:cs="宋体"/>
          <w:sz w:val="24"/>
        </w:rPr>
        <w:t>的造</w:t>
      </w:r>
      <w:r>
        <w:rPr>
          <w:rFonts w:hint="eastAsia" w:ascii="宋体" w:hAnsi="宋体" w:eastAsia="宋体" w:cs="宋体"/>
          <w:sz w:val="24"/>
        </w:rPr>
        <w:t>价</w:t>
      </w:r>
      <w:r>
        <w:rPr>
          <w:rFonts w:ascii="宋体" w:hAnsi="宋体" w:eastAsia="宋体" w:cs="宋体"/>
          <w:sz w:val="24"/>
        </w:rPr>
        <w:t>文件</w:t>
      </w:r>
      <w:r>
        <w:rPr>
          <w:rFonts w:hint="eastAsia" w:ascii="宋体" w:hAnsi="宋体" w:eastAsia="宋体" w:cs="宋体"/>
          <w:sz w:val="24"/>
        </w:rPr>
        <w:t>及其软件版（含计价及图形算量成果文件）</w:t>
      </w:r>
      <w:r>
        <w:rPr>
          <w:rFonts w:ascii="宋体" w:hAnsi="宋体" w:eastAsia="宋体" w:cs="宋体"/>
          <w:sz w:val="24"/>
        </w:rPr>
        <w:t>、工程量计算书、经济指标分析表、</w:t>
      </w:r>
      <w:r>
        <w:rPr>
          <w:rFonts w:hint="eastAsia" w:ascii="宋体" w:hAnsi="宋体" w:eastAsia="宋体" w:cs="宋体"/>
          <w:sz w:val="24"/>
        </w:rPr>
        <w:t>主要设备材料价格表、</w:t>
      </w:r>
      <w:r>
        <w:rPr>
          <w:rFonts w:ascii="宋体" w:hAnsi="宋体" w:eastAsia="宋体" w:cs="宋体"/>
          <w:sz w:val="24"/>
        </w:rPr>
        <w:t>主要材料设备定价依据文件（含询价文件等，询价单位不得少于</w:t>
      </w:r>
      <w:r>
        <w:rPr>
          <w:rFonts w:hint="eastAsia" w:ascii="宋体" w:hAnsi="宋体" w:eastAsia="宋体" w:cs="宋体"/>
          <w:sz w:val="24"/>
        </w:rPr>
        <w:t>3</w:t>
      </w:r>
      <w:r>
        <w:rPr>
          <w:rFonts w:ascii="宋体" w:hAnsi="宋体" w:eastAsia="宋体" w:cs="宋体"/>
          <w:sz w:val="24"/>
        </w:rPr>
        <w:t>家）、审核意见落实情况说明和修改对比表等。根据</w:t>
      </w:r>
      <w:r>
        <w:rPr>
          <w:rFonts w:hint="eastAsia" w:ascii="宋体" w:hAnsi="宋体" w:eastAsia="宋体" w:cs="宋体"/>
          <w:sz w:val="24"/>
        </w:rPr>
        <w:t>委托人</w:t>
      </w:r>
      <w:r>
        <w:rPr>
          <w:rFonts w:ascii="宋体" w:hAnsi="宋体" w:eastAsia="宋体" w:cs="宋体"/>
          <w:sz w:val="24"/>
        </w:rPr>
        <w:t>要求提供图形算量</w:t>
      </w:r>
      <w:r>
        <w:rPr>
          <w:rFonts w:hint="eastAsia" w:ascii="宋体" w:hAnsi="宋体" w:eastAsia="宋体" w:cs="宋体"/>
          <w:sz w:val="24"/>
        </w:rPr>
        <w:t>等</w:t>
      </w:r>
      <w:r>
        <w:rPr>
          <w:rFonts w:ascii="宋体" w:hAnsi="宋体" w:eastAsia="宋体" w:cs="宋体"/>
          <w:sz w:val="24"/>
        </w:rPr>
        <w:t>成果文件</w:t>
      </w:r>
      <w:r>
        <w:rPr>
          <w:rFonts w:hint="eastAsia" w:ascii="宋体" w:hAnsi="宋体" w:eastAsia="宋体" w:cs="宋体"/>
          <w:sz w:val="24"/>
        </w:rPr>
        <w:t>。</w:t>
      </w:r>
    </w:p>
    <w:p>
      <w:pPr>
        <w:adjustRightInd w:val="0"/>
        <w:spacing w:line="480" w:lineRule="exact"/>
        <w:rPr>
          <w:rFonts w:hint="eastAsia" w:ascii="宋体" w:hAnsi="宋体" w:eastAsia="宋体" w:cs="宋体"/>
          <w:b/>
          <w:bCs/>
          <w:sz w:val="24"/>
        </w:rPr>
      </w:pPr>
      <w:r>
        <w:rPr>
          <w:rFonts w:hint="eastAsia" w:ascii="宋体" w:hAnsi="宋体" w:eastAsia="宋体" w:cs="宋体"/>
          <w:b/>
          <w:bCs/>
          <w:sz w:val="24"/>
        </w:rPr>
        <w:t>（四）进度要求</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1.咨询人应对委托人提供资料的完整性、严谨性把关，对因范围不清晰、图纸不详导致基本工程量难以计算等情况，应在收到资料3个工作日内向委托人提出资料补充要求。因资料不完整但咨询人未能及时提出而造成编审进度延误，应由咨询人负责。</w:t>
      </w:r>
    </w:p>
    <w:p>
      <w:pPr>
        <w:tabs>
          <w:tab w:val="left" w:pos="9100"/>
        </w:tabs>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2 咨询人应严格执行咨询服务时限，保证工作进度。各项任务的工作时间要求详见服务合同内容。</w:t>
      </w:r>
    </w:p>
    <w:p>
      <w:pPr>
        <w:adjustRightInd w:val="0"/>
        <w:spacing w:line="480" w:lineRule="exact"/>
        <w:rPr>
          <w:rFonts w:hint="eastAsia" w:ascii="宋体" w:hAnsi="宋体" w:eastAsia="宋体" w:cs="宋体"/>
          <w:b/>
          <w:bCs/>
          <w:sz w:val="24"/>
        </w:rPr>
      </w:pPr>
      <w:r>
        <w:rPr>
          <w:rFonts w:hint="eastAsia" w:ascii="宋体" w:hAnsi="宋体" w:eastAsia="宋体" w:cs="宋体"/>
          <w:b/>
          <w:bCs/>
          <w:sz w:val="24"/>
        </w:rPr>
        <w:t>（五）造价误差率</w:t>
      </w:r>
    </w:p>
    <w:p>
      <w:pPr>
        <w:tabs>
          <w:tab w:val="left" w:pos="9100"/>
        </w:tabs>
        <w:autoSpaceDE w:val="0"/>
        <w:autoSpaceDN w:val="0"/>
        <w:adjustRightInd w:val="0"/>
        <w:spacing w:line="360" w:lineRule="auto"/>
        <w:ind w:firstLine="480" w:firstLineChars="200"/>
        <w:rPr>
          <w:rFonts w:hint="eastAsia" w:ascii="宋体" w:hAnsi="宋体" w:eastAsia="宋体" w:cs="宋体"/>
          <w:sz w:val="24"/>
        </w:rPr>
      </w:pPr>
      <w:r>
        <w:rPr>
          <w:rFonts w:ascii="宋体" w:hAnsi="宋体" w:eastAsia="宋体" w:cs="宋体"/>
          <w:sz w:val="24"/>
        </w:rPr>
        <w:t>咨询人承担</w:t>
      </w:r>
      <w:r>
        <w:rPr>
          <w:rFonts w:hint="eastAsia" w:ascii="宋体" w:hAnsi="宋体" w:eastAsia="宋体" w:cs="宋体"/>
          <w:sz w:val="24"/>
        </w:rPr>
        <w:t>编（审）</w:t>
      </w:r>
      <w:r>
        <w:rPr>
          <w:rFonts w:ascii="宋体" w:hAnsi="宋体" w:eastAsia="宋体" w:cs="宋体"/>
          <w:sz w:val="24"/>
        </w:rPr>
        <w:t>施工图预算、招标控制价、工程量清单咨询人造成的造价误差率控制在3%以内;结算工作咨询人造成的造价误差率控制在</w:t>
      </w:r>
      <w:r>
        <w:rPr>
          <w:rFonts w:hint="eastAsia" w:ascii="宋体" w:hAnsi="宋体" w:eastAsia="宋体" w:cs="宋体"/>
          <w:sz w:val="24"/>
        </w:rPr>
        <w:t>2</w:t>
      </w:r>
      <w:r>
        <w:rPr>
          <w:rFonts w:ascii="宋体" w:hAnsi="宋体" w:eastAsia="宋体" w:cs="宋体"/>
          <w:sz w:val="24"/>
        </w:rPr>
        <w:t>%以内；进度款审核、设计变更预算编制或审核的工程量及造价误差率控制在3%以内；概算编制或审核的工程量及造价误差率控制在</w:t>
      </w:r>
      <w:r>
        <w:rPr>
          <w:rFonts w:hint="eastAsia" w:ascii="宋体" w:hAnsi="宋体" w:eastAsia="宋体" w:cs="宋体"/>
          <w:sz w:val="24"/>
        </w:rPr>
        <w:t>10</w:t>
      </w:r>
      <w:r>
        <w:rPr>
          <w:rFonts w:ascii="宋体" w:hAnsi="宋体" w:eastAsia="宋体" w:cs="宋体"/>
          <w:sz w:val="24"/>
        </w:rPr>
        <w:t>%以内。</w:t>
      </w:r>
    </w:p>
    <w:p>
      <w:pPr>
        <w:rPr>
          <w:rFonts w:hint="eastAsia" w:ascii="宋体" w:hAnsi="宋体" w:eastAsia="宋体"/>
        </w:rPr>
      </w:pPr>
    </w:p>
    <w:p>
      <w:pPr>
        <w:spacing w:line="360" w:lineRule="auto"/>
        <w:rPr>
          <w:rFonts w:hint="eastAsia" w:ascii="宋体" w:hAnsi="宋体" w:eastAsia="宋体" w:cs="宋体"/>
          <w:b/>
          <w:bCs/>
          <w:sz w:val="24"/>
        </w:rPr>
      </w:pPr>
      <w:r>
        <w:rPr>
          <w:rFonts w:hint="eastAsia" w:ascii="宋体" w:hAnsi="宋体" w:eastAsia="宋体" w:cs="宋体"/>
          <w:b/>
          <w:bCs/>
          <w:sz w:val="24"/>
        </w:rPr>
        <w:t>四、保密要求</w:t>
      </w:r>
    </w:p>
    <w:p>
      <w:pPr>
        <w:adjustRightInd w:val="0"/>
        <w:spacing w:line="480" w:lineRule="exact"/>
        <w:ind w:firstLine="480" w:firstLineChars="200"/>
        <w:rPr>
          <w:rFonts w:hint="eastAsia" w:ascii="宋体" w:hAnsi="宋体" w:eastAsia="宋体" w:cs="宋体"/>
          <w:sz w:val="24"/>
        </w:rPr>
      </w:pPr>
      <w:r>
        <w:rPr>
          <w:rFonts w:hint="eastAsia" w:ascii="宋体" w:hAnsi="宋体" w:eastAsia="宋体" w:cs="宋体"/>
          <w:sz w:val="24"/>
        </w:rPr>
        <w:t>中标人必须严格遵守国家、省、市档案保密制度及国家其它相关保密法规，必须采取措施对本项目整理中的档案实体和数据的保密，并保证安全。确保档案信息的安全保密，如有违反，依法追究责任。</w:t>
      </w:r>
    </w:p>
    <w:p>
      <w:pPr>
        <w:rPr>
          <w:rFonts w:hint="eastAsia" w:ascii="宋体" w:hAnsi="宋体" w:eastAsia="宋体"/>
        </w:rPr>
      </w:pPr>
    </w:p>
    <w:p>
      <w:pPr>
        <w:adjustRightInd w:val="0"/>
        <w:spacing w:line="480" w:lineRule="exact"/>
        <w:rPr>
          <w:rFonts w:hint="eastAsia" w:ascii="宋体" w:hAnsi="宋体" w:eastAsia="宋体" w:cs="宋体"/>
          <w:b/>
          <w:bCs/>
          <w:sz w:val="24"/>
        </w:rPr>
      </w:pPr>
      <w:bookmarkStart w:id="21" w:name="_Toc68851841"/>
      <w:r>
        <w:rPr>
          <w:rFonts w:hint="eastAsia" w:ascii="宋体" w:hAnsi="宋体" w:eastAsia="宋体" w:cs="宋体"/>
          <w:b/>
          <w:bCs/>
          <w:sz w:val="24"/>
        </w:rPr>
        <w:t>五、其他说明</w:t>
      </w:r>
    </w:p>
    <w:p>
      <w:pPr>
        <w:adjustRightInd w:val="0"/>
        <w:spacing w:line="480" w:lineRule="exact"/>
        <w:ind w:firstLine="480" w:firstLineChars="200"/>
        <w:rPr>
          <w:rFonts w:hint="eastAsia" w:ascii="宋体" w:hAnsi="宋体" w:eastAsia="宋体" w:cs="宋体"/>
          <w:sz w:val="24"/>
        </w:rPr>
      </w:pPr>
      <w:r>
        <w:rPr>
          <w:rFonts w:hint="eastAsia" w:ascii="宋体" w:hAnsi="宋体" w:eastAsia="宋体" w:cs="宋体"/>
          <w:sz w:val="24"/>
        </w:rPr>
        <w:t>任务书仅约束基本服务内容，其他未尽事宜在合同阶段进行细化约束。</w:t>
      </w:r>
    </w:p>
    <w:bookmarkEnd w:id="21"/>
    <w:p>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53A89"/>
    <w:multiLevelType w:val="singleLevel"/>
    <w:tmpl w:val="1C353A89"/>
    <w:lvl w:ilvl="0" w:tentative="0">
      <w:start w:val="1"/>
      <w:numFmt w:val="decimal"/>
      <w:suff w:val="nothing"/>
      <w:lvlText w:val="（%1）"/>
      <w:lvlJc w:val="left"/>
      <w:pPr>
        <w:ind w:left="0" w:firstLine="0"/>
      </w:pPr>
    </w:lvl>
  </w:abstractNum>
  <w:abstractNum w:abstractNumId="1">
    <w:nsid w:val="2B1929FE"/>
    <w:multiLevelType w:val="multilevel"/>
    <w:tmpl w:val="2B1929FE"/>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2">
    <w:nsid w:val="4B5D9D78"/>
    <w:multiLevelType w:val="singleLevel"/>
    <w:tmpl w:val="4B5D9D78"/>
    <w:lvl w:ilvl="0" w:tentative="0">
      <w:start w:val="1"/>
      <w:numFmt w:val="chineseCounting"/>
      <w:suff w:val="nothing"/>
      <w:lvlText w:val="（%1）"/>
      <w:lvlJc w:val="left"/>
      <w:pPr>
        <w:ind w:left="0" w:firstLine="0"/>
      </w:pPr>
      <w:rPr>
        <w:b w:val="0"/>
        <w:bCs w:val="0"/>
      </w:rPr>
    </w:lvl>
  </w:abstractNum>
  <w:abstractNum w:abstractNumId="3">
    <w:nsid w:val="4E6F3C06"/>
    <w:multiLevelType w:val="singleLevel"/>
    <w:tmpl w:val="4E6F3C06"/>
    <w:lvl w:ilvl="0" w:tentative="0">
      <w:start w:val="1"/>
      <w:numFmt w:val="chineseCounting"/>
      <w:suff w:val="nothing"/>
      <w:lvlText w:val="%1、"/>
      <w:lvlJc w:val="left"/>
      <w:pPr>
        <w:ind w:left="0" w:firstLine="0"/>
      </w:pPr>
    </w:lvl>
  </w:abstractNum>
  <w:num w:numId="1">
    <w:abstractNumId w:val="3"/>
    <w:lvlOverride w:ilvl="0">
      <w:startOverride w:val="1"/>
    </w:lvlOverride>
  </w:num>
  <w:num w:numId="2">
    <w:abstractNumId w:val="2"/>
    <w:lvlOverride w:ilvl="0">
      <w:startOverride w:val="1"/>
    </w:lvlOverride>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6F"/>
    <w:rsid w:val="00084FF1"/>
    <w:rsid w:val="000A30EB"/>
    <w:rsid w:val="000A6C2C"/>
    <w:rsid w:val="000B5747"/>
    <w:rsid w:val="0018146A"/>
    <w:rsid w:val="00211017"/>
    <w:rsid w:val="00222F6F"/>
    <w:rsid w:val="002E5F04"/>
    <w:rsid w:val="00325081"/>
    <w:rsid w:val="00341231"/>
    <w:rsid w:val="00386CF9"/>
    <w:rsid w:val="003911EB"/>
    <w:rsid w:val="003A14A8"/>
    <w:rsid w:val="003A3E11"/>
    <w:rsid w:val="003F53C9"/>
    <w:rsid w:val="004F637E"/>
    <w:rsid w:val="004F6F28"/>
    <w:rsid w:val="00510250"/>
    <w:rsid w:val="00534E35"/>
    <w:rsid w:val="006132B3"/>
    <w:rsid w:val="006605D9"/>
    <w:rsid w:val="00743572"/>
    <w:rsid w:val="00743EEB"/>
    <w:rsid w:val="007949FF"/>
    <w:rsid w:val="007B5656"/>
    <w:rsid w:val="008864D6"/>
    <w:rsid w:val="00887C44"/>
    <w:rsid w:val="008A442E"/>
    <w:rsid w:val="008F4C16"/>
    <w:rsid w:val="00960C8B"/>
    <w:rsid w:val="00A25A57"/>
    <w:rsid w:val="00A35512"/>
    <w:rsid w:val="00A8585A"/>
    <w:rsid w:val="00AE4059"/>
    <w:rsid w:val="00AF5C19"/>
    <w:rsid w:val="00B30A20"/>
    <w:rsid w:val="00B513B9"/>
    <w:rsid w:val="00B66F31"/>
    <w:rsid w:val="00B746CF"/>
    <w:rsid w:val="00BC7700"/>
    <w:rsid w:val="00D272C8"/>
    <w:rsid w:val="00D517DF"/>
    <w:rsid w:val="00D76B55"/>
    <w:rsid w:val="00D939E1"/>
    <w:rsid w:val="00DA307D"/>
    <w:rsid w:val="00E10342"/>
    <w:rsid w:val="00EA1942"/>
    <w:rsid w:val="00EB7D10"/>
    <w:rsid w:val="00EC3632"/>
    <w:rsid w:val="7B04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40"/>
    <w:semiHidden/>
    <w:unhideWhenUsed/>
    <w:qFormat/>
    <w:uiPriority w:val="99"/>
    <w:pPr>
      <w:spacing w:after="120"/>
      <w:ind w:left="420" w:leftChars="200"/>
    </w:p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next w:val="1"/>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6">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uiPriority w:val="9"/>
    <w:rPr>
      <w:rFonts w:cstheme="majorBidi"/>
      <w:color w:val="2F5597" w:themeColor="accent1" w:themeShade="BF"/>
      <w:sz w:val="28"/>
      <w:szCs w:val="28"/>
    </w:rPr>
  </w:style>
  <w:style w:type="character" w:customStyle="1" w:styleId="23">
    <w:name w:val="标题 5 字符"/>
    <w:basedOn w:val="18"/>
    <w:link w:val="6"/>
    <w:semiHidden/>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样式"/>
    <w:basedOn w:val="1"/>
    <w:next w:val="11"/>
    <w:qFormat/>
    <w:uiPriority w:val="0"/>
    <w:pPr>
      <w:spacing w:after="0" w:line="240" w:lineRule="auto"/>
      <w:jc w:val="center"/>
    </w:pPr>
    <w:rPr>
      <w:rFonts w:ascii="宋体" w:hAnsi="宋体" w:eastAsia="宋体" w:cs="Times New Roman"/>
      <w:color w:val="FF0000"/>
      <w:sz w:val="24"/>
      <w14:ligatures w14:val="none"/>
    </w:rPr>
  </w:style>
  <w:style w:type="character" w:customStyle="1" w:styleId="40">
    <w:name w:val="正文文本缩进 字符"/>
    <w:basedOn w:val="18"/>
    <w:link w:val="11"/>
    <w:semiHidden/>
    <w:qFormat/>
    <w:uiPriority w:val="99"/>
  </w:style>
  <w:style w:type="paragraph" w:customStyle="1" w:styleId="41">
    <w:name w:val="Revision"/>
    <w:hidden/>
    <w:semiHidden/>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2398</Words>
  <Characters>2495</Characters>
  <Lines>108</Lines>
  <Paragraphs>82</Paragraphs>
  <TotalTime>763</TotalTime>
  <ScaleCrop>false</ScaleCrop>
  <LinksUpToDate>false</LinksUpToDate>
  <CharactersWithSpaces>4811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2025-09-04T02:24:00Z</dcterms:created>
  <dc:creator>卢泳贤</dc:creator>
  <cp:lastModifiedBy>李嘉琳</cp:lastModifiedBy>
  <dcterms:modified xsi:type="dcterms:W3CDTF">2025-09-23T02:41:25Z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160020255BF54F1FADD37822C286B973</vt:lpwstr>
  </property>
</Properties>
</file>