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广东省工程建设项目</w:t>
      </w:r>
      <w:bookmarkStart w:id="0" w:name="_GoBack"/>
      <w:bookmarkEnd w:id="0"/>
      <w:r>
        <w:rPr>
          <w:rFonts w:hint="eastAsia"/>
        </w:rPr>
        <w:t>招标公告</w:t>
      </w:r>
    </w:p>
    <w:tbl>
      <w:tblPr>
        <w:tblStyle w:val="5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1"/>
        <w:gridCol w:w="1547"/>
        <w:gridCol w:w="118"/>
        <w:gridCol w:w="1473"/>
        <w:gridCol w:w="1737"/>
        <w:gridCol w:w="1786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4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投资项目代码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2507-445303-04-01-186978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71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投资项目名称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江罗高速新建石城停车区项目勘察设计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83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招标项目名称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江罗高速新建石城停车区项目勘察设计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929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标段（包）名称</w:t>
            </w:r>
          </w:p>
        </w:tc>
        <w:tc>
          <w:tcPr>
            <w:tcW w:type="dxa" w:w="1547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江罗高速新建石城停车区项目勘察设计</w:t>
            </w:r>
          </w:p>
        </w:tc>
        <w:tc>
          <w:tcPr>
            <w:tcW w:type="dxa" w:w="1591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公告性质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正常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37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资格审查方式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资格后审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7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招标项目实施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(交货)地点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云浮市石城镇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60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资金来源</w:t>
            </w:r>
          </w:p>
        </w:tc>
        <w:tc>
          <w:tcPr>
            <w:tcW w:type="dxa" w:w="1547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发包人自筹</w:t>
            </w:r>
          </w:p>
        </w:tc>
        <w:tc>
          <w:tcPr>
            <w:tcW w:type="dxa" w:w="1591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资金来源构成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100%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74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招标范围及规模</w:t>
            </w:r>
          </w:p>
        </w:tc>
        <w:tc>
          <w:tcPr>
            <w:tcW w:type="dxa" w:w="6661"/>
            <w:gridSpan w:val="5"/>
            <w:vAlign w:val="top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2.1建设地点、规模：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江门至罗定高速公路是广东省公路规划第六横线的重要组成部分，是我省东西向的一条重要通道，主线全长140km,双向六车道，途经开平、鹤山、高明和云浮新兴、云安、罗定。本项目位于云浮市石城镇，项目匝道长度1.36km，建筑面积约 2000 平方米，拼宽涵洞1道，新增涵洞 1道，新增用地面积110亩（其中停车区场区用地面积为50亩）。工可推荐方案投资估算总金额为 14936.2983 万元，其中建安费为 11271.2972 万元。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2.2勘察设计服务期限（具体详见专用合同条款8.1.3款）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2.2.1勘察周期：20个日历天。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合同签订后5个日历天内提交钻探方案及电子版文件；勘察方案经审查通过后15个日历天内提交勘察报告及电子版文件。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2.2.2设计周期：勘察外业验收后30个日历天内完成初步设计报审稿（含编制概算书），初步设计评审后15个日历天内提供初步设计回复及修改稿（含编制概算书）；初步设计审查完成后30天完成施工图设计报审稿(含工程量清单和预算），施工图设计评审后15天内提供施工图设计回复及修改稿（含工程量清单和预算）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2.2.3施工现场配合服务：从项目开工至项目竣工验收，施工期暂定12个月；缺陷责任期2年。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66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招标内容</w:t>
            </w:r>
          </w:p>
        </w:tc>
        <w:tc>
          <w:tcPr>
            <w:tcW w:type="dxa" w:w="6661"/>
            <w:gridSpan w:val="5"/>
            <w:vAlign w:val="top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工期（交货期）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详见专用合同条款第8.1.3款的规定。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最高投标限价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有，最高投标限价          元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是否接受联合体投标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否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22"/>
        </w:trPr>
        <w:tc>
          <w:tcPr>
            <w:tcW w:type="dxa" w:w="1861"/>
            <w:vMerge w:val="restart"/>
            <w:vAlign w:val="center"/>
          </w:tcPr>
          <w:p>
            <w:pPr>
              <w:jc w:val="right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投标资格能力要求</w:t>
            </w:r>
          </w:p>
          <w:p>
            <w:pPr>
              <w:jc w:val="right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(包括但不限于资质</w:t>
            </w:r>
          </w:p>
          <w:p>
            <w:pPr>
              <w:jc w:val="right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人员、业绩等要求)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投标人资格要求</w:t>
            </w:r>
          </w:p>
        </w:tc>
        <w:tc>
          <w:tcPr>
            <w:tcW w:type="dxa" w:w="4996"/>
            <w:gridSpan w:val="3"/>
            <w:vAlign w:val="center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江罗高速新建石城停车区项目勘察设计：同时具备以下资质：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1.持有合法有效的营业执照或事业单位法人证书；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2.投标人必须同时满足本表“（1）、（2）”或“（1）、（3）、（4）”资质条件：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（1）工程勘察综合类甲级；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（2）工程设计综合甲级资质；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（3）工程设计公路行业甲级资质或工程设计公路行业（公路）专业甲级资质且同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（4）工程设计建筑行业甲级或工程设计建筑行业（建筑工程）专业甲级资质。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62"/>
        </w:trPr>
        <w:tc>
          <w:tcPr>
            <w:tcW w:type="dxa" w:w="1861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投标人业绩要求</w:t>
            </w:r>
          </w:p>
        </w:tc>
        <w:tc>
          <w:tcPr>
            <w:tcW w:type="dxa" w:w="4996"/>
            <w:gridSpan w:val="3"/>
            <w:vAlign w:val="center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江罗高速新建石城停车区项目勘察设计：近5年内成功独立完成：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1、1个新建或改扩建高速公路土建工程勘察设计标段，或者1个新建高速公路服务区项目。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2、累计不少于6000平方米建筑面积的房屋建筑工程设计。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1018"/>
        </w:trPr>
        <w:tc>
          <w:tcPr>
            <w:tcW w:type="dxa" w:w="1861"/>
            <w:vMerge w:val="restart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是否采用电子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招标投标方式</w:t>
            </w:r>
          </w:p>
        </w:tc>
        <w:tc>
          <w:tcPr>
            <w:tcW w:type="dxa" w:w="1665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是</w:t>
            </w:r>
          </w:p>
        </w:tc>
        <w:tc>
          <w:tcPr>
            <w:tcW w:type="dxa" w:w="1473"/>
            <w:vMerge w:val="restart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获取资格预审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/招标文件的</w:t>
            </w:r>
          </w:p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方式</w:t>
            </w:r>
          </w:p>
        </w:tc>
        <w:tc>
          <w:tcPr>
            <w:tcW w:type="dxa" w:w="1737"/>
            <w:vAlign w:val="center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下载资格预审/招标文件的网络地址</w:t>
            </w:r>
          </w:p>
        </w:tc>
        <w:tc>
          <w:tcPr>
            <w:tcW w:type="dxa" w:w="1786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广东省公路水运工程建设项目电子招投标交易平台（http://jtcbs.gdcd.gov.cn:30887/tenderlogin）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type="dxa" w:w="1665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  <w:tc>
          <w:tcPr>
            <w:tcW w:type="dxa" w:w="1473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  <w:tc>
          <w:tcPr>
            <w:tcW w:type="dxa" w:w="1737"/>
            <w:vAlign w:val="center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获取纸质资格预审/招标文件的方式</w:t>
            </w:r>
          </w:p>
        </w:tc>
        <w:tc>
          <w:tcPr>
            <w:tcW w:type="dxa" w:w="1786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获取资格预审/招标文件开始时间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获取资格预审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/招标文件截</w:t>
            </w:r>
          </w:p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止时间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递交资格预审/投标文件截止时间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资格预审/投标文件递交方式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投标文件电子文件统一采用网络上传的方式，投标人于___年___月___日00时00分至___年___月___日___时___分将电子文件完整上传。递交投标文件纸质文件截止时间为___年___月___日___时___分，投标人应于___年___月___日___时___分至___年___月___日___时___分将投标文件纸质文件递交至广州公共资源交易中心相应的开标室，具体开标室见交易中心大厅公告（广州市天河区天润路333号）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逾期送达的、未送达指定地点的或不按照招标文件要求密封的投标文件，招标人将予以拒收。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开标时间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开标地点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广州公共资源交易中心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7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发布公告媒介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本次招标公告同时在广东省招标投标监管网、广州公共资源交易中心网站、中国招标投标公共服务平台上公布，如公告详细内容不一致者，以广东省招标投标监管网公告为准。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在规定的投标登记期间，如投标登记并购买招标文件的投标人不足3家时，招标人依法有权选择以下任一方式：（1）在广东省招标投标监管网、广州公共资源交易中心网站、中国招标投标公共服务平台上发布公告延长投标登记时间，在延期投标登记时间内，已投标登记投标人的资料仍有效并可自行补充资料，未投标登记的投标人可根据公告的约定进行投标登记；（2）依法重新组织招标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招标人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广东省公路建设有限公司江罗分公司</w:t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联系地址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广东省云浮市新兴县东成镇江罗高速公路管理中心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招标人联系人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余工</w:t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联系电话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18588828592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招标代理机构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联系地址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招标代理联系人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联系电话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招标监督机构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联系电话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其他依法应当载明的内容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ascii="宋体" w:cs="宋体" w:eastAsia="宋体" w:hAnsi="宋体" w:hint="eastAsia"/>
        </w:rPr>
      </w:pPr>
    </w:p>
    <w:sectPr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YzBmYzViNmM1OWM4MGVhN2RmMzhiYTQ1MGQ4MTgifQ=="/>
  </w:docVars>
  <w:rsids>
    <w:rsidRoot w:val="00000000"/>
    <w:rsid w:val="028247F4"/>
    <w:rsid w:val="0396194E"/>
    <w:rsid w:val="04620439"/>
    <w:rsid w:val="05687A1E"/>
    <w:rsid w:val="05932FA0"/>
    <w:rsid w:val="072445B9"/>
    <w:rsid w:val="08B7634F"/>
    <w:rsid w:val="0A7B4003"/>
    <w:rsid w:val="0ADD625D"/>
    <w:rsid w:val="0B085689"/>
    <w:rsid w:val="0B66715B"/>
    <w:rsid w:val="0BEA32BC"/>
    <w:rsid w:val="0CC86D0F"/>
    <w:rsid w:val="11F8062F"/>
    <w:rsid w:val="133815F1"/>
    <w:rsid w:val="1424395D"/>
    <w:rsid w:val="151F6812"/>
    <w:rsid w:val="17BA3F9F"/>
    <w:rsid w:val="18FA3AAC"/>
    <w:rsid w:val="1903629F"/>
    <w:rsid w:val="1937087B"/>
    <w:rsid w:val="19BD16CC"/>
    <w:rsid w:val="1A8D6F59"/>
    <w:rsid w:val="1AE77ACD"/>
    <w:rsid w:val="1BA63D15"/>
    <w:rsid w:val="1E9A4F48"/>
    <w:rsid w:val="1F015BE8"/>
    <w:rsid w:val="1F6F644D"/>
    <w:rsid w:val="22240889"/>
    <w:rsid w:val="2288155B"/>
    <w:rsid w:val="244F43AD"/>
    <w:rsid w:val="24C5104D"/>
    <w:rsid w:val="25205A7B"/>
    <w:rsid w:val="25EF5485"/>
    <w:rsid w:val="26192901"/>
    <w:rsid w:val="26BB1EFF"/>
    <w:rsid w:val="27C844E7"/>
    <w:rsid w:val="2A3C3357"/>
    <w:rsid w:val="2AF66BF8"/>
    <w:rsid w:val="2BB24EAC"/>
    <w:rsid w:val="2C243739"/>
    <w:rsid w:val="2D1B36F8"/>
    <w:rsid w:val="2DAC7BED"/>
    <w:rsid w:val="2FBA5573"/>
    <w:rsid w:val="307C6264"/>
    <w:rsid w:val="32F5208D"/>
    <w:rsid w:val="33492641"/>
    <w:rsid w:val="33D47D4F"/>
    <w:rsid w:val="34BE7E51"/>
    <w:rsid w:val="358A56C2"/>
    <w:rsid w:val="35DF39AD"/>
    <w:rsid w:val="37CE29CF"/>
    <w:rsid w:val="385D5DEF"/>
    <w:rsid w:val="38E31CCA"/>
    <w:rsid w:val="396B18F5"/>
    <w:rsid w:val="3A0674A4"/>
    <w:rsid w:val="3ADC46EA"/>
    <w:rsid w:val="3CAF4612"/>
    <w:rsid w:val="3E972B6C"/>
    <w:rsid w:val="3FA50A7A"/>
    <w:rsid w:val="40185875"/>
    <w:rsid w:val="403666A1"/>
    <w:rsid w:val="40FD53A3"/>
    <w:rsid w:val="412F7925"/>
    <w:rsid w:val="42355B4F"/>
    <w:rsid w:val="43076734"/>
    <w:rsid w:val="4327700E"/>
    <w:rsid w:val="43AF4742"/>
    <w:rsid w:val="43ED593A"/>
    <w:rsid w:val="44093E52"/>
    <w:rsid w:val="44711472"/>
    <w:rsid w:val="450B3510"/>
    <w:rsid w:val="45F11042"/>
    <w:rsid w:val="46E719AA"/>
    <w:rsid w:val="473F6691"/>
    <w:rsid w:val="478F466E"/>
    <w:rsid w:val="485D29BF"/>
    <w:rsid w:val="48724017"/>
    <w:rsid w:val="49DC0844"/>
    <w:rsid w:val="4B1331CA"/>
    <w:rsid w:val="4BB26B7D"/>
    <w:rsid w:val="4C1A1186"/>
    <w:rsid w:val="4C235C4C"/>
    <w:rsid w:val="4EDF7A58"/>
    <w:rsid w:val="4F626994"/>
    <w:rsid w:val="4FAD422B"/>
    <w:rsid w:val="4FCD042A"/>
    <w:rsid w:val="50037A14"/>
    <w:rsid w:val="50C35086"/>
    <w:rsid w:val="50CD3B67"/>
    <w:rsid w:val="546E63A5"/>
    <w:rsid w:val="55F14746"/>
    <w:rsid w:val="57812F2D"/>
    <w:rsid w:val="587578B0"/>
    <w:rsid w:val="58B242BD"/>
    <w:rsid w:val="59E26240"/>
    <w:rsid w:val="5C321615"/>
    <w:rsid w:val="5C53318D"/>
    <w:rsid w:val="5CE9261B"/>
    <w:rsid w:val="5D301FF8"/>
    <w:rsid w:val="5DA84284"/>
    <w:rsid w:val="5ED93504"/>
    <w:rsid w:val="5F107065"/>
    <w:rsid w:val="60592C21"/>
    <w:rsid w:val="60EA79A6"/>
    <w:rsid w:val="612C2AD6"/>
    <w:rsid w:val="62944BFA"/>
    <w:rsid w:val="638D1ED6"/>
    <w:rsid w:val="63DA4A6C"/>
    <w:rsid w:val="65165D18"/>
    <w:rsid w:val="657C227E"/>
    <w:rsid w:val="65A2329F"/>
    <w:rsid w:val="676E4DB6"/>
    <w:rsid w:val="6779459B"/>
    <w:rsid w:val="686178A3"/>
    <w:rsid w:val="68BE495C"/>
    <w:rsid w:val="68CF4DBB"/>
    <w:rsid w:val="69C615E3"/>
    <w:rsid w:val="6A1B23CD"/>
    <w:rsid w:val="6A2230B3"/>
    <w:rsid w:val="6BDA0D35"/>
    <w:rsid w:val="6C1A459F"/>
    <w:rsid w:val="6C2E3313"/>
    <w:rsid w:val="6CA51AD2"/>
    <w:rsid w:val="6D01750D"/>
    <w:rsid w:val="6D747CDF"/>
    <w:rsid w:val="6E0F17B6"/>
    <w:rsid w:val="6E586D17"/>
    <w:rsid w:val="6F603095"/>
    <w:rsid w:val="706728F0"/>
    <w:rsid w:val="71CA611F"/>
    <w:rsid w:val="72AB7B7B"/>
    <w:rsid w:val="745B748A"/>
    <w:rsid w:val="74777E8B"/>
    <w:rsid w:val="751A73BE"/>
    <w:rsid w:val="764C2334"/>
    <w:rsid w:val="781B08C4"/>
    <w:rsid w:val="786170B2"/>
    <w:rsid w:val="7A276C5B"/>
    <w:rsid w:val="7A737ACF"/>
    <w:rsid w:val="7AB30DC5"/>
    <w:rsid w:val="7B0F7299"/>
    <w:rsid w:val="7B263107"/>
    <w:rsid w:val="7BE54F72"/>
    <w:rsid w:val="7C142DB9"/>
    <w:rsid w:val="7CB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Times New Roman" w:cs="Times New Roman" w:eastAsia="宋体" w:hAnsi="Times New Roman"/>
      </w:rPr>
    </w:rPrDefault>
    <w:pPrDefault/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qFormat="1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2"/>
    <w:basedOn w:val="1"/>
    <w:next w:val="1"/>
    <w:unhideWhenUsed/>
    <w:qFormat/>
    <w:uiPriority w:val="0"/>
    <w:pPr>
      <w:keepNext/>
      <w:keepLines/>
      <w:spacing w:after="260" w:afterAutospacing="0" w:afterLines="0" w:before="260" w:beforeAutospacing="0" w:beforeLines="0" w:line="413" w:lineRule="auto"/>
      <w:outlineLvl w:val="1"/>
    </w:pPr>
    <w:rPr>
      <w:rFonts w:ascii="Arial" w:eastAsia="黑体" w:hAnsi="Arial"/>
      <w:b/>
      <w:sz w:val="32"/>
    </w:rPr>
  </w:style>
  <w:style w:default="1" w:styleId="6" w:type="character">
    <w:name w:val="Default Paragraph Font"/>
    <w:semiHidden/>
    <w:qFormat/>
    <w:uiPriority w:val="0"/>
  </w:style>
  <w:style w:default="1" w:styleId="4" w:type="table">
    <w:name w:val="Normal Table"/>
    <w:semiHidden/>
    <w:qFormat/>
    <w:uiPriority w:val="0"/>
    <w:tblPr>
      <w:tblCellMar>
        <w:top w:type="dxa" w:w="0"/>
        <w:left w:type="dxa" w:w="108"/>
        <w:bottom w:type="dxa" w:w="0"/>
        <w:right w:type="dxa" w:w="108"/>
      </w:tblCellMar>
    </w:tblPr>
  </w:style>
  <w:style w:styleId="3" w:type="paragraph">
    <w:name w:val="HTML Preformatted"/>
    <w:basedOn w:val="1"/>
    <w:uiPriority w:val="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jc w:val="left"/>
    </w:pPr>
    <w:rPr>
      <w:rFonts w:ascii="宋体" w:cs="宋体" w:eastAsia="宋体" w:hAnsi="宋体" w:hint="eastAsia"/>
      <w:kern w:val="0"/>
      <w:sz w:val="24"/>
      <w:szCs w:val="24"/>
      <w:lang w:bidi="ar" w:eastAsia="zh-CN" w:val="en-US"/>
    </w:rPr>
  </w:style>
  <w:style w:styleId="5" w:type="table">
    <w:name w:val="Table Grid"/>
    <w:basedOn w:val="4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2023-10-30T03:10:00Z</dcterms:created>
  <dc:creator>ct</dc:creator>
  <cp:lastModifiedBy>空白</cp:lastModifiedBy>
  <dcterms:modified xsi:type="dcterms:W3CDTF">2023-11-08T02:35:37Z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KSOProductBuildVer" pid="2">
    <vt:lpwstr>2052-12.1.0.15712</vt:lpwstr>
  </property>
  <property fmtid="{D5CDD505-2E9C-101B-9397-08002B2CF9AE}" name="ICV" pid="3">
    <vt:lpwstr>DE513D7F1DA64BA78ED3D63D32C30144_12</vt:lpwstr>
  </property>
</Properties>
</file>