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E86ACC">
      <w:pPr>
        <w:pStyle w:val="11"/>
        <w:shd w:val="clear"/>
        <w:kinsoku/>
        <w:overflowPunct w:val="0"/>
        <w:ind w:left="0"/>
        <w:rPr>
          <w:rFonts w:hint="eastAsia" w:ascii="宋体" w:hAnsi="宋体" w:eastAsia="宋体" w:cs="宋体"/>
          <w:color w:val="auto"/>
          <w:sz w:val="20"/>
          <w:szCs w:val="24"/>
          <w:highlight w:val="none"/>
        </w:rPr>
      </w:pPr>
    </w:p>
    <w:p w14:paraId="710A5CFE">
      <w:pPr>
        <w:pStyle w:val="11"/>
        <w:shd w:val="clear"/>
        <w:kinsoku/>
        <w:overflowPunct w:val="0"/>
        <w:ind w:left="0"/>
        <w:rPr>
          <w:rFonts w:hint="eastAsia" w:ascii="宋体" w:hAnsi="宋体" w:eastAsia="宋体" w:cs="宋体"/>
          <w:color w:val="auto"/>
          <w:sz w:val="20"/>
          <w:szCs w:val="24"/>
          <w:highlight w:val="none"/>
        </w:rPr>
      </w:pPr>
    </w:p>
    <w:p w14:paraId="5D85AC66">
      <w:pPr>
        <w:pStyle w:val="11"/>
        <w:shd w:val="clear"/>
        <w:kinsoku/>
        <w:overflowPunct w:val="0"/>
        <w:ind w:left="0"/>
        <w:rPr>
          <w:rFonts w:hint="eastAsia" w:ascii="宋体" w:hAnsi="宋体" w:eastAsia="宋体" w:cs="宋体"/>
          <w:color w:val="auto"/>
          <w:sz w:val="20"/>
          <w:szCs w:val="24"/>
          <w:highlight w:val="none"/>
        </w:rPr>
      </w:pPr>
    </w:p>
    <w:p w14:paraId="1DDB53D4">
      <w:pPr>
        <w:pStyle w:val="11"/>
        <w:shd w:val="clear"/>
        <w:kinsoku/>
        <w:overflowPunct w:val="0"/>
        <w:ind w:left="0"/>
        <w:rPr>
          <w:rFonts w:hint="eastAsia" w:ascii="宋体" w:hAnsi="宋体" w:eastAsia="宋体" w:cs="宋体"/>
          <w:color w:val="auto"/>
          <w:sz w:val="20"/>
          <w:szCs w:val="24"/>
          <w:highlight w:val="none"/>
        </w:rPr>
      </w:pPr>
    </w:p>
    <w:p w14:paraId="4E53B8A5">
      <w:pPr>
        <w:pStyle w:val="11"/>
        <w:shd w:val="clear"/>
        <w:kinsoku/>
        <w:overflowPunct w:val="0"/>
        <w:spacing w:before="2"/>
        <w:ind w:left="0"/>
        <w:jc w:val="center"/>
        <w:rPr>
          <w:rFonts w:hint="eastAsia" w:ascii="宋体" w:hAnsi="宋体" w:eastAsia="宋体" w:cs="宋体"/>
          <w:color w:val="auto"/>
          <w:sz w:val="23"/>
          <w:szCs w:val="24"/>
          <w:highlight w:val="none"/>
        </w:rPr>
      </w:pPr>
      <w:r>
        <w:rPr>
          <w:rFonts w:hint="eastAsia" w:cs="宋体"/>
          <w:color w:val="auto"/>
          <w:sz w:val="36"/>
          <w:szCs w:val="36"/>
          <w:highlight w:val="none"/>
          <w:u w:val="single"/>
          <w:lang w:eastAsia="zh-CN"/>
        </w:rPr>
        <w:t>罗仙村留用地统筹区开发商业地块项目检验监测</w:t>
      </w:r>
    </w:p>
    <w:p w14:paraId="1827DC69">
      <w:pPr>
        <w:pStyle w:val="11"/>
        <w:shd w:val="clear"/>
        <w:kinsoku/>
        <w:overflowPunct w:val="0"/>
        <w:ind w:left="0"/>
        <w:rPr>
          <w:rFonts w:hint="eastAsia" w:ascii="宋体" w:hAnsi="宋体" w:eastAsia="宋体" w:cs="宋体"/>
          <w:color w:val="auto"/>
          <w:sz w:val="20"/>
          <w:szCs w:val="24"/>
          <w:highlight w:val="none"/>
        </w:rPr>
      </w:pPr>
    </w:p>
    <w:p w14:paraId="018BD26D">
      <w:pPr>
        <w:pStyle w:val="11"/>
        <w:shd w:val="clear"/>
        <w:kinsoku/>
        <w:overflowPunct w:val="0"/>
        <w:ind w:left="0"/>
        <w:rPr>
          <w:rFonts w:hint="eastAsia" w:ascii="宋体" w:hAnsi="宋体" w:eastAsia="宋体" w:cs="宋体"/>
          <w:color w:val="auto"/>
          <w:sz w:val="20"/>
          <w:szCs w:val="24"/>
          <w:highlight w:val="none"/>
        </w:rPr>
      </w:pPr>
    </w:p>
    <w:p w14:paraId="198E9D36">
      <w:pPr>
        <w:pStyle w:val="11"/>
        <w:shd w:val="clear"/>
        <w:kinsoku/>
        <w:overflowPunct w:val="0"/>
        <w:ind w:left="0"/>
        <w:rPr>
          <w:rFonts w:hint="eastAsia" w:ascii="宋体" w:hAnsi="宋体" w:eastAsia="宋体" w:cs="宋体"/>
          <w:color w:val="auto"/>
          <w:sz w:val="20"/>
          <w:szCs w:val="24"/>
          <w:highlight w:val="none"/>
        </w:rPr>
      </w:pPr>
    </w:p>
    <w:p w14:paraId="63804FA2">
      <w:pPr>
        <w:pStyle w:val="11"/>
        <w:shd w:val="clear"/>
        <w:kinsoku/>
        <w:overflowPunct w:val="0"/>
        <w:ind w:left="0"/>
        <w:rPr>
          <w:rFonts w:hint="eastAsia" w:ascii="宋体" w:hAnsi="宋体" w:eastAsia="宋体" w:cs="宋体"/>
          <w:color w:val="auto"/>
          <w:sz w:val="20"/>
          <w:szCs w:val="24"/>
          <w:highlight w:val="none"/>
        </w:rPr>
      </w:pPr>
    </w:p>
    <w:p w14:paraId="34A01036">
      <w:pPr>
        <w:pStyle w:val="31"/>
        <w:rPr>
          <w:rFonts w:hint="eastAsia" w:ascii="宋体" w:hAnsi="宋体" w:eastAsia="宋体" w:cs="宋体"/>
          <w:color w:val="auto"/>
          <w:sz w:val="20"/>
          <w:szCs w:val="24"/>
          <w:highlight w:val="none"/>
        </w:rPr>
      </w:pPr>
    </w:p>
    <w:p w14:paraId="54E2268A">
      <w:pPr>
        <w:rPr>
          <w:rFonts w:hint="eastAsia" w:ascii="宋体" w:hAnsi="宋体" w:eastAsia="宋体" w:cs="宋体"/>
          <w:color w:val="auto"/>
          <w:sz w:val="20"/>
          <w:szCs w:val="24"/>
          <w:highlight w:val="none"/>
        </w:rPr>
      </w:pPr>
    </w:p>
    <w:p w14:paraId="5DFED538">
      <w:pPr>
        <w:pStyle w:val="11"/>
        <w:rPr>
          <w:rFonts w:hint="eastAsia" w:ascii="宋体" w:hAnsi="宋体" w:eastAsia="宋体" w:cs="宋体"/>
          <w:color w:val="auto"/>
          <w:sz w:val="20"/>
          <w:szCs w:val="24"/>
          <w:highlight w:val="none"/>
        </w:rPr>
      </w:pPr>
    </w:p>
    <w:p w14:paraId="6AE310E6">
      <w:pPr>
        <w:pStyle w:val="31"/>
        <w:rPr>
          <w:rFonts w:hint="eastAsia" w:ascii="宋体" w:hAnsi="宋体" w:eastAsia="宋体" w:cs="宋体"/>
        </w:rPr>
      </w:pPr>
    </w:p>
    <w:p w14:paraId="257CFF77">
      <w:pPr>
        <w:pStyle w:val="11"/>
        <w:shd w:val="clear"/>
        <w:kinsoku/>
        <w:overflowPunct w:val="0"/>
        <w:ind w:left="0"/>
        <w:rPr>
          <w:rFonts w:hint="eastAsia" w:ascii="宋体" w:hAnsi="宋体" w:eastAsia="宋体" w:cs="宋体"/>
          <w:color w:val="auto"/>
          <w:sz w:val="20"/>
          <w:szCs w:val="24"/>
          <w:highlight w:val="none"/>
        </w:rPr>
      </w:pPr>
    </w:p>
    <w:p w14:paraId="3952C925">
      <w:pPr>
        <w:pStyle w:val="11"/>
        <w:shd w:val="clear"/>
        <w:kinsoku/>
        <w:overflowPunct w:val="0"/>
        <w:spacing w:before="106"/>
        <w:ind w:left="3" w:right="4"/>
        <w:jc w:val="center"/>
        <w:rPr>
          <w:rFonts w:hint="eastAsia" w:ascii="宋体" w:hAnsi="宋体" w:eastAsia="宋体" w:cs="宋体"/>
          <w:color w:val="auto"/>
          <w:sz w:val="44"/>
          <w:szCs w:val="24"/>
          <w:highlight w:val="none"/>
        </w:rPr>
      </w:pPr>
      <w:r>
        <w:rPr>
          <w:rFonts w:hint="eastAsia" w:ascii="宋体" w:hAnsi="宋体" w:eastAsia="宋体" w:cs="宋体"/>
          <w:color w:val="auto"/>
          <w:sz w:val="84"/>
          <w:szCs w:val="24"/>
          <w:highlight w:val="none"/>
        </w:rPr>
        <w:t>招标文件</w:t>
      </w:r>
    </w:p>
    <w:p w14:paraId="1A7AC5C5">
      <w:pPr>
        <w:pStyle w:val="11"/>
        <w:shd w:val="clear"/>
        <w:kinsoku/>
        <w:overflowPunct w:val="0"/>
        <w:ind w:left="0"/>
        <w:rPr>
          <w:rFonts w:hint="eastAsia" w:ascii="宋体" w:hAnsi="宋体" w:eastAsia="宋体" w:cs="宋体"/>
          <w:color w:val="auto"/>
          <w:sz w:val="44"/>
          <w:szCs w:val="24"/>
          <w:highlight w:val="none"/>
        </w:rPr>
      </w:pPr>
    </w:p>
    <w:p w14:paraId="4116739F">
      <w:pPr>
        <w:pStyle w:val="11"/>
        <w:shd w:val="clear"/>
        <w:kinsoku/>
        <w:overflowPunct w:val="0"/>
        <w:ind w:left="0"/>
        <w:rPr>
          <w:rFonts w:hint="eastAsia" w:ascii="宋体" w:hAnsi="宋体" w:eastAsia="宋体" w:cs="宋体"/>
          <w:color w:val="auto"/>
          <w:sz w:val="44"/>
          <w:szCs w:val="24"/>
          <w:highlight w:val="none"/>
        </w:rPr>
      </w:pPr>
    </w:p>
    <w:p w14:paraId="4C8A7F83">
      <w:pPr>
        <w:pStyle w:val="11"/>
        <w:shd w:val="clear"/>
        <w:kinsoku/>
        <w:overflowPunct w:val="0"/>
        <w:ind w:left="0"/>
        <w:rPr>
          <w:rFonts w:hint="eastAsia" w:ascii="宋体" w:hAnsi="宋体" w:eastAsia="宋体" w:cs="宋体"/>
          <w:color w:val="auto"/>
          <w:sz w:val="44"/>
          <w:szCs w:val="24"/>
          <w:highlight w:val="none"/>
        </w:rPr>
      </w:pPr>
    </w:p>
    <w:p w14:paraId="264BE815">
      <w:pPr>
        <w:pStyle w:val="11"/>
        <w:shd w:val="clear"/>
        <w:kinsoku/>
        <w:overflowPunct w:val="0"/>
        <w:ind w:left="0"/>
        <w:rPr>
          <w:rFonts w:hint="eastAsia" w:ascii="宋体" w:hAnsi="宋体" w:eastAsia="宋体" w:cs="宋体"/>
          <w:color w:val="auto"/>
          <w:sz w:val="44"/>
          <w:szCs w:val="24"/>
          <w:highlight w:val="none"/>
        </w:rPr>
      </w:pPr>
    </w:p>
    <w:p w14:paraId="112D6926">
      <w:pPr>
        <w:pStyle w:val="11"/>
        <w:shd w:val="clear"/>
        <w:kinsoku/>
        <w:overflowPunct w:val="0"/>
        <w:ind w:left="0"/>
        <w:rPr>
          <w:rFonts w:hint="eastAsia" w:ascii="宋体" w:hAnsi="宋体" w:eastAsia="宋体" w:cs="宋体"/>
          <w:color w:val="auto"/>
          <w:sz w:val="44"/>
          <w:szCs w:val="24"/>
          <w:highlight w:val="none"/>
        </w:rPr>
      </w:pPr>
    </w:p>
    <w:p w14:paraId="5CE39573">
      <w:pPr>
        <w:pStyle w:val="11"/>
        <w:shd w:val="clear"/>
        <w:kinsoku/>
        <w:overflowPunct w:val="0"/>
        <w:ind w:left="0"/>
        <w:rPr>
          <w:rFonts w:hint="eastAsia" w:ascii="宋体" w:hAnsi="宋体" w:eastAsia="宋体" w:cs="宋体"/>
          <w:color w:val="auto"/>
          <w:sz w:val="44"/>
          <w:szCs w:val="24"/>
          <w:highlight w:val="none"/>
        </w:rPr>
      </w:pPr>
    </w:p>
    <w:p w14:paraId="3BF6B946">
      <w:pPr>
        <w:pStyle w:val="11"/>
        <w:shd w:val="clear"/>
        <w:kinsoku/>
        <w:overflowPunct w:val="0"/>
        <w:ind w:left="0"/>
        <w:rPr>
          <w:rFonts w:hint="eastAsia" w:ascii="宋体" w:hAnsi="宋体" w:eastAsia="宋体" w:cs="宋体"/>
          <w:color w:val="auto"/>
          <w:sz w:val="44"/>
          <w:szCs w:val="24"/>
          <w:highlight w:val="none"/>
        </w:rPr>
      </w:pPr>
    </w:p>
    <w:p w14:paraId="7232FAA4">
      <w:pPr>
        <w:pStyle w:val="11"/>
        <w:shd w:val="clear"/>
        <w:kinsoku/>
        <w:overflowPunct w:val="0"/>
        <w:ind w:left="0"/>
        <w:rPr>
          <w:rFonts w:hint="eastAsia" w:ascii="宋体" w:hAnsi="宋体" w:eastAsia="宋体" w:cs="宋体"/>
          <w:color w:val="auto"/>
          <w:sz w:val="44"/>
          <w:szCs w:val="24"/>
          <w:highlight w:val="none"/>
        </w:rPr>
      </w:pPr>
    </w:p>
    <w:p w14:paraId="5DF11C47">
      <w:pPr>
        <w:pStyle w:val="11"/>
        <w:shd w:val="clear"/>
        <w:kinsoku/>
        <w:overflowPunct w:val="0"/>
        <w:ind w:left="0"/>
        <w:rPr>
          <w:rFonts w:hint="eastAsia" w:ascii="宋体" w:hAnsi="宋体" w:eastAsia="宋体" w:cs="宋体"/>
          <w:color w:val="auto"/>
          <w:sz w:val="44"/>
          <w:szCs w:val="24"/>
          <w:highlight w:val="none"/>
        </w:rPr>
      </w:pPr>
    </w:p>
    <w:p w14:paraId="338B2DC0">
      <w:pPr>
        <w:pStyle w:val="11"/>
        <w:shd w:val="clear"/>
        <w:kinsoku/>
        <w:overflowPunct w:val="0"/>
        <w:spacing w:before="8"/>
        <w:ind w:left="0"/>
        <w:rPr>
          <w:rFonts w:hint="eastAsia" w:ascii="宋体" w:hAnsi="宋体" w:eastAsia="宋体" w:cs="宋体"/>
          <w:color w:val="auto"/>
          <w:sz w:val="33"/>
          <w:szCs w:val="24"/>
          <w:highlight w:val="none"/>
        </w:rPr>
      </w:pPr>
    </w:p>
    <w:p w14:paraId="3D167203">
      <w:pPr>
        <w:shd w:val="clear"/>
        <w:spacing w:before="88" w:line="468" w:lineRule="auto"/>
        <w:jc w:val="center"/>
        <w:rPr>
          <w:rFonts w:hint="eastAsia" w:ascii="宋体" w:hAnsi="宋体" w:eastAsia="宋体" w:cs="宋体"/>
          <w:color w:val="auto"/>
          <w:spacing w:val="-4"/>
          <w:sz w:val="27"/>
          <w:szCs w:val="27"/>
          <w:highlight w:val="none"/>
          <w:u w:val="none" w:color="auto"/>
        </w:rPr>
      </w:pPr>
      <w:r>
        <w:rPr>
          <w:rFonts w:hint="eastAsia" w:ascii="宋体" w:hAnsi="宋体" w:cs="宋体"/>
          <w:color w:val="auto"/>
          <w:spacing w:val="-4"/>
          <w:sz w:val="27"/>
          <w:szCs w:val="27"/>
          <w:highlight w:val="none"/>
          <w:u w:val="none" w:color="auto"/>
          <w:lang w:val="en-US" w:eastAsia="zh-CN"/>
        </w:rPr>
        <w:t xml:space="preserve">         </w:t>
      </w:r>
      <w:r>
        <w:rPr>
          <w:rFonts w:hint="eastAsia" w:ascii="宋体" w:hAnsi="宋体" w:eastAsia="宋体" w:cs="宋体"/>
          <w:color w:val="auto"/>
          <w:spacing w:val="-4"/>
          <w:sz w:val="27"/>
          <w:szCs w:val="27"/>
          <w:highlight w:val="none"/>
          <w:u w:val="none" w:color="auto"/>
        </w:rPr>
        <w:t>招标人：</w:t>
      </w:r>
      <w:r>
        <w:rPr>
          <w:rFonts w:hint="eastAsia" w:ascii="宋体" w:hAnsi="宋体" w:cs="宋体"/>
          <w:color w:val="auto"/>
          <w:spacing w:val="-4"/>
          <w:sz w:val="27"/>
          <w:szCs w:val="27"/>
          <w:highlight w:val="none"/>
          <w:u w:val="none" w:color="auto"/>
          <w:lang w:eastAsia="zh-CN"/>
        </w:rPr>
        <w:t>广州市花都区花城街罗仙村经济联合社</w:t>
      </w:r>
      <w:r>
        <w:rPr>
          <w:rFonts w:hint="eastAsia" w:ascii="宋体" w:hAnsi="宋体" w:eastAsia="宋体" w:cs="宋体"/>
          <w:color w:val="auto"/>
          <w:spacing w:val="-4"/>
          <w:sz w:val="27"/>
          <w:szCs w:val="27"/>
          <w:highlight w:val="none"/>
          <w:u w:val="none" w:color="auto"/>
        </w:rPr>
        <w:t>(盖单位章)</w:t>
      </w:r>
    </w:p>
    <w:p w14:paraId="3C23ACCC">
      <w:pPr>
        <w:shd w:val="clear"/>
        <w:spacing w:before="88" w:line="468" w:lineRule="auto"/>
        <w:jc w:val="center"/>
        <w:rPr>
          <w:rFonts w:hint="eastAsia" w:ascii="宋体" w:hAnsi="宋体" w:eastAsia="宋体" w:cs="宋体"/>
          <w:color w:val="auto"/>
          <w:spacing w:val="-4"/>
          <w:sz w:val="27"/>
          <w:szCs w:val="27"/>
          <w:highlight w:val="none"/>
          <w:u w:val="none" w:color="auto"/>
        </w:rPr>
      </w:pPr>
      <w:r>
        <w:rPr>
          <w:rFonts w:hint="eastAsia" w:ascii="宋体" w:hAnsi="宋体" w:eastAsia="宋体" w:cs="宋体"/>
          <w:color w:val="auto"/>
          <w:spacing w:val="-4"/>
          <w:sz w:val="27"/>
          <w:szCs w:val="27"/>
          <w:highlight w:val="none"/>
          <w:u w:val="none" w:color="auto"/>
          <w:lang w:val="en-US" w:eastAsia="zh-CN"/>
        </w:rPr>
        <w:t>招标代理：广州荣智建设咨询有限公司</w:t>
      </w:r>
      <w:r>
        <w:rPr>
          <w:rFonts w:hint="eastAsia" w:ascii="宋体" w:hAnsi="宋体" w:eastAsia="宋体" w:cs="宋体"/>
          <w:color w:val="auto"/>
          <w:spacing w:val="-4"/>
          <w:sz w:val="27"/>
          <w:szCs w:val="27"/>
          <w:highlight w:val="none"/>
          <w:u w:val="none" w:color="auto"/>
        </w:rPr>
        <w:t>(盖单位章)</w:t>
      </w:r>
    </w:p>
    <w:p w14:paraId="399C7ECB">
      <w:pPr>
        <w:pStyle w:val="11"/>
        <w:shd w:val="clear"/>
        <w:tabs>
          <w:tab w:val="left" w:pos="3611"/>
          <w:tab w:val="left" w:pos="4626"/>
          <w:tab w:val="left" w:pos="5642"/>
        </w:tabs>
        <w:kinsoku/>
        <w:overflowPunct w:val="0"/>
        <w:spacing w:before="14"/>
        <w:ind w:left="0" w:leftChars="0" w:right="175" w:firstLine="1620" w:firstLineChars="600"/>
        <w:jc w:val="both"/>
        <w:rPr>
          <w:rFonts w:hint="eastAsia" w:ascii="宋体" w:hAnsi="宋体" w:eastAsia="宋体" w:cs="宋体"/>
          <w:color w:val="auto"/>
          <w:sz w:val="28"/>
          <w:szCs w:val="24"/>
          <w:highlight w:val="none"/>
          <w:u w:val="none" w:color="auto"/>
          <w:lang w:eastAsia="zh-CN"/>
        </w:rPr>
        <w:sectPr>
          <w:pgSz w:w="11905" w:h="16838"/>
          <w:pgMar w:top="1417" w:right="1417" w:bottom="1417" w:left="1417" w:header="737" w:footer="737" w:gutter="0"/>
          <w:lnNumType w:countBy="0" w:distance="360"/>
          <w:pgNumType w:fmt="decimal"/>
          <w:cols w:space="720" w:num="1"/>
        </w:sectPr>
      </w:pPr>
      <w:r>
        <w:rPr>
          <w:rFonts w:hint="eastAsia" w:ascii="宋体" w:hAnsi="宋体" w:eastAsia="宋体" w:cs="宋体"/>
          <w:color w:val="auto"/>
          <w:sz w:val="27"/>
          <w:szCs w:val="27"/>
          <w:highlight w:val="none"/>
          <w:u w:val="none" w:color="auto"/>
          <w:lang w:val="en-US" w:eastAsia="zh-CN"/>
        </w:rPr>
        <w:t>日</w:t>
      </w:r>
      <w:r>
        <w:rPr>
          <w:rFonts w:hint="eastAsia" w:cs="宋体"/>
          <w:color w:val="auto"/>
          <w:sz w:val="27"/>
          <w:szCs w:val="27"/>
          <w:highlight w:val="none"/>
          <w:u w:val="none" w:color="auto"/>
          <w:lang w:val="en-US" w:eastAsia="zh-CN"/>
        </w:rPr>
        <w:t xml:space="preserve">    </w:t>
      </w:r>
      <w:r>
        <w:rPr>
          <w:rFonts w:hint="eastAsia" w:ascii="宋体" w:hAnsi="宋体" w:eastAsia="宋体" w:cs="宋体"/>
          <w:color w:val="auto"/>
          <w:sz w:val="27"/>
          <w:szCs w:val="27"/>
          <w:highlight w:val="none"/>
          <w:u w:val="none" w:color="auto"/>
          <w:lang w:val="en-US" w:eastAsia="zh-CN"/>
        </w:rPr>
        <w:t>期：2025</w:t>
      </w:r>
      <w:r>
        <w:rPr>
          <w:rFonts w:hint="eastAsia" w:ascii="宋体" w:hAnsi="宋体" w:eastAsia="宋体" w:cs="宋体"/>
          <w:color w:val="auto"/>
          <w:spacing w:val="6"/>
          <w:sz w:val="27"/>
          <w:szCs w:val="27"/>
          <w:highlight w:val="none"/>
          <w:u w:val="none" w:color="auto"/>
        </w:rPr>
        <w:t>年</w:t>
      </w:r>
      <w:r>
        <w:rPr>
          <w:rFonts w:hint="eastAsia" w:cs="宋体"/>
          <w:color w:val="auto"/>
          <w:spacing w:val="6"/>
          <w:sz w:val="27"/>
          <w:szCs w:val="27"/>
          <w:highlight w:val="none"/>
          <w:u w:val="none" w:color="auto"/>
          <w:lang w:val="en-US" w:eastAsia="zh-CN"/>
        </w:rPr>
        <w:t xml:space="preserve"> 9</w:t>
      </w:r>
      <w:r>
        <w:rPr>
          <w:rFonts w:hint="eastAsia" w:ascii="宋体" w:hAnsi="宋体" w:eastAsia="宋体" w:cs="宋体"/>
          <w:color w:val="auto"/>
          <w:spacing w:val="3"/>
          <w:sz w:val="27"/>
          <w:szCs w:val="27"/>
          <w:highlight w:val="none"/>
          <w:u w:val="none" w:color="auto"/>
        </w:rPr>
        <w:t>月</w:t>
      </w:r>
    </w:p>
    <w:p w14:paraId="17D1038F">
      <w:pPr>
        <w:shd w:val="clear"/>
        <w:spacing w:before="0" w:beforeLines="0" w:after="0" w:afterLines="0" w:line="240" w:lineRule="auto"/>
        <w:ind w:left="0" w:leftChars="0" w:right="0" w:rightChars="0" w:firstLine="0" w:firstLineChars="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31C55674">
      <w:pPr>
        <w:pStyle w:val="19"/>
        <w:shd w:val="clear"/>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TOC \o "1-3" \h \u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\l _Toc1556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eastAsia="宋体" w:cs="宋体"/>
          <w:b/>
          <w:bCs/>
          <w:color w:val="auto"/>
          <w:sz w:val="24"/>
          <w:szCs w:val="24"/>
          <w:highlight w:val="none"/>
        </w:rPr>
        <w:t>第一卷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_Toc1556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p>
    <w:p w14:paraId="1D2F436B">
      <w:pPr>
        <w:pStyle w:val="20"/>
        <w:shd w:val="clear"/>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_Toc29772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第一章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_Toc29772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6B096FFA">
      <w:pPr>
        <w:pStyle w:val="20"/>
        <w:shd w:val="clear"/>
        <w:tabs>
          <w:tab w:val="right" w:leader="dot" w:pos="907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_Toc15097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1570800A">
      <w:pPr>
        <w:pStyle w:val="20"/>
        <w:shd w:val="clear"/>
        <w:tabs>
          <w:tab w:val="right" w:leader="dot" w:pos="9071"/>
        </w:tabs>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_Toc23003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第三章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评标办法（综合评估法）</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4</w:t>
      </w:r>
    </w:p>
    <w:p w14:paraId="26AEF933">
      <w:pPr>
        <w:pStyle w:val="20"/>
        <w:shd w:val="clear"/>
        <w:tabs>
          <w:tab w:val="right" w:leader="dot" w:pos="9071"/>
        </w:tabs>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_Toc14321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42</w:t>
      </w:r>
    </w:p>
    <w:p w14:paraId="20470320">
      <w:pPr>
        <w:pStyle w:val="19"/>
        <w:shd w:val="clear"/>
        <w:tabs>
          <w:tab w:val="right" w:leader="dot" w:pos="9071"/>
        </w:tabs>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\l _Toc2872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eastAsia="宋体" w:cs="宋体"/>
          <w:b/>
          <w:bCs/>
          <w:color w:val="auto"/>
          <w:sz w:val="24"/>
          <w:szCs w:val="24"/>
          <w:highlight w:val="none"/>
        </w:rPr>
        <w:t>第二卷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eastAsia="zh-CN"/>
        </w:rPr>
        <w:fldChar w:fldCharType="end"/>
      </w:r>
      <w:r>
        <w:rPr>
          <w:rFonts w:hint="eastAsia" w:ascii="宋体" w:hAnsi="宋体" w:cs="宋体"/>
          <w:b/>
          <w:bCs/>
          <w:color w:val="auto"/>
          <w:sz w:val="24"/>
          <w:szCs w:val="24"/>
          <w:highlight w:val="none"/>
          <w:lang w:val="en-US" w:eastAsia="zh-CN"/>
        </w:rPr>
        <w:t>43</w:t>
      </w:r>
    </w:p>
    <w:p w14:paraId="0950BA39">
      <w:pPr>
        <w:pStyle w:val="20"/>
        <w:shd w:val="clear"/>
        <w:tabs>
          <w:tab w:val="right" w:leader="dot" w:pos="9071"/>
        </w:tabs>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_Toc23118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委托人要求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44</w:t>
      </w:r>
    </w:p>
    <w:p w14:paraId="4DD3AF6D">
      <w:pPr>
        <w:pStyle w:val="19"/>
        <w:shd w:val="clear"/>
        <w:tabs>
          <w:tab w:val="right" w:leader="dot" w:pos="9071"/>
        </w:tabs>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\l _Toc12210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eastAsia="宋体" w:cs="宋体"/>
          <w:b/>
          <w:bCs/>
          <w:color w:val="auto"/>
          <w:sz w:val="24"/>
          <w:szCs w:val="24"/>
          <w:highlight w:val="none"/>
        </w:rPr>
        <w:t>第三卷</w:t>
      </w:r>
      <w:r>
        <w:rPr>
          <w:rFonts w:hint="eastAsia" w:ascii="宋体" w:hAnsi="宋体" w:eastAsia="宋体" w:cs="宋体"/>
          <w:b w:val="0"/>
          <w:bCs w:val="0"/>
          <w:color w:val="auto"/>
          <w:sz w:val="24"/>
          <w:szCs w:val="24"/>
          <w:highlight w:val="none"/>
        </w:rPr>
        <w:tab/>
      </w:r>
      <w:r>
        <w:rPr>
          <w:rFonts w:hint="eastAsia" w:ascii="宋体" w:hAnsi="宋体" w:eastAsia="宋体" w:cs="宋体"/>
          <w:b/>
          <w:bCs/>
          <w:color w:val="auto"/>
          <w:sz w:val="24"/>
          <w:szCs w:val="24"/>
          <w:highlight w:val="none"/>
          <w:lang w:eastAsia="zh-CN"/>
        </w:rPr>
        <w:fldChar w:fldCharType="end"/>
      </w:r>
      <w:r>
        <w:rPr>
          <w:rFonts w:hint="eastAsia" w:ascii="宋体" w:hAnsi="宋体" w:cs="宋体"/>
          <w:b/>
          <w:bCs/>
          <w:color w:val="auto"/>
          <w:sz w:val="24"/>
          <w:szCs w:val="24"/>
          <w:highlight w:val="none"/>
          <w:lang w:val="en-US" w:eastAsia="zh-CN"/>
        </w:rPr>
        <w:t>46</w:t>
      </w:r>
    </w:p>
    <w:p w14:paraId="453A0F9A">
      <w:pPr>
        <w:pStyle w:val="20"/>
        <w:shd w:val="clear"/>
        <w:tabs>
          <w:tab w:val="right" w:leader="dot" w:pos="9071"/>
        </w:tabs>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_Toc26661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rPr>
        <w:t>第六章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47</w:t>
      </w:r>
    </w:p>
    <w:p w14:paraId="46120E71">
      <w:pPr>
        <w:pStyle w:val="20"/>
        <w:shd w:val="clear"/>
        <w:tabs>
          <w:tab w:val="right" w:leader="dot" w:pos="9071"/>
        </w:tabs>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\l _Toc17258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val="en-US" w:eastAsia="zh-CN"/>
        </w:rPr>
        <w:t xml:space="preserve">第七章 </w:t>
      </w:r>
      <w:r>
        <w:rPr>
          <w:rFonts w:hint="eastAsia" w:ascii="宋体" w:hAnsi="宋体" w:eastAsia="宋体" w:cs="宋体"/>
          <w:color w:val="auto"/>
          <w:sz w:val="24"/>
          <w:szCs w:val="24"/>
          <w:highlight w:val="none"/>
        </w:rPr>
        <w:t>投标人须知前附表规定的其他资料。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color w:val="auto"/>
          <w:sz w:val="24"/>
          <w:szCs w:val="24"/>
          <w:highlight w:val="none"/>
          <w:lang w:val="en-US" w:eastAsia="zh-CN"/>
        </w:rPr>
        <w:t>60</w:t>
      </w:r>
    </w:p>
    <w:p w14:paraId="369C7C52">
      <w:pPr>
        <w:pStyle w:val="13"/>
        <w:shd w:val="clear"/>
        <w:tabs>
          <w:tab w:val="right" w:leader="dot" w:pos="9071"/>
        </w:tabs>
        <w:spacing w:line="360" w:lineRule="auto"/>
        <w:ind w:left="0" w:leftChars="0" w:firstLine="0" w:firstLineChars="0"/>
        <w:rPr>
          <w:rFonts w:hint="eastAsia" w:ascii="宋体" w:hAnsi="宋体" w:eastAsia="宋体" w:cs="宋体"/>
          <w:color w:val="auto"/>
          <w:sz w:val="24"/>
          <w:szCs w:val="24"/>
          <w:highlight w:val="none"/>
        </w:rPr>
      </w:pPr>
    </w:p>
    <w:p w14:paraId="3C629388">
      <w:pPr>
        <w:pStyle w:val="11"/>
        <w:shd w:val="clear"/>
        <w:tabs>
          <w:tab w:val="right" w:leader="dot" w:pos="8714"/>
        </w:tabs>
        <w:kinsoku/>
        <w:overflowPunct w:val="0"/>
        <w:spacing w:line="360" w:lineRule="auto"/>
        <w:ind w:lef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end"/>
      </w:r>
    </w:p>
    <w:p w14:paraId="3A7C0E66">
      <w:pPr>
        <w:pStyle w:val="47"/>
        <w:keepNext w:val="0"/>
        <w:keepLines w:val="0"/>
        <w:pageBreakBefore w:val="0"/>
        <w:widowControl/>
        <w:shd w:val="clear"/>
        <w:tabs>
          <w:tab w:val="right" w:leader="dot" w:pos="9071"/>
        </w:tabs>
        <w:kinsoku/>
        <w:wordWrap/>
        <w:overflowPunct/>
        <w:topLinePunct w:val="0"/>
        <w:autoSpaceDE/>
        <w:autoSpaceDN/>
        <w:bidi w:val="0"/>
        <w:adjustRightInd/>
        <w:snapToGrid/>
        <w:spacing w:line="360" w:lineRule="auto"/>
        <w:ind w:left="720" w:leftChars="300"/>
        <w:textAlignment w:val="auto"/>
        <w:rPr>
          <w:rFonts w:hint="eastAsia" w:ascii="宋体" w:hAnsi="宋体" w:eastAsia="宋体" w:cs="宋体"/>
          <w:color w:val="auto"/>
          <w:sz w:val="24"/>
          <w:szCs w:val="24"/>
          <w:highlight w:val="none"/>
          <w:lang w:eastAsia="zh-CN"/>
        </w:rPr>
      </w:pPr>
    </w:p>
    <w:p w14:paraId="2954C2C0">
      <w:pPr>
        <w:pStyle w:val="11"/>
        <w:shd w:val="clear"/>
        <w:tabs>
          <w:tab w:val="right" w:leader="dot" w:pos="8714"/>
        </w:tabs>
        <w:kinsoku/>
        <w:overflowPunct w:val="0"/>
        <w:spacing w:line="288" w:lineRule="exact"/>
        <w:ind w:left="0"/>
        <w:jc w:val="center"/>
        <w:rPr>
          <w:rFonts w:hint="eastAsia" w:ascii="宋体" w:hAnsi="宋体" w:eastAsia="宋体" w:cs="宋体"/>
          <w:color w:val="auto"/>
          <w:sz w:val="21"/>
          <w:szCs w:val="24"/>
          <w:highlight w:val="none"/>
          <w:lang w:eastAsia="zh-CN"/>
        </w:rPr>
        <w:sectPr>
          <w:footerReference r:id="rId3" w:type="default"/>
          <w:pgSz w:w="11905" w:h="16838"/>
          <w:pgMar w:top="1417" w:right="1417" w:bottom="1417" w:left="1417" w:header="737" w:footer="737" w:gutter="0"/>
          <w:lnNumType w:countBy="0" w:distance="360"/>
          <w:pgNumType w:fmt="decimal" w:start="1"/>
          <w:cols w:space="720" w:num="1"/>
        </w:sectPr>
      </w:pPr>
    </w:p>
    <w:p w14:paraId="2EC29A80">
      <w:pPr>
        <w:pStyle w:val="11"/>
        <w:shd w:val="clear"/>
        <w:kinsoku/>
        <w:overflowPunct w:val="0"/>
        <w:ind w:left="0"/>
        <w:rPr>
          <w:rFonts w:hint="eastAsia" w:ascii="宋体" w:hAnsi="宋体" w:eastAsia="宋体" w:cs="宋体"/>
          <w:color w:val="auto"/>
          <w:sz w:val="44"/>
          <w:szCs w:val="24"/>
          <w:highlight w:val="none"/>
        </w:rPr>
      </w:pPr>
    </w:p>
    <w:p w14:paraId="13E3EBFA">
      <w:pPr>
        <w:pStyle w:val="2"/>
        <w:keepNext w:val="0"/>
        <w:keepLines w:val="0"/>
        <w:pageBreakBefore w:val="0"/>
        <w:widowControl w:val="0"/>
        <w:shd w:val="clear"/>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bookmarkStart w:id="0" w:name="bookmark0"/>
      <w:bookmarkEnd w:id="0"/>
      <w:bookmarkStart w:id="1" w:name="_Toc1556"/>
      <w:r>
        <w:rPr>
          <w:rFonts w:hint="eastAsia" w:ascii="宋体" w:hAnsi="宋体" w:eastAsia="宋体" w:cs="宋体"/>
          <w:color w:val="auto"/>
          <w:sz w:val="52"/>
          <w:szCs w:val="52"/>
          <w:highlight w:val="none"/>
        </w:rPr>
        <w:t>第一卷</w:t>
      </w:r>
      <w:bookmarkEnd w:id="1"/>
    </w:p>
    <w:p w14:paraId="3B080473">
      <w:pPr>
        <w:pStyle w:val="11"/>
        <w:shd w:val="clear"/>
        <w:kinsoku/>
        <w:overflowPunct w:val="0"/>
        <w:ind w:left="0"/>
        <w:rPr>
          <w:rFonts w:hint="eastAsia" w:ascii="宋体" w:hAnsi="宋体" w:eastAsia="宋体" w:cs="宋体"/>
          <w:b w:val="0"/>
          <w:color w:val="auto"/>
          <w:sz w:val="44"/>
          <w:szCs w:val="24"/>
          <w:highlight w:val="none"/>
        </w:rPr>
      </w:pPr>
    </w:p>
    <w:p w14:paraId="662C010B">
      <w:pPr>
        <w:rPr>
          <w:rFonts w:hint="eastAsia" w:ascii="宋体" w:hAnsi="宋体" w:eastAsia="宋体" w:cs="宋体"/>
          <w:b w:val="0"/>
          <w:color w:val="auto"/>
          <w:sz w:val="44"/>
          <w:szCs w:val="24"/>
          <w:highlight w:val="none"/>
        </w:rPr>
      </w:pPr>
    </w:p>
    <w:p w14:paraId="442898B3">
      <w:pPr>
        <w:pStyle w:val="23"/>
        <w:rPr>
          <w:rFonts w:hint="eastAsia" w:ascii="宋体" w:hAnsi="宋体" w:eastAsia="宋体" w:cs="宋体"/>
          <w:b w:val="0"/>
          <w:color w:val="auto"/>
          <w:sz w:val="44"/>
          <w:szCs w:val="24"/>
          <w:highlight w:val="none"/>
        </w:rPr>
      </w:pPr>
    </w:p>
    <w:p w14:paraId="07DC6D77">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bookmarkStart w:id="2" w:name="_Toc29772"/>
    </w:p>
    <w:p w14:paraId="69008541">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306994EA">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3D82D7DF">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6DD6506F">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39568C5B">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4350FC7C">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56C32A49">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51294B16">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10DC694C">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p>
    <w:p w14:paraId="051B8EEA">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color w:val="auto"/>
          <w:sz w:val="44"/>
          <w:szCs w:val="24"/>
          <w:highlight w:val="none"/>
        </w:rPr>
      </w:pPr>
      <w:r>
        <w:rPr>
          <w:rFonts w:hint="eastAsia" w:ascii="宋体" w:hAnsi="宋体" w:eastAsia="宋体" w:cs="宋体"/>
          <w:color w:val="auto"/>
          <w:sz w:val="44"/>
          <w:szCs w:val="24"/>
          <w:highlight w:val="none"/>
        </w:rPr>
        <w:t>第一章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招标公告</w:t>
      </w:r>
      <w:bookmarkEnd w:id="2"/>
      <w:bookmarkStart w:id="3" w:name="bookmark1"/>
      <w:bookmarkEnd w:id="3"/>
    </w:p>
    <w:p w14:paraId="6EE8DFE9">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cs="宋体"/>
          <w:b/>
          <w:color w:val="auto"/>
          <w:sz w:val="30"/>
          <w:szCs w:val="24"/>
          <w:highlight w:val="none"/>
          <w:u w:val="none"/>
          <w:lang w:val="en-US" w:eastAsia="zh-CN"/>
        </w:rPr>
      </w:pPr>
    </w:p>
    <w:p w14:paraId="1C2A4B38">
      <w:pPr>
        <w:pStyle w:val="3"/>
        <w:keepNext w:val="0"/>
        <w:keepLines w:val="0"/>
        <w:pageBreakBefore w:val="0"/>
        <w:widowControl w:val="0"/>
        <w:shd w:val="clear"/>
        <w:kinsoku/>
        <w:wordWrap/>
        <w:overflowPunct/>
        <w:topLinePunct w:val="0"/>
        <w:autoSpaceDE w:val="0"/>
        <w:autoSpaceDN w:val="0"/>
        <w:bidi w:val="0"/>
        <w:adjustRightInd w:val="0"/>
        <w:snapToGrid/>
        <w:ind w:left="0"/>
        <w:textAlignment w:val="auto"/>
        <w:outlineLvl w:val="0"/>
        <w:rPr>
          <w:rFonts w:hint="eastAsia" w:ascii="宋体" w:hAnsi="宋体" w:eastAsia="宋体" w:cs="宋体"/>
          <w:b/>
          <w:color w:val="auto"/>
          <w:sz w:val="30"/>
          <w:szCs w:val="24"/>
          <w:highlight w:val="none"/>
          <w:u w:val="none"/>
          <w:lang w:val="en-US" w:eastAsia="zh-CN"/>
        </w:rPr>
      </w:pPr>
      <w:r>
        <w:rPr>
          <w:rFonts w:hint="eastAsia" w:cs="宋体"/>
          <w:b/>
          <w:color w:val="auto"/>
          <w:sz w:val="30"/>
          <w:szCs w:val="24"/>
          <w:highlight w:val="none"/>
          <w:u w:val="none"/>
          <w:lang w:val="en-US" w:eastAsia="zh-CN"/>
        </w:rPr>
        <w:t>罗仙村留用地统筹区开发商业地块项目检验监测</w:t>
      </w:r>
    </w:p>
    <w:p w14:paraId="5C4E07C0">
      <w:pPr>
        <w:keepNext w:val="0"/>
        <w:keepLines w:val="0"/>
        <w:pageBreakBefore w:val="0"/>
        <w:widowControl w:val="0"/>
        <w:shd w:val="clear"/>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sz w:val="30"/>
          <w:szCs w:val="24"/>
          <w:highlight w:val="none"/>
          <w:u w:val="none"/>
        </w:rPr>
      </w:pPr>
      <w:r>
        <w:rPr>
          <w:rFonts w:hint="eastAsia" w:ascii="宋体" w:hAnsi="宋体" w:eastAsia="宋体" w:cs="宋体"/>
          <w:b/>
          <w:color w:val="auto"/>
          <w:sz w:val="30"/>
          <w:szCs w:val="24"/>
          <w:highlight w:val="none"/>
          <w:u w:val="none"/>
        </w:rPr>
        <w:t>招标公告</w:t>
      </w:r>
    </w:p>
    <w:p w14:paraId="67E380B3">
      <w:pPr>
        <w:pStyle w:val="4"/>
        <w:shd w:val="clear"/>
        <w:outlineLvl w:val="1"/>
        <w:rPr>
          <w:rFonts w:hint="eastAsia" w:ascii="宋体" w:hAnsi="宋体" w:eastAsia="宋体" w:cs="宋体"/>
          <w:b w:val="0"/>
          <w:color w:val="auto"/>
          <w:sz w:val="24"/>
          <w:szCs w:val="24"/>
          <w:highlight w:val="none"/>
        </w:rPr>
      </w:pPr>
      <w:bookmarkStart w:id="4" w:name="_Toc14009"/>
      <w:r>
        <w:rPr>
          <w:rFonts w:hint="eastAsia" w:ascii="宋体" w:hAnsi="宋体" w:eastAsia="宋体" w:cs="宋体"/>
          <w:color w:val="auto"/>
          <w:sz w:val="24"/>
          <w:szCs w:val="24"/>
          <w:highlight w:val="none"/>
        </w:rPr>
        <w:t>1.招标条件</w:t>
      </w:r>
      <w:bookmarkEnd w:id="4"/>
    </w:p>
    <w:p w14:paraId="207BEB1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sz w:val="24"/>
          <w:highlight w:val="none"/>
        </w:rPr>
        <w:t>本招标项目</w:t>
      </w:r>
      <w:r>
        <w:rPr>
          <w:rFonts w:hint="eastAsia" w:ascii="宋体" w:hAnsi="宋体" w:eastAsia="宋体"/>
          <w:sz w:val="24"/>
          <w:highlight w:val="none"/>
          <w:u w:val="single"/>
          <w:lang w:val="en-US" w:eastAsia="zh-CN"/>
        </w:rPr>
        <w:t>罗仙村留用地统筹区开发商业地块</w:t>
      </w:r>
      <w:r>
        <w:rPr>
          <w:rFonts w:hint="eastAsia" w:ascii="宋体" w:hAnsi="宋体"/>
          <w:sz w:val="24"/>
          <w:highlight w:val="none"/>
          <w:u w:val="single"/>
          <w:lang w:eastAsia="zh-CN"/>
        </w:rPr>
        <w:t>项目</w:t>
      </w:r>
      <w:r>
        <w:rPr>
          <w:rFonts w:hint="eastAsia" w:ascii="宋体" w:hAnsi="宋体"/>
          <w:sz w:val="24"/>
          <w:highlight w:val="none"/>
        </w:rPr>
        <w:t>已由</w:t>
      </w:r>
      <w:r>
        <w:rPr>
          <w:rFonts w:hint="eastAsia" w:ascii="宋体" w:hAnsi="宋体" w:cs="宋体"/>
          <w:sz w:val="24"/>
          <w:highlight w:val="none"/>
          <w:u w:val="single"/>
        </w:rPr>
        <w:t>广东省企业投资项目备案证（项目代码：</w:t>
      </w:r>
      <w:r>
        <w:rPr>
          <w:rFonts w:hint="eastAsia" w:ascii="宋体" w:hAnsi="宋体" w:cs="宋体"/>
          <w:color w:val="000000"/>
          <w:sz w:val="24"/>
          <w:szCs w:val="24"/>
          <w:highlight w:val="none"/>
          <w:u w:val="single"/>
          <w:lang w:val="en-US" w:eastAsia="zh-CN"/>
        </w:rPr>
        <w:t>2402-440114-99-01-618731</w:t>
      </w:r>
      <w:r>
        <w:rPr>
          <w:rFonts w:hint="eastAsia" w:ascii="宋体" w:hAnsi="宋体"/>
          <w:sz w:val="24"/>
          <w:highlight w:val="none"/>
        </w:rPr>
        <w:t>）批准建设，项目业主为</w:t>
      </w:r>
      <w:r>
        <w:rPr>
          <w:rFonts w:hint="eastAsia" w:ascii="宋体" w:hAnsi="宋体" w:eastAsia="宋体"/>
          <w:sz w:val="24"/>
          <w:highlight w:val="none"/>
          <w:u w:val="single"/>
          <w:lang w:val="en-US" w:eastAsia="zh-CN"/>
        </w:rPr>
        <w:t>广州市花都区花城街罗仙村经济联合社</w:t>
      </w:r>
      <w:r>
        <w:rPr>
          <w:rFonts w:hint="eastAsia" w:ascii="宋体" w:hAnsi="宋体"/>
          <w:sz w:val="24"/>
          <w:highlight w:val="none"/>
        </w:rPr>
        <w:t>，建设资金来自</w:t>
      </w:r>
      <w:r>
        <w:rPr>
          <w:rFonts w:hint="eastAsia" w:ascii="宋体" w:hAnsi="宋体" w:cs="宋体"/>
          <w:color w:val="000000"/>
          <w:sz w:val="24"/>
          <w:szCs w:val="24"/>
          <w:highlight w:val="none"/>
          <w:u w:val="single"/>
          <w:lang w:val="en-US" w:eastAsia="zh-CN"/>
        </w:rPr>
        <w:t>自筹</w:t>
      </w:r>
      <w:r>
        <w:rPr>
          <w:rFonts w:hint="eastAsia" w:ascii="宋体" w:hAnsi="宋体" w:cs="宋体"/>
          <w:color w:val="000000"/>
          <w:sz w:val="24"/>
          <w:szCs w:val="24"/>
          <w:highlight w:val="none"/>
          <w:u w:val="single"/>
        </w:rPr>
        <w:t>资金</w:t>
      </w:r>
      <w:r>
        <w:rPr>
          <w:rFonts w:hint="eastAsia" w:ascii="宋体" w:hAnsi="宋体"/>
          <w:sz w:val="24"/>
          <w:highlight w:val="none"/>
        </w:rPr>
        <w:t>，出资比例为</w:t>
      </w:r>
      <w:r>
        <w:rPr>
          <w:rFonts w:hint="eastAsia" w:ascii="宋体" w:hAnsi="宋体"/>
          <w:sz w:val="24"/>
          <w:highlight w:val="none"/>
          <w:u w:val="single"/>
        </w:rPr>
        <w:t>100%</w:t>
      </w:r>
      <w:r>
        <w:rPr>
          <w:rFonts w:hint="eastAsia" w:ascii="宋体" w:hAnsi="宋体"/>
          <w:sz w:val="24"/>
          <w:highlight w:val="none"/>
        </w:rPr>
        <w:t>，招标人为</w:t>
      </w:r>
      <w:r>
        <w:rPr>
          <w:rFonts w:hint="eastAsia" w:ascii="宋体" w:hAnsi="宋体" w:eastAsia="宋体"/>
          <w:sz w:val="24"/>
          <w:highlight w:val="none"/>
          <w:u w:val="single"/>
          <w:lang w:val="en-US" w:eastAsia="zh-CN"/>
        </w:rPr>
        <w:t>广州市花都区花城街罗仙村经济联合社</w:t>
      </w:r>
      <w:r>
        <w:rPr>
          <w:rFonts w:hint="eastAsia" w:ascii="宋体" w:hAnsi="宋体"/>
          <w:sz w:val="24"/>
          <w:highlight w:val="none"/>
        </w:rPr>
        <w:t>。项目已具备招标条件，现对该项目</w:t>
      </w:r>
      <w:r>
        <w:rPr>
          <w:rFonts w:hint="eastAsia" w:ascii="宋体" w:hAnsi="宋体"/>
          <w:sz w:val="24"/>
          <w:highlight w:val="none"/>
          <w:lang w:val="en-US" w:eastAsia="zh-CN"/>
        </w:rPr>
        <w:t>检验监测</w:t>
      </w:r>
      <w:r>
        <w:rPr>
          <w:rFonts w:hint="eastAsia" w:ascii="宋体" w:hAnsi="宋体"/>
          <w:sz w:val="24"/>
          <w:highlight w:val="none"/>
        </w:rPr>
        <w:t>进行公开招标</w:t>
      </w:r>
      <w:r>
        <w:rPr>
          <w:rFonts w:hint="eastAsia" w:ascii="宋体" w:hAnsi="宋体" w:eastAsia="宋体" w:cs="宋体"/>
          <w:color w:val="auto"/>
          <w:sz w:val="24"/>
          <w:szCs w:val="24"/>
          <w:highlight w:val="none"/>
        </w:rPr>
        <w:t>。</w:t>
      </w:r>
    </w:p>
    <w:p w14:paraId="4802ED38">
      <w:pPr>
        <w:pStyle w:val="4"/>
        <w:shd w:val="clear"/>
        <w:outlineLvl w:val="1"/>
        <w:rPr>
          <w:rFonts w:hint="eastAsia" w:ascii="宋体" w:hAnsi="宋体" w:eastAsia="宋体" w:cs="宋体"/>
          <w:color w:val="auto"/>
          <w:sz w:val="24"/>
          <w:szCs w:val="24"/>
          <w:highlight w:val="none"/>
        </w:rPr>
      </w:pPr>
      <w:bookmarkStart w:id="5" w:name="bookmark3"/>
      <w:bookmarkEnd w:id="5"/>
      <w:bookmarkStart w:id="6" w:name="_Toc20903"/>
      <w:r>
        <w:rPr>
          <w:rFonts w:hint="eastAsia" w:ascii="宋体" w:hAnsi="宋体" w:eastAsia="宋体" w:cs="宋体"/>
          <w:color w:val="auto"/>
          <w:sz w:val="24"/>
          <w:szCs w:val="24"/>
          <w:highlight w:val="none"/>
        </w:rPr>
        <w:t>2.项目概况与招标范围</w:t>
      </w:r>
      <w:bookmarkEnd w:id="6"/>
    </w:p>
    <w:p w14:paraId="0280DBF5">
      <w:pPr>
        <w:keepNext w:val="0"/>
        <w:keepLines w:val="0"/>
        <w:pageBreakBefore w:val="0"/>
        <w:widowControl w:val="0"/>
        <w:shd w:val="clear"/>
        <w:tabs>
          <w:tab w:val="left" w:pos="7513"/>
        </w:tabs>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7" w:name="_Toc17345"/>
      <w:r>
        <w:rPr>
          <w:rFonts w:hint="eastAsia" w:ascii="宋体" w:hAnsi="宋体" w:eastAsia="宋体" w:cs="宋体"/>
          <w:color w:val="auto"/>
          <w:sz w:val="24"/>
          <w:szCs w:val="24"/>
          <w:highlight w:val="none"/>
          <w:lang w:val="en-US" w:eastAsia="zh-CN"/>
        </w:rPr>
        <w:t>2.1 招标项目概况</w:t>
      </w:r>
      <w:bookmarkEnd w:id="7"/>
    </w:p>
    <w:p w14:paraId="6ED1A16E">
      <w:pPr>
        <w:keepNext w:val="0"/>
        <w:keepLines w:val="0"/>
        <w:pageBreakBefore w:val="0"/>
        <w:widowControl w:val="0"/>
        <w:shd w:val="clear"/>
        <w:tabs>
          <w:tab w:val="left" w:pos="7513"/>
        </w:tabs>
        <w:kinsoku/>
        <w:wordWrap/>
        <w:overflowPunct/>
        <w:topLinePunct w:val="0"/>
        <w:bidi w:val="0"/>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2.1.1招标项目名称：</w:t>
      </w:r>
      <w:r>
        <w:rPr>
          <w:rFonts w:hint="eastAsia" w:ascii="宋体" w:hAnsi="宋体" w:cs="宋体"/>
          <w:color w:val="auto"/>
          <w:sz w:val="24"/>
          <w:szCs w:val="24"/>
          <w:highlight w:val="none"/>
          <w:u w:val="single"/>
          <w:lang w:val="en-US" w:eastAsia="zh-CN"/>
        </w:rPr>
        <w:t>罗仙村留用地统筹区开发商业地块项目检验监测</w:t>
      </w:r>
      <w:r>
        <w:rPr>
          <w:rFonts w:hint="eastAsia" w:ascii="宋体" w:hAnsi="宋体" w:eastAsia="宋体" w:cs="宋体"/>
          <w:color w:val="auto"/>
          <w:sz w:val="24"/>
          <w:szCs w:val="24"/>
          <w:highlight w:val="none"/>
          <w:lang w:val="en-US" w:eastAsia="zh-CN"/>
        </w:rPr>
        <w:t xml:space="preserve"> </w:t>
      </w:r>
    </w:p>
    <w:p w14:paraId="0FC08D3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2.1.2工程建设地点：</w:t>
      </w:r>
      <w:r>
        <w:rPr>
          <w:rFonts w:hint="eastAsia" w:ascii="宋体" w:hAnsi="宋体" w:eastAsia="宋体" w:cs="宋体"/>
          <w:color w:val="000000"/>
          <w:sz w:val="24"/>
          <w:szCs w:val="24"/>
          <w:highlight w:val="none"/>
          <w:u w:val="single"/>
          <w:lang w:val="en-US" w:eastAsia="zh-CN"/>
        </w:rPr>
        <w:t>广州市花都区罗仙村</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 </w:t>
      </w:r>
    </w:p>
    <w:p w14:paraId="5B1C716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2.1.3工程建设规模：</w:t>
      </w:r>
      <w:r>
        <w:rPr>
          <w:rFonts w:hint="eastAsia" w:ascii="宋体" w:hAnsi="宋体" w:eastAsia="宋体" w:cs="宋体"/>
          <w:color w:val="000000"/>
          <w:sz w:val="24"/>
          <w:szCs w:val="24"/>
          <w:highlight w:val="none"/>
          <w:u w:val="single"/>
          <w:lang w:eastAsia="zh-CN"/>
        </w:rPr>
        <w:t>本项目</w:t>
      </w:r>
      <w:r>
        <w:rPr>
          <w:rFonts w:hint="eastAsia" w:ascii="宋体" w:hAnsi="宋体" w:eastAsia="宋体" w:cs="宋体"/>
          <w:color w:val="000000"/>
          <w:sz w:val="24"/>
          <w:szCs w:val="24"/>
          <w:highlight w:val="none"/>
          <w:u w:val="single"/>
          <w:lang w:val="en-US" w:eastAsia="zh-CN"/>
        </w:rPr>
        <w:t>总用地面积为43494㎡，南临罗仙路、西临凤凰北路，东临新华河，总建筑面积约15.989万平方米；建设内容主要包括2栋23层写字楼（含裙楼商业）、1栋23层酒店（含裙楼商业）、2栋9层酒店（含裙楼商业）、6栋2层商业及两层地下室，</w:t>
      </w:r>
      <w:r>
        <w:rPr>
          <w:rFonts w:hint="eastAsia" w:ascii="宋体" w:hAnsi="宋体"/>
          <w:sz w:val="24"/>
          <w:highlight w:val="none"/>
          <w:u w:val="single"/>
        </w:rPr>
        <w:t>最大建筑高度</w:t>
      </w:r>
      <w:r>
        <w:rPr>
          <w:rFonts w:hint="eastAsia" w:ascii="宋体" w:hAnsi="宋体"/>
          <w:sz w:val="24"/>
          <w:highlight w:val="none"/>
          <w:u w:val="single"/>
          <w:lang w:val="en-US" w:eastAsia="zh-CN"/>
        </w:rPr>
        <w:t>为</w:t>
      </w:r>
      <w:r>
        <w:rPr>
          <w:rFonts w:hint="eastAsia" w:ascii="宋体" w:hAnsi="宋体" w:eastAsia="宋体"/>
          <w:sz w:val="24"/>
          <w:highlight w:val="none"/>
          <w:u w:val="single"/>
          <w:lang w:val="en-US" w:eastAsia="zh-CN"/>
        </w:rPr>
        <w:t>100</w:t>
      </w:r>
      <w:r>
        <w:rPr>
          <w:rFonts w:hint="eastAsia" w:ascii="宋体" w:hAnsi="宋体"/>
          <w:sz w:val="24"/>
          <w:highlight w:val="none"/>
          <w:u w:val="single"/>
        </w:rPr>
        <w:t>米，最大单体建筑面积</w:t>
      </w:r>
      <w:r>
        <w:rPr>
          <w:rFonts w:hint="eastAsia" w:ascii="宋体" w:hAnsi="宋体" w:eastAsia="宋体"/>
          <w:sz w:val="24"/>
          <w:highlight w:val="none"/>
          <w:u w:val="single"/>
          <w:lang w:val="en-US" w:eastAsia="zh-CN"/>
        </w:rPr>
        <w:t>42000</w:t>
      </w:r>
      <w:r>
        <w:rPr>
          <w:rFonts w:ascii="宋体" w:hAnsi="宋体"/>
          <w:bCs/>
          <w:sz w:val="24"/>
          <w:highlight w:val="none"/>
          <w:u w:val="single"/>
        </w:rPr>
        <w:t>平方米</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具体内容详见本项目设计任务书，最终以相关政府部门审查确定的建设项目、建设规模、建设标准等为准</w:t>
      </w:r>
      <w:r>
        <w:rPr>
          <w:rFonts w:hint="eastAsia" w:ascii="宋体" w:hAnsi="宋体" w:cs="宋体"/>
          <w:color w:val="000000"/>
          <w:sz w:val="24"/>
          <w:szCs w:val="24"/>
          <w:highlight w:val="none"/>
          <w:u w:val="single"/>
          <w:lang w:val="en-US" w:eastAsia="zh-CN"/>
        </w:rPr>
        <w:t>。</w:t>
      </w:r>
    </w:p>
    <w:p w14:paraId="35692934">
      <w:pPr>
        <w:keepNext w:val="0"/>
        <w:keepLines w:val="0"/>
        <w:pageBreakBefore w:val="0"/>
        <w:widowControl w:val="0"/>
        <w:shd w:val="clear"/>
        <w:tabs>
          <w:tab w:val="left" w:pos="7513"/>
        </w:tabs>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8" w:name="_Toc13481"/>
      <w:r>
        <w:rPr>
          <w:rFonts w:hint="eastAsia" w:ascii="宋体" w:hAnsi="宋体" w:eastAsia="宋体" w:cs="宋体"/>
          <w:color w:val="auto"/>
          <w:sz w:val="24"/>
          <w:szCs w:val="24"/>
          <w:highlight w:val="none"/>
          <w:lang w:val="en-US" w:eastAsia="zh-CN"/>
        </w:rPr>
        <w:t>2.2 招标范围</w:t>
      </w:r>
      <w:bookmarkEnd w:id="8"/>
    </w:p>
    <w:p w14:paraId="6D85ACC8">
      <w:pPr>
        <w:keepNext w:val="0"/>
        <w:keepLines w:val="0"/>
        <w:pageBreakBefore w:val="0"/>
        <w:widowControl w:val="0"/>
        <w:shd w:val="clear"/>
        <w:tabs>
          <w:tab w:val="left" w:pos="7513"/>
        </w:tabs>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2.2.1标段划分：</w:t>
      </w:r>
      <w:r>
        <w:rPr>
          <w:rFonts w:hint="eastAsia" w:ascii="宋体" w:hAnsi="宋体" w:eastAsia="宋体" w:cs="宋体"/>
          <w:color w:val="auto"/>
          <w:sz w:val="24"/>
          <w:szCs w:val="24"/>
          <w:highlight w:val="none"/>
          <w:u w:val="single"/>
          <w:lang w:val="en-US" w:eastAsia="zh-CN"/>
        </w:rPr>
        <w:t>1个标段</w:t>
      </w:r>
      <w:r>
        <w:rPr>
          <w:rFonts w:hint="eastAsia" w:ascii="宋体" w:hAnsi="宋体" w:eastAsia="宋体" w:cs="宋体"/>
          <w:color w:val="auto"/>
          <w:sz w:val="24"/>
          <w:szCs w:val="24"/>
          <w:highlight w:val="none"/>
          <w:lang w:val="en-US" w:eastAsia="zh-CN"/>
        </w:rPr>
        <w:t xml:space="preserve">     </w:t>
      </w:r>
    </w:p>
    <w:p w14:paraId="74A3FC94">
      <w:pPr>
        <w:keepNext w:val="0"/>
        <w:keepLines w:val="0"/>
        <w:pageBreakBefore w:val="0"/>
        <w:widowControl w:val="0"/>
        <w:kinsoku/>
        <w:wordWrap/>
        <w:overflowPunct/>
        <w:topLinePunct w:val="0"/>
        <w:bidi w:val="0"/>
        <w:snapToGrid/>
        <w:spacing w:line="440" w:lineRule="exact"/>
        <w:ind w:firstLine="420" w:firstLineChars="175"/>
        <w:jc w:val="lef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2.2.2</w:t>
      </w:r>
      <w:r>
        <w:rPr>
          <w:rFonts w:hint="eastAsia" w:ascii="宋体" w:hAnsi="宋体" w:cs="宋体"/>
          <w:color w:val="auto"/>
          <w:sz w:val="24"/>
          <w:szCs w:val="24"/>
          <w:highlight w:val="none"/>
          <w:lang w:eastAsia="zh-CN"/>
        </w:rPr>
        <w:t>招标内容</w:t>
      </w:r>
      <w:r>
        <w:rPr>
          <w:rFonts w:hint="eastAsia" w:ascii="宋体" w:hAnsi="宋体" w:eastAsia="宋体" w:cs="宋体"/>
          <w:color w:val="auto"/>
          <w:sz w:val="24"/>
          <w:szCs w:val="24"/>
          <w:highlight w:val="none"/>
        </w:rPr>
        <w:t>：</w:t>
      </w:r>
    </w:p>
    <w:p w14:paraId="59DF8730">
      <w:pPr>
        <w:keepNext w:val="0"/>
        <w:keepLines w:val="0"/>
        <w:pageBreakBefore w:val="0"/>
        <w:widowControl w:val="0"/>
        <w:kinsoku/>
        <w:wordWrap/>
        <w:overflowPunct/>
        <w:topLinePunct w:val="0"/>
        <w:bidi w:val="0"/>
        <w:snapToGrid/>
        <w:spacing w:line="440" w:lineRule="exact"/>
        <w:ind w:firstLine="420" w:firstLineChars="175"/>
        <w:jc w:val="left"/>
        <w:textAlignment w:val="auto"/>
        <w:rPr>
          <w:rFonts w:ascii="宋体" w:hAnsi="宋体" w:cs="宋体"/>
          <w:sz w:val="24"/>
          <w:szCs w:val="24"/>
          <w:u w:val="single"/>
        </w:rPr>
      </w:pPr>
      <w:r>
        <w:rPr>
          <w:rFonts w:hint="eastAsia" w:ascii="宋体" w:hAnsi="宋体" w:cs="宋体"/>
          <w:sz w:val="24"/>
          <w:szCs w:val="24"/>
          <w:u w:val="single"/>
        </w:rPr>
        <w:t>（1）按工程项目行业主管部门、监督部门要求进行的相关检测与监测项目，包括但不限于进入施工现场的建筑材料、构配件的见证取样检测与监测，涉及结构安全项目的抽样检测与监测，具有质量监控作用的地基基础检测与监测项目、主体结构检测、消防检测、防雷检测、</w:t>
      </w:r>
      <w:r>
        <w:rPr>
          <w:rFonts w:hint="eastAsia"/>
          <w:bCs/>
          <w:sz w:val="24"/>
          <w:u w:val="single"/>
        </w:rPr>
        <w:t>节能检测、水质检测、海绵城市</w:t>
      </w:r>
      <w:r>
        <w:rPr>
          <w:rFonts w:hint="eastAsia"/>
          <w:bCs/>
          <w:sz w:val="24"/>
          <w:u w:val="single"/>
          <w:lang w:eastAsia="zh-CN"/>
        </w:rPr>
        <w:t>、</w:t>
      </w:r>
      <w:bookmarkStart w:id="164" w:name="_GoBack"/>
      <w:bookmarkEnd w:id="164"/>
      <w:r>
        <w:rPr>
          <w:rFonts w:hint="eastAsia"/>
          <w:bCs/>
          <w:sz w:val="24"/>
          <w:u w:val="single"/>
        </w:rPr>
        <w:t>人防设备安装质量</w:t>
      </w:r>
      <w:r>
        <w:rPr>
          <w:rFonts w:hint="eastAsia"/>
          <w:bCs/>
          <w:sz w:val="24"/>
          <w:u w:val="single"/>
          <w:lang w:val="en-US" w:eastAsia="zh-CN"/>
        </w:rPr>
        <w:t>检测</w:t>
      </w:r>
      <w:r>
        <w:rPr>
          <w:rFonts w:hint="eastAsia"/>
          <w:bCs/>
          <w:sz w:val="24"/>
          <w:u w:val="single"/>
        </w:rPr>
        <w:t>、土工、道路、园林等</w:t>
      </w:r>
      <w:r>
        <w:rPr>
          <w:rFonts w:hint="eastAsia" w:ascii="宋体" w:hAnsi="宋体" w:cs="宋体"/>
          <w:sz w:val="24"/>
          <w:szCs w:val="24"/>
          <w:u w:val="single"/>
        </w:rPr>
        <w:t>强制的检测、监督抽检、土壤氡含量检测、</w:t>
      </w:r>
      <w:r>
        <w:rPr>
          <w:rFonts w:hint="eastAsia" w:ascii="宋体" w:hAnsi="宋体" w:eastAsia="宋体" w:cs="宋体"/>
          <w:color w:val="auto"/>
          <w:sz w:val="24"/>
          <w:highlight w:val="none"/>
          <w:u w:val="single"/>
        </w:rPr>
        <w:t>基坑</w:t>
      </w:r>
      <w:r>
        <w:rPr>
          <w:rFonts w:hint="eastAsia" w:ascii="宋体" w:hAnsi="宋体" w:eastAsia="宋体" w:cs="宋体"/>
          <w:color w:val="auto"/>
          <w:sz w:val="24"/>
          <w:highlight w:val="none"/>
          <w:u w:val="single"/>
          <w:lang w:val="en-US" w:eastAsia="zh-CN"/>
        </w:rPr>
        <w:t>监测、沉降监测、</w:t>
      </w:r>
      <w:r>
        <w:rPr>
          <w:rFonts w:hint="eastAsia" w:ascii="宋体" w:hAnsi="宋体" w:cs="宋体"/>
          <w:sz w:val="24"/>
          <w:szCs w:val="24"/>
          <w:u w:val="single"/>
        </w:rPr>
        <w:t>高支模变形监测，以及为工程验收提供依据的所有检测与监测项目，包含施工阶段及验收阶段的各项验收及质量评定所必</w:t>
      </w:r>
      <w:r>
        <w:rPr>
          <w:rFonts w:hint="eastAsia" w:ascii="宋体" w:hAnsi="宋体" w:cs="宋体"/>
          <w:sz w:val="24"/>
          <w:szCs w:val="24"/>
          <w:u w:val="single"/>
          <w:lang w:val="en-US" w:eastAsia="zh-CN"/>
        </w:rPr>
        <w:t>需</w:t>
      </w:r>
      <w:r>
        <w:rPr>
          <w:rFonts w:hint="eastAsia" w:ascii="宋体" w:hAnsi="宋体" w:cs="宋体"/>
          <w:sz w:val="24"/>
          <w:szCs w:val="24"/>
          <w:u w:val="single"/>
        </w:rPr>
        <w:t>的全部质量检测与监测工作，同时也包括按要求出具合法有效的检测与监测成果报告。服务范围除以上工程检测与监测、试验工作外，还包括但不限于以下内容</w:t>
      </w:r>
      <w:r>
        <w:rPr>
          <w:rFonts w:hint="eastAsia" w:ascii="宋体" w:hAnsi="宋体" w:cs="宋体"/>
          <w:sz w:val="24"/>
          <w:szCs w:val="24"/>
        </w:rPr>
        <w:t>：</w:t>
      </w:r>
    </w:p>
    <w:p w14:paraId="653AE0D2">
      <w:pPr>
        <w:keepNext w:val="0"/>
        <w:keepLines w:val="0"/>
        <w:pageBreakBefore w:val="0"/>
        <w:widowControl w:val="0"/>
        <w:kinsoku/>
        <w:wordWrap/>
        <w:overflowPunct/>
        <w:topLinePunct w:val="0"/>
        <w:bidi w:val="0"/>
        <w:snapToGrid/>
        <w:spacing w:line="440" w:lineRule="exact"/>
        <w:ind w:firstLine="420" w:firstLineChars="175"/>
        <w:jc w:val="left"/>
        <w:textAlignment w:val="auto"/>
        <w:rPr>
          <w:rFonts w:ascii="宋体" w:hAnsi="宋体" w:cs="宋体"/>
          <w:sz w:val="24"/>
          <w:szCs w:val="24"/>
          <w:u w:val="single"/>
        </w:rPr>
      </w:pPr>
      <w:r>
        <w:rPr>
          <w:rFonts w:hint="eastAsia" w:ascii="宋体" w:hAnsi="宋体" w:cs="宋体"/>
          <w:sz w:val="24"/>
          <w:szCs w:val="24"/>
          <w:u w:val="single"/>
        </w:rPr>
        <w:t>①与工程所在行政区域的相关行业主管部门和监督部门进行检测与监测工作的协调，申报检测与监测技术成果的审批。保证技术成果能够通过相关部门认可，确保不因检测与监测工作影响本工程项目的建设进度和竣工验收</w:t>
      </w:r>
      <w:r>
        <w:rPr>
          <w:rFonts w:hint="eastAsia" w:ascii="宋体" w:hAnsi="宋体" w:cs="宋体"/>
          <w:sz w:val="24"/>
          <w:szCs w:val="24"/>
        </w:rPr>
        <w:t>。</w:t>
      </w:r>
    </w:p>
    <w:p w14:paraId="5C33BDB4">
      <w:pPr>
        <w:keepNext w:val="0"/>
        <w:keepLines w:val="0"/>
        <w:pageBreakBefore w:val="0"/>
        <w:widowControl w:val="0"/>
        <w:kinsoku/>
        <w:wordWrap/>
        <w:overflowPunct/>
        <w:topLinePunct w:val="0"/>
        <w:bidi w:val="0"/>
        <w:snapToGrid/>
        <w:spacing w:line="440" w:lineRule="exact"/>
        <w:ind w:firstLine="420" w:firstLineChars="175"/>
        <w:jc w:val="left"/>
        <w:textAlignment w:val="auto"/>
        <w:rPr>
          <w:rFonts w:ascii="宋体" w:hAnsi="宋体" w:cs="宋体"/>
          <w:sz w:val="24"/>
          <w:szCs w:val="24"/>
          <w:u w:val="single"/>
        </w:rPr>
      </w:pPr>
      <w:r>
        <w:rPr>
          <w:rFonts w:hint="eastAsia" w:ascii="宋体" w:hAnsi="宋体" w:cs="宋体"/>
          <w:sz w:val="24"/>
          <w:szCs w:val="24"/>
          <w:u w:val="single"/>
        </w:rPr>
        <w:t>②在进行检测与监测任务的过程中与该工程相关的施工单位、监理单位、设计单位、行业主管部门等相关单位的协调工作，投标人</w:t>
      </w:r>
      <w:r>
        <w:rPr>
          <w:rFonts w:hint="eastAsia" w:ascii="宋体" w:hAnsi="宋体" w:eastAsia="宋体" w:cs="宋体"/>
          <w:sz w:val="24"/>
          <w:szCs w:val="24"/>
          <w:u w:val="single"/>
        </w:rPr>
        <w:t>须</w:t>
      </w:r>
      <w:r>
        <w:rPr>
          <w:rFonts w:hint="eastAsia" w:ascii="宋体" w:hAnsi="宋体" w:cs="宋体"/>
          <w:sz w:val="24"/>
          <w:szCs w:val="24"/>
          <w:u w:val="single"/>
        </w:rPr>
        <w:t>在投标报价中综合考虑该项协调工作的费用</w:t>
      </w:r>
      <w:r>
        <w:rPr>
          <w:rFonts w:hint="eastAsia" w:ascii="宋体" w:hAnsi="宋体" w:cs="宋体"/>
          <w:sz w:val="24"/>
          <w:szCs w:val="24"/>
        </w:rPr>
        <w:t>。</w:t>
      </w:r>
    </w:p>
    <w:p w14:paraId="46934060">
      <w:pPr>
        <w:keepNext w:val="0"/>
        <w:keepLines w:val="0"/>
        <w:pageBreakBefore w:val="0"/>
        <w:widowControl w:val="0"/>
        <w:kinsoku/>
        <w:wordWrap/>
        <w:overflowPunct/>
        <w:topLinePunct w:val="0"/>
        <w:bidi w:val="0"/>
        <w:snapToGrid/>
        <w:spacing w:line="440" w:lineRule="exact"/>
        <w:ind w:firstLine="420" w:firstLineChars="175"/>
        <w:jc w:val="left"/>
        <w:textAlignment w:val="auto"/>
        <w:rPr>
          <w:rFonts w:ascii="宋体" w:hAnsi="宋体" w:cs="宋体"/>
          <w:sz w:val="24"/>
          <w:szCs w:val="24"/>
          <w:u w:val="single"/>
        </w:rPr>
      </w:pPr>
      <w:r>
        <w:rPr>
          <w:rFonts w:hint="eastAsia" w:ascii="宋体" w:hAnsi="宋体" w:cs="宋体"/>
          <w:sz w:val="24"/>
          <w:szCs w:val="24"/>
          <w:u w:val="single"/>
        </w:rPr>
        <w:t>③检测与监测数据的有关信息须按规定上传至广州市建设工程质量检测监管平台及其它政府指定的信息管理系统，确保不因传输报送工作影响本工程项目的建设进度和竣工验收</w:t>
      </w:r>
      <w:r>
        <w:rPr>
          <w:rFonts w:hint="eastAsia" w:ascii="宋体" w:hAnsi="宋体" w:cs="宋体"/>
          <w:sz w:val="24"/>
          <w:szCs w:val="24"/>
        </w:rPr>
        <w:t>。</w:t>
      </w:r>
    </w:p>
    <w:p w14:paraId="4A953984">
      <w:pPr>
        <w:keepNext w:val="0"/>
        <w:keepLines w:val="0"/>
        <w:pageBreakBefore w:val="0"/>
        <w:widowControl w:val="0"/>
        <w:kinsoku/>
        <w:wordWrap/>
        <w:overflowPunct/>
        <w:topLinePunct w:val="0"/>
        <w:bidi w:val="0"/>
        <w:snapToGrid/>
        <w:spacing w:line="440" w:lineRule="exact"/>
        <w:ind w:firstLine="420" w:firstLineChars="175"/>
        <w:jc w:val="left"/>
        <w:textAlignment w:val="auto"/>
        <w:rPr>
          <w:rFonts w:ascii="宋体" w:hAnsi="宋体" w:cs="宋体"/>
          <w:sz w:val="24"/>
          <w:szCs w:val="24"/>
          <w:u w:val="single"/>
        </w:rPr>
      </w:pPr>
      <w:r>
        <w:rPr>
          <w:rFonts w:hint="eastAsia" w:ascii="宋体" w:hAnsi="宋体" w:cs="宋体"/>
          <w:sz w:val="24"/>
          <w:szCs w:val="24"/>
          <w:u w:val="single"/>
        </w:rPr>
        <w:t>（2）检测与监测的要求：依据《建设工程质量检测管理办法》（建设部令第</w:t>
      </w:r>
      <w:r>
        <w:rPr>
          <w:rFonts w:hint="eastAsia" w:ascii="宋体" w:hAnsi="宋体" w:cs="宋体"/>
          <w:sz w:val="24"/>
          <w:szCs w:val="24"/>
          <w:u w:val="single"/>
          <w:lang w:val="en-US" w:eastAsia="zh-CN"/>
        </w:rPr>
        <w:t>57</w:t>
      </w:r>
      <w:r>
        <w:rPr>
          <w:rFonts w:hint="eastAsia" w:ascii="宋体" w:hAnsi="宋体" w:cs="宋体"/>
          <w:sz w:val="24"/>
          <w:szCs w:val="24"/>
          <w:u w:val="single"/>
        </w:rPr>
        <w:t>号）及国家现行有关规范要求，根据本项目检测与监测服务内容，中标人制定检测与监测方案（含细化工程量清单），并报监理和招标人审批同意后，方可实施。各专业项目进行实际检测与监测前，需将具体检测与监测方案和工程量报监理和招标人审批同意后方可进行。未经招标人审批同意擅自检测与监测的，产生的相关检测与监测费招标人不予认可，由中标单位自负。中标人按照审批同意的工程量检测与监测清单进场检测与监测，实施过程中做好现场拍照留底记录，实际发生的检测与监测工程量须由监理和招标人现场负责人书面确认，否则不予结算。招标人有权根据行业主管部门要求增加或减少计划表所列检测与监测方法和数量</w:t>
      </w:r>
      <w:r>
        <w:rPr>
          <w:rFonts w:hint="eastAsia" w:ascii="宋体" w:hAnsi="宋体" w:cs="宋体"/>
          <w:sz w:val="24"/>
          <w:szCs w:val="24"/>
        </w:rPr>
        <w:t>。</w:t>
      </w:r>
    </w:p>
    <w:p w14:paraId="47E19BB0">
      <w:pPr>
        <w:keepNext w:val="0"/>
        <w:keepLines w:val="0"/>
        <w:pageBreakBefore w:val="0"/>
        <w:widowControl w:val="0"/>
        <w:kinsoku/>
        <w:wordWrap/>
        <w:overflowPunct/>
        <w:topLinePunct w:val="0"/>
        <w:bidi w:val="0"/>
        <w:snapToGrid/>
        <w:spacing w:line="440" w:lineRule="exact"/>
        <w:ind w:firstLine="420" w:firstLineChars="175"/>
        <w:jc w:val="left"/>
        <w:textAlignment w:val="auto"/>
        <w:rPr>
          <w:rFonts w:ascii="宋体" w:hAnsi="宋体" w:cs="宋体"/>
          <w:sz w:val="24"/>
          <w:szCs w:val="24"/>
          <w:u w:val="single"/>
        </w:rPr>
      </w:pPr>
      <w:r>
        <w:rPr>
          <w:rFonts w:hint="eastAsia" w:ascii="宋体" w:hAnsi="宋体" w:cs="宋体"/>
          <w:sz w:val="24"/>
          <w:szCs w:val="24"/>
          <w:u w:val="single"/>
        </w:rPr>
        <w:t>（3）根据《广州市城乡建设委员会关于启用地下工程及深基坑安全监测信息管理系统的通知》及《广州市住房和城乡建设委员会关于启用高大模板实时监测管理平台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和“广州市高大模板实时监测管理平台”的能力及经验</w:t>
      </w:r>
      <w:r>
        <w:rPr>
          <w:rFonts w:hint="eastAsia" w:ascii="宋体" w:hAnsi="宋体" w:cs="宋体"/>
          <w:sz w:val="24"/>
          <w:szCs w:val="24"/>
        </w:rPr>
        <w:t>。</w:t>
      </w:r>
    </w:p>
    <w:p w14:paraId="0045363C">
      <w:pPr>
        <w:keepNext w:val="0"/>
        <w:keepLines w:val="0"/>
        <w:pageBreakBefore w:val="0"/>
        <w:widowControl w:val="0"/>
        <w:shd w:val="clear"/>
        <w:tabs>
          <w:tab w:val="left" w:pos="7513"/>
        </w:tabs>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u w:val="single"/>
        </w:rPr>
        <w:t>（4）本工程所涉及的部分检测与监测工作，如因项目进度需要等原因，中标单位在报招标人同意的情况下可另行发包给具有相应资质其它检验机构进行检验。但分包项目的检测与监测质量和检测与监测工期由中标单位负责。分包合同原则上由中标单位与另一方签订。</w:t>
      </w:r>
    </w:p>
    <w:p w14:paraId="0E8DB684">
      <w:pPr>
        <w:keepNext w:val="0"/>
        <w:keepLines w:val="0"/>
        <w:pageBreakBefore w:val="0"/>
        <w:widowControl w:val="0"/>
        <w:shd w:val="clear"/>
        <w:tabs>
          <w:tab w:val="left" w:pos="7513"/>
        </w:tabs>
        <w:kinsoku/>
        <w:wordWrap/>
        <w:overflowPunct/>
        <w:topLinePunct w:val="0"/>
        <w:bidi w:val="0"/>
        <w:snapToGrid/>
        <w:spacing w:line="440" w:lineRule="exact"/>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2.2.3</w:t>
      </w:r>
      <w:r>
        <w:rPr>
          <w:rFonts w:hint="eastAsia" w:ascii="宋体" w:hAnsi="宋体"/>
          <w:color w:val="auto"/>
          <w:sz w:val="24"/>
          <w:highlight w:val="none"/>
          <w:lang w:eastAsia="zh-CN"/>
        </w:rPr>
        <w:t>检验</w:t>
      </w:r>
      <w:r>
        <w:rPr>
          <w:rFonts w:hint="eastAsia" w:ascii="宋体" w:hAnsi="宋体"/>
          <w:color w:val="auto"/>
          <w:sz w:val="24"/>
          <w:highlight w:val="none"/>
        </w:rPr>
        <w:t>监测服务期限：</w:t>
      </w:r>
      <w:r>
        <w:rPr>
          <w:rFonts w:hint="eastAsia" w:ascii="宋体" w:hAnsi="宋体"/>
          <w:color w:val="auto"/>
          <w:sz w:val="24"/>
          <w:highlight w:val="none"/>
          <w:u w:val="single"/>
        </w:rPr>
        <w:t>总服务期从中标施工单位进场，至合同规定所有服务项目完成为止。</w:t>
      </w:r>
    </w:p>
    <w:p w14:paraId="0A6F1155">
      <w:pPr>
        <w:tabs>
          <w:tab w:val="left" w:pos="7513"/>
        </w:tabs>
        <w:ind w:firstLine="480" w:firstLineChars="200"/>
        <w:rPr>
          <w:rFonts w:hint="default"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rPr>
        <w:t>2.2.4</w:t>
      </w:r>
      <w:bookmarkStart w:id="9" w:name="OLE_LINK1"/>
      <w:r>
        <w:rPr>
          <w:rFonts w:hint="eastAsia" w:ascii="宋体" w:hAnsi="宋体" w:cs="宋体"/>
          <w:color w:val="auto"/>
          <w:sz w:val="24"/>
          <w:highlight w:val="none"/>
        </w:rPr>
        <w:t>最高投标限价：</w:t>
      </w:r>
      <w:r>
        <w:rPr>
          <w:rFonts w:hint="eastAsia" w:ascii="宋体" w:hAnsi="宋体" w:cs="宋体"/>
          <w:color w:val="auto"/>
          <w:sz w:val="24"/>
          <w:highlight w:val="none"/>
          <w:u w:val="single"/>
          <w:lang w:val="en-US" w:eastAsia="zh-CN"/>
        </w:rPr>
        <w:t>10944000.00</w:t>
      </w:r>
      <w:r>
        <w:rPr>
          <w:rFonts w:hint="eastAsia" w:ascii="宋体" w:hAnsi="宋体" w:cs="宋体"/>
          <w:color w:val="auto"/>
          <w:sz w:val="24"/>
          <w:highlight w:val="none"/>
          <w:u w:val="single"/>
        </w:rPr>
        <w:t>元</w:t>
      </w:r>
      <w:r>
        <w:rPr>
          <w:rFonts w:hint="eastAsia" w:ascii="宋体" w:hAnsi="宋体" w:cs="宋体"/>
          <w:color w:val="auto"/>
          <w:sz w:val="24"/>
          <w:highlight w:val="none"/>
          <w:u w:val="single"/>
          <w:lang w:val="en-US" w:eastAsia="zh-CN"/>
        </w:rPr>
        <w:t>。</w:t>
      </w:r>
    </w:p>
    <w:bookmarkEnd w:id="9"/>
    <w:p w14:paraId="7A9711C0">
      <w:pPr>
        <w:pStyle w:val="4"/>
        <w:keepNext w:val="0"/>
        <w:keepLines w:val="0"/>
        <w:pageBreakBefore w:val="0"/>
        <w:widowControl w:val="0"/>
        <w:shd w:val="clear"/>
        <w:kinsoku/>
        <w:wordWrap/>
        <w:overflowPunct/>
        <w:topLinePunct w:val="0"/>
        <w:autoSpaceDE w:val="0"/>
        <w:autoSpaceDN w:val="0"/>
        <w:bidi w:val="0"/>
        <w:adjustRightInd w:val="0"/>
        <w:snapToGrid/>
        <w:spacing w:before="0" w:beforeLines="150" w:after="0" w:afterLines="0"/>
        <w:textAlignment w:val="auto"/>
        <w:outlineLvl w:val="1"/>
        <w:rPr>
          <w:rFonts w:hint="eastAsia" w:ascii="宋体" w:hAnsi="宋体" w:eastAsia="宋体" w:cs="宋体"/>
          <w:b w:val="0"/>
          <w:i/>
          <w:color w:val="auto"/>
          <w:sz w:val="21"/>
          <w:szCs w:val="21"/>
          <w:highlight w:val="none"/>
          <w:lang w:val="en-US" w:eastAsia="zh-CN"/>
        </w:rPr>
      </w:pPr>
      <w:bookmarkStart w:id="10" w:name="bookmark4"/>
      <w:bookmarkEnd w:id="10"/>
      <w:bookmarkStart w:id="11" w:name="_Toc32236"/>
      <w:r>
        <w:rPr>
          <w:rFonts w:hint="eastAsia" w:ascii="宋体" w:hAnsi="宋体" w:eastAsia="宋体" w:cs="宋体"/>
          <w:color w:val="auto"/>
          <w:sz w:val="24"/>
          <w:szCs w:val="24"/>
          <w:highlight w:val="none"/>
        </w:rPr>
        <w:t>3.投标人资格要求</w:t>
      </w:r>
      <w:bookmarkEnd w:id="11"/>
    </w:p>
    <w:p w14:paraId="5865C29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3.1投标申请人参加投标的意思表达清楚，投标人代表被授权有效</w:t>
      </w:r>
      <w:r>
        <w:rPr>
          <w:rFonts w:ascii="宋体" w:hAnsi="宋体" w:cs="宋体"/>
          <w:color w:val="auto"/>
          <w:sz w:val="24"/>
          <w:szCs w:val="24"/>
          <w:highlight w:val="none"/>
        </w:rPr>
        <w:t>。</w:t>
      </w:r>
    </w:p>
    <w:p w14:paraId="0E3387D4">
      <w:pPr>
        <w:keepNext w:val="0"/>
        <w:keepLines w:val="0"/>
        <w:pageBreakBefore w:val="0"/>
        <w:widowControl w:val="0"/>
        <w:kinsoku/>
        <w:overflowPunct/>
        <w:topLinePunct w:val="0"/>
        <w:bidi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3.2</w:t>
      </w:r>
      <w:r>
        <w:rPr>
          <w:rFonts w:hint="eastAsia" w:ascii="宋体" w:hAnsi="宋体"/>
          <w:color w:val="auto"/>
          <w:sz w:val="24"/>
          <w:szCs w:val="24"/>
          <w:highlight w:val="none"/>
        </w:rPr>
        <w:t>投标人</w:t>
      </w:r>
      <w:r>
        <w:rPr>
          <w:rFonts w:hint="eastAsia" w:ascii="宋体" w:hAnsi="宋体" w:eastAsia="宋体"/>
          <w:color w:val="auto"/>
          <w:sz w:val="24"/>
          <w:szCs w:val="24"/>
          <w:highlight w:val="none"/>
        </w:rPr>
        <w:t>（</w:t>
      </w:r>
      <w:r>
        <w:rPr>
          <w:rFonts w:hint="eastAsia" w:ascii="宋体" w:hAnsi="宋体"/>
          <w:color w:val="auto"/>
          <w:sz w:val="24"/>
          <w:szCs w:val="24"/>
          <w:highlight w:val="none"/>
          <w:lang w:eastAsia="zh-CN"/>
        </w:rPr>
        <w:t>若为联合体投标的，指</w:t>
      </w:r>
      <w:r>
        <w:rPr>
          <w:rFonts w:hint="eastAsia" w:ascii="宋体" w:hAnsi="宋体" w:eastAsia="宋体"/>
          <w:color w:val="auto"/>
          <w:sz w:val="24"/>
          <w:szCs w:val="24"/>
          <w:highlight w:val="none"/>
        </w:rPr>
        <w:t>联合体各方</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持有工</w:t>
      </w:r>
      <w:r>
        <w:rPr>
          <w:rFonts w:ascii="宋体" w:hAnsi="宋体" w:cs="宋体"/>
          <w:color w:val="auto"/>
          <w:sz w:val="24"/>
          <w:szCs w:val="24"/>
          <w:highlight w:val="none"/>
        </w:rPr>
        <w:t>商行政（或市场监管）管理部门核发的法人营业执照或各级政府事业单位登记管理机关颁发的事业单位法人证书，按国家法律经营。</w:t>
      </w:r>
    </w:p>
    <w:p w14:paraId="302B7D9D">
      <w:pPr>
        <w:pStyle w:val="28"/>
        <w:keepNext w:val="0"/>
        <w:keepLines w:val="0"/>
        <w:pageBreakBefore w:val="0"/>
        <w:widowControl w:val="0"/>
        <w:kinsoku/>
        <w:overflowPunct/>
        <w:topLinePunct w:val="0"/>
        <w:bidi w:val="0"/>
        <w:spacing w:line="360" w:lineRule="auto"/>
        <w:ind w:firstLine="480"/>
        <w:textAlignment w:val="auto"/>
        <w:rPr>
          <w:rFonts w:hint="eastAsia" w:ascii="宋体" w:hAnsi="宋体" w:cs="宋体"/>
          <w:sz w:val="24"/>
        </w:rPr>
      </w:pPr>
      <w:r>
        <w:rPr>
          <w:rFonts w:hint="eastAsia" w:cs="宋体"/>
          <w:color w:val="auto"/>
          <w:sz w:val="24"/>
          <w:highlight w:val="none"/>
          <w:lang w:val="en-US" w:eastAsia="zh-CN"/>
        </w:rPr>
        <w:t>3.3</w:t>
      </w:r>
      <w:r>
        <w:rPr>
          <w:rFonts w:hint="eastAsia" w:ascii="宋体" w:hAnsi="宋体" w:cs="宋体"/>
          <w:sz w:val="24"/>
        </w:rPr>
        <w:t>投标人须具有以下两种资质：</w:t>
      </w:r>
    </w:p>
    <w:p w14:paraId="089A864E">
      <w:pPr>
        <w:pStyle w:val="28"/>
        <w:keepNext w:val="0"/>
        <w:keepLines w:val="0"/>
        <w:pageBreakBefore w:val="0"/>
        <w:widowControl w:val="0"/>
        <w:kinsoku/>
        <w:overflowPunct/>
        <w:topLinePunct w:val="0"/>
        <w:bidi w:val="0"/>
        <w:spacing w:line="360" w:lineRule="auto"/>
        <w:ind w:firstLine="480"/>
        <w:textAlignment w:val="auto"/>
        <w:rPr>
          <w:rFonts w:hint="eastAsia" w:ascii="宋体" w:hAnsi="宋体" w:cs="宋体"/>
          <w:color w:val="auto"/>
          <w:sz w:val="24"/>
          <w:szCs w:val="24"/>
          <w:highlight w:val="none"/>
        </w:rPr>
      </w:pPr>
      <w:r>
        <w:rPr>
          <w:rFonts w:hint="eastAsia" w:ascii="宋体" w:hAnsi="宋体" w:cs="宋体"/>
          <w:sz w:val="24"/>
          <w:szCs w:val="24"/>
          <w:lang w:val="en-US" w:eastAsia="zh-CN"/>
        </w:rPr>
        <w:t>3.3.1</w:t>
      </w:r>
      <w:r>
        <w:rPr>
          <w:rFonts w:hint="eastAsia" w:ascii="宋体" w:hAnsi="宋体" w:cs="宋体"/>
          <w:color w:val="auto"/>
          <w:sz w:val="24"/>
          <w:szCs w:val="24"/>
          <w:highlight w:val="none"/>
        </w:rPr>
        <w:t>投标人</w:t>
      </w:r>
      <w:r>
        <w:rPr>
          <w:rFonts w:hint="eastAsia" w:ascii="宋体" w:hAnsi="宋体" w:eastAsia="宋体" w:cs="宋体"/>
          <w:color w:val="auto"/>
          <w:sz w:val="24"/>
          <w:szCs w:val="24"/>
          <w:highlight w:val="none"/>
        </w:rPr>
        <w:t>（若为联合体投标，指承担</w:t>
      </w:r>
      <w:r>
        <w:rPr>
          <w:rFonts w:hint="eastAsia" w:ascii="宋体" w:hAnsi="宋体" w:cs="宋体"/>
          <w:color w:val="auto"/>
          <w:sz w:val="24"/>
          <w:szCs w:val="24"/>
          <w:highlight w:val="none"/>
          <w:lang w:val="en-US" w:eastAsia="zh-CN"/>
        </w:rPr>
        <w:t>检测</w:t>
      </w:r>
      <w:r>
        <w:rPr>
          <w:rFonts w:hint="eastAsia" w:ascii="宋体" w:hAnsi="宋体" w:eastAsia="宋体" w:cs="宋体"/>
          <w:color w:val="auto"/>
          <w:sz w:val="24"/>
          <w:szCs w:val="24"/>
          <w:highlight w:val="none"/>
        </w:rPr>
        <w:t>任务的单位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须具有有效的建设行政主管部门颁发的建设工程质量</w:t>
      </w:r>
      <w:r>
        <w:rPr>
          <w:rFonts w:hint="eastAsia" w:ascii="宋体" w:hAnsi="宋体" w:cs="宋体"/>
          <w:color w:val="auto"/>
          <w:sz w:val="24"/>
          <w:szCs w:val="24"/>
          <w:highlight w:val="none"/>
          <w:lang w:eastAsia="zh-CN"/>
        </w:rPr>
        <w:t>检验</w:t>
      </w:r>
      <w:r>
        <w:rPr>
          <w:rFonts w:hint="eastAsia" w:ascii="宋体" w:hAnsi="宋体" w:eastAsia="宋体" w:cs="宋体"/>
          <w:color w:val="auto"/>
          <w:sz w:val="24"/>
          <w:szCs w:val="24"/>
          <w:highlight w:val="none"/>
        </w:rPr>
        <w:t>机构资质证书</w:t>
      </w:r>
      <w:r>
        <w:rPr>
          <w:rFonts w:hint="eastAsia" w:ascii="宋体" w:hAnsi="宋体" w:cs="宋体"/>
          <w:sz w:val="24"/>
          <w:szCs w:val="24"/>
        </w:rPr>
        <w:t>（检测范围覆盖见证取样检测、地基基础检测、主体结构检测），且证书在有效期内；或根据《住房和城乡建设部关于印发《建设工程质量检测机构资质标准》的通知》（建质规〔2023〕1号，以下简称新资质标准）具有有效的建设行政主管部门颁发的建设工程质量检测机构综合资质证书或专项资质证书（</w:t>
      </w:r>
      <w:r>
        <w:rPr>
          <w:rFonts w:hint="eastAsia" w:ascii="宋体" w:hAnsi="宋体" w:cs="宋体"/>
          <w:sz w:val="24"/>
          <w:szCs w:val="24"/>
          <w:highlight w:val="none"/>
        </w:rPr>
        <w:t>专项资质证书</w:t>
      </w:r>
      <w:r>
        <w:rPr>
          <w:rFonts w:hint="eastAsia" w:ascii="宋体" w:hAnsi="宋体" w:cs="宋体"/>
          <w:sz w:val="24"/>
          <w:szCs w:val="24"/>
        </w:rPr>
        <w:t>包括：建筑材料及构配件、主体结构及装饰装修、地基基础、钢结构、建筑节能、建筑幕墙）</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如投标人检测机构资质证书的检测项目与</w:t>
      </w:r>
      <w:r>
        <w:rPr>
          <w:rFonts w:hint="eastAsia" w:ascii="宋体" w:hAnsi="宋体" w:cs="宋体"/>
          <w:bCs/>
          <w:color w:val="auto"/>
          <w:sz w:val="24"/>
          <w:szCs w:val="24"/>
          <w:highlight w:val="none"/>
          <w:u w:val="single"/>
        </w:rPr>
        <w:t>主要检测内容</w:t>
      </w:r>
      <w:r>
        <w:rPr>
          <w:rFonts w:hint="eastAsia" w:ascii="宋体" w:hAnsi="宋体" w:cs="宋体"/>
          <w:color w:val="auto"/>
          <w:sz w:val="24"/>
          <w:szCs w:val="24"/>
          <w:highlight w:val="none"/>
          <w:u w:val="single"/>
        </w:rPr>
        <w:t>名称不同，但表达的意思一致也视为满足该项条件</w:t>
      </w:r>
      <w:r>
        <w:rPr>
          <w:rFonts w:hint="eastAsia" w:ascii="宋体" w:hAnsi="宋体" w:cs="宋体"/>
          <w:bCs/>
          <w:color w:val="auto"/>
          <w:sz w:val="24"/>
          <w:szCs w:val="24"/>
          <w:highlight w:val="none"/>
          <w:u w:val="single"/>
        </w:rPr>
        <w:t>。</w:t>
      </w:r>
    </w:p>
    <w:p w14:paraId="543369E5">
      <w:pPr>
        <w:pStyle w:val="28"/>
        <w:keepNext w:val="0"/>
        <w:keepLines w:val="0"/>
        <w:pageBreakBefore w:val="0"/>
        <w:widowControl w:val="0"/>
        <w:kinsoku/>
        <w:overflowPunct/>
        <w:topLinePunct w:val="0"/>
        <w:bidi w:val="0"/>
        <w:spacing w:line="360" w:lineRule="auto"/>
        <w:ind w:firstLine="480"/>
        <w:textAlignment w:val="auto"/>
        <w:rPr>
          <w:rFonts w:hint="eastAsia" w:ascii="宋体" w:cs="宋体"/>
          <w:color w:val="auto"/>
          <w:sz w:val="24"/>
          <w:highlight w:val="none"/>
          <w:lang w:bidi="ar-SA"/>
        </w:rPr>
      </w:pPr>
      <w:r>
        <w:rPr>
          <w:rFonts w:hint="eastAsia" w:ascii="宋体" w:cs="宋体"/>
          <w:color w:val="auto"/>
          <w:sz w:val="24"/>
          <w:highlight w:val="none"/>
          <w:lang w:bidi="ar-SA"/>
        </w:rPr>
        <w:t>注：</w:t>
      </w:r>
      <w:r>
        <w:rPr>
          <w:rFonts w:hint="eastAsia" w:ascii="宋体" w:hAnsi="宋体" w:cs="楷体"/>
          <w:color w:val="auto"/>
          <w:sz w:val="24"/>
          <w:szCs w:val="24"/>
          <w:highlight w:val="none"/>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w:t>
      </w:r>
      <w:r>
        <w:rPr>
          <w:rFonts w:hint="eastAsia" w:ascii="宋体" w:cs="宋体"/>
          <w:color w:val="auto"/>
          <w:sz w:val="24"/>
          <w:highlight w:val="none"/>
          <w:lang w:bidi="ar-SA"/>
        </w:rPr>
        <w:t>如投标人</w:t>
      </w:r>
      <w:r>
        <w:rPr>
          <w:rFonts w:hint="eastAsia" w:ascii="宋体" w:cs="宋体"/>
          <w:color w:val="auto"/>
          <w:sz w:val="24"/>
          <w:highlight w:val="none"/>
          <w:lang w:eastAsia="zh-CN" w:bidi="ar-SA"/>
        </w:rPr>
        <w:t>检验</w:t>
      </w:r>
      <w:r>
        <w:rPr>
          <w:rFonts w:hint="eastAsia" w:ascii="宋体" w:cs="宋体"/>
          <w:color w:val="auto"/>
          <w:sz w:val="24"/>
          <w:highlight w:val="none"/>
          <w:lang w:bidi="ar-SA"/>
        </w:rPr>
        <w:t>机构资质证书的</w:t>
      </w:r>
      <w:r>
        <w:rPr>
          <w:rFonts w:hint="eastAsia" w:ascii="宋体" w:cs="宋体"/>
          <w:color w:val="auto"/>
          <w:sz w:val="24"/>
          <w:highlight w:val="none"/>
          <w:lang w:eastAsia="zh-CN" w:bidi="ar-SA"/>
        </w:rPr>
        <w:t>检验</w:t>
      </w:r>
      <w:r>
        <w:rPr>
          <w:rFonts w:hint="eastAsia" w:ascii="宋体" w:cs="宋体"/>
          <w:color w:val="auto"/>
          <w:sz w:val="24"/>
          <w:highlight w:val="none"/>
          <w:lang w:bidi="ar-SA"/>
        </w:rPr>
        <w:t>项目与上述名称不同，但表达的意思一致也视为满足该项条件；资质内容按照《住房和城乡建设部关于印发《建设工程质量</w:t>
      </w:r>
      <w:r>
        <w:rPr>
          <w:rFonts w:hint="eastAsia" w:ascii="宋体" w:cs="宋体"/>
          <w:color w:val="auto"/>
          <w:sz w:val="24"/>
          <w:highlight w:val="none"/>
          <w:lang w:eastAsia="zh-CN" w:bidi="ar-SA"/>
        </w:rPr>
        <w:t>检验</w:t>
      </w:r>
      <w:r>
        <w:rPr>
          <w:rFonts w:hint="eastAsia" w:ascii="宋体" w:cs="宋体"/>
          <w:color w:val="auto"/>
          <w:sz w:val="24"/>
          <w:highlight w:val="none"/>
          <w:lang w:bidi="ar-SA"/>
        </w:rPr>
        <w:t>机构资质标准》的通知》建质规〔2023〕1号、《住房和城乡建设部办公厅关于做好建设工程质量</w:t>
      </w:r>
      <w:r>
        <w:rPr>
          <w:rFonts w:hint="eastAsia" w:ascii="宋体" w:cs="宋体"/>
          <w:color w:val="auto"/>
          <w:sz w:val="24"/>
          <w:highlight w:val="none"/>
          <w:lang w:eastAsia="zh-CN" w:bidi="ar-SA"/>
        </w:rPr>
        <w:t>检验</w:t>
      </w:r>
      <w:r>
        <w:rPr>
          <w:rFonts w:hint="eastAsia" w:ascii="宋体" w:cs="宋体"/>
          <w:color w:val="auto"/>
          <w:sz w:val="24"/>
          <w:highlight w:val="none"/>
          <w:lang w:bidi="ar-SA"/>
        </w:rPr>
        <w:t>机构新旧资质标准过渡工作的通知》建办质函〔2023〕100号文规定。</w:t>
      </w:r>
    </w:p>
    <w:p w14:paraId="79EE0AA1">
      <w:pPr>
        <w:pStyle w:val="28"/>
        <w:keepNext w:val="0"/>
        <w:keepLines w:val="0"/>
        <w:pageBreakBefore w:val="0"/>
        <w:widowControl w:val="0"/>
        <w:kinsoku/>
        <w:overflowPunct/>
        <w:topLinePunct w:val="0"/>
        <w:bidi w:val="0"/>
        <w:spacing w:line="360" w:lineRule="auto"/>
        <w:ind w:firstLine="480"/>
        <w:textAlignment w:val="auto"/>
        <w:rPr>
          <w:rFonts w:hint="eastAsia" w:ascii="宋体" w:hAnsi="宋体" w:cs="宋体"/>
          <w:sz w:val="24"/>
        </w:rPr>
      </w:pPr>
      <w:r>
        <w:rPr>
          <w:rFonts w:hint="eastAsia" w:ascii="宋体" w:hAnsi="宋体" w:cs="宋体"/>
          <w:sz w:val="24"/>
          <w:lang w:val="en-US" w:eastAsia="zh-CN"/>
        </w:rPr>
        <w:t>3.3.2</w:t>
      </w:r>
      <w:r>
        <w:rPr>
          <w:rFonts w:hint="eastAsia" w:ascii="宋体" w:hAnsi="宋体" w:cs="宋体"/>
          <w:sz w:val="24"/>
        </w:rPr>
        <w:t>投标人（若为联合体投标，指联合体承担监测任务的单位）具有以下（1）、（2）（3）项其中之一资质：</w:t>
      </w:r>
    </w:p>
    <w:p w14:paraId="3C95D360">
      <w:pPr>
        <w:pStyle w:val="28"/>
        <w:keepNext w:val="0"/>
        <w:keepLines w:val="0"/>
        <w:pageBreakBefore w:val="0"/>
        <w:widowControl w:val="0"/>
        <w:kinsoku/>
        <w:overflowPunct/>
        <w:topLinePunct w:val="0"/>
        <w:bidi w:val="0"/>
        <w:spacing w:line="360" w:lineRule="auto"/>
        <w:ind w:firstLine="480"/>
        <w:textAlignment w:val="auto"/>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工程勘察综合资质甲级；</w:t>
      </w:r>
    </w:p>
    <w:p w14:paraId="28CB9673">
      <w:pPr>
        <w:pStyle w:val="28"/>
        <w:keepNext w:val="0"/>
        <w:keepLines w:val="0"/>
        <w:pageBreakBefore w:val="0"/>
        <w:widowControl w:val="0"/>
        <w:kinsoku/>
        <w:overflowPunct/>
        <w:topLinePunct w:val="0"/>
        <w:bidi w:val="0"/>
        <w:spacing w:line="360" w:lineRule="auto"/>
        <w:ind w:firstLine="480"/>
        <w:textAlignment w:val="auto"/>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工程勘察专业（岩土工程</w:t>
      </w:r>
      <w:r>
        <w:rPr>
          <w:rFonts w:hint="eastAsia" w:ascii="宋体" w:hAnsi="宋体" w:cs="宋体"/>
          <w:sz w:val="24"/>
          <w:highlight w:val="none"/>
          <w:lang w:eastAsia="zh-CN"/>
        </w:rPr>
        <w:t>）</w:t>
      </w:r>
      <w:r>
        <w:rPr>
          <w:rFonts w:hint="eastAsia" w:ascii="宋体" w:hAnsi="宋体" w:cs="宋体"/>
          <w:sz w:val="24"/>
          <w:highlight w:val="none"/>
          <w:lang w:val="en-US" w:eastAsia="zh-CN"/>
        </w:rPr>
        <w:t>甲</w:t>
      </w:r>
      <w:r>
        <w:rPr>
          <w:rFonts w:hint="eastAsia" w:ascii="宋体" w:hAnsi="宋体" w:cs="宋体"/>
          <w:sz w:val="24"/>
          <w:highlight w:val="none"/>
        </w:rPr>
        <w:t>级资质和工程勘察专业</w:t>
      </w:r>
      <w:r>
        <w:rPr>
          <w:rFonts w:hint="eastAsia" w:ascii="宋体" w:hAnsi="宋体" w:cs="宋体"/>
          <w:sz w:val="24"/>
          <w:highlight w:val="none"/>
          <w:lang w:eastAsia="zh-CN"/>
        </w:rPr>
        <w:t>（</w:t>
      </w:r>
      <w:r>
        <w:rPr>
          <w:rFonts w:hint="eastAsia" w:ascii="宋体" w:hAnsi="宋体" w:cs="宋体"/>
          <w:sz w:val="24"/>
          <w:highlight w:val="none"/>
        </w:rPr>
        <w:t>工程测量）</w:t>
      </w:r>
      <w:r>
        <w:rPr>
          <w:rFonts w:hint="eastAsia" w:ascii="宋体" w:hAnsi="宋体" w:cs="宋体"/>
          <w:sz w:val="24"/>
          <w:highlight w:val="none"/>
          <w:lang w:val="en-US" w:eastAsia="zh-CN"/>
        </w:rPr>
        <w:t>乙</w:t>
      </w:r>
      <w:r>
        <w:rPr>
          <w:rFonts w:hint="eastAsia" w:ascii="宋体" w:hAnsi="宋体" w:cs="宋体"/>
          <w:sz w:val="24"/>
          <w:highlight w:val="none"/>
        </w:rPr>
        <w:t>级</w:t>
      </w:r>
      <w:r>
        <w:rPr>
          <w:rFonts w:hint="eastAsia" w:ascii="宋体" w:hAnsi="宋体" w:cs="宋体"/>
          <w:sz w:val="24"/>
          <w:highlight w:val="none"/>
          <w:lang w:eastAsia="zh-CN"/>
        </w:rPr>
        <w:t>（</w:t>
      </w:r>
      <w:r>
        <w:rPr>
          <w:rFonts w:hint="eastAsia" w:ascii="宋体" w:hAnsi="宋体" w:cs="宋体"/>
          <w:sz w:val="24"/>
          <w:highlight w:val="none"/>
          <w:lang w:val="en-US" w:eastAsia="zh-CN"/>
        </w:rPr>
        <w:t>或以上</w:t>
      </w:r>
      <w:r>
        <w:rPr>
          <w:rFonts w:hint="eastAsia" w:ascii="宋体" w:hAnsi="宋体" w:cs="宋体"/>
          <w:sz w:val="24"/>
          <w:highlight w:val="none"/>
          <w:lang w:eastAsia="zh-CN"/>
        </w:rPr>
        <w:t>）</w:t>
      </w:r>
      <w:r>
        <w:rPr>
          <w:rFonts w:hint="eastAsia" w:ascii="宋体" w:hAnsi="宋体" w:cs="宋体"/>
          <w:sz w:val="24"/>
          <w:highlight w:val="none"/>
        </w:rPr>
        <w:t>资质；</w:t>
      </w:r>
    </w:p>
    <w:p w14:paraId="60DA5A5A">
      <w:pPr>
        <w:pStyle w:val="28"/>
        <w:keepNext w:val="0"/>
        <w:keepLines w:val="0"/>
        <w:pageBreakBefore w:val="0"/>
        <w:widowControl w:val="0"/>
        <w:kinsoku/>
        <w:overflowPunct/>
        <w:topLinePunct w:val="0"/>
        <w:bidi w:val="0"/>
        <w:spacing w:line="360" w:lineRule="auto"/>
        <w:ind w:firstLine="480"/>
        <w:textAlignment w:val="auto"/>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工程勘察专业岩土工程（分项）</w:t>
      </w:r>
      <w:r>
        <w:rPr>
          <w:rFonts w:hint="eastAsia" w:ascii="宋体" w:hAnsi="宋体" w:cs="宋体"/>
          <w:b w:val="0"/>
          <w:bCs w:val="0"/>
          <w:color w:val="auto"/>
          <w:sz w:val="24"/>
          <w:szCs w:val="22"/>
          <w:highlight w:val="none"/>
          <w:u w:val="none"/>
        </w:rPr>
        <w:t>岩土工程勘察</w:t>
      </w:r>
      <w:r>
        <w:rPr>
          <w:rFonts w:hint="eastAsia" w:ascii="宋体" w:hAnsi="宋体" w:cs="宋体"/>
          <w:sz w:val="24"/>
          <w:highlight w:val="none"/>
          <w:lang w:val="en-US" w:eastAsia="zh-CN"/>
        </w:rPr>
        <w:t>甲</w:t>
      </w:r>
      <w:r>
        <w:rPr>
          <w:rFonts w:hint="eastAsia" w:ascii="宋体" w:hAnsi="宋体" w:cs="宋体"/>
          <w:sz w:val="24"/>
          <w:highlight w:val="none"/>
        </w:rPr>
        <w:t>级资质和工程勘察专业</w:t>
      </w:r>
      <w:r>
        <w:rPr>
          <w:rFonts w:hint="eastAsia" w:ascii="宋体" w:hAnsi="宋体" w:cs="宋体"/>
          <w:sz w:val="24"/>
          <w:highlight w:val="none"/>
          <w:lang w:eastAsia="zh-CN"/>
        </w:rPr>
        <w:t>（</w:t>
      </w:r>
      <w:r>
        <w:rPr>
          <w:rFonts w:hint="eastAsia" w:ascii="宋体" w:hAnsi="宋体" w:cs="宋体"/>
          <w:sz w:val="24"/>
          <w:highlight w:val="none"/>
        </w:rPr>
        <w:t>工程测量）</w:t>
      </w:r>
      <w:r>
        <w:rPr>
          <w:rFonts w:hint="eastAsia" w:ascii="宋体" w:hAnsi="宋体" w:cs="宋体"/>
          <w:sz w:val="24"/>
          <w:highlight w:val="none"/>
          <w:lang w:val="en-US" w:eastAsia="zh-CN"/>
        </w:rPr>
        <w:t>乙</w:t>
      </w:r>
      <w:r>
        <w:rPr>
          <w:rFonts w:hint="eastAsia" w:ascii="宋体" w:hAnsi="宋体" w:cs="宋体"/>
          <w:sz w:val="24"/>
          <w:highlight w:val="none"/>
        </w:rPr>
        <w:t>级</w:t>
      </w:r>
      <w:r>
        <w:rPr>
          <w:rFonts w:hint="eastAsia" w:ascii="宋体" w:hAnsi="宋体" w:cs="宋体"/>
          <w:sz w:val="24"/>
          <w:highlight w:val="none"/>
          <w:lang w:eastAsia="zh-CN"/>
        </w:rPr>
        <w:t>（</w:t>
      </w:r>
      <w:r>
        <w:rPr>
          <w:rFonts w:hint="eastAsia" w:ascii="宋体" w:hAnsi="宋体" w:cs="宋体"/>
          <w:sz w:val="24"/>
          <w:highlight w:val="none"/>
          <w:lang w:val="en-US" w:eastAsia="zh-CN"/>
        </w:rPr>
        <w:t>或以上</w:t>
      </w:r>
      <w:r>
        <w:rPr>
          <w:rFonts w:hint="eastAsia" w:ascii="宋体" w:hAnsi="宋体" w:cs="宋体"/>
          <w:sz w:val="24"/>
          <w:highlight w:val="none"/>
          <w:lang w:eastAsia="zh-CN"/>
        </w:rPr>
        <w:t>）</w:t>
      </w:r>
      <w:r>
        <w:rPr>
          <w:rFonts w:hint="eastAsia" w:ascii="宋体" w:hAnsi="宋体" w:cs="宋体"/>
          <w:sz w:val="24"/>
          <w:highlight w:val="none"/>
        </w:rPr>
        <w:t>资质。</w:t>
      </w:r>
    </w:p>
    <w:p w14:paraId="25651818">
      <w:pPr>
        <w:keepNext w:val="0"/>
        <w:keepLines w:val="0"/>
        <w:pageBreakBefore w:val="0"/>
        <w:widowControl w:val="0"/>
        <w:kinsoku/>
        <w:wordWrap w:val="0"/>
        <w:overflowPunct/>
        <w:topLinePunct w:val="0"/>
        <w:bidi w:val="0"/>
        <w:snapToGrid w:val="0"/>
        <w:spacing w:line="360" w:lineRule="auto"/>
        <w:ind w:firstLine="480" w:firstLineChars="200"/>
        <w:textAlignment w:val="auto"/>
        <w:rPr>
          <w:rFonts w:hint="eastAsia" w:ascii="宋体" w:cs="宋体"/>
          <w:color w:val="auto"/>
          <w:sz w:val="24"/>
          <w:szCs w:val="24"/>
          <w:highlight w:val="none"/>
          <w:u w:val="single"/>
          <w:lang w:eastAsia="zh-CN" w:bidi="ar-SA"/>
        </w:rPr>
      </w:pPr>
      <w:r>
        <w:rPr>
          <w:rFonts w:hint="eastAsia" w:ascii="宋体" w:cs="宋体"/>
          <w:color w:val="auto"/>
          <w:sz w:val="24"/>
          <w:highlight w:val="none"/>
          <w:lang w:val="en-US" w:eastAsia="zh-CN" w:bidi="ar-SA"/>
        </w:rPr>
        <w:t>3.4</w:t>
      </w:r>
      <w:r>
        <w:rPr>
          <w:rFonts w:hint="eastAsia" w:ascii="宋体" w:hAnsi="宋体" w:cs="宋体"/>
          <w:sz w:val="24"/>
          <w:szCs w:val="24"/>
          <w:highlight w:val="none"/>
        </w:rPr>
        <w:t>投标人</w:t>
      </w:r>
      <w:r>
        <w:rPr>
          <w:rFonts w:hint="eastAsia" w:ascii="宋体" w:hAnsi="宋体" w:cs="宋体"/>
          <w:bCs/>
          <w:sz w:val="24"/>
          <w:szCs w:val="24"/>
          <w:highlight w:val="none"/>
        </w:rPr>
        <w:t>须</w:t>
      </w:r>
      <w:r>
        <w:rPr>
          <w:rFonts w:hint="eastAsia" w:ascii="宋体" w:hAnsi="宋体" w:cs="宋体"/>
          <w:sz w:val="24"/>
          <w:szCs w:val="24"/>
          <w:highlight w:val="none"/>
        </w:rPr>
        <w:t>具备质量技术监督管理部门颁发的CMA计量认证合格证书或CMA检验检测机构资质认定证书（①承担检测任务的单位认证范围需覆盖本次招标主要内容：见证取样检测、地基基础工程检测、主体结构工程现场检测、建筑节能检测、钢结构、建筑幕墙检测</w:t>
      </w:r>
      <w:r>
        <w:rPr>
          <w:rFonts w:hint="eastAsia" w:ascii="宋体" w:hAnsi="宋体" w:cs="宋体"/>
          <w:sz w:val="24"/>
          <w:szCs w:val="24"/>
          <w:highlight w:val="none"/>
          <w:lang w:eastAsia="zh-CN"/>
        </w:rPr>
        <w:t>；</w:t>
      </w:r>
      <w:r>
        <w:rPr>
          <w:rFonts w:hint="eastAsia" w:ascii="宋体" w:hAnsi="宋体" w:cs="宋体"/>
          <w:sz w:val="24"/>
          <w:szCs w:val="24"/>
          <w:highlight w:val="none"/>
        </w:rPr>
        <w:t>②承担监测任务的单位认证范围需覆盖本次招标主要内容：</w:t>
      </w:r>
      <w:r>
        <w:rPr>
          <w:rFonts w:hint="eastAsia" w:ascii="宋体" w:hAnsi="宋体" w:eastAsia="宋体" w:cs="宋体"/>
          <w:sz w:val="24"/>
          <w:szCs w:val="24"/>
          <w:highlight w:val="none"/>
        </w:rPr>
        <w:t>基坑监测、高支模监测、主体沉降监测</w:t>
      </w:r>
      <w:r>
        <w:rPr>
          <w:rFonts w:hint="eastAsia" w:ascii="宋体" w:hAnsi="宋体" w:cs="宋体"/>
          <w:bCs/>
          <w:sz w:val="24"/>
          <w:szCs w:val="24"/>
          <w:highlight w:val="none"/>
          <w:lang w:eastAsia="zh-CN"/>
        </w:rPr>
        <w:t>）</w:t>
      </w:r>
      <w:r>
        <w:rPr>
          <w:rFonts w:hint="eastAsia" w:ascii="宋体" w:hAnsi="宋体" w:cs="宋体"/>
          <w:sz w:val="24"/>
          <w:szCs w:val="24"/>
          <w:highlight w:val="none"/>
        </w:rPr>
        <w:t>如投标人CMA计量认证合格证书或CMA检验检测机构资质认定证书中的项目与主要检测内容名称不同，但表达的意思一致也视为满足该项条件，且证书在有效期内</w:t>
      </w:r>
      <w:r>
        <w:rPr>
          <w:rFonts w:hint="eastAsia" w:ascii="宋体" w:cs="宋体"/>
          <w:color w:val="auto"/>
          <w:sz w:val="24"/>
          <w:szCs w:val="24"/>
          <w:highlight w:val="none"/>
          <w:u w:val="none"/>
          <w:lang w:eastAsia="zh-CN" w:bidi="ar-SA"/>
        </w:rPr>
        <w:t>。</w:t>
      </w:r>
    </w:p>
    <w:p w14:paraId="71748D2A">
      <w:pPr>
        <w:keepNext w:val="0"/>
        <w:keepLines w:val="0"/>
        <w:pageBreakBefore w:val="0"/>
        <w:widowControl w:val="0"/>
        <w:kinsoku/>
        <w:overflowPunct/>
        <w:topLinePunct w:val="0"/>
        <w:bidi w:val="0"/>
        <w:spacing w:line="360" w:lineRule="auto"/>
        <w:ind w:firstLine="480"/>
        <w:textAlignment w:val="auto"/>
        <w:rPr>
          <w:rFonts w:ascii="宋体" w:hAnsi="宋体" w:cs="宋体"/>
          <w:color w:val="auto"/>
          <w:sz w:val="24"/>
          <w:highlight w:val="none"/>
          <w:u w:val="single"/>
        </w:rPr>
      </w:pPr>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投标人</w:t>
      </w:r>
      <w:r>
        <w:rPr>
          <w:rFonts w:hint="eastAsia" w:ascii="宋体" w:hAnsi="宋体" w:eastAsia="宋体" w:cs="宋体"/>
          <w:sz w:val="24"/>
          <w:szCs w:val="24"/>
          <w:highlight w:val="none"/>
        </w:rPr>
        <w:t>（若为联合体投标，项目负责人须是联合体牵头人（主办方）正式员工）</w:t>
      </w:r>
      <w:r>
        <w:rPr>
          <w:rFonts w:hint="eastAsia" w:ascii="宋体" w:hAnsi="宋体" w:cs="宋体"/>
          <w:color w:val="auto"/>
          <w:sz w:val="24"/>
          <w:highlight w:val="none"/>
        </w:rPr>
        <w:t>拟委派项目负责人要求具备</w:t>
      </w:r>
      <w:r>
        <w:rPr>
          <w:rFonts w:hint="eastAsia" w:ascii="宋体" w:hAnsi="宋体" w:cs="宋体"/>
          <w:color w:val="auto"/>
          <w:sz w:val="24"/>
          <w:highlight w:val="none"/>
          <w:u w:val="single"/>
        </w:rPr>
        <w:t>工程类相关专业工程师或以上技术职称</w:t>
      </w:r>
      <w:r>
        <w:rPr>
          <w:rFonts w:hint="eastAsia" w:ascii="宋体" w:hAnsi="宋体" w:cs="宋体"/>
          <w:color w:val="auto"/>
          <w:sz w:val="24"/>
          <w:highlight w:val="none"/>
          <w:lang w:eastAsia="zh-CN"/>
        </w:rPr>
        <w:t>，</w:t>
      </w:r>
      <w:r>
        <w:rPr>
          <w:rFonts w:hint="eastAsia" w:ascii="宋体" w:hAnsi="宋体" w:eastAsia="宋体" w:cs="宋体"/>
          <w:kern w:val="2"/>
          <w:sz w:val="24"/>
          <w:szCs w:val="22"/>
          <w:highlight w:val="none"/>
          <w:lang w:val="en-US" w:eastAsia="zh-CN" w:bidi="ar-SA"/>
        </w:rPr>
        <w:t>需提供投标申请人为其缴纳投标截止前三个月任一个月有效社保证明扫描件。</w:t>
      </w:r>
    </w:p>
    <w:p w14:paraId="59CB305D">
      <w:pPr>
        <w:keepNext w:val="0"/>
        <w:keepLines w:val="0"/>
        <w:pageBreakBefore w:val="0"/>
        <w:widowControl w:val="0"/>
        <w:kinsoku/>
        <w:overflowPunct/>
        <w:topLinePunct w:val="0"/>
        <w:bidi w:val="0"/>
        <w:spacing w:line="360" w:lineRule="auto"/>
        <w:ind w:firstLine="48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投标人</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eastAsia="zh-CN"/>
        </w:rPr>
        <w:t>若为联合体投标的，指</w:t>
      </w:r>
      <w:r>
        <w:rPr>
          <w:rFonts w:hint="eastAsia" w:ascii="宋体" w:hAnsi="宋体" w:eastAsia="宋体"/>
          <w:color w:val="auto"/>
          <w:sz w:val="24"/>
          <w:szCs w:val="24"/>
          <w:highlight w:val="none"/>
        </w:rPr>
        <w:t>联合体各方</w:t>
      </w:r>
      <w:r>
        <w:rPr>
          <w:rFonts w:hint="eastAsia" w:ascii="宋体" w:hAnsi="宋体" w:eastAsia="宋体"/>
          <w:color w:val="auto"/>
          <w:sz w:val="24"/>
          <w:szCs w:val="24"/>
          <w:highlight w:val="none"/>
          <w:lang w:eastAsia="zh-CN"/>
        </w:rPr>
        <w:t>）</w:t>
      </w:r>
      <w:r>
        <w:rPr>
          <w:rFonts w:hint="eastAsia" w:ascii="宋体" w:hAnsi="宋体" w:cs="宋体"/>
          <w:color w:val="auto"/>
          <w:sz w:val="24"/>
          <w:highlight w:val="none"/>
        </w:rPr>
        <w:t>已按照规定格式和内容签署盖章《投标人声明》（格式详见附件一）</w:t>
      </w:r>
      <w:r>
        <w:rPr>
          <w:rFonts w:hint="eastAsia" w:ascii="宋体" w:hAnsi="宋体" w:cs="宋体"/>
          <w:color w:val="auto"/>
          <w:sz w:val="24"/>
          <w:highlight w:val="none"/>
          <w:lang w:eastAsia="zh-CN"/>
        </w:rPr>
        <w:t>。</w:t>
      </w:r>
    </w:p>
    <w:p w14:paraId="29B85AFC">
      <w:pPr>
        <w:spacing w:line="360" w:lineRule="auto"/>
        <w:ind w:firstLine="480" w:firstLineChars="200"/>
        <w:rPr>
          <w:rFonts w:ascii="宋体" w:hAnsi="宋体" w:cs="宋体"/>
          <w:sz w:val="24"/>
          <w:szCs w:val="24"/>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7</w:t>
      </w:r>
      <w:r>
        <w:rPr>
          <w:rFonts w:hint="eastAsia" w:ascii="宋体" w:hAnsi="宋体" w:cs="宋体"/>
          <w:sz w:val="24"/>
          <w:szCs w:val="24"/>
        </w:rPr>
        <w:t>投标人（如为联合体，指联合体各方）在广州市住房和城乡建设局建立了企业信用档案，且拟担任本项目的项目负责人是本企业信用档案中的在册人员（信用档案办理详见《广州市住建行业信用管理平台检测企业信息录入指引》</w:t>
      </w:r>
    </w:p>
    <w:p w14:paraId="549A60BA">
      <w:pPr>
        <w:spacing w:line="360" w:lineRule="auto"/>
        <w:ind w:firstLine="480" w:firstLineChars="200"/>
        <w:rPr>
          <w:rFonts w:hint="eastAsia" w:ascii="宋体" w:hAnsi="宋体" w:eastAsia="宋体" w:cs="宋体"/>
          <w:color w:val="auto"/>
          <w:sz w:val="24"/>
          <w:szCs w:val="24"/>
          <w:highlight w:val="none"/>
          <w:lang w:val="en-US" w:eastAsia="zh-CN"/>
        </w:rPr>
      </w:pPr>
      <w:r>
        <w:fldChar w:fldCharType="begin"/>
      </w:r>
      <w:r>
        <w:instrText xml:space="preserve"> HYPERLINK "http://zfcj.gz.gov.cn/zwgk/zsdwxxgkzl/gzsjzyglfwzx/bszy/content/post_8077190.html" </w:instrText>
      </w:r>
      <w:r>
        <w:fldChar w:fldCharType="separate"/>
      </w:r>
      <w:r>
        <w:rPr>
          <w:rStyle w:val="27"/>
          <w:rFonts w:hint="eastAsia" w:ascii="宋体" w:hAnsi="宋体" w:cs="宋体"/>
          <w:color w:val="auto"/>
          <w:sz w:val="24"/>
          <w:szCs w:val="24"/>
        </w:rPr>
        <w:t>http://zfcj.gz.gov.cn/zwgk/zsdwxxgkzl/gzsjzyglfwzx/bszy/content/post_8077190.html</w:t>
      </w:r>
      <w:r>
        <w:rPr>
          <w:rStyle w:val="27"/>
          <w:rFonts w:hint="eastAsia" w:ascii="宋体" w:hAnsi="宋体" w:cs="宋体"/>
          <w:color w:val="auto"/>
          <w:sz w:val="24"/>
          <w:szCs w:val="24"/>
        </w:rPr>
        <w:fldChar w:fldCharType="end"/>
      </w:r>
      <w:r>
        <w:rPr>
          <w:rFonts w:hint="eastAsia" w:ascii="宋体" w:hAnsi="宋体" w:cs="宋体"/>
          <w:sz w:val="24"/>
          <w:szCs w:val="24"/>
        </w:rPr>
        <w:t>）</w:t>
      </w:r>
      <w:r>
        <w:rPr>
          <w:rFonts w:hint="eastAsia" w:ascii="宋体" w:hAnsi="宋体" w:cs="宋体"/>
          <w:color w:val="auto"/>
          <w:sz w:val="24"/>
          <w:highlight w:val="none"/>
          <w:lang w:eastAsia="zh-CN"/>
        </w:rPr>
        <w:t>。</w:t>
      </w:r>
    </w:p>
    <w:p w14:paraId="1A072692">
      <w:pPr>
        <w:keepNext w:val="0"/>
        <w:keepLines w:val="0"/>
        <w:pageBreakBefore w:val="0"/>
        <w:widowControl w:val="0"/>
        <w:kinsoku/>
        <w:overflowPunct/>
        <w:topLinePunct w:val="0"/>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3.8</w:t>
      </w:r>
      <w:r>
        <w:rPr>
          <w:rFonts w:hint="eastAsia" w:ascii="宋体" w:hAnsi="宋体" w:cs="宋体"/>
          <w:sz w:val="24"/>
          <w:szCs w:val="24"/>
        </w:rPr>
        <w:t>投标人（若为联合体投标，指联合体各方）未被列入拖欠农民工工资失信联合惩戒对象名单。【注：投标人无需提供资料，按</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cs="宋体"/>
          <w:sz w:val="24"/>
          <w:szCs w:val="24"/>
        </w:rPr>
        <w:t>交易系统比对结果进行评审】</w:t>
      </w:r>
      <w:r>
        <w:rPr>
          <w:rFonts w:hint="eastAsia" w:ascii="宋体" w:hAnsi="宋体" w:eastAsia="宋体" w:cs="宋体"/>
          <w:color w:val="auto"/>
          <w:sz w:val="24"/>
          <w:szCs w:val="24"/>
          <w:highlight w:val="none"/>
        </w:rPr>
        <w:t>。</w:t>
      </w:r>
    </w:p>
    <w:p w14:paraId="4D39EA6C">
      <w:pPr>
        <w:keepNext w:val="0"/>
        <w:keepLines w:val="0"/>
        <w:pageBreakBefore w:val="0"/>
        <w:widowControl w:val="0"/>
        <w:kinsoku/>
        <w:overflowPunct/>
        <w:topLinePunct w:val="0"/>
        <w:bidi w:val="0"/>
        <w:spacing w:line="36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3.9</w:t>
      </w:r>
      <w:r>
        <w:rPr>
          <w:rFonts w:hint="eastAsia" w:ascii="宋体" w:hAnsi="宋体" w:cs="宋体"/>
          <w:sz w:val="24"/>
          <w:szCs w:val="24"/>
        </w:rPr>
        <w:t>投标人（如为联合体，指联合体各方）近二年（从2023年1月1日起至今）未因以往检测和监测工作中存在伪造检测和监测数据、出具虚假检测和监测报告的行为被各级建设行政主管部门或市场监督管理部门行政处罚或通报的。（按投标人提供的《投标人声明》第三条内容进行评审）。</w:t>
      </w:r>
    </w:p>
    <w:p w14:paraId="7207BA46">
      <w:pPr>
        <w:keepNext w:val="0"/>
        <w:keepLines w:val="0"/>
        <w:pageBreakBefore w:val="0"/>
        <w:widowControl w:val="0"/>
        <w:kinsoku/>
        <w:overflowPunct/>
        <w:topLinePunct w:val="0"/>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关于联合体投标：</w:t>
      </w:r>
      <w:r>
        <w:rPr>
          <w:rFonts w:hint="eastAsia" w:ascii="宋体" w:hAnsi="宋体" w:eastAsia="宋体" w:cs="宋体"/>
          <w:color w:val="auto"/>
          <w:sz w:val="24"/>
          <w:szCs w:val="24"/>
          <w:highlight w:val="none"/>
          <w:u w:val="single"/>
        </w:rPr>
        <w:t>本项目接受联合体投标</w:t>
      </w:r>
      <w:r>
        <w:rPr>
          <w:rFonts w:hint="eastAsia" w:ascii="宋体" w:hAnsi="宋体" w:eastAsia="宋体" w:cs="宋体"/>
          <w:color w:val="auto"/>
          <w:sz w:val="24"/>
          <w:szCs w:val="24"/>
          <w:highlight w:val="none"/>
        </w:rPr>
        <w:t>。</w:t>
      </w:r>
    </w:p>
    <w:p w14:paraId="08C57C0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cs="宋体"/>
          <w:sz w:val="24"/>
          <w:szCs w:val="24"/>
        </w:rPr>
        <w:t>（1）如投标人组成联合体，只接受不多于</w:t>
      </w:r>
      <w:r>
        <w:rPr>
          <w:rFonts w:hint="eastAsia" w:ascii="宋体" w:hAnsi="宋体" w:cs="宋体"/>
          <w:sz w:val="24"/>
          <w:szCs w:val="24"/>
          <w:highlight w:val="none"/>
          <w:lang w:val="en-US" w:eastAsia="zh-CN"/>
        </w:rPr>
        <w:t>3</w:t>
      </w:r>
      <w:r>
        <w:rPr>
          <w:rFonts w:hint="eastAsia" w:ascii="宋体" w:hAnsi="宋体" w:cs="宋体"/>
          <w:sz w:val="24"/>
          <w:szCs w:val="24"/>
          <w:highlight w:val="none"/>
        </w:rPr>
        <w:t>家</w:t>
      </w:r>
      <w:r>
        <w:rPr>
          <w:rFonts w:hint="eastAsia" w:ascii="宋体" w:hAnsi="宋体" w:cs="宋体"/>
          <w:sz w:val="24"/>
          <w:szCs w:val="24"/>
        </w:rPr>
        <w:t>单位组成的联合体，应当在投标登记前组成，并按招标文件提供的格式签订联合体协议书，明确联合体牵头人（主办方）和各方权利义务，将该联合体协议书随投标文件一并提交招标人</w:t>
      </w:r>
      <w:r>
        <w:rPr>
          <w:rFonts w:hint="eastAsia" w:ascii="宋体" w:hAnsi="宋体" w:eastAsia="宋体" w:cs="宋体"/>
          <w:sz w:val="24"/>
          <w:szCs w:val="24"/>
          <w:highlight w:val="none"/>
        </w:rPr>
        <w:t>。</w:t>
      </w:r>
    </w:p>
    <w:p w14:paraId="6A98F8AC">
      <w:pPr>
        <w:widowControl/>
        <w:spacing w:line="360" w:lineRule="auto"/>
        <w:ind w:firstLine="484" w:firstLineChars="202"/>
        <w:rPr>
          <w:rFonts w:ascii="宋体" w:hAnsi="宋体" w:cs="宋体"/>
          <w:sz w:val="24"/>
          <w:szCs w:val="24"/>
        </w:rPr>
      </w:pPr>
      <w:bookmarkStart w:id="12" w:name="bookmark5"/>
      <w:bookmarkEnd w:id="12"/>
      <w:bookmarkStart w:id="13" w:name="_Toc22237"/>
      <w:r>
        <w:rPr>
          <w:rFonts w:hint="eastAsia" w:ascii="宋体" w:hAnsi="宋体" w:cs="宋体"/>
          <w:sz w:val="24"/>
          <w:szCs w:val="24"/>
        </w:rPr>
        <w:t>（2）联合体牵头人（主办方）的被授权人作为联合体各方的代表，承担责任和指令，并负责整个投标过程中的一切责任；</w:t>
      </w:r>
    </w:p>
    <w:p w14:paraId="4A004167">
      <w:pPr>
        <w:widowControl/>
        <w:spacing w:beforeLines="0" w:afterLines="0" w:line="360" w:lineRule="auto"/>
        <w:ind w:firstLine="484" w:firstLineChars="202"/>
        <w:rPr>
          <w:rFonts w:ascii="宋体" w:hAnsi="宋体" w:cs="宋体"/>
          <w:sz w:val="24"/>
          <w:szCs w:val="24"/>
        </w:rPr>
      </w:pPr>
      <w:r>
        <w:rPr>
          <w:rFonts w:hint="eastAsia" w:ascii="宋体" w:hAnsi="宋体" w:cs="宋体"/>
          <w:sz w:val="24"/>
          <w:szCs w:val="24"/>
        </w:rPr>
        <w:t>（3）联合体各方不得再以自己名义单独或参加其他联合体在本招标项目中投标，否则各相关投标均无效；</w:t>
      </w:r>
    </w:p>
    <w:p w14:paraId="4BE244D7">
      <w:pPr>
        <w:pStyle w:val="4"/>
        <w:keepNext w:val="0"/>
        <w:keepLines w:val="0"/>
        <w:pageBreakBefore w:val="0"/>
        <w:widowControl w:val="0"/>
        <w:shd w:val="clear"/>
        <w:kinsoku/>
        <w:wordWrap/>
        <w:overflowPunct/>
        <w:topLinePunct w:val="0"/>
        <w:autoSpaceDE w:val="0"/>
        <w:autoSpaceDN w:val="0"/>
        <w:bidi w:val="0"/>
        <w:adjustRightInd w:val="0"/>
        <w:snapToGrid/>
        <w:spacing w:before="0" w:beforeLines="0" w:after="0" w:afterLines="0" w:line="400" w:lineRule="exact"/>
        <w:ind w:firstLine="480" w:firstLineChars="200"/>
        <w:textAlignment w:val="auto"/>
        <w:outlineLvl w:val="1"/>
        <w:rPr>
          <w:rFonts w:hint="eastAsia" w:ascii="宋体" w:hAnsi="宋体" w:eastAsia="宋体" w:cs="宋体"/>
          <w:b w:val="0"/>
          <w:sz w:val="24"/>
          <w:szCs w:val="24"/>
          <w:lang w:eastAsia="zh-CN"/>
        </w:rPr>
      </w:pPr>
      <w:r>
        <w:rPr>
          <w:rFonts w:hint="eastAsia" w:ascii="宋体" w:hAnsi="宋体" w:eastAsia="宋体" w:cs="宋体"/>
          <w:b w:val="0"/>
          <w:sz w:val="24"/>
          <w:szCs w:val="24"/>
        </w:rPr>
        <w:t>（4）联合体投标时，除“联合体协议书”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主办方按要求签字或盖章即可。电子签章由主办方进行签章即可</w:t>
      </w:r>
      <w:r>
        <w:rPr>
          <w:rFonts w:hint="eastAsia" w:ascii="宋体" w:hAnsi="宋体" w:eastAsia="宋体" w:cs="宋体"/>
          <w:b w:val="0"/>
          <w:sz w:val="24"/>
          <w:szCs w:val="24"/>
          <w:lang w:eastAsia="zh-CN"/>
        </w:rPr>
        <w:t>。</w:t>
      </w:r>
    </w:p>
    <w:p w14:paraId="1C5834EE">
      <w:pPr>
        <w:keepNext w:val="0"/>
        <w:keepLines w:val="0"/>
        <w:pageBreakBefore w:val="0"/>
        <w:widowControl w:val="0"/>
        <w:kinsoku/>
        <w:wordWrap/>
        <w:overflowPunct/>
        <w:topLinePunct w:val="0"/>
        <w:autoSpaceDE w:val="0"/>
        <w:autoSpaceDN w:val="0"/>
        <w:bidi w:val="0"/>
        <w:adjustRightInd w:val="0"/>
        <w:snapToGrid/>
        <w:spacing w:line="400" w:lineRule="exact"/>
        <w:ind w:firstLine="720" w:firstLineChars="300"/>
        <w:textAlignment w:val="auto"/>
        <w:rPr>
          <w:rFonts w:hint="eastAsia"/>
          <w:lang w:eastAsia="zh-CN"/>
        </w:rPr>
      </w:pPr>
      <w:r>
        <w:rPr>
          <w:rFonts w:hint="eastAsia" w:ascii="宋体" w:hAnsi="宋体" w:cs="宋体"/>
          <w:bCs/>
          <w:sz w:val="24"/>
          <w:szCs w:val="24"/>
        </w:rPr>
        <w:t>注：未在招标公告第3条投标人资格要求单列的条件，不作为资审不合格的依据。</w:t>
      </w:r>
    </w:p>
    <w:p w14:paraId="74AD9E5F">
      <w:pPr>
        <w:pStyle w:val="4"/>
        <w:shd w:val="clear"/>
        <w:ind w:firstLine="482"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4.招标文件的获取</w:t>
      </w:r>
      <w:bookmarkEnd w:id="13"/>
    </w:p>
    <w:p w14:paraId="28A93653">
      <w:pPr>
        <w:widowControl/>
        <w:shd w:val="clear"/>
        <w:topLinePunct/>
        <w:autoSpaceDE/>
        <w:autoSpaceDN/>
        <w:adjustRightInd/>
        <w:snapToGrid w:val="0"/>
        <w:spacing w:line="360" w:lineRule="auto"/>
        <w:ind w:firstLine="471" w:firstLineChars="1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 xml:space="preserve">.1 </w:t>
      </w:r>
      <w:r>
        <w:rPr>
          <w:rFonts w:hint="eastAsia" w:ascii="宋体" w:hAnsi="宋体" w:eastAsia="宋体" w:cs="宋体"/>
          <w:color w:val="auto"/>
          <w:sz w:val="24"/>
          <w:szCs w:val="24"/>
          <w:highlight w:val="none"/>
        </w:rPr>
        <w:t>发布招标公告</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（北京时间，下同），凡有意参加投标者，请登录广州交易集团有限公司（广州公共资源交易中心）网站下载电子招标文件。</w:t>
      </w:r>
    </w:p>
    <w:p w14:paraId="1ED0FC61">
      <w:pPr>
        <w:widowControl/>
        <w:shd w:val="clear"/>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14:paraId="05E59F4E">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本项目招标文件随招标公告一并在</w:t>
      </w:r>
      <w:r>
        <w:rPr>
          <w:rFonts w:hint="eastAsia" w:ascii="宋体" w:hAnsi="宋体" w:eastAsia="宋体" w:cs="宋体"/>
          <w:color w:val="auto"/>
          <w:sz w:val="24"/>
          <w:szCs w:val="24"/>
          <w:highlight w:val="none"/>
          <w:lang w:eastAsia="zh-CN"/>
        </w:rPr>
        <w:t>广州交易集团有限公司（广州公共资源交易中心）网站交易平台</w:t>
      </w:r>
      <w:r>
        <w:rPr>
          <w:rFonts w:hint="eastAsia" w:ascii="宋体" w:hAnsi="宋体" w:eastAsia="宋体" w:cs="宋体"/>
          <w:color w:val="auto"/>
          <w:sz w:val="24"/>
          <w:szCs w:val="24"/>
          <w:highlight w:val="none"/>
        </w:rPr>
        <w:t>发布</w:t>
      </w:r>
      <w:r>
        <w:rPr>
          <w:rFonts w:hint="eastAsia" w:ascii="宋体" w:hAnsi="宋体" w:eastAsia="宋体" w:cs="宋体"/>
          <w:color w:val="auto"/>
          <w:sz w:val="24"/>
          <w:szCs w:val="24"/>
          <w:highlight w:val="none"/>
          <w:lang w:eastAsia="zh-CN"/>
        </w:rPr>
        <w:t>。招标文件一经在交易平台发布，视为发出给投标人，招标文件</w:t>
      </w:r>
      <w:r>
        <w:rPr>
          <w:rFonts w:hint="eastAsia" w:ascii="宋体" w:hAnsi="宋体" w:eastAsia="宋体" w:cs="宋体"/>
          <w:color w:val="auto"/>
          <w:sz w:val="24"/>
          <w:szCs w:val="24"/>
          <w:highlight w:val="none"/>
        </w:rPr>
        <w:t>由投标人自行</w:t>
      </w:r>
      <w:r>
        <w:rPr>
          <w:rFonts w:hint="eastAsia" w:ascii="宋体" w:hAnsi="宋体" w:eastAsia="宋体" w:cs="宋体"/>
          <w:color w:val="auto"/>
          <w:sz w:val="24"/>
          <w:szCs w:val="24"/>
          <w:highlight w:val="none"/>
          <w:lang w:eastAsia="zh-CN"/>
        </w:rPr>
        <w:t>在交易平台</w:t>
      </w:r>
      <w:r>
        <w:rPr>
          <w:rFonts w:hint="eastAsia" w:ascii="宋体" w:hAnsi="宋体" w:eastAsia="宋体" w:cs="宋体"/>
          <w:color w:val="auto"/>
          <w:sz w:val="24"/>
          <w:szCs w:val="24"/>
          <w:highlight w:val="none"/>
        </w:rPr>
        <w:t>下载。</w:t>
      </w:r>
    </w:p>
    <w:p w14:paraId="48F459C2">
      <w:pPr>
        <w:shd w:val="clea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14" w:name="_Toc31577"/>
      <w:r>
        <w:rPr>
          <w:rFonts w:hint="eastAsia" w:ascii="宋体" w:hAnsi="宋体" w:eastAsia="宋体" w:cs="宋体"/>
          <w:color w:val="auto"/>
          <w:sz w:val="24"/>
          <w:szCs w:val="24"/>
          <w:highlight w:val="none"/>
          <w:lang w:val="en-US" w:eastAsia="zh-CN"/>
        </w:rPr>
        <w:t>4.3 本项目采用资格后审方式。</w:t>
      </w:r>
      <w:bookmarkEnd w:id="14"/>
    </w:p>
    <w:p w14:paraId="2CF9A1E5">
      <w:pPr>
        <w:pStyle w:val="4"/>
        <w:shd w:val="clear"/>
        <w:outlineLvl w:val="1"/>
        <w:rPr>
          <w:rFonts w:hint="eastAsia" w:ascii="宋体" w:hAnsi="宋体" w:eastAsia="宋体" w:cs="宋体"/>
          <w:color w:val="auto"/>
          <w:sz w:val="24"/>
          <w:szCs w:val="24"/>
          <w:highlight w:val="none"/>
        </w:rPr>
      </w:pPr>
      <w:bookmarkStart w:id="15" w:name="bookmark6"/>
      <w:bookmarkEnd w:id="15"/>
      <w:bookmarkStart w:id="16" w:name="_Toc29694"/>
      <w:r>
        <w:rPr>
          <w:rFonts w:hint="eastAsia" w:ascii="宋体" w:hAnsi="宋体" w:eastAsia="宋体" w:cs="宋体"/>
          <w:color w:val="auto"/>
          <w:sz w:val="24"/>
          <w:szCs w:val="24"/>
          <w:highlight w:val="none"/>
        </w:rPr>
        <w:t>5.投标文件的递交</w:t>
      </w:r>
      <w:bookmarkEnd w:id="16"/>
    </w:p>
    <w:p w14:paraId="2C198DF7">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5.1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应在截止时间前</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eastAsia="zh-CN"/>
        </w:rPr>
        <w:t>广州交易集团有限公司（广州公共资源交易中心）网站</w:t>
      </w:r>
      <w:r>
        <w:rPr>
          <w:rFonts w:hint="eastAsia" w:ascii="宋体" w:hAnsi="宋体" w:eastAsia="宋体" w:cs="宋体"/>
          <w:color w:val="auto"/>
          <w:sz w:val="24"/>
          <w:szCs w:val="24"/>
          <w:highlight w:val="none"/>
        </w:rPr>
        <w:t>交易平台递交电子投标文件。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投标文件上传</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交易平台即时向投标人发出递交</w:t>
      </w:r>
      <w:r>
        <w:rPr>
          <w:rFonts w:hint="eastAsia" w:ascii="宋体" w:hAnsi="宋体" w:eastAsia="宋体" w:cs="宋体"/>
          <w:color w:val="auto"/>
          <w:sz w:val="24"/>
          <w:szCs w:val="24"/>
          <w:highlight w:val="none"/>
        </w:rPr>
        <w:t>回执</w:t>
      </w:r>
      <w:r>
        <w:rPr>
          <w:rFonts w:hint="eastAsia" w:ascii="宋体" w:hAnsi="宋体" w:eastAsia="宋体" w:cs="宋体"/>
          <w:color w:val="auto"/>
          <w:sz w:val="24"/>
          <w:szCs w:val="24"/>
          <w:highlight w:val="none"/>
          <w:lang w:eastAsia="zh-CN"/>
        </w:rPr>
        <w:t>通知。递交时间以递交回执通知载明的传输完成时间为准。</w:t>
      </w:r>
    </w:p>
    <w:p w14:paraId="5B38B76F">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在投标截止时间后半小时内，投标人通过</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对已递交的电子投标文件进行解密。</w:t>
      </w:r>
    </w:p>
    <w:p w14:paraId="57BCA02E">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5.2 </w:t>
      </w:r>
      <w:r>
        <w:rPr>
          <w:rFonts w:hint="eastAsia" w:ascii="宋体" w:hAnsi="宋体" w:eastAsia="宋体" w:cs="宋体"/>
          <w:color w:val="auto"/>
          <w:sz w:val="24"/>
          <w:szCs w:val="24"/>
          <w:highlight w:val="none"/>
        </w:rPr>
        <w:t>投标人应在递交投标文件截止时间前，登录</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网站交易平台办理网上投标登记手续；</w:t>
      </w:r>
      <w:r>
        <w:rPr>
          <w:rFonts w:hint="eastAsia" w:ascii="宋体" w:hAnsi="宋体" w:eastAsia="宋体" w:cs="宋体"/>
          <w:color w:val="auto"/>
          <w:sz w:val="24"/>
          <w:szCs w:val="24"/>
          <w:highlight w:val="none"/>
          <w:lang w:eastAsia="zh-CN"/>
        </w:rPr>
        <w:t>按照广州交易集团有限公司（广州公共资源交易中心）网站关于全流程电子化项目的相关指南进行操作。</w:t>
      </w:r>
    </w:p>
    <w:p w14:paraId="1C877FA1">
      <w:pPr>
        <w:widowControl/>
        <w:shd w:val="clear"/>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5.3 </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开始</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分。    </w:t>
      </w:r>
    </w:p>
    <w:p w14:paraId="50CF3A26">
      <w:pPr>
        <w:widowControl/>
        <w:shd w:val="clear"/>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5.4 </w:t>
      </w:r>
      <w:r>
        <w:rPr>
          <w:rFonts w:hint="eastAsia"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065238DA">
      <w:pPr>
        <w:keepNext w:val="0"/>
        <w:keepLines w:val="0"/>
        <w:pageBreakBefore w:val="0"/>
        <w:widowControl/>
        <w:shd w:val="clear"/>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 逾期送达的电子投标文件，</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lang w:val="en-US" w:eastAsia="zh-CN"/>
        </w:rPr>
        <w:t>交易平台将予以拒收。</w:t>
      </w:r>
    </w:p>
    <w:p w14:paraId="4FC3159D">
      <w:pPr>
        <w:pStyle w:val="4"/>
        <w:shd w:val="clear"/>
        <w:outlineLvl w:val="1"/>
        <w:rPr>
          <w:rFonts w:hint="eastAsia" w:ascii="宋体" w:hAnsi="宋体" w:eastAsia="宋体" w:cs="宋体"/>
          <w:color w:val="auto"/>
          <w:sz w:val="24"/>
          <w:szCs w:val="24"/>
          <w:highlight w:val="none"/>
        </w:rPr>
      </w:pPr>
      <w:bookmarkStart w:id="17" w:name="bookmark7"/>
      <w:bookmarkEnd w:id="17"/>
      <w:bookmarkStart w:id="18" w:name="_Toc8495"/>
      <w:r>
        <w:rPr>
          <w:rFonts w:hint="eastAsia" w:ascii="宋体" w:hAnsi="宋体" w:eastAsia="宋体" w:cs="宋体"/>
          <w:color w:val="auto"/>
          <w:sz w:val="24"/>
          <w:szCs w:val="24"/>
          <w:highlight w:val="none"/>
        </w:rPr>
        <w:t>6.发布公告的媒介</w:t>
      </w:r>
      <w:bookmarkEnd w:id="18"/>
    </w:p>
    <w:p w14:paraId="5F2326EB">
      <w:pPr>
        <w:shd w:val="clea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网（网址：</w:t>
      </w:r>
      <w:r>
        <w:rPr>
          <w:rFonts w:hint="eastAsia" w:ascii="宋体" w:hAnsi="宋体" w:eastAsia="宋体" w:cs="宋体"/>
          <w:color w:val="auto"/>
          <w:spacing w:val="-11"/>
          <w:sz w:val="24"/>
          <w:szCs w:val="24"/>
          <w:highlight w:val="none"/>
        </w:rPr>
        <w:t>http://www.gzggzy.cn</w:t>
      </w:r>
      <w:r>
        <w:rPr>
          <w:rFonts w:hint="eastAsia" w:ascii="宋体" w:hAnsi="宋体" w:eastAsia="宋体" w:cs="宋体"/>
          <w:color w:val="auto"/>
          <w:sz w:val="24"/>
          <w:szCs w:val="24"/>
          <w:highlight w:val="none"/>
        </w:rPr>
        <w:t>）、广东省招标投标监管网（网址：</w:t>
      </w:r>
      <w:r>
        <w:rPr>
          <w:rFonts w:hint="eastAsia" w:ascii="宋体" w:hAnsi="宋体" w:eastAsia="宋体" w:cs="宋体"/>
          <w:color w:val="auto"/>
          <w:spacing w:val="-17"/>
          <w:sz w:val="24"/>
          <w:szCs w:val="24"/>
          <w:highlight w:val="none"/>
        </w:rPr>
        <w:t>http://zbtb.gd.gov.cn/</w:t>
      </w:r>
      <w:r>
        <w:rPr>
          <w:rFonts w:hint="eastAsia" w:ascii="宋体" w:hAnsi="宋体" w:eastAsia="宋体" w:cs="宋体"/>
          <w:color w:val="auto"/>
          <w:sz w:val="24"/>
          <w:szCs w:val="24"/>
          <w:highlight w:val="none"/>
        </w:rPr>
        <w:t>）和中国招标投标公共服务平台（网址：http://www.cebpubservice.com/）发布，本公告的修改、补充，在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网站上发布。</w:t>
      </w:r>
      <w:bookmarkStart w:id="19" w:name="bookmark8"/>
      <w:bookmarkEnd w:id="19"/>
      <w:bookmarkStart w:id="20" w:name="_Toc24439"/>
    </w:p>
    <w:p w14:paraId="39400B22">
      <w:pPr>
        <w:keepNext w:val="0"/>
        <w:keepLines w:val="0"/>
        <w:pageBreakBefore w:val="0"/>
        <w:widowControl w:val="0"/>
        <w:shd w:val="clear"/>
        <w:kinsoku/>
        <w:wordWrap/>
        <w:overflowPunct/>
        <w:topLinePunct w:val="0"/>
        <w:autoSpaceDE w:val="0"/>
        <w:autoSpaceDN w:val="0"/>
        <w:bidi w:val="0"/>
        <w:adjustRightInd w:val="0"/>
        <w:snapToGrid w:val="0"/>
        <w:spacing w:before="0" w:beforeLines="150" w:line="360" w:lineRule="auto"/>
        <w:textAlignment w:val="auto"/>
        <w:rPr>
          <w:rFonts w:ascii="宋体" w:hAnsi="宋体" w:cs="宋体"/>
          <w:b/>
          <w:bCs w:val="0"/>
          <w:color w:val="auto"/>
          <w:sz w:val="24"/>
          <w:highlight w:val="none"/>
        </w:rPr>
      </w:pPr>
      <w:r>
        <w:rPr>
          <w:rFonts w:hint="eastAsia" w:ascii="宋体" w:hAnsi="宋体" w:cs="宋体"/>
          <w:b/>
          <w:bCs w:val="0"/>
          <w:color w:val="auto"/>
          <w:sz w:val="24"/>
          <w:highlight w:val="none"/>
          <w:lang w:val="en-US" w:eastAsia="zh-CN"/>
        </w:rPr>
        <w:t>7</w:t>
      </w:r>
      <w:r>
        <w:rPr>
          <w:rFonts w:hint="eastAsia" w:ascii="宋体" w:hAnsi="宋体" w:cs="宋体"/>
          <w:b/>
          <w:bCs w:val="0"/>
          <w:color w:val="auto"/>
          <w:sz w:val="24"/>
          <w:highlight w:val="none"/>
        </w:rPr>
        <w:t>.潜在投标人或利害关系人对本招标公告及招标文件内容异议的，向招标人书面提出。</w:t>
      </w:r>
    </w:p>
    <w:p w14:paraId="6D518C2C">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none"/>
        </w:rPr>
        <w:t>异议受理部门：</w:t>
      </w:r>
      <w:r>
        <w:rPr>
          <w:rFonts w:hint="eastAsia" w:ascii="宋体" w:hAnsi="宋体" w:eastAsia="宋体" w:cs="宋体"/>
          <w:color w:val="000000"/>
          <w:sz w:val="24"/>
          <w:szCs w:val="24"/>
          <w:highlight w:val="none"/>
          <w:u w:val="single"/>
          <w:lang w:val="en-US" w:eastAsia="zh-CN"/>
        </w:rPr>
        <w:t>广州市花都区花城街罗仙村经济联合社</w:t>
      </w:r>
    </w:p>
    <w:p w14:paraId="78491BD4">
      <w:pPr>
        <w:keepNext w:val="0"/>
        <w:keepLines w:val="0"/>
        <w:pageBreakBefore w:val="0"/>
        <w:widowControl w:val="0"/>
        <w:kinsoku/>
        <w:wordWrap/>
        <w:overflowPunct/>
        <w:topLinePunct w:val="0"/>
        <w:bidi w:val="0"/>
        <w:snapToGrid/>
        <w:spacing w:line="360" w:lineRule="auto"/>
        <w:ind w:firstLine="48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none"/>
        </w:rPr>
        <w:t>地址：</w:t>
      </w:r>
      <w:r>
        <w:rPr>
          <w:rFonts w:hint="eastAsia" w:ascii="宋体" w:hAnsi="宋体" w:eastAsia="宋体" w:cs="宋体"/>
          <w:color w:val="000000"/>
          <w:sz w:val="24"/>
          <w:szCs w:val="24"/>
          <w:highlight w:val="none"/>
          <w:u w:val="single"/>
          <w:lang w:eastAsia="zh-CN"/>
        </w:rPr>
        <w:t>广州市</w:t>
      </w:r>
      <w:r>
        <w:rPr>
          <w:rFonts w:hint="eastAsia" w:ascii="宋体" w:hAnsi="宋体" w:eastAsia="宋体" w:cs="宋体"/>
          <w:color w:val="000000"/>
          <w:sz w:val="24"/>
          <w:szCs w:val="24"/>
          <w:highlight w:val="none"/>
          <w:u w:val="single"/>
          <w:lang w:val="en-US" w:eastAsia="zh-CN"/>
        </w:rPr>
        <w:t>花都</w:t>
      </w:r>
      <w:r>
        <w:rPr>
          <w:rFonts w:hint="eastAsia" w:ascii="宋体" w:hAnsi="宋体" w:eastAsia="宋体" w:cs="宋体"/>
          <w:color w:val="000000"/>
          <w:sz w:val="24"/>
          <w:szCs w:val="24"/>
          <w:highlight w:val="none"/>
          <w:u w:val="single"/>
          <w:lang w:eastAsia="zh-CN"/>
        </w:rPr>
        <w:t>区</w:t>
      </w:r>
      <w:r>
        <w:rPr>
          <w:rFonts w:hint="eastAsia" w:ascii="宋体" w:hAnsi="宋体" w:eastAsia="宋体" w:cs="宋体"/>
          <w:color w:val="000000"/>
          <w:sz w:val="24"/>
          <w:szCs w:val="24"/>
          <w:highlight w:val="none"/>
          <w:u w:val="single"/>
          <w:lang w:val="en-US" w:eastAsia="zh-CN"/>
        </w:rPr>
        <w:t>罗仙村</w:t>
      </w:r>
    </w:p>
    <w:p w14:paraId="343FF03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none"/>
        </w:rPr>
        <w:t>异议受理电话：</w:t>
      </w:r>
      <w:r>
        <w:rPr>
          <w:rFonts w:hint="eastAsia" w:ascii="宋体" w:hAnsi="宋体" w:eastAsia="宋体" w:cs="宋体"/>
          <w:color w:val="000000"/>
          <w:sz w:val="24"/>
          <w:szCs w:val="24"/>
          <w:highlight w:val="none"/>
          <w:u w:val="single"/>
          <w:lang w:eastAsia="zh-CN"/>
        </w:rPr>
        <w:t>020-86921123</w:t>
      </w:r>
    </w:p>
    <w:p w14:paraId="61ACBC9F">
      <w:pPr>
        <w:numPr>
          <w:ilvl w:val="0"/>
          <w:numId w:val="0"/>
        </w:numPr>
        <w:shd w:val="clear"/>
        <w:spacing w:line="360" w:lineRule="auto"/>
        <w:ind w:left="0" w:leftChars="0" w:firstLine="482" w:firstLineChars="2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6CC6FC3">
      <w:pPr>
        <w:pStyle w:val="4"/>
        <w:shd w:val="clear"/>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20"/>
    </w:p>
    <w:p w14:paraId="01957531">
      <w:pPr>
        <w:pStyle w:val="4"/>
        <w:shd w:val="clear"/>
        <w:outlineLvl w:val="1"/>
        <w:rPr>
          <w:rFonts w:hint="eastAsia" w:ascii="宋体" w:hAnsi="宋体" w:eastAsia="宋体" w:cs="宋体"/>
          <w:b w:val="0"/>
          <w:color w:val="auto"/>
          <w:sz w:val="19"/>
          <w:szCs w:val="24"/>
          <w:highlight w:val="none"/>
        </w:rPr>
      </w:pPr>
      <w:bookmarkStart w:id="21" w:name="_Toc27093"/>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.联系方式</w:t>
      </w:r>
      <w:bookmarkEnd w:id="21"/>
    </w:p>
    <w:p w14:paraId="49983CAD">
      <w:pPr>
        <w:spacing w:line="40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招标人：</w:t>
      </w:r>
      <w:r>
        <w:rPr>
          <w:rFonts w:hint="eastAsia" w:ascii="宋体" w:hAnsi="宋体" w:eastAsia="宋体" w:cs="宋体"/>
          <w:color w:val="000000"/>
          <w:sz w:val="24"/>
          <w:szCs w:val="24"/>
          <w:highlight w:val="none"/>
          <w:u w:val="single"/>
          <w:lang w:val="en-US" w:eastAsia="zh-CN"/>
        </w:rPr>
        <w:t>广州市花都区花城街罗仙村经济联合社</w:t>
      </w:r>
    </w:p>
    <w:p w14:paraId="4B13E3D1">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eastAsia="宋体" w:cs="宋体"/>
          <w:color w:val="000000"/>
          <w:sz w:val="24"/>
          <w:szCs w:val="24"/>
          <w:highlight w:val="none"/>
          <w:u w:val="single"/>
          <w:lang w:eastAsia="zh-CN"/>
        </w:rPr>
        <w:t>广州市</w:t>
      </w:r>
      <w:r>
        <w:rPr>
          <w:rFonts w:hint="eastAsia" w:ascii="宋体" w:hAnsi="宋体" w:eastAsia="宋体" w:cs="宋体"/>
          <w:color w:val="000000"/>
          <w:sz w:val="24"/>
          <w:szCs w:val="24"/>
          <w:highlight w:val="none"/>
          <w:u w:val="single"/>
          <w:lang w:val="en-US" w:eastAsia="zh-CN"/>
        </w:rPr>
        <w:t>花都</w:t>
      </w:r>
      <w:r>
        <w:rPr>
          <w:rFonts w:hint="eastAsia" w:ascii="宋体" w:hAnsi="宋体" w:eastAsia="宋体" w:cs="宋体"/>
          <w:color w:val="000000"/>
          <w:sz w:val="24"/>
          <w:szCs w:val="24"/>
          <w:highlight w:val="none"/>
          <w:u w:val="single"/>
          <w:lang w:eastAsia="zh-CN"/>
        </w:rPr>
        <w:t>区</w:t>
      </w:r>
      <w:r>
        <w:rPr>
          <w:rFonts w:hint="eastAsia" w:ascii="宋体" w:hAnsi="宋体" w:eastAsia="宋体" w:cs="宋体"/>
          <w:color w:val="000000"/>
          <w:sz w:val="24"/>
          <w:szCs w:val="24"/>
          <w:highlight w:val="none"/>
          <w:u w:val="single"/>
          <w:lang w:val="en-US" w:eastAsia="zh-CN"/>
        </w:rPr>
        <w:t>罗仙村</w:t>
      </w:r>
    </w:p>
    <w:p w14:paraId="02649A1C">
      <w:pPr>
        <w:spacing w:line="40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联系人：</w:t>
      </w:r>
      <w:r>
        <w:rPr>
          <w:rFonts w:hint="eastAsia" w:ascii="宋体" w:hAnsi="宋体" w:cs="宋体"/>
          <w:color w:val="000000"/>
          <w:sz w:val="24"/>
          <w:highlight w:val="none"/>
          <w:u w:val="single"/>
          <w:lang w:val="en-US" w:eastAsia="zh-CN"/>
        </w:rPr>
        <w:t>卢先生</w:t>
      </w:r>
    </w:p>
    <w:p w14:paraId="075D2D16">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w:t>
      </w:r>
      <w:r>
        <w:rPr>
          <w:rFonts w:hint="eastAsia" w:ascii="宋体" w:hAnsi="宋体" w:eastAsia="宋体" w:cs="宋体"/>
          <w:color w:val="000000"/>
          <w:sz w:val="24"/>
          <w:szCs w:val="24"/>
          <w:highlight w:val="none"/>
          <w:u w:val="single"/>
          <w:lang w:eastAsia="zh-CN"/>
        </w:rPr>
        <w:t>020-86921123</w:t>
      </w:r>
    </w:p>
    <w:p w14:paraId="2033860E">
      <w:pPr>
        <w:spacing w:line="440" w:lineRule="exact"/>
        <w:ind w:firstLine="480"/>
        <w:rPr>
          <w:rFonts w:ascii="宋体" w:hAnsi="宋体" w:cs="宋体"/>
          <w:color w:val="auto"/>
          <w:sz w:val="24"/>
          <w:highlight w:val="none"/>
        </w:rPr>
      </w:pPr>
    </w:p>
    <w:p w14:paraId="4F852B29">
      <w:pPr>
        <w:topLinePunct/>
        <w:spacing w:line="400" w:lineRule="exact"/>
        <w:rPr>
          <w:rFonts w:hint="eastAsia" w:ascii="宋体" w:hAnsi="宋体"/>
          <w:color w:val="auto"/>
          <w:sz w:val="24"/>
          <w:highlight w:val="none"/>
          <w:u w:val="single"/>
        </w:rPr>
      </w:pPr>
      <w:r>
        <w:rPr>
          <w:rFonts w:ascii="宋体" w:hAnsi="宋体"/>
          <w:color w:val="auto"/>
          <w:sz w:val="24"/>
          <w:highlight w:val="none"/>
        </w:rPr>
        <w:t>招标代理机构：</w:t>
      </w:r>
      <w:r>
        <w:rPr>
          <w:rFonts w:hint="eastAsia" w:ascii="宋体" w:hAnsi="宋体"/>
          <w:color w:val="auto"/>
          <w:sz w:val="24"/>
          <w:highlight w:val="none"/>
          <w:u w:val="single"/>
          <w:lang w:eastAsia="zh-CN"/>
        </w:rPr>
        <w:t>广州荣智建设咨询有限公司</w:t>
      </w:r>
      <w:r>
        <w:rPr>
          <w:rFonts w:hint="eastAsia" w:ascii="宋体" w:hAnsi="宋体"/>
          <w:color w:val="auto"/>
          <w:sz w:val="24"/>
          <w:highlight w:val="none"/>
          <w:u w:val="single"/>
        </w:rPr>
        <w:t xml:space="preserve">  </w:t>
      </w:r>
    </w:p>
    <w:p w14:paraId="50048FCD">
      <w:pPr>
        <w:topLinePunct/>
        <w:spacing w:line="400" w:lineRule="exact"/>
        <w:rPr>
          <w:rFonts w:hint="eastAsia" w:ascii="宋体" w:hAnsi="宋体" w:eastAsia="宋体"/>
          <w:color w:val="auto"/>
          <w:sz w:val="24"/>
          <w:highlight w:val="none"/>
          <w:u w:val="single"/>
          <w:lang w:eastAsia="zh-CN"/>
        </w:rPr>
      </w:pPr>
      <w:r>
        <w:rPr>
          <w:rFonts w:ascii="宋体" w:hAnsi="宋体"/>
          <w:color w:val="auto"/>
          <w:sz w:val="24"/>
          <w:highlight w:val="none"/>
        </w:rPr>
        <w:t>地</w:t>
      </w:r>
      <w:r>
        <w:rPr>
          <w:rFonts w:hint="eastAsia" w:ascii="宋体" w:hAnsi="宋体"/>
          <w:color w:val="auto"/>
          <w:sz w:val="24"/>
          <w:highlight w:val="none"/>
        </w:rPr>
        <w:t xml:space="preserve">  </w:t>
      </w:r>
      <w:r>
        <w:rPr>
          <w:rFonts w:ascii="宋体" w:hAnsi="宋体"/>
          <w:color w:val="auto"/>
          <w:sz w:val="24"/>
          <w:highlight w:val="none"/>
        </w:rPr>
        <w:t>址：</w:t>
      </w:r>
      <w:r>
        <w:rPr>
          <w:rFonts w:hint="eastAsia" w:ascii="宋体" w:hAnsi="宋体" w:cs="宋体"/>
          <w:color w:val="auto"/>
          <w:sz w:val="24"/>
          <w:highlight w:val="none"/>
          <w:u w:val="single"/>
          <w:lang w:eastAsia="zh-CN"/>
        </w:rPr>
        <w:t>广州市花都区新华街迎宾大道163号之四5栋508</w:t>
      </w:r>
    </w:p>
    <w:p w14:paraId="707C217C">
      <w:pPr>
        <w:topLinePunct/>
        <w:spacing w:line="400" w:lineRule="exact"/>
        <w:rPr>
          <w:rFonts w:hint="eastAsia" w:ascii="宋体" w:hAnsi="宋体" w:eastAsia="宋体" w:cs="Times New Roman"/>
          <w:color w:val="auto"/>
          <w:sz w:val="24"/>
          <w:szCs w:val="21"/>
          <w:highlight w:val="none"/>
          <w:u w:val="single"/>
          <w:lang w:eastAsia="zh-CN"/>
        </w:rPr>
      </w:pPr>
      <w:r>
        <w:rPr>
          <w:rFonts w:ascii="宋体" w:hAnsi="宋体"/>
          <w:color w:val="auto"/>
          <w:sz w:val="24"/>
          <w:highlight w:val="none"/>
        </w:rPr>
        <w:t>联系人：</w:t>
      </w:r>
      <w:r>
        <w:rPr>
          <w:rFonts w:hint="eastAsia" w:ascii="宋体" w:hAnsi="宋体" w:eastAsia="宋体" w:cs="Times New Roman"/>
          <w:color w:val="auto"/>
          <w:sz w:val="24"/>
          <w:szCs w:val="21"/>
          <w:highlight w:val="none"/>
          <w:u w:val="single"/>
          <w:lang w:val="en-US" w:eastAsia="zh-CN"/>
        </w:rPr>
        <w:t>彭丽芳</w:t>
      </w:r>
    </w:p>
    <w:p w14:paraId="28CD843E">
      <w:pPr>
        <w:topLinePunct/>
        <w:spacing w:line="400" w:lineRule="exact"/>
        <w:rPr>
          <w:rFonts w:hint="eastAsia" w:ascii="宋体" w:hAnsi="宋体" w:eastAsia="宋体"/>
          <w:color w:val="auto"/>
          <w:sz w:val="24"/>
          <w:highlight w:val="none"/>
          <w:lang w:eastAsia="zh-CN"/>
        </w:rPr>
      </w:pPr>
      <w:r>
        <w:rPr>
          <w:rFonts w:ascii="宋体" w:hAnsi="宋体"/>
          <w:color w:val="auto"/>
          <w:sz w:val="24"/>
          <w:highlight w:val="none"/>
        </w:rPr>
        <w:t>电</w:t>
      </w:r>
      <w:r>
        <w:rPr>
          <w:rFonts w:hint="eastAsia" w:ascii="宋体" w:hAnsi="宋体"/>
          <w:color w:val="auto"/>
          <w:sz w:val="24"/>
          <w:highlight w:val="none"/>
        </w:rPr>
        <w:t xml:space="preserve"> </w:t>
      </w:r>
      <w:r>
        <w:rPr>
          <w:rFonts w:ascii="宋体" w:hAnsi="宋体"/>
          <w:color w:val="auto"/>
          <w:sz w:val="24"/>
          <w:highlight w:val="none"/>
        </w:rPr>
        <w:t>话：</w:t>
      </w:r>
      <w:r>
        <w:rPr>
          <w:rFonts w:hint="eastAsia" w:ascii="宋体" w:hAnsi="宋体"/>
          <w:color w:val="auto"/>
          <w:sz w:val="24"/>
          <w:szCs w:val="21"/>
          <w:highlight w:val="none"/>
          <w:u w:val="single"/>
          <w:lang w:eastAsia="zh-CN"/>
        </w:rPr>
        <w:t>020-36970336</w:t>
      </w:r>
    </w:p>
    <w:p w14:paraId="7B528769">
      <w:pPr>
        <w:pStyle w:val="54"/>
        <w:spacing w:line="440" w:lineRule="exact"/>
        <w:ind w:firstLine="560"/>
        <w:rPr>
          <w:color w:val="auto"/>
          <w:highlight w:val="none"/>
        </w:rPr>
      </w:pPr>
    </w:p>
    <w:p w14:paraId="1D521C0D">
      <w:pPr>
        <w:spacing w:line="400" w:lineRule="exact"/>
        <w:rPr>
          <w:rFonts w:ascii="宋体" w:hAnsi="宋体" w:cs="宋体"/>
          <w:color w:val="auto"/>
          <w:sz w:val="24"/>
          <w:highlight w:val="none"/>
        </w:rPr>
      </w:pPr>
      <w:r>
        <w:rPr>
          <w:rFonts w:hint="eastAsia" w:ascii="宋体" w:hAnsi="宋体" w:cs="宋体"/>
          <w:color w:val="auto"/>
          <w:sz w:val="24"/>
          <w:highlight w:val="none"/>
        </w:rPr>
        <w:t>招标监督机构：</w:t>
      </w:r>
      <w:r>
        <w:rPr>
          <w:rFonts w:hint="eastAsia" w:ascii="宋体" w:hAnsi="宋体" w:eastAsia="宋体" w:cs="宋体"/>
          <w:color w:val="000000"/>
          <w:sz w:val="24"/>
          <w:szCs w:val="24"/>
          <w:highlight w:val="none"/>
          <w:u w:val="single"/>
          <w:lang w:val="en-US" w:eastAsia="zh-CN"/>
        </w:rPr>
        <w:t>广州市花都区花城街罗仙村经济联合社</w:t>
      </w:r>
      <w:r>
        <w:rPr>
          <w:rFonts w:hint="eastAsia" w:ascii="宋体" w:hAnsi="宋体" w:cs="宋体"/>
          <w:color w:val="auto"/>
          <w:sz w:val="24"/>
          <w:highlight w:val="none"/>
          <w:u w:val="single"/>
        </w:rPr>
        <w:cr/>
      </w:r>
      <w:r>
        <w:rPr>
          <w:rFonts w:hint="eastAsia" w:ascii="宋体" w:hAnsi="宋体" w:cs="宋体"/>
          <w:color w:val="auto"/>
          <w:sz w:val="24"/>
          <w:highlight w:val="none"/>
        </w:rPr>
        <w:t>地    址：</w:t>
      </w:r>
      <w:r>
        <w:rPr>
          <w:rFonts w:hint="eastAsia" w:ascii="宋体" w:hAnsi="宋体" w:eastAsia="宋体" w:cs="宋体"/>
          <w:color w:val="000000"/>
          <w:sz w:val="24"/>
          <w:szCs w:val="24"/>
          <w:highlight w:val="none"/>
          <w:u w:val="single"/>
          <w:lang w:eastAsia="zh-CN"/>
        </w:rPr>
        <w:t>广州市</w:t>
      </w:r>
      <w:r>
        <w:rPr>
          <w:rFonts w:hint="eastAsia" w:ascii="宋体" w:hAnsi="宋体" w:eastAsia="宋体" w:cs="宋体"/>
          <w:color w:val="000000"/>
          <w:sz w:val="24"/>
          <w:szCs w:val="24"/>
          <w:highlight w:val="none"/>
          <w:u w:val="single"/>
          <w:lang w:val="en-US" w:eastAsia="zh-CN"/>
        </w:rPr>
        <w:t>花都</w:t>
      </w:r>
      <w:r>
        <w:rPr>
          <w:rFonts w:hint="eastAsia" w:ascii="宋体" w:hAnsi="宋体" w:eastAsia="宋体" w:cs="宋体"/>
          <w:color w:val="000000"/>
          <w:sz w:val="24"/>
          <w:szCs w:val="24"/>
          <w:highlight w:val="none"/>
          <w:u w:val="single"/>
          <w:lang w:eastAsia="zh-CN"/>
        </w:rPr>
        <w:t>区</w:t>
      </w:r>
      <w:r>
        <w:rPr>
          <w:rFonts w:hint="eastAsia" w:ascii="宋体" w:hAnsi="宋体" w:eastAsia="宋体" w:cs="宋体"/>
          <w:color w:val="000000"/>
          <w:sz w:val="24"/>
          <w:szCs w:val="24"/>
          <w:highlight w:val="none"/>
          <w:u w:val="single"/>
          <w:lang w:val="en-US" w:eastAsia="zh-CN"/>
        </w:rPr>
        <w:t>罗仙村</w:t>
      </w:r>
    </w:p>
    <w:p w14:paraId="09BB3AD7">
      <w:pPr>
        <w:spacing w:line="400" w:lineRule="exact"/>
        <w:rPr>
          <w:rFonts w:hint="eastAsia" w:ascii="宋体" w:hAnsi="宋体" w:eastAsia="宋体" w:cs="宋体"/>
          <w:color w:val="auto"/>
          <w:sz w:val="24"/>
          <w:szCs w:val="24"/>
          <w:highlight w:val="none"/>
        </w:rPr>
      </w:pPr>
      <w:r>
        <w:rPr>
          <w:rFonts w:hint="eastAsia" w:ascii="宋体" w:hAnsi="宋体" w:cs="宋体"/>
          <w:color w:val="auto"/>
          <w:sz w:val="24"/>
          <w:highlight w:val="none"/>
        </w:rPr>
        <w:t>投诉电话：</w:t>
      </w:r>
      <w:r>
        <w:rPr>
          <w:rFonts w:hint="eastAsia" w:ascii="宋体" w:hAnsi="宋体" w:eastAsia="宋体" w:cs="宋体"/>
          <w:color w:val="000000"/>
          <w:sz w:val="24"/>
          <w:szCs w:val="24"/>
          <w:highlight w:val="none"/>
          <w:u w:val="single"/>
          <w:lang w:eastAsia="zh-CN"/>
        </w:rPr>
        <w:t>020-86921123</w:t>
      </w:r>
    </w:p>
    <w:p w14:paraId="0351B7D1">
      <w:pPr>
        <w:ind w:firstLine="0" w:firstLineChars="0"/>
        <w:jc w:val="left"/>
        <w:rPr>
          <w:rFonts w:hint="eastAsia" w:ascii="宋体" w:hAnsi="宋体" w:cs="宋体"/>
          <w:color w:val="auto"/>
          <w:sz w:val="24"/>
          <w:highlight w:val="none"/>
        </w:rPr>
      </w:pPr>
    </w:p>
    <w:p w14:paraId="5BA43F26">
      <w:pPr>
        <w:rPr>
          <w:rFonts w:hint="eastAsia" w:ascii="宋体" w:hAnsi="宋体" w:cs="宋体"/>
          <w:color w:val="auto"/>
          <w:sz w:val="24"/>
          <w:highlight w:val="none"/>
        </w:rPr>
      </w:pPr>
      <w:r>
        <w:rPr>
          <w:rFonts w:hint="eastAsia" w:ascii="宋体" w:hAnsi="宋体" w:cs="宋体"/>
          <w:color w:val="auto"/>
          <w:sz w:val="24"/>
          <w:highlight w:val="none"/>
        </w:rPr>
        <w:br w:type="page"/>
      </w:r>
    </w:p>
    <w:p w14:paraId="4D8FA711">
      <w:pPr>
        <w:ind w:firstLine="0" w:firstLineChars="0"/>
        <w:jc w:val="left"/>
        <w:rPr>
          <w:rFonts w:ascii="宋体" w:hAnsi="宋体" w:cs="宋体"/>
          <w:color w:val="auto"/>
          <w:sz w:val="24"/>
          <w:highlight w:val="none"/>
        </w:rPr>
      </w:pPr>
      <w:r>
        <w:rPr>
          <w:rFonts w:hint="eastAsia" w:ascii="宋体" w:hAnsi="宋体" w:cs="宋体"/>
          <w:color w:val="auto"/>
          <w:sz w:val="24"/>
          <w:highlight w:val="none"/>
        </w:rPr>
        <w:t>附件一：</w:t>
      </w:r>
    </w:p>
    <w:p w14:paraId="3A430632">
      <w:pPr>
        <w:snapToGrid w:val="0"/>
        <w:spacing w:before="260" w:after="260" w:line="360" w:lineRule="auto"/>
        <w:ind w:right="384"/>
        <w:jc w:val="center"/>
        <w:rPr>
          <w:rFonts w:hint="eastAsia" w:ascii="宋体" w:hAnsi="宋体" w:cs="宋体"/>
          <w:b/>
          <w:bCs/>
          <w:kern w:val="0"/>
          <w:sz w:val="32"/>
          <w:szCs w:val="32"/>
        </w:rPr>
      </w:pPr>
      <w:r>
        <w:rPr>
          <w:rFonts w:hint="eastAsia" w:ascii="宋体" w:hAnsi="宋体" w:cs="宋体"/>
          <w:b/>
          <w:bCs/>
          <w:kern w:val="0"/>
          <w:sz w:val="32"/>
          <w:szCs w:val="32"/>
        </w:rPr>
        <w:t>投标人声明</w:t>
      </w:r>
    </w:p>
    <w:p w14:paraId="1B6A2A4E">
      <w:pPr>
        <w:spacing w:line="400" w:lineRule="exact"/>
        <w:rPr>
          <w:rFonts w:hint="eastAsia" w:ascii="宋体" w:hAnsi="宋体" w:cs="宋体"/>
          <w:kern w:val="0"/>
          <w:szCs w:val="21"/>
        </w:rPr>
      </w:pPr>
      <w:r>
        <w:rPr>
          <w:rFonts w:hint="eastAsia" w:ascii="宋体" w:hAnsi="宋体" w:cs="宋体"/>
          <w:kern w:val="0"/>
          <w:szCs w:val="21"/>
        </w:rPr>
        <w:t>本招标项目招标人及招标监管机构：</w:t>
      </w:r>
    </w:p>
    <w:p w14:paraId="54D383D6">
      <w:pPr>
        <w:spacing w:line="400" w:lineRule="exact"/>
        <w:ind w:firstLine="480" w:firstLineChars="200"/>
        <w:rPr>
          <w:rFonts w:hint="eastAsia" w:ascii="宋体" w:hAnsi="宋体" w:cs="宋体"/>
          <w:szCs w:val="21"/>
        </w:rPr>
      </w:pPr>
      <w:r>
        <w:rPr>
          <w:rFonts w:hint="eastAsia" w:ascii="宋体" w:hAnsi="宋体" w:cs="宋体"/>
          <w:szCs w:val="21"/>
        </w:rPr>
        <w:t>本公司就参加</w:t>
      </w:r>
      <w:r>
        <w:rPr>
          <w:rFonts w:hint="eastAsia" w:ascii="宋体" w:hAnsi="宋体" w:cs="宋体"/>
          <w:szCs w:val="21"/>
          <w:u w:val="single"/>
        </w:rPr>
        <w:t xml:space="preserve">                              </w:t>
      </w:r>
      <w:r>
        <w:rPr>
          <w:rFonts w:hint="eastAsia" w:ascii="宋体" w:hAnsi="宋体" w:cs="宋体"/>
          <w:szCs w:val="21"/>
        </w:rPr>
        <w:t>投标工作，作出郑重声明：</w:t>
      </w:r>
    </w:p>
    <w:p w14:paraId="6969EA4B">
      <w:pPr>
        <w:spacing w:line="400" w:lineRule="exact"/>
        <w:ind w:firstLine="480" w:firstLineChars="200"/>
        <w:rPr>
          <w:rFonts w:hint="eastAsia" w:ascii="宋体" w:hAnsi="宋体" w:cs="宋体"/>
          <w:szCs w:val="21"/>
        </w:rPr>
      </w:pPr>
      <w:r>
        <w:rPr>
          <w:rFonts w:hint="eastAsia" w:ascii="宋体" w:hAnsi="宋体" w:cs="宋体"/>
          <w:szCs w:val="21"/>
        </w:rPr>
        <w:t>一、本公司保证投标资格审查材料及其后提供的一切材料都是真实的，如我司成为本项目中标候选人，我司同意并授权招标人将我司投标文件商务部分文件的所有内容（包括人员、业绩、奖项等资料）进行公开。</w:t>
      </w:r>
    </w:p>
    <w:p w14:paraId="48DFD571">
      <w:pPr>
        <w:spacing w:line="400" w:lineRule="exact"/>
        <w:ind w:firstLine="480" w:firstLineChars="200"/>
        <w:rPr>
          <w:rFonts w:hint="eastAsia" w:ascii="宋体" w:hAnsi="宋体" w:cs="宋体"/>
          <w:szCs w:val="21"/>
        </w:rPr>
      </w:pPr>
      <w:r>
        <w:rPr>
          <w:rFonts w:hint="eastAsia" w:ascii="宋体" w:hAnsi="宋体" w:cs="宋体"/>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FE26969">
      <w:pPr>
        <w:spacing w:line="400" w:lineRule="exact"/>
        <w:ind w:firstLine="480" w:firstLineChars="200"/>
        <w:rPr>
          <w:rFonts w:hint="eastAsia" w:ascii="宋体" w:hAnsi="宋体" w:cs="宋体"/>
          <w:szCs w:val="21"/>
        </w:rPr>
      </w:pPr>
      <w:r>
        <w:rPr>
          <w:rFonts w:hint="eastAsia" w:ascii="宋体" w:hAnsi="宋体" w:cs="宋体"/>
          <w:szCs w:val="21"/>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w:t>
      </w:r>
      <w:r>
        <w:rPr>
          <w:rFonts w:hint="eastAsia" w:ascii="宋体" w:hAnsi="宋体" w:cs="宋体"/>
          <w:b/>
          <w:bCs/>
          <w:szCs w:val="21"/>
        </w:rPr>
        <w:t>本公司近二年（从202</w:t>
      </w:r>
      <w:r>
        <w:rPr>
          <w:rFonts w:hint="eastAsia" w:ascii="宋体" w:hAnsi="宋体" w:cs="宋体"/>
          <w:b/>
          <w:bCs/>
          <w:szCs w:val="21"/>
          <w:lang w:val="en-US" w:eastAsia="zh-CN"/>
        </w:rPr>
        <w:t>3</w:t>
      </w:r>
      <w:r>
        <w:rPr>
          <w:rFonts w:hint="eastAsia" w:ascii="宋体" w:hAnsi="宋体" w:cs="宋体"/>
          <w:b/>
          <w:bCs/>
          <w:szCs w:val="21"/>
        </w:rPr>
        <w:t>年1月1日起至投标截止时间止）未因以往检测和监测工作中存在伪造检测和监测数据、出具虚假检测和监测报告的行为被各级建设行政主管部门或市场监督管理部门行政处罚或通报的。</w:t>
      </w:r>
    </w:p>
    <w:p w14:paraId="7C6F6085">
      <w:pPr>
        <w:spacing w:line="400" w:lineRule="exact"/>
        <w:ind w:firstLine="480" w:firstLineChars="200"/>
        <w:rPr>
          <w:rFonts w:hint="eastAsia" w:ascii="宋体" w:hAnsi="宋体" w:cs="宋体"/>
          <w:szCs w:val="21"/>
        </w:rPr>
      </w:pPr>
      <w:r>
        <w:rPr>
          <w:rFonts w:hint="eastAsia" w:ascii="宋体" w:hAnsi="宋体" w:cs="宋体"/>
          <w:szCs w:val="21"/>
        </w:rPr>
        <w:t>四、</w:t>
      </w:r>
      <w:r>
        <w:rPr>
          <w:rFonts w:hint="eastAsia" w:ascii="宋体" w:hAnsi="宋体"/>
          <w:szCs w:val="21"/>
        </w:rPr>
        <w:t>本公司不存在招标文件第二章投标人须知第1.4.3项所规定的任何一种情形。</w:t>
      </w:r>
    </w:p>
    <w:p w14:paraId="03583A41">
      <w:pPr>
        <w:spacing w:line="400" w:lineRule="exact"/>
        <w:ind w:firstLine="480" w:firstLineChars="200"/>
        <w:rPr>
          <w:rFonts w:hint="eastAsia" w:ascii="宋体" w:hAnsi="宋体" w:cs="宋体"/>
          <w:szCs w:val="21"/>
        </w:rPr>
      </w:pPr>
      <w:r>
        <w:rPr>
          <w:rFonts w:hint="eastAsia" w:ascii="宋体" w:hAnsi="宋体" w:cs="宋体"/>
          <w:szCs w:val="21"/>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37DD0966">
      <w:pPr>
        <w:spacing w:line="400" w:lineRule="exact"/>
        <w:ind w:firstLine="480" w:firstLineChars="200"/>
        <w:rPr>
          <w:rFonts w:hint="eastAsia" w:ascii="宋体" w:hAnsi="宋体" w:cs="宋体"/>
          <w:szCs w:val="21"/>
        </w:rPr>
      </w:pPr>
      <w:r>
        <w:rPr>
          <w:rFonts w:hint="eastAsia" w:ascii="宋体" w:hAnsi="宋体" w:cs="宋体"/>
          <w:szCs w:val="21"/>
        </w:rPr>
        <w:t>六、与本公司单位负责人为同一人或者与本公司存在控股、管理关系的其他单位包括</w:t>
      </w:r>
      <w:r>
        <w:rPr>
          <w:rFonts w:hint="eastAsia" w:ascii="宋体" w:hAnsi="宋体" w:cs="宋体"/>
          <w:szCs w:val="21"/>
          <w:u w:val="single"/>
        </w:rPr>
        <w:t xml:space="preserve">    </w:t>
      </w:r>
      <w:r>
        <w:rPr>
          <w:rFonts w:hint="eastAsia" w:ascii="宋体" w:hAnsi="宋体" w:cs="宋体"/>
          <w:szCs w:val="21"/>
        </w:rPr>
        <w:t>。（注：本条由投标人如实填写，如有，应列出全部满足招标公告资质要求的相关单位的名称；如无，则填写“无”。）</w:t>
      </w:r>
    </w:p>
    <w:p w14:paraId="0175D401">
      <w:pPr>
        <w:spacing w:line="400" w:lineRule="exact"/>
        <w:ind w:firstLine="480" w:firstLineChars="200"/>
        <w:rPr>
          <w:rFonts w:hint="eastAsia" w:ascii="宋体" w:hAnsi="宋体" w:cs="宋体"/>
          <w:szCs w:val="21"/>
        </w:rPr>
      </w:pPr>
      <w:r>
        <w:rPr>
          <w:rFonts w:hint="eastAsia" w:ascii="宋体" w:hAnsi="宋体" w:cs="宋体"/>
          <w:szCs w:val="21"/>
        </w:rPr>
        <w:t xml:space="preserve">七、本公司承诺，中标后严格执行安全生产相关管理规定。 </w:t>
      </w:r>
    </w:p>
    <w:p w14:paraId="6CF36788">
      <w:pPr>
        <w:spacing w:line="400" w:lineRule="exact"/>
        <w:ind w:firstLine="480" w:firstLineChars="200"/>
        <w:rPr>
          <w:rFonts w:hint="eastAsia" w:ascii="宋体" w:hAnsi="宋体" w:cs="宋体"/>
          <w:szCs w:val="21"/>
        </w:rPr>
      </w:pPr>
      <w:r>
        <w:rPr>
          <w:rFonts w:hint="eastAsia" w:ascii="宋体" w:hAnsi="宋体" w:cs="宋体"/>
          <w:szCs w:val="21"/>
        </w:rPr>
        <w:t>八、本公司承诺，中标后严格按照合同和招投标文件规定履行义务，并同意招标人将其履行合同、招投标文件义务的履约情况和不诚信行为（包括由招标人做出的违约责任处理决定等）在招标人网站和建设项目业主网站及其他媒体上公开披露，由此造成的一切损失和不利后果均由本公司自行承担。</w:t>
      </w:r>
    </w:p>
    <w:p w14:paraId="0D4BC4B6">
      <w:pPr>
        <w:spacing w:line="400" w:lineRule="exact"/>
        <w:ind w:firstLine="480" w:firstLineChars="200"/>
        <w:rPr>
          <w:rFonts w:hint="eastAsia" w:ascii="宋体" w:hAnsi="宋体" w:cs="宋体"/>
          <w:szCs w:val="21"/>
        </w:rPr>
      </w:pPr>
      <w:r>
        <w:rPr>
          <w:rFonts w:hint="eastAsia" w:ascii="宋体" w:hAnsi="宋体" w:cs="宋体"/>
          <w:szCs w:val="21"/>
        </w:rPr>
        <w:t>本公司违反上述保证，或本声明陈述与事实不符，经查实，本公司愿意接受公开通报，承担由此带来的法律后果，并自愿停止参加广州市行政辖区内的招标投标活动三个月。</w:t>
      </w:r>
    </w:p>
    <w:p w14:paraId="4B2F9B07">
      <w:pPr>
        <w:spacing w:line="400" w:lineRule="exact"/>
        <w:ind w:firstLine="480" w:firstLineChars="200"/>
        <w:rPr>
          <w:rFonts w:hint="eastAsia" w:ascii="宋体" w:hAnsi="宋体" w:cs="宋体"/>
          <w:szCs w:val="21"/>
        </w:rPr>
      </w:pPr>
      <w:r>
        <w:rPr>
          <w:rFonts w:hint="eastAsia" w:ascii="宋体" w:hAnsi="宋体" w:cs="宋体"/>
          <w:szCs w:val="21"/>
        </w:rPr>
        <w:t>特此声明。</w:t>
      </w:r>
    </w:p>
    <w:p w14:paraId="0F252283">
      <w:pPr>
        <w:pStyle w:val="36"/>
        <w:wordWrap w:val="0"/>
        <w:spacing w:line="400" w:lineRule="exact"/>
        <w:ind w:firstLine="0"/>
        <w:jc w:val="right"/>
        <w:rPr>
          <w:rFonts w:hint="eastAsia" w:ascii="宋体" w:hAnsi="宋体" w:eastAsia="宋体" w:cs="宋体"/>
          <w:color w:val="auto"/>
          <w:sz w:val="21"/>
          <w:szCs w:val="21"/>
        </w:rPr>
      </w:pPr>
    </w:p>
    <w:p w14:paraId="5A3C4A62">
      <w:pPr>
        <w:pStyle w:val="36"/>
        <w:spacing w:line="400" w:lineRule="exact"/>
        <w:ind w:firstLine="0"/>
        <w:jc w:val="right"/>
        <w:rPr>
          <w:rFonts w:hint="eastAsia" w:ascii="宋体" w:hAnsi="宋体" w:eastAsia="宋体" w:cs="宋体"/>
          <w:color w:val="auto"/>
          <w:sz w:val="21"/>
          <w:szCs w:val="21"/>
        </w:rPr>
      </w:pPr>
    </w:p>
    <w:p w14:paraId="4B81B568">
      <w:pPr>
        <w:pStyle w:val="36"/>
        <w:wordWrap w:val="0"/>
        <w:spacing w:line="400" w:lineRule="exact"/>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投标单位（盖公章）：</w:t>
      </w:r>
    </w:p>
    <w:p w14:paraId="20D4EDE6">
      <w:pPr>
        <w:pStyle w:val="36"/>
        <w:wordWrap w:val="0"/>
        <w:spacing w:line="400" w:lineRule="exact"/>
        <w:ind w:firstLine="0"/>
        <w:jc w:val="right"/>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法定代表人或授权委托人（签字或盖章）：</w:t>
      </w:r>
    </w:p>
    <w:p w14:paraId="0B201718">
      <w:pPr>
        <w:adjustRightInd w:val="0"/>
        <w:snapToGrid w:val="0"/>
        <w:spacing w:line="570" w:lineRule="exact"/>
        <w:ind w:firstLine="0" w:firstLineChars="0"/>
        <w:jc w:val="right"/>
        <w:rPr>
          <w:rFonts w:hint="eastAsia" w:ascii="宋体" w:hAnsi="宋体" w:eastAsia="宋体" w:cs="宋体"/>
          <w:sz w:val="24"/>
          <w:highlight w:val="none"/>
          <w:lang w:val="en-US" w:eastAsia="zh-CN"/>
        </w:rPr>
      </w:pPr>
      <w:r>
        <w:rPr>
          <w:rFonts w:hint="eastAsia" w:ascii="宋体" w:hAnsi="宋体" w:eastAsia="宋体" w:cs="宋体"/>
          <w:color w:val="auto"/>
          <w:sz w:val="21"/>
          <w:szCs w:val="21"/>
        </w:rPr>
        <w:t xml:space="preserve">日期：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43D5BBEA">
      <w:pPr>
        <w:adjustRightInd w:val="0"/>
        <w:snapToGrid w:val="0"/>
        <w:spacing w:line="570" w:lineRule="exact"/>
        <w:ind w:firstLine="0" w:firstLineChars="0"/>
        <w:rPr>
          <w:rFonts w:hint="eastAsia" w:ascii="宋体" w:hAnsi="宋体" w:eastAsia="宋体" w:cs="宋体"/>
          <w:sz w:val="24"/>
          <w:highlight w:val="none"/>
          <w:lang w:val="en-US" w:eastAsia="zh-CN"/>
        </w:rPr>
      </w:pPr>
    </w:p>
    <w:p w14:paraId="2E3CE0F1">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br w:type="page"/>
      </w:r>
    </w:p>
    <w:p w14:paraId="4E3DCCA3">
      <w:pPr>
        <w:adjustRightInd w:val="0"/>
        <w:snapToGrid w:val="0"/>
        <w:spacing w:line="570" w:lineRule="exact"/>
        <w:ind w:firstLine="0" w:firstLineChars="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附件</w:t>
      </w:r>
      <w:r>
        <w:rPr>
          <w:rFonts w:hint="eastAsia" w:ascii="宋体" w:hAnsi="宋体" w:cs="宋体"/>
          <w:sz w:val="24"/>
          <w:highlight w:val="none"/>
          <w:lang w:val="en-US" w:eastAsia="zh-CN"/>
        </w:rPr>
        <w:t>二</w:t>
      </w:r>
    </w:p>
    <w:p w14:paraId="5DA4F2E2">
      <w:pPr>
        <w:ind w:left="0" w:leftChars="0" w:firstLine="0" w:firstLineChars="0"/>
        <w:jc w:val="center"/>
        <w:rPr>
          <w:rFonts w:hint="eastAsia" w:ascii="宋体" w:hAnsi="宋体" w:cs="宋体"/>
          <w:b/>
          <w:sz w:val="32"/>
          <w:szCs w:val="22"/>
          <w:highlight w:val="none"/>
        </w:rPr>
      </w:pPr>
      <w:r>
        <w:rPr>
          <w:rFonts w:hint="eastAsia" w:ascii="宋体" w:hAnsi="宋体" w:eastAsia="宋体" w:cs="宋体"/>
          <w:b/>
          <w:sz w:val="36"/>
          <w:szCs w:val="36"/>
          <w:highlight w:val="none"/>
        </w:rPr>
        <w:t>联合体协议书</w:t>
      </w:r>
    </w:p>
    <w:p w14:paraId="15A8D755">
      <w:pPr>
        <w:widowControl/>
        <w:shd w:val="clear" w:color="auto" w:fill="FFFFFF"/>
        <w:ind w:firstLine="480"/>
        <w:rPr>
          <w:color w:val="333333"/>
          <w:kern w:val="0"/>
          <w:sz w:val="24"/>
          <w:highlight w:val="none"/>
          <w:u w:val="single"/>
          <w:shd w:val="clear" w:color="auto" w:fill="FFFFFF"/>
          <w:lang w:bidi="ar"/>
        </w:rPr>
      </w:pPr>
    </w:p>
    <w:p w14:paraId="0F22433A">
      <w:pPr>
        <w:widowControl/>
        <w:shd w:val="clear" w:color="auto" w:fill="FFFFFF"/>
        <w:ind w:firstLine="480"/>
        <w:rPr>
          <w:color w:val="333333"/>
          <w:sz w:val="24"/>
          <w:highlight w:val="none"/>
        </w:rPr>
      </w:pP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shd w:val="clear" w:color="auto" w:fill="FFFFFF"/>
          <w:lang w:bidi="ar"/>
        </w:rPr>
        <w:t>（联合体各方单位名称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自愿组成联合体，共同参加</w:t>
      </w: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bidi="ar"/>
        </w:rPr>
        <w:t>（项目名称</w:t>
      </w:r>
      <w:r>
        <w:rPr>
          <w:rFonts w:hint="eastAsia" w:ascii="宋体" w:hAnsi="宋体" w:cs="宋体"/>
          <w:color w:val="333333"/>
          <w:kern w:val="0"/>
          <w:sz w:val="24"/>
          <w:highlight w:val="none"/>
          <w:u w:val="single"/>
          <w:shd w:val="clear" w:color="auto" w:fill="FFFFFF"/>
          <w:lang w:eastAsia="zh-CN" w:bidi="ar"/>
        </w:rPr>
        <w:t>）</w:t>
      </w: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shd w:val="clear" w:color="auto" w:fill="FFFFFF"/>
          <w:lang w:bidi="ar"/>
        </w:rPr>
        <w:t>投标。现就联合体投标事宜订立如下协议。</w:t>
      </w:r>
    </w:p>
    <w:p w14:paraId="058FBC5A">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1、</w:t>
      </w:r>
      <w:r>
        <w:rPr>
          <w:rFonts w:hint="eastAsia"/>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shd w:val="clear" w:color="auto" w:fill="FFFFFF"/>
          <w:lang w:bidi="ar"/>
        </w:rPr>
        <w:t>（主办单位名称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为主办方。</w:t>
      </w:r>
    </w:p>
    <w:p w14:paraId="78752CFD">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2、联合体</w:t>
      </w:r>
      <w:r>
        <w:rPr>
          <w:color w:val="333333"/>
          <w:kern w:val="0"/>
          <w:sz w:val="24"/>
          <w:highlight w:val="none"/>
          <w:shd w:val="clear" w:color="auto" w:fill="FFFFFF"/>
          <w:lang w:bidi="ar"/>
        </w:rPr>
        <w:t>主办方合法代表联合体各成员负责本招标项目投标文件编制和合同谈判活动，并代表联合体提交和接收相关的资料、信息及指示，并处理与之有关的一切事务，负责合同实施阶段的主办、组织和协调工作。</w:t>
      </w:r>
    </w:p>
    <w:p w14:paraId="31F581E6">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3、联合体将严格按照招标文件的各项要求，递交投标文件，履行合同，并对外承担连带责任。</w:t>
      </w:r>
    </w:p>
    <w:p w14:paraId="4BC3325E">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4、联合体各成员单位内部的职责分工如下：</w:t>
      </w:r>
    </w:p>
    <w:p w14:paraId="6A0E5AE1">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①</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w:t>
      </w:r>
      <w:r>
        <w:rPr>
          <w:rFonts w:hint="eastAsia" w:ascii="宋体" w:hAnsi="宋体" w:cs="宋体"/>
          <w:color w:val="333333"/>
          <w:kern w:val="0"/>
          <w:sz w:val="24"/>
          <w:highlight w:val="none"/>
          <w:shd w:val="clear" w:color="auto" w:fill="FFFFFF"/>
          <w:lang w:bidi="ar"/>
        </w:rPr>
        <w:t>主办单位名称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：主要负责本项目</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color w:val="333333"/>
          <w:kern w:val="0"/>
          <w:sz w:val="24"/>
          <w:highlight w:val="none"/>
          <w:shd w:val="clear" w:color="auto" w:fill="FFFFFF"/>
          <w:lang w:bidi="ar"/>
        </w:rPr>
        <w:t>任务工作，还应负责项目管理协调的职责。联合体其他相关方违约时，主办方应承担连带责任，具体按合同要求。</w:t>
      </w:r>
    </w:p>
    <w:p w14:paraId="184FE703">
      <w:pPr>
        <w:widowControl/>
        <w:shd w:val="clear" w:color="auto" w:fill="FFFFFF"/>
        <w:ind w:firstLine="480"/>
        <w:rPr>
          <w:color w:val="333333"/>
          <w:kern w:val="0"/>
          <w:sz w:val="24"/>
          <w:highlight w:val="none"/>
          <w:shd w:val="clear" w:color="auto" w:fill="FFFFFF"/>
          <w:lang w:bidi="ar"/>
        </w:rPr>
      </w:pPr>
      <w:r>
        <w:rPr>
          <w:rFonts w:hint="eastAsia" w:ascii="宋体" w:hAnsi="宋体" w:cs="宋体"/>
          <w:color w:val="333333"/>
          <w:kern w:val="0"/>
          <w:sz w:val="24"/>
          <w:highlight w:val="none"/>
          <w:shd w:val="clear" w:color="auto" w:fill="FFFFFF"/>
          <w:lang w:bidi="ar"/>
        </w:rPr>
        <w:t>②</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w:t>
      </w:r>
      <w:r>
        <w:rPr>
          <w:rFonts w:hint="eastAsia" w:ascii="宋体" w:hAnsi="宋体" w:cs="宋体"/>
          <w:color w:val="333333"/>
          <w:kern w:val="0"/>
          <w:sz w:val="24"/>
          <w:highlight w:val="none"/>
          <w:shd w:val="clear" w:color="auto" w:fill="FFFFFF"/>
          <w:lang w:bidi="ar"/>
        </w:rPr>
        <w:t>成员单位名称</w:t>
      </w:r>
      <w:r>
        <w:rPr>
          <w:rFonts w:hint="eastAsia" w:ascii="宋体" w:hAnsi="宋体" w:cs="宋体"/>
          <w:color w:val="333333"/>
          <w:kern w:val="0"/>
          <w:sz w:val="24"/>
          <w:highlight w:val="none"/>
          <w:shd w:val="clear" w:color="auto" w:fill="FFFFFF"/>
          <w:lang w:eastAsia="zh-CN" w:bidi="ar"/>
        </w:rPr>
        <w:t>）</w:t>
      </w:r>
      <w:r>
        <w:rPr>
          <w:rFonts w:hint="eastAsia" w:ascii="宋体" w:hAnsi="宋体" w:cs="宋体"/>
          <w:color w:val="333333"/>
          <w:kern w:val="0"/>
          <w:sz w:val="24"/>
          <w:highlight w:val="none"/>
          <w:shd w:val="clear" w:color="auto" w:fill="FFFFFF"/>
          <w:lang w:bidi="ar"/>
        </w:rPr>
        <w:t>：主要负责本项目</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任务工作，具体按合同要求。</w:t>
      </w:r>
    </w:p>
    <w:p w14:paraId="36977E28">
      <w:pPr>
        <w:topLinePunct/>
        <w:spacing w:line="440" w:lineRule="exact"/>
        <w:ind w:firstLine="480" w:firstLineChars="200"/>
        <w:rPr>
          <w:rFonts w:hint="eastAsia" w:ascii="宋体" w:hAnsi="宋体" w:cs="宋体"/>
          <w:szCs w:val="21"/>
          <w:highlight w:val="none"/>
        </w:rPr>
      </w:pPr>
      <w:r>
        <w:rPr>
          <w:rFonts w:hint="eastAsia" w:ascii="宋体" w:hAnsi="宋体" w:cs="宋体"/>
          <w:szCs w:val="21"/>
          <w:highlight w:val="none"/>
        </w:rPr>
        <w:t>……</w:t>
      </w:r>
    </w:p>
    <w:p w14:paraId="5EEF20E6">
      <w:pPr>
        <w:pStyle w:val="30"/>
      </w:pPr>
    </w:p>
    <w:p w14:paraId="21DF6503">
      <w:pPr>
        <w:widowControl/>
        <w:shd w:val="clear" w:color="auto" w:fill="FFFFFF"/>
        <w:ind w:firstLine="480"/>
        <w:rPr>
          <w:color w:val="333333"/>
          <w:sz w:val="24"/>
          <w:highlight w:val="none"/>
        </w:rPr>
      </w:pPr>
      <w:r>
        <w:rPr>
          <w:rFonts w:hint="eastAsia" w:ascii="宋体" w:hAnsi="宋体" w:cs="宋体"/>
          <w:color w:val="333333"/>
          <w:kern w:val="0"/>
          <w:sz w:val="24"/>
          <w:highlight w:val="none"/>
          <w:shd w:val="clear" w:color="auto" w:fill="FFFFFF"/>
          <w:lang w:bidi="ar"/>
        </w:rPr>
        <w:t>5、本协议书自签署之日起生效，合同履行完毕后自动失效。</w:t>
      </w:r>
    </w:p>
    <w:p w14:paraId="3042B2F2">
      <w:pPr>
        <w:widowControl/>
        <w:shd w:val="clear" w:color="auto" w:fill="FFFFFF"/>
        <w:ind w:firstLine="480"/>
        <w:rPr>
          <w:color w:val="333333"/>
          <w:sz w:val="24"/>
          <w:highlight w:val="none"/>
        </w:rPr>
      </w:pPr>
    </w:p>
    <w:p w14:paraId="2404B751">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主办方名称：</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（盖单位章</w:t>
      </w:r>
      <w:r>
        <w:rPr>
          <w:rFonts w:hint="eastAsia"/>
          <w:color w:val="333333"/>
          <w:kern w:val="0"/>
          <w:sz w:val="24"/>
          <w:highlight w:val="none"/>
          <w:shd w:val="clear" w:color="auto" w:fill="FFFFFF"/>
          <w:lang w:eastAsia="zh-CN" w:bidi="ar"/>
        </w:rPr>
        <w:t>）</w:t>
      </w:r>
    </w:p>
    <w:p w14:paraId="46454CC5">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法定代表人：</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（签字或盖章</w:t>
      </w:r>
      <w:r>
        <w:rPr>
          <w:rFonts w:hint="eastAsia"/>
          <w:color w:val="333333"/>
          <w:kern w:val="0"/>
          <w:sz w:val="24"/>
          <w:highlight w:val="none"/>
          <w:shd w:val="clear" w:color="auto" w:fill="FFFFFF"/>
          <w:lang w:eastAsia="zh-CN" w:bidi="ar"/>
        </w:rPr>
        <w:t>）</w:t>
      </w:r>
    </w:p>
    <w:p w14:paraId="5AB05915">
      <w:pPr>
        <w:widowControl/>
        <w:shd w:val="clear" w:color="auto" w:fill="FFFFFF"/>
        <w:ind w:firstLine="480"/>
        <w:rPr>
          <w:color w:val="333333"/>
          <w:sz w:val="24"/>
          <w:highlight w:val="none"/>
        </w:rPr>
      </w:pPr>
    </w:p>
    <w:p w14:paraId="57BDD2FB">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成员</w:t>
      </w:r>
      <w:r>
        <w:rPr>
          <w:rFonts w:hint="eastAsia"/>
          <w:color w:val="333333"/>
          <w:kern w:val="0"/>
          <w:sz w:val="24"/>
          <w:highlight w:val="none"/>
          <w:shd w:val="clear" w:color="auto" w:fill="FFFFFF"/>
          <w:lang w:val="en-US" w:eastAsia="zh-CN" w:bidi="ar"/>
        </w:rPr>
        <w:t>方</w:t>
      </w:r>
      <w:r>
        <w:rPr>
          <w:color w:val="333333"/>
          <w:kern w:val="0"/>
          <w:sz w:val="24"/>
          <w:highlight w:val="none"/>
          <w:shd w:val="clear" w:color="auto" w:fill="FFFFFF"/>
          <w:lang w:bidi="ar"/>
        </w:rPr>
        <w:t>名称：</w:t>
      </w:r>
      <w:r>
        <w:rPr>
          <w:rFonts w:hint="eastAsia"/>
          <w:color w:val="333333"/>
          <w:kern w:val="0"/>
          <w:sz w:val="24"/>
          <w:highlight w:val="none"/>
          <w:u w:val="single"/>
          <w:shd w:val="clear" w:color="auto" w:fill="FFFFFF"/>
          <w:lang w:bidi="ar"/>
        </w:rPr>
        <w:t xml:space="preserve">         </w:t>
      </w:r>
      <w:r>
        <w:rPr>
          <w:rFonts w:hint="eastAsia"/>
          <w:color w:val="333333"/>
          <w:kern w:val="0"/>
          <w:sz w:val="24"/>
          <w:highlight w:val="none"/>
          <w:u w:val="single"/>
          <w:shd w:val="clear" w:color="auto" w:fill="FFFFFF"/>
          <w:lang w:val="en-US" w:eastAsia="zh-CN" w:bidi="ar"/>
        </w:rPr>
        <w:t xml:space="preserve"> </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（盖单位章</w:t>
      </w:r>
      <w:r>
        <w:rPr>
          <w:rFonts w:hint="eastAsia"/>
          <w:color w:val="333333"/>
          <w:kern w:val="0"/>
          <w:sz w:val="24"/>
          <w:highlight w:val="none"/>
          <w:shd w:val="clear" w:color="auto" w:fill="FFFFFF"/>
          <w:lang w:eastAsia="zh-CN" w:bidi="ar"/>
        </w:rPr>
        <w:t>）</w:t>
      </w:r>
    </w:p>
    <w:p w14:paraId="4F020E24">
      <w:pPr>
        <w:widowControl/>
        <w:shd w:val="clear" w:color="auto" w:fill="FFFFFF"/>
        <w:ind w:firstLine="480"/>
        <w:rPr>
          <w:rFonts w:hint="eastAsia" w:eastAsia="宋体"/>
          <w:color w:val="333333"/>
          <w:sz w:val="24"/>
          <w:highlight w:val="none"/>
          <w:lang w:eastAsia="zh-CN"/>
        </w:rPr>
      </w:pPr>
      <w:r>
        <w:rPr>
          <w:color w:val="333333"/>
          <w:kern w:val="0"/>
          <w:sz w:val="24"/>
          <w:highlight w:val="none"/>
          <w:shd w:val="clear" w:color="auto" w:fill="FFFFFF"/>
          <w:lang w:bidi="ar"/>
        </w:rPr>
        <w:t>法定代表人：</w:t>
      </w:r>
      <w:r>
        <w:rPr>
          <w:rFonts w:hint="eastAsia"/>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（签字或盖章</w:t>
      </w:r>
      <w:r>
        <w:rPr>
          <w:rFonts w:hint="eastAsia"/>
          <w:color w:val="333333"/>
          <w:kern w:val="0"/>
          <w:sz w:val="24"/>
          <w:highlight w:val="none"/>
          <w:shd w:val="clear" w:color="auto" w:fill="FFFFFF"/>
          <w:lang w:eastAsia="zh-CN" w:bidi="ar"/>
        </w:rPr>
        <w:t>）</w:t>
      </w:r>
    </w:p>
    <w:p w14:paraId="33E91F09">
      <w:pPr>
        <w:widowControl/>
        <w:shd w:val="clear" w:color="auto" w:fill="FFFFFF"/>
        <w:ind w:firstLine="480"/>
        <w:rPr>
          <w:color w:val="333333"/>
          <w:sz w:val="24"/>
          <w:highlight w:val="none"/>
        </w:rPr>
      </w:pPr>
    </w:p>
    <w:p w14:paraId="00ED3E62">
      <w:pPr>
        <w:widowControl/>
        <w:shd w:val="clear" w:color="auto" w:fill="FFFFFF"/>
        <w:ind w:firstLine="480"/>
        <w:rPr>
          <w:color w:val="333333"/>
          <w:sz w:val="24"/>
          <w:highlight w:val="none"/>
        </w:rPr>
      </w:pP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年</w:t>
      </w:r>
      <w:r>
        <w:rPr>
          <w:rFonts w:hint="eastAsia" w:ascii="宋体" w:hAnsi="宋体" w:cs="宋体"/>
          <w:color w:val="333333"/>
          <w:kern w:val="0"/>
          <w:sz w:val="24"/>
          <w:highlight w:val="none"/>
          <w:u w:val="single"/>
          <w:shd w:val="clear" w:color="auto" w:fill="FFFFFF"/>
          <w:lang w:bidi="ar"/>
        </w:rPr>
        <w:t xml:space="preserve"> </w:t>
      </w:r>
      <w:r>
        <w:rPr>
          <w:rFonts w:hint="eastAsia" w:ascii="宋体" w:hAnsi="宋体" w:cs="宋体"/>
          <w:color w:val="333333"/>
          <w:kern w:val="0"/>
          <w:sz w:val="24"/>
          <w:highlight w:val="none"/>
          <w:u w:val="single"/>
          <w:shd w:val="clear" w:color="auto" w:fill="FFFFFF"/>
          <w:lang w:val="en-US" w:eastAsia="zh-CN" w:bidi="ar"/>
        </w:rPr>
        <w:t xml:space="preserve"> </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月</w:t>
      </w:r>
      <w:r>
        <w:rPr>
          <w:rFonts w:hint="eastAsia" w:ascii="宋体" w:hAnsi="宋体" w:cs="宋体"/>
          <w:color w:val="333333"/>
          <w:kern w:val="0"/>
          <w:sz w:val="24"/>
          <w:highlight w:val="none"/>
          <w:u w:val="single"/>
          <w:shd w:val="clear" w:color="auto" w:fill="FFFFFF"/>
          <w:lang w:bidi="ar"/>
        </w:rPr>
        <w:t xml:space="preserve">   </w:t>
      </w:r>
      <w:r>
        <w:rPr>
          <w:color w:val="333333"/>
          <w:kern w:val="0"/>
          <w:sz w:val="24"/>
          <w:highlight w:val="none"/>
          <w:shd w:val="clear" w:color="auto" w:fill="FFFFFF"/>
          <w:lang w:bidi="ar"/>
        </w:rPr>
        <w:t>日</w:t>
      </w:r>
    </w:p>
    <w:p w14:paraId="0B2379F5">
      <w:pPr>
        <w:pStyle w:val="40"/>
        <w:rPr>
          <w:color w:val="333333"/>
          <w:kern w:val="0"/>
          <w:sz w:val="24"/>
          <w:highlight w:val="none"/>
          <w:shd w:val="clear" w:color="auto" w:fill="FFFFFF"/>
          <w:lang w:bidi="ar"/>
        </w:rPr>
      </w:pPr>
    </w:p>
    <w:p w14:paraId="7977C223">
      <w:pPr>
        <w:pStyle w:val="40"/>
        <w:jc w:val="both"/>
        <w:rPr>
          <w:color w:val="333333"/>
          <w:kern w:val="0"/>
          <w:sz w:val="24"/>
          <w:highlight w:val="none"/>
          <w:shd w:val="clear" w:color="auto" w:fill="FFFFFF"/>
          <w:lang w:bidi="ar"/>
        </w:rPr>
      </w:pPr>
    </w:p>
    <w:p w14:paraId="74EB2B7B">
      <w:pPr>
        <w:pStyle w:val="40"/>
        <w:jc w:val="both"/>
        <w:rPr>
          <w:rFonts w:hint="eastAsia" w:ascii="宋体" w:hAnsi="宋体" w:eastAsia="宋体" w:cs="宋体"/>
          <w:color w:val="auto"/>
          <w:kern w:val="21"/>
          <w:sz w:val="24"/>
          <w:szCs w:val="24"/>
          <w:highlight w:val="none"/>
        </w:rPr>
      </w:pPr>
      <w:r>
        <w:rPr>
          <w:color w:val="333333"/>
          <w:kern w:val="0"/>
          <w:sz w:val="24"/>
          <w:highlight w:val="none"/>
          <w:shd w:val="clear" w:color="auto" w:fill="FFFFFF"/>
          <w:lang w:bidi="ar"/>
        </w:rPr>
        <w:t>注：单独投标的，无需提交本协议书。</w:t>
      </w:r>
    </w:p>
    <w:p w14:paraId="6ED4F4EF">
      <w:pPr>
        <w:pStyle w:val="28"/>
        <w:rPr>
          <w:rFonts w:hint="eastAsia"/>
        </w:rPr>
      </w:pPr>
    </w:p>
    <w:p w14:paraId="63F6F3E7">
      <w:pPr>
        <w:pStyle w:val="3"/>
        <w:shd w:val="clear"/>
        <w:outlineLvl w:val="0"/>
        <w:rPr>
          <w:rFonts w:hint="eastAsia" w:ascii="宋体" w:hAnsi="宋体" w:eastAsia="宋体" w:cs="宋体"/>
          <w:color w:val="auto"/>
          <w:sz w:val="44"/>
          <w:szCs w:val="24"/>
          <w:highlight w:val="none"/>
        </w:rPr>
      </w:pPr>
      <w:bookmarkStart w:id="22" w:name="bookmark9"/>
      <w:bookmarkEnd w:id="22"/>
      <w:bookmarkStart w:id="23" w:name="bookmark18"/>
      <w:bookmarkEnd w:id="23"/>
      <w:bookmarkStart w:id="24" w:name="bookmark2"/>
      <w:bookmarkEnd w:id="24"/>
      <w:bookmarkStart w:id="25" w:name="_Toc15097"/>
    </w:p>
    <w:p w14:paraId="7D85FB3E">
      <w:pPr>
        <w:rPr>
          <w:rFonts w:hint="eastAsia" w:ascii="宋体" w:hAnsi="宋体" w:eastAsia="宋体" w:cs="宋体"/>
          <w:color w:val="auto"/>
          <w:sz w:val="44"/>
          <w:szCs w:val="24"/>
          <w:highlight w:val="none"/>
        </w:rPr>
      </w:pPr>
      <w:r>
        <w:rPr>
          <w:rFonts w:hint="eastAsia" w:ascii="宋体" w:hAnsi="宋体" w:eastAsia="宋体" w:cs="宋体"/>
          <w:color w:val="auto"/>
          <w:sz w:val="44"/>
          <w:szCs w:val="24"/>
          <w:highlight w:val="none"/>
        </w:rPr>
        <w:br w:type="page"/>
      </w:r>
    </w:p>
    <w:p w14:paraId="59C67966">
      <w:pPr>
        <w:pStyle w:val="3"/>
        <w:shd w:val="clear"/>
        <w:outlineLvl w:val="0"/>
        <w:rPr>
          <w:rFonts w:hint="eastAsia" w:ascii="宋体" w:hAnsi="宋体" w:eastAsia="宋体" w:cs="宋体"/>
          <w:b w:val="0"/>
          <w:color w:val="auto"/>
          <w:sz w:val="57"/>
          <w:szCs w:val="24"/>
          <w:highlight w:val="none"/>
        </w:rPr>
      </w:pPr>
      <w:r>
        <w:rPr>
          <w:rFonts w:hint="eastAsia" w:ascii="宋体" w:hAnsi="宋体" w:eastAsia="宋体" w:cs="宋体"/>
          <w:color w:val="auto"/>
          <w:sz w:val="44"/>
          <w:szCs w:val="24"/>
          <w:highlight w:val="none"/>
        </w:rPr>
        <w:t>第二章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投标人须知</w:t>
      </w:r>
      <w:bookmarkEnd w:id="25"/>
    </w:p>
    <w:p w14:paraId="7CA420E5">
      <w:pPr>
        <w:pStyle w:val="4"/>
        <w:shd w:val="clear"/>
        <w:kinsoku/>
        <w:overflowPunct w:val="0"/>
        <w:ind w:left="220"/>
        <w:jc w:val="center"/>
        <w:outlineLvl w:val="1"/>
        <w:rPr>
          <w:rFonts w:hint="eastAsia" w:ascii="宋体" w:hAnsi="宋体" w:eastAsia="宋体" w:cs="宋体"/>
          <w:b w:val="0"/>
          <w:color w:val="auto"/>
          <w:sz w:val="20"/>
          <w:szCs w:val="24"/>
          <w:highlight w:val="none"/>
        </w:rPr>
      </w:pPr>
      <w:bookmarkStart w:id="26" w:name="bookmark19"/>
      <w:bookmarkEnd w:id="26"/>
      <w:bookmarkStart w:id="27" w:name="_Toc6280"/>
      <w:r>
        <w:rPr>
          <w:rFonts w:hint="eastAsia" w:ascii="宋体" w:hAnsi="宋体" w:eastAsia="宋体" w:cs="宋体"/>
          <w:color w:val="auto"/>
          <w:sz w:val="32"/>
          <w:szCs w:val="24"/>
          <w:highlight w:val="none"/>
        </w:rPr>
        <w:t>投标人须知前附表</w:t>
      </w:r>
      <w:bookmarkEnd w:id="27"/>
    </w:p>
    <w:tbl>
      <w:tblPr>
        <w:tblStyle w:val="2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463"/>
      </w:tblGrid>
      <w:tr w14:paraId="1BEB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9D1147">
            <w:pPr>
              <w:pStyle w:val="35"/>
              <w:shd w:val="clear"/>
              <w:kinsoku/>
              <w:overflowPunct w:val="0"/>
              <w:autoSpaceDE/>
              <w:autoSpaceDN/>
              <w:spacing w:before="0"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b/>
                <w:color w:val="auto"/>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43BBE">
            <w:pPr>
              <w:pStyle w:val="35"/>
              <w:shd w:val="clear"/>
              <w:kinsoku/>
              <w:overflowPunct w:val="0"/>
              <w:autoSpaceDE/>
              <w:autoSpaceDN/>
              <w:spacing w:before="0"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b/>
                <w:color w:val="auto"/>
                <w:sz w:val="21"/>
                <w:szCs w:val="21"/>
                <w:highlight w:val="none"/>
              </w:rPr>
              <w:t>条款名称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BFCFFA">
            <w:pPr>
              <w:pStyle w:val="35"/>
              <w:shd w:val="clear"/>
              <w:kinsoku/>
              <w:overflowPunct w:val="0"/>
              <w:autoSpaceDE/>
              <w:autoSpaceDN/>
              <w:spacing w:before="0"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b/>
                <w:color w:val="auto"/>
                <w:sz w:val="21"/>
                <w:szCs w:val="21"/>
                <w:highlight w:val="none"/>
              </w:rPr>
              <w:t>编列内容</w:t>
            </w:r>
          </w:p>
        </w:tc>
      </w:tr>
      <w:tr w14:paraId="0C1F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647539">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1A6A43">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B7586">
            <w:pPr>
              <w:spacing w:line="440" w:lineRule="exac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名称：</w:t>
            </w:r>
            <w:r>
              <w:rPr>
                <w:rFonts w:hint="eastAsia" w:ascii="宋体" w:hAnsi="宋体" w:cs="宋体"/>
                <w:color w:val="auto"/>
                <w:sz w:val="21"/>
                <w:szCs w:val="24"/>
                <w:highlight w:val="none"/>
                <w:lang w:eastAsia="zh-CN"/>
              </w:rPr>
              <w:t>广州市花都区花城街罗仙村经济联合社</w:t>
            </w:r>
          </w:p>
          <w:p w14:paraId="059F90F4">
            <w:pPr>
              <w:spacing w:line="440" w:lineRule="exac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地</w:t>
            </w:r>
            <w:r>
              <w:rPr>
                <w:rFonts w:hint="eastAsia" w:ascii="宋体" w:hAnsi="宋体" w:eastAsia="宋体" w:cs="宋体"/>
                <w:color w:val="auto"/>
                <w:sz w:val="21"/>
                <w:szCs w:val="24"/>
                <w:highlight w:val="none"/>
                <w:lang w:eastAsia="zh-CN"/>
              </w:rPr>
              <w:t>址：</w:t>
            </w:r>
            <w:r>
              <w:rPr>
                <w:rFonts w:hint="eastAsia" w:ascii="宋体" w:hAnsi="宋体" w:cs="宋体"/>
                <w:color w:val="auto"/>
                <w:sz w:val="21"/>
                <w:szCs w:val="24"/>
                <w:highlight w:val="none"/>
                <w:lang w:eastAsia="zh-CN"/>
              </w:rPr>
              <w:t>广州市花都区罗仙村</w:t>
            </w:r>
            <w:r>
              <w:rPr>
                <w:rFonts w:hint="eastAsia" w:ascii="宋体" w:hAnsi="宋体" w:eastAsia="宋体" w:cs="宋体"/>
                <w:color w:val="auto"/>
                <w:sz w:val="21"/>
                <w:szCs w:val="24"/>
                <w:highlight w:val="none"/>
                <w:lang w:eastAsia="zh-CN"/>
              </w:rPr>
              <w:t xml:space="preserve"> </w:t>
            </w:r>
          </w:p>
          <w:p w14:paraId="35F419A1">
            <w:pPr>
              <w:spacing w:line="440" w:lineRule="exac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联系人：</w:t>
            </w:r>
            <w:r>
              <w:rPr>
                <w:rFonts w:hint="eastAsia" w:ascii="宋体" w:hAnsi="宋体" w:eastAsia="宋体" w:cs="宋体"/>
                <w:color w:val="auto"/>
                <w:sz w:val="21"/>
                <w:szCs w:val="24"/>
                <w:highlight w:val="none"/>
                <w:lang w:val="en-US" w:eastAsia="zh-CN"/>
              </w:rPr>
              <w:t>卢先生</w:t>
            </w:r>
            <w:r>
              <w:rPr>
                <w:rFonts w:hint="eastAsia" w:ascii="宋体" w:hAnsi="宋体" w:eastAsia="宋体" w:cs="宋体"/>
                <w:color w:val="auto"/>
                <w:sz w:val="21"/>
                <w:szCs w:val="24"/>
                <w:highlight w:val="none"/>
                <w:lang w:eastAsia="zh-CN"/>
              </w:rPr>
              <w:t xml:space="preserve">  </w:t>
            </w:r>
          </w:p>
          <w:p w14:paraId="7FDE98D7">
            <w:pPr>
              <w:spacing w:line="440" w:lineRule="exac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电话：020-86921123</w:t>
            </w:r>
          </w:p>
        </w:tc>
      </w:tr>
      <w:tr w14:paraId="03DD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54D85">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B5345D">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招标代理机构</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44A81D">
            <w:pPr>
              <w:spacing w:line="440" w:lineRule="exac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名称：</w:t>
            </w:r>
            <w:r>
              <w:rPr>
                <w:rFonts w:hint="eastAsia" w:ascii="宋体" w:hAnsi="宋体" w:eastAsia="宋体" w:cs="宋体"/>
                <w:color w:val="auto"/>
                <w:sz w:val="21"/>
                <w:szCs w:val="24"/>
                <w:highlight w:val="none"/>
                <w:lang w:eastAsia="zh-CN"/>
              </w:rPr>
              <w:t>广州荣智建设咨询有限公司</w:t>
            </w:r>
          </w:p>
          <w:p w14:paraId="53EA3E93">
            <w:pPr>
              <w:spacing w:line="440" w:lineRule="exac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地址：</w:t>
            </w:r>
            <w:r>
              <w:rPr>
                <w:rFonts w:hint="eastAsia" w:ascii="宋体" w:hAnsi="宋体" w:cs="宋体"/>
                <w:color w:val="auto"/>
                <w:sz w:val="21"/>
                <w:szCs w:val="24"/>
                <w:highlight w:val="none"/>
                <w:lang w:eastAsia="zh-CN"/>
              </w:rPr>
              <w:t>广州市花都区新华街迎宾大道163号之四5栋508</w:t>
            </w:r>
          </w:p>
          <w:p w14:paraId="7F2E6641">
            <w:pPr>
              <w:spacing w:line="440" w:lineRule="exac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联系人：</w:t>
            </w:r>
            <w:r>
              <w:rPr>
                <w:rFonts w:hint="eastAsia" w:ascii="宋体" w:hAnsi="宋体" w:eastAsia="宋体" w:cs="宋体"/>
                <w:color w:val="auto"/>
                <w:sz w:val="21"/>
                <w:szCs w:val="24"/>
                <w:highlight w:val="none"/>
                <w:lang w:val="en-US" w:eastAsia="zh-CN"/>
              </w:rPr>
              <w:t>彭丽芳</w:t>
            </w:r>
          </w:p>
          <w:p w14:paraId="0AB7E987">
            <w:pPr>
              <w:spacing w:line="440" w:lineRule="exact"/>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电话：020-36970336</w:t>
            </w:r>
          </w:p>
        </w:tc>
      </w:tr>
      <w:tr w14:paraId="1147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FD92D3">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A2E05A">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招标项目名称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66BD91">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cs="宋体"/>
                <w:color w:val="auto"/>
                <w:sz w:val="21"/>
                <w:szCs w:val="24"/>
                <w:highlight w:val="none"/>
                <w:lang w:eastAsia="zh-CN"/>
              </w:rPr>
              <w:t>罗仙村留用地统筹区开发商业地块项目检验监测</w:t>
            </w:r>
          </w:p>
        </w:tc>
      </w:tr>
      <w:tr w14:paraId="2C0A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1185D7">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01452D">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项目建设地点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256A2">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详见本项目招标公告。</w:t>
            </w:r>
          </w:p>
        </w:tc>
      </w:tr>
      <w:tr w14:paraId="7669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49BDE6">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3D76D6">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项目建设规模</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C3B8ED">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详见本项目招标公告。</w:t>
            </w:r>
          </w:p>
        </w:tc>
      </w:tr>
      <w:tr w14:paraId="4D58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BD17F1">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C9C03">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工程项目施工预计开工日期和建设周期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0FF49">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p>
        </w:tc>
      </w:tr>
      <w:tr w14:paraId="0047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E8E8D8">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DEA82B">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建筑安装工程费/工程概算</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5408A">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项目总投资</w:t>
            </w:r>
            <w:r>
              <w:rPr>
                <w:rFonts w:hint="eastAsia" w:ascii="宋体" w:hAnsi="宋体" w:eastAsia="宋体" w:cs="宋体"/>
                <w:color w:val="auto"/>
                <w:sz w:val="21"/>
                <w:szCs w:val="24"/>
                <w:highlight w:val="none"/>
                <w:u w:val="single"/>
                <w:lang w:val="en-US" w:eastAsia="zh-CN"/>
              </w:rPr>
              <w:t>82200</w:t>
            </w:r>
            <w:r>
              <w:rPr>
                <w:rFonts w:hint="eastAsia" w:ascii="宋体" w:hAnsi="宋体" w:eastAsia="宋体" w:cs="宋体"/>
                <w:color w:val="auto"/>
                <w:sz w:val="21"/>
                <w:szCs w:val="24"/>
                <w:highlight w:val="none"/>
                <w:lang w:val="en-US" w:eastAsia="zh-CN"/>
              </w:rPr>
              <w:t>万元，其中工程费：</w:t>
            </w:r>
            <w:r>
              <w:rPr>
                <w:rFonts w:hint="eastAsia" w:ascii="宋体" w:hAnsi="宋体" w:cs="宋体"/>
                <w:color w:val="auto"/>
                <w:sz w:val="21"/>
                <w:szCs w:val="24"/>
                <w:highlight w:val="none"/>
                <w:u w:val="single"/>
                <w:lang w:val="en-US" w:eastAsia="zh-CN"/>
              </w:rPr>
              <w:t>68400</w:t>
            </w:r>
            <w:r>
              <w:rPr>
                <w:rFonts w:hint="eastAsia" w:ascii="宋体" w:hAnsi="宋体" w:eastAsia="宋体" w:cs="宋体"/>
                <w:color w:val="auto"/>
                <w:sz w:val="21"/>
                <w:szCs w:val="24"/>
                <w:highlight w:val="none"/>
                <w:lang w:val="en-US" w:eastAsia="zh-CN"/>
              </w:rPr>
              <w:t>万元。</w:t>
            </w:r>
          </w:p>
        </w:tc>
      </w:tr>
      <w:tr w14:paraId="1518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A2F143">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640959">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资金来源及比例</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22707">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详见本项目招标公告。</w:t>
            </w:r>
          </w:p>
        </w:tc>
      </w:tr>
      <w:tr w14:paraId="295E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E9489E">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75793">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资金落实情况</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0E1DFD">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已落实</w:t>
            </w:r>
          </w:p>
        </w:tc>
      </w:tr>
      <w:tr w14:paraId="0083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11614">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3BC8D">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招标范围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FBF728">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详见本项目招标公告。</w:t>
            </w:r>
          </w:p>
        </w:tc>
      </w:tr>
      <w:tr w14:paraId="10A1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8C9FF">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FF00BD">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cs="宋体"/>
                <w:color w:val="auto"/>
                <w:sz w:val="21"/>
                <w:szCs w:val="21"/>
                <w:highlight w:val="none"/>
                <w:lang w:eastAsia="zh-CN"/>
              </w:rPr>
              <w:t>检验</w:t>
            </w:r>
            <w:r>
              <w:rPr>
                <w:rFonts w:hint="eastAsia" w:ascii="宋体" w:hAnsi="宋体" w:eastAsia="宋体" w:cs="宋体"/>
                <w:color w:val="auto"/>
                <w:sz w:val="21"/>
                <w:szCs w:val="21"/>
                <w:highlight w:val="none"/>
              </w:rPr>
              <w:t>监测服务期限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B8DFF">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详见本项目招标公告。</w:t>
            </w:r>
          </w:p>
        </w:tc>
      </w:tr>
      <w:tr w14:paraId="641A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C7C134">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E641D">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质量标准</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5668">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符合国家有关质量验收标准。</w:t>
            </w:r>
          </w:p>
        </w:tc>
      </w:tr>
      <w:tr w14:paraId="0AF9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8C43F">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EA1658">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投标人资质条件、能力、信誉</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D3E48">
            <w:pPr>
              <w:pStyle w:val="35"/>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详见本项目招标公告。</w:t>
            </w:r>
          </w:p>
        </w:tc>
      </w:tr>
      <w:tr w14:paraId="4EC8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DAF0F5">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D58DE">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是否接受联合体投标</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DCCFD0">
            <w:pPr>
              <w:pStyle w:val="35"/>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不接受</w:t>
            </w:r>
          </w:p>
          <w:p w14:paraId="63F7C14D">
            <w:pPr>
              <w:pStyle w:val="35"/>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接受，应满足下列要求：</w:t>
            </w:r>
            <w:r>
              <w:rPr>
                <w:rFonts w:hint="eastAsia" w:ascii="宋体" w:hAnsi="宋体" w:eastAsia="宋体" w:cs="宋体"/>
                <w:color w:val="auto"/>
                <w:sz w:val="21"/>
                <w:szCs w:val="24"/>
                <w:highlight w:val="none"/>
                <w:lang w:eastAsia="zh-CN"/>
              </w:rPr>
              <w:t>详见本项目招标公告。</w:t>
            </w:r>
          </w:p>
        </w:tc>
      </w:tr>
      <w:tr w14:paraId="1DB6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B1BC6">
            <w:pPr>
              <w:pStyle w:val="35"/>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63104">
            <w:pPr>
              <w:pStyle w:val="35"/>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投标人不得存在的其他情形</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295C12">
            <w:pPr>
              <w:pStyle w:val="11"/>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val="0"/>
              <w:topLinePunct w:val="0"/>
              <w:bidi w:val="0"/>
              <w:adjustRightInd/>
              <w:snapToGrid/>
              <w:ind w:left="0"/>
              <w:textAlignment w:val="auto"/>
              <w:rPr>
                <w:rFonts w:hint="eastAsia" w:ascii="宋体" w:hAnsi="宋体" w:eastAsia="宋体" w:cs="宋体"/>
                <w:b/>
                <w:color w:val="auto"/>
                <w:sz w:val="21"/>
                <w:szCs w:val="21"/>
                <w:highlight w:val="none"/>
                <w:lang w:eastAsia="zh-CN"/>
              </w:rPr>
            </w:pPr>
            <w:r>
              <w:rPr>
                <w:rFonts w:ascii="宋体" w:hAnsi="宋体"/>
                <w:color w:val="auto"/>
                <w:szCs w:val="21"/>
                <w:highlight w:val="none"/>
                <w:u w:val="single"/>
              </w:rPr>
              <w:t xml:space="preserve"> / </w:t>
            </w:r>
          </w:p>
        </w:tc>
      </w:tr>
      <w:tr w14:paraId="3E73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DCADE3">
            <w:pPr>
              <w:pStyle w:val="35"/>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F92B1">
            <w:pPr>
              <w:pStyle w:val="35"/>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踏勘现场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3D1C4">
            <w:pPr>
              <w:shd w:val="clear"/>
              <w:autoSpaceDE/>
              <w:autoSpaceDN/>
              <w:spacing w:beforeLines="0" w:afterLines="0" w:line="240" w:lineRule="auto"/>
              <w:ind w:left="6" w:leftChars="0" w:right="6" w:right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招标人不集中组织，由投标人自行踏勘；</w:t>
            </w:r>
          </w:p>
          <w:p w14:paraId="028B59FF">
            <w:pPr>
              <w:shd w:val="clear"/>
              <w:autoSpaceDE/>
              <w:autoSpaceDN/>
              <w:spacing w:beforeLines="0" w:afterLines="0" w:line="240" w:lineRule="auto"/>
              <w:ind w:left="6" w:leftChars="0" w:right="6" w:right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时间：自公告发布之日起具备现场踏勘条件；</w:t>
            </w:r>
          </w:p>
          <w:p w14:paraId="0EE397F6">
            <w:pPr>
              <w:pStyle w:val="35"/>
              <w:shd w:val="clear"/>
              <w:kinsoku/>
              <w:overflowPunct w:val="0"/>
              <w:autoSpaceDE/>
              <w:autoSpaceDN/>
              <w:spacing w:beforeLines="0" w:afterLines="0" w:line="240" w:lineRule="auto"/>
              <w:ind w:left="6" w:leftChars="0" w:right="6" w:right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现场详细地点：</w:t>
            </w:r>
            <w:r>
              <w:rPr>
                <w:rFonts w:hint="eastAsia" w:ascii="宋体" w:hAnsi="宋体" w:eastAsia="宋体" w:cs="宋体"/>
                <w:color w:val="auto"/>
                <w:sz w:val="21"/>
                <w:szCs w:val="24"/>
                <w:highlight w:val="none"/>
                <w:lang w:val="en-US" w:eastAsia="zh-CN"/>
              </w:rPr>
              <w:t>详见招标公告工程建设地点</w:t>
            </w:r>
            <w:r>
              <w:rPr>
                <w:rFonts w:hint="eastAsia" w:ascii="宋体" w:hAnsi="宋体" w:eastAsia="宋体" w:cs="宋体"/>
                <w:color w:val="auto"/>
                <w:sz w:val="21"/>
                <w:szCs w:val="24"/>
                <w:highlight w:val="none"/>
              </w:rPr>
              <w:t>；</w:t>
            </w:r>
          </w:p>
        </w:tc>
      </w:tr>
      <w:tr w14:paraId="4862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top"/>
          </w:tcPr>
          <w:p w14:paraId="1115C958">
            <w:pPr>
              <w:shd w:val="clear"/>
              <w:autoSpaceDE/>
              <w:autoSpaceDN/>
              <w:spacing w:beforeLines="0" w:afterLines="0" w:line="240" w:lineRule="auto"/>
              <w:rPr>
                <w:rFonts w:hint="eastAsia" w:ascii="宋体" w:hAnsi="宋体" w:eastAsia="宋体" w:cs="宋体"/>
                <w:color w:val="auto"/>
                <w:sz w:val="21"/>
                <w:szCs w:val="24"/>
                <w:highlight w:val="none"/>
              </w:rPr>
            </w:pPr>
          </w:p>
          <w:p w14:paraId="5199CF1D">
            <w:pPr>
              <w:shd w:val="clear"/>
              <w:autoSpaceDE/>
              <w:autoSpaceDN/>
              <w:spacing w:before="0" w:beforeLines="0" w:afterLines="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top"/>
          </w:tcPr>
          <w:p w14:paraId="69BD6B2A">
            <w:pPr>
              <w:shd w:val="clear"/>
              <w:autoSpaceDE/>
              <w:autoSpaceDN/>
              <w:spacing w:beforeLines="0" w:afterLines="0" w:line="240" w:lineRule="auto"/>
              <w:rPr>
                <w:rFonts w:hint="eastAsia" w:ascii="宋体" w:hAnsi="宋体" w:eastAsia="宋体" w:cs="宋体"/>
                <w:color w:val="auto"/>
                <w:sz w:val="21"/>
                <w:szCs w:val="24"/>
                <w:highlight w:val="none"/>
              </w:rPr>
            </w:pPr>
          </w:p>
          <w:p w14:paraId="0B869422">
            <w:pPr>
              <w:shd w:val="clear"/>
              <w:autoSpaceDE/>
              <w:autoSpaceDN/>
              <w:spacing w:before="0" w:beforeLines="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164FCA5E">
            <w:pPr>
              <w:pStyle w:val="10"/>
              <w:shd w:val="clear"/>
              <w:spacing w:before="0" w:beforeLines="0" w:after="0" w:afterLines="0" w:line="240" w:lineRule="auto"/>
              <w:ind w:left="6" w:leftChars="0" w:right="6"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p w14:paraId="107F3F96">
            <w:pPr>
              <w:shd w:val="clear"/>
              <w:autoSpaceDE/>
              <w:autoSpaceDN/>
              <w:spacing w:before="0" w:beforeLines="0" w:after="0" w:afterLines="0" w:line="240" w:lineRule="auto"/>
              <w:ind w:left="6" w:leftChars="0" w:right="6"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召开，召开时间：</w:t>
            </w:r>
            <w:r>
              <w:rPr>
                <w:rFonts w:hint="eastAsia" w:ascii="宋体" w:hAnsi="宋体" w:eastAsia="宋体" w:cs="宋体"/>
                <w:color w:val="auto"/>
                <w:sz w:val="21"/>
                <w:szCs w:val="21"/>
                <w:highlight w:val="none"/>
                <w:lang w:val="en-US" w:eastAsia="zh-CN"/>
              </w:rPr>
              <w:t>/</w:t>
            </w:r>
          </w:p>
          <w:p w14:paraId="68263F12">
            <w:pPr>
              <w:shd w:val="clear"/>
              <w:autoSpaceDE/>
              <w:autoSpaceDN/>
              <w:spacing w:before="0" w:beforeLines="0" w:afterLines="0" w:line="240" w:lineRule="auto"/>
              <w:ind w:left="6" w:leftChars="0" w:right="6" w:rightChars="0" w:firstLine="0" w:firstLineChars="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1"/>
                <w:highlight w:val="none"/>
              </w:rPr>
              <w:t>召开地点：</w:t>
            </w:r>
            <w:r>
              <w:rPr>
                <w:rFonts w:hint="eastAsia" w:ascii="宋体" w:hAnsi="宋体" w:eastAsia="宋体" w:cs="宋体"/>
                <w:color w:val="auto"/>
                <w:sz w:val="21"/>
                <w:szCs w:val="21"/>
                <w:highlight w:val="none"/>
                <w:lang w:val="en-US" w:eastAsia="zh-CN"/>
              </w:rPr>
              <w:t>/</w:t>
            </w:r>
          </w:p>
        </w:tc>
      </w:tr>
      <w:tr w14:paraId="4379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FE16DE2">
            <w:pPr>
              <w:shd w:val="clear"/>
              <w:autoSpaceDE/>
              <w:autoSpaceDN/>
              <w:spacing w:before="0" w:beforeLines="0" w:afterLines="0" w:line="240" w:lineRule="auto"/>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B91E0E2">
            <w:pPr>
              <w:shd w:val="clear"/>
              <w:autoSpaceDE/>
              <w:autoSpaceDN/>
              <w:spacing w:before="0" w:beforeLines="0" w:afterLines="0" w:line="240" w:lineRule="auto"/>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投标人在投标预备会前提出问题</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2065A3">
            <w:pPr>
              <w:shd w:val="clear"/>
              <w:autoSpaceDE/>
              <w:autoSpaceDN/>
              <w:adjustRightInd/>
              <w:spacing w:before="0" w:beforeLines="0" w:after="0" w:afterLines="0" w:line="240" w:lineRule="auto"/>
              <w:ind w:left="6" w:leftChars="0" w:right="6" w:right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 xml:space="preserve"> /</w:t>
            </w:r>
          </w:p>
        </w:tc>
      </w:tr>
      <w:tr w14:paraId="2ABD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9BFCBD">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82B99D">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FAE3D3">
            <w:pPr>
              <w:shd w:val="clear"/>
              <w:autoSpaceDE/>
              <w:autoSpaceDN/>
              <w:adjustRightInd/>
              <w:spacing w:before="0" w:beforeLines="0" w:after="0" w:afterLines="0" w:line="240" w:lineRule="auto"/>
              <w:ind w:left="6" w:leftChars="0" w:right="6" w:right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val="en-US" w:eastAsia="zh-CN"/>
              </w:rPr>
              <w:t xml:space="preserve"> /</w:t>
            </w:r>
          </w:p>
        </w:tc>
      </w:tr>
      <w:tr w14:paraId="6D3A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C31CF1">
            <w:pPr>
              <w:shd w:val="clear"/>
              <w:autoSpaceDE/>
              <w:autoSpaceDN/>
              <w:spacing w:before="0" w:beforeLines="0" w:after="0" w:afterLines="0" w:line="240" w:lineRule="auto"/>
              <w:ind w:left="48" w:leftChars="20" w:right="48" w:rightChars="2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D5FEF">
            <w:pPr>
              <w:shd w:val="clear"/>
              <w:autoSpaceDE/>
              <w:autoSpaceDN/>
              <w:spacing w:before="0" w:beforeLines="0" w:after="0" w:afterLines="0" w:line="240" w:lineRule="auto"/>
              <w:ind w:left="48" w:leftChars="20" w:right="48" w:rightChars="2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37B0E">
            <w:pPr>
              <w:shd w:val="clear"/>
              <w:autoSpaceDE/>
              <w:autoSpaceDN/>
              <w:adjustRightInd/>
              <w:spacing w:before="0" w:beforeLines="0" w:after="0" w:afterLines="0" w:line="240" w:lineRule="auto"/>
              <w:ind w:left="6" w:leftChars="0" w:right="6"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招标文件的澄清均以广州交易集团有限公司（广州公共资源交易中心）网站发布的内容为准。当招标文件的澄清、修改在同一内容的表述不一致时，以广州交易集团有限公司（广州公共资源交易中心）网站最后发布的内容为准。</w:t>
            </w:r>
          </w:p>
        </w:tc>
      </w:tr>
      <w:tr w14:paraId="3015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9863F9">
            <w:pPr>
              <w:pStyle w:val="35"/>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B7EF93">
            <w:pPr>
              <w:pStyle w:val="35"/>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实质性要求和条件</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BA9482">
            <w:pPr>
              <w:shd w:val="clear"/>
              <w:autoSpaceDE/>
              <w:autoSpaceDN/>
              <w:spacing w:beforeLines="0" w:afterLines="0" w:line="240" w:lineRule="auto"/>
              <w:ind w:left="6" w:leftChars="0" w:right="6" w:rightChars="0" w:firstLine="0" w:firstLine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w:t>
            </w:r>
          </w:p>
        </w:tc>
      </w:tr>
      <w:tr w14:paraId="02E4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44744">
            <w:pPr>
              <w:pStyle w:val="35"/>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7D496">
            <w:pPr>
              <w:pStyle w:val="35"/>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偏差</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E798FB">
            <w:pPr>
              <w:pStyle w:val="35"/>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不允许</w:t>
            </w:r>
          </w:p>
          <w:p w14:paraId="7FCAF8EE">
            <w:pPr>
              <w:pStyle w:val="35"/>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允许，偏差范围：</w:t>
            </w:r>
            <w:r>
              <w:rPr>
                <w:rFonts w:hint="eastAsia" w:ascii="宋体" w:hAnsi="宋体" w:eastAsia="宋体" w:cs="宋体"/>
                <w:color w:val="auto"/>
                <w:sz w:val="21"/>
                <w:szCs w:val="24"/>
                <w:highlight w:val="none"/>
                <w:lang w:val="en-US" w:eastAsia="zh-CN"/>
              </w:rPr>
              <w:t>/</w:t>
            </w:r>
          </w:p>
          <w:p w14:paraId="724CD0B3">
            <w:pPr>
              <w:pStyle w:val="35"/>
              <w:shd w:val="clear"/>
              <w:kinsoku/>
              <w:overflowPunct w:val="0"/>
              <w:autoSpaceDE/>
              <w:autoSpaceDN/>
              <w:spacing w:beforeLines="0" w:afterLines="0" w:line="240" w:lineRule="auto"/>
              <w:ind w:left="6" w:leftChars="0" w:right="6" w:rightChars="0"/>
              <w:jc w:val="both"/>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4"/>
                <w:highlight w:val="none"/>
              </w:rPr>
              <w:t>偏差幅度：</w:t>
            </w:r>
            <w:r>
              <w:rPr>
                <w:rFonts w:hint="eastAsia" w:ascii="宋体" w:hAnsi="宋体" w:eastAsia="宋体" w:cs="宋体"/>
                <w:color w:val="auto"/>
                <w:sz w:val="21"/>
                <w:szCs w:val="24"/>
                <w:highlight w:val="none"/>
                <w:lang w:val="en-US" w:eastAsia="zh-CN"/>
              </w:rPr>
              <w:t>/</w:t>
            </w:r>
          </w:p>
        </w:tc>
      </w:tr>
      <w:tr w14:paraId="338B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AF1F9">
            <w:pPr>
              <w:pStyle w:val="35"/>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9732EC">
            <w:pPr>
              <w:pStyle w:val="35"/>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构成招标文件的其他资料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6DB773">
            <w:pPr>
              <w:shd w:val="clear"/>
              <w:autoSpaceDE/>
              <w:autoSpaceDN/>
              <w:spacing w:beforeLines="0" w:afterLines="0" w:line="240" w:lineRule="auto"/>
              <w:ind w:left="6" w:leftChars="0" w:right="6" w:rightChars="0"/>
              <w:jc w:val="both"/>
              <w:rPr>
                <w:rFonts w:hint="eastAsia" w:ascii="宋体" w:hAnsi="宋体" w:eastAsia="宋体" w:cs="宋体"/>
                <w:b/>
                <w:color w:val="auto"/>
                <w:sz w:val="21"/>
                <w:szCs w:val="21"/>
                <w:highlight w:val="none"/>
                <w:lang w:val="en-US" w:eastAsia="zh-CN"/>
              </w:rPr>
            </w:pPr>
            <w:r>
              <w:rPr>
                <w:rFonts w:hint="eastAsia" w:ascii="宋体" w:hAnsi="宋体" w:cs="宋体"/>
                <w:color w:val="auto"/>
                <w:kern w:val="0"/>
                <w:sz w:val="21"/>
                <w:szCs w:val="21"/>
                <w:u w:val="single"/>
              </w:rPr>
              <w:t>招标文件</w:t>
            </w:r>
            <w:r>
              <w:rPr>
                <w:rFonts w:hint="eastAsia" w:ascii="宋体" w:hAnsi="宋体" w:cs="宋体"/>
                <w:color w:val="auto"/>
                <w:sz w:val="21"/>
                <w:szCs w:val="21"/>
                <w:u w:val="single"/>
              </w:rPr>
              <w:t>答疑纪要、澄清文件等（如有）。</w:t>
            </w:r>
          </w:p>
        </w:tc>
      </w:tr>
      <w:tr w14:paraId="3EE0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A4045D">
            <w:pPr>
              <w:shd w:val="clear"/>
              <w:autoSpaceDE/>
              <w:autoSpaceDN/>
              <w:spacing w:before="0"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7E140">
            <w:pPr>
              <w:shd w:val="clear"/>
              <w:autoSpaceDE/>
              <w:autoSpaceDN/>
              <w:spacing w:beforeLines="0" w:afterLines="0" w:line="240" w:lineRule="auto"/>
              <w:jc w:val="center"/>
              <w:rPr>
                <w:rFonts w:hint="eastAsia" w:ascii="宋体" w:hAnsi="宋体" w:eastAsia="宋体" w:cs="宋体"/>
                <w:color w:val="auto"/>
                <w:sz w:val="21"/>
                <w:szCs w:val="24"/>
                <w:highlight w:val="none"/>
              </w:rPr>
            </w:pPr>
          </w:p>
          <w:p w14:paraId="25F1F07C">
            <w:pPr>
              <w:shd w:val="clear"/>
              <w:autoSpaceDE/>
              <w:autoSpaceDN/>
              <w:spacing w:before="0" w:beforeLines="0" w:afterLines="0" w:line="240" w:lineRule="auto"/>
              <w:jc w:val="left"/>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招标答疑</w:t>
            </w:r>
          </w:p>
          <w:p w14:paraId="42C278EE">
            <w:pPr>
              <w:shd w:val="clear"/>
              <w:tabs>
                <w:tab w:val="left" w:pos="1103"/>
              </w:tabs>
              <w:autoSpaceDE/>
              <w:autoSpaceDN/>
              <w:spacing w:beforeLines="0" w:afterLines="0" w:line="240" w:lineRule="auto"/>
              <w:jc w:val="both"/>
              <w:rPr>
                <w:rFonts w:hint="eastAsia" w:ascii="宋体" w:hAnsi="宋体" w:eastAsia="宋体" w:cs="宋体"/>
                <w:color w:val="auto"/>
                <w:sz w:val="21"/>
                <w:szCs w:val="24"/>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top"/>
          </w:tcPr>
          <w:p w14:paraId="4C993E3B">
            <w:pPr>
              <w:spacing w:line="276" w:lineRule="auto"/>
              <w:rPr>
                <w:rFonts w:ascii="宋体" w:hAnsi="宋体" w:cs="宋体"/>
                <w:color w:val="auto"/>
                <w:sz w:val="21"/>
                <w:szCs w:val="21"/>
                <w:u w:val="single"/>
              </w:rPr>
            </w:pPr>
            <w:r>
              <w:rPr>
                <w:rFonts w:hint="eastAsia" w:ascii="宋体" w:hAnsi="宋体" w:cs="宋体"/>
                <w:color w:val="auto"/>
                <w:sz w:val="21"/>
                <w:szCs w:val="21"/>
                <w:u w:val="single"/>
              </w:rPr>
              <w:t>招标答疑采用网上答疑方式进行。投标人若对招标文件有疑问的，可在递交投标文件截止时间18日前提出。</w:t>
            </w:r>
          </w:p>
          <w:p w14:paraId="0882CB98">
            <w:pPr>
              <w:shd w:val="clear"/>
              <w:autoSpaceDE/>
              <w:autoSpaceDN/>
              <w:spacing w:before="0" w:beforeLines="0" w:afterLines="0" w:line="240" w:lineRule="auto"/>
              <w:ind w:left="6" w:leftChars="0" w:right="6" w:rightChars="0"/>
              <w:rPr>
                <w:rFonts w:hint="eastAsia" w:ascii="宋体" w:hAnsi="宋体" w:eastAsia="宋体" w:cs="宋体"/>
                <w:b/>
                <w:color w:val="auto"/>
                <w:sz w:val="21"/>
                <w:szCs w:val="21"/>
                <w:highlight w:val="none"/>
              </w:rPr>
            </w:pPr>
            <w:r>
              <w:rPr>
                <w:rFonts w:hint="eastAsia" w:ascii="宋体" w:hAnsi="宋体" w:cs="宋体"/>
                <w:color w:val="auto"/>
                <w:sz w:val="21"/>
                <w:szCs w:val="21"/>
                <w:u w:val="single"/>
              </w:rPr>
              <w:t>投标人疑问通过网上提交。具体</w:t>
            </w:r>
            <w:r>
              <w:rPr>
                <w:rFonts w:hint="eastAsia" w:ascii="宋体" w:hAnsi="宋体" w:cs="宋体"/>
                <w:color w:val="auto"/>
                <w:sz w:val="21"/>
                <w:szCs w:val="21"/>
                <w:u w:val="single"/>
                <w:lang w:eastAsia="zh-CN"/>
              </w:rPr>
              <w:t>操作方法详见广州交易集团有限公司（广州公共资源交易中心）网站发布关于全流程电子化项目的相关指引。</w:t>
            </w:r>
          </w:p>
        </w:tc>
      </w:tr>
      <w:tr w14:paraId="15AD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66E42A">
            <w:pPr>
              <w:shd w:val="clear"/>
              <w:autoSpaceDE/>
              <w:autoSpaceDN/>
              <w:spacing w:before="0"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CC0E44">
            <w:pPr>
              <w:shd w:val="clear"/>
              <w:autoSpaceDE/>
              <w:autoSpaceDN/>
              <w:spacing w:before="0"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1"/>
                <w:highlight w:val="none"/>
              </w:rPr>
              <w:t>招标文件</w:t>
            </w:r>
            <w:r>
              <w:rPr>
                <w:rFonts w:hint="eastAsia" w:ascii="宋体" w:hAnsi="宋体" w:eastAsia="宋体" w:cs="宋体"/>
                <w:color w:val="auto"/>
                <w:spacing w:val="-1"/>
                <w:sz w:val="21"/>
                <w:szCs w:val="21"/>
                <w:highlight w:val="none"/>
                <w:lang w:eastAsia="zh-CN"/>
              </w:rPr>
              <w:t>的澄清和</w:t>
            </w:r>
            <w:r>
              <w:rPr>
                <w:rFonts w:hint="eastAsia" w:ascii="宋体" w:hAnsi="宋体" w:eastAsia="宋体" w:cs="宋体"/>
                <w:color w:val="auto"/>
                <w:spacing w:val="-1"/>
                <w:sz w:val="21"/>
                <w:szCs w:val="21"/>
                <w:highlight w:val="none"/>
              </w:rPr>
              <w:t>修改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EB387">
            <w:pPr>
              <w:shd w:val="clear"/>
              <w:autoSpaceDE/>
              <w:autoSpaceDN/>
              <w:spacing w:beforeLines="0" w:afterLines="0" w:line="240" w:lineRule="auto"/>
              <w:ind w:left="6" w:leftChars="0" w:right="6" w:rightChars="0"/>
              <w:jc w:val="both"/>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4"/>
                <w:highlight w:val="none"/>
              </w:rPr>
              <w:t>招标文件的修改期限：在投标截止时间</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15</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天前</w:t>
            </w:r>
            <w:r>
              <w:rPr>
                <w:rFonts w:hint="eastAsia" w:ascii="宋体" w:hAnsi="宋体" w:cs="宋体"/>
                <w:color w:val="auto"/>
                <w:sz w:val="21"/>
                <w:szCs w:val="24"/>
                <w:highlight w:val="none"/>
                <w:lang w:eastAsia="zh-CN"/>
              </w:rPr>
              <w:t>；通过广州交易集团有限公司（广州公共资源交易中心）网站“项目查询(日程安排、答疑纪要)”专区网上公开发布。</w:t>
            </w:r>
          </w:p>
        </w:tc>
      </w:tr>
      <w:tr w14:paraId="32FA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47C6C7">
            <w:pPr>
              <w:pStyle w:val="35"/>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48624">
            <w:pPr>
              <w:pStyle w:val="35"/>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构成投标文件的其他资料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B78DD2">
            <w:pPr>
              <w:shd w:val="clear"/>
              <w:autoSpaceDE/>
              <w:autoSpaceDN/>
              <w:spacing w:beforeLines="0" w:afterLines="0" w:line="240" w:lineRule="auto"/>
              <w:ind w:left="6" w:leftChars="0" w:right="6" w:rightChars="0"/>
              <w:jc w:val="both"/>
              <w:rPr>
                <w:rFonts w:hint="eastAsia" w:ascii="宋体" w:hAnsi="宋体" w:eastAsia="宋体" w:cs="宋体"/>
                <w:b/>
                <w:color w:val="auto"/>
                <w:sz w:val="21"/>
                <w:szCs w:val="21"/>
                <w:highlight w:val="none"/>
              </w:rPr>
            </w:pPr>
            <w:r>
              <w:rPr>
                <w:rFonts w:hint="eastAsia" w:ascii="宋体" w:hAnsi="宋体" w:eastAsia="宋体" w:cs="宋体"/>
                <w:color w:val="auto"/>
                <w:spacing w:val="-1"/>
                <w:sz w:val="21"/>
                <w:szCs w:val="21"/>
                <w:highlight w:val="none"/>
                <w:lang w:val="en-US" w:eastAsia="zh-CN"/>
              </w:rPr>
              <w:t>满足本项目评审要求的其他资料。</w:t>
            </w:r>
          </w:p>
        </w:tc>
      </w:tr>
      <w:tr w14:paraId="071C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E6C28B">
            <w:pPr>
              <w:pStyle w:val="35"/>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599256">
            <w:pPr>
              <w:pStyle w:val="35"/>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增值税税金的计算方法</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CD2923">
            <w:pPr>
              <w:shd w:val="clear"/>
              <w:autoSpaceDE/>
              <w:autoSpaceDN/>
              <w:spacing w:beforeLines="0" w:afterLines="0" w:line="240" w:lineRule="auto"/>
              <w:ind w:left="6" w:leftChars="0" w:right="6" w:right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按国家税务机关的规定执行。</w:t>
            </w:r>
          </w:p>
        </w:tc>
      </w:tr>
      <w:tr w14:paraId="0DB1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5B0AA">
            <w:pPr>
              <w:pStyle w:val="35"/>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7B8E50">
            <w:pPr>
              <w:pStyle w:val="35"/>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报价方式</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5FBBC6">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（1）投标人按投标下浮率进行报价。</w:t>
            </w:r>
          </w:p>
          <w:p w14:paraId="0CCDC56F">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（2）本项目最高投标限价只作为招标的依据，中标下浮率作为签订合同的依据。</w:t>
            </w:r>
          </w:p>
          <w:p w14:paraId="12D38DE1">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（3）所有监测及检测项目和</w:t>
            </w:r>
            <w:r>
              <w:rPr>
                <w:rFonts w:hint="eastAsia" w:ascii="宋体" w:hAnsi="宋体" w:cs="宋体"/>
                <w:color w:val="auto"/>
                <w:sz w:val="21"/>
                <w:szCs w:val="24"/>
                <w:highlight w:val="none"/>
                <w:lang w:val="en-US" w:eastAsia="zh-CN"/>
              </w:rPr>
              <w:t>项</w:t>
            </w:r>
            <w:r>
              <w:rPr>
                <w:rFonts w:hint="eastAsia" w:ascii="宋体" w:hAnsi="宋体" w:eastAsia="宋体" w:cs="宋体"/>
                <w:color w:val="auto"/>
                <w:sz w:val="21"/>
                <w:szCs w:val="24"/>
                <w:highlight w:val="none"/>
                <w:lang w:eastAsia="zh-CN"/>
              </w:rPr>
              <w:t>目的综合单价已包括了为实施和完成本项目全部试验检测监测工作所需的劳务费、材料费、技术服务费、监测及检测试验费、试验检测仪器设备使用费、机械进退场费、水电费、车辆通行费、报告编写费、各项管理费、及所有因工程质量检测应交纳的政府规费、利润、税金以及合同明示或暗示的所有一般风险、责任和义务等，是为完成本项目监测及检测的全部利润等所有服务费用。该综合单价在合同实施期间应保持不变，并不因劳务、材料、机械等成本的价格变动以及工程量变化及征地拆迁的影响而作任何调整。</w:t>
            </w:r>
          </w:p>
          <w:p w14:paraId="05DC3F1E">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备注：对于检测项目中的个别参数，属于检测或监测设备昂贵或使用率低等原因的，投标人未具有相关资质，投标人需自行委托其他具备资质的检测单位完成该项目参数的检验检测试验及监测业务，保证完成整体项目所有检验检测试验及监测工作，由此产生之费用已包含在投标报价中，不作另行计算。</w:t>
            </w:r>
          </w:p>
          <w:p w14:paraId="72FC5BB6">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（4）本项目合同结算价按实结算。但检测、监测服务费总和不得超过</w:t>
            </w:r>
            <w:r>
              <w:rPr>
                <w:rFonts w:hint="eastAsia" w:ascii="宋体" w:hAnsi="宋体" w:eastAsia="宋体" w:cs="宋体"/>
                <w:color w:val="auto"/>
                <w:sz w:val="21"/>
                <w:szCs w:val="24"/>
                <w:highlight w:val="none"/>
                <w:lang w:val="en-US" w:eastAsia="zh-CN"/>
              </w:rPr>
              <w:t>中标</w:t>
            </w:r>
            <w:r>
              <w:rPr>
                <w:rFonts w:hint="eastAsia" w:ascii="宋体" w:hAnsi="宋体" w:eastAsia="宋体" w:cs="宋体"/>
                <w:color w:val="auto"/>
                <w:sz w:val="21"/>
                <w:szCs w:val="24"/>
                <w:highlight w:val="none"/>
                <w:lang w:eastAsia="zh-CN"/>
              </w:rPr>
              <w:t>总价。</w:t>
            </w:r>
            <w:r>
              <w:rPr>
                <w:rFonts w:hint="eastAsia" w:ascii="宋体" w:hAnsi="宋体" w:eastAsia="宋体" w:cs="宋体"/>
                <w:color w:val="auto"/>
                <w:sz w:val="21"/>
                <w:szCs w:val="24"/>
                <w:highlight w:val="none"/>
                <w:lang w:val="en-US" w:eastAsia="zh-CN"/>
              </w:rPr>
              <w:t>检测、监测</w:t>
            </w:r>
            <w:r>
              <w:rPr>
                <w:rFonts w:hint="eastAsia" w:ascii="宋体" w:hAnsi="宋体" w:eastAsia="宋体" w:cs="宋体"/>
                <w:color w:val="auto"/>
                <w:sz w:val="21"/>
                <w:szCs w:val="24"/>
                <w:highlight w:val="none"/>
                <w:lang w:eastAsia="zh-CN"/>
              </w:rPr>
              <w:t>综合单价</w:t>
            </w:r>
            <w:r>
              <w:rPr>
                <w:rFonts w:hint="eastAsia" w:ascii="宋体" w:hAnsi="宋体" w:eastAsia="宋体" w:cs="宋体"/>
                <w:color w:val="auto"/>
                <w:sz w:val="21"/>
                <w:szCs w:val="24"/>
                <w:highlight w:val="none"/>
                <w:lang w:val="en-US" w:eastAsia="zh-CN"/>
              </w:rPr>
              <w:t>分别</w:t>
            </w:r>
            <w:r>
              <w:rPr>
                <w:rFonts w:hint="eastAsia" w:ascii="宋体" w:hAnsi="宋体" w:eastAsia="宋体" w:cs="宋体"/>
                <w:color w:val="auto"/>
                <w:sz w:val="21"/>
                <w:szCs w:val="24"/>
                <w:highlight w:val="none"/>
                <w:lang w:eastAsia="zh-CN"/>
              </w:rPr>
              <w:t>按照《</w:t>
            </w:r>
            <w:r>
              <w:rPr>
                <w:rFonts w:hint="eastAsia" w:ascii="宋体" w:hAnsi="宋体" w:eastAsia="宋体" w:cs="宋体"/>
                <w:color w:val="auto"/>
                <w:sz w:val="21"/>
                <w:szCs w:val="24"/>
                <w:highlight w:val="none"/>
                <w:lang w:val="en-US" w:eastAsia="zh-CN"/>
              </w:rPr>
              <w:t>检测模拟清单</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和《监测模拟清单》对应项目的单价乘以（1-中标下浮率）计价；</w:t>
            </w:r>
            <w:r>
              <w:rPr>
                <w:rFonts w:hint="eastAsia" w:ascii="宋体" w:hAnsi="宋体" w:eastAsia="宋体" w:cs="宋体"/>
                <w:color w:val="auto"/>
                <w:sz w:val="21"/>
                <w:szCs w:val="24"/>
                <w:highlight w:val="none"/>
                <w:lang w:eastAsia="zh-CN"/>
              </w:rPr>
              <w:t>《检测模拟清单》和《监测模拟清单》</w:t>
            </w:r>
            <w:r>
              <w:rPr>
                <w:rFonts w:hint="eastAsia" w:ascii="宋体" w:hAnsi="宋体" w:eastAsia="宋体" w:cs="宋体"/>
                <w:color w:val="auto"/>
                <w:sz w:val="21"/>
                <w:szCs w:val="24"/>
                <w:highlight w:val="none"/>
                <w:lang w:val="en-US" w:eastAsia="zh-CN"/>
              </w:rPr>
              <w:t>没有</w:t>
            </w:r>
            <w:r>
              <w:rPr>
                <w:rFonts w:hint="eastAsia" w:ascii="宋体" w:hAnsi="宋体" w:eastAsia="宋体" w:cs="宋体"/>
                <w:color w:val="auto"/>
                <w:sz w:val="21"/>
                <w:szCs w:val="24"/>
                <w:highlight w:val="none"/>
                <w:lang w:eastAsia="zh-CN"/>
              </w:rPr>
              <w:t>对应项目单价</w:t>
            </w:r>
            <w:r>
              <w:rPr>
                <w:rFonts w:hint="eastAsia" w:ascii="宋体" w:hAnsi="宋体" w:eastAsia="宋体" w:cs="宋体"/>
                <w:color w:val="auto"/>
                <w:sz w:val="21"/>
                <w:szCs w:val="24"/>
                <w:highlight w:val="none"/>
                <w:lang w:val="en-US" w:eastAsia="zh-CN"/>
              </w:rPr>
              <w:t>的</w:t>
            </w:r>
            <w:r>
              <w:rPr>
                <w:rFonts w:hint="eastAsia" w:ascii="宋体" w:hAnsi="宋体" w:eastAsia="宋体" w:cs="宋体"/>
                <w:color w:val="auto"/>
                <w:sz w:val="21"/>
                <w:szCs w:val="24"/>
                <w:highlight w:val="none"/>
                <w:lang w:eastAsia="zh-CN"/>
              </w:rPr>
              <w:t>，按照《广东省房屋建筑和市政工程工程质量安全检测收费指导价（第一批）》（粤建检协〔2015〕8号）、《〈广东省既有房屋建筑安全性鉴定收费指导价〉的通知》（粤建检协〔2015〕8号）相适用的单价</w:t>
            </w:r>
            <w:r>
              <w:rPr>
                <w:rFonts w:hint="eastAsia" w:ascii="宋体" w:hAnsi="宋体" w:eastAsia="宋体" w:cs="宋体"/>
                <w:color w:val="auto"/>
                <w:sz w:val="21"/>
                <w:szCs w:val="24"/>
                <w:highlight w:val="none"/>
                <w:lang w:val="en-US" w:eastAsia="zh-CN"/>
              </w:rPr>
              <w:t>*</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1-中标下浮率</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1-20%</w:t>
            </w:r>
            <w:r>
              <w:rPr>
                <w:rFonts w:hint="eastAsia" w:ascii="宋体" w:hAnsi="宋体" w:eastAsia="宋体" w:cs="宋体"/>
                <w:color w:val="auto"/>
                <w:sz w:val="21"/>
                <w:szCs w:val="24"/>
                <w:highlight w:val="none"/>
                <w:lang w:eastAsia="zh-CN"/>
              </w:rPr>
              <w:t>）后计算。</w:t>
            </w:r>
            <w:r>
              <w:rPr>
                <w:rFonts w:hint="eastAsia" w:ascii="宋体" w:hAnsi="宋体" w:eastAsia="宋体" w:cs="宋体"/>
                <w:color w:val="auto"/>
                <w:sz w:val="21"/>
                <w:szCs w:val="24"/>
                <w:highlight w:val="none"/>
                <w:lang w:val="en-US" w:eastAsia="zh-CN"/>
              </w:rPr>
              <w:t>若上述文件没有的单价，</w:t>
            </w:r>
            <w:r>
              <w:rPr>
                <w:rFonts w:hint="eastAsia" w:ascii="宋体" w:hAnsi="宋体" w:eastAsia="宋体" w:cs="宋体"/>
                <w:color w:val="auto"/>
                <w:sz w:val="21"/>
                <w:szCs w:val="24"/>
                <w:highlight w:val="none"/>
                <w:lang w:eastAsia="zh-CN"/>
              </w:rPr>
              <w:t>按以下优先顺序参照《关于建筑工程质量检测收费问题的复函》（粤价函〔2004〕428号）、《</w:t>
            </w:r>
            <w:r>
              <w:rPr>
                <w:rFonts w:hint="eastAsia" w:ascii="宋体" w:hAnsi="宋体" w:eastAsia="宋体" w:cs="宋体"/>
                <w:color w:val="auto"/>
                <w:sz w:val="21"/>
                <w:szCs w:val="24"/>
                <w:highlight w:val="none"/>
                <w:lang w:val="en-US" w:eastAsia="zh-CN"/>
              </w:rPr>
              <w:t>省物价局关于交通建设工程现场检测和工程材料试（检）验收费问题的复函</w:t>
            </w:r>
            <w:r>
              <w:rPr>
                <w:rFonts w:hint="eastAsia" w:ascii="宋体" w:hAnsi="宋体" w:eastAsia="宋体" w:cs="宋体"/>
                <w:color w:val="auto"/>
                <w:sz w:val="21"/>
                <w:szCs w:val="24"/>
                <w:highlight w:val="none"/>
                <w:lang w:eastAsia="zh-CN"/>
              </w:rPr>
              <w:t>》（粤价函〔2012〕1490号）、《国家计委、建设部关于发布〈工程勘察设计收费管理规定〉的通知》（计价格〔20</w:t>
            </w:r>
            <w:r>
              <w:rPr>
                <w:rFonts w:hint="eastAsia" w:ascii="宋体" w:hAnsi="宋体" w:eastAsia="宋体" w:cs="宋体"/>
                <w:color w:val="auto"/>
                <w:sz w:val="21"/>
                <w:szCs w:val="24"/>
                <w:highlight w:val="none"/>
                <w:lang w:val="en-US" w:eastAsia="zh-CN"/>
              </w:rPr>
              <w:t>0</w:t>
            </w:r>
            <w:r>
              <w:rPr>
                <w:rFonts w:hint="eastAsia" w:ascii="宋体" w:hAnsi="宋体" w:eastAsia="宋体" w:cs="宋体"/>
                <w:color w:val="auto"/>
                <w:sz w:val="21"/>
                <w:szCs w:val="24"/>
                <w:highlight w:val="none"/>
                <w:lang w:eastAsia="zh-CN"/>
              </w:rPr>
              <w:t>2〕10号）执行，上述计费文件均没有的单价，由</w:t>
            </w:r>
            <w:r>
              <w:rPr>
                <w:rFonts w:hint="eastAsia" w:ascii="宋体" w:hAnsi="宋体" w:eastAsia="宋体" w:cs="宋体"/>
                <w:color w:val="auto"/>
                <w:sz w:val="21"/>
                <w:szCs w:val="24"/>
                <w:highlight w:val="none"/>
                <w:lang w:val="en-US" w:eastAsia="zh-CN"/>
              </w:rPr>
              <w:t>招标人和中标人</w:t>
            </w:r>
            <w:r>
              <w:rPr>
                <w:rFonts w:hint="eastAsia" w:ascii="宋体" w:hAnsi="宋体" w:eastAsia="宋体" w:cs="宋体"/>
                <w:color w:val="auto"/>
                <w:sz w:val="21"/>
                <w:szCs w:val="24"/>
                <w:highlight w:val="none"/>
                <w:lang w:eastAsia="zh-CN"/>
              </w:rPr>
              <w:t>双方参照市场价格协商确定，工程量按经</w:t>
            </w:r>
            <w:r>
              <w:rPr>
                <w:rFonts w:hint="eastAsia" w:ascii="宋体" w:hAnsi="宋体" w:eastAsia="宋体" w:cs="宋体"/>
                <w:color w:val="auto"/>
                <w:sz w:val="21"/>
                <w:szCs w:val="24"/>
                <w:highlight w:val="none"/>
                <w:lang w:val="en-US" w:eastAsia="zh-CN"/>
              </w:rPr>
              <w:t>招标人</w:t>
            </w:r>
            <w:r>
              <w:rPr>
                <w:rFonts w:hint="eastAsia" w:ascii="宋体" w:hAnsi="宋体" w:eastAsia="宋体" w:cs="宋体"/>
                <w:color w:val="auto"/>
                <w:sz w:val="21"/>
                <w:szCs w:val="24"/>
                <w:highlight w:val="none"/>
                <w:lang w:eastAsia="zh-CN"/>
              </w:rPr>
              <w:t>和监理单位核定的实际发生且相关验收规范要求必须做的量计取。</w:t>
            </w:r>
          </w:p>
          <w:p w14:paraId="54548B17">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（5）投标人可先到工地踏勘以充分了解工地位置、情况、道路、储存空间、装卸限制及任何其他足以影响承包价的情况，任何因忽视或误解工地情况而导致的索赔或工期延长申请将不被批准。</w:t>
            </w:r>
          </w:p>
          <w:p w14:paraId="606B79A6">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（6）投标报价不得超过招标控制价。</w:t>
            </w:r>
          </w:p>
          <w:p w14:paraId="76B6D6C5">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（7）投标人若在投标书中出现违背上述报价范围要求的内容，额外添加其他改变上述报价要求内容的，将视为</w:t>
            </w:r>
            <w:r>
              <w:rPr>
                <w:rFonts w:hint="eastAsia" w:ascii="宋体" w:hAnsi="宋体" w:eastAsia="宋体" w:cs="宋体"/>
                <w:color w:val="auto"/>
                <w:sz w:val="21"/>
                <w:szCs w:val="24"/>
                <w:highlight w:val="none"/>
                <w:lang w:val="en-US" w:eastAsia="zh-CN"/>
              </w:rPr>
              <w:t>无效投标</w:t>
            </w:r>
            <w:r>
              <w:rPr>
                <w:rFonts w:hint="eastAsia" w:ascii="宋体" w:hAnsi="宋体" w:eastAsia="宋体" w:cs="宋体"/>
                <w:color w:val="auto"/>
                <w:sz w:val="21"/>
                <w:szCs w:val="24"/>
                <w:highlight w:val="none"/>
                <w:lang w:eastAsia="zh-CN"/>
              </w:rPr>
              <w:t>。</w:t>
            </w:r>
          </w:p>
          <w:p w14:paraId="739DF02D">
            <w:pPr>
              <w:shd w:val="clear"/>
              <w:autoSpaceDE/>
              <w:autoSpaceDN/>
              <w:spacing w:beforeLines="0" w:afterLines="0" w:line="240" w:lineRule="auto"/>
              <w:ind w:left="6" w:leftChars="0" w:right="6" w:rightChars="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lang w:eastAsia="zh-CN"/>
              </w:rPr>
              <w:t>（8）建设单位有权根据实际情况对建设内容进行调整（检测、</w:t>
            </w:r>
            <w:r>
              <w:rPr>
                <w:rFonts w:hint="eastAsia" w:ascii="宋体" w:hAnsi="宋体" w:eastAsia="宋体" w:cs="宋体"/>
                <w:color w:val="auto"/>
                <w:sz w:val="21"/>
                <w:szCs w:val="24"/>
                <w:highlight w:val="none"/>
                <w:lang w:val="en-US" w:eastAsia="zh-CN"/>
              </w:rPr>
              <w:t>监测</w:t>
            </w:r>
            <w:r>
              <w:rPr>
                <w:rFonts w:hint="eastAsia" w:ascii="宋体" w:hAnsi="宋体" w:eastAsia="宋体" w:cs="宋体"/>
                <w:color w:val="auto"/>
                <w:sz w:val="21"/>
                <w:szCs w:val="24"/>
                <w:highlight w:val="none"/>
                <w:lang w:eastAsia="zh-CN"/>
              </w:rPr>
              <w:t>工作量也</w:t>
            </w:r>
            <w:r>
              <w:rPr>
                <w:rFonts w:hint="eastAsia" w:ascii="宋体" w:hAnsi="宋体" w:eastAsia="宋体" w:cs="宋体"/>
                <w:color w:val="auto"/>
                <w:sz w:val="21"/>
                <w:szCs w:val="24"/>
                <w:highlight w:val="none"/>
                <w:lang w:val="en-US" w:eastAsia="zh-CN"/>
              </w:rPr>
              <w:t>可能</w:t>
            </w:r>
            <w:r>
              <w:rPr>
                <w:rFonts w:hint="eastAsia" w:ascii="宋体" w:hAnsi="宋体" w:eastAsia="宋体" w:cs="宋体"/>
                <w:color w:val="auto"/>
                <w:sz w:val="21"/>
                <w:szCs w:val="24"/>
                <w:highlight w:val="none"/>
                <w:lang w:eastAsia="zh-CN"/>
              </w:rPr>
              <w:t>随之调整），减少的项目无论有无替代，建设单位都不予补偿。</w:t>
            </w:r>
          </w:p>
        </w:tc>
      </w:tr>
      <w:tr w14:paraId="5761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A8F1D9">
            <w:pPr>
              <w:pStyle w:val="35"/>
              <w:shd w:val="clear"/>
              <w:kinsoku/>
              <w:overflowPunct w:val="0"/>
              <w:autoSpaceDE/>
              <w:autoSpaceDN/>
              <w:spacing w:beforeLines="0" w:afterLines="0"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DD4BE">
            <w:pPr>
              <w:pStyle w:val="35"/>
              <w:shd w:val="clear"/>
              <w:kinsoku/>
              <w:overflowPunct w:val="0"/>
              <w:autoSpaceDE/>
              <w:autoSpaceDN/>
              <w:spacing w:beforeLines="0" w:afterLines="0" w:line="240" w:lineRule="auto"/>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4"/>
                <w:highlight w:val="none"/>
              </w:rPr>
              <w:t>最高投标限价</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73438">
            <w:pPr>
              <w:pStyle w:val="35"/>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无</w:t>
            </w:r>
          </w:p>
          <w:p w14:paraId="5B5D3F82">
            <w:pPr>
              <w:pStyle w:val="35"/>
              <w:shd w:val="clear"/>
              <w:kinsoku/>
              <w:overflowPunct w:val="0"/>
              <w:autoSpaceDE/>
              <w:autoSpaceDN/>
              <w:spacing w:beforeLines="0" w:afterLines="0" w:line="240" w:lineRule="auto"/>
              <w:ind w:left="6" w:leftChars="0" w:right="6" w:rightChars="0"/>
              <w:jc w:val="both"/>
              <w:rPr>
                <w:rFonts w:hint="eastAsia" w:ascii="宋体" w:hAnsi="宋体"/>
                <w:color w:val="auto"/>
                <w:sz w:val="21"/>
                <w:szCs w:val="21"/>
                <w:lang w:eastAsia="zh-CN"/>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有，</w:t>
            </w:r>
            <w:r>
              <w:rPr>
                <w:rFonts w:hint="eastAsia" w:ascii="宋体" w:hAnsi="宋体" w:cs="宋体"/>
                <w:color w:val="auto"/>
                <w:sz w:val="21"/>
                <w:szCs w:val="24"/>
                <w:highlight w:val="none"/>
                <w:lang w:val="en-US" w:eastAsia="zh-CN"/>
              </w:rPr>
              <w:t>详见招标公告</w:t>
            </w:r>
            <w:r>
              <w:rPr>
                <w:rFonts w:hint="eastAsia" w:ascii="宋体" w:hAnsi="宋体" w:eastAsia="宋体" w:cs="宋体"/>
                <w:color w:val="auto"/>
                <w:sz w:val="21"/>
                <w:szCs w:val="24"/>
                <w:highlight w:val="none"/>
                <w:lang w:eastAsia="zh-CN"/>
              </w:rPr>
              <w:t>。</w:t>
            </w:r>
            <w:r>
              <w:rPr>
                <w:rFonts w:hint="eastAsia" w:ascii="宋体" w:hAnsi="宋体"/>
                <w:color w:val="auto"/>
                <w:sz w:val="21"/>
                <w:szCs w:val="21"/>
              </w:rPr>
              <w:t>投标总报价不得超过最高投标限价。</w:t>
            </w:r>
          </w:p>
        </w:tc>
      </w:tr>
      <w:tr w14:paraId="4B6B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96B37">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C432F5">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投标报价的其他要求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438604">
            <w:pPr>
              <w:numPr>
                <w:ilvl w:val="0"/>
                <w:numId w:val="1"/>
              </w:numPr>
              <w:contextualSpacing/>
              <w:rPr>
                <w:rFonts w:ascii="宋体" w:hAnsi="宋体"/>
                <w:color w:val="auto"/>
                <w:sz w:val="21"/>
                <w:szCs w:val="21"/>
                <w:highlight w:val="none"/>
              </w:rPr>
            </w:pPr>
            <w:r>
              <w:rPr>
                <w:rFonts w:hint="eastAsia" w:ascii="宋体" w:hAnsi="宋体"/>
                <w:color w:val="auto"/>
                <w:sz w:val="21"/>
                <w:szCs w:val="21"/>
                <w:highlight w:val="none"/>
              </w:rPr>
              <w:t>投标报价:本项目按</w:t>
            </w:r>
            <w:r>
              <w:rPr>
                <w:rFonts w:hint="eastAsia" w:ascii="宋体" w:hAnsi="宋体"/>
                <w:b/>
                <w:color w:val="auto"/>
                <w:sz w:val="21"/>
                <w:szCs w:val="21"/>
                <w:highlight w:val="none"/>
              </w:rPr>
              <w:t>投标下浮率（%）</w:t>
            </w:r>
            <w:r>
              <w:rPr>
                <w:rFonts w:hint="eastAsia" w:ascii="宋体" w:hAnsi="宋体"/>
                <w:color w:val="auto"/>
                <w:sz w:val="21"/>
                <w:szCs w:val="21"/>
                <w:highlight w:val="none"/>
              </w:rPr>
              <w:t>进行报价。</w:t>
            </w:r>
          </w:p>
          <w:p w14:paraId="46EC6042">
            <w:pPr>
              <w:numPr>
                <w:ilvl w:val="0"/>
                <w:numId w:val="1"/>
              </w:numPr>
              <w:contextualSpacing/>
              <w:rPr>
                <w:rFonts w:ascii="宋体" w:hAnsi="宋体"/>
                <w:color w:val="auto"/>
                <w:sz w:val="21"/>
                <w:szCs w:val="21"/>
                <w:highlight w:val="none"/>
              </w:rPr>
            </w:pPr>
            <w:r>
              <w:rPr>
                <w:rFonts w:hint="eastAsia" w:ascii="宋体" w:hAnsi="宋体"/>
                <w:color w:val="auto"/>
                <w:sz w:val="21"/>
                <w:szCs w:val="21"/>
                <w:highlight w:val="none"/>
              </w:rPr>
              <w:t>本项目最高投标限价只作为招标的依据，</w:t>
            </w:r>
            <w:r>
              <w:rPr>
                <w:rFonts w:hint="eastAsia" w:ascii="宋体" w:hAnsi="宋体"/>
                <w:b/>
                <w:color w:val="auto"/>
                <w:sz w:val="21"/>
                <w:szCs w:val="21"/>
                <w:highlight w:val="none"/>
              </w:rPr>
              <w:t>投标下浮率（%）</w:t>
            </w:r>
            <w:r>
              <w:rPr>
                <w:rFonts w:hint="eastAsia" w:ascii="宋体" w:hAnsi="宋体"/>
                <w:color w:val="auto"/>
                <w:sz w:val="21"/>
                <w:szCs w:val="21"/>
                <w:highlight w:val="none"/>
              </w:rPr>
              <w:t>作为签订合同的依据。</w:t>
            </w:r>
          </w:p>
          <w:p w14:paraId="410948A7">
            <w:pPr>
              <w:numPr>
                <w:ilvl w:val="0"/>
                <w:numId w:val="1"/>
              </w:numPr>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中标后，检测费、监测费的进度款支付或结算</w:t>
            </w:r>
            <w:r>
              <w:rPr>
                <w:rFonts w:hint="eastAsia" w:ascii="宋体" w:hAnsi="宋体" w:eastAsia="宋体" w:cs="Times New Roman"/>
                <w:color w:val="auto"/>
                <w:sz w:val="21"/>
                <w:szCs w:val="21"/>
                <w:highlight w:val="none"/>
                <w:lang w:val="en-US" w:eastAsia="zh-CN"/>
              </w:rPr>
              <w:t>按合同约定执行</w:t>
            </w:r>
            <w:r>
              <w:rPr>
                <w:rFonts w:hint="eastAsia" w:ascii="宋体" w:hAnsi="宋体" w:eastAsia="宋体" w:cs="Times New Roman"/>
                <w:color w:val="auto"/>
                <w:sz w:val="21"/>
                <w:szCs w:val="21"/>
                <w:highlight w:val="none"/>
              </w:rPr>
              <w:t>:</w:t>
            </w:r>
          </w:p>
          <w:p w14:paraId="35D28519">
            <w:pPr>
              <w:numPr>
                <w:ilvl w:val="0"/>
                <w:numId w:val="0"/>
              </w:numPr>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fldChar w:fldCharType="begin"/>
            </w:r>
            <w:r>
              <w:rPr>
                <w:rFonts w:hint="eastAsia" w:ascii="宋体" w:hAnsi="宋体" w:eastAsia="宋体" w:cs="Times New Roman"/>
                <w:color w:val="auto"/>
                <w:sz w:val="21"/>
                <w:szCs w:val="21"/>
                <w:highlight w:val="none"/>
              </w:rPr>
              <w:instrText xml:space="preserve"> = 1 \* GB3 \* MERGEFORMAT </w:instrText>
            </w:r>
            <w:r>
              <w:rPr>
                <w:rFonts w:hint="eastAsia" w:ascii="宋体" w:hAnsi="宋体" w:eastAsia="宋体" w:cs="Times New Roman"/>
                <w:color w:val="auto"/>
                <w:sz w:val="21"/>
                <w:szCs w:val="21"/>
                <w:highlight w:val="none"/>
              </w:rPr>
              <w:fldChar w:fldCharType="separate"/>
            </w:r>
            <w:r>
              <w:rPr>
                <w:rFonts w:hint="eastAsia" w:ascii="宋体" w:hAnsi="宋体" w:eastAsia="宋体" w:cs="Times New Roman"/>
                <w:color w:val="auto"/>
                <w:sz w:val="21"/>
                <w:szCs w:val="21"/>
                <w:highlight w:val="none"/>
              </w:rPr>
              <w:t>①</w:t>
            </w:r>
            <w:r>
              <w:rPr>
                <w:rFonts w:hint="eastAsia" w:ascii="宋体" w:hAnsi="宋体" w:eastAsia="宋体" w:cs="Times New Roman"/>
                <w:color w:val="auto"/>
                <w:sz w:val="21"/>
                <w:szCs w:val="21"/>
                <w:highlight w:val="none"/>
              </w:rPr>
              <w:fldChar w:fldCharType="end"/>
            </w:r>
            <w:r>
              <w:rPr>
                <w:rFonts w:hint="eastAsia" w:ascii="宋体" w:hAnsi="宋体" w:eastAsia="宋体" w:cs="Times New Roman"/>
                <w:color w:val="auto"/>
                <w:sz w:val="21"/>
                <w:szCs w:val="21"/>
                <w:highlight w:val="none"/>
              </w:rPr>
              <w:t>工程量以建设单位确认实际完成检测量、监测量进行计算；</w:t>
            </w:r>
          </w:p>
          <w:p w14:paraId="59E1E1B3">
            <w:pPr>
              <w:numPr>
                <w:ilvl w:val="0"/>
                <w:numId w:val="0"/>
              </w:numPr>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fldChar w:fldCharType="begin"/>
            </w:r>
            <w:r>
              <w:rPr>
                <w:rFonts w:hint="eastAsia" w:ascii="宋体" w:hAnsi="宋体" w:eastAsia="宋体" w:cs="Times New Roman"/>
                <w:color w:val="auto"/>
                <w:sz w:val="21"/>
                <w:szCs w:val="21"/>
                <w:highlight w:val="none"/>
              </w:rPr>
              <w:instrText xml:space="preserve"> = 2 \* GB3 \* MERGEFORMAT </w:instrText>
            </w:r>
            <w:r>
              <w:rPr>
                <w:rFonts w:hint="eastAsia" w:ascii="宋体" w:hAnsi="宋体" w:eastAsia="宋体" w:cs="Times New Roman"/>
                <w:color w:val="auto"/>
                <w:sz w:val="21"/>
                <w:szCs w:val="21"/>
                <w:highlight w:val="none"/>
              </w:rPr>
              <w:fldChar w:fldCharType="separate"/>
            </w:r>
            <w:r>
              <w:rPr>
                <w:rFonts w:hint="eastAsia" w:ascii="宋体" w:hAnsi="宋体" w:eastAsia="宋体" w:cs="Times New Roman"/>
                <w:color w:val="auto"/>
                <w:sz w:val="21"/>
                <w:szCs w:val="21"/>
                <w:highlight w:val="none"/>
              </w:rPr>
              <w:t>②</w:t>
            </w:r>
            <w:r>
              <w:rPr>
                <w:rFonts w:hint="eastAsia" w:ascii="宋体" w:hAnsi="宋体" w:eastAsia="宋体" w:cs="Times New Roman"/>
                <w:color w:val="auto"/>
                <w:sz w:val="21"/>
                <w:szCs w:val="21"/>
                <w:highlight w:val="none"/>
              </w:rPr>
              <w:fldChar w:fldCharType="end"/>
            </w:r>
            <w:r>
              <w:rPr>
                <w:rFonts w:hint="eastAsia" w:ascii="宋体" w:hAnsi="宋体" w:eastAsia="宋体" w:cs="Times New Roman"/>
                <w:color w:val="auto"/>
                <w:sz w:val="21"/>
                <w:szCs w:val="21"/>
                <w:highlight w:val="none"/>
              </w:rPr>
              <w:t>本工程所有检测监测项目采用综合单价（含增值税）包干、按实际完成量进行结算。（其中综合单价在合同签订后按合同要求编制并经招标人或招标人委托的咨询单位审核确认实施）</w:t>
            </w:r>
          </w:p>
          <w:p w14:paraId="3A97AB23">
            <w:pPr>
              <w:numPr>
                <w:ilvl w:val="0"/>
                <w:numId w:val="0"/>
              </w:numPr>
              <w:contextualSpacing/>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fldChar w:fldCharType="begin"/>
            </w:r>
            <w:r>
              <w:rPr>
                <w:rFonts w:hint="eastAsia" w:ascii="宋体" w:hAnsi="宋体" w:eastAsia="宋体" w:cs="Times New Roman"/>
                <w:color w:val="auto"/>
                <w:sz w:val="21"/>
                <w:szCs w:val="21"/>
                <w:highlight w:val="none"/>
              </w:rPr>
              <w:instrText xml:space="preserve"> = 3 \* GB3 \* MERGEFORMAT </w:instrText>
            </w:r>
            <w:r>
              <w:rPr>
                <w:rFonts w:hint="eastAsia" w:ascii="宋体" w:hAnsi="宋体" w:eastAsia="宋体" w:cs="Times New Roman"/>
                <w:color w:val="auto"/>
                <w:sz w:val="21"/>
                <w:szCs w:val="21"/>
                <w:highlight w:val="none"/>
              </w:rPr>
              <w:fldChar w:fldCharType="separate"/>
            </w:r>
            <w:r>
              <w:rPr>
                <w:rFonts w:hint="eastAsia" w:ascii="宋体" w:hAnsi="宋体" w:eastAsia="宋体" w:cs="Times New Roman"/>
                <w:color w:val="auto"/>
                <w:sz w:val="21"/>
                <w:szCs w:val="21"/>
                <w:highlight w:val="none"/>
              </w:rPr>
              <w:t>③</w:t>
            </w:r>
            <w:r>
              <w:rPr>
                <w:rFonts w:hint="eastAsia" w:ascii="宋体" w:hAnsi="宋体" w:eastAsia="宋体" w:cs="Times New Roman"/>
                <w:color w:val="auto"/>
                <w:sz w:val="21"/>
                <w:szCs w:val="21"/>
                <w:highlight w:val="none"/>
              </w:rPr>
              <w:fldChar w:fldCharType="end"/>
            </w:r>
            <w:r>
              <w:rPr>
                <w:rFonts w:hint="eastAsia" w:ascii="宋体" w:hAnsi="宋体" w:eastAsia="宋体" w:cs="Times New Roman"/>
                <w:color w:val="auto"/>
                <w:sz w:val="21"/>
                <w:szCs w:val="21"/>
                <w:highlight w:val="none"/>
              </w:rPr>
              <w:t>计费标准详见本项目服务合同相关内容。</w:t>
            </w:r>
          </w:p>
          <w:p w14:paraId="2494116A">
            <w:pPr>
              <w:numPr>
                <w:ilvl w:val="0"/>
                <w:numId w:val="0"/>
              </w:numPr>
              <w:contextualSpacing/>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4</w:t>
            </w:r>
            <w:r>
              <w:rPr>
                <w:rFonts w:hint="eastAsia" w:ascii="宋体" w:hAnsi="宋体" w:cs="Times New Roman"/>
                <w:color w:val="auto"/>
                <w:sz w:val="21"/>
                <w:szCs w:val="21"/>
                <w:highlight w:val="none"/>
                <w:lang w:eastAsia="zh-CN"/>
              </w:rPr>
              <w:t>）</w:t>
            </w:r>
            <w:r>
              <w:rPr>
                <w:rFonts w:hint="eastAsia" w:ascii="宋体" w:hAnsi="宋体" w:eastAsia="宋体" w:cs="Times New Roman"/>
                <w:color w:val="auto"/>
                <w:sz w:val="21"/>
                <w:szCs w:val="21"/>
                <w:highlight w:val="none"/>
              </w:rPr>
              <w:t>建设单位有权根据实际情况对建设内容进行调整（检测及监测工作量也</w:t>
            </w:r>
            <w:r>
              <w:rPr>
                <w:rFonts w:hint="eastAsia" w:ascii="宋体" w:hAnsi="宋体" w:eastAsia="宋体" w:cs="Times New Roman"/>
                <w:color w:val="auto"/>
                <w:sz w:val="21"/>
                <w:szCs w:val="21"/>
                <w:highlight w:val="none"/>
                <w:lang w:val="en-US" w:eastAsia="zh-CN"/>
              </w:rPr>
              <w:t>可能</w:t>
            </w:r>
            <w:r>
              <w:rPr>
                <w:rFonts w:hint="eastAsia" w:ascii="宋体" w:hAnsi="宋体" w:eastAsia="宋体" w:cs="Times New Roman"/>
                <w:color w:val="auto"/>
                <w:sz w:val="21"/>
                <w:szCs w:val="21"/>
                <w:highlight w:val="none"/>
              </w:rPr>
              <w:t>随之调整），减少的项目无论有无替代，建设单位都不予补偿。</w:t>
            </w:r>
          </w:p>
          <w:p w14:paraId="278C2D4A">
            <w:pPr>
              <w:numPr>
                <w:ilvl w:val="0"/>
                <w:numId w:val="0"/>
              </w:numPr>
              <w:contextualSpacing/>
              <w:rPr>
                <w:rFonts w:hint="eastAsia" w:ascii="宋体" w:hAnsi="宋体" w:eastAsia="宋体" w:cs="宋体"/>
                <w:color w:val="auto"/>
                <w:sz w:val="21"/>
                <w:szCs w:val="24"/>
                <w:highlight w:val="none"/>
                <w:lang w:val="en-US" w:eastAsia="zh-CN"/>
              </w:rPr>
            </w:pP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5</w:t>
            </w:r>
            <w:r>
              <w:rPr>
                <w:rFonts w:hint="eastAsia" w:ascii="宋体" w:hAnsi="宋体" w:cs="Times New Roman"/>
                <w:color w:val="auto"/>
                <w:sz w:val="21"/>
                <w:szCs w:val="21"/>
                <w:highlight w:val="none"/>
                <w:lang w:eastAsia="zh-CN"/>
              </w:rPr>
              <w:t>）</w:t>
            </w:r>
            <w:r>
              <w:rPr>
                <w:rFonts w:hint="eastAsia" w:ascii="宋体" w:hAnsi="宋体" w:eastAsia="宋体" w:cs="Times New Roman"/>
                <w:color w:val="auto"/>
                <w:sz w:val="21"/>
                <w:szCs w:val="21"/>
                <w:highlight w:val="none"/>
              </w:rPr>
              <w:t>结算方式详见本项目服务合同相关内容</w:t>
            </w:r>
            <w:r>
              <w:rPr>
                <w:rFonts w:hint="eastAsia" w:ascii="宋体" w:hAnsi="宋体" w:eastAsia="宋体" w:cs="Times New Roman"/>
                <w:color w:val="auto"/>
                <w:sz w:val="21"/>
                <w:szCs w:val="21"/>
                <w:highlight w:val="none"/>
                <w:lang w:eastAsia="zh-CN"/>
              </w:rPr>
              <w:t>。</w:t>
            </w:r>
          </w:p>
        </w:tc>
      </w:tr>
      <w:tr w14:paraId="4CB5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1D1C95">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8BAE3F">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投标有效期</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2F08AA">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90</w:t>
            </w:r>
            <w:r>
              <w:rPr>
                <w:rFonts w:hint="eastAsia" w:ascii="宋体" w:hAnsi="宋体" w:eastAsia="宋体" w:cs="宋体"/>
                <w:color w:val="auto"/>
                <w:sz w:val="21"/>
                <w:szCs w:val="24"/>
                <w:highlight w:val="none"/>
              </w:rPr>
              <w:t>日历天（从投标截止之日计起）</w:t>
            </w:r>
          </w:p>
        </w:tc>
      </w:tr>
      <w:tr w14:paraId="2CDF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981192">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27C870">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B6537B">
            <w:pPr>
              <w:shd w:val="clear"/>
              <w:autoSpaceDE/>
              <w:autoSpaceDN/>
              <w:adjustRightInd/>
              <w:spacing w:before="0" w:beforeLines="0" w:afterLines="0" w:line="240" w:lineRule="auto"/>
              <w:ind w:left="6" w:leftChars="0" w:right="6" w:rightChars="0" w:firstLine="0" w:firstLine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6"/>
                <w:sz w:val="21"/>
                <w:szCs w:val="21"/>
                <w:highlight w:val="none"/>
              </w:rPr>
              <w:t>是否要</w:t>
            </w:r>
            <w:r>
              <w:rPr>
                <w:rFonts w:hint="eastAsia" w:ascii="宋体" w:hAnsi="宋体" w:eastAsia="宋体" w:cs="宋体"/>
                <w:color w:val="auto"/>
                <w:spacing w:val="-5"/>
                <w:sz w:val="21"/>
                <w:szCs w:val="21"/>
                <w:highlight w:val="none"/>
              </w:rPr>
              <w:t>求</w:t>
            </w:r>
            <w:r>
              <w:rPr>
                <w:rFonts w:hint="eastAsia" w:ascii="宋体" w:hAnsi="宋体" w:eastAsia="宋体" w:cs="宋体"/>
                <w:color w:val="auto"/>
                <w:spacing w:val="-3"/>
                <w:sz w:val="21"/>
                <w:szCs w:val="21"/>
                <w:highlight w:val="none"/>
              </w:rPr>
              <w:t>投标人递交投标保证金：</w:t>
            </w:r>
          </w:p>
          <w:p w14:paraId="3D1CBAAE">
            <w:pPr>
              <w:pStyle w:val="35"/>
              <w:shd w:val="clear"/>
              <w:kinsoku/>
              <w:overflowPunct w:val="0"/>
              <w:autoSpaceDE/>
              <w:autoSpaceDN/>
              <w:adjustRightInd/>
              <w:spacing w:beforeLines="0" w:afterLines="0" w:line="240" w:lineRule="auto"/>
              <w:ind w:left="6" w:leftChars="0" w:right="6" w:rightChars="0" w:firstLine="0" w:firstLineChars="0"/>
              <w:jc w:val="both"/>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sym w:font="Wingdings 2" w:char="0052"/>
            </w:r>
            <w:r>
              <w:rPr>
                <w:rFonts w:hint="eastAsia" w:ascii="宋体" w:hAnsi="宋体" w:eastAsia="宋体" w:cs="宋体"/>
                <w:color w:val="auto"/>
                <w:spacing w:val="-3"/>
                <w:sz w:val="21"/>
                <w:szCs w:val="21"/>
                <w:highlight w:val="none"/>
              </w:rPr>
              <w:t>不要求</w:t>
            </w:r>
          </w:p>
          <w:p w14:paraId="4D3C97CE">
            <w:pPr>
              <w:shd w:val="clear"/>
              <w:autoSpaceDE/>
              <w:autoSpaceDN/>
              <w:adjustRightInd/>
              <w:spacing w:before="0" w:beforeLines="0" w:afterLines="0" w:line="240" w:lineRule="auto"/>
              <w:ind w:left="6" w:leftChars="0" w:right="6" w:righ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rPr>
              <w:sym w:font="Wingdings 2" w:char="00A3"/>
            </w:r>
            <w:r>
              <w:rPr>
                <w:rFonts w:hint="eastAsia" w:ascii="宋体" w:hAnsi="宋体" w:eastAsia="宋体" w:cs="宋体"/>
                <w:color w:val="auto"/>
                <w:spacing w:val="-5"/>
                <w:sz w:val="21"/>
                <w:szCs w:val="21"/>
                <w:highlight w:val="none"/>
              </w:rPr>
              <w:t>要求，投标保证金的形式：</w:t>
            </w:r>
            <w:r>
              <w:rPr>
                <w:rFonts w:hint="eastAsia" w:ascii="宋体" w:hAnsi="宋体" w:eastAsia="宋体" w:cs="宋体"/>
                <w:color w:val="auto"/>
                <w:spacing w:val="-5"/>
                <w:sz w:val="21"/>
                <w:szCs w:val="21"/>
                <w:highlight w:val="none"/>
                <w:lang w:val="en-US" w:eastAsia="zh-CN"/>
              </w:rPr>
              <w:t>/</w:t>
            </w:r>
          </w:p>
          <w:p w14:paraId="52486199">
            <w:pPr>
              <w:pStyle w:val="35"/>
              <w:shd w:val="clear"/>
              <w:kinsoku/>
              <w:overflowPunct w:val="0"/>
              <w:autoSpaceDE/>
              <w:autoSpaceDN/>
              <w:adjustRightInd/>
              <w:spacing w:beforeLines="0" w:afterLines="0" w:line="240" w:lineRule="auto"/>
              <w:ind w:left="6" w:leftChars="0" w:right="6" w:rightChars="0" w:firstLine="0" w:firstLineChars="0"/>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12"/>
                <w:sz w:val="21"/>
                <w:szCs w:val="21"/>
                <w:highlight w:val="none"/>
              </w:rPr>
              <w:t>投</w:t>
            </w:r>
            <w:r>
              <w:rPr>
                <w:rFonts w:hint="eastAsia" w:ascii="宋体" w:hAnsi="宋体" w:eastAsia="宋体" w:cs="宋体"/>
                <w:color w:val="auto"/>
                <w:spacing w:val="-6"/>
                <w:sz w:val="21"/>
                <w:szCs w:val="21"/>
                <w:highlight w:val="none"/>
              </w:rPr>
              <w:t>标保证金的金额：</w:t>
            </w:r>
            <w:r>
              <w:rPr>
                <w:rFonts w:hint="eastAsia" w:ascii="宋体" w:hAnsi="宋体" w:eastAsia="宋体" w:cs="宋体"/>
                <w:color w:val="auto"/>
                <w:spacing w:val="-6"/>
                <w:sz w:val="21"/>
                <w:szCs w:val="21"/>
                <w:highlight w:val="none"/>
                <w:lang w:val="en-US" w:eastAsia="zh-CN"/>
              </w:rPr>
              <w:t>/</w:t>
            </w:r>
          </w:p>
        </w:tc>
      </w:tr>
      <w:tr w14:paraId="2E6C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EEBD4D">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A583F4">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资格审查资料的特殊要求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F519DC">
            <w:pPr>
              <w:pStyle w:val="35"/>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无</w:t>
            </w:r>
          </w:p>
          <w:p w14:paraId="512EEDFB">
            <w:pPr>
              <w:pStyle w:val="35"/>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有，具体要求：</w:t>
            </w:r>
            <w:r>
              <w:rPr>
                <w:rFonts w:hint="eastAsia" w:ascii="宋体" w:hAnsi="宋体" w:eastAsia="宋体" w:cs="宋体"/>
                <w:color w:val="auto"/>
                <w:sz w:val="21"/>
                <w:szCs w:val="24"/>
                <w:highlight w:val="none"/>
                <w:lang w:val="en-US" w:eastAsia="zh-CN"/>
              </w:rPr>
              <w:t>/</w:t>
            </w:r>
          </w:p>
        </w:tc>
      </w:tr>
      <w:tr w14:paraId="556E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ACF950">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569A27">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近年完成的类似项目情况的时间要求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2B290C">
            <w:pPr>
              <w:pStyle w:val="35"/>
              <w:shd w:val="clear"/>
              <w:tabs>
                <w:tab w:val="left" w:pos="799"/>
                <w:tab w:val="left" w:pos="1569"/>
                <w:tab w:val="left" w:pos="2340"/>
              </w:tabs>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u w:val="single"/>
                <w:lang w:val="en-US" w:eastAsia="zh-CN"/>
              </w:rPr>
              <w:t>/</w:t>
            </w:r>
          </w:p>
        </w:tc>
      </w:tr>
      <w:tr w14:paraId="2EE9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8C72A">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1CFD3">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是否允许递交备选投标方案</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40AD7">
            <w:pPr>
              <w:pStyle w:val="35"/>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不允许</w:t>
            </w:r>
          </w:p>
          <w:p w14:paraId="1F83394C">
            <w:pPr>
              <w:pStyle w:val="35"/>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允许</w:t>
            </w:r>
          </w:p>
        </w:tc>
      </w:tr>
      <w:tr w14:paraId="38DF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160B0">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45CAA">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投标文件签字或盖章要求</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B7A672">
            <w:pPr>
              <w:keepNext w:val="0"/>
              <w:keepLines w:val="0"/>
              <w:pageBreakBefore w:val="0"/>
              <w:widowControl w:val="0"/>
              <w:shd w:val="clear"/>
              <w:kinsoku/>
              <w:wordWrap/>
              <w:overflowPunct/>
              <w:topLinePunct w:val="0"/>
              <w:autoSpaceDE/>
              <w:autoSpaceDN/>
              <w:bidi w:val="0"/>
              <w:adjustRightInd w:val="0"/>
              <w:snapToGrid/>
              <w:spacing w:beforeLines="0" w:afterLines="0" w:line="400" w:lineRule="exact"/>
              <w:ind w:left="6" w:leftChars="0" w:right="6" w:rightChars="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u w:val="single"/>
              </w:rPr>
              <w:t>投标文件中需个人签字或盖章的，应加盖个人电子印章或在线下完成后扫描上传。按照交易平台关于全流程电子化项目的相关指南进行操作，联合体投标的，除联合体共同投标协议书需联合体各方同时签字或盖章外，法定代表人证明书及授权委托证明书可由联合体主办方出具，其中“单位”一栏可只填写联合体主办方名称外，其他内容及落款中的“投标人”应填写联合体各方的单位全称【格式示例为：（主）单位全称（成）单位全称】，由联合体主办方签字、盖章即可。</w:t>
            </w:r>
          </w:p>
        </w:tc>
      </w:tr>
      <w:tr w14:paraId="3C17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1593D">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E9D505">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投标截止时间</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F963FC">
            <w:pPr>
              <w:snapToGrid w:val="0"/>
              <w:rPr>
                <w:rFonts w:hint="eastAsia" w:ascii="宋体" w:hAnsi="宋体" w:cs="宋体"/>
                <w:color w:val="auto"/>
                <w:sz w:val="21"/>
                <w:szCs w:val="21"/>
                <w:u w:val="single"/>
              </w:rPr>
            </w:pP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r>
              <w:rPr>
                <w:rFonts w:hint="eastAsia" w:ascii="宋体" w:hAnsi="宋体" w:cs="宋体"/>
                <w:color w:val="auto"/>
                <w:sz w:val="21"/>
                <w:szCs w:val="21"/>
                <w:u w:val="single"/>
              </w:rPr>
              <w:t xml:space="preserve">  时  分 （北京时间）</w:t>
            </w:r>
          </w:p>
          <w:p w14:paraId="63371417">
            <w:pPr>
              <w:shd w:val="clear"/>
              <w:autoSpaceDE/>
              <w:autoSpaceDN/>
              <w:spacing w:before="0" w:beforeLines="0" w:after="0" w:afterLines="0" w:line="240" w:lineRule="auto"/>
              <w:ind w:left="6" w:leftChars="0" w:right="6" w:rightChars="0"/>
              <w:rPr>
                <w:rFonts w:hint="eastAsia" w:ascii="宋体" w:hAnsi="宋体" w:eastAsia="宋体" w:cs="宋体"/>
                <w:color w:val="auto"/>
                <w:sz w:val="21"/>
                <w:szCs w:val="21"/>
                <w:highlight w:val="none"/>
              </w:rPr>
            </w:pPr>
            <w:r>
              <w:rPr>
                <w:rFonts w:hint="eastAsia" w:ascii="宋体" w:hAnsi="宋体"/>
                <w:color w:val="auto"/>
                <w:spacing w:val="4"/>
                <w:sz w:val="21"/>
                <w:szCs w:val="21"/>
              </w:rPr>
              <w:t>（详见广州交易集团有限公司（广州公共资源交易中心）网站信息。具体时间可以到广州交易集团有限公司（广州公共资源交易中心）交易平台“建设工程→项目查询（日程安排、答疑纪要）”输入本项目编号或项目名称进行查询。）</w:t>
            </w:r>
          </w:p>
        </w:tc>
      </w:tr>
      <w:tr w14:paraId="4AAF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37A915">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7FF5FD">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开标时间和地点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D626EA">
            <w:pPr>
              <w:shd w:val="clear"/>
              <w:autoSpaceDE/>
              <w:autoSpaceDN/>
              <w:spacing w:before="0" w:beforeLines="0" w:afterLines="0" w:line="240" w:lineRule="auto"/>
              <w:ind w:left="6" w:leftChars="0" w:right="6" w:rightChars="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1、开标时间</w:t>
            </w:r>
            <w:r>
              <w:rPr>
                <w:rFonts w:hint="eastAsia" w:ascii="宋体" w:hAnsi="宋体" w:eastAsia="宋体" w:cs="宋体"/>
                <w:color w:val="auto"/>
                <w:sz w:val="21"/>
                <w:szCs w:val="21"/>
                <w:highlight w:val="none"/>
              </w:rPr>
              <w:t>：同投标截止时间</w:t>
            </w:r>
          </w:p>
          <w:p w14:paraId="0C63EB72">
            <w:pPr>
              <w:shd w:val="clear"/>
              <w:autoSpaceDE/>
              <w:autoSpaceDN/>
              <w:spacing w:before="0" w:beforeLines="0" w:afterLines="0" w:line="240" w:lineRule="auto"/>
              <w:ind w:left="6" w:leftChars="0" w:right="6" w:right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rPr>
              <w:t>具体时间和地点可以到广州交易集团有限公司（广州公共资源交易中心）交易平台“建设工程→项目查询（日程安排、答疑纪要）”输入本项目编号或项目名称进行查询。</w:t>
            </w:r>
          </w:p>
          <w:p w14:paraId="7D7D1D73">
            <w:pPr>
              <w:shd w:val="clear"/>
              <w:autoSpaceDE/>
              <w:autoSpaceDN/>
              <w:spacing w:before="0" w:beforeLines="0" w:afterLines="0" w:line="240" w:lineRule="auto"/>
              <w:ind w:left="6" w:leftChars="0" w:right="6" w:rightChars="0"/>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18"/>
                <w:highlight w:val="none"/>
              </w:rPr>
              <w:t>（选择性条款）</w:t>
            </w:r>
            <w:r>
              <w:rPr>
                <w:rFonts w:hint="eastAsia" w:ascii="宋体" w:hAnsi="宋体" w:eastAsia="宋体" w:cs="宋体"/>
                <w:color w:val="auto"/>
                <w:sz w:val="21"/>
                <w:szCs w:val="18"/>
                <w:highlight w:val="none"/>
                <w:lang w:val="en-US" w:eastAsia="zh-CN"/>
              </w:rPr>
              <w:t>3</w:t>
            </w:r>
            <w:r>
              <w:rPr>
                <w:rFonts w:hint="eastAsia" w:ascii="宋体" w:hAnsi="宋体" w:eastAsia="宋体" w:cs="宋体"/>
                <w:color w:val="auto"/>
                <w:sz w:val="21"/>
                <w:szCs w:val="18"/>
                <w:highlight w:val="none"/>
              </w:rPr>
              <w:t>、递交投标文件备用光盘时间：</w:t>
            </w:r>
            <w:r>
              <w:rPr>
                <w:rFonts w:hint="eastAsia" w:ascii="宋体" w:hAnsi="宋体" w:eastAsia="宋体" w:cs="宋体"/>
                <w:color w:val="auto"/>
                <w:sz w:val="21"/>
                <w:szCs w:val="21"/>
                <w:highlight w:val="none"/>
                <w:u w:val="single"/>
                <w:lang w:eastAsia="zh-CN"/>
              </w:rPr>
              <w:t>具体时间和地点可以到广州交易集团有限公司（广州公共资源交易中心）交易平台“建设工程→项目查询（日程安排、答疑纪要）”输入本项目编号或项目名称进行查询。</w:t>
            </w:r>
          </w:p>
          <w:p w14:paraId="2D228466">
            <w:pPr>
              <w:shd w:val="clear"/>
              <w:autoSpaceDE/>
              <w:autoSpaceDN/>
              <w:spacing w:before="0" w:beforeLines="0" w:afterLines="0" w:line="240" w:lineRule="auto"/>
              <w:ind w:left="6" w:leftChars="0" w:right="6" w:rightChars="0"/>
              <w:rPr>
                <w:rFonts w:hint="eastAsia" w:ascii="宋体" w:hAnsi="宋体" w:eastAsia="宋体" w:cs="宋体"/>
                <w:color w:val="auto"/>
                <w:sz w:val="21"/>
                <w:szCs w:val="24"/>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rPr>
              <w:t>上述时间及地点是否有改变，请密切留意招标答疑纪要的相关信息。</w:t>
            </w:r>
          </w:p>
        </w:tc>
      </w:tr>
      <w:tr w14:paraId="4230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1B334">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C96ABF">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评标委员会的组建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EF2F42">
            <w:pPr>
              <w:pStyle w:val="35"/>
              <w:shd w:val="clear"/>
              <w:tabs>
                <w:tab w:val="left" w:pos="2309"/>
                <w:tab w:val="left" w:pos="3826"/>
              </w:tabs>
              <w:kinsoku/>
              <w:overflowPunct w:val="0"/>
              <w:topLinePunct/>
              <w:autoSpaceDE/>
              <w:autoSpaceDN/>
              <w:spacing w:beforeLines="0" w:afterLines="0" w:line="240" w:lineRule="auto"/>
              <w:ind w:left="6" w:leftChars="0" w:right="6" w:rightChars="0"/>
              <w:jc w:val="both"/>
              <w:rPr>
                <w:rFonts w:hint="eastAsia" w:ascii="宋体" w:hAnsi="宋体" w:eastAsia="宋体" w:cs="宋体"/>
                <w:color w:val="auto"/>
                <w:spacing w:val="-3"/>
                <w:sz w:val="21"/>
                <w:szCs w:val="24"/>
                <w:highlight w:val="none"/>
                <w:lang w:val="en-US"/>
              </w:rPr>
            </w:pPr>
            <w:r>
              <w:rPr>
                <w:rFonts w:hint="eastAsia" w:ascii="宋体" w:hAnsi="宋体" w:eastAsia="宋体" w:cs="宋体"/>
                <w:color w:val="auto"/>
                <w:spacing w:val="-2"/>
                <w:sz w:val="21"/>
                <w:szCs w:val="24"/>
                <w:highlight w:val="none"/>
              </w:rPr>
              <w:t>评标委员会构成：</w:t>
            </w:r>
            <w:r>
              <w:rPr>
                <w:rFonts w:hint="eastAsia" w:ascii="宋体" w:hAnsi="宋体" w:eastAsia="宋体" w:cs="宋体"/>
                <w:color w:val="auto"/>
                <w:spacing w:val="-2"/>
                <w:sz w:val="21"/>
                <w:szCs w:val="24"/>
                <w:highlight w:val="none"/>
                <w:u w:val="single"/>
                <w:lang w:val="en-US" w:eastAsia="zh-CN"/>
              </w:rPr>
              <w:t>由招标人依法组建；</w:t>
            </w:r>
          </w:p>
          <w:p w14:paraId="28149726">
            <w:pPr>
              <w:pStyle w:val="35"/>
              <w:shd w:val="clear"/>
              <w:tabs>
                <w:tab w:val="left" w:pos="2309"/>
                <w:tab w:val="left" w:pos="3826"/>
              </w:tabs>
              <w:kinsoku/>
              <w:overflowPunct w:val="0"/>
              <w:topLinePunct/>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pacing w:val="-103"/>
                <w:sz w:val="21"/>
                <w:szCs w:val="24"/>
                <w:highlight w:val="none"/>
              </w:rPr>
              <w:t xml:space="preserve"> </w:t>
            </w:r>
            <w:r>
              <w:rPr>
                <w:rFonts w:hint="eastAsia" w:ascii="宋体" w:hAnsi="宋体" w:eastAsia="宋体" w:cs="宋体"/>
                <w:color w:val="auto"/>
                <w:sz w:val="21"/>
                <w:szCs w:val="24"/>
                <w:highlight w:val="none"/>
              </w:rPr>
              <w:t>评标专家确定方式：</w:t>
            </w:r>
            <w:r>
              <w:rPr>
                <w:rFonts w:hint="eastAsia" w:ascii="宋体" w:hAnsi="宋体" w:eastAsia="宋体" w:cs="宋体"/>
                <w:color w:val="auto"/>
                <w:sz w:val="21"/>
                <w:szCs w:val="21"/>
                <w:highlight w:val="none"/>
                <w:lang w:val="en-US" w:eastAsia="zh-CN"/>
              </w:rPr>
              <w:t>除招标人代表外，其余专家均从广东省综合评标评审专家库中随机抽取</w:t>
            </w:r>
            <w:r>
              <w:rPr>
                <w:rFonts w:hint="eastAsia" w:ascii="宋体" w:hAnsi="宋体" w:eastAsia="宋体" w:cs="宋体"/>
                <w:color w:val="auto"/>
                <w:sz w:val="21"/>
                <w:szCs w:val="24"/>
                <w:highlight w:val="none"/>
              </w:rPr>
              <w:t>。</w:t>
            </w:r>
          </w:p>
        </w:tc>
      </w:tr>
      <w:tr w14:paraId="6111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91EEF7">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6.3.2</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5F929C">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评标委员会推荐中标候选人的人数</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5193B6">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3</w:t>
            </w:r>
            <w:r>
              <w:rPr>
                <w:rFonts w:hint="eastAsia" w:ascii="宋体" w:hAnsi="宋体" w:cs="宋体"/>
                <w:color w:val="auto"/>
                <w:sz w:val="21"/>
                <w:szCs w:val="24"/>
                <w:highlight w:val="none"/>
                <w:lang w:val="en-US" w:eastAsia="zh-CN"/>
              </w:rPr>
              <w:t>名</w:t>
            </w:r>
            <w:r>
              <w:rPr>
                <w:rFonts w:hint="eastAsia" w:ascii="宋体" w:hAnsi="宋体" w:eastAsia="宋体" w:cs="宋体"/>
                <w:color w:val="auto"/>
                <w:sz w:val="21"/>
                <w:szCs w:val="24"/>
                <w:highlight w:val="none"/>
                <w:lang w:val="en-US" w:eastAsia="zh-CN"/>
              </w:rPr>
              <w:t>。</w:t>
            </w:r>
          </w:p>
        </w:tc>
      </w:tr>
      <w:tr w14:paraId="3850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D63DF">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0C359B">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中标候选人公示媒介及期限</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6D434">
            <w:pPr>
              <w:shd w:val="clear"/>
              <w:autoSpaceDE/>
              <w:autoSpaceDN/>
              <w:spacing w:before="0" w:beforeLines="0" w:afterLines="0" w:line="240" w:lineRule="auto"/>
              <w:ind w:left="6" w:leftChars="0" w:right="6" w:rightChars="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公</w:t>
            </w:r>
            <w:r>
              <w:rPr>
                <w:rFonts w:hint="eastAsia" w:ascii="宋体" w:hAnsi="宋体" w:eastAsia="宋体" w:cs="宋体"/>
                <w:color w:val="auto"/>
                <w:spacing w:val="-10"/>
                <w:sz w:val="21"/>
                <w:szCs w:val="21"/>
                <w:highlight w:val="none"/>
              </w:rPr>
              <w:t>示媒介：</w:t>
            </w:r>
            <w:r>
              <w:rPr>
                <w:rFonts w:hint="eastAsia" w:ascii="宋体" w:hAnsi="宋体"/>
                <w:color w:val="auto"/>
                <w:sz w:val="21"/>
                <w:szCs w:val="21"/>
              </w:rPr>
              <w:t>中国招标投标公共服务平台、广东省招标投标监管网、广州交易集团有限公司（广州公共资源交易中心）网。</w:t>
            </w:r>
          </w:p>
          <w:p w14:paraId="21306C43">
            <w:pPr>
              <w:pStyle w:val="35"/>
              <w:shd w:val="clear"/>
              <w:tabs>
                <w:tab w:val="left" w:pos="2100"/>
              </w:tabs>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pacing w:val="-8"/>
                <w:sz w:val="21"/>
                <w:szCs w:val="21"/>
                <w:highlight w:val="none"/>
              </w:rPr>
              <w:t>公示期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lang w:eastAsia="zh-CN"/>
              </w:rPr>
              <w:t>不少于</w:t>
            </w:r>
            <w:r>
              <w:rPr>
                <w:rFonts w:hint="eastAsia" w:ascii="宋体" w:hAnsi="宋体" w:eastAsia="宋体" w:cs="宋体"/>
                <w:color w:val="auto"/>
                <w:spacing w:val="-4"/>
                <w:sz w:val="21"/>
                <w:szCs w:val="21"/>
                <w:highlight w:val="none"/>
                <w:u w:val="single" w:color="auto"/>
                <w:lang w:val="en-US" w:eastAsia="zh-CN"/>
              </w:rPr>
              <w:t>3</w:t>
            </w:r>
            <w:r>
              <w:rPr>
                <w:rFonts w:hint="eastAsia" w:ascii="宋体" w:hAnsi="宋体" w:eastAsia="宋体" w:cs="宋体"/>
                <w:color w:val="auto"/>
                <w:spacing w:val="-4"/>
                <w:sz w:val="21"/>
                <w:szCs w:val="21"/>
                <w:highlight w:val="none"/>
              </w:rPr>
              <w:t>日</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最后一天应为工作日</w:t>
            </w:r>
            <w:r>
              <w:rPr>
                <w:rFonts w:hint="eastAsia" w:ascii="宋体" w:hAnsi="宋体" w:eastAsia="宋体" w:cs="宋体"/>
                <w:color w:val="auto"/>
                <w:spacing w:val="-5"/>
                <w:sz w:val="21"/>
                <w:szCs w:val="21"/>
                <w:highlight w:val="none"/>
                <w:lang w:eastAsia="zh-CN"/>
              </w:rPr>
              <w:t>）</w:t>
            </w:r>
          </w:p>
        </w:tc>
      </w:tr>
      <w:tr w14:paraId="01FC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02377">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98A984">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是否授权评标委员会确定中标人</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E47386">
            <w:pPr>
              <w:pStyle w:val="35"/>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是</w:t>
            </w:r>
          </w:p>
          <w:p w14:paraId="7A2657FB">
            <w:pPr>
              <w:pStyle w:val="35"/>
              <w:shd w:val="clear"/>
              <w:kinsoku/>
              <w:overflowPunct w:val="0"/>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否</w:t>
            </w:r>
          </w:p>
        </w:tc>
      </w:tr>
      <w:tr w14:paraId="505D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D59359">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CDC0C">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履约保证金</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7D00B7">
            <w:pPr>
              <w:pStyle w:val="35"/>
              <w:shd w:val="clear"/>
              <w:kinsoku/>
              <w:overflowPunct w:val="0"/>
              <w:autoSpaceDE/>
              <w:autoSpaceDN/>
              <w:spacing w:beforeLines="0" w:afterLines="0" w:line="240" w:lineRule="auto"/>
              <w:ind w:left="6" w:leftChars="0" w:right="6" w:rightChars="0" w:firstLine="0" w:firstLine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是否要求中标人提交履约保证金：</w:t>
            </w:r>
          </w:p>
          <w:p w14:paraId="77268ABD">
            <w:pPr>
              <w:pStyle w:val="35"/>
              <w:shd w:val="clear"/>
              <w:kinsoku/>
              <w:overflowPunct w:val="0"/>
              <w:autoSpaceDE/>
              <w:autoSpaceDN/>
              <w:spacing w:beforeLines="0" w:afterLines="0" w:line="240" w:lineRule="auto"/>
              <w:ind w:left="6" w:leftChars="0" w:right="6" w:rightChars="0" w:firstLine="0" w:firstLine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52"/>
            </w:r>
            <w:r>
              <w:rPr>
                <w:rFonts w:hint="eastAsia" w:ascii="宋体" w:hAnsi="宋体" w:eastAsia="宋体" w:cs="宋体"/>
                <w:color w:val="auto"/>
                <w:sz w:val="21"/>
                <w:szCs w:val="24"/>
                <w:highlight w:val="none"/>
              </w:rPr>
              <w:t>不要求</w:t>
            </w:r>
          </w:p>
          <w:p w14:paraId="399FBA76">
            <w:pPr>
              <w:pStyle w:val="35"/>
              <w:shd w:val="clear"/>
              <w:kinsoku/>
              <w:overflowPunct w:val="0"/>
              <w:autoSpaceDE/>
              <w:autoSpaceDN/>
              <w:spacing w:beforeLines="0" w:afterLines="0" w:line="240" w:lineRule="auto"/>
              <w:ind w:left="6" w:leftChars="0" w:right="6" w:rightChars="0" w:firstLine="0" w:firstLine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sym w:font="Wingdings 2" w:char="00A3"/>
            </w:r>
            <w:r>
              <w:rPr>
                <w:rFonts w:hint="eastAsia" w:ascii="宋体" w:hAnsi="宋体" w:eastAsia="宋体" w:cs="宋体"/>
                <w:color w:val="auto"/>
                <w:sz w:val="21"/>
                <w:szCs w:val="24"/>
                <w:highlight w:val="none"/>
              </w:rPr>
              <w:t>要求，履约保证金的形式：以银行保函形式提供，银行保函格式可参照合同附件；</w:t>
            </w:r>
          </w:p>
          <w:p w14:paraId="71A96120">
            <w:pPr>
              <w:pStyle w:val="35"/>
              <w:shd w:val="clear"/>
              <w:kinsoku/>
              <w:overflowPunct w:val="0"/>
              <w:autoSpaceDE/>
              <w:autoSpaceDN/>
              <w:spacing w:beforeLines="0" w:afterLines="0" w:line="240" w:lineRule="auto"/>
              <w:ind w:left="6" w:leftChars="0" w:right="6" w:rightChars="0" w:firstLine="0" w:firstLineChars="0"/>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履约保证金的金额：</w:t>
            </w:r>
            <w:r>
              <w:rPr>
                <w:rFonts w:hint="eastAsia" w:ascii="宋体" w:hAnsi="宋体" w:eastAsia="宋体" w:cs="宋体"/>
                <w:color w:val="auto"/>
                <w:sz w:val="21"/>
                <w:szCs w:val="24"/>
                <w:highlight w:val="none"/>
                <w:lang w:val="en-US" w:eastAsia="zh-CN"/>
              </w:rPr>
              <w:t>/</w:t>
            </w:r>
            <w:r>
              <w:rPr>
                <w:rFonts w:hint="eastAsia" w:ascii="宋体" w:hAnsi="宋体" w:eastAsia="宋体" w:cs="宋体"/>
                <w:color w:val="auto"/>
                <w:sz w:val="21"/>
                <w:szCs w:val="24"/>
                <w:highlight w:val="none"/>
              </w:rPr>
              <w:t>。</w:t>
            </w:r>
          </w:p>
        </w:tc>
      </w:tr>
      <w:tr w14:paraId="390B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16F20E">
            <w:pPr>
              <w:spacing w:line="300" w:lineRule="auto"/>
              <w:jc w:val="center"/>
              <w:rPr>
                <w:rFonts w:hint="eastAsia" w:ascii="宋体" w:hAnsi="宋体" w:eastAsia="宋体" w:cs="宋体"/>
                <w:color w:val="auto"/>
                <w:sz w:val="21"/>
                <w:szCs w:val="24"/>
                <w:highlight w:val="none"/>
              </w:rPr>
            </w:pPr>
            <w:r>
              <w:rPr>
                <w:rFonts w:hint="eastAsia" w:ascii="宋体" w:hAnsi="宋体"/>
                <w:color w:val="auto"/>
                <w:sz w:val="21"/>
                <w:szCs w:val="21"/>
              </w:rPr>
              <w:t>9</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AED588">
            <w:pPr>
              <w:jc w:val="center"/>
              <w:rPr>
                <w:rFonts w:hint="eastAsia" w:ascii="宋体" w:hAnsi="宋体" w:eastAsia="宋体" w:cs="宋体"/>
                <w:color w:val="auto"/>
                <w:sz w:val="21"/>
                <w:szCs w:val="24"/>
                <w:highlight w:val="none"/>
              </w:rPr>
            </w:pPr>
            <w:r>
              <w:rPr>
                <w:rFonts w:hint="eastAsia" w:ascii="宋体" w:hAnsi="宋体"/>
                <w:color w:val="auto"/>
                <w:sz w:val="21"/>
                <w:szCs w:val="21"/>
              </w:rPr>
              <w:t>采用电子招标投标</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A5320">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rPr>
            </w:pPr>
            <w:r>
              <w:rPr>
                <w:rFonts w:hint="eastAsia" w:ascii="宋体" w:hAnsi="宋体" w:cs="宋体"/>
                <w:color w:val="auto"/>
                <w:sz w:val="21"/>
                <w:szCs w:val="21"/>
              </w:rPr>
              <w:t>1.有关无纸化电子招投标的操作手册可自行在广州交易集团有限公司（广州公共资源交易中心）网站相关栏目下载。</w:t>
            </w:r>
          </w:p>
          <w:p w14:paraId="3FD75F00">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rPr>
            </w:pPr>
            <w:r>
              <w:rPr>
                <w:rFonts w:hint="eastAsia" w:ascii="宋体" w:hAnsi="宋体" w:cs="宋体"/>
                <w:color w:val="auto"/>
                <w:sz w:val="21"/>
                <w:szCs w:val="21"/>
              </w:rPr>
              <w:t>2.提交投标文件光盘备用</w:t>
            </w:r>
          </w:p>
          <w:p w14:paraId="166DDA1A">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u w:val="single"/>
              </w:rPr>
            </w:pPr>
            <w:r>
              <w:rPr>
                <w:rFonts w:hint="eastAsia" w:ascii="宋体" w:hAnsi="宋体" w:cs="宋体"/>
                <w:color w:val="auto"/>
                <w:sz w:val="21"/>
                <w:szCs w:val="21"/>
                <w:u w:val="single"/>
              </w:rPr>
              <w:t>投标人可按无纸化电子招投标操作手册的操作方法制作的非加密的电子投标文件刻入光盘（1份），在规定的时间、地点提交备用。刻录好的投标文件光盘密封在密封袋中，并在封口处加盖投标人单位公章。密封袋上应写明项目名称及投标人名称。现场递交的投标文件（光盘）不得加密。光盘（投标文件）无法读取或导入的，则视为未提交备用投标文件光盘。如果投标人没有按规定通过交易平台网上递交电子投标文件的，不再读取提交的光盘。</w:t>
            </w:r>
          </w:p>
          <w:p w14:paraId="35AB5E37">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rPr>
            </w:pPr>
            <w:r>
              <w:rPr>
                <w:rFonts w:hint="eastAsia" w:ascii="宋体" w:hAnsi="宋体" w:cs="宋体"/>
                <w:color w:val="auto"/>
                <w:sz w:val="21"/>
                <w:szCs w:val="21"/>
              </w:rPr>
              <w:t>3.补救方案</w:t>
            </w:r>
          </w:p>
          <w:p w14:paraId="257673CE">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u w:val="single"/>
              </w:rPr>
            </w:pPr>
            <w:r>
              <w:rPr>
                <w:rFonts w:hint="eastAsia" w:ascii="宋体" w:hAnsi="宋体" w:cs="宋体"/>
                <w:color w:val="auto"/>
                <w:sz w:val="21"/>
                <w:szCs w:val="21"/>
                <w:u w:val="single"/>
              </w:rPr>
              <w:t>（1）投标文件解密失败的补救方案：</w:t>
            </w:r>
          </w:p>
          <w:p w14:paraId="7E55BE0B">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u w:val="single"/>
              </w:rPr>
            </w:pPr>
            <w:r>
              <w:rPr>
                <w:rFonts w:hint="eastAsia" w:ascii="宋体" w:hAnsi="宋体" w:cs="宋体"/>
                <w:color w:val="auto"/>
                <w:sz w:val="21"/>
                <w:szCs w:val="21"/>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14:paraId="1C6B9D2D">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u w:val="single"/>
              </w:rPr>
            </w:pPr>
            <w:r>
              <w:rPr>
                <w:rFonts w:hint="eastAsia" w:ascii="宋体" w:hAnsi="宋体" w:cs="宋体"/>
                <w:color w:val="auto"/>
                <w:sz w:val="21"/>
                <w:szCs w:val="21"/>
                <w:u w:val="single"/>
              </w:rPr>
              <w:t>（2）评标时突发情况的补救方案</w:t>
            </w:r>
          </w:p>
          <w:p w14:paraId="0AD80A6A">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cs="宋体"/>
                <w:color w:val="auto"/>
                <w:sz w:val="21"/>
                <w:szCs w:val="21"/>
                <w:u w:val="single"/>
              </w:rPr>
            </w:pPr>
            <w:r>
              <w:rPr>
                <w:rFonts w:hint="eastAsia" w:ascii="宋体" w:hAnsi="宋体" w:cs="宋体"/>
                <w:color w:val="auto"/>
                <w:sz w:val="21"/>
                <w:szCs w:val="21"/>
                <w:u w:val="single"/>
              </w:rPr>
              <w:t>若遇不可抗力发生（如：网络瘫痪、服务器损坏、交易系统故障短期无法恢复等因素），由评标委员会开启递交的全部投标文件光盘，并按光盘内容进行评审。</w:t>
            </w:r>
          </w:p>
          <w:p w14:paraId="531976D7">
            <w:pPr>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宋体" w:hAnsi="宋体" w:eastAsia="宋体" w:cs="宋体"/>
                <w:color w:val="auto"/>
                <w:sz w:val="21"/>
                <w:szCs w:val="24"/>
                <w:highlight w:val="none"/>
              </w:rPr>
            </w:pPr>
            <w:r>
              <w:rPr>
                <w:rFonts w:hint="eastAsia" w:ascii="宋体" w:hAnsi="宋体" w:cs="宋体"/>
                <w:color w:val="auto"/>
                <w:sz w:val="21"/>
                <w:szCs w:val="21"/>
                <w:u w:val="single"/>
              </w:rPr>
              <w:t>（3）除发生上述情况外，开标评标均以投标人通过交易平台网上递交的电子投标文件为准。</w:t>
            </w:r>
          </w:p>
        </w:tc>
      </w:tr>
      <w:tr w14:paraId="40EA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25F8DB">
            <w:pPr>
              <w:pStyle w:val="35"/>
              <w:shd w:val="clear"/>
              <w:kinsoku/>
              <w:overflowPunct w:val="0"/>
              <w:autoSpaceDE/>
              <w:autoSpaceDN/>
              <w:spacing w:beforeLines="0" w:afterLines="0" w:line="24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10</w:t>
            </w:r>
          </w:p>
        </w:tc>
        <w:tc>
          <w:tcPr>
            <w:tcW w:w="2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2F9EA0">
            <w:pPr>
              <w:pStyle w:val="35"/>
              <w:shd w:val="clear"/>
              <w:kinsoku/>
              <w:overflowPunct w:val="0"/>
              <w:autoSpaceDE/>
              <w:autoSpaceDN/>
              <w:spacing w:beforeLines="0" w:afterLines="0" w:line="240" w:lineRule="auto"/>
              <w:jc w:val="both"/>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需要补充的其他内容</w:t>
            </w:r>
          </w:p>
        </w:tc>
        <w:tc>
          <w:tcPr>
            <w:tcW w:w="5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C7CF8F">
            <w:pPr>
              <w:rPr>
                <w:rFonts w:hint="eastAsia" w:ascii="宋体" w:hAnsi="宋体" w:eastAsia="宋体" w:cs="宋体"/>
                <w:color w:val="auto"/>
                <w:sz w:val="21"/>
                <w:szCs w:val="21"/>
                <w:highlight w:val="none"/>
              </w:rPr>
            </w:pPr>
            <w:bookmarkStart w:id="28" w:name="_Toc11230"/>
            <w:bookmarkStart w:id="29" w:name="_Toc15954"/>
            <w:bookmarkStart w:id="30" w:name="_Toc31626"/>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交易服务费</w:t>
            </w:r>
          </w:p>
          <w:p w14:paraId="1C9EB235">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应按招标人通知的日期向广州交易集团有限公司（广州公共资源交易中心）缴纳交易服务费、向广州交易集团有限公司（广州公共资源交易中心）索取发票，并在取得发票后及时告知招标代理。（该交易服务费为中标金额的0.9‰，具体收费标准投标人可以在广州交易集团有限公司（广州公共资源交易中心）网站查阅，如有变更以广州交易集团有限公司（广州公共资源交易中心）最新发布的标准为准）。</w:t>
            </w:r>
          </w:p>
          <w:p w14:paraId="6A04597D">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cyan"/>
                <w:lang w:val="en-US" w:eastAsia="zh-CN"/>
              </w:rPr>
            </w:pPr>
            <w:r>
              <w:rPr>
                <w:rFonts w:hint="eastAsia" w:ascii="宋体" w:hAnsi="宋体" w:eastAsia="宋体" w:cs="宋体"/>
                <w:color w:val="auto"/>
                <w:sz w:val="21"/>
                <w:szCs w:val="24"/>
                <w:highlight w:val="none"/>
                <w:lang w:val="en-US" w:eastAsia="zh-CN"/>
              </w:rPr>
              <w:t>10.</w:t>
            </w:r>
            <w:r>
              <w:rPr>
                <w:rFonts w:hint="eastAsia" w:ascii="宋体" w:hAnsi="宋体" w:cs="宋体"/>
                <w:color w:val="auto"/>
                <w:sz w:val="21"/>
                <w:szCs w:val="24"/>
                <w:highlight w:val="none"/>
                <w:lang w:val="en-US" w:eastAsia="zh-CN"/>
              </w:rPr>
              <w:t>2</w:t>
            </w:r>
            <w:r>
              <w:rPr>
                <w:rFonts w:hint="eastAsia" w:ascii="宋体" w:hAnsi="宋体"/>
                <w:color w:val="auto"/>
                <w:kern w:val="2"/>
                <w:sz w:val="21"/>
              </w:rPr>
              <w:t>递交投标文件投标人不足3名，或通过资格评审、形式评审、响应性评审的有效投标人不足3名时为招标失败。招标人分析招标失败原因，修正招标方案，重新组织招标。</w:t>
            </w:r>
          </w:p>
          <w:p w14:paraId="534A651B">
            <w:pPr>
              <w:shd w:val="clear"/>
              <w:autoSpaceDE/>
              <w:autoSpaceDN/>
              <w:spacing w:beforeLines="0" w:afterLines="0" w:line="240" w:lineRule="auto"/>
              <w:ind w:left="6" w:leftChars="0" w:right="6" w:right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10.</w:t>
            </w:r>
            <w:r>
              <w:rPr>
                <w:rFonts w:hint="eastAsia" w:ascii="宋体" w:hAnsi="宋体" w:cs="宋体"/>
                <w:color w:val="auto"/>
                <w:sz w:val="21"/>
                <w:szCs w:val="24"/>
                <w:highlight w:val="none"/>
                <w:lang w:val="en-US" w:eastAsia="zh-CN"/>
              </w:rPr>
              <w:t>3</w:t>
            </w:r>
            <w:r>
              <w:rPr>
                <w:rFonts w:hint="eastAsia" w:ascii="宋体" w:hAnsi="宋体" w:eastAsia="宋体" w:cs="宋体"/>
                <w:color w:val="auto"/>
                <w:sz w:val="21"/>
                <w:szCs w:val="24"/>
                <w:highlight w:val="none"/>
                <w:lang w:val="en-US" w:eastAsia="zh-CN"/>
              </w:rPr>
              <w:t>在产生中标候选人后，招标人将中标候选人的投标文件商务部分的电子版（方案等涉及商业秘密的内容除外）在广州交易集团有限公司（广州公共资源交易中心）、广东省招标投标监管网网站公开。</w:t>
            </w:r>
          </w:p>
          <w:p w14:paraId="787E30A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4</w:t>
            </w:r>
            <w:r>
              <w:rPr>
                <w:rFonts w:hint="eastAsia" w:ascii="宋体" w:hAnsi="宋体"/>
                <w:color w:val="auto"/>
                <w:sz w:val="21"/>
                <w:szCs w:val="21"/>
                <w:highlight w:val="none"/>
              </w:rPr>
              <w:t>发出中标通知书前，中标人未被纳入“信用广州”网站公布的“失信黑名单”，否则招标人将取消其中标资格。中标后，中标人须</w:t>
            </w:r>
            <w:r>
              <w:rPr>
                <w:rFonts w:hint="eastAsia" w:ascii="宋体" w:hAnsi="宋体"/>
                <w:color w:val="auto"/>
                <w:sz w:val="21"/>
                <w:szCs w:val="21"/>
                <w:highlight w:val="none"/>
                <w:lang w:val="en-US" w:eastAsia="zh-CN"/>
              </w:rPr>
              <w:t>按招标要求</w:t>
            </w:r>
            <w:r>
              <w:rPr>
                <w:rFonts w:hint="eastAsia" w:ascii="宋体" w:hAnsi="宋体"/>
                <w:color w:val="auto"/>
                <w:sz w:val="21"/>
                <w:szCs w:val="21"/>
                <w:highlight w:val="none"/>
              </w:rPr>
              <w:t>提供与电子投标文件一致的纸质版投标文件</w:t>
            </w:r>
            <w:r>
              <w:rPr>
                <w:rFonts w:hint="eastAsia"/>
                <w:color w:val="auto"/>
                <w:sz w:val="21"/>
                <w:szCs w:val="21"/>
                <w:highlight w:val="none"/>
              </w:rPr>
              <w:t>给招标人</w:t>
            </w:r>
            <w:r>
              <w:rPr>
                <w:rFonts w:hint="eastAsia" w:ascii="宋体" w:hAnsi="宋体"/>
                <w:color w:val="auto"/>
                <w:sz w:val="21"/>
                <w:szCs w:val="21"/>
                <w:highlight w:val="none"/>
              </w:rPr>
              <w:t>。</w:t>
            </w:r>
            <w:bookmarkEnd w:id="28"/>
            <w:bookmarkEnd w:id="29"/>
            <w:bookmarkEnd w:id="30"/>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10.</w:t>
            </w:r>
            <w:bookmarkStart w:id="31" w:name="_Hlk162865333"/>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招标代理费</w:t>
            </w:r>
          </w:p>
          <w:p w14:paraId="599B2822">
            <w:pPr>
              <w:rPr>
                <w:rFonts w:hint="default"/>
                <w:lang w:val="en-US" w:eastAsia="zh-CN"/>
              </w:rPr>
            </w:pPr>
            <w:r>
              <w:rPr>
                <w:rFonts w:hint="eastAsia" w:ascii="宋体" w:hAnsi="宋体" w:eastAsia="宋体" w:cs="宋体"/>
                <w:color w:val="auto"/>
                <w:sz w:val="21"/>
                <w:szCs w:val="21"/>
                <w:highlight w:val="none"/>
              </w:rPr>
              <w:t>本招标项目由中标人支付招标代理服务费用，招标人不再另行支付。中标人在发放《中标通知书》前向招标代理机构一次性足额支付招标代理服务费[计费依据：《国家发展改革委关于降低部分建设项目收费标准规范收费行为等有关问题的通知》（发改价格〔2011〕534号）文的规定，以本项目中标金额为计费基数，按差额定率累进法</w:t>
            </w:r>
            <w:r>
              <w:rPr>
                <w:rFonts w:hint="eastAsia" w:ascii="宋体" w:hAnsi="宋体" w:eastAsia="宋体" w:cs="宋体"/>
                <w:color w:val="auto"/>
                <w:sz w:val="21"/>
                <w:szCs w:val="21"/>
                <w:highlight w:val="none"/>
                <w:lang w:val="zh-CN"/>
              </w:rPr>
              <w:t>下浮</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计算。</w:t>
            </w:r>
            <w:bookmarkEnd w:id="31"/>
          </w:p>
        </w:tc>
      </w:tr>
    </w:tbl>
    <w:p w14:paraId="7F960163">
      <w:pPr>
        <w:shd w:val="clear"/>
        <w:rPr>
          <w:rFonts w:hint="eastAsia" w:ascii="宋体" w:hAnsi="宋体" w:eastAsia="宋体" w:cs="宋体"/>
          <w:color w:val="auto"/>
          <w:sz w:val="24"/>
          <w:szCs w:val="24"/>
          <w:highlight w:val="none"/>
        </w:rPr>
      </w:pPr>
    </w:p>
    <w:p w14:paraId="06341C04">
      <w:pPr>
        <w:pStyle w:val="4"/>
        <w:shd w:val="clear"/>
        <w:outlineLvl w:val="9"/>
        <w:rPr>
          <w:rFonts w:hint="eastAsia" w:ascii="宋体" w:hAnsi="宋体" w:eastAsia="宋体" w:cs="宋体"/>
          <w:color w:val="auto"/>
          <w:sz w:val="24"/>
          <w:szCs w:val="24"/>
          <w:highlight w:val="none"/>
        </w:rPr>
        <w:sectPr>
          <w:pgSz w:w="11905" w:h="16838"/>
          <w:pgMar w:top="1417" w:right="1417" w:bottom="1417" w:left="1417" w:header="737" w:footer="737" w:gutter="0"/>
          <w:lnNumType w:countBy="0" w:distance="360"/>
          <w:pgNumType w:fmt="decimal"/>
          <w:cols w:space="720" w:num="1"/>
        </w:sectPr>
      </w:pPr>
      <w:bookmarkStart w:id="32" w:name="bookmark20"/>
      <w:bookmarkEnd w:id="32"/>
    </w:p>
    <w:p w14:paraId="61D7CCC1">
      <w:pPr>
        <w:pStyle w:val="4"/>
        <w:shd w:val="clear"/>
        <w:outlineLvl w:val="1"/>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1.总则</w:t>
      </w:r>
    </w:p>
    <w:p w14:paraId="552462F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3" w:name="bookmark21"/>
      <w:bookmarkEnd w:id="33"/>
      <w:r>
        <w:rPr>
          <w:rFonts w:hint="eastAsia" w:ascii="宋体" w:hAnsi="宋体" w:eastAsia="宋体" w:cs="宋体"/>
          <w:color w:val="auto"/>
          <w:highlight w:val="none"/>
        </w:rPr>
        <w:t>1.1 招标项目概况</w:t>
      </w:r>
    </w:p>
    <w:p w14:paraId="4C40973B">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根据《中华人民共和国招标投标法》、《中华人民共和国招标投标法实施条例》等有关法律、法规和规章的规定，本招标项目已具备招标条件，现对</w:t>
      </w:r>
      <w:r>
        <w:rPr>
          <w:rFonts w:hint="eastAsia" w:cs="宋体"/>
          <w:color w:val="auto"/>
          <w:sz w:val="24"/>
          <w:szCs w:val="24"/>
          <w:highlight w:val="none"/>
          <w:lang w:val="en-US" w:eastAsia="zh-CN"/>
        </w:rPr>
        <w:t>检验</w:t>
      </w:r>
      <w:r>
        <w:rPr>
          <w:rFonts w:hint="eastAsia" w:cs="宋体"/>
          <w:color w:val="auto"/>
          <w:sz w:val="24"/>
          <w:szCs w:val="24"/>
          <w:highlight w:val="none"/>
          <w:lang w:eastAsia="zh-CN"/>
        </w:rPr>
        <w:t>监测</w:t>
      </w:r>
      <w:r>
        <w:rPr>
          <w:rFonts w:hint="eastAsia" w:ascii="宋体" w:hAnsi="宋体" w:eastAsia="宋体" w:cs="宋体"/>
          <w:color w:val="auto"/>
          <w:sz w:val="24"/>
          <w:szCs w:val="24"/>
          <w:highlight w:val="none"/>
        </w:rPr>
        <w:t>进行招标。</w:t>
      </w:r>
    </w:p>
    <w:p w14:paraId="46B556DC">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招标人：见投标人须知前附表。</w:t>
      </w:r>
    </w:p>
    <w:p w14:paraId="65157166">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招标代理机构：见投标人须知前附表。</w:t>
      </w:r>
    </w:p>
    <w:p w14:paraId="2F604CCF">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招标项目名称：见投标人须知前附表。</w:t>
      </w:r>
    </w:p>
    <w:p w14:paraId="7A306B77">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项目建设地点：见投标人须知前附表。</w:t>
      </w:r>
    </w:p>
    <w:p w14:paraId="1FC4D2C7">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项目建设规模：见投标人须知前附表。</w:t>
      </w:r>
    </w:p>
    <w:p w14:paraId="4E8576C5">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工程项目施工预计开工日期和建设周期：见投标人须知前附表。</w:t>
      </w:r>
    </w:p>
    <w:p w14:paraId="670365B3">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建筑安装工程费/工程概算：见投标人须知前附表。</w:t>
      </w:r>
    </w:p>
    <w:p w14:paraId="796D8627">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4" w:name="bookmark22"/>
      <w:bookmarkEnd w:id="34"/>
      <w:r>
        <w:rPr>
          <w:rFonts w:hint="eastAsia" w:ascii="宋体" w:hAnsi="宋体" w:eastAsia="宋体" w:cs="宋体"/>
          <w:color w:val="auto"/>
          <w:highlight w:val="none"/>
        </w:rPr>
        <w:t>1.2 招标项目的资金来源和落实情况</w:t>
      </w:r>
    </w:p>
    <w:p w14:paraId="1F8A7F44">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资金来源及比例：见投标人须知前附表。</w:t>
      </w:r>
    </w:p>
    <w:p w14:paraId="01C51DED">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资金落实情况：见投标人须知前附表。</w:t>
      </w:r>
    </w:p>
    <w:p w14:paraId="4259F3C3">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5" w:name="bookmark23"/>
      <w:bookmarkEnd w:id="35"/>
      <w:r>
        <w:rPr>
          <w:rFonts w:hint="eastAsia" w:ascii="宋体" w:hAnsi="宋体" w:eastAsia="宋体" w:cs="宋体"/>
          <w:color w:val="auto"/>
          <w:highlight w:val="none"/>
        </w:rPr>
        <w:t>1.3 招标范围、</w:t>
      </w:r>
      <w:r>
        <w:rPr>
          <w:rFonts w:hint="eastAsia" w:ascii="宋体" w:hAnsi="宋体" w:cs="宋体"/>
          <w:color w:val="auto"/>
          <w:highlight w:val="none"/>
          <w:lang w:val="en-US" w:eastAsia="zh-CN"/>
        </w:rPr>
        <w:t>检验</w:t>
      </w:r>
      <w:r>
        <w:rPr>
          <w:rFonts w:hint="eastAsia" w:ascii="宋体" w:hAnsi="宋体" w:cs="宋体"/>
          <w:color w:val="auto"/>
          <w:highlight w:val="none"/>
          <w:lang w:eastAsia="zh-CN"/>
        </w:rPr>
        <w:t>监测</w:t>
      </w:r>
      <w:r>
        <w:rPr>
          <w:rFonts w:hint="eastAsia" w:ascii="宋体" w:hAnsi="宋体" w:eastAsia="宋体" w:cs="宋体"/>
          <w:color w:val="auto"/>
          <w:highlight w:val="none"/>
        </w:rPr>
        <w:t>服务期限和质量标准</w:t>
      </w:r>
    </w:p>
    <w:p w14:paraId="445D3372">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招标范围：见投标人须知前附表。</w:t>
      </w:r>
    </w:p>
    <w:p w14:paraId="77084F25">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1.3.2 </w:t>
      </w:r>
      <w:r>
        <w:rPr>
          <w:rFonts w:hint="eastAsia" w:cs="宋体"/>
          <w:color w:val="auto"/>
          <w:sz w:val="24"/>
          <w:szCs w:val="24"/>
          <w:highlight w:val="none"/>
          <w:lang w:eastAsia="zh-CN"/>
        </w:rPr>
        <w:t>检验监测</w:t>
      </w:r>
      <w:r>
        <w:rPr>
          <w:rFonts w:hint="eastAsia" w:ascii="宋体" w:hAnsi="宋体" w:eastAsia="宋体" w:cs="宋体"/>
          <w:color w:val="auto"/>
          <w:sz w:val="24"/>
          <w:szCs w:val="24"/>
          <w:highlight w:val="none"/>
        </w:rPr>
        <w:t>服务期限：见投标人须知前附表。</w:t>
      </w:r>
    </w:p>
    <w:p w14:paraId="67395E68">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质量标准：见投标人须知前附表。</w:t>
      </w:r>
    </w:p>
    <w:p w14:paraId="1176398C">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6" w:name="bookmark24"/>
      <w:bookmarkEnd w:id="36"/>
      <w:r>
        <w:rPr>
          <w:rFonts w:hint="eastAsia" w:ascii="宋体" w:hAnsi="宋体" w:eastAsia="宋体" w:cs="宋体"/>
          <w:color w:val="auto"/>
          <w:highlight w:val="none"/>
        </w:rPr>
        <w:t>1.4 投标人资格要求</w:t>
      </w:r>
    </w:p>
    <w:p w14:paraId="1DB05EDB">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投标人应具备承担本招标项目资质条件、能力和信誉：</w:t>
      </w:r>
    </w:p>
    <w:p w14:paraId="0A28059C">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（1）资质要求：见投标人须知前附表；</w:t>
      </w:r>
    </w:p>
    <w:p w14:paraId="679CD1C5">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（2）财务要求：见投标人须知前附表；</w:t>
      </w:r>
    </w:p>
    <w:p w14:paraId="2C8336B1">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（3）业绩要求：见投标人须知前附表；</w:t>
      </w:r>
    </w:p>
    <w:p w14:paraId="1E0F7DC9">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（4）信誉要求：见投标人须知前附表；</w:t>
      </w:r>
    </w:p>
    <w:p w14:paraId="43560747">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cs="宋体"/>
          <w:color w:val="auto"/>
          <w:sz w:val="24"/>
          <w:szCs w:val="24"/>
          <w:highlight w:val="none"/>
          <w:lang w:eastAsia="zh-CN"/>
        </w:rPr>
        <w:t>项目负责人</w:t>
      </w:r>
      <w:r>
        <w:rPr>
          <w:rFonts w:hint="eastAsia" w:ascii="宋体" w:hAnsi="宋体" w:eastAsia="宋体" w:cs="宋体"/>
          <w:color w:val="auto"/>
          <w:sz w:val="24"/>
          <w:szCs w:val="24"/>
          <w:highlight w:val="none"/>
        </w:rPr>
        <w:t>的资格要求：见投标人须知前附表；</w:t>
      </w:r>
    </w:p>
    <w:p w14:paraId="3F6381D4">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（6）其他主要人员要求：见投标人须知前附表</w:t>
      </w:r>
      <w:r>
        <w:rPr>
          <w:rFonts w:hint="eastAsia" w:cs="宋体"/>
          <w:color w:val="auto"/>
          <w:sz w:val="24"/>
          <w:szCs w:val="24"/>
          <w:highlight w:val="none"/>
          <w:lang w:eastAsia="zh-CN"/>
        </w:rPr>
        <w:t>；</w:t>
      </w:r>
    </w:p>
    <w:p w14:paraId="0D1D91CD">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（7）试验</w:t>
      </w:r>
      <w:r>
        <w:rPr>
          <w:rFonts w:hint="eastAsia" w:cs="宋体"/>
          <w:color w:val="auto"/>
          <w:sz w:val="24"/>
          <w:szCs w:val="24"/>
          <w:highlight w:val="none"/>
          <w:lang w:eastAsia="zh-CN"/>
        </w:rPr>
        <w:t>检验</w:t>
      </w:r>
      <w:r>
        <w:rPr>
          <w:rFonts w:hint="eastAsia" w:ascii="宋体" w:hAnsi="宋体" w:eastAsia="宋体" w:cs="宋体"/>
          <w:color w:val="auto"/>
          <w:sz w:val="24"/>
          <w:szCs w:val="24"/>
          <w:highlight w:val="none"/>
        </w:rPr>
        <w:t>仪器设备要求：见投标人须知前附表</w:t>
      </w:r>
      <w:r>
        <w:rPr>
          <w:rFonts w:hint="eastAsia" w:cs="宋体"/>
          <w:color w:val="auto"/>
          <w:sz w:val="24"/>
          <w:szCs w:val="24"/>
          <w:highlight w:val="none"/>
          <w:lang w:eastAsia="zh-CN"/>
        </w:rPr>
        <w:t>；</w:t>
      </w:r>
    </w:p>
    <w:p w14:paraId="4A0E7C03">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8</w:t>
      </w:r>
      <w:r>
        <w:rPr>
          <w:rFonts w:hint="eastAsia" w:cs="宋体"/>
          <w:color w:val="auto"/>
          <w:sz w:val="24"/>
          <w:szCs w:val="24"/>
          <w:highlight w:val="none"/>
          <w:lang w:eastAsia="zh-CN"/>
        </w:rPr>
        <w:t>）</w:t>
      </w:r>
      <w:r>
        <w:rPr>
          <w:rFonts w:hint="eastAsia" w:ascii="宋体" w:hAnsi="宋体" w:cs="宋体"/>
          <w:color w:val="auto"/>
          <w:sz w:val="24"/>
          <w:szCs w:val="24"/>
          <w:highlight w:val="none"/>
          <w:u w:val="single"/>
        </w:rPr>
        <w:t>CMA计量认证要求：见投标人须知前附表</w:t>
      </w:r>
      <w:r>
        <w:rPr>
          <w:rFonts w:hint="eastAsia" w:ascii="宋体" w:hAnsi="宋体" w:cs="宋体"/>
          <w:color w:val="auto"/>
          <w:sz w:val="24"/>
          <w:szCs w:val="24"/>
          <w:highlight w:val="none"/>
          <w:u w:val="single"/>
          <w:lang w:eastAsia="zh-CN"/>
        </w:rPr>
        <w:t>；</w:t>
      </w:r>
    </w:p>
    <w:p w14:paraId="6083AFC5">
      <w:pPr>
        <w:kinsoku w:val="0"/>
        <w:overflowPunct w:val="0"/>
        <w:spacing w:line="360" w:lineRule="auto"/>
        <w:ind w:firstLine="484" w:firstLineChars="202"/>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rPr>
        <w:t>（9）联合体投标要求：见投标人须知前附表</w:t>
      </w:r>
      <w:r>
        <w:rPr>
          <w:rFonts w:hint="eastAsia" w:ascii="宋体" w:hAnsi="宋体" w:cs="宋体"/>
          <w:color w:val="auto"/>
          <w:sz w:val="24"/>
          <w:szCs w:val="24"/>
          <w:highlight w:val="none"/>
          <w:u w:val="single"/>
          <w:lang w:eastAsia="zh-CN"/>
        </w:rPr>
        <w:t>；</w:t>
      </w:r>
    </w:p>
    <w:p w14:paraId="352F0D61">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p>
    <w:p w14:paraId="39826ABC">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）其他要求：见投标人须知前附表。</w:t>
      </w:r>
    </w:p>
    <w:p w14:paraId="1B5B538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投标人须知前附表规定接受联合体投标的，联合体除应符合本章第 1.4.1 项和投标人须知前附表的要求外，还应遵守以下规定：</w:t>
      </w:r>
    </w:p>
    <w:p w14:paraId="61BC3C5D">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（1）联合体各方应按招标文件提供的格式签订联合体协议书，明确联合体</w:t>
      </w:r>
      <w:r>
        <w:rPr>
          <w:rFonts w:hint="eastAsia" w:ascii="宋体" w:hAnsi="宋体" w:eastAsia="宋体" w:cs="宋体"/>
          <w:color w:val="auto"/>
          <w:spacing w:val="-2"/>
          <w:sz w:val="24"/>
          <w:szCs w:val="24"/>
          <w:highlight w:val="none"/>
          <w:lang w:eastAsia="zh-CN"/>
        </w:rPr>
        <w:t>主办方</w:t>
      </w:r>
      <w:r>
        <w:rPr>
          <w:rFonts w:hint="eastAsia" w:ascii="宋体" w:hAnsi="宋体" w:eastAsia="宋体" w:cs="宋体"/>
          <w:color w:val="auto"/>
          <w:sz w:val="24"/>
          <w:szCs w:val="24"/>
          <w:highlight w:val="none"/>
        </w:rPr>
        <w:t>和各方权利义务，并承诺就中标项目向招标人承担连带责任；</w:t>
      </w:r>
    </w:p>
    <w:p w14:paraId="6996BF37">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14:paraId="445147A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（3）联合体各方不得再以自己名义单独或参加其他联合体在本招标项目中投标，否则各相关投标均无效。</w:t>
      </w:r>
    </w:p>
    <w:p w14:paraId="7C4E13E8">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投标人不得存在下列情形之一：</w:t>
      </w:r>
    </w:p>
    <w:p w14:paraId="5C44F753">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bookmarkStart w:id="37" w:name="bookmark25"/>
      <w:bookmarkEnd w:id="37"/>
      <w:r>
        <w:rPr>
          <w:rFonts w:hint="default" w:cs="Times New Roman"/>
          <w:color w:val="auto"/>
          <w:sz w:val="24"/>
          <w:szCs w:val="24"/>
          <w:highlight w:val="none"/>
        </w:rPr>
        <w:t>（1）为招标人不具有独立法人资格的附属机构（单位）；</w:t>
      </w:r>
    </w:p>
    <w:p w14:paraId="62EC40D5">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（2）与招标人存在利害关系且可能影响招标公正性；</w:t>
      </w:r>
    </w:p>
    <w:p w14:paraId="368E256A">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（3）与本招标项目的其他投标人为同一个单位负责人；</w:t>
      </w:r>
    </w:p>
    <w:p w14:paraId="013A5A7E">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（4）与本招标项目的其他投标人存在控股、管理关系；</w:t>
      </w:r>
    </w:p>
    <w:p w14:paraId="5260FE6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（5）为本招标项目的代建人；</w:t>
      </w:r>
    </w:p>
    <w:p w14:paraId="4F56735D">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（6）为本招标项目的招标代理机构；</w:t>
      </w:r>
    </w:p>
    <w:p w14:paraId="602E53E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（7）与本招标项目的代建人或招标代理机构同为一个法定代表人；</w:t>
      </w:r>
    </w:p>
    <w:p w14:paraId="2EBBAB3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（8）与本招标项目的代建人或招标代理机构存在控股或参股关系；</w:t>
      </w:r>
    </w:p>
    <w:p w14:paraId="57CAEFCC">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（9）</w:t>
      </w:r>
      <w:r>
        <w:rPr>
          <w:rFonts w:hint="eastAsia" w:ascii="宋体" w:hAnsi="宋体" w:cs="宋体"/>
          <w:color w:val="auto"/>
          <w:spacing w:val="-2"/>
          <w:sz w:val="24"/>
          <w:highlight w:val="none"/>
        </w:rPr>
        <w:t>与</w:t>
      </w:r>
      <w:r>
        <w:rPr>
          <w:rFonts w:hint="eastAsia" w:ascii="宋体" w:hAnsi="宋体" w:cs="宋体"/>
          <w:color w:val="auto"/>
          <w:sz w:val="24"/>
          <w:highlight w:val="none"/>
        </w:rPr>
        <w:t>本</w:t>
      </w:r>
      <w:r>
        <w:rPr>
          <w:rFonts w:hint="eastAsia" w:ascii="宋体" w:hAnsi="宋体" w:cs="宋体"/>
          <w:color w:val="auto"/>
          <w:spacing w:val="-2"/>
          <w:sz w:val="24"/>
          <w:highlight w:val="none"/>
        </w:rPr>
        <w:t>招</w:t>
      </w:r>
      <w:r>
        <w:rPr>
          <w:rFonts w:hint="eastAsia" w:ascii="宋体" w:hAnsi="宋体" w:cs="宋体"/>
          <w:color w:val="auto"/>
          <w:sz w:val="24"/>
          <w:highlight w:val="none"/>
        </w:rPr>
        <w:t>标</w:t>
      </w:r>
      <w:r>
        <w:rPr>
          <w:rFonts w:hint="eastAsia" w:ascii="宋体" w:hAnsi="宋体" w:cs="宋体"/>
          <w:color w:val="auto"/>
          <w:spacing w:val="-2"/>
          <w:sz w:val="24"/>
          <w:highlight w:val="none"/>
        </w:rPr>
        <w:t>项</w:t>
      </w:r>
      <w:r>
        <w:rPr>
          <w:rFonts w:hint="eastAsia" w:ascii="宋体" w:hAnsi="宋体" w:cs="宋体"/>
          <w:color w:val="auto"/>
          <w:sz w:val="24"/>
          <w:highlight w:val="none"/>
        </w:rPr>
        <w:t>目</w:t>
      </w:r>
      <w:r>
        <w:rPr>
          <w:rFonts w:hint="eastAsia" w:ascii="宋体" w:hAnsi="宋体" w:cs="宋体"/>
          <w:color w:val="auto"/>
          <w:spacing w:val="-2"/>
          <w:sz w:val="24"/>
          <w:highlight w:val="none"/>
        </w:rPr>
        <w:t>的</w:t>
      </w:r>
      <w:r>
        <w:rPr>
          <w:rFonts w:hint="eastAsia" w:ascii="宋体" w:hAnsi="宋体" w:cs="宋体"/>
          <w:color w:val="auto"/>
          <w:sz w:val="24"/>
          <w:highlight w:val="none"/>
        </w:rPr>
        <w:t>施</w:t>
      </w:r>
      <w:r>
        <w:rPr>
          <w:rFonts w:hint="eastAsia" w:ascii="宋体" w:hAnsi="宋体" w:cs="宋体"/>
          <w:color w:val="auto"/>
          <w:spacing w:val="-2"/>
          <w:sz w:val="24"/>
          <w:highlight w:val="none"/>
        </w:rPr>
        <w:t>工</w:t>
      </w:r>
      <w:r>
        <w:rPr>
          <w:rFonts w:hint="eastAsia" w:ascii="宋体" w:hAnsi="宋体" w:cs="宋体"/>
          <w:color w:val="auto"/>
          <w:sz w:val="24"/>
          <w:highlight w:val="none"/>
        </w:rPr>
        <w:t>承包</w:t>
      </w:r>
      <w:r>
        <w:rPr>
          <w:rFonts w:hint="eastAsia" w:ascii="宋体" w:hAnsi="宋体" w:cs="宋体"/>
          <w:color w:val="auto"/>
          <w:spacing w:val="-2"/>
          <w:sz w:val="24"/>
          <w:highlight w:val="none"/>
        </w:rPr>
        <w:t>人</w:t>
      </w:r>
      <w:r>
        <w:rPr>
          <w:rFonts w:hint="eastAsia" w:ascii="宋体" w:hAnsi="宋体" w:cs="宋体"/>
          <w:color w:val="auto"/>
          <w:sz w:val="24"/>
          <w:highlight w:val="none"/>
        </w:rPr>
        <w:t>以</w:t>
      </w:r>
      <w:r>
        <w:rPr>
          <w:rFonts w:hint="eastAsia" w:ascii="宋体" w:hAnsi="宋体" w:cs="宋体"/>
          <w:color w:val="auto"/>
          <w:spacing w:val="-2"/>
          <w:sz w:val="24"/>
          <w:highlight w:val="none"/>
        </w:rPr>
        <w:t>及</w:t>
      </w:r>
      <w:r>
        <w:rPr>
          <w:rFonts w:hint="eastAsia" w:ascii="宋体" w:hAnsi="宋体" w:cs="宋体"/>
          <w:color w:val="auto"/>
          <w:sz w:val="24"/>
          <w:highlight w:val="none"/>
        </w:rPr>
        <w:t>建</w:t>
      </w:r>
      <w:r>
        <w:rPr>
          <w:rFonts w:hint="eastAsia" w:ascii="宋体" w:hAnsi="宋体" w:cs="宋体"/>
          <w:color w:val="auto"/>
          <w:spacing w:val="-2"/>
          <w:sz w:val="24"/>
          <w:highlight w:val="none"/>
        </w:rPr>
        <w:t>筑</w:t>
      </w:r>
      <w:r>
        <w:rPr>
          <w:rFonts w:hint="eastAsia" w:ascii="宋体" w:hAnsi="宋体" w:cs="宋体"/>
          <w:color w:val="auto"/>
          <w:sz w:val="24"/>
          <w:highlight w:val="none"/>
        </w:rPr>
        <w:t>材</w:t>
      </w:r>
      <w:r>
        <w:rPr>
          <w:rFonts w:hint="eastAsia" w:ascii="宋体" w:hAnsi="宋体" w:cs="宋体"/>
          <w:color w:val="auto"/>
          <w:spacing w:val="-2"/>
          <w:sz w:val="24"/>
          <w:highlight w:val="none"/>
        </w:rPr>
        <w:t>料</w:t>
      </w:r>
      <w:r>
        <w:rPr>
          <w:rFonts w:hint="eastAsia" w:ascii="宋体" w:hAnsi="宋体" w:cs="宋体"/>
          <w:color w:val="auto"/>
          <w:spacing w:val="-38"/>
          <w:sz w:val="24"/>
          <w:highlight w:val="none"/>
        </w:rPr>
        <w:t>、</w:t>
      </w:r>
      <w:r>
        <w:rPr>
          <w:rFonts w:hint="eastAsia" w:ascii="宋体" w:hAnsi="宋体" w:cs="宋体"/>
          <w:color w:val="auto"/>
          <w:spacing w:val="-2"/>
          <w:sz w:val="24"/>
          <w:highlight w:val="none"/>
        </w:rPr>
        <w:t>建</w:t>
      </w:r>
      <w:r>
        <w:rPr>
          <w:rFonts w:hint="eastAsia" w:ascii="宋体" w:hAnsi="宋体" w:cs="宋体"/>
          <w:color w:val="auto"/>
          <w:sz w:val="24"/>
          <w:highlight w:val="none"/>
        </w:rPr>
        <w:t>筑构</w:t>
      </w:r>
      <w:r>
        <w:rPr>
          <w:rFonts w:hint="eastAsia" w:ascii="宋体" w:hAnsi="宋体" w:cs="宋体"/>
          <w:color w:val="auto"/>
          <w:spacing w:val="-2"/>
          <w:sz w:val="24"/>
          <w:highlight w:val="none"/>
        </w:rPr>
        <w:t>配</w:t>
      </w:r>
      <w:r>
        <w:rPr>
          <w:rFonts w:hint="eastAsia" w:ascii="宋体" w:hAnsi="宋体" w:cs="宋体"/>
          <w:color w:val="auto"/>
          <w:sz w:val="24"/>
          <w:highlight w:val="none"/>
        </w:rPr>
        <w:t>件</w:t>
      </w:r>
      <w:r>
        <w:rPr>
          <w:rFonts w:hint="eastAsia" w:ascii="宋体" w:hAnsi="宋体" w:cs="宋体"/>
          <w:color w:val="auto"/>
          <w:spacing w:val="-2"/>
          <w:sz w:val="24"/>
          <w:highlight w:val="none"/>
        </w:rPr>
        <w:t>和</w:t>
      </w:r>
      <w:r>
        <w:rPr>
          <w:rFonts w:hint="eastAsia" w:ascii="宋体" w:hAnsi="宋体" w:cs="宋体"/>
          <w:color w:val="auto"/>
          <w:sz w:val="24"/>
          <w:highlight w:val="none"/>
        </w:rPr>
        <w:t>设</w:t>
      </w:r>
      <w:r>
        <w:rPr>
          <w:rFonts w:hint="eastAsia" w:ascii="宋体" w:hAnsi="宋体" w:cs="宋体"/>
          <w:color w:val="auto"/>
          <w:spacing w:val="-2"/>
          <w:sz w:val="24"/>
          <w:highlight w:val="none"/>
        </w:rPr>
        <w:t>备</w:t>
      </w:r>
      <w:r>
        <w:rPr>
          <w:rFonts w:hint="eastAsia" w:ascii="宋体" w:hAnsi="宋体" w:cs="宋体"/>
          <w:color w:val="auto"/>
          <w:sz w:val="24"/>
          <w:highlight w:val="none"/>
        </w:rPr>
        <w:t>供</w:t>
      </w:r>
      <w:r>
        <w:rPr>
          <w:rFonts w:hint="eastAsia" w:ascii="宋体" w:hAnsi="宋体" w:cs="宋体"/>
          <w:color w:val="auto"/>
          <w:spacing w:val="-2"/>
          <w:sz w:val="24"/>
          <w:highlight w:val="none"/>
        </w:rPr>
        <w:t>应</w:t>
      </w:r>
      <w:r>
        <w:rPr>
          <w:rFonts w:hint="eastAsia" w:ascii="宋体" w:hAnsi="宋体" w:cs="宋体"/>
          <w:color w:val="auto"/>
          <w:sz w:val="24"/>
          <w:highlight w:val="none"/>
        </w:rPr>
        <w:t>商</w:t>
      </w:r>
      <w:r>
        <w:rPr>
          <w:rFonts w:hint="eastAsia" w:ascii="宋体" w:hAnsi="宋体" w:cs="宋体"/>
          <w:color w:val="auto"/>
          <w:spacing w:val="-2"/>
          <w:sz w:val="24"/>
          <w:highlight w:val="none"/>
        </w:rPr>
        <w:t>有</w:t>
      </w:r>
      <w:r>
        <w:rPr>
          <w:rFonts w:hint="eastAsia" w:ascii="宋体" w:hAnsi="宋体" w:cs="宋体"/>
          <w:color w:val="auto"/>
          <w:sz w:val="24"/>
          <w:highlight w:val="none"/>
        </w:rPr>
        <w:t>隶属</w:t>
      </w:r>
      <w:r>
        <w:rPr>
          <w:rFonts w:hint="eastAsia" w:ascii="宋体" w:hAnsi="宋体" w:cs="宋体"/>
          <w:color w:val="auto"/>
          <w:spacing w:val="-2"/>
          <w:sz w:val="24"/>
          <w:highlight w:val="none"/>
        </w:rPr>
        <w:t>关</w:t>
      </w:r>
      <w:r>
        <w:rPr>
          <w:rFonts w:hint="eastAsia" w:ascii="宋体" w:hAnsi="宋体" w:cs="宋体"/>
          <w:color w:val="auto"/>
          <w:sz w:val="24"/>
          <w:highlight w:val="none"/>
        </w:rPr>
        <w:t>系</w:t>
      </w:r>
      <w:r>
        <w:rPr>
          <w:rFonts w:hint="eastAsia" w:ascii="宋体" w:hAnsi="宋体" w:cs="宋体"/>
          <w:color w:val="auto"/>
          <w:spacing w:val="-2"/>
          <w:sz w:val="24"/>
          <w:highlight w:val="none"/>
        </w:rPr>
        <w:t>或</w:t>
      </w:r>
      <w:r>
        <w:rPr>
          <w:rFonts w:hint="eastAsia" w:ascii="宋体" w:hAnsi="宋体" w:cs="宋体"/>
          <w:color w:val="auto"/>
          <w:sz w:val="24"/>
          <w:highlight w:val="none"/>
        </w:rPr>
        <w:t>者其他</w:t>
      </w:r>
      <w:r>
        <w:rPr>
          <w:rFonts w:hint="eastAsia" w:ascii="宋体" w:hAnsi="宋体" w:cs="宋体"/>
          <w:color w:val="auto"/>
          <w:spacing w:val="-2"/>
          <w:sz w:val="24"/>
          <w:highlight w:val="none"/>
        </w:rPr>
        <w:t>利</w:t>
      </w:r>
      <w:r>
        <w:rPr>
          <w:rFonts w:hint="eastAsia" w:ascii="宋体" w:hAnsi="宋体" w:cs="宋体"/>
          <w:color w:val="auto"/>
          <w:sz w:val="24"/>
          <w:highlight w:val="none"/>
        </w:rPr>
        <w:t>害</w:t>
      </w:r>
      <w:r>
        <w:rPr>
          <w:rFonts w:hint="eastAsia" w:ascii="宋体" w:hAnsi="宋体" w:cs="宋体"/>
          <w:color w:val="auto"/>
          <w:spacing w:val="-2"/>
          <w:sz w:val="24"/>
          <w:highlight w:val="none"/>
        </w:rPr>
        <w:t>关</w:t>
      </w:r>
      <w:r>
        <w:rPr>
          <w:rFonts w:hint="eastAsia" w:ascii="宋体" w:hAnsi="宋体" w:cs="宋体"/>
          <w:color w:val="auto"/>
          <w:sz w:val="24"/>
          <w:highlight w:val="none"/>
        </w:rPr>
        <w:t>系；</w:t>
      </w:r>
    </w:p>
    <w:p w14:paraId="37C7F7E7">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（10）被依法暂停或者取消投标资格；</w:t>
      </w:r>
    </w:p>
    <w:p w14:paraId="74238FFC">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（11）被责令停产停业、暂扣或者吊销许可证、暂扣或者吊销执照的（本项事实应当以根据《中华人民共和国行政处罚法》依法作出并已经生效的行政处罚决定为认定依据。）；</w:t>
      </w:r>
    </w:p>
    <w:p w14:paraId="69C88EE0">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2</w:t>
      </w:r>
      <w:r>
        <w:rPr>
          <w:rFonts w:hint="default" w:cs="Times New Roman"/>
          <w:color w:val="auto"/>
          <w:sz w:val="24"/>
          <w:szCs w:val="24"/>
          <w:highlight w:val="none"/>
        </w:rPr>
        <w:t>）进入清算程序，或被宣布破产，或其他丧失履约能力的情形；</w:t>
      </w:r>
    </w:p>
    <w:p w14:paraId="522F6FB5">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w:t>
      </w:r>
      <w:r>
        <w:rPr>
          <w:rFonts w:hint="eastAsia" w:cs="Times New Roman"/>
          <w:color w:val="auto"/>
          <w:sz w:val="24"/>
          <w:szCs w:val="24"/>
          <w:highlight w:val="none"/>
          <w:lang w:val="en-US" w:eastAsia="zh-CN"/>
        </w:rPr>
        <w:t>3</w:t>
      </w:r>
      <w:r>
        <w:rPr>
          <w:rFonts w:hint="default" w:cs="Times New Roman"/>
          <w:color w:val="auto"/>
          <w:sz w:val="24"/>
          <w:szCs w:val="24"/>
          <w:highlight w:val="non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0CBE9F8">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cs="宋体"/>
          <w:color w:val="auto"/>
          <w:sz w:val="24"/>
          <w:szCs w:val="24"/>
          <w:highlight w:val="none"/>
          <w:lang w:val="en-US" w:eastAsia="zh-CN" w:bidi="ar-SA"/>
        </w:rPr>
      </w:pPr>
      <w:r>
        <w:rPr>
          <w:rFonts w:hint="default" w:cs="Times New Roman"/>
          <w:color w:val="auto"/>
          <w:sz w:val="24"/>
          <w:szCs w:val="24"/>
          <w:highlight w:val="none"/>
        </w:rPr>
        <w:t>（1</w:t>
      </w:r>
      <w:r>
        <w:rPr>
          <w:rFonts w:hint="eastAsia" w:cs="Times New Roman"/>
          <w:color w:val="auto"/>
          <w:sz w:val="24"/>
          <w:szCs w:val="24"/>
          <w:highlight w:val="none"/>
          <w:lang w:val="en-US" w:eastAsia="zh-CN"/>
        </w:rPr>
        <w:t>4</w:t>
      </w:r>
      <w:r>
        <w:rPr>
          <w:rFonts w:hint="default" w:cs="Times New Roman"/>
          <w:color w:val="auto"/>
          <w:sz w:val="24"/>
          <w:szCs w:val="24"/>
          <w:highlight w:val="none"/>
        </w:rPr>
        <w:t>）</w:t>
      </w:r>
      <w:r>
        <w:rPr>
          <w:rFonts w:hint="eastAsia" w:cs="宋体"/>
          <w:color w:val="auto"/>
          <w:sz w:val="24"/>
          <w:szCs w:val="24"/>
          <w:highlight w:val="none"/>
          <w:u w:val="single"/>
          <w:lang w:val="en-US" w:eastAsia="zh-CN" w:bidi="ar-SA"/>
        </w:rPr>
        <w:t>被最高人民法院在“信用中国”网站（www.creditchina.gov.cn）或“信用广州”网站或各级信用信息共享平台中列入失信被执行人名单（黑名单）</w:t>
      </w:r>
      <w:r>
        <w:rPr>
          <w:rFonts w:hint="eastAsia" w:cs="宋体"/>
          <w:color w:val="auto"/>
          <w:sz w:val="24"/>
          <w:szCs w:val="24"/>
          <w:highlight w:val="none"/>
          <w:lang w:val="en-US" w:eastAsia="zh-CN" w:bidi="ar-SA"/>
        </w:rPr>
        <w:t>；</w:t>
      </w:r>
    </w:p>
    <w:p w14:paraId="65B5BCC4">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cs="宋体"/>
          <w:color w:val="auto"/>
          <w:sz w:val="24"/>
          <w:szCs w:val="24"/>
          <w:highlight w:val="none"/>
          <w:lang w:val="en-US" w:eastAsia="zh-CN" w:bidi="ar-SA"/>
        </w:rPr>
        <w:t>（15）</w:t>
      </w:r>
      <w:r>
        <w:rPr>
          <w:rFonts w:hint="default" w:cs="Times New Roman"/>
          <w:color w:val="auto"/>
          <w:sz w:val="24"/>
          <w:szCs w:val="24"/>
          <w:highlight w:val="none"/>
        </w:rPr>
        <w:t>法律法规规定的其他情形。</w:t>
      </w:r>
    </w:p>
    <w:p w14:paraId="08ACA4DE">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1.5 费用承担</w:t>
      </w:r>
    </w:p>
    <w:p w14:paraId="01E24FE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14:paraId="701C95DD">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8" w:name="bookmark26"/>
      <w:bookmarkEnd w:id="38"/>
      <w:r>
        <w:rPr>
          <w:rFonts w:hint="eastAsia" w:ascii="宋体" w:hAnsi="宋体" w:eastAsia="宋体" w:cs="宋体"/>
          <w:color w:val="auto"/>
          <w:highlight w:val="none"/>
        </w:rPr>
        <w:t>1.6 保密</w:t>
      </w:r>
    </w:p>
    <w:p w14:paraId="67F4F8F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 担相应的法律责任。</w:t>
      </w:r>
    </w:p>
    <w:p w14:paraId="0E15BB2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9" w:name="bookmark27"/>
      <w:bookmarkEnd w:id="39"/>
      <w:r>
        <w:rPr>
          <w:rFonts w:hint="eastAsia" w:ascii="宋体" w:hAnsi="宋体" w:eastAsia="宋体" w:cs="宋体"/>
          <w:color w:val="auto"/>
          <w:highlight w:val="none"/>
        </w:rPr>
        <w:t>1.7 语言文字</w:t>
      </w:r>
    </w:p>
    <w:p w14:paraId="3447674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招标投标文件使用的语言文字为中文。专用术语使用外文的，应附有中文注释。</w:t>
      </w:r>
    </w:p>
    <w:p w14:paraId="7288AA3A">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0" w:name="bookmark28"/>
      <w:bookmarkEnd w:id="40"/>
      <w:r>
        <w:rPr>
          <w:rFonts w:hint="eastAsia" w:ascii="宋体" w:hAnsi="宋体" w:eastAsia="宋体" w:cs="宋体"/>
          <w:color w:val="auto"/>
          <w:highlight w:val="none"/>
        </w:rPr>
        <w:t>1.8 计量单位</w:t>
      </w:r>
    </w:p>
    <w:p w14:paraId="66DE848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04624540">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1" w:name="bookmark29"/>
      <w:bookmarkEnd w:id="41"/>
      <w:r>
        <w:rPr>
          <w:rFonts w:hint="eastAsia" w:ascii="宋体" w:hAnsi="宋体" w:eastAsia="宋体" w:cs="宋体"/>
          <w:color w:val="auto"/>
          <w:highlight w:val="none"/>
        </w:rPr>
        <w:t>1.9 踏勘现场</w:t>
      </w:r>
    </w:p>
    <w:p w14:paraId="0ACEAF7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78B8A22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投标人踏勘现场发生的费用自理。</w:t>
      </w:r>
    </w:p>
    <w:p w14:paraId="15C499C2">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除招标人的原因外，投标人自行负责在踏勘现场中所发生的人员伤亡和财产损失。</w:t>
      </w:r>
    </w:p>
    <w:p w14:paraId="36CC7D0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招标人在踏勘现场中介绍的工程场地和相关的周边环境情况，供投标人在编制投标文件时参考，招标人不对投标人据此作出的判断和决策负责。</w:t>
      </w:r>
    </w:p>
    <w:p w14:paraId="3EB62B19">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2" w:name="bookmark30"/>
      <w:bookmarkEnd w:id="42"/>
      <w:r>
        <w:rPr>
          <w:rFonts w:hint="eastAsia" w:ascii="宋体" w:hAnsi="宋体" w:eastAsia="宋体" w:cs="宋体"/>
          <w:color w:val="auto"/>
          <w:highlight w:val="none"/>
        </w:rPr>
        <w:t>1.10 投标预备会</w:t>
      </w:r>
    </w:p>
    <w:p w14:paraId="1784397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投标人须知前附表规定召开投标预备会的，招标人按投标人须知前附表规定的时间和地点召开投标预备会，澄清投标人提出的问题。</w:t>
      </w:r>
    </w:p>
    <w:p w14:paraId="1AE205C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 投标人应按投标人须知前附表规定的时间和形式将提出的问题送达招标人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以便招标人在会议期间澄清。</w:t>
      </w:r>
    </w:p>
    <w:p w14:paraId="326B1A09">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投标预备会后，招标人将对投标人所提问题的澄清，以投标人须知前附表规定的形式通知所有</w:t>
      </w:r>
      <w:r>
        <w:rPr>
          <w:rFonts w:hint="eastAsia" w:ascii="宋体" w:hAnsi="宋体" w:eastAsia="宋体" w:cs="宋体"/>
          <w:color w:val="auto"/>
          <w:sz w:val="24"/>
          <w:szCs w:val="24"/>
          <w:highlight w:val="none"/>
          <w:lang w:eastAsia="zh-CN"/>
        </w:rPr>
        <w:t>潜在</w:t>
      </w:r>
      <w:r>
        <w:rPr>
          <w:rFonts w:hint="eastAsia" w:ascii="宋体" w:hAnsi="宋体" w:eastAsia="宋体" w:cs="宋体"/>
          <w:color w:val="auto"/>
          <w:sz w:val="24"/>
          <w:szCs w:val="24"/>
          <w:highlight w:val="none"/>
        </w:rPr>
        <w:t>投标人。该澄清内容为招标文件的组成部分。</w:t>
      </w:r>
    </w:p>
    <w:p w14:paraId="250CEF76">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3" w:name="bookmark31"/>
      <w:bookmarkEnd w:id="43"/>
      <w:r>
        <w:rPr>
          <w:rFonts w:hint="eastAsia" w:ascii="宋体" w:hAnsi="宋体" w:eastAsia="宋体" w:cs="宋体"/>
          <w:color w:val="auto"/>
          <w:highlight w:val="none"/>
        </w:rPr>
        <w:t>1.11 分包</w:t>
      </w:r>
    </w:p>
    <w:p w14:paraId="243A2DDE">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对于非主要</w:t>
      </w:r>
      <w:r>
        <w:rPr>
          <w:rFonts w:hint="eastAsia" w:cs="宋体"/>
          <w:color w:val="auto"/>
          <w:sz w:val="24"/>
          <w:szCs w:val="24"/>
          <w:highlight w:val="none"/>
          <w:lang w:val="en-US" w:eastAsia="zh-CN"/>
        </w:rPr>
        <w:t>检验</w:t>
      </w:r>
      <w:r>
        <w:rPr>
          <w:rFonts w:hint="eastAsia" w:ascii="宋体" w:hAnsi="宋体" w:eastAsia="宋体" w:cs="宋体"/>
          <w:color w:val="auto"/>
          <w:sz w:val="24"/>
          <w:szCs w:val="24"/>
          <w:highlight w:val="none"/>
          <w:lang w:val="en-US" w:eastAsia="zh-CN"/>
        </w:rPr>
        <w:t>工作，中标人不具备资质的，经招标人同意后可依法分包给具备相关资质的</w:t>
      </w:r>
      <w:r>
        <w:rPr>
          <w:rFonts w:hint="eastAsia" w:cs="宋体"/>
          <w:color w:val="auto"/>
          <w:sz w:val="24"/>
          <w:szCs w:val="24"/>
          <w:highlight w:val="none"/>
          <w:lang w:val="en-US" w:eastAsia="zh-CN"/>
        </w:rPr>
        <w:t>检验</w:t>
      </w:r>
      <w:r>
        <w:rPr>
          <w:rFonts w:hint="eastAsia" w:ascii="宋体" w:hAnsi="宋体" w:eastAsia="宋体" w:cs="宋体"/>
          <w:color w:val="auto"/>
          <w:sz w:val="24"/>
          <w:szCs w:val="24"/>
          <w:highlight w:val="none"/>
          <w:lang w:val="en-US" w:eastAsia="zh-CN"/>
        </w:rPr>
        <w:t>单位，分包的</w:t>
      </w:r>
      <w:r>
        <w:rPr>
          <w:rFonts w:hint="eastAsia" w:cs="宋体"/>
          <w:color w:val="auto"/>
          <w:sz w:val="24"/>
          <w:szCs w:val="24"/>
          <w:highlight w:val="none"/>
          <w:lang w:val="en-US" w:eastAsia="zh-CN"/>
        </w:rPr>
        <w:t>检验</w:t>
      </w:r>
      <w:r>
        <w:rPr>
          <w:rFonts w:hint="eastAsia" w:ascii="宋体" w:hAnsi="宋体" w:eastAsia="宋体" w:cs="宋体"/>
          <w:color w:val="auto"/>
          <w:sz w:val="24"/>
          <w:szCs w:val="24"/>
          <w:highlight w:val="none"/>
          <w:lang w:val="en-US" w:eastAsia="zh-CN"/>
        </w:rPr>
        <w:t>工作不得再次分包。</w:t>
      </w:r>
    </w:p>
    <w:p w14:paraId="375C5D4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4" w:name="bookmark32"/>
      <w:bookmarkEnd w:id="44"/>
      <w:r>
        <w:rPr>
          <w:rFonts w:hint="eastAsia" w:ascii="宋体" w:hAnsi="宋体" w:eastAsia="宋体" w:cs="宋体"/>
          <w:color w:val="auto"/>
          <w:highlight w:val="none"/>
        </w:rPr>
        <w:t>1.12 响应和偏差</w:t>
      </w:r>
    </w:p>
    <w:p w14:paraId="2783818D">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 投标文件应当对招标文件的实质性要求和条件作出满足性或更有利于招标人的响应，否则，投标人的投标将被否决。实质性要求和条件见投标人须知前附表。</w:t>
      </w:r>
    </w:p>
    <w:p w14:paraId="170CF303">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 投标人应根据招标文件的要求提供投标</w:t>
      </w:r>
      <w:r>
        <w:rPr>
          <w:rFonts w:hint="eastAsia" w:cs="宋体"/>
          <w:color w:val="auto"/>
          <w:sz w:val="24"/>
          <w:szCs w:val="24"/>
          <w:highlight w:val="none"/>
          <w:lang w:eastAsia="zh-CN"/>
        </w:rPr>
        <w:t>技术方案</w:t>
      </w:r>
      <w:r>
        <w:rPr>
          <w:rFonts w:hint="eastAsia" w:ascii="宋体" w:hAnsi="宋体" w:eastAsia="宋体" w:cs="宋体"/>
          <w:color w:val="auto"/>
          <w:sz w:val="24"/>
          <w:szCs w:val="24"/>
          <w:highlight w:val="none"/>
        </w:rPr>
        <w:t>等内容以对招标文件作出响应。</w:t>
      </w:r>
    </w:p>
    <w:p w14:paraId="26724FE2">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 投标人须知前附表允许投标文件偏离招标文件某些要求的，偏差应当符合招标文件规定的偏差范围和幅度。</w:t>
      </w:r>
    </w:p>
    <w:p w14:paraId="1F610FCE">
      <w:pPr>
        <w:pStyle w:val="4"/>
        <w:shd w:val="clear"/>
        <w:outlineLvl w:val="1"/>
        <w:rPr>
          <w:rFonts w:hint="eastAsia" w:ascii="宋体" w:hAnsi="宋体" w:eastAsia="宋体" w:cs="宋体"/>
          <w:color w:val="auto"/>
          <w:sz w:val="24"/>
          <w:szCs w:val="24"/>
          <w:highlight w:val="none"/>
        </w:rPr>
      </w:pPr>
      <w:bookmarkStart w:id="45" w:name="bookmark33"/>
      <w:bookmarkEnd w:id="45"/>
      <w:bookmarkStart w:id="46" w:name="_Toc8823"/>
      <w:r>
        <w:rPr>
          <w:rFonts w:hint="eastAsia" w:ascii="宋体" w:hAnsi="宋体" w:eastAsia="宋体" w:cs="宋体"/>
          <w:color w:val="auto"/>
          <w:sz w:val="24"/>
          <w:szCs w:val="24"/>
          <w:highlight w:val="none"/>
        </w:rPr>
        <w:t>2.招标文件</w:t>
      </w:r>
      <w:bookmarkEnd w:id="46"/>
    </w:p>
    <w:p w14:paraId="7315AAED">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7" w:name="bookmark34"/>
      <w:bookmarkEnd w:id="47"/>
      <w:r>
        <w:rPr>
          <w:rFonts w:hint="eastAsia" w:ascii="宋体" w:hAnsi="宋体" w:eastAsia="宋体" w:cs="宋体"/>
          <w:color w:val="auto"/>
          <w:highlight w:val="none"/>
        </w:rPr>
        <w:t>2.1 招标文件的组成</w:t>
      </w:r>
    </w:p>
    <w:p w14:paraId="377073A3">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14:paraId="27FF1AD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3D018183">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14:paraId="69BBCBC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（3）评标办法；</w:t>
      </w:r>
    </w:p>
    <w:p w14:paraId="0C6D9509">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14:paraId="53A7CAB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（5）委托人要求；</w:t>
      </w:r>
    </w:p>
    <w:p w14:paraId="5DF5C80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19B4E769">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44649EEC">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根据本章第1.10款、第2.2款和第2.3款对招标文件所作的澄清、修改，构成招标文件的组成部分。</w:t>
      </w:r>
    </w:p>
    <w:p w14:paraId="7224D88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8" w:name="bookmark38"/>
      <w:bookmarkEnd w:id="48"/>
      <w:bookmarkStart w:id="49" w:name="bookmark35"/>
      <w:bookmarkEnd w:id="49"/>
      <w:r>
        <w:rPr>
          <w:rFonts w:hint="eastAsia" w:ascii="宋体" w:hAnsi="宋体" w:eastAsia="宋体" w:cs="宋体"/>
          <w:color w:val="auto"/>
          <w:highlight w:val="none"/>
        </w:rPr>
        <w:t>2.2  招标文件的</w:t>
      </w:r>
      <w:r>
        <w:rPr>
          <w:rFonts w:hint="eastAsia" w:ascii="宋体" w:hAnsi="宋体" w:eastAsia="宋体" w:cs="宋体"/>
          <w:color w:val="auto"/>
          <w:highlight w:val="none"/>
          <w:lang w:eastAsia="zh-CN"/>
        </w:rPr>
        <w:t>答疑</w:t>
      </w:r>
    </w:p>
    <w:p w14:paraId="4673CC49">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投标人应仔细阅读和检查招标文件的全部内容。如有疑问，应按投标人须知前附表规定的时间和形式将提出的问题送达招标人，要求招标人对招标文件予以澄清。</w:t>
      </w:r>
    </w:p>
    <w:p w14:paraId="5775E6C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招标答疑采用网上答疑方式进行。投标人若对招标文件有疑问的，</w:t>
      </w:r>
      <w:r>
        <w:rPr>
          <w:rFonts w:hint="eastAsia" w:ascii="宋体" w:hAnsi="宋体" w:eastAsia="宋体" w:cs="宋体"/>
          <w:color w:val="auto"/>
          <w:sz w:val="24"/>
          <w:szCs w:val="24"/>
          <w:highlight w:val="none"/>
          <w:lang w:eastAsia="zh-CN"/>
        </w:rPr>
        <w:t>通过广州交易集团有限公司（广州公共资源交易中心）网站提交，</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lang w:eastAsia="zh-CN"/>
        </w:rPr>
        <w:t>广州交易集团有限公司（广州公共资源交易中心）网站关于全流程电子化项目的相关指南进行操作</w:t>
      </w:r>
      <w:r>
        <w:rPr>
          <w:rFonts w:hint="eastAsia" w:ascii="宋体" w:hAnsi="宋体" w:eastAsia="宋体" w:cs="宋体"/>
          <w:color w:val="auto"/>
          <w:sz w:val="24"/>
          <w:szCs w:val="24"/>
          <w:highlight w:val="none"/>
        </w:rPr>
        <w:t>。提</w:t>
      </w:r>
      <w:r>
        <w:rPr>
          <w:rFonts w:hint="eastAsia" w:ascii="宋体" w:hAnsi="宋体" w:eastAsia="宋体" w:cs="宋体"/>
          <w:color w:val="auto"/>
          <w:sz w:val="24"/>
          <w:szCs w:val="24"/>
          <w:highlight w:val="none"/>
          <w:lang w:eastAsia="zh-CN"/>
        </w:rPr>
        <w:t>问</w:t>
      </w:r>
      <w:r>
        <w:rPr>
          <w:rFonts w:hint="eastAsia" w:ascii="宋体" w:hAnsi="宋体" w:eastAsia="宋体" w:cs="宋体"/>
          <w:color w:val="auto"/>
          <w:sz w:val="24"/>
          <w:szCs w:val="24"/>
          <w:highlight w:val="none"/>
        </w:rPr>
        <w:t>一律不得署名。</w:t>
      </w:r>
    </w:p>
    <w:p w14:paraId="4380CD2D">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2.2.3  </w:t>
      </w:r>
      <w:r>
        <w:rPr>
          <w:rFonts w:hint="default" w:cs="Times New Roman"/>
          <w:color w:val="auto"/>
          <w:sz w:val="24"/>
          <w:szCs w:val="24"/>
          <w:highlight w:val="none"/>
        </w:rPr>
        <w:t>招标答疑会会议纪要</w:t>
      </w:r>
      <w:r>
        <w:rPr>
          <w:rFonts w:hint="eastAsia" w:ascii="宋体" w:hAnsi="宋体" w:eastAsia="宋体" w:cs="宋体"/>
          <w:color w:val="auto"/>
          <w:sz w:val="24"/>
          <w:szCs w:val="24"/>
          <w:highlight w:val="none"/>
        </w:rPr>
        <w:t>将在提交投标文件截止时间 15 日前在</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“项目答疑纪要”专区公开发布。答疑纪要一经在</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发布，视作已发放给所有投标人</w:t>
      </w:r>
      <w:r>
        <w:rPr>
          <w:rFonts w:hint="eastAsia" w:ascii="宋体" w:hAnsi="宋体" w:eastAsia="宋体" w:cs="宋体"/>
          <w:color w:val="auto"/>
          <w:sz w:val="24"/>
          <w:szCs w:val="24"/>
          <w:highlight w:val="none"/>
          <w:lang w:eastAsia="zh-CN"/>
        </w:rPr>
        <w:t>。</w:t>
      </w:r>
    </w:p>
    <w:p w14:paraId="3570175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2.2.4  </w:t>
      </w:r>
      <w:r>
        <w:rPr>
          <w:rFonts w:hint="default" w:cs="Times New Roman"/>
          <w:color w:val="auto"/>
          <w:sz w:val="24"/>
          <w:szCs w:val="24"/>
          <w:highlight w:val="none"/>
        </w:rPr>
        <w:t>招标答疑</w:t>
      </w:r>
      <w:r>
        <w:rPr>
          <w:rFonts w:hint="default" w:cs="Times New Roman"/>
          <w:color w:val="auto"/>
          <w:sz w:val="24"/>
          <w:szCs w:val="24"/>
          <w:highlight w:val="none"/>
          <w:lang w:eastAsia="zh-CN"/>
        </w:rPr>
        <w:t>会会议</w:t>
      </w:r>
      <w:r>
        <w:rPr>
          <w:rFonts w:hint="default" w:cs="Times New Roman"/>
          <w:color w:val="auto"/>
          <w:sz w:val="24"/>
          <w:szCs w:val="24"/>
          <w:highlight w:val="none"/>
        </w:rPr>
        <w:t>纪要</w:t>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rPr>
        <w:t>招标文件的</w:t>
      </w:r>
      <w:r>
        <w:rPr>
          <w:rFonts w:hint="eastAsia" w:ascii="宋体" w:hAnsi="宋体" w:eastAsia="宋体" w:cs="宋体"/>
          <w:color w:val="auto"/>
          <w:sz w:val="24"/>
          <w:szCs w:val="24"/>
          <w:highlight w:val="none"/>
          <w:lang w:eastAsia="zh-CN"/>
        </w:rPr>
        <w:t>组成</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eastAsia="zh-CN"/>
        </w:rPr>
        <w:t>，对投标人起约束作用</w:t>
      </w:r>
      <w:r>
        <w:rPr>
          <w:rFonts w:hint="eastAsia" w:ascii="宋体" w:hAnsi="宋体" w:eastAsia="宋体" w:cs="宋体"/>
          <w:color w:val="auto"/>
          <w:sz w:val="24"/>
          <w:szCs w:val="24"/>
          <w:highlight w:val="none"/>
        </w:rPr>
        <w:t>。</w:t>
      </w:r>
    </w:p>
    <w:p w14:paraId="3A60E4A2">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若</w:t>
      </w:r>
      <w:r>
        <w:rPr>
          <w:rFonts w:hint="default" w:cs="Times New Roman"/>
          <w:color w:val="auto"/>
          <w:sz w:val="24"/>
          <w:szCs w:val="24"/>
          <w:highlight w:val="none"/>
        </w:rPr>
        <w:t>招标答疑</w:t>
      </w:r>
      <w:r>
        <w:rPr>
          <w:rFonts w:hint="default" w:cs="Times New Roman"/>
          <w:color w:val="auto"/>
          <w:sz w:val="24"/>
          <w:szCs w:val="24"/>
          <w:highlight w:val="none"/>
          <w:lang w:eastAsia="zh-CN"/>
        </w:rPr>
        <w:t>会会议</w:t>
      </w:r>
      <w:r>
        <w:rPr>
          <w:rFonts w:hint="default" w:cs="Times New Roman"/>
          <w:color w:val="auto"/>
          <w:sz w:val="24"/>
          <w:szCs w:val="24"/>
          <w:highlight w:val="none"/>
        </w:rPr>
        <w:t>纪要</w:t>
      </w:r>
      <w:r>
        <w:rPr>
          <w:rFonts w:hint="eastAsia" w:ascii="宋体" w:hAnsi="宋体" w:eastAsia="宋体" w:cs="宋体"/>
          <w:color w:val="auto"/>
          <w:sz w:val="24"/>
          <w:szCs w:val="24"/>
          <w:highlight w:val="none"/>
        </w:rPr>
        <w:t>与招标文件有矛盾时，以</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最后发布的答疑纪要为准</w:t>
      </w:r>
      <w:r>
        <w:rPr>
          <w:rFonts w:hint="eastAsia" w:ascii="宋体" w:hAnsi="宋体" w:eastAsia="宋体" w:cs="宋体"/>
          <w:color w:val="auto"/>
          <w:sz w:val="24"/>
          <w:szCs w:val="24"/>
          <w:highlight w:val="none"/>
          <w:lang w:eastAsia="zh-CN"/>
        </w:rPr>
        <w:t>。</w:t>
      </w:r>
    </w:p>
    <w:p w14:paraId="1AEA4D78">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  招标文件的</w:t>
      </w:r>
      <w:r>
        <w:rPr>
          <w:rFonts w:hint="eastAsia" w:ascii="宋体" w:hAnsi="宋体" w:eastAsia="宋体" w:cs="宋体"/>
          <w:color w:val="auto"/>
          <w:highlight w:val="none"/>
          <w:lang w:eastAsia="zh-CN"/>
        </w:rPr>
        <w:t>澄清与</w:t>
      </w:r>
      <w:r>
        <w:rPr>
          <w:rFonts w:hint="eastAsia" w:ascii="宋体" w:hAnsi="宋体" w:eastAsia="宋体" w:cs="宋体"/>
          <w:color w:val="auto"/>
          <w:highlight w:val="none"/>
        </w:rPr>
        <w:t>修改</w:t>
      </w:r>
    </w:p>
    <w:p w14:paraId="5191432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2.3.1 </w:t>
      </w:r>
      <w:r>
        <w:rPr>
          <w:rFonts w:hint="eastAsia" w:ascii="宋体" w:hAnsi="宋体" w:eastAsia="宋体" w:cs="宋体"/>
          <w:color w:val="auto"/>
          <w:sz w:val="24"/>
          <w:szCs w:val="24"/>
          <w:highlight w:val="none"/>
          <w:lang w:val="en-US" w:eastAsia="zh-CN"/>
        </w:rPr>
        <w:t xml:space="preserve"> 招标文件发出后，在提交投标文件截止时间15日前，招标人可对招标文件进行必要的澄清或修改。</w:t>
      </w:r>
    </w:p>
    <w:p w14:paraId="3EB95E13">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2.3.2  </w:t>
      </w:r>
      <w:r>
        <w:rPr>
          <w:rFonts w:hint="eastAsia" w:ascii="宋体" w:hAnsi="宋体" w:eastAsia="宋体" w:cs="宋体"/>
          <w:color w:val="auto"/>
          <w:sz w:val="24"/>
          <w:szCs w:val="24"/>
          <w:highlight w:val="none"/>
          <w:lang w:eastAsia="zh-CN"/>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eastAsia" w:ascii="宋体" w:hAnsi="宋体" w:eastAsia="宋体" w:cs="宋体"/>
          <w:color w:val="auto"/>
          <w:sz w:val="24"/>
          <w:szCs w:val="24"/>
          <w:highlight w:val="none"/>
          <w:lang w:val="en-US" w:eastAsia="zh-CN"/>
        </w:rPr>
        <w:t>网站发布时间作为送达时间。</w:t>
      </w:r>
    </w:p>
    <w:p w14:paraId="2873D0F8">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2.3.3  </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eastAsia="zh-CN"/>
        </w:rPr>
        <w:t>文件的澄清或修改是</w:t>
      </w:r>
      <w:r>
        <w:rPr>
          <w:rFonts w:hint="eastAsia" w:ascii="宋体" w:hAnsi="宋体" w:eastAsia="宋体" w:cs="宋体"/>
          <w:color w:val="auto"/>
          <w:sz w:val="24"/>
          <w:szCs w:val="24"/>
          <w:highlight w:val="none"/>
        </w:rPr>
        <w:t>招标文件的</w:t>
      </w:r>
      <w:r>
        <w:rPr>
          <w:rFonts w:hint="eastAsia" w:ascii="宋体" w:hAnsi="宋体" w:eastAsia="宋体" w:cs="宋体"/>
          <w:color w:val="auto"/>
          <w:sz w:val="24"/>
          <w:szCs w:val="24"/>
          <w:highlight w:val="none"/>
          <w:lang w:eastAsia="zh-CN"/>
        </w:rPr>
        <w:t>组成</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eastAsia="zh-CN"/>
        </w:rPr>
        <w:t>，对投标人起约束作用</w:t>
      </w:r>
      <w:r>
        <w:rPr>
          <w:rFonts w:hint="eastAsia" w:ascii="宋体" w:hAnsi="宋体" w:eastAsia="宋体" w:cs="宋体"/>
          <w:color w:val="auto"/>
          <w:sz w:val="24"/>
          <w:szCs w:val="24"/>
          <w:highlight w:val="none"/>
        </w:rPr>
        <w:t>。</w:t>
      </w:r>
    </w:p>
    <w:p w14:paraId="4891F93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eastAsia="zh-CN"/>
        </w:rPr>
        <w:t xml:space="preserve"> 招标文件的澄清或修</w:t>
      </w:r>
      <w:r>
        <w:rPr>
          <w:rFonts w:hint="eastAsia" w:ascii="宋体" w:hAnsi="宋体" w:eastAsia="宋体" w:cs="宋体"/>
          <w:color w:val="auto"/>
          <w:sz w:val="24"/>
          <w:szCs w:val="24"/>
          <w:highlight w:val="none"/>
        </w:rPr>
        <w:t>改均以</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发布的内容为准。当招标文件的澄清、修改</w:t>
      </w:r>
      <w:r>
        <w:rPr>
          <w:rFonts w:hint="eastAsia" w:ascii="宋体" w:hAnsi="宋体" w:eastAsia="宋体" w:cs="宋体"/>
          <w:color w:val="auto"/>
          <w:sz w:val="24"/>
          <w:szCs w:val="24"/>
          <w:highlight w:val="none"/>
          <w:lang w:eastAsia="zh-CN"/>
        </w:rPr>
        <w:t>、补充等</w:t>
      </w:r>
      <w:r>
        <w:rPr>
          <w:rFonts w:hint="eastAsia" w:ascii="宋体" w:hAnsi="宋体" w:eastAsia="宋体" w:cs="宋体"/>
          <w:color w:val="auto"/>
          <w:sz w:val="24"/>
          <w:szCs w:val="24"/>
          <w:highlight w:val="none"/>
        </w:rPr>
        <w:t>在同一内容的表述不一致时，以</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最后发布的内容为准。</w:t>
      </w:r>
    </w:p>
    <w:p w14:paraId="3EE0D26C">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2.3.5  </w:t>
      </w:r>
      <w:r>
        <w:rPr>
          <w:rFonts w:hint="eastAsia" w:ascii="宋体" w:hAnsi="宋体" w:eastAsia="宋体" w:cs="宋体"/>
          <w:color w:val="auto"/>
          <w:sz w:val="24"/>
          <w:szCs w:val="24"/>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rFonts w:hint="eastAsia" w:ascii="宋体" w:hAnsi="宋体" w:eastAsia="宋体" w:cs="宋体"/>
          <w:color w:val="auto"/>
          <w:spacing w:val="-11"/>
          <w:sz w:val="24"/>
          <w:szCs w:val="24"/>
          <w:highlight w:val="none"/>
          <w:lang w:eastAsia="zh-CN"/>
        </w:rPr>
        <w:t>，即表示投标时间不延长。</w:t>
      </w:r>
    </w:p>
    <w:p w14:paraId="772F22C2">
      <w:pPr>
        <w:pStyle w:val="4"/>
        <w:shd w:val="clear"/>
        <w:outlineLvl w:val="1"/>
        <w:rPr>
          <w:rFonts w:hint="eastAsia" w:ascii="宋体" w:hAnsi="宋体" w:eastAsia="宋体" w:cs="宋体"/>
          <w:color w:val="auto"/>
          <w:sz w:val="24"/>
          <w:szCs w:val="24"/>
          <w:highlight w:val="none"/>
        </w:rPr>
      </w:pPr>
      <w:bookmarkStart w:id="50" w:name="_Toc20483"/>
      <w:r>
        <w:rPr>
          <w:rFonts w:hint="eastAsia" w:ascii="宋体" w:hAnsi="宋体" w:eastAsia="宋体" w:cs="宋体"/>
          <w:color w:val="auto"/>
          <w:sz w:val="24"/>
          <w:szCs w:val="24"/>
          <w:highlight w:val="none"/>
        </w:rPr>
        <w:t>3.投标文件</w:t>
      </w:r>
      <w:bookmarkEnd w:id="50"/>
    </w:p>
    <w:p w14:paraId="59432839">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1" w:name="bookmark39"/>
      <w:bookmarkEnd w:id="51"/>
      <w:r>
        <w:rPr>
          <w:rFonts w:hint="eastAsia" w:ascii="宋体" w:hAnsi="宋体" w:eastAsia="宋体" w:cs="宋体"/>
          <w:color w:val="auto"/>
          <w:highlight w:val="none"/>
        </w:rPr>
        <w:t>3.1 投标文件的组成</w:t>
      </w:r>
    </w:p>
    <w:p w14:paraId="1B5A764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投标文件应包括下列内容：</w:t>
      </w:r>
    </w:p>
    <w:p w14:paraId="488B6BF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（1）投标函及投标函附录；</w:t>
      </w:r>
    </w:p>
    <w:p w14:paraId="6B6C2BA8">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（2）法定代表人身份证明或授权委托书；</w:t>
      </w:r>
    </w:p>
    <w:p w14:paraId="573D502C">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Times New Roman"/>
          <w:color w:val="auto"/>
          <w:sz w:val="24"/>
          <w:szCs w:val="24"/>
          <w:highlight w:val="none"/>
          <w:lang w:val="en-US" w:eastAsia="zh-CN"/>
        </w:rPr>
      </w:pPr>
      <w:r>
        <w:rPr>
          <w:rFonts w:hint="default" w:cs="Times New Roman"/>
          <w:color w:val="auto"/>
          <w:sz w:val="24"/>
          <w:szCs w:val="24"/>
          <w:highlight w:val="none"/>
        </w:rPr>
        <w:t>（3）资格审查资料；</w:t>
      </w:r>
    </w:p>
    <w:p w14:paraId="0829567C">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eastAsia="宋体" w:cs="Times New Roman"/>
          <w:color w:val="auto"/>
          <w:sz w:val="24"/>
          <w:szCs w:val="24"/>
          <w:highlight w:val="none"/>
          <w:lang w:val="en-US" w:eastAsia="zh-CN"/>
        </w:rPr>
      </w:pPr>
      <w:r>
        <w:rPr>
          <w:rFonts w:hint="default" w:cs="Times New Roman"/>
          <w:color w:val="auto"/>
          <w:sz w:val="24"/>
          <w:szCs w:val="24"/>
          <w:highlight w:val="none"/>
        </w:rPr>
        <w:t>（</w:t>
      </w:r>
      <w:r>
        <w:rPr>
          <w:rFonts w:hint="eastAsia" w:cs="Times New Roman"/>
          <w:color w:val="auto"/>
          <w:sz w:val="24"/>
          <w:szCs w:val="24"/>
          <w:highlight w:val="none"/>
          <w:lang w:val="en-US" w:eastAsia="zh-CN"/>
        </w:rPr>
        <w:t>4</w:t>
      </w:r>
      <w:r>
        <w:rPr>
          <w:rFonts w:hint="default" w:cs="Times New Roman"/>
          <w:color w:val="auto"/>
          <w:sz w:val="24"/>
          <w:szCs w:val="24"/>
          <w:highlight w:val="none"/>
        </w:rPr>
        <w:t>）</w:t>
      </w:r>
      <w:r>
        <w:rPr>
          <w:rFonts w:hint="eastAsia" w:cs="Times New Roman"/>
          <w:color w:val="auto"/>
          <w:sz w:val="24"/>
          <w:szCs w:val="24"/>
          <w:highlight w:val="none"/>
        </w:rPr>
        <w:t>资信业绩部分</w:t>
      </w:r>
      <w:r>
        <w:rPr>
          <w:rFonts w:hint="eastAsia" w:cs="Times New Roman"/>
          <w:color w:val="auto"/>
          <w:sz w:val="24"/>
          <w:szCs w:val="24"/>
          <w:highlight w:val="none"/>
          <w:lang w:eastAsia="zh-CN"/>
        </w:rPr>
        <w:t>；</w:t>
      </w:r>
    </w:p>
    <w:p w14:paraId="2B766A9B">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5</w:t>
      </w:r>
      <w:r>
        <w:rPr>
          <w:rFonts w:hint="default" w:cs="Times New Roman"/>
          <w:color w:val="auto"/>
          <w:sz w:val="24"/>
          <w:szCs w:val="24"/>
          <w:highlight w:val="none"/>
        </w:rPr>
        <w:t>）</w:t>
      </w:r>
      <w:r>
        <w:rPr>
          <w:rFonts w:hint="eastAsia" w:cs="Times New Roman"/>
          <w:color w:val="auto"/>
          <w:sz w:val="24"/>
          <w:szCs w:val="24"/>
          <w:highlight w:val="none"/>
          <w:lang w:eastAsia="zh-CN"/>
        </w:rPr>
        <w:t>技术方案部分</w:t>
      </w:r>
      <w:r>
        <w:rPr>
          <w:rFonts w:hint="default" w:cs="Times New Roman"/>
          <w:color w:val="auto"/>
          <w:sz w:val="24"/>
          <w:szCs w:val="24"/>
          <w:highlight w:val="none"/>
        </w:rPr>
        <w:t>；</w:t>
      </w:r>
    </w:p>
    <w:p w14:paraId="25936BCC">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default" w:cs="Times New Roman"/>
          <w:color w:val="auto"/>
          <w:sz w:val="24"/>
          <w:szCs w:val="24"/>
          <w:highlight w:val="none"/>
        </w:rPr>
        <w:t>（</w:t>
      </w:r>
      <w:r>
        <w:rPr>
          <w:rFonts w:hint="eastAsia" w:cs="Times New Roman"/>
          <w:color w:val="auto"/>
          <w:sz w:val="24"/>
          <w:szCs w:val="24"/>
          <w:highlight w:val="none"/>
          <w:lang w:val="en-US" w:eastAsia="zh-CN"/>
        </w:rPr>
        <w:t>6</w:t>
      </w:r>
      <w:r>
        <w:rPr>
          <w:rFonts w:hint="default" w:cs="Times New Roman"/>
          <w:color w:val="auto"/>
          <w:sz w:val="24"/>
          <w:szCs w:val="24"/>
          <w:highlight w:val="none"/>
        </w:rPr>
        <w:t>）</w:t>
      </w:r>
      <w:r>
        <w:rPr>
          <w:rFonts w:hint="eastAsia" w:cs="Times New Roman"/>
          <w:color w:val="auto"/>
          <w:sz w:val="24"/>
          <w:szCs w:val="24"/>
          <w:highlight w:val="none"/>
          <w:lang w:eastAsia="zh-CN"/>
        </w:rPr>
        <w:t>其他资料</w:t>
      </w:r>
      <w:r>
        <w:rPr>
          <w:rFonts w:hint="default" w:cs="Times New Roman"/>
          <w:color w:val="auto"/>
          <w:sz w:val="24"/>
          <w:szCs w:val="24"/>
          <w:highlight w:val="none"/>
        </w:rPr>
        <w:t>。投标人在评标过程中作出的符合法律法规和招标文件规定的澄清确认，构成投标文件的组成部分。</w:t>
      </w:r>
    </w:p>
    <w:p w14:paraId="0535485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投标人须知前附表规定不接受联合体投标的，或投标人没有组成联合体的，投标文件不包括本章第 3.1.1（3）目所指的联合体协议书。</w:t>
      </w:r>
    </w:p>
    <w:p w14:paraId="22D88F5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3.1.3 投标人须知前附表未要求提交投标保证金的，投标文件不包括本章第 3.1.1（4）目所指的投标保证金。</w:t>
      </w:r>
    </w:p>
    <w:p w14:paraId="6E921010">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2" w:name="bookmark40"/>
      <w:bookmarkEnd w:id="52"/>
      <w:r>
        <w:rPr>
          <w:rFonts w:hint="eastAsia" w:ascii="宋体" w:hAnsi="宋体" w:eastAsia="宋体" w:cs="宋体"/>
          <w:color w:val="auto"/>
          <w:highlight w:val="none"/>
        </w:rPr>
        <w:t>3.2 投标报价</w:t>
      </w:r>
    </w:p>
    <w:p w14:paraId="3E7DB9F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投标报价应包括国家规定的增值税税金，除投标人须知前附表另有规定外，增值税税金按一般计税方法计算。投标人应按第六章“投标文件格式”的要求在投标函附录中进行报价。</w:t>
      </w:r>
    </w:p>
    <w:p w14:paraId="0B45B65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default" w:eastAsia="宋体"/>
          <w:lang w:val="en-US" w:eastAsia="zh-CN"/>
        </w:rPr>
      </w:pPr>
      <w:r>
        <w:rPr>
          <w:rFonts w:hint="eastAsia" w:ascii="宋体" w:hAnsi="宋体" w:eastAsia="宋体" w:cs="宋体"/>
          <w:color w:val="auto"/>
          <w:sz w:val="24"/>
          <w:szCs w:val="24"/>
          <w:highlight w:val="none"/>
        </w:rPr>
        <w:t xml:space="preserve">3.2.2 </w:t>
      </w: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ascii="宋体" w:hAnsi="宋体"/>
          <w:color w:val="auto"/>
          <w:sz w:val="24"/>
          <w:highlight w:val="none"/>
          <w:u w:val="single"/>
        </w:rPr>
        <w:t>投标人应认真阅读本招标文件、技术文件及其他资料，根据招标文件要求的工作范围、工作内容、技术成果深度、服务期、人员和工作</w:t>
      </w:r>
      <w:r>
        <w:rPr>
          <w:rFonts w:hint="eastAsia" w:ascii="宋体" w:hAnsi="宋体" w:eastAsia="宋体" w:cs="Times New Roman"/>
          <w:color w:val="auto"/>
          <w:sz w:val="24"/>
          <w:highlight w:val="none"/>
          <w:u w:val="single"/>
        </w:rPr>
        <w:t>量等，确定</w:t>
      </w:r>
      <w:r>
        <w:rPr>
          <w:rFonts w:hint="eastAsia" w:cs="Times New Roman"/>
          <w:color w:val="auto"/>
          <w:sz w:val="24"/>
          <w:highlight w:val="none"/>
          <w:u w:val="single"/>
          <w:lang w:val="en-US" w:eastAsia="zh-CN"/>
        </w:rPr>
        <w:t>检验</w:t>
      </w:r>
      <w:r>
        <w:rPr>
          <w:rFonts w:hint="eastAsia" w:ascii="宋体" w:hAnsi="宋体" w:eastAsia="宋体" w:cs="Times New Roman"/>
          <w:color w:val="auto"/>
          <w:sz w:val="24"/>
          <w:highlight w:val="none"/>
          <w:u w:val="single"/>
          <w:lang w:eastAsia="zh-CN"/>
        </w:rPr>
        <w:t>监测</w:t>
      </w:r>
      <w:r>
        <w:rPr>
          <w:rFonts w:hint="eastAsia" w:ascii="宋体" w:hAnsi="宋体" w:eastAsia="宋体" w:cs="Times New Roman"/>
          <w:color w:val="auto"/>
          <w:sz w:val="24"/>
          <w:highlight w:val="none"/>
          <w:u w:val="single"/>
        </w:rPr>
        <w:t>工作的</w:t>
      </w:r>
      <w:r>
        <w:rPr>
          <w:rFonts w:hint="eastAsia" w:ascii="宋体" w:hAnsi="宋体"/>
          <w:color w:val="auto"/>
          <w:sz w:val="24"/>
          <w:highlight w:val="none"/>
          <w:u w:val="single"/>
        </w:rPr>
        <w:t>方法、设备以及费用等，考虑工作量变化的风险、各种不确定因素，以本企业的优势和承受能力，按照市场价格态势结合自身实力和现场踏勘情况合理报价。本项目已考虑因工程变化和项目单价调整而导致试验</w:t>
      </w:r>
      <w:r>
        <w:rPr>
          <w:rFonts w:hint="eastAsia"/>
          <w:color w:val="auto"/>
          <w:sz w:val="24"/>
          <w:highlight w:val="none"/>
          <w:u w:val="single"/>
          <w:lang w:eastAsia="zh-CN"/>
        </w:rPr>
        <w:t>检验</w:t>
      </w:r>
      <w:r>
        <w:rPr>
          <w:rFonts w:hint="eastAsia" w:ascii="宋体" w:hAnsi="宋体"/>
          <w:color w:val="auto"/>
          <w:sz w:val="24"/>
          <w:highlight w:val="none"/>
          <w:u w:val="single"/>
        </w:rPr>
        <w:t>费用的调整。</w:t>
      </w:r>
      <w:r>
        <w:rPr>
          <w:rFonts w:hint="eastAsia" w:ascii="宋体" w:hAnsi="宋体"/>
          <w:color w:val="auto"/>
          <w:sz w:val="24"/>
          <w:highlight w:val="none"/>
          <w:u w:val="single"/>
          <w:lang w:val="en-US" w:eastAsia="zh-CN"/>
        </w:rPr>
        <w:t>（2）</w:t>
      </w:r>
      <w:r>
        <w:rPr>
          <w:rFonts w:hint="eastAsia" w:ascii="宋体" w:hAnsi="宋体" w:eastAsia="宋体" w:cs="Times New Roman"/>
          <w:color w:val="auto"/>
          <w:sz w:val="24"/>
          <w:szCs w:val="24"/>
          <w:highlight w:val="none"/>
          <w:u w:val="single"/>
        </w:rPr>
        <w:t>招标人向投标人提供的资料和数据，是招标人现有的能使投标人利用的资料，招标人对投标人由此而作出的推论、理解和结论概不负责，投标人应充分预见并承担风险。投标人应认真审阅招标文件的所有内容，对工程现场和周围环境进行现场踏勘，获取编制投标文件和签署合同所需的所有资料。一旦中标，这种考察即被认为其结果已在投标文件中得到充分的考虑。</w:t>
      </w:r>
    </w:p>
    <w:p w14:paraId="7D7C0DE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本项目的报价方式见投标人须知前附表。投标人在投标截止时间前修改投标函附录中的投标报价总额，</w:t>
      </w:r>
      <w:r>
        <w:rPr>
          <w:rFonts w:hint="eastAsia" w:ascii="宋体" w:hAnsi="宋体" w:cs="宋体"/>
          <w:sz w:val="24"/>
          <w:szCs w:val="24"/>
          <w:highlight w:val="none"/>
        </w:rPr>
        <w:t>应同时修改投标文件中的相应报价</w:t>
      </w:r>
      <w:r>
        <w:rPr>
          <w:rFonts w:hint="eastAsia" w:ascii="宋体" w:hAnsi="宋体" w:eastAsia="宋体" w:cs="宋体"/>
          <w:color w:val="auto"/>
          <w:sz w:val="24"/>
          <w:szCs w:val="24"/>
          <w:highlight w:val="none"/>
        </w:rPr>
        <w:t>。此修改须符合本章第4.3款的有关要求。</w:t>
      </w:r>
    </w:p>
    <w:p w14:paraId="3852B83E">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招标人设有最高投标限价的，投标人的投标报价不得超过最高投标限价，最高投标限价在投标人须知前附表中载明。</w:t>
      </w:r>
    </w:p>
    <w:p w14:paraId="041703E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 投标报价的其他要求见投标人须知前附表。</w:t>
      </w:r>
    </w:p>
    <w:p w14:paraId="52C6DE3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3" w:name="bookmark41"/>
      <w:bookmarkEnd w:id="53"/>
      <w:r>
        <w:rPr>
          <w:rFonts w:hint="eastAsia" w:ascii="宋体" w:hAnsi="宋体" w:eastAsia="宋体" w:cs="宋体"/>
          <w:color w:val="auto"/>
          <w:highlight w:val="none"/>
        </w:rPr>
        <w:t>3.3 投标有效期</w:t>
      </w:r>
    </w:p>
    <w:p w14:paraId="3792810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除投标人须知前附表另有规定外，投标有效期为 90 天。</w:t>
      </w:r>
    </w:p>
    <w:p w14:paraId="0DB31F3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在投标有效期内，投标人撤销投标文件的，应承担招标文件和法律规定的责任。</w:t>
      </w:r>
    </w:p>
    <w:p w14:paraId="45B742D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出现特殊情况需要延长投标有效期的，招标人以书面形式通知所有投标人延长投标有效期。投标人应予以书面答复，同意延长的，不得要求或被允许修改其投标文件；投标人拒绝延长的，其投标失效。</w:t>
      </w:r>
    </w:p>
    <w:p w14:paraId="24C43918">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strike w:val="0"/>
          <w:dstrike w:val="0"/>
          <w:color w:val="auto"/>
          <w:highlight w:val="none"/>
        </w:rPr>
      </w:pPr>
      <w:bookmarkStart w:id="54" w:name="bookmark42"/>
      <w:bookmarkEnd w:id="54"/>
      <w:r>
        <w:rPr>
          <w:rFonts w:hint="eastAsia" w:ascii="宋体" w:hAnsi="宋体" w:eastAsia="宋体" w:cs="宋体"/>
          <w:strike w:val="0"/>
          <w:dstrike w:val="0"/>
          <w:color w:val="auto"/>
          <w:highlight w:val="none"/>
        </w:rPr>
        <w:t>3.4  投标保证金</w:t>
      </w:r>
    </w:p>
    <w:p w14:paraId="4E7091D3">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u w:val="single"/>
          <w:lang w:eastAsia="zh-CN"/>
        </w:rPr>
      </w:pPr>
      <w:r>
        <w:rPr>
          <w:rFonts w:hint="eastAsia" w:ascii="宋体" w:hAnsi="宋体" w:eastAsia="宋体" w:cs="Times New Roman"/>
          <w:color w:val="auto"/>
          <w:sz w:val="24"/>
          <w:highlight w:val="none"/>
          <w:u w:val="single"/>
        </w:rPr>
        <w:t>本项目不收取投标保证金。</w:t>
      </w:r>
    </w:p>
    <w:p w14:paraId="5396366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宋体"/>
          <w:highlight w:val="none"/>
        </w:rPr>
      </w:pPr>
      <w:bookmarkStart w:id="55" w:name="bookmark43"/>
      <w:bookmarkEnd w:id="55"/>
      <w:bookmarkStart w:id="56" w:name="bookmark44"/>
      <w:bookmarkEnd w:id="56"/>
      <w:r>
        <w:rPr>
          <w:rFonts w:hint="default" w:ascii="宋体" w:hAnsi="宋体" w:eastAsia="宋体" w:cs="宋体"/>
          <w:highlight w:val="none"/>
        </w:rPr>
        <w:t>3.5 资格审查资料</w:t>
      </w:r>
    </w:p>
    <w:p w14:paraId="0FF440B6">
      <w:pPr>
        <w:pStyle w:val="11"/>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除投标人须知前附表另有规定外，投标人应按下列规定提供资格审查资料，以证明其满足本章第 1.4 款规定的资质、财务、业绩、信誉等要求。</w:t>
      </w:r>
    </w:p>
    <w:p w14:paraId="623ABD26">
      <w:pPr>
        <w:pStyle w:val="11"/>
        <w:tabs>
          <w:tab w:val="left" w:pos="3990"/>
        </w:tabs>
        <w:adjustRightInd w:val="0"/>
        <w:snapToGrid w:val="0"/>
        <w:spacing w:before="0" w:beforeAutospacing="0" w:line="360" w:lineRule="auto"/>
        <w:ind w:left="0" w:firstLine="480" w:firstLineChars="200"/>
        <w:rPr>
          <w:rFonts w:hint="eastAsia" w:ascii="宋体" w:hAnsi="宋体" w:eastAsia="宋体" w:cs="宋体"/>
          <w:color w:val="auto"/>
          <w:kern w:val="0"/>
          <w:sz w:val="24"/>
          <w:highlight w:val="none"/>
        </w:rPr>
      </w:pPr>
      <w:bookmarkStart w:id="57" w:name="bookmark45"/>
      <w:bookmarkEnd w:id="57"/>
      <w:r>
        <w:rPr>
          <w:rFonts w:hint="eastAsia" w:ascii="宋体" w:hAnsi="宋体" w:eastAsia="宋体" w:cs="宋体"/>
          <w:color w:val="auto"/>
          <w:kern w:val="0"/>
          <w:sz w:val="24"/>
          <w:highlight w:val="none"/>
        </w:rPr>
        <w:t>3.5.1投标人应按招标公告要求第3点“投标人资格要求”提供资格审查资料，以证明其满足本章第1.4款规定的要求。</w:t>
      </w:r>
    </w:p>
    <w:p w14:paraId="7AC2D940">
      <w:pPr>
        <w:pStyle w:val="11"/>
        <w:adjustRightInd w:val="0"/>
        <w:snapToGrid w:val="0"/>
        <w:spacing w:before="0" w:beforeAutospacing="0" w:line="360" w:lineRule="auto"/>
        <w:ind w:left="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3.5.2本项目采用电子化资格后审，由评标委员会负责对投标人的资格进行审查，评标时只对通过资格审查的投标人进行下一阶段的评审。     </w:t>
      </w:r>
    </w:p>
    <w:p w14:paraId="5C08F3B2">
      <w:pPr>
        <w:pStyle w:val="11"/>
        <w:adjustRightInd w:val="0"/>
        <w:snapToGrid w:val="0"/>
        <w:spacing w:before="0" w:beforeAutospacing="0" w:line="360" w:lineRule="auto"/>
        <w:ind w:left="0" w:firstLine="480"/>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color w:val="auto"/>
          <w:kern w:val="0"/>
          <w:sz w:val="24"/>
          <w:highlight w:val="none"/>
        </w:rPr>
        <w:t>3.5.3资审合格后，投标人的资格发生变化而不满足投标人合格条件，在发出中标通知书前，资格问题仍未解决的，招标人将取消其中标资格</w:t>
      </w:r>
      <w:r>
        <w:rPr>
          <w:rFonts w:hint="eastAsia" w:ascii="宋体" w:hAnsi="宋体" w:eastAsia="宋体" w:cs="宋体"/>
          <w:color w:val="auto"/>
          <w:sz w:val="24"/>
          <w:szCs w:val="24"/>
          <w:highlight w:val="none"/>
          <w:u w:val="none"/>
          <w:lang w:eastAsia="zh-CN"/>
        </w:rPr>
        <w:t>。</w:t>
      </w:r>
    </w:p>
    <w:p w14:paraId="2F16C08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3D3A8AB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除投标人须知前附表规定允许外，投标人不得递交备选投标方案，否则其投标将被否决。</w:t>
      </w:r>
    </w:p>
    <w:p w14:paraId="60A92F8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DDCD67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投标人提供两个或两个以上投标报价，或者在投标文件中提供一个报价，但同时提供两个或两个以上</w:t>
      </w:r>
      <w:r>
        <w:rPr>
          <w:rFonts w:hint="eastAsia" w:cs="宋体"/>
          <w:color w:val="auto"/>
          <w:sz w:val="24"/>
          <w:szCs w:val="24"/>
          <w:highlight w:val="none"/>
          <w:lang w:eastAsia="zh-CN"/>
        </w:rPr>
        <w:t>技术</w:t>
      </w:r>
      <w:r>
        <w:rPr>
          <w:rFonts w:hint="eastAsia" w:ascii="宋体" w:hAnsi="宋体" w:eastAsia="宋体" w:cs="宋体"/>
          <w:color w:val="auto"/>
          <w:sz w:val="24"/>
          <w:szCs w:val="24"/>
          <w:highlight w:val="none"/>
        </w:rPr>
        <w:t>方案的，视为提供备选方案。</w:t>
      </w:r>
    </w:p>
    <w:p w14:paraId="2EA6800F">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8" w:name="bookmark46"/>
      <w:bookmarkEnd w:id="58"/>
      <w:r>
        <w:rPr>
          <w:rFonts w:hint="eastAsia" w:ascii="宋体" w:hAnsi="宋体" w:eastAsia="宋体" w:cs="宋体"/>
          <w:color w:val="auto"/>
          <w:highlight w:val="none"/>
        </w:rPr>
        <w:t>3.7 投标文件的编制</w:t>
      </w:r>
    </w:p>
    <w:p w14:paraId="19E9248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投标文件应按第六章“投标文件格式”进行编写，如有必要，可以增加附页，作为投标文件的组成部分。其中，投标函附录在满足招标文件实质性要求的基础上，可以提出比招标文件要求更有利于招标人的承诺。</w:t>
      </w:r>
    </w:p>
    <w:p w14:paraId="3F3F6ABD">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  投标文件应当对招标文件有关</w:t>
      </w:r>
      <w:r>
        <w:rPr>
          <w:rFonts w:hint="eastAsia" w:cs="宋体"/>
          <w:color w:val="auto"/>
          <w:sz w:val="24"/>
          <w:szCs w:val="24"/>
          <w:highlight w:val="none"/>
          <w:lang w:eastAsia="zh-CN"/>
        </w:rPr>
        <w:t>检验监测</w:t>
      </w:r>
      <w:r>
        <w:rPr>
          <w:rFonts w:hint="eastAsia" w:ascii="宋体" w:hAnsi="宋体" w:eastAsia="宋体" w:cs="宋体"/>
          <w:color w:val="auto"/>
          <w:sz w:val="24"/>
          <w:szCs w:val="24"/>
          <w:highlight w:val="none"/>
        </w:rPr>
        <w:t>服务期限、投标有效期、委托人要求、招标范围等实质性内容作出响应。</w:t>
      </w:r>
    </w:p>
    <w:p w14:paraId="416426F7">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投标文件全部采用电子文档，投标文件所附证书证件均为原件扫描件</w:t>
      </w:r>
      <w:r>
        <w:rPr>
          <w:rFonts w:hint="eastAsia" w:ascii="宋体" w:hAnsi="宋体" w:eastAsia="宋体" w:cs="宋体"/>
          <w:color w:val="auto"/>
          <w:sz w:val="24"/>
          <w:szCs w:val="24"/>
          <w:highlight w:val="none"/>
          <w:lang w:eastAsia="zh-CN"/>
        </w:rPr>
        <w:t>或电子证书</w:t>
      </w:r>
      <w:r>
        <w:rPr>
          <w:rFonts w:hint="eastAsia" w:ascii="宋体" w:hAnsi="宋体" w:eastAsia="宋体" w:cs="宋体"/>
          <w:color w:val="auto"/>
          <w:sz w:val="24"/>
          <w:szCs w:val="24"/>
          <w:highlight w:val="none"/>
        </w:rPr>
        <w:t>，并采用单位数字证书，按招标文件要求在相应位置加盖电子印章。投标文件中需个人签字或盖章的，应加盖个人电子印章或在线下完成后扫描上传</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可靠的电子签名与手写签名或者盖章具有同等的法律效力</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广州交易集团有限公司（广州公共资源交易中心）网站关于全流程电子化项目的相关指南进行操作</w:t>
      </w:r>
      <w:r>
        <w:rPr>
          <w:rFonts w:hint="eastAsia" w:ascii="宋体" w:hAnsi="宋体" w:eastAsia="宋体" w:cs="宋体"/>
          <w:color w:val="auto"/>
          <w:sz w:val="24"/>
          <w:szCs w:val="24"/>
          <w:highlight w:val="none"/>
        </w:rPr>
        <w:t>。</w:t>
      </w:r>
    </w:p>
    <w:p w14:paraId="1F48423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strike w:val="0"/>
          <w:color w:val="auto"/>
          <w:sz w:val="24"/>
          <w:szCs w:val="24"/>
          <w:highlight w:val="none"/>
        </w:rPr>
        <w:t>3.</w:t>
      </w:r>
      <w:r>
        <w:rPr>
          <w:rFonts w:hint="eastAsia" w:ascii="宋体" w:hAnsi="宋体" w:eastAsia="宋体" w:cs="宋体"/>
          <w:strike w:val="0"/>
          <w:color w:val="auto"/>
          <w:sz w:val="24"/>
          <w:szCs w:val="24"/>
          <w:highlight w:val="none"/>
          <w:lang w:val="en-US" w:eastAsia="zh-CN"/>
        </w:rPr>
        <w:t>7</w:t>
      </w:r>
      <w:r>
        <w:rPr>
          <w:rFonts w:hint="eastAsia" w:ascii="宋体" w:hAnsi="宋体" w:eastAsia="宋体" w:cs="宋体"/>
          <w:strike w:val="0"/>
          <w:color w:val="auto"/>
          <w:sz w:val="24"/>
          <w:szCs w:val="24"/>
          <w:highlight w:val="none"/>
        </w:rPr>
        <w:t>.</w:t>
      </w:r>
      <w:r>
        <w:rPr>
          <w:rFonts w:hint="eastAsia" w:ascii="宋体" w:hAnsi="宋体" w:eastAsia="宋体" w:cs="宋体"/>
          <w:strike w:val="0"/>
          <w:color w:val="auto"/>
          <w:sz w:val="24"/>
          <w:szCs w:val="24"/>
          <w:highlight w:val="none"/>
          <w:lang w:val="en-US" w:eastAsia="zh-CN"/>
        </w:rPr>
        <w:t xml:space="preserve">4  </w:t>
      </w:r>
      <w:r>
        <w:rPr>
          <w:rFonts w:hint="eastAsia" w:ascii="宋体" w:hAnsi="宋体" w:eastAsia="宋体" w:cs="宋体"/>
          <w:strike w:val="0"/>
          <w:color w:val="auto"/>
          <w:sz w:val="24"/>
          <w:szCs w:val="24"/>
          <w:highlight w:val="none"/>
        </w:rPr>
        <w:t>联合体投标时，</w:t>
      </w:r>
      <w:r>
        <w:rPr>
          <w:rFonts w:hint="eastAsia" w:ascii="宋体" w:hAnsi="宋体" w:eastAsia="宋体" w:cs="宋体"/>
          <w:strike w:val="0"/>
          <w:color w:val="auto"/>
          <w:sz w:val="24"/>
          <w:szCs w:val="24"/>
          <w:highlight w:val="none"/>
          <w:lang w:eastAsia="zh-CN"/>
        </w:rPr>
        <w:t>投标人封面及其他内容落款中的“投标人”应填写联合体各方的单位全称【格式为：（主）XXXX公司（成）XXXX公司】。除</w:t>
      </w:r>
      <w:r>
        <w:rPr>
          <w:rFonts w:hint="eastAsia" w:ascii="宋体" w:hAnsi="宋体" w:eastAsia="宋体" w:cs="宋体"/>
          <w:strike w:val="0"/>
          <w:color w:val="auto"/>
          <w:sz w:val="24"/>
          <w:szCs w:val="24"/>
          <w:highlight w:val="none"/>
        </w:rPr>
        <w:t>联合体共同投标协议需联合体各方按要求共同盖章签字，其余可由联合体</w:t>
      </w:r>
      <w:r>
        <w:rPr>
          <w:rFonts w:hint="eastAsia" w:ascii="宋体" w:hAnsi="宋体" w:eastAsia="宋体" w:cs="宋体"/>
          <w:strike w:val="0"/>
          <w:color w:val="auto"/>
          <w:sz w:val="24"/>
          <w:szCs w:val="24"/>
          <w:highlight w:val="none"/>
          <w:lang w:eastAsia="zh-CN"/>
        </w:rPr>
        <w:t>主办方</w:t>
      </w:r>
      <w:r>
        <w:rPr>
          <w:rFonts w:hint="eastAsia" w:ascii="宋体" w:hAnsi="宋体" w:eastAsia="宋体" w:cs="宋体"/>
          <w:strike w:val="0"/>
          <w:color w:val="auto"/>
          <w:sz w:val="24"/>
          <w:szCs w:val="24"/>
          <w:highlight w:val="none"/>
        </w:rPr>
        <w:t>签字、盖章即可，由联合体</w:t>
      </w:r>
      <w:r>
        <w:rPr>
          <w:rFonts w:hint="eastAsia" w:ascii="宋体" w:hAnsi="宋体" w:eastAsia="宋体" w:cs="宋体"/>
          <w:strike w:val="0"/>
          <w:color w:val="auto"/>
          <w:sz w:val="24"/>
          <w:szCs w:val="24"/>
          <w:highlight w:val="none"/>
          <w:lang w:eastAsia="zh-CN"/>
        </w:rPr>
        <w:t>主办方</w:t>
      </w:r>
      <w:r>
        <w:rPr>
          <w:rFonts w:hint="eastAsia" w:ascii="宋体" w:hAnsi="宋体" w:eastAsia="宋体" w:cs="宋体"/>
          <w:strike w:val="0"/>
          <w:color w:val="auto"/>
          <w:sz w:val="24"/>
          <w:szCs w:val="24"/>
          <w:highlight w:val="none"/>
        </w:rPr>
        <w:t>法人签字的电子投标文件需提供</w:t>
      </w:r>
      <w:r>
        <w:rPr>
          <w:rFonts w:hint="eastAsia" w:ascii="宋体" w:hAnsi="宋体" w:eastAsia="宋体" w:cs="宋体"/>
          <w:strike w:val="0"/>
          <w:color w:val="auto"/>
          <w:sz w:val="24"/>
          <w:szCs w:val="24"/>
          <w:highlight w:val="none"/>
          <w:lang w:eastAsia="zh-CN"/>
        </w:rPr>
        <w:t>主办方</w:t>
      </w:r>
      <w:r>
        <w:rPr>
          <w:rFonts w:hint="eastAsia" w:ascii="宋体" w:hAnsi="宋体" w:eastAsia="宋体" w:cs="宋体"/>
          <w:strike w:val="0"/>
          <w:color w:val="auto"/>
          <w:sz w:val="24"/>
          <w:szCs w:val="24"/>
          <w:highlight w:val="none"/>
        </w:rPr>
        <w:t>法定代表人证明书，若由联合体</w:t>
      </w:r>
      <w:r>
        <w:rPr>
          <w:rFonts w:hint="eastAsia" w:ascii="宋体" w:hAnsi="宋体" w:eastAsia="宋体" w:cs="宋体"/>
          <w:strike w:val="0"/>
          <w:color w:val="auto"/>
          <w:sz w:val="24"/>
          <w:szCs w:val="24"/>
          <w:highlight w:val="none"/>
          <w:lang w:eastAsia="zh-CN"/>
        </w:rPr>
        <w:t>主办方</w:t>
      </w:r>
      <w:r>
        <w:rPr>
          <w:rFonts w:hint="eastAsia" w:ascii="宋体" w:hAnsi="宋体" w:eastAsia="宋体" w:cs="宋体"/>
          <w:strike w:val="0"/>
          <w:color w:val="auto"/>
          <w:sz w:val="24"/>
          <w:szCs w:val="24"/>
          <w:highlight w:val="none"/>
        </w:rPr>
        <w:t>法定代表人授权签字的电子投标文件需提供法定代表人证明书及其授权委托书、授权委托人身份证</w:t>
      </w:r>
      <w:r>
        <w:rPr>
          <w:rFonts w:hint="eastAsia" w:ascii="宋体" w:hAnsi="宋体" w:eastAsia="宋体" w:cs="宋体"/>
          <w:strike w:val="0"/>
          <w:color w:val="auto"/>
          <w:sz w:val="24"/>
          <w:szCs w:val="24"/>
          <w:highlight w:val="none"/>
          <w:lang w:eastAsia="zh-CN"/>
        </w:rPr>
        <w:t>扫描</w:t>
      </w:r>
      <w:r>
        <w:rPr>
          <w:rFonts w:hint="eastAsia" w:ascii="宋体" w:hAnsi="宋体" w:eastAsia="宋体" w:cs="宋体"/>
          <w:strike w:val="0"/>
          <w:color w:val="auto"/>
          <w:sz w:val="24"/>
          <w:szCs w:val="24"/>
          <w:highlight w:val="none"/>
        </w:rPr>
        <w:t>件。</w:t>
      </w:r>
    </w:p>
    <w:p w14:paraId="131532BD">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563D67C7">
      <w:pPr>
        <w:pStyle w:val="4"/>
        <w:shd w:val="clear"/>
        <w:outlineLvl w:val="1"/>
        <w:rPr>
          <w:rFonts w:hint="eastAsia" w:ascii="宋体" w:hAnsi="宋体" w:eastAsia="宋体" w:cs="宋体"/>
          <w:color w:val="auto"/>
          <w:sz w:val="24"/>
          <w:szCs w:val="24"/>
          <w:highlight w:val="none"/>
        </w:rPr>
      </w:pPr>
      <w:bookmarkStart w:id="59" w:name="bookmark47"/>
      <w:bookmarkEnd w:id="59"/>
      <w:bookmarkStart w:id="60" w:name="_Toc18372"/>
      <w:r>
        <w:rPr>
          <w:rFonts w:hint="eastAsia" w:ascii="宋体" w:hAnsi="宋体" w:eastAsia="宋体" w:cs="宋体"/>
          <w:color w:val="auto"/>
          <w:sz w:val="24"/>
          <w:szCs w:val="24"/>
          <w:highlight w:val="none"/>
        </w:rPr>
        <w:t>4.投标</w:t>
      </w:r>
      <w:bookmarkEnd w:id="60"/>
    </w:p>
    <w:p w14:paraId="0EB5396B">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lang w:val="en-US" w:eastAsia="zh-CN"/>
        </w:rPr>
      </w:pPr>
      <w:bookmarkStart w:id="61" w:name="bookmark48"/>
      <w:bookmarkEnd w:id="61"/>
      <w:r>
        <w:rPr>
          <w:rFonts w:hint="eastAsia" w:ascii="宋体" w:hAnsi="宋体" w:eastAsia="宋体" w:cs="宋体"/>
          <w:color w:val="auto"/>
          <w:highlight w:val="none"/>
        </w:rPr>
        <w:t>4.1  投标文件的</w:t>
      </w:r>
      <w:r>
        <w:rPr>
          <w:rFonts w:hint="eastAsia" w:ascii="宋体" w:hAnsi="宋体" w:eastAsia="宋体" w:cs="宋体"/>
          <w:color w:val="auto"/>
          <w:highlight w:val="none"/>
          <w:lang w:val="en-US" w:eastAsia="zh-CN"/>
        </w:rPr>
        <w:t>加密</w:t>
      </w:r>
    </w:p>
    <w:p w14:paraId="0DF3915E">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bookmarkStart w:id="62" w:name="bookmark49"/>
      <w:bookmarkEnd w:id="62"/>
      <w:r>
        <w:rPr>
          <w:rFonts w:hint="eastAsia" w:ascii="宋体" w:hAnsi="宋体" w:eastAsia="宋体" w:cs="宋体"/>
          <w:color w:val="auto"/>
          <w:sz w:val="24"/>
          <w:szCs w:val="24"/>
          <w:highlight w:val="none"/>
        </w:rPr>
        <w:t xml:space="preserve">4.1.1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递交的电子投标文件（不含备用光盘）必须进行加密。按照</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关于全流程电子化项目的相关指南进行操作。</w:t>
      </w:r>
    </w:p>
    <w:p w14:paraId="54547A2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未按要求加密的投标文件，</w:t>
      </w:r>
      <w:r>
        <w:rPr>
          <w:rFonts w:hint="eastAsia" w:ascii="宋体" w:hAnsi="宋体" w:eastAsia="宋体" w:cs="宋体"/>
          <w:color w:val="auto"/>
          <w:sz w:val="24"/>
          <w:szCs w:val="24"/>
          <w:highlight w:val="none"/>
          <w:lang w:eastAsia="zh-CN"/>
        </w:rPr>
        <w:t>广州交易集团有限公司（广州公共资源交易中心）网站交易</w:t>
      </w:r>
      <w:r>
        <w:rPr>
          <w:rFonts w:hint="eastAsia" w:ascii="宋体" w:hAnsi="宋体" w:eastAsia="宋体" w:cs="宋体"/>
          <w:color w:val="auto"/>
          <w:sz w:val="24"/>
          <w:szCs w:val="24"/>
          <w:highlight w:val="none"/>
        </w:rPr>
        <w:t>平台将予以拒收。</w:t>
      </w:r>
    </w:p>
    <w:p w14:paraId="6C23AC28">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4.2  投标文件的递交</w:t>
      </w:r>
    </w:p>
    <w:p w14:paraId="3BBEDD3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bookmarkStart w:id="63" w:name="bookmark50"/>
      <w:bookmarkEnd w:id="63"/>
      <w:r>
        <w:rPr>
          <w:rFonts w:hint="eastAsia" w:ascii="宋体" w:hAnsi="宋体" w:eastAsia="宋体" w:cs="宋体"/>
          <w:color w:val="auto"/>
          <w:sz w:val="24"/>
          <w:szCs w:val="24"/>
          <w:highlight w:val="none"/>
        </w:rPr>
        <w:t>4.2.1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应在投标人须知前附表规定的投标截止时间前，</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交易平台递交电子投标文件。</w:t>
      </w:r>
    </w:p>
    <w:p w14:paraId="25CF3AE9">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投标人完成电子投标文件上传后，</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14:paraId="3FB964D7">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逾期送达的电子投标文件，</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交易平台将予以拒收。</w:t>
      </w:r>
    </w:p>
    <w:p w14:paraId="0ECE9B28">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4.2.4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投标截止前，招标人拒绝接收符合条件的投标文件，投标人可向招标监督机构投诉</w:t>
      </w:r>
      <w:r>
        <w:rPr>
          <w:rFonts w:hint="eastAsia" w:ascii="宋体" w:hAnsi="宋体" w:eastAsia="宋体" w:cs="宋体"/>
          <w:color w:val="auto"/>
          <w:sz w:val="24"/>
          <w:szCs w:val="24"/>
          <w:highlight w:val="none"/>
          <w:lang w:eastAsia="zh-CN"/>
        </w:rPr>
        <w:t>。</w:t>
      </w:r>
      <w:bookmarkStart w:id="64" w:name="_bookmark83"/>
      <w:bookmarkEnd w:id="64"/>
    </w:p>
    <w:p w14:paraId="4AE431F8">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4.3  投标文件的修改与撤回</w:t>
      </w:r>
    </w:p>
    <w:p w14:paraId="64B7B14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  在规定的投标截止时间前，投标人可以修改或撤回已递交的投标文件， 但应以书面形式通知招标人。</w:t>
      </w:r>
    </w:p>
    <w:p w14:paraId="70673A6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  投标人修改或撤回已递交投标文件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需在交易平台发出修改或撤回通知，并按要求加盖电子印章</w:t>
      </w:r>
      <w:r>
        <w:rPr>
          <w:rFonts w:hint="eastAsia" w:ascii="宋体" w:hAnsi="宋体" w:eastAsia="宋体" w:cs="宋体"/>
          <w:color w:val="auto"/>
          <w:sz w:val="24"/>
          <w:szCs w:val="24"/>
          <w:highlight w:val="none"/>
        </w:rPr>
        <w:t>。电子招标投标交易平台收到通知后，即时向投标人发出确认回执通知。</w:t>
      </w:r>
    </w:p>
    <w:p w14:paraId="028151F7">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修改后再次递交的，按第</w:t>
      </w:r>
      <w:r>
        <w:rPr>
          <w:rFonts w:hint="eastAsia" w:ascii="宋体" w:hAnsi="宋体" w:eastAsia="宋体" w:cs="宋体"/>
          <w:color w:val="auto"/>
          <w:sz w:val="24"/>
          <w:szCs w:val="24"/>
          <w:highlight w:val="none"/>
          <w:lang w:val="en-US" w:eastAsia="zh-CN"/>
        </w:rPr>
        <w:t>4.2项的规定执行</w:t>
      </w:r>
      <w:r>
        <w:rPr>
          <w:rFonts w:hint="eastAsia" w:ascii="宋体" w:hAnsi="宋体" w:eastAsia="宋体" w:cs="宋体"/>
          <w:color w:val="auto"/>
          <w:sz w:val="24"/>
          <w:szCs w:val="24"/>
          <w:highlight w:val="none"/>
        </w:rPr>
        <w:t>。</w:t>
      </w:r>
    </w:p>
    <w:p w14:paraId="44534F1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在投标截止时间之后，投标人不得补充、修改和更换投标文件。</w:t>
      </w:r>
    </w:p>
    <w:p w14:paraId="641CA546">
      <w:pPr>
        <w:pStyle w:val="4"/>
        <w:shd w:val="clear"/>
        <w:outlineLvl w:val="1"/>
        <w:rPr>
          <w:rFonts w:hint="eastAsia" w:ascii="宋体" w:hAnsi="宋体" w:eastAsia="宋体" w:cs="宋体"/>
          <w:color w:val="auto"/>
          <w:sz w:val="24"/>
          <w:szCs w:val="24"/>
          <w:highlight w:val="none"/>
        </w:rPr>
      </w:pPr>
      <w:bookmarkStart w:id="65" w:name="bookmark51"/>
      <w:bookmarkEnd w:id="65"/>
      <w:bookmarkStart w:id="66" w:name="_Toc19841"/>
      <w:r>
        <w:rPr>
          <w:rFonts w:hint="eastAsia" w:ascii="宋体" w:hAnsi="宋体" w:eastAsia="宋体" w:cs="宋体"/>
          <w:color w:val="auto"/>
          <w:sz w:val="24"/>
          <w:szCs w:val="24"/>
          <w:highlight w:val="none"/>
        </w:rPr>
        <w:t>5.开标</w:t>
      </w:r>
      <w:bookmarkEnd w:id="66"/>
    </w:p>
    <w:p w14:paraId="7A2C87A3">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7" w:name="bookmark52"/>
      <w:bookmarkEnd w:id="67"/>
      <w:bookmarkStart w:id="68" w:name="bookmark53"/>
      <w:bookmarkEnd w:id="68"/>
      <w:r>
        <w:rPr>
          <w:rFonts w:hint="eastAsia" w:ascii="宋体" w:hAnsi="宋体" w:eastAsia="宋体" w:cs="宋体"/>
          <w:color w:val="auto"/>
          <w:highlight w:val="none"/>
        </w:rPr>
        <w:t>5.1 开标时间和地点</w:t>
      </w:r>
    </w:p>
    <w:p w14:paraId="3E96A38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bookmarkStart w:id="69" w:name="bookmark54"/>
      <w:bookmarkEnd w:id="69"/>
      <w:r>
        <w:rPr>
          <w:rFonts w:hint="eastAsia" w:ascii="宋体" w:hAnsi="宋体" w:eastAsia="宋体" w:cs="宋体"/>
          <w:color w:val="auto"/>
          <w:sz w:val="24"/>
          <w:szCs w:val="24"/>
          <w:highlight w:val="none"/>
          <w:lang w:val="en-US" w:eastAsia="zh-CN"/>
        </w:rPr>
        <w:t xml:space="preserve">5.1.1  </w:t>
      </w:r>
      <w:r>
        <w:rPr>
          <w:rFonts w:hint="eastAsia" w:ascii="宋体" w:hAnsi="宋体" w:eastAsia="宋体" w:cs="宋体"/>
          <w:color w:val="auto"/>
          <w:sz w:val="24"/>
          <w:szCs w:val="24"/>
          <w:highlight w:val="none"/>
          <w:lang w:eastAsia="zh-CN"/>
        </w:rPr>
        <w:t>招标人按投标须知前附表规定的时间和地点公开开标。截标后，开标开始时间因故推迟的，相关评标信息仍以原定的开标开始时间的信息为准。</w:t>
      </w:r>
    </w:p>
    <w:p w14:paraId="735EE05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5.1.2  </w:t>
      </w:r>
      <w:r>
        <w:rPr>
          <w:rFonts w:hint="eastAsia" w:ascii="宋体" w:hAnsi="宋体" w:eastAsia="宋体" w:cs="宋体"/>
          <w:color w:val="auto"/>
          <w:sz w:val="24"/>
          <w:szCs w:val="24"/>
          <w:highlight w:val="none"/>
          <w:lang w:eastAsia="zh-CN"/>
        </w:rPr>
        <w:t>开标方式采用电子开标和现场开标两种模式，投标人可选择在开标室参与开标或准时在线参加开标，也可不参加开标。参加在线开标的投标人</w:t>
      </w:r>
      <w:r>
        <w:rPr>
          <w:rFonts w:hint="eastAsia" w:cs="宋体"/>
          <w:color w:val="auto"/>
          <w:sz w:val="24"/>
          <w:szCs w:val="24"/>
          <w:highlight w:val="none"/>
          <w:lang w:val="en-US" w:eastAsia="zh-CN"/>
        </w:rPr>
        <w:t>可</w:t>
      </w:r>
      <w:r>
        <w:rPr>
          <w:rFonts w:hint="eastAsia" w:ascii="宋体" w:hAnsi="宋体" w:eastAsia="宋体" w:cs="宋体"/>
          <w:color w:val="auto"/>
          <w:sz w:val="24"/>
          <w:szCs w:val="24"/>
          <w:highlight w:val="none"/>
          <w:lang w:eastAsia="zh-CN"/>
        </w:rPr>
        <w:t>登录交易平台实时查看开标、唱标情况。交易平台生成开标</w:t>
      </w:r>
      <w:r>
        <w:rPr>
          <w:rFonts w:hint="eastAsia" w:cs="宋体"/>
          <w:color w:val="auto"/>
          <w:sz w:val="24"/>
          <w:szCs w:val="24"/>
          <w:highlight w:val="none"/>
          <w:lang w:val="en-US" w:eastAsia="zh-CN"/>
        </w:rPr>
        <w:t>纪</w:t>
      </w:r>
      <w:r>
        <w:rPr>
          <w:rFonts w:hint="eastAsia" w:ascii="宋体" w:hAnsi="宋体" w:eastAsia="宋体" w:cs="宋体"/>
          <w:color w:val="auto"/>
          <w:sz w:val="24"/>
          <w:szCs w:val="24"/>
          <w:highlight w:val="none"/>
          <w:lang w:eastAsia="zh-CN"/>
        </w:rPr>
        <w:t>录并向社会公众公布。</w:t>
      </w:r>
    </w:p>
    <w:p w14:paraId="211AFD47">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5.2 开标程序</w:t>
      </w:r>
    </w:p>
    <w:p w14:paraId="216DA8F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bookmarkStart w:id="70" w:name="bookmark55"/>
      <w:bookmarkEnd w:id="70"/>
      <w:r>
        <w:rPr>
          <w:rFonts w:hint="eastAsia" w:ascii="宋体" w:hAnsi="宋体" w:eastAsia="宋体" w:cs="宋体"/>
          <w:color w:val="auto"/>
          <w:sz w:val="24"/>
          <w:szCs w:val="24"/>
          <w:highlight w:val="none"/>
          <w:lang w:val="en-US" w:eastAsia="zh-CN"/>
        </w:rPr>
        <w:t>5.2.1 在投标截止时间后</w:t>
      </w:r>
      <w:r>
        <w:rPr>
          <w:rFonts w:hint="eastAsia" w:ascii="宋体" w:hAnsi="宋体" w:eastAsia="宋体" w:cs="宋体"/>
          <w:color w:val="auto"/>
          <w:sz w:val="24"/>
          <w:szCs w:val="24"/>
          <w:highlight w:val="none"/>
          <w:u w:val="single"/>
          <w:lang w:val="en-US" w:eastAsia="zh-CN"/>
        </w:rPr>
        <w:t>半小时</w:t>
      </w:r>
      <w:r>
        <w:rPr>
          <w:rFonts w:hint="eastAsia" w:ascii="宋体" w:hAnsi="宋体" w:eastAsia="宋体" w:cs="宋体"/>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内，投标人通过递交投标文件的交易平台对已递交的电子投标文件进行解密。投标人完成解密后，再由招标人进行解密。解密完成后，公布招标项目名称、投标人名称、投标报价、</w:t>
      </w:r>
      <w:r>
        <w:rPr>
          <w:rFonts w:hint="eastAsia" w:cs="宋体"/>
          <w:color w:val="auto"/>
          <w:sz w:val="24"/>
          <w:szCs w:val="24"/>
          <w:highlight w:val="none"/>
          <w:lang w:val="en-US" w:eastAsia="zh-CN"/>
        </w:rPr>
        <w:t>项目负责人</w:t>
      </w:r>
      <w:r>
        <w:rPr>
          <w:rFonts w:hint="eastAsia" w:ascii="宋体" w:hAnsi="宋体" w:eastAsia="宋体" w:cs="宋体"/>
          <w:color w:val="auto"/>
          <w:sz w:val="24"/>
          <w:szCs w:val="24"/>
          <w:highlight w:val="none"/>
          <w:lang w:val="en-US" w:eastAsia="zh-CN"/>
        </w:rPr>
        <w:t>及其他内容。未在规定时间内解密的投标文件不参与开标、评标。</w:t>
      </w:r>
    </w:p>
    <w:p w14:paraId="465DC2BD">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5.2.2  按开标记录表规定的内容进行唱标。</w:t>
      </w:r>
    </w:p>
    <w:p w14:paraId="5C6790B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5.2.3  投标人代表、招标人代表、监标人、记录人等有关人员在开标记录上签字确认；若有关人员不签字的，不影响开标程序。</w:t>
      </w:r>
    </w:p>
    <w:p w14:paraId="74B890A2">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5.2.4  开标结束。</w:t>
      </w:r>
    </w:p>
    <w:p w14:paraId="38B5DED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5.2.5  投标截止时间前未完成投标文件传输的或因投标人之外的原因造成投标文件未解密的，视为投标人撤回投标文件。因投标人原因造成投标文件未解密或未在规定的时间内解密的，视为撤销其投标文件。</w:t>
      </w:r>
    </w:p>
    <w:p w14:paraId="6717B60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cyan"/>
          <w:lang w:val="en-US" w:eastAsia="zh-CN"/>
        </w:rPr>
      </w:pPr>
      <w:r>
        <w:rPr>
          <w:rFonts w:hint="eastAsia" w:ascii="宋体" w:hAnsi="宋体" w:eastAsia="宋体" w:cs="宋体"/>
          <w:color w:val="auto"/>
          <w:sz w:val="24"/>
          <w:szCs w:val="24"/>
          <w:highlight w:val="none"/>
          <w:lang w:val="en-US" w:eastAsia="zh-CN"/>
        </w:rPr>
        <w:t xml:space="preserve">5.2.6  </w:t>
      </w:r>
      <w:r>
        <w:rPr>
          <w:rFonts w:hint="eastAsia" w:ascii="宋体" w:hAnsi="宋体" w:eastAsia="宋体" w:cs="宋体"/>
          <w:b w:val="0"/>
          <w:bCs/>
          <w:color w:val="auto"/>
          <w:sz w:val="24"/>
          <w:szCs w:val="24"/>
          <w:highlight w:val="none"/>
          <w:lang w:val="en-US" w:eastAsia="zh-CN" w:bidi="ar-SA"/>
        </w:rPr>
        <w:t>开标时，两个（含两个）以上的投标人加密打包投标文件电脑机器特征码一致的，</w:t>
      </w:r>
      <w:r>
        <w:rPr>
          <w:rFonts w:hint="default" w:cs="Times New Roman"/>
          <w:color w:val="auto"/>
          <w:sz w:val="24"/>
          <w:szCs w:val="24"/>
          <w:highlight w:val="none"/>
          <w:lang w:val="en-US" w:eastAsia="zh-CN"/>
        </w:rPr>
        <w:t>由评标委员会否决其投标</w:t>
      </w:r>
      <w:r>
        <w:rPr>
          <w:rFonts w:hint="eastAsia" w:ascii="宋体" w:hAnsi="宋体" w:eastAsia="宋体" w:cs="宋体"/>
          <w:color w:val="auto"/>
          <w:sz w:val="24"/>
          <w:szCs w:val="24"/>
          <w:highlight w:val="none"/>
          <w:lang w:val="en-US" w:eastAsia="zh-CN"/>
        </w:rPr>
        <w:t>。</w:t>
      </w:r>
    </w:p>
    <w:p w14:paraId="107514CC">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2CBD063">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5.3.1  参加现场开标的投标人对开标结果有异议的，应当在开标现场提出，招标人应当当场作出答复，并制作记录。</w:t>
      </w:r>
    </w:p>
    <w:p w14:paraId="7D44A4E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0B84C48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5.3.3  投标人未参加开标或在规定的时间内未提出异议的，视为对开标无异议。</w:t>
      </w:r>
    </w:p>
    <w:p w14:paraId="3EA93E31">
      <w:pPr>
        <w:pStyle w:val="4"/>
        <w:shd w:val="clear"/>
        <w:outlineLvl w:val="1"/>
        <w:rPr>
          <w:rFonts w:hint="eastAsia" w:ascii="宋体" w:hAnsi="宋体" w:eastAsia="宋体" w:cs="宋体"/>
          <w:b w:val="0"/>
          <w:color w:val="auto"/>
          <w:sz w:val="30"/>
          <w:szCs w:val="24"/>
          <w:highlight w:val="none"/>
        </w:rPr>
      </w:pPr>
      <w:bookmarkStart w:id="71" w:name="bookmark56"/>
      <w:bookmarkEnd w:id="71"/>
      <w:bookmarkStart w:id="72" w:name="_Toc27326"/>
      <w:r>
        <w:rPr>
          <w:rFonts w:hint="eastAsia" w:ascii="宋体" w:hAnsi="宋体" w:eastAsia="宋体" w:cs="宋体"/>
          <w:color w:val="auto"/>
          <w:sz w:val="24"/>
          <w:szCs w:val="24"/>
          <w:highlight w:val="none"/>
        </w:rPr>
        <w:t>6.评标</w:t>
      </w:r>
      <w:bookmarkEnd w:id="72"/>
    </w:p>
    <w:p w14:paraId="2A361BA4">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3" w:name="bookmark57"/>
      <w:bookmarkEnd w:id="73"/>
      <w:r>
        <w:rPr>
          <w:rFonts w:hint="eastAsia" w:ascii="宋体" w:hAnsi="宋体" w:eastAsia="宋体" w:cs="宋体"/>
          <w:color w:val="auto"/>
          <w:highlight w:val="none"/>
        </w:rPr>
        <w:t>6.1 评标委员会</w:t>
      </w:r>
    </w:p>
    <w:p w14:paraId="3FEAEA6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评标由招标人依法组建的评标委员会负责。评标委员会由有关技术、经济等方面的专家和招标人代表组成，专家</w:t>
      </w:r>
      <w:r>
        <w:rPr>
          <w:rFonts w:hint="eastAsia" w:ascii="宋体" w:hAnsi="宋体" w:eastAsia="宋体" w:cs="宋体"/>
          <w:color w:val="auto"/>
          <w:sz w:val="24"/>
          <w:szCs w:val="24"/>
          <w:highlight w:val="none"/>
          <w:lang w:eastAsia="zh-CN"/>
        </w:rPr>
        <w:t>从</w:t>
      </w:r>
      <w:r>
        <w:rPr>
          <w:rFonts w:hint="eastAsia" w:ascii="宋体" w:hAnsi="宋体" w:eastAsia="宋体" w:cs="宋体"/>
          <w:color w:val="auto"/>
          <w:sz w:val="24"/>
          <w:szCs w:val="24"/>
          <w:highlight w:val="none"/>
          <w:u w:val="single"/>
          <w:lang w:eastAsia="zh-CN"/>
        </w:rPr>
        <w:t>广东省综合评标评审</w:t>
      </w:r>
      <w:r>
        <w:rPr>
          <w:rFonts w:hint="eastAsia" w:ascii="宋体" w:hAnsi="宋体" w:eastAsia="宋体" w:cs="宋体"/>
          <w:color w:val="auto"/>
          <w:sz w:val="24"/>
          <w:szCs w:val="24"/>
          <w:highlight w:val="none"/>
          <w:u w:val="single"/>
        </w:rPr>
        <w:t>专家库</w:t>
      </w:r>
      <w:r>
        <w:rPr>
          <w:rFonts w:hint="eastAsia" w:ascii="宋体" w:hAnsi="宋体" w:eastAsia="宋体" w:cs="宋体"/>
          <w:color w:val="auto"/>
          <w:sz w:val="24"/>
          <w:szCs w:val="24"/>
          <w:highlight w:val="none"/>
        </w:rPr>
        <w:t>中抽取。评标委员会成员人数以及技术、经济等方面专家的确定方式见投标人须知前附表。</w:t>
      </w:r>
    </w:p>
    <w:p w14:paraId="4B85D56C">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评标委员会成员有下列情形之一的，应当回避：</w:t>
      </w:r>
    </w:p>
    <w:p w14:paraId="340E664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（1）投标人或投标人主要负责人的近亲属；</w:t>
      </w:r>
    </w:p>
    <w:p w14:paraId="3B9D5272">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14:paraId="3008ABFC">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（3）招标人或投标人的工作人员、退休或离职未满3年的人员；</w:t>
      </w:r>
    </w:p>
    <w:p w14:paraId="79B0AA7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）与投标人有经济利益关系，可能影响对投标公正评审的；</w:t>
      </w:r>
    </w:p>
    <w:p w14:paraId="44B8D85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）曾因在招标、评标以及其他与招标投标有关活动中从事违法行为而受过行政处罚或刑事处罚的；</w:t>
      </w:r>
    </w:p>
    <w:p w14:paraId="788EB810">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）与投标人有其</w:t>
      </w:r>
      <w:r>
        <w:rPr>
          <w:rFonts w:hint="eastAsia" w:cs="宋体"/>
          <w:color w:val="auto"/>
          <w:sz w:val="24"/>
          <w:szCs w:val="24"/>
          <w:highlight w:val="none"/>
          <w:lang w:val="en-US" w:eastAsia="zh-CN"/>
        </w:rPr>
        <w:t>它</w:t>
      </w:r>
      <w:r>
        <w:rPr>
          <w:rFonts w:hint="eastAsia" w:ascii="宋体" w:hAnsi="宋体" w:eastAsia="宋体" w:cs="宋体"/>
          <w:color w:val="auto"/>
          <w:sz w:val="24"/>
          <w:szCs w:val="24"/>
          <w:highlight w:val="none"/>
        </w:rPr>
        <w:t>利害关系。</w:t>
      </w:r>
    </w:p>
    <w:p w14:paraId="4DB9894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7CAAE35D">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4" w:name="bookmark58"/>
      <w:bookmarkEnd w:id="74"/>
      <w:r>
        <w:rPr>
          <w:rFonts w:hint="eastAsia" w:ascii="宋体" w:hAnsi="宋体" w:eastAsia="宋体" w:cs="宋体"/>
          <w:color w:val="auto"/>
          <w:highlight w:val="none"/>
        </w:rPr>
        <w:t>6.2 评标原则</w:t>
      </w:r>
    </w:p>
    <w:p w14:paraId="54E67BF3">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14:paraId="730952B6">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5" w:name="bookmark59"/>
      <w:bookmarkEnd w:id="75"/>
      <w:r>
        <w:rPr>
          <w:rFonts w:hint="eastAsia" w:ascii="宋体" w:hAnsi="宋体" w:eastAsia="宋体" w:cs="宋体"/>
          <w:color w:val="auto"/>
          <w:highlight w:val="none"/>
        </w:rPr>
        <w:t>6.3 评标</w:t>
      </w:r>
    </w:p>
    <w:p w14:paraId="41E76067">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 评标委员会按照第三章“评标办法”规定的方法、评审因素、标准和程序对投标文件进行评审。第三章“评标办法”没有规定的方法、评审因素和标准，不作为评标依据。</w:t>
      </w:r>
    </w:p>
    <w:p w14:paraId="7A7698FB">
      <w:pPr>
        <w:pStyle w:val="11"/>
        <w:keepNext w:val="0"/>
        <w:keepLines w:val="0"/>
        <w:pageBreakBefore w:val="0"/>
        <w:widowControl/>
        <w:shd w:val="clear"/>
        <w:tabs>
          <w:tab w:val="left" w:pos="1343"/>
          <w:tab w:val="left" w:pos="2697"/>
          <w:tab w:val="left" w:pos="3264"/>
          <w:tab w:val="left" w:pos="4896"/>
          <w:tab w:val="left" w:pos="6005"/>
          <w:tab w:val="left" w:pos="7085"/>
          <w:tab w:val="left" w:pos="7498"/>
        </w:tabs>
        <w:kinsoku/>
        <w:wordWrap/>
        <w:overflowPunct w:val="0"/>
        <w:topLinePunct w:val="0"/>
        <w:autoSpaceDE/>
        <w:autoSpaceDN/>
        <w:bidi w:val="0"/>
        <w:adjustRightInd/>
        <w:snapToGrid/>
        <w:spacing w:line="351"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 评标完成后，评标委员会应当向招标人提交书面评标报告和中标候选人名单。评标委员会推荐中标候选人的人数见投标人须知前附表。</w:t>
      </w:r>
    </w:p>
    <w:p w14:paraId="601ACEC1">
      <w:pPr>
        <w:widowControl/>
        <w:shd w:val="clear"/>
        <w:autoSpaceDE/>
        <w:autoSpaceDN/>
        <w:adjustRightInd/>
        <w:spacing w:line="360" w:lineRule="auto"/>
        <w:ind w:left="0" w:firstLine="480" w:firstLineChars="200"/>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6.3.3 （1）</w:t>
      </w:r>
      <w:r>
        <w:rPr>
          <w:rFonts w:hint="eastAsia" w:ascii="宋体" w:hAnsi="宋体" w:eastAsia="宋体" w:cs="宋体"/>
          <w:b w:val="0"/>
          <w:bCs/>
          <w:color w:val="auto"/>
          <w:sz w:val="24"/>
          <w:szCs w:val="24"/>
          <w:highlight w:val="none"/>
          <w:lang w:val="en-US" w:eastAsia="zh-CN" w:bidi="ar-SA"/>
        </w:rPr>
        <w:t>在评标过程中，当采用电子评标系统评标发生评审故障时，若广州交易集团有限公司（广州公共资源交易中心）当天可解除评审故障，则继续采用电子评标系统评标；若广州交易集团有限公司（广州公共资源交易中心）当天无法解除评审故障，则评标委员会依据电子投标文件对未完成的评标活动采用手动评审，提交包含已完成电子评审成果在内的纸质评标报告。评审故障以广州交易集团有限公司（广州公共资源交易中心）的认定为准。当广州交易集团有限公司（广州公共资源交易中心）的系统维护人员在评标室告知评标委员会当天无法解除评审故障后，评标委员会即可对未完成的评标活动启动手动评审。</w:t>
      </w:r>
    </w:p>
    <w:p w14:paraId="0FA56C91">
      <w:pPr>
        <w:widowControl/>
        <w:shd w:val="clear"/>
        <w:autoSpaceDE/>
        <w:autoSpaceDN/>
        <w:adjustRightInd/>
        <w:spacing w:line="360" w:lineRule="auto"/>
        <w:ind w:left="0" w:firstLine="480" w:firstLineChars="200"/>
        <w:jc w:val="both"/>
        <w:rPr>
          <w:rFonts w:hint="eastAsia"/>
          <w:lang w:val="en-US" w:eastAsia="zh-CN"/>
        </w:rPr>
      </w:pPr>
      <w:r>
        <w:rPr>
          <w:rFonts w:hint="eastAsia" w:ascii="宋体" w:hAnsi="宋体" w:eastAsia="宋体" w:cs="宋体"/>
          <w:b w:val="0"/>
          <w:bCs/>
          <w:color w:val="auto"/>
          <w:sz w:val="24"/>
          <w:szCs w:val="24"/>
          <w:highlight w:val="none"/>
          <w:lang w:val="en-US" w:eastAsia="zh-CN" w:bidi="ar-SA"/>
        </w:rPr>
        <w:t>（2）在电子评标过程中，无论遇到任何系统异常或故障，评标委员会均应</w:t>
      </w:r>
    </w:p>
    <w:p w14:paraId="3D9C3A38">
      <w:pPr>
        <w:widowControl/>
        <w:shd w:val="clear"/>
        <w:autoSpaceDE/>
        <w:autoSpaceDN/>
        <w:adjustRightInd/>
        <w:spacing w:line="360" w:lineRule="auto"/>
        <w:jc w:val="both"/>
        <w:rPr>
          <w:rFonts w:hint="default" w:eastAsia="宋体"/>
          <w:lang w:val="en-US" w:eastAsia="zh-CN"/>
        </w:rPr>
      </w:pPr>
      <w:r>
        <w:rPr>
          <w:rFonts w:hint="eastAsia" w:ascii="宋体" w:hAnsi="宋体" w:eastAsia="宋体" w:cs="宋体"/>
          <w:b w:val="0"/>
          <w:bCs/>
          <w:color w:val="auto"/>
          <w:sz w:val="24"/>
          <w:szCs w:val="24"/>
          <w:highlight w:val="none"/>
          <w:lang w:val="en-US" w:eastAsia="zh-CN" w:bidi="ar-SA"/>
        </w:rPr>
        <w:t>出具评标报告。</w:t>
      </w:r>
    </w:p>
    <w:p w14:paraId="6479561E">
      <w:pPr>
        <w:pStyle w:val="4"/>
        <w:keepNext w:val="0"/>
        <w:keepLines w:val="0"/>
        <w:pageBreakBefore w:val="0"/>
        <w:widowControl w:val="0"/>
        <w:shd w:val="clear"/>
        <w:kinsoku/>
        <w:wordWrap/>
        <w:topLinePunct w:val="0"/>
        <w:autoSpaceDE w:val="0"/>
        <w:autoSpaceDN w:val="0"/>
        <w:bidi w:val="0"/>
        <w:adjustRightInd w:val="0"/>
        <w:snapToGrid/>
        <w:spacing w:line="360" w:lineRule="auto"/>
        <w:textAlignment w:val="auto"/>
        <w:outlineLvl w:val="1"/>
        <w:rPr>
          <w:rFonts w:hint="eastAsia" w:ascii="宋体" w:hAnsi="宋体" w:eastAsia="宋体" w:cs="宋体"/>
          <w:color w:val="auto"/>
          <w:sz w:val="24"/>
          <w:szCs w:val="24"/>
          <w:highlight w:val="none"/>
        </w:rPr>
      </w:pPr>
      <w:bookmarkStart w:id="76" w:name="bookmark60"/>
      <w:bookmarkEnd w:id="76"/>
      <w:bookmarkStart w:id="77" w:name="_Toc26457"/>
      <w:r>
        <w:rPr>
          <w:rFonts w:hint="eastAsia" w:ascii="宋体" w:hAnsi="宋体" w:eastAsia="宋体" w:cs="宋体"/>
          <w:color w:val="auto"/>
          <w:sz w:val="24"/>
          <w:szCs w:val="24"/>
          <w:highlight w:val="none"/>
        </w:rPr>
        <w:t>7.合同授予</w:t>
      </w:r>
      <w:bookmarkEnd w:id="77"/>
    </w:p>
    <w:p w14:paraId="1778D573">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8" w:name="bookmark61"/>
      <w:bookmarkEnd w:id="78"/>
      <w:r>
        <w:rPr>
          <w:rFonts w:hint="eastAsia" w:ascii="宋体" w:hAnsi="宋体" w:eastAsia="宋体" w:cs="宋体"/>
          <w:color w:val="auto"/>
          <w:highlight w:val="none"/>
        </w:rPr>
        <w:t>7.1 中标候选人公示</w:t>
      </w:r>
    </w:p>
    <w:p w14:paraId="64389105">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招标人在收到评标报告之日起3日内，按照投标人须知前附表规定的公示媒介和期限公示中标候选人，公示期不得少于3天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最后一天应为工作日</w:t>
      </w:r>
      <w:r>
        <w:rPr>
          <w:rFonts w:hint="eastAsia" w:ascii="宋体" w:hAnsi="宋体" w:eastAsia="宋体" w:cs="宋体"/>
          <w:color w:val="auto"/>
          <w:sz w:val="24"/>
          <w:szCs w:val="24"/>
          <w:highlight w:val="none"/>
        </w:rPr>
        <w:t>。</w:t>
      </w:r>
    </w:p>
    <w:p w14:paraId="380AC0C5">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9" w:name="bookmark62"/>
      <w:bookmarkEnd w:id="79"/>
      <w:r>
        <w:rPr>
          <w:rFonts w:hint="eastAsia" w:ascii="宋体" w:hAnsi="宋体" w:eastAsia="宋体" w:cs="宋体"/>
          <w:color w:val="auto"/>
          <w:highlight w:val="none"/>
        </w:rPr>
        <w:t>7.2 评标结果异议</w:t>
      </w:r>
    </w:p>
    <w:p w14:paraId="07BDC68C">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投标人或者其他利害关系人对评标结果有异议的，应当在中标候选人公示期间提出。招标人将在收到异议之日起3日内作出答复；作出答复前，将暂停招标投标活动。</w:t>
      </w:r>
    </w:p>
    <w:p w14:paraId="4CD3D638">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0" w:name="bookmark63"/>
      <w:bookmarkEnd w:id="80"/>
      <w:r>
        <w:rPr>
          <w:rFonts w:hint="eastAsia" w:ascii="宋体" w:hAnsi="宋体" w:eastAsia="宋体" w:cs="宋体"/>
          <w:color w:val="auto"/>
          <w:highlight w:val="none"/>
        </w:rPr>
        <w:t>7.3 中标候选人履约能力审查</w:t>
      </w:r>
    </w:p>
    <w:p w14:paraId="4CA73942">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1F5B3115">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1" w:name="bookmark64"/>
      <w:bookmarkEnd w:id="81"/>
      <w:r>
        <w:rPr>
          <w:rFonts w:hint="eastAsia" w:ascii="宋体" w:hAnsi="宋体" w:eastAsia="宋体" w:cs="宋体"/>
          <w:color w:val="auto"/>
          <w:highlight w:val="none"/>
        </w:rPr>
        <w:t>7.4 定标</w:t>
      </w:r>
    </w:p>
    <w:p w14:paraId="57CDD0F0">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按照投标人须知前附表的规定，招标人或招标人授权的评标委员会依法确定中标人。</w:t>
      </w:r>
    </w:p>
    <w:p w14:paraId="7E4723B6">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2" w:name="bookmark65"/>
      <w:bookmarkEnd w:id="82"/>
      <w:r>
        <w:rPr>
          <w:rFonts w:hint="eastAsia" w:ascii="宋体" w:hAnsi="宋体" w:eastAsia="宋体" w:cs="宋体"/>
          <w:color w:val="auto"/>
          <w:highlight w:val="none"/>
        </w:rPr>
        <w:t>7.5 中标通知</w:t>
      </w:r>
    </w:p>
    <w:p w14:paraId="2BA72F0D">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lang w:val="en-US" w:eastAsia="zh-CN"/>
        </w:rPr>
      </w:pPr>
      <w:bookmarkStart w:id="83" w:name="bookmark66"/>
      <w:bookmarkEnd w:id="83"/>
      <w:r>
        <w:rPr>
          <w:rFonts w:hint="eastAsia" w:ascii="宋体" w:hAnsi="宋体" w:eastAsia="宋体" w:cs="宋体"/>
          <w:color w:val="auto"/>
          <w:sz w:val="24"/>
          <w:szCs w:val="24"/>
          <w:highlight w:val="none"/>
          <w:lang w:val="en-US" w:eastAsia="zh-CN"/>
        </w:rPr>
        <w:t>7.5.1  在法规规定的时间内，招标人以书面形式向中标人发出中标通知书。在广州交易集团有限公司（广州公共资源交易中心）网和广东省招标投标监管网发布中标信息，视同将中标结果通知未中标的投标人。</w:t>
      </w:r>
    </w:p>
    <w:p w14:paraId="11F3FF82">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7.5.2  中标通知书发出前，中标人应被纳入失信联合惩戒名单</w:t>
      </w:r>
      <w:r>
        <w:rPr>
          <w:rFonts w:hint="eastAsia"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，否则招标人将取消其中标资格。失信联合惩戒名单以“信用广州”网站公布的“黑名单”为准。</w:t>
      </w:r>
    </w:p>
    <w:p w14:paraId="2606C409">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7.6 履约保证金</w:t>
      </w:r>
    </w:p>
    <w:p w14:paraId="7ACC2B80">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本项目不要求递交履约保证金。</w:t>
      </w:r>
    </w:p>
    <w:p w14:paraId="31B812F7">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4" w:name="bookmark67"/>
      <w:bookmarkEnd w:id="84"/>
      <w:r>
        <w:rPr>
          <w:rFonts w:hint="eastAsia" w:ascii="宋体" w:hAnsi="宋体" w:eastAsia="宋体" w:cs="宋体"/>
          <w:color w:val="auto"/>
          <w:highlight w:val="none"/>
        </w:rPr>
        <w:t>7.7 签订合同</w:t>
      </w:r>
    </w:p>
    <w:p w14:paraId="23A159E6">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7.7.1 招标人和中标人应当在中标通知书发出之日起30日内，根据招标文件和中标人的投标文件订立书面合同</w:t>
      </w:r>
      <w:r>
        <w:rPr>
          <w:rFonts w:hint="eastAsia" w:ascii="宋体" w:hAnsi="宋体" w:eastAsia="宋体" w:cs="宋体"/>
          <w:color w:val="auto"/>
          <w:sz w:val="24"/>
          <w:highlight w:val="none"/>
          <w:lang w:eastAsia="zh-CN"/>
        </w:rPr>
        <w:t>，并通过电子交易系统与中标人在线签订合同</w:t>
      </w:r>
      <w:r>
        <w:rPr>
          <w:rFonts w:hint="eastAsia" w:ascii="宋体" w:hAnsi="宋体" w:eastAsia="宋体" w:cs="宋体"/>
          <w:color w:val="auto"/>
          <w:sz w:val="24"/>
          <w:szCs w:val="24"/>
          <w:highlight w:val="none"/>
        </w:rPr>
        <w:t>。中标人无正当理由拒签合同，在签订合同时向招标人提出附加条件</w:t>
      </w:r>
      <w:r>
        <w:rPr>
          <w:rFonts w:hint="default" w:cs="Times New Roman"/>
          <w:color w:val="auto"/>
          <w:sz w:val="24"/>
          <w:szCs w:val="24"/>
          <w:highlight w:val="none"/>
        </w:rPr>
        <w:t>，或者不按照招标文件要求提交履约保证金的</w:t>
      </w:r>
      <w:r>
        <w:rPr>
          <w:rFonts w:hint="eastAsia" w:ascii="宋体" w:hAnsi="宋体" w:eastAsia="宋体" w:cs="宋体"/>
          <w:color w:val="auto"/>
          <w:sz w:val="24"/>
          <w:szCs w:val="24"/>
          <w:highlight w:val="none"/>
        </w:rPr>
        <w:t>，招标人有权取消其中标资格；给招标人造成的损失，中标人还应当予以赔偿。</w:t>
      </w:r>
    </w:p>
    <w:p w14:paraId="4961EA91">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7.7.2 发出中标通知书后，招标人无正当理由拒签合同，或者在签订合同时向中标人提出附加条件的；给中标人造成损失的，还应当赔偿损失。</w:t>
      </w:r>
    </w:p>
    <w:p w14:paraId="29F14024">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7.7.3 联合体中标的，联合体各方应当共同与招标人签订合同，就中标项目向招标人承担连带责任。</w:t>
      </w:r>
    </w:p>
    <w:p w14:paraId="0FDCD83A">
      <w:pPr>
        <w:pStyle w:val="4"/>
        <w:keepNext w:val="0"/>
        <w:keepLines w:val="0"/>
        <w:pageBreakBefore w:val="0"/>
        <w:widowControl w:val="0"/>
        <w:shd w:val="clear"/>
        <w:kinsoku/>
        <w:wordWrap/>
        <w:topLinePunct w:val="0"/>
        <w:autoSpaceDE w:val="0"/>
        <w:autoSpaceDN w:val="0"/>
        <w:bidi w:val="0"/>
        <w:adjustRightInd w:val="0"/>
        <w:snapToGrid/>
        <w:spacing w:line="360" w:lineRule="auto"/>
        <w:textAlignment w:val="auto"/>
        <w:outlineLvl w:val="1"/>
        <w:rPr>
          <w:rFonts w:hint="eastAsia" w:ascii="宋体" w:hAnsi="宋体" w:eastAsia="宋体" w:cs="宋体"/>
          <w:b w:val="0"/>
          <w:color w:val="auto"/>
          <w:sz w:val="30"/>
          <w:szCs w:val="24"/>
          <w:highlight w:val="none"/>
        </w:rPr>
      </w:pPr>
      <w:bookmarkStart w:id="85" w:name="bookmark68"/>
      <w:bookmarkEnd w:id="85"/>
      <w:bookmarkStart w:id="86" w:name="_Toc5503"/>
      <w:r>
        <w:rPr>
          <w:rFonts w:hint="eastAsia" w:ascii="宋体" w:hAnsi="宋体" w:eastAsia="宋体" w:cs="宋体"/>
          <w:color w:val="auto"/>
          <w:sz w:val="24"/>
          <w:szCs w:val="24"/>
          <w:highlight w:val="none"/>
        </w:rPr>
        <w:t>8.纪律和监督</w:t>
      </w:r>
      <w:bookmarkEnd w:id="86"/>
    </w:p>
    <w:p w14:paraId="08A4A036">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7" w:name="bookmark69"/>
      <w:bookmarkEnd w:id="87"/>
      <w:r>
        <w:rPr>
          <w:rFonts w:hint="eastAsia" w:ascii="宋体" w:hAnsi="宋体" w:eastAsia="宋体" w:cs="宋体"/>
          <w:color w:val="auto"/>
          <w:highlight w:val="none"/>
        </w:rPr>
        <w:t>8.1 对招标人的纪律要求</w:t>
      </w:r>
    </w:p>
    <w:p w14:paraId="46C30733">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招标人不得泄露招标投标活动中应当保密的情况和资料，不得与投标人串通损害国家利益、社会公共利益或者他人合法权益。</w:t>
      </w:r>
    </w:p>
    <w:p w14:paraId="653D099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8" w:name="bookmark70"/>
      <w:bookmarkEnd w:id="88"/>
      <w:r>
        <w:rPr>
          <w:rFonts w:hint="eastAsia" w:ascii="宋体" w:hAnsi="宋体" w:eastAsia="宋体" w:cs="宋体"/>
          <w:color w:val="auto"/>
          <w:highlight w:val="none"/>
        </w:rPr>
        <w:t>8.2 对投标人的纪律要求</w:t>
      </w:r>
    </w:p>
    <w:p w14:paraId="4D7B0852">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BDE68B7">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9" w:name="bookmark71"/>
      <w:bookmarkEnd w:id="89"/>
      <w:r>
        <w:rPr>
          <w:rFonts w:hint="eastAsia" w:ascii="宋体" w:hAnsi="宋体" w:eastAsia="宋体" w:cs="宋体"/>
          <w:color w:val="auto"/>
          <w:highlight w:val="none"/>
        </w:rPr>
        <w:t>8.3 对评标委员会成员的纪律要求</w:t>
      </w:r>
    </w:p>
    <w:p w14:paraId="2CA660BF">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评标委员会成员不得收受他人的财物或者其他好处，不得向他人透露对投标文件的评审和比较、中标候选人的推荐情况以及</w:t>
      </w:r>
      <w:r>
        <w:rPr>
          <w:rFonts w:hint="eastAsia" w:cs="宋体"/>
          <w:color w:val="auto"/>
          <w:sz w:val="24"/>
          <w:szCs w:val="24"/>
          <w:highlight w:val="none"/>
          <w:lang w:val="en-US" w:eastAsia="zh-CN"/>
        </w:rPr>
        <w:t>与</w:t>
      </w:r>
      <w:r>
        <w:rPr>
          <w:rFonts w:hint="eastAsia" w:ascii="宋体" w:hAnsi="宋体" w:eastAsia="宋体" w:cs="宋体"/>
          <w:color w:val="auto"/>
          <w:sz w:val="24"/>
          <w:szCs w:val="24"/>
          <w:highlight w:val="none"/>
        </w:rPr>
        <w:t>评标有关的其他情况。在评标活动中，评标委员会成员应当客观、公正地履行职责，遵守职业道德，不得擅离职守，影响评标程序正常进行，不得使用第三章“评标办法”没有规定的评审因素和标准进行评标。</w:t>
      </w:r>
    </w:p>
    <w:p w14:paraId="4F58FEA2">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0" w:name="bookmark72"/>
      <w:bookmarkEnd w:id="90"/>
      <w:r>
        <w:rPr>
          <w:rFonts w:hint="eastAsia" w:ascii="宋体" w:hAnsi="宋体" w:eastAsia="宋体" w:cs="宋体"/>
          <w:color w:val="auto"/>
          <w:highlight w:val="none"/>
        </w:rPr>
        <w:t>8.4 对与评标活动有关的工作人员的纪律要求</w:t>
      </w:r>
    </w:p>
    <w:p w14:paraId="73CD5F52">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与评标活动有关的工作人员不得收受他人的财物或者其他好处，不得向他人透露对投标文件的评审和比较、中标候选人的推荐情况以及</w:t>
      </w:r>
      <w:r>
        <w:rPr>
          <w:rFonts w:hint="eastAsia" w:cs="宋体"/>
          <w:color w:val="auto"/>
          <w:sz w:val="24"/>
          <w:szCs w:val="24"/>
          <w:highlight w:val="none"/>
          <w:lang w:val="en-US" w:eastAsia="zh-CN"/>
        </w:rPr>
        <w:t>与</w:t>
      </w:r>
      <w:r>
        <w:rPr>
          <w:rFonts w:hint="eastAsia" w:ascii="宋体" w:hAnsi="宋体" w:eastAsia="宋体" w:cs="宋体"/>
          <w:color w:val="auto"/>
          <w:sz w:val="24"/>
          <w:szCs w:val="24"/>
          <w:highlight w:val="none"/>
        </w:rPr>
        <w:t>评标有关的其他情况。在评标活动中，与评标活动有关的工作人员不得擅离职守，影响评标程序正常进行。</w:t>
      </w:r>
    </w:p>
    <w:p w14:paraId="68DE0633">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1" w:name="bookmark73"/>
      <w:bookmarkEnd w:id="91"/>
      <w:r>
        <w:rPr>
          <w:rFonts w:hint="eastAsia" w:ascii="宋体" w:hAnsi="宋体" w:eastAsia="宋体" w:cs="宋体"/>
          <w:color w:val="auto"/>
          <w:highlight w:val="none"/>
        </w:rPr>
        <w:t>8.5 投诉</w:t>
      </w:r>
    </w:p>
    <w:p w14:paraId="06C25CDA">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0E098617">
      <w:pPr>
        <w:pStyle w:val="11"/>
        <w:keepNext w:val="0"/>
        <w:keepLines w:val="0"/>
        <w:pageBreakBefore w:val="0"/>
        <w:widowControl w:val="0"/>
        <w:shd w:val="clear"/>
        <w:tabs>
          <w:tab w:val="left" w:pos="1343"/>
          <w:tab w:val="left" w:pos="2697"/>
          <w:tab w:val="left" w:pos="3264"/>
          <w:tab w:val="left" w:pos="4896"/>
          <w:tab w:val="left" w:pos="6005"/>
          <w:tab w:val="left" w:pos="7085"/>
          <w:tab w:val="left" w:pos="7498"/>
        </w:tabs>
        <w:kinsoku/>
        <w:wordWrap/>
        <w:overflowPunct w:val="0"/>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8.5.2  投标人或者其他利害关系人对招标文件、开标和评标结果提出投诉的，应当按照投标人须知第5.3款和第7.2款的规定先向招标人提出异议。异议答复期间不计算在第8.5.1项规定的期限内。</w:t>
      </w:r>
    </w:p>
    <w:p w14:paraId="62607550">
      <w:pPr>
        <w:pStyle w:val="4"/>
        <w:shd w:val="clear"/>
        <w:outlineLvl w:val="1"/>
        <w:rPr>
          <w:rFonts w:hint="eastAsia" w:ascii="宋体" w:hAnsi="宋体" w:eastAsia="宋体" w:cs="宋体"/>
          <w:b w:val="0"/>
          <w:color w:val="auto"/>
          <w:sz w:val="19"/>
          <w:szCs w:val="24"/>
          <w:highlight w:val="none"/>
        </w:rPr>
      </w:pPr>
      <w:bookmarkStart w:id="92" w:name="bookmark74"/>
      <w:bookmarkEnd w:id="92"/>
      <w:bookmarkStart w:id="93" w:name="_Toc31836"/>
      <w:r>
        <w:rPr>
          <w:rFonts w:hint="eastAsia" w:ascii="宋体" w:hAnsi="宋体" w:eastAsia="宋体" w:cs="宋体"/>
          <w:color w:val="auto"/>
          <w:sz w:val="24"/>
          <w:szCs w:val="24"/>
          <w:highlight w:val="none"/>
        </w:rPr>
        <w:t>9.采用电子招标投标</w:t>
      </w:r>
      <w:bookmarkEnd w:id="93"/>
    </w:p>
    <w:p w14:paraId="30F6DC8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4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本招标项目采用电子招标投标方式，</w:t>
      </w:r>
      <w:r>
        <w:rPr>
          <w:rFonts w:hint="eastAsia" w:ascii="宋体" w:hAnsi="宋体" w:eastAsia="宋体" w:cs="宋体"/>
          <w:color w:val="auto"/>
          <w:spacing w:val="-8"/>
          <w:sz w:val="24"/>
          <w:szCs w:val="24"/>
          <w:highlight w:val="none"/>
          <w:lang w:eastAsia="zh-CN"/>
        </w:rPr>
        <w:t>按照广州交易集团有限公司（广州公共资源交易中心）网站关于全流程电子化项目的相关指南进行操作</w:t>
      </w:r>
      <w:r>
        <w:rPr>
          <w:rFonts w:hint="eastAsia" w:ascii="宋体" w:hAnsi="宋体" w:eastAsia="宋体" w:cs="宋体"/>
          <w:color w:val="auto"/>
          <w:sz w:val="24"/>
          <w:szCs w:val="24"/>
          <w:highlight w:val="none"/>
        </w:rPr>
        <w:t>。</w:t>
      </w:r>
    </w:p>
    <w:p w14:paraId="5B41551D">
      <w:pPr>
        <w:pStyle w:val="4"/>
        <w:shd w:val="clear"/>
        <w:outlineLvl w:val="1"/>
        <w:rPr>
          <w:rFonts w:hint="eastAsia" w:ascii="宋体" w:hAnsi="宋体" w:eastAsia="宋体" w:cs="宋体"/>
          <w:b w:val="0"/>
          <w:color w:val="auto"/>
          <w:sz w:val="19"/>
          <w:szCs w:val="24"/>
          <w:highlight w:val="none"/>
        </w:rPr>
      </w:pPr>
      <w:bookmarkStart w:id="94" w:name="bookmark75"/>
      <w:bookmarkEnd w:id="94"/>
      <w:bookmarkStart w:id="95" w:name="_Toc7238"/>
      <w:r>
        <w:rPr>
          <w:rFonts w:hint="eastAsia" w:ascii="宋体" w:hAnsi="宋体" w:eastAsia="宋体" w:cs="宋体"/>
          <w:color w:val="auto"/>
          <w:sz w:val="24"/>
          <w:szCs w:val="24"/>
          <w:highlight w:val="none"/>
        </w:rPr>
        <w:t>10.需要补充的其他内容</w:t>
      </w:r>
      <w:bookmarkEnd w:id="95"/>
    </w:p>
    <w:p w14:paraId="5F47F7F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48" w:firstLineChars="200"/>
        <w:jc w:val="both"/>
        <w:rPr>
          <w:rFonts w:hint="eastAsia" w:ascii="宋体" w:hAnsi="宋体" w:eastAsia="宋体" w:cs="宋体"/>
          <w:color w:val="auto"/>
          <w:spacing w:val="-8"/>
          <w:sz w:val="24"/>
          <w:szCs w:val="24"/>
          <w:highlight w:val="none"/>
          <w:lang w:eastAsia="zh-CN"/>
        </w:rPr>
      </w:pPr>
      <w:r>
        <w:rPr>
          <w:rFonts w:hint="eastAsia" w:ascii="宋体" w:hAnsi="宋体" w:cs="宋体"/>
          <w:color w:val="auto"/>
          <w:spacing w:val="-8"/>
          <w:sz w:val="24"/>
          <w:highlight w:val="none"/>
          <w:lang w:eastAsia="zh-CN"/>
        </w:rPr>
        <w:t>需要补充的其他内容：见投标人须知前附表。</w:t>
      </w:r>
    </w:p>
    <w:p w14:paraId="0B854B5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p>
    <w:p w14:paraId="56968CFC">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sectPr>
          <w:pgSz w:w="11905" w:h="16838"/>
          <w:pgMar w:top="1417" w:right="1417" w:bottom="1417" w:left="1417" w:header="737" w:footer="737" w:gutter="0"/>
          <w:lnNumType w:countBy="0" w:distance="360"/>
          <w:pgNumType w:fmt="decimal"/>
          <w:cols w:space="720" w:num="1"/>
        </w:sectPr>
      </w:pPr>
    </w:p>
    <w:p w14:paraId="7D0B13D2">
      <w:pPr>
        <w:pStyle w:val="5"/>
        <w:shd w:val="clear"/>
        <w:outlineLvl w:val="0"/>
        <w:rPr>
          <w:rFonts w:hint="eastAsia" w:ascii="宋体" w:hAnsi="宋体" w:eastAsia="宋体" w:cs="宋体"/>
          <w:color w:val="auto"/>
          <w:sz w:val="28"/>
          <w:szCs w:val="24"/>
          <w:highlight w:val="none"/>
        </w:rPr>
      </w:pPr>
      <w:bookmarkStart w:id="96" w:name="bookmark77"/>
      <w:bookmarkEnd w:id="96"/>
      <w:bookmarkStart w:id="97" w:name="bookmark76"/>
      <w:bookmarkEnd w:id="97"/>
      <w:bookmarkStart w:id="98" w:name="_Toc5057"/>
      <w:bookmarkStart w:id="99" w:name="_Toc1460"/>
      <w:r>
        <w:rPr>
          <w:rFonts w:hint="eastAsia" w:ascii="宋体" w:hAnsi="宋体" w:eastAsia="宋体" w:cs="宋体"/>
          <w:color w:val="auto"/>
          <w:sz w:val="28"/>
          <w:szCs w:val="24"/>
          <w:highlight w:val="none"/>
        </w:rPr>
        <w:t>附件</w:t>
      </w:r>
      <w:r>
        <w:rPr>
          <w:rFonts w:hint="eastAsia" w:ascii="宋体" w:hAnsi="宋体" w:eastAsia="宋体" w:cs="宋体"/>
          <w:color w:val="auto"/>
          <w:sz w:val="28"/>
          <w:szCs w:val="24"/>
          <w:highlight w:val="none"/>
          <w:lang w:eastAsia="zh-CN"/>
        </w:rPr>
        <w:t>一</w:t>
      </w:r>
      <w:r>
        <w:rPr>
          <w:rFonts w:hint="eastAsia" w:ascii="宋体" w:hAnsi="宋体" w:eastAsia="宋体" w:cs="宋体"/>
          <w:color w:val="auto"/>
          <w:sz w:val="28"/>
          <w:szCs w:val="24"/>
          <w:highlight w:val="none"/>
        </w:rPr>
        <w:t>：问题澄清通知</w:t>
      </w:r>
      <w:bookmarkEnd w:id="98"/>
      <w:bookmarkEnd w:id="99"/>
    </w:p>
    <w:p w14:paraId="459EDD72">
      <w:pPr>
        <w:pStyle w:val="11"/>
        <w:shd w:val="clear"/>
        <w:kinsoku/>
        <w:overflowPunct w:val="0"/>
        <w:ind w:left="0"/>
        <w:rPr>
          <w:rFonts w:hint="eastAsia" w:ascii="宋体" w:hAnsi="宋体" w:eastAsia="宋体" w:cs="宋体"/>
          <w:color w:val="auto"/>
          <w:sz w:val="20"/>
          <w:szCs w:val="24"/>
          <w:highlight w:val="none"/>
        </w:rPr>
      </w:pPr>
    </w:p>
    <w:p w14:paraId="4D126792">
      <w:pPr>
        <w:pStyle w:val="11"/>
        <w:shd w:val="clear"/>
        <w:kinsoku/>
        <w:overflowPunct w:val="0"/>
        <w:ind w:left="0"/>
        <w:rPr>
          <w:rFonts w:hint="eastAsia" w:ascii="宋体" w:hAnsi="宋体" w:eastAsia="宋体" w:cs="宋体"/>
          <w:color w:val="auto"/>
          <w:sz w:val="20"/>
          <w:szCs w:val="24"/>
          <w:highlight w:val="none"/>
        </w:rPr>
      </w:pPr>
    </w:p>
    <w:p w14:paraId="3841ED5B">
      <w:pPr>
        <w:pStyle w:val="11"/>
        <w:shd w:val="clear"/>
        <w:kinsoku/>
        <w:overflowPunct w:val="0"/>
        <w:ind w:left="0"/>
        <w:rPr>
          <w:rFonts w:hint="eastAsia" w:ascii="宋体" w:hAnsi="宋体" w:eastAsia="宋体" w:cs="宋体"/>
          <w:color w:val="auto"/>
          <w:sz w:val="20"/>
          <w:szCs w:val="24"/>
          <w:highlight w:val="none"/>
        </w:rPr>
      </w:pPr>
    </w:p>
    <w:p w14:paraId="2C7FEB1E">
      <w:pPr>
        <w:pStyle w:val="11"/>
        <w:shd w:val="clear"/>
        <w:kinsoku/>
        <w:overflowPunct w:val="0"/>
        <w:spacing w:before="4"/>
        <w:ind w:left="0"/>
        <w:rPr>
          <w:rFonts w:hint="eastAsia" w:ascii="宋体" w:hAnsi="宋体" w:eastAsia="宋体" w:cs="宋体"/>
          <w:color w:val="auto"/>
          <w:sz w:val="17"/>
          <w:szCs w:val="24"/>
          <w:highlight w:val="none"/>
        </w:rPr>
      </w:pPr>
    </w:p>
    <w:p w14:paraId="1381B14A">
      <w:pPr>
        <w:pStyle w:val="11"/>
        <w:shd w:val="clear"/>
        <w:kinsoku/>
        <w:overflowPunct w:val="0"/>
        <w:spacing w:before="14"/>
        <w:ind w:left="0" w:right="13"/>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问题澄清通知</w:t>
      </w:r>
    </w:p>
    <w:p w14:paraId="7D054A0D">
      <w:pPr>
        <w:pStyle w:val="11"/>
        <w:shd w:val="clear"/>
        <w:tabs>
          <w:tab w:val="left" w:pos="2937"/>
        </w:tabs>
        <w:kinsoku/>
        <w:overflowPunct w:val="0"/>
        <w:spacing w:before="157"/>
        <w:ind w:left="0" w:right="20"/>
        <w:jc w:val="center"/>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（编号：</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z w:val="21"/>
          <w:szCs w:val="24"/>
          <w:highlight w:val="none"/>
        </w:rPr>
        <w:t>）</w:t>
      </w:r>
    </w:p>
    <w:p w14:paraId="40DDBBE5">
      <w:pPr>
        <w:pStyle w:val="11"/>
        <w:shd w:val="clear"/>
        <w:kinsoku/>
        <w:overflowPunct w:val="0"/>
        <w:ind w:left="0"/>
        <w:rPr>
          <w:rFonts w:hint="eastAsia" w:ascii="宋体" w:hAnsi="宋体" w:eastAsia="宋体" w:cs="宋体"/>
          <w:color w:val="auto"/>
          <w:sz w:val="20"/>
          <w:szCs w:val="24"/>
          <w:highlight w:val="none"/>
        </w:rPr>
      </w:pPr>
    </w:p>
    <w:p w14:paraId="43864B2C">
      <w:pPr>
        <w:pStyle w:val="11"/>
        <w:shd w:val="clear"/>
        <w:kinsoku/>
        <w:overflowPunct w:val="0"/>
        <w:spacing w:before="5"/>
        <w:ind w:left="0"/>
        <w:rPr>
          <w:rFonts w:hint="eastAsia" w:ascii="宋体" w:hAnsi="宋体" w:eastAsia="宋体" w:cs="宋体"/>
          <w:color w:val="auto"/>
          <w:sz w:val="23"/>
          <w:szCs w:val="24"/>
          <w:highlight w:val="none"/>
        </w:rPr>
      </w:pPr>
    </w:p>
    <w:p w14:paraId="142469BC">
      <w:pPr>
        <w:pStyle w:val="11"/>
        <w:shd w:val="clear"/>
        <w:tabs>
          <w:tab w:val="left" w:pos="2305"/>
        </w:tabs>
        <w:kinsoku/>
        <w:overflowPunct w:val="0"/>
        <w:spacing w:before="36"/>
        <w:ind w:left="100" w:right="113"/>
        <w:rPr>
          <w:rFonts w:hint="eastAsia" w:ascii="宋体" w:hAnsi="宋体" w:eastAsia="宋体" w:cs="宋体"/>
          <w:color w:val="auto"/>
          <w:spacing w:val="-1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15"/>
          <w:sz w:val="21"/>
          <w:szCs w:val="24"/>
          <w:highlight w:val="none"/>
        </w:rPr>
        <w:t>（投标人名称）：</w:t>
      </w:r>
    </w:p>
    <w:p w14:paraId="071BA88D">
      <w:pPr>
        <w:pStyle w:val="11"/>
        <w:shd w:val="clear"/>
        <w:kinsoku/>
        <w:overflowPunct w:val="0"/>
        <w:ind w:left="0"/>
        <w:rPr>
          <w:rFonts w:hint="eastAsia" w:ascii="宋体" w:hAnsi="宋体" w:eastAsia="宋体" w:cs="宋体"/>
          <w:color w:val="auto"/>
          <w:sz w:val="20"/>
          <w:szCs w:val="24"/>
          <w:highlight w:val="none"/>
        </w:rPr>
      </w:pPr>
    </w:p>
    <w:p w14:paraId="39C1DB1E">
      <w:pPr>
        <w:pStyle w:val="11"/>
        <w:shd w:val="clear"/>
        <w:kinsoku/>
        <w:overflowPunct w:val="0"/>
        <w:spacing w:before="8"/>
        <w:ind w:left="0"/>
        <w:rPr>
          <w:rFonts w:hint="eastAsia" w:ascii="宋体" w:hAnsi="宋体" w:eastAsia="宋体" w:cs="宋体"/>
          <w:color w:val="auto"/>
          <w:sz w:val="23"/>
          <w:szCs w:val="24"/>
          <w:highlight w:val="none"/>
        </w:rPr>
      </w:pPr>
    </w:p>
    <w:p w14:paraId="13B18BBB">
      <w:pPr>
        <w:pStyle w:val="11"/>
        <w:shd w:val="clear"/>
        <w:kinsoku/>
        <w:overflowPunct w:val="0"/>
        <w:spacing w:before="36" w:line="384" w:lineRule="auto"/>
        <w:ind w:left="100" w:right="113" w:firstLine="422"/>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评标委员会对你方的投标文件进行了仔细的审查，现需你方对下列问题以书面形式予以澄</w:t>
      </w:r>
      <w:r>
        <w:rPr>
          <w:rFonts w:hint="eastAsia" w:ascii="宋体" w:hAnsi="宋体" w:eastAsia="宋体" w:cs="宋体"/>
          <w:color w:val="auto"/>
          <w:sz w:val="21"/>
          <w:szCs w:val="24"/>
          <w:highlight w:val="none"/>
        </w:rPr>
        <w:t xml:space="preserve"> 清、说明或补正：</w:t>
      </w:r>
    </w:p>
    <w:p w14:paraId="36DAA00D">
      <w:pPr>
        <w:pStyle w:val="11"/>
        <w:shd w:val="clear"/>
        <w:kinsoku/>
        <w:overflowPunct w:val="0"/>
        <w:ind w:left="0"/>
        <w:rPr>
          <w:rFonts w:hint="eastAsia" w:ascii="宋体" w:hAnsi="宋体" w:eastAsia="宋体" w:cs="宋体"/>
          <w:color w:val="auto"/>
          <w:sz w:val="20"/>
          <w:szCs w:val="24"/>
          <w:highlight w:val="none"/>
        </w:rPr>
      </w:pPr>
    </w:p>
    <w:p w14:paraId="26ACF897">
      <w:pPr>
        <w:pStyle w:val="11"/>
        <w:shd w:val="clear"/>
        <w:kinsoku/>
        <w:overflowPunct w:val="0"/>
        <w:spacing w:before="6"/>
        <w:ind w:left="0"/>
        <w:rPr>
          <w:rFonts w:hint="eastAsia" w:ascii="宋体" w:hAnsi="宋体" w:eastAsia="宋体" w:cs="宋体"/>
          <w:color w:val="auto"/>
          <w:sz w:val="20"/>
          <w:szCs w:val="24"/>
          <w:highlight w:val="none"/>
        </w:rPr>
      </w:pPr>
    </w:p>
    <w:p w14:paraId="0B2B01B6">
      <w:pPr>
        <w:pStyle w:val="11"/>
        <w:shd w:val="clear"/>
        <w:kinsoku/>
        <w:overflowPunct w:val="0"/>
        <w:ind w:left="522"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p>
    <w:p w14:paraId="6D643089">
      <w:pPr>
        <w:pStyle w:val="11"/>
        <w:shd w:val="clear"/>
        <w:kinsoku/>
        <w:overflowPunct w:val="0"/>
        <w:spacing w:before="2"/>
        <w:ind w:left="0"/>
        <w:rPr>
          <w:rFonts w:hint="eastAsia" w:ascii="宋体" w:hAnsi="宋体" w:eastAsia="宋体" w:cs="宋体"/>
          <w:color w:val="auto"/>
          <w:sz w:val="17"/>
          <w:szCs w:val="24"/>
          <w:highlight w:val="none"/>
        </w:rPr>
      </w:pPr>
    </w:p>
    <w:p w14:paraId="13E526E6">
      <w:pPr>
        <w:pStyle w:val="11"/>
        <w:shd w:val="clear"/>
        <w:kinsoku/>
        <w:overflowPunct w:val="0"/>
        <w:ind w:left="522"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p>
    <w:p w14:paraId="1D82679E">
      <w:pPr>
        <w:pStyle w:val="11"/>
        <w:shd w:val="clear"/>
        <w:kinsoku/>
        <w:overflowPunct w:val="0"/>
        <w:spacing w:before="5"/>
        <w:ind w:left="0"/>
        <w:rPr>
          <w:rFonts w:hint="eastAsia" w:ascii="宋体" w:hAnsi="宋体" w:eastAsia="宋体" w:cs="宋体"/>
          <w:color w:val="auto"/>
          <w:sz w:val="17"/>
          <w:szCs w:val="24"/>
          <w:highlight w:val="none"/>
        </w:rPr>
      </w:pPr>
    </w:p>
    <w:p w14:paraId="15852DD2">
      <w:pPr>
        <w:pStyle w:val="11"/>
        <w:shd w:val="clear"/>
        <w:kinsoku/>
        <w:overflowPunct w:val="0"/>
        <w:ind w:left="628"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p>
    <w:p w14:paraId="26B6C364">
      <w:pPr>
        <w:pStyle w:val="11"/>
        <w:shd w:val="clear"/>
        <w:kinsoku/>
        <w:overflowPunct w:val="0"/>
        <w:ind w:left="0"/>
        <w:rPr>
          <w:rFonts w:hint="eastAsia" w:ascii="宋体" w:hAnsi="宋体" w:eastAsia="宋体" w:cs="宋体"/>
          <w:color w:val="auto"/>
          <w:sz w:val="20"/>
          <w:szCs w:val="24"/>
          <w:highlight w:val="none"/>
        </w:rPr>
      </w:pPr>
    </w:p>
    <w:p w14:paraId="1B224854">
      <w:pPr>
        <w:pStyle w:val="11"/>
        <w:shd w:val="clear"/>
        <w:kinsoku/>
        <w:overflowPunct w:val="0"/>
        <w:ind w:left="0"/>
        <w:rPr>
          <w:rFonts w:hint="eastAsia" w:ascii="宋体" w:hAnsi="宋体" w:eastAsia="宋体" w:cs="宋体"/>
          <w:color w:val="auto"/>
          <w:sz w:val="20"/>
          <w:szCs w:val="24"/>
          <w:highlight w:val="none"/>
        </w:rPr>
      </w:pPr>
    </w:p>
    <w:p w14:paraId="1C9A92F4">
      <w:pPr>
        <w:pStyle w:val="11"/>
        <w:shd w:val="clear"/>
        <w:tabs>
          <w:tab w:val="left" w:pos="4603"/>
          <w:tab w:val="left" w:pos="5549"/>
          <w:tab w:val="left" w:pos="6494"/>
          <w:tab w:val="left" w:pos="7438"/>
        </w:tabs>
        <w:kinsoku/>
        <w:overflowPunct w:val="0"/>
        <w:spacing w:before="127"/>
        <w:ind w:left="505" w:right="113"/>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请将上述问题的澄清、说明或补正于</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z w:val="21"/>
          <w:szCs w:val="24"/>
          <w:highlight w:val="none"/>
        </w:rPr>
        <w:t>年</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3"/>
          <w:sz w:val="21"/>
          <w:szCs w:val="24"/>
          <w:highlight w:val="none"/>
        </w:rPr>
        <w:t>日</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pacing w:val="-2"/>
          <w:sz w:val="21"/>
          <w:szCs w:val="24"/>
          <w:highlight w:val="none"/>
        </w:rPr>
        <w:t>时前递交至</w:t>
      </w:r>
    </w:p>
    <w:p w14:paraId="24A8363A">
      <w:pPr>
        <w:pStyle w:val="11"/>
        <w:shd w:val="clear"/>
        <w:kinsoku/>
        <w:overflowPunct w:val="0"/>
        <w:spacing w:before="13"/>
        <w:ind w:left="0"/>
        <w:rPr>
          <w:rFonts w:hint="eastAsia" w:ascii="宋体" w:hAnsi="宋体" w:eastAsia="宋体" w:cs="宋体"/>
          <w:color w:val="auto"/>
          <w:sz w:val="9"/>
          <w:szCs w:val="24"/>
          <w:highlight w:val="none"/>
        </w:rPr>
      </w:pPr>
    </w:p>
    <w:p w14:paraId="7CA37993">
      <w:pPr>
        <w:pStyle w:val="11"/>
        <w:shd w:val="clear"/>
        <w:tabs>
          <w:tab w:val="left" w:pos="3040"/>
          <w:tab w:val="left" w:pos="7296"/>
        </w:tabs>
        <w:kinsoku/>
        <w:overflowPunct w:val="0"/>
        <w:spacing w:before="36"/>
        <w:ind w:left="100"/>
        <w:rPr>
          <w:rFonts w:hint="eastAsia" w:ascii="宋体" w:hAnsi="宋体" w:eastAsia="宋体" w:cs="宋体"/>
          <w:color w:val="auto"/>
          <w:spacing w:val="-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5"/>
          <w:sz w:val="21"/>
          <w:szCs w:val="24"/>
          <w:highlight w:val="none"/>
        </w:rPr>
        <w:t>（详细地址）或传真至</w:t>
      </w:r>
      <w:r>
        <w:rPr>
          <w:rFonts w:hint="eastAsia" w:ascii="宋体" w:hAnsi="宋体" w:eastAsia="宋体" w:cs="宋体"/>
          <w:color w:val="auto"/>
          <w:spacing w:val="-5"/>
          <w:sz w:val="21"/>
          <w:szCs w:val="24"/>
          <w:highlight w:val="none"/>
          <w:u w:val="single"/>
        </w:rPr>
        <w:tab/>
      </w:r>
      <w:r>
        <w:rPr>
          <w:rFonts w:hint="eastAsia" w:ascii="宋体" w:hAnsi="宋体" w:eastAsia="宋体" w:cs="宋体"/>
          <w:color w:val="auto"/>
          <w:spacing w:val="-5"/>
          <w:sz w:val="21"/>
          <w:szCs w:val="24"/>
          <w:highlight w:val="none"/>
        </w:rPr>
        <w:t>（传真号码）或</w:t>
      </w:r>
    </w:p>
    <w:p w14:paraId="14471711">
      <w:pPr>
        <w:pStyle w:val="11"/>
        <w:shd w:val="clear"/>
        <w:kinsoku/>
        <w:overflowPunct w:val="0"/>
        <w:spacing w:before="10"/>
        <w:ind w:left="0"/>
        <w:rPr>
          <w:rFonts w:hint="eastAsia" w:ascii="宋体" w:hAnsi="宋体" w:eastAsia="宋体" w:cs="宋体"/>
          <w:color w:val="auto"/>
          <w:sz w:val="9"/>
          <w:szCs w:val="24"/>
          <w:highlight w:val="none"/>
        </w:rPr>
      </w:pPr>
    </w:p>
    <w:p w14:paraId="023BEF93">
      <w:pPr>
        <w:pStyle w:val="11"/>
        <w:shd w:val="clear"/>
        <w:tabs>
          <w:tab w:val="left" w:pos="7138"/>
          <w:tab w:val="left" w:pos="8084"/>
        </w:tabs>
        <w:kinsoku/>
        <w:overflowPunct w:val="0"/>
        <w:spacing w:before="36"/>
        <w:ind w:left="100" w:right="113"/>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4"/>
          <w:highlight w:val="none"/>
        </w:rPr>
        <w:t>通过下载招标文件的电子招标交易平台上传。采用传真方式的，应在</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z w:val="21"/>
          <w:szCs w:val="24"/>
          <w:highlight w:val="none"/>
        </w:rPr>
        <w:t>年</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月</w:t>
      </w:r>
    </w:p>
    <w:p w14:paraId="6045943C">
      <w:pPr>
        <w:pStyle w:val="11"/>
        <w:shd w:val="clear"/>
        <w:kinsoku/>
        <w:overflowPunct w:val="0"/>
        <w:spacing w:before="10"/>
        <w:ind w:left="0"/>
        <w:rPr>
          <w:rFonts w:hint="eastAsia" w:ascii="宋体" w:hAnsi="宋体" w:eastAsia="宋体" w:cs="宋体"/>
          <w:color w:val="auto"/>
          <w:sz w:val="9"/>
          <w:szCs w:val="24"/>
          <w:highlight w:val="none"/>
        </w:rPr>
      </w:pPr>
    </w:p>
    <w:p w14:paraId="48BFE227">
      <w:pPr>
        <w:pStyle w:val="11"/>
        <w:shd w:val="clear"/>
        <w:tabs>
          <w:tab w:val="left" w:pos="837"/>
          <w:tab w:val="left" w:pos="1782"/>
          <w:tab w:val="left" w:pos="5669"/>
        </w:tabs>
        <w:kinsoku/>
        <w:overflowPunct w:val="0"/>
        <w:spacing w:before="36"/>
        <w:ind w:left="100" w:right="113"/>
        <w:rPr>
          <w:rFonts w:hint="eastAsia" w:ascii="宋体" w:hAnsi="宋体" w:eastAsia="宋体" w:cs="宋体"/>
          <w:color w:val="auto"/>
          <w:spacing w:val="-17"/>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日</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2"/>
          <w:sz w:val="21"/>
          <w:szCs w:val="24"/>
          <w:highlight w:val="none"/>
        </w:rPr>
        <w:t>时前将原件递交至</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17"/>
          <w:sz w:val="21"/>
          <w:szCs w:val="24"/>
          <w:highlight w:val="none"/>
        </w:rPr>
        <w:t>（详细地址）。</w:t>
      </w:r>
    </w:p>
    <w:p w14:paraId="25ED733C">
      <w:pPr>
        <w:pStyle w:val="11"/>
        <w:shd w:val="clear"/>
        <w:kinsoku/>
        <w:overflowPunct w:val="0"/>
        <w:ind w:left="0"/>
        <w:rPr>
          <w:rFonts w:hint="eastAsia" w:ascii="宋体" w:hAnsi="宋体" w:eastAsia="宋体" w:cs="宋体"/>
          <w:color w:val="auto"/>
          <w:sz w:val="20"/>
          <w:szCs w:val="24"/>
          <w:highlight w:val="none"/>
        </w:rPr>
      </w:pPr>
    </w:p>
    <w:p w14:paraId="4E29C12B">
      <w:pPr>
        <w:pStyle w:val="11"/>
        <w:shd w:val="clear"/>
        <w:kinsoku/>
        <w:overflowPunct w:val="0"/>
        <w:ind w:left="0"/>
        <w:rPr>
          <w:rFonts w:hint="eastAsia" w:ascii="宋体" w:hAnsi="宋体" w:eastAsia="宋体" w:cs="宋体"/>
          <w:color w:val="auto"/>
          <w:sz w:val="20"/>
          <w:szCs w:val="24"/>
          <w:highlight w:val="none"/>
        </w:rPr>
      </w:pPr>
    </w:p>
    <w:p w14:paraId="63C89C45">
      <w:pPr>
        <w:pStyle w:val="11"/>
        <w:shd w:val="clear"/>
        <w:kinsoku/>
        <w:overflowPunct w:val="0"/>
        <w:ind w:left="0"/>
        <w:rPr>
          <w:rFonts w:hint="eastAsia" w:ascii="宋体" w:hAnsi="宋体" w:eastAsia="宋体" w:cs="宋体"/>
          <w:color w:val="auto"/>
          <w:sz w:val="20"/>
          <w:szCs w:val="24"/>
          <w:highlight w:val="none"/>
        </w:rPr>
      </w:pPr>
    </w:p>
    <w:p w14:paraId="5B1F7105">
      <w:pPr>
        <w:pStyle w:val="11"/>
        <w:shd w:val="clear"/>
        <w:kinsoku/>
        <w:overflowPunct w:val="0"/>
        <w:spacing w:before="2"/>
        <w:ind w:left="0"/>
        <w:rPr>
          <w:rFonts w:hint="eastAsia" w:ascii="宋体" w:hAnsi="宋体" w:eastAsia="宋体" w:cs="宋体"/>
          <w:color w:val="auto"/>
          <w:sz w:val="17"/>
          <w:szCs w:val="24"/>
          <w:highlight w:val="none"/>
        </w:rPr>
      </w:pPr>
    </w:p>
    <w:p w14:paraId="23EB9E3B">
      <w:pPr>
        <w:pStyle w:val="11"/>
        <w:shd w:val="clear"/>
        <w:tabs>
          <w:tab w:val="left" w:pos="7032"/>
        </w:tabs>
        <w:kinsoku/>
        <w:overflowPunct w:val="0"/>
        <w:spacing w:before="36"/>
        <w:ind w:left="2200" w:right="113"/>
        <w:rPr>
          <w:rFonts w:hint="eastAsia" w:ascii="宋体" w:hAnsi="宋体" w:eastAsia="宋体" w:cs="宋体"/>
          <w:color w:val="auto"/>
          <w:spacing w:val="-1"/>
          <w:sz w:val="21"/>
          <w:szCs w:val="24"/>
          <w:highlight w:val="none"/>
        </w:rPr>
      </w:pPr>
      <w:r>
        <w:rPr>
          <w:rFonts w:hint="eastAsia" w:ascii="宋体" w:hAnsi="宋体" w:eastAsia="宋体" w:cs="宋体"/>
          <w:color w:val="auto"/>
          <w:spacing w:val="-2"/>
          <w:sz w:val="21"/>
          <w:szCs w:val="24"/>
          <w:highlight w:val="none"/>
        </w:rPr>
        <w:t>评标委员会</w:t>
      </w:r>
      <w:r>
        <w:rPr>
          <w:rFonts w:hint="eastAsia" w:ascii="宋体" w:hAnsi="宋体" w:eastAsia="宋体" w:cs="宋体"/>
          <w:color w:val="auto"/>
          <w:spacing w:val="-2"/>
          <w:sz w:val="21"/>
          <w:szCs w:val="24"/>
          <w:highlight w:val="none"/>
          <w:lang w:eastAsia="zh-CN"/>
        </w:rPr>
        <w:t>签字</w:t>
      </w:r>
      <w:r>
        <w:rPr>
          <w:rFonts w:hint="eastAsia" w:ascii="宋体" w:hAnsi="宋体" w:eastAsia="宋体" w:cs="宋体"/>
          <w:color w:val="auto"/>
          <w:spacing w:val="-2"/>
          <w:sz w:val="21"/>
          <w:szCs w:val="24"/>
          <w:highlight w:val="none"/>
        </w:rPr>
        <w:t>：</w:t>
      </w:r>
      <w:r>
        <w:rPr>
          <w:rFonts w:hint="eastAsia" w:ascii="宋体" w:hAnsi="宋体" w:eastAsia="宋体" w:cs="宋体"/>
          <w:color w:val="auto"/>
          <w:spacing w:val="-2"/>
          <w:sz w:val="21"/>
          <w:szCs w:val="24"/>
          <w:highlight w:val="none"/>
          <w:u w:val="single"/>
        </w:rPr>
        <w:tab/>
      </w:r>
    </w:p>
    <w:p w14:paraId="1CBF180C">
      <w:pPr>
        <w:pStyle w:val="11"/>
        <w:shd w:val="clear"/>
        <w:kinsoku/>
        <w:overflowPunct w:val="0"/>
        <w:ind w:left="0"/>
        <w:rPr>
          <w:rFonts w:hint="eastAsia" w:ascii="宋体" w:hAnsi="宋体" w:eastAsia="宋体" w:cs="宋体"/>
          <w:color w:val="auto"/>
          <w:sz w:val="20"/>
          <w:szCs w:val="24"/>
          <w:highlight w:val="none"/>
        </w:rPr>
      </w:pPr>
    </w:p>
    <w:p w14:paraId="37C18663">
      <w:pPr>
        <w:pStyle w:val="11"/>
        <w:shd w:val="clear"/>
        <w:kinsoku/>
        <w:overflowPunct w:val="0"/>
        <w:spacing w:before="7"/>
        <w:ind w:left="0"/>
        <w:rPr>
          <w:rFonts w:hint="eastAsia" w:ascii="宋体" w:hAnsi="宋体" w:eastAsia="宋体" w:cs="宋体"/>
          <w:color w:val="auto"/>
          <w:sz w:val="23"/>
          <w:szCs w:val="24"/>
          <w:highlight w:val="none"/>
        </w:rPr>
      </w:pPr>
    </w:p>
    <w:p w14:paraId="54293E32">
      <w:pPr>
        <w:pStyle w:val="11"/>
        <w:shd w:val="clear"/>
        <w:tabs>
          <w:tab w:val="left" w:pos="5803"/>
          <w:tab w:val="left" w:pos="6746"/>
          <w:tab w:val="left" w:pos="7692"/>
        </w:tabs>
        <w:kinsoku/>
        <w:overflowPunct w:val="0"/>
        <w:spacing w:before="36"/>
        <w:ind w:left="4961"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3"/>
          <w:sz w:val="21"/>
          <w:szCs w:val="24"/>
          <w:highlight w:val="none"/>
        </w:rPr>
        <w:t>年</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日</w:t>
      </w:r>
    </w:p>
    <w:p w14:paraId="26EADA0F">
      <w:pPr>
        <w:pStyle w:val="11"/>
        <w:shd w:val="clear"/>
        <w:tabs>
          <w:tab w:val="left" w:pos="5803"/>
          <w:tab w:val="left" w:pos="6746"/>
          <w:tab w:val="left" w:pos="7692"/>
        </w:tabs>
        <w:kinsoku/>
        <w:overflowPunct w:val="0"/>
        <w:spacing w:before="36"/>
        <w:ind w:left="4961" w:right="113"/>
        <w:rPr>
          <w:rFonts w:hint="eastAsia" w:ascii="宋体" w:hAnsi="宋体" w:eastAsia="宋体" w:cs="宋体"/>
          <w:color w:val="auto"/>
          <w:sz w:val="21"/>
          <w:szCs w:val="24"/>
          <w:highlight w:val="none"/>
        </w:rPr>
        <w:sectPr>
          <w:pgSz w:w="11905" w:h="16838"/>
          <w:pgMar w:top="1417" w:right="1417" w:bottom="1417" w:left="1417" w:header="737" w:footer="737" w:gutter="0"/>
          <w:lnNumType w:countBy="0" w:distance="360"/>
          <w:pgNumType w:fmt="decimal"/>
          <w:cols w:space="720" w:num="1"/>
        </w:sectPr>
      </w:pPr>
    </w:p>
    <w:p w14:paraId="5FB70CAD">
      <w:pPr>
        <w:pStyle w:val="2"/>
        <w:rPr>
          <w:rFonts w:hint="eastAsia" w:ascii="宋体" w:hAnsi="宋体" w:eastAsia="宋体" w:cs="宋体"/>
          <w:color w:val="auto"/>
          <w:sz w:val="28"/>
          <w:szCs w:val="24"/>
          <w:highlight w:val="none"/>
        </w:rPr>
      </w:pPr>
      <w:bookmarkStart w:id="100" w:name="bookmark78"/>
      <w:bookmarkEnd w:id="100"/>
      <w:r>
        <w:rPr>
          <w:rFonts w:hint="eastAsia" w:ascii="宋体" w:hAnsi="宋体" w:eastAsia="宋体" w:cs="宋体"/>
          <w:color w:val="auto"/>
          <w:sz w:val="28"/>
          <w:szCs w:val="24"/>
          <w:highlight w:val="none"/>
        </w:rPr>
        <w:t>附件</w:t>
      </w:r>
      <w:r>
        <w:rPr>
          <w:rFonts w:hint="eastAsia" w:ascii="宋体" w:hAnsi="宋体" w:eastAsia="宋体" w:cs="宋体"/>
          <w:color w:val="auto"/>
          <w:sz w:val="28"/>
          <w:szCs w:val="24"/>
          <w:highlight w:val="none"/>
          <w:lang w:eastAsia="zh-CN"/>
        </w:rPr>
        <w:t>二</w:t>
      </w:r>
      <w:r>
        <w:rPr>
          <w:rFonts w:hint="eastAsia" w:ascii="宋体" w:hAnsi="宋体" w:eastAsia="宋体" w:cs="宋体"/>
          <w:color w:val="auto"/>
          <w:sz w:val="28"/>
          <w:szCs w:val="24"/>
          <w:highlight w:val="none"/>
        </w:rPr>
        <w:t>：问题的澄清</w:t>
      </w:r>
    </w:p>
    <w:p w14:paraId="004C8148">
      <w:pPr>
        <w:pStyle w:val="11"/>
        <w:shd w:val="clear"/>
        <w:kinsoku/>
        <w:overflowPunct w:val="0"/>
        <w:ind w:left="0"/>
        <w:rPr>
          <w:rFonts w:hint="eastAsia" w:ascii="宋体" w:hAnsi="宋体" w:eastAsia="宋体" w:cs="宋体"/>
          <w:color w:val="auto"/>
          <w:sz w:val="20"/>
          <w:szCs w:val="24"/>
          <w:highlight w:val="none"/>
        </w:rPr>
      </w:pPr>
    </w:p>
    <w:p w14:paraId="221A9DBB">
      <w:pPr>
        <w:pStyle w:val="11"/>
        <w:shd w:val="clear"/>
        <w:kinsoku/>
        <w:overflowPunct w:val="0"/>
        <w:ind w:left="0"/>
        <w:rPr>
          <w:rFonts w:hint="eastAsia" w:ascii="宋体" w:hAnsi="宋体" w:eastAsia="宋体" w:cs="宋体"/>
          <w:color w:val="auto"/>
          <w:sz w:val="20"/>
          <w:szCs w:val="24"/>
          <w:highlight w:val="none"/>
        </w:rPr>
      </w:pPr>
    </w:p>
    <w:p w14:paraId="18991A3F">
      <w:pPr>
        <w:pStyle w:val="11"/>
        <w:shd w:val="clear"/>
        <w:kinsoku/>
        <w:overflowPunct w:val="0"/>
        <w:ind w:left="0"/>
        <w:rPr>
          <w:rFonts w:hint="eastAsia" w:ascii="宋体" w:hAnsi="宋体" w:eastAsia="宋体" w:cs="宋体"/>
          <w:color w:val="auto"/>
          <w:sz w:val="20"/>
          <w:szCs w:val="24"/>
          <w:highlight w:val="none"/>
        </w:rPr>
      </w:pPr>
    </w:p>
    <w:p w14:paraId="22EE7C9B">
      <w:pPr>
        <w:pStyle w:val="11"/>
        <w:shd w:val="clear"/>
        <w:kinsoku/>
        <w:overflowPunct w:val="0"/>
        <w:spacing w:before="168"/>
        <w:ind w:left="0" w:right="16"/>
        <w:jc w:val="center"/>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问题的澄清</w:t>
      </w:r>
    </w:p>
    <w:p w14:paraId="3029308C">
      <w:pPr>
        <w:pStyle w:val="11"/>
        <w:shd w:val="clear"/>
        <w:tabs>
          <w:tab w:val="left" w:pos="5947"/>
        </w:tabs>
        <w:kinsoku/>
        <w:overflowPunct w:val="0"/>
        <w:spacing w:before="113"/>
        <w:ind w:left="3566" w:right="113"/>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（编号：</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z w:val="21"/>
          <w:szCs w:val="24"/>
          <w:highlight w:val="none"/>
        </w:rPr>
        <w:t>）</w:t>
      </w:r>
    </w:p>
    <w:p w14:paraId="5DA86FCE">
      <w:pPr>
        <w:pStyle w:val="11"/>
        <w:shd w:val="clear"/>
        <w:kinsoku/>
        <w:overflowPunct w:val="0"/>
        <w:ind w:left="0"/>
        <w:rPr>
          <w:rFonts w:hint="eastAsia" w:ascii="宋体" w:hAnsi="宋体" w:eastAsia="宋体" w:cs="宋体"/>
          <w:color w:val="auto"/>
          <w:sz w:val="20"/>
          <w:szCs w:val="24"/>
          <w:highlight w:val="none"/>
        </w:rPr>
      </w:pPr>
    </w:p>
    <w:p w14:paraId="5D4421ED">
      <w:pPr>
        <w:pStyle w:val="11"/>
        <w:shd w:val="clear"/>
        <w:kinsoku/>
        <w:overflowPunct w:val="0"/>
        <w:spacing w:before="1"/>
        <w:ind w:left="0"/>
        <w:rPr>
          <w:rFonts w:hint="eastAsia" w:ascii="宋体" w:hAnsi="宋体" w:eastAsia="宋体" w:cs="宋体"/>
          <w:color w:val="auto"/>
          <w:sz w:val="20"/>
          <w:szCs w:val="24"/>
          <w:highlight w:val="none"/>
        </w:rPr>
      </w:pPr>
    </w:p>
    <w:p w14:paraId="573F0A7F">
      <w:pPr>
        <w:pStyle w:val="11"/>
        <w:shd w:val="clear"/>
        <w:kinsoku/>
        <w:overflowPunct w:val="0"/>
        <w:spacing w:before="36"/>
        <w:ind w:left="100" w:right="113"/>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评标委员会：</w:t>
      </w:r>
    </w:p>
    <w:p w14:paraId="39110CD1">
      <w:pPr>
        <w:pStyle w:val="11"/>
        <w:shd w:val="clear"/>
        <w:kinsoku/>
        <w:overflowPunct w:val="0"/>
        <w:ind w:left="0"/>
        <w:rPr>
          <w:rFonts w:hint="eastAsia" w:ascii="宋体" w:hAnsi="宋体" w:eastAsia="宋体" w:cs="宋体"/>
          <w:color w:val="auto"/>
          <w:sz w:val="20"/>
          <w:szCs w:val="24"/>
          <w:highlight w:val="none"/>
        </w:rPr>
      </w:pPr>
    </w:p>
    <w:p w14:paraId="15377C8E">
      <w:pPr>
        <w:pStyle w:val="11"/>
        <w:shd w:val="clear"/>
        <w:kinsoku/>
        <w:overflowPunct w:val="0"/>
        <w:spacing w:before="2"/>
        <w:ind w:left="0"/>
        <w:rPr>
          <w:rFonts w:hint="eastAsia" w:ascii="宋体" w:hAnsi="宋体" w:eastAsia="宋体" w:cs="宋体"/>
          <w:color w:val="auto"/>
          <w:sz w:val="26"/>
          <w:szCs w:val="24"/>
          <w:highlight w:val="none"/>
        </w:rPr>
      </w:pPr>
    </w:p>
    <w:p w14:paraId="09CC88D2">
      <w:pPr>
        <w:pStyle w:val="11"/>
        <w:shd w:val="clear"/>
        <w:tabs>
          <w:tab w:val="left" w:pos="3460"/>
        </w:tabs>
        <w:kinsoku/>
        <w:overflowPunct w:val="0"/>
        <w:ind w:left="522" w:right="113"/>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问题澄清通知（编号：</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rPr>
        <w:t>）已收悉，现澄清、说明或补正如下：</w:t>
      </w:r>
    </w:p>
    <w:p w14:paraId="35059246">
      <w:pPr>
        <w:pStyle w:val="11"/>
        <w:shd w:val="clear"/>
        <w:kinsoku/>
        <w:overflowPunct w:val="0"/>
        <w:spacing w:before="11"/>
        <w:ind w:left="0"/>
        <w:rPr>
          <w:rFonts w:hint="eastAsia" w:ascii="宋体" w:hAnsi="宋体" w:eastAsia="宋体" w:cs="宋体"/>
          <w:color w:val="auto"/>
          <w:sz w:val="10"/>
          <w:szCs w:val="24"/>
          <w:highlight w:val="none"/>
        </w:rPr>
      </w:pPr>
    </w:p>
    <w:p w14:paraId="1D11DF87">
      <w:pPr>
        <w:pStyle w:val="11"/>
        <w:shd w:val="clear"/>
        <w:kinsoku/>
        <w:overflowPunct w:val="0"/>
        <w:spacing w:before="74"/>
        <w:ind w:left="0" w:right="7025"/>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p>
    <w:p w14:paraId="548377E5">
      <w:pPr>
        <w:pStyle w:val="11"/>
        <w:shd w:val="clear"/>
        <w:kinsoku/>
        <w:overflowPunct w:val="0"/>
        <w:spacing w:before="2"/>
        <w:ind w:left="0"/>
        <w:rPr>
          <w:rFonts w:hint="eastAsia" w:ascii="宋体" w:hAnsi="宋体" w:eastAsia="宋体" w:cs="宋体"/>
          <w:color w:val="auto"/>
          <w:sz w:val="17"/>
          <w:szCs w:val="24"/>
          <w:highlight w:val="none"/>
        </w:rPr>
      </w:pPr>
    </w:p>
    <w:p w14:paraId="660B4487">
      <w:pPr>
        <w:pStyle w:val="11"/>
        <w:shd w:val="clear"/>
        <w:kinsoku/>
        <w:overflowPunct w:val="0"/>
        <w:ind w:left="0" w:right="7025"/>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p>
    <w:p w14:paraId="0DAE8026">
      <w:pPr>
        <w:pStyle w:val="11"/>
        <w:shd w:val="clear"/>
        <w:kinsoku/>
        <w:overflowPunct w:val="0"/>
        <w:spacing w:before="2"/>
        <w:ind w:left="0"/>
        <w:rPr>
          <w:rFonts w:hint="eastAsia" w:ascii="宋体" w:hAnsi="宋体" w:eastAsia="宋体" w:cs="宋体"/>
          <w:color w:val="auto"/>
          <w:sz w:val="17"/>
          <w:szCs w:val="24"/>
          <w:highlight w:val="none"/>
        </w:rPr>
      </w:pPr>
    </w:p>
    <w:p w14:paraId="04AE4A2F">
      <w:pPr>
        <w:pStyle w:val="11"/>
        <w:shd w:val="clear"/>
        <w:kinsoku/>
        <w:overflowPunct w:val="0"/>
        <w:ind w:left="0" w:right="7130"/>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p>
    <w:p w14:paraId="269F8093">
      <w:pPr>
        <w:pStyle w:val="11"/>
        <w:shd w:val="clear"/>
        <w:kinsoku/>
        <w:overflowPunct w:val="0"/>
        <w:ind w:left="0"/>
        <w:rPr>
          <w:rFonts w:hint="eastAsia" w:ascii="宋体" w:hAnsi="宋体" w:eastAsia="宋体" w:cs="宋体"/>
          <w:color w:val="auto"/>
          <w:sz w:val="20"/>
          <w:szCs w:val="24"/>
          <w:highlight w:val="none"/>
        </w:rPr>
      </w:pPr>
    </w:p>
    <w:p w14:paraId="2EB22379">
      <w:pPr>
        <w:pStyle w:val="11"/>
        <w:shd w:val="clear"/>
        <w:kinsoku/>
        <w:overflowPunct w:val="0"/>
        <w:ind w:left="0"/>
        <w:rPr>
          <w:rFonts w:hint="eastAsia" w:ascii="宋体" w:hAnsi="宋体" w:eastAsia="宋体" w:cs="宋体"/>
          <w:color w:val="auto"/>
          <w:sz w:val="20"/>
          <w:szCs w:val="24"/>
          <w:highlight w:val="none"/>
        </w:rPr>
      </w:pPr>
    </w:p>
    <w:p w14:paraId="6FDE809C">
      <w:pPr>
        <w:pStyle w:val="11"/>
        <w:shd w:val="clear"/>
        <w:kinsoku/>
        <w:overflowPunct w:val="0"/>
        <w:ind w:left="0"/>
        <w:rPr>
          <w:rFonts w:hint="eastAsia" w:ascii="宋体" w:hAnsi="宋体" w:eastAsia="宋体" w:cs="宋体"/>
          <w:color w:val="auto"/>
          <w:sz w:val="20"/>
          <w:szCs w:val="24"/>
          <w:highlight w:val="none"/>
        </w:rPr>
      </w:pPr>
    </w:p>
    <w:p w14:paraId="1EB9BF17">
      <w:pPr>
        <w:pStyle w:val="11"/>
        <w:shd w:val="clear"/>
        <w:kinsoku/>
        <w:overflowPunct w:val="0"/>
        <w:ind w:left="0"/>
        <w:rPr>
          <w:rFonts w:hint="eastAsia" w:ascii="宋体" w:hAnsi="宋体" w:eastAsia="宋体" w:cs="宋体"/>
          <w:color w:val="auto"/>
          <w:sz w:val="20"/>
          <w:szCs w:val="24"/>
          <w:highlight w:val="none"/>
        </w:rPr>
      </w:pPr>
    </w:p>
    <w:p w14:paraId="3F74D79C">
      <w:pPr>
        <w:pStyle w:val="11"/>
        <w:shd w:val="clear"/>
        <w:kinsoku/>
        <w:overflowPunct w:val="0"/>
        <w:ind w:left="0"/>
        <w:rPr>
          <w:rFonts w:hint="eastAsia" w:ascii="宋体" w:hAnsi="宋体" w:eastAsia="宋体" w:cs="宋体"/>
          <w:color w:val="auto"/>
          <w:sz w:val="20"/>
          <w:szCs w:val="24"/>
          <w:highlight w:val="none"/>
        </w:rPr>
      </w:pPr>
    </w:p>
    <w:p w14:paraId="638BD02D">
      <w:pPr>
        <w:pStyle w:val="11"/>
        <w:shd w:val="clear"/>
        <w:kinsoku/>
        <w:overflowPunct w:val="0"/>
        <w:spacing w:before="11"/>
        <w:ind w:left="0"/>
        <w:rPr>
          <w:rFonts w:hint="eastAsia" w:ascii="宋体" w:hAnsi="宋体" w:eastAsia="宋体" w:cs="宋体"/>
          <w:color w:val="auto"/>
          <w:sz w:val="27"/>
          <w:szCs w:val="24"/>
          <w:highlight w:val="none"/>
        </w:rPr>
      </w:pPr>
    </w:p>
    <w:p w14:paraId="1CEDBF4B">
      <w:pPr>
        <w:pStyle w:val="11"/>
        <w:shd w:val="clear"/>
        <w:kinsoku/>
        <w:overflowPunct w:val="0"/>
        <w:spacing w:line="384" w:lineRule="auto"/>
        <w:ind w:left="100" w:right="113" w:firstLine="419"/>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上述问题澄清、说明或补正，不改变我方投标文件的实质性内容，构成我方投标文件的组</w:t>
      </w:r>
      <w:r>
        <w:rPr>
          <w:rFonts w:hint="eastAsia" w:ascii="宋体" w:hAnsi="宋体" w:eastAsia="宋体" w:cs="宋体"/>
          <w:color w:val="auto"/>
          <w:sz w:val="21"/>
          <w:szCs w:val="24"/>
          <w:highlight w:val="none"/>
        </w:rPr>
        <w:t xml:space="preserve"> 成部分。</w:t>
      </w:r>
    </w:p>
    <w:p w14:paraId="062A6D68">
      <w:pPr>
        <w:pStyle w:val="11"/>
        <w:shd w:val="clear"/>
        <w:kinsoku/>
        <w:overflowPunct w:val="0"/>
        <w:ind w:left="0"/>
        <w:rPr>
          <w:rFonts w:hint="eastAsia" w:ascii="宋体" w:hAnsi="宋体" w:eastAsia="宋体" w:cs="宋体"/>
          <w:color w:val="auto"/>
          <w:sz w:val="20"/>
          <w:szCs w:val="24"/>
          <w:highlight w:val="none"/>
        </w:rPr>
      </w:pPr>
    </w:p>
    <w:p w14:paraId="09471591">
      <w:pPr>
        <w:pStyle w:val="11"/>
        <w:shd w:val="clear"/>
        <w:kinsoku/>
        <w:overflowPunct w:val="0"/>
        <w:ind w:left="0"/>
        <w:rPr>
          <w:rFonts w:hint="eastAsia" w:ascii="宋体" w:hAnsi="宋体" w:eastAsia="宋体" w:cs="宋体"/>
          <w:color w:val="auto"/>
          <w:sz w:val="20"/>
          <w:szCs w:val="24"/>
          <w:highlight w:val="none"/>
        </w:rPr>
      </w:pPr>
    </w:p>
    <w:p w14:paraId="617A4949">
      <w:pPr>
        <w:pStyle w:val="11"/>
        <w:shd w:val="clear"/>
        <w:kinsoku/>
        <w:overflowPunct w:val="0"/>
        <w:spacing w:before="6"/>
        <w:ind w:left="0"/>
        <w:rPr>
          <w:rFonts w:hint="eastAsia" w:ascii="宋体" w:hAnsi="宋体" w:eastAsia="宋体" w:cs="宋体"/>
          <w:color w:val="auto"/>
          <w:sz w:val="19"/>
          <w:szCs w:val="24"/>
          <w:highlight w:val="none"/>
        </w:rPr>
      </w:pPr>
    </w:p>
    <w:p w14:paraId="47E7B79A">
      <w:pPr>
        <w:pStyle w:val="11"/>
        <w:shd w:val="clear"/>
        <w:tabs>
          <w:tab w:val="left" w:pos="7382"/>
        </w:tabs>
        <w:kinsoku/>
        <w:overflowPunct w:val="0"/>
        <w:ind w:left="3043" w:right="113"/>
        <w:rPr>
          <w:rFonts w:hint="eastAsia" w:ascii="宋体" w:hAnsi="宋体" w:eastAsia="宋体" w:cs="宋体"/>
          <w:color w:val="auto"/>
          <w:spacing w:val="-1"/>
          <w:sz w:val="21"/>
          <w:szCs w:val="24"/>
          <w:highlight w:val="none"/>
        </w:rPr>
      </w:pPr>
      <w:r>
        <w:rPr>
          <w:rFonts w:hint="eastAsia" w:ascii="宋体" w:hAnsi="宋体" w:eastAsia="宋体" w:cs="宋体"/>
          <w:color w:val="auto"/>
          <w:spacing w:val="-1"/>
          <w:sz w:val="21"/>
          <w:szCs w:val="24"/>
          <w:highlight w:val="none"/>
        </w:rPr>
        <w:t>投标人：</w:t>
      </w:r>
      <w:r>
        <w:rPr>
          <w:rFonts w:hint="eastAsia" w:ascii="宋体" w:hAnsi="宋体" w:eastAsia="宋体" w:cs="宋体"/>
          <w:color w:val="auto"/>
          <w:spacing w:val="-1"/>
          <w:sz w:val="21"/>
          <w:szCs w:val="24"/>
          <w:highlight w:val="none"/>
          <w:u w:val="single"/>
        </w:rPr>
        <w:tab/>
      </w:r>
      <w:r>
        <w:rPr>
          <w:rFonts w:hint="eastAsia" w:ascii="宋体" w:hAnsi="宋体" w:eastAsia="宋体" w:cs="宋体"/>
          <w:color w:val="auto"/>
          <w:spacing w:val="-1"/>
          <w:sz w:val="21"/>
          <w:szCs w:val="24"/>
          <w:highlight w:val="none"/>
        </w:rPr>
        <w:t>（盖单位章）</w:t>
      </w:r>
    </w:p>
    <w:p w14:paraId="4B0753CE">
      <w:pPr>
        <w:pStyle w:val="11"/>
        <w:shd w:val="clear"/>
        <w:kinsoku/>
        <w:overflowPunct w:val="0"/>
        <w:spacing w:before="11"/>
        <w:ind w:left="0"/>
        <w:rPr>
          <w:rFonts w:hint="eastAsia" w:ascii="宋体" w:hAnsi="宋体" w:eastAsia="宋体" w:cs="宋体"/>
          <w:color w:val="auto"/>
          <w:sz w:val="17"/>
          <w:szCs w:val="24"/>
          <w:highlight w:val="none"/>
        </w:rPr>
      </w:pPr>
    </w:p>
    <w:p w14:paraId="40209072">
      <w:pPr>
        <w:pStyle w:val="11"/>
        <w:shd w:val="clear"/>
        <w:tabs>
          <w:tab w:val="left" w:pos="6612"/>
        </w:tabs>
        <w:kinsoku/>
        <w:overflowPunct w:val="0"/>
        <w:spacing w:before="36"/>
        <w:ind w:left="3041" w:right="113"/>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法定代表人或其委托代理人：</w:t>
      </w:r>
      <w:r>
        <w:rPr>
          <w:rFonts w:hint="eastAsia" w:ascii="宋体" w:hAnsi="宋体" w:eastAsia="宋体" w:cs="宋体"/>
          <w:color w:val="auto"/>
          <w:spacing w:val="-2"/>
          <w:sz w:val="21"/>
          <w:szCs w:val="24"/>
          <w:highlight w:val="none"/>
          <w:u w:val="single"/>
        </w:rPr>
        <w:tab/>
      </w:r>
      <w:r>
        <w:rPr>
          <w:rFonts w:hint="eastAsia" w:ascii="宋体" w:hAnsi="宋体" w:eastAsia="宋体" w:cs="宋体"/>
          <w:color w:val="auto"/>
          <w:spacing w:val="-2"/>
          <w:sz w:val="21"/>
          <w:szCs w:val="24"/>
          <w:highlight w:val="none"/>
        </w:rPr>
        <w:t>（签字）</w:t>
      </w:r>
    </w:p>
    <w:p w14:paraId="2D854D23">
      <w:pPr>
        <w:pStyle w:val="11"/>
        <w:shd w:val="clear"/>
        <w:kinsoku/>
        <w:overflowPunct w:val="0"/>
        <w:ind w:left="0"/>
        <w:rPr>
          <w:rFonts w:hint="eastAsia" w:ascii="宋体" w:hAnsi="宋体" w:eastAsia="宋体" w:cs="宋体"/>
          <w:color w:val="auto"/>
          <w:sz w:val="20"/>
          <w:szCs w:val="24"/>
          <w:highlight w:val="none"/>
        </w:rPr>
      </w:pPr>
    </w:p>
    <w:p w14:paraId="1FB9C7B5">
      <w:pPr>
        <w:pStyle w:val="11"/>
        <w:shd w:val="clear"/>
        <w:kinsoku/>
        <w:overflowPunct w:val="0"/>
        <w:ind w:left="0"/>
        <w:rPr>
          <w:rFonts w:hint="eastAsia" w:ascii="宋体" w:hAnsi="宋体" w:eastAsia="宋体" w:cs="宋体"/>
          <w:color w:val="auto"/>
          <w:sz w:val="20"/>
          <w:szCs w:val="24"/>
          <w:highlight w:val="none"/>
        </w:rPr>
      </w:pPr>
    </w:p>
    <w:p w14:paraId="6EE59FF9">
      <w:pPr>
        <w:pStyle w:val="11"/>
        <w:shd w:val="clear"/>
        <w:kinsoku/>
        <w:overflowPunct w:val="0"/>
        <w:spacing w:before="4"/>
        <w:ind w:left="0"/>
        <w:rPr>
          <w:rFonts w:hint="eastAsia" w:ascii="宋体" w:hAnsi="宋体" w:eastAsia="宋体" w:cs="宋体"/>
          <w:color w:val="auto"/>
          <w:sz w:val="22"/>
          <w:szCs w:val="24"/>
          <w:highlight w:val="none"/>
        </w:rPr>
      </w:pPr>
    </w:p>
    <w:p w14:paraId="76D2FA7D">
      <w:pPr>
        <w:pStyle w:val="11"/>
        <w:shd w:val="clear"/>
        <w:tabs>
          <w:tab w:val="left" w:pos="6434"/>
          <w:tab w:val="left" w:pos="7483"/>
          <w:tab w:val="left" w:pos="8533"/>
        </w:tabs>
        <w:kinsoku/>
        <w:overflowPunct w:val="0"/>
        <w:spacing w:before="36"/>
        <w:ind w:left="5595"/>
        <w:rPr>
          <w:rFonts w:hint="eastAsia" w:ascii="宋体" w:hAnsi="宋体" w:eastAsia="宋体" w:cs="宋体"/>
          <w:color w:val="auto"/>
          <w:sz w:val="21"/>
          <w:szCs w:val="24"/>
          <w:highlight w:val="none"/>
        </w:rPr>
        <w:sectPr>
          <w:pgSz w:w="11905" w:h="16838"/>
          <w:pgMar w:top="1417" w:right="1417" w:bottom="1417" w:left="1417" w:header="737" w:footer="737" w:gutter="0"/>
          <w:lnNumType w:countBy="0" w:distance="360"/>
          <w:pgNumType w:fmt="decimal"/>
          <w:cols w:space="720" w:num="1"/>
        </w:sect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3"/>
          <w:sz w:val="21"/>
          <w:szCs w:val="24"/>
          <w:highlight w:val="none"/>
        </w:rPr>
        <w:t>年</w:t>
      </w:r>
      <w:r>
        <w:rPr>
          <w:rFonts w:hint="eastAsia" w:ascii="宋体" w:hAnsi="宋体" w:eastAsia="宋体" w:cs="宋体"/>
          <w:color w:val="auto"/>
          <w:spacing w:val="-3"/>
          <w:sz w:val="21"/>
          <w:szCs w:val="24"/>
          <w:highlight w:val="none"/>
          <w:u w:val="single"/>
        </w:rPr>
        <w:tab/>
      </w:r>
      <w:r>
        <w:rPr>
          <w:rFonts w:hint="eastAsia" w:ascii="宋体" w:hAnsi="宋体" w:eastAsia="宋体" w:cs="宋体"/>
          <w:color w:val="auto"/>
          <w:sz w:val="21"/>
          <w:szCs w:val="24"/>
          <w:highlight w:val="none"/>
        </w:rPr>
        <w:t>月</w:t>
      </w:r>
      <w:r>
        <w:rPr>
          <w:rFonts w:hint="eastAsia" w:ascii="宋体" w:hAnsi="宋体" w:eastAsia="宋体" w:cs="宋体"/>
          <w:color w:val="auto"/>
          <w:sz w:val="21"/>
          <w:szCs w:val="24"/>
          <w:highlight w:val="none"/>
          <w:u w:val="single"/>
        </w:rPr>
        <w:tab/>
      </w:r>
      <w:r>
        <w:rPr>
          <w:rFonts w:hint="eastAsia" w:ascii="宋体" w:hAnsi="宋体" w:eastAsia="宋体" w:cs="宋体"/>
          <w:color w:val="auto"/>
          <w:sz w:val="21"/>
          <w:szCs w:val="24"/>
          <w:highlight w:val="none"/>
        </w:rPr>
        <w:t>日</w:t>
      </w:r>
    </w:p>
    <w:p w14:paraId="75B1B9BC">
      <w:pPr>
        <w:pStyle w:val="3"/>
        <w:shd w:val="clear"/>
        <w:outlineLvl w:val="0"/>
        <w:rPr>
          <w:rFonts w:hint="eastAsia" w:ascii="宋体" w:hAnsi="宋体" w:eastAsia="宋体" w:cs="宋体"/>
          <w:b w:val="0"/>
          <w:color w:val="auto"/>
          <w:sz w:val="57"/>
          <w:szCs w:val="24"/>
          <w:highlight w:val="none"/>
        </w:rPr>
      </w:pPr>
      <w:bookmarkStart w:id="101" w:name="bookmark79"/>
      <w:bookmarkEnd w:id="101"/>
      <w:bookmarkStart w:id="102" w:name="bookmark82"/>
      <w:bookmarkEnd w:id="102"/>
      <w:bookmarkStart w:id="103" w:name="_Toc23003"/>
      <w:r>
        <w:rPr>
          <w:rFonts w:hint="eastAsia" w:ascii="宋体" w:hAnsi="宋体" w:eastAsia="宋体" w:cs="宋体"/>
          <w:color w:val="auto"/>
          <w:sz w:val="44"/>
          <w:szCs w:val="24"/>
          <w:highlight w:val="none"/>
        </w:rPr>
        <w:t>第三章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评标办法（综合评估法）</w:t>
      </w:r>
      <w:bookmarkEnd w:id="103"/>
    </w:p>
    <w:p w14:paraId="3D52CC03">
      <w:pPr>
        <w:pStyle w:val="4"/>
        <w:shd w:val="clear"/>
        <w:kinsoku/>
        <w:overflowPunct w:val="0"/>
        <w:ind w:left="120"/>
        <w:jc w:val="center"/>
        <w:outlineLvl w:val="1"/>
        <w:rPr>
          <w:rFonts w:hint="eastAsia" w:ascii="宋体" w:hAnsi="宋体" w:eastAsia="宋体" w:cs="宋体"/>
          <w:color w:val="auto"/>
          <w:sz w:val="32"/>
          <w:szCs w:val="24"/>
          <w:highlight w:val="none"/>
        </w:rPr>
      </w:pPr>
      <w:bookmarkStart w:id="104" w:name="bookmark83"/>
      <w:bookmarkEnd w:id="104"/>
      <w:bookmarkStart w:id="105" w:name="_Toc10305"/>
      <w:r>
        <w:rPr>
          <w:rFonts w:hint="eastAsia" w:ascii="宋体" w:hAnsi="宋体" w:eastAsia="宋体" w:cs="宋体"/>
          <w:color w:val="auto"/>
          <w:sz w:val="32"/>
          <w:szCs w:val="24"/>
          <w:highlight w:val="none"/>
        </w:rPr>
        <w:t>评标办法前附表</w:t>
      </w:r>
      <w:bookmarkEnd w:id="105"/>
    </w:p>
    <w:tbl>
      <w:tblPr>
        <w:tblStyle w:val="2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1923"/>
        <w:gridCol w:w="5101"/>
      </w:tblGrid>
      <w:tr w14:paraId="529A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E4F4CFB">
            <w:pPr>
              <w:pStyle w:val="35"/>
              <w:shd w:val="clear"/>
              <w:kinsoku/>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16E4C">
            <w:pPr>
              <w:pStyle w:val="35"/>
              <w:shd w:val="clear"/>
              <w:kinsoku/>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78E262">
            <w:pPr>
              <w:pStyle w:val="35"/>
              <w:shd w:val="clear"/>
              <w:kinsoku/>
              <w:overflowPunct w:val="0"/>
              <w:spacing w:before="41"/>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评审标准</w:t>
            </w:r>
          </w:p>
        </w:tc>
      </w:tr>
      <w:tr w14:paraId="3222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2572E1">
            <w:pPr>
              <w:pStyle w:val="35"/>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7590E44">
            <w:pPr>
              <w:pStyle w:val="35"/>
              <w:shd w:val="clear"/>
              <w:kinsoku/>
              <w:overflowPunct w:val="0"/>
              <w:spacing w:before="14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B2B062">
            <w:pPr>
              <w:pStyle w:val="35"/>
              <w:shd w:val="clear"/>
              <w:kinsoku/>
              <w:overflowPunct w:val="0"/>
              <w:spacing w:before="14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中标候选人排序方法</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BF5612">
            <w:pPr>
              <w:pStyle w:val="35"/>
              <w:shd w:val="clear"/>
              <w:kinsoku/>
              <w:overflowPunct w:val="0"/>
              <w:spacing w:before="1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各标段中标候选人顺序确定方法如下：本次评标采用综合评估法。评标委员会对满足招标文件实质性要求的投标文件，按照本章</w:t>
            </w:r>
            <w:r>
              <w:rPr>
                <w:rFonts w:hint="eastAsia" w:ascii="宋体" w:hAnsi="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2.2款规定的评分标准进行打分，并按得分由高到低顺序推荐中标候选人，但投标报价低于其成本的除外。综合评分相等时，以投标报价低的优先；投标报价也相等的，以</w:t>
            </w:r>
            <w:r>
              <w:rPr>
                <w:rFonts w:hint="eastAsia" w:ascii="宋体" w:hAnsi="宋体" w:cs="宋体"/>
                <w:color w:val="auto"/>
                <w:sz w:val="21"/>
                <w:szCs w:val="21"/>
                <w:highlight w:val="none"/>
                <w:lang w:eastAsia="zh-CN"/>
              </w:rPr>
              <w:t>技术方案</w:t>
            </w:r>
            <w:r>
              <w:rPr>
                <w:rFonts w:hint="eastAsia" w:ascii="宋体" w:hAnsi="宋体" w:eastAsia="宋体" w:cs="宋体"/>
                <w:color w:val="auto"/>
                <w:sz w:val="21"/>
                <w:szCs w:val="21"/>
                <w:highlight w:val="none"/>
                <w:lang w:eastAsia="zh-CN"/>
              </w:rPr>
              <w:t>得分高的优先；如果</w:t>
            </w:r>
            <w:r>
              <w:rPr>
                <w:rFonts w:hint="eastAsia" w:ascii="宋体" w:hAnsi="宋体" w:cs="宋体"/>
                <w:color w:val="auto"/>
                <w:sz w:val="21"/>
                <w:szCs w:val="21"/>
                <w:highlight w:val="none"/>
                <w:lang w:eastAsia="zh-CN"/>
              </w:rPr>
              <w:t>技术方案</w:t>
            </w:r>
            <w:r>
              <w:rPr>
                <w:rFonts w:hint="eastAsia" w:ascii="宋体" w:hAnsi="宋体" w:eastAsia="宋体" w:cs="宋体"/>
                <w:color w:val="auto"/>
                <w:sz w:val="21"/>
                <w:szCs w:val="21"/>
                <w:highlight w:val="none"/>
                <w:lang w:eastAsia="zh-CN"/>
              </w:rPr>
              <w:t>得分也相等，则由评标委员会投票表决推荐排名优先的投标人。</w:t>
            </w:r>
          </w:p>
        </w:tc>
      </w:tr>
      <w:tr w14:paraId="7F13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C4598E2">
            <w:pPr>
              <w:pStyle w:val="35"/>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C51B0CB">
            <w:pPr>
              <w:pStyle w:val="35"/>
              <w:shd w:val="clear"/>
              <w:kinsoku/>
              <w:overflowPunct w:val="0"/>
              <w:spacing w:line="384" w:lineRule="auto"/>
              <w:ind w:righ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0E9CE9">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营业执照或事业单位法人证书</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top"/>
          </w:tcPr>
          <w:p w14:paraId="4A264BA8">
            <w:pPr>
              <w:pStyle w:val="35"/>
              <w:shd w:val="clear"/>
              <w:kinsoku/>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具备有效的营业执照或事业单位法人证书</w:t>
            </w:r>
          </w:p>
        </w:tc>
      </w:tr>
      <w:tr w14:paraId="1FA4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68274B">
            <w:pPr>
              <w:pStyle w:val="35"/>
              <w:shd w:val="clear"/>
              <w:kinsoku/>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64E23B">
            <w:pPr>
              <w:pStyle w:val="35"/>
              <w:shd w:val="clear"/>
              <w:kinsoku/>
              <w:overflowPunct w:val="0"/>
              <w:spacing w:line="384" w:lineRule="auto"/>
              <w:ind w:right="132"/>
              <w:jc w:val="both"/>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C6AE70">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02B21">
            <w:pPr>
              <w:pStyle w:val="35"/>
              <w:shd w:val="clear"/>
              <w:kinsoku/>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1.4.1项规定</w:t>
            </w:r>
          </w:p>
        </w:tc>
      </w:tr>
      <w:tr w14:paraId="2340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7639A8">
            <w:pPr>
              <w:pStyle w:val="35"/>
              <w:shd w:val="clear"/>
              <w:kinsoku/>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66CAEC">
            <w:pPr>
              <w:pStyle w:val="35"/>
              <w:shd w:val="clear"/>
              <w:kinsoku/>
              <w:overflowPunct w:val="0"/>
              <w:spacing w:line="384" w:lineRule="auto"/>
              <w:ind w:right="132"/>
              <w:jc w:val="both"/>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ACF3A7">
            <w:pPr>
              <w:pStyle w:val="35"/>
              <w:shd w:val="clear"/>
              <w:kinsoku/>
              <w:overflowPunct w:val="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项目负责人</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57C3A">
            <w:pPr>
              <w:pStyle w:val="35"/>
              <w:shd w:val="clear"/>
              <w:kinsoku/>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1.4.1项规定</w:t>
            </w:r>
          </w:p>
        </w:tc>
      </w:tr>
      <w:tr w14:paraId="060C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77E6B3">
            <w:pPr>
              <w:pStyle w:val="35"/>
              <w:shd w:val="clear"/>
              <w:kinsoku/>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9DA5AB">
            <w:pPr>
              <w:pStyle w:val="35"/>
              <w:shd w:val="clear"/>
              <w:kinsoku/>
              <w:overflowPunct w:val="0"/>
              <w:spacing w:line="384" w:lineRule="auto"/>
              <w:ind w:right="132"/>
              <w:jc w:val="both"/>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07448">
            <w:pPr>
              <w:pStyle w:val="35"/>
              <w:shd w:val="clear"/>
              <w:kinsoku/>
              <w:overflowPunct w:val="0"/>
              <w:jc w:val="center"/>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u w:val="none"/>
              </w:rPr>
              <w:t>CMA计量认证要求</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E83011">
            <w:pPr>
              <w:pStyle w:val="35"/>
              <w:shd w:val="clear"/>
              <w:kinsoku/>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1.4.1项规定</w:t>
            </w:r>
          </w:p>
        </w:tc>
      </w:tr>
      <w:tr w14:paraId="7863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A14C99">
            <w:pPr>
              <w:pStyle w:val="35"/>
              <w:shd w:val="clear"/>
              <w:kinsoku/>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1013A6">
            <w:pPr>
              <w:pStyle w:val="35"/>
              <w:shd w:val="clear"/>
              <w:kinsoku/>
              <w:overflowPunct w:val="0"/>
              <w:spacing w:line="384" w:lineRule="auto"/>
              <w:ind w:right="132"/>
              <w:jc w:val="both"/>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A436F8">
            <w:pPr>
              <w:pStyle w:val="35"/>
              <w:shd w:val="clear"/>
              <w:kinsoku/>
              <w:overflowPunct w:val="0"/>
              <w:jc w:val="center"/>
              <w:rPr>
                <w:rFonts w:hint="eastAsia" w:ascii="宋体" w:hAnsi="宋体" w:eastAsia="宋体" w:cs="宋体"/>
                <w:color w:val="auto"/>
                <w:sz w:val="21"/>
                <w:szCs w:val="21"/>
                <w:highlight w:val="none"/>
                <w:lang w:eastAsia="zh-CN"/>
              </w:rPr>
            </w:pPr>
            <w:r>
              <w:rPr>
                <w:rFonts w:hint="eastAsia" w:ascii="宋体" w:hAnsi="宋体"/>
                <w:color w:val="auto"/>
                <w:sz w:val="21"/>
                <w:szCs w:val="21"/>
                <w:highlight w:val="none"/>
              </w:rPr>
              <w:t>联合体投标人</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（如有）</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C07928">
            <w:pPr>
              <w:pStyle w:val="35"/>
              <w:shd w:val="clear"/>
              <w:kinsoku/>
              <w:overflowPunct w:val="0"/>
              <w:spacing w:before="107"/>
              <w:jc w:val="both"/>
              <w:rPr>
                <w:rFonts w:hint="eastAsia" w:ascii="宋体" w:hAnsi="宋体" w:eastAsia="宋体" w:cs="宋体"/>
                <w:color w:val="auto"/>
                <w:sz w:val="21"/>
                <w:szCs w:val="21"/>
                <w:highlight w:val="none"/>
              </w:rPr>
            </w:pPr>
            <w:r>
              <w:rPr>
                <w:rFonts w:hint="eastAsia" w:ascii="Times New Roman" w:hAnsi="Times New Roman" w:eastAsia="宋体" w:cs="Times New Roman"/>
                <w:color w:val="auto"/>
                <w:sz w:val="21"/>
                <w:szCs w:val="21"/>
                <w:highlight w:val="none"/>
              </w:rPr>
              <w:t>本项目接受联合体投标，符合第二章“投标人须知”第1.4.2项规定</w:t>
            </w:r>
          </w:p>
        </w:tc>
      </w:tr>
      <w:tr w14:paraId="788F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BCE628">
            <w:pPr>
              <w:pStyle w:val="35"/>
              <w:shd w:val="clear"/>
              <w:kinsoku/>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AF33C5">
            <w:pPr>
              <w:pStyle w:val="35"/>
              <w:shd w:val="clear"/>
              <w:kinsoku/>
              <w:overflowPunct w:val="0"/>
              <w:spacing w:line="384" w:lineRule="auto"/>
              <w:ind w:right="132"/>
              <w:jc w:val="both"/>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D8F1E5">
            <w:pPr>
              <w:shd w:val="clear"/>
              <w:jc w:val="center"/>
              <w:rPr>
                <w:rFonts w:hint="eastAsia" w:ascii="Times New Roman" w:hAnsi="Times New Roman" w:eastAsia="宋体" w:cs="Times New Roman"/>
                <w:snapToGrid/>
                <w:color w:val="auto"/>
                <w:kern w:val="0"/>
                <w:sz w:val="21"/>
                <w:szCs w:val="21"/>
                <w:highlight w:val="none"/>
                <w:lang w:val="en-US" w:eastAsia="zh-CN" w:bidi="ar-SA"/>
              </w:rPr>
            </w:pPr>
            <w:r>
              <w:rPr>
                <w:rFonts w:hint="eastAsia" w:ascii="Times New Roman" w:hAnsi="Times New Roman" w:cs="Times New Roman"/>
                <w:color w:val="auto"/>
                <w:sz w:val="21"/>
                <w:szCs w:val="21"/>
                <w:highlight w:val="none"/>
              </w:rPr>
              <w:t>联合惩戒</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6FD162">
            <w:pPr>
              <w:shd w:val="clear"/>
              <w:ind w:left="0" w:leftChars="0"/>
              <w:rPr>
                <w:rFonts w:hint="eastAsia" w:ascii="Times New Roman" w:hAnsi="Times New Roman" w:eastAsia="宋体" w:cs="Times New Roman"/>
                <w:snapToGrid/>
                <w:color w:val="auto"/>
                <w:kern w:val="0"/>
                <w:sz w:val="21"/>
                <w:szCs w:val="21"/>
                <w:highlight w:val="none"/>
                <w:lang w:val="en-US" w:eastAsia="zh-CN" w:bidi="ar-SA"/>
              </w:rPr>
            </w:pPr>
            <w:r>
              <w:rPr>
                <w:rFonts w:hint="eastAsia" w:ascii="Times New Roman" w:hAnsi="Times New Roman"/>
                <w:color w:val="auto"/>
                <w:sz w:val="21"/>
                <w:szCs w:val="21"/>
                <w:highlight w:val="none"/>
                <w:u w:val="none"/>
              </w:rPr>
              <w:t>未被列入拖欠农民工工资失信联合惩戒对象名单(本项评审投标人无需提供资料，按资格评审时广州公共资源交易中心交易系统比对的结果进行评审)。</w:t>
            </w:r>
          </w:p>
        </w:tc>
      </w:tr>
      <w:tr w14:paraId="5CCD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BB5E8E">
            <w:pPr>
              <w:pStyle w:val="35"/>
              <w:shd w:val="clear"/>
              <w:kinsoku/>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6E66D0">
            <w:pPr>
              <w:pStyle w:val="35"/>
              <w:shd w:val="clear"/>
              <w:kinsoku/>
              <w:overflowPunct w:val="0"/>
              <w:spacing w:line="384" w:lineRule="auto"/>
              <w:ind w:right="132"/>
              <w:jc w:val="both"/>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E30132">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投标人声明</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17461">
            <w:pPr>
              <w:pStyle w:val="35"/>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投标人已按</w:t>
            </w:r>
            <w:r>
              <w:rPr>
                <w:rFonts w:hint="eastAsia" w:ascii="宋体" w:hAnsi="宋体" w:cs="宋体"/>
                <w:color w:val="auto"/>
                <w:sz w:val="21"/>
                <w:szCs w:val="21"/>
                <w:highlight w:val="none"/>
                <w:lang w:eastAsia="zh-CN"/>
              </w:rPr>
              <w:t>招标公告附件一</w:t>
            </w:r>
            <w:r>
              <w:rPr>
                <w:rFonts w:hint="eastAsia" w:ascii="宋体" w:hAnsi="宋体" w:eastAsia="宋体" w:cs="宋体"/>
                <w:color w:val="auto"/>
                <w:sz w:val="21"/>
                <w:szCs w:val="21"/>
                <w:highlight w:val="none"/>
                <w:lang w:eastAsia="zh-CN"/>
              </w:rPr>
              <w:t>规定</w:t>
            </w:r>
            <w:r>
              <w:rPr>
                <w:rFonts w:hint="eastAsia" w:ascii="宋体" w:hAnsi="宋体" w:eastAsia="宋体" w:cs="宋体"/>
                <w:color w:val="auto"/>
                <w:sz w:val="21"/>
                <w:szCs w:val="21"/>
                <w:highlight w:val="none"/>
              </w:rPr>
              <w:t>的内容签署盖章《投标人声明》</w:t>
            </w:r>
          </w:p>
        </w:tc>
      </w:tr>
      <w:tr w14:paraId="53C8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AC69BB">
            <w:pPr>
              <w:pStyle w:val="35"/>
              <w:shd w:val="clear"/>
              <w:kinsoku/>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265FBB">
            <w:pPr>
              <w:pStyle w:val="35"/>
              <w:shd w:val="clear"/>
              <w:kinsoku/>
              <w:overflowPunct w:val="0"/>
              <w:spacing w:line="384" w:lineRule="auto"/>
              <w:ind w:right="132"/>
              <w:jc w:val="both"/>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6EE688">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不存在禁止投标的情形</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CE59F1">
            <w:pPr>
              <w:pStyle w:val="35"/>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不存在第二章“投标人须知”第 1.4.3项规定的任何一种情形（以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投标人声明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为评审依据）</w:t>
            </w:r>
          </w:p>
        </w:tc>
      </w:tr>
      <w:tr w14:paraId="42AC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A6C9ED">
            <w:pPr>
              <w:pStyle w:val="35"/>
              <w:shd w:val="clear"/>
              <w:kinsoku/>
              <w:overflowPunct w:val="0"/>
              <w:jc w:val="both"/>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B57F6DD">
            <w:pPr>
              <w:pStyle w:val="35"/>
              <w:shd w:val="clear"/>
              <w:kinsoku/>
              <w:overflowPunct w:val="0"/>
              <w:spacing w:line="384" w:lineRule="auto"/>
              <w:ind w:right="132"/>
              <w:jc w:val="both"/>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382CE1">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其他要求</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231EA8">
            <w:pPr>
              <w:pStyle w:val="35"/>
              <w:shd w:val="clear"/>
              <w:kinsoku/>
              <w:overflowPunct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 项规定</w:t>
            </w:r>
          </w:p>
        </w:tc>
      </w:tr>
      <w:tr w14:paraId="4E57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7B21630">
            <w:pPr>
              <w:pStyle w:val="35"/>
              <w:shd w:val="clear"/>
              <w:kinsoku/>
              <w:overflowPunct w:val="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CAB2AAA">
            <w:pPr>
              <w:pStyle w:val="35"/>
              <w:shd w:val="clear"/>
              <w:kinsoku/>
              <w:overflowPunct w:val="0"/>
              <w:spacing w:line="384" w:lineRule="auto"/>
              <w:ind w:righ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47E6DB">
            <w:pPr>
              <w:pStyle w:val="35"/>
              <w:shd w:val="clear"/>
              <w:kinsoku/>
              <w:overflowPunct w:val="0"/>
              <w:spacing w:before="1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94BC46">
            <w:pPr>
              <w:pStyle w:val="35"/>
              <w:shd w:val="clear"/>
              <w:kinsoku/>
              <w:overflowPunct w:val="0"/>
              <w:spacing w:before="1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14:paraId="501A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166A8CA">
            <w:pPr>
              <w:pStyle w:val="4"/>
              <w:shd w:val="clear"/>
              <w:kinsoku/>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7B9B98">
            <w:pPr>
              <w:pStyle w:val="4"/>
              <w:shd w:val="clear"/>
              <w:kinsoku/>
              <w:overflowPunct w:val="0"/>
              <w:jc w:val="both"/>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95A646">
            <w:pPr>
              <w:pStyle w:val="35"/>
              <w:shd w:val="clear"/>
              <w:kinsoku/>
              <w:overflowPunct w:val="0"/>
              <w:ind w:right="18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投标函及投标函附录签</w:t>
            </w:r>
            <w:r>
              <w:rPr>
                <w:rFonts w:hint="eastAsia" w:ascii="宋体" w:hAnsi="宋体" w:eastAsia="宋体" w:cs="宋体"/>
                <w:color w:val="auto"/>
                <w:spacing w:val="-84"/>
                <w:sz w:val="21"/>
                <w:szCs w:val="21"/>
                <w:highlight w:val="none"/>
              </w:rPr>
              <w:t xml:space="preserve"> </w:t>
            </w:r>
            <w:r>
              <w:rPr>
                <w:rFonts w:hint="eastAsia" w:ascii="宋体" w:hAnsi="宋体" w:eastAsia="宋体" w:cs="宋体"/>
                <w:color w:val="auto"/>
                <w:sz w:val="21"/>
                <w:szCs w:val="21"/>
                <w:highlight w:val="none"/>
              </w:rPr>
              <w:t>字盖章</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EF42EE">
            <w:pPr>
              <w:pStyle w:val="35"/>
              <w:shd w:val="clear"/>
              <w:kinsoku/>
              <w:overflowPunct w:val="0"/>
              <w:spacing w:before="107"/>
              <w:ind w:right="9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有法定代表人或其委托代理人签字（或盖章）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w:t>
            </w:r>
            <w:r>
              <w:rPr>
                <w:rFonts w:hint="eastAsia" w:ascii="宋体" w:hAnsi="宋体" w:eastAsia="宋体" w:cs="宋体"/>
                <w:color w:val="auto"/>
                <w:sz w:val="21"/>
                <w:szCs w:val="21"/>
                <w:highlight w:val="none"/>
              </w:rPr>
              <w:t>加盖单位章。由法定代表人签字（或盖章）的，应附法定代表人身份证明，由代理人签字（或盖章）的，应附授权委托书，身份证明或授权委托书应符合第六章“投标文件格式”的规定</w:t>
            </w:r>
          </w:p>
        </w:tc>
      </w:tr>
      <w:tr w14:paraId="2D4D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50ED85">
            <w:pPr>
              <w:pStyle w:val="4"/>
              <w:shd w:val="clear"/>
              <w:kinsoku/>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268E06">
            <w:pPr>
              <w:pStyle w:val="4"/>
              <w:shd w:val="clear"/>
              <w:kinsoku/>
              <w:overflowPunct w:val="0"/>
              <w:jc w:val="both"/>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CF35E6">
            <w:pPr>
              <w:pStyle w:val="35"/>
              <w:shd w:val="clear"/>
              <w:kinsoku/>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D5B77">
            <w:pPr>
              <w:pStyle w:val="35"/>
              <w:shd w:val="clear"/>
              <w:kinsoku/>
              <w:overflowPunct w:val="0"/>
              <w:spacing w:before="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符合第六章“投标文件格式”的要求，按规定盖章签署，主要内容齐全，关键字迹清晰、能辨认</w:t>
            </w:r>
          </w:p>
        </w:tc>
      </w:tr>
      <w:tr w14:paraId="7CB1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82406F">
            <w:pPr>
              <w:pStyle w:val="4"/>
              <w:shd w:val="clear"/>
              <w:kinsoku/>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113DB4">
            <w:pPr>
              <w:pStyle w:val="4"/>
              <w:shd w:val="clear"/>
              <w:kinsoku/>
              <w:overflowPunct w:val="0"/>
              <w:jc w:val="both"/>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69EAA8">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5A8F80">
            <w:pPr>
              <w:pStyle w:val="35"/>
              <w:shd w:val="clear"/>
              <w:kinsoku/>
              <w:overflowPunct w:val="0"/>
              <w:spacing w:before="107"/>
              <w:jc w:val="both"/>
              <w:rPr>
                <w:rFonts w:hint="eastAsia" w:ascii="宋体" w:hAnsi="宋体" w:eastAsia="宋体" w:cs="宋体"/>
                <w:color w:val="auto"/>
                <w:sz w:val="21"/>
                <w:szCs w:val="21"/>
                <w:highlight w:val="none"/>
              </w:rPr>
            </w:pPr>
            <w:r>
              <w:rPr>
                <w:rFonts w:hint="eastAsia" w:ascii="宋体" w:hAnsi="宋体"/>
                <w:color w:val="auto"/>
                <w:sz w:val="21"/>
                <w:szCs w:val="21"/>
                <w:highlight w:val="none"/>
              </w:rPr>
              <w:t>不允许。</w:t>
            </w:r>
          </w:p>
        </w:tc>
      </w:tr>
      <w:tr w14:paraId="411B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75A188">
            <w:pPr>
              <w:pStyle w:val="4"/>
              <w:shd w:val="clear"/>
              <w:kinsoku/>
              <w:overflowPunct w:val="0"/>
              <w:jc w:val="both"/>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7F1674">
            <w:pPr>
              <w:pStyle w:val="4"/>
              <w:shd w:val="clear"/>
              <w:kinsoku/>
              <w:overflowPunct w:val="0"/>
              <w:jc w:val="both"/>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FB4823">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投标人机器码</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37F40F">
            <w:pPr>
              <w:shd w:val="clear"/>
              <w:ind w:left="0"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投标人与</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rPr>
              <w:t>其他投标人加密打包投标文件电脑机器特征码</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一致的(以</w:t>
            </w:r>
            <w:r>
              <w:rPr>
                <w:rFonts w:hint="eastAsia" w:ascii="宋体" w:hAnsi="宋体" w:eastAsia="宋体" w:cs="宋体"/>
                <w:color w:val="auto"/>
                <w:sz w:val="21"/>
                <w:szCs w:val="21"/>
                <w:highlight w:val="none"/>
                <w:lang w:eastAsia="zh-CN"/>
              </w:rPr>
              <w:t>广州交易集团有限公司（广州公共资源交易中心）交易</w:t>
            </w:r>
            <w:r>
              <w:rPr>
                <w:rFonts w:hint="eastAsia" w:ascii="宋体" w:hAnsi="宋体" w:eastAsia="宋体" w:cs="宋体"/>
                <w:color w:val="auto"/>
                <w:sz w:val="21"/>
                <w:szCs w:val="21"/>
                <w:highlight w:val="none"/>
              </w:rPr>
              <w:t>平台</w:t>
            </w: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系统的检索信息为准)</w:t>
            </w:r>
          </w:p>
        </w:tc>
      </w:tr>
      <w:tr w14:paraId="51FA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5896FA">
            <w:pPr>
              <w:pStyle w:val="35"/>
              <w:shd w:val="clear"/>
              <w:kinsoku/>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528FDF5">
            <w:pPr>
              <w:pStyle w:val="35"/>
              <w:shd w:val="clear"/>
              <w:kinsoku/>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响应性评审标准</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128ED">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073127">
            <w:pPr>
              <w:pStyle w:val="35"/>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符合第二章“投标人须知”第3.2款规定</w:t>
            </w:r>
            <w:r>
              <w:rPr>
                <w:rFonts w:hint="eastAsia" w:ascii="宋体" w:hAnsi="宋体" w:cs="宋体"/>
                <w:color w:val="auto"/>
                <w:sz w:val="21"/>
                <w:szCs w:val="21"/>
                <w:highlight w:val="none"/>
                <w:u w:val="single"/>
              </w:rPr>
              <w:t>进行投标报价的；对同一招标项目没有出现两个或以上的投标报价，且修正无依据</w:t>
            </w:r>
          </w:p>
        </w:tc>
      </w:tr>
      <w:tr w14:paraId="5FB4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6B5CFD">
            <w:pPr>
              <w:pStyle w:val="4"/>
              <w:shd w:val="clear"/>
              <w:kinsoku/>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C2F10DE">
            <w:pPr>
              <w:pStyle w:val="4"/>
              <w:shd w:val="clear"/>
              <w:kinsoku/>
              <w:overflowPunct w:val="0"/>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D902FA">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105AE9">
            <w:pPr>
              <w:pStyle w:val="35"/>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符合第二章“投标人须知”第1.3.1项规定</w:t>
            </w:r>
          </w:p>
        </w:tc>
      </w:tr>
      <w:tr w14:paraId="333B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3403121">
            <w:pPr>
              <w:pStyle w:val="4"/>
              <w:shd w:val="clear"/>
              <w:kinsoku/>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6D6100B">
            <w:pPr>
              <w:pStyle w:val="4"/>
              <w:shd w:val="clear"/>
              <w:kinsoku/>
              <w:overflowPunct w:val="0"/>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7FA3B7">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检验</w:t>
            </w:r>
            <w:r>
              <w:rPr>
                <w:rFonts w:hint="eastAsia" w:ascii="宋体" w:hAnsi="宋体" w:cs="宋体"/>
                <w:color w:val="auto"/>
                <w:sz w:val="21"/>
                <w:szCs w:val="21"/>
                <w:highlight w:val="none"/>
                <w:lang w:eastAsia="zh-CN"/>
              </w:rPr>
              <w:t>监测</w:t>
            </w:r>
            <w:r>
              <w:rPr>
                <w:rFonts w:hint="eastAsia" w:ascii="宋体" w:hAnsi="宋体" w:eastAsia="宋体" w:cs="宋体"/>
                <w:color w:val="auto"/>
                <w:sz w:val="21"/>
                <w:szCs w:val="21"/>
                <w:highlight w:val="none"/>
              </w:rPr>
              <w:t>服务期限</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99F57">
            <w:pPr>
              <w:pStyle w:val="35"/>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符合第二章“投标人须知”第1.3.2项规定</w:t>
            </w:r>
          </w:p>
        </w:tc>
      </w:tr>
      <w:tr w14:paraId="4BA6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36CE7A">
            <w:pPr>
              <w:pStyle w:val="4"/>
              <w:shd w:val="clear"/>
              <w:kinsoku/>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AC596D0">
            <w:pPr>
              <w:pStyle w:val="4"/>
              <w:shd w:val="clear"/>
              <w:kinsoku/>
              <w:overflowPunct w:val="0"/>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ECBFE">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357AB9">
            <w:pPr>
              <w:pStyle w:val="35"/>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符合第二章“投标人须知”第1.3.3项规定</w:t>
            </w:r>
          </w:p>
        </w:tc>
      </w:tr>
      <w:tr w14:paraId="12B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1FFCB13">
            <w:pPr>
              <w:pStyle w:val="4"/>
              <w:shd w:val="clear"/>
              <w:kinsoku/>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2A922BE">
            <w:pPr>
              <w:pStyle w:val="4"/>
              <w:shd w:val="clear"/>
              <w:kinsoku/>
              <w:overflowPunct w:val="0"/>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D71C64">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221EB">
            <w:pPr>
              <w:pStyle w:val="35"/>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符合第二章“投标人须知”第3.3.1项规定</w:t>
            </w:r>
          </w:p>
        </w:tc>
      </w:tr>
      <w:tr w14:paraId="22C4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545DEC0">
            <w:pPr>
              <w:pStyle w:val="4"/>
              <w:shd w:val="clear"/>
              <w:kinsoku/>
              <w:overflowPunct w:val="0"/>
              <w:outlineLvl w:val="9"/>
              <w:rPr>
                <w:rFonts w:hint="eastAsia" w:ascii="宋体" w:hAnsi="宋体" w:eastAsia="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C2E6CF9">
            <w:pPr>
              <w:pStyle w:val="4"/>
              <w:shd w:val="clear"/>
              <w:kinsoku/>
              <w:overflowPunct w:val="0"/>
              <w:outlineLvl w:val="9"/>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71B69">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不存在串通投标情形</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45C3E">
            <w:pPr>
              <w:pStyle w:val="35"/>
              <w:shd w:val="clear"/>
              <w:kinsoku/>
              <w:overflowPunct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不存在串通投标情形（串通投标情形以《中华人民共和国招标投标法实施条例》第三十</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第四十条、第四十一条</w:t>
            </w:r>
            <w:r>
              <w:rPr>
                <w:rFonts w:hint="eastAsia" w:ascii="宋体" w:hAnsi="宋体" w:eastAsia="宋体" w:cs="宋体"/>
                <w:color w:val="auto"/>
                <w:sz w:val="21"/>
                <w:szCs w:val="21"/>
                <w:highlight w:val="none"/>
              </w:rPr>
              <w:t>为准）</w:t>
            </w:r>
          </w:p>
        </w:tc>
      </w:tr>
      <w:tr w14:paraId="4E72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967AED5">
            <w:pPr>
              <w:pStyle w:val="35"/>
              <w:shd w:val="clear"/>
              <w:kinsoku/>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C0992E">
            <w:pPr>
              <w:pStyle w:val="35"/>
              <w:shd w:val="clear"/>
              <w:kinsoku/>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93BFA6">
            <w:pPr>
              <w:pStyle w:val="35"/>
              <w:shd w:val="clear"/>
              <w:kinsoku/>
              <w:overflowPunct w:val="0"/>
              <w:spacing w:before="4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3398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B6000C1">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507AB">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11321383">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DF4A1C">
            <w:pPr>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资信业绩部分：</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p w14:paraId="24C98D7E">
            <w:pPr>
              <w:shd w:val="clear"/>
              <w:kinsoku/>
              <w:overflowPunct w:val="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技术方案</w:t>
            </w:r>
            <w:r>
              <w:rPr>
                <w:rFonts w:hint="eastAsia" w:ascii="宋体" w:hAnsi="宋体" w:eastAsia="宋体" w:cs="宋体"/>
                <w:color w:val="auto"/>
                <w:sz w:val="21"/>
                <w:szCs w:val="21"/>
                <w:highlight w:val="none"/>
              </w:rPr>
              <w:t>部分：</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14:paraId="222209B8">
            <w:pPr>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部分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213E0B9B">
            <w:pPr>
              <w:shd w:val="clear"/>
              <w:kinsoku/>
              <w:overflowPunct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投标人综合得分=</w:t>
            </w:r>
            <w:r>
              <w:rPr>
                <w:rFonts w:hint="eastAsia" w:ascii="宋体" w:hAnsi="宋体" w:eastAsia="宋体" w:cs="宋体"/>
                <w:color w:val="auto"/>
                <w:sz w:val="21"/>
                <w:szCs w:val="21"/>
                <w:highlight w:val="none"/>
              </w:rPr>
              <w:t>资信业绩部分</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技术方案</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en-US" w:eastAsia="zh-CN"/>
              </w:rPr>
              <w:t>部分</w:t>
            </w:r>
          </w:p>
        </w:tc>
      </w:tr>
      <w:tr w14:paraId="1CC7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1792FEE">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6E0B03">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AE2A79">
            <w:pPr>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当通过资格审查及有效性审查在位于[最高投标限价×90%，最高投标限价]区间的投标价中的有效投标人大于5名时，去掉一个最高价和一个最低价，取余下有效投标价的算术平均值作为评标参考价。若当通过资格审查及有效性审查在位于[最高投标限价×90%，最高投标限价]区间的投标价中的有效投标人小于或等于5名时，取所有入围的有效投标价的算术平均值作为评标参考价。若当通过资格审查及有效性审查没有投标价位于[最高投标限价×90%，最高投标限价]区间的有效投标人，所有投标人的报价得分为0分</w:t>
            </w:r>
            <w:r>
              <w:rPr>
                <w:rFonts w:hint="eastAsia" w:ascii="宋体" w:hAnsi="宋体" w:eastAsia="宋体" w:cs="宋体"/>
                <w:color w:val="auto"/>
                <w:sz w:val="21"/>
                <w:szCs w:val="21"/>
                <w:highlight w:val="none"/>
                <w:lang w:val="zh-CN"/>
              </w:rPr>
              <w:t>。</w:t>
            </w:r>
          </w:p>
        </w:tc>
      </w:tr>
      <w:tr w14:paraId="3A04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1D4E760">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.2.3</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9EDCCB">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EC49C6">
            <w:pPr>
              <w:pStyle w:val="35"/>
              <w:shd w:val="clear"/>
              <w:kinsoku/>
              <w:overflowPunct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投标报价偏差率=（投标报价-评标基准价）/评标基准价×100%。</w:t>
            </w:r>
          </w:p>
          <w:p w14:paraId="5CF92EE7">
            <w:pPr>
              <w:pStyle w:val="35"/>
              <w:shd w:val="clear"/>
              <w:kinsoku/>
              <w:overflowPunct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（偏差率出现小数点时，保留小数点后2位，第三位小数四舍五入。）</w:t>
            </w:r>
          </w:p>
        </w:tc>
      </w:tr>
      <w:tr w14:paraId="0FD4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31" w:type="dxa"/>
            <w:gridSpan w:val="2"/>
            <w:vMerge w:val="restart"/>
            <w:tcBorders>
              <w:top w:val="single" w:color="auto" w:sz="4" w:space="0"/>
              <w:left w:val="single" w:color="auto" w:sz="4" w:space="0"/>
              <w:right w:val="single" w:color="auto" w:sz="4" w:space="0"/>
              <w:tl2br w:val="nil"/>
              <w:tr2bl w:val="nil"/>
            </w:tcBorders>
            <w:noWrap w:val="0"/>
            <w:vAlign w:val="center"/>
          </w:tcPr>
          <w:p w14:paraId="28E38422">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p w14:paraId="1A92694F">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0D148CB7">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2" w:type="dxa"/>
            <w:vMerge w:val="restart"/>
            <w:tcBorders>
              <w:top w:val="single" w:color="auto" w:sz="4" w:space="0"/>
              <w:left w:val="single" w:color="auto" w:sz="4" w:space="0"/>
              <w:right w:val="single" w:color="auto" w:sz="4" w:space="0"/>
              <w:tl2br w:val="nil"/>
              <w:tr2bl w:val="nil"/>
            </w:tcBorders>
            <w:noWrap w:val="0"/>
            <w:vAlign w:val="center"/>
          </w:tcPr>
          <w:p w14:paraId="0B8C3BD8">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bookmarkStart w:id="106" w:name="OLE_LINK2"/>
            <w:r>
              <w:rPr>
                <w:rFonts w:hint="eastAsia" w:ascii="宋体" w:hAnsi="宋体" w:eastAsia="宋体" w:cs="宋体"/>
                <w:color w:val="auto"/>
                <w:sz w:val="21"/>
                <w:szCs w:val="21"/>
                <w:highlight w:val="none"/>
              </w:rPr>
              <w:t>资信</w:t>
            </w:r>
          </w:p>
          <w:p w14:paraId="501B09D4">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14:paraId="2EE5C573">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bookmarkEnd w:id="106"/>
          <w:p w14:paraId="60EADACA">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1923" w:type="dxa"/>
            <w:tcBorders>
              <w:top w:val="single" w:color="auto" w:sz="4" w:space="0"/>
              <w:left w:val="single" w:color="auto" w:sz="4" w:space="0"/>
              <w:right w:val="single" w:color="auto" w:sz="4" w:space="0"/>
              <w:tl2br w:val="nil"/>
              <w:tr2bl w:val="nil"/>
            </w:tcBorders>
            <w:noWrap w:val="0"/>
            <w:vAlign w:val="center"/>
          </w:tcPr>
          <w:p w14:paraId="469D932A">
            <w:pPr>
              <w:keepNext w:val="0"/>
              <w:keepLines w:val="0"/>
              <w:pageBreakBefore w:val="0"/>
              <w:widowControl w:val="0"/>
              <w:kinsoku/>
              <w:wordWrap/>
              <w:overflowPunct/>
              <w:topLinePunct w:val="0"/>
              <w:bidi w:val="0"/>
              <w:adjustRightInd/>
              <w:snapToGrid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类似项目业绩</w:t>
            </w:r>
          </w:p>
          <w:p w14:paraId="75C9F72F">
            <w:pPr>
              <w:pStyle w:val="40"/>
              <w:rPr>
                <w:rFonts w:hint="default" w:eastAsia="宋体"/>
                <w:lang w:val="en-US" w:eastAsia="zh-CN"/>
              </w:rPr>
            </w:pPr>
            <w:r>
              <w:rPr>
                <w:rFonts w:hint="eastAsia" w:ascii="宋体" w:hAnsi="宋体" w:eastAsia="宋体" w:cs="宋体"/>
                <w:b w:val="0"/>
                <w:color w:val="auto"/>
                <w:sz w:val="21"/>
                <w:szCs w:val="21"/>
                <w:highlight w:val="none"/>
                <w:lang w:eastAsia="zh-CN"/>
              </w:rPr>
              <w:t>（</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lang w:val="en-US" w:eastAsia="zh-CN"/>
              </w:rPr>
              <w:t>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2A1B4">
            <w:pPr>
              <w:keepNext w:val="0"/>
              <w:keepLines w:val="0"/>
              <w:pageBreakBefore w:val="0"/>
              <w:widowControl w:val="0"/>
              <w:kinsoku/>
              <w:wordWrap/>
              <w:overflowPunct/>
              <w:topLinePunct w:val="0"/>
              <w:autoSpaceDE w:val="0"/>
              <w:autoSpaceDN w:val="0"/>
              <w:bidi w:val="0"/>
              <w:adjustRightInd/>
              <w:snapToGrid w:val="0"/>
              <w:spacing w:beforeAutospacing="0" w:afterAutospacing="0" w:line="240" w:lineRule="auto"/>
              <w:textAlignment w:val="auto"/>
              <w:rPr>
                <w:rFonts w:hint="eastAsia" w:ascii="Times New Roman" w:hAnsi="宋体" w:eastAsia="宋体" w:cs="宋体"/>
                <w:color w:val="000000"/>
                <w:sz w:val="21"/>
                <w:szCs w:val="21"/>
                <w:highlight w:val="none"/>
              </w:rPr>
            </w:pPr>
            <w:r>
              <w:rPr>
                <w:rFonts w:hint="eastAsia" w:ascii="Times New Roman" w:hAnsi="宋体" w:eastAsia="宋体" w:cs="宋体"/>
                <w:color w:val="000000"/>
                <w:sz w:val="21"/>
                <w:szCs w:val="21"/>
                <w:highlight w:val="none"/>
              </w:rPr>
              <w:t>投标人</w:t>
            </w:r>
            <w:r>
              <w:rPr>
                <w:rFonts w:hint="eastAsia" w:ascii="Times New Roman" w:hAnsi="宋体" w:eastAsia="宋体" w:cs="宋体"/>
                <w:color w:val="000000"/>
                <w:sz w:val="21"/>
                <w:szCs w:val="21"/>
                <w:highlight w:val="none"/>
                <w:lang w:eastAsia="zh-CN"/>
              </w:rPr>
              <w:t>自</w:t>
            </w:r>
            <w:r>
              <w:rPr>
                <w:rFonts w:hint="eastAsia" w:ascii="Times New Roman" w:hAnsi="宋体" w:eastAsia="宋体" w:cs="宋体"/>
                <w:color w:val="000000"/>
                <w:sz w:val="21"/>
                <w:szCs w:val="21"/>
                <w:highlight w:val="none"/>
              </w:rPr>
              <w:t>20</w:t>
            </w:r>
            <w:r>
              <w:rPr>
                <w:rFonts w:hint="eastAsia" w:ascii="Times New Roman" w:hAnsi="宋体" w:eastAsia="宋体" w:cs="宋体"/>
                <w:color w:val="000000"/>
                <w:sz w:val="21"/>
                <w:szCs w:val="21"/>
                <w:highlight w:val="none"/>
                <w:lang w:val="en-US" w:eastAsia="zh-CN"/>
              </w:rPr>
              <w:t>20</w:t>
            </w:r>
            <w:r>
              <w:rPr>
                <w:rFonts w:hint="eastAsia" w:ascii="Times New Roman" w:hAnsi="宋体" w:eastAsia="宋体" w:cs="宋体"/>
                <w:color w:val="000000"/>
                <w:sz w:val="21"/>
                <w:szCs w:val="21"/>
                <w:highlight w:val="none"/>
              </w:rPr>
              <w:t>年1月1日至今承接过单个合同额</w:t>
            </w:r>
            <w:r>
              <w:rPr>
                <w:rFonts w:hint="eastAsia" w:hAnsi="宋体" w:eastAsia="宋体" w:cs="宋体"/>
                <w:color w:val="000000"/>
                <w:sz w:val="21"/>
                <w:szCs w:val="21"/>
                <w:highlight w:val="none"/>
                <w:lang w:val="en-US" w:eastAsia="zh-CN"/>
              </w:rPr>
              <w:t>700</w:t>
            </w:r>
            <w:r>
              <w:rPr>
                <w:rFonts w:hint="eastAsia" w:ascii="Times New Roman" w:hAnsi="宋体" w:eastAsia="宋体" w:cs="宋体"/>
                <w:color w:val="000000"/>
                <w:sz w:val="21"/>
                <w:szCs w:val="21"/>
                <w:highlight w:val="none"/>
              </w:rPr>
              <w:t>万元或以上的类似</w:t>
            </w:r>
            <w:r>
              <w:rPr>
                <w:rFonts w:hint="eastAsia" w:ascii="Times New Roman" w:hAnsi="宋体" w:eastAsia="宋体" w:cs="宋体"/>
                <w:color w:val="000000"/>
                <w:sz w:val="21"/>
                <w:szCs w:val="21"/>
                <w:highlight w:val="none"/>
                <w:lang w:eastAsia="zh-CN"/>
              </w:rPr>
              <w:t>工程第三方检验（</w:t>
            </w:r>
            <w:r>
              <w:rPr>
                <w:rFonts w:hint="eastAsia" w:ascii="Times New Roman" w:hAnsi="宋体" w:eastAsia="宋体" w:cs="宋体"/>
                <w:color w:val="000000"/>
                <w:sz w:val="21"/>
                <w:szCs w:val="21"/>
                <w:highlight w:val="none"/>
                <w:lang w:val="en-US" w:eastAsia="zh-CN"/>
              </w:rPr>
              <w:t>检测）</w:t>
            </w:r>
            <w:r>
              <w:rPr>
                <w:rFonts w:hint="eastAsia" w:ascii="Times New Roman" w:hAnsi="宋体" w:eastAsia="宋体" w:cs="宋体"/>
                <w:color w:val="000000"/>
                <w:sz w:val="21"/>
                <w:szCs w:val="21"/>
                <w:highlight w:val="none"/>
                <w:lang w:eastAsia="zh-CN"/>
              </w:rPr>
              <w:t>或监测</w:t>
            </w:r>
            <w:r>
              <w:rPr>
                <w:rFonts w:hint="eastAsia" w:ascii="Times New Roman" w:hAnsi="宋体" w:eastAsia="宋体" w:cs="宋体"/>
                <w:color w:val="000000"/>
                <w:sz w:val="21"/>
                <w:szCs w:val="21"/>
                <w:highlight w:val="none"/>
              </w:rPr>
              <w:t>业绩</w:t>
            </w:r>
            <w:r>
              <w:rPr>
                <w:rFonts w:hint="eastAsia" w:ascii="Times New Roman" w:hAnsi="宋体" w:eastAsia="宋体" w:cs="宋体"/>
                <w:color w:val="000000"/>
                <w:sz w:val="21"/>
                <w:szCs w:val="21"/>
                <w:highlight w:val="none"/>
                <w:lang w:eastAsia="zh-CN"/>
              </w:rPr>
              <w:t>的</w:t>
            </w:r>
            <w:r>
              <w:rPr>
                <w:rFonts w:hint="eastAsia" w:ascii="Times New Roman" w:hAnsi="宋体" w:eastAsia="宋体" w:cs="宋体"/>
                <w:color w:val="000000"/>
                <w:sz w:val="21"/>
                <w:szCs w:val="21"/>
                <w:highlight w:val="none"/>
              </w:rPr>
              <w:t>，每项得</w:t>
            </w:r>
            <w:r>
              <w:rPr>
                <w:rFonts w:hint="eastAsia" w:ascii="Times New Roman" w:hAnsi="宋体" w:eastAsia="宋体" w:cs="宋体"/>
                <w:color w:val="000000"/>
                <w:sz w:val="21"/>
                <w:szCs w:val="21"/>
                <w:highlight w:val="none"/>
                <w:lang w:val="en-US" w:eastAsia="zh-CN"/>
              </w:rPr>
              <w:t>1</w:t>
            </w:r>
            <w:r>
              <w:rPr>
                <w:rFonts w:hint="eastAsia" w:ascii="Times New Roman" w:hAnsi="宋体" w:eastAsia="宋体" w:cs="宋体"/>
                <w:color w:val="000000"/>
                <w:sz w:val="21"/>
                <w:szCs w:val="21"/>
                <w:highlight w:val="none"/>
              </w:rPr>
              <w:t>分，本项最多得</w:t>
            </w:r>
            <w:r>
              <w:rPr>
                <w:rFonts w:hint="eastAsia" w:ascii="Times New Roman" w:hAnsi="宋体" w:eastAsia="宋体" w:cs="宋体"/>
                <w:color w:val="000000"/>
                <w:sz w:val="21"/>
                <w:szCs w:val="21"/>
                <w:highlight w:val="none"/>
                <w:lang w:val="en-US" w:eastAsia="zh-CN"/>
              </w:rPr>
              <w:t>5</w:t>
            </w:r>
            <w:r>
              <w:rPr>
                <w:rFonts w:hint="eastAsia" w:ascii="Times New Roman" w:hAnsi="宋体" w:eastAsia="宋体" w:cs="宋体"/>
                <w:color w:val="000000"/>
                <w:sz w:val="21"/>
                <w:szCs w:val="21"/>
                <w:highlight w:val="none"/>
              </w:rPr>
              <w:t>分。</w:t>
            </w:r>
          </w:p>
          <w:p w14:paraId="7C88B457">
            <w:pPr>
              <w:keepNext w:val="0"/>
              <w:keepLines w:val="0"/>
              <w:pageBreakBefore w:val="0"/>
              <w:widowControl w:val="0"/>
              <w:kinsoku/>
              <w:wordWrap/>
              <w:overflowPunct/>
              <w:topLinePunct w:val="0"/>
              <w:autoSpaceDE w:val="0"/>
              <w:autoSpaceDN w:val="0"/>
              <w:bidi w:val="0"/>
              <w:adjustRightInd/>
              <w:snapToGrid w:val="0"/>
              <w:spacing w:beforeAutospacing="0" w:afterAutospacing="0" w:line="240" w:lineRule="auto"/>
              <w:textAlignment w:val="auto"/>
              <w:rPr>
                <w:rFonts w:hint="eastAsia" w:ascii="Times New Roman" w:hAnsi="宋体" w:eastAsia="宋体" w:cs="宋体"/>
                <w:color w:val="000000"/>
                <w:sz w:val="21"/>
                <w:szCs w:val="21"/>
                <w:highlight w:val="none"/>
              </w:rPr>
            </w:pPr>
            <w:r>
              <w:rPr>
                <w:rFonts w:hint="eastAsia" w:ascii="Times New Roman" w:hAnsi="宋体" w:eastAsia="宋体" w:cs="宋体"/>
                <w:color w:val="000000"/>
                <w:sz w:val="21"/>
                <w:szCs w:val="21"/>
                <w:highlight w:val="none"/>
                <w:lang w:eastAsia="zh-CN"/>
              </w:rPr>
              <w:t>注：</w:t>
            </w:r>
            <w:r>
              <w:rPr>
                <w:rFonts w:hint="eastAsia" w:ascii="Times New Roman" w:hAnsi="宋体" w:eastAsia="宋体" w:cs="宋体"/>
                <w:color w:val="000000"/>
                <w:sz w:val="21"/>
                <w:szCs w:val="21"/>
                <w:highlight w:val="none"/>
              </w:rPr>
              <w:t>类似工程</w:t>
            </w:r>
            <w:r>
              <w:rPr>
                <w:rFonts w:hint="eastAsia" w:ascii="Times New Roman" w:hAnsi="宋体" w:eastAsia="宋体" w:cs="宋体"/>
                <w:color w:val="000000"/>
                <w:sz w:val="21"/>
                <w:szCs w:val="21"/>
                <w:highlight w:val="none"/>
                <w:lang w:eastAsia="zh-CN"/>
              </w:rPr>
              <w:t>指</w:t>
            </w:r>
            <w:r>
              <w:rPr>
                <w:rFonts w:hint="eastAsia" w:ascii="Times New Roman" w:hAnsi="宋体" w:eastAsia="宋体" w:cs="宋体"/>
                <w:color w:val="000000"/>
                <w:sz w:val="21"/>
                <w:szCs w:val="21"/>
                <w:highlight w:val="none"/>
              </w:rPr>
              <w:t>包含本次招标内容中的一项或多项的建设工程质量检测类或监测类业绩，需同时提供技术服务合同证明材料</w:t>
            </w:r>
            <w:r>
              <w:rPr>
                <w:rFonts w:hint="eastAsia" w:hAnsi="宋体" w:eastAsia="宋体" w:cs="宋体"/>
                <w:color w:val="000000"/>
                <w:sz w:val="21"/>
                <w:szCs w:val="21"/>
                <w:highlight w:val="none"/>
                <w:lang w:eastAsia="zh-CN"/>
              </w:rPr>
              <w:t>、</w:t>
            </w:r>
            <w:r>
              <w:rPr>
                <w:rFonts w:hint="eastAsia" w:hAnsi="宋体" w:eastAsia="宋体" w:cs="宋体"/>
                <w:color w:val="000000"/>
                <w:sz w:val="21"/>
                <w:szCs w:val="21"/>
                <w:highlight w:val="none"/>
                <w:lang w:val="en-US" w:eastAsia="zh-CN"/>
              </w:rPr>
              <w:t>中标通知书</w:t>
            </w:r>
            <w:r>
              <w:rPr>
                <w:rFonts w:hint="eastAsia" w:ascii="Times New Roman" w:hAnsi="宋体" w:eastAsia="宋体" w:cs="宋体"/>
                <w:color w:val="000000"/>
                <w:sz w:val="21"/>
                <w:szCs w:val="21"/>
                <w:highlight w:val="none"/>
              </w:rPr>
              <w:t>彩色扫描件，业绩时间以合同签订时间为准、金额以合同为准</w:t>
            </w:r>
            <w:r>
              <w:rPr>
                <w:rFonts w:hint="eastAsia" w:ascii="Times New Roman" w:hAnsi="宋体" w:eastAsia="宋体" w:cs="宋体"/>
                <w:color w:val="000000"/>
                <w:sz w:val="21"/>
                <w:szCs w:val="21"/>
                <w:highlight w:val="none"/>
                <w:lang w:eastAsia="zh-CN"/>
              </w:rPr>
              <w:t>。</w:t>
            </w:r>
          </w:p>
        </w:tc>
      </w:tr>
      <w:tr w14:paraId="42C1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1" w:type="dxa"/>
            <w:gridSpan w:val="2"/>
            <w:vMerge w:val="continue"/>
            <w:tcBorders>
              <w:left w:val="single" w:color="auto" w:sz="4" w:space="0"/>
              <w:right w:val="single" w:color="auto" w:sz="4" w:space="0"/>
              <w:tl2br w:val="nil"/>
              <w:tr2bl w:val="nil"/>
            </w:tcBorders>
            <w:noWrap w:val="0"/>
            <w:vAlign w:val="center"/>
          </w:tcPr>
          <w:p w14:paraId="0909B521">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center"/>
          </w:tcPr>
          <w:p w14:paraId="3313CA95">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right w:val="single" w:color="auto" w:sz="4" w:space="0"/>
              <w:tl2br w:val="nil"/>
              <w:tr2bl w:val="nil"/>
            </w:tcBorders>
            <w:shd w:val="clear" w:color="auto" w:fill="auto"/>
            <w:noWrap w:val="0"/>
            <w:vAlign w:val="center"/>
          </w:tcPr>
          <w:p w14:paraId="540070C5">
            <w:pPr>
              <w:keepNext w:val="0"/>
              <w:keepLines w:val="0"/>
              <w:pageBreakBefore w:val="0"/>
              <w:widowControl w:val="0"/>
              <w:kinsoku/>
              <w:wordWrap/>
              <w:overflowPunct/>
              <w:topLinePunct w:val="0"/>
              <w:bidi w:val="0"/>
              <w:adjustRightInd/>
              <w:snapToGrid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企业信誉</w:t>
            </w:r>
          </w:p>
          <w:p w14:paraId="05EC7ED3">
            <w:pPr>
              <w:keepNext w:val="0"/>
              <w:keepLines w:val="0"/>
              <w:pageBreakBefore w:val="0"/>
              <w:widowControl w:val="0"/>
              <w:kinsoku/>
              <w:wordWrap/>
              <w:overflowPunct/>
              <w:topLinePunct w:val="0"/>
              <w:bidi w:val="0"/>
              <w:adjustRightInd/>
              <w:snapToGrid w:val="0"/>
              <w:spacing w:beforeAutospacing="0" w:afterAutospacing="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w:t>
            </w:r>
          </w:p>
        </w:tc>
        <w:tc>
          <w:tcPr>
            <w:tcW w:w="5101"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6D57FE4">
            <w:pPr>
              <w:tabs>
                <w:tab w:val="left" w:pos="0"/>
              </w:tabs>
              <w:adjustRightInd/>
              <w:snapToGrid/>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1、投标人（若为联合体，指联合</w:t>
            </w:r>
            <w:r>
              <w:rPr>
                <w:rFonts w:hint="eastAsia" w:ascii="Times New Roman" w:hAnsi="宋体" w:eastAsia="宋体" w:cs="宋体"/>
                <w:color w:val="000000"/>
                <w:sz w:val="21"/>
                <w:szCs w:val="21"/>
                <w:highlight w:val="none"/>
                <w:lang w:val="en-US" w:eastAsia="zh-CN"/>
              </w:rPr>
              <w:t>体主办方）</w:t>
            </w:r>
            <w:r>
              <w:rPr>
                <w:rFonts w:hint="eastAsia" w:hAnsi="宋体" w:cs="宋体"/>
                <w:color w:val="000000"/>
                <w:sz w:val="21"/>
                <w:szCs w:val="21"/>
                <w:highlight w:val="none"/>
                <w:lang w:val="en-US" w:eastAsia="zh-CN"/>
              </w:rPr>
              <w:t>具有</w:t>
            </w:r>
            <w:r>
              <w:rPr>
                <w:rFonts w:hint="eastAsia" w:ascii="宋体" w:hAnsi="宋体" w:eastAsia="宋体" w:cs="宋体"/>
                <w:bCs/>
                <w:color w:val="000000"/>
                <w:sz w:val="21"/>
                <w:szCs w:val="21"/>
                <w:highlight w:val="none"/>
                <w:lang w:val="en-US" w:eastAsia="zh-CN" w:bidi="ar"/>
              </w:rPr>
              <w:t>中国合格评定国家认可委员会检验机构证书和实验室认可证书（CNAS）且在有效期内的，得8分，只具备其中一项的，得4分</w:t>
            </w:r>
            <w:r>
              <w:rPr>
                <w:rFonts w:hint="eastAsia" w:ascii="Times New Roman" w:hAnsi="宋体" w:eastAsia="宋体" w:cs="宋体"/>
                <w:color w:val="000000"/>
                <w:sz w:val="21"/>
                <w:szCs w:val="21"/>
                <w:highlight w:val="none"/>
              </w:rPr>
              <w:t>，</w:t>
            </w:r>
            <w:r>
              <w:rPr>
                <w:rFonts w:hint="eastAsia" w:hAnsi="宋体" w:cs="宋体"/>
                <w:color w:val="000000"/>
                <w:sz w:val="21"/>
                <w:szCs w:val="21"/>
                <w:highlight w:val="none"/>
                <w:lang w:val="en-US" w:eastAsia="zh-CN"/>
              </w:rPr>
              <w:t>本小项</w:t>
            </w:r>
            <w:r>
              <w:rPr>
                <w:rFonts w:hint="eastAsia" w:ascii="Times New Roman" w:hAnsi="宋体" w:eastAsia="宋体" w:cs="宋体"/>
                <w:color w:val="000000"/>
                <w:sz w:val="21"/>
                <w:szCs w:val="21"/>
                <w:highlight w:val="none"/>
              </w:rPr>
              <w:t>最多得8分。</w:t>
            </w:r>
          </w:p>
          <w:p w14:paraId="6EA369A0">
            <w:pPr>
              <w:tabs>
                <w:tab w:val="left" w:pos="0"/>
              </w:tabs>
              <w:adjustRightInd/>
              <w:snapToGrid/>
              <w:rPr>
                <w:rFonts w:hint="eastAsia" w:ascii="宋体" w:hAnsi="宋体" w:eastAsia="宋体" w:cs="宋体"/>
                <w:bCs/>
                <w:color w:val="000000"/>
                <w:sz w:val="21"/>
                <w:szCs w:val="21"/>
                <w:highlight w:val="none"/>
                <w:lang w:val="en-US" w:eastAsia="zh-CN"/>
              </w:rPr>
            </w:pPr>
            <w:bookmarkStart w:id="107" w:name="OLE_LINK10"/>
            <w:r>
              <w:rPr>
                <w:rFonts w:hint="eastAsia" w:ascii="宋体" w:hAnsi="宋体" w:eastAsia="宋体" w:cs="宋体"/>
                <w:bCs/>
                <w:color w:val="000000"/>
                <w:sz w:val="21"/>
                <w:szCs w:val="21"/>
                <w:highlight w:val="none"/>
                <w:lang w:val="en-US" w:eastAsia="zh-CN"/>
              </w:rPr>
              <w:t>注：</w:t>
            </w:r>
            <w:bookmarkEnd w:id="107"/>
            <w:r>
              <w:rPr>
                <w:rFonts w:hint="eastAsia" w:ascii="宋体" w:hAnsi="宋体" w:eastAsia="宋体" w:cs="宋体"/>
                <w:bCs/>
                <w:color w:val="000000"/>
                <w:sz w:val="21"/>
                <w:szCs w:val="21"/>
                <w:highlight w:val="none"/>
                <w:lang w:val="en-US" w:eastAsia="zh-CN"/>
              </w:rPr>
              <w:t>需提供相关证书扫描件并加盖投标人公章，没有提供的不得分。</w:t>
            </w:r>
          </w:p>
          <w:p w14:paraId="7F6E422F">
            <w:pPr>
              <w:tabs>
                <w:tab w:val="left" w:pos="0"/>
              </w:tabs>
              <w:adjustRightInd/>
              <w:snapToGrid/>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2、投标人（若为联合体，指联合</w:t>
            </w:r>
            <w:r>
              <w:rPr>
                <w:rFonts w:hint="eastAsia" w:ascii="Times New Roman" w:hAnsi="宋体" w:eastAsia="宋体" w:cs="宋体"/>
                <w:color w:val="000000"/>
                <w:sz w:val="21"/>
                <w:szCs w:val="21"/>
                <w:highlight w:val="none"/>
                <w:lang w:val="en-US" w:eastAsia="zh-CN"/>
              </w:rPr>
              <w:t>体主办方）</w:t>
            </w:r>
            <w:r>
              <w:rPr>
                <w:rFonts w:hint="eastAsia" w:ascii="宋体" w:hAnsi="宋体" w:cs="宋体"/>
                <w:bCs/>
                <w:color w:val="000000"/>
                <w:sz w:val="21"/>
                <w:szCs w:val="21"/>
                <w:highlight w:val="none"/>
                <w:lang w:val="en-US" w:eastAsia="zh-CN"/>
              </w:rPr>
              <w:t>自</w:t>
            </w:r>
            <w:r>
              <w:rPr>
                <w:rFonts w:hint="eastAsia" w:ascii="宋体" w:hAnsi="宋体" w:eastAsia="宋体" w:cs="宋体"/>
                <w:bCs/>
                <w:color w:val="000000"/>
                <w:sz w:val="21"/>
                <w:szCs w:val="21"/>
                <w:highlight w:val="none"/>
                <w:lang w:val="en-US" w:eastAsia="zh-CN"/>
              </w:rPr>
              <w:t>2020年1月1日至今获得过政府</w:t>
            </w:r>
            <w:r>
              <w:rPr>
                <w:rFonts w:hint="eastAsia" w:ascii="Times New Roman" w:hAnsi="宋体" w:eastAsia="宋体" w:cs="宋体"/>
                <w:color w:val="000000"/>
                <w:sz w:val="21"/>
                <w:szCs w:val="21"/>
                <w:highlight w:val="none"/>
                <w:lang w:val="en-US" w:eastAsia="zh-CN"/>
              </w:rPr>
              <w:t>或协会</w:t>
            </w:r>
            <w:r>
              <w:rPr>
                <w:rFonts w:hint="eastAsia" w:ascii="宋体" w:hAnsi="宋体" w:eastAsia="宋体" w:cs="宋体"/>
                <w:bCs/>
                <w:color w:val="000000"/>
                <w:sz w:val="21"/>
                <w:szCs w:val="21"/>
                <w:highlight w:val="none"/>
                <w:lang w:val="en-US" w:eastAsia="zh-CN"/>
              </w:rPr>
              <w:t>颁发的工程相关科学技术类奖</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lang w:val="en-US" w:eastAsia="zh-CN"/>
              </w:rPr>
              <w:t>每项得2分；本项最多得4分。</w:t>
            </w:r>
          </w:p>
          <w:p w14:paraId="3C7215EB">
            <w:pPr>
              <w:tabs>
                <w:tab w:val="left" w:pos="0"/>
              </w:tabs>
              <w:adjustRightInd/>
              <w:snapToGrid/>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注：须提供证书扫描件，获奖时间以获奖证书颁发时间为准。没有提供的不得分。</w:t>
            </w:r>
          </w:p>
          <w:p w14:paraId="7AED0247">
            <w:pPr>
              <w:tabs>
                <w:tab w:val="left" w:pos="0"/>
              </w:tabs>
              <w:adjustRightInd/>
              <w:snapToGrid/>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3、</w:t>
            </w:r>
            <w:r>
              <w:rPr>
                <w:rFonts w:hint="eastAsia" w:ascii="宋体" w:hAnsi="宋体" w:eastAsia="宋体" w:cs="宋体"/>
                <w:bCs/>
                <w:color w:val="000000"/>
                <w:sz w:val="21"/>
                <w:szCs w:val="21"/>
                <w:highlight w:val="none"/>
                <w:lang w:val="en-US" w:eastAsia="zh-CN"/>
              </w:rPr>
              <w:t>投标人（如为联合体，指联合体主办方）至投标截止时间止（须含2024年度），连续获得“纳税信用A级” 证书5年的，得5分；连续5年基础上每</w:t>
            </w:r>
            <w:r>
              <w:rPr>
                <w:rFonts w:hint="eastAsia" w:ascii="宋体" w:hAnsi="宋体" w:cs="宋体"/>
                <w:bCs/>
                <w:color w:val="000000"/>
                <w:sz w:val="21"/>
                <w:szCs w:val="21"/>
                <w:highlight w:val="none"/>
                <w:lang w:val="en-US" w:eastAsia="zh-CN"/>
              </w:rPr>
              <w:t>连续</w:t>
            </w:r>
            <w:r>
              <w:rPr>
                <w:rFonts w:hint="eastAsia" w:ascii="宋体" w:hAnsi="宋体" w:eastAsia="宋体" w:cs="宋体"/>
                <w:bCs/>
                <w:color w:val="000000"/>
                <w:sz w:val="21"/>
                <w:szCs w:val="21"/>
                <w:highlight w:val="none"/>
                <w:lang w:val="en-US" w:eastAsia="zh-CN"/>
              </w:rPr>
              <w:t>递增1年得1.5分。不符合上述条件的不得分，本项最高得8分。</w:t>
            </w:r>
          </w:p>
          <w:p w14:paraId="24BE61A3">
            <w:pPr>
              <w:tabs>
                <w:tab w:val="left" w:pos="0"/>
              </w:tabs>
              <w:adjustRightInd/>
              <w:snapToGrid/>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注：“纳税信用等级”以国家税务总局网站“纳税信用A级纳税人名单公布栏”查询结果为准，须提交国家税务总局网站“纳税信用A级纳税人名单公布栏(http://hd.chinatax.gov.cn/nszx/InitCredit.html)”查询结果(查询结果不包括子公司、分公司)的网页截图并加盖投标人企业电子印章，不符合条件或无提供查询结果网页截图的不计分。</w:t>
            </w:r>
          </w:p>
          <w:p w14:paraId="3F564302">
            <w:pPr>
              <w:tabs>
                <w:tab w:val="left" w:pos="0"/>
              </w:tabs>
              <w:adjustRightInd/>
              <w:snapToGrid/>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投标人（如为联合体，指联合体主办方）同时具有有效期内的信息安全管理体系、知识产权管理体系、测量管理体系、信息技术服务管理体系、诚信管理体系、企业履约能力评价的认证证书的，得10分；同时具有以上任意4-5项认证证书的，得7分；同时具有以上任意2-3项认证证书的，得4分；具有以上任意1项认证证书的，得1分。</w:t>
            </w:r>
          </w:p>
          <w:p w14:paraId="02E15942">
            <w:pPr>
              <w:tabs>
                <w:tab w:val="left" w:pos="0"/>
              </w:tabs>
              <w:adjustRightInd/>
              <w:snapToGrid/>
              <w:rPr>
                <w:rFonts w:hint="default"/>
                <w:lang w:val="en-US" w:eastAsia="zh-CN"/>
              </w:rPr>
            </w:pPr>
            <w:r>
              <w:rPr>
                <w:rFonts w:hint="eastAsia" w:ascii="宋体" w:hAnsi="宋体" w:eastAsia="宋体" w:cs="宋体"/>
                <w:bCs/>
                <w:color w:val="000000"/>
                <w:sz w:val="21"/>
                <w:szCs w:val="21"/>
                <w:highlight w:val="none"/>
                <w:lang w:val="en-US" w:eastAsia="zh-CN"/>
              </w:rPr>
              <w:t>注：须提供证书扫描件。没有提供的不得分。</w:t>
            </w:r>
          </w:p>
        </w:tc>
      </w:tr>
      <w:tr w14:paraId="0B8A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31" w:type="dxa"/>
            <w:gridSpan w:val="2"/>
            <w:vMerge w:val="continue"/>
            <w:tcBorders>
              <w:left w:val="single" w:color="auto" w:sz="4" w:space="0"/>
              <w:right w:val="single" w:color="auto" w:sz="4" w:space="0"/>
              <w:tl2br w:val="nil"/>
              <w:tr2bl w:val="nil"/>
            </w:tcBorders>
            <w:noWrap w:val="0"/>
            <w:vAlign w:val="top"/>
          </w:tcPr>
          <w:p w14:paraId="169A266E">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329000B8">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right w:val="single" w:color="auto" w:sz="4" w:space="0"/>
              <w:tl2br w:val="nil"/>
              <w:tr2bl w:val="nil"/>
            </w:tcBorders>
            <w:noWrap w:val="0"/>
            <w:vAlign w:val="center"/>
          </w:tcPr>
          <w:p w14:paraId="0EDE6022">
            <w:pPr>
              <w:keepNext w:val="0"/>
              <w:keepLines w:val="0"/>
              <w:pageBreakBefore w:val="0"/>
              <w:widowControl w:val="0"/>
              <w:kinsoku/>
              <w:wordWrap/>
              <w:overflowPunct/>
              <w:topLinePunct w:val="0"/>
              <w:bidi w:val="0"/>
              <w:adjustRightInd/>
              <w:snapToGrid w:val="0"/>
              <w:spacing w:beforeAutospacing="0" w:afterAutospacing="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p w14:paraId="23E1AB39">
            <w:pPr>
              <w:keepNext w:val="0"/>
              <w:keepLines w:val="0"/>
              <w:pageBreakBefore w:val="0"/>
              <w:widowControl w:val="0"/>
              <w:kinsoku/>
              <w:wordWrap/>
              <w:overflowPunct/>
              <w:topLinePunct w:val="0"/>
              <w:bidi w:val="0"/>
              <w:adjustRightInd/>
              <w:snapToGrid w:val="0"/>
              <w:spacing w:beforeAutospacing="0" w:afterAutospacing="0" w:line="240" w:lineRule="auto"/>
              <w:jc w:val="center"/>
              <w:textAlignment w:val="auto"/>
              <w:rPr>
                <w:rFonts w:hint="default" w:eastAsia="宋体"/>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89DD3E">
            <w:pPr>
              <w:keepNext w:val="0"/>
              <w:keepLines w:val="0"/>
              <w:pageBreakBefore w:val="0"/>
              <w:widowControl w:val="0"/>
              <w:kinsoku/>
              <w:wordWrap/>
              <w:overflowPunct/>
              <w:topLinePunct w:val="0"/>
              <w:bidi w:val="0"/>
              <w:adjustRightInd/>
              <w:snapToGrid w:val="0"/>
              <w:spacing w:beforeAutospacing="0" w:afterAutospacing="0" w:line="240" w:lineRule="auto"/>
              <w:jc w:val="left"/>
              <w:textAlignment w:val="auto"/>
              <w:rPr>
                <w:rFonts w:hint="eastAsia" w:ascii="宋体" w:hAnsi="宋体" w:eastAsia="宋体" w:cs="宋体"/>
                <w:bCs/>
                <w:color w:val="000000"/>
                <w:sz w:val="21"/>
                <w:szCs w:val="21"/>
                <w:highlight w:val="none"/>
                <w:lang w:val="en-US" w:eastAsia="zh-CN"/>
              </w:rPr>
            </w:pPr>
            <w:bookmarkStart w:id="108" w:name="OLE_LINK6"/>
            <w:r>
              <w:rPr>
                <w:rFonts w:hint="eastAsia" w:ascii="宋体" w:hAnsi="宋体" w:eastAsia="宋体" w:cs="宋体"/>
                <w:bCs/>
                <w:color w:val="000000"/>
                <w:sz w:val="21"/>
                <w:szCs w:val="21"/>
                <w:highlight w:val="none"/>
                <w:lang w:val="en-US" w:eastAsia="zh-CN"/>
              </w:rPr>
              <w:t>投标人（如为联合体，指联合体主办方）拟派</w:t>
            </w:r>
            <w:r>
              <w:rPr>
                <w:rFonts w:hint="eastAsia" w:ascii="宋体" w:hAnsi="宋体" w:eastAsia="宋体" w:cs="宋体"/>
                <w:color w:val="auto"/>
                <w:sz w:val="21"/>
                <w:szCs w:val="21"/>
                <w:highlight w:val="none"/>
                <w:lang w:val="en-US" w:eastAsia="zh-CN"/>
              </w:rPr>
              <w:t>项目负责人：</w:t>
            </w:r>
          </w:p>
          <w:p w14:paraId="107CA343">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1、具有注册土木工程师（岩土）执业资格证书，得</w:t>
            </w:r>
            <w:r>
              <w:rPr>
                <w:rFonts w:hint="eastAsia" w:ascii="宋体" w:hAnsi="宋体" w:cs="宋体"/>
                <w:bCs/>
                <w:color w:val="000000"/>
                <w:sz w:val="21"/>
                <w:szCs w:val="21"/>
                <w:highlight w:val="none"/>
                <w:lang w:val="en-US" w:eastAsia="zh-CN"/>
              </w:rPr>
              <w:t>1</w:t>
            </w:r>
            <w:r>
              <w:rPr>
                <w:rFonts w:hint="eastAsia" w:ascii="宋体" w:hAnsi="宋体" w:eastAsia="宋体" w:cs="宋体"/>
                <w:bCs/>
                <w:color w:val="000000"/>
                <w:sz w:val="21"/>
                <w:szCs w:val="21"/>
                <w:highlight w:val="none"/>
                <w:lang w:val="en-US" w:eastAsia="zh-CN"/>
              </w:rPr>
              <w:t>分；</w:t>
            </w:r>
          </w:p>
          <w:p w14:paraId="4CC9DCF5">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2、具有一级注册结构工程师执业资格证书，得</w:t>
            </w:r>
            <w:r>
              <w:rPr>
                <w:rFonts w:hint="eastAsia" w:ascii="宋体" w:hAnsi="宋体" w:cs="宋体"/>
                <w:bCs/>
                <w:color w:val="000000"/>
                <w:sz w:val="21"/>
                <w:szCs w:val="21"/>
                <w:highlight w:val="none"/>
                <w:lang w:val="en-US" w:eastAsia="zh-CN"/>
              </w:rPr>
              <w:t>1</w:t>
            </w:r>
            <w:r>
              <w:rPr>
                <w:rFonts w:hint="eastAsia" w:ascii="宋体" w:hAnsi="宋体" w:eastAsia="宋体" w:cs="宋体"/>
                <w:bCs/>
                <w:color w:val="000000"/>
                <w:sz w:val="21"/>
                <w:szCs w:val="21"/>
                <w:highlight w:val="none"/>
                <w:lang w:val="en-US" w:eastAsia="zh-CN"/>
              </w:rPr>
              <w:t>分；</w:t>
            </w:r>
          </w:p>
          <w:p w14:paraId="318DEF31">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jc w:val="both"/>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3、具备建筑工程检测或工程类相关专业</w:t>
            </w:r>
            <w:r>
              <w:rPr>
                <w:rFonts w:hint="eastAsia" w:ascii="宋体" w:hAnsi="宋体" w:cs="宋体"/>
                <w:bCs/>
                <w:color w:val="000000"/>
                <w:sz w:val="21"/>
                <w:szCs w:val="21"/>
                <w:highlight w:val="none"/>
                <w:lang w:val="en-US" w:eastAsia="zh-CN"/>
              </w:rPr>
              <w:t>正</w:t>
            </w:r>
            <w:r>
              <w:rPr>
                <w:rFonts w:hint="eastAsia" w:ascii="宋体" w:hAnsi="宋体" w:eastAsia="宋体" w:cs="宋体"/>
                <w:bCs/>
                <w:color w:val="000000"/>
                <w:sz w:val="21"/>
                <w:szCs w:val="21"/>
                <w:highlight w:val="none"/>
                <w:lang w:val="en-US" w:eastAsia="zh-CN"/>
              </w:rPr>
              <w:t>高级</w:t>
            </w:r>
            <w:r>
              <w:rPr>
                <w:rFonts w:hint="eastAsia" w:ascii="宋体" w:hAnsi="宋体" w:cs="宋体"/>
                <w:sz w:val="21"/>
                <w:szCs w:val="21"/>
                <w:lang w:eastAsia="zh-CN"/>
              </w:rPr>
              <w:t>（或教授级）</w:t>
            </w:r>
            <w:r>
              <w:rPr>
                <w:rFonts w:hint="eastAsia" w:ascii="宋体" w:hAnsi="宋体" w:eastAsia="宋体" w:cs="宋体"/>
                <w:bCs/>
                <w:color w:val="000000"/>
                <w:sz w:val="21"/>
                <w:szCs w:val="21"/>
                <w:highlight w:val="none"/>
                <w:lang w:val="en-US" w:eastAsia="zh-CN"/>
              </w:rPr>
              <w:t>工程师职称，得</w:t>
            </w:r>
            <w:r>
              <w:rPr>
                <w:rFonts w:hint="eastAsia" w:ascii="宋体" w:hAnsi="宋体" w:cs="宋体"/>
                <w:bCs/>
                <w:color w:val="000000"/>
                <w:sz w:val="21"/>
                <w:szCs w:val="21"/>
                <w:highlight w:val="none"/>
                <w:lang w:val="en-US" w:eastAsia="zh-CN"/>
              </w:rPr>
              <w:t>3</w:t>
            </w:r>
            <w:r>
              <w:rPr>
                <w:rFonts w:hint="eastAsia" w:ascii="宋体" w:hAnsi="宋体" w:eastAsia="宋体" w:cs="宋体"/>
                <w:bCs/>
                <w:color w:val="000000"/>
                <w:sz w:val="21"/>
                <w:szCs w:val="21"/>
                <w:highlight w:val="none"/>
                <w:lang w:val="en-US" w:eastAsia="zh-CN"/>
              </w:rPr>
              <w:t>分；具备建筑工程检测或工程类相关专业高级工程师职称，得2分；具备建筑工程检测或工程类相关专业中级工程师职称，得</w:t>
            </w:r>
            <w:r>
              <w:rPr>
                <w:rFonts w:hint="eastAsia" w:ascii="宋体" w:hAnsi="宋体" w:cs="宋体"/>
                <w:bCs/>
                <w:color w:val="000000"/>
                <w:sz w:val="21"/>
                <w:szCs w:val="21"/>
                <w:highlight w:val="none"/>
                <w:lang w:val="en-US" w:eastAsia="zh-CN"/>
              </w:rPr>
              <w:t>1</w:t>
            </w:r>
            <w:r>
              <w:rPr>
                <w:rFonts w:hint="eastAsia" w:ascii="宋体" w:hAnsi="宋体" w:eastAsia="宋体" w:cs="宋体"/>
                <w:bCs/>
                <w:color w:val="000000"/>
                <w:sz w:val="21"/>
                <w:szCs w:val="21"/>
                <w:highlight w:val="none"/>
                <w:lang w:val="en-US" w:eastAsia="zh-CN"/>
              </w:rPr>
              <w:t>分。</w:t>
            </w:r>
            <w:r>
              <w:rPr>
                <w:rFonts w:hint="eastAsia" w:ascii="宋体" w:hAnsi="宋体" w:cs="宋体"/>
                <w:bCs/>
                <w:color w:val="000000"/>
                <w:sz w:val="21"/>
                <w:szCs w:val="21"/>
                <w:highlight w:val="none"/>
                <w:lang w:val="en-US" w:eastAsia="zh-CN"/>
              </w:rPr>
              <w:t>本小项最多得3分。</w:t>
            </w:r>
          </w:p>
          <w:p w14:paraId="179F37D5">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4、持有省级或以上建设工程质量安全监督部门或其委托的机构、行业协会颁发的检测鉴定培训合格证：</w:t>
            </w:r>
          </w:p>
          <w:p w14:paraId="64228E69">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（1）1</w:t>
            </w:r>
            <w:r>
              <w:rPr>
                <w:rFonts w:hint="eastAsia" w:ascii="宋体" w:hAnsi="宋体" w:cs="宋体"/>
                <w:bCs/>
                <w:color w:val="000000"/>
                <w:sz w:val="21"/>
                <w:szCs w:val="21"/>
                <w:highlight w:val="none"/>
                <w:lang w:val="en-US" w:eastAsia="zh-CN"/>
              </w:rPr>
              <w:t>5</w:t>
            </w:r>
            <w:r>
              <w:rPr>
                <w:rFonts w:hint="eastAsia" w:ascii="宋体" w:hAnsi="宋体" w:eastAsia="宋体" w:cs="宋体"/>
                <w:bCs/>
                <w:color w:val="000000"/>
                <w:sz w:val="21"/>
                <w:szCs w:val="21"/>
                <w:highlight w:val="none"/>
                <w:lang w:val="en-US" w:eastAsia="zh-CN"/>
              </w:rPr>
              <w:t>项（含）以上的，得5分；</w:t>
            </w:r>
          </w:p>
          <w:p w14:paraId="00316B3A">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w:t>
            </w:r>
            <w:r>
              <w:rPr>
                <w:rFonts w:hint="eastAsia" w:ascii="宋体" w:hAnsi="宋体" w:cs="宋体"/>
                <w:bCs/>
                <w:color w:val="000000"/>
                <w:sz w:val="21"/>
                <w:szCs w:val="21"/>
                <w:highlight w:val="none"/>
                <w:lang w:val="en-US" w:eastAsia="zh-CN"/>
              </w:rPr>
              <w:t>8</w:t>
            </w:r>
            <w:r>
              <w:rPr>
                <w:rFonts w:hint="eastAsia" w:ascii="宋体" w:hAnsi="宋体" w:eastAsia="宋体" w:cs="宋体"/>
                <w:bCs/>
                <w:color w:val="000000"/>
                <w:sz w:val="21"/>
                <w:szCs w:val="21"/>
                <w:highlight w:val="none"/>
                <w:lang w:val="en-US" w:eastAsia="zh-CN"/>
              </w:rPr>
              <w:t>项-</w:t>
            </w:r>
            <w:r>
              <w:rPr>
                <w:rFonts w:hint="eastAsia" w:ascii="宋体" w:hAnsi="宋体" w:cs="宋体"/>
                <w:bCs/>
                <w:color w:val="000000"/>
                <w:sz w:val="21"/>
                <w:szCs w:val="21"/>
                <w:highlight w:val="none"/>
                <w:lang w:val="en-US" w:eastAsia="zh-CN"/>
              </w:rPr>
              <w:t>14</w:t>
            </w:r>
            <w:r>
              <w:rPr>
                <w:rFonts w:hint="eastAsia" w:ascii="宋体" w:hAnsi="宋体" w:eastAsia="宋体" w:cs="宋体"/>
                <w:bCs/>
                <w:color w:val="000000"/>
                <w:sz w:val="21"/>
                <w:szCs w:val="21"/>
                <w:highlight w:val="none"/>
                <w:lang w:val="en-US" w:eastAsia="zh-CN"/>
              </w:rPr>
              <w:t>项的，得3分；</w:t>
            </w:r>
          </w:p>
          <w:p w14:paraId="17CCF41E">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w:t>
            </w:r>
            <w:r>
              <w:rPr>
                <w:rFonts w:hint="eastAsia" w:ascii="宋体" w:hAnsi="宋体" w:cs="宋体"/>
                <w:bCs/>
                <w:color w:val="000000"/>
                <w:sz w:val="21"/>
                <w:szCs w:val="21"/>
                <w:highlight w:val="none"/>
                <w:lang w:val="en-US" w:eastAsia="zh-CN"/>
              </w:rPr>
              <w:t>7</w:t>
            </w:r>
            <w:r>
              <w:rPr>
                <w:rFonts w:hint="eastAsia" w:ascii="宋体" w:hAnsi="宋体" w:eastAsia="宋体" w:cs="宋体"/>
                <w:bCs/>
                <w:color w:val="000000"/>
                <w:sz w:val="21"/>
                <w:szCs w:val="21"/>
                <w:highlight w:val="none"/>
                <w:lang w:val="en-US" w:eastAsia="zh-CN"/>
              </w:rPr>
              <w:t>项及以下得1分，</w:t>
            </w:r>
          </w:p>
          <w:p w14:paraId="407B6005">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（4）没有不得分。</w:t>
            </w:r>
          </w:p>
          <w:p w14:paraId="78680C85">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本项最高得</w:t>
            </w:r>
            <w:r>
              <w:rPr>
                <w:rFonts w:hint="eastAsia" w:ascii="宋体" w:hAnsi="宋体" w:cs="宋体"/>
                <w:bCs/>
                <w:color w:val="000000"/>
                <w:sz w:val="21"/>
                <w:szCs w:val="21"/>
                <w:highlight w:val="none"/>
                <w:lang w:val="en-US" w:eastAsia="zh-CN"/>
              </w:rPr>
              <w:t>10</w:t>
            </w:r>
            <w:r>
              <w:rPr>
                <w:rFonts w:hint="eastAsia" w:ascii="宋体" w:hAnsi="宋体" w:eastAsia="宋体" w:cs="宋体"/>
                <w:bCs/>
                <w:color w:val="000000"/>
                <w:sz w:val="21"/>
                <w:szCs w:val="21"/>
                <w:highlight w:val="none"/>
                <w:lang w:val="en-US" w:eastAsia="zh-CN"/>
              </w:rPr>
              <w:t>分。</w:t>
            </w:r>
          </w:p>
          <w:p w14:paraId="58E4F384">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auto"/>
              <w:ind w:left="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000000"/>
                <w:sz w:val="21"/>
                <w:szCs w:val="21"/>
                <w:highlight w:val="none"/>
                <w:lang w:val="en-US" w:eastAsia="zh-CN"/>
              </w:rPr>
              <w:t>注：需</w:t>
            </w:r>
            <w:r>
              <w:rPr>
                <w:rFonts w:hint="eastAsia" w:ascii="宋体" w:hAnsi="宋体" w:cs="宋体"/>
                <w:bCs/>
                <w:color w:val="000000"/>
                <w:sz w:val="21"/>
                <w:szCs w:val="21"/>
                <w:highlight w:val="none"/>
                <w:lang w:val="en-US" w:eastAsia="zh-CN"/>
              </w:rPr>
              <w:t>按要求对应</w:t>
            </w:r>
            <w:r>
              <w:rPr>
                <w:rFonts w:hint="eastAsia" w:ascii="宋体" w:hAnsi="宋体" w:eastAsia="宋体" w:cs="宋体"/>
                <w:bCs/>
                <w:color w:val="000000"/>
                <w:sz w:val="21"/>
                <w:szCs w:val="21"/>
                <w:highlight w:val="none"/>
                <w:lang w:val="en-US" w:eastAsia="zh-CN"/>
              </w:rPr>
              <w:t>提供项目负责人职称证、注册证</w:t>
            </w:r>
            <w:r>
              <w:rPr>
                <w:rFonts w:hint="eastAsia" w:ascii="宋体" w:hAnsi="宋体" w:cs="宋体"/>
                <w:b w:val="0"/>
                <w:bCs/>
                <w:color w:val="000000"/>
                <w:sz w:val="21"/>
                <w:szCs w:val="21"/>
                <w:highlight w:val="none"/>
                <w:lang w:val="en-US" w:eastAsia="zh-CN"/>
              </w:rPr>
              <w:t>（</w:t>
            </w:r>
            <w:r>
              <w:rPr>
                <w:rFonts w:hint="eastAsia" w:ascii="宋体" w:hAnsi="宋体" w:eastAsia="宋体" w:cs="宋体"/>
                <w:b w:val="0"/>
                <w:bCs/>
                <w:color w:val="000000"/>
                <w:sz w:val="21"/>
                <w:szCs w:val="21"/>
                <w:highlight w:val="none"/>
                <w:lang w:val="en-US" w:eastAsia="zh-CN"/>
              </w:rPr>
              <w:t>需</w:t>
            </w:r>
            <w:r>
              <w:rPr>
                <w:rFonts w:hint="eastAsia" w:ascii="宋体" w:hAnsi="宋体" w:cs="宋体"/>
                <w:b w:val="0"/>
                <w:bCs/>
                <w:color w:val="000000"/>
                <w:sz w:val="21"/>
                <w:szCs w:val="21"/>
                <w:highlight w:val="none"/>
                <w:lang w:val="en-US" w:eastAsia="zh-CN"/>
              </w:rPr>
              <w:t>提供住房和城乡建设部执业资格注册中心查询网页截图，注册单位必须为投标人本单位）</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lang w:val="en-US" w:eastAsia="zh-CN"/>
              </w:rPr>
              <w:t>检测鉴定培训</w:t>
            </w:r>
            <w:r>
              <w:rPr>
                <w:rFonts w:hint="eastAsia" w:ascii="宋体" w:hAnsi="宋体" w:cs="宋体"/>
                <w:bCs/>
                <w:color w:val="000000"/>
                <w:sz w:val="21"/>
                <w:szCs w:val="21"/>
                <w:highlight w:val="none"/>
                <w:lang w:val="en-US" w:eastAsia="zh-CN"/>
              </w:rPr>
              <w:t>合格证或上岗证</w:t>
            </w:r>
            <w:r>
              <w:rPr>
                <w:rFonts w:hint="eastAsia" w:ascii="宋体" w:hAnsi="宋体" w:eastAsia="宋体" w:cs="宋体"/>
                <w:bCs/>
                <w:color w:val="000000"/>
                <w:sz w:val="21"/>
                <w:szCs w:val="21"/>
                <w:highlight w:val="none"/>
                <w:lang w:val="en-US" w:eastAsia="zh-CN"/>
              </w:rPr>
              <w:t>及投标人为其缴纳投标截止前</w:t>
            </w:r>
            <w:r>
              <w:rPr>
                <w:rFonts w:hint="eastAsia" w:ascii="宋体" w:hAnsi="宋体" w:cs="宋体"/>
                <w:bCs/>
                <w:color w:val="000000"/>
                <w:sz w:val="21"/>
                <w:szCs w:val="21"/>
                <w:highlight w:val="none"/>
                <w:lang w:val="en-US" w:eastAsia="zh-CN"/>
              </w:rPr>
              <w:t>三个月</w:t>
            </w:r>
            <w:r>
              <w:rPr>
                <w:rFonts w:hint="eastAsia" w:ascii="宋体" w:hAnsi="宋体" w:eastAsia="宋体" w:cs="宋体"/>
                <w:bCs/>
                <w:color w:val="000000"/>
                <w:sz w:val="21"/>
                <w:szCs w:val="21"/>
                <w:highlight w:val="none"/>
                <w:lang w:val="en-US" w:eastAsia="zh-CN"/>
              </w:rPr>
              <w:t>任一个月</w:t>
            </w:r>
            <w:r>
              <w:rPr>
                <w:rFonts w:hint="eastAsia" w:ascii="宋体" w:hAnsi="宋体" w:cs="宋体"/>
                <w:bCs/>
                <w:color w:val="000000"/>
                <w:sz w:val="21"/>
                <w:szCs w:val="21"/>
                <w:highlight w:val="none"/>
                <w:lang w:val="en-US" w:eastAsia="zh-CN"/>
              </w:rPr>
              <w:t>的</w:t>
            </w:r>
            <w:r>
              <w:rPr>
                <w:rFonts w:hint="eastAsia" w:ascii="宋体" w:hAnsi="宋体" w:eastAsia="宋体" w:cs="宋体"/>
                <w:bCs/>
                <w:color w:val="000000"/>
                <w:sz w:val="21"/>
                <w:szCs w:val="21"/>
                <w:highlight w:val="none"/>
                <w:lang w:val="en-US" w:eastAsia="zh-CN"/>
              </w:rPr>
              <w:t>有效社保证明扫描件。没有提供的不得分。</w:t>
            </w:r>
            <w:bookmarkEnd w:id="108"/>
          </w:p>
        </w:tc>
      </w:tr>
      <w:tr w14:paraId="4D61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left w:val="single" w:color="auto" w:sz="4" w:space="0"/>
              <w:right w:val="single" w:color="auto" w:sz="4" w:space="0"/>
              <w:tl2br w:val="nil"/>
              <w:tr2bl w:val="nil"/>
            </w:tcBorders>
            <w:noWrap w:val="0"/>
            <w:vAlign w:val="top"/>
          </w:tcPr>
          <w:p w14:paraId="33EB5D0D">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3904AC27">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A11345">
            <w:pPr>
              <w:keepNext w:val="0"/>
              <w:keepLines w:val="0"/>
              <w:pageBreakBefore w:val="0"/>
              <w:widowControl w:val="0"/>
              <w:kinsoku/>
              <w:wordWrap/>
              <w:overflowPunct/>
              <w:topLinePunct w:val="0"/>
              <w:bidi w:val="0"/>
              <w:adjustRightInd/>
              <w:snapToGrid w:val="0"/>
              <w:spacing w:beforeAutospacing="0" w:afterAutospacing="0"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项目技术负责人</w:t>
            </w:r>
          </w:p>
          <w:p w14:paraId="6273F626">
            <w:pPr>
              <w:keepNext w:val="0"/>
              <w:keepLines w:val="0"/>
              <w:pageBreakBefore w:val="0"/>
              <w:widowControl w:val="0"/>
              <w:kinsoku/>
              <w:wordWrap/>
              <w:overflowPunct/>
              <w:topLinePunct w:val="0"/>
              <w:bidi w:val="0"/>
              <w:adjustRightInd/>
              <w:snapToGrid w:val="0"/>
              <w:spacing w:beforeAutospacing="0" w:afterAutospacing="0" w:line="240" w:lineRule="auto"/>
              <w:jc w:val="center"/>
              <w:textAlignment w:val="auto"/>
              <w:rPr>
                <w:rFonts w:hint="default" w:eastAsia="宋体"/>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8DB38">
            <w:pPr>
              <w:spacing w:line="280" w:lineRule="exact"/>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投标人（如为联合体，指联合体主办方）拟派项目技术负责人:</w:t>
            </w:r>
          </w:p>
          <w:p w14:paraId="41671DE0">
            <w:pPr>
              <w:keepNext w:val="0"/>
              <w:keepLines w:val="0"/>
              <w:pageBreakBefore w:val="0"/>
              <w:widowControl w:val="0"/>
              <w:numPr>
                <w:ilvl w:val="0"/>
                <w:numId w:val="2"/>
              </w:numPr>
              <w:kinsoku/>
              <w:wordWrap/>
              <w:overflowPunct/>
              <w:topLinePunct w:val="0"/>
              <w:autoSpaceDE w:val="0"/>
              <w:autoSpaceDN w:val="0"/>
              <w:bidi w:val="0"/>
              <w:adjustRightInd w:val="0"/>
              <w:snapToGrid/>
              <w:spacing w:beforeAutospacing="0" w:afterAutospacing="0" w:line="240" w:lineRule="auto"/>
              <w:ind w:left="0"/>
              <w:jc w:val="both"/>
              <w:textAlignment w:val="auto"/>
              <w:rPr>
                <w:rFonts w:hint="eastAsia" w:ascii="宋体" w:hAnsi="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具备建筑工程检测或工程类相关专业高级工程师（或以上）职称，得2分；具备建筑工程检测或工程类相关专业中级工程师职称，得1分。</w:t>
            </w:r>
            <w:r>
              <w:rPr>
                <w:rFonts w:hint="eastAsia" w:ascii="宋体" w:hAnsi="宋体" w:cs="宋体"/>
                <w:bCs/>
                <w:color w:val="000000"/>
                <w:sz w:val="21"/>
                <w:szCs w:val="21"/>
                <w:highlight w:val="none"/>
                <w:lang w:val="en-US" w:eastAsia="zh-CN"/>
              </w:rPr>
              <w:t>本小项最多得2分。</w:t>
            </w:r>
          </w:p>
          <w:p w14:paraId="3344EB6F">
            <w:pPr>
              <w:pStyle w:val="28"/>
              <w:numPr>
                <w:ilvl w:val="0"/>
                <w:numId w:val="2"/>
              </w:numPr>
              <w:rPr>
                <w:rFonts w:hint="default"/>
                <w:lang w:val="en-US" w:eastAsia="zh-CN"/>
              </w:rPr>
            </w:pPr>
            <w:r>
              <w:rPr>
                <w:rFonts w:hint="eastAsia" w:ascii="宋体" w:hAnsi="宋体" w:eastAsia="宋体" w:cs="宋体"/>
                <w:bCs/>
                <w:color w:val="000000"/>
                <w:sz w:val="21"/>
                <w:szCs w:val="21"/>
                <w:highlight w:val="none"/>
                <w:lang w:val="en-US" w:eastAsia="zh-CN"/>
              </w:rPr>
              <w:t>具有注册土木工程师（岩土）执业资格证书，得2分。</w:t>
            </w:r>
          </w:p>
          <w:p w14:paraId="53244FDF">
            <w:pPr>
              <w:spacing w:line="280" w:lineRule="exact"/>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3</w:t>
            </w:r>
            <w:r>
              <w:rPr>
                <w:rFonts w:hint="eastAsia" w:ascii="宋体" w:hAnsi="宋体" w:eastAsia="宋体" w:cs="宋体"/>
                <w:bCs/>
                <w:color w:val="000000"/>
                <w:sz w:val="21"/>
                <w:szCs w:val="21"/>
                <w:highlight w:val="none"/>
                <w:lang w:val="en-US" w:eastAsia="zh-CN"/>
              </w:rPr>
              <w:t>、持有省级或以上建设工程质量安全监督部门或其委托的机构、行业协会颁发的检测鉴定培训合格证：</w:t>
            </w:r>
          </w:p>
          <w:p w14:paraId="1B36D65D">
            <w:pPr>
              <w:spacing w:line="280" w:lineRule="exact"/>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w:t>
            </w:r>
            <w:r>
              <w:rPr>
                <w:rFonts w:hint="eastAsia" w:ascii="宋体" w:hAnsi="宋体" w:cs="宋体"/>
                <w:bCs/>
                <w:color w:val="000000"/>
                <w:sz w:val="21"/>
                <w:szCs w:val="21"/>
                <w:highlight w:val="none"/>
                <w:lang w:val="en-US" w:eastAsia="zh-CN"/>
              </w:rPr>
              <w:t>15</w:t>
            </w:r>
            <w:r>
              <w:rPr>
                <w:rFonts w:hint="eastAsia" w:ascii="宋体" w:hAnsi="宋体" w:eastAsia="宋体" w:cs="宋体"/>
                <w:bCs/>
                <w:color w:val="000000"/>
                <w:sz w:val="21"/>
                <w:szCs w:val="21"/>
                <w:highlight w:val="none"/>
                <w:lang w:val="en-US" w:eastAsia="zh-CN"/>
              </w:rPr>
              <w:t>项（含）以上的，得</w:t>
            </w:r>
            <w:r>
              <w:rPr>
                <w:rFonts w:hint="eastAsia" w:ascii="宋体" w:hAnsi="宋体" w:cs="宋体"/>
                <w:bCs/>
                <w:color w:val="000000"/>
                <w:sz w:val="21"/>
                <w:szCs w:val="21"/>
                <w:highlight w:val="none"/>
                <w:lang w:val="en-US" w:eastAsia="zh-CN"/>
              </w:rPr>
              <w:t>5</w:t>
            </w:r>
            <w:r>
              <w:rPr>
                <w:rFonts w:hint="eastAsia" w:ascii="宋体" w:hAnsi="宋体" w:eastAsia="宋体" w:cs="宋体"/>
                <w:bCs/>
                <w:color w:val="000000"/>
                <w:sz w:val="21"/>
                <w:szCs w:val="21"/>
                <w:highlight w:val="none"/>
                <w:lang w:val="en-US" w:eastAsia="zh-CN"/>
              </w:rPr>
              <w:t>分；</w:t>
            </w:r>
          </w:p>
          <w:p w14:paraId="3F55FCD1">
            <w:pPr>
              <w:spacing w:line="280" w:lineRule="exact"/>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w:t>
            </w:r>
            <w:r>
              <w:rPr>
                <w:rFonts w:hint="eastAsia" w:ascii="宋体" w:hAnsi="宋体" w:cs="宋体"/>
                <w:bCs/>
                <w:color w:val="000000"/>
                <w:sz w:val="21"/>
                <w:szCs w:val="21"/>
                <w:highlight w:val="none"/>
                <w:lang w:val="en-US" w:eastAsia="zh-CN"/>
              </w:rPr>
              <w:t>8</w:t>
            </w:r>
            <w:r>
              <w:rPr>
                <w:rFonts w:hint="eastAsia" w:ascii="宋体" w:hAnsi="宋体" w:eastAsia="宋体" w:cs="宋体"/>
                <w:bCs/>
                <w:color w:val="000000"/>
                <w:sz w:val="21"/>
                <w:szCs w:val="21"/>
                <w:highlight w:val="none"/>
                <w:lang w:val="en-US" w:eastAsia="zh-CN"/>
              </w:rPr>
              <w:t>项-1</w:t>
            </w:r>
            <w:r>
              <w:rPr>
                <w:rFonts w:hint="eastAsia" w:ascii="宋体" w:hAnsi="宋体" w:cs="宋体"/>
                <w:bCs/>
                <w:color w:val="000000"/>
                <w:sz w:val="21"/>
                <w:szCs w:val="21"/>
                <w:highlight w:val="none"/>
                <w:lang w:val="en-US" w:eastAsia="zh-CN"/>
              </w:rPr>
              <w:t>4</w:t>
            </w:r>
            <w:r>
              <w:rPr>
                <w:rFonts w:hint="eastAsia" w:ascii="宋体" w:hAnsi="宋体" w:eastAsia="宋体" w:cs="宋体"/>
                <w:bCs/>
                <w:color w:val="000000"/>
                <w:sz w:val="21"/>
                <w:szCs w:val="21"/>
                <w:highlight w:val="none"/>
                <w:lang w:val="en-US" w:eastAsia="zh-CN"/>
              </w:rPr>
              <w:t>项的，得</w:t>
            </w:r>
            <w:r>
              <w:rPr>
                <w:rFonts w:hint="eastAsia" w:ascii="宋体" w:hAnsi="宋体" w:cs="宋体"/>
                <w:bCs/>
                <w:color w:val="000000"/>
                <w:sz w:val="21"/>
                <w:szCs w:val="21"/>
                <w:highlight w:val="none"/>
                <w:lang w:val="en-US" w:eastAsia="zh-CN"/>
              </w:rPr>
              <w:t>5</w:t>
            </w:r>
            <w:r>
              <w:rPr>
                <w:rFonts w:hint="eastAsia" w:ascii="宋体" w:hAnsi="宋体" w:eastAsia="宋体" w:cs="宋体"/>
                <w:bCs/>
                <w:color w:val="000000"/>
                <w:sz w:val="21"/>
                <w:szCs w:val="21"/>
                <w:highlight w:val="none"/>
                <w:lang w:val="en-US" w:eastAsia="zh-CN"/>
              </w:rPr>
              <w:t>分；</w:t>
            </w:r>
          </w:p>
          <w:p w14:paraId="260E011B">
            <w:pPr>
              <w:spacing w:line="280" w:lineRule="exact"/>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（3）</w:t>
            </w:r>
            <w:r>
              <w:rPr>
                <w:rFonts w:hint="eastAsia" w:ascii="宋体" w:hAnsi="宋体" w:cs="宋体"/>
                <w:bCs/>
                <w:color w:val="000000"/>
                <w:sz w:val="21"/>
                <w:szCs w:val="21"/>
                <w:highlight w:val="none"/>
                <w:lang w:val="en-US" w:eastAsia="zh-CN"/>
              </w:rPr>
              <w:t>7</w:t>
            </w:r>
            <w:r>
              <w:rPr>
                <w:rFonts w:hint="eastAsia" w:ascii="宋体" w:hAnsi="宋体" w:eastAsia="宋体" w:cs="宋体"/>
                <w:bCs/>
                <w:color w:val="000000"/>
                <w:sz w:val="21"/>
                <w:szCs w:val="21"/>
                <w:highlight w:val="none"/>
                <w:lang w:val="en-US" w:eastAsia="zh-CN"/>
              </w:rPr>
              <w:t>项及以下得</w:t>
            </w:r>
            <w:r>
              <w:rPr>
                <w:rFonts w:hint="eastAsia" w:ascii="宋体" w:hAnsi="宋体" w:cs="宋体"/>
                <w:bCs/>
                <w:color w:val="000000"/>
                <w:sz w:val="21"/>
                <w:szCs w:val="21"/>
                <w:highlight w:val="none"/>
                <w:lang w:val="en-US" w:eastAsia="zh-CN"/>
              </w:rPr>
              <w:t>3</w:t>
            </w:r>
            <w:r>
              <w:rPr>
                <w:rFonts w:hint="eastAsia" w:ascii="宋体" w:hAnsi="宋体" w:eastAsia="宋体" w:cs="宋体"/>
                <w:bCs/>
                <w:color w:val="000000"/>
                <w:sz w:val="21"/>
                <w:szCs w:val="21"/>
                <w:highlight w:val="none"/>
                <w:lang w:val="en-US" w:eastAsia="zh-CN"/>
              </w:rPr>
              <w:t>分，</w:t>
            </w:r>
          </w:p>
          <w:p w14:paraId="0886284C">
            <w:pPr>
              <w:spacing w:line="280" w:lineRule="exact"/>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（4）没有不得分。</w:t>
            </w:r>
          </w:p>
          <w:p w14:paraId="018EC987">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本项最多得9分。</w:t>
            </w:r>
          </w:p>
          <w:p w14:paraId="7F72D8AE">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000000"/>
                <w:sz w:val="21"/>
                <w:szCs w:val="21"/>
                <w:highlight w:val="none"/>
                <w:lang w:val="en-US" w:eastAsia="zh-CN"/>
              </w:rPr>
              <w:t>注：①需提供项目技术负责人职称证、注册证</w:t>
            </w:r>
            <w:r>
              <w:rPr>
                <w:rFonts w:hint="eastAsia" w:ascii="宋体" w:hAnsi="宋体" w:eastAsia="宋体" w:cs="宋体"/>
                <w:b w:val="0"/>
                <w:bCs/>
                <w:color w:val="000000"/>
                <w:sz w:val="21"/>
                <w:szCs w:val="21"/>
                <w:highlight w:val="none"/>
                <w:lang w:val="en-US" w:eastAsia="zh-CN"/>
              </w:rPr>
              <w:t>（需提供住房和城乡建设部执业资格注册中心查询网页截图，注册单位必须为投标人本单位）、</w:t>
            </w:r>
            <w:r>
              <w:rPr>
                <w:rFonts w:hint="eastAsia" w:ascii="宋体" w:hAnsi="宋体" w:eastAsia="宋体" w:cs="宋体"/>
                <w:bCs/>
                <w:color w:val="000000"/>
                <w:sz w:val="21"/>
                <w:szCs w:val="21"/>
                <w:highlight w:val="none"/>
                <w:lang w:val="en-US" w:eastAsia="zh-CN"/>
              </w:rPr>
              <w:t>检测鉴定培训合格证或上岗证及投标人为其缴纳投标截止前三个月任一个月的有效社保证明扫描件。没有提供的不得分。②项目技术负责人与项目负责人不能为同一人。</w:t>
            </w:r>
          </w:p>
        </w:tc>
      </w:tr>
      <w:tr w14:paraId="7D24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1" w:type="dxa"/>
            <w:gridSpan w:val="2"/>
            <w:vMerge w:val="continue"/>
            <w:tcBorders>
              <w:left w:val="single" w:color="auto" w:sz="4" w:space="0"/>
              <w:right w:val="single" w:color="auto" w:sz="4" w:space="0"/>
              <w:tl2br w:val="nil"/>
              <w:tr2bl w:val="nil"/>
            </w:tcBorders>
            <w:noWrap w:val="0"/>
            <w:vAlign w:val="top"/>
          </w:tcPr>
          <w:p w14:paraId="45235B1C">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132" w:type="dxa"/>
            <w:vMerge w:val="continue"/>
            <w:tcBorders>
              <w:left w:val="single" w:color="auto" w:sz="4" w:space="0"/>
              <w:right w:val="single" w:color="auto" w:sz="4" w:space="0"/>
              <w:tl2br w:val="nil"/>
              <w:tr2bl w:val="nil"/>
            </w:tcBorders>
            <w:noWrap w:val="0"/>
            <w:vAlign w:val="top"/>
          </w:tcPr>
          <w:p w14:paraId="7D9B562D">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1D8DEF">
            <w:pPr>
              <w:spacing w:line="360" w:lineRule="auto"/>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项目管理团队</w:t>
            </w:r>
          </w:p>
          <w:p w14:paraId="294980B1">
            <w:pPr>
              <w:pStyle w:val="23"/>
              <w:keepNext w:val="0"/>
              <w:keepLines w:val="0"/>
              <w:pageBreakBefore w:val="0"/>
              <w:widowControl w:val="0"/>
              <w:kinsoku/>
              <w:wordWrap/>
              <w:overflowPunct/>
              <w:topLinePunct w:val="0"/>
              <w:autoSpaceDE w:val="0"/>
              <w:autoSpaceDN w:val="0"/>
              <w:bidi w:val="0"/>
              <w:adjustRightInd w:val="0"/>
              <w:snapToGrid/>
              <w:spacing w:after="0"/>
              <w:ind w:left="0" w:leftChars="0" w:firstLine="420" w:firstLineChars="200"/>
              <w:textAlignment w:val="auto"/>
              <w:rPr>
                <w:rFonts w:hint="default"/>
                <w:lang w:val="en-US"/>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0BD6EA">
            <w:pPr>
              <w:keepNext w:val="0"/>
              <w:keepLines w:val="0"/>
              <w:pageBreakBefore w:val="0"/>
              <w:widowControl w:val="0"/>
              <w:kinsoku/>
              <w:wordWrap/>
              <w:overflowPunct/>
              <w:topLinePunct w:val="0"/>
              <w:bidi w:val="0"/>
              <w:adjustRightInd/>
              <w:snapToGrid w:val="0"/>
              <w:spacing w:beforeAutospacing="0" w:afterAutospacing="0" w:line="240" w:lineRule="auto"/>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拟投入本项目主要技术人员（除项目负责人、</w:t>
            </w:r>
            <w:r>
              <w:rPr>
                <w:rFonts w:hint="eastAsia" w:ascii="宋体" w:hAnsi="宋体" w:cs="宋体"/>
                <w:bCs/>
                <w:color w:val="000000"/>
                <w:sz w:val="21"/>
                <w:szCs w:val="21"/>
                <w:highlight w:val="none"/>
                <w:lang w:val="en-US" w:eastAsia="zh-CN"/>
              </w:rPr>
              <w:t>项目</w:t>
            </w:r>
            <w:r>
              <w:rPr>
                <w:rFonts w:hint="eastAsia" w:ascii="宋体" w:hAnsi="宋体" w:eastAsia="宋体" w:cs="宋体"/>
                <w:bCs/>
                <w:color w:val="000000"/>
                <w:sz w:val="21"/>
                <w:szCs w:val="21"/>
                <w:highlight w:val="none"/>
                <w:lang w:val="en-US" w:eastAsia="zh-CN"/>
              </w:rPr>
              <w:t>技术负责人、</w:t>
            </w:r>
            <w:r>
              <w:rPr>
                <w:rFonts w:hint="eastAsia" w:ascii="宋体" w:hAnsi="宋体" w:eastAsia="宋体" w:cs="宋体"/>
                <w:color w:val="auto"/>
                <w:sz w:val="21"/>
                <w:szCs w:val="21"/>
                <w:highlight w:val="none"/>
                <w:lang w:val="en-US" w:eastAsia="zh-CN"/>
              </w:rPr>
              <w:t>项目质量负责人</w:t>
            </w:r>
            <w:r>
              <w:rPr>
                <w:rFonts w:hint="eastAsia" w:ascii="宋体" w:hAnsi="宋体" w:eastAsia="宋体" w:cs="宋体"/>
                <w:bCs/>
                <w:color w:val="000000"/>
                <w:sz w:val="21"/>
                <w:szCs w:val="21"/>
                <w:highlight w:val="none"/>
                <w:lang w:val="en-US" w:eastAsia="zh-CN"/>
              </w:rPr>
              <w:t>外）：</w:t>
            </w:r>
          </w:p>
          <w:p w14:paraId="6E831779">
            <w:pP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1、具有建设工程质量安全监督部门或其委托的机构、行业协会颁发的检测鉴定培训合格证且有高级工程师（或以上）职称，每人得0.</w:t>
            </w:r>
            <w:r>
              <w:rPr>
                <w:rFonts w:hint="eastAsia" w:ascii="宋体" w:hAnsi="宋体" w:cs="宋体"/>
                <w:bCs/>
                <w:color w:val="000000"/>
                <w:sz w:val="21"/>
                <w:szCs w:val="21"/>
                <w:highlight w:val="none"/>
                <w:lang w:val="en-US" w:eastAsia="zh-CN"/>
              </w:rPr>
              <w:t>5</w:t>
            </w:r>
            <w:r>
              <w:rPr>
                <w:rFonts w:hint="eastAsia" w:ascii="宋体" w:hAnsi="宋体" w:eastAsia="宋体" w:cs="宋体"/>
                <w:bCs/>
                <w:color w:val="000000"/>
                <w:sz w:val="21"/>
                <w:szCs w:val="21"/>
                <w:highlight w:val="none"/>
                <w:lang w:val="en-US" w:eastAsia="zh-CN"/>
              </w:rPr>
              <w:t>分；</w:t>
            </w:r>
          </w:p>
          <w:p w14:paraId="6D14C464">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2、具有建设工程质量安全监督部门或其委托的机构、行业协会颁发的检测鉴定培训合格证且有工程师职称，每人得0.25分。</w:t>
            </w:r>
          </w:p>
          <w:p w14:paraId="3E48FADC">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本项最多得6分。</w:t>
            </w:r>
          </w:p>
          <w:p w14:paraId="42424F61">
            <w:pPr>
              <w:pStyle w:val="22"/>
              <w:keepNext w:val="0"/>
              <w:keepLines w:val="0"/>
              <w:pageBreakBefore w:val="0"/>
              <w:widowControl w:val="0"/>
              <w:kinsoku/>
              <w:wordWrap/>
              <w:overflowPunct/>
              <w:topLinePunct w:val="0"/>
              <w:autoSpaceDE w:val="0"/>
              <w:autoSpaceDN w:val="0"/>
              <w:bidi w:val="0"/>
              <w:adjustRightInd w:val="0"/>
              <w:snapToGrid/>
              <w:spacing w:after="0" w:line="240" w:lineRule="auto"/>
              <w:ind w:lef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000000"/>
                <w:sz w:val="21"/>
                <w:szCs w:val="21"/>
                <w:highlight w:val="none"/>
                <w:lang w:val="en-US" w:eastAsia="zh-CN"/>
              </w:rPr>
              <w:t>注：需提供人员职称证、检测鉴定培训合格证或上岗证及投标人为其缴纳投标截止前三个月任一个月的有效社保证明扫描件。没有提供的不得分。。</w:t>
            </w:r>
          </w:p>
        </w:tc>
      </w:tr>
      <w:tr w14:paraId="0DAB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31" w:type="dxa"/>
            <w:gridSpan w:val="2"/>
            <w:vMerge w:val="restart"/>
            <w:tcBorders>
              <w:top w:val="single" w:color="auto" w:sz="4" w:space="0"/>
              <w:left w:val="single" w:color="auto" w:sz="4" w:space="0"/>
              <w:right w:val="single" w:color="auto" w:sz="4" w:space="0"/>
              <w:tl2br w:val="nil"/>
              <w:tr2bl w:val="nil"/>
            </w:tcBorders>
            <w:noWrap w:val="0"/>
            <w:vAlign w:val="center"/>
          </w:tcPr>
          <w:p w14:paraId="1CD620D8">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30839323">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p>
        </w:tc>
        <w:tc>
          <w:tcPr>
            <w:tcW w:w="1132" w:type="dxa"/>
            <w:vMerge w:val="restart"/>
            <w:tcBorders>
              <w:top w:val="single" w:color="auto" w:sz="4" w:space="0"/>
              <w:left w:val="single" w:color="auto" w:sz="4" w:space="0"/>
              <w:right w:val="single" w:color="auto" w:sz="4" w:space="0"/>
              <w:tl2br w:val="nil"/>
              <w:tr2bl w:val="nil"/>
            </w:tcBorders>
            <w:noWrap w:val="0"/>
            <w:vAlign w:val="center"/>
          </w:tcPr>
          <w:p w14:paraId="01AB9EE2">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技术</w:t>
            </w:r>
          </w:p>
          <w:p w14:paraId="07CEAFB9">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方案</w:t>
            </w:r>
          </w:p>
          <w:p w14:paraId="72F45009">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73B96FE7">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1923" w:type="dxa"/>
            <w:tcBorders>
              <w:top w:val="single" w:color="auto" w:sz="4" w:space="0"/>
              <w:left w:val="single" w:color="auto" w:sz="4" w:space="0"/>
              <w:right w:val="single" w:color="auto" w:sz="4" w:space="0"/>
              <w:tl2br w:val="nil"/>
              <w:tr2bl w:val="nil"/>
            </w:tcBorders>
            <w:noWrap w:val="0"/>
            <w:vAlign w:val="center"/>
          </w:tcPr>
          <w:p w14:paraId="6BF67E2A">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检验</w:t>
            </w:r>
            <w:r>
              <w:rPr>
                <w:rFonts w:hint="eastAsia" w:ascii="宋体" w:hAnsi="宋体" w:eastAsia="宋体" w:cs="宋体"/>
                <w:color w:val="auto"/>
                <w:sz w:val="21"/>
                <w:szCs w:val="21"/>
                <w:highlight w:val="none"/>
                <w:lang w:eastAsia="zh-CN"/>
              </w:rPr>
              <w:t>监测方案</w:t>
            </w:r>
          </w:p>
          <w:p w14:paraId="75860552">
            <w:pPr>
              <w:pStyle w:val="35"/>
              <w:keepNext w:val="0"/>
              <w:keepLines w:val="0"/>
              <w:pageBreakBefore w:val="0"/>
              <w:shd w:val="clear"/>
              <w:kinsoku/>
              <w:wordWrap/>
              <w:overflowPunct w:val="0"/>
              <w:bidi w:val="0"/>
              <w:spacing w:beforeAutospacing="0" w:afterAutospacing="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top"/>
          </w:tcPr>
          <w:p w14:paraId="0F3AAE4F">
            <w:pPr>
              <w:keepNext w:val="0"/>
              <w:keepLines w:val="0"/>
              <w:pageBreakBefore w:val="0"/>
              <w:widowControl/>
              <w:kinsoku/>
              <w:wordWrap/>
              <w:overflowPunct/>
              <w:topLinePunct w:val="0"/>
              <w:bidi w:val="0"/>
              <w:adjustRightInd w:val="0"/>
              <w:snapToGrid w:val="0"/>
              <w:spacing w:line="340" w:lineRule="exact"/>
              <w:ind w:left="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优：</w:t>
            </w:r>
            <w:r>
              <w:rPr>
                <w:rFonts w:hint="eastAsia" w:ascii="宋体" w:hAnsi="宋体" w:cs="宋体"/>
                <w:bCs/>
                <w:color w:val="000000"/>
                <w:sz w:val="21"/>
                <w:szCs w:val="21"/>
                <w:highlight w:val="none"/>
                <w:lang w:val="en-US" w:eastAsia="zh-CN"/>
              </w:rPr>
              <w:t>检验</w:t>
            </w:r>
            <w:r>
              <w:rPr>
                <w:rFonts w:hint="eastAsia" w:ascii="宋体" w:hAnsi="宋体" w:eastAsia="宋体" w:cs="宋体"/>
                <w:bCs/>
                <w:color w:val="000000"/>
                <w:sz w:val="21"/>
                <w:szCs w:val="21"/>
                <w:highlight w:val="none"/>
                <w:lang w:val="en-US" w:eastAsia="zh-CN"/>
              </w:rPr>
              <w:t>监测方案详细、具体，内容齐全，能满足本工程提出的所有项目，有合理可行的保证通过相关验收、满足工程进度确保措施，得18-20分；</w:t>
            </w:r>
          </w:p>
          <w:p w14:paraId="153BEE03">
            <w:pPr>
              <w:keepNext w:val="0"/>
              <w:keepLines w:val="0"/>
              <w:pageBreakBefore w:val="0"/>
              <w:widowControl/>
              <w:kinsoku/>
              <w:wordWrap/>
              <w:overflowPunct/>
              <w:topLinePunct w:val="0"/>
              <w:bidi w:val="0"/>
              <w:adjustRightInd w:val="0"/>
              <w:snapToGrid w:val="0"/>
              <w:spacing w:line="340" w:lineRule="exact"/>
              <w:ind w:left="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良：</w:t>
            </w:r>
            <w:r>
              <w:rPr>
                <w:rFonts w:hint="eastAsia" w:ascii="宋体" w:hAnsi="宋体" w:cs="宋体"/>
                <w:bCs/>
                <w:color w:val="000000"/>
                <w:sz w:val="21"/>
                <w:szCs w:val="21"/>
                <w:highlight w:val="none"/>
                <w:lang w:val="en-US" w:eastAsia="zh-CN"/>
              </w:rPr>
              <w:t>检验</w:t>
            </w:r>
            <w:r>
              <w:rPr>
                <w:rFonts w:hint="eastAsia" w:ascii="宋体" w:hAnsi="宋体" w:eastAsia="宋体" w:cs="宋体"/>
                <w:bCs/>
                <w:color w:val="000000"/>
                <w:sz w:val="21"/>
                <w:szCs w:val="21"/>
                <w:highlight w:val="none"/>
                <w:lang w:val="en-US" w:eastAsia="zh-CN"/>
              </w:rPr>
              <w:t>监测方案较详细、较具体，内容较齐全，有比较可行的保证通过相关验收、满足工程进度确保措施，得15-17分；</w:t>
            </w:r>
          </w:p>
          <w:p w14:paraId="0092FFF1">
            <w:pPr>
              <w:keepNext w:val="0"/>
              <w:keepLines w:val="0"/>
              <w:pageBreakBefore w:val="0"/>
              <w:widowControl/>
              <w:tabs>
                <w:tab w:val="left" w:pos="4409"/>
              </w:tabs>
              <w:kinsoku/>
              <w:wordWrap/>
              <w:overflowPunct/>
              <w:topLinePunct w:val="0"/>
              <w:bidi w:val="0"/>
              <w:adjustRightInd w:val="0"/>
              <w:snapToGrid w:val="0"/>
              <w:spacing w:line="340" w:lineRule="exact"/>
              <w:ind w:left="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中：</w:t>
            </w:r>
            <w:r>
              <w:rPr>
                <w:rFonts w:hint="eastAsia" w:ascii="宋体" w:hAnsi="宋体" w:cs="宋体"/>
                <w:bCs/>
                <w:color w:val="000000"/>
                <w:sz w:val="21"/>
                <w:szCs w:val="21"/>
                <w:highlight w:val="none"/>
                <w:lang w:val="en-US" w:eastAsia="zh-CN"/>
              </w:rPr>
              <w:t>检验</w:t>
            </w:r>
            <w:r>
              <w:rPr>
                <w:rFonts w:hint="eastAsia" w:ascii="宋体" w:hAnsi="宋体" w:eastAsia="宋体" w:cs="宋体"/>
                <w:bCs/>
                <w:color w:val="000000"/>
                <w:sz w:val="21"/>
                <w:szCs w:val="21"/>
                <w:highlight w:val="none"/>
                <w:lang w:val="en-US" w:eastAsia="zh-CN"/>
              </w:rPr>
              <w:t>监测方案基本内容满足要求，方法符合规范要求，有能通过相关验收、满足工程进度的确保措施，得12-14分；</w:t>
            </w:r>
          </w:p>
          <w:p w14:paraId="4DB1197C">
            <w:pPr>
              <w:keepNext w:val="0"/>
              <w:keepLines w:val="0"/>
              <w:pageBreakBefore w:val="0"/>
              <w:widowControl/>
              <w:kinsoku/>
              <w:wordWrap/>
              <w:overflowPunct/>
              <w:topLinePunct w:val="0"/>
              <w:bidi w:val="0"/>
              <w:adjustRightInd w:val="0"/>
              <w:snapToGrid w:val="0"/>
              <w:spacing w:line="340" w:lineRule="exact"/>
              <w:ind w:left="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差：</w:t>
            </w:r>
            <w:r>
              <w:rPr>
                <w:rFonts w:hint="eastAsia" w:ascii="宋体" w:hAnsi="宋体" w:cs="宋体"/>
                <w:bCs/>
                <w:color w:val="000000"/>
                <w:sz w:val="21"/>
                <w:szCs w:val="21"/>
                <w:highlight w:val="none"/>
                <w:lang w:val="en-US" w:eastAsia="zh-CN"/>
              </w:rPr>
              <w:t>检验</w:t>
            </w:r>
            <w:r>
              <w:rPr>
                <w:rFonts w:hint="eastAsia" w:ascii="宋体" w:hAnsi="宋体" w:eastAsia="宋体" w:cs="宋体"/>
                <w:bCs/>
                <w:color w:val="000000"/>
                <w:sz w:val="21"/>
                <w:szCs w:val="21"/>
                <w:highlight w:val="none"/>
                <w:lang w:val="en-US" w:eastAsia="zh-CN"/>
              </w:rPr>
              <w:t>监测方案基本内容阐述缺项，方法基本不能满足</w:t>
            </w:r>
            <w:r>
              <w:rPr>
                <w:rFonts w:hint="eastAsia" w:ascii="宋体" w:hAnsi="宋体" w:cs="宋体"/>
                <w:bCs/>
                <w:color w:val="000000"/>
                <w:sz w:val="21"/>
                <w:szCs w:val="21"/>
                <w:highlight w:val="none"/>
                <w:lang w:val="en-US" w:eastAsia="zh-CN"/>
              </w:rPr>
              <w:t>检验</w:t>
            </w:r>
            <w:r>
              <w:rPr>
                <w:rFonts w:hint="eastAsia" w:ascii="宋体" w:hAnsi="宋体" w:eastAsia="宋体" w:cs="宋体"/>
                <w:bCs/>
                <w:color w:val="000000"/>
                <w:sz w:val="21"/>
                <w:szCs w:val="21"/>
                <w:highlight w:val="none"/>
                <w:lang w:val="en-US" w:eastAsia="zh-CN"/>
              </w:rPr>
              <w:t>要求，得</w:t>
            </w:r>
            <w:r>
              <w:rPr>
                <w:rFonts w:hint="eastAsia" w:ascii="宋体" w:hAnsi="宋体" w:cs="宋体"/>
                <w:bCs/>
                <w:color w:val="000000"/>
                <w:sz w:val="21"/>
                <w:szCs w:val="21"/>
                <w:highlight w:val="none"/>
                <w:lang w:val="en-US" w:eastAsia="zh-CN"/>
              </w:rPr>
              <w:t>9</w:t>
            </w:r>
            <w:r>
              <w:rPr>
                <w:rFonts w:hint="eastAsia" w:ascii="宋体" w:hAnsi="宋体" w:eastAsia="宋体" w:cs="宋体"/>
                <w:bCs/>
                <w:color w:val="000000"/>
                <w:sz w:val="21"/>
                <w:szCs w:val="21"/>
                <w:highlight w:val="none"/>
                <w:lang w:val="en-US" w:eastAsia="zh-CN"/>
              </w:rPr>
              <w:t>-11分。</w:t>
            </w:r>
          </w:p>
          <w:p w14:paraId="3A1E8BBF">
            <w:pPr>
              <w:pStyle w:val="2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注：本项最高得20分，无提供检验监测方案的不得分。</w:t>
            </w:r>
          </w:p>
        </w:tc>
      </w:tr>
      <w:tr w14:paraId="3851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31" w:type="dxa"/>
            <w:gridSpan w:val="2"/>
            <w:vMerge w:val="continue"/>
            <w:tcBorders>
              <w:left w:val="single" w:color="auto" w:sz="4" w:space="0"/>
              <w:bottom w:val="single" w:color="auto" w:sz="4" w:space="0"/>
              <w:right w:val="single" w:color="auto" w:sz="4" w:space="0"/>
              <w:tl2br w:val="nil"/>
              <w:tr2bl w:val="nil"/>
            </w:tcBorders>
            <w:noWrap w:val="0"/>
            <w:vAlign w:val="center"/>
          </w:tcPr>
          <w:p w14:paraId="29B118AB">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132" w:type="dxa"/>
            <w:vMerge w:val="continue"/>
            <w:tcBorders>
              <w:left w:val="single" w:color="auto" w:sz="4" w:space="0"/>
              <w:bottom w:val="single" w:color="auto" w:sz="4" w:space="0"/>
              <w:right w:val="single" w:color="auto" w:sz="4" w:space="0"/>
              <w:tl2br w:val="nil"/>
              <w:tr2bl w:val="nil"/>
            </w:tcBorders>
            <w:noWrap w:val="0"/>
            <w:vAlign w:val="center"/>
          </w:tcPr>
          <w:p w14:paraId="31EFF69B">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923" w:type="dxa"/>
            <w:tcBorders>
              <w:top w:val="single" w:color="auto" w:sz="4" w:space="0"/>
              <w:left w:val="single" w:color="auto" w:sz="4" w:space="0"/>
              <w:right w:val="single" w:color="auto" w:sz="4" w:space="0"/>
              <w:tl2br w:val="nil"/>
              <w:tr2bl w:val="nil"/>
            </w:tcBorders>
            <w:noWrap w:val="0"/>
            <w:vAlign w:val="center"/>
          </w:tcPr>
          <w:p w14:paraId="3544DECF">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lang w:val="en-US" w:eastAsia="zh-CN"/>
              </w:rPr>
              <w:t>拟投入的设备（5分）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top"/>
          </w:tcPr>
          <w:p w14:paraId="304D05D3">
            <w:pPr>
              <w:widowControl/>
              <w:spacing w:line="340" w:lineRule="exact"/>
              <w:ind w:left="0"/>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优：拟投入检测设备先进、配备合理，完全满足检测和服务期要求，得4-5分；</w:t>
            </w:r>
          </w:p>
          <w:p w14:paraId="0252A269">
            <w:pPr>
              <w:widowControl/>
              <w:spacing w:line="340" w:lineRule="exact"/>
              <w:ind w:left="0"/>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良：拟投入检测设备先进、配备合理，能较好满足检测和服务期要求，得2-3分；</w:t>
            </w:r>
          </w:p>
          <w:p w14:paraId="404ABBC1">
            <w:pPr>
              <w:widowControl/>
              <w:spacing w:line="340" w:lineRule="exact"/>
              <w:ind w:left="0"/>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中：拟投入检测设备先进、配备基本合理，能基本满足检测和服务期要求，得1分；</w:t>
            </w:r>
          </w:p>
          <w:p w14:paraId="0C59597D">
            <w:pPr>
              <w:widowControl/>
              <w:spacing w:line="340" w:lineRule="exact"/>
              <w:ind w:left="0"/>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差：设备不能满足检测需要和服务期要求，得0分。</w:t>
            </w:r>
          </w:p>
          <w:p w14:paraId="546A0B15">
            <w:pPr>
              <w:pStyle w:val="2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 w:val="0"/>
                <w:bCs/>
                <w:color w:val="000000"/>
                <w:sz w:val="21"/>
                <w:szCs w:val="21"/>
                <w:highlight w:val="none"/>
                <w:u w:val="none"/>
                <w:lang w:val="en-US" w:eastAsia="zh-CN"/>
              </w:rPr>
              <w:t>注：需提交设备购置发票、仪器检定证书或其他证明材料的清晰扫描件。</w:t>
            </w:r>
          </w:p>
        </w:tc>
      </w:tr>
      <w:tr w14:paraId="328F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431AAF">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2B0B7E00">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06BA82F4">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7EF8F">
            <w:pPr>
              <w:pStyle w:val="35"/>
              <w:keepNext w:val="0"/>
              <w:keepLines w:val="0"/>
              <w:pageBreakBefore w:val="0"/>
              <w:shd w:val="clear"/>
              <w:kinsoku/>
              <w:wordWrap/>
              <w:overflowPunct w:val="0"/>
              <w:bidi w:val="0"/>
              <w:spacing w:beforeAutospacing="0" w:afterAutospacing="0"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投标报价评分标准</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19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5D845">
            <w:pPr>
              <w:keepNext w:val="0"/>
              <w:keepLines w:val="0"/>
              <w:pageBreakBefore w:val="0"/>
              <w:widowControl/>
              <w:wordWrap/>
              <w:bidi w:val="0"/>
              <w:spacing w:beforeAutospacing="0" w:afterAutospacing="0" w:line="24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rPr>
              <w:t>报价得分（</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分）</w:t>
            </w:r>
          </w:p>
        </w:tc>
        <w:tc>
          <w:tcPr>
            <w:tcW w:w="51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83DEDA">
            <w:pPr>
              <w:keepNext w:val="0"/>
              <w:keepLines w:val="0"/>
              <w:pageBreakBefore w:val="0"/>
              <w:widowControl/>
              <w:wordWrap/>
              <w:bidi w:val="0"/>
              <w:adjustRightInd w:val="0"/>
              <w:snapToGrid w:val="0"/>
              <w:spacing w:beforeAutospacing="0" w:afterAutospacing="0" w:line="240" w:lineRule="auto"/>
              <w:textAlignment w:val="auto"/>
              <w:rPr>
                <w:rFonts w:hint="default" w:ascii="Calibri" w:hAnsi="Calibri" w:eastAsia="宋体" w:cs="Times New Roman"/>
                <w:color w:val="auto"/>
                <w:sz w:val="21"/>
                <w:szCs w:val="21"/>
                <w:highlight w:val="none"/>
              </w:rPr>
            </w:pPr>
            <w:r>
              <w:rPr>
                <w:rFonts w:hint="eastAsia" w:ascii="宋体" w:hAnsi="宋体" w:cs="宋体"/>
                <w:color w:val="auto"/>
                <w:kern w:val="0"/>
                <w:sz w:val="21"/>
                <w:szCs w:val="21"/>
                <w:highlight w:val="none"/>
              </w:rPr>
              <w:t>以评标基准价作为计算各有效投标价得分的基础，当有效投标报价等于评标基准价时得</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分；投标报价偏差率，每上偏1%扣</w:t>
            </w:r>
            <w:r>
              <w:rPr>
                <w:rFonts w:hint="eastAsia" w:ascii="宋体" w:hAnsi="宋体" w:cs="宋体"/>
                <w:color w:val="auto"/>
                <w:kern w:val="0"/>
                <w:sz w:val="21"/>
                <w:szCs w:val="21"/>
                <w:highlight w:val="none"/>
                <w:lang w:val="en-US" w:eastAsia="zh-CN"/>
              </w:rPr>
              <w:t>0.5</w:t>
            </w:r>
            <w:r>
              <w:rPr>
                <w:rFonts w:hint="eastAsia" w:ascii="宋体" w:hAnsi="宋体" w:cs="宋体"/>
                <w:color w:val="auto"/>
                <w:kern w:val="0"/>
                <w:sz w:val="21"/>
                <w:szCs w:val="21"/>
                <w:highlight w:val="none"/>
              </w:rPr>
              <w:t>分，下偏1%扣</w:t>
            </w:r>
            <w:r>
              <w:rPr>
                <w:rFonts w:hint="eastAsia" w:ascii="宋体" w:hAnsi="宋体" w:cs="宋体"/>
                <w:color w:val="auto"/>
                <w:kern w:val="0"/>
                <w:sz w:val="21"/>
                <w:szCs w:val="21"/>
                <w:highlight w:val="none"/>
                <w:lang w:val="en-US" w:eastAsia="zh-CN"/>
              </w:rPr>
              <w:t>0.3</w:t>
            </w:r>
            <w:r>
              <w:rPr>
                <w:rFonts w:hint="eastAsia" w:ascii="宋体" w:hAnsi="宋体" w:cs="宋体"/>
                <w:color w:val="auto"/>
                <w:kern w:val="0"/>
                <w:sz w:val="21"/>
                <w:szCs w:val="21"/>
                <w:highlight w:val="none"/>
              </w:rPr>
              <w:t>分，最多扣</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分。</w:t>
            </w:r>
          </w:p>
        </w:tc>
      </w:tr>
    </w:tbl>
    <w:p w14:paraId="200734B7">
      <w:pPr>
        <w:spacing w:line="360" w:lineRule="exact"/>
        <w:jc w:val="left"/>
        <w:rPr>
          <w:rFonts w:hint="eastAsia" w:ascii="宋体" w:hAnsi="宋体" w:cs="宋体"/>
          <w:color w:val="auto"/>
          <w:szCs w:val="21"/>
          <w:highlight w:val="none"/>
          <w:lang w:bidi="ar"/>
        </w:rPr>
      </w:pPr>
      <w:bookmarkStart w:id="109" w:name="_Toc10219"/>
      <w:r>
        <w:rPr>
          <w:rFonts w:hint="eastAsia" w:ascii="宋体" w:hAnsi="宋体" w:cs="宋体"/>
          <w:color w:val="auto"/>
          <w:szCs w:val="21"/>
          <w:highlight w:val="none"/>
          <w:lang w:bidi="ar"/>
        </w:rPr>
        <w:t>说明：</w:t>
      </w:r>
    </w:p>
    <w:p w14:paraId="5DA6B041">
      <w:pPr>
        <w:pStyle w:val="4"/>
        <w:numPr>
          <w:ilvl w:val="0"/>
          <w:numId w:val="3"/>
        </w:numPr>
        <w:shd w:val="clear"/>
        <w:ind w:firstLine="420" w:firstLineChars="200"/>
        <w:outlineLvl w:val="1"/>
        <w:rPr>
          <w:rFonts w:hint="eastAsia" w:eastAsia="宋体"/>
          <w:lang w:val="en-US" w:eastAsia="zh-CN"/>
        </w:rPr>
      </w:pPr>
      <w:r>
        <w:rPr>
          <w:rFonts w:hint="eastAsia" w:ascii="宋体" w:hAnsi="宋体" w:eastAsia="宋体" w:cs="宋体"/>
          <w:b w:val="0"/>
          <w:color w:val="auto"/>
          <w:kern w:val="0"/>
          <w:sz w:val="21"/>
          <w:szCs w:val="21"/>
          <w:highlight w:val="none"/>
        </w:rPr>
        <w:t>如投标人为联合体，以上各评分项除“类似业绩”和“</w:t>
      </w:r>
      <w:r>
        <w:rPr>
          <w:rFonts w:hint="eastAsia" w:ascii="宋体" w:hAnsi="宋体" w:eastAsia="宋体" w:cs="宋体"/>
          <w:b w:val="0"/>
          <w:color w:val="auto"/>
          <w:kern w:val="0"/>
          <w:sz w:val="21"/>
          <w:szCs w:val="21"/>
          <w:highlight w:val="none"/>
          <w:lang w:val="en-US" w:eastAsia="zh-CN"/>
        </w:rPr>
        <w:t>项目管理团队</w:t>
      </w:r>
      <w:r>
        <w:rPr>
          <w:rFonts w:hint="eastAsia" w:ascii="宋体" w:hAnsi="宋体" w:eastAsia="宋体" w:cs="宋体"/>
          <w:b w:val="0"/>
          <w:color w:val="auto"/>
          <w:kern w:val="0"/>
          <w:sz w:val="21"/>
          <w:szCs w:val="21"/>
          <w:highlight w:val="none"/>
        </w:rPr>
        <w:t>”由联合体双方合并计算外，其他各评分项均以联合体主办方为准。</w:t>
      </w:r>
      <w:r>
        <w:rPr>
          <w:rFonts w:hint="eastAsia" w:ascii="宋体" w:hAnsi="宋体" w:eastAsia="宋体" w:cs="宋体"/>
          <w:b w:val="0"/>
          <w:color w:val="auto"/>
          <w:kern w:val="0"/>
          <w:sz w:val="21"/>
          <w:szCs w:val="21"/>
          <w:highlight w:val="none"/>
          <w:lang w:val="zh-CN"/>
        </w:rPr>
        <w:t>投标人的总得分为各评委的评分的算术平均分（分数出现小数点时，保留小数点后二位，第三位小数四舍五入）。</w:t>
      </w:r>
      <w:r>
        <w:rPr>
          <w:rFonts w:hint="default" w:ascii="Calibri" w:hAnsi="Calibri" w:eastAsia="宋体" w:cs="Calibri"/>
          <w:b w:val="0"/>
          <w:color w:val="auto"/>
          <w:kern w:val="0"/>
          <w:sz w:val="21"/>
          <w:szCs w:val="21"/>
          <w:highlight w:val="none"/>
          <w:lang w:val="zh-CN"/>
        </w:rPr>
        <w:t>③</w:t>
      </w:r>
      <w:r>
        <w:rPr>
          <w:rFonts w:hint="eastAsia" w:ascii="微软雅黑" w:hAnsi="微软雅黑" w:eastAsia="微软雅黑" w:cs="微软雅黑"/>
          <w:b w:val="0"/>
          <w:color w:val="auto"/>
          <w:kern w:val="0"/>
          <w:sz w:val="21"/>
          <w:szCs w:val="21"/>
          <w:highlight w:val="none"/>
          <w:lang w:val="zh-CN"/>
        </w:rPr>
        <w:t>④</w:t>
      </w:r>
    </w:p>
    <w:p w14:paraId="4D60FBC8">
      <w:pPr>
        <w:rPr>
          <w:rFonts w:hint="eastAsia"/>
        </w:rPr>
      </w:pPr>
    </w:p>
    <w:p w14:paraId="00E1932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C4DD176">
      <w:pPr>
        <w:pStyle w:val="4"/>
        <w:shd w:val="clear"/>
        <w:outlineLvl w:val="1"/>
        <w:rPr>
          <w:rFonts w:hint="eastAsia" w:ascii="宋体" w:hAnsi="宋体" w:eastAsia="宋体" w:cs="宋体"/>
          <w:b w:val="0"/>
          <w:color w:val="auto"/>
          <w:sz w:val="30"/>
          <w:szCs w:val="24"/>
          <w:highlight w:val="none"/>
        </w:rPr>
      </w:pPr>
      <w:r>
        <w:rPr>
          <w:rFonts w:hint="eastAsia" w:ascii="宋体" w:hAnsi="宋体" w:eastAsia="宋体" w:cs="宋体"/>
          <w:color w:val="auto"/>
          <w:sz w:val="24"/>
          <w:szCs w:val="24"/>
          <w:highlight w:val="none"/>
        </w:rPr>
        <w:t>1.评标方法</w:t>
      </w:r>
      <w:bookmarkEnd w:id="109"/>
    </w:p>
    <w:p w14:paraId="439D162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w:t>
      </w:r>
      <w:r>
        <w:rPr>
          <w:rFonts w:hint="eastAsia" w:cs="宋体"/>
          <w:color w:val="auto"/>
          <w:sz w:val="24"/>
          <w:szCs w:val="24"/>
          <w:highlight w:val="none"/>
          <w:lang w:eastAsia="zh-CN"/>
        </w:rPr>
        <w:t>技术方案</w:t>
      </w:r>
      <w:r>
        <w:rPr>
          <w:rFonts w:hint="eastAsia" w:ascii="宋体" w:hAnsi="宋体" w:eastAsia="宋体" w:cs="宋体"/>
          <w:color w:val="auto"/>
          <w:sz w:val="24"/>
          <w:szCs w:val="24"/>
          <w:highlight w:val="none"/>
        </w:rPr>
        <w:t>得分高的优先；如果</w:t>
      </w:r>
      <w:r>
        <w:rPr>
          <w:rFonts w:hint="eastAsia" w:cs="宋体"/>
          <w:color w:val="auto"/>
          <w:sz w:val="24"/>
          <w:szCs w:val="24"/>
          <w:highlight w:val="none"/>
          <w:lang w:eastAsia="zh-CN"/>
        </w:rPr>
        <w:t>技术方案</w:t>
      </w:r>
      <w:r>
        <w:rPr>
          <w:rFonts w:hint="eastAsia" w:ascii="宋体" w:hAnsi="宋体" w:eastAsia="宋体" w:cs="宋体"/>
          <w:color w:val="auto"/>
          <w:sz w:val="24"/>
          <w:szCs w:val="24"/>
          <w:highlight w:val="none"/>
        </w:rPr>
        <w:t>得分也相等，按照评标办法前附表的规定确定中标候选人顺序。</w:t>
      </w:r>
    </w:p>
    <w:p w14:paraId="7F80F2EA">
      <w:pPr>
        <w:pStyle w:val="4"/>
        <w:shd w:val="clear"/>
        <w:outlineLvl w:val="1"/>
        <w:rPr>
          <w:rFonts w:hint="eastAsia" w:ascii="宋体" w:hAnsi="宋体" w:eastAsia="宋体" w:cs="宋体"/>
          <w:b w:val="0"/>
          <w:color w:val="auto"/>
          <w:sz w:val="30"/>
          <w:szCs w:val="24"/>
          <w:highlight w:val="none"/>
        </w:rPr>
      </w:pPr>
      <w:bookmarkStart w:id="110" w:name="bookmark85"/>
      <w:bookmarkEnd w:id="110"/>
      <w:bookmarkStart w:id="111" w:name="_Toc17929"/>
      <w:r>
        <w:rPr>
          <w:rFonts w:hint="eastAsia" w:ascii="宋体" w:hAnsi="宋体" w:eastAsia="宋体" w:cs="宋体"/>
          <w:color w:val="auto"/>
          <w:sz w:val="24"/>
          <w:szCs w:val="24"/>
          <w:highlight w:val="none"/>
        </w:rPr>
        <w:t>2.评审标准</w:t>
      </w:r>
      <w:bookmarkEnd w:id="111"/>
    </w:p>
    <w:p w14:paraId="3812A488">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12" w:name="bookmark86"/>
      <w:bookmarkEnd w:id="112"/>
      <w:r>
        <w:rPr>
          <w:rFonts w:hint="eastAsia" w:ascii="宋体" w:hAnsi="宋体" w:eastAsia="宋体" w:cs="宋体"/>
          <w:color w:val="auto"/>
          <w:highlight w:val="none"/>
        </w:rPr>
        <w:t>2.1 初步评审标准</w:t>
      </w:r>
    </w:p>
    <w:p w14:paraId="0CAA334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资格评审标准：见评标办法前附表。</w:t>
      </w:r>
    </w:p>
    <w:p w14:paraId="45FDF501">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形式评审标准：见评标办法前附表。</w:t>
      </w:r>
    </w:p>
    <w:p w14:paraId="22F2DBC8">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响应性评审标准：见评标办法前附表。</w:t>
      </w:r>
    </w:p>
    <w:p w14:paraId="19FEF4FF">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13" w:name="bookmark87"/>
      <w:bookmarkEnd w:id="113"/>
      <w:r>
        <w:rPr>
          <w:rFonts w:hint="eastAsia" w:ascii="宋体" w:hAnsi="宋体" w:eastAsia="宋体" w:cs="宋体"/>
          <w:color w:val="auto"/>
          <w:highlight w:val="none"/>
        </w:rPr>
        <w:t>2.2 分值构成与评分标准</w:t>
      </w:r>
    </w:p>
    <w:p w14:paraId="24371E72">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14:paraId="626A219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（1）资信业绩部分：见评标办法前附表；</w:t>
      </w:r>
    </w:p>
    <w:p w14:paraId="6C112A7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技术方案</w:t>
      </w:r>
      <w:r>
        <w:rPr>
          <w:rFonts w:hint="eastAsia" w:ascii="宋体" w:hAnsi="宋体" w:eastAsia="宋体" w:cs="宋体"/>
          <w:color w:val="auto"/>
          <w:sz w:val="24"/>
          <w:szCs w:val="24"/>
          <w:highlight w:val="none"/>
        </w:rPr>
        <w:t>部分：见评标办法前附表；</w:t>
      </w:r>
    </w:p>
    <w:p w14:paraId="58163F4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w:t>
      </w:r>
      <w:r>
        <w:rPr>
          <w:rFonts w:hint="eastAsia" w:cs="宋体"/>
          <w:color w:val="auto"/>
          <w:sz w:val="24"/>
          <w:szCs w:val="24"/>
          <w:highlight w:val="none"/>
          <w:lang w:val="en-US" w:eastAsia="zh-CN"/>
        </w:rPr>
        <w:t>部分</w:t>
      </w:r>
      <w:r>
        <w:rPr>
          <w:rFonts w:hint="eastAsia" w:ascii="宋体" w:hAnsi="宋体" w:eastAsia="宋体" w:cs="宋体"/>
          <w:color w:val="auto"/>
          <w:sz w:val="24"/>
          <w:szCs w:val="24"/>
          <w:highlight w:val="none"/>
        </w:rPr>
        <w:t>：见评标办法前附表；</w:t>
      </w:r>
    </w:p>
    <w:p w14:paraId="1A2D5388">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评标基准价计算评标基准价计算方法：见评标办法前附表。</w:t>
      </w:r>
    </w:p>
    <w:p w14:paraId="2FDB1FE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投标报价的偏差率计算</w:t>
      </w:r>
    </w:p>
    <w:p w14:paraId="1797EB0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p>
    <w:p w14:paraId="54E9F6F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评分标准</w:t>
      </w:r>
    </w:p>
    <w:p w14:paraId="5128085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（1）资信业绩评分标准：见评标办法前附表；</w:t>
      </w:r>
    </w:p>
    <w:p w14:paraId="32B45CD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技术方案</w:t>
      </w:r>
      <w:r>
        <w:rPr>
          <w:rFonts w:hint="eastAsia" w:ascii="宋体" w:hAnsi="宋体" w:eastAsia="宋体" w:cs="宋体"/>
          <w:color w:val="auto"/>
          <w:sz w:val="24"/>
          <w:szCs w:val="24"/>
          <w:highlight w:val="none"/>
        </w:rPr>
        <w:t>评分标准：见评标办法前附表；</w:t>
      </w:r>
    </w:p>
    <w:p w14:paraId="44A88AC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w:t>
      </w:r>
      <w:r>
        <w:rPr>
          <w:rFonts w:hint="eastAsia" w:cs="宋体"/>
          <w:color w:val="auto"/>
          <w:sz w:val="24"/>
          <w:szCs w:val="24"/>
          <w:highlight w:val="none"/>
          <w:lang w:val="en-US" w:eastAsia="zh-CN"/>
        </w:rPr>
        <w:t>部分</w:t>
      </w:r>
      <w:r>
        <w:rPr>
          <w:rFonts w:hint="eastAsia" w:ascii="宋体" w:hAnsi="宋体" w:eastAsia="宋体" w:cs="宋体"/>
          <w:color w:val="auto"/>
          <w:sz w:val="24"/>
          <w:szCs w:val="24"/>
          <w:highlight w:val="none"/>
        </w:rPr>
        <w:t>评分标准：见评标办法前附表；</w:t>
      </w:r>
    </w:p>
    <w:p w14:paraId="7E445139">
      <w:pPr>
        <w:pStyle w:val="4"/>
        <w:shd w:val="clear"/>
        <w:outlineLvl w:val="1"/>
        <w:rPr>
          <w:rFonts w:hint="eastAsia" w:ascii="宋体" w:hAnsi="宋体" w:eastAsia="宋体" w:cs="宋体"/>
          <w:color w:val="auto"/>
          <w:sz w:val="24"/>
          <w:szCs w:val="24"/>
          <w:highlight w:val="none"/>
        </w:rPr>
      </w:pPr>
      <w:bookmarkStart w:id="114" w:name="bookmark88"/>
      <w:bookmarkEnd w:id="114"/>
      <w:bookmarkStart w:id="115" w:name="_Toc15176"/>
      <w:r>
        <w:rPr>
          <w:rFonts w:hint="eastAsia" w:ascii="宋体" w:hAnsi="宋体" w:eastAsia="宋体" w:cs="宋体"/>
          <w:color w:val="auto"/>
          <w:sz w:val="24"/>
          <w:szCs w:val="24"/>
          <w:highlight w:val="none"/>
        </w:rPr>
        <w:t>3.评标程序</w:t>
      </w:r>
      <w:bookmarkEnd w:id="115"/>
    </w:p>
    <w:p w14:paraId="30651DBF">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16" w:name="bookmark89"/>
      <w:bookmarkEnd w:id="116"/>
      <w:r>
        <w:rPr>
          <w:rFonts w:hint="eastAsia" w:ascii="宋体" w:hAnsi="宋体" w:eastAsia="宋体" w:cs="宋体"/>
          <w:color w:val="auto"/>
          <w:highlight w:val="none"/>
        </w:rPr>
        <w:t>3.1  初步评审</w:t>
      </w:r>
    </w:p>
    <w:p w14:paraId="34A2802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53DC9735">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投标人有以下情形之一的，评标委员会应当否决其投标：</w:t>
      </w:r>
    </w:p>
    <w:p w14:paraId="1EC2C2D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14:paraId="4062A06F">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14:paraId="1DC4013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237454C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3D9E314B">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（2）总价金额与单价金额不一致的，以单价金额为准，但单价金额小数点有明显错误的除外。</w:t>
      </w:r>
    </w:p>
    <w:p w14:paraId="68276AA7">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17" w:name="bookmark90"/>
      <w:bookmarkEnd w:id="117"/>
      <w:r>
        <w:rPr>
          <w:rFonts w:hint="eastAsia" w:ascii="宋体" w:hAnsi="宋体" w:eastAsia="宋体" w:cs="宋体"/>
          <w:color w:val="auto"/>
          <w:highlight w:val="none"/>
        </w:rPr>
        <w:t>3.2  详细评审</w:t>
      </w:r>
    </w:p>
    <w:p w14:paraId="140CB00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评标委员会按本章第 2.2 款规定的量化因素和分值进行打分，并计算出综合评估得分。</w:t>
      </w:r>
    </w:p>
    <w:p w14:paraId="7623412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right="-240" w:rightChars="-1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（1）按本章第2.2.4（1）目规定的评审因素和分值对资信业绩部分计算出得分</w:t>
      </w: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u w:val="single"/>
        </w:rPr>
        <w:t>资信业绩</w:t>
      </w:r>
      <w:r>
        <w:rPr>
          <w:rFonts w:hint="eastAsia" w:ascii="宋体" w:hAnsi="宋体" w:eastAsia="宋体" w:cs="宋体"/>
          <w:color w:val="auto"/>
          <w:sz w:val="24"/>
          <w:szCs w:val="24"/>
          <w:highlight w:val="none"/>
          <w:u w:val="single"/>
          <w:lang w:eastAsia="zh-CN"/>
        </w:rPr>
        <w:t>部分</w:t>
      </w:r>
      <w:r>
        <w:rPr>
          <w:rFonts w:hint="eastAsia" w:ascii="宋体" w:hAnsi="宋体" w:eastAsia="宋体" w:cs="宋体"/>
          <w:color w:val="auto"/>
          <w:sz w:val="24"/>
          <w:szCs w:val="24"/>
          <w:highlight w:val="none"/>
          <w:u w:val="single"/>
        </w:rPr>
        <w:t>评审得分A为各评标专家打分的算术平均值</w:t>
      </w:r>
      <w:r>
        <w:rPr>
          <w:rFonts w:hint="eastAsia" w:ascii="宋体" w:hAnsi="宋体" w:eastAsia="宋体" w:cs="宋体"/>
          <w:color w:val="auto"/>
          <w:sz w:val="24"/>
          <w:szCs w:val="24"/>
          <w:highlight w:val="none"/>
        </w:rPr>
        <w:t>；</w:t>
      </w:r>
    </w:p>
    <w:p w14:paraId="126163D6">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right="-240" w:rightChars="-10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w:t>
      </w:r>
      <w:r>
        <w:rPr>
          <w:rFonts w:hint="eastAsia" w:cs="宋体"/>
          <w:color w:val="auto"/>
          <w:sz w:val="24"/>
          <w:szCs w:val="24"/>
          <w:highlight w:val="none"/>
          <w:lang w:eastAsia="zh-CN"/>
        </w:rPr>
        <w:t>技术方案</w:t>
      </w:r>
      <w:r>
        <w:rPr>
          <w:rFonts w:hint="eastAsia" w:ascii="宋体" w:hAnsi="宋体" w:eastAsia="宋体" w:cs="宋体"/>
          <w:color w:val="auto"/>
          <w:sz w:val="24"/>
          <w:szCs w:val="24"/>
          <w:highlight w:val="none"/>
        </w:rPr>
        <w:t>部分计算出得分B</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eastAsia="zh-CN"/>
        </w:rPr>
        <w:t>技术方案</w:t>
      </w:r>
      <w:r>
        <w:rPr>
          <w:rFonts w:hint="default" w:ascii="宋体" w:hAnsi="宋体" w:eastAsia="宋体" w:cs="宋体"/>
          <w:color w:val="auto"/>
          <w:sz w:val="24"/>
          <w:szCs w:val="24"/>
          <w:highlight w:val="none"/>
          <w:u w:val="single"/>
        </w:rPr>
        <w:t>部分评审得分B为各评标专家打分的算术平均值</w:t>
      </w:r>
      <w:r>
        <w:rPr>
          <w:rFonts w:hint="eastAsia" w:ascii="宋体" w:hAnsi="宋体" w:eastAsia="宋体" w:cs="宋体"/>
          <w:color w:val="auto"/>
          <w:sz w:val="24"/>
          <w:szCs w:val="24"/>
          <w:highlight w:val="none"/>
          <w:u w:val="single"/>
        </w:rPr>
        <w:t>；</w:t>
      </w:r>
    </w:p>
    <w:p w14:paraId="766B3632">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480" w:leftChars="200"/>
        <w:jc w:val="both"/>
        <w:rPr>
          <w:rFonts w:hint="eastAsia" w:ascii="宋体" w:hAnsi="宋体" w:eastAsia="宋体" w:cs="宋体"/>
          <w:strike w:val="0"/>
          <w:color w:val="auto"/>
          <w:sz w:val="24"/>
          <w:szCs w:val="24"/>
          <w:highlight w:val="none"/>
          <w:lang w:eastAsia="zh-CN"/>
        </w:rPr>
      </w:pPr>
      <w:r>
        <w:rPr>
          <w:rFonts w:hint="eastAsia" w:ascii="宋体" w:hAnsi="宋体" w:eastAsia="宋体" w:cs="宋体"/>
          <w:color w:val="auto"/>
          <w:sz w:val="24"/>
          <w:szCs w:val="24"/>
          <w:highlight w:val="none"/>
        </w:rPr>
        <w:t>（3）按本章第2.2.4（3）目规定的评审因素和分值对投标报价计算出得分C</w:t>
      </w:r>
      <w:r>
        <w:rPr>
          <w:rFonts w:hint="eastAsia" w:ascii="宋体" w:hAnsi="宋体" w:eastAsia="宋体" w:cs="宋体"/>
          <w:strike w:val="0"/>
          <w:color w:val="auto"/>
          <w:sz w:val="24"/>
          <w:szCs w:val="24"/>
          <w:highlight w:val="none"/>
          <w:lang w:eastAsia="zh-CN"/>
        </w:rPr>
        <w:t>。</w:t>
      </w:r>
    </w:p>
    <w:p w14:paraId="06B4B694">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480" w:left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评分分值计算保留小数点后两位，小数点后第三位“四舍五入”。</w:t>
      </w:r>
    </w:p>
    <w:p w14:paraId="37D5CD8A">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投标人得分=A+B+C。</w:t>
      </w:r>
    </w:p>
    <w:p w14:paraId="48E1432C">
      <w:pPr>
        <w:pStyle w:val="11"/>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评标委员会发现投标人的报价明显低于其他投标报价，使得其投标报价可能低于其个别成本的，应当要求该投标人</w:t>
      </w:r>
      <w:r>
        <w:rPr>
          <w:rFonts w:hint="eastAsia" w:cs="宋体"/>
          <w:color w:val="auto"/>
          <w:sz w:val="24"/>
          <w:szCs w:val="24"/>
          <w:highlight w:val="none"/>
          <w:lang w:val="en-US" w:eastAsia="zh-CN"/>
        </w:rPr>
        <w:t>做</w:t>
      </w:r>
      <w:r>
        <w:rPr>
          <w:rFonts w:hint="eastAsia" w:ascii="宋体" w:hAnsi="宋体" w:eastAsia="宋体" w:cs="宋体"/>
          <w:color w:val="auto"/>
          <w:sz w:val="24"/>
          <w:szCs w:val="24"/>
          <w:highlight w:val="none"/>
        </w:rPr>
        <w:t>出书面说明并提供相应的证明材料。投标人不能合理说明或者不能提供相应证明材料的，评标委员会应当认定该投标人以低于成本报价竞标，并否决其投标。</w:t>
      </w:r>
    </w:p>
    <w:p w14:paraId="5D3E6157">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18" w:name="bookmark91"/>
      <w:bookmarkEnd w:id="118"/>
      <w:r>
        <w:rPr>
          <w:rFonts w:hint="eastAsia" w:ascii="宋体" w:hAnsi="宋体" w:eastAsia="宋体" w:cs="宋体"/>
          <w:color w:val="auto"/>
          <w:highlight w:val="none"/>
        </w:rPr>
        <w:t>3.3  投标文件的澄清</w:t>
      </w:r>
    </w:p>
    <w:p w14:paraId="5F8A1B49">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在评标过程中，</w:t>
      </w:r>
      <w:r>
        <w:rPr>
          <w:rFonts w:hint="eastAsia" w:ascii="宋体" w:hAnsi="宋体" w:eastAsia="宋体" w:cs="宋体"/>
          <w:color w:val="auto"/>
          <w:sz w:val="24"/>
          <w:highlight w:val="none"/>
        </w:rPr>
        <w:t>经评标委员会中两人以上（含两人）以书面形式提出动议，评标委员会</w:t>
      </w:r>
      <w:r>
        <w:rPr>
          <w:rFonts w:hint="eastAsia" w:ascii="宋体" w:hAnsi="宋体" w:eastAsia="宋体" w:cs="宋体"/>
          <w:color w:val="auto"/>
          <w:sz w:val="24"/>
          <w:szCs w:val="24"/>
          <w:highlight w:val="none"/>
        </w:rPr>
        <w:t>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960CF6C">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澄清、说明或补正不得超出投标文件的范围且不得改变投标文件的实质性内容，并构成投标文件的组成部分。</w:t>
      </w:r>
    </w:p>
    <w:p w14:paraId="795A8B9A">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评标委员会对投标人提交的澄清、说明或补正有疑问的，可以要求投标人进一步澄清、 说明或补正，直至满足评标委员会的要求。</w:t>
      </w:r>
    </w:p>
    <w:p w14:paraId="753BAD26">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19" w:name="bookmark92"/>
      <w:bookmarkEnd w:id="119"/>
      <w:r>
        <w:rPr>
          <w:rFonts w:hint="eastAsia" w:ascii="宋体" w:hAnsi="宋体" w:eastAsia="宋体" w:cs="宋体"/>
          <w:color w:val="auto"/>
          <w:highlight w:val="none"/>
        </w:rPr>
        <w:t>3.4  评标结果</w:t>
      </w:r>
    </w:p>
    <w:p w14:paraId="3A5B3804">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除第二章“投标人须知”前附表授权直接确定中标人外，评标委员会按照得分由高到低的顺序推荐中标候选人，并标明排序。</w:t>
      </w:r>
    </w:p>
    <w:p w14:paraId="33E17DB3">
      <w:pPr>
        <w:pStyle w:val="11"/>
        <w:shd w:val="clear"/>
        <w:tabs>
          <w:tab w:val="left" w:pos="1343"/>
          <w:tab w:val="left" w:pos="2697"/>
          <w:tab w:val="left" w:pos="3264"/>
          <w:tab w:val="left" w:pos="4896"/>
          <w:tab w:val="left" w:pos="6005"/>
          <w:tab w:val="left" w:pos="7085"/>
          <w:tab w:val="left" w:pos="7498"/>
        </w:tabs>
        <w:kinsoku/>
        <w:overflowPunct w:val="0"/>
        <w:autoSpaceDE/>
        <w:autoSpaceDN/>
        <w:spacing w:line="351" w:lineRule="auto"/>
        <w:ind w:left="0" w:right="0"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评标委员会完成评标后，应当向招标人提交书面评标报告和中标候选人名单。</w:t>
      </w:r>
    </w:p>
    <w:p w14:paraId="1FE7AD38">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pPr>
    </w:p>
    <w:p w14:paraId="70A60299">
      <w:pPr>
        <w:pStyle w:val="11"/>
        <w:shd w:val="clear"/>
        <w:tabs>
          <w:tab w:val="left" w:pos="1343"/>
          <w:tab w:val="left" w:pos="2697"/>
          <w:tab w:val="left" w:pos="3264"/>
          <w:tab w:val="left" w:pos="4896"/>
          <w:tab w:val="left" w:pos="6005"/>
          <w:tab w:val="left" w:pos="7085"/>
          <w:tab w:val="left" w:pos="7498"/>
        </w:tabs>
        <w:kinsoku/>
        <w:overflowPunct w:val="0"/>
        <w:spacing w:line="350" w:lineRule="auto"/>
        <w:ind w:left="100" w:right="211" w:firstLine="419"/>
        <w:jc w:val="both"/>
        <w:rPr>
          <w:rFonts w:hint="eastAsia" w:ascii="宋体" w:hAnsi="宋体" w:eastAsia="宋体" w:cs="宋体"/>
          <w:color w:val="auto"/>
          <w:sz w:val="24"/>
          <w:szCs w:val="24"/>
          <w:highlight w:val="none"/>
        </w:rPr>
        <w:sectPr>
          <w:headerReference r:id="rId4" w:type="default"/>
          <w:pgSz w:w="11905" w:h="16838"/>
          <w:pgMar w:top="1417" w:right="1417" w:bottom="1417" w:left="1417" w:header="737" w:footer="737" w:gutter="0"/>
          <w:lnNumType w:countBy="0" w:distance="360"/>
          <w:pgNumType w:fmt="decimal"/>
          <w:cols w:space="720" w:num="1"/>
        </w:sectPr>
      </w:pPr>
    </w:p>
    <w:p w14:paraId="70EC848B">
      <w:pPr>
        <w:pStyle w:val="3"/>
        <w:shd w:val="clear"/>
        <w:outlineLvl w:val="0"/>
        <w:rPr>
          <w:rFonts w:hint="eastAsia" w:ascii="宋体" w:hAnsi="宋体" w:eastAsia="宋体" w:cs="宋体"/>
          <w:color w:val="auto"/>
          <w:sz w:val="44"/>
          <w:szCs w:val="24"/>
          <w:highlight w:val="none"/>
        </w:rPr>
      </w:pPr>
      <w:bookmarkStart w:id="120" w:name="bookmark93"/>
      <w:bookmarkEnd w:id="120"/>
      <w:bookmarkStart w:id="121" w:name="_Toc14321"/>
      <w:r>
        <w:rPr>
          <w:rFonts w:hint="eastAsia" w:ascii="宋体" w:hAnsi="宋体" w:eastAsia="宋体" w:cs="宋体"/>
          <w:color w:val="auto"/>
          <w:sz w:val="44"/>
          <w:szCs w:val="24"/>
          <w:highlight w:val="none"/>
        </w:rPr>
        <w:t>第四章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合同条款及格式</w:t>
      </w:r>
      <w:bookmarkEnd w:id="121"/>
    </w:p>
    <w:p w14:paraId="7ED04149">
      <w:pPr>
        <w:pStyle w:val="11"/>
        <w:shd w:val="clear"/>
        <w:kinsoku/>
        <w:overflowPunct w:val="0"/>
        <w:ind w:left="0"/>
        <w:rPr>
          <w:rFonts w:hint="eastAsia" w:ascii="宋体" w:hAnsi="宋体" w:eastAsia="宋体" w:cs="宋体"/>
          <w:b/>
          <w:color w:val="auto"/>
          <w:sz w:val="20"/>
          <w:szCs w:val="24"/>
          <w:highlight w:val="none"/>
        </w:rPr>
      </w:pPr>
    </w:p>
    <w:p w14:paraId="5B802E42">
      <w:pPr>
        <w:widowControl/>
        <w:autoSpaceDE/>
        <w:autoSpaceDN/>
        <w:adjustRightInd/>
        <w:spacing w:line="360" w:lineRule="auto"/>
        <w:jc w:val="both"/>
        <w:rPr>
          <w:rFonts w:hint="eastAsia" w:ascii="宋体" w:hAnsi="宋体" w:eastAsia="宋体" w:cs="宋体"/>
          <w:b/>
          <w:bCs/>
          <w:color w:val="auto"/>
          <w:sz w:val="44"/>
          <w:szCs w:val="44"/>
          <w:highlight w:val="none"/>
          <w:lang w:val="en-US" w:eastAsia="zh-CN" w:bidi="ar-SA"/>
        </w:rPr>
      </w:pPr>
    </w:p>
    <w:p w14:paraId="0F46BD04">
      <w:pPr>
        <w:widowControl/>
        <w:autoSpaceDE/>
        <w:autoSpaceDN/>
        <w:adjustRightInd/>
        <w:jc w:val="center"/>
        <w:rPr>
          <w:rFonts w:hint="eastAsia" w:ascii="宋体" w:hAnsi="宋体" w:eastAsia="宋体" w:cs="宋体"/>
          <w:color w:val="auto"/>
          <w:sz w:val="20"/>
          <w:szCs w:val="21"/>
          <w:highlight w:val="none"/>
          <w:lang w:val="en-US" w:eastAsia="zh-CN" w:bidi="ar-SA"/>
        </w:rPr>
      </w:pPr>
      <w:r>
        <w:rPr>
          <w:rFonts w:hint="eastAsia" w:ascii="宋体" w:hAnsi="宋体" w:eastAsia="宋体" w:cs="宋体"/>
          <w:b/>
          <w:bCs/>
          <w:color w:val="auto"/>
          <w:sz w:val="36"/>
          <w:szCs w:val="40"/>
          <w:highlight w:val="none"/>
          <w:lang w:val="en-US" w:eastAsia="zh-CN" w:bidi="ar-SA"/>
        </w:rPr>
        <w:t>（另册）</w:t>
      </w:r>
    </w:p>
    <w:p w14:paraId="65631BBE">
      <w:pPr>
        <w:widowControl/>
        <w:shd w:val="clear"/>
        <w:kinsoku/>
        <w:overflowPunct w:val="0"/>
        <w:autoSpaceDE/>
        <w:autoSpaceDN/>
        <w:adjustRightInd/>
        <w:ind w:left="0"/>
        <w:jc w:val="both"/>
        <w:rPr>
          <w:rFonts w:hint="eastAsia" w:ascii="宋体" w:hAnsi="宋体" w:eastAsia="宋体" w:cs="宋体"/>
          <w:color w:val="auto"/>
          <w:sz w:val="20"/>
          <w:szCs w:val="24"/>
          <w:highlight w:val="none"/>
        </w:rPr>
      </w:pPr>
      <w:r>
        <w:rPr>
          <w:rFonts w:hint="eastAsia" w:ascii="宋体" w:hAnsi="宋体" w:eastAsia="宋体" w:cs="宋体"/>
          <w:color w:val="auto"/>
          <w:sz w:val="20"/>
          <w:szCs w:val="21"/>
          <w:highlight w:val="none"/>
          <w:lang w:val="en-US" w:eastAsia="zh-CN" w:bidi="ar-SA"/>
        </w:rPr>
        <w:br w:type="page"/>
      </w:r>
      <w:bookmarkStart w:id="122" w:name="page69"/>
      <w:bookmarkEnd w:id="122"/>
    </w:p>
    <w:p w14:paraId="0370B6D0">
      <w:pPr>
        <w:outlineLvl w:val="9"/>
        <w:rPr>
          <w:rFonts w:hint="eastAsia" w:ascii="宋体" w:hAnsi="宋体" w:eastAsia="宋体" w:cs="宋体"/>
          <w:color w:val="auto"/>
          <w:sz w:val="52"/>
          <w:szCs w:val="52"/>
          <w:highlight w:val="none"/>
        </w:rPr>
      </w:pPr>
      <w:bookmarkStart w:id="123" w:name="bookmark161"/>
      <w:bookmarkEnd w:id="123"/>
      <w:bookmarkStart w:id="124" w:name="_Toc2872"/>
    </w:p>
    <w:p w14:paraId="481E1EFF">
      <w:pPr>
        <w:pStyle w:val="2"/>
        <w:keepNext w:val="0"/>
        <w:keepLines w:val="0"/>
        <w:pageBreakBefore w:val="0"/>
        <w:widowControl w:val="0"/>
        <w:shd w:val="clear"/>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第二卷</w:t>
      </w:r>
      <w:bookmarkEnd w:id="124"/>
    </w:p>
    <w:p w14:paraId="315CA4F9">
      <w:pPr>
        <w:pStyle w:val="2"/>
        <w:keepNext w:val="0"/>
        <w:keepLines w:val="0"/>
        <w:pageBreakBefore w:val="0"/>
        <w:widowControl w:val="0"/>
        <w:shd w:val="clear"/>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sectPr>
          <w:headerReference r:id="rId5" w:type="default"/>
          <w:pgSz w:w="11905" w:h="16838"/>
          <w:pgMar w:top="1417" w:right="1417" w:bottom="1417" w:left="1417" w:header="737" w:footer="737" w:gutter="0"/>
          <w:lnNumType w:countBy="0" w:distance="360"/>
          <w:pgNumType w:fmt="decimal"/>
          <w:cols w:space="720" w:num="1"/>
        </w:sectPr>
      </w:pPr>
    </w:p>
    <w:p w14:paraId="719876DA">
      <w:pPr>
        <w:pStyle w:val="3"/>
        <w:shd w:val="clear"/>
        <w:spacing w:line="360" w:lineRule="auto"/>
        <w:outlineLvl w:val="0"/>
        <w:rPr>
          <w:rFonts w:hint="eastAsia" w:ascii="宋体" w:hAnsi="宋体" w:eastAsia="宋体" w:cs="宋体"/>
          <w:color w:val="auto"/>
          <w:sz w:val="44"/>
          <w:szCs w:val="24"/>
          <w:highlight w:val="none"/>
        </w:rPr>
      </w:pPr>
      <w:bookmarkStart w:id="125" w:name="bookmark162"/>
      <w:bookmarkEnd w:id="125"/>
      <w:bookmarkStart w:id="126" w:name="_Toc23118"/>
      <w:r>
        <w:rPr>
          <w:rFonts w:hint="eastAsia" w:ascii="宋体" w:hAnsi="宋体" w:eastAsia="宋体" w:cs="宋体"/>
          <w:color w:val="auto"/>
          <w:sz w:val="44"/>
          <w:szCs w:val="24"/>
          <w:highlight w:val="none"/>
        </w:rPr>
        <w:t>第五章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委托人要求</w:t>
      </w:r>
      <w:bookmarkEnd w:id="126"/>
    </w:p>
    <w:p w14:paraId="4B3DDB3E">
      <w:pPr>
        <w:pStyle w:val="21"/>
        <w:widowControl w:val="0"/>
        <w:autoSpaceDE w:val="0"/>
        <w:autoSpaceDN w:val="0"/>
        <w:adjustRightInd w:val="0"/>
        <w:snapToGrid w:val="0"/>
        <w:spacing w:before="0" w:beforeAutospacing="0" w:after="0" w:afterAutospacing="0" w:line="360" w:lineRule="auto"/>
        <w:rPr>
          <w:rFonts w:hint="eastAsia" w:cs="宋体"/>
          <w:b/>
          <w:bCs/>
          <w:sz w:val="21"/>
          <w:szCs w:val="21"/>
        </w:rPr>
      </w:pPr>
      <w:r>
        <w:rPr>
          <w:rFonts w:hint="eastAsia" w:cs="宋体"/>
          <w:b/>
          <w:bCs/>
          <w:sz w:val="21"/>
          <w:szCs w:val="21"/>
        </w:rPr>
        <w:t>一、项目名称：</w:t>
      </w:r>
    </w:p>
    <w:p w14:paraId="6A537166">
      <w:pPr>
        <w:pStyle w:val="21"/>
        <w:widowControl w:val="0"/>
        <w:autoSpaceDE w:val="0"/>
        <w:autoSpaceDN w:val="0"/>
        <w:adjustRightInd w:val="0"/>
        <w:snapToGrid w:val="0"/>
        <w:spacing w:before="0" w:beforeAutospacing="0" w:after="0" w:afterAutospacing="0" w:line="360" w:lineRule="auto"/>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罗仙村留用地统筹区开发商业地块项目检验监测</w:t>
      </w:r>
    </w:p>
    <w:p w14:paraId="01DC2BFD">
      <w:pPr>
        <w:pStyle w:val="21"/>
        <w:widowControl w:val="0"/>
        <w:autoSpaceDE w:val="0"/>
        <w:autoSpaceDN w:val="0"/>
        <w:adjustRightInd w:val="0"/>
        <w:snapToGrid w:val="0"/>
        <w:spacing w:before="0" w:beforeAutospacing="0" w:after="0" w:afterAutospacing="0" w:line="360" w:lineRule="auto"/>
        <w:rPr>
          <w:rFonts w:hint="eastAsia" w:cs="宋体"/>
          <w:b/>
          <w:bCs/>
          <w:sz w:val="21"/>
          <w:szCs w:val="21"/>
        </w:rPr>
      </w:pPr>
      <w:r>
        <w:rPr>
          <w:rFonts w:hint="eastAsia" w:cs="宋体"/>
          <w:b/>
          <w:bCs/>
          <w:sz w:val="21"/>
          <w:szCs w:val="21"/>
        </w:rPr>
        <w:t>二、建设地点：</w:t>
      </w:r>
    </w:p>
    <w:p w14:paraId="7FEC3A47">
      <w:pPr>
        <w:pStyle w:val="21"/>
        <w:widowControl w:val="0"/>
        <w:autoSpaceDE w:val="0"/>
        <w:autoSpaceDN w:val="0"/>
        <w:adjustRightInd w:val="0"/>
        <w:snapToGrid w:val="0"/>
        <w:spacing w:before="0" w:beforeAutospacing="0" w:after="0" w:afterAutospacing="0"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lang w:val="en-US" w:eastAsia="zh-CN"/>
        </w:rPr>
        <w:t>广州市花都区罗仙村</w:t>
      </w:r>
      <w:r>
        <w:rPr>
          <w:rFonts w:hint="eastAsia" w:ascii="宋体" w:hAnsi="宋体" w:eastAsia="宋体" w:cs="宋体"/>
          <w:sz w:val="24"/>
          <w:szCs w:val="24"/>
        </w:rPr>
        <w:t>。</w:t>
      </w:r>
    </w:p>
    <w:p w14:paraId="730C9F1E">
      <w:pPr>
        <w:pStyle w:val="21"/>
        <w:widowControl w:val="0"/>
        <w:autoSpaceDE w:val="0"/>
        <w:autoSpaceDN w:val="0"/>
        <w:adjustRightInd w:val="0"/>
        <w:snapToGrid w:val="0"/>
        <w:spacing w:before="0" w:beforeAutospacing="0" w:after="0" w:afterAutospacing="0" w:line="360" w:lineRule="auto"/>
        <w:rPr>
          <w:rFonts w:hint="eastAsia" w:cs="宋体"/>
          <w:b/>
          <w:bCs/>
          <w:sz w:val="21"/>
          <w:szCs w:val="21"/>
        </w:rPr>
      </w:pPr>
      <w:r>
        <w:rPr>
          <w:rFonts w:hint="eastAsia" w:cs="宋体"/>
          <w:b/>
          <w:bCs/>
          <w:sz w:val="21"/>
          <w:szCs w:val="21"/>
        </w:rPr>
        <w:t>三、服务期限：</w:t>
      </w:r>
    </w:p>
    <w:p w14:paraId="019B2599">
      <w:pPr>
        <w:pStyle w:val="3"/>
        <w:ind w:firstLine="480" w:firstLineChars="200"/>
        <w:jc w:val="left"/>
        <w:rPr>
          <w:rFonts w:hint="eastAsia" w:ascii="宋体" w:hAnsi="宋体" w:eastAsia="宋体" w:cs="宋体"/>
          <w:sz w:val="24"/>
          <w:szCs w:val="24"/>
        </w:rPr>
      </w:pPr>
      <w:r>
        <w:rPr>
          <w:rFonts w:hint="eastAsia" w:ascii="宋体" w:hAnsi="宋体" w:eastAsia="宋体" w:cs="宋体"/>
          <w:sz w:val="24"/>
          <w:szCs w:val="24"/>
        </w:rPr>
        <w:t>自发出中标通知书之日起至按合同约定时间完成合同约定的全部工作内容止。服务周期必须满足实际施工及验收要求，且招标人有权根据工程实际需要调整工期及验收时间，中标人</w:t>
      </w:r>
      <w:r>
        <w:rPr>
          <w:rFonts w:hint="eastAsia" w:cs="宋体"/>
          <w:sz w:val="24"/>
          <w:szCs w:val="24"/>
          <w:lang w:val="en-US" w:eastAsia="zh-CN"/>
        </w:rPr>
        <w:t>须</w:t>
      </w:r>
      <w:r>
        <w:rPr>
          <w:rFonts w:hint="eastAsia" w:ascii="宋体" w:hAnsi="宋体" w:eastAsia="宋体" w:cs="宋体"/>
          <w:sz w:val="24"/>
          <w:szCs w:val="24"/>
        </w:rPr>
        <w:t>配合招标人的调整</w:t>
      </w:r>
      <w:r>
        <w:rPr>
          <w:rFonts w:hint="eastAsia" w:cs="宋体"/>
          <w:sz w:val="24"/>
          <w:szCs w:val="24"/>
          <w:lang w:val="en-US" w:eastAsia="zh-CN"/>
        </w:rPr>
        <w:t>做</w:t>
      </w:r>
      <w:r>
        <w:rPr>
          <w:rFonts w:hint="eastAsia" w:ascii="宋体" w:hAnsi="宋体" w:eastAsia="宋体" w:cs="宋体"/>
          <w:sz w:val="24"/>
          <w:szCs w:val="24"/>
        </w:rPr>
        <w:t>出相应的执行计划。</w:t>
      </w:r>
    </w:p>
    <w:p w14:paraId="2C7F9766">
      <w:pPr>
        <w:spacing w:line="360" w:lineRule="auto"/>
        <w:rPr>
          <w:rFonts w:hint="eastAsia" w:ascii="宋体" w:hAnsi="宋体" w:cs="宋体"/>
          <w:b/>
        </w:rPr>
      </w:pPr>
      <w:r>
        <w:rPr>
          <w:rFonts w:hint="eastAsia" w:ascii="宋体" w:hAnsi="宋体" w:cs="宋体"/>
          <w:b/>
        </w:rPr>
        <w:t>四、检测和监测标准：</w:t>
      </w:r>
    </w:p>
    <w:p w14:paraId="59852B43">
      <w:pPr>
        <w:spacing w:line="360" w:lineRule="auto"/>
        <w:ind w:firstLine="424" w:firstLineChars="177"/>
        <w:rPr>
          <w:rFonts w:hint="eastAsia" w:ascii="宋体" w:hAnsi="宋体" w:cs="宋体"/>
        </w:rPr>
      </w:pPr>
      <w:r>
        <w:rPr>
          <w:rFonts w:hint="eastAsia" w:ascii="宋体" w:hAnsi="宋体" w:cs="宋体"/>
        </w:rPr>
        <w:t>（1）《建筑工程施工质量验收统一标准》（GB50300-2013）；</w:t>
      </w:r>
    </w:p>
    <w:p w14:paraId="16F6F282">
      <w:pPr>
        <w:spacing w:line="360" w:lineRule="auto"/>
        <w:ind w:firstLine="424" w:firstLineChars="177"/>
        <w:rPr>
          <w:rFonts w:hint="eastAsia" w:ascii="宋体" w:hAnsi="宋体" w:cs="宋体"/>
        </w:rPr>
      </w:pPr>
      <w:r>
        <w:rPr>
          <w:rFonts w:hint="eastAsia" w:ascii="宋体" w:hAnsi="宋体" w:cs="宋体"/>
        </w:rPr>
        <w:t>（2）《混凝土结构工程施工质量验收规范》（GB50204-2015）；</w:t>
      </w:r>
    </w:p>
    <w:p w14:paraId="38BA0E00">
      <w:pPr>
        <w:spacing w:line="360" w:lineRule="auto"/>
        <w:ind w:firstLine="424" w:firstLineChars="177"/>
        <w:rPr>
          <w:rFonts w:hint="eastAsia" w:ascii="宋体" w:hAnsi="宋体" w:cs="宋体"/>
        </w:rPr>
      </w:pPr>
      <w:r>
        <w:rPr>
          <w:rFonts w:hint="eastAsia" w:ascii="宋体" w:hAnsi="宋体" w:cs="宋体"/>
        </w:rPr>
        <w:t>（3）《砌体工程施工质量验收规范》（GB50203-2011）；</w:t>
      </w:r>
    </w:p>
    <w:p w14:paraId="72464618">
      <w:pPr>
        <w:spacing w:line="360" w:lineRule="auto"/>
        <w:ind w:firstLine="424" w:firstLineChars="177"/>
        <w:rPr>
          <w:rFonts w:hint="eastAsia" w:ascii="宋体" w:hAnsi="宋体" w:cs="宋体"/>
        </w:rPr>
      </w:pPr>
      <w:r>
        <w:rPr>
          <w:rFonts w:hint="eastAsia" w:ascii="宋体" w:hAnsi="宋体" w:cs="宋体"/>
        </w:rPr>
        <w:t>（4）《屋面工程质量验收规范》（GB50207-2012）；</w:t>
      </w:r>
    </w:p>
    <w:p w14:paraId="28363F55">
      <w:pPr>
        <w:spacing w:line="360" w:lineRule="auto"/>
        <w:ind w:firstLine="424" w:firstLineChars="177"/>
        <w:rPr>
          <w:rFonts w:hint="eastAsia" w:ascii="宋体" w:hAnsi="宋体" w:cs="宋体"/>
        </w:rPr>
      </w:pPr>
      <w:r>
        <w:rPr>
          <w:rFonts w:hint="eastAsia" w:ascii="宋体" w:hAnsi="宋体" w:cs="宋体"/>
        </w:rPr>
        <w:t>（5）《给水排水管道工程施工及验收规范》（GB50268-2008）；</w:t>
      </w:r>
    </w:p>
    <w:p w14:paraId="309515C3">
      <w:pPr>
        <w:spacing w:line="360" w:lineRule="auto"/>
        <w:ind w:firstLine="424" w:firstLineChars="177"/>
        <w:rPr>
          <w:rFonts w:hint="eastAsia" w:ascii="宋体" w:hAnsi="宋体" w:cs="宋体"/>
        </w:rPr>
      </w:pPr>
      <w:r>
        <w:rPr>
          <w:rFonts w:hint="eastAsia" w:ascii="宋体" w:hAnsi="宋体" w:cs="宋体"/>
        </w:rPr>
        <w:t>（6）《建筑地面工程施工质量验收规范》（GB50209-2002）；</w:t>
      </w:r>
    </w:p>
    <w:p w14:paraId="44FDF7C0">
      <w:pPr>
        <w:spacing w:line="360" w:lineRule="auto"/>
        <w:ind w:firstLine="424" w:firstLineChars="177"/>
        <w:rPr>
          <w:rFonts w:hint="eastAsia" w:ascii="宋体" w:hAnsi="宋体" w:cs="宋体"/>
        </w:rPr>
      </w:pPr>
      <w:r>
        <w:rPr>
          <w:rFonts w:hint="eastAsia" w:ascii="宋体" w:hAnsi="宋体" w:cs="宋体"/>
        </w:rPr>
        <w:t>（7）《建筑装饰装修工程质量验收规范》（GB50300-2018）；</w:t>
      </w:r>
    </w:p>
    <w:p w14:paraId="0389979A">
      <w:pPr>
        <w:spacing w:line="360" w:lineRule="auto"/>
        <w:ind w:firstLine="424" w:firstLineChars="177"/>
        <w:rPr>
          <w:rFonts w:hint="eastAsia" w:ascii="宋体" w:hAnsi="宋体" w:cs="宋体"/>
        </w:rPr>
      </w:pPr>
      <w:r>
        <w:rPr>
          <w:rFonts w:hint="eastAsia" w:ascii="宋体" w:hAnsi="宋体" w:cs="宋体"/>
        </w:rPr>
        <w:t>（8）《广东省建筑节能与绿色建筑工程施工质量验收规范》DBJ 15-65-2021；</w:t>
      </w:r>
    </w:p>
    <w:p w14:paraId="1B34DB01">
      <w:pPr>
        <w:spacing w:line="360" w:lineRule="auto"/>
        <w:ind w:firstLine="424" w:firstLineChars="177"/>
        <w:rPr>
          <w:rFonts w:hint="eastAsia" w:ascii="宋体" w:hAnsi="宋体" w:cs="宋体"/>
        </w:rPr>
      </w:pPr>
      <w:r>
        <w:rPr>
          <w:rFonts w:hint="eastAsia" w:ascii="宋体" w:hAnsi="宋体" w:cs="宋体"/>
        </w:rPr>
        <w:t>（9）《建筑节能工程施工质量验收规范》GB50411</w:t>
      </w:r>
      <w:r>
        <w:rPr>
          <w:rFonts w:hint="eastAsia" w:ascii="宋体" w:hAnsi="宋体" w:cs="宋体"/>
          <w:lang w:val="en-US" w:eastAsia="zh-CN"/>
        </w:rPr>
        <w:t>-2019</w:t>
      </w:r>
      <w:r>
        <w:rPr>
          <w:rFonts w:hint="eastAsia" w:ascii="宋体" w:hAnsi="宋体" w:cs="宋体"/>
        </w:rPr>
        <w:t>；</w:t>
      </w:r>
    </w:p>
    <w:p w14:paraId="68E1EB7B">
      <w:pPr>
        <w:spacing w:line="360" w:lineRule="auto"/>
        <w:ind w:firstLine="424" w:firstLineChars="177"/>
        <w:rPr>
          <w:rFonts w:hint="eastAsia" w:ascii="宋体" w:hAnsi="宋体" w:cs="宋体"/>
        </w:rPr>
      </w:pPr>
      <w:r>
        <w:rPr>
          <w:rFonts w:hint="eastAsia" w:ascii="宋体" w:hAnsi="宋体" w:cs="宋体"/>
        </w:rPr>
        <w:t>（10）《民用建筑工程室内环境污染控制规范》GB50325-20</w:t>
      </w:r>
      <w:r>
        <w:rPr>
          <w:rFonts w:hint="eastAsia" w:ascii="宋体" w:hAnsi="宋体" w:cs="宋体"/>
          <w:lang w:val="en-US" w:eastAsia="zh-CN"/>
        </w:rPr>
        <w:t>20</w:t>
      </w:r>
      <w:r>
        <w:rPr>
          <w:rFonts w:hint="eastAsia" w:ascii="宋体" w:hAnsi="宋体" w:cs="宋体"/>
        </w:rPr>
        <w:t>；</w:t>
      </w:r>
    </w:p>
    <w:p w14:paraId="7E6762C6">
      <w:pPr>
        <w:spacing w:line="360" w:lineRule="auto"/>
        <w:ind w:firstLine="424" w:firstLineChars="177"/>
        <w:rPr>
          <w:rFonts w:hint="eastAsia" w:ascii="宋体" w:hAnsi="宋体" w:cs="宋体"/>
        </w:rPr>
      </w:pPr>
      <w:r>
        <w:rPr>
          <w:rFonts w:hint="eastAsia" w:ascii="宋体" w:hAnsi="宋体" w:cs="宋体"/>
        </w:rPr>
        <w:t>（11）《通风与空调工程施工质量验收规范》GB50243</w:t>
      </w:r>
      <w:r>
        <w:rPr>
          <w:rFonts w:hint="eastAsia" w:ascii="宋体" w:hAnsi="宋体" w:cs="宋体"/>
          <w:lang w:val="en-US" w:eastAsia="zh-CN"/>
        </w:rPr>
        <w:t>-2016</w:t>
      </w:r>
      <w:r>
        <w:rPr>
          <w:rFonts w:hint="eastAsia" w:ascii="宋体" w:hAnsi="宋体" w:cs="宋体"/>
        </w:rPr>
        <w:t>；</w:t>
      </w:r>
    </w:p>
    <w:p w14:paraId="3B68CB15">
      <w:pPr>
        <w:spacing w:line="360" w:lineRule="auto"/>
        <w:ind w:firstLine="424" w:firstLineChars="177"/>
        <w:rPr>
          <w:rFonts w:hint="eastAsia" w:ascii="宋体" w:hAnsi="宋体" w:cs="宋体"/>
        </w:rPr>
      </w:pPr>
      <w:r>
        <w:rPr>
          <w:rFonts w:hint="eastAsia" w:ascii="宋体" w:hAnsi="宋体" w:cs="宋体"/>
        </w:rPr>
        <w:t>（12）《建筑电气工程施工质量验收规范》GB50303</w:t>
      </w:r>
      <w:r>
        <w:rPr>
          <w:rFonts w:hint="eastAsia" w:ascii="宋体" w:hAnsi="宋体" w:cs="宋体"/>
          <w:lang w:val="en-US" w:eastAsia="zh-CN"/>
        </w:rPr>
        <w:t>-2015</w:t>
      </w:r>
      <w:r>
        <w:rPr>
          <w:rFonts w:hint="eastAsia" w:ascii="宋体" w:hAnsi="宋体" w:cs="宋体"/>
        </w:rPr>
        <w:t>；</w:t>
      </w:r>
    </w:p>
    <w:p w14:paraId="29E4D1A8">
      <w:pPr>
        <w:spacing w:line="360" w:lineRule="auto"/>
        <w:ind w:firstLine="424" w:firstLineChars="177"/>
        <w:rPr>
          <w:rFonts w:hint="eastAsia" w:ascii="宋体" w:hAnsi="宋体" w:cs="宋体"/>
        </w:rPr>
      </w:pPr>
      <w:r>
        <w:rPr>
          <w:rFonts w:hint="eastAsia" w:ascii="宋体" w:hAnsi="宋体" w:cs="宋体"/>
        </w:rPr>
        <w:t>（13）《公共建筑节能检测标准》JGJ/T177</w:t>
      </w:r>
      <w:r>
        <w:rPr>
          <w:rFonts w:hint="eastAsia" w:ascii="宋体" w:hAnsi="宋体" w:cs="宋体"/>
          <w:lang w:val="en-US" w:eastAsia="zh-CN"/>
        </w:rPr>
        <w:t>-2009</w:t>
      </w:r>
      <w:r>
        <w:rPr>
          <w:rFonts w:hint="eastAsia" w:ascii="宋体" w:hAnsi="宋体" w:cs="宋体"/>
        </w:rPr>
        <w:t>；</w:t>
      </w:r>
    </w:p>
    <w:p w14:paraId="20F2B199">
      <w:pPr>
        <w:spacing w:line="360" w:lineRule="auto"/>
        <w:ind w:firstLine="424" w:firstLineChars="177"/>
        <w:rPr>
          <w:rFonts w:hint="eastAsia" w:ascii="宋体" w:hAnsi="宋体" w:cs="宋体"/>
        </w:rPr>
      </w:pPr>
      <w:r>
        <w:rPr>
          <w:rFonts w:hint="eastAsia" w:ascii="宋体" w:hAnsi="宋体" w:cs="宋体"/>
        </w:rPr>
        <w:t>（14）《居住建筑节能检测标准》JGJ/T132</w:t>
      </w:r>
      <w:r>
        <w:rPr>
          <w:rFonts w:hint="eastAsia" w:ascii="宋体" w:hAnsi="宋体" w:cs="宋体"/>
          <w:lang w:val="en-US" w:eastAsia="zh-CN"/>
        </w:rPr>
        <w:t>-2009</w:t>
      </w:r>
      <w:r>
        <w:rPr>
          <w:rFonts w:hint="eastAsia" w:ascii="宋体" w:hAnsi="宋体" w:cs="宋体"/>
        </w:rPr>
        <w:t>；</w:t>
      </w:r>
    </w:p>
    <w:p w14:paraId="7FBA4AE9">
      <w:pPr>
        <w:spacing w:line="360" w:lineRule="auto"/>
        <w:ind w:firstLine="424" w:firstLineChars="177"/>
        <w:rPr>
          <w:rFonts w:hint="eastAsia" w:ascii="宋体" w:hAnsi="宋体" w:cs="宋体"/>
        </w:rPr>
      </w:pPr>
      <w:r>
        <w:rPr>
          <w:rFonts w:hint="eastAsia" w:ascii="宋体" w:hAnsi="宋体" w:cs="宋体"/>
        </w:rPr>
        <w:t>（15）《照明测量方法》GB/T5700</w:t>
      </w:r>
      <w:r>
        <w:rPr>
          <w:rFonts w:hint="eastAsia" w:ascii="宋体" w:hAnsi="宋体" w:cs="宋体"/>
          <w:lang w:val="en-US" w:eastAsia="zh-CN"/>
        </w:rPr>
        <w:t>-2023</w:t>
      </w:r>
      <w:r>
        <w:rPr>
          <w:rFonts w:hint="eastAsia" w:ascii="宋体" w:hAnsi="宋体" w:cs="宋体"/>
        </w:rPr>
        <w:t>；</w:t>
      </w:r>
    </w:p>
    <w:p w14:paraId="2FDC2B8A">
      <w:pPr>
        <w:spacing w:line="360" w:lineRule="auto"/>
        <w:ind w:firstLine="424" w:firstLineChars="177"/>
        <w:rPr>
          <w:rFonts w:hint="eastAsia" w:ascii="宋体" w:hAnsi="宋体" w:cs="宋体"/>
        </w:rPr>
      </w:pPr>
      <w:r>
        <w:rPr>
          <w:rFonts w:hint="eastAsia" w:ascii="宋体" w:hAnsi="宋体" w:cs="宋体"/>
        </w:rPr>
        <w:t>（16）《风机盘管机组》GB/T19232</w:t>
      </w:r>
      <w:r>
        <w:rPr>
          <w:rFonts w:hint="eastAsia" w:ascii="宋体" w:hAnsi="宋体" w:cs="宋体"/>
          <w:lang w:val="en-US" w:eastAsia="zh-CN"/>
        </w:rPr>
        <w:t>-2019</w:t>
      </w:r>
      <w:r>
        <w:rPr>
          <w:rFonts w:hint="eastAsia" w:ascii="宋体" w:hAnsi="宋体" w:cs="宋体"/>
        </w:rPr>
        <w:t>；</w:t>
      </w:r>
    </w:p>
    <w:p w14:paraId="4D692849">
      <w:pPr>
        <w:spacing w:line="360" w:lineRule="auto"/>
        <w:ind w:firstLine="424" w:firstLineChars="177"/>
        <w:rPr>
          <w:rFonts w:hint="eastAsia" w:ascii="宋体" w:hAnsi="宋体" w:cs="宋体"/>
        </w:rPr>
      </w:pPr>
      <w:r>
        <w:rPr>
          <w:rFonts w:hint="eastAsia" w:ascii="宋体" w:hAnsi="宋体" w:cs="宋体"/>
        </w:rPr>
        <w:t>（17）广东省标准《广东城市绿化工程施工和验收规范》DB44/T581-2009；</w:t>
      </w:r>
    </w:p>
    <w:p w14:paraId="77E96419">
      <w:pPr>
        <w:spacing w:line="360" w:lineRule="auto"/>
        <w:ind w:firstLine="424" w:firstLineChars="177"/>
        <w:rPr>
          <w:rFonts w:hint="eastAsia" w:ascii="宋体" w:hAnsi="宋体" w:cs="宋体"/>
        </w:rPr>
      </w:pPr>
      <w:r>
        <w:rPr>
          <w:rFonts w:hint="eastAsia" w:ascii="宋体" w:hAnsi="宋体" w:cs="宋体"/>
        </w:rPr>
        <w:t>（18）行业标准《园林绿化木本苗》CJ/T24-2018；</w:t>
      </w:r>
    </w:p>
    <w:p w14:paraId="7837E2CB">
      <w:pPr>
        <w:spacing w:line="360" w:lineRule="auto"/>
        <w:ind w:firstLine="424" w:firstLineChars="177"/>
        <w:rPr>
          <w:rFonts w:hint="eastAsia" w:ascii="宋体" w:hAnsi="宋体" w:cs="宋体"/>
        </w:rPr>
      </w:pPr>
      <w:r>
        <w:rPr>
          <w:rFonts w:hint="eastAsia" w:ascii="宋体" w:hAnsi="宋体" w:cs="宋体"/>
        </w:rPr>
        <w:t xml:space="preserve">（19）国家和广东省、广州市、南沙区其他有关检测和监测的法律、法规、规章、规范及标准。 </w:t>
      </w:r>
    </w:p>
    <w:p w14:paraId="6D873FF4">
      <w:pPr>
        <w:spacing w:line="360" w:lineRule="auto"/>
        <w:rPr>
          <w:rFonts w:hint="eastAsia" w:ascii="宋体" w:hAnsi="宋体" w:cs="宋体"/>
        </w:rPr>
      </w:pPr>
      <w:r>
        <w:rPr>
          <w:rFonts w:hint="eastAsia" w:ascii="宋体" w:hAnsi="宋体" w:cs="宋体"/>
          <w:b/>
        </w:rPr>
        <w:t>五、服务要求：</w:t>
      </w:r>
    </w:p>
    <w:p w14:paraId="56842AC7">
      <w:pPr>
        <w:spacing w:line="360" w:lineRule="auto"/>
        <w:ind w:firstLine="424" w:firstLineChars="177"/>
        <w:rPr>
          <w:rFonts w:hint="eastAsia" w:ascii="宋体" w:hAnsi="宋体" w:cs="宋体"/>
        </w:rPr>
      </w:pPr>
      <w:bookmarkStart w:id="127" w:name="_Toc511557119"/>
      <w:bookmarkStart w:id="128" w:name="_Toc24882"/>
      <w:bookmarkStart w:id="129" w:name="_Toc9843"/>
      <w:r>
        <w:rPr>
          <w:rFonts w:hint="eastAsia" w:ascii="宋体" w:hAnsi="宋体" w:cs="宋体"/>
        </w:rPr>
        <w:t xml:space="preserve">工程的检测及监测必须符合国家、广东省、广州市、南沙区有关技术标准、规范规程和规定的要求及设计要求，确保工程质量，达到相关主管部门和发包人所要求的内容和深度，保证技术成果能够一次性通过相关主管部门认可，确保不因检测及监测工作影响本工程项目的建设进度和竣工验收。 </w:t>
      </w:r>
    </w:p>
    <w:bookmarkEnd w:id="127"/>
    <w:bookmarkEnd w:id="128"/>
    <w:bookmarkEnd w:id="129"/>
    <w:p w14:paraId="433E6D7E">
      <w:pPr>
        <w:pStyle w:val="11"/>
        <w:shd w:val="clear"/>
        <w:tabs>
          <w:tab w:val="left" w:pos="1343"/>
          <w:tab w:val="left" w:pos="2697"/>
          <w:tab w:val="left" w:pos="3264"/>
          <w:tab w:val="left" w:pos="4896"/>
          <w:tab w:val="left" w:pos="6005"/>
          <w:tab w:val="left" w:pos="7085"/>
          <w:tab w:val="left" w:pos="7498"/>
        </w:tabs>
        <w:kinsoku/>
        <w:overflowPunct w:val="0"/>
        <w:spacing w:line="360" w:lineRule="auto"/>
        <w:ind w:left="0" w:leftChars="0" w:firstLine="0" w:firstLineChars="0"/>
        <w:jc w:val="both"/>
        <w:rPr>
          <w:rFonts w:hint="eastAsia" w:ascii="宋体" w:hAnsi="宋体" w:cs="宋体"/>
          <w:b/>
        </w:rPr>
      </w:pPr>
      <w:r>
        <w:rPr>
          <w:rFonts w:hint="eastAsia" w:ascii="宋体" w:hAnsi="宋体" w:cs="宋体"/>
          <w:b/>
        </w:rPr>
        <w:t>六.其他要求详见本项目检测和监测合同的相关约定。</w:t>
      </w:r>
    </w:p>
    <w:p w14:paraId="7851FA22">
      <w:pPr>
        <w:pStyle w:val="11"/>
        <w:shd w:val="clear"/>
        <w:tabs>
          <w:tab w:val="left" w:pos="1343"/>
          <w:tab w:val="left" w:pos="2697"/>
          <w:tab w:val="left" w:pos="3264"/>
          <w:tab w:val="left" w:pos="4896"/>
          <w:tab w:val="left" w:pos="6005"/>
          <w:tab w:val="left" w:pos="7085"/>
          <w:tab w:val="left" w:pos="7498"/>
        </w:tabs>
        <w:kinsoku/>
        <w:overflowPunct w:val="0"/>
        <w:spacing w:line="360" w:lineRule="auto"/>
        <w:ind w:left="0" w:leftChars="0" w:firstLine="0" w:firstLineChars="0"/>
        <w:jc w:val="both"/>
        <w:rPr>
          <w:rFonts w:hint="default" w:ascii="宋体" w:hAnsi="宋体" w:cs="宋体"/>
          <w:b/>
          <w:lang w:val="en-US" w:eastAsia="zh-CN"/>
        </w:rPr>
      </w:pPr>
      <w:r>
        <w:rPr>
          <w:rFonts w:hint="eastAsia" w:cs="宋体"/>
          <w:b/>
          <w:lang w:val="en-US" w:eastAsia="zh-CN"/>
        </w:rPr>
        <w:t>七．模拟清单（另册）</w:t>
      </w:r>
    </w:p>
    <w:p w14:paraId="281048E6">
      <w:pPr>
        <w:pStyle w:val="11"/>
        <w:shd w:val="clear"/>
        <w:kinsoku/>
        <w:overflowPunct w:val="0"/>
        <w:ind w:left="0"/>
        <w:rPr>
          <w:rFonts w:hint="eastAsia" w:ascii="宋体" w:hAnsi="宋体" w:eastAsia="宋体" w:cs="宋体"/>
          <w:color w:val="auto"/>
          <w:sz w:val="20"/>
          <w:szCs w:val="24"/>
          <w:highlight w:val="none"/>
        </w:rPr>
      </w:pPr>
    </w:p>
    <w:p w14:paraId="3C2467F6">
      <w:pPr>
        <w:rPr>
          <w:rFonts w:hint="eastAsia" w:ascii="宋体" w:hAnsi="宋体" w:eastAsia="宋体" w:cs="宋体"/>
          <w:color w:val="auto"/>
          <w:sz w:val="52"/>
          <w:szCs w:val="52"/>
          <w:highlight w:val="none"/>
        </w:rPr>
      </w:pPr>
      <w:bookmarkStart w:id="130" w:name="bookmark173"/>
      <w:bookmarkEnd w:id="130"/>
      <w:bookmarkStart w:id="131" w:name="_Toc12210"/>
      <w:r>
        <w:rPr>
          <w:rFonts w:hint="eastAsia" w:ascii="宋体" w:hAnsi="宋体" w:eastAsia="宋体" w:cs="宋体"/>
          <w:color w:val="auto"/>
          <w:sz w:val="52"/>
          <w:szCs w:val="52"/>
          <w:highlight w:val="none"/>
        </w:rPr>
        <w:br w:type="page"/>
      </w:r>
    </w:p>
    <w:p w14:paraId="16E267BA">
      <w:pPr>
        <w:pStyle w:val="2"/>
        <w:keepNext w:val="0"/>
        <w:keepLines w:val="0"/>
        <w:pageBreakBefore w:val="0"/>
        <w:widowControl w:val="0"/>
        <w:shd w:val="clear"/>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第三卷</w:t>
      </w:r>
      <w:bookmarkEnd w:id="131"/>
    </w:p>
    <w:p w14:paraId="0DFAADFA">
      <w:pPr>
        <w:pStyle w:val="2"/>
        <w:keepNext w:val="0"/>
        <w:keepLines w:val="0"/>
        <w:pageBreakBefore w:val="0"/>
        <w:widowControl w:val="0"/>
        <w:shd w:val="clear"/>
        <w:wordWrap/>
        <w:topLinePunct w:val="0"/>
        <w:autoSpaceDE w:val="0"/>
        <w:autoSpaceDN w:val="0"/>
        <w:bidi w:val="0"/>
        <w:adjustRightInd w:val="0"/>
        <w:snapToGrid/>
        <w:spacing w:before="0" w:beforeLines="2000"/>
        <w:jc w:val="center"/>
        <w:textAlignment w:val="auto"/>
        <w:rPr>
          <w:rFonts w:hint="eastAsia" w:ascii="宋体" w:hAnsi="宋体" w:eastAsia="宋体" w:cs="宋体"/>
          <w:color w:val="auto"/>
          <w:sz w:val="52"/>
          <w:szCs w:val="52"/>
          <w:highlight w:val="none"/>
        </w:rPr>
        <w:sectPr>
          <w:pgSz w:w="11905" w:h="16838"/>
          <w:pgMar w:top="1417" w:right="1417" w:bottom="1417" w:left="1417" w:header="737" w:footer="737" w:gutter="0"/>
          <w:lnNumType w:countBy="0" w:distance="360"/>
          <w:pgNumType w:fmt="decimal"/>
          <w:cols w:space="720" w:num="1"/>
        </w:sectPr>
      </w:pPr>
    </w:p>
    <w:p w14:paraId="5ADE1569">
      <w:pPr>
        <w:pStyle w:val="3"/>
        <w:shd w:val="clear"/>
        <w:outlineLvl w:val="0"/>
        <w:rPr>
          <w:rFonts w:hint="eastAsia" w:ascii="宋体" w:hAnsi="宋体" w:eastAsia="宋体" w:cs="宋体"/>
          <w:color w:val="auto"/>
          <w:sz w:val="44"/>
          <w:szCs w:val="24"/>
          <w:highlight w:val="none"/>
        </w:rPr>
      </w:pPr>
      <w:bookmarkStart w:id="132" w:name="bookmark174"/>
      <w:bookmarkEnd w:id="132"/>
      <w:bookmarkStart w:id="133" w:name="_Toc26661"/>
      <w:r>
        <w:rPr>
          <w:rFonts w:hint="eastAsia" w:ascii="宋体" w:hAnsi="宋体" w:eastAsia="宋体" w:cs="宋体"/>
          <w:color w:val="auto"/>
          <w:sz w:val="44"/>
          <w:szCs w:val="24"/>
          <w:highlight w:val="none"/>
        </w:rPr>
        <w:t>第六章</w:t>
      </w:r>
      <w:r>
        <w:rPr>
          <w:rFonts w:hint="eastAsia" w:ascii="宋体" w:hAnsi="宋体" w:eastAsia="宋体" w:cs="宋体"/>
          <w:color w:val="auto"/>
          <w:sz w:val="44"/>
          <w:szCs w:val="24"/>
          <w:highlight w:val="none"/>
          <w:lang w:val="en-US" w:eastAsia="zh-CN"/>
        </w:rPr>
        <w:t xml:space="preserve"> </w:t>
      </w:r>
      <w:r>
        <w:rPr>
          <w:rFonts w:hint="eastAsia" w:ascii="宋体" w:hAnsi="宋体" w:eastAsia="宋体" w:cs="宋体"/>
          <w:color w:val="auto"/>
          <w:sz w:val="44"/>
          <w:szCs w:val="24"/>
          <w:highlight w:val="none"/>
        </w:rPr>
        <w:t>投标文件格式</w:t>
      </w:r>
      <w:bookmarkEnd w:id="133"/>
    </w:p>
    <w:p w14:paraId="7F0A8F5A">
      <w:pPr>
        <w:pStyle w:val="3"/>
        <w:shd w:val="clear"/>
        <w:outlineLvl w:val="9"/>
        <w:rPr>
          <w:rFonts w:hint="eastAsia" w:ascii="宋体" w:hAnsi="宋体" w:eastAsia="宋体" w:cs="宋体"/>
          <w:color w:val="auto"/>
          <w:sz w:val="30"/>
          <w:szCs w:val="24"/>
          <w:highlight w:val="none"/>
        </w:rPr>
        <w:sectPr>
          <w:pgSz w:w="11905" w:h="16838"/>
          <w:pgMar w:top="1417" w:right="1417" w:bottom="1417" w:left="1417" w:header="737" w:footer="737" w:gutter="0"/>
          <w:lnNumType w:countBy="0" w:distance="360"/>
          <w:pgNumType w:fmt="decimal"/>
          <w:cols w:space="720" w:num="1"/>
        </w:sectPr>
      </w:pPr>
    </w:p>
    <w:p w14:paraId="77BC94A6">
      <w:pPr>
        <w:pStyle w:val="11"/>
        <w:shd w:val="clear"/>
        <w:kinsoku/>
        <w:overflowPunct w:val="0"/>
        <w:ind w:left="0"/>
        <w:rPr>
          <w:rFonts w:hint="eastAsia" w:ascii="宋体" w:hAnsi="宋体" w:eastAsia="宋体" w:cs="宋体"/>
          <w:b/>
          <w:color w:val="auto"/>
          <w:sz w:val="20"/>
          <w:szCs w:val="24"/>
          <w:highlight w:val="none"/>
        </w:rPr>
      </w:pPr>
    </w:p>
    <w:p w14:paraId="472E5223">
      <w:pPr>
        <w:pStyle w:val="11"/>
        <w:shd w:val="clear"/>
        <w:kinsoku/>
        <w:overflowPunct w:val="0"/>
        <w:ind w:left="0"/>
        <w:rPr>
          <w:rFonts w:hint="eastAsia" w:ascii="宋体" w:hAnsi="宋体" w:eastAsia="宋体" w:cs="宋体"/>
          <w:b/>
          <w:color w:val="auto"/>
          <w:sz w:val="20"/>
          <w:szCs w:val="24"/>
          <w:highlight w:val="none"/>
        </w:rPr>
      </w:pPr>
    </w:p>
    <w:p w14:paraId="261B619A">
      <w:pPr>
        <w:pStyle w:val="11"/>
        <w:shd w:val="clear"/>
        <w:kinsoku/>
        <w:overflowPunct w:val="0"/>
        <w:spacing w:before="1"/>
        <w:ind w:left="0"/>
        <w:rPr>
          <w:rFonts w:hint="eastAsia" w:ascii="宋体" w:hAnsi="宋体" w:eastAsia="宋体" w:cs="宋体"/>
          <w:b/>
          <w:color w:val="auto"/>
          <w:sz w:val="22"/>
          <w:szCs w:val="24"/>
          <w:highlight w:val="none"/>
        </w:rPr>
      </w:pPr>
    </w:p>
    <w:p w14:paraId="560CD480">
      <w:pPr>
        <w:shd w:val="clear"/>
        <w:jc w:val="center"/>
        <w:rPr>
          <w:rFonts w:hint="eastAsia" w:ascii="宋体" w:hAnsi="宋体" w:eastAsia="宋体" w:cs="宋体"/>
          <w:color w:val="auto"/>
          <w:sz w:val="36"/>
          <w:szCs w:val="24"/>
          <w:highlight w:val="none"/>
          <w:lang w:eastAsia="zh-CN"/>
        </w:rPr>
      </w:pPr>
      <w:r>
        <w:rPr>
          <w:rFonts w:hint="eastAsia" w:ascii="宋体" w:hAnsi="宋体" w:eastAsia="宋体" w:cs="宋体"/>
          <w:color w:val="auto"/>
          <w:sz w:val="36"/>
          <w:szCs w:val="24"/>
          <w:highlight w:val="none"/>
          <w:u w:val="single"/>
          <w:lang w:val="en-US" w:eastAsia="zh-CN"/>
        </w:rPr>
        <w:t xml:space="preserve">                 </w:t>
      </w:r>
      <w:r>
        <w:rPr>
          <w:rFonts w:hint="eastAsia" w:ascii="宋体" w:hAnsi="宋体" w:eastAsia="宋体" w:cs="宋体"/>
          <w:color w:val="auto"/>
          <w:sz w:val="36"/>
          <w:szCs w:val="24"/>
          <w:highlight w:val="none"/>
          <w:u w:val="single"/>
        </w:rPr>
        <w:t>（项目名称）</w:t>
      </w:r>
      <w:r>
        <w:rPr>
          <w:rFonts w:hint="eastAsia" w:ascii="宋体" w:hAnsi="宋体" w:eastAsia="宋体" w:cs="宋体"/>
          <w:color w:val="auto"/>
          <w:sz w:val="36"/>
          <w:szCs w:val="24"/>
          <w:highlight w:val="none"/>
          <w:lang w:val="en-US" w:eastAsia="zh-CN"/>
        </w:rPr>
        <w:t xml:space="preserve"> </w:t>
      </w:r>
    </w:p>
    <w:p w14:paraId="0B5C9099">
      <w:pPr>
        <w:pStyle w:val="11"/>
        <w:shd w:val="clear"/>
        <w:kinsoku/>
        <w:overflowPunct w:val="0"/>
        <w:ind w:left="0"/>
        <w:rPr>
          <w:rFonts w:hint="eastAsia" w:ascii="宋体" w:hAnsi="宋体" w:eastAsia="宋体" w:cs="宋体"/>
          <w:color w:val="auto"/>
          <w:sz w:val="20"/>
          <w:szCs w:val="24"/>
          <w:highlight w:val="none"/>
        </w:rPr>
      </w:pPr>
    </w:p>
    <w:p w14:paraId="32FA1662">
      <w:pPr>
        <w:pStyle w:val="11"/>
        <w:shd w:val="clear"/>
        <w:kinsoku/>
        <w:overflowPunct w:val="0"/>
        <w:spacing w:before="9"/>
        <w:ind w:left="0"/>
        <w:rPr>
          <w:rFonts w:hint="eastAsia" w:ascii="宋体" w:hAnsi="宋体" w:eastAsia="宋体" w:cs="宋体"/>
          <w:color w:val="auto"/>
          <w:sz w:val="15"/>
          <w:szCs w:val="24"/>
          <w:highlight w:val="none"/>
        </w:rPr>
      </w:pPr>
    </w:p>
    <w:p w14:paraId="1439F163">
      <w:pPr>
        <w:pStyle w:val="11"/>
        <w:shd w:val="clear"/>
        <w:kinsoku/>
        <w:overflowPunct w:val="0"/>
        <w:spacing w:line="539" w:lineRule="exact"/>
        <w:ind w:left="3" w:right="1"/>
        <w:jc w:val="center"/>
        <w:rPr>
          <w:rFonts w:hint="eastAsia" w:ascii="宋体" w:hAnsi="宋体" w:eastAsia="宋体" w:cs="宋体"/>
          <w:color w:val="auto"/>
          <w:sz w:val="44"/>
          <w:szCs w:val="24"/>
          <w:highlight w:val="none"/>
        </w:rPr>
      </w:pPr>
    </w:p>
    <w:p w14:paraId="7132D775">
      <w:pPr>
        <w:pStyle w:val="11"/>
        <w:shd w:val="clear"/>
        <w:kinsoku/>
        <w:overflowPunct w:val="0"/>
        <w:spacing w:line="539" w:lineRule="exact"/>
        <w:ind w:left="3" w:right="1"/>
        <w:jc w:val="center"/>
        <w:rPr>
          <w:rFonts w:hint="eastAsia" w:ascii="宋体" w:hAnsi="宋体" w:eastAsia="宋体" w:cs="宋体"/>
          <w:color w:val="auto"/>
          <w:sz w:val="44"/>
          <w:szCs w:val="24"/>
          <w:highlight w:val="none"/>
        </w:rPr>
      </w:pPr>
    </w:p>
    <w:p w14:paraId="2535AD07">
      <w:pPr>
        <w:pStyle w:val="11"/>
        <w:shd w:val="clear"/>
        <w:kinsoku/>
        <w:overflowPunct w:val="0"/>
        <w:ind w:left="0"/>
        <w:jc w:val="center"/>
        <w:rPr>
          <w:rFonts w:hint="eastAsia" w:ascii="宋体" w:hAnsi="宋体" w:eastAsia="宋体" w:cs="宋体"/>
          <w:color w:val="auto"/>
          <w:sz w:val="44"/>
          <w:szCs w:val="24"/>
          <w:highlight w:val="none"/>
        </w:rPr>
      </w:pPr>
      <w:r>
        <w:rPr>
          <w:rFonts w:hint="eastAsia" w:ascii="宋体" w:hAnsi="宋体" w:eastAsia="宋体" w:cs="宋体"/>
          <w:color w:val="auto"/>
          <w:sz w:val="84"/>
          <w:szCs w:val="84"/>
          <w:highlight w:val="none"/>
        </w:rPr>
        <w:t>投标文件</w:t>
      </w:r>
    </w:p>
    <w:p w14:paraId="4701E6A2">
      <w:pPr>
        <w:pStyle w:val="11"/>
        <w:shd w:val="clear"/>
        <w:kinsoku/>
        <w:overflowPunct w:val="0"/>
        <w:ind w:left="0"/>
        <w:rPr>
          <w:rFonts w:hint="eastAsia" w:ascii="宋体" w:hAnsi="宋体" w:eastAsia="宋体" w:cs="宋体"/>
          <w:color w:val="auto"/>
          <w:sz w:val="44"/>
          <w:szCs w:val="24"/>
          <w:highlight w:val="none"/>
        </w:rPr>
      </w:pPr>
    </w:p>
    <w:p w14:paraId="37DFCEB6">
      <w:pPr>
        <w:pStyle w:val="11"/>
        <w:shd w:val="clear"/>
        <w:kinsoku/>
        <w:overflowPunct w:val="0"/>
        <w:ind w:left="0"/>
        <w:rPr>
          <w:rFonts w:hint="eastAsia" w:ascii="宋体" w:hAnsi="宋体" w:eastAsia="宋体" w:cs="宋体"/>
          <w:color w:val="auto"/>
          <w:sz w:val="44"/>
          <w:szCs w:val="24"/>
          <w:highlight w:val="none"/>
        </w:rPr>
      </w:pPr>
    </w:p>
    <w:p w14:paraId="48349382">
      <w:pPr>
        <w:pStyle w:val="11"/>
        <w:shd w:val="clear"/>
        <w:kinsoku/>
        <w:overflowPunct w:val="0"/>
        <w:ind w:left="0"/>
        <w:rPr>
          <w:rFonts w:hint="eastAsia" w:ascii="宋体" w:hAnsi="宋体" w:eastAsia="宋体" w:cs="宋体"/>
          <w:color w:val="auto"/>
          <w:sz w:val="44"/>
          <w:szCs w:val="24"/>
          <w:highlight w:val="none"/>
        </w:rPr>
      </w:pPr>
    </w:p>
    <w:p w14:paraId="764543DE">
      <w:pPr>
        <w:pStyle w:val="11"/>
        <w:shd w:val="clear"/>
        <w:kinsoku/>
        <w:overflowPunct w:val="0"/>
        <w:ind w:left="0"/>
        <w:rPr>
          <w:rFonts w:hint="eastAsia" w:ascii="宋体" w:hAnsi="宋体" w:eastAsia="宋体" w:cs="宋体"/>
          <w:color w:val="auto"/>
          <w:sz w:val="44"/>
          <w:szCs w:val="24"/>
          <w:highlight w:val="none"/>
        </w:rPr>
      </w:pPr>
    </w:p>
    <w:p w14:paraId="78384D40">
      <w:pPr>
        <w:pStyle w:val="11"/>
        <w:shd w:val="clear"/>
        <w:kinsoku/>
        <w:overflowPunct w:val="0"/>
        <w:ind w:left="0"/>
        <w:rPr>
          <w:rFonts w:hint="eastAsia" w:ascii="宋体" w:hAnsi="宋体" w:eastAsia="宋体" w:cs="宋体"/>
          <w:color w:val="auto"/>
          <w:sz w:val="44"/>
          <w:szCs w:val="24"/>
          <w:highlight w:val="none"/>
        </w:rPr>
      </w:pPr>
    </w:p>
    <w:p w14:paraId="01122129">
      <w:pPr>
        <w:pStyle w:val="11"/>
        <w:shd w:val="clear"/>
        <w:kinsoku/>
        <w:overflowPunct w:val="0"/>
        <w:ind w:left="0"/>
        <w:rPr>
          <w:rFonts w:hint="eastAsia" w:ascii="宋体" w:hAnsi="宋体" w:eastAsia="宋体" w:cs="宋体"/>
          <w:color w:val="auto"/>
          <w:sz w:val="44"/>
          <w:szCs w:val="24"/>
          <w:highlight w:val="none"/>
        </w:rPr>
      </w:pPr>
    </w:p>
    <w:p w14:paraId="28E336EA">
      <w:pPr>
        <w:pStyle w:val="11"/>
        <w:shd w:val="clear"/>
        <w:kinsoku/>
        <w:overflowPunct w:val="0"/>
        <w:ind w:left="0"/>
        <w:rPr>
          <w:rFonts w:hint="eastAsia" w:ascii="宋体" w:hAnsi="宋体" w:eastAsia="宋体" w:cs="宋体"/>
          <w:color w:val="auto"/>
          <w:sz w:val="44"/>
          <w:szCs w:val="24"/>
          <w:highlight w:val="none"/>
        </w:rPr>
      </w:pPr>
    </w:p>
    <w:p w14:paraId="561E7205">
      <w:pPr>
        <w:pStyle w:val="11"/>
        <w:shd w:val="clear"/>
        <w:kinsoku/>
        <w:overflowPunct w:val="0"/>
        <w:ind w:left="0"/>
        <w:rPr>
          <w:rFonts w:hint="eastAsia" w:ascii="宋体" w:hAnsi="宋体" w:eastAsia="宋体" w:cs="宋体"/>
          <w:color w:val="auto"/>
          <w:sz w:val="44"/>
          <w:szCs w:val="24"/>
          <w:highlight w:val="none"/>
        </w:rPr>
      </w:pPr>
    </w:p>
    <w:p w14:paraId="220A0923">
      <w:pPr>
        <w:pStyle w:val="11"/>
        <w:shd w:val="clear"/>
        <w:kinsoku/>
        <w:overflowPunct w:val="0"/>
        <w:ind w:left="0"/>
        <w:rPr>
          <w:rFonts w:hint="eastAsia" w:ascii="宋体" w:hAnsi="宋体" w:eastAsia="宋体" w:cs="宋体"/>
          <w:color w:val="auto"/>
          <w:sz w:val="44"/>
          <w:szCs w:val="24"/>
          <w:highlight w:val="none"/>
        </w:rPr>
      </w:pPr>
    </w:p>
    <w:p w14:paraId="69F304D7">
      <w:pPr>
        <w:pStyle w:val="11"/>
        <w:shd w:val="clear"/>
        <w:kinsoku/>
        <w:overflowPunct w:val="0"/>
        <w:spacing w:before="3"/>
        <w:ind w:left="0"/>
        <w:rPr>
          <w:rFonts w:hint="eastAsia" w:ascii="宋体" w:hAnsi="宋体" w:eastAsia="宋体" w:cs="宋体"/>
          <w:color w:val="auto"/>
          <w:sz w:val="41"/>
          <w:szCs w:val="24"/>
          <w:highlight w:val="none"/>
        </w:rPr>
      </w:pPr>
    </w:p>
    <w:p w14:paraId="0A803487">
      <w:pPr>
        <w:pStyle w:val="11"/>
        <w:shd w:val="clear"/>
        <w:tabs>
          <w:tab w:val="left" w:pos="5577"/>
          <w:tab w:val="left" w:pos="6942"/>
        </w:tabs>
        <w:kinsoku/>
        <w:overflowPunct w:val="0"/>
        <w:spacing w:line="357" w:lineRule="auto"/>
        <w:ind w:left="1201" w:right="175"/>
        <w:rPr>
          <w:rFonts w:hint="eastAsia" w:ascii="宋体" w:hAnsi="宋体" w:eastAsia="宋体" w:cs="宋体"/>
          <w:color w:val="auto"/>
          <w:spacing w:val="-1"/>
          <w:sz w:val="28"/>
          <w:szCs w:val="24"/>
          <w:highlight w:val="none"/>
        </w:rPr>
      </w:pPr>
      <w:r>
        <w:rPr>
          <w:rFonts w:hint="eastAsia" w:ascii="宋体" w:hAnsi="宋体" w:eastAsia="宋体" w:cs="宋体"/>
          <w:color w:val="auto"/>
          <w:sz w:val="28"/>
          <w:szCs w:val="24"/>
          <w:highlight w:val="none"/>
        </w:rPr>
        <w:t>投标人：</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u w:val="single"/>
        </w:rPr>
        <w:tab/>
      </w:r>
      <w:r>
        <w:rPr>
          <w:rFonts w:hint="eastAsia" w:ascii="宋体" w:hAnsi="宋体" w:eastAsia="宋体" w:cs="宋体"/>
          <w:color w:val="auto"/>
          <w:spacing w:val="-1"/>
          <w:sz w:val="28"/>
          <w:szCs w:val="24"/>
          <w:highlight w:val="none"/>
        </w:rPr>
        <w:t>（盖单位章）</w:t>
      </w:r>
      <w:r>
        <w:rPr>
          <w:rFonts w:hint="eastAsia" w:ascii="宋体" w:hAnsi="宋体" w:eastAsia="宋体" w:cs="宋体"/>
          <w:color w:val="auto"/>
          <w:spacing w:val="-136"/>
          <w:sz w:val="28"/>
          <w:szCs w:val="24"/>
          <w:highlight w:val="none"/>
        </w:rPr>
        <w:t xml:space="preserve"> </w:t>
      </w:r>
      <w:r>
        <w:rPr>
          <w:rFonts w:hint="eastAsia" w:ascii="宋体" w:hAnsi="宋体" w:eastAsia="宋体" w:cs="宋体"/>
          <w:color w:val="auto"/>
          <w:spacing w:val="-1"/>
          <w:sz w:val="28"/>
          <w:szCs w:val="24"/>
          <w:highlight w:val="none"/>
        </w:rPr>
        <w:t>法定代表人或其委托代理人：</w:t>
      </w:r>
      <w:r>
        <w:rPr>
          <w:rFonts w:hint="eastAsia" w:ascii="宋体" w:hAnsi="宋体" w:eastAsia="宋体" w:cs="宋体"/>
          <w:color w:val="auto"/>
          <w:spacing w:val="-1"/>
          <w:sz w:val="28"/>
          <w:szCs w:val="24"/>
          <w:highlight w:val="none"/>
          <w:u w:val="single"/>
        </w:rPr>
        <w:tab/>
      </w:r>
      <w:r>
        <w:rPr>
          <w:rFonts w:hint="eastAsia" w:ascii="宋体" w:hAnsi="宋体" w:eastAsia="宋体" w:cs="宋体"/>
          <w:color w:val="auto"/>
          <w:spacing w:val="-1"/>
          <w:sz w:val="28"/>
          <w:szCs w:val="24"/>
          <w:highlight w:val="none"/>
        </w:rPr>
        <w:t>（签字</w:t>
      </w:r>
      <w:r>
        <w:rPr>
          <w:rFonts w:hint="eastAsia" w:cs="宋体"/>
          <w:color w:val="auto"/>
          <w:spacing w:val="-1"/>
          <w:sz w:val="28"/>
          <w:szCs w:val="24"/>
          <w:highlight w:val="none"/>
          <w:lang w:val="en-US" w:eastAsia="zh-CN"/>
        </w:rPr>
        <w:t>或盖章</w:t>
      </w:r>
      <w:r>
        <w:rPr>
          <w:rFonts w:hint="eastAsia" w:ascii="宋体" w:hAnsi="宋体" w:eastAsia="宋体" w:cs="宋体"/>
          <w:color w:val="auto"/>
          <w:spacing w:val="-1"/>
          <w:sz w:val="28"/>
          <w:szCs w:val="24"/>
          <w:highlight w:val="none"/>
        </w:rPr>
        <w:t>）</w:t>
      </w:r>
    </w:p>
    <w:p w14:paraId="06E830FA">
      <w:pPr>
        <w:pStyle w:val="11"/>
        <w:shd w:val="clear"/>
        <w:kinsoku/>
        <w:overflowPunct w:val="0"/>
        <w:spacing w:before="10"/>
        <w:ind w:left="0"/>
        <w:rPr>
          <w:rFonts w:hint="eastAsia" w:ascii="宋体" w:hAnsi="宋体" w:eastAsia="宋体" w:cs="宋体"/>
          <w:color w:val="auto"/>
          <w:sz w:val="29"/>
          <w:szCs w:val="24"/>
          <w:highlight w:val="none"/>
        </w:rPr>
      </w:pPr>
    </w:p>
    <w:p w14:paraId="0EDDED78">
      <w:pPr>
        <w:pStyle w:val="11"/>
        <w:shd w:val="clear"/>
        <w:tabs>
          <w:tab w:val="left" w:pos="3611"/>
          <w:tab w:val="left" w:pos="4626"/>
          <w:tab w:val="left" w:pos="5642"/>
        </w:tabs>
        <w:kinsoku/>
        <w:overflowPunct w:val="0"/>
        <w:spacing w:before="14"/>
        <w:ind w:left="2877" w:right="175"/>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rPr>
        <w:t>年</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rPr>
        <w:t>月</w:t>
      </w:r>
      <w:r>
        <w:rPr>
          <w:rFonts w:hint="eastAsia" w:ascii="宋体" w:hAnsi="宋体" w:eastAsia="宋体" w:cs="宋体"/>
          <w:color w:val="auto"/>
          <w:sz w:val="28"/>
          <w:szCs w:val="24"/>
          <w:highlight w:val="none"/>
          <w:u w:val="single"/>
        </w:rPr>
        <w:tab/>
      </w:r>
      <w:r>
        <w:rPr>
          <w:rFonts w:hint="eastAsia" w:ascii="宋体" w:hAnsi="宋体" w:eastAsia="宋体" w:cs="宋体"/>
          <w:color w:val="auto"/>
          <w:sz w:val="28"/>
          <w:szCs w:val="24"/>
          <w:highlight w:val="none"/>
        </w:rPr>
        <w:t>日</w:t>
      </w:r>
    </w:p>
    <w:p w14:paraId="4DE987D6">
      <w:pPr>
        <w:pStyle w:val="11"/>
        <w:shd w:val="clear"/>
        <w:tabs>
          <w:tab w:val="left" w:pos="3611"/>
          <w:tab w:val="left" w:pos="4626"/>
          <w:tab w:val="left" w:pos="5642"/>
        </w:tabs>
        <w:kinsoku/>
        <w:overflowPunct w:val="0"/>
        <w:spacing w:before="14"/>
        <w:ind w:left="2877" w:right="175"/>
        <w:rPr>
          <w:rFonts w:hint="eastAsia" w:ascii="宋体" w:hAnsi="宋体" w:eastAsia="宋体" w:cs="宋体"/>
          <w:color w:val="auto"/>
          <w:sz w:val="28"/>
          <w:szCs w:val="24"/>
          <w:highlight w:val="none"/>
        </w:rPr>
        <w:sectPr>
          <w:pgSz w:w="11905" w:h="16838"/>
          <w:pgMar w:top="1417" w:right="1417" w:bottom="1417" w:left="1417" w:header="737" w:footer="737" w:gutter="0"/>
          <w:lnNumType w:countBy="0" w:distance="360"/>
          <w:pgNumType w:fmt="decimal"/>
          <w:cols w:space="720" w:num="1"/>
        </w:sectPr>
      </w:pPr>
    </w:p>
    <w:p w14:paraId="7E123BF6">
      <w:pPr>
        <w:pStyle w:val="11"/>
        <w:shd w:val="clear"/>
        <w:kinsoku/>
        <w:overflowPunct w:val="0"/>
        <w:spacing w:line="443" w:lineRule="exact"/>
        <w:ind w:left="1244" w:right="1222"/>
        <w:jc w:val="center"/>
        <w:rPr>
          <w:rFonts w:hint="eastAsia" w:ascii="宋体" w:hAnsi="宋体" w:eastAsia="宋体" w:cs="宋体"/>
          <w:color w:val="auto"/>
          <w:sz w:val="32"/>
          <w:szCs w:val="24"/>
          <w:highlight w:val="none"/>
        </w:rPr>
      </w:pPr>
      <w:bookmarkStart w:id="134" w:name="bookmark175"/>
      <w:bookmarkEnd w:id="134"/>
      <w:r>
        <w:rPr>
          <w:rFonts w:hint="eastAsia" w:ascii="宋体" w:hAnsi="宋体" w:eastAsia="宋体" w:cs="宋体"/>
          <w:b/>
          <w:color w:val="auto"/>
          <w:sz w:val="32"/>
          <w:szCs w:val="24"/>
          <w:highlight w:val="none"/>
        </w:rPr>
        <w:t>目录</w:t>
      </w:r>
    </w:p>
    <w:p w14:paraId="2A63CD8C">
      <w:pPr>
        <w:pStyle w:val="11"/>
        <w:shd w:val="clear"/>
        <w:kinsoku/>
        <w:overflowPunct w:val="0"/>
        <w:ind w:left="0"/>
        <w:rPr>
          <w:rFonts w:hint="eastAsia" w:ascii="宋体" w:hAnsi="宋体" w:eastAsia="宋体" w:cs="宋体"/>
          <w:b/>
          <w:color w:val="auto"/>
          <w:sz w:val="20"/>
          <w:szCs w:val="24"/>
          <w:highlight w:val="none"/>
        </w:rPr>
      </w:pPr>
    </w:p>
    <w:p w14:paraId="56CBF75B">
      <w:pPr>
        <w:pStyle w:val="11"/>
        <w:shd w:val="clear"/>
        <w:kinsoku/>
        <w:overflowPunct w:val="0"/>
        <w:ind w:left="0"/>
        <w:rPr>
          <w:rFonts w:hint="eastAsia" w:ascii="宋体" w:hAnsi="宋体" w:eastAsia="宋体" w:cs="宋体"/>
          <w:b/>
          <w:color w:val="auto"/>
          <w:sz w:val="20"/>
          <w:szCs w:val="24"/>
          <w:highlight w:val="none"/>
        </w:rPr>
      </w:pPr>
    </w:p>
    <w:p w14:paraId="211BF99B">
      <w:pPr>
        <w:pStyle w:val="11"/>
        <w:shd w:val="clear"/>
        <w:kinsoku/>
        <w:overflowPunct w:val="0"/>
        <w:ind w:left="0"/>
        <w:rPr>
          <w:rFonts w:hint="eastAsia" w:ascii="宋体" w:hAnsi="宋体" w:eastAsia="宋体" w:cs="宋体"/>
          <w:b/>
          <w:color w:val="auto"/>
          <w:sz w:val="20"/>
          <w:szCs w:val="24"/>
          <w:highlight w:val="none"/>
        </w:rPr>
      </w:pPr>
    </w:p>
    <w:p w14:paraId="0AD3993C">
      <w:pPr>
        <w:pStyle w:val="11"/>
        <w:shd w:val="clear"/>
        <w:kinsoku/>
        <w:overflowPunct w:val="0"/>
        <w:spacing w:before="6"/>
        <w:ind w:left="0"/>
        <w:rPr>
          <w:rFonts w:hint="eastAsia" w:ascii="宋体" w:hAnsi="宋体" w:eastAsia="宋体" w:cs="宋体"/>
          <w:b/>
          <w:color w:val="auto"/>
          <w:sz w:val="24"/>
          <w:szCs w:val="24"/>
          <w:highlight w:val="none"/>
        </w:rPr>
      </w:pPr>
    </w:p>
    <w:p w14:paraId="62E63168">
      <w:pPr>
        <w:pStyle w:val="11"/>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投标函及投标函附录</w:t>
      </w:r>
    </w:p>
    <w:p w14:paraId="6CBABCF3">
      <w:pPr>
        <w:pStyle w:val="11"/>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二、法定代表人身份证明</w:t>
      </w:r>
    </w:p>
    <w:p w14:paraId="31CE9D54">
      <w:pPr>
        <w:pStyle w:val="11"/>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、授权委托书（适用于有委托代理人的情况）</w:t>
      </w:r>
    </w:p>
    <w:p w14:paraId="4C2450A3">
      <w:pPr>
        <w:pStyle w:val="11"/>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四</w:t>
      </w:r>
      <w:r>
        <w:rPr>
          <w:rFonts w:hint="eastAsia" w:ascii="宋体" w:hAnsi="宋体" w:eastAsia="宋体" w:cs="宋体"/>
          <w:color w:val="auto"/>
          <w:sz w:val="24"/>
          <w:szCs w:val="24"/>
          <w:highlight w:val="none"/>
          <w:lang w:eastAsia="zh-CN"/>
        </w:rPr>
        <w:t>、资格审查资料</w:t>
      </w:r>
    </w:p>
    <w:p w14:paraId="2A03A885">
      <w:pPr>
        <w:pStyle w:val="11"/>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五</w:t>
      </w:r>
      <w:r>
        <w:rPr>
          <w:rFonts w:hint="eastAsia" w:ascii="宋体" w:hAnsi="宋体" w:eastAsia="宋体" w:cs="宋体"/>
          <w:color w:val="auto"/>
          <w:sz w:val="24"/>
          <w:szCs w:val="24"/>
          <w:highlight w:val="none"/>
          <w:lang w:eastAsia="zh-CN"/>
        </w:rPr>
        <w:t>、资信业绩资料</w:t>
      </w:r>
    </w:p>
    <w:p w14:paraId="18FCC5BC">
      <w:pPr>
        <w:pStyle w:val="11"/>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技术方案资料</w:t>
      </w:r>
    </w:p>
    <w:p w14:paraId="617718A4">
      <w:pPr>
        <w:pStyle w:val="11"/>
        <w:numPr>
          <w:ilvl w:val="0"/>
          <w:numId w:val="0"/>
        </w:numPr>
        <w:shd w:val="clear"/>
        <w:kinsoku/>
        <w:overflowPunct w:val="0"/>
        <w:spacing w:before="36" w:line="472" w:lineRule="auto"/>
        <w:ind w:left="0" w:right="2650"/>
        <w:rPr>
          <w:rFonts w:hint="eastAsia" w:ascii="宋体" w:hAnsi="宋体" w:eastAsia="宋体" w:cs="宋体"/>
          <w:color w:val="auto"/>
          <w:sz w:val="24"/>
          <w:szCs w:val="24"/>
          <w:highlight w:val="none"/>
        </w:rPr>
      </w:pPr>
      <w:r>
        <w:rPr>
          <w:rFonts w:hint="eastAsia" w:cs="宋体"/>
          <w:color w:val="auto"/>
          <w:sz w:val="24"/>
          <w:szCs w:val="24"/>
          <w:highlight w:val="none"/>
          <w:lang w:eastAsia="zh-CN"/>
        </w:rPr>
        <w:t>七</w:t>
      </w:r>
      <w:r>
        <w:rPr>
          <w:rFonts w:hint="eastAsia" w:ascii="宋体" w:hAnsi="宋体" w:eastAsia="宋体" w:cs="宋体"/>
          <w:color w:val="auto"/>
          <w:sz w:val="24"/>
          <w:szCs w:val="24"/>
          <w:highlight w:val="none"/>
        </w:rPr>
        <w:t>、其他资料</w:t>
      </w:r>
    </w:p>
    <w:p w14:paraId="23F0A645">
      <w:pPr>
        <w:pStyle w:val="11"/>
        <w:shd w:val="clear"/>
        <w:kinsoku/>
        <w:overflowPunct w:val="0"/>
        <w:spacing w:before="61" w:line="472" w:lineRule="auto"/>
        <w:ind w:left="100" w:right="6220"/>
        <w:rPr>
          <w:rFonts w:hint="eastAsia" w:ascii="宋体" w:hAnsi="宋体" w:eastAsia="宋体" w:cs="宋体"/>
          <w:color w:val="auto"/>
          <w:sz w:val="24"/>
          <w:szCs w:val="24"/>
          <w:highlight w:val="none"/>
        </w:rPr>
        <w:sectPr>
          <w:pgSz w:w="11905" w:h="16838"/>
          <w:pgMar w:top="1417" w:right="1417" w:bottom="1417" w:left="1417" w:header="737" w:footer="737" w:gutter="0"/>
          <w:lnNumType w:countBy="0" w:distance="360"/>
          <w:pgNumType w:fmt="decimal"/>
          <w:cols w:space="720" w:num="1"/>
        </w:sectPr>
      </w:pPr>
    </w:p>
    <w:p w14:paraId="66CD02B9">
      <w:pPr>
        <w:pStyle w:val="4"/>
        <w:shd w:val="clear"/>
        <w:jc w:val="center"/>
        <w:outlineLvl w:val="1"/>
        <w:rPr>
          <w:rFonts w:hint="eastAsia" w:ascii="宋体" w:hAnsi="宋体" w:eastAsia="宋体" w:cs="宋体"/>
          <w:color w:val="auto"/>
          <w:sz w:val="28"/>
          <w:szCs w:val="24"/>
          <w:highlight w:val="none"/>
        </w:rPr>
      </w:pPr>
      <w:bookmarkStart w:id="135" w:name="bookmark176"/>
      <w:bookmarkEnd w:id="135"/>
      <w:bookmarkStart w:id="136" w:name="_Toc5383"/>
      <w:r>
        <w:rPr>
          <w:rFonts w:hint="eastAsia" w:ascii="宋体" w:hAnsi="宋体" w:eastAsia="宋体" w:cs="宋体"/>
          <w:color w:val="auto"/>
          <w:sz w:val="28"/>
          <w:szCs w:val="24"/>
          <w:highlight w:val="none"/>
        </w:rPr>
        <w:t>一、投标函及投标函附录</w:t>
      </w:r>
      <w:bookmarkEnd w:id="136"/>
    </w:p>
    <w:p w14:paraId="5DC88613">
      <w:pPr>
        <w:pStyle w:val="5"/>
        <w:shd w:val="clear"/>
        <w:outlineLvl w:val="2"/>
        <w:rPr>
          <w:rFonts w:hint="eastAsia" w:ascii="宋体" w:hAnsi="宋体" w:eastAsia="宋体" w:cs="宋体"/>
          <w:b/>
          <w:color w:val="auto"/>
          <w:sz w:val="28"/>
          <w:szCs w:val="24"/>
          <w:highlight w:val="none"/>
        </w:rPr>
      </w:pPr>
      <w:bookmarkStart w:id="137" w:name="bookmark177"/>
      <w:bookmarkEnd w:id="137"/>
      <w:bookmarkStart w:id="138" w:name="_Toc9570"/>
      <w:r>
        <w:rPr>
          <w:rFonts w:hint="eastAsia" w:ascii="宋体" w:hAnsi="宋体" w:eastAsia="宋体" w:cs="宋体"/>
          <w:b/>
          <w:color w:val="auto"/>
          <w:sz w:val="28"/>
          <w:szCs w:val="24"/>
          <w:highlight w:val="none"/>
        </w:rPr>
        <w:t>（一）投标函</w:t>
      </w:r>
      <w:bookmarkEnd w:id="138"/>
    </w:p>
    <w:p w14:paraId="5F341C1B">
      <w:pPr>
        <w:pStyle w:val="11"/>
        <w:shd w:val="clear"/>
        <w:kinsoku/>
        <w:overflowPunct w:val="0"/>
        <w:spacing w:before="1"/>
        <w:ind w:left="0"/>
        <w:rPr>
          <w:rFonts w:hint="eastAsia" w:ascii="宋体" w:hAnsi="宋体" w:eastAsia="宋体" w:cs="宋体"/>
          <w:color w:val="auto"/>
          <w:sz w:val="23"/>
          <w:szCs w:val="24"/>
          <w:highlight w:val="none"/>
        </w:rPr>
      </w:pPr>
    </w:p>
    <w:p w14:paraId="15BD772E">
      <w:pPr>
        <w:pStyle w:val="11"/>
        <w:shd w:val="clear"/>
        <w:tabs>
          <w:tab w:val="left" w:pos="1991"/>
        </w:tabs>
        <w:kinsoku/>
        <w:overflowPunct w:val="0"/>
        <w:ind w:left="100" w:right="113"/>
        <w:rPr>
          <w:rFonts w:hint="eastAsia" w:ascii="宋体" w:hAnsi="宋体" w:eastAsia="宋体" w:cs="宋体"/>
          <w:color w:val="auto"/>
          <w:spacing w:val="-15"/>
          <w:sz w:val="21"/>
          <w:szCs w:val="24"/>
          <w:highlight w:val="none"/>
        </w:rPr>
      </w:pP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rPr>
        <w:tab/>
      </w:r>
      <w:r>
        <w:rPr>
          <w:rFonts w:hint="eastAsia" w:ascii="宋体" w:hAnsi="宋体" w:eastAsia="宋体" w:cs="宋体"/>
          <w:color w:val="auto"/>
          <w:spacing w:val="-15"/>
          <w:sz w:val="21"/>
          <w:szCs w:val="24"/>
          <w:highlight w:val="none"/>
        </w:rPr>
        <w:t>（招标人名称）：</w:t>
      </w:r>
    </w:p>
    <w:p w14:paraId="71A2AF89">
      <w:pPr>
        <w:pStyle w:val="11"/>
        <w:shd w:val="clear"/>
        <w:kinsoku/>
        <w:overflowPunct w:val="0"/>
        <w:spacing w:before="13"/>
        <w:ind w:left="0"/>
        <w:rPr>
          <w:rFonts w:hint="eastAsia" w:ascii="宋体" w:hAnsi="宋体" w:eastAsia="宋体" w:cs="宋体"/>
          <w:color w:val="auto"/>
          <w:sz w:val="21"/>
          <w:szCs w:val="24"/>
          <w:highlight w:val="none"/>
        </w:rPr>
      </w:pPr>
    </w:p>
    <w:p w14:paraId="1522F8B3">
      <w:pPr>
        <w:shd w:val="clea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1．我方已仔细研究了</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u w:val="single"/>
          <w:lang w:val="en-US" w:eastAsia="zh-CN" w:bidi="ar-SA"/>
        </w:rPr>
        <w:t xml:space="preserve">（项目名称）  </w:t>
      </w:r>
      <w:r>
        <w:rPr>
          <w:rFonts w:hint="eastAsia" w:ascii="宋体" w:hAnsi="宋体" w:eastAsia="宋体" w:cs="宋体"/>
          <w:color w:val="auto"/>
          <w:kern w:val="2"/>
          <w:sz w:val="21"/>
          <w:szCs w:val="21"/>
          <w:highlight w:val="none"/>
          <w:lang w:val="en-US" w:eastAsia="zh-CN" w:bidi="ar-SA"/>
        </w:rPr>
        <w:t xml:space="preserve"> 招标项目招标文件的全部内容， 愿意以</w:t>
      </w:r>
      <w:r>
        <w:rPr>
          <w:rFonts w:hint="eastAsia" w:ascii="宋体" w:hAnsi="宋体"/>
          <w:color w:val="auto"/>
          <w:sz w:val="21"/>
          <w:szCs w:val="21"/>
        </w:rPr>
        <w:t>《投标函附录》中的投标总报价和</w:t>
      </w:r>
      <w:r>
        <w:rPr>
          <w:rFonts w:hint="eastAsia" w:ascii="宋体" w:hAnsi="宋体"/>
          <w:color w:val="auto"/>
          <w:sz w:val="21"/>
          <w:szCs w:val="21"/>
          <w:lang w:eastAsia="zh-CN"/>
        </w:rPr>
        <w:t>检</w:t>
      </w:r>
      <w:r>
        <w:rPr>
          <w:rFonts w:hint="eastAsia" w:ascii="宋体" w:hAnsi="宋体"/>
          <w:color w:val="auto"/>
          <w:sz w:val="21"/>
          <w:szCs w:val="21"/>
          <w:lang w:val="en-US" w:eastAsia="zh-CN"/>
        </w:rPr>
        <w:t>验</w:t>
      </w:r>
      <w:r>
        <w:rPr>
          <w:rFonts w:hint="eastAsia" w:ascii="宋体" w:hAnsi="宋体"/>
          <w:color w:val="auto"/>
          <w:sz w:val="21"/>
          <w:szCs w:val="21"/>
          <w:lang w:eastAsia="zh-CN"/>
        </w:rPr>
        <w:t>监测</w:t>
      </w:r>
      <w:r>
        <w:rPr>
          <w:rFonts w:hint="eastAsia" w:ascii="宋体" w:hAnsi="宋体"/>
          <w:color w:val="auto"/>
          <w:sz w:val="21"/>
          <w:szCs w:val="21"/>
        </w:rPr>
        <w:t>服务期限</w:t>
      </w:r>
      <w:r>
        <w:rPr>
          <w:rFonts w:hint="eastAsia" w:ascii="宋体" w:hAnsi="宋体" w:eastAsia="宋体" w:cs="宋体"/>
          <w:color w:val="auto"/>
          <w:kern w:val="2"/>
          <w:sz w:val="21"/>
          <w:szCs w:val="21"/>
          <w:highlight w:val="none"/>
          <w:lang w:val="en-US" w:eastAsia="zh-CN" w:bidi="ar-SA"/>
        </w:rPr>
        <w:t>，按合同约定完成</w:t>
      </w:r>
      <w:r>
        <w:rPr>
          <w:rFonts w:hint="eastAsia" w:ascii="宋体" w:hAnsi="宋体" w:cs="宋体"/>
          <w:color w:val="auto"/>
          <w:kern w:val="2"/>
          <w:sz w:val="21"/>
          <w:szCs w:val="21"/>
          <w:highlight w:val="none"/>
          <w:lang w:val="en-US" w:eastAsia="zh-CN" w:bidi="ar-SA"/>
        </w:rPr>
        <w:t>检验监测</w:t>
      </w:r>
      <w:r>
        <w:rPr>
          <w:rFonts w:hint="eastAsia" w:ascii="宋体" w:hAnsi="宋体" w:eastAsia="宋体" w:cs="宋体"/>
          <w:color w:val="auto"/>
          <w:kern w:val="2"/>
          <w:sz w:val="21"/>
          <w:szCs w:val="21"/>
          <w:highlight w:val="none"/>
          <w:lang w:val="en-US" w:eastAsia="zh-CN" w:bidi="ar-SA"/>
        </w:rPr>
        <w:t>工作。</w:t>
      </w:r>
    </w:p>
    <w:p w14:paraId="45FF537F">
      <w:pPr>
        <w:shd w:val="clea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我方的投标文件包括下列内容：</w:t>
      </w:r>
    </w:p>
    <w:p w14:paraId="7AB59EC3">
      <w:pPr>
        <w:pStyle w:val="23"/>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（1）投标函及投标函附录；</w:t>
      </w:r>
    </w:p>
    <w:p w14:paraId="073E366F">
      <w:pPr>
        <w:pStyle w:val="23"/>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（2）法定代表人身份证明或附有法定代表人身份证明的授权委托书；</w:t>
      </w:r>
    </w:p>
    <w:p w14:paraId="6DC34A82">
      <w:pPr>
        <w:pStyle w:val="23"/>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（3）资格审查资料；</w:t>
      </w:r>
    </w:p>
    <w:p w14:paraId="05EFF059">
      <w:pPr>
        <w:pStyle w:val="23"/>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（4）资信业绩资料；</w:t>
      </w:r>
    </w:p>
    <w:p w14:paraId="19578FED">
      <w:pPr>
        <w:pStyle w:val="23"/>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（5）技术方案资料；</w:t>
      </w:r>
    </w:p>
    <w:p w14:paraId="4F790847">
      <w:pPr>
        <w:pStyle w:val="23"/>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（6）其他资料。</w:t>
      </w:r>
    </w:p>
    <w:p w14:paraId="73425022">
      <w:pPr>
        <w:pStyle w:val="11"/>
        <w:shd w:val="clear"/>
        <w:kinsoku/>
        <w:overflowPunct w:val="0"/>
        <w:spacing w:line="360" w:lineRule="auto"/>
        <w:ind w:left="522" w:right="2132" w:hanging="17"/>
        <w:rPr>
          <w:rFonts w:hint="eastAsia" w:ascii="宋体" w:hAnsi="宋体" w:eastAsia="宋体" w:cs="宋体"/>
          <w:color w:val="auto"/>
          <w:spacing w:val="-2"/>
          <w:sz w:val="21"/>
          <w:szCs w:val="24"/>
          <w:highlight w:val="none"/>
        </w:rPr>
      </w:pPr>
      <w:r>
        <w:rPr>
          <w:rFonts w:hint="eastAsia" w:ascii="宋体" w:hAnsi="宋体" w:eastAsia="宋体" w:cs="宋体"/>
          <w:color w:val="auto"/>
          <w:spacing w:val="-2"/>
          <w:sz w:val="21"/>
          <w:szCs w:val="24"/>
          <w:highlight w:val="none"/>
        </w:rPr>
        <w:t>投标文件的上述组成部分如存在内容不一致的，以投标函为准。</w:t>
      </w:r>
    </w:p>
    <w:p w14:paraId="49A7C9C5">
      <w:pPr>
        <w:shd w:val="clea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3．我方承诺在招标文件规定的投标有效期内不撤销投标文件。</w:t>
      </w:r>
    </w:p>
    <w:p w14:paraId="26F1123C">
      <w:pPr>
        <w:shd w:val="clea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4．如我方中标，我方承诺：</w:t>
      </w:r>
    </w:p>
    <w:p w14:paraId="46397823">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（1）在收到中标通知书后，在中标通知书规定的期限内与你方签订合同；</w:t>
      </w:r>
    </w:p>
    <w:p w14:paraId="04AEA4D8">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（2）在签订合同时不向你方提出附加条件；</w:t>
      </w:r>
    </w:p>
    <w:p w14:paraId="4984F0C0">
      <w:pPr>
        <w:shd w:val="clear"/>
        <w:autoSpaceDE/>
        <w:autoSpaceDN/>
        <w:adjustRightInd/>
        <w:spacing w:line="360" w:lineRule="auto"/>
        <w:ind w:left="585" w:leftChars="200" w:hanging="105" w:hangingChars="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（3）在合同约定的期限内完成合同规定的全部义务。</w:t>
      </w:r>
    </w:p>
    <w:p w14:paraId="02F0E33B">
      <w:pPr>
        <w:shd w:val="clea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5．我方在此声明，所递交的投标文件及有关资料内容完整、真实和准确，且不存在第二章 “投标人须知”第 1.4.3 项规定的任何一种情形。</w:t>
      </w:r>
    </w:p>
    <w:p w14:paraId="3DE46B5A">
      <w:pPr>
        <w:shd w:val="clea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u w:val="none"/>
          <w:lang w:val="en-US" w:eastAsia="zh-CN" w:bidi="ar-SA"/>
        </w:rPr>
        <w:t>6.</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（其他补充说明）。</w:t>
      </w:r>
    </w:p>
    <w:p w14:paraId="5F0D1643">
      <w:pPr>
        <w:pStyle w:val="11"/>
        <w:shd w:val="clear"/>
        <w:tabs>
          <w:tab w:val="left" w:pos="7241"/>
        </w:tabs>
        <w:kinsoku/>
        <w:overflowPunct w:val="0"/>
        <w:spacing w:before="36" w:line="360" w:lineRule="auto"/>
        <w:ind w:left="2621" w:right="113" w:firstLine="1260" w:firstLineChars="6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投 标</w:t>
      </w:r>
      <w:r>
        <w:rPr>
          <w:rFonts w:hint="eastAsia" w:ascii="宋体" w:hAnsi="宋体" w:eastAsia="宋体" w:cs="宋体"/>
          <w:color w:val="auto"/>
          <w:spacing w:val="-1"/>
          <w:sz w:val="21"/>
          <w:szCs w:val="24"/>
          <w:highlight w:val="none"/>
        </w:rPr>
        <w:t xml:space="preserve"> </w:t>
      </w:r>
      <w:r>
        <w:rPr>
          <w:rFonts w:hint="eastAsia" w:ascii="宋体" w:hAnsi="宋体" w:eastAsia="宋体" w:cs="宋体"/>
          <w:color w:val="auto"/>
          <w:sz w:val="21"/>
          <w:szCs w:val="24"/>
          <w:highlight w:val="none"/>
        </w:rPr>
        <w:t>人：</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rPr>
        <w:t>（盖单位章）</w:t>
      </w:r>
    </w:p>
    <w:p w14:paraId="21E03A45">
      <w:pPr>
        <w:widowControl/>
        <w:shd w:val="clear"/>
        <w:kinsoku/>
        <w:snapToGrid w:val="0"/>
        <w:spacing w:line="360" w:lineRule="auto"/>
        <w:ind w:left="3840" w:leftChars="1600" w:right="253"/>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8"/>
          <w:sz w:val="21"/>
          <w:szCs w:val="21"/>
          <w:highlight w:val="none"/>
        </w:rPr>
        <w:t>法定</w:t>
      </w:r>
      <w:r>
        <w:rPr>
          <w:rFonts w:hint="eastAsia" w:ascii="宋体" w:hAnsi="宋体" w:eastAsia="宋体" w:cs="宋体"/>
          <w:color w:val="auto"/>
          <w:spacing w:val="-4"/>
          <w:sz w:val="21"/>
          <w:szCs w:val="21"/>
          <w:highlight w:val="none"/>
        </w:rPr>
        <w:t>代表人</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14:paraId="440D07FE">
      <w:pPr>
        <w:widowControl/>
        <w:shd w:val="clear"/>
        <w:kinsoku/>
        <w:snapToGrid w:val="0"/>
        <w:spacing w:line="360" w:lineRule="auto"/>
        <w:ind w:left="3840" w:leftChars="1600" w:right="253"/>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14:paraId="7D578F91">
      <w:pPr>
        <w:pStyle w:val="11"/>
        <w:shd w:val="clear"/>
        <w:tabs>
          <w:tab w:val="left" w:pos="3232"/>
          <w:tab w:val="left" w:pos="8529"/>
        </w:tabs>
        <w:kinsoku/>
        <w:overflowPunct w:val="0"/>
        <w:spacing w:before="36" w:line="360" w:lineRule="auto"/>
        <w:ind w:left="2601" w:firstLine="1260" w:firstLineChars="60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地</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址：</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 xml:space="preserve">                                                  </w:t>
      </w:r>
    </w:p>
    <w:p w14:paraId="267B75D9">
      <w:pPr>
        <w:pStyle w:val="11"/>
        <w:shd w:val="clear"/>
        <w:tabs>
          <w:tab w:val="left" w:pos="3232"/>
          <w:tab w:val="left" w:pos="8529"/>
        </w:tabs>
        <w:kinsoku/>
        <w:overflowPunct w:val="0"/>
        <w:spacing w:before="36" w:line="360" w:lineRule="auto"/>
        <w:ind w:firstLine="3360" w:firstLineChars="1600"/>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网</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址：</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 xml:space="preserve">                                                   </w:t>
      </w:r>
    </w:p>
    <w:p w14:paraId="42015F31">
      <w:pPr>
        <w:pStyle w:val="11"/>
        <w:shd w:val="clear"/>
        <w:tabs>
          <w:tab w:val="left" w:pos="3232"/>
          <w:tab w:val="left" w:pos="8529"/>
        </w:tabs>
        <w:kinsoku/>
        <w:overflowPunct w:val="0"/>
        <w:spacing w:before="36" w:line="360" w:lineRule="auto"/>
        <w:ind w:firstLine="3360" w:firstLineChars="1600"/>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rPr>
        <w:t>电</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话：</w:t>
      </w:r>
      <w:r>
        <w:rPr>
          <w:rFonts w:hint="eastAsia" w:ascii="宋体" w:hAnsi="宋体" w:eastAsia="宋体" w:cs="宋体"/>
          <w:color w:val="auto"/>
          <w:sz w:val="21"/>
          <w:szCs w:val="24"/>
          <w:highlight w:val="none"/>
          <w:u w:val="single"/>
          <w:lang w:val="en-US" w:eastAsia="zh-CN"/>
        </w:rPr>
        <w:t xml:space="preserve">                    </w:t>
      </w:r>
      <w:r>
        <w:rPr>
          <w:rFonts w:hint="eastAsia"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val="en-US" w:eastAsia="zh-CN"/>
        </w:rPr>
        <w:t xml:space="preserve">      </w:t>
      </w:r>
    </w:p>
    <w:p w14:paraId="319364D5">
      <w:pPr>
        <w:pStyle w:val="11"/>
        <w:shd w:val="clear"/>
        <w:tabs>
          <w:tab w:val="left" w:pos="3232"/>
          <w:tab w:val="left" w:pos="8529"/>
        </w:tabs>
        <w:kinsoku/>
        <w:overflowPunct w:val="0"/>
        <w:spacing w:before="36" w:line="360" w:lineRule="auto"/>
        <w:ind w:firstLine="3360" w:firstLineChars="1600"/>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rPr>
        <w:t>传</w:t>
      </w: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真：</w:t>
      </w:r>
      <w:r>
        <w:rPr>
          <w:rFonts w:hint="eastAsia" w:ascii="宋体" w:hAnsi="宋体" w:eastAsia="宋体" w:cs="宋体"/>
          <w:color w:val="auto"/>
          <w:sz w:val="21"/>
          <w:szCs w:val="24"/>
          <w:highlight w:val="none"/>
          <w:u w:val="single"/>
          <w:lang w:val="en-US" w:eastAsia="zh-CN"/>
        </w:rPr>
        <w:t xml:space="preserve">                        </w:t>
      </w:r>
      <w:r>
        <w:rPr>
          <w:rFonts w:hint="eastAsia"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val="en-US" w:eastAsia="zh-CN"/>
        </w:rPr>
        <w:t xml:space="preserve">  </w:t>
      </w:r>
    </w:p>
    <w:p w14:paraId="0506060C">
      <w:pPr>
        <w:pStyle w:val="11"/>
        <w:shd w:val="clear"/>
        <w:tabs>
          <w:tab w:val="left" w:pos="8529"/>
        </w:tabs>
        <w:kinsoku/>
        <w:overflowPunct w:val="0"/>
        <w:spacing w:before="36" w:line="360" w:lineRule="auto"/>
        <w:ind w:left="2601" w:firstLine="1260" w:firstLineChars="600"/>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rPr>
        <w:t>邮政编码：</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 xml:space="preserve">                                                   </w:t>
      </w:r>
    </w:p>
    <w:p w14:paraId="3D1D42F5">
      <w:pPr>
        <w:pStyle w:val="11"/>
        <w:shd w:val="clear"/>
        <w:tabs>
          <w:tab w:val="left" w:pos="8529"/>
        </w:tabs>
        <w:kinsoku/>
        <w:overflowPunct w:val="0"/>
        <w:spacing w:before="36" w:line="360" w:lineRule="auto"/>
        <w:ind w:left="2601"/>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lang w:val="en-US" w:eastAsia="zh-CN"/>
        </w:rPr>
        <w:t>年</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lang w:val="en-US" w:eastAsia="zh-CN"/>
        </w:rPr>
        <w:t>月</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lang w:val="en-US" w:eastAsia="zh-CN"/>
        </w:rPr>
        <w:t>日</w:t>
      </w:r>
    </w:p>
    <w:p w14:paraId="44AA7A32">
      <w:pPr>
        <w:pStyle w:val="11"/>
        <w:shd w:val="clear"/>
        <w:tabs>
          <w:tab w:val="left" w:pos="631"/>
          <w:tab w:val="left" w:pos="1471"/>
          <w:tab w:val="left" w:pos="2311"/>
        </w:tabs>
        <w:kinsoku/>
        <w:overflowPunct w:val="0"/>
        <w:spacing w:before="36" w:line="360" w:lineRule="auto"/>
        <w:ind w:left="0" w:right="117"/>
        <w:jc w:val="right"/>
        <w:rPr>
          <w:rFonts w:hint="eastAsia" w:ascii="宋体" w:hAnsi="宋体" w:eastAsia="宋体" w:cs="宋体"/>
          <w:color w:val="auto"/>
          <w:sz w:val="21"/>
          <w:szCs w:val="24"/>
          <w:highlight w:val="none"/>
        </w:rPr>
        <w:sectPr>
          <w:pgSz w:w="11905" w:h="16838"/>
          <w:pgMar w:top="1417" w:right="1417" w:bottom="1417" w:left="1417" w:header="737" w:footer="737" w:gutter="0"/>
          <w:lnNumType w:countBy="0" w:distance="360"/>
          <w:pgNumType w:fmt="decimal"/>
          <w:cols w:space="720" w:num="1"/>
        </w:sectPr>
      </w:pPr>
    </w:p>
    <w:p w14:paraId="118AD80F">
      <w:pPr>
        <w:pStyle w:val="5"/>
        <w:shd w:val="clear"/>
        <w:outlineLvl w:val="2"/>
        <w:rPr>
          <w:rFonts w:hint="eastAsia" w:ascii="宋体" w:hAnsi="宋体" w:eastAsia="宋体" w:cs="宋体"/>
          <w:b/>
          <w:color w:val="auto"/>
          <w:sz w:val="28"/>
          <w:szCs w:val="24"/>
          <w:highlight w:val="none"/>
        </w:rPr>
      </w:pPr>
      <w:bookmarkStart w:id="139" w:name="bookmark178"/>
      <w:bookmarkEnd w:id="139"/>
      <w:bookmarkStart w:id="140" w:name="_Toc8767"/>
      <w:r>
        <w:rPr>
          <w:rFonts w:hint="eastAsia" w:ascii="宋体" w:hAnsi="宋体" w:eastAsia="宋体" w:cs="宋体"/>
          <w:b/>
          <w:color w:val="auto"/>
          <w:sz w:val="28"/>
          <w:szCs w:val="24"/>
          <w:highlight w:val="none"/>
        </w:rPr>
        <w:t>（二）投标函附录</w:t>
      </w:r>
      <w:bookmarkEnd w:id="140"/>
    </w:p>
    <w:p w14:paraId="7ABBFA8A">
      <w:pPr>
        <w:pStyle w:val="11"/>
        <w:shd w:val="clear"/>
        <w:kinsoku/>
        <w:overflowPunct w:val="0"/>
        <w:ind w:left="0"/>
        <w:rPr>
          <w:rFonts w:hint="eastAsia" w:ascii="宋体" w:hAnsi="宋体" w:eastAsia="宋体" w:cs="宋体"/>
          <w:color w:val="auto"/>
          <w:sz w:val="20"/>
          <w:szCs w:val="24"/>
          <w:highlight w:val="none"/>
        </w:rPr>
      </w:pPr>
    </w:p>
    <w:p w14:paraId="11FAF9B7">
      <w:pPr>
        <w:pStyle w:val="11"/>
        <w:shd w:val="clear"/>
        <w:kinsoku/>
        <w:overflowPunct w:val="0"/>
        <w:spacing w:before="11"/>
        <w:ind w:left="0"/>
        <w:rPr>
          <w:rFonts w:hint="eastAsia" w:ascii="宋体" w:hAnsi="宋体" w:eastAsia="宋体" w:cs="宋体"/>
          <w:color w:val="auto"/>
          <w:sz w:val="22"/>
          <w:szCs w:val="24"/>
          <w:highlight w:val="none"/>
        </w:rPr>
      </w:pPr>
    </w:p>
    <w:tbl>
      <w:tblPr>
        <w:tblStyle w:val="24"/>
        <w:tblW w:w="9033"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28"/>
        <w:gridCol w:w="5505"/>
      </w:tblGrid>
      <w:tr w14:paraId="373C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30665">
            <w:pPr>
              <w:pStyle w:val="35"/>
              <w:kinsoku w:val="0"/>
              <w:overflowPunct w:val="0"/>
              <w:spacing w:before="26"/>
              <w:jc w:val="center"/>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项目名称</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5F3E5">
            <w:pPr>
              <w:pStyle w:val="35"/>
              <w:kinsoku w:val="0"/>
              <w:overflowPunct w:val="0"/>
              <w:spacing w:before="26"/>
              <w:jc w:val="center"/>
              <w:rPr>
                <w:rFonts w:hint="eastAsia" w:ascii="宋体" w:hAnsi="宋体" w:eastAsia="宋体" w:cs="宋体"/>
                <w:b/>
                <w:color w:val="auto"/>
                <w:sz w:val="21"/>
                <w:szCs w:val="21"/>
                <w:highlight w:val="none"/>
              </w:rPr>
            </w:pPr>
          </w:p>
        </w:tc>
      </w:tr>
      <w:tr w14:paraId="693A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3528" w:type="dxa"/>
            <w:vMerge w:val="restart"/>
            <w:tcBorders>
              <w:top w:val="single" w:color="000000" w:sz="4" w:space="0"/>
              <w:left w:val="single" w:color="000000" w:sz="4" w:space="0"/>
              <w:right w:val="single" w:color="000000" w:sz="4" w:space="0"/>
              <w:tl2br w:val="nil"/>
              <w:tr2bl w:val="nil"/>
            </w:tcBorders>
            <w:noWrap w:val="0"/>
            <w:vAlign w:val="center"/>
          </w:tcPr>
          <w:p w14:paraId="655F0C7F">
            <w:pPr>
              <w:pStyle w:val="35"/>
              <w:kinsoku w:val="0"/>
              <w:overflowPunct w:val="0"/>
              <w:spacing w:before="26"/>
              <w:jc w:val="center"/>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投标总报价（元）</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D464C">
            <w:pPr>
              <w:pStyle w:val="35"/>
              <w:kinsoku w:val="0"/>
              <w:overflowPunct w:val="0"/>
              <w:spacing w:before="26"/>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人民币：（小写）</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元。</w:t>
            </w:r>
          </w:p>
          <w:p w14:paraId="351B65CE">
            <w:pPr>
              <w:pStyle w:val="35"/>
              <w:kinsoku w:val="0"/>
              <w:overflowPunct w:val="0"/>
              <w:spacing w:before="26"/>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highlight w:val="none"/>
              </w:rPr>
              <w:t>人民币：（大写）</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w:t>
            </w:r>
          </w:p>
        </w:tc>
      </w:tr>
      <w:tr w14:paraId="06C2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3528" w:type="dxa"/>
            <w:vMerge w:val="continue"/>
            <w:tcBorders>
              <w:left w:val="single" w:color="000000" w:sz="4" w:space="0"/>
              <w:bottom w:val="single" w:color="000000" w:sz="4" w:space="0"/>
              <w:right w:val="single" w:color="000000" w:sz="4" w:space="0"/>
              <w:tl2br w:val="nil"/>
              <w:tr2bl w:val="nil"/>
            </w:tcBorders>
            <w:noWrap w:val="0"/>
            <w:vAlign w:val="center"/>
          </w:tcPr>
          <w:p w14:paraId="76CDD8C3">
            <w:pPr>
              <w:pStyle w:val="35"/>
              <w:kinsoku w:val="0"/>
              <w:overflowPunct w:val="0"/>
              <w:spacing w:before="26"/>
              <w:jc w:val="left"/>
            </w:pP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B53F2">
            <w:pPr>
              <w:pStyle w:val="35"/>
              <w:kinsoku w:val="0"/>
              <w:overflowPunct w:val="0"/>
              <w:spacing w:before="26"/>
              <w:jc w:val="left"/>
              <w:rPr>
                <w:rFonts w:hint="eastAsia" w:ascii="宋体" w:hAnsi="宋体" w:eastAsia="宋体" w:cs="宋体"/>
                <w:b w:val="0"/>
                <w:bCs/>
                <w:color w:val="auto"/>
                <w:sz w:val="21"/>
                <w:szCs w:val="21"/>
                <w:highlight w:val="none"/>
              </w:rPr>
            </w:pPr>
            <w:r>
              <w:rPr>
                <w:rFonts w:hint="eastAsia" w:ascii="宋体" w:hAnsi="宋体" w:cs="宋体"/>
                <w:bCs/>
                <w:sz w:val="24"/>
                <w:szCs w:val="24"/>
              </w:rPr>
              <w:t>投标下浮率：</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p>
        </w:tc>
      </w:tr>
      <w:tr w14:paraId="310E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47DB6">
            <w:pPr>
              <w:pStyle w:val="35"/>
              <w:kinsoku w:val="0"/>
              <w:overflowPunct w:val="0"/>
              <w:spacing w:before="107"/>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项目负责人</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FB40B">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p>
          <w:p w14:paraId="6CD7EA4E">
            <w:pPr>
              <w:spacing w:line="360" w:lineRule="auto"/>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技术职称：</w:t>
            </w:r>
            <w:r>
              <w:rPr>
                <w:rFonts w:hint="eastAsia" w:ascii="宋体" w:hAnsi="宋体" w:eastAsia="宋体" w:cs="宋体"/>
                <w:color w:val="auto"/>
                <w:sz w:val="21"/>
                <w:szCs w:val="21"/>
                <w:highlight w:val="none"/>
                <w:u w:val="single"/>
              </w:rPr>
              <w:t xml:space="preserve">                    </w:t>
            </w:r>
          </w:p>
        </w:tc>
      </w:tr>
      <w:tr w14:paraId="639F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5402A">
            <w:pPr>
              <w:pStyle w:val="35"/>
              <w:kinsoku w:val="0"/>
              <w:overflowPunct w:val="0"/>
              <w:spacing w:before="107"/>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检验监测</w:t>
            </w:r>
            <w:r>
              <w:rPr>
                <w:rFonts w:hint="eastAsia" w:ascii="宋体" w:hAnsi="宋体" w:eastAsia="宋体" w:cs="宋体"/>
                <w:color w:val="auto"/>
                <w:sz w:val="21"/>
                <w:szCs w:val="21"/>
                <w:highlight w:val="none"/>
              </w:rPr>
              <w:t>服务期限</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6876E">
            <w:pPr>
              <w:pStyle w:val="35"/>
              <w:kinsoku w:val="0"/>
              <w:overflowPunct w:val="0"/>
              <w:spacing w:before="107"/>
              <w:ind w:lef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按招标文件要求</w:t>
            </w:r>
          </w:p>
        </w:tc>
      </w:tr>
      <w:tr w14:paraId="71B2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8D45E">
            <w:pPr>
              <w:pStyle w:val="35"/>
              <w:kinsoku w:val="0"/>
              <w:overflowPunct w:val="0"/>
              <w:spacing w:before="10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质量标准</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71A90">
            <w:pPr>
              <w:pStyle w:val="35"/>
              <w:kinsoku w:val="0"/>
              <w:overflowPunct w:val="0"/>
              <w:spacing w:before="107"/>
              <w:ind w:lef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按招标文件要求</w:t>
            </w:r>
          </w:p>
        </w:tc>
      </w:tr>
      <w:tr w14:paraId="712A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6D784">
            <w:pPr>
              <w:pStyle w:val="35"/>
              <w:kinsoku w:val="0"/>
              <w:overflowPunct w:val="0"/>
              <w:spacing w:before="107"/>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投标内容</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BCE47">
            <w:pPr>
              <w:pStyle w:val="35"/>
              <w:kinsoku w:val="0"/>
              <w:overflowPunct w:val="0"/>
              <w:spacing w:before="95"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按招标文件要求</w:t>
            </w:r>
          </w:p>
        </w:tc>
      </w:tr>
      <w:tr w14:paraId="58DC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78AC5">
            <w:pPr>
              <w:spacing w:line="4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投标有效期</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8AA30">
            <w:pPr>
              <w:spacing w:line="4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按招标文件要求</w:t>
            </w:r>
          </w:p>
        </w:tc>
      </w:tr>
    </w:tbl>
    <w:p w14:paraId="6FA42A27">
      <w:pPr>
        <w:widowControl/>
        <w:autoSpaceDE/>
        <w:autoSpaceDN/>
        <w:adjustRightInd/>
        <w:spacing w:line="342" w:lineRule="exact"/>
        <w:ind w:firstLine="480"/>
        <w:jc w:val="left"/>
        <w:rPr>
          <w:rFonts w:hint="eastAsia" w:ascii="宋体" w:hAnsi="宋体"/>
          <w:color w:val="auto"/>
          <w:sz w:val="21"/>
          <w:szCs w:val="21"/>
        </w:rPr>
      </w:pPr>
      <w:r>
        <w:rPr>
          <w:rFonts w:hint="eastAsia" w:ascii="宋体" w:hAnsi="宋体"/>
          <w:color w:val="auto"/>
          <w:sz w:val="21"/>
          <w:szCs w:val="21"/>
        </w:rPr>
        <w:t>注：1.投标总报价以人民币元为单位，精确到小数点后2位；</w:t>
      </w:r>
    </w:p>
    <w:p w14:paraId="2301B76F">
      <w:pPr>
        <w:adjustRightInd/>
        <w:spacing w:after="0" w:line="342" w:lineRule="exact"/>
        <w:ind w:left="0" w:leftChars="0" w:firstLine="840" w:firstLineChars="400"/>
        <w:textAlignment w:val="auto"/>
        <w:rPr>
          <w:rFonts w:hint="eastAsia" w:ascii="宋体" w:hAnsi="宋体" w:eastAsia="宋体" w:cs="宋体"/>
          <w:color w:val="auto"/>
          <w:sz w:val="21"/>
          <w:szCs w:val="21"/>
          <w:highlight w:val="none"/>
          <w:lang w:val="en-US" w:eastAsia="zh-CN" w:bidi="ar-SA"/>
        </w:rPr>
      </w:pPr>
      <w:r>
        <w:rPr>
          <w:rFonts w:hint="eastAsia" w:ascii="宋体" w:hAnsi="宋体"/>
          <w:color w:val="auto"/>
          <w:sz w:val="21"/>
          <w:szCs w:val="21"/>
        </w:rPr>
        <w:t>2.下浮率以百分比为单位，精确到小数点后2位，如X.XX%</w:t>
      </w:r>
      <w:r>
        <w:rPr>
          <w:rFonts w:hint="eastAsia" w:ascii="宋体" w:hAnsi="宋体"/>
          <w:color w:val="auto"/>
          <w:sz w:val="21"/>
          <w:szCs w:val="21"/>
          <w:lang w:eastAsia="zh-CN"/>
        </w:rPr>
        <w:t>。</w:t>
      </w:r>
    </w:p>
    <w:p w14:paraId="4ED93168">
      <w:pPr>
        <w:spacing w:line="360" w:lineRule="auto"/>
        <w:jc w:val="right"/>
        <w:rPr>
          <w:rFonts w:hint="eastAsia" w:ascii="宋体" w:hAnsi="宋体" w:eastAsia="宋体" w:cs="宋体"/>
          <w:color w:val="auto"/>
          <w:highlight w:val="none"/>
          <w:lang w:val="en-US" w:eastAsia="zh-CN"/>
        </w:rPr>
      </w:pPr>
    </w:p>
    <w:p w14:paraId="067BD6A3">
      <w:pPr>
        <w:spacing w:line="360" w:lineRule="auto"/>
        <w:jc w:val="right"/>
        <w:rPr>
          <w:rFonts w:hint="eastAsia" w:ascii="宋体" w:hAnsi="宋体" w:eastAsia="宋体" w:cs="宋体"/>
          <w:color w:val="auto"/>
          <w:sz w:val="21"/>
          <w:szCs w:val="21"/>
          <w:highlight w:val="none"/>
          <w:lang w:val="en-US" w:eastAsia="zh-CN"/>
        </w:rPr>
      </w:pPr>
    </w:p>
    <w:p w14:paraId="1BB72BA6">
      <w:pPr>
        <w:spacing w:line="360" w:lineRule="auto"/>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(盖</w:t>
      </w:r>
      <w:r>
        <w:rPr>
          <w:rFonts w:hint="eastAsia" w:ascii="宋体" w:hAnsi="宋体" w:cs="宋体"/>
          <w:color w:val="auto"/>
          <w:sz w:val="21"/>
          <w:szCs w:val="21"/>
          <w:highlight w:val="none"/>
          <w:lang w:val="en-US" w:eastAsia="zh-CN"/>
        </w:rPr>
        <w:t>单位</w:t>
      </w:r>
      <w:r>
        <w:rPr>
          <w:rFonts w:hint="eastAsia" w:ascii="宋体" w:hAnsi="宋体" w:eastAsia="宋体" w:cs="宋体"/>
          <w:color w:val="auto"/>
          <w:sz w:val="21"/>
          <w:szCs w:val="21"/>
          <w:highlight w:val="none"/>
          <w:lang w:val="en-US" w:eastAsia="zh-CN"/>
        </w:rPr>
        <w:t>章)</w:t>
      </w:r>
    </w:p>
    <w:p w14:paraId="1B6EBC57">
      <w:pPr>
        <w:spacing w:line="360" w:lineRule="auto"/>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法定代表人或授权委托代理人: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（签字或签章)</w:t>
      </w:r>
    </w:p>
    <w:p w14:paraId="70E325D2">
      <w:pPr>
        <w:spacing w:line="360" w:lineRule="auto"/>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21ECBC67">
      <w:pPr>
        <w:pStyle w:val="11"/>
        <w:shd w:val="clear"/>
        <w:tabs>
          <w:tab w:val="left" w:pos="631"/>
          <w:tab w:val="left" w:pos="1471"/>
          <w:tab w:val="left" w:pos="2311"/>
        </w:tabs>
        <w:kinsoku/>
        <w:overflowPunct w:val="0"/>
        <w:spacing w:before="36"/>
        <w:ind w:left="0" w:right="177"/>
        <w:jc w:val="both"/>
        <w:rPr>
          <w:rFonts w:hint="eastAsia" w:ascii="宋体" w:hAnsi="宋体" w:eastAsia="宋体" w:cs="宋体"/>
          <w:color w:val="auto"/>
          <w:sz w:val="21"/>
          <w:szCs w:val="24"/>
          <w:highlight w:val="none"/>
        </w:rPr>
        <w:sectPr>
          <w:pgSz w:w="11905" w:h="16838"/>
          <w:pgMar w:top="1417" w:right="1417" w:bottom="1417" w:left="1417" w:header="737" w:footer="737" w:gutter="0"/>
          <w:lnNumType w:countBy="0" w:distance="360"/>
          <w:pgNumType w:fmt="decimal"/>
          <w:cols w:space="720" w:num="1"/>
        </w:sectPr>
      </w:pPr>
    </w:p>
    <w:p w14:paraId="2DD289DE">
      <w:pPr>
        <w:pStyle w:val="4"/>
        <w:shd w:val="clear"/>
        <w:jc w:val="center"/>
        <w:outlineLvl w:val="1"/>
        <w:rPr>
          <w:rFonts w:hint="eastAsia" w:ascii="宋体" w:hAnsi="宋体" w:eastAsia="宋体" w:cs="宋体"/>
          <w:color w:val="auto"/>
          <w:sz w:val="28"/>
          <w:szCs w:val="24"/>
          <w:highlight w:val="none"/>
        </w:rPr>
      </w:pPr>
      <w:bookmarkStart w:id="141" w:name="bookmark179"/>
      <w:bookmarkEnd w:id="141"/>
      <w:bookmarkStart w:id="142" w:name="_Toc2313"/>
      <w:r>
        <w:rPr>
          <w:rFonts w:hint="eastAsia" w:ascii="宋体" w:hAnsi="宋体" w:eastAsia="宋体" w:cs="宋体"/>
          <w:color w:val="auto"/>
          <w:sz w:val="28"/>
          <w:szCs w:val="24"/>
          <w:highlight w:val="none"/>
        </w:rPr>
        <w:t>二、法定代表人身份证明</w:t>
      </w:r>
      <w:bookmarkEnd w:id="142"/>
    </w:p>
    <w:p w14:paraId="75B8B3D0">
      <w:pPr>
        <w:pStyle w:val="11"/>
        <w:shd w:val="clear"/>
        <w:kinsoku/>
        <w:overflowPunct w:val="0"/>
        <w:ind w:left="0"/>
        <w:rPr>
          <w:rFonts w:hint="eastAsia" w:ascii="宋体" w:hAnsi="宋体" w:eastAsia="宋体" w:cs="宋体"/>
          <w:b/>
          <w:color w:val="auto"/>
          <w:sz w:val="32"/>
          <w:szCs w:val="24"/>
          <w:highlight w:val="none"/>
        </w:rPr>
      </w:pPr>
    </w:p>
    <w:p w14:paraId="03DA5B99">
      <w:pPr>
        <w:pStyle w:val="11"/>
        <w:shd w:val="clear"/>
        <w:kinsoku/>
        <w:overflowPunct w:val="0"/>
        <w:ind w:left="0"/>
        <w:rPr>
          <w:rFonts w:hint="eastAsia" w:ascii="宋体" w:hAnsi="宋体" w:eastAsia="宋体" w:cs="宋体"/>
          <w:b/>
          <w:color w:val="auto"/>
          <w:sz w:val="32"/>
          <w:szCs w:val="24"/>
          <w:highlight w:val="none"/>
        </w:rPr>
      </w:pPr>
    </w:p>
    <w:p w14:paraId="63FE3A42">
      <w:pPr>
        <w:pStyle w:val="11"/>
        <w:shd w:val="clear"/>
        <w:kinsoku/>
        <w:overflowPunct w:val="0"/>
        <w:spacing w:before="8"/>
        <w:ind w:left="0"/>
        <w:rPr>
          <w:rFonts w:hint="eastAsia" w:ascii="宋体" w:hAnsi="宋体" w:eastAsia="宋体" w:cs="宋体"/>
          <w:b/>
          <w:color w:val="auto"/>
          <w:sz w:val="25"/>
          <w:szCs w:val="24"/>
          <w:highlight w:val="none"/>
        </w:rPr>
      </w:pPr>
    </w:p>
    <w:p w14:paraId="647577F3">
      <w:pPr>
        <w:pStyle w:val="11"/>
        <w:shd w:val="clear"/>
        <w:tabs>
          <w:tab w:val="left" w:pos="3928"/>
        </w:tabs>
        <w:kinsoku/>
        <w:overflowPunct w:val="0"/>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5ECD0FE2">
      <w:pPr>
        <w:pStyle w:val="11"/>
        <w:shd w:val="clear"/>
        <w:kinsoku/>
        <w:overflowPunct w:val="0"/>
        <w:spacing w:before="2"/>
        <w:ind w:left="0"/>
        <w:rPr>
          <w:rFonts w:hint="eastAsia" w:ascii="宋体" w:hAnsi="宋体" w:eastAsia="宋体" w:cs="宋体"/>
          <w:color w:val="auto"/>
          <w:sz w:val="24"/>
          <w:szCs w:val="24"/>
          <w:highlight w:val="none"/>
        </w:rPr>
      </w:pPr>
    </w:p>
    <w:p w14:paraId="32DCD84A">
      <w:pPr>
        <w:pStyle w:val="11"/>
        <w:shd w:val="clear"/>
        <w:tabs>
          <w:tab w:val="left" w:pos="2412"/>
          <w:tab w:val="left" w:pos="3883"/>
          <w:tab w:val="left" w:pos="5352"/>
          <w:tab w:val="left" w:pos="6869"/>
        </w:tabs>
        <w:kinsoku/>
        <w:overflowPunct w:val="0"/>
        <w:spacing w:before="36"/>
        <w:ind w:left="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姓名：</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1"/>
          <w:sz w:val="24"/>
          <w:szCs w:val="24"/>
          <w:highlight w:val="none"/>
        </w:rPr>
        <w:t>性别：</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2"/>
          <w:sz w:val="24"/>
          <w:szCs w:val="24"/>
          <w:highlight w:val="none"/>
        </w:rPr>
        <w:t>年龄：</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14:paraId="57F02A44">
      <w:pPr>
        <w:pStyle w:val="11"/>
        <w:shd w:val="clear"/>
        <w:kinsoku/>
        <w:overflowPunct w:val="0"/>
        <w:spacing w:before="5"/>
        <w:ind w:left="0"/>
        <w:rPr>
          <w:rFonts w:hint="eastAsia" w:ascii="宋体" w:hAnsi="宋体" w:eastAsia="宋体" w:cs="宋体"/>
          <w:color w:val="auto"/>
          <w:sz w:val="24"/>
          <w:szCs w:val="24"/>
          <w:highlight w:val="none"/>
        </w:rPr>
      </w:pPr>
    </w:p>
    <w:p w14:paraId="55A9814A">
      <w:pPr>
        <w:pStyle w:val="11"/>
        <w:shd w:val="clear"/>
        <w:tabs>
          <w:tab w:val="left" w:pos="2832"/>
        </w:tabs>
        <w:kinsoku/>
        <w:overflowPunct w:val="0"/>
        <w:spacing w:before="36"/>
        <w:ind w:left="100"/>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系</w:t>
      </w:r>
      <w:r>
        <w:rPr>
          <w:rFonts w:hint="eastAsia" w:ascii="宋体" w:hAnsi="宋体" w:eastAsia="宋体" w:cs="宋体"/>
          <w:color w:val="auto"/>
          <w:spacing w:val="-1"/>
          <w:sz w:val="24"/>
          <w:szCs w:val="24"/>
          <w:highlight w:val="none"/>
          <w:u w:val="single"/>
        </w:rPr>
        <w:tab/>
      </w:r>
      <w:r>
        <w:rPr>
          <w:rFonts w:hint="eastAsia" w:ascii="宋体" w:hAnsi="宋体" w:eastAsia="宋体" w:cs="宋体"/>
          <w:color w:val="auto"/>
          <w:spacing w:val="-2"/>
          <w:sz w:val="24"/>
          <w:szCs w:val="24"/>
          <w:highlight w:val="none"/>
        </w:rPr>
        <w:t>（投标人名称）的法定代表人。</w:t>
      </w:r>
    </w:p>
    <w:p w14:paraId="604626D1">
      <w:pPr>
        <w:pStyle w:val="11"/>
        <w:shd w:val="clear"/>
        <w:kinsoku/>
        <w:overflowPunct w:val="0"/>
        <w:spacing w:before="10"/>
        <w:ind w:left="0"/>
        <w:rPr>
          <w:rFonts w:hint="eastAsia" w:ascii="宋体" w:hAnsi="宋体" w:eastAsia="宋体" w:cs="宋体"/>
          <w:color w:val="auto"/>
          <w:sz w:val="24"/>
          <w:szCs w:val="24"/>
          <w:highlight w:val="none"/>
        </w:rPr>
      </w:pPr>
    </w:p>
    <w:p w14:paraId="1EF16F63">
      <w:pPr>
        <w:pStyle w:val="11"/>
        <w:shd w:val="clear"/>
        <w:kinsoku/>
        <w:overflowPunct w:val="0"/>
        <w:spacing w:before="36"/>
        <w:ind w:left="100" w:firstLine="4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BF83C1D">
      <w:pPr>
        <w:pStyle w:val="11"/>
        <w:shd w:val="clear"/>
        <w:kinsoku/>
        <w:overflowPunct w:val="0"/>
        <w:ind w:left="0"/>
        <w:rPr>
          <w:rFonts w:hint="eastAsia" w:ascii="宋体" w:hAnsi="宋体" w:eastAsia="宋体" w:cs="宋体"/>
          <w:color w:val="auto"/>
          <w:sz w:val="24"/>
          <w:szCs w:val="24"/>
          <w:highlight w:val="none"/>
        </w:rPr>
      </w:pPr>
    </w:p>
    <w:p w14:paraId="766E907A">
      <w:pPr>
        <w:pStyle w:val="11"/>
        <w:shd w:val="clear"/>
        <w:kinsoku/>
        <w:overflowPunct w:val="0"/>
        <w:spacing w:before="4"/>
        <w:ind w:left="0"/>
        <w:rPr>
          <w:rFonts w:hint="eastAsia" w:ascii="宋体" w:hAnsi="宋体" w:eastAsia="宋体" w:cs="宋体"/>
          <w:color w:val="auto"/>
          <w:sz w:val="24"/>
          <w:szCs w:val="24"/>
          <w:highlight w:val="none"/>
        </w:rPr>
      </w:pPr>
    </w:p>
    <w:p w14:paraId="73805153">
      <w:pPr>
        <w:pStyle w:val="11"/>
        <w:shd w:val="clear"/>
        <w:kinsoku/>
        <w:overflowPunct w:val="0"/>
        <w:ind w:left="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eastAsia="宋体" w:cs="宋体"/>
          <w:color w:val="auto"/>
          <w:sz w:val="24"/>
          <w:szCs w:val="24"/>
          <w:highlight w:val="none"/>
          <w:lang w:eastAsia="zh-CN"/>
        </w:rPr>
        <w:t>正反面扫描</w:t>
      </w:r>
      <w:r>
        <w:rPr>
          <w:rFonts w:hint="eastAsia" w:ascii="宋体" w:hAnsi="宋体" w:eastAsia="宋体" w:cs="宋体"/>
          <w:color w:val="auto"/>
          <w:sz w:val="24"/>
          <w:szCs w:val="24"/>
          <w:highlight w:val="none"/>
        </w:rPr>
        <w:t>件。</w:t>
      </w:r>
    </w:p>
    <w:p w14:paraId="1CADCD05">
      <w:pPr>
        <w:pStyle w:val="11"/>
        <w:shd w:val="clear"/>
        <w:kinsoku/>
        <w:overflowPunct w:val="0"/>
        <w:ind w:left="0"/>
        <w:rPr>
          <w:rFonts w:hint="eastAsia" w:ascii="宋体" w:hAnsi="宋体" w:eastAsia="宋体" w:cs="宋体"/>
          <w:color w:val="auto"/>
          <w:sz w:val="24"/>
          <w:szCs w:val="24"/>
          <w:highlight w:val="none"/>
        </w:rPr>
      </w:pPr>
    </w:p>
    <w:p w14:paraId="00CD6741">
      <w:pPr>
        <w:pStyle w:val="11"/>
        <w:shd w:val="clear"/>
        <w:kinsoku/>
        <w:overflowPunct w:val="0"/>
        <w:spacing w:before="2"/>
        <w:ind w:left="0"/>
        <w:rPr>
          <w:rFonts w:hint="eastAsia" w:ascii="宋体" w:hAnsi="宋体" w:eastAsia="宋体" w:cs="宋体"/>
          <w:color w:val="auto"/>
          <w:sz w:val="24"/>
          <w:szCs w:val="24"/>
          <w:highlight w:val="none"/>
        </w:rPr>
      </w:pPr>
    </w:p>
    <w:p w14:paraId="7EB8962D">
      <w:pPr>
        <w:pStyle w:val="11"/>
        <w:shd w:val="clear"/>
        <w:kinsoku/>
        <w:overflowPunct w:val="0"/>
        <w:ind w:left="0"/>
        <w:rPr>
          <w:rFonts w:hint="eastAsia" w:ascii="宋体" w:hAnsi="宋体" w:eastAsia="宋体" w:cs="宋体"/>
          <w:color w:val="auto"/>
          <w:sz w:val="24"/>
          <w:szCs w:val="24"/>
          <w:highlight w:val="none"/>
        </w:rPr>
      </w:pPr>
    </w:p>
    <w:p w14:paraId="0E8D7934">
      <w:pPr>
        <w:pStyle w:val="11"/>
        <w:shd w:val="clear"/>
        <w:kinsoku/>
        <w:overflowPunct w:val="0"/>
        <w:ind w:left="0"/>
        <w:rPr>
          <w:rFonts w:hint="eastAsia" w:ascii="宋体" w:hAnsi="宋体" w:eastAsia="宋体" w:cs="宋体"/>
          <w:color w:val="auto"/>
          <w:sz w:val="24"/>
          <w:szCs w:val="24"/>
          <w:highlight w:val="none"/>
        </w:rPr>
      </w:pPr>
    </w:p>
    <w:p w14:paraId="4D9EB421">
      <w:pPr>
        <w:pStyle w:val="11"/>
        <w:shd w:val="clear"/>
        <w:kinsoku/>
        <w:overflowPunct w:val="0"/>
        <w:ind w:left="0"/>
        <w:rPr>
          <w:rFonts w:hint="eastAsia" w:ascii="宋体" w:hAnsi="宋体" w:eastAsia="宋体" w:cs="宋体"/>
          <w:color w:val="auto"/>
          <w:sz w:val="24"/>
          <w:szCs w:val="24"/>
          <w:highlight w:val="none"/>
        </w:rPr>
      </w:pPr>
    </w:p>
    <w:p w14:paraId="523BE5DF">
      <w:pPr>
        <w:pStyle w:val="11"/>
        <w:shd w:val="clear"/>
        <w:kinsoku/>
        <w:overflowPunct w:val="0"/>
        <w:spacing w:before="2"/>
        <w:ind w:left="0"/>
        <w:rPr>
          <w:rFonts w:hint="eastAsia" w:ascii="宋体" w:hAnsi="宋体" w:eastAsia="宋体" w:cs="宋体"/>
          <w:color w:val="auto"/>
          <w:sz w:val="24"/>
          <w:szCs w:val="24"/>
          <w:highlight w:val="none"/>
        </w:rPr>
      </w:pPr>
    </w:p>
    <w:p w14:paraId="0C4EC781">
      <w:pPr>
        <w:pStyle w:val="11"/>
        <w:shd w:val="clear"/>
        <w:tabs>
          <w:tab w:val="left" w:pos="6521"/>
        </w:tabs>
        <w:kinsoku/>
        <w:overflowPunct w:val="0"/>
        <w:spacing w:before="36"/>
        <w:ind w:left="4212"/>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1"/>
          <w:sz w:val="24"/>
          <w:szCs w:val="24"/>
          <w:highlight w:val="none"/>
        </w:rPr>
        <w:t>（盖单位章）</w:t>
      </w:r>
    </w:p>
    <w:p w14:paraId="248207C6">
      <w:pPr>
        <w:pStyle w:val="11"/>
        <w:shd w:val="clear"/>
        <w:kinsoku/>
        <w:overflowPunct w:val="0"/>
        <w:ind w:left="0"/>
        <w:rPr>
          <w:rFonts w:hint="eastAsia" w:ascii="宋体" w:hAnsi="宋体" w:eastAsia="宋体" w:cs="宋体"/>
          <w:color w:val="auto"/>
          <w:sz w:val="24"/>
          <w:szCs w:val="24"/>
          <w:highlight w:val="none"/>
        </w:rPr>
      </w:pPr>
    </w:p>
    <w:p w14:paraId="1E6D9415">
      <w:pPr>
        <w:pStyle w:val="11"/>
        <w:shd w:val="clear"/>
        <w:kinsoku/>
        <w:overflowPunct w:val="0"/>
        <w:spacing w:before="7"/>
        <w:ind w:left="0"/>
        <w:rPr>
          <w:rFonts w:hint="eastAsia" w:ascii="宋体" w:hAnsi="宋体" w:eastAsia="宋体" w:cs="宋体"/>
          <w:color w:val="auto"/>
          <w:sz w:val="24"/>
          <w:szCs w:val="24"/>
          <w:highlight w:val="none"/>
        </w:rPr>
      </w:pPr>
    </w:p>
    <w:p w14:paraId="08467EAB">
      <w:pPr>
        <w:pStyle w:val="11"/>
        <w:shd w:val="clear"/>
        <w:tabs>
          <w:tab w:val="left" w:pos="5352"/>
          <w:tab w:val="left" w:pos="6192"/>
          <w:tab w:val="left" w:pos="7032"/>
        </w:tabs>
        <w:kinsoku/>
        <w:overflowPunct w:val="0"/>
        <w:spacing w:before="36"/>
        <w:ind w:left="47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153C8CE">
      <w:pPr>
        <w:pStyle w:val="11"/>
        <w:shd w:val="clear"/>
        <w:tabs>
          <w:tab w:val="left" w:pos="5352"/>
          <w:tab w:val="left" w:pos="6192"/>
          <w:tab w:val="left" w:pos="7032"/>
        </w:tabs>
        <w:kinsoku/>
        <w:overflowPunct w:val="0"/>
        <w:spacing w:before="36"/>
        <w:ind w:left="4721"/>
        <w:rPr>
          <w:rFonts w:hint="eastAsia" w:ascii="宋体" w:hAnsi="宋体" w:eastAsia="宋体" w:cs="宋体"/>
          <w:color w:val="auto"/>
          <w:sz w:val="24"/>
          <w:szCs w:val="24"/>
          <w:highlight w:val="none"/>
        </w:rPr>
        <w:sectPr>
          <w:pgSz w:w="11905" w:h="16838"/>
          <w:pgMar w:top="1417" w:right="1417" w:bottom="1417" w:left="1417" w:header="737" w:footer="737" w:gutter="0"/>
          <w:lnNumType w:countBy="0" w:distance="360"/>
          <w:pgNumType w:fmt="decimal"/>
          <w:cols w:space="720" w:num="1"/>
        </w:sectPr>
      </w:pPr>
    </w:p>
    <w:p w14:paraId="4AD09331">
      <w:pPr>
        <w:pStyle w:val="4"/>
        <w:shd w:val="clear"/>
        <w:jc w:val="center"/>
        <w:outlineLvl w:val="1"/>
        <w:rPr>
          <w:rFonts w:hint="eastAsia" w:ascii="宋体" w:hAnsi="宋体" w:eastAsia="宋体" w:cs="宋体"/>
          <w:color w:val="auto"/>
          <w:sz w:val="28"/>
          <w:szCs w:val="24"/>
          <w:highlight w:val="none"/>
        </w:rPr>
      </w:pPr>
      <w:bookmarkStart w:id="143" w:name="bookmark180"/>
      <w:bookmarkEnd w:id="143"/>
      <w:bookmarkStart w:id="144" w:name="_Toc18172"/>
      <w:r>
        <w:rPr>
          <w:rFonts w:hint="eastAsia" w:ascii="宋体" w:hAnsi="宋体" w:eastAsia="宋体" w:cs="宋体"/>
          <w:color w:val="auto"/>
          <w:sz w:val="28"/>
          <w:szCs w:val="24"/>
          <w:highlight w:val="none"/>
          <w:lang w:val="en-US" w:eastAsia="zh-CN"/>
        </w:rPr>
        <w:t>三</w:t>
      </w:r>
      <w:r>
        <w:rPr>
          <w:rFonts w:hint="eastAsia" w:ascii="宋体" w:hAnsi="宋体" w:eastAsia="宋体" w:cs="宋体"/>
          <w:color w:val="auto"/>
          <w:sz w:val="28"/>
          <w:szCs w:val="24"/>
          <w:highlight w:val="none"/>
        </w:rPr>
        <w:t>、授权委托书</w:t>
      </w:r>
      <w:bookmarkEnd w:id="144"/>
      <w:r>
        <w:rPr>
          <w:rFonts w:hint="eastAsia" w:ascii="宋体" w:hAnsi="宋体" w:eastAsia="宋体" w:cs="宋体"/>
          <w:color w:val="auto"/>
          <w:sz w:val="28"/>
          <w:szCs w:val="24"/>
          <w:highlight w:val="none"/>
        </w:rPr>
        <w:t>（适用于有委托代理人的情况）</w:t>
      </w:r>
    </w:p>
    <w:p w14:paraId="07E26670">
      <w:pPr>
        <w:pStyle w:val="11"/>
        <w:shd w:val="clear"/>
        <w:kinsoku/>
        <w:overflowPunct w:val="0"/>
        <w:ind w:left="0"/>
        <w:rPr>
          <w:rFonts w:hint="eastAsia" w:ascii="宋体" w:hAnsi="宋体" w:eastAsia="宋体" w:cs="宋体"/>
          <w:b/>
          <w:color w:val="auto"/>
          <w:sz w:val="32"/>
          <w:szCs w:val="24"/>
          <w:highlight w:val="none"/>
        </w:rPr>
      </w:pPr>
    </w:p>
    <w:p w14:paraId="7EDCC40D">
      <w:pPr>
        <w:pStyle w:val="11"/>
        <w:shd w:val="clear"/>
        <w:kinsoku/>
        <w:overflowPunct w:val="0"/>
        <w:spacing w:before="4"/>
        <w:ind w:left="0"/>
        <w:rPr>
          <w:rFonts w:hint="eastAsia" w:ascii="宋体" w:hAnsi="宋体" w:eastAsia="宋体" w:cs="宋体"/>
          <w:b/>
          <w:color w:val="auto"/>
          <w:sz w:val="32"/>
          <w:szCs w:val="24"/>
          <w:highlight w:val="none"/>
        </w:rPr>
      </w:pPr>
    </w:p>
    <w:p w14:paraId="133C7BB5">
      <w:pPr>
        <w:pStyle w:val="11"/>
        <w:shd w:val="clear"/>
        <w:tabs>
          <w:tab w:val="left" w:pos="3928"/>
        </w:tabs>
        <w:kinsoku/>
        <w:overflowPunct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（姓名）为我方代理人。代理人根据授权，以我方名义签署、澄清确认、递交、撤回、修改招标项目投标文件、签订合同和处理有关事宜，其法律后果由我方承担。 </w:t>
      </w:r>
    </w:p>
    <w:p w14:paraId="45617E85">
      <w:pPr>
        <w:pStyle w:val="11"/>
        <w:shd w:val="clear"/>
        <w:tabs>
          <w:tab w:val="left" w:pos="3928"/>
        </w:tabs>
        <w:kinsoku/>
        <w:overflowPunct w:val="0"/>
        <w:spacing w:line="360" w:lineRule="auto"/>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16EEBAEF">
      <w:pPr>
        <w:pStyle w:val="11"/>
        <w:shd w:val="clear"/>
        <w:tabs>
          <w:tab w:val="left" w:pos="3928"/>
        </w:tabs>
        <w:kinsoku/>
        <w:overflowPunct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代理人无转委托权。</w:t>
      </w:r>
    </w:p>
    <w:p w14:paraId="29E8FCFB">
      <w:pPr>
        <w:pStyle w:val="11"/>
        <w:shd w:val="clear"/>
        <w:tabs>
          <w:tab w:val="left" w:pos="3928"/>
        </w:tabs>
        <w:kinsoku/>
        <w:overflowPunct w:val="0"/>
        <w:spacing w:line="360" w:lineRule="auto"/>
        <w:ind w:left="100"/>
        <w:rPr>
          <w:rFonts w:hint="eastAsia" w:ascii="宋体" w:hAnsi="宋体" w:eastAsia="宋体" w:cs="宋体"/>
          <w:color w:val="auto"/>
          <w:sz w:val="24"/>
          <w:szCs w:val="24"/>
          <w:highlight w:val="none"/>
        </w:rPr>
      </w:pPr>
    </w:p>
    <w:p w14:paraId="02DC3E16">
      <w:pPr>
        <w:pStyle w:val="11"/>
        <w:shd w:val="clear"/>
        <w:kinsoku/>
        <w:overflowPunct w:val="0"/>
        <w:spacing w:before="4"/>
        <w:ind w:left="0"/>
        <w:rPr>
          <w:rFonts w:hint="eastAsia" w:ascii="宋体" w:hAnsi="宋体" w:eastAsia="宋体" w:cs="宋体"/>
          <w:color w:val="auto"/>
          <w:sz w:val="24"/>
          <w:szCs w:val="24"/>
          <w:highlight w:val="none"/>
        </w:rPr>
      </w:pPr>
    </w:p>
    <w:p w14:paraId="778FF921">
      <w:pPr>
        <w:pStyle w:val="11"/>
        <w:shd w:val="clear"/>
        <w:kinsoku/>
        <w:overflowPunct w:val="0"/>
        <w:ind w:left="100"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lang w:eastAsia="zh-CN"/>
        </w:rPr>
        <w:t>委托代理人身份证正反面</w:t>
      </w:r>
      <w:r>
        <w:rPr>
          <w:rFonts w:hint="eastAsia" w:cs="宋体"/>
          <w:color w:val="auto"/>
          <w:sz w:val="24"/>
          <w:szCs w:val="24"/>
          <w:highlight w:val="none"/>
          <w:lang w:eastAsia="zh-CN"/>
        </w:rPr>
        <w:t>扫描件</w:t>
      </w:r>
      <w:r>
        <w:rPr>
          <w:rFonts w:hint="eastAsia" w:ascii="宋体" w:hAnsi="宋体" w:eastAsia="宋体" w:cs="宋体"/>
          <w:color w:val="auto"/>
          <w:sz w:val="24"/>
          <w:szCs w:val="24"/>
          <w:highlight w:val="none"/>
          <w:lang w:eastAsia="zh-CN"/>
        </w:rPr>
        <w:t>。</w:t>
      </w:r>
    </w:p>
    <w:p w14:paraId="67723E1E">
      <w:pPr>
        <w:pStyle w:val="11"/>
        <w:shd w:val="clear"/>
        <w:kinsoku/>
        <w:overflowPunct w:val="0"/>
        <w:ind w:left="0"/>
        <w:rPr>
          <w:rFonts w:hint="eastAsia" w:ascii="宋体" w:hAnsi="宋体" w:eastAsia="宋体" w:cs="宋体"/>
          <w:color w:val="auto"/>
          <w:sz w:val="24"/>
          <w:szCs w:val="24"/>
          <w:highlight w:val="none"/>
        </w:rPr>
      </w:pPr>
    </w:p>
    <w:p w14:paraId="1740A4A3">
      <w:pPr>
        <w:pStyle w:val="11"/>
        <w:shd w:val="clear"/>
        <w:kinsoku/>
        <w:overflowPunct w:val="0"/>
        <w:spacing w:before="2"/>
        <w:ind w:left="0"/>
        <w:rPr>
          <w:rFonts w:hint="eastAsia" w:ascii="宋体" w:hAnsi="宋体" w:eastAsia="宋体" w:cs="宋体"/>
          <w:color w:val="auto"/>
          <w:sz w:val="24"/>
          <w:szCs w:val="24"/>
          <w:highlight w:val="none"/>
        </w:rPr>
      </w:pPr>
    </w:p>
    <w:p w14:paraId="3F09FD34">
      <w:pPr>
        <w:pStyle w:val="11"/>
        <w:shd w:val="clear"/>
        <w:kinsoku/>
        <w:overflowPunct w:val="0"/>
        <w:ind w:left="0"/>
        <w:rPr>
          <w:rFonts w:hint="eastAsia" w:ascii="宋体" w:hAnsi="宋体" w:eastAsia="宋体" w:cs="宋体"/>
          <w:color w:val="auto"/>
          <w:sz w:val="24"/>
          <w:szCs w:val="24"/>
          <w:highlight w:val="none"/>
        </w:rPr>
      </w:pPr>
    </w:p>
    <w:p w14:paraId="4592950A">
      <w:pPr>
        <w:pStyle w:val="11"/>
        <w:shd w:val="clear"/>
        <w:kinsoku/>
        <w:overflowPunct w:val="0"/>
        <w:spacing w:before="4"/>
        <w:ind w:left="0"/>
        <w:rPr>
          <w:rFonts w:hint="eastAsia" w:ascii="宋体" w:hAnsi="宋体" w:eastAsia="宋体" w:cs="宋体"/>
          <w:color w:val="auto"/>
          <w:sz w:val="24"/>
          <w:szCs w:val="24"/>
          <w:highlight w:val="none"/>
        </w:rPr>
      </w:pPr>
    </w:p>
    <w:p w14:paraId="4C3B8608">
      <w:pPr>
        <w:pStyle w:val="11"/>
        <w:shd w:val="clear"/>
        <w:tabs>
          <w:tab w:val="left" w:pos="3216"/>
          <w:tab w:val="left" w:pos="3636"/>
          <w:tab w:val="left" w:pos="7241"/>
        </w:tabs>
        <w:kinsoku/>
        <w:overflowPunct w:val="0"/>
        <w:ind w:left="2793"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rPr>
        <w:tab/>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z w:val="24"/>
          <w:szCs w:val="24"/>
          <w:highlight w:val="none"/>
        </w:rPr>
        <w:t>（盖单位章）</w:t>
      </w:r>
    </w:p>
    <w:p w14:paraId="7840C274">
      <w:pPr>
        <w:pStyle w:val="11"/>
        <w:shd w:val="clear"/>
        <w:kinsoku/>
        <w:overflowPunct w:val="0"/>
        <w:ind w:left="0"/>
        <w:rPr>
          <w:rFonts w:hint="eastAsia" w:ascii="宋体" w:hAnsi="宋体" w:eastAsia="宋体" w:cs="宋体"/>
          <w:color w:val="auto"/>
          <w:sz w:val="24"/>
          <w:szCs w:val="24"/>
          <w:highlight w:val="none"/>
        </w:rPr>
      </w:pPr>
    </w:p>
    <w:p w14:paraId="5267F9D9">
      <w:pPr>
        <w:pStyle w:val="11"/>
        <w:shd w:val="clear"/>
        <w:tabs>
          <w:tab w:val="left" w:pos="6401"/>
        </w:tabs>
        <w:kinsoku/>
        <w:overflowPunct w:val="0"/>
        <w:spacing w:before="36"/>
        <w:ind w:left="2791" w:right="113"/>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2"/>
          <w:sz w:val="24"/>
          <w:szCs w:val="24"/>
          <w:highlight w:val="none"/>
          <w:u w:val="single"/>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（签字</w:t>
      </w:r>
      <w:r>
        <w:rPr>
          <w:rFonts w:hint="eastAsia" w:cs="宋体"/>
          <w:color w:val="auto"/>
          <w:spacing w:val="-1"/>
          <w:sz w:val="24"/>
          <w:szCs w:val="24"/>
          <w:highlight w:val="none"/>
          <w:lang w:val="en-US" w:eastAsia="zh-CN"/>
        </w:rPr>
        <w:t>或盖章</w:t>
      </w:r>
      <w:r>
        <w:rPr>
          <w:rFonts w:hint="eastAsia" w:ascii="宋体" w:hAnsi="宋体" w:eastAsia="宋体" w:cs="宋体"/>
          <w:color w:val="auto"/>
          <w:spacing w:val="-1"/>
          <w:sz w:val="24"/>
          <w:szCs w:val="24"/>
          <w:highlight w:val="none"/>
        </w:rPr>
        <w:t>）</w:t>
      </w:r>
    </w:p>
    <w:p w14:paraId="1E85DE43">
      <w:pPr>
        <w:pStyle w:val="11"/>
        <w:shd w:val="clear"/>
        <w:kinsoku/>
        <w:overflowPunct w:val="0"/>
        <w:ind w:left="0"/>
        <w:rPr>
          <w:rFonts w:hint="eastAsia" w:ascii="宋体" w:hAnsi="宋体" w:eastAsia="宋体" w:cs="宋体"/>
          <w:color w:val="auto"/>
          <w:sz w:val="24"/>
          <w:szCs w:val="24"/>
          <w:highlight w:val="none"/>
        </w:rPr>
      </w:pPr>
    </w:p>
    <w:p w14:paraId="7A366CB0">
      <w:pPr>
        <w:pStyle w:val="11"/>
        <w:shd w:val="clear"/>
        <w:tabs>
          <w:tab w:val="left" w:pos="8549"/>
        </w:tabs>
        <w:kinsoku/>
        <w:overflowPunct w:val="0"/>
        <w:spacing w:before="36"/>
        <w:ind w:left="2793" w:right="11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D3C6278">
      <w:pPr>
        <w:pStyle w:val="11"/>
        <w:shd w:val="clear"/>
        <w:kinsoku/>
        <w:overflowPunct w:val="0"/>
        <w:ind w:left="0"/>
        <w:rPr>
          <w:rFonts w:hint="eastAsia" w:ascii="宋体" w:hAnsi="宋体" w:eastAsia="宋体" w:cs="宋体"/>
          <w:color w:val="auto"/>
          <w:sz w:val="24"/>
          <w:szCs w:val="24"/>
          <w:highlight w:val="none"/>
        </w:rPr>
      </w:pPr>
    </w:p>
    <w:p w14:paraId="427846A8">
      <w:pPr>
        <w:pStyle w:val="11"/>
        <w:shd w:val="clear"/>
        <w:tabs>
          <w:tab w:val="left" w:pos="7661"/>
        </w:tabs>
        <w:kinsoku/>
        <w:overflowPunct w:val="0"/>
        <w:spacing w:before="36"/>
        <w:ind w:left="2793" w:right="113"/>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（签字）</w:t>
      </w:r>
    </w:p>
    <w:p w14:paraId="56523F20">
      <w:pPr>
        <w:pStyle w:val="11"/>
        <w:shd w:val="clear"/>
        <w:kinsoku/>
        <w:overflowPunct w:val="0"/>
        <w:ind w:left="0"/>
        <w:rPr>
          <w:rFonts w:hint="eastAsia" w:ascii="宋体" w:hAnsi="宋体" w:eastAsia="宋体" w:cs="宋体"/>
          <w:color w:val="auto"/>
          <w:sz w:val="24"/>
          <w:szCs w:val="24"/>
          <w:highlight w:val="none"/>
        </w:rPr>
      </w:pPr>
    </w:p>
    <w:p w14:paraId="61E99766">
      <w:pPr>
        <w:pStyle w:val="11"/>
        <w:shd w:val="clear"/>
        <w:tabs>
          <w:tab w:val="left" w:pos="8549"/>
        </w:tabs>
        <w:kinsoku/>
        <w:overflowPunct w:val="0"/>
        <w:spacing w:before="36"/>
        <w:ind w:left="2793" w:right="113"/>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F8A4B92">
      <w:pPr>
        <w:pStyle w:val="11"/>
        <w:shd w:val="clear"/>
        <w:kinsoku/>
        <w:overflowPunct w:val="0"/>
        <w:spacing w:before="9"/>
        <w:ind w:left="0"/>
        <w:rPr>
          <w:rFonts w:hint="eastAsia" w:ascii="宋体" w:hAnsi="宋体" w:eastAsia="宋体" w:cs="宋体"/>
          <w:color w:val="auto"/>
          <w:sz w:val="24"/>
          <w:szCs w:val="24"/>
          <w:highlight w:val="none"/>
        </w:rPr>
      </w:pPr>
    </w:p>
    <w:p w14:paraId="646CF3B8">
      <w:pPr>
        <w:pStyle w:val="11"/>
        <w:shd w:val="clear"/>
        <w:tabs>
          <w:tab w:val="left" w:pos="736"/>
          <w:tab w:val="left" w:pos="1682"/>
          <w:tab w:val="left" w:pos="2626"/>
        </w:tabs>
        <w:kinsoku/>
        <w:overflowPunct w:val="0"/>
        <w:spacing w:before="36"/>
        <w:ind w:left="0" w:right="113"/>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p>
    <w:p w14:paraId="22C8E594">
      <w:pPr>
        <w:rPr>
          <w:rFonts w:hint="eastAsia" w:ascii="宋体" w:hAnsi="宋体" w:eastAsia="宋体" w:cs="宋体"/>
        </w:rPr>
      </w:pPr>
      <w:r>
        <w:rPr>
          <w:rFonts w:hint="eastAsia" w:ascii="宋体" w:hAnsi="宋体" w:eastAsia="宋体" w:cs="宋体"/>
        </w:rPr>
        <w:br w:type="page"/>
      </w:r>
    </w:p>
    <w:p w14:paraId="05EA158D">
      <w:pPr>
        <w:pStyle w:val="4"/>
        <w:shd w:val="clear"/>
        <w:jc w:val="center"/>
        <w:outlineLvl w:val="9"/>
        <w:rPr>
          <w:rFonts w:hint="eastAsia" w:ascii="宋体" w:hAnsi="宋体" w:eastAsia="宋体" w:cs="宋体"/>
          <w:color w:val="auto"/>
          <w:sz w:val="24"/>
          <w:szCs w:val="24"/>
          <w:highlight w:val="none"/>
        </w:rPr>
        <w:sectPr>
          <w:pgSz w:w="11905" w:h="16838"/>
          <w:pgMar w:top="1417" w:right="1417" w:bottom="1417" w:left="1417" w:header="737" w:footer="737" w:gutter="0"/>
          <w:lnNumType w:countBy="0" w:distance="360"/>
          <w:pgNumType w:fmt="decimal"/>
          <w:cols w:space="720" w:num="1"/>
        </w:sectPr>
      </w:pPr>
      <w:bookmarkStart w:id="145" w:name="bookmark182"/>
      <w:bookmarkEnd w:id="145"/>
    </w:p>
    <w:p w14:paraId="38160472">
      <w:pPr>
        <w:pStyle w:val="4"/>
        <w:shd w:val="clear"/>
        <w:kinsoku/>
        <w:overflowPunct w:val="0"/>
        <w:spacing w:line="456" w:lineRule="exact"/>
        <w:ind w:right="1"/>
        <w:jc w:val="center"/>
        <w:outlineLvl w:val="1"/>
        <w:rPr>
          <w:rFonts w:hint="eastAsia" w:ascii="宋体" w:hAnsi="宋体" w:eastAsia="宋体" w:cs="宋体"/>
          <w:b w:val="0"/>
          <w:color w:val="auto"/>
          <w:sz w:val="28"/>
          <w:szCs w:val="24"/>
          <w:highlight w:val="none"/>
        </w:rPr>
      </w:pPr>
      <w:bookmarkStart w:id="146" w:name="bookmark184"/>
      <w:bookmarkEnd w:id="146"/>
      <w:bookmarkStart w:id="147" w:name="_Toc10013"/>
      <w:r>
        <w:rPr>
          <w:rFonts w:hint="eastAsia" w:cs="宋体"/>
          <w:color w:val="auto"/>
          <w:sz w:val="28"/>
          <w:szCs w:val="24"/>
          <w:highlight w:val="none"/>
          <w:lang w:val="en-US" w:eastAsia="zh-CN"/>
        </w:rPr>
        <w:t>四</w:t>
      </w:r>
      <w:r>
        <w:rPr>
          <w:rFonts w:hint="eastAsia" w:ascii="宋体" w:hAnsi="宋体" w:eastAsia="宋体" w:cs="宋体"/>
          <w:color w:val="auto"/>
          <w:sz w:val="28"/>
          <w:szCs w:val="24"/>
          <w:highlight w:val="none"/>
        </w:rPr>
        <w:t>、资格审查资料</w:t>
      </w:r>
      <w:bookmarkEnd w:id="147"/>
    </w:p>
    <w:p w14:paraId="1B5D89E7">
      <w:pPr>
        <w:pStyle w:val="11"/>
        <w:shd w:val="clear"/>
        <w:kinsoku/>
        <w:overflowPunct w:val="0"/>
        <w:spacing w:before="10"/>
        <w:ind w:left="0"/>
        <w:rPr>
          <w:rFonts w:hint="eastAsia" w:ascii="宋体" w:hAnsi="宋体" w:eastAsia="宋体" w:cs="宋体"/>
          <w:b/>
          <w:color w:val="auto"/>
          <w:sz w:val="15"/>
          <w:szCs w:val="24"/>
          <w:highlight w:val="none"/>
        </w:rPr>
      </w:pPr>
    </w:p>
    <w:p w14:paraId="5F1D6CA2">
      <w:pPr>
        <w:pStyle w:val="4"/>
        <w:jc w:val="center"/>
        <w:rPr>
          <w:rFonts w:hint="eastAsia" w:ascii="宋体" w:hAnsi="宋体" w:eastAsia="宋体" w:cs="宋体"/>
          <w:b/>
          <w:color w:val="auto"/>
          <w:sz w:val="24"/>
          <w:szCs w:val="24"/>
          <w:highlight w:val="none"/>
        </w:rPr>
      </w:pPr>
      <w:bookmarkStart w:id="148" w:name="bookmark185"/>
      <w:bookmarkEnd w:id="148"/>
      <w:bookmarkStart w:id="149" w:name="_Toc28818"/>
      <w:r>
        <w:rPr>
          <w:rFonts w:hint="eastAsia" w:ascii="宋体" w:hAnsi="宋体" w:eastAsia="宋体" w:cs="宋体"/>
          <w:b/>
          <w:color w:val="auto"/>
          <w:sz w:val="24"/>
          <w:szCs w:val="24"/>
          <w:highlight w:val="none"/>
        </w:rPr>
        <w:t>基本情况表</w:t>
      </w:r>
      <w:bookmarkEnd w:id="149"/>
    </w:p>
    <w:p w14:paraId="12EC5CC4">
      <w:pPr>
        <w:pStyle w:val="11"/>
        <w:shd w:val="clear"/>
        <w:kinsoku/>
        <w:overflowPunct w:val="0"/>
        <w:ind w:left="0"/>
        <w:rPr>
          <w:rFonts w:hint="eastAsia" w:ascii="宋体" w:hAnsi="宋体" w:eastAsia="宋体" w:cs="宋体"/>
          <w:color w:val="auto"/>
          <w:sz w:val="23"/>
          <w:szCs w:val="24"/>
          <w:highlight w:val="none"/>
        </w:rPr>
      </w:pPr>
    </w:p>
    <w:tbl>
      <w:tblPr>
        <w:tblStyle w:val="24"/>
        <w:tblW w:w="9212"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1B0B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DE629">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62932D7B">
            <w:pPr>
              <w:shd w:val="clear"/>
              <w:rPr>
                <w:rFonts w:hint="eastAsia" w:ascii="宋体" w:hAnsi="宋体" w:eastAsia="宋体" w:cs="宋体"/>
                <w:color w:val="auto"/>
                <w:sz w:val="21"/>
                <w:szCs w:val="21"/>
                <w:highlight w:val="none"/>
              </w:rPr>
            </w:pPr>
          </w:p>
        </w:tc>
      </w:tr>
      <w:tr w14:paraId="4782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0893E">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56A2410">
            <w:pPr>
              <w:shd w:val="clear"/>
              <w:rPr>
                <w:rFonts w:hint="eastAsia"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67CB16F">
            <w:pPr>
              <w:pStyle w:val="35"/>
              <w:shd w:val="clear"/>
              <w:kinsoku/>
              <w:overflowPunct w:val="0"/>
              <w:spacing w:before="107"/>
              <w:ind w:left="2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7392C3B">
            <w:pPr>
              <w:shd w:val="clear"/>
              <w:rPr>
                <w:rFonts w:hint="eastAsia" w:ascii="宋体" w:hAnsi="宋体" w:eastAsia="宋体" w:cs="宋体"/>
                <w:color w:val="auto"/>
                <w:sz w:val="21"/>
                <w:szCs w:val="21"/>
                <w:highlight w:val="none"/>
              </w:rPr>
            </w:pPr>
          </w:p>
        </w:tc>
      </w:tr>
      <w:tr w14:paraId="0668B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2E43E">
            <w:pPr>
              <w:pStyle w:val="35"/>
              <w:shd w:val="clear"/>
              <w:kinsoku/>
              <w:overflowPunct w:val="0"/>
              <w:jc w:val="center"/>
              <w:rPr>
                <w:rFonts w:hint="eastAsia" w:ascii="宋体" w:hAnsi="宋体" w:eastAsia="宋体" w:cs="宋体"/>
                <w:color w:val="auto"/>
                <w:sz w:val="21"/>
                <w:szCs w:val="21"/>
                <w:highlight w:val="none"/>
              </w:rPr>
            </w:pPr>
          </w:p>
          <w:p w14:paraId="2D526AC2">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659DDA">
            <w:pPr>
              <w:pStyle w:val="35"/>
              <w:shd w:val="clear"/>
              <w:kinsoku/>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5B2B286">
            <w:pPr>
              <w:shd w:val="clear"/>
              <w:rPr>
                <w:rFonts w:hint="eastAsia"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F055885">
            <w:pPr>
              <w:pStyle w:val="35"/>
              <w:shd w:val="clear"/>
              <w:kinsoku/>
              <w:overflowPunct w:val="0"/>
              <w:spacing w:before="107"/>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95FD257">
            <w:pPr>
              <w:shd w:val="clear"/>
              <w:rPr>
                <w:rFonts w:hint="eastAsia" w:ascii="宋体" w:hAnsi="宋体" w:eastAsia="宋体" w:cs="宋体"/>
                <w:color w:val="auto"/>
                <w:sz w:val="21"/>
                <w:szCs w:val="21"/>
                <w:highlight w:val="none"/>
              </w:rPr>
            </w:pPr>
          </w:p>
        </w:tc>
      </w:tr>
      <w:tr w14:paraId="356D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EAD90">
            <w:pPr>
              <w:shd w:val="clear"/>
              <w:jc w:val="center"/>
              <w:rPr>
                <w:rFonts w:hint="eastAsia" w:ascii="宋体" w:hAnsi="宋体" w:eastAsia="宋体" w:cs="宋体"/>
                <w:color w:val="auto"/>
                <w:sz w:val="21"/>
                <w:szCs w:val="21"/>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51394C">
            <w:pPr>
              <w:pStyle w:val="35"/>
              <w:shd w:val="clear"/>
              <w:tabs>
                <w:tab w:val="left" w:pos="550"/>
              </w:tabs>
              <w:kinsoku/>
              <w:overflowPunct w:val="0"/>
              <w:spacing w:before="10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w:t>
            </w:r>
            <w:r>
              <w:rPr>
                <w:rFonts w:hint="eastAsia" w:ascii="宋体" w:hAnsi="宋体" w:eastAsia="宋体" w:cs="宋体"/>
                <w:color w:val="auto"/>
                <w:sz w:val="21"/>
                <w:szCs w:val="21"/>
                <w:highlight w:val="none"/>
                <w:lang w:val="en-US" w:eastAsia="zh-CN"/>
              </w:rPr>
              <w:t>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28C4D18">
            <w:pPr>
              <w:shd w:val="clear"/>
              <w:rPr>
                <w:rFonts w:hint="eastAsia" w:ascii="宋体" w:hAnsi="宋体" w:eastAsia="宋体" w:cs="宋体"/>
                <w:color w:val="auto"/>
                <w:sz w:val="21"/>
                <w:szCs w:val="21"/>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F5F50A9">
            <w:pPr>
              <w:pStyle w:val="35"/>
              <w:shd w:val="clear"/>
              <w:kinsoku/>
              <w:overflowPunct w:val="0"/>
              <w:spacing w:before="108"/>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0741496">
            <w:pPr>
              <w:shd w:val="clear"/>
              <w:rPr>
                <w:rFonts w:hint="eastAsia" w:ascii="宋体" w:hAnsi="宋体" w:eastAsia="宋体" w:cs="宋体"/>
                <w:color w:val="auto"/>
                <w:sz w:val="21"/>
                <w:szCs w:val="21"/>
                <w:highlight w:val="none"/>
              </w:rPr>
            </w:pPr>
          </w:p>
        </w:tc>
      </w:tr>
      <w:tr w14:paraId="6AD1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BA6F0">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5983FF">
            <w:pPr>
              <w:pStyle w:val="35"/>
              <w:shd w:val="clear"/>
              <w:kinsoku/>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0436DF">
            <w:pPr>
              <w:shd w:val="clear"/>
              <w:rPr>
                <w:rFonts w:hint="eastAsia"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83F21B">
            <w:pPr>
              <w:pStyle w:val="35"/>
              <w:shd w:val="clear"/>
              <w:kinsoku/>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658A11A">
            <w:pPr>
              <w:shd w:val="clear"/>
              <w:rPr>
                <w:rFonts w:hint="eastAsia"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8FAF07B">
            <w:pPr>
              <w:pStyle w:val="35"/>
              <w:shd w:val="clear"/>
              <w:kinsoku/>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620EA6">
            <w:pPr>
              <w:shd w:val="clear"/>
              <w:rPr>
                <w:rFonts w:hint="eastAsia" w:ascii="宋体" w:hAnsi="宋体" w:eastAsia="宋体" w:cs="宋体"/>
                <w:color w:val="auto"/>
                <w:sz w:val="21"/>
                <w:szCs w:val="21"/>
                <w:highlight w:val="none"/>
              </w:rPr>
            </w:pPr>
          </w:p>
        </w:tc>
      </w:tr>
      <w:tr w14:paraId="7A2D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04335">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E78C24">
            <w:pPr>
              <w:pStyle w:val="35"/>
              <w:shd w:val="clear"/>
              <w:kinsoku/>
              <w:overflowPunct w:val="0"/>
              <w:spacing w:before="1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FE1007">
            <w:pPr>
              <w:shd w:val="clear"/>
              <w:rPr>
                <w:rFonts w:hint="eastAsia" w:ascii="宋体" w:hAnsi="宋体" w:eastAsia="宋体" w:cs="宋体"/>
                <w:color w:val="auto"/>
                <w:sz w:val="21"/>
                <w:szCs w:val="21"/>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C2968F">
            <w:pPr>
              <w:pStyle w:val="35"/>
              <w:shd w:val="clear"/>
              <w:kinsoku/>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D0876EE">
            <w:pPr>
              <w:shd w:val="clear"/>
              <w:rPr>
                <w:rFonts w:hint="eastAsia" w:ascii="宋体" w:hAnsi="宋体" w:eastAsia="宋体" w:cs="宋体"/>
                <w:color w:val="auto"/>
                <w:sz w:val="21"/>
                <w:szCs w:val="21"/>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D3051BA">
            <w:pPr>
              <w:pStyle w:val="35"/>
              <w:shd w:val="clear"/>
              <w:kinsoku/>
              <w:overflowPunct w:val="0"/>
              <w:spacing w:before="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30E507">
            <w:pPr>
              <w:shd w:val="clear"/>
              <w:rPr>
                <w:rFonts w:hint="eastAsia" w:ascii="宋体" w:hAnsi="宋体" w:eastAsia="宋体" w:cs="宋体"/>
                <w:color w:val="auto"/>
                <w:sz w:val="21"/>
                <w:szCs w:val="21"/>
                <w:highlight w:val="none"/>
              </w:rPr>
            </w:pPr>
          </w:p>
        </w:tc>
      </w:tr>
      <w:tr w14:paraId="42A4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EBBBC">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1CCABE96">
            <w:pPr>
              <w:pStyle w:val="35"/>
              <w:shd w:val="clear"/>
              <w:tabs>
                <w:tab w:val="left" w:pos="3785"/>
                <w:tab w:val="left" w:pos="5045"/>
              </w:tabs>
              <w:kinsoku/>
              <w:overflowPunct w:val="0"/>
              <w:spacing w:before="107"/>
              <w:ind w:left="10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rPr>
              <w:tab/>
            </w:r>
            <w:r>
              <w:rPr>
                <w:rFonts w:hint="eastAsia" w:ascii="宋体" w:hAnsi="宋体" w:eastAsia="宋体" w:cs="宋体"/>
                <w:color w:val="auto"/>
                <w:spacing w:val="-1"/>
                <w:sz w:val="21"/>
                <w:szCs w:val="21"/>
                <w:highlight w:val="none"/>
              </w:rPr>
              <w:t>等级：</w:t>
            </w:r>
            <w:r>
              <w:rPr>
                <w:rFonts w:hint="eastAsia" w:ascii="宋体" w:hAnsi="宋体" w:eastAsia="宋体" w:cs="宋体"/>
                <w:color w:val="auto"/>
                <w:spacing w:val="-1"/>
                <w:sz w:val="21"/>
                <w:szCs w:val="21"/>
                <w:highlight w:val="none"/>
              </w:rPr>
              <w:tab/>
            </w:r>
            <w:r>
              <w:rPr>
                <w:rFonts w:hint="eastAsia" w:ascii="宋体" w:hAnsi="宋体" w:eastAsia="宋体" w:cs="宋体"/>
                <w:color w:val="auto"/>
                <w:spacing w:val="-2"/>
                <w:sz w:val="21"/>
                <w:szCs w:val="21"/>
                <w:highlight w:val="none"/>
              </w:rPr>
              <w:t>证书号：</w:t>
            </w:r>
          </w:p>
        </w:tc>
      </w:tr>
      <w:tr w14:paraId="483E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9882F">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质量管理体系证书</w:t>
            </w:r>
          </w:p>
          <w:p w14:paraId="4B4588D8">
            <w:pPr>
              <w:pStyle w:val="35"/>
              <w:shd w:val="clear"/>
              <w:kinsoku/>
              <w:overflowPunct w:val="0"/>
              <w:ind w:right="10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634B8AA3">
            <w:pPr>
              <w:pStyle w:val="35"/>
              <w:shd w:val="clear"/>
              <w:kinsoku/>
              <w:overflowPunct w:val="0"/>
              <w:spacing w:before="1"/>
              <w:rPr>
                <w:rFonts w:hint="eastAsia" w:ascii="宋体" w:hAnsi="宋体" w:eastAsia="宋体" w:cs="宋体"/>
                <w:color w:val="auto"/>
                <w:sz w:val="21"/>
                <w:szCs w:val="21"/>
                <w:highlight w:val="none"/>
              </w:rPr>
            </w:pPr>
          </w:p>
          <w:p w14:paraId="2880E94A">
            <w:pPr>
              <w:pStyle w:val="35"/>
              <w:shd w:val="clear"/>
              <w:tabs>
                <w:tab w:val="left" w:pos="3785"/>
                <w:tab w:val="left" w:pos="5045"/>
              </w:tabs>
              <w:kinsoku/>
              <w:overflowPunct w:val="0"/>
              <w:ind w:left="10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rPr>
              <w:tab/>
            </w:r>
            <w:r>
              <w:rPr>
                <w:rFonts w:hint="eastAsia" w:ascii="宋体" w:hAnsi="宋体" w:eastAsia="宋体" w:cs="宋体"/>
                <w:color w:val="auto"/>
                <w:spacing w:val="-1"/>
                <w:sz w:val="21"/>
                <w:szCs w:val="21"/>
                <w:highlight w:val="none"/>
              </w:rPr>
              <w:t>等级：</w:t>
            </w:r>
            <w:r>
              <w:rPr>
                <w:rFonts w:hint="eastAsia" w:ascii="宋体" w:hAnsi="宋体" w:eastAsia="宋体" w:cs="宋体"/>
                <w:color w:val="auto"/>
                <w:spacing w:val="-1"/>
                <w:sz w:val="21"/>
                <w:szCs w:val="21"/>
                <w:highlight w:val="none"/>
              </w:rPr>
              <w:tab/>
            </w:r>
            <w:r>
              <w:rPr>
                <w:rFonts w:hint="eastAsia" w:ascii="宋体" w:hAnsi="宋体" w:eastAsia="宋体" w:cs="宋体"/>
                <w:color w:val="auto"/>
                <w:spacing w:val="-2"/>
                <w:sz w:val="21"/>
                <w:szCs w:val="21"/>
                <w:highlight w:val="none"/>
              </w:rPr>
              <w:t>证书号：</w:t>
            </w:r>
          </w:p>
        </w:tc>
      </w:tr>
      <w:tr w14:paraId="4A26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8FB85">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0227E4F">
            <w:pPr>
              <w:shd w:val="clear"/>
              <w:rPr>
                <w:rFonts w:hint="eastAsia" w:ascii="宋体" w:hAnsi="宋体" w:eastAsia="宋体" w:cs="宋体"/>
                <w:color w:val="auto"/>
                <w:sz w:val="21"/>
                <w:szCs w:val="21"/>
                <w:highlight w:val="none"/>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716A6488">
            <w:pPr>
              <w:pStyle w:val="35"/>
              <w:shd w:val="clear"/>
              <w:kinsoku/>
              <w:overflowPunct w:val="0"/>
              <w:spacing w:before="107"/>
              <w:ind w:left="117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员工总人数：</w:t>
            </w:r>
          </w:p>
        </w:tc>
      </w:tr>
      <w:tr w14:paraId="159A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27E70">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FA50B7F">
            <w:pPr>
              <w:shd w:val="clear"/>
              <w:rPr>
                <w:rFonts w:hint="eastAsia" w:ascii="宋体" w:hAnsi="宋体" w:eastAsia="宋体" w:cs="宋体"/>
                <w:color w:val="auto"/>
                <w:sz w:val="21"/>
                <w:szCs w:val="21"/>
                <w:highlight w:val="none"/>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61499">
            <w:pPr>
              <w:pStyle w:val="35"/>
              <w:shd w:val="clear"/>
              <w:kinsoku/>
              <w:overflowPunct w:val="0"/>
              <w:spacing w:line="384" w:lineRule="auto"/>
              <w:ind w:right="8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879E2">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355C061">
            <w:pPr>
              <w:shd w:val="clear"/>
              <w:rPr>
                <w:rFonts w:hint="eastAsia" w:ascii="宋体" w:hAnsi="宋体" w:eastAsia="宋体" w:cs="宋体"/>
                <w:color w:val="auto"/>
                <w:sz w:val="21"/>
                <w:szCs w:val="21"/>
                <w:highlight w:val="none"/>
              </w:rPr>
            </w:pPr>
          </w:p>
        </w:tc>
      </w:tr>
      <w:tr w14:paraId="788C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A6064">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51766785">
            <w:pPr>
              <w:shd w:val="clear"/>
              <w:rPr>
                <w:rFonts w:hint="eastAsia"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6A0737B">
            <w:pPr>
              <w:shd w:val="clear"/>
              <w:rPr>
                <w:rFonts w:hint="eastAsia"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71F1F">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61780FB">
            <w:pPr>
              <w:shd w:val="clear"/>
              <w:rPr>
                <w:rFonts w:hint="eastAsia" w:ascii="宋体" w:hAnsi="宋体" w:eastAsia="宋体" w:cs="宋体"/>
                <w:color w:val="auto"/>
                <w:sz w:val="21"/>
                <w:szCs w:val="21"/>
                <w:highlight w:val="none"/>
              </w:rPr>
            </w:pPr>
          </w:p>
        </w:tc>
      </w:tr>
      <w:tr w14:paraId="30C2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177F9">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47BDD841">
            <w:pPr>
              <w:shd w:val="clear"/>
              <w:rPr>
                <w:rFonts w:hint="eastAsia"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62A79627">
            <w:pPr>
              <w:shd w:val="clear"/>
              <w:rPr>
                <w:rFonts w:hint="eastAsia"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2C516">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9159877">
            <w:pPr>
              <w:shd w:val="clear"/>
              <w:rPr>
                <w:rFonts w:hint="eastAsia" w:ascii="宋体" w:hAnsi="宋体" w:eastAsia="宋体" w:cs="宋体"/>
                <w:color w:val="auto"/>
                <w:sz w:val="21"/>
                <w:szCs w:val="21"/>
                <w:highlight w:val="none"/>
              </w:rPr>
            </w:pPr>
          </w:p>
        </w:tc>
      </w:tr>
      <w:tr w14:paraId="7D5A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72875">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EA9B528">
            <w:pPr>
              <w:shd w:val="clear"/>
              <w:rPr>
                <w:rFonts w:hint="eastAsia" w:ascii="宋体" w:hAnsi="宋体" w:eastAsia="宋体" w:cs="宋体"/>
                <w:color w:val="auto"/>
                <w:sz w:val="21"/>
                <w:szCs w:val="21"/>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376E733E">
            <w:pPr>
              <w:shd w:val="clear"/>
              <w:rPr>
                <w:rFonts w:hint="eastAsia" w:ascii="宋体" w:hAnsi="宋体" w:eastAsia="宋体" w:cs="宋体"/>
                <w:color w:val="auto"/>
                <w:sz w:val="21"/>
                <w:szCs w:val="21"/>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A856C">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929618F">
            <w:pPr>
              <w:shd w:val="clear"/>
              <w:rPr>
                <w:rFonts w:hint="eastAsia" w:ascii="宋体" w:hAnsi="宋体" w:eastAsia="宋体" w:cs="宋体"/>
                <w:color w:val="auto"/>
                <w:sz w:val="21"/>
                <w:szCs w:val="21"/>
                <w:highlight w:val="none"/>
              </w:rPr>
            </w:pPr>
          </w:p>
        </w:tc>
      </w:tr>
      <w:tr w14:paraId="0D75C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41A86">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5008EBF8">
            <w:pPr>
              <w:shd w:val="clear"/>
              <w:rPr>
                <w:rFonts w:hint="eastAsia" w:ascii="宋体" w:hAnsi="宋体" w:eastAsia="宋体" w:cs="宋体"/>
                <w:color w:val="auto"/>
                <w:sz w:val="21"/>
                <w:szCs w:val="21"/>
                <w:highlight w:val="none"/>
              </w:rPr>
            </w:pPr>
          </w:p>
        </w:tc>
      </w:tr>
      <w:tr w14:paraId="1C58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11FDE">
            <w:pPr>
              <w:pStyle w:val="35"/>
              <w:shd w:val="clear"/>
              <w:kinsoku/>
              <w:overflowPunct w:val="0"/>
              <w:ind w:right="9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投标人关联企业情</w:t>
            </w:r>
            <w:r>
              <w:rPr>
                <w:rFonts w:hint="eastAsia" w:ascii="宋体" w:hAnsi="宋体" w:eastAsia="宋体" w:cs="宋体"/>
                <w:color w:val="auto"/>
                <w:spacing w:val="-8"/>
                <w:sz w:val="21"/>
                <w:szCs w:val="21"/>
                <w:highlight w:val="none"/>
              </w:rPr>
              <w:t>况（包括但不限于与</w:t>
            </w:r>
            <w:r>
              <w:rPr>
                <w:rFonts w:hint="eastAsia" w:ascii="宋体" w:hAnsi="宋体" w:eastAsia="宋体" w:cs="宋体"/>
                <w:color w:val="auto"/>
                <w:spacing w:val="-102"/>
                <w:sz w:val="21"/>
                <w:szCs w:val="21"/>
                <w:highlight w:val="none"/>
              </w:rPr>
              <w:t xml:space="preserve"> </w:t>
            </w:r>
            <w:r>
              <w:rPr>
                <w:rFonts w:hint="eastAsia" w:ascii="宋体" w:hAnsi="宋体" w:eastAsia="宋体" w:cs="宋体"/>
                <w:color w:val="auto"/>
                <w:sz w:val="21"/>
                <w:szCs w:val="21"/>
                <w:highlight w:val="none"/>
              </w:rPr>
              <w:t>投标人法定代表人为同一人或者存在</w:t>
            </w:r>
            <w:r>
              <w:rPr>
                <w:rFonts w:hint="eastAsia" w:ascii="宋体" w:hAnsi="宋体" w:eastAsia="宋体" w:cs="宋体"/>
                <w:color w:val="auto"/>
                <w:spacing w:val="-8"/>
                <w:sz w:val="21"/>
                <w:szCs w:val="21"/>
                <w:highlight w:val="none"/>
              </w:rPr>
              <w:t>控股、管理关系的不</w:t>
            </w:r>
            <w:r>
              <w:rPr>
                <w:rFonts w:hint="eastAsia" w:ascii="宋体" w:hAnsi="宋体" w:eastAsia="宋体" w:cs="宋体"/>
                <w:color w:val="auto"/>
                <w:sz w:val="21"/>
                <w:szCs w:val="21"/>
                <w:highlight w:val="none"/>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2AC476C1">
            <w:pPr>
              <w:shd w:val="clear"/>
              <w:rPr>
                <w:rFonts w:hint="eastAsia" w:ascii="宋体" w:hAnsi="宋体" w:eastAsia="宋体" w:cs="宋体"/>
                <w:color w:val="auto"/>
                <w:sz w:val="21"/>
                <w:szCs w:val="21"/>
                <w:highlight w:val="none"/>
              </w:rPr>
            </w:pPr>
          </w:p>
        </w:tc>
      </w:tr>
      <w:tr w14:paraId="6F7F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0A7AA">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45D78647">
            <w:pPr>
              <w:shd w:val="clear"/>
              <w:rPr>
                <w:rFonts w:hint="eastAsia" w:ascii="宋体" w:hAnsi="宋体" w:eastAsia="宋体" w:cs="宋体"/>
                <w:color w:val="auto"/>
                <w:sz w:val="21"/>
                <w:szCs w:val="21"/>
                <w:highlight w:val="none"/>
              </w:rPr>
            </w:pPr>
          </w:p>
        </w:tc>
      </w:tr>
    </w:tbl>
    <w:p w14:paraId="05994FAC">
      <w:pPr>
        <w:ind w:firstLine="400" w:firstLineChars="200"/>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注：本表后须按招标公告“3.投</w:t>
      </w:r>
      <w:r>
        <w:rPr>
          <w:rFonts w:hint="eastAsia" w:ascii="宋体" w:hAnsi="宋体" w:cs="宋体"/>
          <w:color w:val="auto"/>
          <w:spacing w:val="-5"/>
          <w:sz w:val="21"/>
          <w:szCs w:val="21"/>
          <w:highlight w:val="none"/>
          <w:lang w:val="en-US" w:eastAsia="zh-CN"/>
        </w:rPr>
        <w:t>标</w:t>
      </w:r>
      <w:r>
        <w:rPr>
          <w:rFonts w:hint="eastAsia" w:ascii="宋体" w:hAnsi="宋体" w:eastAsia="宋体" w:cs="宋体"/>
          <w:color w:val="auto"/>
          <w:spacing w:val="-5"/>
          <w:sz w:val="21"/>
          <w:szCs w:val="21"/>
          <w:highlight w:val="none"/>
        </w:rPr>
        <w:t>人资格要求”附相关证明材料。</w:t>
      </w:r>
    </w:p>
    <w:p w14:paraId="6D43660C">
      <w:pPr>
        <w:pStyle w:val="11"/>
        <w:shd w:val="clear"/>
        <w:kinsoku/>
        <w:overflowPunct w:val="0"/>
        <w:spacing w:before="74" w:line="331" w:lineRule="auto"/>
        <w:ind w:left="240"/>
        <w:rPr>
          <w:rFonts w:hint="eastAsia" w:ascii="宋体" w:hAnsi="宋体" w:eastAsia="宋体" w:cs="宋体"/>
          <w:color w:val="auto"/>
          <w:sz w:val="21"/>
          <w:szCs w:val="24"/>
          <w:highlight w:val="none"/>
        </w:rPr>
      </w:pPr>
    </w:p>
    <w:p w14:paraId="1FDAC7F8">
      <w:pPr>
        <w:rPr>
          <w:rFonts w:hint="eastAsia" w:ascii="宋体" w:hAnsi="宋体" w:eastAsia="宋体" w:cs="宋体"/>
          <w:color w:val="auto"/>
          <w:sz w:val="21"/>
          <w:szCs w:val="24"/>
          <w:highlight w:val="none"/>
        </w:rPr>
      </w:pPr>
    </w:p>
    <w:p w14:paraId="610C052C">
      <w:pPr>
        <w:pStyle w:val="5"/>
        <w:shd w:val="clear"/>
        <w:outlineLvl w:val="2"/>
        <w:rPr>
          <w:rFonts w:hint="eastAsia" w:ascii="宋体" w:hAnsi="宋体" w:eastAsia="宋体" w:cs="宋体"/>
          <w:b/>
          <w:color w:val="auto"/>
          <w:sz w:val="24"/>
          <w:szCs w:val="24"/>
          <w:highlight w:val="none"/>
        </w:rPr>
      </w:pPr>
      <w:bookmarkStart w:id="150" w:name="_Toc12503"/>
    </w:p>
    <w:p w14:paraId="3D21C71E">
      <w:pPr>
        <w:pStyle w:val="5"/>
        <w:shd w:val="clear"/>
        <w:jc w:val="center"/>
        <w:outlineLvl w:val="2"/>
        <w:rPr>
          <w:rFonts w:hint="eastAsia" w:ascii="宋体" w:hAnsi="宋体" w:eastAsia="宋体" w:cs="宋体"/>
          <w:b/>
          <w:color w:val="auto"/>
          <w:sz w:val="28"/>
          <w:szCs w:val="24"/>
          <w:highlight w:val="none"/>
        </w:rPr>
      </w:pPr>
      <w:r>
        <w:rPr>
          <w:rFonts w:hint="eastAsia" w:cs="宋体"/>
          <w:b/>
          <w:color w:val="auto"/>
          <w:sz w:val="28"/>
          <w:szCs w:val="24"/>
          <w:highlight w:val="none"/>
          <w:lang w:val="en-US" w:eastAsia="zh-CN"/>
        </w:rPr>
        <w:t>五</w:t>
      </w:r>
      <w:r>
        <w:rPr>
          <w:rFonts w:hint="eastAsia" w:ascii="宋体" w:hAnsi="宋体" w:eastAsia="宋体" w:cs="宋体"/>
          <w:b/>
          <w:color w:val="auto"/>
          <w:sz w:val="28"/>
          <w:szCs w:val="24"/>
          <w:highlight w:val="none"/>
        </w:rPr>
        <w:t>、</w:t>
      </w:r>
      <w:r>
        <w:rPr>
          <w:rFonts w:hint="eastAsia" w:ascii="宋体" w:hAnsi="宋体" w:eastAsia="宋体" w:cs="宋体"/>
          <w:b/>
          <w:color w:val="auto"/>
          <w:sz w:val="28"/>
          <w:szCs w:val="24"/>
          <w:highlight w:val="none"/>
          <w:lang w:eastAsia="zh-CN"/>
        </w:rPr>
        <w:t>资信业绩资料</w:t>
      </w:r>
    </w:p>
    <w:p w14:paraId="08B3CDE9">
      <w:pPr>
        <w:pStyle w:val="5"/>
        <w:shd w:val="clear"/>
        <w:outlineLvl w:val="2"/>
        <w:rPr>
          <w:rFonts w:hint="eastAsia" w:ascii="宋体" w:hAnsi="宋体" w:eastAsia="宋体" w:cs="宋体"/>
          <w:b/>
          <w:color w:val="auto"/>
          <w:sz w:val="24"/>
          <w:szCs w:val="24"/>
          <w:highlight w:val="none"/>
        </w:rPr>
      </w:pPr>
    </w:p>
    <w:p w14:paraId="10D76D18">
      <w:pPr>
        <w:pStyle w:val="5"/>
        <w:shd w:val="clear"/>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cs="宋体"/>
          <w:b/>
          <w:color w:val="auto"/>
          <w:sz w:val="24"/>
          <w:szCs w:val="24"/>
          <w:highlight w:val="none"/>
          <w:lang w:eastAsia="zh-CN"/>
        </w:rPr>
        <w:t>一</w:t>
      </w:r>
      <w:r>
        <w:rPr>
          <w:rFonts w:hint="eastAsia" w:ascii="宋体" w:hAnsi="宋体" w:eastAsia="宋体" w:cs="宋体"/>
          <w:b/>
          <w:color w:val="auto"/>
          <w:sz w:val="24"/>
          <w:szCs w:val="24"/>
          <w:highlight w:val="none"/>
        </w:rPr>
        <w:t>）近年完成的类似项目情况表</w:t>
      </w:r>
      <w:bookmarkEnd w:id="150"/>
    </w:p>
    <w:p w14:paraId="23451681">
      <w:pPr>
        <w:pStyle w:val="11"/>
        <w:shd w:val="clear"/>
        <w:kinsoku/>
        <w:overflowPunct w:val="0"/>
        <w:ind w:left="0"/>
        <w:rPr>
          <w:rFonts w:hint="eastAsia" w:ascii="宋体" w:hAnsi="宋体" w:eastAsia="宋体" w:cs="宋体"/>
          <w:color w:val="auto"/>
          <w:sz w:val="20"/>
          <w:szCs w:val="24"/>
          <w:highlight w:val="none"/>
        </w:rPr>
      </w:pPr>
    </w:p>
    <w:p w14:paraId="0E381A4B">
      <w:pPr>
        <w:pStyle w:val="11"/>
        <w:shd w:val="clear"/>
        <w:kinsoku/>
        <w:overflowPunct w:val="0"/>
        <w:spacing w:before="11"/>
        <w:ind w:left="0"/>
        <w:rPr>
          <w:rFonts w:hint="eastAsia" w:ascii="宋体" w:hAnsi="宋体" w:eastAsia="宋体" w:cs="宋体"/>
          <w:color w:val="auto"/>
          <w:sz w:val="22"/>
          <w:szCs w:val="24"/>
          <w:highlight w:val="none"/>
        </w:rPr>
      </w:pPr>
    </w:p>
    <w:tbl>
      <w:tblPr>
        <w:tblStyle w:val="24"/>
        <w:tblW w:w="4757" w:type="pct"/>
        <w:tblInd w:w="1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77"/>
        <w:gridCol w:w="1201"/>
        <w:gridCol w:w="1232"/>
        <w:gridCol w:w="1342"/>
        <w:gridCol w:w="1385"/>
        <w:gridCol w:w="1406"/>
        <w:gridCol w:w="1593"/>
      </w:tblGrid>
      <w:tr w14:paraId="2254A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383" w:type="pct"/>
            <w:tcBorders>
              <w:top w:val="single" w:color="auto" w:sz="6" w:space="0"/>
              <w:left w:val="single" w:color="auto" w:sz="6" w:space="0"/>
              <w:bottom w:val="single" w:color="auto" w:sz="4" w:space="0"/>
              <w:right w:val="single" w:color="auto" w:sz="4" w:space="0"/>
            </w:tcBorders>
            <w:noWrap w:val="0"/>
            <w:vAlign w:val="center"/>
          </w:tcPr>
          <w:p w14:paraId="7BA1EF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序号</w:t>
            </w:r>
          </w:p>
        </w:tc>
        <w:tc>
          <w:tcPr>
            <w:tcW w:w="679" w:type="pct"/>
            <w:tcBorders>
              <w:top w:val="single" w:color="auto" w:sz="6" w:space="0"/>
              <w:left w:val="nil"/>
              <w:bottom w:val="single" w:color="auto" w:sz="4" w:space="0"/>
              <w:right w:val="single" w:color="auto" w:sz="4" w:space="0"/>
            </w:tcBorders>
            <w:noWrap w:val="0"/>
            <w:vAlign w:val="center"/>
          </w:tcPr>
          <w:p w14:paraId="2A80667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项目名称</w:t>
            </w:r>
          </w:p>
        </w:tc>
        <w:tc>
          <w:tcPr>
            <w:tcW w:w="697" w:type="pct"/>
            <w:tcBorders>
              <w:top w:val="single" w:color="auto" w:sz="6" w:space="0"/>
              <w:left w:val="nil"/>
              <w:bottom w:val="single" w:color="auto" w:sz="4" w:space="0"/>
              <w:right w:val="single" w:color="auto" w:sz="4" w:space="0"/>
            </w:tcBorders>
            <w:noWrap w:val="0"/>
            <w:vAlign w:val="center"/>
          </w:tcPr>
          <w:p w14:paraId="6630190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合同金额</w:t>
            </w:r>
          </w:p>
        </w:tc>
        <w:tc>
          <w:tcPr>
            <w:tcW w:w="759" w:type="pct"/>
            <w:tcBorders>
              <w:top w:val="single" w:color="auto" w:sz="6" w:space="0"/>
              <w:left w:val="nil"/>
              <w:bottom w:val="single" w:color="auto" w:sz="4" w:space="0"/>
              <w:right w:val="single" w:color="auto" w:sz="4" w:space="0"/>
            </w:tcBorders>
            <w:noWrap w:val="0"/>
            <w:vAlign w:val="center"/>
          </w:tcPr>
          <w:p w14:paraId="45424F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项目地点</w:t>
            </w:r>
          </w:p>
        </w:tc>
        <w:tc>
          <w:tcPr>
            <w:tcW w:w="783" w:type="pct"/>
            <w:tcBorders>
              <w:top w:val="single" w:color="auto" w:sz="6" w:space="0"/>
              <w:left w:val="nil"/>
              <w:bottom w:val="single" w:color="auto" w:sz="4" w:space="0"/>
              <w:right w:val="single" w:color="auto" w:sz="4" w:space="0"/>
            </w:tcBorders>
            <w:noWrap w:val="0"/>
            <w:vAlign w:val="center"/>
          </w:tcPr>
          <w:p w14:paraId="379AAEB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日期</w:t>
            </w:r>
          </w:p>
        </w:tc>
        <w:tc>
          <w:tcPr>
            <w:tcW w:w="795" w:type="pct"/>
            <w:tcBorders>
              <w:top w:val="single" w:color="auto" w:sz="6" w:space="0"/>
              <w:left w:val="nil"/>
              <w:bottom w:val="single" w:color="auto" w:sz="4" w:space="0"/>
              <w:right w:val="single" w:color="auto" w:sz="4" w:space="0"/>
            </w:tcBorders>
            <w:noWrap w:val="0"/>
            <w:vAlign w:val="center"/>
          </w:tcPr>
          <w:p w14:paraId="7534BE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业主名称</w:t>
            </w:r>
          </w:p>
        </w:tc>
        <w:tc>
          <w:tcPr>
            <w:tcW w:w="901" w:type="pct"/>
            <w:tcBorders>
              <w:top w:val="single" w:color="auto" w:sz="6" w:space="0"/>
              <w:left w:val="nil"/>
              <w:bottom w:val="single" w:color="auto" w:sz="4" w:space="0"/>
              <w:right w:val="single" w:color="auto" w:sz="4" w:space="0"/>
            </w:tcBorders>
            <w:noWrap w:val="0"/>
            <w:vAlign w:val="center"/>
          </w:tcPr>
          <w:p w14:paraId="3AF80E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联系人</w:t>
            </w:r>
          </w:p>
          <w:p w14:paraId="6F0472D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position w:val="-30"/>
                <w:sz w:val="21"/>
                <w:szCs w:val="21"/>
                <w:highlight w:val="none"/>
                <w:lang w:val="en-US"/>
              </w:rPr>
            </w:pPr>
            <w:r>
              <w:rPr>
                <w:rFonts w:hint="eastAsia" w:ascii="宋体" w:hAnsi="宋体" w:eastAsia="宋体" w:cs="宋体"/>
                <w:color w:val="auto"/>
                <w:kern w:val="2"/>
                <w:position w:val="-30"/>
                <w:sz w:val="21"/>
                <w:szCs w:val="21"/>
                <w:highlight w:val="none"/>
                <w:lang w:val="en-US" w:eastAsia="zh-CN" w:bidi="ar"/>
              </w:rPr>
              <w:t>（联系电话）</w:t>
            </w:r>
          </w:p>
        </w:tc>
      </w:tr>
      <w:tr w14:paraId="09E83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2" w:hRule="atLeast"/>
        </w:trPr>
        <w:tc>
          <w:tcPr>
            <w:tcW w:w="383" w:type="pct"/>
            <w:tcBorders>
              <w:top w:val="single" w:color="auto" w:sz="4" w:space="0"/>
              <w:left w:val="single" w:color="auto" w:sz="6" w:space="0"/>
              <w:bottom w:val="single" w:color="auto" w:sz="4" w:space="0"/>
              <w:right w:val="single" w:color="auto" w:sz="4" w:space="0"/>
            </w:tcBorders>
            <w:noWrap w:val="0"/>
            <w:vAlign w:val="center"/>
          </w:tcPr>
          <w:p w14:paraId="283414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79" w:type="pct"/>
            <w:tcBorders>
              <w:top w:val="single" w:color="auto" w:sz="4" w:space="0"/>
              <w:left w:val="nil"/>
              <w:bottom w:val="single" w:color="auto" w:sz="4" w:space="0"/>
              <w:right w:val="single" w:color="auto" w:sz="4" w:space="0"/>
            </w:tcBorders>
            <w:noWrap w:val="0"/>
            <w:vAlign w:val="center"/>
          </w:tcPr>
          <w:p w14:paraId="67CF7C1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97" w:type="pct"/>
            <w:tcBorders>
              <w:top w:val="single" w:color="auto" w:sz="4" w:space="0"/>
              <w:left w:val="nil"/>
              <w:bottom w:val="single" w:color="auto" w:sz="4" w:space="0"/>
              <w:right w:val="single" w:color="auto" w:sz="4" w:space="0"/>
            </w:tcBorders>
            <w:noWrap w:val="0"/>
            <w:vAlign w:val="center"/>
          </w:tcPr>
          <w:p w14:paraId="2B9F392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59" w:type="pct"/>
            <w:tcBorders>
              <w:top w:val="single" w:color="auto" w:sz="4" w:space="0"/>
              <w:left w:val="nil"/>
              <w:bottom w:val="single" w:color="auto" w:sz="4" w:space="0"/>
              <w:right w:val="single" w:color="auto" w:sz="4" w:space="0"/>
            </w:tcBorders>
            <w:noWrap w:val="0"/>
            <w:vAlign w:val="center"/>
          </w:tcPr>
          <w:p w14:paraId="607C8D0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83" w:type="pct"/>
            <w:tcBorders>
              <w:top w:val="single" w:color="auto" w:sz="4" w:space="0"/>
              <w:left w:val="nil"/>
              <w:bottom w:val="single" w:color="auto" w:sz="4" w:space="0"/>
              <w:right w:val="single" w:color="auto" w:sz="4" w:space="0"/>
            </w:tcBorders>
            <w:noWrap w:val="0"/>
            <w:vAlign w:val="center"/>
          </w:tcPr>
          <w:p w14:paraId="49D0676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95" w:type="pct"/>
            <w:tcBorders>
              <w:top w:val="single" w:color="auto" w:sz="4" w:space="0"/>
              <w:left w:val="nil"/>
              <w:bottom w:val="single" w:color="auto" w:sz="4" w:space="0"/>
              <w:right w:val="single" w:color="auto" w:sz="4" w:space="0"/>
            </w:tcBorders>
            <w:noWrap w:val="0"/>
            <w:vAlign w:val="center"/>
          </w:tcPr>
          <w:p w14:paraId="0E63DAF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901" w:type="pct"/>
            <w:tcBorders>
              <w:top w:val="single" w:color="auto" w:sz="4" w:space="0"/>
              <w:left w:val="nil"/>
              <w:bottom w:val="single" w:color="auto" w:sz="4" w:space="0"/>
              <w:right w:val="single" w:color="auto" w:sz="4" w:space="0"/>
            </w:tcBorders>
            <w:noWrap w:val="0"/>
            <w:vAlign w:val="center"/>
          </w:tcPr>
          <w:p w14:paraId="0C4CC7D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r>
      <w:tr w14:paraId="4A58C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8" w:hRule="atLeast"/>
        </w:trPr>
        <w:tc>
          <w:tcPr>
            <w:tcW w:w="383" w:type="pct"/>
            <w:tcBorders>
              <w:top w:val="single" w:color="auto" w:sz="4" w:space="0"/>
              <w:left w:val="single" w:color="auto" w:sz="6" w:space="0"/>
              <w:bottom w:val="single" w:color="auto" w:sz="4" w:space="0"/>
              <w:right w:val="single" w:color="auto" w:sz="4" w:space="0"/>
            </w:tcBorders>
            <w:noWrap w:val="0"/>
            <w:vAlign w:val="center"/>
          </w:tcPr>
          <w:p w14:paraId="65DAC53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79" w:type="pct"/>
            <w:tcBorders>
              <w:top w:val="single" w:color="auto" w:sz="4" w:space="0"/>
              <w:left w:val="nil"/>
              <w:bottom w:val="single" w:color="auto" w:sz="4" w:space="0"/>
              <w:right w:val="single" w:color="auto" w:sz="4" w:space="0"/>
            </w:tcBorders>
            <w:noWrap w:val="0"/>
            <w:vAlign w:val="center"/>
          </w:tcPr>
          <w:p w14:paraId="391070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97" w:type="pct"/>
            <w:tcBorders>
              <w:top w:val="single" w:color="auto" w:sz="4" w:space="0"/>
              <w:left w:val="nil"/>
              <w:bottom w:val="single" w:color="auto" w:sz="4" w:space="0"/>
              <w:right w:val="single" w:color="auto" w:sz="4" w:space="0"/>
            </w:tcBorders>
            <w:noWrap w:val="0"/>
            <w:vAlign w:val="center"/>
          </w:tcPr>
          <w:p w14:paraId="5AA38ED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59" w:type="pct"/>
            <w:tcBorders>
              <w:top w:val="single" w:color="auto" w:sz="4" w:space="0"/>
              <w:left w:val="nil"/>
              <w:bottom w:val="single" w:color="auto" w:sz="4" w:space="0"/>
              <w:right w:val="single" w:color="auto" w:sz="4" w:space="0"/>
            </w:tcBorders>
            <w:noWrap w:val="0"/>
            <w:vAlign w:val="center"/>
          </w:tcPr>
          <w:p w14:paraId="7E867F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83" w:type="pct"/>
            <w:tcBorders>
              <w:top w:val="single" w:color="auto" w:sz="4" w:space="0"/>
              <w:left w:val="nil"/>
              <w:bottom w:val="single" w:color="auto" w:sz="4" w:space="0"/>
              <w:right w:val="single" w:color="auto" w:sz="4" w:space="0"/>
            </w:tcBorders>
            <w:noWrap w:val="0"/>
            <w:vAlign w:val="center"/>
          </w:tcPr>
          <w:p w14:paraId="18FDFD0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95" w:type="pct"/>
            <w:tcBorders>
              <w:top w:val="single" w:color="auto" w:sz="4" w:space="0"/>
              <w:left w:val="nil"/>
              <w:bottom w:val="single" w:color="auto" w:sz="4" w:space="0"/>
              <w:right w:val="single" w:color="auto" w:sz="4" w:space="0"/>
            </w:tcBorders>
            <w:noWrap w:val="0"/>
            <w:vAlign w:val="center"/>
          </w:tcPr>
          <w:p w14:paraId="61BC045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901" w:type="pct"/>
            <w:tcBorders>
              <w:top w:val="single" w:color="auto" w:sz="4" w:space="0"/>
              <w:left w:val="nil"/>
              <w:bottom w:val="single" w:color="auto" w:sz="4" w:space="0"/>
              <w:right w:val="single" w:color="auto" w:sz="4" w:space="0"/>
            </w:tcBorders>
            <w:noWrap w:val="0"/>
            <w:vAlign w:val="center"/>
          </w:tcPr>
          <w:p w14:paraId="79DF669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r>
      <w:tr w14:paraId="16E15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383" w:type="pct"/>
            <w:tcBorders>
              <w:top w:val="single" w:color="auto" w:sz="4" w:space="0"/>
              <w:left w:val="single" w:color="auto" w:sz="6" w:space="0"/>
              <w:bottom w:val="single" w:color="auto" w:sz="4" w:space="0"/>
              <w:right w:val="single" w:color="auto" w:sz="4" w:space="0"/>
            </w:tcBorders>
            <w:noWrap w:val="0"/>
            <w:vAlign w:val="center"/>
          </w:tcPr>
          <w:p w14:paraId="3F0703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79" w:type="pct"/>
            <w:tcBorders>
              <w:top w:val="single" w:color="auto" w:sz="4" w:space="0"/>
              <w:left w:val="nil"/>
              <w:bottom w:val="single" w:color="auto" w:sz="4" w:space="0"/>
              <w:right w:val="single" w:color="auto" w:sz="4" w:space="0"/>
            </w:tcBorders>
            <w:noWrap w:val="0"/>
            <w:vAlign w:val="center"/>
          </w:tcPr>
          <w:p w14:paraId="095039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97" w:type="pct"/>
            <w:tcBorders>
              <w:top w:val="single" w:color="auto" w:sz="4" w:space="0"/>
              <w:left w:val="nil"/>
              <w:bottom w:val="single" w:color="auto" w:sz="4" w:space="0"/>
              <w:right w:val="single" w:color="auto" w:sz="4" w:space="0"/>
            </w:tcBorders>
            <w:noWrap w:val="0"/>
            <w:vAlign w:val="center"/>
          </w:tcPr>
          <w:p w14:paraId="41C17B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59" w:type="pct"/>
            <w:tcBorders>
              <w:top w:val="single" w:color="auto" w:sz="4" w:space="0"/>
              <w:left w:val="nil"/>
              <w:bottom w:val="single" w:color="auto" w:sz="4" w:space="0"/>
              <w:right w:val="single" w:color="auto" w:sz="4" w:space="0"/>
            </w:tcBorders>
            <w:noWrap w:val="0"/>
            <w:vAlign w:val="center"/>
          </w:tcPr>
          <w:p w14:paraId="19C3CF2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83" w:type="pct"/>
            <w:tcBorders>
              <w:top w:val="single" w:color="auto" w:sz="4" w:space="0"/>
              <w:left w:val="nil"/>
              <w:bottom w:val="single" w:color="auto" w:sz="4" w:space="0"/>
              <w:right w:val="single" w:color="auto" w:sz="4" w:space="0"/>
            </w:tcBorders>
            <w:noWrap w:val="0"/>
            <w:vAlign w:val="center"/>
          </w:tcPr>
          <w:p w14:paraId="51BD382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95" w:type="pct"/>
            <w:tcBorders>
              <w:top w:val="single" w:color="auto" w:sz="4" w:space="0"/>
              <w:left w:val="nil"/>
              <w:bottom w:val="single" w:color="auto" w:sz="4" w:space="0"/>
              <w:right w:val="single" w:color="auto" w:sz="4" w:space="0"/>
            </w:tcBorders>
            <w:noWrap w:val="0"/>
            <w:vAlign w:val="center"/>
          </w:tcPr>
          <w:p w14:paraId="2B4FA65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901" w:type="pct"/>
            <w:tcBorders>
              <w:top w:val="single" w:color="auto" w:sz="4" w:space="0"/>
              <w:left w:val="nil"/>
              <w:bottom w:val="single" w:color="auto" w:sz="4" w:space="0"/>
              <w:right w:val="single" w:color="auto" w:sz="4" w:space="0"/>
            </w:tcBorders>
            <w:noWrap w:val="0"/>
            <w:vAlign w:val="center"/>
          </w:tcPr>
          <w:p w14:paraId="594DCEE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r>
      <w:tr w14:paraId="34AC4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trPr>
        <w:tc>
          <w:tcPr>
            <w:tcW w:w="383" w:type="pct"/>
            <w:tcBorders>
              <w:top w:val="single" w:color="auto" w:sz="4" w:space="0"/>
              <w:left w:val="single" w:color="auto" w:sz="6" w:space="0"/>
              <w:bottom w:val="single" w:color="auto" w:sz="4" w:space="0"/>
              <w:right w:val="single" w:color="auto" w:sz="4" w:space="0"/>
            </w:tcBorders>
            <w:noWrap w:val="0"/>
            <w:vAlign w:val="center"/>
          </w:tcPr>
          <w:p w14:paraId="562D5CD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79" w:type="pct"/>
            <w:tcBorders>
              <w:top w:val="single" w:color="auto" w:sz="4" w:space="0"/>
              <w:left w:val="nil"/>
              <w:bottom w:val="single" w:color="auto" w:sz="4" w:space="0"/>
              <w:right w:val="single" w:color="auto" w:sz="4" w:space="0"/>
            </w:tcBorders>
            <w:noWrap w:val="0"/>
            <w:vAlign w:val="center"/>
          </w:tcPr>
          <w:p w14:paraId="7D5516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697" w:type="pct"/>
            <w:tcBorders>
              <w:top w:val="single" w:color="auto" w:sz="4" w:space="0"/>
              <w:left w:val="nil"/>
              <w:bottom w:val="single" w:color="auto" w:sz="4" w:space="0"/>
              <w:right w:val="single" w:color="auto" w:sz="4" w:space="0"/>
            </w:tcBorders>
            <w:noWrap w:val="0"/>
            <w:vAlign w:val="center"/>
          </w:tcPr>
          <w:p w14:paraId="59B7AFC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59" w:type="pct"/>
            <w:tcBorders>
              <w:top w:val="single" w:color="auto" w:sz="4" w:space="0"/>
              <w:left w:val="nil"/>
              <w:bottom w:val="single" w:color="auto" w:sz="4" w:space="0"/>
              <w:right w:val="single" w:color="auto" w:sz="4" w:space="0"/>
            </w:tcBorders>
            <w:noWrap w:val="0"/>
            <w:vAlign w:val="center"/>
          </w:tcPr>
          <w:p w14:paraId="0870284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83" w:type="pct"/>
            <w:tcBorders>
              <w:top w:val="single" w:color="auto" w:sz="4" w:space="0"/>
              <w:left w:val="nil"/>
              <w:bottom w:val="single" w:color="auto" w:sz="4" w:space="0"/>
              <w:right w:val="single" w:color="auto" w:sz="4" w:space="0"/>
            </w:tcBorders>
            <w:noWrap w:val="0"/>
            <w:vAlign w:val="center"/>
          </w:tcPr>
          <w:p w14:paraId="34E0866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795" w:type="pct"/>
            <w:tcBorders>
              <w:top w:val="single" w:color="auto" w:sz="4" w:space="0"/>
              <w:left w:val="nil"/>
              <w:bottom w:val="single" w:color="auto" w:sz="4" w:space="0"/>
              <w:right w:val="single" w:color="auto" w:sz="4" w:space="0"/>
            </w:tcBorders>
            <w:noWrap w:val="0"/>
            <w:vAlign w:val="center"/>
          </w:tcPr>
          <w:p w14:paraId="735229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c>
          <w:tcPr>
            <w:tcW w:w="901" w:type="pct"/>
            <w:tcBorders>
              <w:top w:val="single" w:color="auto" w:sz="4" w:space="0"/>
              <w:left w:val="nil"/>
              <w:bottom w:val="single" w:color="auto" w:sz="4" w:space="0"/>
              <w:right w:val="single" w:color="auto" w:sz="4" w:space="0"/>
            </w:tcBorders>
            <w:noWrap w:val="0"/>
            <w:vAlign w:val="center"/>
          </w:tcPr>
          <w:p w14:paraId="5C91083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position w:val="-30"/>
                <w:sz w:val="24"/>
                <w:szCs w:val="24"/>
                <w:highlight w:val="none"/>
                <w:lang w:val="en-US"/>
              </w:rPr>
            </w:pPr>
          </w:p>
        </w:tc>
      </w:tr>
    </w:tbl>
    <w:p w14:paraId="54C11BBF">
      <w:pPr>
        <w:ind w:firstLine="0" w:firstLineChars="0"/>
        <w:jc w:val="left"/>
        <w:rPr>
          <w:rFonts w:ascii="宋体" w:hAnsi="宋体"/>
          <w:color w:val="auto"/>
          <w:sz w:val="24"/>
          <w:highlight w:val="none"/>
        </w:rPr>
      </w:pPr>
      <w:r>
        <w:rPr>
          <w:rFonts w:hint="eastAsia" w:ascii="宋体" w:hAnsi="宋体" w:eastAsia="宋体" w:cs="宋体"/>
          <w:color w:val="auto"/>
          <w:sz w:val="21"/>
          <w:szCs w:val="21"/>
          <w:highlight w:val="none"/>
        </w:rPr>
        <w:t>注：按评</w:t>
      </w:r>
      <w:r>
        <w:rPr>
          <w:rFonts w:hint="eastAsia" w:ascii="宋体" w:hAnsi="宋体" w:cs="宋体"/>
          <w:color w:val="auto"/>
          <w:sz w:val="21"/>
          <w:szCs w:val="21"/>
          <w:highlight w:val="none"/>
        </w:rPr>
        <w:t>分表附相关的证明材料扫描件。</w:t>
      </w:r>
    </w:p>
    <w:p w14:paraId="1CE6882F">
      <w:pPr>
        <w:spacing w:line="0" w:lineRule="atLeast"/>
        <w:jc w:val="left"/>
        <w:rPr>
          <w:rFonts w:ascii="宋体" w:hAnsi="宋体"/>
          <w:color w:val="auto"/>
          <w:sz w:val="24"/>
          <w:highlight w:val="none"/>
        </w:rPr>
      </w:pPr>
    </w:p>
    <w:p w14:paraId="00A68246">
      <w:pPr>
        <w:pStyle w:val="11"/>
        <w:shd w:val="clear"/>
        <w:kinsoku/>
        <w:overflowPunct w:val="0"/>
        <w:spacing w:before="6"/>
        <w:ind w:left="0"/>
        <w:rPr>
          <w:rFonts w:hint="eastAsia" w:ascii="宋体" w:hAnsi="宋体" w:eastAsia="宋体" w:cs="宋体"/>
          <w:color w:val="auto"/>
          <w:sz w:val="24"/>
          <w:szCs w:val="24"/>
          <w:highlight w:val="none"/>
        </w:rPr>
      </w:pPr>
    </w:p>
    <w:p w14:paraId="67347E41">
      <w:pPr>
        <w:pStyle w:val="11"/>
        <w:shd w:val="clear"/>
        <w:kinsoku/>
        <w:overflowPunct w:val="0"/>
        <w:spacing w:before="36"/>
        <w:ind w:left="100"/>
        <w:rPr>
          <w:rFonts w:hint="eastAsia" w:ascii="宋体" w:hAnsi="宋体" w:eastAsia="宋体" w:cs="宋体"/>
          <w:color w:val="auto"/>
          <w:sz w:val="24"/>
          <w:szCs w:val="24"/>
          <w:highlight w:val="none"/>
        </w:rPr>
      </w:pPr>
    </w:p>
    <w:p w14:paraId="2D1AE17E">
      <w:pPr>
        <w:pStyle w:val="11"/>
        <w:shd w:val="clear"/>
        <w:kinsoku/>
        <w:overflowPunct w:val="0"/>
        <w:spacing w:before="36"/>
        <w:ind w:left="100"/>
        <w:rPr>
          <w:rFonts w:hint="eastAsia" w:ascii="宋体" w:hAnsi="宋体" w:eastAsia="宋体" w:cs="宋体"/>
          <w:color w:val="auto"/>
          <w:sz w:val="21"/>
          <w:szCs w:val="24"/>
          <w:highlight w:val="none"/>
        </w:rPr>
        <w:sectPr>
          <w:headerReference r:id="rId6" w:type="default"/>
          <w:pgSz w:w="11905" w:h="16838"/>
          <w:pgMar w:top="1417" w:right="1417" w:bottom="1417" w:left="1417" w:header="737" w:footer="737" w:gutter="0"/>
          <w:lnNumType w:countBy="0" w:distance="360"/>
          <w:pgNumType w:fmt="decimal"/>
          <w:cols w:space="720" w:num="1"/>
        </w:sectPr>
      </w:pPr>
    </w:p>
    <w:p w14:paraId="685DE5CE">
      <w:pPr>
        <w:pStyle w:val="5"/>
        <w:shd w:val="clear"/>
        <w:outlineLvl w:val="2"/>
        <w:rPr>
          <w:rFonts w:hint="eastAsia" w:ascii="宋体" w:hAnsi="宋体" w:eastAsia="宋体" w:cs="宋体"/>
          <w:b/>
          <w:color w:val="auto"/>
          <w:sz w:val="24"/>
          <w:szCs w:val="24"/>
          <w:highlight w:val="none"/>
        </w:rPr>
      </w:pPr>
      <w:bookmarkStart w:id="151" w:name="bookmark189"/>
      <w:bookmarkEnd w:id="151"/>
      <w:bookmarkStart w:id="152" w:name="bookmark190"/>
      <w:bookmarkEnd w:id="152"/>
      <w:bookmarkStart w:id="153" w:name="bookmark188"/>
      <w:bookmarkEnd w:id="153"/>
      <w:bookmarkStart w:id="154" w:name="_Toc12109"/>
      <w:r>
        <w:rPr>
          <w:rFonts w:hint="eastAsia" w:ascii="宋体" w:hAnsi="宋体" w:eastAsia="宋体" w:cs="宋体"/>
          <w:b/>
          <w:color w:val="auto"/>
          <w:sz w:val="24"/>
          <w:szCs w:val="24"/>
          <w:highlight w:val="none"/>
        </w:rPr>
        <w:t>（</w:t>
      </w:r>
      <w:r>
        <w:rPr>
          <w:rFonts w:hint="eastAsia" w:cs="宋体"/>
          <w:b/>
          <w:color w:val="auto"/>
          <w:sz w:val="24"/>
          <w:szCs w:val="24"/>
          <w:highlight w:val="none"/>
          <w:lang w:eastAsia="zh-CN"/>
        </w:rPr>
        <w:t>二</w:t>
      </w:r>
      <w:r>
        <w:rPr>
          <w:rFonts w:hint="eastAsia" w:ascii="宋体" w:hAnsi="宋体" w:eastAsia="宋体" w:cs="宋体"/>
          <w:b/>
          <w:color w:val="auto"/>
          <w:sz w:val="24"/>
          <w:szCs w:val="24"/>
          <w:highlight w:val="none"/>
        </w:rPr>
        <w:t>）拟委任的主要人员汇总表</w:t>
      </w:r>
      <w:bookmarkEnd w:id="154"/>
    </w:p>
    <w:p w14:paraId="2DD85CFA">
      <w:pPr>
        <w:pStyle w:val="11"/>
        <w:shd w:val="clear"/>
        <w:kinsoku/>
        <w:overflowPunct w:val="0"/>
        <w:ind w:left="0"/>
        <w:rPr>
          <w:rFonts w:hint="eastAsia" w:ascii="宋体" w:hAnsi="宋体" w:eastAsia="宋体" w:cs="宋体"/>
          <w:color w:val="auto"/>
          <w:sz w:val="20"/>
          <w:szCs w:val="24"/>
          <w:highlight w:val="none"/>
        </w:rPr>
      </w:pPr>
    </w:p>
    <w:p w14:paraId="7CDE0600">
      <w:pPr>
        <w:pStyle w:val="11"/>
        <w:shd w:val="clear"/>
        <w:kinsoku/>
        <w:overflowPunct w:val="0"/>
        <w:spacing w:before="11"/>
        <w:ind w:left="0"/>
        <w:rPr>
          <w:rFonts w:hint="eastAsia" w:ascii="宋体" w:hAnsi="宋体" w:eastAsia="宋体" w:cs="宋体"/>
          <w:color w:val="auto"/>
          <w:sz w:val="22"/>
          <w:szCs w:val="24"/>
          <w:highlight w:val="none"/>
        </w:rPr>
      </w:pPr>
    </w:p>
    <w:tbl>
      <w:tblPr>
        <w:tblStyle w:val="24"/>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1275"/>
        <w:gridCol w:w="991"/>
        <w:gridCol w:w="895"/>
        <w:gridCol w:w="975"/>
        <w:gridCol w:w="844"/>
        <w:gridCol w:w="881"/>
        <w:gridCol w:w="825"/>
        <w:gridCol w:w="1275"/>
      </w:tblGrid>
      <w:tr w14:paraId="2E91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44389">
            <w:pPr>
              <w:pStyle w:val="35"/>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79659">
            <w:pPr>
              <w:pStyle w:val="35"/>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7149D">
            <w:pPr>
              <w:pStyle w:val="35"/>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姓名</w:t>
            </w:r>
          </w:p>
        </w:tc>
        <w:tc>
          <w:tcPr>
            <w:tcW w:w="8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DAFD6">
            <w:pPr>
              <w:pStyle w:val="35"/>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职 称</w:t>
            </w:r>
          </w:p>
        </w:tc>
        <w:tc>
          <w:tcPr>
            <w:tcW w:w="9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97AEB">
            <w:pPr>
              <w:pStyle w:val="35"/>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专 业</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47534">
            <w:pPr>
              <w:pStyle w:val="35"/>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执业或职业资格证明</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16759">
            <w:pPr>
              <w:pStyle w:val="35"/>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备注</w:t>
            </w:r>
          </w:p>
        </w:tc>
      </w:tr>
      <w:tr w14:paraId="26CD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jc w:val="center"/>
        </w:trPr>
        <w:tc>
          <w:tcPr>
            <w:tcW w:w="8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26A76">
            <w:pPr>
              <w:pStyle w:val="35"/>
              <w:shd w:val="clear"/>
              <w:kinsoku/>
              <w:overflowPunct w:val="0"/>
              <w:spacing w:line="240" w:lineRule="atLeast"/>
              <w:jc w:val="center"/>
              <w:rPr>
                <w:rFonts w:hint="eastAsia" w:ascii="宋体" w:hAnsi="宋体" w:eastAsia="宋体" w:cs="宋体"/>
                <w:color w:val="auto"/>
                <w:sz w:val="21"/>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3244F">
            <w:pPr>
              <w:pStyle w:val="35"/>
              <w:shd w:val="clear"/>
              <w:kinsoku/>
              <w:overflowPunct w:val="0"/>
              <w:spacing w:line="240" w:lineRule="atLeast"/>
              <w:jc w:val="center"/>
              <w:rPr>
                <w:rFonts w:hint="eastAsia" w:ascii="宋体" w:hAnsi="宋体" w:eastAsia="宋体" w:cs="宋体"/>
                <w:color w:val="auto"/>
                <w:sz w:val="21"/>
                <w:szCs w:val="24"/>
                <w:highlight w:val="none"/>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B3EB1">
            <w:pPr>
              <w:pStyle w:val="35"/>
              <w:shd w:val="clear"/>
              <w:kinsoku/>
              <w:overflowPunct w:val="0"/>
              <w:spacing w:line="240" w:lineRule="atLeast"/>
              <w:jc w:val="center"/>
              <w:rPr>
                <w:rFonts w:hint="eastAsia" w:ascii="宋体" w:hAnsi="宋体" w:eastAsia="宋体" w:cs="宋体"/>
                <w:color w:val="auto"/>
                <w:sz w:val="21"/>
                <w:szCs w:val="24"/>
                <w:highlight w:val="none"/>
              </w:rPr>
            </w:pPr>
          </w:p>
        </w:tc>
        <w:tc>
          <w:tcPr>
            <w:tcW w:w="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FF4DB">
            <w:pPr>
              <w:pStyle w:val="35"/>
              <w:shd w:val="clear"/>
              <w:kinsoku/>
              <w:overflowPunct w:val="0"/>
              <w:spacing w:line="240" w:lineRule="atLeast"/>
              <w:jc w:val="center"/>
              <w:rPr>
                <w:rFonts w:hint="eastAsia" w:ascii="宋体" w:hAnsi="宋体" w:eastAsia="宋体" w:cs="宋体"/>
                <w:color w:val="auto"/>
                <w:sz w:val="21"/>
                <w:szCs w:val="24"/>
                <w:highlight w:val="none"/>
              </w:rPr>
            </w:pPr>
          </w:p>
        </w:tc>
        <w:tc>
          <w:tcPr>
            <w:tcW w:w="9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486D5">
            <w:pPr>
              <w:pStyle w:val="35"/>
              <w:shd w:val="clear"/>
              <w:kinsoku/>
              <w:overflowPunct w:val="0"/>
              <w:spacing w:line="240" w:lineRule="atLeast"/>
              <w:jc w:val="center"/>
              <w:rPr>
                <w:rFonts w:hint="eastAsia" w:ascii="宋体" w:hAnsi="宋体" w:eastAsia="宋体" w:cs="宋体"/>
                <w:color w:val="auto"/>
                <w:sz w:val="21"/>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7ED19">
            <w:pPr>
              <w:pStyle w:val="35"/>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A826FE">
            <w:pPr>
              <w:pStyle w:val="35"/>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53809">
            <w:pPr>
              <w:pStyle w:val="35"/>
              <w:shd w:val="clear"/>
              <w:kinsoku/>
              <w:overflowPunct w:val="0"/>
              <w:spacing w:line="240" w:lineRule="atLeast"/>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证号</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DA46B">
            <w:pPr>
              <w:shd w:val="clear"/>
              <w:spacing w:line="240" w:lineRule="atLeast"/>
              <w:jc w:val="center"/>
              <w:rPr>
                <w:rFonts w:hint="eastAsia" w:ascii="宋体" w:hAnsi="宋体" w:eastAsia="宋体" w:cs="宋体"/>
                <w:color w:val="auto"/>
                <w:sz w:val="21"/>
                <w:szCs w:val="24"/>
                <w:highlight w:val="none"/>
              </w:rPr>
            </w:pPr>
          </w:p>
        </w:tc>
      </w:tr>
      <w:tr w14:paraId="2AD9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7B993A">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23DAEB">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C73CBA">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9ABAB6">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1DF49C">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43070D">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094D7B">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11EECD">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918D6D">
            <w:pPr>
              <w:shd w:val="clear"/>
              <w:rPr>
                <w:rFonts w:hint="eastAsia" w:ascii="宋体" w:hAnsi="宋体" w:eastAsia="宋体" w:cs="宋体"/>
                <w:color w:val="auto"/>
                <w:sz w:val="24"/>
                <w:szCs w:val="24"/>
                <w:highlight w:val="none"/>
              </w:rPr>
            </w:pPr>
          </w:p>
        </w:tc>
      </w:tr>
      <w:tr w14:paraId="08C7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BD2328">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362D89">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CAFEF7">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877F60">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FF2B85">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89FB29">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F60F08">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9B6382">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F3929C">
            <w:pPr>
              <w:shd w:val="clear"/>
              <w:rPr>
                <w:rFonts w:hint="eastAsia" w:ascii="宋体" w:hAnsi="宋体" w:eastAsia="宋体" w:cs="宋体"/>
                <w:color w:val="auto"/>
                <w:sz w:val="24"/>
                <w:szCs w:val="24"/>
                <w:highlight w:val="none"/>
              </w:rPr>
            </w:pPr>
          </w:p>
        </w:tc>
      </w:tr>
      <w:tr w14:paraId="52C9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193810">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03B274">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B6DE23">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8B5663">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8D77E0">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CF6E63">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6998C5">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7FA112">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F44215">
            <w:pPr>
              <w:shd w:val="clear"/>
              <w:rPr>
                <w:rFonts w:hint="eastAsia" w:ascii="宋体" w:hAnsi="宋体" w:eastAsia="宋体" w:cs="宋体"/>
                <w:color w:val="auto"/>
                <w:sz w:val="24"/>
                <w:szCs w:val="24"/>
                <w:highlight w:val="none"/>
              </w:rPr>
            </w:pPr>
          </w:p>
        </w:tc>
      </w:tr>
      <w:tr w14:paraId="3583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70126A">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E0C3CB">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288C86">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92555A">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19381B">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9DF6CA">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E45C53">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A46AEF">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0DA7CE">
            <w:pPr>
              <w:shd w:val="clear"/>
              <w:rPr>
                <w:rFonts w:hint="eastAsia" w:ascii="宋体" w:hAnsi="宋体" w:eastAsia="宋体" w:cs="宋体"/>
                <w:color w:val="auto"/>
                <w:sz w:val="24"/>
                <w:szCs w:val="24"/>
                <w:highlight w:val="none"/>
              </w:rPr>
            </w:pPr>
          </w:p>
        </w:tc>
      </w:tr>
      <w:tr w14:paraId="6BD4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DF7EF4">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2E97F1">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8B5ACD">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B9E5F7">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3385E0">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8C9EF7">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F91757">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40F371">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91077C">
            <w:pPr>
              <w:shd w:val="clear"/>
              <w:rPr>
                <w:rFonts w:hint="eastAsia" w:ascii="宋体" w:hAnsi="宋体" w:eastAsia="宋体" w:cs="宋体"/>
                <w:color w:val="auto"/>
                <w:sz w:val="24"/>
                <w:szCs w:val="24"/>
                <w:highlight w:val="none"/>
              </w:rPr>
            </w:pPr>
          </w:p>
        </w:tc>
      </w:tr>
      <w:tr w14:paraId="0D88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9D79C6">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E0966B">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3DA060">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966311">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7E2534">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FF8825">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E9940B">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F7B62B">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8C6A4C">
            <w:pPr>
              <w:shd w:val="clear"/>
              <w:rPr>
                <w:rFonts w:hint="eastAsia" w:ascii="宋体" w:hAnsi="宋体" w:eastAsia="宋体" w:cs="宋体"/>
                <w:color w:val="auto"/>
                <w:sz w:val="24"/>
                <w:szCs w:val="24"/>
                <w:highlight w:val="none"/>
              </w:rPr>
            </w:pPr>
          </w:p>
        </w:tc>
      </w:tr>
      <w:tr w14:paraId="35EB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6E9459">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57104F">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6979EE">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972E13">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01CD9C">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194A5E">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F8E6A4">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720E12">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49360E">
            <w:pPr>
              <w:shd w:val="clear"/>
              <w:rPr>
                <w:rFonts w:hint="eastAsia" w:ascii="宋体" w:hAnsi="宋体" w:eastAsia="宋体" w:cs="宋体"/>
                <w:color w:val="auto"/>
                <w:sz w:val="24"/>
                <w:szCs w:val="24"/>
                <w:highlight w:val="none"/>
              </w:rPr>
            </w:pPr>
          </w:p>
        </w:tc>
      </w:tr>
      <w:tr w14:paraId="7A6D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99CC85">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703918">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9AACCC">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CF3C13">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DB2BCF">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2878B0">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B703B9">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9BEFE9">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3C3E8B">
            <w:pPr>
              <w:shd w:val="clear"/>
              <w:rPr>
                <w:rFonts w:hint="eastAsia" w:ascii="宋体" w:hAnsi="宋体" w:eastAsia="宋体" w:cs="宋体"/>
                <w:color w:val="auto"/>
                <w:sz w:val="24"/>
                <w:szCs w:val="24"/>
                <w:highlight w:val="none"/>
              </w:rPr>
            </w:pPr>
          </w:p>
        </w:tc>
      </w:tr>
      <w:tr w14:paraId="3C3D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353F3B">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A2BE97">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51EC7D">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30AA5A">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048755">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2EAFB4">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C670A9">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5566F3">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B22CE9">
            <w:pPr>
              <w:shd w:val="clear"/>
              <w:rPr>
                <w:rFonts w:hint="eastAsia" w:ascii="宋体" w:hAnsi="宋体" w:eastAsia="宋体" w:cs="宋体"/>
                <w:color w:val="auto"/>
                <w:sz w:val="24"/>
                <w:szCs w:val="24"/>
                <w:highlight w:val="none"/>
              </w:rPr>
            </w:pPr>
          </w:p>
        </w:tc>
      </w:tr>
      <w:tr w14:paraId="14A1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5AABD6">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2AFEAC">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DD78F4">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E08069">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8E0F32">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808A6B">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AAE091">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8411C2">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537B8C">
            <w:pPr>
              <w:shd w:val="clear"/>
              <w:rPr>
                <w:rFonts w:hint="eastAsia" w:ascii="宋体" w:hAnsi="宋体" w:eastAsia="宋体" w:cs="宋体"/>
                <w:color w:val="auto"/>
                <w:sz w:val="24"/>
                <w:szCs w:val="24"/>
                <w:highlight w:val="none"/>
              </w:rPr>
            </w:pPr>
          </w:p>
        </w:tc>
      </w:tr>
      <w:tr w14:paraId="6271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F51DC0">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52805B">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8BA9B1">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C269B4">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099FD7">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B741E2">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0D12E6">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3DC2F0">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944380">
            <w:pPr>
              <w:shd w:val="clear"/>
              <w:rPr>
                <w:rFonts w:hint="eastAsia" w:ascii="宋体" w:hAnsi="宋体" w:eastAsia="宋体" w:cs="宋体"/>
                <w:color w:val="auto"/>
                <w:sz w:val="24"/>
                <w:szCs w:val="24"/>
                <w:highlight w:val="none"/>
              </w:rPr>
            </w:pPr>
          </w:p>
        </w:tc>
      </w:tr>
      <w:tr w14:paraId="1DDE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045BA6">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B0FB3E">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395AE5">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2D4DB0">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ACD047">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6D00A4">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1C2904">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921A65">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BFAEAB">
            <w:pPr>
              <w:shd w:val="clear"/>
              <w:rPr>
                <w:rFonts w:hint="eastAsia" w:ascii="宋体" w:hAnsi="宋体" w:eastAsia="宋体" w:cs="宋体"/>
                <w:color w:val="auto"/>
                <w:sz w:val="24"/>
                <w:szCs w:val="24"/>
                <w:highlight w:val="none"/>
              </w:rPr>
            </w:pPr>
          </w:p>
        </w:tc>
      </w:tr>
      <w:tr w14:paraId="1655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41CC1C">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DE2A45">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628C15">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AEE019">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DE535E">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108BBE">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CD9FAC">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C9A743">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2671AB">
            <w:pPr>
              <w:shd w:val="clear"/>
              <w:rPr>
                <w:rFonts w:hint="eastAsia" w:ascii="宋体" w:hAnsi="宋体" w:eastAsia="宋体" w:cs="宋体"/>
                <w:color w:val="auto"/>
                <w:sz w:val="24"/>
                <w:szCs w:val="24"/>
                <w:highlight w:val="none"/>
              </w:rPr>
            </w:pPr>
          </w:p>
        </w:tc>
      </w:tr>
      <w:tr w14:paraId="00F3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FCEF99">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AD2323">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D740CD">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E49AD1">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0EAF2F">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A4C235">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97944D">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B68DEE">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637652">
            <w:pPr>
              <w:shd w:val="clear"/>
              <w:rPr>
                <w:rFonts w:hint="eastAsia" w:ascii="宋体" w:hAnsi="宋体" w:eastAsia="宋体" w:cs="宋体"/>
                <w:color w:val="auto"/>
                <w:sz w:val="24"/>
                <w:szCs w:val="24"/>
                <w:highlight w:val="none"/>
              </w:rPr>
            </w:pPr>
          </w:p>
        </w:tc>
      </w:tr>
      <w:tr w14:paraId="2EB4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B829D2">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161753">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2E6696">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3A1E29">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F31CBA">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975F52">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4AF1B8">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93DEE8">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47D5A3">
            <w:pPr>
              <w:shd w:val="clear"/>
              <w:rPr>
                <w:rFonts w:hint="eastAsia" w:ascii="宋体" w:hAnsi="宋体" w:eastAsia="宋体" w:cs="宋体"/>
                <w:color w:val="auto"/>
                <w:sz w:val="24"/>
                <w:szCs w:val="24"/>
                <w:highlight w:val="none"/>
              </w:rPr>
            </w:pPr>
          </w:p>
        </w:tc>
      </w:tr>
      <w:tr w14:paraId="5202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D54AE1">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DB4CDB">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84B388">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63917D">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B9F711">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C61908">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A4ED5E">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9BD3A6">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930CAA">
            <w:pPr>
              <w:shd w:val="clear"/>
              <w:rPr>
                <w:rFonts w:hint="eastAsia" w:ascii="宋体" w:hAnsi="宋体" w:eastAsia="宋体" w:cs="宋体"/>
                <w:color w:val="auto"/>
                <w:sz w:val="24"/>
                <w:szCs w:val="24"/>
                <w:highlight w:val="none"/>
              </w:rPr>
            </w:pPr>
          </w:p>
        </w:tc>
      </w:tr>
      <w:tr w14:paraId="237C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7E44C7">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1B665A">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661FD4">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001146">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67815E">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A0A178">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AF995E">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31F2E3">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C3D377">
            <w:pPr>
              <w:shd w:val="clear"/>
              <w:rPr>
                <w:rFonts w:hint="eastAsia" w:ascii="宋体" w:hAnsi="宋体" w:eastAsia="宋体" w:cs="宋体"/>
                <w:color w:val="auto"/>
                <w:sz w:val="24"/>
                <w:szCs w:val="24"/>
                <w:highlight w:val="none"/>
              </w:rPr>
            </w:pPr>
          </w:p>
        </w:tc>
      </w:tr>
      <w:tr w14:paraId="6EC5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56B3A0">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2BAAA3">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6FE516">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CE1C28">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D08CF7">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135A61">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0B8AD6">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F074BC">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2806CE">
            <w:pPr>
              <w:shd w:val="clear"/>
              <w:rPr>
                <w:rFonts w:hint="eastAsia" w:ascii="宋体" w:hAnsi="宋体" w:eastAsia="宋体" w:cs="宋体"/>
                <w:color w:val="auto"/>
                <w:sz w:val="24"/>
                <w:szCs w:val="24"/>
                <w:highlight w:val="none"/>
              </w:rPr>
            </w:pPr>
          </w:p>
        </w:tc>
      </w:tr>
      <w:tr w14:paraId="696B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BA1643">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F18EEC">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4C1395">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BB265E">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7ADAFE">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E0F987">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047F10">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0D0616">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B79E62">
            <w:pPr>
              <w:shd w:val="clear"/>
              <w:rPr>
                <w:rFonts w:hint="eastAsia" w:ascii="宋体" w:hAnsi="宋体" w:eastAsia="宋体" w:cs="宋体"/>
                <w:color w:val="auto"/>
                <w:sz w:val="24"/>
                <w:szCs w:val="24"/>
                <w:highlight w:val="none"/>
              </w:rPr>
            </w:pPr>
          </w:p>
        </w:tc>
      </w:tr>
      <w:tr w14:paraId="7384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3C86AD">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8C154D">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4B8BB2">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6DBAC8">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A8A4D7">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CF890C">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1A5663">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DAA5A4">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3600C9">
            <w:pPr>
              <w:shd w:val="clear"/>
              <w:rPr>
                <w:rFonts w:hint="eastAsia" w:ascii="宋体" w:hAnsi="宋体" w:eastAsia="宋体" w:cs="宋体"/>
                <w:color w:val="auto"/>
                <w:sz w:val="24"/>
                <w:szCs w:val="24"/>
                <w:highlight w:val="none"/>
              </w:rPr>
            </w:pPr>
          </w:p>
        </w:tc>
      </w:tr>
      <w:tr w14:paraId="3E0D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2D3EA5">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CADFD3">
            <w:pPr>
              <w:shd w:val="clear"/>
              <w:rPr>
                <w:rFonts w:hint="eastAsia" w:ascii="宋体" w:hAnsi="宋体" w:eastAsia="宋体" w:cs="宋体"/>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B229E8">
            <w:pPr>
              <w:shd w:val="clea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9FA4E7">
            <w:pPr>
              <w:shd w:val="clear"/>
              <w:rPr>
                <w:rFonts w:hint="eastAsia" w:ascii="宋体" w:hAnsi="宋体" w:eastAsia="宋体" w:cs="宋体"/>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638D81">
            <w:pPr>
              <w:shd w:val="clear"/>
              <w:rPr>
                <w:rFonts w:hint="eastAsia" w:ascii="宋体" w:hAnsi="宋体" w:eastAsia="宋体" w:cs="宋体"/>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BE273C">
            <w:pPr>
              <w:shd w:val="clear"/>
              <w:rPr>
                <w:rFonts w:hint="eastAsia" w:ascii="宋体" w:hAnsi="宋体" w:eastAsia="宋体" w:cs="宋体"/>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F28D1C">
            <w:pPr>
              <w:shd w:val="clear"/>
              <w:rPr>
                <w:rFonts w:hint="eastAsia" w:ascii="宋体" w:hAnsi="宋体" w:eastAsia="宋体" w:cs="宋体"/>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C7525B">
            <w:pPr>
              <w:shd w:val="clear"/>
              <w:rPr>
                <w:rFonts w:hint="eastAsia" w:ascii="宋体" w:hAnsi="宋体" w:eastAsia="宋体" w:cs="宋体"/>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CD2841">
            <w:pPr>
              <w:shd w:val="clear"/>
              <w:rPr>
                <w:rFonts w:hint="eastAsia" w:ascii="宋体" w:hAnsi="宋体" w:eastAsia="宋体" w:cs="宋体"/>
                <w:color w:val="auto"/>
                <w:sz w:val="24"/>
                <w:szCs w:val="24"/>
                <w:highlight w:val="none"/>
              </w:rPr>
            </w:pPr>
          </w:p>
        </w:tc>
      </w:tr>
    </w:tbl>
    <w:p w14:paraId="4BFDA447">
      <w:pPr>
        <w:shd w:val="clear"/>
        <w:rPr>
          <w:rFonts w:hint="eastAsia" w:ascii="宋体" w:hAnsi="宋体" w:eastAsia="宋体" w:cs="宋体"/>
          <w:color w:val="auto"/>
          <w:sz w:val="24"/>
          <w:szCs w:val="24"/>
          <w:highlight w:val="none"/>
        </w:rPr>
        <w:sectPr>
          <w:headerReference r:id="rId7" w:type="default"/>
          <w:pgSz w:w="11905" w:h="16838"/>
          <w:pgMar w:top="1417" w:right="1417" w:bottom="1417" w:left="1417" w:header="737" w:footer="737" w:gutter="0"/>
          <w:lnNumType w:countBy="0" w:distance="360"/>
          <w:pgNumType w:fmt="decimal"/>
          <w:cols w:space="720" w:num="1"/>
        </w:sectPr>
      </w:pPr>
      <w:r>
        <w:rPr>
          <w:rFonts w:hint="eastAsia" w:ascii="宋体" w:hAnsi="宋体" w:eastAsia="宋体" w:cs="宋体"/>
          <w:color w:val="auto"/>
          <w:sz w:val="21"/>
          <w:szCs w:val="21"/>
          <w:highlight w:val="none"/>
        </w:rPr>
        <w:t>注：按评</w:t>
      </w:r>
      <w:r>
        <w:rPr>
          <w:rFonts w:hint="eastAsia" w:ascii="宋体" w:hAnsi="宋体" w:cs="宋体"/>
          <w:color w:val="auto"/>
          <w:sz w:val="21"/>
          <w:szCs w:val="21"/>
          <w:highlight w:val="none"/>
        </w:rPr>
        <w:t>分表附相关的证明材料扫描件。</w:t>
      </w:r>
    </w:p>
    <w:p w14:paraId="6E01D186">
      <w:pPr>
        <w:pStyle w:val="5"/>
        <w:shd w:val="clear"/>
        <w:outlineLvl w:val="2"/>
        <w:rPr>
          <w:rFonts w:hint="eastAsia" w:ascii="宋体" w:hAnsi="宋体" w:eastAsia="宋体" w:cs="宋体"/>
          <w:b/>
          <w:color w:val="auto"/>
          <w:sz w:val="24"/>
          <w:szCs w:val="24"/>
          <w:highlight w:val="none"/>
        </w:rPr>
      </w:pPr>
      <w:bookmarkStart w:id="155" w:name="bookmark191"/>
      <w:bookmarkEnd w:id="155"/>
      <w:bookmarkStart w:id="156" w:name="_Toc30346"/>
      <w:r>
        <w:rPr>
          <w:rFonts w:hint="eastAsia" w:ascii="宋体" w:hAnsi="宋体" w:eastAsia="宋体" w:cs="宋体"/>
          <w:b/>
          <w:color w:val="auto"/>
          <w:sz w:val="24"/>
          <w:szCs w:val="24"/>
          <w:highlight w:val="none"/>
        </w:rPr>
        <w:t>（</w:t>
      </w:r>
      <w:r>
        <w:rPr>
          <w:rFonts w:hint="eastAsia" w:cs="宋体"/>
          <w:b/>
          <w:color w:val="auto"/>
          <w:sz w:val="24"/>
          <w:szCs w:val="24"/>
          <w:highlight w:val="none"/>
          <w:lang w:eastAsia="zh-CN"/>
        </w:rPr>
        <w:t>三</w:t>
      </w:r>
      <w:r>
        <w:rPr>
          <w:rFonts w:hint="eastAsia" w:ascii="宋体" w:hAnsi="宋体" w:eastAsia="宋体" w:cs="宋体"/>
          <w:b/>
          <w:color w:val="auto"/>
          <w:sz w:val="24"/>
          <w:szCs w:val="24"/>
          <w:highlight w:val="none"/>
        </w:rPr>
        <w:t>）主要人员简历表</w:t>
      </w:r>
      <w:bookmarkEnd w:id="156"/>
    </w:p>
    <w:p w14:paraId="52307E46">
      <w:pPr>
        <w:pStyle w:val="11"/>
        <w:shd w:val="clear"/>
        <w:kinsoku/>
        <w:overflowPunct w:val="0"/>
        <w:ind w:left="0"/>
        <w:rPr>
          <w:rFonts w:hint="eastAsia" w:ascii="宋体" w:hAnsi="宋体" w:eastAsia="宋体" w:cs="宋体"/>
          <w:b/>
          <w:color w:val="auto"/>
          <w:sz w:val="24"/>
          <w:szCs w:val="24"/>
          <w:highlight w:val="none"/>
        </w:rPr>
      </w:pPr>
    </w:p>
    <w:p w14:paraId="798BD7D7">
      <w:pPr>
        <w:pStyle w:val="11"/>
        <w:shd w:val="clear"/>
        <w:kinsoku/>
        <w:overflowPunct w:val="0"/>
        <w:spacing w:before="5"/>
        <w:ind w:left="0"/>
        <w:rPr>
          <w:rFonts w:hint="eastAsia" w:ascii="宋体" w:hAnsi="宋体" w:eastAsia="宋体" w:cs="宋体"/>
          <w:color w:val="auto"/>
          <w:sz w:val="16"/>
          <w:szCs w:val="24"/>
          <w:highlight w:val="none"/>
        </w:rPr>
      </w:pPr>
    </w:p>
    <w:tbl>
      <w:tblPr>
        <w:tblStyle w:val="24"/>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7840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B618A">
            <w:pPr>
              <w:pStyle w:val="35"/>
              <w:shd w:val="clear"/>
              <w:tabs>
                <w:tab w:val="left" w:pos="695"/>
              </w:tabs>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FC7DC5D">
            <w:pPr>
              <w:shd w:val="clear"/>
              <w:rPr>
                <w:rFonts w:hint="eastAsia"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D56A4">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77858E">
            <w:pPr>
              <w:shd w:val="clear"/>
              <w:rPr>
                <w:rFonts w:hint="eastAsia"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668D0">
            <w:pPr>
              <w:pStyle w:val="35"/>
              <w:shd w:val="clear"/>
              <w:kinsoku/>
              <w:overflowPunct w:val="0"/>
              <w:spacing w:before="3" w:line="440" w:lineRule="exact"/>
              <w:ind w:right="122"/>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执业资格证书（或上岗</w:t>
            </w:r>
            <w:r>
              <w:rPr>
                <w:rFonts w:hint="eastAsia" w:ascii="宋体" w:hAnsi="宋体" w:eastAsia="宋体" w:cs="宋体"/>
                <w:color w:val="auto"/>
                <w:spacing w:val="-85"/>
                <w:sz w:val="21"/>
                <w:szCs w:val="21"/>
                <w:highlight w:val="none"/>
              </w:rPr>
              <w:t xml:space="preserve"> </w:t>
            </w:r>
            <w:r>
              <w:rPr>
                <w:rFonts w:hint="eastAsia" w:ascii="宋体" w:hAnsi="宋体" w:eastAsia="宋体" w:cs="宋体"/>
                <w:color w:val="auto"/>
                <w:sz w:val="21"/>
                <w:szCs w:val="21"/>
                <w:highlight w:val="none"/>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880D97">
            <w:pPr>
              <w:shd w:val="clear"/>
              <w:rPr>
                <w:rFonts w:hint="eastAsia" w:ascii="宋体" w:hAnsi="宋体" w:eastAsia="宋体" w:cs="宋体"/>
                <w:color w:val="auto"/>
                <w:sz w:val="21"/>
                <w:szCs w:val="21"/>
                <w:highlight w:val="none"/>
              </w:rPr>
            </w:pPr>
          </w:p>
        </w:tc>
      </w:tr>
      <w:tr w14:paraId="0413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96462">
            <w:pPr>
              <w:pStyle w:val="35"/>
              <w:shd w:val="clear"/>
              <w:tabs>
                <w:tab w:val="left" w:pos="695"/>
              </w:tabs>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C03C115">
            <w:pPr>
              <w:shd w:val="clear"/>
              <w:rPr>
                <w:rFonts w:hint="eastAsia" w:ascii="宋体" w:hAnsi="宋体" w:eastAsia="宋体" w:cs="宋体"/>
                <w:color w:val="auto"/>
                <w:sz w:val="21"/>
                <w:szCs w:val="21"/>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08FBB">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5B03AC">
            <w:pPr>
              <w:shd w:val="clear"/>
              <w:rPr>
                <w:rFonts w:hint="eastAsia"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24C79">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26A4D5">
            <w:pPr>
              <w:shd w:val="clear"/>
              <w:rPr>
                <w:rFonts w:hint="eastAsia" w:ascii="宋体" w:hAnsi="宋体" w:eastAsia="宋体" w:cs="宋体"/>
                <w:color w:val="auto"/>
                <w:sz w:val="21"/>
                <w:szCs w:val="21"/>
                <w:highlight w:val="none"/>
              </w:rPr>
            </w:pPr>
          </w:p>
        </w:tc>
      </w:tr>
      <w:tr w14:paraId="583C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5BE74">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6A232678">
            <w:pPr>
              <w:shd w:val="clear"/>
              <w:rPr>
                <w:rFonts w:hint="eastAsia" w:ascii="宋体" w:hAnsi="宋体" w:eastAsia="宋体" w:cs="宋体"/>
                <w:color w:val="auto"/>
                <w:sz w:val="21"/>
                <w:szCs w:val="21"/>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A26F3">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w:t>
            </w:r>
            <w:r>
              <w:rPr>
                <w:rFonts w:hint="eastAsia" w:ascii="宋体" w:hAnsi="宋体" w:cs="宋体"/>
                <w:color w:val="auto"/>
                <w:sz w:val="21"/>
                <w:szCs w:val="21"/>
                <w:highlight w:val="none"/>
                <w:lang w:eastAsia="zh-CN"/>
              </w:rPr>
              <w:t>相关</w:t>
            </w:r>
            <w:r>
              <w:rPr>
                <w:rFonts w:hint="eastAsia" w:ascii="宋体" w:hAnsi="宋体" w:eastAsia="宋体" w:cs="宋体"/>
                <w:color w:val="auto"/>
                <w:sz w:val="21"/>
                <w:szCs w:val="21"/>
                <w:highlight w:val="none"/>
              </w:rPr>
              <w:t>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B89324">
            <w:pPr>
              <w:shd w:val="clear"/>
              <w:rPr>
                <w:rFonts w:hint="eastAsia" w:ascii="宋体" w:hAnsi="宋体" w:eastAsia="宋体" w:cs="宋体"/>
                <w:color w:val="auto"/>
                <w:sz w:val="21"/>
                <w:szCs w:val="21"/>
                <w:highlight w:val="none"/>
              </w:rPr>
            </w:pPr>
          </w:p>
        </w:tc>
      </w:tr>
      <w:tr w14:paraId="0FE6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1C2D6">
            <w:pPr>
              <w:pStyle w:val="35"/>
              <w:shd w:val="clear"/>
              <w:kinsoku/>
              <w:overflowPunct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主要工作经历</w:t>
            </w:r>
          </w:p>
        </w:tc>
      </w:tr>
      <w:tr w14:paraId="600D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F7A85">
            <w:pPr>
              <w:pStyle w:val="35"/>
              <w:shd w:val="clear"/>
              <w:tabs>
                <w:tab w:val="left" w:pos="873"/>
              </w:tabs>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3A6F8">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2DBA6">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12A4F5">
            <w:pPr>
              <w:pStyle w:val="35"/>
              <w:shd w:val="clear"/>
              <w:kinsoku/>
              <w:overflowPunct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委托人及联系电话</w:t>
            </w:r>
          </w:p>
        </w:tc>
      </w:tr>
      <w:tr w14:paraId="6500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927F2">
            <w:pPr>
              <w:shd w:val="clea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81326">
            <w:pPr>
              <w:shd w:val="clea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3A425">
            <w:pPr>
              <w:shd w:val="clea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96742">
            <w:pPr>
              <w:shd w:val="clear"/>
              <w:jc w:val="center"/>
              <w:rPr>
                <w:rFonts w:hint="eastAsia" w:ascii="宋体" w:hAnsi="宋体" w:eastAsia="宋体" w:cs="宋体"/>
                <w:color w:val="auto"/>
                <w:sz w:val="21"/>
                <w:szCs w:val="21"/>
                <w:highlight w:val="none"/>
              </w:rPr>
            </w:pPr>
          </w:p>
        </w:tc>
      </w:tr>
      <w:tr w14:paraId="63A5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7055C">
            <w:pPr>
              <w:shd w:val="clea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48EE7">
            <w:pPr>
              <w:shd w:val="clea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90596">
            <w:pPr>
              <w:shd w:val="clea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C3B96">
            <w:pPr>
              <w:shd w:val="clear"/>
              <w:jc w:val="center"/>
              <w:rPr>
                <w:rFonts w:hint="eastAsia" w:ascii="宋体" w:hAnsi="宋体" w:eastAsia="宋体" w:cs="宋体"/>
                <w:color w:val="auto"/>
                <w:sz w:val="21"/>
                <w:szCs w:val="21"/>
                <w:highlight w:val="none"/>
              </w:rPr>
            </w:pPr>
          </w:p>
        </w:tc>
      </w:tr>
      <w:tr w14:paraId="0D7E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6E0AB">
            <w:pPr>
              <w:shd w:val="clea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8C554">
            <w:pPr>
              <w:shd w:val="clea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F754C">
            <w:pPr>
              <w:shd w:val="clea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F22EE">
            <w:pPr>
              <w:shd w:val="clear"/>
              <w:jc w:val="center"/>
              <w:rPr>
                <w:rFonts w:hint="eastAsia" w:ascii="宋体" w:hAnsi="宋体" w:eastAsia="宋体" w:cs="宋体"/>
                <w:color w:val="auto"/>
                <w:sz w:val="21"/>
                <w:szCs w:val="21"/>
                <w:highlight w:val="none"/>
              </w:rPr>
            </w:pPr>
          </w:p>
        </w:tc>
      </w:tr>
      <w:tr w14:paraId="30D8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0D6BD">
            <w:pPr>
              <w:shd w:val="clea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FC125">
            <w:pPr>
              <w:shd w:val="clea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608DC">
            <w:pPr>
              <w:shd w:val="clea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F3076">
            <w:pPr>
              <w:shd w:val="clear"/>
              <w:jc w:val="center"/>
              <w:rPr>
                <w:rFonts w:hint="eastAsia" w:ascii="宋体" w:hAnsi="宋体" w:eastAsia="宋体" w:cs="宋体"/>
                <w:color w:val="auto"/>
                <w:sz w:val="21"/>
                <w:szCs w:val="21"/>
                <w:highlight w:val="none"/>
              </w:rPr>
            </w:pPr>
          </w:p>
        </w:tc>
      </w:tr>
      <w:tr w14:paraId="3268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0AD0F">
            <w:pPr>
              <w:shd w:val="clea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9F307">
            <w:pPr>
              <w:shd w:val="clea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485B1">
            <w:pPr>
              <w:shd w:val="clea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61C91">
            <w:pPr>
              <w:shd w:val="clear"/>
              <w:jc w:val="center"/>
              <w:rPr>
                <w:rFonts w:hint="eastAsia" w:ascii="宋体" w:hAnsi="宋体" w:eastAsia="宋体" w:cs="宋体"/>
                <w:color w:val="auto"/>
                <w:sz w:val="21"/>
                <w:szCs w:val="21"/>
                <w:highlight w:val="none"/>
              </w:rPr>
            </w:pPr>
          </w:p>
        </w:tc>
      </w:tr>
      <w:tr w14:paraId="2F64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58FDA">
            <w:pPr>
              <w:shd w:val="clea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CE5CC">
            <w:pPr>
              <w:shd w:val="clea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FBE78">
            <w:pPr>
              <w:shd w:val="clea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348B0">
            <w:pPr>
              <w:shd w:val="clear"/>
              <w:jc w:val="center"/>
              <w:rPr>
                <w:rFonts w:hint="eastAsia" w:ascii="宋体" w:hAnsi="宋体" w:eastAsia="宋体" w:cs="宋体"/>
                <w:color w:val="auto"/>
                <w:sz w:val="21"/>
                <w:szCs w:val="21"/>
                <w:highlight w:val="none"/>
              </w:rPr>
            </w:pPr>
          </w:p>
        </w:tc>
      </w:tr>
      <w:tr w14:paraId="6DA9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59FFD">
            <w:pPr>
              <w:shd w:val="clear"/>
              <w:jc w:val="center"/>
              <w:rPr>
                <w:rFonts w:hint="eastAsia"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7139B">
            <w:pPr>
              <w:shd w:val="clear"/>
              <w:jc w:val="center"/>
              <w:rPr>
                <w:rFonts w:hint="eastAsia"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23E39">
            <w:pPr>
              <w:shd w:val="clear"/>
              <w:jc w:val="center"/>
              <w:rPr>
                <w:rFonts w:hint="eastAsia"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B17CF">
            <w:pPr>
              <w:shd w:val="clear"/>
              <w:jc w:val="center"/>
              <w:rPr>
                <w:rFonts w:hint="eastAsia" w:ascii="宋体" w:hAnsi="宋体" w:eastAsia="宋体" w:cs="宋体"/>
                <w:color w:val="auto"/>
                <w:sz w:val="21"/>
                <w:szCs w:val="21"/>
                <w:highlight w:val="none"/>
              </w:rPr>
            </w:pPr>
          </w:p>
        </w:tc>
      </w:tr>
    </w:tbl>
    <w:p w14:paraId="1FE718ED">
      <w:pPr>
        <w:pStyle w:val="11"/>
        <w:shd w:val="clear"/>
        <w:kinsoku/>
        <w:overflowPunct w:val="0"/>
        <w:spacing w:before="6"/>
        <w:ind w:left="0"/>
        <w:rPr>
          <w:rFonts w:hint="eastAsia" w:ascii="宋体" w:hAnsi="宋体" w:eastAsia="宋体" w:cs="宋体"/>
          <w:color w:val="auto"/>
          <w:sz w:val="24"/>
          <w:szCs w:val="24"/>
          <w:highlight w:val="none"/>
        </w:rPr>
      </w:pPr>
    </w:p>
    <w:p w14:paraId="76B0799E">
      <w:pPr>
        <w:pStyle w:val="11"/>
        <w:shd w:val="clear"/>
        <w:kinsoku/>
        <w:overflowPunct w:val="0"/>
        <w:spacing w:before="36"/>
        <w:ind w:left="100"/>
        <w:rPr>
          <w:rFonts w:hint="eastAsia" w:ascii="宋体" w:hAnsi="宋体" w:eastAsia="宋体" w:cs="宋体"/>
          <w:color w:val="auto"/>
          <w:sz w:val="24"/>
          <w:szCs w:val="24"/>
          <w:highlight w:val="none"/>
        </w:rPr>
      </w:pPr>
    </w:p>
    <w:p w14:paraId="1D86F9B8">
      <w:pPr>
        <w:pStyle w:val="11"/>
        <w:shd w:val="clear"/>
        <w:kinsoku/>
        <w:overflowPunct w:val="0"/>
        <w:spacing w:before="36"/>
        <w:ind w:left="100"/>
        <w:rPr>
          <w:rFonts w:hint="eastAsia" w:ascii="宋体" w:hAnsi="宋体" w:eastAsia="宋体" w:cs="宋体"/>
          <w:color w:val="auto"/>
          <w:sz w:val="24"/>
          <w:szCs w:val="24"/>
          <w:highlight w:val="none"/>
        </w:rPr>
        <w:sectPr>
          <w:headerReference r:id="rId8" w:type="default"/>
          <w:pgSz w:w="11905" w:h="16838"/>
          <w:pgMar w:top="1417" w:right="1417" w:bottom="1417" w:left="1417" w:header="737" w:footer="737" w:gutter="0"/>
          <w:lnNumType w:countBy="0" w:distance="360"/>
          <w:pgNumType w:fmt="decimal"/>
          <w:cols w:space="720" w:num="1"/>
        </w:sectPr>
      </w:pPr>
    </w:p>
    <w:p w14:paraId="5AD9C71D">
      <w:pPr>
        <w:pStyle w:val="5"/>
        <w:shd w:val="clear"/>
        <w:outlineLvl w:val="2"/>
        <w:rPr>
          <w:rFonts w:hint="eastAsia" w:ascii="宋体" w:hAnsi="宋体" w:eastAsia="宋体" w:cs="宋体"/>
          <w:b/>
          <w:color w:val="auto"/>
          <w:sz w:val="24"/>
          <w:szCs w:val="24"/>
          <w:highlight w:val="none"/>
        </w:rPr>
      </w:pPr>
      <w:bookmarkStart w:id="157" w:name="bookmark192"/>
      <w:bookmarkEnd w:id="157"/>
      <w:bookmarkStart w:id="158" w:name="_Toc6052"/>
      <w:r>
        <w:rPr>
          <w:rFonts w:hint="eastAsia" w:ascii="宋体" w:hAnsi="宋体" w:eastAsia="宋体" w:cs="宋体"/>
          <w:b/>
          <w:color w:val="auto"/>
          <w:sz w:val="24"/>
          <w:szCs w:val="24"/>
          <w:highlight w:val="none"/>
        </w:rPr>
        <w:t>（</w:t>
      </w:r>
      <w:r>
        <w:rPr>
          <w:rFonts w:hint="eastAsia" w:cs="宋体"/>
          <w:b/>
          <w:color w:val="auto"/>
          <w:sz w:val="24"/>
          <w:szCs w:val="24"/>
          <w:highlight w:val="none"/>
          <w:lang w:eastAsia="zh-CN"/>
        </w:rPr>
        <w:t>四</w:t>
      </w:r>
      <w:r>
        <w:rPr>
          <w:rFonts w:hint="eastAsia" w:ascii="宋体" w:hAnsi="宋体" w:eastAsia="宋体" w:cs="宋体"/>
          <w:b/>
          <w:color w:val="auto"/>
          <w:sz w:val="24"/>
          <w:szCs w:val="24"/>
          <w:highlight w:val="none"/>
        </w:rPr>
        <w:t>）拟投入本项目的主要仪器设备表</w:t>
      </w:r>
      <w:bookmarkEnd w:id="158"/>
    </w:p>
    <w:p w14:paraId="275E3B51">
      <w:pPr>
        <w:pStyle w:val="11"/>
        <w:shd w:val="clear"/>
        <w:kinsoku/>
        <w:overflowPunct w:val="0"/>
        <w:ind w:left="0"/>
        <w:rPr>
          <w:rFonts w:hint="eastAsia" w:ascii="宋体" w:hAnsi="宋体" w:eastAsia="宋体" w:cs="宋体"/>
          <w:color w:val="auto"/>
          <w:sz w:val="20"/>
          <w:szCs w:val="24"/>
          <w:highlight w:val="none"/>
        </w:rPr>
      </w:pPr>
    </w:p>
    <w:p w14:paraId="474EF001">
      <w:pPr>
        <w:pStyle w:val="11"/>
        <w:shd w:val="clear"/>
        <w:kinsoku/>
        <w:overflowPunct w:val="0"/>
        <w:spacing w:before="11"/>
        <w:ind w:left="0"/>
        <w:rPr>
          <w:rFonts w:hint="eastAsia" w:ascii="宋体" w:hAnsi="宋体" w:eastAsia="宋体" w:cs="宋体"/>
          <w:color w:val="auto"/>
          <w:sz w:val="22"/>
          <w:szCs w:val="24"/>
          <w:highlight w:val="none"/>
        </w:rPr>
      </w:pPr>
    </w:p>
    <w:p w14:paraId="0CE24308">
      <w:pPr>
        <w:spacing w:before="0" w:beforeLines="0" w:after="0" w:afterLines="0" w:line="360" w:lineRule="auto"/>
        <w:jc w:val="center"/>
        <w:rPr>
          <w:rFonts w:ascii="宋体" w:hAnsi="宋体"/>
          <w:b/>
          <w:color w:val="auto"/>
          <w:sz w:val="32"/>
          <w:szCs w:val="32"/>
          <w:highlight w:val="none"/>
        </w:rPr>
      </w:pPr>
      <w:r>
        <w:rPr>
          <w:rFonts w:hint="eastAsia" w:ascii="宋体" w:hAnsi="宋体" w:eastAsia="宋体" w:cs="宋体"/>
          <w:b/>
          <w:color w:val="auto"/>
          <w:sz w:val="32"/>
          <w:szCs w:val="32"/>
          <w:highlight w:val="none"/>
        </w:rPr>
        <w:t>拟投入本项目的主要仪器设备表</w:t>
      </w:r>
    </w:p>
    <w:tbl>
      <w:tblPr>
        <w:tblStyle w:val="24"/>
        <w:tblW w:w="47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185"/>
        <w:gridCol w:w="1229"/>
        <w:gridCol w:w="1923"/>
        <w:gridCol w:w="1941"/>
        <w:gridCol w:w="805"/>
      </w:tblGrid>
      <w:tr w14:paraId="6F17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9" w:type="pct"/>
            <w:noWrap w:val="0"/>
            <w:vAlign w:val="center"/>
          </w:tcPr>
          <w:p w14:paraId="0FEFEC35">
            <w:pPr>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243" w:type="pct"/>
            <w:noWrap w:val="0"/>
            <w:vAlign w:val="center"/>
          </w:tcPr>
          <w:p w14:paraId="00449435">
            <w:pP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仪器设备名称</w:t>
            </w:r>
          </w:p>
        </w:tc>
        <w:tc>
          <w:tcPr>
            <w:tcW w:w="699" w:type="pct"/>
            <w:noWrap w:val="0"/>
            <w:vAlign w:val="center"/>
          </w:tcPr>
          <w:p w14:paraId="2A2E084D">
            <w:pPr>
              <w:jc w:val="center"/>
              <w:rPr>
                <w:rFonts w:ascii="宋体" w:hAnsi="宋体"/>
                <w:color w:val="auto"/>
                <w:sz w:val="21"/>
                <w:szCs w:val="21"/>
                <w:highlight w:val="none"/>
              </w:rPr>
            </w:pPr>
            <w:r>
              <w:rPr>
                <w:rFonts w:hint="eastAsia" w:ascii="宋体" w:hAnsi="宋体"/>
                <w:color w:val="auto"/>
                <w:sz w:val="21"/>
                <w:szCs w:val="21"/>
                <w:highlight w:val="none"/>
              </w:rPr>
              <w:t>有效期</w:t>
            </w:r>
          </w:p>
        </w:tc>
        <w:tc>
          <w:tcPr>
            <w:tcW w:w="1094" w:type="pct"/>
            <w:noWrap w:val="0"/>
            <w:vAlign w:val="center"/>
          </w:tcPr>
          <w:p w14:paraId="45E87643">
            <w:pPr>
              <w:jc w:val="center"/>
              <w:rPr>
                <w:rFonts w:ascii="宋体" w:hAnsi="宋体"/>
                <w:color w:val="auto"/>
                <w:sz w:val="21"/>
                <w:szCs w:val="21"/>
                <w:highlight w:val="none"/>
              </w:rPr>
            </w:pPr>
            <w:r>
              <w:rPr>
                <w:rFonts w:hint="eastAsia" w:ascii="宋体" w:hAnsi="宋体"/>
                <w:color w:val="auto"/>
                <w:sz w:val="21"/>
                <w:szCs w:val="21"/>
                <w:highlight w:val="none"/>
              </w:rPr>
              <w:t>检定/校准周期</w:t>
            </w:r>
          </w:p>
        </w:tc>
        <w:tc>
          <w:tcPr>
            <w:tcW w:w="1104" w:type="pct"/>
            <w:noWrap w:val="0"/>
            <w:vAlign w:val="center"/>
          </w:tcPr>
          <w:p w14:paraId="139178EB">
            <w:pPr>
              <w:jc w:val="center"/>
              <w:rPr>
                <w:rFonts w:ascii="宋体" w:hAnsi="宋体"/>
                <w:color w:val="auto"/>
                <w:sz w:val="21"/>
                <w:szCs w:val="21"/>
                <w:highlight w:val="none"/>
              </w:rPr>
            </w:pPr>
            <w:r>
              <w:rPr>
                <w:rFonts w:hint="eastAsia" w:ascii="宋体" w:hAnsi="宋体" w:cs="宋体"/>
                <w:bCs/>
                <w:color w:val="auto"/>
                <w:sz w:val="21"/>
                <w:szCs w:val="21"/>
                <w:highlight w:val="none"/>
              </w:rPr>
              <w:t>有否本单位购置</w:t>
            </w:r>
          </w:p>
        </w:tc>
        <w:tc>
          <w:tcPr>
            <w:tcW w:w="458" w:type="pct"/>
            <w:noWrap w:val="0"/>
            <w:vAlign w:val="center"/>
          </w:tcPr>
          <w:p w14:paraId="4139B8E7">
            <w:pPr>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备注</w:t>
            </w:r>
          </w:p>
        </w:tc>
      </w:tr>
      <w:tr w14:paraId="0391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9" w:type="pct"/>
            <w:noWrap w:val="0"/>
            <w:vAlign w:val="center"/>
          </w:tcPr>
          <w:p w14:paraId="467A8435">
            <w:pPr>
              <w:rPr>
                <w:rFonts w:ascii="宋体" w:hAnsi="宋体"/>
                <w:color w:val="auto"/>
                <w:sz w:val="24"/>
                <w:highlight w:val="none"/>
              </w:rPr>
            </w:pPr>
          </w:p>
        </w:tc>
        <w:tc>
          <w:tcPr>
            <w:tcW w:w="1243" w:type="pct"/>
            <w:noWrap w:val="0"/>
            <w:vAlign w:val="center"/>
          </w:tcPr>
          <w:p w14:paraId="0A182CBA">
            <w:pPr>
              <w:rPr>
                <w:rFonts w:ascii="宋体" w:hAnsi="宋体"/>
                <w:color w:val="auto"/>
                <w:sz w:val="24"/>
                <w:highlight w:val="none"/>
              </w:rPr>
            </w:pPr>
          </w:p>
        </w:tc>
        <w:tc>
          <w:tcPr>
            <w:tcW w:w="699" w:type="pct"/>
            <w:noWrap w:val="0"/>
            <w:vAlign w:val="center"/>
          </w:tcPr>
          <w:p w14:paraId="154291FE">
            <w:pPr>
              <w:rPr>
                <w:rFonts w:ascii="宋体" w:hAnsi="宋体"/>
                <w:color w:val="auto"/>
                <w:sz w:val="24"/>
                <w:highlight w:val="none"/>
              </w:rPr>
            </w:pPr>
          </w:p>
        </w:tc>
        <w:tc>
          <w:tcPr>
            <w:tcW w:w="1094" w:type="pct"/>
            <w:noWrap w:val="0"/>
            <w:vAlign w:val="center"/>
          </w:tcPr>
          <w:p w14:paraId="6EA5213F">
            <w:pPr>
              <w:rPr>
                <w:rFonts w:ascii="宋体" w:hAnsi="宋体"/>
                <w:color w:val="auto"/>
                <w:sz w:val="24"/>
                <w:highlight w:val="none"/>
              </w:rPr>
            </w:pPr>
          </w:p>
        </w:tc>
        <w:tc>
          <w:tcPr>
            <w:tcW w:w="1104" w:type="pct"/>
            <w:noWrap w:val="0"/>
            <w:vAlign w:val="center"/>
          </w:tcPr>
          <w:p w14:paraId="00815A09">
            <w:pPr>
              <w:rPr>
                <w:rFonts w:ascii="宋体" w:hAnsi="宋体"/>
                <w:color w:val="auto"/>
                <w:sz w:val="24"/>
                <w:highlight w:val="none"/>
              </w:rPr>
            </w:pPr>
          </w:p>
        </w:tc>
        <w:tc>
          <w:tcPr>
            <w:tcW w:w="458" w:type="pct"/>
            <w:noWrap w:val="0"/>
            <w:vAlign w:val="center"/>
          </w:tcPr>
          <w:p w14:paraId="79D4A3C7">
            <w:pPr>
              <w:rPr>
                <w:rFonts w:ascii="宋体" w:hAnsi="宋体"/>
                <w:color w:val="auto"/>
                <w:sz w:val="24"/>
                <w:highlight w:val="none"/>
              </w:rPr>
            </w:pPr>
          </w:p>
        </w:tc>
      </w:tr>
      <w:tr w14:paraId="0E88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9" w:type="pct"/>
            <w:noWrap w:val="0"/>
            <w:vAlign w:val="center"/>
          </w:tcPr>
          <w:p w14:paraId="1209EEF2">
            <w:pPr>
              <w:rPr>
                <w:rFonts w:ascii="宋体" w:hAnsi="宋体"/>
                <w:color w:val="auto"/>
                <w:sz w:val="24"/>
                <w:highlight w:val="none"/>
              </w:rPr>
            </w:pPr>
          </w:p>
        </w:tc>
        <w:tc>
          <w:tcPr>
            <w:tcW w:w="1243" w:type="pct"/>
            <w:noWrap w:val="0"/>
            <w:vAlign w:val="center"/>
          </w:tcPr>
          <w:p w14:paraId="34DE5D58">
            <w:pPr>
              <w:rPr>
                <w:rFonts w:ascii="宋体" w:hAnsi="宋体"/>
                <w:color w:val="auto"/>
                <w:sz w:val="24"/>
                <w:highlight w:val="none"/>
              </w:rPr>
            </w:pPr>
          </w:p>
        </w:tc>
        <w:tc>
          <w:tcPr>
            <w:tcW w:w="699" w:type="pct"/>
            <w:noWrap w:val="0"/>
            <w:vAlign w:val="center"/>
          </w:tcPr>
          <w:p w14:paraId="554835DA">
            <w:pPr>
              <w:rPr>
                <w:rFonts w:ascii="宋体" w:hAnsi="宋体"/>
                <w:color w:val="auto"/>
                <w:sz w:val="24"/>
                <w:highlight w:val="none"/>
              </w:rPr>
            </w:pPr>
          </w:p>
        </w:tc>
        <w:tc>
          <w:tcPr>
            <w:tcW w:w="1094" w:type="pct"/>
            <w:noWrap w:val="0"/>
            <w:vAlign w:val="center"/>
          </w:tcPr>
          <w:p w14:paraId="31C2F349">
            <w:pPr>
              <w:rPr>
                <w:rFonts w:ascii="宋体" w:hAnsi="宋体"/>
                <w:color w:val="auto"/>
                <w:sz w:val="24"/>
                <w:highlight w:val="none"/>
              </w:rPr>
            </w:pPr>
          </w:p>
        </w:tc>
        <w:tc>
          <w:tcPr>
            <w:tcW w:w="1104" w:type="pct"/>
            <w:noWrap w:val="0"/>
            <w:vAlign w:val="center"/>
          </w:tcPr>
          <w:p w14:paraId="61C0BED2">
            <w:pPr>
              <w:rPr>
                <w:rFonts w:ascii="宋体" w:hAnsi="宋体"/>
                <w:color w:val="auto"/>
                <w:sz w:val="24"/>
                <w:highlight w:val="none"/>
              </w:rPr>
            </w:pPr>
          </w:p>
        </w:tc>
        <w:tc>
          <w:tcPr>
            <w:tcW w:w="458" w:type="pct"/>
            <w:noWrap w:val="0"/>
            <w:vAlign w:val="center"/>
          </w:tcPr>
          <w:p w14:paraId="091AB600">
            <w:pPr>
              <w:rPr>
                <w:rFonts w:ascii="宋体" w:hAnsi="宋体"/>
                <w:color w:val="auto"/>
                <w:sz w:val="24"/>
                <w:highlight w:val="none"/>
              </w:rPr>
            </w:pPr>
          </w:p>
        </w:tc>
      </w:tr>
      <w:tr w14:paraId="2A63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9" w:type="pct"/>
            <w:noWrap w:val="0"/>
            <w:vAlign w:val="center"/>
          </w:tcPr>
          <w:p w14:paraId="4D610561">
            <w:pPr>
              <w:rPr>
                <w:rFonts w:ascii="宋体" w:hAnsi="宋体"/>
                <w:color w:val="auto"/>
                <w:sz w:val="24"/>
                <w:highlight w:val="none"/>
              </w:rPr>
            </w:pPr>
          </w:p>
        </w:tc>
        <w:tc>
          <w:tcPr>
            <w:tcW w:w="1243" w:type="pct"/>
            <w:noWrap w:val="0"/>
            <w:vAlign w:val="center"/>
          </w:tcPr>
          <w:p w14:paraId="115E5424">
            <w:pPr>
              <w:rPr>
                <w:rFonts w:ascii="宋体" w:hAnsi="宋体"/>
                <w:color w:val="auto"/>
                <w:sz w:val="24"/>
                <w:highlight w:val="none"/>
              </w:rPr>
            </w:pPr>
          </w:p>
        </w:tc>
        <w:tc>
          <w:tcPr>
            <w:tcW w:w="699" w:type="pct"/>
            <w:noWrap w:val="0"/>
            <w:vAlign w:val="center"/>
          </w:tcPr>
          <w:p w14:paraId="49E43072">
            <w:pPr>
              <w:rPr>
                <w:rFonts w:ascii="宋体" w:hAnsi="宋体"/>
                <w:color w:val="auto"/>
                <w:sz w:val="24"/>
                <w:highlight w:val="none"/>
              </w:rPr>
            </w:pPr>
          </w:p>
        </w:tc>
        <w:tc>
          <w:tcPr>
            <w:tcW w:w="1094" w:type="pct"/>
            <w:noWrap w:val="0"/>
            <w:vAlign w:val="center"/>
          </w:tcPr>
          <w:p w14:paraId="0E0F9C6B">
            <w:pPr>
              <w:rPr>
                <w:rFonts w:ascii="宋体" w:hAnsi="宋体"/>
                <w:color w:val="auto"/>
                <w:sz w:val="24"/>
                <w:highlight w:val="none"/>
              </w:rPr>
            </w:pPr>
          </w:p>
        </w:tc>
        <w:tc>
          <w:tcPr>
            <w:tcW w:w="1104" w:type="pct"/>
            <w:noWrap w:val="0"/>
            <w:vAlign w:val="center"/>
          </w:tcPr>
          <w:p w14:paraId="5D66DCD6">
            <w:pPr>
              <w:rPr>
                <w:rFonts w:ascii="宋体" w:hAnsi="宋体"/>
                <w:color w:val="auto"/>
                <w:sz w:val="24"/>
                <w:highlight w:val="none"/>
              </w:rPr>
            </w:pPr>
          </w:p>
        </w:tc>
        <w:tc>
          <w:tcPr>
            <w:tcW w:w="458" w:type="pct"/>
            <w:noWrap w:val="0"/>
            <w:vAlign w:val="center"/>
          </w:tcPr>
          <w:p w14:paraId="32033731">
            <w:pPr>
              <w:rPr>
                <w:rFonts w:ascii="宋体" w:hAnsi="宋体"/>
                <w:color w:val="auto"/>
                <w:sz w:val="24"/>
                <w:highlight w:val="none"/>
              </w:rPr>
            </w:pPr>
          </w:p>
        </w:tc>
      </w:tr>
      <w:tr w14:paraId="4DC5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9" w:type="pct"/>
            <w:noWrap w:val="0"/>
            <w:vAlign w:val="center"/>
          </w:tcPr>
          <w:p w14:paraId="0565B92E">
            <w:pPr>
              <w:rPr>
                <w:rFonts w:ascii="宋体" w:hAnsi="宋体"/>
                <w:color w:val="auto"/>
                <w:sz w:val="24"/>
                <w:highlight w:val="none"/>
              </w:rPr>
            </w:pPr>
          </w:p>
        </w:tc>
        <w:tc>
          <w:tcPr>
            <w:tcW w:w="1243" w:type="pct"/>
            <w:noWrap w:val="0"/>
            <w:vAlign w:val="center"/>
          </w:tcPr>
          <w:p w14:paraId="02045772">
            <w:pPr>
              <w:rPr>
                <w:rFonts w:ascii="宋体" w:hAnsi="宋体"/>
                <w:color w:val="auto"/>
                <w:sz w:val="24"/>
                <w:highlight w:val="none"/>
              </w:rPr>
            </w:pPr>
          </w:p>
        </w:tc>
        <w:tc>
          <w:tcPr>
            <w:tcW w:w="699" w:type="pct"/>
            <w:noWrap w:val="0"/>
            <w:vAlign w:val="center"/>
          </w:tcPr>
          <w:p w14:paraId="69AAD868">
            <w:pPr>
              <w:rPr>
                <w:rFonts w:ascii="宋体" w:hAnsi="宋体"/>
                <w:color w:val="auto"/>
                <w:sz w:val="24"/>
                <w:highlight w:val="none"/>
              </w:rPr>
            </w:pPr>
          </w:p>
        </w:tc>
        <w:tc>
          <w:tcPr>
            <w:tcW w:w="1094" w:type="pct"/>
            <w:noWrap w:val="0"/>
            <w:vAlign w:val="center"/>
          </w:tcPr>
          <w:p w14:paraId="0ED24A41">
            <w:pPr>
              <w:rPr>
                <w:rFonts w:ascii="宋体" w:hAnsi="宋体"/>
                <w:color w:val="auto"/>
                <w:sz w:val="24"/>
                <w:highlight w:val="none"/>
              </w:rPr>
            </w:pPr>
          </w:p>
        </w:tc>
        <w:tc>
          <w:tcPr>
            <w:tcW w:w="1104" w:type="pct"/>
            <w:noWrap w:val="0"/>
            <w:vAlign w:val="center"/>
          </w:tcPr>
          <w:p w14:paraId="2B4A23AF">
            <w:pPr>
              <w:rPr>
                <w:rFonts w:ascii="宋体" w:hAnsi="宋体"/>
                <w:color w:val="auto"/>
                <w:sz w:val="24"/>
                <w:highlight w:val="none"/>
              </w:rPr>
            </w:pPr>
          </w:p>
        </w:tc>
        <w:tc>
          <w:tcPr>
            <w:tcW w:w="458" w:type="pct"/>
            <w:noWrap w:val="0"/>
            <w:vAlign w:val="center"/>
          </w:tcPr>
          <w:p w14:paraId="0D8139EC">
            <w:pPr>
              <w:rPr>
                <w:rFonts w:ascii="宋体" w:hAnsi="宋体"/>
                <w:color w:val="auto"/>
                <w:sz w:val="24"/>
                <w:highlight w:val="none"/>
              </w:rPr>
            </w:pPr>
          </w:p>
        </w:tc>
      </w:tr>
    </w:tbl>
    <w:p w14:paraId="1C9E3791">
      <w:pPr>
        <w:ind w:left="1174" w:hanging="1174"/>
        <w:rPr>
          <w:rFonts w:hint="eastAsia" w:ascii="宋体" w:hAnsi="宋体" w:eastAsia="宋体" w:cs="宋体"/>
          <w:color w:val="auto"/>
          <w:sz w:val="21"/>
          <w:szCs w:val="21"/>
          <w:highlight w:val="none"/>
        </w:rPr>
      </w:pPr>
    </w:p>
    <w:p w14:paraId="2AB0246C">
      <w:pPr>
        <w:ind w:left="1233" w:leftChars="200" w:hanging="753" w:hangingChars="35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color w:val="auto"/>
          <w:sz w:val="24"/>
          <w:highlight w:val="none"/>
        </w:rPr>
        <w:t xml:space="preserve"> </w:t>
      </w:r>
      <w:r>
        <w:rPr>
          <w:rFonts w:hint="eastAsia" w:ascii="宋体" w:hAnsi="宋体" w:cs="宋体"/>
          <w:color w:val="auto"/>
          <w:sz w:val="21"/>
          <w:szCs w:val="21"/>
          <w:highlight w:val="none"/>
        </w:rPr>
        <w:t>按评分表附相关的证明材料扫描件。</w:t>
      </w:r>
      <w:r>
        <w:rPr>
          <w:rFonts w:hint="eastAsia" w:ascii="宋体" w:hAnsi="宋体" w:cs="宋体"/>
          <w:color w:val="auto"/>
          <w:sz w:val="21"/>
          <w:szCs w:val="21"/>
          <w:highlight w:val="none"/>
          <w:lang w:val="en-US" w:eastAsia="zh-CN"/>
        </w:rPr>
        <w:tab/>
      </w:r>
    </w:p>
    <w:p w14:paraId="574AB43D">
      <w:pPr>
        <w:pStyle w:val="23"/>
        <w:rPr>
          <w:rFonts w:hint="eastAsia" w:ascii="宋体" w:hAnsi="宋体" w:cs="宋体"/>
          <w:color w:val="auto"/>
          <w:sz w:val="21"/>
          <w:szCs w:val="21"/>
          <w:highlight w:val="none"/>
          <w:lang w:val="en-US" w:eastAsia="zh-CN"/>
        </w:rPr>
      </w:pPr>
    </w:p>
    <w:p w14:paraId="33EC342C">
      <w:pPr>
        <w:pStyle w:val="23"/>
        <w:rPr>
          <w:rFonts w:hint="eastAsia" w:ascii="宋体" w:hAnsi="宋体" w:cs="宋体"/>
          <w:color w:val="auto"/>
          <w:sz w:val="21"/>
          <w:szCs w:val="21"/>
          <w:highlight w:val="none"/>
          <w:lang w:val="en-US" w:eastAsia="zh-CN"/>
        </w:rPr>
      </w:pPr>
    </w:p>
    <w:p w14:paraId="08BB4EF3">
      <w:pPr>
        <w:pStyle w:val="4"/>
        <w:shd w:val="clear"/>
        <w:jc w:val="center"/>
        <w:outlineLvl w:val="1"/>
        <w:rPr>
          <w:rFonts w:hint="eastAsia" w:cs="宋体"/>
          <w:color w:val="auto"/>
          <w:sz w:val="28"/>
          <w:szCs w:val="24"/>
          <w:highlight w:val="none"/>
          <w:lang w:val="en-US" w:eastAsia="zh-CN"/>
        </w:rPr>
      </w:pPr>
      <w:bookmarkStart w:id="159" w:name="_Toc13291"/>
    </w:p>
    <w:p w14:paraId="056238D5">
      <w:pPr>
        <w:pStyle w:val="4"/>
        <w:shd w:val="clear"/>
        <w:jc w:val="center"/>
        <w:outlineLvl w:val="1"/>
        <w:rPr>
          <w:rFonts w:hint="eastAsia" w:cs="宋体"/>
          <w:color w:val="auto"/>
          <w:sz w:val="28"/>
          <w:szCs w:val="24"/>
          <w:highlight w:val="none"/>
          <w:lang w:val="en-US" w:eastAsia="zh-CN"/>
        </w:rPr>
      </w:pPr>
    </w:p>
    <w:p w14:paraId="55A368B7">
      <w:pPr>
        <w:pStyle w:val="4"/>
        <w:shd w:val="clear"/>
        <w:jc w:val="center"/>
        <w:outlineLvl w:val="1"/>
        <w:rPr>
          <w:rFonts w:hint="eastAsia" w:cs="宋体"/>
          <w:color w:val="auto"/>
          <w:sz w:val="28"/>
          <w:szCs w:val="24"/>
          <w:highlight w:val="none"/>
          <w:lang w:val="en-US" w:eastAsia="zh-CN"/>
        </w:rPr>
      </w:pPr>
    </w:p>
    <w:p w14:paraId="3C3DAA1C">
      <w:pPr>
        <w:pStyle w:val="4"/>
        <w:shd w:val="clear"/>
        <w:jc w:val="center"/>
        <w:outlineLvl w:val="1"/>
        <w:rPr>
          <w:rFonts w:hint="eastAsia" w:cs="宋体"/>
          <w:color w:val="auto"/>
          <w:sz w:val="28"/>
          <w:szCs w:val="24"/>
          <w:highlight w:val="none"/>
          <w:lang w:val="en-US" w:eastAsia="zh-CN"/>
        </w:rPr>
      </w:pPr>
    </w:p>
    <w:p w14:paraId="15B8F3AA">
      <w:pPr>
        <w:pStyle w:val="4"/>
        <w:shd w:val="clear"/>
        <w:jc w:val="center"/>
        <w:outlineLvl w:val="1"/>
        <w:rPr>
          <w:rFonts w:hint="eastAsia" w:cs="宋体"/>
          <w:color w:val="auto"/>
          <w:sz w:val="28"/>
          <w:szCs w:val="24"/>
          <w:highlight w:val="none"/>
          <w:lang w:val="en-US" w:eastAsia="zh-CN"/>
        </w:rPr>
      </w:pPr>
    </w:p>
    <w:p w14:paraId="0E852EFC">
      <w:pPr>
        <w:pStyle w:val="4"/>
        <w:shd w:val="clear"/>
        <w:jc w:val="center"/>
        <w:outlineLvl w:val="1"/>
        <w:rPr>
          <w:rFonts w:hint="eastAsia" w:cs="宋体"/>
          <w:color w:val="auto"/>
          <w:sz w:val="28"/>
          <w:szCs w:val="24"/>
          <w:highlight w:val="none"/>
          <w:lang w:val="en-US" w:eastAsia="zh-CN"/>
        </w:rPr>
      </w:pPr>
    </w:p>
    <w:p w14:paraId="2E6B1DA4">
      <w:pPr>
        <w:pStyle w:val="4"/>
        <w:shd w:val="clear"/>
        <w:jc w:val="center"/>
        <w:outlineLvl w:val="1"/>
        <w:rPr>
          <w:rFonts w:hint="eastAsia" w:cs="宋体"/>
          <w:color w:val="auto"/>
          <w:sz w:val="28"/>
          <w:szCs w:val="24"/>
          <w:highlight w:val="none"/>
          <w:lang w:val="en-US" w:eastAsia="zh-CN"/>
        </w:rPr>
      </w:pPr>
    </w:p>
    <w:p w14:paraId="42712A51">
      <w:pPr>
        <w:pStyle w:val="4"/>
        <w:shd w:val="clear"/>
        <w:jc w:val="center"/>
        <w:outlineLvl w:val="1"/>
        <w:rPr>
          <w:rFonts w:hint="eastAsia" w:cs="宋体"/>
          <w:color w:val="auto"/>
          <w:sz w:val="28"/>
          <w:szCs w:val="24"/>
          <w:highlight w:val="none"/>
          <w:lang w:val="en-US" w:eastAsia="zh-CN"/>
        </w:rPr>
      </w:pPr>
    </w:p>
    <w:p w14:paraId="55525304">
      <w:pPr>
        <w:pStyle w:val="4"/>
        <w:shd w:val="clear"/>
        <w:jc w:val="center"/>
        <w:outlineLvl w:val="1"/>
        <w:rPr>
          <w:rFonts w:hint="eastAsia" w:cs="宋体"/>
          <w:color w:val="auto"/>
          <w:sz w:val="28"/>
          <w:szCs w:val="24"/>
          <w:highlight w:val="none"/>
          <w:lang w:val="en-US" w:eastAsia="zh-CN"/>
        </w:rPr>
      </w:pPr>
    </w:p>
    <w:p w14:paraId="7ED92F8E">
      <w:pPr>
        <w:pStyle w:val="4"/>
        <w:shd w:val="clear"/>
        <w:jc w:val="center"/>
        <w:outlineLvl w:val="1"/>
        <w:rPr>
          <w:rFonts w:hint="eastAsia" w:cs="宋体"/>
          <w:color w:val="auto"/>
          <w:sz w:val="28"/>
          <w:szCs w:val="24"/>
          <w:highlight w:val="none"/>
          <w:lang w:val="en-US" w:eastAsia="zh-CN"/>
        </w:rPr>
      </w:pPr>
    </w:p>
    <w:p w14:paraId="7E1559A4">
      <w:pPr>
        <w:pStyle w:val="4"/>
        <w:shd w:val="clear"/>
        <w:jc w:val="center"/>
        <w:outlineLvl w:val="1"/>
        <w:rPr>
          <w:rFonts w:hint="eastAsia" w:cs="宋体"/>
          <w:color w:val="auto"/>
          <w:sz w:val="28"/>
          <w:szCs w:val="24"/>
          <w:highlight w:val="none"/>
          <w:lang w:val="en-US" w:eastAsia="zh-CN"/>
        </w:rPr>
      </w:pPr>
    </w:p>
    <w:p w14:paraId="13840849">
      <w:pPr>
        <w:pStyle w:val="4"/>
        <w:shd w:val="clear"/>
        <w:jc w:val="center"/>
        <w:outlineLvl w:val="1"/>
        <w:rPr>
          <w:rFonts w:hint="eastAsia" w:cs="宋体"/>
          <w:color w:val="auto"/>
          <w:sz w:val="28"/>
          <w:szCs w:val="24"/>
          <w:highlight w:val="none"/>
          <w:lang w:val="en-US" w:eastAsia="zh-CN"/>
        </w:rPr>
      </w:pPr>
    </w:p>
    <w:p w14:paraId="6728C7DA">
      <w:pPr>
        <w:pStyle w:val="4"/>
        <w:shd w:val="clear"/>
        <w:jc w:val="center"/>
        <w:outlineLvl w:val="1"/>
        <w:rPr>
          <w:rFonts w:hint="eastAsia" w:cs="宋体"/>
          <w:color w:val="auto"/>
          <w:sz w:val="28"/>
          <w:szCs w:val="24"/>
          <w:highlight w:val="none"/>
          <w:lang w:val="en-US" w:eastAsia="zh-CN"/>
        </w:rPr>
      </w:pPr>
    </w:p>
    <w:p w14:paraId="5FA82C40">
      <w:pPr>
        <w:pStyle w:val="4"/>
        <w:shd w:val="clear"/>
        <w:jc w:val="center"/>
        <w:outlineLvl w:val="1"/>
        <w:rPr>
          <w:rFonts w:hint="eastAsia" w:ascii="宋体" w:hAnsi="宋体" w:eastAsia="宋体" w:cs="宋体"/>
          <w:color w:val="auto"/>
          <w:sz w:val="28"/>
          <w:szCs w:val="24"/>
          <w:highlight w:val="none"/>
          <w:lang w:eastAsia="zh-CN"/>
        </w:rPr>
      </w:pPr>
      <w:r>
        <w:rPr>
          <w:rFonts w:hint="eastAsia" w:cs="宋体"/>
          <w:color w:val="auto"/>
          <w:sz w:val="28"/>
          <w:szCs w:val="24"/>
          <w:highlight w:val="none"/>
          <w:lang w:val="en-US" w:eastAsia="zh-CN"/>
        </w:rPr>
        <w:t>六</w:t>
      </w:r>
      <w:r>
        <w:rPr>
          <w:rFonts w:hint="eastAsia" w:ascii="宋体" w:hAnsi="宋体" w:eastAsia="宋体" w:cs="宋体"/>
          <w:color w:val="auto"/>
          <w:sz w:val="28"/>
          <w:szCs w:val="24"/>
          <w:highlight w:val="none"/>
        </w:rPr>
        <w:t>、</w:t>
      </w:r>
      <w:bookmarkEnd w:id="159"/>
      <w:r>
        <w:rPr>
          <w:rFonts w:hint="eastAsia" w:cs="宋体"/>
          <w:color w:val="auto"/>
          <w:sz w:val="28"/>
          <w:szCs w:val="24"/>
          <w:highlight w:val="none"/>
          <w:lang w:eastAsia="zh-CN"/>
        </w:rPr>
        <w:t>技术方案</w:t>
      </w:r>
    </w:p>
    <w:p w14:paraId="6C142337">
      <w:pPr>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（格式自定）</w:t>
      </w:r>
    </w:p>
    <w:p w14:paraId="71A366F7">
      <w:pPr>
        <w:pStyle w:val="11"/>
        <w:numPr>
          <w:ilvl w:val="0"/>
          <w:numId w:val="0"/>
        </w:numPr>
        <w:shd w:val="clear"/>
        <w:kinsoku/>
        <w:overflowPunct w:val="0"/>
        <w:spacing w:before="0" w:line="360" w:lineRule="auto"/>
        <w:ind w:left="480" w:right="0"/>
        <w:rPr>
          <w:rFonts w:hint="eastAsia" w:ascii="宋体" w:hAnsi="宋体" w:eastAsia="宋体" w:cs="宋体"/>
          <w:color w:val="auto"/>
          <w:sz w:val="24"/>
          <w:szCs w:val="24"/>
          <w:highlight w:val="none"/>
        </w:rPr>
        <w:sectPr>
          <w:headerReference r:id="rId9" w:type="default"/>
          <w:pgSz w:w="11905" w:h="16838"/>
          <w:pgMar w:top="1417" w:right="1417" w:bottom="1417" w:left="1417" w:header="737" w:footer="737" w:gutter="0"/>
          <w:lnNumType w:countBy="0" w:distance="360"/>
          <w:pgNumType w:fmt="decimal"/>
          <w:cols w:space="720" w:num="1"/>
        </w:sectPr>
      </w:pPr>
    </w:p>
    <w:p w14:paraId="1061B67C">
      <w:pPr>
        <w:pStyle w:val="4"/>
        <w:numPr>
          <w:ilvl w:val="0"/>
          <w:numId w:val="0"/>
        </w:numPr>
        <w:shd w:val="clear"/>
        <w:ind w:firstLine="3373" w:firstLineChars="1200"/>
        <w:jc w:val="both"/>
        <w:outlineLvl w:val="1"/>
        <w:rPr>
          <w:rFonts w:hint="eastAsia" w:ascii="宋体" w:hAnsi="宋体" w:eastAsia="宋体" w:cs="宋体"/>
          <w:color w:val="auto"/>
          <w:sz w:val="44"/>
          <w:szCs w:val="44"/>
          <w:highlight w:val="none"/>
          <w:lang w:val="en-US" w:eastAsia="zh-CN"/>
        </w:rPr>
      </w:pPr>
      <w:bookmarkStart w:id="160" w:name="bookmark194"/>
      <w:bookmarkEnd w:id="160"/>
      <w:bookmarkStart w:id="161" w:name="_Toc26031"/>
      <w:r>
        <w:rPr>
          <w:rFonts w:hint="eastAsia" w:cs="宋体"/>
          <w:color w:val="auto"/>
          <w:sz w:val="28"/>
          <w:szCs w:val="24"/>
          <w:highlight w:val="none"/>
          <w:lang w:eastAsia="zh-CN"/>
        </w:rPr>
        <w:t>七、</w:t>
      </w:r>
      <w:r>
        <w:rPr>
          <w:rFonts w:hint="eastAsia" w:ascii="宋体" w:hAnsi="宋体" w:eastAsia="宋体" w:cs="宋体"/>
          <w:color w:val="auto"/>
          <w:sz w:val="28"/>
          <w:szCs w:val="24"/>
          <w:highlight w:val="none"/>
        </w:rPr>
        <w:t>其他资料</w:t>
      </w:r>
      <w:bookmarkEnd w:id="161"/>
      <w:bookmarkStart w:id="162" w:name="_Toc17258"/>
    </w:p>
    <w:p w14:paraId="4454BFB1">
      <w:pPr>
        <w:pStyle w:val="3"/>
        <w:shd w:val="clear"/>
        <w:outlineLvl w:val="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 xml:space="preserve">第七章 </w:t>
      </w:r>
      <w:r>
        <w:rPr>
          <w:rFonts w:hint="eastAsia" w:ascii="宋体" w:hAnsi="宋体" w:eastAsia="宋体" w:cs="宋体"/>
          <w:color w:val="auto"/>
          <w:sz w:val="44"/>
          <w:szCs w:val="44"/>
          <w:highlight w:val="none"/>
        </w:rPr>
        <w:t>投标人须知前附表规定的其他资料。</w:t>
      </w:r>
      <w:bookmarkEnd w:id="162"/>
    </w:p>
    <w:p w14:paraId="7A1C2CEF">
      <w:pPr>
        <w:shd w:val="clear"/>
        <w:rPr>
          <w:rFonts w:hint="eastAsia" w:ascii="宋体" w:hAnsi="宋体" w:eastAsia="宋体" w:cs="宋体"/>
          <w:color w:val="auto"/>
          <w:sz w:val="24"/>
          <w:szCs w:val="24"/>
          <w:highlight w:val="none"/>
        </w:rPr>
      </w:pPr>
    </w:p>
    <w:p w14:paraId="6BC8F315">
      <w:pPr>
        <w:pStyle w:val="4"/>
        <w:shd w:val="clear"/>
        <w:jc w:val="center"/>
        <w:outlineLvl w:val="0"/>
        <w:rPr>
          <w:rFonts w:hint="eastAsia" w:ascii="宋体" w:hAnsi="宋体" w:eastAsia="宋体" w:cs="宋体"/>
          <w:color w:val="auto"/>
          <w:sz w:val="30"/>
          <w:szCs w:val="24"/>
          <w:highlight w:val="none"/>
          <w:lang w:val="en-US" w:eastAsia="zh-CN"/>
        </w:rPr>
      </w:pPr>
      <w:bookmarkStart w:id="163" w:name="_Toc21589"/>
      <w:r>
        <w:rPr>
          <w:rFonts w:hint="eastAsia" w:ascii="宋体" w:hAnsi="宋体" w:eastAsia="宋体" w:cs="宋体"/>
          <w:color w:val="auto"/>
          <w:sz w:val="30"/>
          <w:szCs w:val="24"/>
          <w:highlight w:val="none"/>
          <w:lang w:val="en-US" w:eastAsia="zh-CN"/>
        </w:rPr>
        <w:t>否决性条款汇总</w:t>
      </w:r>
      <w:bookmarkEnd w:id="163"/>
    </w:p>
    <w:p w14:paraId="50D26C3A">
      <w:pPr>
        <w:widowControl/>
        <w:kinsoku/>
        <w:autoSpaceDE/>
        <w:autoSpaceDN/>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0CBE46CD">
      <w:pPr>
        <w:widowControl/>
        <w:kinsoku/>
        <w:autoSpaceDE/>
        <w:autoSpaceDN/>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12975738">
      <w:pPr>
        <w:widowControl/>
        <w:kinsoku/>
        <w:autoSpaceDE/>
        <w:autoSpaceDN/>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019806D">
      <w:pPr>
        <w:widowControl/>
        <w:kinsoku/>
        <w:autoSpaceDE/>
        <w:autoSpaceDN/>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一、开标时，出现下列情形之一的，不参与资格审查和评标</w:t>
      </w:r>
    </w:p>
    <w:p w14:paraId="709BF404">
      <w:pPr>
        <w:widowControl/>
        <w:kinsoku/>
        <w:autoSpaceDE/>
        <w:autoSpaceDN/>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1.未成功递交投标文件的；</w:t>
      </w:r>
    </w:p>
    <w:p w14:paraId="3DEFD0DA">
      <w:pPr>
        <w:widowControl/>
        <w:kinsoku/>
        <w:autoSpaceDE/>
        <w:autoSpaceDN/>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因投标人原因造成投标文件未解密的；</w:t>
      </w:r>
    </w:p>
    <w:p w14:paraId="2C739772">
      <w:pPr>
        <w:widowControl/>
        <w:kinsoku/>
        <w:autoSpaceDE/>
        <w:autoSpaceDN/>
        <w:adjustRightInd/>
        <w:snapToGrid/>
        <w:spacing w:after="135"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二、作无效投标的情形</w:t>
      </w:r>
    </w:p>
    <w:p w14:paraId="7FC63C7B">
      <w:pPr>
        <w:widowControl w:val="0"/>
        <w:shd w:val="clear"/>
        <w:tabs>
          <w:tab w:val="left" w:pos="720"/>
        </w:tabs>
        <w:autoSpaceDE/>
        <w:autoSpaceDN/>
        <w:adjustRightInd/>
        <w:snapToGrid w:val="0"/>
        <w:spacing w:after="0" w:line="360" w:lineRule="auto"/>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1. 投标文件不符合招标文件评标办法中资格评审标准、形式评审标准、响应性评审标准的要求。</w:t>
      </w:r>
    </w:p>
    <w:p w14:paraId="3AC1612F">
      <w:pPr>
        <w:widowControl/>
        <w:spacing w:after="135" w:line="336" w:lineRule="auto"/>
        <w:ind w:firstLine="480" w:firstLineChars="200"/>
        <w:rPr>
          <w:rFonts w:hint="eastAsia" w:ascii="宋体" w:hAnsi="宋体" w:cs="宋体"/>
          <w:lang w:bidi="ar"/>
        </w:rPr>
      </w:pPr>
      <w:r>
        <w:rPr>
          <w:rFonts w:hint="eastAsia" w:ascii="宋体" w:hAnsi="宋体" w:cs="宋体"/>
          <w:lang w:bidi="ar"/>
        </w:rPr>
        <w:t>三、其他否定投标文件效力情形</w:t>
      </w:r>
    </w:p>
    <w:p w14:paraId="78191DF3">
      <w:pPr>
        <w:widowControl/>
        <w:spacing w:after="135" w:line="336" w:lineRule="auto"/>
        <w:ind w:firstLine="480" w:firstLineChars="200"/>
        <w:rPr>
          <w:rFonts w:hint="eastAsia" w:ascii="宋体" w:hAnsi="宋体" w:cs="宋体"/>
          <w:lang w:bidi="ar"/>
        </w:rPr>
      </w:pPr>
      <w:r>
        <w:rPr>
          <w:rFonts w:hint="eastAsia" w:ascii="宋体" w:hAnsi="宋体" w:cs="宋体"/>
          <w:lang w:bidi="ar"/>
        </w:rPr>
        <w:t>1.串通投标或弄虚作假或有其他违法行为的；</w:t>
      </w:r>
    </w:p>
    <w:p w14:paraId="1968F862">
      <w:pPr>
        <w:widowControl/>
        <w:spacing w:after="135" w:line="336"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lang w:bidi="ar"/>
        </w:rPr>
        <w:t>2.不按评标委员会要求澄清、说明或补正的。</w:t>
      </w:r>
    </w:p>
    <w:p w14:paraId="2ACE792B">
      <w:pPr>
        <w:shd w:val="clear"/>
        <w:spacing w:line="360" w:lineRule="auto"/>
        <w:ind w:firstLine="484" w:firstLineChars="202"/>
        <w:rPr>
          <w:rFonts w:hint="eastAsia" w:ascii="宋体" w:hAnsi="宋体" w:eastAsia="宋体" w:cs="宋体"/>
          <w:color w:val="auto"/>
          <w:kern w:val="21"/>
          <w:sz w:val="24"/>
          <w:szCs w:val="24"/>
          <w:highlight w:val="none"/>
        </w:rPr>
      </w:pPr>
    </w:p>
    <w:sectPr>
      <w:headerReference r:id="rId10" w:type="default"/>
      <w:pgSz w:w="11905" w:h="16838"/>
      <w:pgMar w:top="1417" w:right="1417" w:bottom="1417" w:left="1417" w:header="737" w:footer="737"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9FC0F7-FD0D-4F85-8A31-D7982205FC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3F3CB65-4347-444F-873C-DB9E9AC7CAD3}"/>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60FE9785-AE04-41D5-8C3C-CD73CA1CB4E1}"/>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4" w:fontKey="{4FBA9CF9-5E4F-4FCB-9849-2AAA4B5313FC}"/>
  </w:font>
  <w:font w:name="微软雅黑">
    <w:panose1 w:val="020B0503020204020204"/>
    <w:charset w:val="86"/>
    <w:family w:val="auto"/>
    <w:pitch w:val="default"/>
    <w:sig w:usb0="80000287" w:usb1="2ACF3C50" w:usb2="00000016" w:usb3="00000000" w:csb0="0004001F" w:csb1="00000000"/>
    <w:embedRegular r:id="rId5" w:fontKey="{FBF30C45-B26B-453B-9C39-93F8390AE8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4D6D0">
    <w:pPr>
      <w:pStyle w:val="16"/>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DA27B">
                          <w:pPr>
                            <w:pStyle w:val="16"/>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ohYYd8BAAC/AwAADgAAAAAA&#10;AAABACAAAAAeAQAAZHJzL2Uyb0RvYy54bWxQSwUGAAAAAAYABgBZAQAAbwUAAAAA&#10;">
              <v:fill on="f" focussize="0,0"/>
              <v:stroke on="f"/>
              <v:imagedata o:title=""/>
              <o:lock v:ext="edit" aspectratio="f"/>
              <v:textbox inset="0mm,0mm,0mm,0mm" style="mso-fit-shape-to-text:t;">
                <w:txbxContent>
                  <w:p w14:paraId="73EDA27B">
                    <w:pPr>
                      <w:pStyle w:val="16"/>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895E5">
    <w:pPr>
      <w:pStyle w:val="18"/>
      <w:rPr>
        <w:rFonts w:hint="default"/>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C494">
    <w:pPr>
      <w:pStyle w:val="18"/>
      <w:rPr>
        <w:rFonts w:hint="default"/>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1B9B6">
    <w:pPr>
      <w:pStyle w:val="18"/>
      <w:rPr>
        <w:rFonts w:hint="default"/>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C8169">
    <w:pPr>
      <w:pStyle w:val="18"/>
      <w:rPr>
        <w:rFonts w:hint="default"/>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EC60D">
    <w:pPr>
      <w:pStyle w:val="18"/>
      <w:rPr>
        <w:rFonts w:hint="default"/>
        <w:sz w:val="18"/>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CBBA">
    <w:pPr>
      <w:pStyle w:val="18"/>
      <w:rPr>
        <w:rFonts w:hint="default"/>
        <w:sz w:val="18"/>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264A">
    <w:pPr>
      <w:pStyle w:val="18"/>
      <w:pBdr>
        <w:bottom w:val="none" w:color="auto" w:sz="0" w:space="0"/>
      </w:pBdr>
      <w:rPr>
        <w:rFonts w:hint="default"/>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545EDC"/>
    <w:multiLevelType w:val="singleLevel"/>
    <w:tmpl w:val="35545EDC"/>
    <w:lvl w:ilvl="0" w:tentative="0">
      <w:start w:val="1"/>
      <w:numFmt w:val="decimal"/>
      <w:suff w:val="nothing"/>
      <w:lvlText w:val="%1、"/>
      <w:lvlJc w:val="left"/>
    </w:lvl>
  </w:abstractNum>
  <w:abstractNum w:abstractNumId="1">
    <w:nsid w:val="5990F8C6"/>
    <w:multiLevelType w:val="singleLevel"/>
    <w:tmpl w:val="5990F8C6"/>
    <w:lvl w:ilvl="0" w:tentative="0">
      <w:start w:val="1"/>
      <w:numFmt w:val="decimal"/>
      <w:suff w:val="nothing"/>
      <w:lvlText w:val="（%1）"/>
      <w:lvlJc w:val="left"/>
    </w:lvl>
  </w:abstractNum>
  <w:abstractNum w:abstractNumId="2">
    <w:nsid w:val="69ECD18C"/>
    <w:multiLevelType w:val="singleLevel"/>
    <w:tmpl w:val="69ECD18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ZWUyOWNjMjg2NTc0NDFkMjY2OGI1NjVlMTQzNmQifQ=="/>
  </w:docVars>
  <w:rsids>
    <w:rsidRoot w:val="00172A27"/>
    <w:rsid w:val="008B6160"/>
    <w:rsid w:val="00A43468"/>
    <w:rsid w:val="00AB79BE"/>
    <w:rsid w:val="00F27441"/>
    <w:rsid w:val="00F51CB7"/>
    <w:rsid w:val="011212BF"/>
    <w:rsid w:val="01192164"/>
    <w:rsid w:val="012A3E56"/>
    <w:rsid w:val="014D0B1B"/>
    <w:rsid w:val="014F2A30"/>
    <w:rsid w:val="015F5C05"/>
    <w:rsid w:val="018E05EB"/>
    <w:rsid w:val="01D72B91"/>
    <w:rsid w:val="020F624B"/>
    <w:rsid w:val="02840270"/>
    <w:rsid w:val="02DD029C"/>
    <w:rsid w:val="02EB1932"/>
    <w:rsid w:val="031D4A54"/>
    <w:rsid w:val="033343B7"/>
    <w:rsid w:val="034A0620"/>
    <w:rsid w:val="03BE7AAE"/>
    <w:rsid w:val="03F77EFA"/>
    <w:rsid w:val="04055809"/>
    <w:rsid w:val="040E1952"/>
    <w:rsid w:val="04146A60"/>
    <w:rsid w:val="04590E88"/>
    <w:rsid w:val="0468153F"/>
    <w:rsid w:val="04910DFE"/>
    <w:rsid w:val="04FC7042"/>
    <w:rsid w:val="05025778"/>
    <w:rsid w:val="051305CF"/>
    <w:rsid w:val="054235F1"/>
    <w:rsid w:val="055A6E6C"/>
    <w:rsid w:val="056B2B45"/>
    <w:rsid w:val="05913D56"/>
    <w:rsid w:val="05914B70"/>
    <w:rsid w:val="059B276D"/>
    <w:rsid w:val="061E4834"/>
    <w:rsid w:val="062738F5"/>
    <w:rsid w:val="06477D04"/>
    <w:rsid w:val="06612583"/>
    <w:rsid w:val="06720347"/>
    <w:rsid w:val="067A7CBC"/>
    <w:rsid w:val="067F2D12"/>
    <w:rsid w:val="06AE6F4A"/>
    <w:rsid w:val="06C07480"/>
    <w:rsid w:val="070204F3"/>
    <w:rsid w:val="075F6EB2"/>
    <w:rsid w:val="077316FC"/>
    <w:rsid w:val="079D30DF"/>
    <w:rsid w:val="07A6646A"/>
    <w:rsid w:val="07AB4B4C"/>
    <w:rsid w:val="07C14C4E"/>
    <w:rsid w:val="07FF290D"/>
    <w:rsid w:val="08332927"/>
    <w:rsid w:val="08426F91"/>
    <w:rsid w:val="08723864"/>
    <w:rsid w:val="08C473E5"/>
    <w:rsid w:val="08D631A4"/>
    <w:rsid w:val="08FE6AD7"/>
    <w:rsid w:val="091268D2"/>
    <w:rsid w:val="091B505B"/>
    <w:rsid w:val="0931216B"/>
    <w:rsid w:val="093903F8"/>
    <w:rsid w:val="09452310"/>
    <w:rsid w:val="098F7F23"/>
    <w:rsid w:val="09AD03A9"/>
    <w:rsid w:val="09C179F2"/>
    <w:rsid w:val="09C27272"/>
    <w:rsid w:val="09C63687"/>
    <w:rsid w:val="0A632ACD"/>
    <w:rsid w:val="0A6F38B0"/>
    <w:rsid w:val="0A867DEF"/>
    <w:rsid w:val="0A88342A"/>
    <w:rsid w:val="0A9F4269"/>
    <w:rsid w:val="0B2116FC"/>
    <w:rsid w:val="0B420FB8"/>
    <w:rsid w:val="0B464611"/>
    <w:rsid w:val="0B5331D2"/>
    <w:rsid w:val="0B5D5345"/>
    <w:rsid w:val="0B75349A"/>
    <w:rsid w:val="0B9E64BA"/>
    <w:rsid w:val="0BA35B2C"/>
    <w:rsid w:val="0BE00AB0"/>
    <w:rsid w:val="0C134260"/>
    <w:rsid w:val="0C1A15D0"/>
    <w:rsid w:val="0C30731D"/>
    <w:rsid w:val="0C862119"/>
    <w:rsid w:val="0C8E7CC1"/>
    <w:rsid w:val="0C997CA3"/>
    <w:rsid w:val="0CDB6FDB"/>
    <w:rsid w:val="0CE326A9"/>
    <w:rsid w:val="0D56360B"/>
    <w:rsid w:val="0E8106A9"/>
    <w:rsid w:val="0E8D756C"/>
    <w:rsid w:val="0EA16002"/>
    <w:rsid w:val="0EB979F0"/>
    <w:rsid w:val="0F055EC5"/>
    <w:rsid w:val="0F301C58"/>
    <w:rsid w:val="0F3D0A5C"/>
    <w:rsid w:val="0F521117"/>
    <w:rsid w:val="0F711A61"/>
    <w:rsid w:val="0F7B4779"/>
    <w:rsid w:val="0FA933C0"/>
    <w:rsid w:val="0FAC27EA"/>
    <w:rsid w:val="0FBA0265"/>
    <w:rsid w:val="0FCE0A79"/>
    <w:rsid w:val="0FF52AA9"/>
    <w:rsid w:val="10833C11"/>
    <w:rsid w:val="10DB1C9F"/>
    <w:rsid w:val="110F0EFA"/>
    <w:rsid w:val="115B6E1E"/>
    <w:rsid w:val="116822A1"/>
    <w:rsid w:val="11702C8D"/>
    <w:rsid w:val="11C028AF"/>
    <w:rsid w:val="12042129"/>
    <w:rsid w:val="12597320"/>
    <w:rsid w:val="12794296"/>
    <w:rsid w:val="127E1E95"/>
    <w:rsid w:val="12B24C82"/>
    <w:rsid w:val="12D76496"/>
    <w:rsid w:val="12FC56ED"/>
    <w:rsid w:val="134C478E"/>
    <w:rsid w:val="134D3560"/>
    <w:rsid w:val="13631AD8"/>
    <w:rsid w:val="1372076F"/>
    <w:rsid w:val="138D4536"/>
    <w:rsid w:val="138D669A"/>
    <w:rsid w:val="13BD568C"/>
    <w:rsid w:val="13EE0722"/>
    <w:rsid w:val="14310F09"/>
    <w:rsid w:val="14645D0C"/>
    <w:rsid w:val="147E12BF"/>
    <w:rsid w:val="14B842A9"/>
    <w:rsid w:val="14E153AA"/>
    <w:rsid w:val="14EC05ED"/>
    <w:rsid w:val="14F3618F"/>
    <w:rsid w:val="14F543DF"/>
    <w:rsid w:val="152A53ED"/>
    <w:rsid w:val="154D28AD"/>
    <w:rsid w:val="155A2E58"/>
    <w:rsid w:val="159C6235"/>
    <w:rsid w:val="15C30CEA"/>
    <w:rsid w:val="15CF0938"/>
    <w:rsid w:val="15FA071C"/>
    <w:rsid w:val="160E0421"/>
    <w:rsid w:val="1624174E"/>
    <w:rsid w:val="164367D1"/>
    <w:rsid w:val="165748AA"/>
    <w:rsid w:val="1667074B"/>
    <w:rsid w:val="16D90A2F"/>
    <w:rsid w:val="17270404"/>
    <w:rsid w:val="174F03C2"/>
    <w:rsid w:val="1761230B"/>
    <w:rsid w:val="17E07532"/>
    <w:rsid w:val="17FF44C5"/>
    <w:rsid w:val="184711C8"/>
    <w:rsid w:val="185A16FC"/>
    <w:rsid w:val="187237A6"/>
    <w:rsid w:val="188744BB"/>
    <w:rsid w:val="189B1E31"/>
    <w:rsid w:val="189C4916"/>
    <w:rsid w:val="18B41139"/>
    <w:rsid w:val="198E311D"/>
    <w:rsid w:val="19AD7F51"/>
    <w:rsid w:val="19BE26A2"/>
    <w:rsid w:val="19DD50F5"/>
    <w:rsid w:val="1AA1108D"/>
    <w:rsid w:val="1AAF7027"/>
    <w:rsid w:val="1AE837D0"/>
    <w:rsid w:val="1AFE46CE"/>
    <w:rsid w:val="1B0A599D"/>
    <w:rsid w:val="1B0C20B9"/>
    <w:rsid w:val="1B3C5791"/>
    <w:rsid w:val="1BA0543B"/>
    <w:rsid w:val="1BC55628"/>
    <w:rsid w:val="1C02755F"/>
    <w:rsid w:val="1C745C64"/>
    <w:rsid w:val="1C9950EF"/>
    <w:rsid w:val="1CB82E95"/>
    <w:rsid w:val="1D0C4ADF"/>
    <w:rsid w:val="1D0D6E52"/>
    <w:rsid w:val="1D316BB8"/>
    <w:rsid w:val="1D4A4435"/>
    <w:rsid w:val="1D610481"/>
    <w:rsid w:val="1D8B6EF6"/>
    <w:rsid w:val="1DFC3C33"/>
    <w:rsid w:val="1DFF5283"/>
    <w:rsid w:val="1E162569"/>
    <w:rsid w:val="1E294235"/>
    <w:rsid w:val="1E5E5D96"/>
    <w:rsid w:val="1E6F309C"/>
    <w:rsid w:val="1EAE2913"/>
    <w:rsid w:val="1ECA30CF"/>
    <w:rsid w:val="1F1138B5"/>
    <w:rsid w:val="1F493040"/>
    <w:rsid w:val="1F49617D"/>
    <w:rsid w:val="1F7E7EB0"/>
    <w:rsid w:val="1F933A87"/>
    <w:rsid w:val="1FA31BDA"/>
    <w:rsid w:val="1FA64DD9"/>
    <w:rsid w:val="1FB6316D"/>
    <w:rsid w:val="1FB76ED1"/>
    <w:rsid w:val="1FF163E5"/>
    <w:rsid w:val="20304538"/>
    <w:rsid w:val="203B0065"/>
    <w:rsid w:val="20CE3F4B"/>
    <w:rsid w:val="210B2748"/>
    <w:rsid w:val="212263A4"/>
    <w:rsid w:val="216245FF"/>
    <w:rsid w:val="216C2860"/>
    <w:rsid w:val="218B501C"/>
    <w:rsid w:val="21942EF2"/>
    <w:rsid w:val="21A27D50"/>
    <w:rsid w:val="21BF0AE6"/>
    <w:rsid w:val="21FD508D"/>
    <w:rsid w:val="221729FA"/>
    <w:rsid w:val="2239428A"/>
    <w:rsid w:val="223B259E"/>
    <w:rsid w:val="22623CB5"/>
    <w:rsid w:val="226E2E20"/>
    <w:rsid w:val="22AA264D"/>
    <w:rsid w:val="22B81EF5"/>
    <w:rsid w:val="22CA1B74"/>
    <w:rsid w:val="2321701B"/>
    <w:rsid w:val="2338257F"/>
    <w:rsid w:val="23DD557A"/>
    <w:rsid w:val="23E62D7D"/>
    <w:rsid w:val="23EA72C1"/>
    <w:rsid w:val="23F70865"/>
    <w:rsid w:val="24286AD0"/>
    <w:rsid w:val="243868CD"/>
    <w:rsid w:val="245160C7"/>
    <w:rsid w:val="24C06D8A"/>
    <w:rsid w:val="24D70349"/>
    <w:rsid w:val="250A2473"/>
    <w:rsid w:val="25150CFD"/>
    <w:rsid w:val="251E5933"/>
    <w:rsid w:val="256073BD"/>
    <w:rsid w:val="259F4411"/>
    <w:rsid w:val="25A44C59"/>
    <w:rsid w:val="25C34364"/>
    <w:rsid w:val="25DF046A"/>
    <w:rsid w:val="26026247"/>
    <w:rsid w:val="26364C6D"/>
    <w:rsid w:val="269C756C"/>
    <w:rsid w:val="26A02529"/>
    <w:rsid w:val="26B56E44"/>
    <w:rsid w:val="26CF6181"/>
    <w:rsid w:val="2718713B"/>
    <w:rsid w:val="2748607E"/>
    <w:rsid w:val="279369D8"/>
    <w:rsid w:val="27DA3C76"/>
    <w:rsid w:val="27E12C26"/>
    <w:rsid w:val="282B5BF4"/>
    <w:rsid w:val="283207EB"/>
    <w:rsid w:val="288970D4"/>
    <w:rsid w:val="288B74C9"/>
    <w:rsid w:val="28A80261"/>
    <w:rsid w:val="28CF3713"/>
    <w:rsid w:val="28D2048F"/>
    <w:rsid w:val="28D220AC"/>
    <w:rsid w:val="28EF190D"/>
    <w:rsid w:val="29690073"/>
    <w:rsid w:val="2973155D"/>
    <w:rsid w:val="29750EB7"/>
    <w:rsid w:val="297F0BD5"/>
    <w:rsid w:val="29C94FE3"/>
    <w:rsid w:val="29D97060"/>
    <w:rsid w:val="2A4B38A9"/>
    <w:rsid w:val="2A5E151F"/>
    <w:rsid w:val="2A851032"/>
    <w:rsid w:val="2A98794B"/>
    <w:rsid w:val="2AD1527B"/>
    <w:rsid w:val="2AF61758"/>
    <w:rsid w:val="2B1A4D1A"/>
    <w:rsid w:val="2B2C517A"/>
    <w:rsid w:val="2B4975CC"/>
    <w:rsid w:val="2BCE4483"/>
    <w:rsid w:val="2C072EFC"/>
    <w:rsid w:val="2C5B2F5D"/>
    <w:rsid w:val="2C6A762E"/>
    <w:rsid w:val="2C7768C8"/>
    <w:rsid w:val="2C8D6755"/>
    <w:rsid w:val="2C995789"/>
    <w:rsid w:val="2C9E1BF4"/>
    <w:rsid w:val="2C9F25CE"/>
    <w:rsid w:val="2CDC1D0C"/>
    <w:rsid w:val="2CF22D42"/>
    <w:rsid w:val="2D07305C"/>
    <w:rsid w:val="2D183DD2"/>
    <w:rsid w:val="2D383439"/>
    <w:rsid w:val="2D453AEA"/>
    <w:rsid w:val="2D4665ED"/>
    <w:rsid w:val="2D484219"/>
    <w:rsid w:val="2DCD229F"/>
    <w:rsid w:val="2E124DA6"/>
    <w:rsid w:val="2E6508F1"/>
    <w:rsid w:val="2E980D78"/>
    <w:rsid w:val="2EAD14DA"/>
    <w:rsid w:val="2EDD6D8B"/>
    <w:rsid w:val="2EF53AD4"/>
    <w:rsid w:val="2F2A2D4D"/>
    <w:rsid w:val="2F30189E"/>
    <w:rsid w:val="2F4A16AB"/>
    <w:rsid w:val="2F592B10"/>
    <w:rsid w:val="2F6B1FE9"/>
    <w:rsid w:val="2FCE2661"/>
    <w:rsid w:val="2FE72E1D"/>
    <w:rsid w:val="2FF90964"/>
    <w:rsid w:val="300375DA"/>
    <w:rsid w:val="30161909"/>
    <w:rsid w:val="303C6226"/>
    <w:rsid w:val="303F34A1"/>
    <w:rsid w:val="30B821F3"/>
    <w:rsid w:val="30E6401D"/>
    <w:rsid w:val="30FA677F"/>
    <w:rsid w:val="311A046D"/>
    <w:rsid w:val="313C637F"/>
    <w:rsid w:val="31660241"/>
    <w:rsid w:val="317E3F73"/>
    <w:rsid w:val="3196159F"/>
    <w:rsid w:val="31D81138"/>
    <w:rsid w:val="31ED4C70"/>
    <w:rsid w:val="3209113A"/>
    <w:rsid w:val="321E5261"/>
    <w:rsid w:val="322B758E"/>
    <w:rsid w:val="32315A08"/>
    <w:rsid w:val="324319A9"/>
    <w:rsid w:val="324A2A66"/>
    <w:rsid w:val="3268280F"/>
    <w:rsid w:val="326E42CA"/>
    <w:rsid w:val="328A1B25"/>
    <w:rsid w:val="32AB49C0"/>
    <w:rsid w:val="32B1467B"/>
    <w:rsid w:val="32D57EA5"/>
    <w:rsid w:val="32EE07F2"/>
    <w:rsid w:val="331D7A9E"/>
    <w:rsid w:val="33292712"/>
    <w:rsid w:val="334B33F0"/>
    <w:rsid w:val="340439BA"/>
    <w:rsid w:val="34335EE7"/>
    <w:rsid w:val="343A5CCA"/>
    <w:rsid w:val="3446446C"/>
    <w:rsid w:val="349618B6"/>
    <w:rsid w:val="34EB1786"/>
    <w:rsid w:val="35B72E89"/>
    <w:rsid w:val="35BD4208"/>
    <w:rsid w:val="35D70638"/>
    <w:rsid w:val="360D3DFA"/>
    <w:rsid w:val="36115F43"/>
    <w:rsid w:val="365732C7"/>
    <w:rsid w:val="36621D98"/>
    <w:rsid w:val="37090E2F"/>
    <w:rsid w:val="371A26BB"/>
    <w:rsid w:val="37355A4A"/>
    <w:rsid w:val="37437300"/>
    <w:rsid w:val="37647A49"/>
    <w:rsid w:val="37865B8C"/>
    <w:rsid w:val="37A1641C"/>
    <w:rsid w:val="37BC479E"/>
    <w:rsid w:val="37C826B0"/>
    <w:rsid w:val="37FD1E8D"/>
    <w:rsid w:val="38734C00"/>
    <w:rsid w:val="38C14438"/>
    <w:rsid w:val="39037C61"/>
    <w:rsid w:val="392E0314"/>
    <w:rsid w:val="3949339B"/>
    <w:rsid w:val="39750026"/>
    <w:rsid w:val="39786E81"/>
    <w:rsid w:val="39AA6ECF"/>
    <w:rsid w:val="39F90B9A"/>
    <w:rsid w:val="39F93DB8"/>
    <w:rsid w:val="3A0461E5"/>
    <w:rsid w:val="3A112B3C"/>
    <w:rsid w:val="3A3D508E"/>
    <w:rsid w:val="3A960DB6"/>
    <w:rsid w:val="3A995C5C"/>
    <w:rsid w:val="3AC57376"/>
    <w:rsid w:val="3AE64F8C"/>
    <w:rsid w:val="3AFE361D"/>
    <w:rsid w:val="3B183CF0"/>
    <w:rsid w:val="3B8701AA"/>
    <w:rsid w:val="3B956ADD"/>
    <w:rsid w:val="3BAD60C9"/>
    <w:rsid w:val="3BB70A8F"/>
    <w:rsid w:val="3BC0794E"/>
    <w:rsid w:val="3BD165A6"/>
    <w:rsid w:val="3BE61375"/>
    <w:rsid w:val="3C240019"/>
    <w:rsid w:val="3C287131"/>
    <w:rsid w:val="3C6906A0"/>
    <w:rsid w:val="3CB04152"/>
    <w:rsid w:val="3CBC20D5"/>
    <w:rsid w:val="3CCE129F"/>
    <w:rsid w:val="3CD94303"/>
    <w:rsid w:val="3CDC62D4"/>
    <w:rsid w:val="3CDE3DFA"/>
    <w:rsid w:val="3DAE4A09"/>
    <w:rsid w:val="3DD27E02"/>
    <w:rsid w:val="3DDF47A1"/>
    <w:rsid w:val="3DFB09DB"/>
    <w:rsid w:val="3DFC4E7F"/>
    <w:rsid w:val="3E682515"/>
    <w:rsid w:val="3E704F26"/>
    <w:rsid w:val="3E726EF0"/>
    <w:rsid w:val="3E994BBA"/>
    <w:rsid w:val="3ED2798E"/>
    <w:rsid w:val="3ED746B4"/>
    <w:rsid w:val="3ED938FB"/>
    <w:rsid w:val="3F335EDD"/>
    <w:rsid w:val="3F632537"/>
    <w:rsid w:val="3F773BE4"/>
    <w:rsid w:val="3F785551"/>
    <w:rsid w:val="3FA44095"/>
    <w:rsid w:val="40386F69"/>
    <w:rsid w:val="40493C80"/>
    <w:rsid w:val="405C20FE"/>
    <w:rsid w:val="40FF3DC4"/>
    <w:rsid w:val="412F562E"/>
    <w:rsid w:val="41851641"/>
    <w:rsid w:val="419E3712"/>
    <w:rsid w:val="41BF720C"/>
    <w:rsid w:val="420A4732"/>
    <w:rsid w:val="42100417"/>
    <w:rsid w:val="421616F5"/>
    <w:rsid w:val="424D6C8D"/>
    <w:rsid w:val="430A1AA4"/>
    <w:rsid w:val="434706EB"/>
    <w:rsid w:val="43530942"/>
    <w:rsid w:val="43562597"/>
    <w:rsid w:val="435C016E"/>
    <w:rsid w:val="437C3AD0"/>
    <w:rsid w:val="43C9649A"/>
    <w:rsid w:val="43E633F4"/>
    <w:rsid w:val="43F75351"/>
    <w:rsid w:val="440B306C"/>
    <w:rsid w:val="44A869C3"/>
    <w:rsid w:val="4502759C"/>
    <w:rsid w:val="453A287A"/>
    <w:rsid w:val="45610150"/>
    <w:rsid w:val="45662D6A"/>
    <w:rsid w:val="45911C91"/>
    <w:rsid w:val="45AE61C7"/>
    <w:rsid w:val="45B33061"/>
    <w:rsid w:val="46245A45"/>
    <w:rsid w:val="463544A6"/>
    <w:rsid w:val="46987301"/>
    <w:rsid w:val="46B60064"/>
    <w:rsid w:val="46D5281C"/>
    <w:rsid w:val="46F41AEA"/>
    <w:rsid w:val="474D4056"/>
    <w:rsid w:val="47723EB0"/>
    <w:rsid w:val="477C35B1"/>
    <w:rsid w:val="47B67BBB"/>
    <w:rsid w:val="488904ED"/>
    <w:rsid w:val="489C6820"/>
    <w:rsid w:val="489D642B"/>
    <w:rsid w:val="4916326B"/>
    <w:rsid w:val="49247828"/>
    <w:rsid w:val="496953B5"/>
    <w:rsid w:val="496F5C6E"/>
    <w:rsid w:val="49875C3F"/>
    <w:rsid w:val="49957EF3"/>
    <w:rsid w:val="49CB3661"/>
    <w:rsid w:val="49F107DC"/>
    <w:rsid w:val="4A084BAC"/>
    <w:rsid w:val="4A11580F"/>
    <w:rsid w:val="4A1C0855"/>
    <w:rsid w:val="4A694C72"/>
    <w:rsid w:val="4A6C5A32"/>
    <w:rsid w:val="4A742A58"/>
    <w:rsid w:val="4A8F7DB6"/>
    <w:rsid w:val="4AB1638A"/>
    <w:rsid w:val="4AEC5EDD"/>
    <w:rsid w:val="4B3576F6"/>
    <w:rsid w:val="4B37569A"/>
    <w:rsid w:val="4B3E45F3"/>
    <w:rsid w:val="4B564475"/>
    <w:rsid w:val="4B6A2DEF"/>
    <w:rsid w:val="4B702F01"/>
    <w:rsid w:val="4BF159C5"/>
    <w:rsid w:val="4C084F21"/>
    <w:rsid w:val="4C1A5A9A"/>
    <w:rsid w:val="4C1A6800"/>
    <w:rsid w:val="4C2D4020"/>
    <w:rsid w:val="4C577725"/>
    <w:rsid w:val="4C5F3E30"/>
    <w:rsid w:val="4CA94424"/>
    <w:rsid w:val="4CE72CA1"/>
    <w:rsid w:val="4CF01C04"/>
    <w:rsid w:val="4D0369F0"/>
    <w:rsid w:val="4D1B4C54"/>
    <w:rsid w:val="4D5E7228"/>
    <w:rsid w:val="4D600274"/>
    <w:rsid w:val="4D6E2758"/>
    <w:rsid w:val="4D8A0839"/>
    <w:rsid w:val="4D903A6C"/>
    <w:rsid w:val="4DB36932"/>
    <w:rsid w:val="4DCD26B3"/>
    <w:rsid w:val="4DF8079E"/>
    <w:rsid w:val="4E5A2B76"/>
    <w:rsid w:val="4E66040F"/>
    <w:rsid w:val="4E794740"/>
    <w:rsid w:val="4EA248CC"/>
    <w:rsid w:val="4F690DE3"/>
    <w:rsid w:val="4F7D3946"/>
    <w:rsid w:val="4FDB79C1"/>
    <w:rsid w:val="4FFB0594"/>
    <w:rsid w:val="505774AB"/>
    <w:rsid w:val="506E66A4"/>
    <w:rsid w:val="509567C0"/>
    <w:rsid w:val="50C55ADA"/>
    <w:rsid w:val="51031C29"/>
    <w:rsid w:val="516D0D25"/>
    <w:rsid w:val="516E5229"/>
    <w:rsid w:val="51B12E98"/>
    <w:rsid w:val="51D34386"/>
    <w:rsid w:val="521B7196"/>
    <w:rsid w:val="5223443E"/>
    <w:rsid w:val="522C3C23"/>
    <w:rsid w:val="52516039"/>
    <w:rsid w:val="527B37EB"/>
    <w:rsid w:val="527C1C93"/>
    <w:rsid w:val="52952D55"/>
    <w:rsid w:val="52A929CD"/>
    <w:rsid w:val="52C14F7B"/>
    <w:rsid w:val="52CC64F0"/>
    <w:rsid w:val="52D2081B"/>
    <w:rsid w:val="52DB3356"/>
    <w:rsid w:val="53096DD1"/>
    <w:rsid w:val="53355410"/>
    <w:rsid w:val="53B135FD"/>
    <w:rsid w:val="53CE4770"/>
    <w:rsid w:val="53D66C6D"/>
    <w:rsid w:val="53EF77F2"/>
    <w:rsid w:val="53F658ED"/>
    <w:rsid w:val="540131E5"/>
    <w:rsid w:val="549C486F"/>
    <w:rsid w:val="54C53DC5"/>
    <w:rsid w:val="54EB4EAE"/>
    <w:rsid w:val="55060847"/>
    <w:rsid w:val="55096426"/>
    <w:rsid w:val="554C1516"/>
    <w:rsid w:val="558952EB"/>
    <w:rsid w:val="55C21B77"/>
    <w:rsid w:val="55CA20C0"/>
    <w:rsid w:val="56606110"/>
    <w:rsid w:val="56DE0000"/>
    <w:rsid w:val="574877D5"/>
    <w:rsid w:val="574F0315"/>
    <w:rsid w:val="575200B9"/>
    <w:rsid w:val="575D6758"/>
    <w:rsid w:val="5777638E"/>
    <w:rsid w:val="57E70337"/>
    <w:rsid w:val="580D19E3"/>
    <w:rsid w:val="587E7025"/>
    <w:rsid w:val="58C26C2F"/>
    <w:rsid w:val="58CA6A78"/>
    <w:rsid w:val="58E533AC"/>
    <w:rsid w:val="593432C8"/>
    <w:rsid w:val="59A131C7"/>
    <w:rsid w:val="59BD689B"/>
    <w:rsid w:val="59E720E8"/>
    <w:rsid w:val="5A4908E9"/>
    <w:rsid w:val="5A7002B7"/>
    <w:rsid w:val="5ADB5F78"/>
    <w:rsid w:val="5AE6330C"/>
    <w:rsid w:val="5AF82F5C"/>
    <w:rsid w:val="5B0F6E98"/>
    <w:rsid w:val="5B2362C8"/>
    <w:rsid w:val="5B9D7881"/>
    <w:rsid w:val="5CD96698"/>
    <w:rsid w:val="5CFB2BCB"/>
    <w:rsid w:val="5D184CAE"/>
    <w:rsid w:val="5D250781"/>
    <w:rsid w:val="5D271486"/>
    <w:rsid w:val="5DB50E4A"/>
    <w:rsid w:val="5DC010E3"/>
    <w:rsid w:val="5DC07CB0"/>
    <w:rsid w:val="5E3653EC"/>
    <w:rsid w:val="5E671A49"/>
    <w:rsid w:val="5ED80623"/>
    <w:rsid w:val="5EF15967"/>
    <w:rsid w:val="5EF95C2F"/>
    <w:rsid w:val="5F745F82"/>
    <w:rsid w:val="5F8258AC"/>
    <w:rsid w:val="5F8647AB"/>
    <w:rsid w:val="5FA15198"/>
    <w:rsid w:val="5FB200B3"/>
    <w:rsid w:val="5FBD2BE3"/>
    <w:rsid w:val="5FC0032B"/>
    <w:rsid w:val="5FE51C5C"/>
    <w:rsid w:val="5FF4555F"/>
    <w:rsid w:val="60007D05"/>
    <w:rsid w:val="60086637"/>
    <w:rsid w:val="603275BE"/>
    <w:rsid w:val="603A5171"/>
    <w:rsid w:val="607E061F"/>
    <w:rsid w:val="60996106"/>
    <w:rsid w:val="60DB227B"/>
    <w:rsid w:val="610E3271"/>
    <w:rsid w:val="611C45E5"/>
    <w:rsid w:val="617C1CB0"/>
    <w:rsid w:val="61945001"/>
    <w:rsid w:val="61A94127"/>
    <w:rsid w:val="61E804E1"/>
    <w:rsid w:val="61EA613C"/>
    <w:rsid w:val="62501064"/>
    <w:rsid w:val="62AB097F"/>
    <w:rsid w:val="62B15989"/>
    <w:rsid w:val="62B62F9F"/>
    <w:rsid w:val="62C12D55"/>
    <w:rsid w:val="630A25A2"/>
    <w:rsid w:val="63C625B1"/>
    <w:rsid w:val="63DB2CB0"/>
    <w:rsid w:val="64660CAE"/>
    <w:rsid w:val="648844C8"/>
    <w:rsid w:val="64A11753"/>
    <w:rsid w:val="64F46CA9"/>
    <w:rsid w:val="650212CA"/>
    <w:rsid w:val="6508128E"/>
    <w:rsid w:val="65155183"/>
    <w:rsid w:val="653E144B"/>
    <w:rsid w:val="654A3E4B"/>
    <w:rsid w:val="6568095E"/>
    <w:rsid w:val="659B15D8"/>
    <w:rsid w:val="65D76672"/>
    <w:rsid w:val="65EE4B6C"/>
    <w:rsid w:val="66044D03"/>
    <w:rsid w:val="661B351D"/>
    <w:rsid w:val="66714675"/>
    <w:rsid w:val="66AF21DF"/>
    <w:rsid w:val="66CA3897"/>
    <w:rsid w:val="66D47E98"/>
    <w:rsid w:val="671A4C7D"/>
    <w:rsid w:val="672E57FA"/>
    <w:rsid w:val="67311CA2"/>
    <w:rsid w:val="674342AB"/>
    <w:rsid w:val="674758BA"/>
    <w:rsid w:val="67543B2D"/>
    <w:rsid w:val="677914A1"/>
    <w:rsid w:val="67802043"/>
    <w:rsid w:val="679A2E90"/>
    <w:rsid w:val="67BA553F"/>
    <w:rsid w:val="67D77F8E"/>
    <w:rsid w:val="67F867D3"/>
    <w:rsid w:val="68163BB5"/>
    <w:rsid w:val="689E7A10"/>
    <w:rsid w:val="690F338D"/>
    <w:rsid w:val="693A5DCF"/>
    <w:rsid w:val="694B3523"/>
    <w:rsid w:val="69607EF9"/>
    <w:rsid w:val="69731BEA"/>
    <w:rsid w:val="69736C96"/>
    <w:rsid w:val="69A74C44"/>
    <w:rsid w:val="69B47845"/>
    <w:rsid w:val="69FA7C16"/>
    <w:rsid w:val="6A08282B"/>
    <w:rsid w:val="6A583061"/>
    <w:rsid w:val="6A815C41"/>
    <w:rsid w:val="6AC8299D"/>
    <w:rsid w:val="6ACC2947"/>
    <w:rsid w:val="6AEF34F2"/>
    <w:rsid w:val="6B5A1B25"/>
    <w:rsid w:val="6B6F018F"/>
    <w:rsid w:val="6BBE73AD"/>
    <w:rsid w:val="6C226FA5"/>
    <w:rsid w:val="6C333872"/>
    <w:rsid w:val="6CA62AC4"/>
    <w:rsid w:val="6DAA1953"/>
    <w:rsid w:val="6E010F15"/>
    <w:rsid w:val="6E8D72AA"/>
    <w:rsid w:val="6E8F1C70"/>
    <w:rsid w:val="6E9641D4"/>
    <w:rsid w:val="6F162E82"/>
    <w:rsid w:val="6F585C48"/>
    <w:rsid w:val="6F5F5CFA"/>
    <w:rsid w:val="6FB6545E"/>
    <w:rsid w:val="6FDC5A0F"/>
    <w:rsid w:val="6FE05AC1"/>
    <w:rsid w:val="6FE82645"/>
    <w:rsid w:val="6FF25061"/>
    <w:rsid w:val="702B37BF"/>
    <w:rsid w:val="704E2A69"/>
    <w:rsid w:val="70836081"/>
    <w:rsid w:val="70B85AB6"/>
    <w:rsid w:val="70E11B7B"/>
    <w:rsid w:val="70ED6F34"/>
    <w:rsid w:val="71034620"/>
    <w:rsid w:val="71307CC1"/>
    <w:rsid w:val="719941B8"/>
    <w:rsid w:val="720F26D2"/>
    <w:rsid w:val="72321CFD"/>
    <w:rsid w:val="72402396"/>
    <w:rsid w:val="7258372B"/>
    <w:rsid w:val="72856608"/>
    <w:rsid w:val="72985052"/>
    <w:rsid w:val="7313531F"/>
    <w:rsid w:val="731E0F50"/>
    <w:rsid w:val="73285A9D"/>
    <w:rsid w:val="7343262D"/>
    <w:rsid w:val="73A57581"/>
    <w:rsid w:val="73CD59C3"/>
    <w:rsid w:val="73D634A1"/>
    <w:rsid w:val="74B231F1"/>
    <w:rsid w:val="75100593"/>
    <w:rsid w:val="752A04A5"/>
    <w:rsid w:val="755E2ADE"/>
    <w:rsid w:val="757635DC"/>
    <w:rsid w:val="75916264"/>
    <w:rsid w:val="75ED062E"/>
    <w:rsid w:val="760065B4"/>
    <w:rsid w:val="761C43EE"/>
    <w:rsid w:val="76326989"/>
    <w:rsid w:val="7687417C"/>
    <w:rsid w:val="768E5086"/>
    <w:rsid w:val="76945227"/>
    <w:rsid w:val="76A25114"/>
    <w:rsid w:val="76A85F7B"/>
    <w:rsid w:val="76B83653"/>
    <w:rsid w:val="76C23199"/>
    <w:rsid w:val="76D77082"/>
    <w:rsid w:val="771A18F7"/>
    <w:rsid w:val="773B7320"/>
    <w:rsid w:val="77511CBC"/>
    <w:rsid w:val="77563D2B"/>
    <w:rsid w:val="775819BF"/>
    <w:rsid w:val="776112D4"/>
    <w:rsid w:val="77A03BF2"/>
    <w:rsid w:val="77A82A23"/>
    <w:rsid w:val="77C22369"/>
    <w:rsid w:val="77F34C42"/>
    <w:rsid w:val="7811525D"/>
    <w:rsid w:val="7838546B"/>
    <w:rsid w:val="784159EC"/>
    <w:rsid w:val="784210E3"/>
    <w:rsid w:val="78F817C4"/>
    <w:rsid w:val="791B566B"/>
    <w:rsid w:val="79437415"/>
    <w:rsid w:val="79A94762"/>
    <w:rsid w:val="79BF259A"/>
    <w:rsid w:val="79C20FA6"/>
    <w:rsid w:val="79D20FD4"/>
    <w:rsid w:val="79DE2C05"/>
    <w:rsid w:val="79FD2829"/>
    <w:rsid w:val="7A1545F8"/>
    <w:rsid w:val="7A83283A"/>
    <w:rsid w:val="7AA70FB0"/>
    <w:rsid w:val="7AC4078D"/>
    <w:rsid w:val="7ADC24F4"/>
    <w:rsid w:val="7AEE7392"/>
    <w:rsid w:val="7AF532D6"/>
    <w:rsid w:val="7AFA4453"/>
    <w:rsid w:val="7B570488"/>
    <w:rsid w:val="7B683711"/>
    <w:rsid w:val="7B7A4AA1"/>
    <w:rsid w:val="7B8A5777"/>
    <w:rsid w:val="7BB76DD6"/>
    <w:rsid w:val="7BC77356"/>
    <w:rsid w:val="7BEB4136"/>
    <w:rsid w:val="7C514068"/>
    <w:rsid w:val="7CA12D1E"/>
    <w:rsid w:val="7CE37583"/>
    <w:rsid w:val="7D0A66E9"/>
    <w:rsid w:val="7D323883"/>
    <w:rsid w:val="7D4B3C28"/>
    <w:rsid w:val="7D6F2AD6"/>
    <w:rsid w:val="7D8540D5"/>
    <w:rsid w:val="7DBB54B6"/>
    <w:rsid w:val="7DC30AAC"/>
    <w:rsid w:val="7DCB394B"/>
    <w:rsid w:val="7DCE4049"/>
    <w:rsid w:val="7DD827C0"/>
    <w:rsid w:val="7E2E52EC"/>
    <w:rsid w:val="7E3E3CB6"/>
    <w:rsid w:val="7E556AC1"/>
    <w:rsid w:val="7E642FDC"/>
    <w:rsid w:val="7E8D2B2E"/>
    <w:rsid w:val="7EED24EC"/>
    <w:rsid w:val="7EF63DE1"/>
    <w:rsid w:val="7F0A152B"/>
    <w:rsid w:val="7F3322A3"/>
    <w:rsid w:val="7FD858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basedOn w:val="1"/>
    <w:next w:val="1"/>
    <w:unhideWhenUsed/>
    <w:qFormat/>
    <w:uiPriority w:val="1"/>
    <w:pPr>
      <w:ind w:left="3"/>
      <w:jc w:val="center"/>
      <w:outlineLvl w:val="0"/>
    </w:pPr>
    <w:rPr>
      <w:rFonts w:hint="eastAsia" w:ascii="Microsoft JhengHei" w:hAnsi="Microsoft JhengHei" w:eastAsia="Microsoft JhengHei"/>
      <w:b/>
      <w:sz w:val="44"/>
      <w:szCs w:val="24"/>
    </w:rPr>
  </w:style>
  <w:style w:type="paragraph" w:styleId="3">
    <w:name w:val="heading 2"/>
    <w:basedOn w:val="1"/>
    <w:next w:val="1"/>
    <w:link w:val="43"/>
    <w:unhideWhenUsed/>
    <w:qFormat/>
    <w:uiPriority w:val="1"/>
    <w:pPr>
      <w:ind w:left="3"/>
      <w:jc w:val="center"/>
      <w:outlineLvl w:val="1"/>
    </w:pPr>
    <w:rPr>
      <w:rFonts w:hint="default" w:ascii="宋体" w:hAnsi="宋体" w:eastAsia="宋体"/>
      <w:sz w:val="30"/>
      <w:szCs w:val="24"/>
    </w:rPr>
  </w:style>
  <w:style w:type="paragraph" w:styleId="4">
    <w:name w:val="heading 3"/>
    <w:basedOn w:val="1"/>
    <w:next w:val="1"/>
    <w:link w:val="34"/>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5">
    <w:name w:val="heading 4"/>
    <w:basedOn w:val="1"/>
    <w:next w:val="1"/>
    <w:unhideWhenUsed/>
    <w:qFormat/>
    <w:uiPriority w:val="1"/>
    <w:pPr>
      <w:outlineLvl w:val="3"/>
    </w:pPr>
    <w:rPr>
      <w:rFonts w:hint="default" w:ascii="宋体" w:hAnsi="宋体" w:eastAsia="宋体"/>
      <w:sz w:val="28"/>
      <w:szCs w:val="24"/>
    </w:rPr>
  </w:style>
  <w:style w:type="paragraph" w:styleId="6">
    <w:name w:val="heading 5"/>
    <w:basedOn w:val="1"/>
    <w:next w:val="1"/>
    <w:unhideWhenUsed/>
    <w:qFormat/>
    <w:uiPriority w:val="1"/>
    <w:pPr>
      <w:ind w:left="237"/>
      <w:outlineLvl w:val="4"/>
    </w:pPr>
    <w:rPr>
      <w:rFonts w:hint="default" w:ascii="宋体" w:hAnsi="宋体" w:eastAsia="宋体"/>
      <w:sz w:val="28"/>
      <w:szCs w:val="24"/>
    </w:rPr>
  </w:style>
  <w:style w:type="paragraph" w:styleId="7">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6">
    <w:name w:val="Default Paragraph Font"/>
    <w:unhideWhenUsed/>
    <w:qFormat/>
    <w:uiPriority w:val="99"/>
    <w:rPr>
      <w:rFonts w:hint="default"/>
      <w:sz w:val="24"/>
      <w:szCs w:val="24"/>
    </w:rPr>
  </w:style>
  <w:style w:type="table" w:default="1" w:styleId="24">
    <w:name w:val="Normal Table"/>
    <w:qFormat/>
    <w:uiPriority w:val="0"/>
    <w:tblPr>
      <w:tblCellMar>
        <w:top w:w="0" w:type="dxa"/>
        <w:left w:w="108" w:type="dxa"/>
        <w:bottom w:w="0" w:type="dxa"/>
        <w:right w:w="108" w:type="dxa"/>
      </w:tblCellMar>
    </w:tblPr>
  </w:style>
  <w:style w:type="paragraph" w:styleId="8">
    <w:name w:val="Normal Indent"/>
    <w:basedOn w:val="1"/>
    <w:next w:val="1"/>
    <w:unhideWhenUsed/>
    <w:qFormat/>
    <w:uiPriority w:val="99"/>
    <w:pPr>
      <w:ind w:firstLine="420"/>
    </w:pPr>
    <w:rPr>
      <w:rFonts w:ascii="Times New Roman" w:hAnsi="Times New Roman" w:eastAsia="楷体_GB2312" w:cs="Times New Roman"/>
      <w:lang w:val="en-US" w:eastAsia="zh-CN" w:bidi="ar-SA"/>
    </w:rPr>
  </w:style>
  <w:style w:type="paragraph" w:styleId="9">
    <w:name w:val="annotation text"/>
    <w:basedOn w:val="1"/>
    <w:unhideWhenUsed/>
    <w:qFormat/>
    <w:uiPriority w:val="99"/>
    <w:pPr>
      <w:jc w:val="left"/>
    </w:pPr>
  </w:style>
  <w:style w:type="paragraph" w:styleId="10">
    <w:name w:val="Body Text 3"/>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1">
    <w:name w:val="Body Text"/>
    <w:basedOn w:val="1"/>
    <w:link w:val="49"/>
    <w:unhideWhenUsed/>
    <w:qFormat/>
    <w:uiPriority w:val="1"/>
    <w:pPr>
      <w:ind w:left="520"/>
    </w:pPr>
    <w:rPr>
      <w:rFonts w:hint="default" w:ascii="宋体" w:hAnsi="宋体" w:eastAsia="宋体"/>
      <w:sz w:val="21"/>
      <w:szCs w:val="24"/>
    </w:rPr>
  </w:style>
  <w:style w:type="paragraph" w:styleId="12">
    <w:name w:val="Body Text Indent"/>
    <w:basedOn w:val="1"/>
    <w:unhideWhenUsed/>
    <w:qFormat/>
    <w:uiPriority w:val="99"/>
    <w:pPr>
      <w:spacing w:after="120"/>
      <w:ind w:left="420" w:leftChars="200"/>
    </w:pPr>
  </w:style>
  <w:style w:type="paragraph" w:styleId="13">
    <w:name w:val="toc 3"/>
    <w:basedOn w:val="1"/>
    <w:next w:val="1"/>
    <w:qFormat/>
    <w:uiPriority w:val="99"/>
    <w:pPr>
      <w:ind w:left="840" w:leftChars="400"/>
    </w:pPr>
  </w:style>
  <w:style w:type="paragraph" w:styleId="14">
    <w:name w:val="Plain Text"/>
    <w:basedOn w:val="1"/>
    <w:next w:val="1"/>
    <w:unhideWhenUsed/>
    <w:qFormat/>
    <w:uiPriority w:val="0"/>
    <w:rPr>
      <w:rFonts w:hint="default" w:ascii="宋体" w:hAnsi="Courier New" w:eastAsia="宋体"/>
      <w:sz w:val="24"/>
      <w:szCs w:val="24"/>
    </w:rPr>
  </w:style>
  <w:style w:type="paragraph" w:styleId="15">
    <w:name w:val="Body Text Indent 2"/>
    <w:unhideWhenUsed/>
    <w:qFormat/>
    <w:uiPriority w:val="99"/>
    <w:pPr>
      <w:spacing w:after="120" w:line="480" w:lineRule="auto"/>
      <w:ind w:left="420" w:leftChars="200"/>
    </w:pPr>
    <w:rPr>
      <w:rFonts w:ascii="Times New Roman" w:hAnsi="Times New Roman" w:eastAsia="宋体" w:cs="Times New Roman"/>
      <w:lang w:val="en-US" w:eastAsia="zh-CN" w:bidi="ar-SA"/>
    </w:rPr>
  </w:style>
  <w:style w:type="paragraph" w:styleId="16">
    <w:name w:val="footer"/>
    <w:basedOn w:val="1"/>
    <w:unhideWhenUsed/>
    <w:qFormat/>
    <w:uiPriority w:val="99"/>
    <w:pPr>
      <w:tabs>
        <w:tab w:val="center" w:pos="4153"/>
        <w:tab w:val="right" w:pos="8306"/>
      </w:tabs>
      <w:snapToGrid w:val="0"/>
    </w:pPr>
    <w:rPr>
      <w:rFonts w:hint="default"/>
      <w:sz w:val="18"/>
      <w:szCs w:val="24"/>
    </w:rPr>
  </w:style>
  <w:style w:type="paragraph" w:styleId="17">
    <w:name w:val="envelope return"/>
    <w:basedOn w:val="1"/>
    <w:qFormat/>
    <w:uiPriority w:val="0"/>
    <w:pPr>
      <w:snapToGrid w:val="0"/>
    </w:pPr>
    <w:rPr>
      <w:rFonts w:ascii="Arial" w:hAnsi="Arial"/>
    </w:rPr>
  </w:style>
  <w:style w:type="paragraph" w:styleId="18">
    <w:name w:val="header"/>
    <w:basedOn w:val="1"/>
    <w:unhideWhenUsed/>
    <w:qFormat/>
    <w:uiPriority w:val="99"/>
    <w:pPr>
      <w:tabs>
        <w:tab w:val="center" w:pos="4153"/>
        <w:tab w:val="right" w:pos="8306"/>
      </w:tabs>
      <w:snapToGrid w:val="0"/>
      <w:jc w:val="both"/>
    </w:pPr>
    <w:rPr>
      <w:rFonts w:hint="default"/>
      <w:sz w:val="18"/>
      <w:szCs w:val="24"/>
    </w:rPr>
  </w:style>
  <w:style w:type="paragraph" w:styleId="19">
    <w:name w:val="toc 1"/>
    <w:basedOn w:val="1"/>
    <w:next w:val="1"/>
    <w:qFormat/>
    <w:uiPriority w:val="99"/>
  </w:style>
  <w:style w:type="paragraph" w:styleId="20">
    <w:name w:val="toc 2"/>
    <w:basedOn w:val="1"/>
    <w:next w:val="1"/>
    <w:qFormat/>
    <w:uiPriority w:val="99"/>
    <w:pPr>
      <w:ind w:left="420" w:leftChars="200"/>
    </w:pPr>
  </w:style>
  <w:style w:type="paragraph" w:styleId="21">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22">
    <w:name w:val="Body Text First Indent"/>
    <w:basedOn w:val="11"/>
    <w:unhideWhenUsed/>
    <w:qFormat/>
    <w:uiPriority w:val="0"/>
    <w:pPr>
      <w:ind w:firstLine="420"/>
    </w:pPr>
    <w:rPr>
      <w:rFonts w:hint="eastAsia" w:ascii="Times New Roman" w:hAnsi="Times New Roman" w:eastAsia="楷体_GB2312"/>
      <w:sz w:val="20"/>
      <w:szCs w:val="24"/>
    </w:rPr>
  </w:style>
  <w:style w:type="paragraph" w:styleId="23">
    <w:name w:val="Body Text First Indent 2"/>
    <w:basedOn w:val="1"/>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8">
    <w:name w:val="_Style 3"/>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9">
    <w:name w:val="Heading2"/>
    <w:next w:val="1"/>
    <w:qFormat/>
    <w:uiPriority w:val="0"/>
    <w:pPr>
      <w:keepNext/>
      <w:keepLines/>
      <w:widowControl w:val="0"/>
      <w:spacing w:before="260" w:after="260" w:line="412" w:lineRule="auto"/>
      <w:jc w:val="both"/>
    </w:pPr>
    <w:rPr>
      <w:rFonts w:ascii="Arial" w:hAnsi="Arial" w:eastAsia="黑体" w:cs="Times New Roman"/>
      <w:kern w:val="0"/>
      <w:sz w:val="32"/>
      <w:szCs w:val="32"/>
      <w:lang w:val="en-US" w:eastAsia="zh-CN" w:bidi="ar-SA"/>
    </w:rPr>
  </w:style>
  <w:style w:type="paragraph" w:customStyle="1" w:styleId="30">
    <w:name w:val="表格文字"/>
    <w:basedOn w:val="1"/>
    <w:qFormat/>
    <w:uiPriority w:val="0"/>
    <w:pPr>
      <w:snapToGrid w:val="0"/>
      <w:spacing w:line="360" w:lineRule="atLeast"/>
      <w:jc w:val="center"/>
    </w:pPr>
    <w:rPr>
      <w:rFonts w:ascii="宋体" w:eastAsia="幼圆"/>
      <w:szCs w:val="20"/>
    </w:rPr>
  </w:style>
  <w:style w:type="paragraph" w:customStyle="1" w:styleId="3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2">
    <w:name w:val="正文缩进1"/>
    <w:basedOn w:val="33"/>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33">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34">
    <w:name w:val="标题 3 Char"/>
    <w:link w:val="4"/>
    <w:unhideWhenUsed/>
    <w:qFormat/>
    <w:uiPriority w:val="1"/>
    <w:rPr>
      <w:rFonts w:hint="default" w:ascii="宋体" w:hAnsi="宋体" w:eastAsia="宋体"/>
      <w:b/>
      <w:sz w:val="24"/>
      <w:szCs w:val="24"/>
    </w:rPr>
  </w:style>
  <w:style w:type="paragraph" w:customStyle="1" w:styleId="35">
    <w:name w:val="Table Paragraph"/>
    <w:basedOn w:val="1"/>
    <w:unhideWhenUsed/>
    <w:qFormat/>
    <w:uiPriority w:val="1"/>
    <w:rPr>
      <w:rFonts w:hint="default"/>
      <w:sz w:val="24"/>
      <w:szCs w:val="24"/>
    </w:rPr>
  </w:style>
  <w:style w:type="paragraph" w:customStyle="1" w:styleId="36">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7">
    <w:name w:val="p0"/>
    <w:basedOn w:val="1"/>
    <w:unhideWhenUsed/>
    <w:qFormat/>
    <w:uiPriority w:val="0"/>
    <w:pPr>
      <w:widowControl/>
      <w:spacing w:before="75" w:after="75"/>
    </w:pPr>
    <w:rPr>
      <w:rFonts w:hint="default" w:ascii="宋体" w:hAnsi="宋体" w:eastAsia="宋体" w:cs="宋体"/>
      <w:sz w:val="24"/>
      <w:szCs w:val="24"/>
    </w:rPr>
  </w:style>
  <w:style w:type="paragraph" w:styleId="38">
    <w:name w:val="List Paragraph"/>
    <w:basedOn w:val="1"/>
    <w:unhideWhenUsed/>
    <w:qFormat/>
    <w:uiPriority w:val="1"/>
    <w:rPr>
      <w:rFonts w:hint="default"/>
      <w:sz w:val="24"/>
      <w:szCs w:val="24"/>
    </w:rPr>
  </w:style>
  <w:style w:type="paragraph" w:customStyle="1" w:styleId="39">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40">
    <w:name w:val="样式 宋体 行距: 1.5 倍行距"/>
    <w:basedOn w:val="41"/>
    <w:unhideWhenUsed/>
    <w:qFormat/>
    <w:uiPriority w:val="0"/>
    <w:pPr>
      <w:jc w:val="center"/>
    </w:pPr>
    <w:rPr>
      <w:rFonts w:hint="default"/>
      <w:b/>
      <w:sz w:val="24"/>
      <w:szCs w:val="24"/>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0"/>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发文落款"/>
    <w:basedOn w:val="36"/>
    <w:unhideWhenUsed/>
    <w:qFormat/>
    <w:uiPriority w:val="99"/>
    <w:pPr>
      <w:ind w:left="4094" w:right="607" w:firstLine="0"/>
      <w:jc w:val="center"/>
    </w:pPr>
    <w:rPr>
      <w:rFonts w:hint="eastAsia" w:cs="仿宋_GB2312"/>
      <w:sz w:val="32"/>
      <w:szCs w:val="32"/>
    </w:rPr>
  </w:style>
  <w:style w:type="character" w:customStyle="1" w:styleId="43">
    <w:name w:val="标题 2 Char"/>
    <w:link w:val="3"/>
    <w:unhideWhenUsed/>
    <w:qFormat/>
    <w:uiPriority w:val="1"/>
    <w:rPr>
      <w:rFonts w:hint="default" w:ascii="宋体" w:hAnsi="宋体" w:eastAsia="宋体"/>
      <w:b/>
      <w:sz w:val="30"/>
      <w:szCs w:val="24"/>
    </w:rPr>
  </w:style>
  <w:style w:type="character" w:customStyle="1" w:styleId="44">
    <w:name w:val="NormalCharacter"/>
    <w:unhideWhenUsed/>
    <w:qFormat/>
    <w:uiPriority w:val="0"/>
    <w:rPr>
      <w:rFonts w:hint="default"/>
      <w:sz w:val="24"/>
      <w:szCs w:val="24"/>
    </w:rPr>
  </w:style>
  <w:style w:type="paragraph" w:customStyle="1" w:styleId="45">
    <w:name w:val="WPSOffice手动目录 1"/>
    <w:qFormat/>
    <w:uiPriority w:val="0"/>
    <w:pPr>
      <w:ind w:leftChars="0"/>
    </w:pPr>
    <w:rPr>
      <w:rFonts w:ascii="Times New Roman" w:hAnsi="Times New Roman" w:eastAsia="宋体" w:cs="Times New Roman"/>
      <w:sz w:val="20"/>
      <w:szCs w:val="20"/>
    </w:rPr>
  </w:style>
  <w:style w:type="paragraph" w:customStyle="1" w:styleId="46">
    <w:name w:val="WPSOffice手动目录 2"/>
    <w:qFormat/>
    <w:uiPriority w:val="0"/>
    <w:pPr>
      <w:ind w:leftChars="200"/>
    </w:pPr>
    <w:rPr>
      <w:rFonts w:ascii="Times New Roman" w:hAnsi="Times New Roman" w:eastAsia="宋体" w:cs="Times New Roman"/>
      <w:sz w:val="20"/>
      <w:szCs w:val="20"/>
    </w:rPr>
  </w:style>
  <w:style w:type="paragraph" w:customStyle="1" w:styleId="47">
    <w:name w:val="WPSOffice手动目录 3"/>
    <w:qFormat/>
    <w:uiPriority w:val="0"/>
    <w:pPr>
      <w:ind w:leftChars="400"/>
    </w:pPr>
    <w:rPr>
      <w:rFonts w:ascii="Times New Roman" w:hAnsi="Times New Roman" w:eastAsia="宋体" w:cs="Times New Roman"/>
      <w:sz w:val="20"/>
      <w:szCs w:val="20"/>
    </w:rPr>
  </w:style>
  <w:style w:type="paragraph" w:customStyle="1" w:styleId="48">
    <w:name w:val="文二"/>
    <w:basedOn w:val="1"/>
    <w:qFormat/>
    <w:uiPriority w:val="0"/>
    <w:rPr>
      <w:rFonts w:ascii="宋体" w:hAnsi="宋体"/>
      <w:szCs w:val="21"/>
    </w:rPr>
  </w:style>
  <w:style w:type="character" w:customStyle="1" w:styleId="49">
    <w:name w:val="正文文本 Char"/>
    <w:link w:val="11"/>
    <w:qFormat/>
    <w:uiPriority w:val="1"/>
    <w:rPr>
      <w:rFonts w:hint="default" w:ascii="宋体" w:hAnsi="宋体" w:eastAsia="宋体"/>
      <w:sz w:val="21"/>
      <w:szCs w:val="24"/>
    </w:rPr>
  </w:style>
  <w:style w:type="paragraph" w:customStyle="1" w:styleId="50">
    <w:name w:val="正文 New New"/>
    <w:qFormat/>
    <w:uiPriority w:val="0"/>
    <w:pPr>
      <w:widowControl w:val="0"/>
      <w:jc w:val="both"/>
    </w:pPr>
    <w:rPr>
      <w:rFonts w:ascii="Times New Roman" w:hAnsi="Times New Roman" w:eastAsia="宋体" w:cs="Times New Roman"/>
      <w:kern w:val="2"/>
      <w:sz w:val="28"/>
      <w:szCs w:val="24"/>
      <w:lang w:val="en-US" w:eastAsia="zh-CN" w:bidi="ar-SA"/>
    </w:rPr>
  </w:style>
  <w:style w:type="table" w:customStyle="1" w:styleId="51">
    <w:name w:val="Table Normal"/>
    <w:semiHidden/>
    <w:unhideWhenUsed/>
    <w:qFormat/>
    <w:uiPriority w:val="0"/>
    <w:tblPr>
      <w:tblCellMar>
        <w:top w:w="0" w:type="dxa"/>
        <w:left w:w="0" w:type="dxa"/>
        <w:bottom w:w="0" w:type="dxa"/>
        <w:right w:w="0" w:type="dxa"/>
      </w:tblCellMar>
    </w:tblPr>
  </w:style>
  <w:style w:type="paragraph" w:customStyle="1" w:styleId="52">
    <w:name w:val="null3"/>
    <w:qFormat/>
    <w:uiPriority w:val="0"/>
    <w:rPr>
      <w:rFonts w:hint="eastAsia" w:ascii="Calibri" w:hAnsi="Calibri" w:eastAsia="宋体" w:cs="Times New Roman"/>
      <w:lang w:val="en-US" w:eastAsia="zh-Hans"/>
    </w:rPr>
  </w:style>
  <w:style w:type="paragraph" w:customStyle="1" w:styleId="53">
    <w:name w:val="公告段落"/>
    <w:basedOn w:val="11"/>
    <w:qFormat/>
    <w:uiPriority w:val="0"/>
    <w:pPr>
      <w:tabs>
        <w:tab w:val="left" w:pos="1343"/>
        <w:tab w:val="left" w:pos="2697"/>
        <w:tab w:val="left" w:pos="3264"/>
        <w:tab w:val="left" w:pos="4896"/>
        <w:tab w:val="left" w:pos="6005"/>
        <w:tab w:val="left" w:pos="7085"/>
        <w:tab w:val="left" w:pos="7498"/>
      </w:tabs>
      <w:snapToGrid w:val="0"/>
      <w:spacing w:before="0" w:beforeAutospacing="0" w:line="440" w:lineRule="exact"/>
      <w:ind w:firstLine="200" w:firstLineChars="200"/>
    </w:pPr>
    <w:rPr>
      <w:rFonts w:ascii="宋体" w:hAnsi="宋体"/>
      <w:sz w:val="24"/>
    </w:rPr>
  </w:style>
  <w:style w:type="paragraph" w:customStyle="1" w:styleId="54">
    <w:name w:val="样式 宋体 小四 行距: 1.5 倍行距"/>
    <w:basedOn w:val="1"/>
    <w:qFormat/>
    <w:uiPriority w:val="0"/>
    <w:rPr>
      <w:rFonts w:ascii="宋体" w:hAnsi="宋体" w:cs="宋体"/>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27137</Words>
  <Characters>28878</Characters>
  <TotalTime>8</TotalTime>
  <ScaleCrop>false</ScaleCrop>
  <LinksUpToDate>false</LinksUpToDate>
  <CharactersWithSpaces>30125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Administrator</cp:lastModifiedBy>
  <cp:lastPrinted>2024-12-12T09:52:00Z</cp:lastPrinted>
  <dcterms:modified xsi:type="dcterms:W3CDTF">2025-09-28T08:56:45Z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50D7A53301EF462CA4D3FCB491BFB05A_13</vt:lpwstr>
  </property>
  <property fmtid="{D5CDD505-2E9C-101B-9397-08002B2CF9AE}" pid="4" name="KSOTemplateDocerSaveRecord">
    <vt:lpwstr>eyJoZGlkIjoiMzEwNTM5NzYwMDRjMzkwZTVkZjY2ODkwMGIxNGU0OTUiLCJ1c2VySWQiOiIxNDU3OTc3Mjc3In0=</vt:lpwstr>
  </property>
</Properties>
</file>