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592C3">
      <w:pPr>
        <w:jc w:val="center"/>
        <w:rPr>
          <w:rFonts w:hint="eastAsia" w:ascii="宋体" w:hAnsi="宋体" w:eastAsia="宋体" w:cs="宋体"/>
          <w:b/>
          <w:sz w:val="52"/>
          <w:szCs w:val="52"/>
        </w:rPr>
      </w:pPr>
    </w:p>
    <w:p w14:paraId="58F26194">
      <w:pPr>
        <w:jc w:val="center"/>
        <w:rPr>
          <w:rFonts w:hint="eastAsia" w:ascii="宋体" w:hAnsi="宋体" w:eastAsia="宋体" w:cs="宋体"/>
          <w:b/>
          <w:bCs/>
          <w:sz w:val="52"/>
          <w:szCs w:val="52"/>
        </w:rPr>
      </w:pPr>
      <w:r>
        <w:rPr>
          <w:rFonts w:hint="eastAsia" w:ascii="宋体" w:hAnsi="宋体" w:eastAsia="宋体" w:cs="宋体"/>
          <w:b/>
          <w:bCs/>
          <w:sz w:val="52"/>
          <w:szCs w:val="52"/>
          <w:lang w:eastAsia="zh-CN"/>
        </w:rPr>
        <w:t>广州市黄埔区新龙镇镇龙村（西片区）城中村改造项目复建首开区F01和F02地块工程</w:t>
      </w:r>
      <w:r>
        <w:rPr>
          <w:rFonts w:hint="eastAsia" w:ascii="宋体" w:hAnsi="宋体" w:eastAsia="宋体" w:cs="宋体"/>
          <w:b/>
          <w:bCs/>
          <w:sz w:val="52"/>
          <w:szCs w:val="52"/>
        </w:rPr>
        <w:t>造价咨询服务</w:t>
      </w:r>
    </w:p>
    <w:p w14:paraId="430E916C">
      <w:pPr>
        <w:rPr>
          <w:rFonts w:hint="eastAsia" w:ascii="宋体" w:hAnsi="宋体" w:eastAsia="宋体" w:cs="宋体"/>
          <w:sz w:val="28"/>
          <w:szCs w:val="28"/>
        </w:rPr>
      </w:pPr>
    </w:p>
    <w:p w14:paraId="0FDAB5F2">
      <w:pPr>
        <w:rPr>
          <w:rFonts w:hint="eastAsia" w:ascii="宋体" w:hAnsi="宋体" w:eastAsia="宋体" w:cs="宋体"/>
          <w:sz w:val="28"/>
          <w:szCs w:val="28"/>
        </w:rPr>
      </w:pPr>
    </w:p>
    <w:p w14:paraId="75C388E0">
      <w:pPr>
        <w:rPr>
          <w:rFonts w:hint="eastAsia" w:ascii="宋体" w:hAnsi="宋体" w:eastAsia="宋体" w:cs="宋体"/>
          <w:sz w:val="28"/>
          <w:szCs w:val="28"/>
        </w:rPr>
      </w:pPr>
    </w:p>
    <w:p w14:paraId="1965B679">
      <w:pPr>
        <w:rPr>
          <w:rFonts w:hint="eastAsia" w:ascii="宋体" w:hAnsi="宋体" w:eastAsia="宋体" w:cs="宋体"/>
          <w:sz w:val="28"/>
          <w:szCs w:val="28"/>
        </w:rPr>
      </w:pPr>
    </w:p>
    <w:p w14:paraId="63729C8B">
      <w:pPr>
        <w:jc w:val="center"/>
        <w:rPr>
          <w:rFonts w:hint="eastAsia" w:ascii="宋体" w:hAnsi="宋体" w:eastAsia="宋体" w:cs="宋体"/>
          <w:b/>
          <w:sz w:val="56"/>
          <w:szCs w:val="56"/>
        </w:rPr>
      </w:pPr>
      <w:r>
        <w:rPr>
          <w:rFonts w:hint="eastAsia" w:ascii="宋体" w:hAnsi="宋体" w:eastAsia="宋体" w:cs="宋体"/>
          <w:b/>
          <w:sz w:val="96"/>
          <w:szCs w:val="96"/>
        </w:rPr>
        <w:t>招标公告</w:t>
      </w:r>
    </w:p>
    <w:p w14:paraId="259F917B">
      <w:pPr>
        <w:rPr>
          <w:rFonts w:hint="eastAsia" w:ascii="宋体" w:hAnsi="宋体" w:eastAsia="宋体" w:cs="宋体"/>
          <w:sz w:val="28"/>
          <w:szCs w:val="28"/>
        </w:rPr>
      </w:pPr>
    </w:p>
    <w:p w14:paraId="03AF6554">
      <w:pPr>
        <w:rPr>
          <w:rFonts w:hint="eastAsia" w:ascii="宋体" w:hAnsi="宋体" w:eastAsia="宋体" w:cs="宋体"/>
          <w:sz w:val="28"/>
          <w:szCs w:val="28"/>
        </w:rPr>
      </w:pPr>
    </w:p>
    <w:p w14:paraId="080B4BF9">
      <w:pPr>
        <w:rPr>
          <w:rFonts w:hint="eastAsia" w:ascii="宋体" w:hAnsi="宋体" w:eastAsia="宋体" w:cs="宋体"/>
          <w:sz w:val="28"/>
          <w:szCs w:val="28"/>
        </w:rPr>
      </w:pPr>
    </w:p>
    <w:p w14:paraId="2D99B669">
      <w:pPr>
        <w:rPr>
          <w:rFonts w:hint="eastAsia" w:ascii="宋体" w:hAnsi="宋体" w:eastAsia="宋体" w:cs="宋体"/>
          <w:szCs w:val="21"/>
        </w:rPr>
      </w:pPr>
    </w:p>
    <w:p w14:paraId="4F802673">
      <w:pPr>
        <w:pStyle w:val="17"/>
        <w:widowControl/>
        <w:rPr>
          <w:rFonts w:hint="eastAsia" w:ascii="宋体" w:hAnsi="宋体" w:eastAsia="宋体" w:cs="宋体"/>
        </w:rPr>
      </w:pPr>
    </w:p>
    <w:p w14:paraId="180FEB45">
      <w:pPr>
        <w:pStyle w:val="17"/>
        <w:widowControl/>
        <w:rPr>
          <w:rFonts w:hint="eastAsia" w:ascii="宋体" w:hAnsi="宋体" w:eastAsia="宋体" w:cs="宋体"/>
        </w:rPr>
      </w:pPr>
    </w:p>
    <w:p w14:paraId="0F2AA509">
      <w:pPr>
        <w:pStyle w:val="17"/>
        <w:widowControl/>
        <w:rPr>
          <w:rFonts w:hint="eastAsia" w:ascii="宋体" w:hAnsi="宋体" w:eastAsia="宋体" w:cs="宋体"/>
          <w:sz w:val="28"/>
          <w:szCs w:val="28"/>
        </w:rPr>
      </w:pPr>
    </w:p>
    <w:p w14:paraId="76BECF2D">
      <w:pPr>
        <w:spacing w:line="480" w:lineRule="auto"/>
        <w:ind w:firstLine="900" w:firstLineChars="300"/>
        <w:rPr>
          <w:rFonts w:hint="eastAsia" w:ascii="宋体" w:hAnsi="宋体" w:eastAsia="宋体" w:cs="宋体"/>
          <w:sz w:val="30"/>
          <w:szCs w:val="30"/>
          <w:lang w:eastAsia="zh-CN"/>
        </w:rPr>
      </w:pPr>
      <w:r>
        <w:rPr>
          <w:rFonts w:hint="eastAsia" w:ascii="宋体" w:hAnsi="宋体" w:eastAsia="宋体" w:cs="宋体"/>
          <w:sz w:val="30"/>
          <w:szCs w:val="30"/>
        </w:rPr>
        <w:t>招   标  人 ：</w:t>
      </w:r>
      <w:r>
        <w:rPr>
          <w:rFonts w:hint="eastAsia" w:ascii="宋体" w:hAnsi="宋体" w:eastAsia="宋体" w:cs="宋体"/>
          <w:sz w:val="30"/>
          <w:szCs w:val="30"/>
          <w:u w:val="single"/>
          <w:lang w:eastAsia="zh-CN"/>
        </w:rPr>
        <w:t>广州开城新晟城市开发投资有限公司</w:t>
      </w:r>
    </w:p>
    <w:p w14:paraId="0993584B">
      <w:pPr>
        <w:spacing w:line="480" w:lineRule="auto"/>
        <w:ind w:firstLine="900" w:firstLineChars="300"/>
        <w:rPr>
          <w:rFonts w:hint="eastAsia" w:ascii="宋体" w:hAnsi="宋体" w:eastAsia="宋体" w:cs="宋体"/>
          <w:sz w:val="30"/>
          <w:szCs w:val="30"/>
          <w:u w:val="single"/>
        </w:rPr>
      </w:pPr>
      <w:r>
        <w:rPr>
          <w:rFonts w:hint="eastAsia" w:ascii="宋体" w:hAnsi="宋体" w:eastAsia="宋体" w:cs="宋体"/>
          <w:sz w:val="30"/>
          <w:szCs w:val="30"/>
        </w:rPr>
        <w:t>招标代理机构：</w:t>
      </w:r>
      <w:r>
        <w:rPr>
          <w:rFonts w:hint="eastAsia" w:ascii="宋体" w:hAnsi="宋体" w:eastAsia="宋体" w:cs="宋体"/>
          <w:sz w:val="30"/>
          <w:szCs w:val="30"/>
          <w:u w:val="single"/>
        </w:rPr>
        <w:t>广州珠江监理咨询集团有限公司</w:t>
      </w:r>
    </w:p>
    <w:p w14:paraId="5FBFC9A1">
      <w:pPr>
        <w:spacing w:after="156" w:afterLines="50" w:line="360" w:lineRule="auto"/>
        <w:ind w:firstLine="900" w:firstLineChars="300"/>
        <w:rPr>
          <w:rFonts w:hint="eastAsia" w:ascii="宋体" w:hAnsi="宋体" w:eastAsia="宋体" w:cs="宋体"/>
          <w:sz w:val="30"/>
          <w:szCs w:val="30"/>
        </w:rPr>
      </w:pPr>
      <w:r>
        <w:rPr>
          <w:rFonts w:hint="eastAsia" w:ascii="宋体" w:hAnsi="宋体" w:eastAsia="宋体" w:cs="宋体"/>
          <w:sz w:val="30"/>
          <w:szCs w:val="30"/>
        </w:rPr>
        <w:t>日        期：</w:t>
      </w:r>
      <w:r>
        <w:rPr>
          <w:rFonts w:hint="eastAsia" w:ascii="宋体" w:hAnsi="宋体" w:eastAsia="宋体" w:cs="宋体"/>
          <w:sz w:val="30"/>
          <w:szCs w:val="30"/>
          <w:u w:val="single"/>
        </w:rPr>
        <w:t>202</w:t>
      </w:r>
      <w:r>
        <w:rPr>
          <w:rFonts w:hint="eastAsia" w:ascii="宋体" w:hAnsi="宋体" w:eastAsia="宋体" w:cs="宋体"/>
          <w:sz w:val="30"/>
          <w:szCs w:val="30"/>
          <w:u w:val="single"/>
          <w:lang w:val="en-US" w:eastAsia="zh-CN"/>
        </w:rPr>
        <w:t>5</w:t>
      </w:r>
      <w:r>
        <w:rPr>
          <w:rFonts w:hint="eastAsia" w:ascii="宋体" w:hAnsi="宋体" w:eastAsia="宋体" w:cs="宋体"/>
          <w:sz w:val="30"/>
          <w:szCs w:val="30"/>
        </w:rPr>
        <w:t>年</w:t>
      </w:r>
      <w:r>
        <w:rPr>
          <w:rFonts w:hint="eastAsia" w:ascii="宋体" w:hAnsi="宋体" w:eastAsia="宋体" w:cs="宋体"/>
          <w:sz w:val="30"/>
          <w:szCs w:val="30"/>
          <w:u w:val="single"/>
          <w:lang w:val="en-US" w:eastAsia="zh-CN"/>
        </w:rPr>
        <w:t>9</w:t>
      </w:r>
      <w:r>
        <w:rPr>
          <w:rFonts w:hint="eastAsia" w:ascii="宋体" w:hAnsi="宋体" w:eastAsia="宋体" w:cs="宋体"/>
          <w:sz w:val="30"/>
          <w:szCs w:val="30"/>
        </w:rPr>
        <w:t>月</w:t>
      </w:r>
    </w:p>
    <w:p w14:paraId="154E47AF">
      <w:pPr>
        <w:spacing w:after="156" w:afterLines="50" w:line="360" w:lineRule="auto"/>
        <w:jc w:val="center"/>
        <w:rPr>
          <w:rFonts w:hint="eastAsia" w:ascii="宋体" w:hAnsi="宋体" w:eastAsia="宋体" w:cs="宋体"/>
          <w:b/>
          <w:sz w:val="32"/>
          <w:szCs w:val="32"/>
        </w:rPr>
        <w:sectPr>
          <w:pgSz w:w="11906" w:h="16838"/>
          <w:pgMar w:top="1440" w:right="1474" w:bottom="1440" w:left="1644" w:header="851" w:footer="992" w:gutter="0"/>
          <w:cols w:space="425" w:num="1"/>
          <w:docGrid w:type="lines" w:linePitch="312" w:charSpace="0"/>
        </w:sectPr>
      </w:pPr>
    </w:p>
    <w:p w14:paraId="089EE56E">
      <w:pPr>
        <w:spacing w:line="360" w:lineRule="auto"/>
        <w:jc w:val="center"/>
        <w:rPr>
          <w:rFonts w:hint="eastAsia" w:ascii="宋体" w:hAnsi="宋体" w:eastAsia="宋体" w:cs="宋体"/>
          <w:b/>
          <w:sz w:val="36"/>
          <w:szCs w:val="36"/>
        </w:rPr>
      </w:pPr>
      <w:r>
        <w:rPr>
          <w:rFonts w:hint="eastAsia" w:ascii="宋体" w:hAnsi="宋体" w:eastAsia="宋体" w:cs="宋体"/>
          <w:b/>
          <w:sz w:val="32"/>
          <w:szCs w:val="32"/>
          <w:lang w:eastAsia="zh-CN"/>
        </w:rPr>
        <w:t>广州市黄埔区新龙镇镇龙村（西片区）城中村改造项目复建首开区F01和F02地块工程造价咨询服务</w:t>
      </w:r>
      <w:r>
        <w:rPr>
          <w:rFonts w:hint="eastAsia" w:ascii="宋体" w:hAnsi="宋体" w:eastAsia="宋体" w:cs="宋体"/>
          <w:b/>
          <w:sz w:val="32"/>
          <w:szCs w:val="32"/>
        </w:rPr>
        <w:t>招标公告</w:t>
      </w:r>
    </w:p>
    <w:p w14:paraId="6DB0C11F">
      <w:pPr>
        <w:pStyle w:val="3"/>
        <w:keepNext w:val="0"/>
        <w:keepLines w:val="0"/>
        <w:spacing w:before="0" w:after="0" w:line="360" w:lineRule="auto"/>
        <w:rPr>
          <w:rFonts w:hint="eastAsia" w:ascii="宋体" w:hAnsi="宋体" w:eastAsia="宋体" w:cs="宋体"/>
        </w:rPr>
      </w:pPr>
      <w:r>
        <w:rPr>
          <w:rFonts w:hint="eastAsia" w:ascii="宋体" w:hAnsi="宋体" w:eastAsia="宋体" w:cs="宋体"/>
        </w:rPr>
        <w:t>1. 招标条件</w:t>
      </w:r>
    </w:p>
    <w:p w14:paraId="1C307233">
      <w:pPr>
        <w:adjustRightInd w:val="0"/>
        <w:snapToGrid w:val="0"/>
        <w:spacing w:line="360" w:lineRule="auto"/>
        <w:ind w:right="-42" w:rightChars="-20" w:firstLine="480" w:firstLineChars="200"/>
        <w:rPr>
          <w:rFonts w:hint="eastAsia" w:ascii="宋体" w:hAnsi="宋体" w:cs="宋体"/>
          <w:sz w:val="24"/>
          <w:szCs w:val="24"/>
        </w:rPr>
      </w:pPr>
      <w:r>
        <w:rPr>
          <w:rFonts w:hint="eastAsia" w:ascii="宋体" w:hAnsi="宋体" w:cs="宋体"/>
          <w:sz w:val="24"/>
          <w:szCs w:val="24"/>
        </w:rPr>
        <w:t>本招标项目</w:t>
      </w:r>
      <w:r>
        <w:rPr>
          <w:rFonts w:hint="eastAsia" w:ascii="宋体" w:hAnsi="宋体" w:cs="宋体"/>
          <w:sz w:val="24"/>
          <w:highlight w:val="none"/>
          <w:u w:val="single"/>
        </w:rPr>
        <w:t>广州市黄埔区新龙镇镇龙村（西片区）城中村改造项目复建首开区F01地块工程</w:t>
      </w:r>
      <w:r>
        <w:rPr>
          <w:rFonts w:hint="eastAsia" w:ascii="宋体" w:hAnsi="宋体" w:cs="宋体"/>
          <w:sz w:val="24"/>
          <w:highlight w:val="none"/>
          <w:u w:val="single"/>
          <w:lang w:eastAsia="zh-CN"/>
        </w:rPr>
        <w:t>、广州市黄埔区新龙镇镇龙村（西片区）城中村改造项目复建首开区F02地块工程</w:t>
      </w:r>
      <w:r>
        <w:rPr>
          <w:rFonts w:hint="eastAsia" w:ascii="宋体" w:hAnsi="宋体" w:cs="宋体"/>
          <w:sz w:val="24"/>
          <w:szCs w:val="24"/>
        </w:rPr>
        <w:t>已由</w:t>
      </w:r>
      <w:r>
        <w:rPr>
          <w:rFonts w:hint="eastAsia" w:ascii="宋体" w:hAnsi="宋体" w:cs="宋体"/>
          <w:sz w:val="24"/>
          <w:highlight w:val="none"/>
          <w:u w:val="single"/>
        </w:rPr>
        <w:t>广州市黄埔区发展和改革</w:t>
      </w:r>
      <w:r>
        <w:rPr>
          <w:rFonts w:hint="eastAsia" w:ascii="宋体" w:hAnsi="宋体" w:cs="宋体"/>
          <w:sz w:val="24"/>
          <w:highlight w:val="none"/>
          <w:u w:val="single"/>
          <w:lang w:eastAsia="zh-CN"/>
        </w:rPr>
        <w:t>局</w:t>
      </w:r>
      <w:r>
        <w:rPr>
          <w:rFonts w:hint="eastAsia" w:ascii="宋体" w:hAnsi="宋体" w:cs="宋体"/>
          <w:sz w:val="24"/>
          <w:szCs w:val="24"/>
        </w:rPr>
        <w:t>以</w:t>
      </w:r>
      <w:r>
        <w:rPr>
          <w:rFonts w:hint="eastAsia" w:ascii="宋体" w:hAnsi="宋体" w:cs="宋体"/>
          <w:sz w:val="24"/>
          <w:szCs w:val="24"/>
          <w:u w:val="single"/>
        </w:rPr>
        <w:t>广东省企业投资项目备案证</w:t>
      </w:r>
      <w:r>
        <w:rPr>
          <w:rFonts w:hint="eastAsia" w:ascii="宋体" w:hAnsi="宋体" w:cs="宋体"/>
          <w:sz w:val="24"/>
          <w:szCs w:val="24"/>
          <w:u w:val="single"/>
          <w:lang w:eastAsia="zh-CN"/>
        </w:rPr>
        <w:t>（</w:t>
      </w:r>
      <w:r>
        <w:rPr>
          <w:rFonts w:hint="eastAsia" w:ascii="宋体" w:hAnsi="宋体"/>
          <w:color w:val="000000"/>
          <w:sz w:val="24"/>
          <w:highlight w:val="none"/>
          <w:u w:val="single"/>
        </w:rPr>
        <w:t>2412-440112-04-05-514362</w:t>
      </w:r>
      <w:r>
        <w:rPr>
          <w:rFonts w:hint="eastAsia" w:ascii="宋体" w:hAnsi="宋体"/>
          <w:color w:val="000000"/>
          <w:sz w:val="24"/>
          <w:highlight w:val="none"/>
          <w:u w:val="single"/>
          <w:lang w:eastAsia="zh-CN"/>
        </w:rPr>
        <w:t>、2412-440112-04-05-271045</w:t>
      </w:r>
      <w:r>
        <w:rPr>
          <w:rFonts w:hint="eastAsia" w:ascii="宋体" w:hAnsi="宋体" w:cs="宋体"/>
          <w:sz w:val="24"/>
          <w:szCs w:val="24"/>
          <w:u w:val="single"/>
          <w:lang w:eastAsia="zh-CN"/>
        </w:rPr>
        <w:t>）</w:t>
      </w:r>
      <w:r>
        <w:rPr>
          <w:rFonts w:hint="eastAsia" w:ascii="宋体" w:hAnsi="宋体" w:cs="宋体"/>
          <w:sz w:val="24"/>
          <w:szCs w:val="24"/>
        </w:rPr>
        <w:t>批准建设，项目建设单位为</w:t>
      </w:r>
      <w:r>
        <w:rPr>
          <w:rFonts w:hint="eastAsia" w:ascii="宋体" w:hAnsi="宋体" w:cs="宋体"/>
          <w:sz w:val="24"/>
          <w:szCs w:val="24"/>
          <w:u w:val="single"/>
          <w:lang w:eastAsia="zh-CN"/>
        </w:rPr>
        <w:t>广州开城新晟城市开发投资有限公司</w:t>
      </w:r>
      <w:r>
        <w:rPr>
          <w:rFonts w:hint="eastAsia" w:ascii="宋体" w:hAnsi="宋体" w:cs="宋体"/>
          <w:sz w:val="24"/>
          <w:szCs w:val="24"/>
        </w:rPr>
        <w:t>，建设资金来自</w:t>
      </w:r>
      <w:r>
        <w:rPr>
          <w:rFonts w:hint="eastAsia" w:ascii="宋体" w:hAnsi="宋体" w:cs="宋体"/>
          <w:sz w:val="24"/>
          <w:szCs w:val="24"/>
          <w:highlight w:val="none"/>
          <w:u w:val="single"/>
        </w:rPr>
        <w:t>企业自筹资金和城中村改造专项债</w:t>
      </w:r>
      <w:r>
        <w:rPr>
          <w:rFonts w:hint="eastAsia" w:ascii="宋体" w:hAnsi="宋体" w:cs="宋体"/>
          <w:sz w:val="24"/>
          <w:szCs w:val="24"/>
        </w:rPr>
        <w:t>，</w:t>
      </w:r>
      <w:r>
        <w:rPr>
          <w:rFonts w:hint="eastAsia" w:ascii="宋体" w:hAnsi="宋体" w:cs="宋体"/>
          <w:sz w:val="24"/>
        </w:rPr>
        <w:t>出资比例为</w:t>
      </w:r>
      <w:r>
        <w:rPr>
          <w:rFonts w:hint="eastAsia" w:ascii="宋体" w:hAnsi="宋体" w:cs="宋体"/>
          <w:sz w:val="24"/>
          <w:u w:val="single"/>
        </w:rPr>
        <w:t>100%</w:t>
      </w:r>
      <w:r>
        <w:rPr>
          <w:rFonts w:hint="eastAsia" w:ascii="宋体" w:hAnsi="宋体" w:cs="宋体"/>
          <w:sz w:val="24"/>
        </w:rPr>
        <w:t>，</w:t>
      </w:r>
      <w:r>
        <w:rPr>
          <w:rFonts w:hint="eastAsia" w:ascii="宋体" w:hAnsi="宋体" w:cs="宋体"/>
          <w:sz w:val="24"/>
          <w:szCs w:val="24"/>
        </w:rPr>
        <w:t>招标人为</w:t>
      </w:r>
      <w:r>
        <w:rPr>
          <w:rFonts w:hint="eastAsia" w:ascii="宋体" w:hAnsi="宋体" w:cs="宋体"/>
          <w:sz w:val="24"/>
          <w:szCs w:val="24"/>
          <w:u w:val="single"/>
          <w:lang w:eastAsia="zh-CN"/>
        </w:rPr>
        <w:t>广州开城新晟城市开发投资有限公司</w:t>
      </w:r>
      <w:r>
        <w:rPr>
          <w:rFonts w:hint="eastAsia" w:ascii="宋体" w:hAnsi="宋体" w:cs="宋体"/>
          <w:sz w:val="24"/>
          <w:szCs w:val="24"/>
        </w:rPr>
        <w:t>。项目已具备招标条件，现对该项目</w:t>
      </w:r>
      <w:r>
        <w:rPr>
          <w:rFonts w:hint="eastAsia" w:ascii="宋体" w:hAnsi="宋体" w:cs="宋体"/>
          <w:sz w:val="24"/>
          <w:szCs w:val="24"/>
          <w:u w:val="single"/>
        </w:rPr>
        <w:t>造价咨询服务</w:t>
      </w:r>
      <w:r>
        <w:rPr>
          <w:rFonts w:hint="eastAsia" w:ascii="宋体" w:hAnsi="宋体" w:cs="宋体"/>
          <w:sz w:val="24"/>
          <w:szCs w:val="24"/>
        </w:rPr>
        <w:t>进行公开招标。</w:t>
      </w:r>
    </w:p>
    <w:p w14:paraId="0830C823">
      <w:pPr>
        <w:pStyle w:val="3"/>
        <w:keepNext w:val="0"/>
        <w:keepLines w:val="0"/>
        <w:spacing w:before="0" w:after="0" w:line="360" w:lineRule="auto"/>
        <w:rPr>
          <w:rFonts w:hint="eastAsia" w:ascii="宋体" w:hAnsi="宋体" w:eastAsia="宋体" w:cs="宋体"/>
        </w:rPr>
      </w:pPr>
      <w:r>
        <w:rPr>
          <w:rFonts w:hint="eastAsia" w:ascii="宋体" w:hAnsi="宋体" w:eastAsia="宋体" w:cs="宋体"/>
        </w:rPr>
        <w:t>2. 项目概况与招标范围</w:t>
      </w:r>
    </w:p>
    <w:p w14:paraId="7E616C6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2.1招标项目概况</w:t>
      </w:r>
    </w:p>
    <w:p w14:paraId="689C2F80">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2.1.1招标项目名称：</w:t>
      </w:r>
      <w:bookmarkStart w:id="0" w:name="_GoBack"/>
      <w:r>
        <w:rPr>
          <w:rFonts w:hint="eastAsia" w:ascii="宋体" w:hAnsi="宋体" w:eastAsia="宋体" w:cs="宋体"/>
          <w:sz w:val="24"/>
          <w:szCs w:val="24"/>
          <w:u w:val="single"/>
          <w:lang w:eastAsia="zh-CN"/>
        </w:rPr>
        <w:t>广州市黄埔区新龙镇镇龙村（西片区）城中村改造项目复建首开区F01和F02地块工程造价咨询服务</w:t>
      </w:r>
      <w:bookmarkEnd w:id="0"/>
      <w:r>
        <w:rPr>
          <w:rFonts w:hint="eastAsia" w:ascii="宋体" w:hAnsi="宋体" w:eastAsia="宋体" w:cs="宋体"/>
          <w:sz w:val="24"/>
          <w:szCs w:val="24"/>
          <w:u w:val="none"/>
        </w:rPr>
        <w:t>。</w:t>
      </w:r>
    </w:p>
    <w:p w14:paraId="71F9FBC4">
      <w:pPr>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2.1.2工程建设地点：</w:t>
      </w:r>
      <w:r>
        <w:rPr>
          <w:rFonts w:hint="eastAsia" w:ascii="宋体" w:hAnsi="宋体" w:cs="黑体"/>
          <w:sz w:val="24"/>
          <w:szCs w:val="24"/>
          <w:highlight w:val="none"/>
          <w:u w:val="single"/>
        </w:rPr>
        <w:t>广州市黄埔区新龙镇</w:t>
      </w:r>
      <w:r>
        <w:rPr>
          <w:rFonts w:hint="eastAsia" w:ascii="宋体" w:hAnsi="宋体" w:cs="黑体"/>
          <w:sz w:val="24"/>
          <w:szCs w:val="24"/>
          <w:highlight w:val="none"/>
          <w:u w:val="single"/>
          <w:lang w:val="en-US" w:eastAsia="zh-CN"/>
        </w:rPr>
        <w:t>中</w:t>
      </w:r>
      <w:r>
        <w:rPr>
          <w:rFonts w:hint="eastAsia" w:ascii="宋体" w:hAnsi="宋体" w:cs="黑体"/>
          <w:sz w:val="24"/>
          <w:szCs w:val="24"/>
          <w:highlight w:val="none"/>
          <w:u w:val="single"/>
        </w:rPr>
        <w:t>部，西临永九快速路，南</w:t>
      </w:r>
      <w:r>
        <w:rPr>
          <w:rFonts w:hint="eastAsia" w:ascii="宋体" w:hAnsi="宋体" w:cs="黑体"/>
          <w:sz w:val="24"/>
          <w:szCs w:val="24"/>
          <w:highlight w:val="none"/>
          <w:u w:val="single"/>
          <w:lang w:val="en-US" w:eastAsia="zh-CN"/>
        </w:rPr>
        <w:t>临</w:t>
      </w:r>
      <w:r>
        <w:rPr>
          <w:rFonts w:hint="eastAsia" w:ascii="宋体" w:hAnsi="宋体" w:cs="黑体"/>
          <w:sz w:val="24"/>
          <w:szCs w:val="24"/>
          <w:highlight w:val="none"/>
          <w:u w:val="single"/>
        </w:rPr>
        <w:t>广汕公路</w:t>
      </w:r>
      <w:r>
        <w:rPr>
          <w:rFonts w:hint="eastAsia" w:ascii="宋体" w:hAnsi="宋体" w:eastAsia="宋体" w:cs="宋体"/>
          <w:sz w:val="24"/>
          <w:szCs w:val="24"/>
        </w:rPr>
        <w:t>。</w:t>
      </w:r>
    </w:p>
    <w:p w14:paraId="0E291B86">
      <w:pPr>
        <w:spacing w:line="360" w:lineRule="auto"/>
        <w:ind w:firstLine="477" w:firstLineChars="199"/>
        <w:rPr>
          <w:rFonts w:hint="eastAsia" w:ascii="宋体" w:hAnsi="宋体" w:eastAsia="宋体" w:cs="宋体"/>
          <w:sz w:val="24"/>
          <w:szCs w:val="24"/>
        </w:rPr>
      </w:pPr>
      <w:r>
        <w:rPr>
          <w:rFonts w:hint="eastAsia" w:ascii="宋体" w:hAnsi="宋体" w:eastAsia="宋体" w:cs="宋体"/>
          <w:sz w:val="24"/>
          <w:szCs w:val="24"/>
        </w:rPr>
        <w:t>2.1.3工程建设规模：</w:t>
      </w:r>
    </w:p>
    <w:p w14:paraId="22739923">
      <w:pPr>
        <w:spacing w:line="360" w:lineRule="auto"/>
        <w:ind w:firstLine="477" w:firstLineChars="199"/>
        <w:rPr>
          <w:rFonts w:hint="eastAsia" w:ascii="宋体" w:hAnsi="宋体" w:cs="宋体"/>
          <w:b w:val="0"/>
          <w:bCs/>
          <w:sz w:val="24"/>
          <w:szCs w:val="24"/>
          <w:highlight w:val="none"/>
        </w:rPr>
      </w:pPr>
      <w:r>
        <w:rPr>
          <w:rFonts w:hint="eastAsia" w:ascii="宋体" w:hAnsi="宋体" w:cs="宋体"/>
          <w:sz w:val="24"/>
          <w:szCs w:val="24"/>
          <w:highlight w:val="none"/>
          <w:u w:val="single"/>
          <w:lang w:eastAsia="zh-CN"/>
        </w:rPr>
        <w:t>广州市黄埔区新龙镇镇龙村（西片区）城中村改造项目复建首开区F01</w:t>
      </w:r>
      <w:r>
        <w:rPr>
          <w:rFonts w:hint="eastAsia" w:ascii="宋体" w:hAnsi="宋体" w:cs="宋体"/>
          <w:b w:val="0"/>
          <w:bCs/>
          <w:sz w:val="24"/>
          <w:szCs w:val="24"/>
          <w:highlight w:val="none"/>
          <w:u w:val="single"/>
        </w:rPr>
        <w:t>地块</w:t>
      </w:r>
      <w:r>
        <w:rPr>
          <w:rFonts w:hint="eastAsia" w:ascii="宋体" w:hAnsi="宋体" w:cs="宋体"/>
          <w:sz w:val="24"/>
          <w:szCs w:val="24"/>
          <w:highlight w:val="none"/>
          <w:u w:val="single"/>
          <w:lang w:eastAsia="zh-CN"/>
        </w:rPr>
        <w:t>工程</w:t>
      </w:r>
      <w:r>
        <w:rPr>
          <w:rFonts w:hint="eastAsia" w:ascii="宋体" w:hAnsi="宋体" w:cs="宋体"/>
          <w:b w:val="0"/>
          <w:bCs/>
          <w:sz w:val="24"/>
          <w:szCs w:val="24"/>
          <w:highlight w:val="none"/>
          <w:u w:val="single"/>
        </w:rPr>
        <w:t>和</w:t>
      </w:r>
      <w:r>
        <w:rPr>
          <w:rFonts w:hint="eastAsia" w:ascii="宋体" w:hAnsi="宋体" w:cs="宋体"/>
          <w:sz w:val="24"/>
          <w:szCs w:val="24"/>
          <w:highlight w:val="none"/>
          <w:u w:val="single"/>
          <w:lang w:eastAsia="zh-CN"/>
        </w:rPr>
        <w:t>广州市黄埔区新龙镇镇龙村（西片区）城中村改造项目复建首开区F0</w:t>
      </w:r>
      <w:r>
        <w:rPr>
          <w:rFonts w:hint="eastAsia" w:ascii="宋体" w:hAnsi="宋体" w:cs="宋体"/>
          <w:sz w:val="24"/>
          <w:szCs w:val="24"/>
          <w:highlight w:val="none"/>
          <w:u w:val="single"/>
          <w:lang w:val="en-US" w:eastAsia="zh-CN"/>
        </w:rPr>
        <w:t>2</w:t>
      </w:r>
      <w:r>
        <w:rPr>
          <w:rFonts w:hint="eastAsia" w:ascii="宋体" w:hAnsi="宋体" w:cs="宋体"/>
          <w:b w:val="0"/>
          <w:bCs/>
          <w:sz w:val="24"/>
          <w:szCs w:val="24"/>
          <w:highlight w:val="none"/>
          <w:u w:val="single"/>
        </w:rPr>
        <w:t>地块</w:t>
      </w:r>
      <w:r>
        <w:rPr>
          <w:rFonts w:hint="eastAsia" w:ascii="宋体" w:hAnsi="宋体" w:cs="宋体"/>
          <w:sz w:val="24"/>
          <w:szCs w:val="24"/>
          <w:highlight w:val="none"/>
          <w:u w:val="single"/>
          <w:lang w:eastAsia="zh-CN"/>
        </w:rPr>
        <w:t>工程</w:t>
      </w:r>
      <w:r>
        <w:rPr>
          <w:rFonts w:hint="eastAsia" w:ascii="宋体" w:hAnsi="宋体" w:cs="宋体"/>
          <w:b w:val="0"/>
          <w:bCs/>
          <w:sz w:val="24"/>
          <w:szCs w:val="24"/>
          <w:highlight w:val="none"/>
          <w:u w:val="single"/>
        </w:rPr>
        <w:t>为建设地点相邻的项目，两个项目的造价咨询服务采用合并招标。工程范围如下：</w:t>
      </w:r>
    </w:p>
    <w:p w14:paraId="107A1949">
      <w:pPr>
        <w:spacing w:line="360" w:lineRule="auto"/>
        <w:ind w:firstLine="479" w:firstLineChars="199"/>
        <w:rPr>
          <w:rFonts w:hint="eastAsia" w:ascii="宋体" w:hAnsi="宋体" w:cs="宋体"/>
          <w:b/>
          <w:bCs w:val="0"/>
          <w:color w:val="auto"/>
          <w:sz w:val="24"/>
          <w:szCs w:val="24"/>
          <w:highlight w:val="none"/>
          <w:u w:val="single"/>
          <w:lang w:eastAsia="zh-CN"/>
        </w:rPr>
      </w:pPr>
      <w:r>
        <w:rPr>
          <w:rFonts w:hint="eastAsia" w:ascii="宋体" w:hAnsi="宋体" w:cs="宋体"/>
          <w:b/>
          <w:bCs w:val="0"/>
          <w:sz w:val="24"/>
          <w:szCs w:val="24"/>
          <w:highlight w:val="none"/>
          <w:u w:val="single"/>
          <w:lang w:eastAsia="zh-CN"/>
        </w:rPr>
        <w:t>（</w:t>
      </w:r>
      <w:r>
        <w:rPr>
          <w:rFonts w:hint="eastAsia" w:ascii="宋体" w:hAnsi="宋体" w:cs="宋体"/>
          <w:b/>
          <w:bCs w:val="0"/>
          <w:sz w:val="24"/>
          <w:szCs w:val="24"/>
          <w:highlight w:val="none"/>
          <w:u w:val="single"/>
          <w:lang w:val="en-US" w:eastAsia="zh-CN"/>
        </w:rPr>
        <w:t>1</w:t>
      </w:r>
      <w:r>
        <w:rPr>
          <w:rFonts w:hint="eastAsia" w:ascii="宋体" w:hAnsi="宋体" w:cs="宋体"/>
          <w:b/>
          <w:bCs w:val="0"/>
          <w:sz w:val="24"/>
          <w:szCs w:val="24"/>
          <w:highlight w:val="none"/>
          <w:u w:val="single"/>
          <w:lang w:eastAsia="zh-CN"/>
        </w:rPr>
        <w:t>）广州市黄埔区新龙镇镇龙村（西片区）城中村改造项目复建首开区F01地块工程</w:t>
      </w:r>
      <w:r>
        <w:rPr>
          <w:rFonts w:hint="eastAsia" w:ascii="宋体" w:hAnsi="宋体" w:cs="宋体"/>
          <w:b/>
          <w:bCs w:val="0"/>
          <w:sz w:val="24"/>
          <w:szCs w:val="24"/>
          <w:highlight w:val="none"/>
          <w:u w:val="single"/>
        </w:rPr>
        <w:t>（以下称F01地块项目）</w:t>
      </w:r>
      <w:r>
        <w:rPr>
          <w:rFonts w:hint="eastAsia" w:ascii="宋体" w:hAnsi="宋体" w:cs="宋体"/>
          <w:b/>
          <w:bCs w:val="0"/>
          <w:sz w:val="24"/>
          <w:szCs w:val="24"/>
          <w:highlight w:val="none"/>
          <w:u w:val="single"/>
          <w:lang w:eastAsia="zh-CN"/>
        </w:rPr>
        <w:t>：</w:t>
      </w:r>
      <w:r>
        <w:rPr>
          <w:rFonts w:hint="eastAsia" w:ascii="宋体" w:hAnsi="宋体" w:eastAsia="宋体" w:cs="宋体"/>
          <w:b w:val="0"/>
          <w:bCs/>
          <w:color w:val="auto"/>
          <w:sz w:val="24"/>
          <w:szCs w:val="24"/>
          <w:highlight w:val="none"/>
          <w:u w:val="single"/>
          <w:lang w:eastAsia="zh-CN"/>
        </w:rPr>
        <w:t>复建F01地块总用地面积约28409.19平方米（详见建设用地规划红线图），用地性质为R2二类居住用地，容积率4.57，预计总建筑面积约为179590.28平方米，计容总建筑面积约129723.04平方米，建筑密度≤28%，绿地率≥35%，建筑高度100米。建设内容包括复建安置住宅、地下车库、配套商业、公建配套等（具体规划指标以政府最终批复的规划条件为准）。F01地块现场部分楼栋已施工，具体情况如下：2号楼6层梁板模板钢筋完成，3号楼地下室顶板已完成，4号楼地下室底板已完成，5号楼地下室顶板钢筋绑扎完成，6号楼地下室底板已完成</w:t>
      </w:r>
      <w:r>
        <w:rPr>
          <w:rFonts w:hint="eastAsia" w:ascii="宋体" w:hAnsi="宋体" w:cs="宋体"/>
          <w:b w:val="0"/>
          <w:bCs/>
          <w:sz w:val="24"/>
          <w:szCs w:val="24"/>
          <w:highlight w:val="none"/>
          <w:u w:val="single"/>
          <w:lang w:eastAsia="zh-CN"/>
        </w:rPr>
        <w:t>。</w:t>
      </w:r>
    </w:p>
    <w:p w14:paraId="3BC4723D">
      <w:pPr>
        <w:spacing w:line="360" w:lineRule="auto"/>
        <w:ind w:firstLine="480" w:firstLineChars="200"/>
        <w:rPr>
          <w:rFonts w:hint="eastAsia" w:ascii="宋体" w:hAnsi="宋体" w:eastAsia="宋体" w:cs="宋体"/>
          <w:b/>
          <w:bCs w:val="0"/>
          <w:color w:val="auto"/>
          <w:sz w:val="24"/>
          <w:szCs w:val="24"/>
          <w:highlight w:val="none"/>
          <w:u w:val="single"/>
          <w:lang w:eastAsia="zh-CN"/>
        </w:rPr>
      </w:pP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eastAsia="zh-CN"/>
        </w:rPr>
        <w:t>概算</w:t>
      </w:r>
      <w:r>
        <w:rPr>
          <w:rFonts w:hint="eastAsia" w:ascii="宋体" w:hAnsi="宋体" w:cs="宋体"/>
          <w:color w:val="auto"/>
          <w:sz w:val="24"/>
          <w:szCs w:val="24"/>
          <w:highlight w:val="none"/>
        </w:rPr>
        <w:t>总投资暂定为</w:t>
      </w:r>
      <w:r>
        <w:rPr>
          <w:rFonts w:hint="eastAsia" w:ascii="宋体" w:hAnsi="宋体" w:cs="宋体"/>
          <w:color w:val="auto"/>
          <w:sz w:val="24"/>
          <w:szCs w:val="24"/>
          <w:highlight w:val="none"/>
          <w:u w:val="single"/>
        </w:rPr>
        <w:t>78167.27</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eastAsia="zh-CN"/>
        </w:rPr>
        <w:t>，其中建安费暂定为</w:t>
      </w:r>
      <w:r>
        <w:rPr>
          <w:rFonts w:hint="eastAsia" w:ascii="宋体" w:hAnsi="宋体" w:cs="宋体"/>
          <w:color w:val="auto"/>
          <w:sz w:val="24"/>
          <w:szCs w:val="24"/>
          <w:highlight w:val="none"/>
          <w:u w:val="single"/>
          <w:lang w:eastAsia="zh-CN"/>
        </w:rPr>
        <w:t>67615.63</w:t>
      </w:r>
      <w:r>
        <w:rPr>
          <w:rFonts w:hint="eastAsia" w:ascii="宋体" w:hAnsi="宋体" w:eastAsia="宋体" w:cs="宋体"/>
          <w:color w:val="auto"/>
          <w:sz w:val="24"/>
          <w:szCs w:val="24"/>
          <w:highlight w:val="none"/>
        </w:rPr>
        <w:t>万元。</w:t>
      </w:r>
    </w:p>
    <w:p w14:paraId="2D853B5A">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val="0"/>
          <w:color w:val="auto"/>
          <w:sz w:val="24"/>
          <w:szCs w:val="24"/>
          <w:highlight w:val="none"/>
          <w:u w:val="single"/>
          <w:lang w:eastAsia="zh-CN"/>
        </w:rPr>
        <w:t>（</w:t>
      </w:r>
      <w:r>
        <w:rPr>
          <w:rFonts w:hint="eastAsia" w:ascii="宋体" w:hAnsi="宋体" w:eastAsia="宋体" w:cs="宋体"/>
          <w:b/>
          <w:bCs w:val="0"/>
          <w:color w:val="auto"/>
          <w:sz w:val="24"/>
          <w:szCs w:val="24"/>
          <w:highlight w:val="none"/>
          <w:u w:val="single"/>
          <w:lang w:val="en-US" w:eastAsia="zh-CN"/>
        </w:rPr>
        <w:t>2</w:t>
      </w:r>
      <w:r>
        <w:rPr>
          <w:rFonts w:hint="eastAsia" w:ascii="宋体" w:hAnsi="宋体" w:eastAsia="宋体" w:cs="宋体"/>
          <w:b/>
          <w:bCs w:val="0"/>
          <w:color w:val="auto"/>
          <w:sz w:val="24"/>
          <w:szCs w:val="24"/>
          <w:highlight w:val="none"/>
          <w:u w:val="single"/>
          <w:lang w:eastAsia="zh-CN"/>
        </w:rPr>
        <w:t>）</w:t>
      </w:r>
      <w:r>
        <w:rPr>
          <w:rFonts w:hint="eastAsia" w:ascii="宋体" w:hAnsi="宋体" w:cs="宋体"/>
          <w:b/>
          <w:bCs w:val="0"/>
          <w:color w:val="auto"/>
          <w:sz w:val="24"/>
          <w:szCs w:val="24"/>
          <w:highlight w:val="none"/>
          <w:u w:val="single"/>
          <w:lang w:eastAsia="zh-CN"/>
        </w:rPr>
        <w:t>广州市黄埔区新龙镇镇龙村（西片区）城中村改造项目复建首开区F0</w:t>
      </w:r>
      <w:r>
        <w:rPr>
          <w:rFonts w:hint="eastAsia" w:ascii="宋体" w:hAnsi="宋体" w:cs="宋体"/>
          <w:b/>
          <w:bCs w:val="0"/>
          <w:color w:val="auto"/>
          <w:sz w:val="24"/>
          <w:szCs w:val="24"/>
          <w:highlight w:val="none"/>
          <w:u w:val="single"/>
          <w:lang w:val="en-US" w:eastAsia="zh-CN"/>
        </w:rPr>
        <w:t>2地块</w:t>
      </w:r>
      <w:r>
        <w:rPr>
          <w:rFonts w:hint="eastAsia" w:ascii="宋体" w:hAnsi="宋体" w:cs="宋体"/>
          <w:b/>
          <w:bCs w:val="0"/>
          <w:color w:val="auto"/>
          <w:sz w:val="24"/>
          <w:szCs w:val="24"/>
          <w:highlight w:val="none"/>
          <w:u w:val="single"/>
          <w:lang w:eastAsia="zh-CN"/>
        </w:rPr>
        <w:t>工程</w:t>
      </w:r>
      <w:r>
        <w:rPr>
          <w:rFonts w:hint="eastAsia" w:ascii="宋体" w:hAnsi="宋体" w:cs="宋体"/>
          <w:b/>
          <w:bCs w:val="0"/>
          <w:color w:val="auto"/>
          <w:sz w:val="24"/>
          <w:szCs w:val="24"/>
          <w:highlight w:val="none"/>
          <w:u w:val="single"/>
        </w:rPr>
        <w:t>（以下称</w:t>
      </w:r>
      <w:r>
        <w:rPr>
          <w:rFonts w:hint="eastAsia" w:ascii="宋体" w:hAnsi="宋体" w:eastAsia="宋体" w:cs="宋体"/>
          <w:b/>
          <w:bCs w:val="0"/>
          <w:color w:val="auto"/>
          <w:sz w:val="24"/>
          <w:szCs w:val="24"/>
          <w:highlight w:val="none"/>
          <w:u w:val="single"/>
        </w:rPr>
        <w:t>F02</w:t>
      </w:r>
      <w:r>
        <w:rPr>
          <w:rFonts w:hint="eastAsia" w:ascii="宋体" w:hAnsi="宋体" w:cs="宋体"/>
          <w:b/>
          <w:bCs w:val="0"/>
          <w:color w:val="auto"/>
          <w:sz w:val="24"/>
          <w:szCs w:val="24"/>
          <w:highlight w:val="none"/>
          <w:u w:val="single"/>
        </w:rPr>
        <w:t>地块项目）</w:t>
      </w:r>
      <w:r>
        <w:rPr>
          <w:rFonts w:hint="eastAsia" w:ascii="宋体" w:hAnsi="宋体" w:eastAsia="宋体" w:cs="宋体"/>
          <w:b/>
          <w:bCs w:val="0"/>
          <w:color w:val="auto"/>
          <w:sz w:val="24"/>
          <w:szCs w:val="24"/>
          <w:highlight w:val="none"/>
          <w:u w:val="single"/>
          <w:lang w:eastAsia="zh-CN"/>
        </w:rPr>
        <w:t>：</w:t>
      </w:r>
      <w:r>
        <w:rPr>
          <w:rFonts w:hint="eastAsia" w:ascii="宋体" w:hAnsi="宋体" w:eastAsia="宋体" w:cs="黑体"/>
          <w:color w:val="auto"/>
          <w:kern w:val="2"/>
          <w:sz w:val="24"/>
          <w:szCs w:val="24"/>
          <w:highlight w:val="none"/>
          <w:u w:val="single"/>
          <w:lang w:val="en-US" w:eastAsia="zh-CN"/>
        </w:rPr>
        <w:t>复建F02地块总用地面积约22948.84平方米（详见建设用地规划红线图），用地性质为R2二类居住用地，容积率4.21，预计总建筑面积约为137343.36平方米，计容总建筑面积约96603.13平方米，建筑密度≤28%，绿地率≥35%，建筑高度82.05米至97.05米。建设内容包括复建安置住宅、地下车库、配套商业、公建配套等（具体规划指标以政府最终批复的规划条件为准）。F02地块现场部分楼栋已完成桩基础施工</w:t>
      </w:r>
      <w:r>
        <w:rPr>
          <w:rFonts w:hint="eastAsia" w:ascii="宋体" w:hAnsi="宋体" w:eastAsia="宋体" w:cs="宋体"/>
          <w:b w:val="0"/>
          <w:bCs/>
          <w:color w:val="auto"/>
          <w:sz w:val="24"/>
          <w:szCs w:val="24"/>
          <w:highlight w:val="none"/>
          <w:u w:val="single"/>
          <w:lang w:eastAsia="zh-CN"/>
        </w:rPr>
        <w:t>。</w:t>
      </w:r>
    </w:p>
    <w:p w14:paraId="7FFE98C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项目</w:t>
      </w:r>
      <w:r>
        <w:rPr>
          <w:rFonts w:hint="eastAsia" w:ascii="宋体" w:hAnsi="宋体" w:cs="宋体"/>
          <w:color w:val="auto"/>
          <w:sz w:val="24"/>
          <w:szCs w:val="24"/>
          <w:highlight w:val="none"/>
          <w:lang w:eastAsia="zh-CN"/>
        </w:rPr>
        <w:t>概算</w:t>
      </w:r>
      <w:r>
        <w:rPr>
          <w:rFonts w:hint="eastAsia" w:ascii="宋体" w:hAnsi="宋体" w:cs="宋体"/>
          <w:color w:val="auto"/>
          <w:sz w:val="24"/>
          <w:szCs w:val="24"/>
          <w:highlight w:val="none"/>
        </w:rPr>
        <w:t>总投资暂定为</w:t>
      </w:r>
      <w:r>
        <w:rPr>
          <w:rFonts w:hint="eastAsia" w:ascii="宋体" w:hAnsi="宋体" w:cs="宋体"/>
          <w:color w:val="auto"/>
          <w:sz w:val="24"/>
          <w:szCs w:val="24"/>
          <w:highlight w:val="none"/>
          <w:u w:val="single"/>
        </w:rPr>
        <w:t>60203.52</w:t>
      </w:r>
      <w:r>
        <w:rPr>
          <w:rFonts w:hint="eastAsia" w:ascii="宋体" w:hAnsi="宋体" w:cs="宋体"/>
          <w:color w:val="auto"/>
          <w:sz w:val="24"/>
          <w:szCs w:val="24"/>
          <w:highlight w:val="none"/>
        </w:rPr>
        <w:t>万元</w:t>
      </w:r>
      <w:r>
        <w:rPr>
          <w:rFonts w:hint="eastAsia" w:ascii="宋体" w:hAnsi="宋体" w:cs="宋体"/>
          <w:color w:val="auto"/>
          <w:sz w:val="24"/>
          <w:szCs w:val="24"/>
          <w:highlight w:val="none"/>
          <w:lang w:eastAsia="zh-CN"/>
        </w:rPr>
        <w:t>，其中建安费暂定为</w:t>
      </w:r>
      <w:r>
        <w:rPr>
          <w:rFonts w:hint="eastAsia" w:ascii="宋体" w:hAnsi="宋体" w:cs="宋体"/>
          <w:color w:val="auto"/>
          <w:sz w:val="24"/>
          <w:szCs w:val="24"/>
          <w:highlight w:val="none"/>
          <w:u w:val="single"/>
          <w:lang w:eastAsia="zh-CN"/>
        </w:rPr>
        <w:t>52028.16</w:t>
      </w:r>
      <w:r>
        <w:rPr>
          <w:rFonts w:hint="eastAsia" w:ascii="宋体" w:hAnsi="宋体" w:eastAsia="宋体" w:cs="宋体"/>
          <w:color w:val="auto"/>
          <w:sz w:val="24"/>
          <w:szCs w:val="24"/>
          <w:highlight w:val="none"/>
        </w:rPr>
        <w:t>万元。</w:t>
      </w:r>
    </w:p>
    <w:p w14:paraId="13C2045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2.2招标范围：</w:t>
      </w:r>
    </w:p>
    <w:p w14:paraId="19D2FAC5">
      <w:pPr>
        <w:shd w:val="clear" w:color="auto" w:fill="FFFFFF"/>
        <w:adjustRightInd w:val="0"/>
        <w:spacing w:line="360" w:lineRule="auto"/>
        <w:ind w:firstLine="480" w:firstLineChars="200"/>
        <w:rPr>
          <w:rFonts w:hint="eastAsia" w:ascii="宋体" w:hAnsi="宋体" w:eastAsia="宋体" w:cs="宋体"/>
          <w:color w:val="auto"/>
          <w:kern w:val="0"/>
          <w:sz w:val="24"/>
          <w:szCs w:val="24"/>
          <w:highlight w:val="none"/>
          <w:u w:val="single"/>
          <w:shd w:val="clear" w:color="auto" w:fill="FFFFFF"/>
        </w:rPr>
      </w:pPr>
      <w:r>
        <w:rPr>
          <w:rFonts w:hint="eastAsia" w:ascii="宋体" w:hAnsi="宋体" w:eastAsia="宋体" w:cs="宋体"/>
          <w:color w:val="auto"/>
          <w:sz w:val="24"/>
          <w:szCs w:val="24"/>
          <w:highlight w:val="none"/>
          <w:shd w:val="clear" w:color="auto" w:fill="FFFFFF"/>
        </w:rPr>
        <w:t>2.2.1</w:t>
      </w:r>
      <w:r>
        <w:rPr>
          <w:rFonts w:hint="eastAsia" w:ascii="宋体" w:hAnsi="宋体" w:eastAsia="宋体" w:cs="宋体"/>
          <w:b w:val="0"/>
          <w:bCs/>
          <w:color w:val="auto"/>
          <w:sz w:val="24"/>
          <w:szCs w:val="24"/>
          <w:highlight w:val="none"/>
          <w:shd w:val="clear" w:color="auto" w:fill="FFFFFF"/>
        </w:rPr>
        <w:t>标段划分：</w:t>
      </w:r>
      <w:r>
        <w:rPr>
          <w:rFonts w:hint="eastAsia" w:ascii="宋体" w:hAnsi="宋体" w:eastAsia="宋体" w:cs="宋体"/>
          <w:color w:val="auto"/>
          <w:kern w:val="0"/>
          <w:sz w:val="24"/>
          <w:szCs w:val="24"/>
          <w:highlight w:val="none"/>
          <w:u w:val="single"/>
          <w:shd w:val="clear" w:color="auto" w:fill="FFFFFF"/>
        </w:rPr>
        <w:t>本项目划分为1个标段。</w:t>
      </w:r>
    </w:p>
    <w:p w14:paraId="2B6F2BC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eastAsia="宋体" w:cs="宋体"/>
          <w:color w:val="auto"/>
          <w:sz w:val="24"/>
          <w:szCs w:val="24"/>
          <w:highlight w:val="none"/>
          <w:shd w:val="clear" w:color="auto" w:fill="FFFFFF"/>
        </w:rPr>
        <w:t>2.2.</w:t>
      </w:r>
      <w:r>
        <w:rPr>
          <w:rFonts w:hint="eastAsia" w:ascii="宋体" w:hAnsi="宋体" w:eastAsia="宋体" w:cs="宋体"/>
          <w:color w:val="auto"/>
          <w:kern w:val="0"/>
          <w:sz w:val="24"/>
          <w:szCs w:val="24"/>
          <w:highlight w:val="none"/>
          <w:shd w:val="clear" w:color="auto" w:fill="FFFFFF"/>
        </w:rPr>
        <w:t>2招标内容：施工图预算阶段、施工阶段、竣工结算阶段、财务决算阶段、审计阶段的造价咨询及投资控制工作等建设项目造价咨询服务</w:t>
      </w:r>
      <w:r>
        <w:rPr>
          <w:rFonts w:hint="eastAsia" w:ascii="宋体" w:hAnsi="宋体" w:eastAsia="宋体" w:cs="宋体"/>
          <w:color w:val="auto"/>
          <w:kern w:val="0"/>
          <w:sz w:val="24"/>
          <w:szCs w:val="24"/>
          <w:highlight w:val="none"/>
          <w:u w:val="single"/>
          <w:shd w:val="clear" w:color="auto" w:fill="FFFFFF"/>
        </w:rPr>
        <w:t>。</w:t>
      </w:r>
    </w:p>
    <w:p w14:paraId="461EDBC6">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w:t>
      </w:r>
      <w:r>
        <w:rPr>
          <w:rFonts w:hint="eastAsia" w:ascii="宋体" w:hAnsi="宋体" w:eastAsia="宋体" w:cs="宋体"/>
          <w:color w:val="auto"/>
          <w:kern w:val="0"/>
          <w:sz w:val="24"/>
          <w:szCs w:val="24"/>
          <w:highlight w:val="none"/>
        </w:rPr>
        <w:t>3最高投标限价（含税）：</w:t>
      </w:r>
      <w:r>
        <w:rPr>
          <w:rFonts w:hint="eastAsia" w:ascii="宋体" w:hAnsi="宋体" w:eastAsia="宋体" w:cs="宋体"/>
          <w:color w:val="auto"/>
          <w:kern w:val="0"/>
          <w:sz w:val="24"/>
          <w:szCs w:val="24"/>
          <w:highlight w:val="none"/>
          <w:u w:val="single"/>
          <w:lang w:val="en-US" w:eastAsia="zh-CN"/>
        </w:rPr>
        <w:t>2401269.38</w:t>
      </w:r>
      <w:r>
        <w:rPr>
          <w:rFonts w:hint="eastAsia" w:ascii="宋体" w:hAnsi="宋体" w:eastAsia="宋体" w:cs="宋体"/>
          <w:color w:val="auto"/>
          <w:kern w:val="0"/>
          <w:sz w:val="24"/>
          <w:szCs w:val="24"/>
          <w:highlight w:val="none"/>
          <w:u w:val="single"/>
        </w:rPr>
        <w:t>元</w:t>
      </w:r>
      <w:r>
        <w:rPr>
          <w:rFonts w:hint="eastAsia" w:ascii="宋体" w:hAnsi="宋体" w:eastAsia="宋体" w:cs="宋体"/>
          <w:color w:val="auto"/>
          <w:sz w:val="24"/>
          <w:szCs w:val="24"/>
          <w:highlight w:val="none"/>
        </w:rPr>
        <w:t>。</w:t>
      </w:r>
    </w:p>
    <w:p w14:paraId="07944A9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2.2.4服务期限：</w:t>
      </w:r>
      <w:r>
        <w:rPr>
          <w:rFonts w:hint="eastAsia" w:ascii="宋体" w:hAnsi="宋体" w:eastAsia="宋体" w:cs="宋体"/>
          <w:color w:val="auto"/>
          <w:kern w:val="0"/>
          <w:sz w:val="24"/>
          <w:szCs w:val="24"/>
          <w:highlight w:val="none"/>
          <w:u w:val="single"/>
        </w:rPr>
        <w:t>本合同签订之日起至委托的工作内容全部完成为止。包括本项目施工图预算阶段、施工阶段、竣工结算阶段、财务决算阶段、审计阶段的造价咨询及投资控制工作等建设项目造价咨询服务</w:t>
      </w:r>
      <w:r>
        <w:rPr>
          <w:rFonts w:hint="eastAsia" w:ascii="宋体" w:hAnsi="宋体" w:cs="宋体"/>
          <w:bCs/>
          <w:color w:val="auto"/>
          <w:sz w:val="24"/>
          <w:szCs w:val="24"/>
          <w:highlight w:val="none"/>
          <w:u w:val="single"/>
          <w:lang w:val="zh-CN"/>
        </w:rPr>
        <w:t>。</w:t>
      </w:r>
    </w:p>
    <w:p w14:paraId="68ADBA18">
      <w:pPr>
        <w:pStyle w:val="3"/>
        <w:keepNext w:val="0"/>
        <w:keepLines w:val="0"/>
        <w:spacing w:before="0" w:after="0" w:line="360" w:lineRule="auto"/>
        <w:rPr>
          <w:rFonts w:hint="eastAsia" w:ascii="宋体" w:hAnsi="宋体" w:eastAsia="宋体" w:cs="宋体"/>
          <w:color w:val="auto"/>
        </w:rPr>
      </w:pPr>
      <w:r>
        <w:rPr>
          <w:rFonts w:hint="eastAsia" w:ascii="宋体" w:hAnsi="宋体" w:eastAsia="宋体" w:cs="宋体"/>
        </w:rPr>
        <w:t xml:space="preserve">3. </w:t>
      </w:r>
      <w:r>
        <w:rPr>
          <w:rFonts w:hint="eastAsia" w:ascii="宋体" w:hAnsi="宋体" w:eastAsia="宋体" w:cs="宋体"/>
          <w:color w:val="auto"/>
        </w:rPr>
        <w:t>投标人资格要求</w:t>
      </w:r>
    </w:p>
    <w:p w14:paraId="19956CC5">
      <w:pPr>
        <w:spacing w:line="360" w:lineRule="auto"/>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3.1投标人具有独立法人资格，持有工商行政（或市场监督）管理部门核发的法人营业执照或各级政府事业单位登记管理机关颁发的事业单位法人证书，按国家法律经营。</w:t>
      </w:r>
    </w:p>
    <w:p w14:paraId="7D356C9E">
      <w:pPr>
        <w:spacing w:line="360" w:lineRule="auto"/>
        <w:ind w:firstLine="480" w:firstLineChars="200"/>
        <w:rPr>
          <w:rFonts w:hint="eastAsia" w:ascii="宋体" w:hAnsi="宋体" w:cs="宋体"/>
          <w:sz w:val="24"/>
          <w:u w:val="single"/>
        </w:rPr>
      </w:pPr>
      <w:r>
        <w:rPr>
          <w:rFonts w:hint="eastAsia" w:ascii="宋体" w:hAnsi="宋体" w:cs="宋体"/>
          <w:sz w:val="24"/>
          <w:u w:val="single"/>
        </w:rPr>
        <w:t>注：香港企业参加投标的，须在广东省住房和城乡建设主管部门备案且备案的业务范围满足本项目招标文件要求。（香港企业备案的业务范围依据《广东省住房和城乡建设厅关于印发香港工程建设咨询企业和专业人士在粤港澳大湾区内地城市开业执业试点管理暂行办法的通知》（粤建规范〔2020〕1号）确定。）</w:t>
      </w:r>
    </w:p>
    <w:p w14:paraId="128172E1">
      <w:pPr>
        <w:tabs>
          <w:tab w:val="left" w:pos="0"/>
          <w:tab w:val="left" w:pos="795"/>
        </w:tabs>
        <w:adjustRightInd w:val="0"/>
        <w:snapToGrid w:val="0"/>
        <w:spacing w:line="360" w:lineRule="auto"/>
        <w:ind w:firstLine="480" w:firstLineChars="200"/>
        <w:rPr>
          <w:rFonts w:hint="eastAsia" w:ascii="宋体" w:hAnsi="宋体" w:cs="宋体"/>
          <w:sz w:val="24"/>
          <w:szCs w:val="24"/>
          <w:u w:val="single"/>
        </w:rPr>
      </w:pPr>
      <w:r>
        <w:rPr>
          <w:rFonts w:hint="eastAsia" w:ascii="宋体" w:hAnsi="宋体" w:eastAsia="宋体" w:cs="宋体"/>
          <w:sz w:val="24"/>
          <w:szCs w:val="24"/>
          <w:u w:val="single"/>
        </w:rPr>
        <w:t>3.2</w:t>
      </w:r>
      <w:r>
        <w:rPr>
          <w:rFonts w:hint="eastAsia" w:ascii="宋体" w:hAnsi="宋体" w:eastAsia="宋体" w:cs="宋体"/>
          <w:sz w:val="24"/>
          <w:szCs w:val="24"/>
          <w:highlight w:val="none"/>
          <w:u w:val="single"/>
        </w:rPr>
        <w:t>投标人拟派项目负责人须具备有效的</w:t>
      </w:r>
      <w:r>
        <w:rPr>
          <w:rFonts w:hint="eastAsia" w:ascii="宋体" w:hAnsi="宋体"/>
          <w:sz w:val="24"/>
          <w:highlight w:val="none"/>
          <w:u w:val="single"/>
        </w:rPr>
        <w:t>注册造价工程师注册证</w:t>
      </w:r>
      <w:r>
        <w:rPr>
          <w:rFonts w:hint="eastAsia" w:ascii="宋体" w:hAnsi="宋体" w:eastAsia="宋体" w:cs="宋体"/>
          <w:sz w:val="24"/>
          <w:szCs w:val="24"/>
          <w:highlight w:val="none"/>
          <w:u w:val="single"/>
        </w:rPr>
        <w:t>，或一级注册造价工程师</w:t>
      </w:r>
      <w:r>
        <w:rPr>
          <w:rFonts w:hint="eastAsia" w:ascii="宋体" w:hAnsi="宋体"/>
          <w:sz w:val="24"/>
          <w:highlight w:val="none"/>
          <w:u w:val="single"/>
        </w:rPr>
        <w:t>注册证</w:t>
      </w:r>
      <w:r>
        <w:rPr>
          <w:rFonts w:hint="eastAsia" w:ascii="宋体" w:hAnsi="宋体" w:cs="宋体"/>
          <w:sz w:val="24"/>
          <w:szCs w:val="24"/>
          <w:u w:val="single"/>
        </w:rPr>
        <w:t>，注册执业单位为投标人单位</w:t>
      </w:r>
      <w:r>
        <w:rPr>
          <w:rFonts w:hint="eastAsia" w:ascii="宋体" w:hAnsi="宋体" w:cs="宋体"/>
          <w:sz w:val="24"/>
          <w:szCs w:val="24"/>
          <w:u w:val="single"/>
          <w:lang w:eastAsia="zh-CN"/>
        </w:rPr>
        <w:t>。</w:t>
      </w:r>
      <w:r>
        <w:rPr>
          <w:rFonts w:hint="eastAsia" w:ascii="宋体" w:hAnsi="宋体" w:cs="宋体"/>
          <w:color w:val="auto"/>
          <w:kern w:val="0"/>
          <w:sz w:val="24"/>
          <w:highlight w:val="none"/>
          <w:u w:val="single"/>
        </w:rPr>
        <w:t>若拟委派的项目负责人为香港专业人士，则需已在</w:t>
      </w:r>
      <w:r>
        <w:rPr>
          <w:rFonts w:hint="eastAsia" w:ascii="宋体" w:hAnsi="宋体"/>
          <w:color w:val="auto"/>
          <w:sz w:val="24"/>
          <w:highlight w:val="none"/>
          <w:u w:val="single"/>
        </w:rPr>
        <w:t>广东省住房和城乡建设主管部门备案且备案的业务范围满足本项目招标文件要求。（香港专业人士的备案业务范围依据《广东省住房和城乡建设厅关于印发香港工程建设咨询企业和专业人士在粤港澳大湾区内地城市开业执业试点管理暂行办法的通知》（粤建规范〔2020〕1号）确定。）</w:t>
      </w:r>
    </w:p>
    <w:p w14:paraId="5EC743E0">
      <w:pPr>
        <w:pStyle w:val="7"/>
        <w:spacing w:line="360" w:lineRule="auto"/>
        <w:ind w:firstLine="480"/>
        <w:rPr>
          <w:rFonts w:hint="eastAsia" w:ascii="宋体" w:hAnsi="宋体" w:eastAsia="宋体" w:cs="宋体"/>
          <w:sz w:val="24"/>
          <w:szCs w:val="24"/>
          <w:u w:val="single"/>
        </w:rPr>
      </w:pPr>
      <w:r>
        <w:rPr>
          <w:rFonts w:hint="eastAsia" w:ascii="宋体" w:hAnsi="宋体" w:eastAsia="宋体" w:cs="宋体"/>
          <w:sz w:val="24"/>
          <w:szCs w:val="24"/>
          <w:highlight w:val="none"/>
          <w:u w:val="single"/>
        </w:rPr>
        <w:t>注：有效的注册造价工程师指根据原人事部、原建设部发布的《造价工程师执业资格制度暂行规定》（人发〔1996〕77号）取得的造价工程师执业资格，并经注册且在有效期内；有效的一级注册造价工程师指根据住房城乡建设部、交通运输部、水利部、人力资源社会保障部发布的《造价工程师职业资格制度规定》《造价工程师职业资格考试实施办法》（建人〔2018〕]67号）取得的一级造价工程师职业资格，并经注册且在有效期内。</w:t>
      </w:r>
    </w:p>
    <w:p w14:paraId="3D0C211C">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3.3本次招标不接受联合体投标。</w:t>
      </w:r>
    </w:p>
    <w:p w14:paraId="09BBA8A9">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3.4其他资格要求：</w:t>
      </w:r>
    </w:p>
    <w:p w14:paraId="50A64FD6">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①投标人参加投标的意思表达清楚，投标人代表被授权有效；</w:t>
      </w:r>
    </w:p>
    <w:p w14:paraId="5A8E3A29">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②投标人已按规定格式签名盖章《投标人声明》（格式见招标公告附件一）；</w:t>
      </w:r>
    </w:p>
    <w:p w14:paraId="5B7E62DB">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③资格审查前，投标人须已在广州市住建行业信用管理平台建立了企业信用档案，拟委派的项目负责人为本企业信用档案在册人员。（须提供网页截图）（信用档案办理详见《广州市住建行业信用管理平台工程造价咨询企业信息录入指引》</w:t>
      </w:r>
      <w:r>
        <w:fldChar w:fldCharType="begin"/>
      </w:r>
      <w:r>
        <w:instrText xml:space="preserve"> HYPERLINK "http://zfcj.gz.gov.cn/zwgk/zsdwxxgkzl/gzsjzyglfwzx/bszy/content/post_8073925.html" </w:instrText>
      </w:r>
      <w:r>
        <w:fldChar w:fldCharType="separate"/>
      </w:r>
      <w:r>
        <w:rPr>
          <w:rStyle w:val="14"/>
          <w:rFonts w:hint="eastAsia" w:ascii="宋体" w:hAnsi="宋体" w:eastAsia="宋体" w:cs="宋体"/>
          <w:color w:val="auto"/>
          <w:sz w:val="24"/>
          <w:szCs w:val="24"/>
        </w:rPr>
        <w:t>http://zfcj.gz.gov.cn/zwgk/zsdwxxgkzl/gzsjzyglfwzx/bszy/content/post_8073925.html</w:t>
      </w:r>
      <w:r>
        <w:rPr>
          <w:rStyle w:val="14"/>
          <w:rFonts w:hint="eastAsia" w:ascii="宋体" w:hAnsi="宋体" w:eastAsia="宋体" w:cs="宋体"/>
          <w:color w:val="auto"/>
          <w:sz w:val="24"/>
          <w:szCs w:val="24"/>
        </w:rPr>
        <w:fldChar w:fldCharType="end"/>
      </w:r>
      <w:r>
        <w:rPr>
          <w:rFonts w:hint="eastAsia" w:ascii="宋体" w:hAnsi="宋体" w:eastAsia="宋体" w:cs="宋体"/>
          <w:sz w:val="24"/>
          <w:szCs w:val="24"/>
          <w:u w:val="single"/>
        </w:rPr>
        <w:t>）；</w:t>
      </w:r>
    </w:p>
    <w:p w14:paraId="39C813FD">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④投标人</w:t>
      </w:r>
      <w:r>
        <w:rPr>
          <w:rFonts w:hint="eastAsia" w:ascii="宋体" w:hAnsi="宋体"/>
          <w:sz w:val="24"/>
          <w:u w:val="single"/>
        </w:rPr>
        <w:t>未被列入拖欠农民工工资失信联合惩戒对象名单（投标人无需提供资料，按投标截止时间</w:t>
      </w:r>
      <w:r>
        <w:rPr>
          <w:rFonts w:hint="eastAsia" w:ascii="宋体" w:hAnsi="宋体"/>
          <w:sz w:val="24"/>
          <w:szCs w:val="24"/>
          <w:u w:val="single"/>
        </w:rPr>
        <w:t>广州交易集团有限公司（广州公共资源交易中心）</w:t>
      </w:r>
      <w:r>
        <w:rPr>
          <w:rFonts w:hint="eastAsia" w:ascii="宋体" w:hAnsi="宋体"/>
          <w:sz w:val="24"/>
          <w:u w:val="single"/>
        </w:rPr>
        <w:t>交易系统比对结果进行评审）</w:t>
      </w:r>
      <w:r>
        <w:rPr>
          <w:rFonts w:hint="eastAsia" w:ascii="宋体" w:hAnsi="宋体" w:eastAsia="宋体" w:cs="宋体"/>
          <w:sz w:val="24"/>
          <w:szCs w:val="24"/>
          <w:u w:val="single"/>
        </w:rPr>
        <w:t>。</w:t>
      </w:r>
    </w:p>
    <w:p w14:paraId="0B8D608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注：未在招标公告第3条单列的资审合格条件，不作为资审不合格的依据。</w:t>
      </w:r>
    </w:p>
    <w:p w14:paraId="63D4ED80">
      <w:pPr>
        <w:pStyle w:val="3"/>
        <w:keepNext w:val="0"/>
        <w:keepLines w:val="0"/>
        <w:spacing w:before="0" w:after="0" w:line="360" w:lineRule="auto"/>
        <w:rPr>
          <w:rFonts w:hint="eastAsia" w:ascii="宋体" w:hAnsi="宋体" w:eastAsia="宋体" w:cs="宋体"/>
        </w:rPr>
      </w:pPr>
      <w:r>
        <w:rPr>
          <w:rFonts w:hint="eastAsia" w:ascii="宋体" w:hAnsi="宋体" w:eastAsia="宋体" w:cs="宋体"/>
        </w:rPr>
        <w:t>4. 招标文件的获取</w:t>
      </w:r>
    </w:p>
    <w:p w14:paraId="7A2E3A12">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 凡有意参加投标者，请于</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分至</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分(北京时间，下同)，登录</w:t>
      </w:r>
      <w:r>
        <w:rPr>
          <w:rFonts w:hint="eastAsia" w:ascii="宋体" w:hAnsi="宋体"/>
          <w:sz w:val="24"/>
          <w:szCs w:val="24"/>
        </w:rPr>
        <w:t>广州交易集团有限公司（广州公共资源交易中心）</w:t>
      </w:r>
      <w:r>
        <w:rPr>
          <w:rFonts w:hint="eastAsia" w:ascii="宋体" w:hAnsi="宋体" w:eastAsia="宋体" w:cs="宋体"/>
          <w:sz w:val="24"/>
          <w:szCs w:val="24"/>
          <w:u w:val="single"/>
        </w:rPr>
        <w:t>（http://www.gzggzy.cn）</w:t>
      </w:r>
      <w:r>
        <w:rPr>
          <w:rFonts w:hint="eastAsia" w:ascii="宋体" w:hAnsi="宋体" w:eastAsia="宋体" w:cs="宋体"/>
          <w:sz w:val="24"/>
          <w:szCs w:val="24"/>
        </w:rPr>
        <w:t>下载电子招标文件。</w:t>
      </w:r>
    </w:p>
    <w:p w14:paraId="0BD909A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 本项目采用资格后审方式。</w:t>
      </w:r>
    </w:p>
    <w:p w14:paraId="3C16E37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 招标公告发布时间</w:t>
      </w:r>
    </w:p>
    <w:p w14:paraId="09A5D80B">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发布招标公告开始日期（含本日）为：</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分至</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分；</w:t>
      </w:r>
    </w:p>
    <w:p w14:paraId="5F501C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注：</w:t>
      </w:r>
    </w:p>
    <w:p w14:paraId="79ED7B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（1）发布招标公告的时间为招标公告发出之日起至递交投标文件截止时间止。</w:t>
      </w:r>
    </w:p>
    <w:p w14:paraId="11FFF916">
      <w:pPr>
        <w:numPr>
          <w:ilvl w:val="255"/>
          <w:numId w:val="0"/>
        </w:numPr>
        <w:tabs>
          <w:tab w:val="left" w:pos="360"/>
        </w:tabs>
        <w:spacing w:line="360" w:lineRule="auto"/>
        <w:ind w:firstLine="480" w:firstLineChars="200"/>
        <w:rPr>
          <w:rFonts w:hint="eastAsia" w:ascii="宋体" w:hAnsi="宋体"/>
        </w:rPr>
      </w:pPr>
      <w:r>
        <w:rPr>
          <w:rFonts w:hint="eastAsia" w:ascii="宋体" w:hAnsi="宋体" w:eastAsia="宋体" w:cs="宋体"/>
          <w:sz w:val="24"/>
          <w:szCs w:val="24"/>
        </w:rPr>
        <w:t>（2）本公告发布之日起发布招标文件，并从招标公告发布之日起开始计算备标时间。</w:t>
      </w:r>
      <w:r>
        <w:rPr>
          <w:rFonts w:hint="eastAsia" w:ascii="宋体" w:hAnsi="宋体" w:cs="宋体"/>
          <w:sz w:val="24"/>
        </w:rPr>
        <w:t>招标文件一经在电子招标投标交易平台发布，视为送达给所有投标人。</w:t>
      </w:r>
    </w:p>
    <w:p w14:paraId="0C623BB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（3）投标人应在递交投标文件截止时间前，登录</w:t>
      </w:r>
      <w:r>
        <w:rPr>
          <w:rFonts w:hint="eastAsia" w:ascii="宋体" w:hAnsi="宋体"/>
          <w:sz w:val="24"/>
          <w:szCs w:val="24"/>
        </w:rPr>
        <w:t>广州交易集团有限公司（广州公共资源交易中心）</w:t>
      </w:r>
      <w:r>
        <w:rPr>
          <w:rFonts w:hint="eastAsia" w:ascii="宋体" w:hAnsi="宋体" w:eastAsia="宋体" w:cs="宋体"/>
          <w:sz w:val="24"/>
          <w:szCs w:val="24"/>
        </w:rPr>
        <w:t>交易平台网站办理网上投标登记手续。按照交易平台关于全流程电子化项目的相关指南进行操作。详见</w:t>
      </w:r>
      <w:r>
        <w:rPr>
          <w:rFonts w:hint="eastAsia" w:ascii="宋体" w:hAnsi="宋体"/>
          <w:sz w:val="24"/>
          <w:szCs w:val="24"/>
        </w:rPr>
        <w:t>广州交易集团有限公司（广州公共资源交易中心）</w:t>
      </w:r>
      <w:r>
        <w:rPr>
          <w:rFonts w:hint="eastAsia" w:ascii="宋体" w:hAnsi="宋体" w:eastAsia="宋体" w:cs="宋体"/>
          <w:sz w:val="24"/>
          <w:szCs w:val="24"/>
        </w:rPr>
        <w:t>网站（网址：http://www.gzggzy.cn）。</w:t>
      </w:r>
    </w:p>
    <w:p w14:paraId="5388CF3F">
      <w:pPr>
        <w:pStyle w:val="3"/>
        <w:keepNext w:val="0"/>
        <w:keepLines w:val="0"/>
        <w:spacing w:before="0" w:after="0" w:line="360" w:lineRule="auto"/>
        <w:rPr>
          <w:rFonts w:hint="eastAsia" w:ascii="宋体" w:hAnsi="宋体" w:eastAsia="宋体" w:cs="宋体"/>
        </w:rPr>
      </w:pPr>
      <w:r>
        <w:rPr>
          <w:rFonts w:hint="eastAsia" w:ascii="宋体" w:hAnsi="宋体" w:eastAsia="宋体" w:cs="宋体"/>
        </w:rPr>
        <w:t>5. 投标文件的递交</w:t>
      </w:r>
    </w:p>
    <w:p w14:paraId="769EA5C8">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5.1 投标文件递交的截止时间（投标截止时间，下同）为</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分，投标人应在截止时间前通过</w:t>
      </w:r>
      <w:r>
        <w:rPr>
          <w:rFonts w:hint="eastAsia" w:ascii="宋体" w:hAnsi="宋体"/>
          <w:sz w:val="24"/>
          <w:szCs w:val="24"/>
          <w:u w:val="single"/>
        </w:rPr>
        <w:t>广州交易集团有限公司（广州公共资源交易中心）</w:t>
      </w:r>
      <w:r>
        <w:rPr>
          <w:rFonts w:hint="eastAsia" w:ascii="宋体" w:hAnsi="宋体" w:eastAsia="宋体" w:cs="宋体"/>
          <w:sz w:val="24"/>
          <w:szCs w:val="24"/>
          <w:u w:val="single"/>
        </w:rPr>
        <w:t>（网址：http://www.gzggzy.cn）</w:t>
      </w:r>
      <w:r>
        <w:rPr>
          <w:rFonts w:hint="eastAsia" w:ascii="宋体" w:hAnsi="宋体" w:eastAsia="宋体" w:cs="宋体"/>
          <w:sz w:val="24"/>
          <w:szCs w:val="24"/>
        </w:rPr>
        <w:t>递交电子投标文件。</w:t>
      </w:r>
    </w:p>
    <w:p w14:paraId="543370E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 递交备用投标文件电子光盘（或U盘）的规定：</w:t>
      </w:r>
    </w:p>
    <w:p w14:paraId="148DEA6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分至</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5</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日</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时</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分；</w:t>
      </w:r>
    </w:p>
    <w:p w14:paraId="79C876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地点：</w:t>
      </w:r>
      <w:r>
        <w:rPr>
          <w:rFonts w:hint="eastAsia" w:ascii="宋体" w:hAnsi="宋体"/>
          <w:sz w:val="24"/>
          <w:szCs w:val="24"/>
          <w:highlight w:val="none"/>
        </w:rPr>
        <w:t>广州交易集团有限公司（广州公共资源交易中心）</w:t>
      </w:r>
      <w:r>
        <w:rPr>
          <w:rFonts w:hint="eastAsia" w:ascii="宋体" w:hAnsi="宋体"/>
          <w:color w:val="auto"/>
          <w:sz w:val="24"/>
          <w:highlight w:val="none"/>
          <w:u w:val="none"/>
        </w:rPr>
        <w:t>黄埔交易部</w:t>
      </w:r>
      <w:r>
        <w:rPr>
          <w:rFonts w:hint="eastAsia" w:ascii="宋体" w:hAnsi="宋体" w:eastAsia="宋体" w:cs="宋体"/>
          <w:sz w:val="24"/>
          <w:szCs w:val="24"/>
          <w:highlight w:val="none"/>
          <w:u w:val="single"/>
        </w:rPr>
        <w:t>第  开标室</w:t>
      </w:r>
      <w:r>
        <w:rPr>
          <w:rFonts w:hint="eastAsia" w:ascii="宋体" w:hAnsi="宋体" w:eastAsia="宋体" w:cs="宋体"/>
          <w:sz w:val="24"/>
          <w:szCs w:val="24"/>
        </w:rPr>
        <w:t>。</w:t>
      </w:r>
    </w:p>
    <w:p w14:paraId="028D5401">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sz w:val="24"/>
          <w:szCs w:val="24"/>
        </w:rPr>
        <w:t>注：投标人应凭法定代表人证明书及法定代表人授权委托书（如适用）递交投标文件备用光盘（或U盘）。</w:t>
      </w:r>
      <w:r>
        <w:rPr>
          <w:rFonts w:hint="eastAsia" w:ascii="宋体" w:hAnsi="宋体" w:cs="宋体"/>
          <w:sz w:val="24"/>
          <w:szCs w:val="24"/>
        </w:rPr>
        <w:t>电子光盘（或U盘）需按规定封装。投标人在将数据刻录到光盘（或U盘）之后，投标前自行检查文件是否可以读取</w:t>
      </w:r>
      <w:r>
        <w:rPr>
          <w:rFonts w:hint="eastAsia" w:ascii="宋体" w:hAnsi="宋体" w:eastAsia="宋体" w:cs="宋体"/>
          <w:sz w:val="24"/>
          <w:szCs w:val="24"/>
        </w:rPr>
        <w:t>）</w:t>
      </w:r>
    </w:p>
    <w:p w14:paraId="53D0FD0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 逾期送达的投标文件，电子招标投标交易平台将予以拒收。</w:t>
      </w:r>
    </w:p>
    <w:p w14:paraId="3620605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5.4 投标人完成电子投标上传后，电子招标投标交易平台即时向投标人发出递交回执通知。递交时间以递交回执通知载明的传输时间为准。</w:t>
      </w:r>
    </w:p>
    <w:p w14:paraId="62B0A491">
      <w:pPr>
        <w:pStyle w:val="3"/>
        <w:keepNext w:val="0"/>
        <w:keepLines w:val="0"/>
        <w:spacing w:before="0" w:after="0" w:line="360" w:lineRule="auto"/>
        <w:rPr>
          <w:rFonts w:hint="eastAsia" w:ascii="宋体" w:hAnsi="宋体" w:eastAsia="宋体" w:cs="宋体"/>
        </w:rPr>
      </w:pPr>
      <w:r>
        <w:rPr>
          <w:rFonts w:hint="eastAsia" w:ascii="宋体" w:hAnsi="宋体" w:eastAsia="宋体" w:cs="宋体"/>
        </w:rPr>
        <w:t>6. 发布公告的媒介</w:t>
      </w:r>
    </w:p>
    <w:p w14:paraId="5760509D">
      <w:pPr>
        <w:spacing w:line="360" w:lineRule="auto"/>
        <w:ind w:firstLine="480" w:firstLineChars="200"/>
        <w:contextualSpacing/>
        <w:rPr>
          <w:rFonts w:hint="eastAsia" w:ascii="宋体" w:hAnsi="宋体" w:eastAsia="宋体" w:cs="宋体"/>
          <w:sz w:val="24"/>
          <w:szCs w:val="24"/>
          <w:u w:val="single"/>
        </w:rPr>
      </w:pPr>
      <w:r>
        <w:rPr>
          <w:rFonts w:hint="eastAsia" w:ascii="宋体" w:hAnsi="宋体" w:cs="宋体"/>
          <w:kern w:val="0"/>
          <w:sz w:val="24"/>
        </w:rPr>
        <w:t>本次招标公告同时在</w:t>
      </w:r>
      <w:r>
        <w:rPr>
          <w:rFonts w:hint="eastAsia" w:ascii="宋体" w:hAnsi="宋体" w:cs="宋体"/>
          <w:kern w:val="0"/>
          <w:sz w:val="24"/>
          <w:u w:val="single"/>
        </w:rPr>
        <w:t>广州交易集团有限公司（广州公共资源交易中心）官网（网址：http://www.gzggzy.cn）、广东省招标投标监管网（网址：https://zbtb.gd.gov.cn/）和中国招标投标公共服务平台（网址：http://www.cebpubservice.com/）</w:t>
      </w:r>
      <w:r>
        <w:rPr>
          <w:rFonts w:hint="eastAsia" w:ascii="宋体" w:hAnsi="宋体" w:cs="宋体"/>
          <w:kern w:val="0"/>
          <w:sz w:val="24"/>
          <w:u w:val="none"/>
        </w:rPr>
        <w:t>发布</w:t>
      </w:r>
      <w:r>
        <w:rPr>
          <w:rFonts w:hint="eastAsia" w:ascii="宋体" w:hAnsi="宋体" w:cs="宋体"/>
          <w:kern w:val="0"/>
          <w:sz w:val="24"/>
        </w:rPr>
        <w:t>，本公告的修改、补充，在</w:t>
      </w:r>
      <w:r>
        <w:rPr>
          <w:rFonts w:hint="eastAsia" w:ascii="宋体" w:hAnsi="宋体" w:cs="宋体"/>
          <w:kern w:val="0"/>
          <w:sz w:val="24"/>
          <w:u w:val="single"/>
        </w:rPr>
        <w:t>广州交易集团有限公司（广州公共资源交易中心）官网</w:t>
      </w:r>
      <w:r>
        <w:rPr>
          <w:rFonts w:hint="eastAsia" w:ascii="宋体" w:hAnsi="宋体" w:cs="宋体"/>
          <w:color w:val="000000"/>
          <w:sz w:val="24"/>
          <w:u w:val="single"/>
        </w:rPr>
        <w:t>及广东省招标投标监管网</w:t>
      </w:r>
      <w:r>
        <w:rPr>
          <w:rFonts w:hint="eastAsia" w:ascii="宋体" w:hAnsi="宋体" w:cs="宋体"/>
          <w:kern w:val="0"/>
          <w:sz w:val="24"/>
        </w:rPr>
        <w:t>发布。本公告在各媒体发布的文本如有不同之处，以在</w:t>
      </w:r>
      <w:r>
        <w:rPr>
          <w:rFonts w:hint="eastAsia" w:ascii="宋体" w:hAnsi="宋体" w:cs="宋体"/>
          <w:kern w:val="0"/>
          <w:sz w:val="24"/>
          <w:u w:val="single"/>
        </w:rPr>
        <w:t>广州交易集团有限公司（广州公共资源交易中心）官网</w:t>
      </w:r>
      <w:r>
        <w:rPr>
          <w:rFonts w:hint="eastAsia" w:ascii="宋体" w:hAnsi="宋体" w:cs="宋体"/>
          <w:kern w:val="0"/>
          <w:sz w:val="24"/>
        </w:rPr>
        <w:t>发布的文本为准</w:t>
      </w:r>
      <w:r>
        <w:rPr>
          <w:rFonts w:hint="eastAsia" w:ascii="宋体" w:hAnsi="宋体" w:eastAsia="宋体" w:cs="宋体"/>
          <w:sz w:val="24"/>
          <w:szCs w:val="24"/>
        </w:rPr>
        <w:t>。</w:t>
      </w:r>
    </w:p>
    <w:p w14:paraId="205EFFCB">
      <w:pPr>
        <w:pStyle w:val="3"/>
        <w:keepNext w:val="0"/>
        <w:keepLines w:val="0"/>
        <w:spacing w:before="0" w:after="0" w:line="360" w:lineRule="auto"/>
        <w:rPr>
          <w:rFonts w:hint="eastAsia" w:ascii="宋体" w:hAnsi="宋体" w:eastAsia="宋体" w:cs="宋体"/>
        </w:rPr>
      </w:pPr>
      <w:r>
        <w:rPr>
          <w:rFonts w:hint="eastAsia" w:ascii="宋体" w:hAnsi="宋体" w:eastAsia="宋体" w:cs="宋体"/>
        </w:rPr>
        <w:t>7. 异议受理</w:t>
      </w:r>
    </w:p>
    <w:p w14:paraId="2FAA9AE2">
      <w:pPr>
        <w:shd w:val="clear" w:color="auto" w:fill="FFFFFF"/>
        <w:spacing w:line="360" w:lineRule="auto"/>
        <w:ind w:firstLine="480" w:firstLineChars="200"/>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潜在投标人或利害关系人对本招标公告及招标文件有异议的，应当在投标截止时间10日前向招标人书面提出。</w:t>
      </w:r>
    </w:p>
    <w:p w14:paraId="26A7DA19">
      <w:pPr>
        <w:widowControl/>
        <w:shd w:val="clear" w:color="auto" w:fill="FFFFFF"/>
        <w:adjustRightInd w:val="0"/>
        <w:snapToGrid w:val="0"/>
        <w:spacing w:line="360" w:lineRule="auto"/>
        <w:ind w:firstLine="480" w:firstLineChars="200"/>
        <w:rPr>
          <w:rFonts w:hint="eastAsia" w:ascii="宋体" w:hAnsi="宋体" w:cs="宋体" w:eastAsiaTheme="minorEastAsia"/>
          <w:kern w:val="0"/>
          <w:sz w:val="24"/>
          <w:szCs w:val="24"/>
          <w:shd w:val="clear" w:color="auto" w:fill="FFFFFF"/>
          <w:lang w:eastAsia="zh-CN"/>
        </w:rPr>
      </w:pPr>
      <w:r>
        <w:rPr>
          <w:rFonts w:hint="eastAsia" w:ascii="宋体" w:hAnsi="宋体" w:eastAsia="宋体" w:cs="宋体"/>
          <w:kern w:val="0"/>
          <w:sz w:val="24"/>
          <w:szCs w:val="24"/>
          <w:shd w:val="clear" w:color="auto" w:fill="FFFFFF"/>
        </w:rPr>
        <w:t>异议受理部门：</w:t>
      </w:r>
      <w:r>
        <w:rPr>
          <w:rFonts w:hint="eastAsia" w:ascii="宋体" w:hAnsi="宋体" w:cs="宋体"/>
          <w:color w:val="000000"/>
          <w:kern w:val="0"/>
          <w:sz w:val="24"/>
          <w:u w:val="single"/>
          <w:lang w:eastAsia="zh-CN" w:bidi="ar"/>
        </w:rPr>
        <w:t>广州开城新晟城市开发投资有限公司</w:t>
      </w:r>
    </w:p>
    <w:p w14:paraId="585C0D9C">
      <w:pPr>
        <w:widowControl/>
        <w:adjustRightInd w:val="0"/>
        <w:snapToGrid w:val="0"/>
        <w:spacing w:line="360" w:lineRule="auto"/>
        <w:ind w:firstLine="480" w:firstLineChars="200"/>
        <w:rPr>
          <w:rFonts w:hint="default" w:ascii="宋体" w:hAnsi="宋体" w:eastAsia="宋体" w:cs="宋体"/>
          <w:kern w:val="0"/>
          <w:sz w:val="24"/>
          <w:szCs w:val="24"/>
          <w:highlight w:val="yellow"/>
          <w:u w:val="single"/>
          <w:lang w:val="en-US" w:eastAsia="zh-CN"/>
        </w:rPr>
      </w:pPr>
      <w:r>
        <w:rPr>
          <w:rFonts w:hint="eastAsia" w:ascii="宋体" w:hAnsi="宋体" w:eastAsia="宋体" w:cs="宋体"/>
          <w:kern w:val="0"/>
          <w:sz w:val="24"/>
          <w:szCs w:val="24"/>
          <w:highlight w:val="none"/>
        </w:rPr>
        <w:t>异议受理电话：</w:t>
      </w:r>
      <w:r>
        <w:rPr>
          <w:rFonts w:hint="eastAsia" w:ascii="宋体" w:hAnsi="宋体" w:eastAsia="宋体" w:cs="宋体"/>
          <w:kern w:val="0"/>
          <w:sz w:val="24"/>
          <w:szCs w:val="24"/>
          <w:highlight w:val="none"/>
          <w:u w:val="single"/>
        </w:rPr>
        <w:t>020-31700409</w:t>
      </w:r>
    </w:p>
    <w:p w14:paraId="13728330">
      <w:pPr>
        <w:widowControl/>
        <w:adjustRightInd w:val="0"/>
        <w:snapToGrid w:val="0"/>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highlight w:val="none"/>
        </w:rPr>
        <w:t>地址：</w:t>
      </w:r>
      <w:r>
        <w:rPr>
          <w:rFonts w:hint="eastAsia" w:ascii="宋体" w:hAnsi="宋体" w:cs="宋体"/>
          <w:color w:val="000000"/>
          <w:kern w:val="0"/>
          <w:sz w:val="24"/>
          <w:highlight w:val="none"/>
          <w:u w:val="single"/>
          <w:lang w:bidi="ar"/>
        </w:rPr>
        <w:t>广州市黄埔区知凤街9号知识大厦7楼01-06室</w:t>
      </w:r>
    </w:p>
    <w:p w14:paraId="3C857824">
      <w:pPr>
        <w:widowControl/>
        <w:adjustRightInd w:val="0"/>
        <w:snapToGrid w:val="0"/>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u w:val="singl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59BA33C8">
      <w:pPr>
        <w:pStyle w:val="3"/>
        <w:keepNext w:val="0"/>
        <w:keepLines w:val="0"/>
        <w:spacing w:before="0" w:after="0" w:line="360" w:lineRule="auto"/>
        <w:rPr>
          <w:rFonts w:hint="eastAsia" w:ascii="宋体" w:hAnsi="宋体" w:eastAsia="宋体" w:cs="宋体"/>
          <w:lang w:eastAsia="zh-CN"/>
        </w:rPr>
      </w:pPr>
      <w:r>
        <w:rPr>
          <w:rFonts w:hint="eastAsia" w:ascii="宋体" w:hAnsi="宋体" w:eastAsia="宋体" w:cs="宋体"/>
        </w:rPr>
        <w:t xml:space="preserve">8. </w:t>
      </w:r>
      <w:r>
        <w:rPr>
          <w:rFonts w:hint="eastAsia" w:ascii="宋体" w:hAnsi="宋体" w:eastAsia="宋体" w:cs="宋体"/>
          <w:lang w:val="en-US" w:eastAsia="zh-CN"/>
        </w:rPr>
        <w:t>其他</w:t>
      </w:r>
    </w:p>
    <w:p w14:paraId="21C36523">
      <w:pPr>
        <w:widowControl/>
        <w:adjustRightInd w:val="0"/>
        <w:snapToGrid w:val="0"/>
        <w:spacing w:line="360" w:lineRule="auto"/>
        <w:ind w:firstLine="480" w:firstLineChars="200"/>
        <w:jc w:val="left"/>
        <w:rPr>
          <w:rFonts w:hint="default" w:ascii="宋体" w:hAnsi="宋体" w:eastAsia="宋体" w:cs="宋体"/>
          <w:bCs w:val="0"/>
          <w:kern w:val="0"/>
          <w:sz w:val="24"/>
          <w:szCs w:val="24"/>
          <w:highlight w:val="none"/>
          <w:u w:val="single"/>
          <w:shd w:val="clear"/>
          <w:lang w:eastAsia="zh-CN"/>
        </w:rPr>
      </w:pPr>
      <w:r>
        <w:rPr>
          <w:rFonts w:hint="eastAsia" w:ascii="宋体" w:hAnsi="宋体" w:eastAsia="宋体" w:cs="宋体"/>
          <w:bCs w:val="0"/>
          <w:kern w:val="0"/>
          <w:sz w:val="24"/>
          <w:szCs w:val="24"/>
          <w:u w:val="single"/>
          <w:shd w:val="clear"/>
        </w:rPr>
        <w:t>前期服务机构名</w:t>
      </w:r>
      <w:r>
        <w:rPr>
          <w:rFonts w:hint="eastAsia" w:ascii="宋体" w:hAnsi="宋体" w:eastAsia="宋体" w:cs="宋体"/>
          <w:bCs w:val="0"/>
          <w:kern w:val="0"/>
          <w:sz w:val="24"/>
          <w:szCs w:val="24"/>
          <w:highlight w:val="none"/>
          <w:u w:val="single"/>
          <w:shd w:val="clear"/>
        </w:rPr>
        <w:t>称：广东省国际工程咨询有限公司</w:t>
      </w:r>
      <w:r>
        <w:rPr>
          <w:rFonts w:hint="default" w:ascii="宋体" w:hAnsi="宋体" w:eastAsia="宋体" w:cs="宋体"/>
          <w:bCs w:val="0"/>
          <w:kern w:val="0"/>
          <w:sz w:val="24"/>
          <w:szCs w:val="24"/>
          <w:highlight w:val="none"/>
          <w:u w:val="single"/>
          <w:shd w:val="clear"/>
        </w:rPr>
        <w:t>（可行性研究报告编制单位）</w:t>
      </w:r>
      <w:r>
        <w:rPr>
          <w:rFonts w:hint="default" w:ascii="宋体" w:hAnsi="宋体" w:eastAsia="宋体" w:cs="宋体"/>
          <w:bCs w:val="0"/>
          <w:kern w:val="0"/>
          <w:sz w:val="24"/>
          <w:szCs w:val="24"/>
          <w:highlight w:val="none"/>
          <w:u w:val="single"/>
          <w:shd w:val="clear"/>
          <w:lang w:eastAsia="zh-CN"/>
        </w:rPr>
        <w:t>。</w:t>
      </w:r>
    </w:p>
    <w:p w14:paraId="46BAB909">
      <w:pPr>
        <w:widowControl/>
        <w:adjustRightInd w:val="0"/>
        <w:snapToGrid w:val="0"/>
        <w:spacing w:line="360" w:lineRule="auto"/>
        <w:ind w:firstLine="480" w:firstLineChars="200"/>
        <w:rPr>
          <w:rFonts w:hint="default" w:ascii="宋体" w:hAnsi="宋体" w:eastAsia="宋体" w:cs="宋体"/>
          <w:kern w:val="0"/>
          <w:sz w:val="24"/>
          <w:szCs w:val="24"/>
          <w:highlight w:val="none"/>
          <w:u w:val="single"/>
        </w:rPr>
      </w:pPr>
      <w:r>
        <w:rPr>
          <w:rFonts w:hint="default" w:ascii="宋体" w:hAnsi="宋体" w:eastAsia="宋体" w:cs="宋体"/>
          <w:bCs w:val="0"/>
          <w:kern w:val="0"/>
          <w:sz w:val="24"/>
          <w:szCs w:val="24"/>
          <w:highlight w:val="none"/>
          <w:u w:val="single"/>
          <w:shd w:val="clear"/>
        </w:rPr>
        <w:t>注：如果前期服务机构参加本次投标，应将本公告发布前最终完成的工作成果（含电子文件）在投标人购买（或下载）招标文件的同时提供给所有投标人参考，否则前期参与的服务机构中标无效。</w:t>
      </w:r>
    </w:p>
    <w:p w14:paraId="4B01C3AB">
      <w:pPr>
        <w:pStyle w:val="3"/>
        <w:keepNext w:val="0"/>
        <w:keepLines w:val="0"/>
        <w:spacing w:before="0" w:after="0" w:line="360" w:lineRule="auto"/>
        <w:rPr>
          <w:rFonts w:hint="eastAsia" w:ascii="宋体" w:hAnsi="宋体" w:eastAsia="宋体" w:cs="宋体"/>
          <w:b/>
          <w:sz w:val="32"/>
          <w:szCs w:val="32"/>
          <w:u w:val="none"/>
        </w:rPr>
      </w:pPr>
      <w:r>
        <w:rPr>
          <w:rFonts w:hint="eastAsia" w:ascii="宋体" w:hAnsi="宋体" w:eastAsia="宋体" w:cs="宋体"/>
          <w:b/>
          <w:sz w:val="32"/>
          <w:szCs w:val="32"/>
          <w:u w:val="none"/>
          <w:lang w:val="en-US" w:eastAsia="zh-CN"/>
        </w:rPr>
        <w:t>9</w:t>
      </w:r>
      <w:r>
        <w:rPr>
          <w:rFonts w:hint="eastAsia" w:ascii="宋体" w:hAnsi="宋体" w:eastAsia="宋体" w:cs="宋体"/>
          <w:b/>
          <w:sz w:val="32"/>
          <w:szCs w:val="32"/>
          <w:u w:val="none"/>
        </w:rPr>
        <w:t>. 联系方式</w:t>
      </w:r>
    </w:p>
    <w:p w14:paraId="4BFD6A85">
      <w:pPr>
        <w:widowControl/>
        <w:adjustRightInd w:val="0"/>
        <w:snapToGrid w:val="0"/>
        <w:spacing w:line="360" w:lineRule="auto"/>
        <w:ind w:firstLine="480" w:firstLineChars="200"/>
        <w:rPr>
          <w:rFonts w:hint="eastAsia" w:ascii="宋体" w:hAnsi="宋体" w:cs="宋体" w:eastAsiaTheme="minorEastAsia"/>
          <w:kern w:val="0"/>
          <w:sz w:val="24"/>
          <w:szCs w:val="24"/>
          <w:u w:val="single"/>
          <w:lang w:eastAsia="zh-CN"/>
        </w:rPr>
      </w:pPr>
      <w:r>
        <w:rPr>
          <w:rFonts w:hint="eastAsia" w:ascii="宋体" w:hAnsi="宋体" w:eastAsia="宋体" w:cs="宋体"/>
          <w:kern w:val="0"/>
          <w:sz w:val="24"/>
          <w:szCs w:val="24"/>
        </w:rPr>
        <w:t>招标人：</w:t>
      </w:r>
      <w:r>
        <w:rPr>
          <w:rFonts w:hint="eastAsia" w:ascii="宋体" w:hAnsi="宋体" w:cs="宋体"/>
          <w:color w:val="000000"/>
          <w:kern w:val="0"/>
          <w:sz w:val="24"/>
          <w:u w:val="single"/>
          <w:lang w:eastAsia="zh-CN" w:bidi="ar"/>
        </w:rPr>
        <w:t>广州开城新晟城市开发投资有限公司</w:t>
      </w:r>
    </w:p>
    <w:p w14:paraId="229A200B">
      <w:pPr>
        <w:widowControl/>
        <w:adjustRightInd w:val="0"/>
        <w:snapToGrid w:val="0"/>
        <w:spacing w:line="360" w:lineRule="auto"/>
        <w:ind w:firstLine="480" w:firstLineChars="200"/>
        <w:rPr>
          <w:rFonts w:hint="eastAsia" w:ascii="宋体" w:hAnsi="宋体" w:eastAsia="宋体" w:cs="宋体"/>
          <w:kern w:val="0"/>
          <w:sz w:val="24"/>
          <w:szCs w:val="24"/>
          <w:highlight w:val="none"/>
          <w:u w:val="single"/>
        </w:rPr>
      </w:pPr>
      <w:r>
        <w:rPr>
          <w:rFonts w:hint="eastAsia" w:ascii="宋体" w:hAnsi="宋体" w:eastAsia="宋体" w:cs="宋体"/>
          <w:kern w:val="0"/>
          <w:sz w:val="24"/>
          <w:szCs w:val="24"/>
        </w:rPr>
        <w:t>联系人：</w:t>
      </w:r>
      <w:r>
        <w:rPr>
          <w:rFonts w:hint="eastAsia" w:ascii="宋体" w:hAnsi="宋体" w:eastAsia="宋体" w:cs="宋体"/>
          <w:kern w:val="0"/>
          <w:sz w:val="24"/>
          <w:szCs w:val="24"/>
          <w:u w:val="single"/>
        </w:rPr>
        <w:t>张工、钟工</w:t>
      </w:r>
      <w:r>
        <w:rPr>
          <w:rFonts w:hint="eastAsia" w:ascii="宋体" w:hAnsi="宋体" w:eastAsia="宋体" w:cs="宋体"/>
          <w:kern w:val="0"/>
          <w:sz w:val="24"/>
          <w:szCs w:val="24"/>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联系电话：</w:t>
      </w:r>
      <w:r>
        <w:rPr>
          <w:rFonts w:hint="eastAsia" w:ascii="宋体" w:hAnsi="宋体" w:eastAsia="宋体" w:cs="宋体"/>
          <w:kern w:val="0"/>
          <w:sz w:val="24"/>
          <w:szCs w:val="24"/>
          <w:highlight w:val="none"/>
          <w:u w:val="single"/>
        </w:rPr>
        <w:t>020-31700409</w:t>
      </w:r>
    </w:p>
    <w:p w14:paraId="2F9F2179">
      <w:pPr>
        <w:widowControl/>
        <w:adjustRightInd w:val="0"/>
        <w:snapToGrid w:val="0"/>
        <w:spacing w:line="360" w:lineRule="auto"/>
        <w:ind w:firstLine="480" w:firstLineChars="200"/>
        <w:rPr>
          <w:rFonts w:hint="eastAsia" w:ascii="宋体" w:hAnsi="宋体" w:eastAsia="宋体" w:cs="宋体"/>
          <w:sz w:val="24"/>
          <w:szCs w:val="24"/>
          <w:highlight w:val="none"/>
          <w:u w:val="single"/>
        </w:rPr>
      </w:pPr>
      <w:r>
        <w:rPr>
          <w:rFonts w:hint="eastAsia" w:ascii="宋体" w:hAnsi="宋体" w:eastAsia="宋体" w:cs="宋体"/>
          <w:kern w:val="0"/>
          <w:sz w:val="24"/>
          <w:szCs w:val="24"/>
          <w:highlight w:val="none"/>
        </w:rPr>
        <w:t>地址：</w:t>
      </w:r>
      <w:r>
        <w:rPr>
          <w:rFonts w:hint="eastAsia" w:ascii="宋体" w:hAnsi="宋体" w:cs="宋体"/>
          <w:color w:val="000000"/>
          <w:kern w:val="0"/>
          <w:sz w:val="24"/>
          <w:highlight w:val="none"/>
          <w:u w:val="single"/>
          <w:lang w:bidi="ar"/>
        </w:rPr>
        <w:t>广州市黄埔区知凤街9号知识大厦7楼01-06室</w:t>
      </w:r>
    </w:p>
    <w:p w14:paraId="309164F7">
      <w:pPr>
        <w:widowControl/>
        <w:adjustRightInd w:val="0"/>
        <w:snapToGrid w:val="0"/>
        <w:spacing w:line="400" w:lineRule="exact"/>
        <w:jc w:val="left"/>
        <w:rPr>
          <w:rFonts w:hint="eastAsia" w:ascii="宋体" w:hAnsi="宋体" w:eastAsia="宋体" w:cs="宋体"/>
          <w:kern w:val="0"/>
          <w:sz w:val="24"/>
          <w:szCs w:val="24"/>
        </w:rPr>
      </w:pPr>
    </w:p>
    <w:p w14:paraId="7FA54E21">
      <w:pPr>
        <w:widowControl/>
        <w:adjustRightInd w:val="0"/>
        <w:snapToGrid w:val="0"/>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rPr>
        <w:t>招标代理机构：</w:t>
      </w:r>
      <w:r>
        <w:rPr>
          <w:rFonts w:hint="eastAsia" w:ascii="宋体" w:hAnsi="宋体" w:cs="宋体"/>
          <w:sz w:val="24"/>
          <w:u w:val="single"/>
          <w:lang w:val="en-US" w:eastAsia="zh-CN"/>
        </w:rPr>
        <w:t>广州珠江监理咨询集团有限公司</w:t>
      </w:r>
    </w:p>
    <w:p w14:paraId="0E88BEB9">
      <w:pPr>
        <w:widowControl/>
        <w:adjustRightInd w:val="0"/>
        <w:snapToGrid w:val="0"/>
        <w:spacing w:line="360" w:lineRule="auto"/>
        <w:ind w:firstLine="480" w:firstLineChars="200"/>
        <w:rPr>
          <w:rFonts w:hint="eastAsia" w:ascii="宋体" w:hAnsi="宋体" w:eastAsia="宋体" w:cs="宋体"/>
          <w:kern w:val="0"/>
          <w:sz w:val="24"/>
          <w:szCs w:val="24"/>
          <w:u w:val="single"/>
        </w:rPr>
      </w:pPr>
      <w:r>
        <w:rPr>
          <w:rFonts w:hint="eastAsia" w:ascii="宋体" w:hAnsi="宋体" w:eastAsia="宋体" w:cs="宋体"/>
          <w:kern w:val="0"/>
          <w:sz w:val="24"/>
          <w:szCs w:val="24"/>
        </w:rPr>
        <w:t>联系人：</w:t>
      </w:r>
      <w:r>
        <w:rPr>
          <w:rFonts w:hint="eastAsia" w:ascii="宋体" w:hAnsi="宋体" w:cs="宋体"/>
          <w:sz w:val="24"/>
          <w:u w:val="single"/>
          <w:lang w:val="en-US" w:eastAsia="zh-CN"/>
        </w:rPr>
        <w:t>李</w:t>
      </w:r>
      <w:r>
        <w:rPr>
          <w:rFonts w:hint="eastAsia" w:ascii="宋体" w:hAnsi="宋体" w:cs="宋体"/>
          <w:sz w:val="24"/>
          <w:u w:val="single"/>
        </w:rPr>
        <w:t>工、</w:t>
      </w:r>
      <w:r>
        <w:rPr>
          <w:rFonts w:hint="eastAsia" w:ascii="宋体" w:hAnsi="宋体" w:cs="宋体"/>
          <w:sz w:val="24"/>
          <w:u w:val="single"/>
          <w:lang w:val="en-US" w:eastAsia="zh-CN"/>
        </w:rPr>
        <w:t>陈</w:t>
      </w:r>
      <w:r>
        <w:rPr>
          <w:rFonts w:hint="eastAsia" w:ascii="宋体" w:hAnsi="宋体" w:cs="宋体"/>
          <w:sz w:val="24"/>
          <w:u w:val="single"/>
        </w:rPr>
        <w:t>工</w:t>
      </w:r>
      <w:r>
        <w:rPr>
          <w:rFonts w:hint="eastAsia" w:ascii="宋体" w:hAnsi="宋体" w:eastAsia="宋体" w:cs="宋体"/>
          <w:kern w:val="0"/>
          <w:sz w:val="24"/>
          <w:szCs w:val="24"/>
        </w:rPr>
        <w:t xml:space="preserve">     联系电话：</w:t>
      </w:r>
      <w:r>
        <w:rPr>
          <w:rFonts w:hint="eastAsia" w:ascii="宋体" w:hAnsi="宋体" w:cs="宋体"/>
          <w:bCs/>
          <w:sz w:val="24"/>
          <w:szCs w:val="24"/>
          <w:highlight w:val="none"/>
          <w:u w:val="single"/>
        </w:rPr>
        <w:t>020-83492175</w:t>
      </w:r>
    </w:p>
    <w:p w14:paraId="47C923DD">
      <w:pPr>
        <w:widowControl/>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地址</w:t>
      </w:r>
      <w:r>
        <w:rPr>
          <w:rFonts w:hint="eastAsia" w:ascii="宋体" w:hAnsi="宋体" w:eastAsia="宋体" w:cs="宋体"/>
          <w:sz w:val="24"/>
          <w:szCs w:val="24"/>
        </w:rPr>
        <w:t>：</w:t>
      </w:r>
      <w:r>
        <w:rPr>
          <w:rFonts w:hint="eastAsia" w:ascii="宋体" w:hAnsi="宋体" w:cs="宋体"/>
          <w:sz w:val="24"/>
          <w:szCs w:val="24"/>
          <w:highlight w:val="none"/>
          <w:u w:val="single"/>
        </w:rPr>
        <w:t>广州市越秀区永泰路50号101房</w:t>
      </w:r>
    </w:p>
    <w:p w14:paraId="4C638E47">
      <w:pPr>
        <w:rPr>
          <w:rFonts w:hint="eastAsia" w:ascii="宋体" w:hAnsi="宋体" w:eastAsia="宋体" w:cs="宋体"/>
          <w:szCs w:val="21"/>
        </w:rPr>
      </w:pPr>
    </w:p>
    <w:p w14:paraId="55118A68">
      <w:pPr>
        <w:widowControl/>
        <w:adjustRightInd w:val="0"/>
        <w:snapToGrid w:val="0"/>
        <w:spacing w:line="360" w:lineRule="auto"/>
        <w:ind w:firstLine="480" w:firstLineChars="200"/>
        <w:rPr>
          <w:rFonts w:hint="eastAsia" w:ascii="宋体" w:hAnsi="宋体" w:cs="宋体" w:eastAsiaTheme="minorEastAsia"/>
          <w:kern w:val="0"/>
          <w:sz w:val="24"/>
          <w:szCs w:val="24"/>
          <w:u w:val="single"/>
          <w:lang w:eastAsia="zh-CN"/>
        </w:rPr>
      </w:pPr>
      <w:r>
        <w:rPr>
          <w:rFonts w:hint="eastAsia" w:ascii="宋体" w:hAnsi="宋体" w:eastAsia="宋体" w:cs="宋体"/>
          <w:kern w:val="0"/>
          <w:sz w:val="24"/>
          <w:szCs w:val="24"/>
        </w:rPr>
        <w:t>招标监督机构：</w:t>
      </w:r>
      <w:r>
        <w:rPr>
          <w:rFonts w:hint="eastAsia" w:ascii="宋体" w:hAnsi="宋体" w:cs="宋体"/>
          <w:color w:val="000000"/>
          <w:kern w:val="0"/>
          <w:sz w:val="24"/>
          <w:u w:val="single"/>
          <w:lang w:eastAsia="zh-CN" w:bidi="ar"/>
        </w:rPr>
        <w:t>广州开城新晟城市开发投资有限公司</w:t>
      </w:r>
    </w:p>
    <w:p w14:paraId="331EC852">
      <w:pPr>
        <w:widowControl/>
        <w:adjustRightInd w:val="0"/>
        <w:snapToGrid w:val="0"/>
        <w:spacing w:line="360" w:lineRule="auto"/>
        <w:ind w:firstLine="480" w:firstLineChars="200"/>
        <w:rPr>
          <w:rFonts w:hint="eastAsia" w:ascii="宋体" w:hAnsi="宋体" w:eastAsia="宋体" w:cs="宋体"/>
          <w:kern w:val="0"/>
          <w:sz w:val="24"/>
          <w:szCs w:val="24"/>
          <w:highlight w:val="none"/>
        </w:rPr>
      </w:pPr>
      <w:r>
        <w:rPr>
          <w:rFonts w:hint="eastAsia" w:ascii="宋体" w:hAnsi="宋体" w:eastAsia="宋体" w:cs="宋体"/>
          <w:kern w:val="0"/>
          <w:sz w:val="24"/>
          <w:szCs w:val="24"/>
        </w:rPr>
        <w:t>监管电话：</w:t>
      </w:r>
      <w:r>
        <w:rPr>
          <w:rFonts w:hint="eastAsia" w:ascii="宋体" w:hAnsi="宋体" w:eastAsia="宋体" w:cs="宋体"/>
          <w:kern w:val="0"/>
          <w:sz w:val="24"/>
          <w:szCs w:val="24"/>
          <w:highlight w:val="none"/>
          <w:u w:val="single"/>
        </w:rPr>
        <w:t>020-31700409</w:t>
      </w:r>
    </w:p>
    <w:p w14:paraId="3EF9793D">
      <w:pPr>
        <w:widowControl/>
        <w:adjustRightInd w:val="0"/>
        <w:snapToGrid w:val="0"/>
        <w:spacing w:line="360" w:lineRule="auto"/>
        <w:ind w:firstLine="480" w:firstLineChars="200"/>
        <w:rPr>
          <w:rFonts w:hint="eastAsia" w:ascii="宋体" w:hAnsi="宋体" w:cs="宋体"/>
          <w:color w:val="000000"/>
          <w:kern w:val="0"/>
          <w:sz w:val="24"/>
          <w:highlight w:val="none"/>
          <w:u w:val="single"/>
          <w:lang w:bidi="ar"/>
        </w:rPr>
      </w:pPr>
      <w:r>
        <w:rPr>
          <w:rFonts w:hint="eastAsia" w:ascii="宋体" w:hAnsi="宋体" w:eastAsia="宋体" w:cs="宋体"/>
          <w:kern w:val="0"/>
          <w:sz w:val="24"/>
          <w:szCs w:val="24"/>
          <w:highlight w:val="none"/>
        </w:rPr>
        <w:t>地    址：</w:t>
      </w:r>
      <w:r>
        <w:rPr>
          <w:rFonts w:hint="eastAsia" w:ascii="宋体" w:hAnsi="宋体" w:cs="宋体"/>
          <w:color w:val="000000"/>
          <w:kern w:val="0"/>
          <w:sz w:val="24"/>
          <w:highlight w:val="none"/>
          <w:u w:val="single"/>
          <w:lang w:bidi="ar"/>
        </w:rPr>
        <w:t>广州市黄埔区知凤街9号知识大厦7楼01-06室</w:t>
      </w:r>
    </w:p>
    <w:p w14:paraId="57996E6E">
      <w:pPr>
        <w:pStyle w:val="2"/>
        <w:rPr>
          <w:rFonts w:hint="eastAsia"/>
        </w:rPr>
      </w:pPr>
    </w:p>
    <w:p w14:paraId="3A3DCA40">
      <w:pPr>
        <w:shd w:val="clear" w:color="auto" w:fill="FFFFFF"/>
        <w:adjustRightInd w:val="0"/>
        <w:snapToGrid w:val="0"/>
        <w:spacing w:line="480" w:lineRule="auto"/>
        <w:ind w:firstLine="480" w:firstLineChars="200"/>
        <w:jc w:val="right"/>
        <w:rPr>
          <w:rFonts w:hint="eastAsia" w:ascii="宋体" w:hAnsi="宋体" w:cs="宋体" w:eastAsiaTheme="minorEastAsia"/>
          <w:sz w:val="24"/>
          <w:szCs w:val="24"/>
          <w:u w:val="single"/>
          <w:shd w:val="clear" w:color="auto" w:fill="FFFFFF"/>
          <w:lang w:eastAsia="zh-CN"/>
        </w:rPr>
      </w:pPr>
      <w:r>
        <w:rPr>
          <w:rFonts w:hint="eastAsia" w:ascii="宋体" w:hAnsi="宋体" w:cs="宋体"/>
          <w:sz w:val="24"/>
          <w:szCs w:val="24"/>
          <w:shd w:val="clear" w:color="auto" w:fill="FFFFFF"/>
        </w:rPr>
        <w:t>招标人：</w:t>
      </w:r>
      <w:r>
        <w:rPr>
          <w:rFonts w:hint="eastAsia" w:ascii="宋体" w:hAnsi="宋体" w:cs="宋体"/>
          <w:color w:val="000000"/>
          <w:kern w:val="0"/>
          <w:sz w:val="24"/>
          <w:u w:val="single"/>
          <w:lang w:eastAsia="zh-CN" w:bidi="ar"/>
        </w:rPr>
        <w:t>广州开城新晟城市开发投资有限公司</w:t>
      </w:r>
    </w:p>
    <w:p w14:paraId="57D37179">
      <w:pPr>
        <w:shd w:val="clear" w:color="auto" w:fill="FFFFFF"/>
        <w:adjustRightInd w:val="0"/>
        <w:snapToGrid w:val="0"/>
        <w:spacing w:line="480" w:lineRule="auto"/>
        <w:ind w:firstLine="480" w:firstLineChars="200"/>
        <w:jc w:val="right"/>
        <w:rPr>
          <w:rFonts w:hint="eastAsia" w:ascii="宋体" w:hAnsi="宋体" w:cs="宋体"/>
          <w:sz w:val="24"/>
          <w:u w:val="single"/>
          <w:lang w:val="en-US" w:eastAsia="zh-CN"/>
        </w:rPr>
      </w:pPr>
      <w:r>
        <w:rPr>
          <w:rFonts w:hint="eastAsia" w:ascii="宋体" w:hAnsi="宋体" w:cs="宋体"/>
          <w:sz w:val="24"/>
          <w:szCs w:val="24"/>
          <w:shd w:val="clear" w:color="auto" w:fill="FFFFFF"/>
        </w:rPr>
        <w:t>招标代理机构：</w:t>
      </w:r>
      <w:r>
        <w:rPr>
          <w:rFonts w:hint="eastAsia" w:ascii="宋体" w:hAnsi="宋体" w:cs="宋体"/>
          <w:sz w:val="24"/>
          <w:u w:val="single"/>
          <w:lang w:val="en-US" w:eastAsia="zh-CN"/>
        </w:rPr>
        <w:t>广州珠江监理咨询集团有限公司</w:t>
      </w:r>
    </w:p>
    <w:p w14:paraId="718F79A8">
      <w:pPr>
        <w:shd w:val="clear" w:color="auto" w:fill="FFFFFF"/>
        <w:wordWrap/>
        <w:adjustRightInd w:val="0"/>
        <w:snapToGrid w:val="0"/>
        <w:spacing w:line="480" w:lineRule="auto"/>
        <w:ind w:firstLine="480" w:firstLineChars="200"/>
        <w:jc w:val="right"/>
        <w:rPr>
          <w:rFonts w:hint="eastAsia" w:ascii="宋体" w:hAnsi="宋体" w:cs="宋体"/>
          <w:sz w:val="24"/>
          <w:szCs w:val="24"/>
          <w:u w:val="single"/>
          <w:shd w:val="clear" w:color="auto" w:fill="FFFFFF"/>
        </w:rPr>
        <w:sectPr>
          <w:footerReference r:id="rId4" w:type="first"/>
          <w:footerReference r:id="rId3" w:type="default"/>
          <w:pgSz w:w="11907" w:h="16839"/>
          <w:pgMar w:top="1797" w:right="1588" w:bottom="1304" w:left="1588" w:header="0" w:footer="567" w:gutter="0"/>
          <w:pgNumType w:start="1"/>
          <w:cols w:space="720" w:num="1"/>
          <w:titlePg/>
          <w:docGrid w:linePitch="360" w:charSpace="0"/>
        </w:sectPr>
      </w:pPr>
      <w:r>
        <w:rPr>
          <w:rFonts w:hint="eastAsia" w:ascii="宋体" w:hAnsi="宋体" w:cs="宋体"/>
          <w:sz w:val="24"/>
          <w:szCs w:val="24"/>
          <w:u w:val="single"/>
          <w:shd w:val="clear" w:color="auto" w:fill="FFFFFF"/>
        </w:rPr>
        <w:t>202</w:t>
      </w:r>
      <w:r>
        <w:rPr>
          <w:rFonts w:hint="eastAsia" w:ascii="宋体" w:hAnsi="宋体" w:cs="宋体"/>
          <w:sz w:val="24"/>
          <w:szCs w:val="24"/>
          <w:u w:val="single"/>
          <w:shd w:val="clear" w:color="auto" w:fill="FFFFFF"/>
          <w:lang w:val="en-US" w:eastAsia="zh-CN"/>
        </w:rPr>
        <w:t>5</w:t>
      </w:r>
      <w:r>
        <w:rPr>
          <w:rFonts w:hint="eastAsia" w:ascii="宋体" w:hAnsi="宋体" w:cs="宋体"/>
          <w:sz w:val="24"/>
          <w:szCs w:val="24"/>
          <w:shd w:val="clear" w:color="auto" w:fill="FFFFFF"/>
        </w:rPr>
        <w:t>年</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shd w:val="clear" w:color="auto" w:fill="FFFFFF"/>
        </w:rPr>
        <w:t>月</w:t>
      </w:r>
      <w:r>
        <w:rPr>
          <w:rFonts w:hint="eastAsia" w:ascii="宋体" w:hAnsi="宋体" w:cs="宋体"/>
          <w:sz w:val="24"/>
          <w:szCs w:val="24"/>
          <w:u w:val="single"/>
          <w:shd w:val="clear" w:color="auto" w:fill="FFFFFF"/>
          <w:lang w:val="en-US" w:eastAsia="zh-CN"/>
        </w:rPr>
        <w:t xml:space="preserve">   </w:t>
      </w:r>
      <w:r>
        <w:rPr>
          <w:rFonts w:hint="eastAsia" w:ascii="宋体" w:hAnsi="宋体" w:cs="宋体"/>
          <w:sz w:val="24"/>
          <w:szCs w:val="24"/>
          <w:shd w:val="clear" w:color="auto" w:fill="FFFFFF"/>
        </w:rPr>
        <w:t>日</w:t>
      </w:r>
    </w:p>
    <w:p w14:paraId="09DAE24F">
      <w:pPr>
        <w:shd w:val="clear" w:color="auto" w:fill="FFFFFF"/>
        <w:topLinePunct/>
        <w:snapToGrid w:val="0"/>
        <w:spacing w:line="360" w:lineRule="auto"/>
        <w:rPr>
          <w:rFonts w:hint="eastAsia" w:ascii="宋体" w:hAnsi="宋体" w:eastAsia="宋体" w:cs="宋体"/>
          <w:kern w:val="0"/>
          <w:sz w:val="24"/>
          <w:szCs w:val="24"/>
          <w:shd w:val="clear" w:color="auto" w:fill="FFFFFF"/>
        </w:rPr>
      </w:pPr>
      <w:r>
        <w:rPr>
          <w:rFonts w:hint="eastAsia" w:ascii="宋体" w:hAnsi="宋体" w:eastAsia="宋体" w:cs="宋体"/>
          <w:kern w:val="0"/>
          <w:sz w:val="24"/>
          <w:szCs w:val="24"/>
          <w:shd w:val="clear" w:color="auto" w:fill="FFFFFF"/>
        </w:rPr>
        <w:t>附件一：</w:t>
      </w:r>
    </w:p>
    <w:p w14:paraId="56F83A6A">
      <w:pPr>
        <w:spacing w:line="500" w:lineRule="exact"/>
        <w:jc w:val="center"/>
        <w:rPr>
          <w:rFonts w:hint="eastAsia" w:ascii="宋体" w:hAnsi="宋体" w:eastAsia="宋体" w:cs="宋体"/>
          <w:b/>
          <w:sz w:val="44"/>
          <w:szCs w:val="44"/>
        </w:rPr>
      </w:pPr>
      <w:r>
        <w:rPr>
          <w:rFonts w:hint="eastAsia" w:ascii="宋体" w:hAnsi="宋体" w:eastAsia="宋体" w:cs="宋体"/>
          <w:b/>
          <w:kern w:val="0"/>
          <w:sz w:val="44"/>
          <w:szCs w:val="44"/>
        </w:rPr>
        <w:t>投标人</w:t>
      </w:r>
      <w:r>
        <w:rPr>
          <w:rFonts w:hint="eastAsia" w:ascii="宋体" w:hAnsi="宋体" w:eastAsia="宋体" w:cs="宋体"/>
          <w:b/>
          <w:sz w:val="44"/>
          <w:szCs w:val="44"/>
        </w:rPr>
        <w:t>声明</w:t>
      </w:r>
    </w:p>
    <w:p w14:paraId="49AB9C18">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kern w:val="0"/>
          <w:sz w:val="24"/>
          <w:szCs w:val="24"/>
        </w:rPr>
      </w:pPr>
    </w:p>
    <w:p w14:paraId="6F6A831E">
      <w:pPr>
        <w:keepNext w:val="0"/>
        <w:keepLines w:val="0"/>
        <w:pageBreakBefore w:val="0"/>
        <w:widowControl/>
        <w:kinsoku/>
        <w:wordWrap/>
        <w:overflowPunct/>
        <w:topLinePunct w:val="0"/>
        <w:autoSpaceDE/>
        <w:autoSpaceDN/>
        <w:bidi w:val="0"/>
        <w:adjustRightInd/>
        <w:snapToGrid/>
        <w:spacing w:line="300" w:lineRule="auto"/>
        <w:textAlignment w:val="auto"/>
        <w:rPr>
          <w:rFonts w:hint="eastAsia" w:ascii="宋体" w:hAnsi="宋体" w:eastAsia="宋体" w:cs="宋体"/>
          <w:kern w:val="0"/>
          <w:sz w:val="24"/>
          <w:szCs w:val="24"/>
        </w:rPr>
      </w:pPr>
      <w:r>
        <w:rPr>
          <w:rFonts w:hint="eastAsia" w:ascii="宋体" w:hAnsi="宋体" w:eastAsia="宋体" w:cs="宋体"/>
          <w:kern w:val="0"/>
          <w:sz w:val="24"/>
          <w:szCs w:val="24"/>
        </w:rPr>
        <w:t>本招标项目招标人及招标监管机构：</w:t>
      </w:r>
    </w:p>
    <w:p w14:paraId="31E3987E">
      <w:pPr>
        <w:pStyle w:val="18"/>
        <w:keepNext w:val="0"/>
        <w:keepLines w:val="0"/>
        <w:pageBreakBefore w:val="0"/>
        <w:widowControl/>
        <w:kinsoku/>
        <w:wordWrap/>
        <w:overflowPunct/>
        <w:topLinePunct w:val="0"/>
        <w:autoSpaceDE/>
        <w:autoSpaceDN/>
        <w:bidi w:val="0"/>
        <w:adjustRightInd/>
        <w:snapToGrid/>
        <w:spacing w:line="300" w:lineRule="auto"/>
        <w:ind w:firstLine="480" w:firstLineChars="200"/>
        <w:contextualSpacing/>
        <w:textAlignment w:val="auto"/>
        <w:rPr>
          <w:rFonts w:ascii="宋体" w:hAnsi="宋体" w:eastAsia="宋体" w:cs="宋体"/>
          <w:color w:val="auto"/>
          <w:sz w:val="24"/>
          <w:szCs w:val="24"/>
        </w:rPr>
      </w:pPr>
      <w:r>
        <w:rPr>
          <w:rFonts w:ascii="宋体" w:hAnsi="宋体" w:eastAsia="宋体" w:cs="宋体"/>
          <w:color w:val="auto"/>
          <w:sz w:val="24"/>
          <w:szCs w:val="24"/>
        </w:rPr>
        <w:t>本公司就参加</w:t>
      </w:r>
      <w:r>
        <w:rPr>
          <w:rFonts w:ascii="宋体" w:hAnsi="宋体" w:eastAsia="宋体" w:cs="宋体"/>
          <w:color w:val="auto"/>
          <w:sz w:val="24"/>
          <w:szCs w:val="24"/>
          <w:u w:val="single"/>
        </w:rPr>
        <w:t xml:space="preserve"> （项目名称） </w:t>
      </w:r>
      <w:r>
        <w:rPr>
          <w:rFonts w:ascii="宋体" w:hAnsi="宋体" w:eastAsia="宋体" w:cs="宋体"/>
          <w:color w:val="auto"/>
          <w:sz w:val="24"/>
          <w:szCs w:val="24"/>
        </w:rPr>
        <w:t>项目投标工作，作出郑重声明：</w:t>
      </w:r>
    </w:p>
    <w:p w14:paraId="15FCF55E">
      <w:pPr>
        <w:pStyle w:val="18"/>
        <w:keepNext w:val="0"/>
        <w:keepLines w:val="0"/>
        <w:pageBreakBefore w:val="0"/>
        <w:widowControl/>
        <w:kinsoku/>
        <w:wordWrap/>
        <w:overflowPunct/>
        <w:topLinePunct w:val="0"/>
        <w:autoSpaceDE/>
        <w:autoSpaceDN/>
        <w:bidi w:val="0"/>
        <w:adjustRightInd/>
        <w:snapToGrid/>
        <w:spacing w:line="300" w:lineRule="auto"/>
        <w:ind w:firstLine="480" w:firstLineChars="200"/>
        <w:contextualSpacing/>
        <w:textAlignment w:val="auto"/>
        <w:rPr>
          <w:rFonts w:ascii="宋体" w:hAnsi="宋体" w:eastAsia="宋体" w:cs="宋体"/>
          <w:color w:val="auto"/>
          <w:sz w:val="24"/>
          <w:szCs w:val="24"/>
        </w:rPr>
      </w:pPr>
      <w:r>
        <w:rPr>
          <w:rFonts w:ascii="宋体" w:hAnsi="宋体" w:eastAsia="宋体" w:cs="宋体"/>
          <w:color w:val="auto"/>
          <w:sz w:val="24"/>
          <w:szCs w:val="24"/>
        </w:rPr>
        <w:t>一、本公司保证投标文件及其后提供的一切材料都是真实的。如我司成为本项目中标候选人，我司同意并授权招标人将我司投标文件商务部分的人员、业绩、奖项等资料进行公开。</w:t>
      </w:r>
    </w:p>
    <w:p w14:paraId="2EA3FB79">
      <w:pPr>
        <w:pStyle w:val="18"/>
        <w:keepNext w:val="0"/>
        <w:keepLines w:val="0"/>
        <w:pageBreakBefore w:val="0"/>
        <w:widowControl/>
        <w:kinsoku/>
        <w:wordWrap/>
        <w:overflowPunct/>
        <w:topLinePunct w:val="0"/>
        <w:autoSpaceDE/>
        <w:autoSpaceDN/>
        <w:bidi w:val="0"/>
        <w:adjustRightInd/>
        <w:snapToGrid/>
        <w:spacing w:line="300" w:lineRule="auto"/>
        <w:ind w:firstLine="480" w:firstLineChars="200"/>
        <w:contextualSpacing/>
        <w:textAlignment w:val="auto"/>
        <w:rPr>
          <w:rFonts w:ascii="宋体" w:hAnsi="宋体" w:eastAsia="宋体" w:cs="宋体"/>
          <w:color w:val="auto"/>
          <w:sz w:val="24"/>
          <w:szCs w:val="24"/>
        </w:rPr>
      </w:pPr>
      <w:r>
        <w:rPr>
          <w:rFonts w:ascii="宋体" w:hAnsi="宋体" w:eastAsia="宋体" w:cs="宋体"/>
          <w:color w:val="auto"/>
          <w:sz w:val="24"/>
          <w:szCs w:val="24"/>
        </w:rPr>
        <w:t>二、本公司承诺遵循公平、公正、公开、诚实信用原则，在本项目投标中诚信投标，在本项目投标中不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821BDE5">
      <w:pPr>
        <w:pStyle w:val="18"/>
        <w:keepNext w:val="0"/>
        <w:keepLines w:val="0"/>
        <w:pageBreakBefore w:val="0"/>
        <w:widowControl/>
        <w:kinsoku/>
        <w:wordWrap/>
        <w:overflowPunct/>
        <w:topLinePunct w:val="0"/>
        <w:autoSpaceDE/>
        <w:autoSpaceDN/>
        <w:bidi w:val="0"/>
        <w:adjustRightInd/>
        <w:snapToGrid/>
        <w:spacing w:line="300" w:lineRule="auto"/>
        <w:ind w:firstLine="480" w:firstLineChars="200"/>
        <w:contextualSpacing/>
        <w:textAlignment w:val="auto"/>
        <w:rPr>
          <w:rFonts w:ascii="宋体" w:hAnsi="宋体" w:eastAsia="宋体" w:cs="宋体"/>
          <w:color w:val="auto"/>
          <w:sz w:val="24"/>
          <w:szCs w:val="24"/>
        </w:rPr>
      </w:pPr>
      <w:r>
        <w:rPr>
          <w:rFonts w:ascii="宋体" w:hAnsi="宋体" w:eastAsia="宋体" w:cs="宋体"/>
          <w:color w:val="auto"/>
          <w:sz w:val="24"/>
          <w:szCs w:val="24"/>
        </w:rPr>
        <w:t>三、本公司不存在招标文件第二章投标人须知第1.4.3项所规定的任何一种情形。</w:t>
      </w:r>
    </w:p>
    <w:p w14:paraId="5D22E512">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kern w:val="0"/>
          <w:sz w:val="24"/>
          <w:szCs w:val="24"/>
        </w:rPr>
      </w:pPr>
      <w:r>
        <w:rPr>
          <w:rFonts w:hint="eastAsia" w:ascii="宋体" w:hAnsi="宋体" w:eastAsia="宋体" w:cs="宋体"/>
          <w:sz w:val="24"/>
          <w:szCs w:val="24"/>
        </w:rPr>
        <w:t>四、本公司及其有隶属关系的机构，没有参加本项目招标文件的编写工作。</w:t>
      </w:r>
      <w:r>
        <w:rPr>
          <w:rFonts w:hint="eastAsia" w:ascii="宋体" w:hAnsi="宋体" w:cs="宋体"/>
          <w:kern w:val="0"/>
          <w:sz w:val="24"/>
          <w:szCs w:val="24"/>
        </w:rPr>
        <w:t>本公司与本次招标的招标代理机构没有隶属关系或其他利害关系。</w:t>
      </w:r>
    </w:p>
    <w:p w14:paraId="1F8FE493">
      <w:pPr>
        <w:pStyle w:val="18"/>
        <w:keepNext w:val="0"/>
        <w:keepLines w:val="0"/>
        <w:pageBreakBefore w:val="0"/>
        <w:widowControl/>
        <w:numPr>
          <w:ilvl w:val="0"/>
          <w:numId w:val="1"/>
        </w:numPr>
        <w:kinsoku/>
        <w:wordWrap/>
        <w:overflowPunct/>
        <w:topLinePunct w:val="0"/>
        <w:autoSpaceDE/>
        <w:autoSpaceDN/>
        <w:bidi w:val="0"/>
        <w:adjustRightInd/>
        <w:snapToGrid/>
        <w:spacing w:line="300" w:lineRule="auto"/>
        <w:ind w:firstLine="480" w:firstLineChars="200"/>
        <w:contextualSpacing/>
        <w:textAlignment w:val="auto"/>
        <w:rPr>
          <w:rFonts w:ascii="宋体" w:hAnsi="宋体" w:eastAsia="宋体" w:cs="宋体"/>
          <w:color w:val="auto"/>
          <w:sz w:val="24"/>
          <w:szCs w:val="24"/>
        </w:rPr>
      </w:pPr>
      <w:r>
        <w:rPr>
          <w:rFonts w:ascii="宋体" w:hAnsi="宋体" w:eastAsia="宋体" w:cs="宋体"/>
          <w:color w:val="auto"/>
          <w:sz w:val="24"/>
          <w:szCs w:val="24"/>
        </w:rPr>
        <w:t>本公司承诺，中标后严格执行安全生产相关管理规定。</w:t>
      </w:r>
    </w:p>
    <w:p w14:paraId="7C78E9FC">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六、与本公司单位负责人为同一人或者与本公司存在控股、管理关系的其他单位包括：</w:t>
      </w:r>
      <w:r>
        <w:rPr>
          <w:rFonts w:hint="eastAsia" w:ascii="宋体" w:hAnsi="宋体" w:cs="宋体"/>
          <w:kern w:val="0"/>
          <w:sz w:val="24"/>
          <w:szCs w:val="24"/>
          <w:u w:val="single"/>
        </w:rPr>
        <w:t xml:space="preserve">         </w:t>
      </w:r>
      <w:r>
        <w:rPr>
          <w:rFonts w:hint="eastAsia" w:ascii="宋体" w:hAnsi="宋体" w:cs="宋体"/>
          <w:kern w:val="0"/>
          <w:sz w:val="24"/>
          <w:szCs w:val="24"/>
        </w:rPr>
        <w:t>。（注：本条由投标人如实填写，如有，应列出全部满足招标公告资质要求的相关单位的名称；如无，则填写“无”。）</w:t>
      </w:r>
    </w:p>
    <w:p w14:paraId="45B56A2C">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七、本公司承诺，中标后将按招标人要求，积极响应广州市关于投身“百千万工程”的号召，主动参与建筑业结对帮扶。</w:t>
      </w:r>
    </w:p>
    <w:p w14:paraId="5BB6FD1D">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八、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1619274A">
      <w:pPr>
        <w:keepNext w:val="0"/>
        <w:keepLines w:val="0"/>
        <w:pageBreakBefore w:val="0"/>
        <w:kinsoku/>
        <w:wordWrap/>
        <w:overflowPunct/>
        <w:topLinePunct w:val="0"/>
        <w:autoSpaceDE/>
        <w:autoSpaceDN/>
        <w:bidi w:val="0"/>
        <w:adjustRightInd/>
        <w:snapToGrid/>
        <w:spacing w:line="30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本公司违反上述承诺，或本声明陈述与事实不符，经查实，本公司愿意接受公开通报，愿意按照《广州市建筑市场信用管理办法》（穗建规字﹝2019﹞16号）的规定被记录为失信信息，承担由此带来的一切后果，并自愿停止参加广州市行政辖区内的招标投标活动三个月。</w:t>
      </w:r>
    </w:p>
    <w:p w14:paraId="5E050EFC">
      <w:pPr>
        <w:keepNext w:val="0"/>
        <w:keepLines w:val="0"/>
        <w:pageBreakBefore w:val="0"/>
        <w:widowControl/>
        <w:shd w:val="clear" w:color="auto" w:fill="FFFFFF"/>
        <w:kinsoku/>
        <w:wordWrap/>
        <w:overflowPunct/>
        <w:topLinePunct w:val="0"/>
        <w:autoSpaceDE/>
        <w:autoSpaceDN/>
        <w:bidi w:val="0"/>
        <w:adjustRightInd/>
        <w:snapToGrid/>
        <w:spacing w:line="300" w:lineRule="auto"/>
        <w:ind w:firstLine="480" w:firstLineChars="200"/>
        <w:textAlignment w:val="auto"/>
        <w:rPr>
          <w:rFonts w:hint="eastAsia" w:ascii="宋体" w:hAnsi="宋体" w:cs="宋体"/>
          <w:kern w:val="0"/>
          <w:sz w:val="24"/>
          <w:szCs w:val="24"/>
        </w:rPr>
      </w:pPr>
      <w:r>
        <w:rPr>
          <w:rFonts w:hint="eastAsia" w:ascii="宋体" w:hAnsi="宋体" w:cs="宋体"/>
          <w:kern w:val="0"/>
          <w:sz w:val="24"/>
          <w:szCs w:val="24"/>
        </w:rPr>
        <w:t>特此声明。</w:t>
      </w:r>
    </w:p>
    <w:p w14:paraId="620E3951">
      <w:pPr>
        <w:pStyle w:val="18"/>
        <w:widowControl/>
        <w:ind w:firstLine="4320" w:firstLineChars="1800"/>
        <w:contextualSpacing/>
        <w:jc w:val="left"/>
        <w:rPr>
          <w:rFonts w:ascii="宋体" w:hAnsi="宋体" w:eastAsia="宋体" w:cs="宋体"/>
          <w:color w:val="auto"/>
          <w:sz w:val="24"/>
          <w:szCs w:val="24"/>
        </w:rPr>
      </w:pPr>
      <w:r>
        <w:rPr>
          <w:rFonts w:ascii="宋体" w:hAnsi="宋体" w:eastAsia="宋体" w:cs="宋体"/>
          <w:color w:val="auto"/>
          <w:sz w:val="24"/>
          <w:szCs w:val="24"/>
        </w:rPr>
        <w:t>声明企业：</w:t>
      </w:r>
    </w:p>
    <w:p w14:paraId="29733CB2">
      <w:pPr>
        <w:pStyle w:val="18"/>
        <w:widowControl/>
        <w:ind w:right="1458" w:firstLine="4320" w:firstLineChars="1800"/>
        <w:contextualSpacing/>
        <w:jc w:val="left"/>
        <w:rPr>
          <w:rFonts w:ascii="宋体" w:hAnsi="宋体" w:eastAsia="宋体" w:cs="宋体"/>
          <w:color w:val="auto"/>
          <w:sz w:val="24"/>
          <w:szCs w:val="24"/>
        </w:rPr>
      </w:pPr>
      <w:r>
        <w:rPr>
          <w:rFonts w:ascii="宋体" w:hAnsi="宋体" w:eastAsia="宋体" w:cs="宋体"/>
          <w:color w:val="auto"/>
          <w:kern w:val="2"/>
          <w:sz w:val="24"/>
          <w:szCs w:val="24"/>
        </w:rPr>
        <w:t>项目负责人（签字）：</w:t>
      </w:r>
    </w:p>
    <w:p w14:paraId="21B427DA">
      <w:pPr>
        <w:widowControl/>
        <w:adjustRightInd w:val="0"/>
        <w:snapToGrid w:val="0"/>
        <w:spacing w:line="400" w:lineRule="exact"/>
        <w:ind w:right="480" w:firstLine="4680" w:firstLineChars="1950"/>
        <w:rPr>
          <w:rFonts w:hint="eastAsia" w:ascii="宋体" w:hAnsi="宋体" w:eastAsia="宋体" w:cs="宋体"/>
          <w:sz w:val="24"/>
          <w:szCs w:val="24"/>
        </w:rPr>
      </w:pPr>
      <w:r>
        <w:rPr>
          <w:rFonts w:hint="eastAsia" w:ascii="宋体" w:hAnsi="宋体" w:eastAsia="宋体" w:cs="宋体"/>
          <w:sz w:val="24"/>
          <w:szCs w:val="24"/>
        </w:rPr>
        <w:t>年   月   日</w:t>
      </w:r>
    </w:p>
    <w:sectPr>
      <w:footerReference r:id="rId5" w:type="default"/>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5624C">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6C5FCC">
                          <w:pPr>
                            <w:pStyle w:val="9"/>
                            <w:jc w:val="center"/>
                          </w:pPr>
                          <w:r>
                            <w:fldChar w:fldCharType="begin"/>
                          </w:r>
                          <w:r>
                            <w:instrText xml:space="preserve"> PAGE   \* MERGEFORMAT </w:instrText>
                          </w:r>
                          <w:r>
                            <w:fldChar w:fldCharType="separate"/>
                          </w:r>
                          <w:r>
                            <w:rPr>
                              <w:lang w:val="zh-CN"/>
                            </w:rPr>
                            <w:t>5</w:t>
                          </w:r>
                          <w: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14:paraId="3C6C5FCC">
                    <w:pPr>
                      <w:pStyle w:val="9"/>
                      <w:jc w:val="center"/>
                    </w:pPr>
                    <w:r>
                      <w:fldChar w:fldCharType="begin"/>
                    </w:r>
                    <w:r>
                      <w:instrText xml:space="preserve"> PAGE   \* MERGEFORMAT </w:instrText>
                    </w:r>
                    <w:r>
                      <w:fldChar w:fldCharType="separate"/>
                    </w:r>
                    <w:r>
                      <w:rPr>
                        <w:lang w:val="zh-CN"/>
                      </w:rPr>
                      <w:t>5</w:t>
                    </w:r>
                    <w:r>
                      <w:fldChar w:fldCharType="end"/>
                    </w:r>
                  </w:p>
                </w:txbxContent>
              </v:textbox>
            </v:shape>
          </w:pict>
        </mc:Fallback>
      </mc:AlternateContent>
    </w:r>
  </w:p>
  <w:p w14:paraId="79372DA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B6BB7">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8FA3F4">
                          <w:pPr>
                            <w:pStyle w:val="9"/>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558FA3F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5C71D">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25A9904D">
                          <w:pPr>
                            <w:pStyle w:val="9"/>
                          </w:pPr>
                          <w:r>
                            <w:fldChar w:fldCharType="begin"/>
                          </w:r>
                          <w:r>
                            <w:instrText xml:space="preserve"> PAGE  \* MERGEFORMAT </w:instrText>
                          </w:r>
                          <w:r>
                            <w:fldChar w:fldCharType="separate"/>
                          </w:r>
                          <w:r>
                            <w:t>7</w:t>
                          </w:r>
                          <w: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s0lY7tAAAAAFAQAADwAAAAAAAAABACAAAAAiAAAAZHJzL2Rv&#10;d25yZXYueG1sUEsBAhQAFAAAAAgAh07iQL1fV2TQAQAAogMAAA4AAAAAAAAAAQAgAAAAHwEAAGRy&#10;cy9lMm9Eb2MueG1sUEsFBgAAAAAGAAYAWQEAAGEFAAAAAA==&#10;">
              <v:fill on="f" focussize="0,0"/>
              <v:stroke on="f" weight="0.5pt"/>
              <v:imagedata o:title=""/>
              <o:lock v:ext="edit" aspectratio="f"/>
              <v:textbox inset="0mm,0mm,0mm,0mm" style="mso-fit-shape-to-text:t;">
                <w:txbxContent>
                  <w:p w14:paraId="25A9904D">
                    <w:pPr>
                      <w:pStyle w:val="9"/>
                    </w:pPr>
                    <w:r>
                      <w:fldChar w:fldCharType="begin"/>
                    </w:r>
                    <w:r>
                      <w:instrText xml:space="preserve"> PAGE  \* MERGEFORMAT </w:instrText>
                    </w:r>
                    <w:r>
                      <w:fldChar w:fldCharType="separate"/>
                    </w:r>
                    <w:r>
                      <w:t>7</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516A87"/>
    <w:multiLevelType w:val="singleLevel"/>
    <w:tmpl w:val="38516A87"/>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lOThkZjJmNTI5NGQ3YTIyYTIzOWE1NTY2YzZiZDQifQ=="/>
  </w:docVars>
  <w:rsids>
    <w:rsidRoot w:val="4DAA56AA"/>
    <w:rsid w:val="000B29EC"/>
    <w:rsid w:val="00287722"/>
    <w:rsid w:val="003860D6"/>
    <w:rsid w:val="00414CE7"/>
    <w:rsid w:val="0056160F"/>
    <w:rsid w:val="00602514"/>
    <w:rsid w:val="006060ED"/>
    <w:rsid w:val="006F3D87"/>
    <w:rsid w:val="007B2F37"/>
    <w:rsid w:val="00807039"/>
    <w:rsid w:val="008C3FD0"/>
    <w:rsid w:val="009B290A"/>
    <w:rsid w:val="00A41150"/>
    <w:rsid w:val="00BE2309"/>
    <w:rsid w:val="00C94704"/>
    <w:rsid w:val="00CA6845"/>
    <w:rsid w:val="00CE5D0F"/>
    <w:rsid w:val="00E43821"/>
    <w:rsid w:val="00F64E01"/>
    <w:rsid w:val="00F85A2F"/>
    <w:rsid w:val="00FC3E1B"/>
    <w:rsid w:val="04281B49"/>
    <w:rsid w:val="049B394B"/>
    <w:rsid w:val="04F03181"/>
    <w:rsid w:val="050D4849"/>
    <w:rsid w:val="0534627A"/>
    <w:rsid w:val="05B44426"/>
    <w:rsid w:val="06023779"/>
    <w:rsid w:val="062A4C68"/>
    <w:rsid w:val="078F7797"/>
    <w:rsid w:val="07AF5C6B"/>
    <w:rsid w:val="07CD1026"/>
    <w:rsid w:val="07F3586E"/>
    <w:rsid w:val="08155A61"/>
    <w:rsid w:val="083D5445"/>
    <w:rsid w:val="0858402D"/>
    <w:rsid w:val="08DD4532"/>
    <w:rsid w:val="0A110C23"/>
    <w:rsid w:val="0A1F6A5C"/>
    <w:rsid w:val="0A286701"/>
    <w:rsid w:val="0A6B2EC4"/>
    <w:rsid w:val="0B00275A"/>
    <w:rsid w:val="0C460641"/>
    <w:rsid w:val="0C4B79FF"/>
    <w:rsid w:val="0C7C4F2F"/>
    <w:rsid w:val="0D696CDD"/>
    <w:rsid w:val="0D8F6672"/>
    <w:rsid w:val="0E5A49D0"/>
    <w:rsid w:val="0EEA79BB"/>
    <w:rsid w:val="0F1A64E0"/>
    <w:rsid w:val="0F56503F"/>
    <w:rsid w:val="0F853927"/>
    <w:rsid w:val="0F8971C2"/>
    <w:rsid w:val="0FC226D4"/>
    <w:rsid w:val="104770C4"/>
    <w:rsid w:val="105B7B75"/>
    <w:rsid w:val="10A36062"/>
    <w:rsid w:val="12154D3D"/>
    <w:rsid w:val="131E5E73"/>
    <w:rsid w:val="139E45B6"/>
    <w:rsid w:val="143771ED"/>
    <w:rsid w:val="15C93DA0"/>
    <w:rsid w:val="170E6A0F"/>
    <w:rsid w:val="1742711F"/>
    <w:rsid w:val="17C65B71"/>
    <w:rsid w:val="17D905BB"/>
    <w:rsid w:val="17F973DD"/>
    <w:rsid w:val="181D201E"/>
    <w:rsid w:val="18B90B19"/>
    <w:rsid w:val="199E7D08"/>
    <w:rsid w:val="19D17340"/>
    <w:rsid w:val="1A166EAE"/>
    <w:rsid w:val="1C850D11"/>
    <w:rsid w:val="1D1C1676"/>
    <w:rsid w:val="1EB1351B"/>
    <w:rsid w:val="1F9F1296"/>
    <w:rsid w:val="2095059B"/>
    <w:rsid w:val="21790A33"/>
    <w:rsid w:val="229D0F2E"/>
    <w:rsid w:val="23370A98"/>
    <w:rsid w:val="252E5396"/>
    <w:rsid w:val="268B33C8"/>
    <w:rsid w:val="26E23F34"/>
    <w:rsid w:val="275B2D9A"/>
    <w:rsid w:val="276F4634"/>
    <w:rsid w:val="282F1B60"/>
    <w:rsid w:val="286D4E6D"/>
    <w:rsid w:val="28A16ED3"/>
    <w:rsid w:val="28CF1C92"/>
    <w:rsid w:val="28E60D8A"/>
    <w:rsid w:val="290C4C94"/>
    <w:rsid w:val="299D077F"/>
    <w:rsid w:val="29C951FA"/>
    <w:rsid w:val="2A11549F"/>
    <w:rsid w:val="2A4A216F"/>
    <w:rsid w:val="2AB32EED"/>
    <w:rsid w:val="2B6C37C8"/>
    <w:rsid w:val="2BCA6741"/>
    <w:rsid w:val="2CE02197"/>
    <w:rsid w:val="2D2E6112"/>
    <w:rsid w:val="2DA41EE4"/>
    <w:rsid w:val="2DE61B7E"/>
    <w:rsid w:val="2E0A551A"/>
    <w:rsid w:val="2E51719C"/>
    <w:rsid w:val="2E6A3E61"/>
    <w:rsid w:val="2F1F0B51"/>
    <w:rsid w:val="2F7E4905"/>
    <w:rsid w:val="2FC31E25"/>
    <w:rsid w:val="30636F38"/>
    <w:rsid w:val="321B1AA4"/>
    <w:rsid w:val="32D0288E"/>
    <w:rsid w:val="339C0348"/>
    <w:rsid w:val="33B26454"/>
    <w:rsid w:val="33D66C7D"/>
    <w:rsid w:val="34012BC6"/>
    <w:rsid w:val="348605C2"/>
    <w:rsid w:val="3628422D"/>
    <w:rsid w:val="3748158D"/>
    <w:rsid w:val="39677CC5"/>
    <w:rsid w:val="399F120C"/>
    <w:rsid w:val="3B5D312D"/>
    <w:rsid w:val="3C1557B6"/>
    <w:rsid w:val="3C522566"/>
    <w:rsid w:val="3CDC705E"/>
    <w:rsid w:val="3D4225DB"/>
    <w:rsid w:val="3D6C58AA"/>
    <w:rsid w:val="3DF41747"/>
    <w:rsid w:val="3EA572C5"/>
    <w:rsid w:val="3EB568BF"/>
    <w:rsid w:val="3F375A43"/>
    <w:rsid w:val="400C47FE"/>
    <w:rsid w:val="40725DB0"/>
    <w:rsid w:val="40DA6AF6"/>
    <w:rsid w:val="41501BAF"/>
    <w:rsid w:val="415E375B"/>
    <w:rsid w:val="41B14661"/>
    <w:rsid w:val="41C23CEA"/>
    <w:rsid w:val="41DF22F7"/>
    <w:rsid w:val="42CE79AD"/>
    <w:rsid w:val="43210EE4"/>
    <w:rsid w:val="437C5721"/>
    <w:rsid w:val="43813731"/>
    <w:rsid w:val="43D61CCF"/>
    <w:rsid w:val="44937BC0"/>
    <w:rsid w:val="44AF1AB6"/>
    <w:rsid w:val="45872C77"/>
    <w:rsid w:val="459C1575"/>
    <w:rsid w:val="45F421E5"/>
    <w:rsid w:val="46001285"/>
    <w:rsid w:val="46275962"/>
    <w:rsid w:val="46A1423C"/>
    <w:rsid w:val="47D14C87"/>
    <w:rsid w:val="49626806"/>
    <w:rsid w:val="49755AE6"/>
    <w:rsid w:val="498E6BA8"/>
    <w:rsid w:val="4A1E7F2C"/>
    <w:rsid w:val="4A4D25BF"/>
    <w:rsid w:val="4A730E02"/>
    <w:rsid w:val="4B572A3C"/>
    <w:rsid w:val="4BDF0EB8"/>
    <w:rsid w:val="4CFA6B2C"/>
    <w:rsid w:val="4D263D82"/>
    <w:rsid w:val="4D64034B"/>
    <w:rsid w:val="4DAA56AA"/>
    <w:rsid w:val="4E0700DA"/>
    <w:rsid w:val="4E1A0890"/>
    <w:rsid w:val="4E7C7752"/>
    <w:rsid w:val="4F3303C0"/>
    <w:rsid w:val="4FC11D5D"/>
    <w:rsid w:val="50936400"/>
    <w:rsid w:val="51487E3B"/>
    <w:rsid w:val="51DE4EBA"/>
    <w:rsid w:val="522A39D7"/>
    <w:rsid w:val="538057B3"/>
    <w:rsid w:val="55FB71F2"/>
    <w:rsid w:val="564B3531"/>
    <w:rsid w:val="57400E59"/>
    <w:rsid w:val="59352B9C"/>
    <w:rsid w:val="59B30F36"/>
    <w:rsid w:val="5A221372"/>
    <w:rsid w:val="5A663955"/>
    <w:rsid w:val="5AC911B2"/>
    <w:rsid w:val="5BC72667"/>
    <w:rsid w:val="5D380EAD"/>
    <w:rsid w:val="5D632C79"/>
    <w:rsid w:val="5D970D00"/>
    <w:rsid w:val="5DDE359A"/>
    <w:rsid w:val="5DFC7BEA"/>
    <w:rsid w:val="5E342280"/>
    <w:rsid w:val="5E4E2F87"/>
    <w:rsid w:val="5ED6097D"/>
    <w:rsid w:val="605E24B0"/>
    <w:rsid w:val="60D40EEC"/>
    <w:rsid w:val="612861BC"/>
    <w:rsid w:val="61586A0F"/>
    <w:rsid w:val="61F950AE"/>
    <w:rsid w:val="622715C0"/>
    <w:rsid w:val="62685D90"/>
    <w:rsid w:val="62EC00F5"/>
    <w:rsid w:val="638F7D97"/>
    <w:rsid w:val="63C701FF"/>
    <w:rsid w:val="64116C9F"/>
    <w:rsid w:val="64204A24"/>
    <w:rsid w:val="64242477"/>
    <w:rsid w:val="64AC28AC"/>
    <w:rsid w:val="64DE766A"/>
    <w:rsid w:val="64E62DD2"/>
    <w:rsid w:val="65C47781"/>
    <w:rsid w:val="65E3477E"/>
    <w:rsid w:val="65EB1E54"/>
    <w:rsid w:val="65FC72DB"/>
    <w:rsid w:val="662047A4"/>
    <w:rsid w:val="663F39E1"/>
    <w:rsid w:val="66633FDB"/>
    <w:rsid w:val="667C4500"/>
    <w:rsid w:val="669D3D4B"/>
    <w:rsid w:val="66C537B1"/>
    <w:rsid w:val="675E7762"/>
    <w:rsid w:val="67E16595"/>
    <w:rsid w:val="67FD1E7C"/>
    <w:rsid w:val="68096D2E"/>
    <w:rsid w:val="68BA4E6C"/>
    <w:rsid w:val="69CC4E56"/>
    <w:rsid w:val="69D61B98"/>
    <w:rsid w:val="69E8411C"/>
    <w:rsid w:val="69F855F8"/>
    <w:rsid w:val="6A077D7F"/>
    <w:rsid w:val="6A413A96"/>
    <w:rsid w:val="6A760292"/>
    <w:rsid w:val="6B775DE2"/>
    <w:rsid w:val="6CCE7137"/>
    <w:rsid w:val="6E0F2834"/>
    <w:rsid w:val="6E160BF4"/>
    <w:rsid w:val="6E573440"/>
    <w:rsid w:val="6F394D3C"/>
    <w:rsid w:val="6F834209"/>
    <w:rsid w:val="6FC43957"/>
    <w:rsid w:val="6FEF7705"/>
    <w:rsid w:val="70687184"/>
    <w:rsid w:val="70F42279"/>
    <w:rsid w:val="72110EBF"/>
    <w:rsid w:val="723E08BB"/>
    <w:rsid w:val="72A252EE"/>
    <w:rsid w:val="72AF2DA9"/>
    <w:rsid w:val="72B343F6"/>
    <w:rsid w:val="737E1B01"/>
    <w:rsid w:val="73821754"/>
    <w:rsid w:val="748766B7"/>
    <w:rsid w:val="74A61598"/>
    <w:rsid w:val="74D11CCC"/>
    <w:rsid w:val="752B15CB"/>
    <w:rsid w:val="75CA2B92"/>
    <w:rsid w:val="76544EC5"/>
    <w:rsid w:val="77C35020"/>
    <w:rsid w:val="77D8086E"/>
    <w:rsid w:val="784A1D68"/>
    <w:rsid w:val="78B13B95"/>
    <w:rsid w:val="79EB00CF"/>
    <w:rsid w:val="7A2A0FB5"/>
    <w:rsid w:val="7ACE122A"/>
    <w:rsid w:val="7AD7365B"/>
    <w:rsid w:val="7B4C270F"/>
    <w:rsid w:val="7B720F9E"/>
    <w:rsid w:val="7C105077"/>
    <w:rsid w:val="7C393A2C"/>
    <w:rsid w:val="7C6B267B"/>
    <w:rsid w:val="7CA1074D"/>
    <w:rsid w:val="7D252902"/>
    <w:rsid w:val="7DCA2A0A"/>
    <w:rsid w:val="7E29312F"/>
    <w:rsid w:val="7E80539C"/>
    <w:rsid w:val="7F781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0" w:lineRule="auto"/>
      <w:outlineLvl w:val="1"/>
    </w:pPr>
    <w:rPr>
      <w:rFonts w:ascii="Arial" w:hAnsi="Arial" w:eastAsia="黑体" w:cs="Times New Roman"/>
      <w:b/>
      <w:kern w:val="0"/>
      <w:sz w:val="32"/>
      <w:szCs w:val="32"/>
    </w:rPr>
  </w:style>
  <w:style w:type="paragraph" w:styleId="4">
    <w:name w:val="heading 3"/>
    <w:basedOn w:val="1"/>
    <w:next w:val="1"/>
    <w:qFormat/>
    <w:uiPriority w:val="99"/>
    <w:pPr>
      <w:keepNext/>
      <w:keepLines/>
      <w:spacing w:before="260" w:after="260" w:line="416" w:lineRule="auto"/>
      <w:outlineLvl w:val="2"/>
    </w:pPr>
    <w:rPr>
      <w:rFonts w:ascii="Times New Roman" w:hAnsi="Times New Roman"/>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ind w:left="210"/>
      <w:jc w:val="left"/>
    </w:pPr>
    <w:rPr>
      <w:rFonts w:cs="Calibri"/>
      <w:smallCaps/>
      <w:sz w:val="20"/>
      <w:szCs w:val="20"/>
    </w:rPr>
  </w:style>
  <w:style w:type="paragraph" w:styleId="5">
    <w:name w:val="annotation text"/>
    <w:basedOn w:val="1"/>
    <w:qFormat/>
    <w:uiPriority w:val="0"/>
    <w:pPr>
      <w:jc w:val="left"/>
    </w:pPr>
    <w:rPr>
      <w:rFonts w:ascii="Times New Roman" w:hAnsi="Times New Roman" w:eastAsia="宋体" w:cs="Times New Roman"/>
    </w:rPr>
  </w:style>
  <w:style w:type="paragraph" w:styleId="6">
    <w:name w:val="Body Text"/>
    <w:basedOn w:val="1"/>
    <w:unhideWhenUsed/>
    <w:qFormat/>
    <w:uiPriority w:val="99"/>
    <w:pPr>
      <w:spacing w:after="120"/>
    </w:pPr>
  </w:style>
  <w:style w:type="paragraph" w:styleId="7">
    <w:name w:val="Plain Text"/>
    <w:basedOn w:val="1"/>
    <w:next w:val="1"/>
    <w:qFormat/>
    <w:uiPriority w:val="0"/>
    <w:rPr>
      <w:rFonts w:ascii="等线" w:hAnsi="Courier New" w:eastAsia="等线"/>
    </w:rPr>
  </w:style>
  <w:style w:type="paragraph" w:styleId="8">
    <w:name w:val="Balloon Text"/>
    <w:basedOn w:val="1"/>
    <w:link w:val="19"/>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rPr>
  </w:style>
  <w:style w:type="paragraph" w:styleId="10">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First Indent"/>
    <w:basedOn w:val="6"/>
    <w:unhideWhenUsed/>
    <w:qFormat/>
    <w:uiPriority w:val="0"/>
    <w:pPr>
      <w:ind w:firstLine="420" w:firstLineChars="100"/>
    </w:pPr>
  </w:style>
  <w:style w:type="character" w:styleId="14">
    <w:name w:val="Hyperlink"/>
    <w:basedOn w:val="13"/>
    <w:unhideWhenUsed/>
    <w:qFormat/>
    <w:uiPriority w:val="99"/>
    <w:rPr>
      <w:color w:val="0000FF"/>
      <w:u w:val="single"/>
    </w:rPr>
  </w:style>
  <w:style w:type="paragraph" w:customStyle="1" w:styleId="15">
    <w:name w:val="BodyText"/>
    <w:basedOn w:val="1"/>
    <w:qFormat/>
    <w:uiPriority w:val="0"/>
    <w:pPr>
      <w:spacing w:after="120"/>
    </w:pPr>
    <w:rPr>
      <w:kern w:val="0"/>
      <w:sz w:val="20"/>
      <w:szCs w:val="20"/>
    </w:rPr>
  </w:style>
  <w:style w:type="paragraph" w:customStyle="1" w:styleId="16">
    <w:name w:val="Plain Text1"/>
    <w:basedOn w:val="1"/>
    <w:qFormat/>
    <w:uiPriority w:val="0"/>
    <w:rPr>
      <w:rFonts w:ascii="Courier New" w:hAnsi="Courier New" w:eastAsia="楷体_GB2312"/>
    </w:rPr>
  </w:style>
  <w:style w:type="paragraph" w:customStyle="1" w:styleId="17">
    <w:name w:val="_Style 3"/>
    <w:basedOn w:val="1"/>
    <w:qFormat/>
    <w:uiPriority w:val="0"/>
    <w:rPr>
      <w:rFonts w:ascii="Times New Roman" w:hAnsi="Times New Roman" w:cs="Times New Roman"/>
      <w:szCs w:val="21"/>
    </w:rPr>
  </w:style>
  <w:style w:type="paragraph" w:customStyle="1" w:styleId="18">
    <w:name w:val="公文正文"/>
    <w:basedOn w:val="1"/>
    <w:qFormat/>
    <w:uiPriority w:val="0"/>
    <w:pPr>
      <w:spacing w:line="360" w:lineRule="auto"/>
      <w:ind w:firstLine="629"/>
    </w:pPr>
    <w:rPr>
      <w:rFonts w:hint="eastAsia" w:ascii="仿宋_GB2312" w:hAnsi="Calisto MT" w:eastAsia="仿宋_GB2312" w:cs="Times New Roman"/>
      <w:color w:val="000000"/>
      <w:kern w:val="0"/>
      <w:sz w:val="32"/>
      <w:szCs w:val="32"/>
    </w:rPr>
  </w:style>
  <w:style w:type="character" w:customStyle="1" w:styleId="19">
    <w:name w:val="批注框文本 字符"/>
    <w:basedOn w:val="13"/>
    <w:link w:val="8"/>
    <w:qFormat/>
    <w:uiPriority w:val="0"/>
    <w:rPr>
      <w:rFonts w:asciiTheme="minorHAnsi" w:hAnsiTheme="minorHAnsi" w:eastAsiaTheme="minorEastAsia" w:cstheme="minorBidi"/>
      <w:kern w:val="2"/>
      <w:sz w:val="18"/>
      <w:szCs w:val="18"/>
    </w:rPr>
  </w:style>
  <w:style w:type="paragraph" w:customStyle="1" w:styleId="20">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4461</Words>
  <Characters>5033</Characters>
  <Lines>35</Lines>
  <Paragraphs>9</Paragraphs>
  <TotalTime>3</TotalTime>
  <ScaleCrop>false</ScaleCrop>
  <LinksUpToDate>false</LinksUpToDate>
  <CharactersWithSpaces>5160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2024-02-26T05:33:00Z</dcterms:created>
  <dc:creator>1</dc:creator>
  <cp:lastModifiedBy>广州珠江监理咨询集团有限公司[广州珠江监理咨询集团有限公司]</cp:lastModifiedBy>
  <cp:lastPrinted>2024-07-05T02:29:00Z</cp:lastPrinted>
  <dcterms:modified xsi:type="dcterms:W3CDTF">2025-09-29T01:15:08Z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F7742DBF69E3436C8B1BB58DE9101574_13</vt:lpwstr>
  </property>
  <property fmtid="{D5CDD505-2E9C-101B-9397-08002B2CF9AE}" pid="4" name="KSOTemplateDocerSaveRecord">
    <vt:lpwstr>eyJoZGlkIjoiOGVhNGJlYjNhNzBmYzBhNjE0ODY5OTc0ZTgwMDNmY2QiLCJ1c2VySWQiOiIzNzQ4MTkzNzEifQ==</vt:lpwstr>
  </property>
</Properties>
</file>