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AAD67">
      <w:pPr>
        <w:spacing w:line="360" w:lineRule="auto"/>
        <w:jc w:val="center"/>
        <w:rPr>
          <w:rFonts w:hint="eastAsia" w:ascii="宋体" w:hAnsi="宋体" w:eastAsia="宋体" w:cs="宋体"/>
          <w:b/>
          <w:color w:val="auto"/>
          <w:sz w:val="44"/>
          <w:szCs w:val="44"/>
          <w:highlight w:val="none"/>
          <w:lang w:eastAsia="zh-CN"/>
        </w:rPr>
      </w:pPr>
      <w:bookmarkStart w:id="0" w:name="_Hlk195336627"/>
      <w:bookmarkStart w:id="1" w:name="_Toc15600"/>
      <w:bookmarkStart w:id="2" w:name="_Toc30405"/>
      <w:bookmarkStart w:id="3" w:name="_Toc7983"/>
      <w:bookmarkStart w:id="4" w:name="_Toc6275"/>
      <w:bookmarkStart w:id="5" w:name="_Toc18135"/>
      <w:bookmarkStart w:id="6" w:name="_Toc26883"/>
      <w:bookmarkStart w:id="7" w:name="_Toc9660"/>
      <w:bookmarkStart w:id="8" w:name="_Toc19439"/>
      <w:bookmarkStart w:id="9" w:name="_Toc24404"/>
      <w:bookmarkStart w:id="10" w:name="_Toc24592"/>
      <w:bookmarkStart w:id="11" w:name="_Toc27786"/>
    </w:p>
    <w:bookmarkEnd w:id="0"/>
    <w:p w14:paraId="1C48C7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val="en-US" w:eastAsia="zh-CN"/>
        </w:rPr>
        <w:t>红棉大道工程—田心立交至风神立交段</w:t>
      </w:r>
    </w:p>
    <w:p w14:paraId="77B904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val="en-US" w:eastAsia="zh-CN"/>
        </w:rPr>
        <w:t>工程监理</w:t>
      </w:r>
      <w:r>
        <w:rPr>
          <w:rFonts w:hint="eastAsia" w:ascii="宋体" w:hAnsi="宋体" w:cs="宋体"/>
          <w:b/>
          <w:color w:val="auto"/>
          <w:sz w:val="48"/>
          <w:szCs w:val="48"/>
          <w:highlight w:val="none"/>
          <w:lang w:val="en-US" w:eastAsia="zh-CN"/>
        </w:rPr>
        <w:t>（标段一～标段二）</w:t>
      </w:r>
    </w:p>
    <w:p w14:paraId="4AD5BBB1">
      <w:pPr>
        <w:jc w:val="center"/>
        <w:rPr>
          <w:rFonts w:hint="eastAsia" w:ascii="宋体" w:hAnsi="宋体" w:eastAsia="宋体" w:cs="Times New Roman"/>
          <w:color w:val="auto"/>
          <w:sz w:val="48"/>
          <w:szCs w:val="48"/>
          <w:highlight w:val="none"/>
        </w:rPr>
      </w:pPr>
    </w:p>
    <w:p w14:paraId="2D967F29">
      <w:pPr>
        <w:jc w:val="center"/>
        <w:rPr>
          <w:rFonts w:hint="eastAsia" w:ascii="宋体" w:hAnsi="宋体" w:eastAsia="宋体" w:cs="Times New Roman"/>
          <w:color w:val="auto"/>
          <w:sz w:val="48"/>
          <w:szCs w:val="48"/>
          <w:highlight w:val="none"/>
        </w:rPr>
      </w:pPr>
    </w:p>
    <w:p w14:paraId="3F0B51B7">
      <w:pPr>
        <w:jc w:val="center"/>
        <w:rPr>
          <w:rFonts w:hint="eastAsia" w:ascii="宋体" w:hAnsi="宋体" w:eastAsia="宋体" w:cs="Times New Roman"/>
          <w:color w:val="auto"/>
          <w:sz w:val="48"/>
          <w:szCs w:val="48"/>
          <w:highlight w:val="none"/>
        </w:rPr>
      </w:pPr>
    </w:p>
    <w:p w14:paraId="58F79DE2">
      <w:pPr>
        <w:jc w:val="center"/>
        <w:rPr>
          <w:rFonts w:hint="eastAsia" w:ascii="宋体" w:hAnsi="宋体" w:eastAsia="宋体" w:cs="Times New Roman"/>
          <w:color w:val="auto"/>
          <w:sz w:val="48"/>
          <w:szCs w:val="48"/>
          <w:highlight w:val="none"/>
        </w:rPr>
      </w:pPr>
    </w:p>
    <w:p w14:paraId="4E7EAFB3">
      <w:pPr>
        <w:jc w:val="center"/>
        <w:rPr>
          <w:rFonts w:hint="eastAsia" w:ascii="宋体" w:hAnsi="宋体" w:eastAsia="宋体" w:cs="Times New Roman"/>
          <w:color w:val="auto"/>
          <w:sz w:val="84"/>
          <w:szCs w:val="84"/>
          <w:highlight w:val="none"/>
        </w:rPr>
      </w:pPr>
      <w:r>
        <w:rPr>
          <w:rFonts w:hint="eastAsia" w:ascii="宋体" w:hAnsi="宋体" w:eastAsia="宋体" w:cs="Times New Roman"/>
          <w:b/>
          <w:bCs/>
          <w:color w:val="auto"/>
          <w:sz w:val="84"/>
          <w:szCs w:val="84"/>
          <w:highlight w:val="none"/>
        </w:rPr>
        <w:t>招 标 公 告</w:t>
      </w:r>
    </w:p>
    <w:p w14:paraId="35D28F8F">
      <w:pPr>
        <w:jc w:val="center"/>
        <w:rPr>
          <w:rFonts w:hint="eastAsia" w:ascii="宋体" w:hAnsi="宋体" w:eastAsia="宋体" w:cs="Times New Roman"/>
          <w:color w:val="auto"/>
          <w:sz w:val="48"/>
          <w:szCs w:val="48"/>
          <w:highlight w:val="none"/>
        </w:rPr>
      </w:pPr>
    </w:p>
    <w:p w14:paraId="4B172D62">
      <w:pPr>
        <w:jc w:val="center"/>
        <w:rPr>
          <w:rFonts w:hint="eastAsia" w:ascii="宋体" w:hAnsi="宋体" w:eastAsia="宋体" w:cs="Times New Roman"/>
          <w:color w:val="auto"/>
          <w:sz w:val="48"/>
          <w:szCs w:val="48"/>
          <w:highlight w:val="none"/>
        </w:rPr>
      </w:pPr>
    </w:p>
    <w:p w14:paraId="6248E2F5">
      <w:pPr>
        <w:jc w:val="center"/>
        <w:rPr>
          <w:rFonts w:hint="eastAsia" w:ascii="宋体" w:hAnsi="宋体" w:eastAsia="宋体" w:cs="Times New Roman"/>
          <w:color w:val="auto"/>
          <w:sz w:val="48"/>
          <w:szCs w:val="48"/>
          <w:highlight w:val="none"/>
        </w:rPr>
      </w:pPr>
    </w:p>
    <w:p w14:paraId="488FB3EC">
      <w:pPr>
        <w:jc w:val="center"/>
        <w:rPr>
          <w:rFonts w:hint="eastAsia" w:ascii="宋体" w:hAnsi="宋体" w:eastAsia="宋体" w:cs="Times New Roman"/>
          <w:color w:val="auto"/>
          <w:sz w:val="48"/>
          <w:szCs w:val="48"/>
          <w:highlight w:val="none"/>
          <w:lang w:val="en-US"/>
        </w:rPr>
      </w:pPr>
    </w:p>
    <w:p w14:paraId="2F371DF8">
      <w:pPr>
        <w:jc w:val="center"/>
        <w:rPr>
          <w:rFonts w:hint="eastAsia" w:ascii="宋体" w:hAnsi="宋体" w:eastAsia="宋体" w:cs="Times New Roman"/>
          <w:color w:val="auto"/>
          <w:sz w:val="48"/>
          <w:szCs w:val="48"/>
          <w:highlight w:val="none"/>
        </w:rPr>
      </w:pPr>
    </w:p>
    <w:p w14:paraId="141A7F26">
      <w:pPr>
        <w:jc w:val="center"/>
        <w:rPr>
          <w:rFonts w:hint="eastAsia" w:ascii="宋体" w:hAnsi="宋体" w:eastAsia="宋体" w:cs="Times New Roman"/>
          <w:color w:val="auto"/>
          <w:sz w:val="48"/>
          <w:szCs w:val="48"/>
          <w:highlight w:val="none"/>
          <w:lang w:val="en-US"/>
        </w:rPr>
      </w:pPr>
    </w:p>
    <w:p w14:paraId="0FAF6CE3">
      <w:pPr>
        <w:jc w:val="center"/>
        <w:rPr>
          <w:rFonts w:hint="eastAsia" w:ascii="宋体" w:hAnsi="宋体" w:eastAsia="宋体" w:cs="Times New Roman"/>
          <w:color w:val="auto"/>
          <w:sz w:val="48"/>
          <w:szCs w:val="48"/>
          <w:highlight w:val="none"/>
        </w:rPr>
      </w:pPr>
    </w:p>
    <w:p w14:paraId="2DF86E3F">
      <w:pPr>
        <w:jc w:val="center"/>
        <w:rPr>
          <w:rFonts w:hint="eastAsia" w:ascii="宋体" w:hAnsi="宋体" w:eastAsia="宋体" w:cs="Times New Roman"/>
          <w:color w:val="auto"/>
          <w:sz w:val="48"/>
          <w:szCs w:val="48"/>
          <w:highlight w:val="none"/>
        </w:rPr>
      </w:pPr>
    </w:p>
    <w:p w14:paraId="0187231E">
      <w:pPr>
        <w:jc w:val="center"/>
        <w:rPr>
          <w:rFonts w:hint="eastAsia" w:ascii="宋体" w:hAnsi="宋体" w:eastAsia="宋体" w:cs="Times New Roman"/>
          <w:color w:val="auto"/>
          <w:sz w:val="48"/>
          <w:szCs w:val="48"/>
          <w:highlight w:val="none"/>
        </w:rPr>
      </w:pPr>
    </w:p>
    <w:p w14:paraId="4C47DBD1">
      <w:pPr>
        <w:spacing w:line="360" w:lineRule="auto"/>
        <w:ind w:left="420" w:leftChars="200" w:firstLine="855" w:firstLineChars="266"/>
        <w:jc w:val="left"/>
        <w:rPr>
          <w:rFonts w:hint="eastAsia" w:ascii="宋体" w:hAnsi="宋体" w:eastAsia="宋体" w:cs="Times New Roman"/>
          <w:color w:val="auto"/>
          <w:sz w:val="24"/>
          <w:szCs w:val="24"/>
          <w:highlight w:val="none"/>
          <w:u w:val="single"/>
          <w:lang w:eastAsia="zh-CN"/>
        </w:rPr>
      </w:pPr>
      <w:r>
        <w:rPr>
          <w:rFonts w:hint="eastAsia" w:ascii="宋体" w:hAnsi="宋体" w:eastAsia="宋体" w:cs="Times New Roman"/>
          <w:b/>
          <w:color w:val="auto"/>
          <w:sz w:val="32"/>
          <w:szCs w:val="32"/>
          <w:highlight w:val="none"/>
        </w:rPr>
        <w:t>招   标   人：</w:t>
      </w:r>
      <w:r>
        <w:rPr>
          <w:rFonts w:hint="eastAsia" w:ascii="宋体" w:hAnsi="宋体" w:cs="Times New Roman"/>
          <w:b/>
          <w:color w:val="auto"/>
          <w:sz w:val="32"/>
          <w:szCs w:val="32"/>
          <w:highlight w:val="none"/>
          <w:lang w:eastAsia="zh-CN"/>
        </w:rPr>
        <w:t>广州市花都区交通运输局</w:t>
      </w:r>
    </w:p>
    <w:p w14:paraId="4DEA23FA">
      <w:pPr>
        <w:spacing w:line="360" w:lineRule="auto"/>
        <w:ind w:left="420" w:leftChars="200" w:firstLine="855" w:firstLineChars="266"/>
        <w:jc w:val="left"/>
        <w:rPr>
          <w:rFonts w:hint="eastAsia" w:ascii="宋体" w:hAnsi="宋体" w:eastAsia="宋体" w:cs="Times New Roman"/>
          <w:b/>
          <w:color w:val="auto"/>
          <w:sz w:val="32"/>
          <w:szCs w:val="32"/>
          <w:highlight w:val="none"/>
          <w:lang w:eastAsia="zh-CN"/>
        </w:rPr>
      </w:pPr>
      <w:r>
        <w:rPr>
          <w:rFonts w:hint="eastAsia" w:ascii="宋体" w:hAnsi="宋体" w:eastAsia="宋体" w:cs="Times New Roman"/>
          <w:b/>
          <w:color w:val="auto"/>
          <w:sz w:val="32"/>
          <w:szCs w:val="32"/>
          <w:highlight w:val="none"/>
        </w:rPr>
        <w:t>招标代理机构：</w:t>
      </w:r>
      <w:r>
        <w:rPr>
          <w:rFonts w:hint="eastAsia" w:ascii="宋体" w:hAnsi="宋体" w:eastAsia="宋体" w:cs="Times New Roman"/>
          <w:b/>
          <w:color w:val="auto"/>
          <w:sz w:val="32"/>
          <w:szCs w:val="32"/>
          <w:highlight w:val="none"/>
          <w:lang w:eastAsia="zh-CN"/>
        </w:rPr>
        <w:t>北京中交建设工程咨询有限公司</w:t>
      </w:r>
    </w:p>
    <w:p w14:paraId="23F6DC2E">
      <w:pPr>
        <w:spacing w:line="360" w:lineRule="auto"/>
        <w:ind w:left="420" w:leftChars="200" w:firstLine="855" w:firstLineChars="266"/>
        <w:jc w:val="left"/>
        <w:rPr>
          <w:rFonts w:hint="eastAsia" w:ascii="宋体" w:hAnsi="宋体"/>
          <w:b/>
          <w:color w:val="auto"/>
          <w:sz w:val="32"/>
          <w:szCs w:val="32"/>
          <w:highlight w:val="none"/>
        </w:rPr>
      </w:pPr>
      <w:r>
        <w:rPr>
          <w:rFonts w:hint="eastAsia" w:ascii="宋体" w:hAnsi="宋体" w:eastAsia="宋体" w:cs="Times New Roman"/>
          <w:b/>
          <w:color w:val="auto"/>
          <w:kern w:val="0"/>
          <w:sz w:val="32"/>
          <w:szCs w:val="32"/>
          <w:highlight w:val="none"/>
        </w:rPr>
        <w:t>日        期：</w:t>
      </w:r>
      <w:r>
        <w:rPr>
          <w:rFonts w:hint="eastAsia" w:ascii="宋体" w:hAnsi="宋体" w:eastAsia="宋体" w:cs="Times New Roman"/>
          <w:b/>
          <w:color w:val="auto"/>
          <w:kern w:val="0"/>
          <w:sz w:val="32"/>
          <w:szCs w:val="32"/>
          <w:highlight w:val="none"/>
          <w:u w:val="single"/>
        </w:rPr>
        <w:t>2025</w:t>
      </w:r>
      <w:r>
        <w:rPr>
          <w:rFonts w:hint="eastAsia" w:ascii="宋体" w:hAnsi="宋体" w:eastAsia="宋体" w:cs="Times New Roman"/>
          <w:b/>
          <w:color w:val="auto"/>
          <w:kern w:val="0"/>
          <w:sz w:val="32"/>
          <w:szCs w:val="32"/>
          <w:highlight w:val="none"/>
        </w:rPr>
        <w:t>年</w:t>
      </w:r>
      <w:r>
        <w:rPr>
          <w:rFonts w:hint="eastAsia" w:ascii="宋体" w:hAnsi="宋体" w:cs="Times New Roman"/>
          <w:b/>
          <w:color w:val="auto"/>
          <w:kern w:val="0"/>
          <w:sz w:val="32"/>
          <w:szCs w:val="32"/>
          <w:highlight w:val="none"/>
          <w:u w:val="single"/>
          <w:lang w:val="en-US" w:eastAsia="zh-CN"/>
        </w:rPr>
        <w:t>9</w:t>
      </w:r>
      <w:r>
        <w:rPr>
          <w:rFonts w:hint="eastAsia" w:ascii="宋体" w:hAnsi="宋体" w:eastAsia="宋体" w:cs="Times New Roman"/>
          <w:b/>
          <w:color w:val="auto"/>
          <w:kern w:val="0"/>
          <w:sz w:val="32"/>
          <w:szCs w:val="32"/>
          <w:highlight w:val="none"/>
        </w:rPr>
        <w:t>月</w:t>
      </w:r>
    </w:p>
    <w:p w14:paraId="00837BC6">
      <w:pPr>
        <w:spacing w:line="360" w:lineRule="auto"/>
        <w:jc w:val="center"/>
        <w:rPr>
          <w:rStyle w:val="23"/>
          <w:rFonts w:hint="eastAsia" w:ascii="宋体" w:hAnsi="宋体" w:eastAsia="宋体" w:cs="宋体"/>
          <w:b/>
          <w:bCs/>
          <w:color w:val="auto"/>
          <w:highlight w:val="none"/>
        </w:rPr>
        <w:sectPr>
          <w:footerReference r:id="rId3" w:type="default"/>
          <w:pgSz w:w="11906" w:h="16838"/>
          <w:pgMar w:top="1440" w:right="1440" w:bottom="1440" w:left="1440" w:header="851" w:footer="992" w:gutter="0"/>
          <w:pgNumType w:start="1"/>
          <w:cols w:space="425" w:num="1"/>
          <w:docGrid w:type="lines" w:linePitch="312" w:charSpace="0"/>
        </w:sectPr>
      </w:pPr>
    </w:p>
    <w:p w14:paraId="3BB0F20E">
      <w:pPr>
        <w:spacing w:line="360" w:lineRule="auto"/>
        <w:jc w:val="center"/>
        <w:rPr>
          <w:rFonts w:hint="eastAsia" w:ascii="宋体" w:hAnsi="宋体" w:cs="黑体"/>
          <w:b/>
          <w:bCs/>
          <w:color w:val="auto"/>
          <w:sz w:val="32"/>
          <w:szCs w:val="32"/>
          <w:highlight w:val="none"/>
        </w:rPr>
      </w:pPr>
      <w:r>
        <w:rPr>
          <w:rStyle w:val="23"/>
          <w:rFonts w:hint="eastAsia" w:ascii="宋体" w:hAnsi="宋体" w:eastAsia="宋体" w:cs="宋体"/>
          <w:b/>
          <w:bCs/>
          <w:color w:val="auto"/>
          <w:highlight w:val="none"/>
        </w:rPr>
        <w:t>招标公告</w:t>
      </w:r>
      <w:bookmarkEnd w:id="1"/>
      <w:bookmarkEnd w:id="2"/>
      <w:bookmarkEnd w:id="3"/>
      <w:bookmarkEnd w:id="4"/>
      <w:bookmarkEnd w:id="5"/>
      <w:bookmarkEnd w:id="6"/>
      <w:bookmarkEnd w:id="7"/>
      <w:bookmarkEnd w:id="8"/>
      <w:bookmarkEnd w:id="9"/>
      <w:bookmarkEnd w:id="10"/>
      <w:bookmarkEnd w:id="11"/>
    </w:p>
    <w:p w14:paraId="336AA111">
      <w:pPr>
        <w:pStyle w:val="3"/>
        <w:rPr>
          <w:rFonts w:hint="eastAsia"/>
          <w:color w:val="auto"/>
          <w:highlight w:val="none"/>
        </w:rPr>
      </w:pPr>
      <w:bookmarkStart w:id="12" w:name="_Toc13816"/>
      <w:bookmarkStart w:id="13" w:name="_Toc29260"/>
      <w:bookmarkStart w:id="14" w:name="_Toc4607"/>
      <w:bookmarkStart w:id="15" w:name="_Toc7616"/>
      <w:bookmarkStart w:id="16" w:name="_Toc19438"/>
      <w:bookmarkStart w:id="17" w:name="_Toc6984"/>
      <w:bookmarkStart w:id="18" w:name="_Toc492300546"/>
      <w:bookmarkStart w:id="19" w:name="_Toc14321"/>
      <w:bookmarkStart w:id="20" w:name="_Toc12249"/>
      <w:bookmarkStart w:id="21" w:name="_Toc19309"/>
      <w:bookmarkStart w:id="22" w:name="_Toc8669"/>
      <w:r>
        <w:rPr>
          <w:rFonts w:hint="eastAsia"/>
          <w:color w:val="auto"/>
          <w:highlight w:val="none"/>
        </w:rPr>
        <w:t>1.招标条件</w:t>
      </w:r>
      <w:bookmarkEnd w:id="12"/>
      <w:bookmarkEnd w:id="13"/>
      <w:bookmarkEnd w:id="14"/>
      <w:bookmarkEnd w:id="15"/>
      <w:bookmarkEnd w:id="16"/>
      <w:bookmarkEnd w:id="17"/>
      <w:bookmarkEnd w:id="18"/>
      <w:bookmarkEnd w:id="19"/>
      <w:bookmarkEnd w:id="20"/>
      <w:bookmarkEnd w:id="21"/>
      <w:bookmarkEnd w:id="22"/>
    </w:p>
    <w:p w14:paraId="1CB1E26B">
      <w:pPr>
        <w:wordWrap w:val="0"/>
        <w:spacing w:line="360" w:lineRule="auto"/>
        <w:ind w:firstLine="484" w:firstLineChars="202"/>
        <w:rPr>
          <w:rFonts w:hint="eastAsia" w:ascii="宋体" w:hAnsi="宋体"/>
          <w:color w:val="auto"/>
          <w:sz w:val="24"/>
          <w:szCs w:val="24"/>
          <w:highlight w:val="none"/>
        </w:rPr>
      </w:pPr>
      <w:r>
        <w:rPr>
          <w:rFonts w:ascii="宋体" w:hAnsi="宋体"/>
          <w:color w:val="auto"/>
          <w:sz w:val="24"/>
          <w:szCs w:val="24"/>
          <w:highlight w:val="none"/>
        </w:rPr>
        <w:t>本招标项目</w:t>
      </w:r>
      <w:r>
        <w:rPr>
          <w:rFonts w:hint="eastAsia" w:ascii="宋体" w:hAnsi="宋体"/>
          <w:color w:val="auto"/>
          <w:sz w:val="24"/>
          <w:szCs w:val="24"/>
          <w:highlight w:val="none"/>
          <w:u w:val="single"/>
          <w:lang w:eastAsia="zh-CN"/>
        </w:rPr>
        <w:t>红棉大道工程</w:t>
      </w:r>
      <w:r>
        <w:rPr>
          <w:rFonts w:ascii="宋体" w:hAnsi="宋体"/>
          <w:color w:val="auto"/>
          <w:sz w:val="24"/>
          <w:szCs w:val="24"/>
          <w:highlight w:val="none"/>
        </w:rPr>
        <w:t>已</w:t>
      </w:r>
      <w:r>
        <w:rPr>
          <w:rFonts w:ascii="宋体" w:hAnsi="宋体"/>
          <w:color w:val="auto"/>
          <w:spacing w:val="-1"/>
          <w:sz w:val="24"/>
          <w:szCs w:val="24"/>
          <w:highlight w:val="none"/>
        </w:rPr>
        <w:t>由</w:t>
      </w:r>
      <w:r>
        <w:rPr>
          <w:rFonts w:hint="eastAsia" w:ascii="宋体" w:hAnsi="宋体"/>
          <w:color w:val="auto"/>
          <w:sz w:val="24"/>
          <w:szCs w:val="24"/>
          <w:highlight w:val="none"/>
          <w:u w:val="single"/>
          <w:lang w:val="en-US" w:eastAsia="zh-CN"/>
        </w:rPr>
        <w:t>广州市花都区发展和改革局</w:t>
      </w:r>
      <w:r>
        <w:rPr>
          <w:rFonts w:ascii="宋体" w:hAnsi="宋体"/>
          <w:color w:val="auto"/>
          <w:spacing w:val="-1"/>
          <w:sz w:val="24"/>
          <w:szCs w:val="24"/>
          <w:highlight w:val="none"/>
        </w:rPr>
        <w:t>以</w:t>
      </w:r>
      <w:r>
        <w:rPr>
          <w:rFonts w:hint="eastAsia" w:ascii="宋体" w:hAnsi="宋体"/>
          <w:color w:val="auto"/>
          <w:sz w:val="24"/>
          <w:szCs w:val="24"/>
          <w:highlight w:val="none"/>
          <w:u w:val="single"/>
          <w:lang w:val="en-US" w:eastAsia="zh-CN"/>
        </w:rPr>
        <w:t>花发改基</w:t>
      </w:r>
      <w:r>
        <w:rPr>
          <w:rFonts w:hint="eastAsia" w:ascii="仿宋" w:hAnsi="仿宋" w:eastAsia="仿宋" w:cs="仿宋"/>
          <w:color w:val="auto"/>
          <w:sz w:val="24"/>
          <w:szCs w:val="24"/>
          <w:highlight w:val="none"/>
          <w:u w:val="single"/>
          <w:lang w:val="en-US" w:eastAsia="zh-CN"/>
        </w:rPr>
        <w:t>〔</w:t>
      </w:r>
      <w:r>
        <w:rPr>
          <w:rFonts w:hint="eastAsia" w:ascii="宋体" w:hAnsi="宋体"/>
          <w:color w:val="auto"/>
          <w:sz w:val="24"/>
          <w:szCs w:val="24"/>
          <w:highlight w:val="none"/>
          <w:u w:val="single"/>
          <w:lang w:val="en-US" w:eastAsia="zh-CN"/>
        </w:rPr>
        <w:t>2014</w:t>
      </w:r>
      <w:r>
        <w:rPr>
          <w:rFonts w:hint="eastAsia" w:ascii="仿宋" w:hAnsi="仿宋" w:eastAsia="仿宋" w:cs="仿宋"/>
          <w:color w:val="auto"/>
          <w:sz w:val="24"/>
          <w:szCs w:val="24"/>
          <w:highlight w:val="none"/>
          <w:u w:val="single"/>
          <w:lang w:val="en-US" w:eastAsia="zh-CN"/>
        </w:rPr>
        <w:t>〕</w:t>
      </w:r>
      <w:r>
        <w:rPr>
          <w:rFonts w:hint="eastAsia" w:ascii="宋体" w:hAnsi="宋体"/>
          <w:color w:val="auto"/>
          <w:sz w:val="24"/>
          <w:szCs w:val="24"/>
          <w:highlight w:val="none"/>
          <w:u w:val="single"/>
          <w:lang w:val="en-US" w:eastAsia="zh-CN"/>
        </w:rPr>
        <w:t>51号</w:t>
      </w:r>
      <w:r>
        <w:rPr>
          <w:rFonts w:ascii="宋体" w:hAnsi="宋体"/>
          <w:color w:val="auto"/>
          <w:spacing w:val="-3"/>
          <w:sz w:val="24"/>
          <w:szCs w:val="24"/>
          <w:highlight w:val="none"/>
        </w:rPr>
        <w:t>批</w:t>
      </w:r>
      <w:r>
        <w:rPr>
          <w:rFonts w:ascii="宋体" w:hAnsi="宋体"/>
          <w:color w:val="auto"/>
          <w:sz w:val="24"/>
          <w:szCs w:val="24"/>
          <w:highlight w:val="none"/>
        </w:rPr>
        <w:t>准建</w:t>
      </w:r>
      <w:r>
        <w:rPr>
          <w:rFonts w:ascii="宋体" w:hAnsi="宋体"/>
          <w:color w:val="auto"/>
          <w:spacing w:val="-3"/>
          <w:sz w:val="24"/>
          <w:szCs w:val="24"/>
          <w:highlight w:val="none"/>
        </w:rPr>
        <w:t>设</w:t>
      </w:r>
      <w:r>
        <w:rPr>
          <w:rFonts w:ascii="宋体" w:hAnsi="宋体"/>
          <w:color w:val="auto"/>
          <w:spacing w:val="-17"/>
          <w:sz w:val="24"/>
          <w:szCs w:val="24"/>
          <w:highlight w:val="none"/>
        </w:rPr>
        <w:t>，</w:t>
      </w:r>
      <w:r>
        <w:rPr>
          <w:rFonts w:ascii="宋体" w:hAnsi="宋体"/>
          <w:color w:val="auto"/>
          <w:sz w:val="24"/>
          <w:szCs w:val="24"/>
          <w:highlight w:val="none"/>
        </w:rPr>
        <w:t>建</w:t>
      </w:r>
      <w:r>
        <w:rPr>
          <w:rFonts w:ascii="宋体" w:hAnsi="宋体"/>
          <w:color w:val="auto"/>
          <w:spacing w:val="-3"/>
          <w:sz w:val="24"/>
          <w:szCs w:val="24"/>
          <w:highlight w:val="none"/>
        </w:rPr>
        <w:t>设</w:t>
      </w:r>
      <w:r>
        <w:rPr>
          <w:rFonts w:ascii="宋体" w:hAnsi="宋体"/>
          <w:color w:val="auto"/>
          <w:sz w:val="24"/>
          <w:szCs w:val="24"/>
          <w:highlight w:val="none"/>
        </w:rPr>
        <w:t>资</w:t>
      </w:r>
      <w:r>
        <w:rPr>
          <w:rFonts w:ascii="宋体" w:hAnsi="宋体"/>
          <w:color w:val="auto"/>
          <w:spacing w:val="-3"/>
          <w:sz w:val="24"/>
          <w:szCs w:val="24"/>
          <w:highlight w:val="none"/>
        </w:rPr>
        <w:t>金</w:t>
      </w:r>
      <w:r>
        <w:rPr>
          <w:rFonts w:ascii="宋体" w:hAnsi="宋体"/>
          <w:color w:val="auto"/>
          <w:sz w:val="24"/>
          <w:szCs w:val="24"/>
          <w:highlight w:val="none"/>
        </w:rPr>
        <w:t>来</w:t>
      </w:r>
      <w:r>
        <w:rPr>
          <w:rFonts w:ascii="宋体" w:hAnsi="宋体"/>
          <w:color w:val="auto"/>
          <w:spacing w:val="-1"/>
          <w:sz w:val="24"/>
          <w:szCs w:val="24"/>
          <w:highlight w:val="none"/>
        </w:rPr>
        <w:t>自</w:t>
      </w:r>
      <w:r>
        <w:rPr>
          <w:rFonts w:hint="eastAsia" w:ascii="宋体" w:hAnsi="宋体" w:cs="宋体"/>
          <w:color w:val="auto"/>
          <w:sz w:val="24"/>
          <w:szCs w:val="24"/>
          <w:highlight w:val="none"/>
          <w:u w:val="single"/>
        </w:rPr>
        <w:t>财政资金</w:t>
      </w:r>
      <w:r>
        <w:rPr>
          <w:rFonts w:hint="eastAsia" w:ascii="宋体" w:hAnsi="宋体" w:cs="宋体"/>
          <w:color w:val="auto"/>
          <w:sz w:val="24"/>
          <w:szCs w:val="24"/>
          <w:highlight w:val="none"/>
        </w:rPr>
        <w:t>，</w:t>
      </w:r>
      <w:r>
        <w:rPr>
          <w:rFonts w:ascii="宋体" w:hAnsi="宋体"/>
          <w:color w:val="auto"/>
          <w:sz w:val="24"/>
          <w:szCs w:val="24"/>
          <w:highlight w:val="none"/>
        </w:rPr>
        <w:t>出</w:t>
      </w:r>
      <w:r>
        <w:rPr>
          <w:rFonts w:ascii="宋体" w:hAnsi="宋体"/>
          <w:color w:val="auto"/>
          <w:spacing w:val="-3"/>
          <w:sz w:val="24"/>
          <w:szCs w:val="24"/>
          <w:highlight w:val="none"/>
        </w:rPr>
        <w:t>资</w:t>
      </w:r>
      <w:r>
        <w:rPr>
          <w:rFonts w:ascii="宋体" w:hAnsi="宋体"/>
          <w:color w:val="auto"/>
          <w:sz w:val="24"/>
          <w:szCs w:val="24"/>
          <w:highlight w:val="none"/>
        </w:rPr>
        <w:t>比</w:t>
      </w:r>
      <w:r>
        <w:rPr>
          <w:rFonts w:ascii="宋体" w:hAnsi="宋体"/>
          <w:color w:val="auto"/>
          <w:spacing w:val="-3"/>
          <w:sz w:val="24"/>
          <w:szCs w:val="24"/>
          <w:highlight w:val="none"/>
        </w:rPr>
        <w:t>例</w:t>
      </w:r>
      <w:r>
        <w:rPr>
          <w:rFonts w:ascii="宋体" w:hAnsi="宋体"/>
          <w:color w:val="auto"/>
          <w:sz w:val="24"/>
          <w:szCs w:val="24"/>
          <w:highlight w:val="none"/>
        </w:rPr>
        <w:t>为</w:t>
      </w:r>
      <w:r>
        <w:rPr>
          <w:rFonts w:ascii="宋体" w:hAnsi="宋体" w:cs="宋体"/>
          <w:color w:val="auto"/>
          <w:sz w:val="24"/>
          <w:szCs w:val="24"/>
          <w:highlight w:val="none"/>
          <w:u w:val="single"/>
        </w:rPr>
        <w:t>100%</w:t>
      </w:r>
      <w:r>
        <w:rPr>
          <w:rFonts w:ascii="宋体" w:hAnsi="宋体"/>
          <w:color w:val="auto"/>
          <w:spacing w:val="-20"/>
          <w:sz w:val="24"/>
          <w:szCs w:val="24"/>
          <w:highlight w:val="none"/>
        </w:rPr>
        <w:t>，</w:t>
      </w:r>
      <w:r>
        <w:rPr>
          <w:rFonts w:ascii="宋体" w:hAnsi="宋体"/>
          <w:color w:val="auto"/>
          <w:sz w:val="24"/>
          <w:szCs w:val="24"/>
          <w:highlight w:val="none"/>
        </w:rPr>
        <w:t>招</w:t>
      </w:r>
      <w:r>
        <w:rPr>
          <w:rFonts w:ascii="宋体" w:hAnsi="宋体"/>
          <w:color w:val="auto"/>
          <w:spacing w:val="-3"/>
          <w:sz w:val="24"/>
          <w:szCs w:val="24"/>
          <w:highlight w:val="none"/>
        </w:rPr>
        <w:t>标</w:t>
      </w:r>
      <w:r>
        <w:rPr>
          <w:rFonts w:ascii="宋体" w:hAnsi="宋体"/>
          <w:color w:val="auto"/>
          <w:sz w:val="24"/>
          <w:szCs w:val="24"/>
          <w:highlight w:val="none"/>
        </w:rPr>
        <w:t>人</w:t>
      </w:r>
      <w:r>
        <w:rPr>
          <w:rFonts w:ascii="宋体" w:hAnsi="宋体"/>
          <w:color w:val="auto"/>
          <w:spacing w:val="-3"/>
          <w:sz w:val="24"/>
          <w:szCs w:val="24"/>
          <w:highlight w:val="none"/>
        </w:rPr>
        <w:t>为</w:t>
      </w:r>
      <w:r>
        <w:rPr>
          <w:rFonts w:hint="eastAsia" w:ascii="宋体" w:hAnsi="宋体" w:cs="宋体"/>
          <w:color w:val="auto"/>
          <w:sz w:val="24"/>
          <w:szCs w:val="24"/>
          <w:highlight w:val="none"/>
          <w:u w:val="single"/>
          <w:lang w:eastAsia="zh-CN"/>
        </w:rPr>
        <w:t>广州市花都区交通运输局</w:t>
      </w:r>
      <w:r>
        <w:rPr>
          <w:rFonts w:ascii="宋体" w:hAnsi="宋体"/>
          <w:color w:val="auto"/>
          <w:spacing w:val="-22"/>
          <w:sz w:val="24"/>
          <w:szCs w:val="24"/>
          <w:highlight w:val="none"/>
        </w:rPr>
        <w:t>。</w:t>
      </w:r>
      <w:r>
        <w:rPr>
          <w:rFonts w:ascii="宋体" w:hAnsi="宋体"/>
          <w:color w:val="auto"/>
          <w:sz w:val="24"/>
          <w:szCs w:val="24"/>
          <w:highlight w:val="none"/>
        </w:rPr>
        <w:t>项目</w:t>
      </w:r>
      <w:r>
        <w:rPr>
          <w:rFonts w:ascii="宋体" w:hAnsi="宋体"/>
          <w:color w:val="auto"/>
          <w:spacing w:val="-3"/>
          <w:sz w:val="24"/>
          <w:szCs w:val="24"/>
          <w:highlight w:val="none"/>
        </w:rPr>
        <w:t>已</w:t>
      </w:r>
      <w:r>
        <w:rPr>
          <w:rFonts w:ascii="宋体" w:hAnsi="宋体"/>
          <w:color w:val="auto"/>
          <w:sz w:val="24"/>
          <w:szCs w:val="24"/>
          <w:highlight w:val="none"/>
        </w:rPr>
        <w:t>具</w:t>
      </w:r>
      <w:r>
        <w:rPr>
          <w:rFonts w:ascii="宋体" w:hAnsi="宋体"/>
          <w:color w:val="auto"/>
          <w:spacing w:val="-3"/>
          <w:sz w:val="24"/>
          <w:szCs w:val="24"/>
          <w:highlight w:val="none"/>
        </w:rPr>
        <w:t>备招</w:t>
      </w:r>
      <w:r>
        <w:rPr>
          <w:rFonts w:ascii="宋体" w:hAnsi="宋体"/>
          <w:color w:val="auto"/>
          <w:sz w:val="24"/>
          <w:szCs w:val="24"/>
          <w:highlight w:val="none"/>
        </w:rPr>
        <w:t>标条件</w:t>
      </w:r>
      <w:r>
        <w:rPr>
          <w:rFonts w:hint="eastAsia" w:ascii="宋体" w:hAnsi="宋体"/>
          <w:color w:val="auto"/>
          <w:sz w:val="24"/>
          <w:szCs w:val="24"/>
          <w:highlight w:val="none"/>
        </w:rPr>
        <w:t>，现对</w:t>
      </w:r>
      <w:r>
        <w:rPr>
          <w:rFonts w:hint="eastAsia" w:ascii="宋体" w:hAnsi="宋体"/>
          <w:color w:val="auto"/>
          <w:sz w:val="24"/>
          <w:szCs w:val="24"/>
          <w:highlight w:val="none"/>
          <w:u w:val="single"/>
        </w:rPr>
        <w:t>红棉大道工程—田心立交至风神立交段工程监理</w:t>
      </w:r>
      <w:r>
        <w:rPr>
          <w:rFonts w:hint="eastAsia" w:ascii="宋体" w:hAnsi="宋体"/>
          <w:color w:val="auto"/>
          <w:sz w:val="24"/>
          <w:szCs w:val="24"/>
          <w:highlight w:val="none"/>
        </w:rPr>
        <w:t>进行公开招标。</w:t>
      </w:r>
    </w:p>
    <w:p w14:paraId="33E26FE4">
      <w:pPr>
        <w:pStyle w:val="3"/>
        <w:rPr>
          <w:rFonts w:hint="eastAsia"/>
          <w:color w:val="auto"/>
          <w:highlight w:val="none"/>
        </w:rPr>
      </w:pPr>
      <w:bookmarkStart w:id="23" w:name="_Toc16756"/>
      <w:bookmarkStart w:id="24" w:name="_Toc17994"/>
      <w:bookmarkStart w:id="25" w:name="_Toc8135"/>
      <w:bookmarkStart w:id="26" w:name="_Toc9097"/>
      <w:bookmarkStart w:id="27" w:name="_Toc492300547"/>
      <w:bookmarkStart w:id="28" w:name="_Toc20915"/>
      <w:bookmarkStart w:id="29" w:name="_Toc23202"/>
      <w:bookmarkStart w:id="30" w:name="_Toc12610"/>
      <w:bookmarkStart w:id="31" w:name="_Toc5569"/>
      <w:bookmarkStart w:id="32" w:name="_Toc26461"/>
      <w:bookmarkStart w:id="33" w:name="_Toc15996"/>
      <w:r>
        <w:rPr>
          <w:rFonts w:hint="eastAsia"/>
          <w:color w:val="auto"/>
          <w:highlight w:val="none"/>
        </w:rPr>
        <w:t>2.项目概况与招标范围</w:t>
      </w:r>
      <w:bookmarkEnd w:id="23"/>
      <w:bookmarkEnd w:id="24"/>
      <w:bookmarkEnd w:id="25"/>
      <w:bookmarkEnd w:id="26"/>
      <w:bookmarkEnd w:id="27"/>
      <w:bookmarkEnd w:id="28"/>
      <w:bookmarkEnd w:id="29"/>
      <w:bookmarkEnd w:id="30"/>
      <w:bookmarkEnd w:id="31"/>
      <w:bookmarkEnd w:id="32"/>
      <w:bookmarkEnd w:id="33"/>
    </w:p>
    <w:p w14:paraId="10EB4922">
      <w:pPr>
        <w:tabs>
          <w:tab w:val="left" w:pos="7513"/>
        </w:tabs>
        <w:wordWrap w:val="0"/>
        <w:autoSpaceDE w:val="0"/>
        <w:autoSpaceDN w:val="0"/>
        <w:spacing w:line="360" w:lineRule="auto"/>
        <w:ind w:firstLine="484" w:firstLineChars="202"/>
        <w:rPr>
          <w:rFonts w:hint="eastAsia" w:ascii="宋体" w:hAnsi="宋体"/>
          <w:color w:val="auto"/>
          <w:sz w:val="24"/>
          <w:szCs w:val="24"/>
          <w:highlight w:val="none"/>
        </w:rPr>
      </w:pPr>
      <w:bookmarkStart w:id="34" w:name="_Toc17345"/>
      <w:r>
        <w:rPr>
          <w:rFonts w:ascii="宋体" w:hAnsi="宋体"/>
          <w:color w:val="auto"/>
          <w:sz w:val="24"/>
          <w:szCs w:val="24"/>
          <w:highlight w:val="none"/>
        </w:rPr>
        <w:t>2.1</w:t>
      </w:r>
      <w:r>
        <w:rPr>
          <w:rFonts w:hint="eastAsia" w:ascii="宋体" w:hAnsi="宋体"/>
          <w:color w:val="auto"/>
          <w:sz w:val="24"/>
          <w:szCs w:val="24"/>
          <w:highlight w:val="none"/>
        </w:rPr>
        <w:t xml:space="preserve"> </w:t>
      </w:r>
      <w:r>
        <w:rPr>
          <w:rFonts w:ascii="宋体" w:hAnsi="宋体"/>
          <w:color w:val="auto"/>
          <w:sz w:val="24"/>
          <w:szCs w:val="24"/>
          <w:highlight w:val="none"/>
        </w:rPr>
        <w:t>招标项目概况</w:t>
      </w:r>
      <w:bookmarkEnd w:id="34"/>
    </w:p>
    <w:p w14:paraId="2D6165E2">
      <w:pPr>
        <w:tabs>
          <w:tab w:val="left" w:pos="7513"/>
        </w:tabs>
        <w:wordWrap w:val="0"/>
        <w:autoSpaceDE w:val="0"/>
        <w:autoSpaceDN w:val="0"/>
        <w:spacing w:line="360" w:lineRule="auto"/>
        <w:ind w:firstLine="484" w:firstLineChars="202"/>
        <w:rPr>
          <w:rFonts w:hint="eastAsia" w:ascii="宋体" w:hAnsi="宋体"/>
          <w:color w:val="auto"/>
          <w:sz w:val="24"/>
          <w:szCs w:val="24"/>
          <w:highlight w:val="none"/>
          <w:u w:val="single"/>
        </w:rPr>
      </w:pPr>
      <w:bookmarkStart w:id="35" w:name="_Toc13481"/>
      <w:r>
        <w:rPr>
          <w:rFonts w:ascii="宋体" w:hAnsi="宋体"/>
          <w:color w:val="auto"/>
          <w:sz w:val="24"/>
          <w:szCs w:val="24"/>
          <w:highlight w:val="none"/>
        </w:rPr>
        <w:t>2.1.</w:t>
      </w:r>
      <w:r>
        <w:rPr>
          <w:rFonts w:hint="eastAsia" w:ascii="宋体" w:hAnsi="宋体"/>
          <w:color w:val="auto"/>
          <w:sz w:val="24"/>
          <w:szCs w:val="24"/>
          <w:highlight w:val="none"/>
        </w:rPr>
        <w:t>1 招标项目固定资产投资项目代码：</w:t>
      </w:r>
      <w:r>
        <w:rPr>
          <w:rFonts w:hint="eastAsia" w:ascii="宋体" w:hAnsi="宋体" w:cs="宋体"/>
          <w:color w:val="auto"/>
          <w:sz w:val="24"/>
          <w:highlight w:val="none"/>
          <w:u w:val="single"/>
          <w:lang w:val="en-US" w:eastAsia="zh-CN" w:bidi="ar"/>
        </w:rPr>
        <w:t>2014-440114-48-01-802155</w:t>
      </w:r>
    </w:p>
    <w:p w14:paraId="2B1DA757">
      <w:pPr>
        <w:tabs>
          <w:tab w:val="left" w:pos="7513"/>
        </w:tabs>
        <w:wordWrap w:val="0"/>
        <w:autoSpaceDE w:val="0"/>
        <w:autoSpaceDN w:val="0"/>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2.1.2 招标项目名称：</w:t>
      </w:r>
    </w:p>
    <w:p w14:paraId="2C983992">
      <w:pPr>
        <w:tabs>
          <w:tab w:val="left" w:pos="7513"/>
        </w:tabs>
        <w:wordWrap w:val="0"/>
        <w:autoSpaceDE w:val="0"/>
        <w:autoSpaceDN w:val="0"/>
        <w:spacing w:line="360" w:lineRule="auto"/>
        <w:ind w:firstLine="487" w:firstLineChars="202"/>
        <w:rPr>
          <w:rFonts w:hint="eastAsia" w:ascii="宋体" w:hAnsi="宋体"/>
          <w:b/>
          <w:bCs/>
          <w:color w:val="auto"/>
          <w:sz w:val="24"/>
          <w:szCs w:val="24"/>
          <w:highlight w:val="none"/>
          <w:u w:val="single"/>
        </w:rPr>
      </w:pPr>
      <w:r>
        <w:rPr>
          <w:rFonts w:hint="eastAsia" w:ascii="宋体" w:hAnsi="宋体"/>
          <w:b/>
          <w:bCs/>
          <w:color w:val="auto"/>
          <w:sz w:val="24"/>
          <w:szCs w:val="24"/>
          <w:highlight w:val="none"/>
          <w:lang w:val="en-US" w:eastAsia="zh-CN"/>
        </w:rPr>
        <w:t>标段一招标项目名称：</w:t>
      </w:r>
      <w:r>
        <w:rPr>
          <w:rFonts w:hint="eastAsia" w:ascii="宋体" w:hAnsi="宋体"/>
          <w:b/>
          <w:bCs/>
          <w:color w:val="auto"/>
          <w:sz w:val="24"/>
          <w:szCs w:val="24"/>
          <w:highlight w:val="none"/>
          <w:u w:val="single"/>
        </w:rPr>
        <w:t>红棉大道工程—田心立交至风神立交段工程监理（标段一）</w:t>
      </w:r>
    </w:p>
    <w:p w14:paraId="67E32475">
      <w:pPr>
        <w:tabs>
          <w:tab w:val="left" w:pos="7513"/>
        </w:tabs>
        <w:wordWrap w:val="0"/>
        <w:autoSpaceDE w:val="0"/>
        <w:autoSpaceDN w:val="0"/>
        <w:spacing w:line="360" w:lineRule="auto"/>
        <w:ind w:firstLine="487" w:firstLineChars="202"/>
        <w:rPr>
          <w:rFonts w:hint="eastAsia" w:ascii="宋体" w:hAnsi="宋体"/>
          <w:b/>
          <w:bCs/>
          <w:color w:val="auto"/>
          <w:sz w:val="24"/>
          <w:szCs w:val="24"/>
          <w:highlight w:val="none"/>
          <w:u w:val="single"/>
        </w:rPr>
      </w:pPr>
      <w:r>
        <w:rPr>
          <w:rFonts w:hint="eastAsia" w:ascii="宋体" w:hAnsi="宋体"/>
          <w:b/>
          <w:bCs/>
          <w:color w:val="auto"/>
          <w:sz w:val="24"/>
          <w:szCs w:val="24"/>
          <w:highlight w:val="none"/>
          <w:lang w:val="en-US" w:eastAsia="zh-CN"/>
        </w:rPr>
        <w:t>标段二招标项目名称：</w:t>
      </w:r>
      <w:r>
        <w:rPr>
          <w:rFonts w:hint="eastAsia" w:ascii="宋体" w:hAnsi="宋体"/>
          <w:b/>
          <w:bCs/>
          <w:color w:val="auto"/>
          <w:sz w:val="24"/>
          <w:szCs w:val="24"/>
          <w:highlight w:val="none"/>
          <w:u w:val="single"/>
        </w:rPr>
        <w:t>红棉大道工程—田心立交至风神立交段工程监理（标段二）</w:t>
      </w:r>
    </w:p>
    <w:p w14:paraId="4D5FC29A">
      <w:pPr>
        <w:tabs>
          <w:tab w:val="left" w:pos="7513"/>
        </w:tabs>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olor w:val="auto"/>
          <w:sz w:val="24"/>
          <w:szCs w:val="24"/>
          <w:highlight w:val="none"/>
        </w:rPr>
        <w:t xml:space="preserve">2.1.3 </w:t>
      </w:r>
      <w:r>
        <w:rPr>
          <w:rFonts w:ascii="宋体" w:hAnsi="宋体"/>
          <w:color w:val="auto"/>
          <w:sz w:val="24"/>
          <w:szCs w:val="24"/>
          <w:highlight w:val="none"/>
        </w:rPr>
        <w:t>工程建设地点：</w:t>
      </w:r>
      <w:r>
        <w:rPr>
          <w:rFonts w:hint="eastAsia" w:ascii="宋体" w:hAnsi="宋体" w:cs="宋体"/>
          <w:color w:val="auto"/>
          <w:sz w:val="24"/>
          <w:szCs w:val="24"/>
          <w:highlight w:val="none"/>
          <w:u w:val="single"/>
          <w:lang w:val="en-US" w:eastAsia="zh-CN"/>
        </w:rPr>
        <w:t>广州市花都区</w:t>
      </w:r>
      <w:r>
        <w:rPr>
          <w:rFonts w:hint="eastAsia" w:ascii="宋体" w:hAnsi="宋体"/>
          <w:color w:val="auto"/>
          <w:sz w:val="24"/>
          <w:szCs w:val="24"/>
          <w:highlight w:val="none"/>
          <w:u w:val="single"/>
        </w:rPr>
        <w:t>。</w:t>
      </w:r>
    </w:p>
    <w:p w14:paraId="677C242D">
      <w:pPr>
        <w:tabs>
          <w:tab w:val="left" w:pos="7513"/>
        </w:tabs>
        <w:wordWrap w:val="0"/>
        <w:spacing w:line="360" w:lineRule="auto"/>
        <w:ind w:firstLine="417" w:firstLineChars="174"/>
        <w:rPr>
          <w:rFonts w:hint="eastAsia" w:ascii="宋体" w:hAnsi="宋体" w:eastAsia="宋体"/>
          <w:color w:val="auto"/>
          <w:sz w:val="24"/>
          <w:szCs w:val="24"/>
          <w:highlight w:val="none"/>
          <w:u w:val="single"/>
          <w:lang w:eastAsia="zh-CN"/>
        </w:rPr>
      </w:pPr>
      <w:r>
        <w:rPr>
          <w:rFonts w:ascii="宋体" w:hAnsi="宋体"/>
          <w:color w:val="auto"/>
          <w:sz w:val="24"/>
          <w:szCs w:val="24"/>
          <w:highlight w:val="none"/>
        </w:rPr>
        <w:t>2.1.</w:t>
      </w:r>
      <w:r>
        <w:rPr>
          <w:rFonts w:hint="eastAsia" w:ascii="宋体" w:hAnsi="宋体"/>
          <w:color w:val="auto"/>
          <w:sz w:val="24"/>
          <w:szCs w:val="24"/>
          <w:highlight w:val="none"/>
        </w:rPr>
        <w:t xml:space="preserve">4 </w:t>
      </w:r>
      <w:r>
        <w:rPr>
          <w:rFonts w:ascii="宋体" w:hAnsi="宋体"/>
          <w:color w:val="auto"/>
          <w:sz w:val="24"/>
          <w:szCs w:val="24"/>
          <w:highlight w:val="none"/>
        </w:rPr>
        <w:t>工程建设规模：</w:t>
      </w:r>
      <w:r>
        <w:rPr>
          <w:rFonts w:hint="eastAsia" w:ascii="宋体" w:hAnsi="宋体"/>
          <w:color w:val="auto"/>
          <w:sz w:val="24"/>
          <w:szCs w:val="24"/>
          <w:highlight w:val="none"/>
          <w:u w:val="single"/>
        </w:rPr>
        <w:t>红棉大道工程—田心立交至风神立交段路线全长约5.92km，规划为城市快速路，道路规划控制红线宽度50m，标准段双向8车道，设计速度60km/h。建设内容包括道路工程、桥梁工程、交通工程、给排水工程、照明及电力管沟工程、绿化工程等</w:t>
      </w:r>
      <w:r>
        <w:rPr>
          <w:rStyle w:val="44"/>
          <w:rFonts w:hint="eastAsia" w:ascii="宋体" w:hAnsi="宋体"/>
          <w:b w:val="0"/>
          <w:bCs/>
          <w:color w:val="auto"/>
          <w:highlight w:val="none"/>
          <w:u w:val="single"/>
        </w:rPr>
        <w:t>。</w:t>
      </w:r>
    </w:p>
    <w:p w14:paraId="7F58FE76">
      <w:pPr>
        <w:tabs>
          <w:tab w:val="left" w:pos="7513"/>
        </w:tabs>
        <w:wordWrap w:val="0"/>
        <w:autoSpaceDE w:val="0"/>
        <w:autoSpaceDN w:val="0"/>
        <w:spacing w:line="360" w:lineRule="auto"/>
        <w:ind w:firstLine="484" w:firstLineChars="202"/>
        <w:rPr>
          <w:rFonts w:hint="eastAsia" w:ascii="宋体" w:hAnsi="宋体"/>
          <w:color w:val="auto"/>
          <w:sz w:val="24"/>
          <w:szCs w:val="24"/>
          <w:highlight w:val="none"/>
          <w:u w:val="single"/>
        </w:rPr>
      </w:pPr>
      <w:r>
        <w:rPr>
          <w:rFonts w:ascii="宋体" w:hAnsi="宋体"/>
          <w:color w:val="auto"/>
          <w:sz w:val="24"/>
          <w:szCs w:val="24"/>
          <w:highlight w:val="none"/>
        </w:rPr>
        <w:t>2.1.</w:t>
      </w:r>
      <w:r>
        <w:rPr>
          <w:rFonts w:hint="eastAsia" w:ascii="宋体" w:hAnsi="宋体"/>
          <w:color w:val="auto"/>
          <w:sz w:val="24"/>
          <w:szCs w:val="24"/>
          <w:highlight w:val="none"/>
        </w:rPr>
        <w:t xml:space="preserve">5 </w:t>
      </w:r>
      <w:r>
        <w:rPr>
          <w:rFonts w:ascii="宋体" w:hAnsi="宋体"/>
          <w:strike w:val="0"/>
          <w:dstrike w:val="0"/>
          <w:color w:val="auto"/>
          <w:sz w:val="24"/>
          <w:szCs w:val="24"/>
          <w:highlight w:val="none"/>
        </w:rPr>
        <w:t>工程</w:t>
      </w:r>
      <w:r>
        <w:rPr>
          <w:rFonts w:hint="eastAsia" w:ascii="宋体" w:hAnsi="宋体"/>
          <w:strike w:val="0"/>
          <w:dstrike w:val="0"/>
          <w:color w:val="auto"/>
          <w:sz w:val="24"/>
          <w:szCs w:val="24"/>
          <w:highlight w:val="none"/>
        </w:rPr>
        <w:t>概算</w:t>
      </w:r>
      <w:r>
        <w:rPr>
          <w:rFonts w:ascii="宋体" w:hAnsi="宋体"/>
          <w:color w:val="auto"/>
          <w:sz w:val="24"/>
          <w:szCs w:val="24"/>
          <w:highlight w:val="none"/>
        </w:rPr>
        <w:t>建筑安装工程费：</w:t>
      </w:r>
      <w:r>
        <w:rPr>
          <w:rFonts w:hint="eastAsia" w:ascii="宋体" w:hAnsi="宋体"/>
          <w:color w:val="auto"/>
          <w:sz w:val="24"/>
          <w:szCs w:val="24"/>
          <w:highlight w:val="none"/>
          <w:u w:val="single"/>
        </w:rPr>
        <w:t>981,597,944.98元</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其中：标段一占比40.4%，标段二占比59.6%</w:t>
      </w:r>
      <w:r>
        <w:rPr>
          <w:rFonts w:hint="eastAsia" w:ascii="宋体" w:hAnsi="宋体"/>
          <w:color w:val="auto"/>
          <w:sz w:val="24"/>
          <w:szCs w:val="24"/>
          <w:highlight w:val="none"/>
          <w:u w:val="single"/>
        </w:rPr>
        <w:t>。</w:t>
      </w:r>
    </w:p>
    <w:p w14:paraId="33EB186D">
      <w:pPr>
        <w:tabs>
          <w:tab w:val="left" w:pos="7513"/>
        </w:tabs>
        <w:wordWrap w:val="0"/>
        <w:spacing w:line="360" w:lineRule="auto"/>
        <w:ind w:firstLine="484" w:firstLineChars="202"/>
        <w:rPr>
          <w:rFonts w:hint="eastAsia" w:ascii="宋体" w:hAns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 xml:space="preserve"> </w:t>
      </w:r>
      <w:r>
        <w:rPr>
          <w:rFonts w:ascii="宋体" w:hAnsi="宋体"/>
          <w:color w:val="auto"/>
          <w:sz w:val="24"/>
          <w:szCs w:val="24"/>
          <w:highlight w:val="none"/>
        </w:rPr>
        <w:t>招标范围</w:t>
      </w:r>
      <w:bookmarkEnd w:id="35"/>
    </w:p>
    <w:p w14:paraId="5D14EA0F">
      <w:pPr>
        <w:tabs>
          <w:tab w:val="left" w:pos="7513"/>
        </w:tabs>
        <w:wordWrap w:val="0"/>
        <w:spacing w:line="360" w:lineRule="auto"/>
        <w:ind w:firstLine="484" w:firstLineChars="202"/>
        <w:rPr>
          <w:rFonts w:hint="eastAsia" w:ascii="宋体" w:hAnsi="宋体" w:cs="宋体"/>
          <w:color w:val="auto"/>
          <w:sz w:val="24"/>
          <w:szCs w:val="24"/>
          <w:highlight w:val="none"/>
          <w:u w:val="single"/>
        </w:rPr>
      </w:pPr>
      <w:r>
        <w:rPr>
          <w:rFonts w:ascii="宋体" w:hAnsi="宋体"/>
          <w:color w:val="auto"/>
          <w:sz w:val="24"/>
          <w:szCs w:val="24"/>
          <w:highlight w:val="none"/>
        </w:rPr>
        <w:t>2.2.1</w:t>
      </w:r>
      <w:r>
        <w:rPr>
          <w:rFonts w:hint="eastAsia" w:ascii="宋体" w:hAnsi="宋体"/>
          <w:color w:val="auto"/>
          <w:sz w:val="24"/>
          <w:szCs w:val="24"/>
          <w:highlight w:val="none"/>
        </w:rPr>
        <w:t>监理</w:t>
      </w:r>
      <w:r>
        <w:rPr>
          <w:rFonts w:ascii="宋体" w:hAnsi="宋体"/>
          <w:color w:val="auto"/>
          <w:sz w:val="24"/>
          <w:szCs w:val="24"/>
          <w:highlight w:val="none"/>
        </w:rPr>
        <w:t>标段划分：</w:t>
      </w:r>
      <w:r>
        <w:rPr>
          <w:rFonts w:hint="eastAsia" w:ascii="宋体" w:hAnsi="宋体" w:cs="宋体"/>
          <w:color w:val="auto"/>
          <w:kern w:val="0"/>
          <w:sz w:val="24"/>
          <w:szCs w:val="24"/>
          <w:highlight w:val="none"/>
          <w:u w:val="single"/>
          <w:lang w:val="en-US" w:eastAsia="zh-CN"/>
        </w:rPr>
        <w:t>2</w:t>
      </w:r>
      <w:r>
        <w:rPr>
          <w:rFonts w:hint="eastAsia" w:ascii="宋体" w:hAnsi="宋体" w:cs="宋体"/>
          <w:color w:val="auto"/>
          <w:kern w:val="0"/>
          <w:sz w:val="24"/>
          <w:szCs w:val="24"/>
          <w:highlight w:val="none"/>
        </w:rPr>
        <w:t>个标段</w:t>
      </w:r>
      <w:r>
        <w:rPr>
          <w:rFonts w:hint="eastAsia" w:ascii="宋体" w:hAnsi="宋体" w:cs="宋体"/>
          <w:color w:val="auto"/>
          <w:kern w:val="0"/>
          <w:sz w:val="24"/>
          <w:szCs w:val="24"/>
          <w:highlight w:val="none"/>
          <w:u w:val="single"/>
        </w:rPr>
        <w:t>，各标段项目名称、工程建设规模、</w:t>
      </w:r>
      <w:r>
        <w:rPr>
          <w:rFonts w:hint="eastAsia" w:ascii="宋体" w:hAnsi="宋体" w:cs="宋体"/>
          <w:color w:val="auto"/>
          <w:kern w:val="0"/>
          <w:sz w:val="24"/>
          <w:szCs w:val="24"/>
          <w:highlight w:val="none"/>
          <w:u w:val="single"/>
          <w:lang w:val="en-US" w:eastAsia="zh-CN"/>
        </w:rPr>
        <w:t>监理服务范围</w:t>
      </w:r>
      <w:r>
        <w:rPr>
          <w:rFonts w:hint="eastAsia" w:ascii="宋体" w:hAnsi="宋体" w:cs="宋体"/>
          <w:color w:val="auto"/>
          <w:kern w:val="0"/>
          <w:sz w:val="24"/>
          <w:szCs w:val="24"/>
          <w:highlight w:val="none"/>
          <w:u w:val="single"/>
        </w:rPr>
        <w:t>及最高投标限价内容如下：</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215"/>
        <w:gridCol w:w="5762"/>
        <w:gridCol w:w="1378"/>
      </w:tblGrid>
      <w:tr w14:paraId="70E2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0" w:type="pct"/>
            <w:vAlign w:val="center"/>
          </w:tcPr>
          <w:p w14:paraId="4B48C44D">
            <w:pPr>
              <w:keepNext w:val="0"/>
              <w:keepLines w:val="0"/>
              <w:pageBreakBefore w:val="0"/>
              <w:widowControl w:val="0"/>
              <w:kinsoku/>
              <w:wordWrap/>
              <w:overflowPunct/>
              <w:topLinePunct w:val="0"/>
              <w:autoSpaceDE/>
              <w:autoSpaceDN w:val="0"/>
              <w:bidi w:val="0"/>
              <w:adjustRightInd/>
              <w:snapToGrid/>
              <w:spacing w:line="240" w:lineRule="auto"/>
              <w:ind w:right="0" w:rightChars="0"/>
              <w:jc w:val="center"/>
              <w:textAlignment w:val="auto"/>
              <w:rPr>
                <w:rFonts w:hint="eastAsia" w:ascii="宋体" w:hAnsi="宋体" w:eastAsia="宋体" w:cs="宋体"/>
                <w:b/>
                <w:bCs/>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vertAlign w:val="baseline"/>
                <w:lang w:val="en-US" w:eastAsia="zh-CN"/>
              </w:rPr>
              <w:t>标段号</w:t>
            </w:r>
          </w:p>
        </w:tc>
        <w:tc>
          <w:tcPr>
            <w:tcW w:w="657" w:type="pct"/>
            <w:vAlign w:val="center"/>
          </w:tcPr>
          <w:p w14:paraId="397EAE47">
            <w:pPr>
              <w:keepNext w:val="0"/>
              <w:keepLines w:val="0"/>
              <w:pageBreakBefore w:val="0"/>
              <w:widowControl w:val="0"/>
              <w:kinsoku/>
              <w:wordWrap/>
              <w:overflowPunct/>
              <w:topLinePunct w:val="0"/>
              <w:autoSpaceDE/>
              <w:autoSpaceDN w:val="0"/>
              <w:bidi w:val="0"/>
              <w:adjustRightInd/>
              <w:snapToGrid/>
              <w:spacing w:line="240" w:lineRule="auto"/>
              <w:ind w:right="0" w:rightChars="0"/>
              <w:jc w:val="center"/>
              <w:textAlignment w:val="auto"/>
              <w:rPr>
                <w:rFonts w:hint="eastAsia" w:ascii="宋体" w:hAnsi="宋体" w:eastAsia="宋体" w:cs="宋体"/>
                <w:b/>
                <w:bCs/>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rPr>
              <w:t>标段项目名称</w:t>
            </w:r>
          </w:p>
        </w:tc>
        <w:tc>
          <w:tcPr>
            <w:tcW w:w="3115" w:type="pct"/>
            <w:vAlign w:val="center"/>
          </w:tcPr>
          <w:p w14:paraId="7DD2811A">
            <w:pPr>
              <w:keepNext w:val="0"/>
              <w:keepLines w:val="0"/>
              <w:pageBreakBefore w:val="0"/>
              <w:widowControl w:val="0"/>
              <w:kinsoku/>
              <w:wordWrap/>
              <w:overflowPunct/>
              <w:topLinePunct w:val="0"/>
              <w:autoSpaceDE/>
              <w:autoSpaceDN w:val="0"/>
              <w:bidi w:val="0"/>
              <w:adjustRightInd/>
              <w:snapToGrid/>
              <w:spacing w:line="240" w:lineRule="auto"/>
              <w:ind w:right="0" w:rightChars="0"/>
              <w:jc w:val="center"/>
              <w:textAlignment w:val="auto"/>
              <w:rPr>
                <w:rFonts w:hint="eastAsia" w:ascii="宋体" w:hAnsi="宋体" w:eastAsia="宋体" w:cs="宋体"/>
                <w:b/>
                <w:bCs/>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vertAlign w:val="baseline"/>
                <w:lang w:val="en-US" w:eastAsia="zh-CN"/>
              </w:rPr>
              <w:t>工程建设规模</w:t>
            </w:r>
          </w:p>
        </w:tc>
        <w:tc>
          <w:tcPr>
            <w:tcW w:w="745" w:type="pct"/>
            <w:vAlign w:val="center"/>
          </w:tcPr>
          <w:p w14:paraId="3D02019A">
            <w:pPr>
              <w:keepNext w:val="0"/>
              <w:keepLines w:val="0"/>
              <w:pageBreakBefore w:val="0"/>
              <w:widowControl w:val="0"/>
              <w:kinsoku/>
              <w:wordWrap/>
              <w:overflowPunct/>
              <w:topLinePunct w:val="0"/>
              <w:autoSpaceDE/>
              <w:autoSpaceDN w:val="0"/>
              <w:bidi w:val="0"/>
              <w:adjustRightInd/>
              <w:snapToGrid/>
              <w:spacing w:line="240" w:lineRule="auto"/>
              <w:ind w:right="0" w:rightChars="0"/>
              <w:jc w:val="center"/>
              <w:textAlignment w:val="auto"/>
              <w:rPr>
                <w:rFonts w:hint="eastAsia" w:ascii="宋体" w:hAnsi="宋体" w:eastAsia="宋体" w:cs="宋体"/>
                <w:b/>
                <w:bCs/>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rPr>
              <w:t>最高投标限价</w:t>
            </w:r>
          </w:p>
        </w:tc>
      </w:tr>
      <w:tr w14:paraId="25AC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0122B8AC">
            <w:pPr>
              <w:keepNext w:val="0"/>
              <w:keepLines w:val="0"/>
              <w:pageBreakBefore w:val="0"/>
              <w:widowControl w:val="0"/>
              <w:kinsoku/>
              <w:wordWrap/>
              <w:overflowPunct/>
              <w:topLinePunct w:val="0"/>
              <w:autoSpaceDE/>
              <w:autoSpaceDN w:val="0"/>
              <w:bidi w:val="0"/>
              <w:adjustRightInd/>
              <w:snapToGrid/>
              <w:spacing w:line="240" w:lineRule="auto"/>
              <w:ind w:right="0" w:rightChars="0"/>
              <w:jc w:val="center"/>
              <w:textAlignment w:val="auto"/>
              <w:rPr>
                <w:rFonts w:hint="eastAsia" w:ascii="宋体" w:hAnsi="宋体" w:cs="宋体"/>
                <w:b w:val="0"/>
                <w:bCs w:val="0"/>
                <w:color w:val="auto"/>
                <w:sz w:val="21"/>
                <w:szCs w:val="21"/>
                <w:highlight w:val="none"/>
                <w:u w:val="none"/>
                <w:vertAlign w:val="baseline"/>
                <w:lang w:val="en-US" w:eastAsia="zh-CN"/>
              </w:rPr>
            </w:pPr>
            <w:bookmarkStart w:id="96" w:name="_GoBack" w:colFirst="3" w:colLast="3"/>
            <w:r>
              <w:rPr>
                <w:rFonts w:hint="eastAsia" w:ascii="宋体" w:hAnsi="宋体" w:cs="宋体"/>
                <w:b w:val="0"/>
                <w:bCs w:val="0"/>
                <w:color w:val="auto"/>
                <w:sz w:val="21"/>
                <w:szCs w:val="21"/>
                <w:highlight w:val="none"/>
                <w:u w:val="none"/>
                <w:vertAlign w:val="baseline"/>
                <w:lang w:val="en-US" w:eastAsia="zh-CN"/>
              </w:rPr>
              <w:t>标段一</w:t>
            </w:r>
          </w:p>
        </w:tc>
        <w:tc>
          <w:tcPr>
            <w:tcW w:w="657" w:type="pct"/>
            <w:vAlign w:val="center"/>
          </w:tcPr>
          <w:p w14:paraId="78E5CDDD">
            <w:pPr>
              <w:keepNext w:val="0"/>
              <w:keepLines w:val="0"/>
              <w:pageBreakBefore w:val="0"/>
              <w:widowControl w:val="0"/>
              <w:kinsoku/>
              <w:wordWrap/>
              <w:overflowPunct/>
              <w:topLinePunct w:val="0"/>
              <w:autoSpaceDE/>
              <w:autoSpaceDN w:val="0"/>
              <w:bidi w:val="0"/>
              <w:adjustRightInd/>
              <w:snapToGrid/>
              <w:spacing w:line="240" w:lineRule="auto"/>
              <w:ind w:right="0" w:rightChars="0"/>
              <w:jc w:val="both"/>
              <w:textAlignment w:val="auto"/>
              <w:rPr>
                <w:rFonts w:hint="eastAsia" w:ascii="宋体" w:hAnsi="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红棉大道工程—田心立交至风神立交段工程监理（标段一）</w:t>
            </w:r>
          </w:p>
        </w:tc>
        <w:tc>
          <w:tcPr>
            <w:tcW w:w="3115" w:type="pct"/>
            <w:vAlign w:val="center"/>
          </w:tcPr>
          <w:p w14:paraId="0E3370EF">
            <w:pPr>
              <w:keepNext w:val="0"/>
              <w:keepLines w:val="0"/>
              <w:pageBreakBefore w:val="0"/>
              <w:widowControl w:val="0"/>
              <w:kinsoku/>
              <w:wordWrap/>
              <w:overflowPunct/>
              <w:topLinePunct w:val="0"/>
              <w:autoSpaceDE/>
              <w:autoSpaceDN w:val="0"/>
              <w:bidi w:val="0"/>
              <w:adjustRightInd/>
              <w:snapToGrid/>
              <w:spacing w:line="240" w:lineRule="auto"/>
              <w:ind w:right="0" w:rightChars="0"/>
              <w:jc w:val="both"/>
              <w:textAlignment w:val="auto"/>
              <w:rPr>
                <w:rFonts w:hint="eastAsia" w:ascii="宋体" w:hAnsi="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工程建设规模：桩号范围为K4+590~K7+580、K8+600~K9+390、K10+070~K10+510.584，路线总长4.22km，规划为城市快速路。道路规划控制红线宽度50m，标准段双向8车道，设计速度60km/h，包含田心路立交一座互通立交。建设内容包含：道路工程、桥梁工程交通工程、给水工程、排水工程、照明工程、电力管沟工程、绿化工程等。</w:t>
            </w:r>
          </w:p>
          <w:p w14:paraId="53D4BAA3">
            <w:pPr>
              <w:keepNext w:val="0"/>
              <w:keepLines w:val="0"/>
              <w:pageBreakBefore w:val="0"/>
              <w:widowControl w:val="0"/>
              <w:kinsoku/>
              <w:wordWrap/>
              <w:overflowPunct/>
              <w:topLinePunct w:val="0"/>
              <w:autoSpaceDE/>
              <w:autoSpaceDN w:val="0"/>
              <w:bidi w:val="0"/>
              <w:adjustRightInd/>
              <w:snapToGrid/>
              <w:spacing w:line="240" w:lineRule="auto"/>
              <w:ind w:right="0" w:rightChars="0"/>
              <w:jc w:val="both"/>
              <w:textAlignment w:val="auto"/>
              <w:rPr>
                <w:rFonts w:hint="eastAsia" w:ascii="宋体" w:hAnsi="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监理服务范围：本标段施工准备阶段、工程施工阶段、竣工结算阶段和工程保修阶段的全部监理服务工作，包括质量控制、投资控制、工程量确认、进度控制、组织协调、合同及信息管理、安全文明、结算管理等。</w:t>
            </w:r>
          </w:p>
        </w:tc>
        <w:tc>
          <w:tcPr>
            <w:tcW w:w="745" w:type="pct"/>
            <w:vAlign w:val="center"/>
          </w:tcPr>
          <w:p w14:paraId="2078D23A">
            <w:pPr>
              <w:keepNext w:val="0"/>
              <w:keepLines w:val="0"/>
              <w:pageBreakBefore w:val="0"/>
              <w:widowControl w:val="0"/>
              <w:kinsoku/>
              <w:wordWrap/>
              <w:overflowPunct/>
              <w:topLinePunct w:val="0"/>
              <w:autoSpaceDE/>
              <w:autoSpaceDN w:val="0"/>
              <w:bidi w:val="0"/>
              <w:adjustRightInd/>
              <w:snapToGrid/>
              <w:spacing w:line="240" w:lineRule="auto"/>
              <w:ind w:right="0" w:rightChars="0"/>
              <w:jc w:val="both"/>
              <w:textAlignment w:val="auto"/>
              <w:rPr>
                <w:rFonts w:hint="eastAsia" w:ascii="宋体" w:hAnsi="宋体" w:cs="宋体"/>
                <w:b/>
                <w:bCs/>
                <w:color w:val="auto"/>
                <w:sz w:val="21"/>
                <w:szCs w:val="21"/>
                <w:highlight w:val="none"/>
                <w:u w:val="none"/>
                <w:vertAlign w:val="baseline"/>
                <w:lang w:val="en-US" w:eastAsia="zh-CN"/>
              </w:rPr>
            </w:pPr>
            <w:r>
              <w:rPr>
                <w:rFonts w:hint="eastAsia" w:ascii="宋体" w:hAnsi="宋体" w:cs="宋体"/>
                <w:b/>
                <w:bCs/>
                <w:color w:val="auto"/>
                <w:sz w:val="21"/>
                <w:szCs w:val="21"/>
                <w:highlight w:val="none"/>
                <w:u w:val="none"/>
                <w:vertAlign w:val="baseline"/>
                <w:lang w:val="en-US" w:eastAsia="zh-CN"/>
              </w:rPr>
              <w:t>539.54万元</w:t>
            </w:r>
          </w:p>
        </w:tc>
      </w:tr>
      <w:bookmarkEnd w:id="96"/>
      <w:tr w14:paraId="4FFA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pct"/>
            <w:vAlign w:val="center"/>
          </w:tcPr>
          <w:p w14:paraId="308EE4BD">
            <w:pPr>
              <w:keepNext w:val="0"/>
              <w:keepLines w:val="0"/>
              <w:pageBreakBefore w:val="0"/>
              <w:widowControl w:val="0"/>
              <w:kinsoku/>
              <w:wordWrap/>
              <w:overflowPunct/>
              <w:topLinePunct w:val="0"/>
              <w:autoSpaceDE/>
              <w:autoSpaceDN w:val="0"/>
              <w:bidi w:val="0"/>
              <w:adjustRightInd/>
              <w:snapToGrid/>
              <w:spacing w:line="240" w:lineRule="auto"/>
              <w:ind w:right="0" w:rightChars="0"/>
              <w:jc w:val="center"/>
              <w:textAlignment w:val="auto"/>
              <w:rPr>
                <w:rFonts w:hint="eastAsia" w:ascii="宋体" w:hAnsi="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标段二</w:t>
            </w:r>
          </w:p>
        </w:tc>
        <w:tc>
          <w:tcPr>
            <w:tcW w:w="657" w:type="pct"/>
            <w:vAlign w:val="center"/>
          </w:tcPr>
          <w:p w14:paraId="56CEC3CB">
            <w:pPr>
              <w:keepNext w:val="0"/>
              <w:keepLines w:val="0"/>
              <w:pageBreakBefore w:val="0"/>
              <w:widowControl w:val="0"/>
              <w:kinsoku/>
              <w:wordWrap/>
              <w:overflowPunct/>
              <w:topLinePunct w:val="0"/>
              <w:autoSpaceDE/>
              <w:autoSpaceDN w:val="0"/>
              <w:bidi w:val="0"/>
              <w:adjustRightInd/>
              <w:snapToGrid/>
              <w:spacing w:line="240" w:lineRule="auto"/>
              <w:ind w:right="0" w:rightChars="0"/>
              <w:jc w:val="both"/>
              <w:textAlignment w:val="auto"/>
              <w:rPr>
                <w:rFonts w:hint="eastAsia" w:ascii="宋体" w:hAnsi="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红棉大道工程—田心立交至风神立交段工程监理（标段二）</w:t>
            </w:r>
          </w:p>
        </w:tc>
        <w:tc>
          <w:tcPr>
            <w:tcW w:w="3115" w:type="pct"/>
            <w:vAlign w:val="center"/>
          </w:tcPr>
          <w:p w14:paraId="1C2CAF01">
            <w:pPr>
              <w:keepNext w:val="0"/>
              <w:keepLines w:val="0"/>
              <w:pageBreakBefore w:val="0"/>
              <w:widowControl w:val="0"/>
              <w:kinsoku/>
              <w:wordWrap/>
              <w:overflowPunct/>
              <w:topLinePunct w:val="0"/>
              <w:autoSpaceDE/>
              <w:autoSpaceDN w:val="0"/>
              <w:bidi w:val="0"/>
              <w:adjustRightInd/>
              <w:snapToGrid/>
              <w:spacing w:line="240" w:lineRule="auto"/>
              <w:ind w:right="0" w:rightChars="0"/>
              <w:jc w:val="both"/>
              <w:textAlignment w:val="auto"/>
              <w:rPr>
                <w:rFonts w:hint="eastAsia" w:ascii="宋体" w:hAnsi="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工程建设规模：桩号范围为K7+580~K8+600、K9+390~K10+070，路线总长1.7km，规划为城市快速路。道路规划控制红线宽度50m，标准段双向8车道，设计速度60km/h，包含花都大道立交及迎宾大道立交两座互通立交。建设内容包含：道路工程、桥梁工程、交通工程、给水工程、排水工程、照明工程、电力管沟工程、绿化工程等。</w:t>
            </w:r>
          </w:p>
          <w:p w14:paraId="3E4F5FCC">
            <w:pPr>
              <w:keepNext w:val="0"/>
              <w:keepLines w:val="0"/>
              <w:pageBreakBefore w:val="0"/>
              <w:widowControl w:val="0"/>
              <w:kinsoku/>
              <w:wordWrap/>
              <w:overflowPunct/>
              <w:topLinePunct w:val="0"/>
              <w:autoSpaceDE/>
              <w:autoSpaceDN w:val="0"/>
              <w:bidi w:val="0"/>
              <w:adjustRightInd/>
              <w:snapToGrid/>
              <w:spacing w:line="240" w:lineRule="auto"/>
              <w:ind w:right="0" w:rightChars="0"/>
              <w:jc w:val="both"/>
              <w:textAlignment w:val="auto"/>
              <w:rPr>
                <w:rFonts w:hint="eastAsia" w:ascii="宋体" w:hAnsi="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监理服务范围：本标段施工准备阶段、工程施工阶段、竣工结算阶段和工程保修阶段的全部监理服务工作，包括质量控制、投资控制、工程量确认、进度控制、组织协调、合同及信息管理、安全文明、结算管理等。</w:t>
            </w:r>
          </w:p>
        </w:tc>
        <w:tc>
          <w:tcPr>
            <w:tcW w:w="745" w:type="pct"/>
            <w:vAlign w:val="center"/>
          </w:tcPr>
          <w:p w14:paraId="131FBF72">
            <w:pPr>
              <w:keepNext w:val="0"/>
              <w:keepLines w:val="0"/>
              <w:pageBreakBefore w:val="0"/>
              <w:widowControl w:val="0"/>
              <w:kinsoku/>
              <w:wordWrap/>
              <w:overflowPunct/>
              <w:topLinePunct w:val="0"/>
              <w:autoSpaceDE/>
              <w:autoSpaceDN w:val="0"/>
              <w:bidi w:val="0"/>
              <w:adjustRightInd/>
              <w:snapToGrid/>
              <w:spacing w:line="240" w:lineRule="auto"/>
              <w:ind w:right="0" w:rightChars="0"/>
              <w:jc w:val="both"/>
              <w:textAlignment w:val="auto"/>
              <w:rPr>
                <w:rFonts w:hint="eastAsia" w:ascii="宋体" w:hAnsi="宋体" w:cs="宋体"/>
                <w:b/>
                <w:bCs/>
                <w:color w:val="auto"/>
                <w:sz w:val="21"/>
                <w:szCs w:val="21"/>
                <w:highlight w:val="none"/>
                <w:u w:val="none"/>
                <w:vertAlign w:val="baseline"/>
                <w:lang w:val="en-US" w:eastAsia="zh-CN"/>
              </w:rPr>
            </w:pPr>
            <w:r>
              <w:rPr>
                <w:rFonts w:hint="eastAsia" w:ascii="宋体" w:hAnsi="宋体" w:cs="宋体"/>
                <w:b/>
                <w:bCs/>
                <w:color w:val="auto"/>
                <w:sz w:val="21"/>
                <w:szCs w:val="21"/>
                <w:highlight w:val="none"/>
                <w:u w:val="none"/>
                <w:vertAlign w:val="baseline"/>
                <w:lang w:val="en-US" w:eastAsia="zh-CN"/>
              </w:rPr>
              <w:t>795.95万元</w:t>
            </w:r>
          </w:p>
        </w:tc>
      </w:tr>
    </w:tbl>
    <w:p w14:paraId="036A9F45">
      <w:pPr>
        <w:tabs>
          <w:tab w:val="left" w:pos="7513"/>
        </w:tabs>
        <w:wordWrap w:val="0"/>
        <w:spacing w:line="360" w:lineRule="auto"/>
        <w:ind w:firstLine="487" w:firstLineChars="202"/>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rPr>
        <w:t>注：本次招标设</w:t>
      </w:r>
      <w:r>
        <w:rPr>
          <w:rFonts w:hint="eastAsia" w:ascii="宋体" w:hAnsi="宋体"/>
          <w:b/>
          <w:bCs/>
          <w:color w:val="auto"/>
          <w:sz w:val="24"/>
          <w:szCs w:val="24"/>
          <w:highlight w:val="none"/>
          <w:u w:val="single"/>
          <w:lang w:val="en-US" w:eastAsia="zh-CN"/>
        </w:rPr>
        <w:t>2</w:t>
      </w:r>
      <w:r>
        <w:rPr>
          <w:rFonts w:hint="eastAsia" w:ascii="宋体" w:hAnsi="宋体"/>
          <w:b/>
          <w:bCs/>
          <w:color w:val="auto"/>
          <w:sz w:val="24"/>
          <w:szCs w:val="24"/>
          <w:highlight w:val="none"/>
          <w:u w:val="single"/>
        </w:rPr>
        <w:t>个标段，本项目招标公告及招标文件中所列要求，除已明示仅适用于某一标段的外，其余内容均适用于本项目下所有标段。</w:t>
      </w:r>
    </w:p>
    <w:p w14:paraId="42931514">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投标人可以参加一个或一个以上标段的投标，但兼投不兼中，只能中其中一个标段。如投标人同时参加多个标段投标的，须按标段分别进行投标登记、分别编制投标文件。同时参加多个标段投标的投标人可只委派1名项目负责人（总监理工程师）、同一个项目管理团队参加投标。中标人推荐原则如下：</w:t>
      </w:r>
    </w:p>
    <w:p w14:paraId="28CC6775">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1）若某一投标人在多个标段中同时评审排名第一，则按照优先中最高投标限价较大标段的原则，将其确定为最高投标限价较大标段的第一中标候选人，同时，视为自动放弃其余标段的第一中标候选人资格，其余标段经评审的第二名上升递补成为第一中标候选人，以此类推。</w:t>
      </w:r>
    </w:p>
    <w:p w14:paraId="070CBC12">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（2）若某一投标人在其中一个标段成为第一中标候选人，则自动放弃其余标段的第二、第三中标候选人资格，经评审的后续排名单位上升递补成为第二或第三中标候选人，以此类推。</w:t>
      </w:r>
    </w:p>
    <w:p w14:paraId="70AA0B88">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3）如果出现某标段的第一中标候选人放弃中标或因其他原因被取消中标资格的，仅在该标段内按照已确定的中标候选人顺序依次上升替补定标，以此类推；若替补上来的中标候选人已成为其他标段的第一中标候选人或中标人，则该单位不得成为该标段的中标人，由该标段排名其后的中标候选人上升替补定标，并以此类推；若该标段所有中标候选人都不能成为中标人，则该标段招标失败，招标人分析招标失败原因，修正招标方案，重新组织招标。</w:t>
      </w:r>
    </w:p>
    <w:p w14:paraId="5A704CB8">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（4）若某标段在确定中标候选人后，因其他原因导致该标段重新招标或中标通知书尚未发出，将不影响其他标段中标人的确定。</w:t>
      </w:r>
    </w:p>
    <w:p w14:paraId="0673B577">
      <w:pPr>
        <w:tabs>
          <w:tab w:val="left" w:pos="7513"/>
        </w:tabs>
        <w:wordWrap w:val="0"/>
        <w:spacing w:line="360" w:lineRule="auto"/>
        <w:ind w:firstLine="484" w:firstLineChars="202"/>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rPr>
        <w:t>（5）若某标段招标失败不影响另一标段的开标、评标、定标等工作，另一标段的中标候选人按评审排名的先后顺序依次确定。若某标段招标失败而重新招标的，另一标段的中标人不能再成为该项目重新招标标段的中标人。</w:t>
      </w:r>
    </w:p>
    <w:p w14:paraId="066420D6">
      <w:pPr>
        <w:tabs>
          <w:tab w:val="left" w:pos="7513"/>
        </w:tabs>
        <w:wordWrap w:val="0"/>
        <w:spacing w:line="360" w:lineRule="auto"/>
        <w:ind w:firstLine="484" w:firstLineChars="202"/>
        <w:rPr>
          <w:rFonts w:hint="eastAsia"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lang w:val="en-US" w:eastAsia="zh-CN"/>
        </w:rPr>
        <w:t>招标</w:t>
      </w:r>
      <w:r>
        <w:rPr>
          <w:rFonts w:ascii="宋体" w:hAnsi="宋体"/>
          <w:color w:val="auto"/>
          <w:sz w:val="24"/>
          <w:szCs w:val="24"/>
          <w:highlight w:val="none"/>
        </w:rPr>
        <w:t>范围：</w:t>
      </w:r>
      <w:r>
        <w:rPr>
          <w:rFonts w:hint="eastAsia" w:ascii="宋体" w:hAnsi="宋体"/>
          <w:color w:val="auto"/>
          <w:sz w:val="24"/>
          <w:szCs w:val="24"/>
          <w:highlight w:val="none"/>
          <w:u w:val="single"/>
        </w:rPr>
        <w:t>本工程施工准备阶段、工程施工阶段、竣工结算阶段和工程保修阶段的全部监理服务工作，包括质量控制、投资控制、工程量确认、进度控制、组织协调、合同及信息管理、安全文明、结算管理等。</w:t>
      </w:r>
    </w:p>
    <w:p w14:paraId="15131CA8">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ascii="宋体" w:hAnsi="宋体"/>
          <w:color w:val="auto"/>
          <w:sz w:val="24"/>
          <w:szCs w:val="24"/>
          <w:highlight w:val="none"/>
        </w:rPr>
        <w:t>2.2.3监理服务期：</w:t>
      </w:r>
      <w:r>
        <w:rPr>
          <w:rFonts w:hint="eastAsia" w:ascii="宋体" w:hAnsi="宋体"/>
          <w:color w:val="auto"/>
          <w:sz w:val="24"/>
          <w:szCs w:val="24"/>
          <w:highlight w:val="none"/>
          <w:u w:val="single"/>
        </w:rPr>
        <w:t>自本项目合同经双方法定代表人或法人授权代表签字盖章生效后，到本项目结束</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包括完成监理合同规定的全部监理服务工作</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止。</w:t>
      </w:r>
    </w:p>
    <w:p w14:paraId="305DC101">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（1）施工准备阶段服务期：配合业主方施工前期的准备工作；</w:t>
      </w:r>
    </w:p>
    <w:p w14:paraId="7710B212">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（2）施工阶段监理服务期：从下达开工令之日起至施工项目全部完工并办理竣工验收、备案管理为止；</w:t>
      </w:r>
    </w:p>
    <w:p w14:paraId="2AF1A734">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（3）竣工结算期：从结算送审到区财政投资评审中心审定为止；</w:t>
      </w:r>
    </w:p>
    <w:p w14:paraId="2CBA1415">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（4）保修阶段监理服务期：从工程竣工验收合格、备案管理完成之日起计，按对应施工合同的有关规定，至保修期满无质量缺陷为止。</w:t>
      </w:r>
    </w:p>
    <w:p w14:paraId="1892D854">
      <w:pPr>
        <w:tabs>
          <w:tab w:val="left" w:pos="7513"/>
        </w:tabs>
        <w:wordWrap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即自项目开工前一个月开始介入至竣工验收合格、竣工资料归档完毕，并按国家现行法律法规规定提供质保期内的监理服务。</w:t>
      </w:r>
    </w:p>
    <w:p w14:paraId="712437E2">
      <w:pPr>
        <w:tabs>
          <w:tab w:val="left" w:pos="7513"/>
        </w:tabs>
        <w:wordWrap w:val="0"/>
        <w:spacing w:line="360" w:lineRule="auto"/>
        <w:ind w:firstLine="484" w:firstLineChars="202"/>
        <w:rPr>
          <w:rFonts w:hint="eastAsia" w:ascii="宋体" w:hAns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4</w:t>
      </w:r>
      <w:r>
        <w:rPr>
          <w:rFonts w:ascii="宋体" w:hAnsi="宋体"/>
          <w:color w:val="auto"/>
          <w:sz w:val="24"/>
          <w:szCs w:val="24"/>
          <w:highlight w:val="none"/>
        </w:rPr>
        <w:t>监理服务</w:t>
      </w:r>
      <w:r>
        <w:rPr>
          <w:rFonts w:hint="eastAsia" w:ascii="宋体" w:hAnsi="宋体"/>
          <w:color w:val="auto"/>
          <w:sz w:val="24"/>
          <w:szCs w:val="24"/>
          <w:highlight w:val="none"/>
        </w:rPr>
        <w:t>阶段</w:t>
      </w:r>
      <w:r>
        <w:rPr>
          <w:rFonts w:ascii="宋体" w:hAnsi="宋体"/>
          <w:color w:val="auto"/>
          <w:sz w:val="24"/>
          <w:szCs w:val="24"/>
          <w:highlight w:val="none"/>
        </w:rPr>
        <w:t>：</w:t>
      </w:r>
      <w:r>
        <w:rPr>
          <w:rFonts w:hint="eastAsia" w:ascii="宋体" w:hAnsi="宋体"/>
          <w:color w:val="auto"/>
          <w:sz w:val="24"/>
          <w:szCs w:val="24"/>
          <w:highlight w:val="none"/>
          <w:u w:val="single"/>
        </w:rPr>
        <w:t>包括本工程施工准备阶段、工程施工阶段、竣工结算阶段和工程保修阶段的全部监理服务工作，包括质量控制、投资控制、工程量确认、进度控制、组织协调、合同及信息管理、安全文明、结算管理等。</w:t>
      </w:r>
    </w:p>
    <w:p w14:paraId="1580C30E">
      <w:pPr>
        <w:tabs>
          <w:tab w:val="left" w:pos="7513"/>
        </w:tabs>
        <w:wordWrap w:val="0"/>
        <w:spacing w:line="360" w:lineRule="auto"/>
        <w:ind w:firstLine="484" w:firstLineChars="202"/>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2.2.5</w:t>
      </w:r>
      <w:r>
        <w:rPr>
          <w:rFonts w:ascii="宋体" w:hAnsi="宋体"/>
          <w:color w:val="auto"/>
          <w:sz w:val="24"/>
          <w:szCs w:val="24"/>
          <w:highlight w:val="none"/>
        </w:rPr>
        <w:t>监理服务最高投标限价：</w:t>
      </w:r>
      <w:r>
        <w:rPr>
          <w:rFonts w:hint="eastAsia" w:ascii="宋体" w:hAnsi="宋体"/>
          <w:color w:val="auto"/>
          <w:sz w:val="24"/>
          <w:szCs w:val="24"/>
          <w:highlight w:val="none"/>
          <w:u w:val="single"/>
        </w:rPr>
        <w:t>红棉大道工程—田心立交至风神立交段工程监理（标段一）</w:t>
      </w:r>
      <w:r>
        <w:rPr>
          <w:rFonts w:hint="eastAsia" w:ascii="宋体" w:hAnsi="宋体"/>
          <w:color w:val="auto"/>
          <w:sz w:val="24"/>
          <w:szCs w:val="24"/>
          <w:highlight w:val="none"/>
          <w:u w:val="single"/>
          <w:lang w:val="en-US" w:eastAsia="zh-CN"/>
        </w:rPr>
        <w:t>监理服务费</w:t>
      </w:r>
      <w:r>
        <w:rPr>
          <w:rFonts w:ascii="宋体" w:hAnsi="宋体"/>
          <w:color w:val="auto"/>
          <w:sz w:val="24"/>
          <w:szCs w:val="24"/>
          <w:highlight w:val="none"/>
          <w:u w:val="single"/>
        </w:rPr>
        <w:t>最高投标限价</w:t>
      </w:r>
      <w:r>
        <w:rPr>
          <w:rFonts w:hint="eastAsia" w:ascii="宋体" w:hAnsi="宋体"/>
          <w:color w:val="auto"/>
          <w:sz w:val="24"/>
          <w:szCs w:val="24"/>
          <w:highlight w:val="none"/>
          <w:u w:val="single"/>
          <w:lang w:val="en-US" w:eastAsia="zh-CN"/>
        </w:rPr>
        <w:t>为</w:t>
      </w:r>
      <w:r>
        <w:rPr>
          <w:rFonts w:hint="eastAsia" w:ascii="宋体" w:hAnsi="宋体"/>
          <w:b/>
          <w:bCs/>
          <w:color w:val="auto"/>
          <w:sz w:val="24"/>
          <w:szCs w:val="24"/>
          <w:highlight w:val="none"/>
          <w:u w:val="single"/>
          <w:lang w:val="en-US" w:eastAsia="zh-CN"/>
        </w:rPr>
        <w:t>539.54</w:t>
      </w:r>
      <w:r>
        <w:rPr>
          <w:rFonts w:hint="eastAsia" w:ascii="宋体" w:hAnsi="宋体"/>
          <w:b/>
          <w:color w:val="auto"/>
          <w:sz w:val="24"/>
          <w:szCs w:val="24"/>
          <w:highlight w:val="none"/>
          <w:u w:val="single"/>
        </w:rPr>
        <w:t>万元</w:t>
      </w:r>
      <w:r>
        <w:rPr>
          <w:rFonts w:hint="eastAsia" w:ascii="宋体" w:hAnsi="宋体"/>
          <w:b/>
          <w:color w:val="auto"/>
          <w:sz w:val="24"/>
          <w:szCs w:val="24"/>
          <w:highlight w:val="none"/>
          <w:u w:val="single"/>
          <w:lang w:eastAsia="zh-CN"/>
        </w:rPr>
        <w:t>，</w:t>
      </w:r>
      <w:r>
        <w:rPr>
          <w:rFonts w:hint="eastAsia" w:ascii="宋体" w:hAnsi="宋体"/>
          <w:color w:val="auto"/>
          <w:sz w:val="24"/>
          <w:szCs w:val="24"/>
          <w:highlight w:val="none"/>
          <w:u w:val="single"/>
        </w:rPr>
        <w:t>红棉大道工程—田心立交至风神立交段工程监理（标段</w:t>
      </w:r>
      <w:r>
        <w:rPr>
          <w:rFonts w:hint="eastAsia" w:ascii="宋体" w:hAnsi="宋体"/>
          <w:color w:val="auto"/>
          <w:sz w:val="24"/>
          <w:szCs w:val="24"/>
          <w:highlight w:val="none"/>
          <w:u w:val="single"/>
          <w:lang w:val="en-US" w:eastAsia="zh-CN"/>
        </w:rPr>
        <w:t>二</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监理服务费</w:t>
      </w:r>
      <w:r>
        <w:rPr>
          <w:rFonts w:ascii="宋体" w:hAnsi="宋体"/>
          <w:color w:val="auto"/>
          <w:sz w:val="24"/>
          <w:szCs w:val="24"/>
          <w:highlight w:val="none"/>
          <w:u w:val="single"/>
        </w:rPr>
        <w:t>最高投标限价</w:t>
      </w:r>
      <w:r>
        <w:rPr>
          <w:rFonts w:hint="eastAsia" w:ascii="宋体" w:hAnsi="宋体"/>
          <w:color w:val="auto"/>
          <w:sz w:val="24"/>
          <w:szCs w:val="24"/>
          <w:highlight w:val="none"/>
          <w:u w:val="single"/>
          <w:lang w:val="en-US" w:eastAsia="zh-CN"/>
        </w:rPr>
        <w:t>为</w:t>
      </w:r>
      <w:r>
        <w:rPr>
          <w:rFonts w:hint="eastAsia" w:ascii="宋体" w:hAnsi="宋体"/>
          <w:b/>
          <w:bCs/>
          <w:color w:val="auto"/>
          <w:sz w:val="24"/>
          <w:szCs w:val="24"/>
          <w:highlight w:val="none"/>
          <w:u w:val="single"/>
          <w:lang w:val="en-US" w:eastAsia="zh-CN"/>
        </w:rPr>
        <w:t>795.95</w:t>
      </w:r>
      <w:r>
        <w:rPr>
          <w:rFonts w:hint="eastAsia" w:ascii="宋体" w:hAnsi="宋体"/>
          <w:b/>
          <w:color w:val="auto"/>
          <w:sz w:val="24"/>
          <w:szCs w:val="24"/>
          <w:highlight w:val="none"/>
          <w:u w:val="single"/>
        </w:rPr>
        <w:t>万元</w:t>
      </w:r>
      <w:r>
        <w:rPr>
          <w:rFonts w:hint="eastAsia" w:ascii="宋体" w:hAnsi="宋体"/>
          <w:b/>
          <w:color w:val="auto"/>
          <w:sz w:val="24"/>
          <w:szCs w:val="24"/>
          <w:highlight w:val="none"/>
          <w:u w:val="single"/>
          <w:lang w:eastAsia="zh-CN"/>
        </w:rPr>
        <w:t>。</w:t>
      </w:r>
    </w:p>
    <w:p w14:paraId="37C431AF">
      <w:pPr>
        <w:pStyle w:val="3"/>
        <w:rPr>
          <w:rFonts w:hint="eastAsia"/>
          <w:color w:val="auto"/>
          <w:highlight w:val="none"/>
        </w:rPr>
      </w:pPr>
      <w:bookmarkStart w:id="36" w:name="_Toc14304"/>
      <w:bookmarkStart w:id="37" w:name="_Toc11352"/>
      <w:bookmarkStart w:id="38" w:name="_Toc13318"/>
      <w:bookmarkStart w:id="39" w:name="_Toc20643"/>
      <w:bookmarkStart w:id="40" w:name="_Toc29683"/>
      <w:bookmarkStart w:id="41" w:name="_Toc26825"/>
      <w:r>
        <w:rPr>
          <w:rFonts w:hint="eastAsia"/>
          <w:color w:val="auto"/>
          <w:highlight w:val="none"/>
        </w:rPr>
        <w:t>3.投标人资格要求</w:t>
      </w:r>
      <w:bookmarkEnd w:id="36"/>
      <w:bookmarkEnd w:id="37"/>
      <w:bookmarkEnd w:id="38"/>
      <w:bookmarkEnd w:id="39"/>
      <w:bookmarkEnd w:id="40"/>
      <w:bookmarkEnd w:id="41"/>
    </w:p>
    <w:p w14:paraId="7CB2DD30">
      <w:pPr>
        <w:pStyle w:val="13"/>
        <w:tabs>
          <w:tab w:val="left" w:pos="4500"/>
          <w:tab w:val="left" w:pos="6415"/>
        </w:tabs>
        <w:kinsoku w:val="0"/>
        <w:wordWrap w:val="0"/>
        <w:overflowPunct w:val="0"/>
        <w:autoSpaceDE w:val="0"/>
        <w:autoSpaceDN w:val="0"/>
        <w:spacing w:after="0" w:line="360" w:lineRule="auto"/>
        <w:ind w:right="214" w:firstLine="484" w:firstLineChars="202"/>
        <w:rPr>
          <w:rFonts w:hint="eastAsia" w:ascii="宋体" w:hAnsi="宋体" w:cs="宋体"/>
          <w:color w:val="auto"/>
          <w:sz w:val="24"/>
          <w:highlight w:val="none"/>
        </w:rPr>
      </w:pPr>
      <w:r>
        <w:rPr>
          <w:rFonts w:hint="eastAsia" w:ascii="宋体" w:hAnsi="宋体" w:cs="宋体"/>
          <w:color w:val="auto"/>
          <w:sz w:val="24"/>
          <w:highlight w:val="none"/>
        </w:rPr>
        <w:t>3.1 投标人参加投标的意思表达清楚，投标人代表被授权有效。</w:t>
      </w:r>
    </w:p>
    <w:p w14:paraId="74DC79BD">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3.2投标人是法人或其他组织，按国家法律经营；</w:t>
      </w:r>
    </w:p>
    <w:p w14:paraId="493738E0">
      <w:pPr>
        <w:pStyle w:val="13"/>
        <w:tabs>
          <w:tab w:val="left" w:pos="4500"/>
          <w:tab w:val="left" w:pos="6415"/>
        </w:tabs>
        <w:kinsoku w:val="0"/>
        <w:wordWrap w:val="0"/>
        <w:overflowPunct w:val="0"/>
        <w:spacing w:after="0" w:line="360" w:lineRule="auto"/>
        <w:ind w:right="213" w:firstLine="484" w:firstLineChars="202"/>
        <w:rPr>
          <w:rFonts w:hint="eastAsia"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color w:val="auto"/>
          <w:spacing w:val="2"/>
          <w:sz w:val="24"/>
          <w:highlight w:val="none"/>
        </w:rPr>
        <w:t>投</w:t>
      </w:r>
      <w:r>
        <w:rPr>
          <w:rFonts w:hint="eastAsia" w:ascii="宋体" w:hAnsi="宋体" w:cs="宋体"/>
          <w:color w:val="auto"/>
          <w:sz w:val="24"/>
          <w:highlight w:val="none"/>
        </w:rPr>
        <w:t>标人须</w:t>
      </w:r>
      <w:r>
        <w:rPr>
          <w:rFonts w:hint="eastAsia" w:ascii="宋体" w:hAnsi="宋体" w:cs="宋体"/>
          <w:color w:val="auto"/>
          <w:spacing w:val="2"/>
          <w:sz w:val="24"/>
          <w:highlight w:val="none"/>
        </w:rPr>
        <w:t>具</w:t>
      </w:r>
      <w:r>
        <w:rPr>
          <w:rFonts w:hint="eastAsia" w:ascii="宋体" w:hAnsi="宋体" w:cs="宋体"/>
          <w:color w:val="auto"/>
          <w:spacing w:val="1"/>
          <w:sz w:val="24"/>
          <w:highlight w:val="none"/>
        </w:rPr>
        <w:t>备建设行政主管部门颁发的</w:t>
      </w:r>
      <w:r>
        <w:rPr>
          <w:rFonts w:hint="eastAsia" w:ascii="宋体" w:hAnsi="宋体"/>
          <w:color w:val="auto"/>
          <w:sz w:val="24"/>
          <w:highlight w:val="none"/>
          <w:u w:val="single"/>
        </w:rPr>
        <w:t>工程监理综合资质或市政公用工程监理甲级</w:t>
      </w:r>
      <w:r>
        <w:rPr>
          <w:rFonts w:hint="eastAsia" w:ascii="宋体" w:hAnsi="宋体" w:cs="宋体"/>
          <w:color w:val="auto"/>
          <w:sz w:val="24"/>
          <w:highlight w:val="none"/>
        </w:rPr>
        <w:t>资质。</w:t>
      </w:r>
    </w:p>
    <w:p w14:paraId="6A2D4821">
      <w:pPr>
        <w:pStyle w:val="13"/>
        <w:tabs>
          <w:tab w:val="left" w:pos="4500"/>
          <w:tab w:val="left" w:pos="6415"/>
        </w:tabs>
        <w:kinsoku w:val="0"/>
        <w:wordWrap w:val="0"/>
        <w:overflowPunct w:val="0"/>
        <w:autoSpaceDE w:val="0"/>
        <w:autoSpaceDN w:val="0"/>
        <w:spacing w:after="0" w:line="360" w:lineRule="auto"/>
        <w:ind w:right="214" w:firstLine="484" w:firstLineChars="202"/>
        <w:rPr>
          <w:rFonts w:hint="eastAsia" w:ascii="宋体" w:hAnsi="宋体" w:cs="宋体"/>
          <w:color w:val="auto"/>
          <w:sz w:val="24"/>
          <w:highlight w:val="none"/>
        </w:rPr>
      </w:pPr>
      <w:r>
        <w:rPr>
          <w:rFonts w:hint="eastAsia" w:ascii="宋体" w:hAnsi="宋体" w:cs="宋体"/>
          <w:color w:val="auto"/>
          <w:sz w:val="24"/>
          <w:highlight w:val="none"/>
        </w:rPr>
        <w:t>对应所设置资质要求的规模指标：</w:t>
      </w:r>
      <w:r>
        <w:rPr>
          <w:rFonts w:hint="eastAsia" w:ascii="宋体" w:hAnsi="宋体"/>
          <w:color w:val="auto"/>
          <w:sz w:val="24"/>
          <w:highlight w:val="none"/>
          <w:u w:val="single"/>
        </w:rPr>
        <w:t>■城市快速路。</w:t>
      </w:r>
    </w:p>
    <w:p w14:paraId="66350C40">
      <w:pPr>
        <w:pStyle w:val="13"/>
        <w:tabs>
          <w:tab w:val="left" w:pos="4500"/>
          <w:tab w:val="left" w:pos="6415"/>
        </w:tabs>
        <w:kinsoku w:val="0"/>
        <w:wordWrap w:val="0"/>
        <w:overflowPunct w:val="0"/>
        <w:spacing w:after="0" w:line="360" w:lineRule="auto"/>
        <w:ind w:right="213" w:firstLine="484" w:firstLineChars="202"/>
        <w:rPr>
          <w:rFonts w:hint="eastAsia" w:ascii="宋体" w:hAnsi="宋体" w:cs="楷体_GB2312"/>
          <w:color w:val="auto"/>
          <w:sz w:val="24"/>
          <w:highlight w:val="none"/>
          <w:u w:val="single"/>
        </w:rPr>
      </w:pPr>
      <w:r>
        <w:rPr>
          <w:rFonts w:hint="eastAsia" w:ascii="宋体" w:hAnsi="宋体" w:cs="楷体_GB2312"/>
          <w:color w:val="auto"/>
          <w:sz w:val="24"/>
          <w:highlight w:val="none"/>
          <w:u w:val="single"/>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w:t>
      </w:r>
      <w:r>
        <w:rPr>
          <w:rFonts w:hint="eastAsia" w:ascii="宋体" w:hAnsi="宋体" w:cs="楷体_GB2312"/>
          <w:color w:val="auto"/>
          <w:sz w:val="24"/>
          <w:highlight w:val="none"/>
          <w:u w:val="single"/>
          <w:lang w:eastAsia="zh-CN"/>
        </w:rPr>
        <w:t>〔2020〕1号</w:t>
      </w:r>
      <w:r>
        <w:rPr>
          <w:rFonts w:hint="eastAsia" w:ascii="宋体" w:hAnsi="宋体" w:cs="楷体_GB2312"/>
          <w:color w:val="auto"/>
          <w:sz w:val="24"/>
          <w:highlight w:val="none"/>
          <w:u w:val="single"/>
        </w:rPr>
        <w:t>，详见链接：</w:t>
      </w:r>
      <w:r>
        <w:rPr>
          <w:color w:val="auto"/>
          <w:highlight w:val="none"/>
        </w:rPr>
        <w:fldChar w:fldCharType="begin"/>
      </w:r>
      <w:r>
        <w:rPr>
          <w:color w:val="auto"/>
          <w:highlight w:val="none"/>
        </w:rPr>
        <w:instrText xml:space="preserve"> HYPERLINK "http://zfcxjst.gd.gov.cn/xxgk/wjtz/content/post_3137220.html）确定。香港企业须提供满足招标文件要求的相应资质证书及备案证明资料扫描件。" </w:instrText>
      </w:r>
      <w:r>
        <w:rPr>
          <w:color w:val="auto"/>
          <w:highlight w:val="none"/>
        </w:rPr>
        <w:fldChar w:fldCharType="separate"/>
      </w:r>
      <w:r>
        <w:rPr>
          <w:rFonts w:hint="eastAsia" w:ascii="宋体" w:hAnsi="宋体" w:cs="楷体_GB2312"/>
          <w:color w:val="auto"/>
          <w:sz w:val="24"/>
          <w:highlight w:val="none"/>
          <w:u w:val="single"/>
        </w:rPr>
        <w:t>http://zfcxjst.gd.gov.cn/xxgk/wjtz/content/post_3137220.html）确定。香港企业须提供满足招标文件要求的相应资质证书及备案证明资料扫描件。</w:t>
      </w:r>
      <w:r>
        <w:rPr>
          <w:rFonts w:hint="eastAsia" w:ascii="宋体" w:hAnsi="宋体" w:cs="楷体_GB2312"/>
          <w:color w:val="auto"/>
          <w:sz w:val="24"/>
          <w:highlight w:val="none"/>
          <w:u w:val="single"/>
        </w:rPr>
        <w:fldChar w:fldCharType="end"/>
      </w:r>
      <w:r>
        <w:rPr>
          <w:rFonts w:hint="eastAsia" w:ascii="宋体" w:hAnsi="宋体" w:cs="楷体_GB2312"/>
          <w:color w:val="auto"/>
          <w:sz w:val="24"/>
          <w:highlight w:val="none"/>
          <w:u w:val="single"/>
        </w:rPr>
        <w:t>（2）工程监理企业资质的要求和证书有效期按《工程监理企业资质管理规定》（中华人民共和国建设部令第158号）、《住房城乡建设部关于简化建筑业企业资质标准部分指标的通知》</w:t>
      </w:r>
      <w:r>
        <w:rPr>
          <w:rFonts w:hint="eastAsia" w:ascii="宋体" w:hAnsi="宋体" w:cs="楷体_GB2312"/>
          <w:color w:val="auto"/>
          <w:sz w:val="24"/>
          <w:highlight w:val="none"/>
          <w:u w:val="single"/>
          <w:lang w:eastAsia="zh-CN"/>
        </w:rPr>
        <w:t>（</w:t>
      </w:r>
      <w:r>
        <w:rPr>
          <w:rFonts w:hint="eastAsia" w:ascii="宋体" w:hAnsi="宋体" w:cs="楷体_GB2312"/>
          <w:color w:val="auto"/>
          <w:sz w:val="24"/>
          <w:highlight w:val="none"/>
          <w:u w:val="single"/>
        </w:rPr>
        <w:t>建市〔2016〕226号</w:t>
      </w:r>
      <w:r>
        <w:rPr>
          <w:rFonts w:hint="eastAsia" w:ascii="宋体" w:hAnsi="宋体" w:cs="楷体_GB2312"/>
          <w:color w:val="auto"/>
          <w:sz w:val="24"/>
          <w:highlight w:val="none"/>
          <w:u w:val="single"/>
          <w:lang w:eastAsia="zh-CN"/>
        </w:rPr>
        <w:t>）</w:t>
      </w:r>
      <w:r>
        <w:rPr>
          <w:rFonts w:hint="eastAsia" w:ascii="宋体" w:hAnsi="宋体" w:cs="楷体_GB2312"/>
          <w:color w:val="auto"/>
          <w:sz w:val="24"/>
          <w:highlight w:val="none"/>
          <w:u w:val="single"/>
        </w:rPr>
        <w:t>、《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广东省住房和城乡建设厅关于建设工程企业资质有关事宜的通知》（粤建许函〔2022〕846号）、《住房和城乡建设部关于进一步加强建设工程企业资质审批管理工作的通知》（建市规〔2023〕3号）、《住房城乡建设部办公厅关于做好有关建设工程企业资质证书换领和延续工作的通知》（建办市〔2023〕47号）、《广东省住房和城乡建设厅关于建设工程企业资质延续有关事项的通知》（粤建许函〔2023〕820号）、《住房城乡建设部建筑市场监管司关于建设工程企业资质延续有关事项的通知》（建司局函市〔2023〕116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1C23F388">
      <w:pPr>
        <w:wordWrap w:val="0"/>
        <w:spacing w:line="360" w:lineRule="auto"/>
        <w:ind w:firstLine="484" w:firstLineChars="202"/>
        <w:rPr>
          <w:rFonts w:hint="eastAsia" w:ascii="宋体" w:hAnsi="宋体" w:cs="宋体"/>
          <w:color w:val="auto"/>
          <w:sz w:val="24"/>
          <w:szCs w:val="24"/>
          <w:highlight w:val="none"/>
          <w:u w:val="single"/>
          <w:lang w:val="en"/>
        </w:rPr>
      </w:pPr>
      <w:r>
        <w:rPr>
          <w:rFonts w:hint="eastAsia" w:ascii="宋体" w:hAnsi="宋体" w:cs="宋体"/>
          <w:color w:val="auto"/>
          <w:sz w:val="24"/>
          <w:szCs w:val="24"/>
          <w:highlight w:val="none"/>
        </w:rPr>
        <w:t>3.4拟委派</w:t>
      </w:r>
      <w:r>
        <w:rPr>
          <w:rFonts w:hint="eastAsia" w:ascii="宋体" w:hAnsi="宋体" w:cs="楷体_GB2312"/>
          <w:color w:val="auto"/>
          <w:sz w:val="24"/>
          <w:szCs w:val="24"/>
          <w:highlight w:val="none"/>
        </w:rPr>
        <w:t>项目负责人（总监理工程师）</w:t>
      </w:r>
      <w:r>
        <w:rPr>
          <w:rFonts w:hint="eastAsia" w:ascii="宋体" w:hAnsi="宋体" w:cs="宋体"/>
          <w:color w:val="auto"/>
          <w:sz w:val="24"/>
          <w:szCs w:val="24"/>
          <w:highlight w:val="none"/>
        </w:rPr>
        <w:t>须具备</w:t>
      </w:r>
      <w:r>
        <w:rPr>
          <w:rFonts w:hint="eastAsia" w:ascii="宋体" w:hAnsi="宋体" w:cs="宋体"/>
          <w:color w:val="auto"/>
          <w:sz w:val="24"/>
          <w:szCs w:val="24"/>
          <w:highlight w:val="none"/>
          <w:u w:val="single"/>
          <w:lang w:val="en"/>
        </w:rPr>
        <w:t>建设部2006年4月1日后颁发的中华人民共和国注册监理工程师注册执业证书且其注册证书专业为市政公用工程</w:t>
      </w:r>
      <w:r>
        <w:rPr>
          <w:rFonts w:hint="eastAsia" w:ascii="宋体" w:hAnsi="宋体" w:cs="宋体"/>
          <w:color w:val="auto"/>
          <w:sz w:val="24"/>
          <w:szCs w:val="24"/>
          <w:highlight w:val="none"/>
          <w:u w:val="single"/>
        </w:rPr>
        <w:t>，并具备大学本科学历</w:t>
      </w:r>
      <w:r>
        <w:rPr>
          <w:rFonts w:hint="eastAsia" w:ascii="宋体" w:hAnsi="宋体" w:cs="宋体"/>
          <w:color w:val="auto"/>
          <w:sz w:val="24"/>
          <w:szCs w:val="24"/>
          <w:highlight w:val="none"/>
          <w:u w:val="single"/>
          <w:lang w:val="en"/>
        </w:rPr>
        <w:t>。</w:t>
      </w:r>
      <w:r>
        <w:rPr>
          <w:rFonts w:hint="eastAsia" w:ascii="宋体" w:hAnsi="宋体" w:cs="宋体"/>
          <w:color w:val="auto"/>
          <w:sz w:val="24"/>
          <w:szCs w:val="24"/>
          <w:highlight w:val="none"/>
          <w:u w:val="single"/>
        </w:rPr>
        <w:t>需提供离投标截止时间最近的至少1个月（即2025年8月）在本单位缴纳的社保证明文件（如部分地区社保证明显示隔月缴费状态，则提供2025年7月的社保证明）。</w:t>
      </w:r>
    </w:p>
    <w:p w14:paraId="2A425AAF">
      <w:pPr>
        <w:pStyle w:val="13"/>
        <w:tabs>
          <w:tab w:val="left" w:pos="4500"/>
          <w:tab w:val="left" w:pos="6415"/>
        </w:tabs>
        <w:kinsoku w:val="0"/>
        <w:wordWrap w:val="0"/>
        <w:overflowPunct w:val="0"/>
        <w:spacing w:after="0" w:line="360" w:lineRule="auto"/>
        <w:ind w:right="213" w:firstLine="484" w:firstLineChars="202"/>
        <w:rPr>
          <w:rFonts w:hint="eastAsia" w:ascii="宋体" w:hAnsi="宋体" w:cs="楷体_GB2312"/>
          <w:color w:val="auto"/>
          <w:sz w:val="24"/>
          <w:highlight w:val="none"/>
          <w:u w:val="single"/>
        </w:rPr>
      </w:pPr>
      <w:r>
        <w:rPr>
          <w:rFonts w:hint="eastAsia" w:ascii="宋体" w:hAnsi="宋体" w:cs="楷体_GB2312"/>
          <w:color w:val="auto"/>
          <w:sz w:val="24"/>
          <w:highlight w:val="none"/>
          <w:u w:val="single"/>
        </w:rPr>
        <w:t>注：若拟委派的项目负责人（总监理工程师）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w:t>
      </w:r>
      <w:r>
        <w:rPr>
          <w:rFonts w:hint="eastAsia" w:ascii="宋体" w:hAnsi="宋体" w:cs="楷体_GB2312"/>
          <w:color w:val="auto"/>
          <w:sz w:val="24"/>
          <w:highlight w:val="none"/>
          <w:u w:val="single"/>
          <w:lang w:eastAsia="zh-CN"/>
        </w:rPr>
        <w:t>〔2020〕1号</w:t>
      </w:r>
      <w:r>
        <w:rPr>
          <w:rFonts w:hint="eastAsia" w:ascii="宋体" w:hAnsi="宋体" w:cs="楷体_GB2312"/>
          <w:color w:val="auto"/>
          <w:sz w:val="24"/>
          <w:highlight w:val="none"/>
          <w:u w:val="single"/>
        </w:rPr>
        <w:t>）确定]。</w:t>
      </w:r>
    </w:p>
    <w:p w14:paraId="4E9DC0D8">
      <w:pPr>
        <w:pStyle w:val="13"/>
        <w:tabs>
          <w:tab w:val="left" w:pos="4500"/>
          <w:tab w:val="left" w:pos="6415"/>
        </w:tabs>
        <w:kinsoku w:val="0"/>
        <w:wordWrap w:val="0"/>
        <w:overflowPunct w:val="0"/>
        <w:spacing w:after="0" w:line="360" w:lineRule="auto"/>
        <w:ind w:right="213" w:firstLine="484" w:firstLineChars="202"/>
        <w:rPr>
          <w:rFonts w:hint="eastAsia" w:ascii="宋体" w:hAnsi="宋体" w:cs="宋体"/>
          <w:color w:val="auto"/>
          <w:sz w:val="24"/>
          <w:highlight w:val="none"/>
        </w:rPr>
      </w:pPr>
      <w:r>
        <w:rPr>
          <w:rFonts w:hint="eastAsia" w:ascii="宋体" w:hAnsi="宋体" w:cs="宋体"/>
          <w:color w:val="auto"/>
          <w:sz w:val="24"/>
          <w:highlight w:val="none"/>
        </w:rPr>
        <w:t>3.5 投标申请人业绩要求（</w:t>
      </w:r>
      <w:r>
        <w:rPr>
          <w:rFonts w:hint="eastAsia" w:ascii="宋体" w:hAnsi="宋体" w:cs="宋体"/>
          <w:color w:val="auto"/>
          <w:sz w:val="24"/>
          <w:highlight w:val="none"/>
        </w:rPr>
        <w:sym w:font="Wingdings 2" w:char="00A3"/>
      </w:r>
      <w:r>
        <w:rPr>
          <w:rFonts w:hint="eastAsia" w:ascii="宋体" w:hAnsi="宋体" w:cs="宋体"/>
          <w:color w:val="auto"/>
          <w:sz w:val="24"/>
          <w:highlight w:val="none"/>
        </w:rPr>
        <w:t>需要 /■不需要）。</w:t>
      </w:r>
    </w:p>
    <w:p w14:paraId="4910E0CB">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3.6关于联合体投标：</w:t>
      </w:r>
    </w:p>
    <w:p w14:paraId="278C9A6C">
      <w:pPr>
        <w:wordWrap w:val="0"/>
        <w:spacing w:line="360" w:lineRule="auto"/>
        <w:ind w:firstLine="484" w:firstLineChars="202"/>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3.6.1本次招标（</w:t>
      </w:r>
      <w:r>
        <w:rPr>
          <w:rFonts w:hint="eastAsia" w:ascii="宋体" w:hAnsi="宋体"/>
          <w:color w:val="auto"/>
          <w:sz w:val="24"/>
          <w:szCs w:val="24"/>
          <w:highlight w:val="none"/>
        </w:rPr>
        <w:sym w:font="Wingdings 2" w:char="00A3"/>
      </w:r>
      <w:r>
        <w:rPr>
          <w:rFonts w:hint="eastAsia" w:ascii="宋体" w:hAnsi="宋体"/>
          <w:color w:val="auto"/>
          <w:sz w:val="24"/>
          <w:szCs w:val="24"/>
          <w:highlight w:val="none"/>
        </w:rPr>
        <w:t>接受</w:t>
      </w:r>
      <w:r>
        <w:rPr>
          <w:rFonts w:hint="eastAsia" w:ascii="宋体" w:hAnsi="宋体" w:cs="宋体"/>
          <w:color w:val="auto"/>
          <w:sz w:val="24"/>
          <w:szCs w:val="24"/>
          <w:highlight w:val="none"/>
        </w:rPr>
        <w:t xml:space="preserve"> /■不接受）联合体投标。</w:t>
      </w:r>
    </w:p>
    <w:p w14:paraId="1480F952">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z w:val="24"/>
          <w:szCs w:val="24"/>
          <w:highlight w:val="none"/>
          <w:u w:val="single"/>
        </w:rPr>
        <w:t>投标人已在“广州市交通建设项目企业信息库”（网址http://112.94.68.79:8088/entHome/index）建立企业信用档案。拟委派的项目负责人须是本企业信用档案中的在册人员。（提供网页截图）</w:t>
      </w:r>
    </w:p>
    <w:p w14:paraId="32E97E2E">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3.8投标人未出现招标文件第二章投标人须知第1.4.3项所规定的任何一种情形，并已按规定格式签名盖章《投标人声明》（按投标人提供的《投标人声明》内容进行评审）。</w:t>
      </w:r>
    </w:p>
    <w:p w14:paraId="429A77D0">
      <w:pPr>
        <w:wordWrap w:val="0"/>
        <w:spacing w:line="360" w:lineRule="auto"/>
        <w:ind w:firstLine="484" w:firstLineChars="202"/>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3.9在投标截止时间前，投标人未被列入拖欠农民工工资失信联合惩戒对象名单</w:t>
      </w:r>
      <w:r>
        <w:rPr>
          <w:rFonts w:hint="eastAsia" w:ascii="宋体" w:hAnsi="宋体" w:cs="宋体"/>
          <w:color w:val="auto"/>
          <w:sz w:val="24"/>
          <w:szCs w:val="24"/>
          <w:highlight w:val="none"/>
          <w:u w:val="single"/>
        </w:rPr>
        <w:t>（投标人无需提供资料，资格审查时按投标截止时间广州交易集团有限公司（广州公共资源交易中心）交易系统比对的结果进行评审）。</w:t>
      </w:r>
    </w:p>
    <w:p w14:paraId="3AF33CE1">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3.10政府投资项目，在投标截止时间前，</w:t>
      </w:r>
      <w:r>
        <w:rPr>
          <w:rFonts w:ascii="宋体" w:hAnsi="宋体" w:cs="宋体"/>
          <w:color w:val="auto"/>
          <w:sz w:val="24"/>
          <w:szCs w:val="24"/>
          <w:highlight w:val="none"/>
        </w:rPr>
        <w:t>投标人未被列入“</w:t>
      </w:r>
      <w:r>
        <w:rPr>
          <w:rFonts w:hint="eastAsia" w:ascii="宋体" w:hAnsi="宋体" w:cs="宋体"/>
          <w:color w:val="auto"/>
          <w:sz w:val="24"/>
          <w:szCs w:val="24"/>
          <w:highlight w:val="none"/>
        </w:rPr>
        <w:t>失信被执行人</w:t>
      </w:r>
      <w:r>
        <w:rPr>
          <w:rFonts w:ascii="宋体" w:hAnsi="宋体" w:cs="宋体"/>
          <w:color w:val="auto"/>
          <w:sz w:val="24"/>
          <w:szCs w:val="24"/>
          <w:highlight w:val="none"/>
        </w:rPr>
        <w:t>”</w:t>
      </w:r>
      <w:r>
        <w:rPr>
          <w:rFonts w:hint="eastAsia" w:ascii="宋体" w:hAnsi="宋体" w:cs="宋体"/>
          <w:color w:val="auto"/>
          <w:sz w:val="24"/>
          <w:szCs w:val="24"/>
          <w:highlight w:val="none"/>
        </w:rPr>
        <w:t>名单。</w:t>
      </w:r>
    </w:p>
    <w:p w14:paraId="24B91F0E">
      <w:pPr>
        <w:pStyle w:val="11"/>
        <w:spacing w:line="360" w:lineRule="auto"/>
        <w:ind w:firstLine="484" w:firstLineChars="202"/>
        <w:rPr>
          <w:rFonts w:hint="eastAsia" w:ascii="宋体" w:hAnsi="宋体"/>
          <w:color w:val="auto"/>
          <w:sz w:val="24"/>
          <w:szCs w:val="24"/>
          <w:highlight w:val="none"/>
          <w:lang w:val="en-US"/>
        </w:rPr>
      </w:pPr>
      <w:r>
        <w:rPr>
          <w:rFonts w:hint="eastAsia" w:ascii="宋体" w:hAnsi="宋体"/>
          <w:color w:val="auto"/>
          <w:sz w:val="24"/>
          <w:szCs w:val="24"/>
          <w:highlight w:val="none"/>
          <w:u w:val="single"/>
        </w:rPr>
        <w:t>注：按《全国失信惩戒措施基础清单（202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年版）》的有关规定执行。</w:t>
      </w:r>
    </w:p>
    <w:p w14:paraId="55203C15">
      <w:pPr>
        <w:pStyle w:val="3"/>
        <w:rPr>
          <w:rFonts w:hint="eastAsia"/>
          <w:color w:val="auto"/>
          <w:highlight w:val="none"/>
        </w:rPr>
      </w:pPr>
      <w:bookmarkStart w:id="42" w:name="_Toc17136"/>
      <w:bookmarkStart w:id="43" w:name="_Toc10789"/>
      <w:bookmarkStart w:id="44" w:name="_Toc492300549"/>
      <w:bookmarkStart w:id="45" w:name="_Toc1349"/>
      <w:bookmarkStart w:id="46" w:name="_Toc5034"/>
      <w:bookmarkStart w:id="47" w:name="_Toc31269"/>
      <w:bookmarkStart w:id="48" w:name="_Toc2300"/>
      <w:bookmarkStart w:id="49" w:name="_Toc21595"/>
      <w:bookmarkStart w:id="50" w:name="_Toc7384"/>
      <w:bookmarkStart w:id="51" w:name="_Toc32692"/>
      <w:bookmarkStart w:id="52" w:name="_Toc25355"/>
      <w:r>
        <w:rPr>
          <w:rFonts w:hint="eastAsia"/>
          <w:color w:val="auto"/>
          <w:highlight w:val="none"/>
        </w:rPr>
        <w:t>4.招标文件的获取</w:t>
      </w:r>
      <w:bookmarkEnd w:id="42"/>
      <w:bookmarkEnd w:id="43"/>
      <w:bookmarkEnd w:id="44"/>
      <w:bookmarkEnd w:id="45"/>
      <w:bookmarkEnd w:id="46"/>
      <w:bookmarkEnd w:id="47"/>
      <w:bookmarkEnd w:id="48"/>
      <w:bookmarkEnd w:id="49"/>
      <w:bookmarkEnd w:id="50"/>
      <w:bookmarkEnd w:id="51"/>
      <w:bookmarkEnd w:id="52"/>
    </w:p>
    <w:p w14:paraId="50ADC972">
      <w:pPr>
        <w:wordWrap w:val="0"/>
        <w:spacing w:line="360" w:lineRule="auto"/>
        <w:ind w:firstLine="484" w:firstLineChars="202"/>
        <w:rPr>
          <w:rFonts w:hint="eastAsia"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凡有意参加投标者，请于</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分至</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北京时间，下同</w:t>
      </w:r>
      <w:r>
        <w:rPr>
          <w:rFonts w:hint="eastAsia" w:ascii="宋体" w:hAnsi="宋体"/>
          <w:color w:val="auto"/>
          <w:sz w:val="24"/>
          <w:szCs w:val="24"/>
          <w:highlight w:val="none"/>
          <w:lang w:eastAsia="zh-CN"/>
        </w:rPr>
        <w:t>）</w:t>
      </w:r>
      <w:r>
        <w:rPr>
          <w:rFonts w:hint="eastAsia" w:ascii="宋体" w:hAnsi="宋体"/>
          <w:color w:val="auto"/>
          <w:sz w:val="24"/>
          <w:szCs w:val="24"/>
          <w:highlight w:val="none"/>
        </w:rPr>
        <w:t>，登录</w:t>
      </w:r>
      <w:r>
        <w:rPr>
          <w:rFonts w:hint="eastAsia" w:ascii="宋体" w:hAnsi="宋体"/>
          <w:color w:val="auto"/>
          <w:sz w:val="24"/>
          <w:szCs w:val="24"/>
          <w:highlight w:val="none"/>
          <w:u w:val="single"/>
          <w:lang w:val="en"/>
        </w:rPr>
        <w:t>广州交易集团有限公司（广州公共资源交易中心）网站（http://www.gzggzy.cn/）</w:t>
      </w:r>
      <w:r>
        <w:rPr>
          <w:rFonts w:hint="eastAsia" w:ascii="宋体" w:hAnsi="宋体"/>
          <w:color w:val="auto"/>
          <w:sz w:val="24"/>
          <w:szCs w:val="24"/>
          <w:highlight w:val="none"/>
        </w:rPr>
        <w:t>下载电子招标文件。</w:t>
      </w:r>
    </w:p>
    <w:p w14:paraId="3615EFC2">
      <w:pPr>
        <w:wordWrap w:val="0"/>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4.2发布招标公告时间（含本日）：</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分至</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p>
    <w:p w14:paraId="029BBB0C">
      <w:pPr>
        <w:wordWrap w:val="0"/>
        <w:spacing w:line="360" w:lineRule="auto"/>
        <w:ind w:firstLine="484" w:firstLineChars="202"/>
        <w:rPr>
          <w:rFonts w:hint="eastAsia" w:ascii="宋体" w:hAnsi="宋体" w:cs="楷体_GB2312"/>
          <w:color w:val="auto"/>
          <w:sz w:val="24"/>
          <w:szCs w:val="24"/>
          <w:highlight w:val="none"/>
          <w:u w:val="single"/>
        </w:rPr>
      </w:pPr>
      <w:r>
        <w:rPr>
          <w:rFonts w:hint="eastAsia" w:ascii="宋体" w:hAnsi="宋体" w:cs="楷体_GB2312"/>
          <w:color w:val="auto"/>
          <w:sz w:val="24"/>
          <w:szCs w:val="24"/>
          <w:highlight w:val="none"/>
          <w:u w:val="single"/>
        </w:rPr>
        <w:t>注：本公告发布之日起开始发布招标文件，发布招标公告的时间为招标公告发出之日起至递交投标文件截止时间止</w:t>
      </w:r>
      <w:r>
        <w:rPr>
          <w:rFonts w:hint="eastAsia" w:ascii="宋体" w:hAnsi="宋体" w:cs="楷体_GB2312"/>
          <w:color w:val="auto"/>
          <w:sz w:val="24"/>
          <w:szCs w:val="24"/>
          <w:highlight w:val="none"/>
          <w:u w:val="single"/>
          <w:lang w:eastAsia="zh-CN"/>
        </w:rPr>
        <w:t>，</w:t>
      </w:r>
      <w:r>
        <w:rPr>
          <w:rFonts w:hint="eastAsia" w:ascii="宋体" w:hAnsi="宋体" w:cs="楷体_GB2312"/>
          <w:color w:val="auto"/>
          <w:sz w:val="24"/>
          <w:szCs w:val="24"/>
          <w:highlight w:val="none"/>
          <w:u w:val="single"/>
        </w:rPr>
        <w:t>并从招标公告发布之日起开始计算备标时间。</w:t>
      </w:r>
    </w:p>
    <w:p w14:paraId="2B637F79">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olor w:val="auto"/>
          <w:sz w:val="24"/>
          <w:szCs w:val="24"/>
          <w:highlight w:val="none"/>
        </w:rPr>
        <w:t>4.3</w:t>
      </w:r>
      <w:r>
        <w:rPr>
          <w:rFonts w:hint="eastAsia" w:ascii="宋体" w:hAnsi="宋体" w:cs="宋体"/>
          <w:color w:val="auto"/>
          <w:sz w:val="24"/>
          <w:szCs w:val="24"/>
          <w:highlight w:val="none"/>
        </w:rPr>
        <w:t>本项目招标文件随招标公告一并在</w:t>
      </w:r>
      <w:r>
        <w:rPr>
          <w:rFonts w:hint="eastAsia" w:ascii="宋体" w:hAnsi="宋体"/>
          <w:color w:val="auto"/>
          <w:sz w:val="24"/>
          <w:szCs w:val="24"/>
          <w:highlight w:val="none"/>
          <w:u w:val="single"/>
          <w:lang w:val="en"/>
        </w:rPr>
        <w:t>广州交易集团有限公司（广州公共资源交易中心）电子交易平台</w:t>
      </w:r>
      <w:r>
        <w:rPr>
          <w:rFonts w:hint="eastAsia" w:ascii="宋体" w:hAnsi="宋体" w:cs="宋体"/>
          <w:color w:val="auto"/>
          <w:sz w:val="24"/>
          <w:szCs w:val="24"/>
          <w:highlight w:val="none"/>
        </w:rPr>
        <w:t>发布。招标文件一经在交易平台发布，视为发出给投标人，招标文件由投标人自行在交易平台下载。</w:t>
      </w:r>
    </w:p>
    <w:p w14:paraId="50747BA0">
      <w:pPr>
        <w:pStyle w:val="3"/>
        <w:rPr>
          <w:rFonts w:hint="eastAsia"/>
          <w:color w:val="auto"/>
          <w:highlight w:val="none"/>
        </w:rPr>
      </w:pPr>
      <w:bookmarkStart w:id="53" w:name="_Toc492300550"/>
      <w:bookmarkStart w:id="54" w:name="_Toc14445"/>
      <w:bookmarkStart w:id="55" w:name="_Toc3582"/>
      <w:bookmarkStart w:id="56" w:name="_Toc13305"/>
      <w:bookmarkStart w:id="57" w:name="_Toc30270"/>
      <w:bookmarkStart w:id="58" w:name="_Toc22166"/>
      <w:bookmarkStart w:id="59" w:name="_Toc30981"/>
      <w:bookmarkStart w:id="60" w:name="_Toc16837"/>
      <w:bookmarkStart w:id="61" w:name="_Toc6915"/>
      <w:bookmarkStart w:id="62" w:name="_Toc18670"/>
      <w:bookmarkStart w:id="63" w:name="_Toc3884"/>
      <w:r>
        <w:rPr>
          <w:rFonts w:hint="eastAsia"/>
          <w:color w:val="auto"/>
          <w:highlight w:val="none"/>
        </w:rPr>
        <w:t>5.投标文件的递交</w:t>
      </w:r>
      <w:bookmarkEnd w:id="53"/>
      <w:bookmarkEnd w:id="54"/>
      <w:bookmarkEnd w:id="55"/>
      <w:bookmarkEnd w:id="56"/>
      <w:bookmarkEnd w:id="57"/>
      <w:bookmarkEnd w:id="58"/>
      <w:bookmarkEnd w:id="59"/>
      <w:bookmarkEnd w:id="60"/>
      <w:bookmarkEnd w:id="61"/>
      <w:bookmarkEnd w:id="62"/>
      <w:bookmarkEnd w:id="63"/>
    </w:p>
    <w:p w14:paraId="1FB79B18">
      <w:pPr>
        <w:wordWrap w:val="0"/>
        <w:spacing w:line="360" w:lineRule="auto"/>
        <w:ind w:firstLine="484" w:firstLineChars="202"/>
        <w:rPr>
          <w:rFonts w:hint="eastAsia" w:ascii="宋体" w:hAnsi="宋体" w:cs="宋体"/>
          <w:color w:val="auto"/>
          <w:sz w:val="24"/>
          <w:szCs w:val="24"/>
          <w:highlight w:val="none"/>
        </w:rPr>
      </w:pPr>
      <w:bookmarkStart w:id="64" w:name="_Toc996"/>
      <w:bookmarkStart w:id="65" w:name="_Toc9454"/>
      <w:bookmarkStart w:id="66" w:name="_Toc5148"/>
      <w:bookmarkStart w:id="67" w:name="_Toc25776"/>
      <w:bookmarkStart w:id="68" w:name="_Toc492300551"/>
      <w:bookmarkStart w:id="69" w:name="_Toc3643"/>
      <w:bookmarkStart w:id="70" w:name="_Toc14276"/>
      <w:bookmarkStart w:id="71" w:name="_Toc5954"/>
      <w:bookmarkStart w:id="72" w:name="_Toc28330"/>
      <w:bookmarkStart w:id="73" w:name="_Toc8942"/>
      <w:r>
        <w:rPr>
          <w:rFonts w:hint="eastAsia" w:ascii="宋体" w:hAnsi="宋体" w:cs="宋体"/>
          <w:color w:val="auto"/>
          <w:sz w:val="24"/>
          <w:szCs w:val="24"/>
          <w:highlight w:val="none"/>
        </w:rPr>
        <w:t>5.1投标文件递交的截止时间（投标截止时间，下同）为</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，投标人应在截止时间前通过</w:t>
      </w:r>
      <w:r>
        <w:rPr>
          <w:rFonts w:hint="eastAsia" w:ascii="宋体" w:hAnsi="宋体" w:cs="宋体"/>
          <w:color w:val="auto"/>
          <w:sz w:val="24"/>
          <w:szCs w:val="24"/>
          <w:highlight w:val="none"/>
          <w:u w:val="single"/>
        </w:rPr>
        <w:t>广州交易集团有限公司（广州公共资源交易中心）电子交易平台</w:t>
      </w:r>
      <w:r>
        <w:rPr>
          <w:rFonts w:hint="eastAsia" w:ascii="宋体" w:hAnsi="宋体" w:cs="宋体"/>
          <w:color w:val="auto"/>
          <w:sz w:val="24"/>
          <w:szCs w:val="24"/>
          <w:highlight w:val="none"/>
        </w:rPr>
        <w:t>递交电子投标文件。投标人完成电子投标文件上传后，交易平台即时向投标人发出递交回执通知。递交时间以递交回执通知载明的传输完成时间为准。</w:t>
      </w:r>
    </w:p>
    <w:p w14:paraId="61C5A5C2">
      <w:pPr>
        <w:widowControl/>
        <w:wordWrap w:val="0"/>
        <w:topLinePunct/>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在投标截止时间后</w:t>
      </w:r>
      <w:r>
        <w:rPr>
          <w:rFonts w:hint="eastAsia" w:ascii="宋体" w:hAnsi="宋体" w:cs="宋体"/>
          <w:b/>
          <w:bCs/>
          <w:color w:val="auto"/>
          <w:sz w:val="24"/>
          <w:szCs w:val="24"/>
          <w:highlight w:val="none"/>
          <w:u w:val="single"/>
        </w:rPr>
        <w:t>1</w:t>
      </w:r>
      <w:r>
        <w:rPr>
          <w:rFonts w:hint="eastAsia" w:ascii="宋体" w:hAnsi="宋体" w:cs="宋体"/>
          <w:color w:val="auto"/>
          <w:sz w:val="24"/>
          <w:szCs w:val="24"/>
          <w:highlight w:val="none"/>
        </w:rPr>
        <w:t>小时内，投标人通过</w:t>
      </w:r>
      <w:r>
        <w:rPr>
          <w:rFonts w:hint="eastAsia" w:ascii="宋体" w:hAnsi="宋体"/>
          <w:color w:val="auto"/>
          <w:sz w:val="24"/>
          <w:szCs w:val="24"/>
          <w:highlight w:val="none"/>
          <w:u w:val="single"/>
          <w:lang w:val="en"/>
        </w:rPr>
        <w:t>广州交易集团有限公司（广州公共资源交易中心）电子交易平台</w:t>
      </w:r>
      <w:r>
        <w:rPr>
          <w:rFonts w:hint="eastAsia" w:ascii="宋体" w:hAnsi="宋体" w:cs="宋体"/>
          <w:color w:val="auto"/>
          <w:sz w:val="24"/>
          <w:szCs w:val="24"/>
          <w:highlight w:val="none"/>
        </w:rPr>
        <w:t>对已递交的电子投标文件进行解密。</w:t>
      </w:r>
    </w:p>
    <w:p w14:paraId="7674EC99">
      <w:pPr>
        <w:pStyle w:val="13"/>
        <w:tabs>
          <w:tab w:val="left" w:pos="3492"/>
          <w:tab w:val="left" w:pos="7063"/>
        </w:tabs>
        <w:kinsoku w:val="0"/>
        <w:wordWrap w:val="0"/>
        <w:overflowPunct w:val="0"/>
        <w:autoSpaceDE w:val="0"/>
        <w:autoSpaceDN w:val="0"/>
        <w:spacing w:after="0" w:line="360" w:lineRule="auto"/>
        <w:ind w:right="113" w:firstLine="484" w:firstLineChars="202"/>
        <w:rPr>
          <w:rFonts w:hint="eastAsia" w:ascii="宋体" w:hAnsi="宋体"/>
          <w:color w:val="auto"/>
          <w:sz w:val="24"/>
          <w:highlight w:val="none"/>
          <w:u w:val="single"/>
        </w:rPr>
      </w:pPr>
      <w:r>
        <w:rPr>
          <w:rFonts w:hint="eastAsia" w:ascii="宋体" w:hAnsi="宋体" w:cs="宋体"/>
          <w:color w:val="auto"/>
          <w:sz w:val="24"/>
          <w:highlight w:val="none"/>
        </w:rPr>
        <w:t>5.2投标人应在递交投标文件截止时间前，登录</w:t>
      </w:r>
      <w:r>
        <w:rPr>
          <w:rFonts w:hint="eastAsia" w:ascii="宋体" w:hAnsi="宋体" w:cs="宋体"/>
          <w:color w:val="auto"/>
          <w:sz w:val="24"/>
          <w:highlight w:val="none"/>
          <w:u w:val="single"/>
        </w:rPr>
        <w:t>广州交易集团有限公司（广州公共资源交易中心）电子交易平台</w:t>
      </w:r>
      <w:r>
        <w:rPr>
          <w:rFonts w:hint="eastAsia" w:ascii="宋体" w:hAnsi="宋体" w:cs="宋体"/>
          <w:color w:val="auto"/>
          <w:sz w:val="24"/>
          <w:highlight w:val="none"/>
        </w:rPr>
        <w:t>办理网上投标登记手续；投标登记时间（含本日）</w:t>
      </w:r>
      <w:r>
        <w:rPr>
          <w:rFonts w:hint="eastAsia" w:ascii="宋体" w:hAnsi="宋体"/>
          <w:color w:val="auto"/>
          <w:sz w:val="24"/>
          <w:highlight w:val="none"/>
        </w:rPr>
        <w:t>：</w:t>
      </w:r>
      <w:r>
        <w:rPr>
          <w:rFonts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分至</w:t>
      </w:r>
      <w:r>
        <w:rPr>
          <w:rFonts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w:t>
      </w:r>
    </w:p>
    <w:p w14:paraId="7EA5A3B6">
      <w:pPr>
        <w:pStyle w:val="13"/>
        <w:tabs>
          <w:tab w:val="left" w:pos="3492"/>
          <w:tab w:val="left" w:pos="7063"/>
        </w:tabs>
        <w:kinsoku w:val="0"/>
        <w:wordWrap w:val="0"/>
        <w:overflowPunct w:val="0"/>
        <w:autoSpaceDE w:val="0"/>
        <w:autoSpaceDN w:val="0"/>
        <w:spacing w:after="0" w:line="360" w:lineRule="auto"/>
        <w:ind w:right="113" w:firstLine="484" w:firstLineChars="202"/>
        <w:rPr>
          <w:rFonts w:hint="eastAsia" w:ascii="宋体" w:hAnsi="宋体" w:cs="楷体_GB2312"/>
          <w:color w:val="auto"/>
          <w:sz w:val="24"/>
          <w:highlight w:val="none"/>
          <w:u w:val="single"/>
        </w:rPr>
      </w:pPr>
      <w:r>
        <w:rPr>
          <w:rFonts w:hint="eastAsia" w:ascii="宋体" w:hAnsi="宋体" w:cs="楷体_GB2312"/>
          <w:color w:val="auto"/>
          <w:sz w:val="24"/>
          <w:highlight w:val="none"/>
          <w:u w:val="single"/>
        </w:rPr>
        <w:t>注：详见电子招标投标交易平台网站发布的最新版操作指引。</w:t>
      </w:r>
    </w:p>
    <w:p w14:paraId="33868051">
      <w:pPr>
        <w:tabs>
          <w:tab w:val="left" w:pos="360"/>
        </w:tabs>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5.3开标开始时间：</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；地点：</w:t>
      </w:r>
      <w:r>
        <w:rPr>
          <w:rFonts w:hint="eastAsia" w:ascii="宋体" w:hAnsi="宋体"/>
          <w:color w:val="auto"/>
          <w:sz w:val="24"/>
          <w:szCs w:val="24"/>
          <w:highlight w:val="none"/>
          <w:u w:val="single"/>
        </w:rPr>
        <w:t xml:space="preserve">广州交易集团有限公司（广州公共资源交易中心）第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w:t>
      </w:r>
      <w:r>
        <w:rPr>
          <w:rFonts w:hint="eastAsia" w:ascii="宋体" w:hAnsi="宋体" w:cs="宋体"/>
          <w:color w:val="auto"/>
          <w:sz w:val="24"/>
          <w:szCs w:val="24"/>
          <w:highlight w:val="none"/>
        </w:rPr>
        <w:t>。</w:t>
      </w:r>
    </w:p>
    <w:p w14:paraId="49F57F5D">
      <w:pPr>
        <w:tabs>
          <w:tab w:val="left" w:pos="360"/>
        </w:tabs>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5.4投标文件光盘（备用）递交时间：</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至</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；地点：</w:t>
      </w:r>
      <w:r>
        <w:rPr>
          <w:rFonts w:hint="eastAsia" w:ascii="宋体" w:hAnsi="宋体"/>
          <w:color w:val="auto"/>
          <w:sz w:val="24"/>
          <w:szCs w:val="24"/>
          <w:highlight w:val="none"/>
          <w:u w:val="single"/>
        </w:rPr>
        <w:t xml:space="preserve">广州交易集团有限公司（广州公共资源交易中心）第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w:t>
      </w:r>
      <w:r>
        <w:rPr>
          <w:rFonts w:hint="eastAsia" w:ascii="宋体" w:hAnsi="宋体" w:cs="宋体"/>
          <w:color w:val="auto"/>
          <w:sz w:val="24"/>
          <w:szCs w:val="24"/>
          <w:highlight w:val="none"/>
        </w:rPr>
        <w:t>。（投标人自行决定是否递交备用电子光盘，若提交电子光盘</w:t>
      </w:r>
      <w:r>
        <w:rPr>
          <w:rFonts w:hint="eastAsia" w:ascii="宋体" w:hAnsi="宋体" w:cs="宋体"/>
          <w:color w:val="auto"/>
          <w:sz w:val="24"/>
          <w:szCs w:val="24"/>
          <w:highlight w:val="none"/>
          <w:lang w:eastAsia="zh-CN"/>
        </w:rPr>
        <w:t>需</w:t>
      </w:r>
      <w:r>
        <w:rPr>
          <w:rFonts w:hint="eastAsia" w:ascii="宋体" w:hAnsi="宋体" w:cs="宋体"/>
          <w:color w:val="auto"/>
          <w:sz w:val="24"/>
          <w:szCs w:val="24"/>
          <w:highlight w:val="none"/>
        </w:rPr>
        <w:t>按规定封装。投标人将数据刻录到光盘之后，投标前自行检查文件是否可以读取）。逾期送达的投标文件光盘（备用），招标人将予以拒收。</w:t>
      </w:r>
    </w:p>
    <w:p w14:paraId="6A23E7C0">
      <w:pPr>
        <w:tabs>
          <w:tab w:val="left" w:pos="360"/>
        </w:tabs>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5.5投标文件解密时间为：</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至</w:t>
      </w:r>
      <w:r>
        <w:rPr>
          <w:rFonts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，投标人应在截止时间前通过</w:t>
      </w:r>
      <w:r>
        <w:rPr>
          <w:rFonts w:hint="eastAsia" w:ascii="宋体" w:hAnsi="宋体" w:cs="宋体"/>
          <w:color w:val="auto"/>
          <w:sz w:val="24"/>
          <w:szCs w:val="24"/>
          <w:highlight w:val="none"/>
          <w:u w:val="single"/>
        </w:rPr>
        <w:t>广州交易集团有限公司（广州公共资源交易中心）电子交易平台</w:t>
      </w:r>
      <w:r>
        <w:rPr>
          <w:rFonts w:hint="eastAsia" w:ascii="宋体" w:hAnsi="宋体" w:cs="宋体"/>
          <w:color w:val="auto"/>
          <w:sz w:val="24"/>
          <w:szCs w:val="24"/>
          <w:highlight w:val="none"/>
        </w:rPr>
        <w:t>对电子投标文件进行投标文件解密。</w:t>
      </w:r>
    </w:p>
    <w:p w14:paraId="7E7EB033">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5.6逾期送达的投标文件，电子招标投标交易平台将予以拒收。</w:t>
      </w:r>
    </w:p>
    <w:p w14:paraId="5D3A939B">
      <w:pPr>
        <w:wordWrap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5.7递交投标文件截止时间及开标时间是否有变化，请密切留意</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中的相关信息。递交投标文件截止时间后，投标文件评审时间因故推迟的，相关资审信息仍以原递交投标文件截止时间的信息为准。</w:t>
      </w:r>
    </w:p>
    <w:p w14:paraId="2B3D7D8C">
      <w:pPr>
        <w:pStyle w:val="3"/>
        <w:rPr>
          <w:rFonts w:hint="eastAsia"/>
          <w:color w:val="auto"/>
          <w:highlight w:val="none"/>
        </w:rPr>
      </w:pPr>
      <w:bookmarkStart w:id="74" w:name="_Toc4976"/>
      <w:r>
        <w:rPr>
          <w:rFonts w:hint="eastAsia"/>
          <w:color w:val="auto"/>
          <w:highlight w:val="none"/>
        </w:rPr>
        <w:t>6.发布公告的媒介</w:t>
      </w:r>
      <w:bookmarkEnd w:id="64"/>
      <w:bookmarkEnd w:id="65"/>
      <w:bookmarkEnd w:id="66"/>
      <w:bookmarkEnd w:id="67"/>
      <w:bookmarkEnd w:id="68"/>
      <w:bookmarkEnd w:id="69"/>
      <w:bookmarkEnd w:id="70"/>
      <w:bookmarkEnd w:id="71"/>
      <w:bookmarkEnd w:id="72"/>
      <w:bookmarkEnd w:id="73"/>
      <w:bookmarkEnd w:id="74"/>
    </w:p>
    <w:p w14:paraId="71062E56">
      <w:pPr>
        <w:wordWrap w:val="0"/>
        <w:spacing w:line="360" w:lineRule="auto"/>
        <w:ind w:firstLine="484" w:firstLineChars="202"/>
        <w:rPr>
          <w:rFonts w:hint="eastAsia" w:ascii="宋体" w:hAnsi="宋体"/>
          <w:color w:val="auto"/>
          <w:sz w:val="24"/>
          <w:szCs w:val="24"/>
          <w:highlight w:val="none"/>
        </w:rPr>
      </w:pPr>
      <w:r>
        <w:rPr>
          <w:rFonts w:hint="eastAsia" w:ascii="宋体" w:hAnsi="宋体" w:cs="宋体"/>
          <w:color w:val="auto"/>
          <w:sz w:val="24"/>
          <w:szCs w:val="24"/>
          <w:highlight w:val="none"/>
        </w:rPr>
        <w:t>本次招标公告同时在</w:t>
      </w:r>
      <w:r>
        <w:rPr>
          <w:rFonts w:hint="eastAsia" w:ascii="宋体" w:hAnsi="宋体" w:cs="宋体"/>
          <w:color w:val="auto"/>
          <w:sz w:val="24"/>
          <w:szCs w:val="24"/>
          <w:highlight w:val="none"/>
          <w:u w:val="single"/>
        </w:rPr>
        <w:t>广州交易集团有限公司（广州公共资源交易中心）网站（http://www.gzggzy.cn/）</w:t>
      </w:r>
      <w:r>
        <w:rPr>
          <w:rFonts w:hint="eastAsia" w:ascii="宋体" w:hAnsi="宋体" w:cs="宋体"/>
          <w:color w:val="auto"/>
          <w:sz w:val="24"/>
          <w:szCs w:val="24"/>
          <w:highlight w:val="none"/>
        </w:rPr>
        <w:t>、广东省招标投标监管网（网址： http://zbtb.gd.gov.cn/login）、中国招标投标公共服务平台（网址：http://www.cebpubservice.com/）上发布。本公告的修改、补充，在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、广东省招标投标监管网和中国招标投标公共服务平台发布。招标公告、公示信息的发布时间和内容，以在广东省招标投标监管网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网址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http://zbtb.gd.gov.cn/) 发布的为准。本项目相关附件具体详见</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olor w:val="auto"/>
          <w:sz w:val="24"/>
          <w:szCs w:val="24"/>
          <w:highlight w:val="none"/>
        </w:rPr>
        <w:t>。</w:t>
      </w:r>
    </w:p>
    <w:p w14:paraId="687259E7">
      <w:pPr>
        <w:pStyle w:val="3"/>
        <w:rPr>
          <w:rFonts w:hint="eastAsia"/>
          <w:color w:val="auto"/>
          <w:highlight w:val="none"/>
        </w:rPr>
      </w:pPr>
      <w:bookmarkStart w:id="75" w:name="_Toc19129"/>
      <w:bookmarkStart w:id="76" w:name="_Toc17274"/>
      <w:bookmarkStart w:id="77" w:name="_Toc26465"/>
      <w:bookmarkStart w:id="78" w:name="_Toc29446"/>
      <w:bookmarkStart w:id="79" w:name="_Toc12872"/>
      <w:bookmarkStart w:id="80" w:name="_Toc31630"/>
      <w:bookmarkStart w:id="81" w:name="_Toc4765"/>
      <w:bookmarkStart w:id="82" w:name="_Toc14159"/>
      <w:bookmarkStart w:id="83" w:name="_Toc22894"/>
      <w:bookmarkStart w:id="84" w:name="_Toc492300552"/>
      <w:bookmarkStart w:id="85" w:name="_Toc2596"/>
      <w:r>
        <w:rPr>
          <w:rFonts w:hint="eastAsia"/>
          <w:color w:val="auto"/>
          <w:highlight w:val="none"/>
        </w:rPr>
        <w:t>7.</w:t>
      </w:r>
      <w:bookmarkEnd w:id="75"/>
      <w:bookmarkEnd w:id="76"/>
      <w:bookmarkEnd w:id="77"/>
      <w:bookmarkEnd w:id="78"/>
      <w:bookmarkEnd w:id="79"/>
      <w:bookmarkEnd w:id="80"/>
      <w:bookmarkEnd w:id="81"/>
      <w:bookmarkEnd w:id="82"/>
      <w:bookmarkEnd w:id="83"/>
      <w:bookmarkEnd w:id="84"/>
      <w:r>
        <w:rPr>
          <w:rFonts w:hint="eastAsia"/>
          <w:color w:val="auto"/>
          <w:highlight w:val="none"/>
        </w:rPr>
        <w:t>资格审查方式</w:t>
      </w:r>
      <w:bookmarkEnd w:id="85"/>
    </w:p>
    <w:p w14:paraId="05EFEE67">
      <w:pPr>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7.1本工程采用资格后审方式，由评标委员会负责资格审查。</w:t>
      </w:r>
    </w:p>
    <w:p w14:paraId="6099A614">
      <w:pPr>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7.2资格审查结果将在</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和广东省招标投标监管网公示，公示时间不得少于3日，最后一天应为工作日。</w:t>
      </w:r>
    </w:p>
    <w:p w14:paraId="7092766E">
      <w:pPr>
        <w:pStyle w:val="3"/>
        <w:rPr>
          <w:rFonts w:hint="eastAsia"/>
          <w:color w:val="auto"/>
          <w:highlight w:val="none"/>
        </w:rPr>
      </w:pPr>
      <w:bookmarkStart w:id="86" w:name="_Toc748"/>
      <w:r>
        <w:rPr>
          <w:rFonts w:hint="eastAsia"/>
          <w:color w:val="auto"/>
          <w:highlight w:val="none"/>
        </w:rPr>
        <w:t>8.疑问、异议、投诉处理</w:t>
      </w:r>
      <w:bookmarkEnd w:id="86"/>
    </w:p>
    <w:p w14:paraId="3DD643C3">
      <w:pPr>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8.1</w:t>
      </w:r>
      <w:r>
        <w:rPr>
          <w:rFonts w:ascii="宋体" w:hAnsi="宋体" w:cs="宋体"/>
          <w:color w:val="auto"/>
          <w:sz w:val="24"/>
          <w:szCs w:val="24"/>
          <w:highlight w:val="none"/>
        </w:rPr>
        <w:t>关于疑问、异议、投诉的基本概念和处理程序详见《中华人民共和国招标投标法》、《中华人民共和国招标投标法实施条例》、《工程建设项目招标投标活动投诉处理办法》</w:t>
      </w:r>
      <w:r>
        <w:rPr>
          <w:rFonts w:hint="eastAsia" w:ascii="宋体" w:hAnsi="宋体" w:cs="宋体"/>
          <w:color w:val="auto"/>
          <w:sz w:val="24"/>
          <w:szCs w:val="24"/>
          <w:highlight w:val="none"/>
        </w:rPr>
        <w:t>。</w:t>
      </w:r>
    </w:p>
    <w:p w14:paraId="5FF26123">
      <w:pPr>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8.2</w:t>
      </w:r>
      <w:r>
        <w:rPr>
          <w:rFonts w:ascii="宋体" w:hAnsi="宋体" w:cs="宋体"/>
          <w:color w:val="auto"/>
          <w:sz w:val="24"/>
          <w:szCs w:val="24"/>
          <w:highlight w:val="none"/>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Pr>
          <w:rFonts w:hint="eastAsia" w:ascii="宋体" w:hAnsi="宋体" w:cs="宋体"/>
          <w:color w:val="auto"/>
          <w:sz w:val="24"/>
          <w:szCs w:val="24"/>
          <w:highlight w:val="none"/>
        </w:rPr>
        <w:t>。</w:t>
      </w:r>
    </w:p>
    <w:p w14:paraId="708558A0">
      <w:pPr>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8.3潜在投标人或利害关系人对本招标公告、招标文件有异议的，应当在招标投标相关法律法规规定的时间内（投标截止时间</w:t>
      </w:r>
      <w:r>
        <w:rPr>
          <w:rFonts w:hint="eastAsia" w:ascii="宋体" w:hAnsi="宋体" w:cs="宋体"/>
          <w:color w:val="auto"/>
          <w:sz w:val="24"/>
          <w:szCs w:val="24"/>
          <w:highlight w:val="none"/>
          <w:u w:val="single"/>
        </w:rPr>
        <w:t>10</w:t>
      </w:r>
      <w:r>
        <w:rPr>
          <w:rFonts w:hint="eastAsia" w:ascii="宋体" w:hAnsi="宋体" w:cs="宋体"/>
          <w:color w:val="auto"/>
          <w:sz w:val="24"/>
          <w:szCs w:val="24"/>
          <w:highlight w:val="none"/>
        </w:rPr>
        <w:t>日前）通过电子交易系统向招标人提出，具体按照</w:t>
      </w:r>
      <w:r>
        <w:rPr>
          <w:rFonts w:hint="eastAsia" w:ascii="宋体" w:hAnsi="宋体" w:cs="宋体"/>
          <w:color w:val="auto"/>
          <w:sz w:val="24"/>
          <w:szCs w:val="24"/>
          <w:highlight w:val="none"/>
          <w:u w:val="single"/>
        </w:rPr>
        <w:t>广州交易集团有限公司（广州公共资源交易中心）电子交易平台</w:t>
      </w:r>
      <w:r>
        <w:rPr>
          <w:rFonts w:hint="eastAsia" w:ascii="宋体" w:hAnsi="宋体" w:cs="宋体"/>
          <w:color w:val="auto"/>
          <w:sz w:val="24"/>
          <w:szCs w:val="24"/>
          <w:highlight w:val="none"/>
        </w:rPr>
        <w:t>相关指南进行操作；尚未登记注册的，可</w:t>
      </w:r>
      <w:r>
        <w:rPr>
          <w:rFonts w:hint="eastAsia" w:ascii="宋体" w:hAnsi="宋体"/>
          <w:color w:val="auto"/>
          <w:sz w:val="24"/>
          <w:szCs w:val="24"/>
          <w:highlight w:val="none"/>
          <w:u w:val="single"/>
        </w:rPr>
        <w:t>书面</w:t>
      </w:r>
      <w:r>
        <w:rPr>
          <w:rFonts w:hint="eastAsia" w:ascii="宋体" w:hAnsi="宋体" w:cs="宋体"/>
          <w:color w:val="auto"/>
          <w:sz w:val="24"/>
          <w:szCs w:val="24"/>
          <w:highlight w:val="none"/>
        </w:rPr>
        <w:t>向招标人提出。招标人应当在规定的异议答复期限内作出答复；作出答复前，应当暂停招标投标活动。招标人依法作出答复、发布招标文件澄清或者修改文件的，应当通过电子交易系统进行。</w:t>
      </w:r>
    </w:p>
    <w:p w14:paraId="01AD0A83">
      <w:pPr>
        <w:wordWrap w:val="0"/>
        <w:autoSpaceDE w:val="0"/>
        <w:autoSpaceDN w:val="0"/>
        <w:spacing w:line="360" w:lineRule="auto"/>
        <w:ind w:firstLine="484" w:firstLineChars="202"/>
        <w:rPr>
          <w:rFonts w:hint="eastAsia" w:ascii="宋体" w:hAnsi="宋体" w:eastAsia="宋体"/>
          <w:color w:val="auto"/>
          <w:sz w:val="24"/>
          <w:szCs w:val="24"/>
          <w:highlight w:val="none"/>
          <w:u w:val="single"/>
          <w:lang w:eastAsia="zh-CN"/>
        </w:rPr>
      </w:pPr>
      <w:r>
        <w:rPr>
          <w:rFonts w:hint="eastAsia" w:ascii="宋体" w:hAnsi="宋体" w:cs="宋体"/>
          <w:color w:val="auto"/>
          <w:sz w:val="24"/>
          <w:szCs w:val="24"/>
          <w:highlight w:val="none"/>
        </w:rPr>
        <w:t>异议受理部门：</w:t>
      </w:r>
      <w:r>
        <w:rPr>
          <w:rFonts w:hint="eastAsia" w:ascii="宋体" w:hAnsi="宋体"/>
          <w:color w:val="auto"/>
          <w:sz w:val="24"/>
          <w:szCs w:val="24"/>
          <w:highlight w:val="none"/>
          <w:u w:val="single"/>
          <w:lang w:eastAsia="zh-CN"/>
        </w:rPr>
        <w:t>广州市花都区交通运输局</w:t>
      </w:r>
    </w:p>
    <w:p w14:paraId="62E784F5">
      <w:pPr>
        <w:wordWrap w:val="0"/>
        <w:autoSpaceDE w:val="0"/>
        <w:autoSpaceDN w:val="0"/>
        <w:spacing w:line="360" w:lineRule="auto"/>
        <w:ind w:firstLine="484" w:firstLineChars="202"/>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异议受理电话：</w:t>
      </w:r>
      <w:r>
        <w:rPr>
          <w:rFonts w:ascii="宋体" w:hAnsi="宋体"/>
          <w:color w:val="auto"/>
          <w:sz w:val="24"/>
          <w:szCs w:val="24"/>
          <w:highlight w:val="none"/>
          <w:u w:val="single"/>
        </w:rPr>
        <w:t>020-</w:t>
      </w:r>
      <w:r>
        <w:rPr>
          <w:rFonts w:hint="eastAsia" w:ascii="宋体" w:hAnsi="宋体"/>
          <w:color w:val="auto"/>
          <w:sz w:val="24"/>
          <w:szCs w:val="24"/>
          <w:highlight w:val="none"/>
          <w:u w:val="single"/>
        </w:rPr>
        <w:t>86970157</w:t>
      </w:r>
    </w:p>
    <w:p w14:paraId="1D8E0D97">
      <w:pPr>
        <w:wordWrap w:val="0"/>
        <w:autoSpaceDE w:val="0"/>
        <w:autoSpaceDN w:val="0"/>
        <w:spacing w:line="360" w:lineRule="auto"/>
        <w:ind w:firstLine="484" w:firstLineChars="202"/>
        <w:rPr>
          <w:rFonts w:hint="eastAsia" w:ascii="宋体" w:hAnsi="宋体"/>
          <w:color w:val="auto"/>
          <w:sz w:val="24"/>
          <w:szCs w:val="24"/>
          <w:highlight w:val="none"/>
          <w:u w:val="single"/>
        </w:rPr>
      </w:pPr>
      <w:r>
        <w:rPr>
          <w:rFonts w:hint="eastAsia" w:ascii="宋体" w:hAnsi="宋体" w:cs="宋体"/>
          <w:color w:val="auto"/>
          <w:sz w:val="24"/>
          <w:szCs w:val="24"/>
          <w:highlight w:val="none"/>
        </w:rPr>
        <w:t>地址：</w:t>
      </w:r>
      <w:bookmarkStart w:id="87" w:name="_Toc27994"/>
      <w:r>
        <w:rPr>
          <w:rFonts w:hint="eastAsia" w:ascii="宋体" w:hAnsi="宋体"/>
          <w:color w:val="auto"/>
          <w:sz w:val="24"/>
          <w:szCs w:val="24"/>
          <w:highlight w:val="none"/>
          <w:u w:val="single"/>
        </w:rPr>
        <w:t>广州市花都区紫薇路23号交通运输局</w:t>
      </w:r>
    </w:p>
    <w:p w14:paraId="621E925C">
      <w:pPr>
        <w:wordWrap w:val="0"/>
        <w:autoSpaceDE w:val="0"/>
        <w:autoSpaceDN w:val="0"/>
        <w:spacing w:line="360" w:lineRule="auto"/>
        <w:ind w:firstLine="487" w:firstLineChars="202"/>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注：具体操作详见“广州交易集团有限公司（广州公共资源交易中心）门户网站首页</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服务指南</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系统帮助</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操作手册</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发起及受理异议操作指引”。</w:t>
      </w:r>
    </w:p>
    <w:p w14:paraId="696431A5">
      <w:pPr>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8.4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w:t>
      </w:r>
      <w:r>
        <w:rPr>
          <w:rFonts w:ascii="宋体" w:hAnsi="宋体" w:cs="宋体"/>
          <w:color w:val="auto"/>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w:t>
      </w:r>
      <w:r>
        <w:rPr>
          <w:rFonts w:hint="eastAsia" w:ascii="宋体" w:hAnsi="宋体" w:cs="宋体"/>
          <w:color w:val="auto"/>
          <w:sz w:val="24"/>
          <w:szCs w:val="24"/>
          <w:highlight w:val="none"/>
        </w:rPr>
        <w:t>同时将记录到广州市交通建设项目企业信息库诚信评价管理系统。</w:t>
      </w:r>
      <w:bookmarkEnd w:id="87"/>
    </w:p>
    <w:p w14:paraId="43D178D5">
      <w:pPr>
        <w:pStyle w:val="3"/>
        <w:rPr>
          <w:rFonts w:hint="eastAsia"/>
          <w:color w:val="auto"/>
          <w:highlight w:val="none"/>
        </w:rPr>
      </w:pPr>
      <w:bookmarkStart w:id="88" w:name="_Toc11636"/>
      <w:r>
        <w:rPr>
          <w:rFonts w:hint="eastAsia"/>
          <w:color w:val="auto"/>
          <w:highlight w:val="none"/>
        </w:rPr>
        <w:t>9.其它事项</w:t>
      </w:r>
      <w:bookmarkEnd w:id="88"/>
    </w:p>
    <w:p w14:paraId="561560D0">
      <w:pPr>
        <w:wordWrap w:val="0"/>
        <w:autoSpaceDE w:val="0"/>
        <w:autoSpaceDN w:val="0"/>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9.1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7F0757C">
      <w:pPr>
        <w:wordWrap w:val="0"/>
        <w:autoSpaceDE w:val="0"/>
        <w:autoSpaceDN w:val="0"/>
        <w:spacing w:line="360" w:lineRule="auto"/>
        <w:ind w:firstLine="484" w:firstLineChars="202"/>
        <w:rPr>
          <w:rFonts w:hint="eastAsia" w:ascii="宋体" w:hAnsi="宋体" w:eastAsia="宋体" w:cs="宋体"/>
          <w:color w:val="auto"/>
          <w:sz w:val="24"/>
          <w:szCs w:val="24"/>
          <w:highlight w:val="none"/>
          <w:lang w:val="en-US" w:eastAsia="zh-CN"/>
        </w:rPr>
      </w:pPr>
      <w:bookmarkStart w:id="89" w:name="bookmark9"/>
      <w:bookmarkEnd w:id="89"/>
      <w:bookmarkStart w:id="90" w:name="_Toc20345"/>
      <w:bookmarkStart w:id="91" w:name="_Toc9802"/>
      <w:bookmarkStart w:id="92" w:name="_Toc26307"/>
      <w:bookmarkStart w:id="93" w:name="_Toc13798"/>
      <w:bookmarkStart w:id="94" w:name="_Toc15585"/>
      <w:bookmarkStart w:id="95" w:name="_Toc25287"/>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其它：</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w:t>
      </w:r>
    </w:p>
    <w:p w14:paraId="48E2D76D">
      <w:pPr>
        <w:pStyle w:val="3"/>
        <w:rPr>
          <w:rFonts w:hint="eastAsia"/>
          <w:color w:val="auto"/>
          <w:highlight w:val="none"/>
        </w:rPr>
      </w:pPr>
      <w:r>
        <w:rPr>
          <w:rFonts w:hint="eastAsia"/>
          <w:color w:val="auto"/>
          <w:highlight w:val="none"/>
        </w:rPr>
        <w:t>10.联系方式</w:t>
      </w:r>
      <w:bookmarkEnd w:id="90"/>
      <w:bookmarkEnd w:id="91"/>
      <w:bookmarkEnd w:id="92"/>
      <w:bookmarkEnd w:id="93"/>
      <w:bookmarkEnd w:id="94"/>
      <w:bookmarkEnd w:id="95"/>
    </w:p>
    <w:p w14:paraId="324FB7B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招标人：</w:t>
      </w:r>
      <w:r>
        <w:rPr>
          <w:rFonts w:hint="eastAsia" w:ascii="宋体" w:hAnsi="宋体" w:eastAsia="宋体" w:cs="宋体"/>
          <w:color w:val="auto"/>
          <w:sz w:val="24"/>
          <w:szCs w:val="24"/>
          <w:highlight w:val="none"/>
          <w:u w:val="single"/>
          <w:lang w:eastAsia="zh-CN"/>
        </w:rPr>
        <w:t>广州市花都区交通运输局</w:t>
      </w:r>
    </w:p>
    <w:p w14:paraId="37472CF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宋体" w:hAnsi="宋体" w:eastAsia="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贾</w:t>
      </w:r>
      <w:r>
        <w:rPr>
          <w:rFonts w:hint="eastAsia" w:ascii="宋体" w:hAnsi="宋体" w:eastAsia="宋体" w:cs="宋体"/>
          <w:color w:val="auto"/>
          <w:kern w:val="0"/>
          <w:sz w:val="24"/>
          <w:szCs w:val="24"/>
          <w:highlight w:val="none"/>
          <w:u w:val="single"/>
          <w:lang w:bidi="ar"/>
        </w:rPr>
        <w:t>工</w:t>
      </w:r>
    </w:p>
    <w:p w14:paraId="4094B88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地</w:t>
      </w:r>
      <w:r>
        <w:rPr>
          <w:rFonts w:ascii="宋体" w:hAnsi="宋体" w:eastAsia="宋体"/>
          <w:color w:val="auto"/>
          <w:sz w:val="24"/>
          <w:szCs w:val="24"/>
          <w:highlight w:val="none"/>
        </w:rPr>
        <w:tab/>
      </w:r>
      <w:r>
        <w:rPr>
          <w:rFonts w:ascii="宋体" w:hAnsi="宋体" w:eastAsia="宋体"/>
          <w:color w:val="auto"/>
          <w:sz w:val="24"/>
          <w:szCs w:val="24"/>
          <w:highlight w:val="none"/>
        </w:rPr>
        <w:t>址：</w:t>
      </w:r>
      <w:r>
        <w:rPr>
          <w:rFonts w:hint="eastAsia" w:ascii="宋体" w:hAnsi="宋体" w:eastAsia="宋体" w:cs="宋体"/>
          <w:color w:val="auto"/>
          <w:sz w:val="24"/>
          <w:szCs w:val="24"/>
          <w:highlight w:val="none"/>
          <w:u w:val="single"/>
        </w:rPr>
        <w:t>广</w:t>
      </w:r>
      <w:r>
        <w:rPr>
          <w:rFonts w:hint="eastAsia" w:ascii="宋体" w:hAnsi="宋体" w:eastAsia="宋体" w:cs="宋体"/>
          <w:color w:val="auto"/>
          <w:sz w:val="24"/>
          <w:szCs w:val="24"/>
          <w:highlight w:val="none"/>
          <w:u w:val="single"/>
          <w:lang w:eastAsia="zh-CN"/>
        </w:rPr>
        <w:t>州市</w:t>
      </w:r>
      <w:r>
        <w:rPr>
          <w:rFonts w:hint="eastAsia" w:ascii="宋体" w:hAnsi="宋体" w:eastAsia="宋体" w:cs="宋体"/>
          <w:color w:val="auto"/>
          <w:sz w:val="24"/>
          <w:szCs w:val="24"/>
          <w:highlight w:val="none"/>
          <w:u w:val="single"/>
        </w:rPr>
        <w:t>花都区紫薇路23号交通运输局</w:t>
      </w:r>
    </w:p>
    <w:p w14:paraId="2477E0B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联系电话</w:t>
      </w:r>
      <w:r>
        <w:rPr>
          <w:rFonts w:ascii="宋体" w:hAnsi="宋体" w:eastAsia="宋体"/>
          <w:color w:val="auto"/>
          <w:sz w:val="24"/>
          <w:szCs w:val="24"/>
          <w:highlight w:val="none"/>
        </w:rPr>
        <w:t>：</w:t>
      </w:r>
      <w:r>
        <w:rPr>
          <w:rFonts w:ascii="宋体" w:hAnsi="宋体" w:eastAsia="宋体" w:cs="宋体"/>
          <w:bCs/>
          <w:color w:val="auto"/>
          <w:sz w:val="24"/>
          <w:szCs w:val="24"/>
          <w:highlight w:val="none"/>
          <w:u w:val="single"/>
        </w:rPr>
        <w:t>020-</w:t>
      </w:r>
      <w:r>
        <w:rPr>
          <w:rFonts w:hint="eastAsia" w:ascii="宋体" w:hAnsi="宋体" w:eastAsia="宋体" w:cs="宋体"/>
          <w:bCs/>
          <w:color w:val="auto"/>
          <w:sz w:val="24"/>
          <w:szCs w:val="24"/>
          <w:highlight w:val="none"/>
          <w:u w:val="single"/>
        </w:rPr>
        <w:t>86970157</w:t>
      </w:r>
    </w:p>
    <w:p w14:paraId="25F5C0B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传真号码</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5FEF620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电子邮箱</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7D90AB2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宋体" w:hAnsi="宋体" w:eastAsia="宋体"/>
          <w:color w:val="auto"/>
          <w:sz w:val="24"/>
          <w:szCs w:val="24"/>
          <w:highlight w:val="none"/>
        </w:rPr>
      </w:pPr>
    </w:p>
    <w:p w14:paraId="3203576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招</w:t>
      </w:r>
      <w:r>
        <w:rPr>
          <w:rFonts w:hint="eastAsia" w:ascii="宋体" w:hAnsi="宋体" w:eastAsia="宋体"/>
          <w:color w:val="auto"/>
          <w:sz w:val="24"/>
          <w:szCs w:val="24"/>
          <w:highlight w:val="none"/>
        </w:rPr>
        <w:t>标代理机构</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u w:val="single"/>
          <w:lang w:eastAsia="zh-CN"/>
        </w:rPr>
        <w:t>北京中交建设工程咨询有限公司</w:t>
      </w:r>
    </w:p>
    <w:p w14:paraId="2D50375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联系人：</w:t>
      </w:r>
      <w:r>
        <w:rPr>
          <w:rFonts w:hint="eastAsia" w:ascii="宋体" w:hAnsi="宋体" w:eastAsia="宋体"/>
          <w:color w:val="auto"/>
          <w:sz w:val="24"/>
          <w:szCs w:val="24"/>
          <w:highlight w:val="none"/>
          <w:u w:val="single"/>
          <w:lang w:val="en-US" w:eastAsia="zh-CN"/>
        </w:rPr>
        <w:t>罗</w:t>
      </w:r>
      <w:r>
        <w:rPr>
          <w:rFonts w:hint="eastAsia" w:ascii="宋体" w:hAnsi="宋体" w:eastAsia="宋体"/>
          <w:color w:val="auto"/>
          <w:sz w:val="24"/>
          <w:szCs w:val="24"/>
          <w:highlight w:val="none"/>
          <w:u w:val="single"/>
        </w:rPr>
        <w:t>工</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梁工</w:t>
      </w:r>
    </w:p>
    <w:p w14:paraId="724C112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地</w:t>
      </w:r>
      <w:r>
        <w:rPr>
          <w:rFonts w:ascii="宋体" w:hAnsi="宋体" w:eastAsia="宋体"/>
          <w:color w:val="auto"/>
          <w:sz w:val="24"/>
          <w:szCs w:val="24"/>
          <w:highlight w:val="none"/>
        </w:rPr>
        <w:tab/>
      </w:r>
      <w:r>
        <w:rPr>
          <w:rFonts w:ascii="宋体" w:hAnsi="宋体" w:eastAsia="宋体"/>
          <w:color w:val="auto"/>
          <w:sz w:val="24"/>
          <w:szCs w:val="24"/>
          <w:highlight w:val="none"/>
        </w:rPr>
        <w:t>址：</w:t>
      </w:r>
      <w:r>
        <w:rPr>
          <w:rFonts w:hint="eastAsia" w:ascii="宋体" w:hAnsi="宋体" w:eastAsia="宋体" w:cs="宋体"/>
          <w:color w:val="auto"/>
          <w:sz w:val="24"/>
          <w:szCs w:val="24"/>
          <w:highlight w:val="none"/>
          <w:u w:val="single"/>
        </w:rPr>
        <w:t>广州市天河区黄埔大道西159号西塔7楼</w:t>
      </w:r>
    </w:p>
    <w:p w14:paraId="6B3B564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联系电话</w:t>
      </w:r>
      <w:r>
        <w:rPr>
          <w:rFonts w:ascii="宋体" w:hAnsi="宋体" w:eastAsia="宋体"/>
          <w:color w:val="auto"/>
          <w:sz w:val="24"/>
          <w:szCs w:val="24"/>
          <w:highlight w:val="none"/>
        </w:rPr>
        <w:t>：</w:t>
      </w:r>
      <w:r>
        <w:rPr>
          <w:rFonts w:ascii="宋体" w:hAnsi="宋体" w:eastAsia="宋体" w:cs="宋体"/>
          <w:color w:val="auto"/>
          <w:sz w:val="24"/>
          <w:szCs w:val="24"/>
          <w:highlight w:val="none"/>
          <w:u w:val="single"/>
        </w:rPr>
        <w:t>020-</w:t>
      </w:r>
      <w:r>
        <w:rPr>
          <w:rFonts w:hint="eastAsia" w:ascii="宋体" w:hAnsi="宋体" w:eastAsia="宋体" w:cs="宋体"/>
          <w:color w:val="auto"/>
          <w:sz w:val="24"/>
          <w:szCs w:val="24"/>
          <w:highlight w:val="none"/>
          <w:u w:val="single"/>
        </w:rPr>
        <w:t>87575800-8</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0</w:t>
      </w:r>
    </w:p>
    <w:p w14:paraId="5E6A539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传真号码</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3015815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电子邮箱</w:t>
      </w:r>
      <w:r>
        <w:rPr>
          <w:rFonts w:ascii="宋体" w:hAnsi="宋体" w:eastAsia="宋体"/>
          <w:color w:val="auto"/>
          <w:sz w:val="24"/>
          <w:szCs w:val="24"/>
          <w:highlight w:val="none"/>
        </w:rPr>
        <w:t>：</w:t>
      </w:r>
      <w:r>
        <w:rPr>
          <w:rFonts w:hint="eastAsia" w:ascii="宋体" w:hAnsi="宋体" w:eastAsia="宋体"/>
          <w:color w:val="auto"/>
          <w:sz w:val="24"/>
          <w:szCs w:val="24"/>
          <w:highlight w:val="none"/>
        </w:rPr>
        <w:t>/</w:t>
      </w:r>
    </w:p>
    <w:p w14:paraId="440F333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宋体" w:hAnsi="宋体" w:eastAsia="宋体"/>
          <w:color w:val="auto"/>
          <w:sz w:val="24"/>
          <w:szCs w:val="24"/>
          <w:highlight w:val="none"/>
        </w:rPr>
      </w:pPr>
    </w:p>
    <w:p w14:paraId="162C3AD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招标</w:t>
      </w:r>
      <w:r>
        <w:rPr>
          <w:rFonts w:hint="eastAsia" w:ascii="宋体" w:hAnsi="宋体" w:eastAsia="宋体"/>
          <w:color w:val="auto"/>
          <w:sz w:val="24"/>
          <w:szCs w:val="24"/>
          <w:highlight w:val="none"/>
        </w:rPr>
        <w:t>管理机构</w:t>
      </w:r>
      <w:r>
        <w:rPr>
          <w:rFonts w:ascii="宋体" w:hAnsi="宋体" w:eastAsia="宋体"/>
          <w:color w:val="auto"/>
          <w:sz w:val="24"/>
          <w:szCs w:val="24"/>
          <w:highlight w:val="none"/>
        </w:rPr>
        <w:t>：</w:t>
      </w:r>
      <w:r>
        <w:rPr>
          <w:rFonts w:hint="eastAsia" w:ascii="宋体" w:hAnsi="宋体" w:eastAsia="宋体" w:cs="宋体"/>
          <w:color w:val="auto"/>
          <w:sz w:val="24"/>
          <w:szCs w:val="24"/>
          <w:highlight w:val="none"/>
          <w:u w:val="single"/>
          <w:lang w:eastAsia="zh-CN"/>
        </w:rPr>
        <w:t>广州市花都区建设工程招标和造价管理中心</w:t>
      </w:r>
    </w:p>
    <w:p w14:paraId="308C773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宋体" w:hAnsi="宋体" w:eastAsia="宋体"/>
          <w:color w:val="auto"/>
          <w:sz w:val="24"/>
          <w:szCs w:val="24"/>
          <w:highlight w:val="none"/>
        </w:rPr>
      </w:pPr>
      <w:r>
        <w:rPr>
          <w:rFonts w:ascii="宋体" w:hAnsi="宋体" w:eastAsia="宋体"/>
          <w:color w:val="auto"/>
          <w:sz w:val="24"/>
          <w:szCs w:val="24"/>
          <w:highlight w:val="none"/>
        </w:rPr>
        <w:t>地</w:t>
      </w:r>
      <w:r>
        <w:rPr>
          <w:rFonts w:ascii="宋体" w:hAnsi="宋体" w:eastAsia="宋体"/>
          <w:color w:val="auto"/>
          <w:sz w:val="24"/>
          <w:szCs w:val="24"/>
          <w:highlight w:val="none"/>
        </w:rPr>
        <w:tab/>
      </w:r>
      <w:r>
        <w:rPr>
          <w:rFonts w:ascii="宋体" w:hAnsi="宋体" w:eastAsia="宋体"/>
          <w:color w:val="auto"/>
          <w:sz w:val="24"/>
          <w:szCs w:val="24"/>
          <w:highlight w:val="none"/>
        </w:rPr>
        <w:t>址：</w:t>
      </w:r>
      <w:r>
        <w:rPr>
          <w:rFonts w:hint="eastAsia" w:ascii="宋体" w:hAnsi="宋体" w:eastAsia="宋体" w:cs="宋体"/>
          <w:color w:val="auto"/>
          <w:sz w:val="24"/>
          <w:szCs w:val="24"/>
          <w:highlight w:val="none"/>
          <w:u w:val="single"/>
        </w:rPr>
        <w:t>广州市花都区公益路39号</w:t>
      </w:r>
    </w:p>
    <w:p w14:paraId="5AF7360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联系电话</w:t>
      </w:r>
      <w:r>
        <w:rPr>
          <w:rFonts w:ascii="宋体" w:hAnsi="宋体" w:eastAsia="宋体"/>
          <w:color w:val="auto"/>
          <w:sz w:val="24"/>
          <w:szCs w:val="24"/>
          <w:highlight w:val="none"/>
        </w:rPr>
        <w:t>：</w:t>
      </w:r>
      <w:r>
        <w:rPr>
          <w:rFonts w:ascii="宋体" w:hAnsi="宋体" w:eastAsia="宋体" w:cs="宋体"/>
          <w:bCs/>
          <w:color w:val="auto"/>
          <w:sz w:val="24"/>
          <w:szCs w:val="24"/>
          <w:highlight w:val="none"/>
          <w:u w:val="single"/>
        </w:rPr>
        <w:t>020-</w:t>
      </w:r>
      <w:r>
        <w:rPr>
          <w:rFonts w:hint="eastAsia" w:ascii="宋体" w:hAnsi="宋体" w:eastAsia="宋体" w:cs="宋体"/>
          <w:bCs/>
          <w:color w:val="auto"/>
          <w:sz w:val="24"/>
          <w:szCs w:val="24"/>
          <w:highlight w:val="none"/>
          <w:u w:val="single"/>
        </w:rPr>
        <w:t>36897092</w:t>
      </w:r>
    </w:p>
    <w:p w14:paraId="619D4A12">
      <w:pPr>
        <w:pStyle w:val="13"/>
        <w:keepNext w:val="0"/>
        <w:keepLines w:val="0"/>
        <w:pageBreakBefore w:val="0"/>
        <w:widowControl w:val="0"/>
        <w:tabs>
          <w:tab w:val="left" w:pos="1151"/>
          <w:tab w:val="left" w:pos="4228"/>
          <w:tab w:val="left" w:pos="4862"/>
          <w:tab w:val="left" w:pos="7942"/>
        </w:tabs>
        <w:kinsoku w:val="0"/>
        <w:wordWrap w:val="0"/>
        <w:overflowPunct w:val="0"/>
        <w:topLinePunct w:val="0"/>
        <w:autoSpaceDE/>
        <w:autoSpaceDN/>
        <w:bidi w:val="0"/>
        <w:adjustRightInd/>
        <w:snapToGrid/>
        <w:spacing w:after="0" w:line="360" w:lineRule="auto"/>
        <w:ind w:right="0" w:firstLine="480" w:firstLineChars="200"/>
        <w:textAlignment w:val="auto"/>
        <w:rPr>
          <w:rFonts w:hint="eastAsia" w:ascii="宋体" w:hAnsi="宋体"/>
          <w:color w:val="auto"/>
          <w:sz w:val="24"/>
          <w:highlight w:val="none"/>
        </w:rPr>
      </w:pPr>
    </w:p>
    <w:sectPr>
      <w:footerReference r:id="rId4" w:type="default"/>
      <w:pgSz w:w="11906" w:h="16838"/>
      <w:pgMar w:top="1440" w:right="1440" w:bottom="144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6AFED">
    <w:pPr>
      <w:pStyle w:val="15"/>
      <w:jc w:val="center"/>
    </w:pPr>
  </w:p>
  <w:p w14:paraId="24FA0FBA">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8780"/>
      <w:docPartObj>
        <w:docPartGallery w:val="autotext"/>
      </w:docPartObj>
    </w:sdtPr>
    <w:sdtContent>
      <w:p w14:paraId="3E37058D">
        <w:pPr>
          <w:pStyle w:val="15"/>
          <w:jc w:val="center"/>
        </w:pPr>
        <w:r>
          <w:fldChar w:fldCharType="begin"/>
        </w:r>
        <w:r>
          <w:instrText xml:space="preserve">PAGE   \* MERGEFORMAT</w:instrText>
        </w:r>
        <w:r>
          <w:fldChar w:fldCharType="separate"/>
        </w:r>
        <w:r>
          <w:rPr>
            <w:lang w:val="zh-CN"/>
          </w:rPr>
          <w:t>8</w:t>
        </w:r>
        <w:r>
          <w:fldChar w:fldCharType="end"/>
        </w:r>
      </w:p>
    </w:sdtContent>
  </w:sdt>
  <w:p w14:paraId="695D3B94">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45"/>
    <w:rsid w:val="000036A9"/>
    <w:rsid w:val="00021C5B"/>
    <w:rsid w:val="00045916"/>
    <w:rsid w:val="00073F36"/>
    <w:rsid w:val="00093CA0"/>
    <w:rsid w:val="000D033A"/>
    <w:rsid w:val="000E31BD"/>
    <w:rsid w:val="00111456"/>
    <w:rsid w:val="00114DAB"/>
    <w:rsid w:val="001B761B"/>
    <w:rsid w:val="00210172"/>
    <w:rsid w:val="0023214D"/>
    <w:rsid w:val="00345C9A"/>
    <w:rsid w:val="00377687"/>
    <w:rsid w:val="00384BC8"/>
    <w:rsid w:val="00385691"/>
    <w:rsid w:val="0038682D"/>
    <w:rsid w:val="00397379"/>
    <w:rsid w:val="003F16E6"/>
    <w:rsid w:val="004706A9"/>
    <w:rsid w:val="00492BC2"/>
    <w:rsid w:val="004C48CB"/>
    <w:rsid w:val="00605926"/>
    <w:rsid w:val="0063327A"/>
    <w:rsid w:val="00651E37"/>
    <w:rsid w:val="0067131C"/>
    <w:rsid w:val="006B715B"/>
    <w:rsid w:val="006E5DB7"/>
    <w:rsid w:val="0074157B"/>
    <w:rsid w:val="007627A8"/>
    <w:rsid w:val="00765894"/>
    <w:rsid w:val="00785471"/>
    <w:rsid w:val="007E332A"/>
    <w:rsid w:val="00841648"/>
    <w:rsid w:val="008707B3"/>
    <w:rsid w:val="008E5867"/>
    <w:rsid w:val="0090579B"/>
    <w:rsid w:val="00914A80"/>
    <w:rsid w:val="009168F6"/>
    <w:rsid w:val="00972323"/>
    <w:rsid w:val="0097474F"/>
    <w:rsid w:val="00A3569A"/>
    <w:rsid w:val="00AF4E97"/>
    <w:rsid w:val="00B61984"/>
    <w:rsid w:val="00BB597A"/>
    <w:rsid w:val="00BB6301"/>
    <w:rsid w:val="00C12DCF"/>
    <w:rsid w:val="00C502AF"/>
    <w:rsid w:val="00C7574E"/>
    <w:rsid w:val="00CC7EBB"/>
    <w:rsid w:val="00D5125F"/>
    <w:rsid w:val="00D62E01"/>
    <w:rsid w:val="00DA6A55"/>
    <w:rsid w:val="00DF3888"/>
    <w:rsid w:val="00E05945"/>
    <w:rsid w:val="00E13DE3"/>
    <w:rsid w:val="00E303B3"/>
    <w:rsid w:val="00EA5B8A"/>
    <w:rsid w:val="00EB674E"/>
    <w:rsid w:val="00F03304"/>
    <w:rsid w:val="00FA3C4B"/>
    <w:rsid w:val="00FA7231"/>
    <w:rsid w:val="025F5045"/>
    <w:rsid w:val="028B5457"/>
    <w:rsid w:val="052439C6"/>
    <w:rsid w:val="05B20CAC"/>
    <w:rsid w:val="064E4923"/>
    <w:rsid w:val="06F6410E"/>
    <w:rsid w:val="098B38C8"/>
    <w:rsid w:val="0A533D0E"/>
    <w:rsid w:val="0F6C1D33"/>
    <w:rsid w:val="10623C9F"/>
    <w:rsid w:val="11FF5A9E"/>
    <w:rsid w:val="14FA0B89"/>
    <w:rsid w:val="19524AC9"/>
    <w:rsid w:val="1C420B6B"/>
    <w:rsid w:val="1E292642"/>
    <w:rsid w:val="21F25667"/>
    <w:rsid w:val="276E55F5"/>
    <w:rsid w:val="27BA5D13"/>
    <w:rsid w:val="2E910C19"/>
    <w:rsid w:val="33841CC3"/>
    <w:rsid w:val="34D36982"/>
    <w:rsid w:val="3C170D7C"/>
    <w:rsid w:val="3CDD63C3"/>
    <w:rsid w:val="4178467E"/>
    <w:rsid w:val="46D6295C"/>
    <w:rsid w:val="4C674416"/>
    <w:rsid w:val="4D5D6796"/>
    <w:rsid w:val="4DCC69B2"/>
    <w:rsid w:val="544E1FA4"/>
    <w:rsid w:val="566A0DB7"/>
    <w:rsid w:val="5B2156DC"/>
    <w:rsid w:val="5B8F4A5D"/>
    <w:rsid w:val="5BBC6A7A"/>
    <w:rsid w:val="5CEF43F7"/>
    <w:rsid w:val="61C15956"/>
    <w:rsid w:val="64114132"/>
    <w:rsid w:val="662807A2"/>
    <w:rsid w:val="68017652"/>
    <w:rsid w:val="68D901EE"/>
    <w:rsid w:val="6C663340"/>
    <w:rsid w:val="72093243"/>
    <w:rsid w:val="737168D6"/>
    <w:rsid w:val="74866790"/>
    <w:rsid w:val="78BB101F"/>
    <w:rsid w:val="7A882894"/>
    <w:rsid w:val="7DFB1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2"/>
    <w:qFormat/>
    <w:uiPriority w:val="9"/>
    <w:pPr>
      <w:keepNext/>
      <w:keepLines/>
      <w:spacing w:line="360" w:lineRule="auto"/>
      <w:outlineLvl w:val="0"/>
    </w:pPr>
    <w:rPr>
      <w:rFonts w:ascii="宋体" w:hAnsi="宋体" w:cstheme="majorBidi"/>
      <w:b/>
      <w:bCs/>
      <w:sz w:val="32"/>
      <w:szCs w:val="32"/>
    </w:rPr>
  </w:style>
  <w:style w:type="paragraph" w:styleId="2">
    <w:name w:val="heading 2"/>
    <w:basedOn w:val="1"/>
    <w:next w:val="1"/>
    <w:link w:val="44"/>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adjustRightInd w:val="0"/>
      <w:spacing w:line="360" w:lineRule="atLeast"/>
      <w:ind w:firstLine="420"/>
      <w:textAlignment w:val="baseline"/>
    </w:pPr>
    <w:rPr>
      <w:rFonts w:ascii="Times New Roman" w:hAnsi="Times New Roman"/>
      <w:szCs w:val="20"/>
      <w:lang w:val="zh-CN"/>
    </w:rPr>
  </w:style>
  <w:style w:type="paragraph" w:styleId="12">
    <w:name w:val="annotation text"/>
    <w:basedOn w:val="1"/>
    <w:semiHidden/>
    <w:unhideWhenUsed/>
    <w:qFormat/>
    <w:uiPriority w:val="99"/>
    <w:pPr>
      <w:jc w:val="left"/>
    </w:pPr>
  </w:style>
  <w:style w:type="paragraph" w:styleId="13">
    <w:name w:val="Body Text"/>
    <w:basedOn w:val="1"/>
    <w:link w:val="40"/>
    <w:qFormat/>
    <w:uiPriority w:val="0"/>
    <w:pPr>
      <w:spacing w:after="120"/>
    </w:pPr>
    <w:rPr>
      <w:rFonts w:ascii="Times New Roman" w:hAnsi="Times New Roman"/>
      <w:szCs w:val="24"/>
    </w:rPr>
  </w:style>
  <w:style w:type="paragraph" w:styleId="14">
    <w:name w:val="Plain Text"/>
    <w:basedOn w:val="1"/>
    <w:link w:val="41"/>
    <w:qFormat/>
    <w:uiPriority w:val="0"/>
    <w:rPr>
      <w:rFonts w:ascii="宋体" w:hAnsi="Courier New" w:cs="Courier New"/>
      <w:szCs w:val="21"/>
    </w:rPr>
  </w:style>
  <w:style w:type="paragraph" w:styleId="15">
    <w:name w:val="footer"/>
    <w:basedOn w:val="1"/>
    <w:link w:val="43"/>
    <w:unhideWhenUsed/>
    <w:qFormat/>
    <w:uiPriority w:val="99"/>
    <w:pPr>
      <w:tabs>
        <w:tab w:val="center" w:pos="4153"/>
        <w:tab w:val="right" w:pos="8306"/>
      </w:tabs>
      <w:snapToGrid w:val="0"/>
      <w:jc w:val="left"/>
    </w:pPr>
    <w:rPr>
      <w:sz w:val="18"/>
      <w:szCs w:val="18"/>
    </w:rPr>
  </w:style>
  <w:style w:type="paragraph" w:styleId="16">
    <w:name w:val="header"/>
    <w:basedOn w:val="1"/>
    <w:link w:val="42"/>
    <w:unhideWhenUsed/>
    <w:qFormat/>
    <w:uiPriority w:val="99"/>
    <w:pPr>
      <w:tabs>
        <w:tab w:val="center" w:pos="4153"/>
        <w:tab w:val="right" w:pos="8306"/>
      </w:tabs>
      <w:snapToGrid w:val="0"/>
      <w:jc w:val="center"/>
    </w:pPr>
    <w:rPr>
      <w:sz w:val="18"/>
      <w:szCs w:val="18"/>
    </w:rPr>
  </w:style>
  <w:style w:type="paragraph" w:styleId="17">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标题 1 字符"/>
    <w:basedOn w:val="21"/>
    <w:link w:val="3"/>
    <w:qFormat/>
    <w:uiPriority w:val="9"/>
    <w:rPr>
      <w:rFonts w:ascii="宋体" w:hAnsi="宋体" w:eastAsia="宋体" w:cstheme="majorBidi"/>
      <w:b/>
      <w:bCs/>
      <w:sz w:val="32"/>
      <w:szCs w:val="32"/>
    </w:rPr>
  </w:style>
  <w:style w:type="character" w:customStyle="1" w:styleId="23">
    <w:name w:val="标题 2 字符"/>
    <w:basedOn w:val="21"/>
    <w:link w:val="2"/>
    <w:qFormat/>
    <w:uiPriority w:val="0"/>
    <w:rPr>
      <w:rFonts w:asciiTheme="majorHAnsi" w:hAnsiTheme="majorHAnsi" w:eastAsiaTheme="majorEastAsia" w:cstheme="majorBidi"/>
      <w:color w:val="104862" w:themeColor="accent1" w:themeShade="BF"/>
      <w:sz w:val="40"/>
      <w:szCs w:val="40"/>
    </w:rPr>
  </w:style>
  <w:style w:type="character" w:customStyle="1" w:styleId="24">
    <w:name w:val="标题 3 字符"/>
    <w:basedOn w:val="21"/>
    <w:link w:val="4"/>
    <w:qFormat/>
    <w:uiPriority w:val="0"/>
    <w:rPr>
      <w:rFonts w:asciiTheme="majorHAnsi" w:hAnsiTheme="majorHAnsi" w:eastAsiaTheme="majorEastAsia" w:cstheme="majorBidi"/>
      <w:color w:val="104862" w:themeColor="accent1" w:themeShade="BF"/>
      <w:sz w:val="32"/>
      <w:szCs w:val="32"/>
    </w:rPr>
  </w:style>
  <w:style w:type="character" w:customStyle="1" w:styleId="25">
    <w:name w:val="标题 4 字符"/>
    <w:basedOn w:val="21"/>
    <w:link w:val="5"/>
    <w:semiHidden/>
    <w:qFormat/>
    <w:uiPriority w:val="9"/>
    <w:rPr>
      <w:rFonts w:cstheme="majorBidi"/>
      <w:color w:val="104862" w:themeColor="accent1" w:themeShade="BF"/>
      <w:sz w:val="28"/>
      <w:szCs w:val="28"/>
    </w:rPr>
  </w:style>
  <w:style w:type="character" w:customStyle="1" w:styleId="26">
    <w:name w:val="标题 5 字符"/>
    <w:basedOn w:val="21"/>
    <w:link w:val="6"/>
    <w:semiHidden/>
    <w:qFormat/>
    <w:uiPriority w:val="9"/>
    <w:rPr>
      <w:rFonts w:cstheme="majorBidi"/>
      <w:color w:val="104862" w:themeColor="accent1" w:themeShade="BF"/>
      <w:sz w:val="24"/>
      <w:szCs w:val="24"/>
    </w:rPr>
  </w:style>
  <w:style w:type="character" w:customStyle="1" w:styleId="27">
    <w:name w:val="标题 6 字符"/>
    <w:basedOn w:val="21"/>
    <w:link w:val="7"/>
    <w:semiHidden/>
    <w:qFormat/>
    <w:uiPriority w:val="9"/>
    <w:rPr>
      <w:rFonts w:cstheme="majorBidi"/>
      <w:b/>
      <w:bCs/>
      <w:color w:val="104862" w:themeColor="accent1" w:themeShade="BF"/>
    </w:rPr>
  </w:style>
  <w:style w:type="character" w:customStyle="1" w:styleId="28">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1"/>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rPr>
      <w:rFonts w:asciiTheme="minorHAnsi" w:hAnsiTheme="minorHAnsi" w:eastAsiaTheme="minorEastAsia" w:cstheme="minorBidi"/>
    </w:rPr>
  </w:style>
  <w:style w:type="character" w:customStyle="1" w:styleId="36">
    <w:name w:val="明显强调1"/>
    <w:basedOn w:val="2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rPr>
  </w:style>
  <w:style w:type="character" w:customStyle="1" w:styleId="38">
    <w:name w:val="明显引用 字符"/>
    <w:basedOn w:val="21"/>
    <w:link w:val="37"/>
    <w:qFormat/>
    <w:uiPriority w:val="30"/>
    <w:rPr>
      <w:i/>
      <w:iCs/>
      <w:color w:val="104862" w:themeColor="accent1" w:themeShade="BF"/>
    </w:rPr>
  </w:style>
  <w:style w:type="character" w:customStyle="1" w:styleId="39">
    <w:name w:val="明显参考1"/>
    <w:basedOn w:val="21"/>
    <w:qFormat/>
    <w:uiPriority w:val="32"/>
    <w:rPr>
      <w:b/>
      <w:bCs/>
      <w:smallCaps/>
      <w:color w:val="104862" w:themeColor="accent1" w:themeShade="BF"/>
      <w:spacing w:val="5"/>
    </w:rPr>
  </w:style>
  <w:style w:type="character" w:customStyle="1" w:styleId="40">
    <w:name w:val="正文文本 字符"/>
    <w:basedOn w:val="21"/>
    <w:link w:val="13"/>
    <w:qFormat/>
    <w:uiPriority w:val="0"/>
    <w:rPr>
      <w:rFonts w:ascii="Times New Roman" w:hAnsi="Times New Roman" w:eastAsia="宋体" w:cs="Times New Roman"/>
      <w:szCs w:val="24"/>
    </w:rPr>
  </w:style>
  <w:style w:type="character" w:customStyle="1" w:styleId="41">
    <w:name w:val="纯文本 字符"/>
    <w:basedOn w:val="21"/>
    <w:link w:val="14"/>
    <w:qFormat/>
    <w:uiPriority w:val="0"/>
    <w:rPr>
      <w:rFonts w:ascii="宋体" w:hAnsi="Courier New" w:eastAsia="宋体" w:cs="Courier New"/>
      <w:szCs w:val="21"/>
    </w:rPr>
  </w:style>
  <w:style w:type="character" w:customStyle="1" w:styleId="42">
    <w:name w:val="页眉 字符"/>
    <w:basedOn w:val="21"/>
    <w:link w:val="16"/>
    <w:qFormat/>
    <w:uiPriority w:val="99"/>
    <w:rPr>
      <w:rFonts w:ascii="Calibri" w:hAnsi="Calibri" w:eastAsia="宋体" w:cs="Times New Roman"/>
      <w:sz w:val="18"/>
      <w:szCs w:val="18"/>
    </w:rPr>
  </w:style>
  <w:style w:type="character" w:customStyle="1" w:styleId="43">
    <w:name w:val="页脚 字符"/>
    <w:basedOn w:val="21"/>
    <w:link w:val="15"/>
    <w:qFormat/>
    <w:uiPriority w:val="99"/>
    <w:rPr>
      <w:rFonts w:ascii="Calibri" w:hAnsi="Calibri" w:eastAsia="宋体" w:cs="Times New Roman"/>
      <w:sz w:val="18"/>
      <w:szCs w:val="18"/>
    </w:rPr>
  </w:style>
  <w:style w:type="character" w:customStyle="1" w:styleId="44">
    <w:name w:val="标题 2 Char"/>
    <w:link w:val="2"/>
    <w:qFormat/>
    <w:uiPriority w:val="0"/>
    <w:rPr>
      <w:rFonts w:ascii="Arial" w:hAnsi="Arial" w:eastAsia="宋体" w:cs="Times New Roman"/>
      <w:b/>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6501</Words>
  <Characters>7174</Characters>
  <Lines>41</Lines>
  <Paragraphs>11</Paragraphs>
  <TotalTime>0</TotalTime>
  <ScaleCrop>false</ScaleCrop>
  <LinksUpToDate>false</LinksUpToDate>
  <CharactersWithSpaces>7311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2025-04-11T23:34:00Z</dcterms:created>
  <dc:creator>Administrator</dc:creator>
  <cp:lastModifiedBy>h</cp:lastModifiedBy>
  <cp:lastPrinted>2025-04-27T09:42:00Z</cp:lastPrinted>
  <dcterms:modified xsi:type="dcterms:W3CDTF">2025-09-29T01:21:02Z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eyJoZGlkIjoiMjdmZTcyMThkMjAwN2UyN2E1YTBlNWRkZDQ5OGRkNmEiLCJ1c2VySWQiOiIxNjAxMzk4MzY1In0=</vt:lpwstr>
  </property>
  <property fmtid="{D5CDD505-2E9C-101B-9397-08002B2CF9AE}" pid="3" name="KSOProductBuildVer">
    <vt:lpwstr>2052-12.1.0.22529</vt:lpwstr>
  </property>
  <property fmtid="{D5CDD505-2E9C-101B-9397-08002B2CF9AE}" pid="4" name="ICV">
    <vt:lpwstr>B2574E541F594053BBC74A4BC30E16B6_13</vt:lpwstr>
  </property>
</Properties>
</file>