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42A42">
      <w:pPr>
        <w:wordWrap/>
        <w:ind w:left="0" w:leftChars="0" w:right="0" w:rightChars="0" w:firstLine="0" w:firstLineChars="0"/>
        <w:jc w:val="center"/>
        <w:rPr>
          <w:rFonts w:hint="eastAsia" w:ascii="宋体" w:hAnsi="宋体" w:eastAsia="宋体" w:cs="Times New Roman"/>
          <w:b w:val="0"/>
          <w:color w:val="auto"/>
          <w:sz w:val="48"/>
          <w:szCs w:val="48"/>
          <w:highlight w:val="none"/>
        </w:rPr>
      </w:pPr>
      <w:bookmarkStart w:id="0" w:name="_Toc152042287"/>
      <w:bookmarkStart w:id="1" w:name="_Toc144974479"/>
      <w:bookmarkStart w:id="2" w:name="_Toc152045511"/>
    </w:p>
    <w:p w14:paraId="4CD81B1A">
      <w:pPr>
        <w:wordWrap/>
        <w:jc w:val="center"/>
        <w:rPr>
          <w:rFonts w:hint="eastAsia" w:ascii="宋体" w:hAnsi="宋体" w:eastAsia="宋体" w:cs="Times New Roman"/>
          <w:color w:val="auto"/>
          <w:sz w:val="48"/>
          <w:szCs w:val="48"/>
          <w:highlight w:val="none"/>
        </w:rPr>
      </w:pPr>
      <w:r>
        <w:rPr>
          <w:rFonts w:hint="eastAsia" w:ascii="宋体" w:hAnsi="宋体" w:eastAsia="宋体" w:cs="Times New Roman"/>
          <w:color w:val="auto"/>
          <w:sz w:val="48"/>
          <w:szCs w:val="48"/>
          <w:highlight w:val="none"/>
        </w:rPr>
        <w:t>红棉大道工程—田心立交至风神立交段</w:t>
      </w:r>
    </w:p>
    <w:p w14:paraId="14984926">
      <w:pPr>
        <w:wordWrap/>
        <w:jc w:val="center"/>
        <w:rPr>
          <w:rFonts w:hint="eastAsia" w:ascii="宋体" w:hAnsi="宋体" w:eastAsia="宋体" w:cs="Times New Roman"/>
          <w:color w:val="auto"/>
          <w:sz w:val="48"/>
          <w:szCs w:val="48"/>
          <w:highlight w:val="none"/>
        </w:rPr>
      </w:pPr>
      <w:r>
        <w:rPr>
          <w:rFonts w:hint="eastAsia" w:ascii="宋体" w:hAnsi="宋体" w:eastAsia="宋体" w:cs="Times New Roman"/>
          <w:color w:val="auto"/>
          <w:sz w:val="48"/>
          <w:szCs w:val="48"/>
          <w:highlight w:val="none"/>
        </w:rPr>
        <w:t>工程监理（标段一～标段二）</w:t>
      </w:r>
    </w:p>
    <w:p w14:paraId="411506F5">
      <w:pPr>
        <w:wordWrap/>
        <w:jc w:val="center"/>
        <w:rPr>
          <w:rFonts w:hint="eastAsia" w:ascii="宋体" w:hAnsi="宋体" w:eastAsia="宋体" w:cs="Times New Roman"/>
          <w:color w:val="auto"/>
          <w:sz w:val="48"/>
          <w:szCs w:val="48"/>
          <w:highlight w:val="none"/>
        </w:rPr>
      </w:pPr>
    </w:p>
    <w:p w14:paraId="34FE7321">
      <w:pPr>
        <w:wordWrap/>
        <w:jc w:val="center"/>
        <w:rPr>
          <w:rFonts w:hint="eastAsia" w:ascii="宋体" w:hAnsi="宋体" w:eastAsia="宋体" w:cs="Times New Roman"/>
          <w:color w:val="auto"/>
          <w:sz w:val="48"/>
          <w:szCs w:val="48"/>
          <w:highlight w:val="none"/>
        </w:rPr>
      </w:pPr>
    </w:p>
    <w:p w14:paraId="63CA0934">
      <w:pPr>
        <w:wordWrap/>
        <w:jc w:val="center"/>
        <w:rPr>
          <w:rFonts w:hint="eastAsia" w:ascii="宋体" w:hAnsi="宋体" w:eastAsia="宋体" w:cs="Times New Roman"/>
          <w:color w:val="auto"/>
          <w:sz w:val="48"/>
          <w:szCs w:val="48"/>
          <w:highlight w:val="none"/>
        </w:rPr>
      </w:pPr>
    </w:p>
    <w:p w14:paraId="5B1A0996">
      <w:pPr>
        <w:wordWrap w:val="0"/>
        <w:jc w:val="center"/>
        <w:rPr>
          <w:rFonts w:hint="eastAsia" w:ascii="宋体" w:hAnsi="宋体" w:eastAsia="宋体" w:cs="宋体"/>
          <w:color w:val="auto"/>
          <w:sz w:val="84"/>
          <w:szCs w:val="84"/>
          <w:highlight w:val="none"/>
        </w:rPr>
      </w:pPr>
      <w:r>
        <w:rPr>
          <w:rFonts w:hint="eastAsia" w:ascii="宋体" w:hAnsi="宋体" w:eastAsia="宋体" w:cs="宋体"/>
          <w:b/>
          <w:bCs/>
          <w:color w:val="auto"/>
          <w:sz w:val="84"/>
          <w:szCs w:val="84"/>
          <w:highlight w:val="none"/>
          <w:lang w:bidi="ar"/>
        </w:rPr>
        <w:t>招 标 文 件</w:t>
      </w:r>
    </w:p>
    <w:p w14:paraId="005013C5">
      <w:pPr>
        <w:wordWrap/>
        <w:jc w:val="center"/>
        <w:rPr>
          <w:rFonts w:hint="eastAsia" w:ascii="宋体" w:hAnsi="宋体" w:eastAsia="宋体" w:cs="Times New Roman"/>
          <w:color w:val="auto"/>
          <w:sz w:val="48"/>
          <w:szCs w:val="48"/>
          <w:highlight w:val="none"/>
        </w:rPr>
      </w:pPr>
    </w:p>
    <w:p w14:paraId="05BCA494">
      <w:pPr>
        <w:wordWrap/>
        <w:jc w:val="center"/>
        <w:rPr>
          <w:rFonts w:hint="eastAsia" w:ascii="宋体" w:hAnsi="宋体" w:eastAsia="宋体" w:cs="Times New Roman"/>
          <w:color w:val="auto"/>
          <w:sz w:val="48"/>
          <w:szCs w:val="48"/>
          <w:highlight w:val="none"/>
        </w:rPr>
      </w:pPr>
    </w:p>
    <w:p w14:paraId="4AAC542B">
      <w:pPr>
        <w:wordWrap/>
        <w:jc w:val="center"/>
        <w:rPr>
          <w:rFonts w:hint="eastAsia" w:ascii="宋体" w:hAnsi="宋体" w:eastAsia="宋体" w:cs="Times New Roman"/>
          <w:color w:val="auto"/>
          <w:sz w:val="48"/>
          <w:szCs w:val="48"/>
          <w:highlight w:val="none"/>
        </w:rPr>
      </w:pPr>
    </w:p>
    <w:p w14:paraId="33903A9B">
      <w:pPr>
        <w:wordWrap/>
        <w:jc w:val="center"/>
        <w:rPr>
          <w:rFonts w:hint="eastAsia" w:ascii="宋体" w:hAnsi="宋体" w:eastAsia="宋体" w:cs="Times New Roman"/>
          <w:color w:val="auto"/>
          <w:sz w:val="48"/>
          <w:szCs w:val="48"/>
          <w:highlight w:val="none"/>
        </w:rPr>
      </w:pPr>
    </w:p>
    <w:p w14:paraId="64746D43">
      <w:pPr>
        <w:wordWrap/>
        <w:jc w:val="center"/>
        <w:rPr>
          <w:rFonts w:hint="eastAsia" w:ascii="宋体" w:hAnsi="宋体" w:eastAsia="宋体" w:cs="Times New Roman"/>
          <w:color w:val="auto"/>
          <w:sz w:val="48"/>
          <w:szCs w:val="48"/>
          <w:highlight w:val="none"/>
        </w:rPr>
      </w:pPr>
    </w:p>
    <w:p w14:paraId="2C1496B9">
      <w:pPr>
        <w:wordWrap/>
        <w:jc w:val="center"/>
        <w:rPr>
          <w:rFonts w:hint="eastAsia" w:ascii="宋体" w:hAnsi="宋体" w:eastAsia="宋体" w:cs="Times New Roman"/>
          <w:color w:val="auto"/>
          <w:sz w:val="48"/>
          <w:szCs w:val="48"/>
          <w:highlight w:val="none"/>
        </w:rPr>
      </w:pPr>
    </w:p>
    <w:p w14:paraId="7A1DA67C">
      <w:pPr>
        <w:wordWrap/>
        <w:jc w:val="center"/>
        <w:rPr>
          <w:rFonts w:hint="eastAsia" w:ascii="宋体" w:hAnsi="宋体" w:eastAsia="宋体" w:cs="Times New Roman"/>
          <w:color w:val="auto"/>
          <w:sz w:val="48"/>
          <w:szCs w:val="48"/>
          <w:highlight w:val="none"/>
        </w:rPr>
      </w:pPr>
    </w:p>
    <w:p w14:paraId="63FB624E">
      <w:pPr>
        <w:wordWrap/>
        <w:jc w:val="center"/>
        <w:rPr>
          <w:rFonts w:hint="eastAsia" w:ascii="宋体" w:hAnsi="宋体" w:eastAsia="宋体" w:cs="Times New Roman"/>
          <w:color w:val="auto"/>
          <w:sz w:val="48"/>
          <w:szCs w:val="48"/>
          <w:highlight w:val="none"/>
        </w:rPr>
      </w:pPr>
    </w:p>
    <w:p w14:paraId="4AF08CD4">
      <w:pPr>
        <w:wordWrap w:val="0"/>
        <w:spacing w:line="360" w:lineRule="auto"/>
        <w:ind w:left="420" w:leftChars="200" w:firstLine="855" w:firstLineChars="266"/>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bidi="ar"/>
        </w:rPr>
        <w:t>招   标   人：</w:t>
      </w:r>
      <w:r>
        <w:rPr>
          <w:rFonts w:hint="eastAsia" w:ascii="宋体" w:hAnsi="宋体" w:eastAsia="宋体" w:cs="宋体"/>
          <w:b/>
          <w:color w:val="auto"/>
          <w:sz w:val="32"/>
          <w:szCs w:val="32"/>
          <w:highlight w:val="none"/>
          <w:lang w:eastAsia="zh-CN" w:bidi="ar"/>
        </w:rPr>
        <w:t>广州市花都区交通运输局</w:t>
      </w:r>
    </w:p>
    <w:p w14:paraId="351CC28B">
      <w:pPr>
        <w:wordWrap w:val="0"/>
        <w:spacing w:line="360" w:lineRule="auto"/>
        <w:ind w:left="420" w:leftChars="200" w:firstLine="855" w:firstLineChars="266"/>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bidi="ar"/>
        </w:rPr>
        <w:t>招标代理机构：</w:t>
      </w:r>
      <w:r>
        <w:rPr>
          <w:rFonts w:hint="eastAsia" w:ascii="宋体" w:hAnsi="宋体" w:eastAsia="宋体" w:cs="Times New Roman"/>
          <w:b/>
          <w:color w:val="auto"/>
          <w:sz w:val="32"/>
          <w:szCs w:val="32"/>
          <w:highlight w:val="none"/>
          <w:lang w:eastAsia="zh-CN"/>
        </w:rPr>
        <w:t>北京中交建设工程咨询有限公司</w:t>
      </w:r>
    </w:p>
    <w:p w14:paraId="07CFAA1C">
      <w:pPr>
        <w:wordWrap w:val="0"/>
        <w:spacing w:line="360" w:lineRule="auto"/>
        <w:ind w:left="420" w:leftChars="200" w:firstLine="855" w:firstLineChars="266"/>
        <w:jc w:val="left"/>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日        期：</w:t>
      </w:r>
      <w:r>
        <w:rPr>
          <w:rFonts w:hint="eastAsia" w:ascii="宋体" w:hAnsi="宋体" w:eastAsia="宋体" w:cs="宋体"/>
          <w:b/>
          <w:color w:val="auto"/>
          <w:sz w:val="32"/>
          <w:szCs w:val="32"/>
          <w:highlight w:val="none"/>
          <w:u w:val="single"/>
          <w:lang w:bidi="ar"/>
        </w:rPr>
        <w:t>2025</w:t>
      </w:r>
      <w:r>
        <w:rPr>
          <w:rFonts w:hint="eastAsia" w:ascii="宋体" w:hAnsi="宋体" w:eastAsia="宋体" w:cs="宋体"/>
          <w:b/>
          <w:color w:val="auto"/>
          <w:sz w:val="32"/>
          <w:szCs w:val="32"/>
          <w:highlight w:val="none"/>
          <w:lang w:bidi="ar"/>
        </w:rPr>
        <w:t>年</w:t>
      </w:r>
      <w:r>
        <w:rPr>
          <w:rFonts w:hint="eastAsia" w:ascii="宋体" w:hAnsi="宋体" w:eastAsia="宋体" w:cs="宋体"/>
          <w:b/>
          <w:color w:val="auto"/>
          <w:sz w:val="32"/>
          <w:szCs w:val="32"/>
          <w:highlight w:val="none"/>
          <w:u w:val="single"/>
          <w:lang w:val="en-US" w:eastAsia="zh-CN" w:bidi="ar"/>
        </w:rPr>
        <w:t>9</w:t>
      </w:r>
      <w:r>
        <w:rPr>
          <w:rFonts w:hint="eastAsia" w:ascii="宋体" w:hAnsi="宋体" w:eastAsia="宋体" w:cs="宋体"/>
          <w:b/>
          <w:color w:val="auto"/>
          <w:sz w:val="32"/>
          <w:szCs w:val="32"/>
          <w:highlight w:val="none"/>
          <w:lang w:bidi="ar"/>
        </w:rPr>
        <w:t>月</w:t>
      </w:r>
    </w:p>
    <w:p w14:paraId="1A6EA1DA">
      <w:pPr>
        <w:wordWrap w:val="0"/>
        <w:spacing w:line="360" w:lineRule="auto"/>
        <w:ind w:left="420" w:leftChars="200" w:firstLine="855" w:firstLineChars="266"/>
        <w:jc w:val="left"/>
        <w:rPr>
          <w:rFonts w:hint="eastAsia" w:ascii="宋体" w:hAnsi="宋体" w:eastAsia="宋体" w:cs="宋体"/>
          <w:b/>
          <w:color w:val="auto"/>
          <w:sz w:val="32"/>
          <w:szCs w:val="32"/>
          <w:highlight w:val="none"/>
        </w:rPr>
      </w:pPr>
    </w:p>
    <w:p w14:paraId="3C8B11D1">
      <w:pPr>
        <w:wordWrap w:val="0"/>
        <w:spacing w:line="600" w:lineRule="exact"/>
        <w:jc w:val="center"/>
        <w:rPr>
          <w:rFonts w:ascii="宋体" w:hAnsi="宋体" w:eastAsia="宋体" w:cs="Times New Roman"/>
          <w:b/>
          <w:color w:val="auto"/>
          <w:highlight w:val="none"/>
          <w:lang w:val="zh-CN"/>
        </w:rPr>
        <w:sectPr>
          <w:pgSz w:w="11907" w:h="16839"/>
          <w:pgMar w:top="1440" w:right="1080" w:bottom="1440" w:left="1080" w:header="720" w:footer="720" w:gutter="0"/>
          <w:cols w:space="720" w:num="1"/>
          <w:docGrid w:linePitch="285" w:charSpace="0"/>
        </w:sectPr>
      </w:pPr>
      <w:bookmarkStart w:id="3" w:name="_Toc154921241"/>
      <w:bookmarkStart w:id="4" w:name="_Toc154922225"/>
    </w:p>
    <w:p w14:paraId="144F6870">
      <w:pPr>
        <w:wordWrap w:val="0"/>
        <w:spacing w:line="600" w:lineRule="exact"/>
        <w:jc w:val="center"/>
        <w:rPr>
          <w:rFonts w:hint="eastAsia" w:ascii="宋体" w:hAnsi="宋体" w:eastAsia="宋体" w:cs="Times New Roman"/>
          <w:bCs/>
          <w:color w:val="auto"/>
          <w:sz w:val="52"/>
          <w:highlight w:val="none"/>
        </w:rPr>
      </w:pPr>
      <w:r>
        <w:rPr>
          <w:rFonts w:hint="eastAsia" w:ascii="宋体" w:hAnsi="宋体" w:eastAsia="宋体" w:cs="Times New Roman"/>
          <w:bCs/>
          <w:color w:val="auto"/>
          <w:sz w:val="52"/>
          <w:highlight w:val="none"/>
        </w:rPr>
        <w:t>重要提示</w:t>
      </w:r>
    </w:p>
    <w:p w14:paraId="45665F10">
      <w:pPr>
        <w:wordWrap w:val="0"/>
        <w:spacing w:line="360" w:lineRule="auto"/>
        <w:ind w:firstLine="537" w:firstLineChars="224"/>
        <w:jc w:val="center"/>
        <w:rPr>
          <w:rFonts w:hint="eastAsia" w:ascii="宋体" w:hAnsi="宋体" w:eastAsia="宋体" w:cs="Times New Roman"/>
          <w:bCs/>
          <w:color w:val="auto"/>
          <w:sz w:val="24"/>
          <w:highlight w:val="none"/>
        </w:rPr>
      </w:pPr>
    </w:p>
    <w:p w14:paraId="0359C281">
      <w:pPr>
        <w:wordWrap w:val="0"/>
        <w:spacing w:line="360" w:lineRule="auto"/>
        <w:ind w:firstLine="480" w:firstLineChars="200"/>
        <w:rPr>
          <w:rFonts w:hint="eastAsia" w:ascii="宋体" w:hAnsi="宋体" w:eastAsia="宋体" w:cs="Times New Roman"/>
          <w:b/>
          <w:color w:val="auto"/>
          <w:highlight w:val="none"/>
          <w:u w:val="single"/>
          <w:lang w:val="zh-CN"/>
        </w:rPr>
      </w:pPr>
      <w:r>
        <w:rPr>
          <w:rFonts w:hint="eastAsia" w:ascii="宋体" w:hAnsi="宋体" w:eastAsia="宋体" w:cs="Times New Roman"/>
          <w:color w:val="auto"/>
          <w:sz w:val="24"/>
          <w:highlight w:val="none"/>
          <w:u w:val="single"/>
        </w:rPr>
        <w:t>本项目实施电子招投标。</w:t>
      </w:r>
      <w:bookmarkEnd w:id="3"/>
      <w:bookmarkEnd w:id="4"/>
    </w:p>
    <w:p w14:paraId="2587929A">
      <w:pPr>
        <w:wordWrap w:val="0"/>
        <w:jc w:val="center"/>
        <w:rPr>
          <w:rFonts w:hint="eastAsia" w:ascii="宋体" w:hAnsi="宋体" w:eastAsia="宋体" w:cs="Times New Roman"/>
          <w:b/>
          <w:color w:val="auto"/>
          <w:sz w:val="24"/>
          <w:szCs w:val="24"/>
          <w:highlight w:val="none"/>
        </w:rPr>
      </w:pPr>
      <w:r>
        <w:rPr>
          <w:rFonts w:ascii="宋体" w:hAnsi="宋体" w:eastAsia="宋体" w:cs="Times New Roman"/>
          <w:color w:val="auto"/>
          <w:highlight w:val="none"/>
          <w:lang w:val="zh-CN"/>
        </w:rPr>
        <w:br w:type="page"/>
      </w:r>
      <w:r>
        <w:rPr>
          <w:rFonts w:hint="eastAsia" w:ascii="宋体" w:hAnsi="宋体" w:eastAsia="宋体" w:cs="Times New Roman"/>
          <w:b/>
          <w:color w:val="auto"/>
          <w:sz w:val="40"/>
          <w:szCs w:val="40"/>
          <w:highlight w:val="none"/>
          <w:lang w:val="zh-CN"/>
        </w:rPr>
        <w:t>目</w:t>
      </w:r>
      <w:r>
        <w:rPr>
          <w:rFonts w:ascii="宋体" w:hAnsi="宋体" w:eastAsia="宋体" w:cs="Times New Roman"/>
          <w:b/>
          <w:color w:val="auto"/>
          <w:sz w:val="40"/>
          <w:szCs w:val="40"/>
          <w:highlight w:val="none"/>
          <w:lang w:val="zh-CN"/>
        </w:rPr>
        <w:t xml:space="preserve">  </w:t>
      </w:r>
      <w:r>
        <w:rPr>
          <w:rFonts w:hint="eastAsia" w:ascii="宋体" w:hAnsi="宋体" w:eastAsia="宋体" w:cs="Times New Roman"/>
          <w:b/>
          <w:color w:val="auto"/>
          <w:sz w:val="40"/>
          <w:szCs w:val="40"/>
          <w:highlight w:val="none"/>
          <w:lang w:val="zh-CN"/>
        </w:rPr>
        <w:t>录</w:t>
      </w:r>
    </w:p>
    <w:p w14:paraId="5D0FD936">
      <w:pPr>
        <w:tabs>
          <w:tab w:val="right" w:leader="dot" w:pos="8630"/>
        </w:tabs>
        <w:wordWrap w:val="0"/>
        <w:jc w:val="center"/>
        <w:rPr>
          <w:rFonts w:hint="eastAsia" w:ascii="宋体" w:hAnsi="宋体" w:eastAsia="宋体" w:cs="Times New Roman"/>
          <w:color w:val="auto"/>
          <w:highlight w:val="none"/>
        </w:rPr>
      </w:pPr>
    </w:p>
    <w:p w14:paraId="440CE075">
      <w:pPr>
        <w:tabs>
          <w:tab w:val="right" w:leader="dot" w:pos="9063"/>
        </w:tabs>
        <w:wordWrap w:val="0"/>
        <w:spacing w:line="560" w:lineRule="exac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TOC \o "1-3" \h \z \u </w:instrText>
      </w:r>
      <w:r>
        <w:rPr>
          <w:rFonts w:ascii="宋体" w:hAnsi="宋体" w:eastAsia="宋体" w:cs="Times New Roman"/>
          <w:color w:val="auto"/>
          <w:sz w:val="24"/>
          <w:szCs w:val="24"/>
          <w:highlight w:val="none"/>
        </w:rPr>
        <w:fldChar w:fldCharType="separate"/>
      </w:r>
      <w:r>
        <w:rPr>
          <w:color w:val="auto"/>
          <w:highlight w:val="none"/>
        </w:rPr>
        <w:fldChar w:fldCharType="begin"/>
      </w:r>
      <w:r>
        <w:rPr>
          <w:color w:val="auto"/>
          <w:highlight w:val="none"/>
        </w:rPr>
        <w:instrText xml:space="preserve"> HYPERLINK \l "_Toc59200677" </w:instrText>
      </w:r>
      <w:r>
        <w:rPr>
          <w:color w:val="auto"/>
          <w:highlight w:val="none"/>
        </w:rPr>
        <w:fldChar w:fldCharType="separate"/>
      </w:r>
      <w:r>
        <w:rPr>
          <w:rFonts w:ascii="宋体" w:hAnsi="宋体" w:eastAsia="宋体" w:cs="Times New Roman"/>
          <w:color w:val="auto"/>
          <w:sz w:val="24"/>
          <w:szCs w:val="24"/>
          <w:highlight w:val="none"/>
        </w:rPr>
        <w:t>第一卷</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_Toc59200677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4</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3D0BBB4D">
      <w:pPr>
        <w:tabs>
          <w:tab w:val="right" w:leader="dot" w:pos="9063"/>
        </w:tabs>
        <w:wordWrap w:val="0"/>
        <w:spacing w:line="560" w:lineRule="exact"/>
        <w:ind w:firstLine="420" w:firstLineChars="200"/>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"_Toc59200678" </w:instrText>
      </w:r>
      <w:r>
        <w:rPr>
          <w:color w:val="auto"/>
          <w:highlight w:val="none"/>
        </w:rPr>
        <w:fldChar w:fldCharType="separate"/>
      </w:r>
      <w:r>
        <w:rPr>
          <w:rFonts w:ascii="宋体" w:hAnsi="宋体" w:eastAsia="宋体" w:cs="Times New Roman"/>
          <w:color w:val="auto"/>
          <w:sz w:val="24"/>
          <w:szCs w:val="24"/>
          <w:highlight w:val="none"/>
        </w:rPr>
        <w:t>第一章 招标公告</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_Toc59200678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4</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061D47CD">
      <w:pPr>
        <w:tabs>
          <w:tab w:val="right" w:leader="dot" w:pos="9063"/>
        </w:tabs>
        <w:wordWrap w:val="0"/>
        <w:spacing w:line="560" w:lineRule="exact"/>
        <w:ind w:firstLine="420" w:firstLineChars="200"/>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"_Toc59200679" </w:instrText>
      </w:r>
      <w:r>
        <w:rPr>
          <w:color w:val="auto"/>
          <w:highlight w:val="none"/>
        </w:rPr>
        <w:fldChar w:fldCharType="separate"/>
      </w:r>
      <w:r>
        <w:rPr>
          <w:rFonts w:ascii="宋体" w:hAnsi="宋体" w:eastAsia="宋体" w:cs="Times New Roman"/>
          <w:color w:val="auto"/>
          <w:sz w:val="24"/>
          <w:szCs w:val="24"/>
          <w:highlight w:val="none"/>
        </w:rPr>
        <w:t>第二章 投标人须知</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_Toc59200679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5</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2C583A3F">
      <w:pPr>
        <w:tabs>
          <w:tab w:val="right" w:leader="dot" w:pos="9063"/>
        </w:tabs>
        <w:wordWrap w:val="0"/>
        <w:spacing w:line="560" w:lineRule="exact"/>
        <w:ind w:firstLine="420" w:firstLineChars="200"/>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"_Toc59200686" </w:instrText>
      </w:r>
      <w:r>
        <w:rPr>
          <w:color w:val="auto"/>
          <w:highlight w:val="none"/>
        </w:rPr>
        <w:fldChar w:fldCharType="separate"/>
      </w:r>
      <w:r>
        <w:rPr>
          <w:rFonts w:ascii="宋体" w:hAnsi="宋体" w:eastAsia="宋体" w:cs="Times New Roman"/>
          <w:color w:val="auto"/>
          <w:sz w:val="24"/>
          <w:szCs w:val="24"/>
          <w:highlight w:val="none"/>
        </w:rPr>
        <w:t>第三章</w:t>
      </w: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t>评标办法（综合评估法）</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_Toc59200686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23</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4FBF5442">
      <w:pPr>
        <w:tabs>
          <w:tab w:val="right" w:leader="dot" w:pos="9063"/>
        </w:tabs>
        <w:wordWrap w:val="0"/>
        <w:spacing w:line="560" w:lineRule="exact"/>
        <w:ind w:firstLine="420" w:firstLineChars="200"/>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"_Toc59200694" </w:instrText>
      </w:r>
      <w:r>
        <w:rPr>
          <w:color w:val="auto"/>
          <w:highlight w:val="none"/>
        </w:rPr>
        <w:fldChar w:fldCharType="separate"/>
      </w:r>
      <w:r>
        <w:rPr>
          <w:rFonts w:ascii="宋体" w:hAnsi="宋体" w:eastAsia="宋体" w:cs="Times New Roman"/>
          <w:color w:val="auto"/>
          <w:sz w:val="24"/>
          <w:szCs w:val="24"/>
          <w:highlight w:val="none"/>
        </w:rPr>
        <w:t>第四章 合同条款及格式</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_Toc59200694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33</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7A104BDA">
      <w:pPr>
        <w:tabs>
          <w:tab w:val="right" w:leader="dot" w:pos="9063"/>
        </w:tabs>
        <w:wordWrap w:val="0"/>
        <w:spacing w:line="560" w:lineRule="exact"/>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"_Toc59200695" </w:instrText>
      </w:r>
      <w:r>
        <w:rPr>
          <w:color w:val="auto"/>
          <w:highlight w:val="none"/>
        </w:rPr>
        <w:fldChar w:fldCharType="separate"/>
      </w:r>
      <w:r>
        <w:rPr>
          <w:rFonts w:ascii="宋体" w:hAnsi="宋体" w:eastAsia="宋体" w:cs="Times New Roman"/>
          <w:color w:val="auto"/>
          <w:sz w:val="24"/>
          <w:szCs w:val="24"/>
          <w:highlight w:val="none"/>
        </w:rPr>
        <w:t>第二卷</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_Toc59200695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34</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5E3AEF44">
      <w:pPr>
        <w:tabs>
          <w:tab w:val="right" w:leader="dot" w:pos="9063"/>
        </w:tabs>
        <w:wordWrap w:val="0"/>
        <w:spacing w:line="560" w:lineRule="exact"/>
        <w:ind w:firstLine="420" w:firstLineChars="200"/>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"_Toc59200696" </w:instrText>
      </w:r>
      <w:r>
        <w:rPr>
          <w:color w:val="auto"/>
          <w:highlight w:val="none"/>
        </w:rPr>
        <w:fldChar w:fldCharType="separate"/>
      </w:r>
      <w:r>
        <w:rPr>
          <w:rFonts w:ascii="宋体" w:hAnsi="宋体" w:eastAsia="宋体" w:cs="Times New Roman"/>
          <w:color w:val="auto"/>
          <w:sz w:val="24"/>
          <w:szCs w:val="24"/>
          <w:highlight w:val="none"/>
        </w:rPr>
        <w:t>第五章 委托人要求</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_Toc59200696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34</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15F9F453">
      <w:pPr>
        <w:tabs>
          <w:tab w:val="right" w:leader="dot" w:pos="9063"/>
        </w:tabs>
        <w:wordWrap w:val="0"/>
        <w:spacing w:line="560" w:lineRule="exact"/>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"_Toc59200707" </w:instrText>
      </w:r>
      <w:r>
        <w:rPr>
          <w:color w:val="auto"/>
          <w:highlight w:val="none"/>
        </w:rPr>
        <w:fldChar w:fldCharType="separate"/>
      </w:r>
      <w:r>
        <w:rPr>
          <w:rFonts w:ascii="宋体" w:hAnsi="宋体" w:eastAsia="宋体" w:cs="Times New Roman"/>
          <w:color w:val="auto"/>
          <w:sz w:val="24"/>
          <w:szCs w:val="24"/>
          <w:highlight w:val="none"/>
        </w:rPr>
        <w:t>第三卷</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_Toc59200707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41</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311EC7DB">
      <w:pPr>
        <w:tabs>
          <w:tab w:val="right" w:leader="dot" w:pos="9063"/>
        </w:tabs>
        <w:wordWrap w:val="0"/>
        <w:spacing w:line="560" w:lineRule="exact"/>
        <w:ind w:firstLine="420" w:firstLineChars="200"/>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"_Toc59200708" </w:instrText>
      </w:r>
      <w:r>
        <w:rPr>
          <w:color w:val="auto"/>
          <w:highlight w:val="none"/>
        </w:rPr>
        <w:fldChar w:fldCharType="separate"/>
      </w:r>
      <w:r>
        <w:rPr>
          <w:rFonts w:ascii="宋体" w:hAnsi="宋体" w:eastAsia="宋体" w:cs="宋体"/>
          <w:color w:val="auto"/>
          <w:sz w:val="24"/>
          <w:szCs w:val="24"/>
          <w:highlight w:val="none"/>
        </w:rPr>
        <w:t>第六章 投标文件格式</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_Toc59200708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41</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04E5DCC7">
      <w:pPr>
        <w:tabs>
          <w:tab w:val="right" w:leader="dot" w:pos="8640"/>
        </w:tabs>
        <w:wordWrap w:val="0"/>
        <w:spacing w:line="560" w:lineRule="exact"/>
        <w:rPr>
          <w:rFonts w:hint="eastAsia" w:ascii="宋体" w:hAnsi="宋体" w:eastAsia="宋体" w:cs="Times New Roman"/>
          <w:color w:val="auto"/>
          <w:highlight w:val="none"/>
        </w:rPr>
      </w:pPr>
      <w:r>
        <w:rPr>
          <w:rFonts w:ascii="宋体" w:hAnsi="宋体" w:eastAsia="宋体" w:cs="Times New Roman"/>
          <w:color w:val="auto"/>
          <w:sz w:val="24"/>
          <w:szCs w:val="24"/>
          <w:highlight w:val="none"/>
        </w:rPr>
        <w:fldChar w:fldCharType="end"/>
      </w:r>
    </w:p>
    <w:p w14:paraId="015364F6">
      <w:pPr>
        <w:wordWrap w:val="0"/>
        <w:spacing w:before="340" w:after="330"/>
        <w:jc w:val="center"/>
        <w:outlineLvl w:val="0"/>
        <w:rPr>
          <w:rFonts w:hint="eastAsia" w:ascii="宋体" w:hAnsi="宋体" w:eastAsia="宋体" w:cs="Times New Roman"/>
          <w:b/>
          <w:color w:val="auto"/>
          <w:kern w:val="44"/>
          <w:sz w:val="44"/>
          <w:szCs w:val="20"/>
          <w:highlight w:val="none"/>
        </w:rPr>
      </w:pPr>
      <w:bookmarkStart w:id="5" w:name="_Toc511557024"/>
      <w:bookmarkStart w:id="6" w:name="_Toc526786482"/>
      <w:bookmarkStart w:id="7" w:name="_Toc21021"/>
      <w:r>
        <w:rPr>
          <w:rFonts w:ascii="宋体" w:hAnsi="宋体" w:eastAsia="宋体" w:cs="Times New Roman"/>
          <w:b/>
          <w:color w:val="auto"/>
          <w:kern w:val="44"/>
          <w:sz w:val="44"/>
          <w:szCs w:val="20"/>
          <w:highlight w:val="none"/>
        </w:rPr>
        <w:br w:type="page"/>
      </w:r>
      <w:bookmarkStart w:id="8" w:name="_Toc59200677"/>
      <w:r>
        <w:rPr>
          <w:rFonts w:hint="eastAsia" w:ascii="宋体" w:hAnsi="宋体" w:eastAsia="宋体" w:cs="Times New Roman"/>
          <w:b/>
          <w:color w:val="auto"/>
          <w:kern w:val="44"/>
          <w:sz w:val="44"/>
          <w:szCs w:val="20"/>
          <w:highlight w:val="none"/>
        </w:rPr>
        <w:t>第</w:t>
      </w:r>
      <w:bookmarkEnd w:id="0"/>
      <w:bookmarkEnd w:id="1"/>
      <w:bookmarkEnd w:id="2"/>
      <w:bookmarkEnd w:id="5"/>
      <w:r>
        <w:rPr>
          <w:rFonts w:hint="eastAsia" w:ascii="宋体" w:hAnsi="宋体" w:eastAsia="宋体" w:cs="Times New Roman"/>
          <w:b/>
          <w:color w:val="auto"/>
          <w:kern w:val="44"/>
          <w:sz w:val="44"/>
          <w:szCs w:val="20"/>
          <w:highlight w:val="none"/>
        </w:rPr>
        <w:t>一卷</w:t>
      </w:r>
      <w:bookmarkEnd w:id="6"/>
      <w:bookmarkEnd w:id="7"/>
      <w:bookmarkEnd w:id="8"/>
    </w:p>
    <w:p w14:paraId="7754DA5A">
      <w:pPr>
        <w:wordWrap w:val="0"/>
        <w:spacing w:before="340" w:after="330"/>
        <w:jc w:val="center"/>
        <w:outlineLvl w:val="0"/>
        <w:rPr>
          <w:rFonts w:hint="eastAsia" w:ascii="宋体" w:hAnsi="宋体" w:eastAsia="宋体" w:cs="Times New Roman"/>
          <w:b/>
          <w:color w:val="auto"/>
          <w:kern w:val="44"/>
          <w:sz w:val="44"/>
          <w:szCs w:val="20"/>
          <w:highlight w:val="none"/>
        </w:rPr>
      </w:pPr>
      <w:bookmarkStart w:id="9" w:name="_Toc153"/>
      <w:bookmarkStart w:id="10" w:name="_Toc59200678"/>
      <w:bookmarkStart w:id="11" w:name="_Toc526786483"/>
      <w:r>
        <w:rPr>
          <w:rFonts w:hint="eastAsia" w:ascii="宋体" w:hAnsi="宋体" w:eastAsia="宋体" w:cs="Times New Roman"/>
          <w:b/>
          <w:color w:val="auto"/>
          <w:kern w:val="44"/>
          <w:sz w:val="44"/>
          <w:szCs w:val="20"/>
          <w:highlight w:val="none"/>
        </w:rPr>
        <w:t>第一章</w:t>
      </w:r>
      <w:r>
        <w:rPr>
          <w:rFonts w:ascii="宋体" w:hAnsi="宋体" w:eastAsia="宋体" w:cs="Times New Roman"/>
          <w:b/>
          <w:color w:val="auto"/>
          <w:kern w:val="44"/>
          <w:sz w:val="44"/>
          <w:szCs w:val="20"/>
          <w:highlight w:val="none"/>
        </w:rPr>
        <w:t xml:space="preserve"> </w:t>
      </w:r>
      <w:r>
        <w:rPr>
          <w:rFonts w:hint="eastAsia" w:ascii="宋体" w:hAnsi="宋体" w:eastAsia="宋体" w:cs="Times New Roman"/>
          <w:b/>
          <w:color w:val="auto"/>
          <w:kern w:val="44"/>
          <w:sz w:val="44"/>
          <w:szCs w:val="20"/>
          <w:highlight w:val="none"/>
        </w:rPr>
        <w:t>招标公告</w:t>
      </w:r>
      <w:bookmarkEnd w:id="9"/>
      <w:bookmarkEnd w:id="10"/>
      <w:bookmarkEnd w:id="11"/>
    </w:p>
    <w:p w14:paraId="0D499640">
      <w:pPr>
        <w:wordWrap w:val="0"/>
        <w:spacing w:line="480" w:lineRule="auto"/>
        <w:jc w:val="center"/>
        <w:rPr>
          <w:rFonts w:hint="eastAsia" w:ascii="宋体" w:hAnsi="宋体" w:eastAsia="宋体" w:cs="Times New Roman"/>
          <w:color w:val="auto"/>
          <w:highlight w:val="none"/>
        </w:rPr>
      </w:pPr>
      <w:r>
        <w:rPr>
          <w:rFonts w:hint="eastAsia" w:ascii="宋体" w:hAnsi="宋体" w:eastAsia="宋体" w:cs="Times New Roman"/>
          <w:b/>
          <w:color w:val="auto"/>
          <w:sz w:val="32"/>
          <w:highlight w:val="none"/>
        </w:rPr>
        <w:t>（另册）</w:t>
      </w:r>
    </w:p>
    <w:p w14:paraId="5B15D550">
      <w:pPr>
        <w:wordWrap w:val="0"/>
        <w:spacing w:before="340" w:after="330"/>
        <w:jc w:val="center"/>
        <w:outlineLvl w:val="0"/>
        <w:rPr>
          <w:rFonts w:hint="eastAsia" w:ascii="宋体" w:hAnsi="宋体" w:eastAsia="宋体" w:cs="Times New Roman"/>
          <w:b/>
          <w:color w:val="auto"/>
          <w:kern w:val="44"/>
          <w:sz w:val="44"/>
          <w:szCs w:val="20"/>
          <w:highlight w:val="none"/>
        </w:rPr>
      </w:pPr>
      <w:bookmarkStart w:id="12" w:name="_Toc144974493"/>
      <w:bookmarkEnd w:id="12"/>
      <w:bookmarkStart w:id="13" w:name="_Toc10785"/>
      <w:bookmarkEnd w:id="13"/>
      <w:bookmarkStart w:id="14" w:name="_Toc247513934"/>
      <w:bookmarkEnd w:id="14"/>
      <w:bookmarkStart w:id="15" w:name="_Toc300834927"/>
      <w:bookmarkEnd w:id="15"/>
      <w:bookmarkStart w:id="16" w:name="_Toc352691453"/>
      <w:bookmarkEnd w:id="16"/>
      <w:bookmarkStart w:id="17" w:name="_Toc152042301"/>
      <w:bookmarkEnd w:id="17"/>
      <w:bookmarkStart w:id="18" w:name="_Toc152042289"/>
      <w:bookmarkEnd w:id="18"/>
      <w:bookmarkStart w:id="19" w:name="_Toc361508560"/>
      <w:bookmarkEnd w:id="19"/>
      <w:bookmarkStart w:id="20" w:name="_Toc352691456"/>
      <w:bookmarkEnd w:id="20"/>
      <w:bookmarkStart w:id="21" w:name="_Toc247527549"/>
      <w:bookmarkEnd w:id="21"/>
      <w:bookmarkStart w:id="22" w:name="_Toc152042299"/>
      <w:bookmarkEnd w:id="22"/>
      <w:bookmarkStart w:id="23" w:name="_Toc352691469"/>
      <w:bookmarkEnd w:id="23"/>
      <w:bookmarkStart w:id="24" w:name="_Toc300834930"/>
      <w:bookmarkEnd w:id="24"/>
      <w:bookmarkStart w:id="25" w:name="_Toc369531498"/>
      <w:bookmarkEnd w:id="25"/>
      <w:bookmarkStart w:id="26" w:name="_Toc247513946"/>
      <w:bookmarkEnd w:id="26"/>
      <w:bookmarkStart w:id="27" w:name="_Toc144974480"/>
      <w:bookmarkEnd w:id="27"/>
      <w:bookmarkStart w:id="28" w:name="_Toc352691467"/>
      <w:bookmarkEnd w:id="28"/>
      <w:bookmarkStart w:id="29" w:name="_Toc384308187"/>
      <w:bookmarkEnd w:id="29"/>
      <w:bookmarkStart w:id="30" w:name="_Toc369531495"/>
      <w:bookmarkEnd w:id="30"/>
      <w:bookmarkStart w:id="31" w:name="_Toc361508578"/>
      <w:bookmarkEnd w:id="31"/>
      <w:bookmarkStart w:id="32" w:name="_Toc30817"/>
      <w:bookmarkEnd w:id="32"/>
      <w:bookmarkStart w:id="33" w:name="_Toc352691455"/>
      <w:bookmarkEnd w:id="33"/>
      <w:bookmarkStart w:id="34" w:name="_Toc152045525"/>
      <w:bookmarkEnd w:id="34"/>
      <w:bookmarkStart w:id="35" w:name="_Toc247513935"/>
      <w:bookmarkEnd w:id="35"/>
      <w:bookmarkStart w:id="36" w:name="_Toc19794"/>
      <w:bookmarkEnd w:id="36"/>
      <w:bookmarkStart w:id="37" w:name="_Toc144974491"/>
      <w:bookmarkEnd w:id="37"/>
      <w:bookmarkStart w:id="38" w:name="_Toc361508580"/>
      <w:bookmarkEnd w:id="38"/>
      <w:bookmarkStart w:id="39" w:name="_Toc369531511"/>
      <w:bookmarkEnd w:id="39"/>
      <w:bookmarkStart w:id="40" w:name="_Toc369531509"/>
      <w:bookmarkEnd w:id="40"/>
      <w:bookmarkStart w:id="41" w:name="_Toc144974481"/>
      <w:bookmarkEnd w:id="41"/>
      <w:bookmarkStart w:id="42" w:name="_Toc361508563"/>
      <w:bookmarkEnd w:id="42"/>
      <w:bookmarkStart w:id="43" w:name="_Toc247513948"/>
      <w:bookmarkEnd w:id="43"/>
      <w:bookmarkStart w:id="44" w:name="_Toc14865"/>
      <w:bookmarkEnd w:id="44"/>
      <w:bookmarkStart w:id="45" w:name="_Toc152045513"/>
      <w:bookmarkEnd w:id="45"/>
      <w:bookmarkStart w:id="46" w:name="_Toc152045512"/>
      <w:bookmarkEnd w:id="46"/>
      <w:bookmarkStart w:id="47" w:name="_Toc300834941"/>
      <w:bookmarkEnd w:id="47"/>
      <w:bookmarkStart w:id="48" w:name="_Toc152045523"/>
      <w:bookmarkEnd w:id="48"/>
      <w:bookmarkStart w:id="49" w:name="_Toc384308185"/>
      <w:bookmarkEnd w:id="49"/>
      <w:bookmarkStart w:id="50" w:name="_Toc384308188"/>
      <w:bookmarkEnd w:id="50"/>
      <w:bookmarkStart w:id="51" w:name="_Toc247527535"/>
      <w:bookmarkEnd w:id="51"/>
      <w:bookmarkStart w:id="52" w:name="_Toc300834929"/>
      <w:bookmarkEnd w:id="52"/>
      <w:bookmarkStart w:id="53" w:name="_Toc152042288"/>
      <w:bookmarkEnd w:id="53"/>
      <w:bookmarkStart w:id="54" w:name="_Toc361508562"/>
      <w:bookmarkEnd w:id="54"/>
      <w:bookmarkStart w:id="55" w:name="_Toc384308205"/>
      <w:bookmarkEnd w:id="55"/>
      <w:bookmarkStart w:id="56" w:name="_Toc247527547"/>
      <w:bookmarkEnd w:id="56"/>
      <w:bookmarkStart w:id="57" w:name="_Toc384308203"/>
      <w:bookmarkEnd w:id="57"/>
      <w:bookmarkStart w:id="58" w:name="_Toc369531497"/>
      <w:bookmarkEnd w:id="58"/>
      <w:bookmarkStart w:id="59" w:name="_Toc300834943"/>
      <w:bookmarkEnd w:id="59"/>
      <w:bookmarkStart w:id="60" w:name="_Toc247527536"/>
      <w:bookmarkEnd w:id="60"/>
      <w:bookmarkStart w:id="61" w:name="_Toc17972"/>
      <w:bookmarkEnd w:id="61"/>
      <w:bookmarkStart w:id="62" w:name="_Toc59200679"/>
      <w:bookmarkStart w:id="63" w:name="_Toc526786484"/>
      <w:bookmarkStart w:id="64" w:name="_Toc18055"/>
      <w:r>
        <w:rPr>
          <w:rFonts w:ascii="宋体" w:hAnsi="宋体" w:eastAsia="宋体" w:cs="Times New Roman"/>
          <w:b/>
          <w:color w:val="auto"/>
          <w:kern w:val="44"/>
          <w:sz w:val="44"/>
          <w:szCs w:val="20"/>
          <w:highlight w:val="none"/>
        </w:rPr>
        <w:br w:type="page"/>
      </w:r>
      <w:r>
        <w:rPr>
          <w:rFonts w:hint="eastAsia" w:ascii="宋体" w:hAnsi="宋体" w:eastAsia="宋体" w:cs="Times New Roman"/>
          <w:b/>
          <w:color w:val="auto"/>
          <w:kern w:val="44"/>
          <w:sz w:val="44"/>
          <w:szCs w:val="20"/>
          <w:highlight w:val="none"/>
        </w:rPr>
        <w:t>第二章</w:t>
      </w:r>
      <w:r>
        <w:rPr>
          <w:rFonts w:ascii="宋体" w:hAnsi="宋体" w:eastAsia="宋体" w:cs="Times New Roman"/>
          <w:b/>
          <w:color w:val="auto"/>
          <w:kern w:val="44"/>
          <w:sz w:val="44"/>
          <w:szCs w:val="20"/>
          <w:highlight w:val="none"/>
        </w:rPr>
        <w:t xml:space="preserve"> </w:t>
      </w:r>
      <w:r>
        <w:rPr>
          <w:rFonts w:hint="eastAsia" w:ascii="宋体" w:hAnsi="宋体" w:eastAsia="宋体" w:cs="Times New Roman"/>
          <w:b/>
          <w:color w:val="auto"/>
          <w:kern w:val="44"/>
          <w:sz w:val="44"/>
          <w:szCs w:val="20"/>
          <w:highlight w:val="none"/>
        </w:rPr>
        <w:t>投标人须知</w:t>
      </w:r>
      <w:bookmarkEnd w:id="62"/>
      <w:bookmarkEnd w:id="63"/>
      <w:bookmarkEnd w:id="64"/>
    </w:p>
    <w:p w14:paraId="6FA54383">
      <w:pPr>
        <w:wordWrap w:val="0"/>
        <w:jc w:val="center"/>
        <w:outlineLvl w:val="1"/>
        <w:rPr>
          <w:rFonts w:hint="eastAsia" w:ascii="宋体" w:hAnsi="宋体" w:eastAsia="宋体" w:cs="Times New Roman"/>
          <w:b/>
          <w:color w:val="auto"/>
          <w:sz w:val="32"/>
          <w:szCs w:val="20"/>
          <w:highlight w:val="none"/>
        </w:rPr>
      </w:pPr>
      <w:bookmarkStart w:id="65" w:name="_Toc12876"/>
      <w:bookmarkStart w:id="66" w:name="_Toc59200680"/>
      <w:bookmarkStart w:id="67" w:name="_Toc31679"/>
      <w:bookmarkStart w:id="68" w:name="_Toc526786485"/>
      <w:r>
        <w:rPr>
          <w:rFonts w:hint="eastAsia" w:ascii="宋体" w:hAnsi="宋体" w:eastAsia="宋体" w:cs="Times New Roman"/>
          <w:b/>
          <w:color w:val="auto"/>
          <w:sz w:val="32"/>
          <w:szCs w:val="20"/>
          <w:highlight w:val="none"/>
        </w:rPr>
        <w:t>投标人须知前附表</w:t>
      </w:r>
      <w:bookmarkEnd w:id="65"/>
      <w:bookmarkEnd w:id="66"/>
      <w:bookmarkEnd w:id="67"/>
      <w:bookmarkEnd w:id="68"/>
    </w:p>
    <w:tbl>
      <w:tblPr>
        <w:tblStyle w:val="24"/>
        <w:tblW w:w="946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976"/>
        <w:gridCol w:w="5386"/>
      </w:tblGrid>
      <w:tr w14:paraId="49BDB3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1101" w:type="dxa"/>
            <w:tcBorders>
              <w:top w:val="single" w:color="auto" w:sz="4" w:space="0"/>
            </w:tcBorders>
            <w:vAlign w:val="center"/>
          </w:tcPr>
          <w:p w14:paraId="321BF68C">
            <w:pPr>
              <w:wordWrap w:val="0"/>
              <w:snapToGrid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条款号</w:t>
            </w:r>
          </w:p>
        </w:tc>
        <w:tc>
          <w:tcPr>
            <w:tcW w:w="2976" w:type="dxa"/>
            <w:tcBorders>
              <w:top w:val="single" w:color="auto" w:sz="4" w:space="0"/>
            </w:tcBorders>
            <w:vAlign w:val="center"/>
          </w:tcPr>
          <w:p w14:paraId="75CE195F">
            <w:pPr>
              <w:wordWrap w:val="0"/>
              <w:snapToGrid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条款名称</w:t>
            </w:r>
          </w:p>
        </w:tc>
        <w:tc>
          <w:tcPr>
            <w:tcW w:w="5386" w:type="dxa"/>
            <w:tcBorders>
              <w:top w:val="single" w:color="auto" w:sz="4" w:space="0"/>
            </w:tcBorders>
            <w:vAlign w:val="center"/>
          </w:tcPr>
          <w:p w14:paraId="7EB03A68">
            <w:pPr>
              <w:wordWrap w:val="0"/>
              <w:snapToGrid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编列内容</w:t>
            </w:r>
          </w:p>
        </w:tc>
      </w:tr>
      <w:tr w14:paraId="570575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D972CA4">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1.1.2</w:t>
            </w:r>
          </w:p>
        </w:tc>
        <w:tc>
          <w:tcPr>
            <w:tcW w:w="2976" w:type="dxa"/>
            <w:vAlign w:val="center"/>
          </w:tcPr>
          <w:p w14:paraId="7B983CF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招标人</w:t>
            </w:r>
          </w:p>
        </w:tc>
        <w:tc>
          <w:tcPr>
            <w:tcW w:w="5386" w:type="dxa"/>
            <w:vAlign w:val="center"/>
          </w:tcPr>
          <w:p w14:paraId="1A686C3C">
            <w:pPr>
              <w:wordWrap w:val="0"/>
              <w:snapToGrid w:val="0"/>
              <w:spacing w:line="276" w:lineRule="auto"/>
              <w:ind w:left="630" w:hanging="630" w:hangingChars="3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u w:val="single"/>
                <w:lang w:eastAsia="zh-CN"/>
              </w:rPr>
              <w:t>广州市花都区交通运输局</w:t>
            </w:r>
          </w:p>
          <w:p w14:paraId="330D07CC">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广州市花都区紫薇路23号交通运输局</w:t>
            </w:r>
          </w:p>
          <w:p w14:paraId="15F0FA53">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u w:val="single"/>
                <w:lang w:val="en-US" w:eastAsia="zh-CN"/>
              </w:rPr>
              <w:t>贾</w:t>
            </w:r>
            <w:r>
              <w:rPr>
                <w:rFonts w:hint="eastAsia" w:ascii="宋体" w:hAnsi="宋体" w:eastAsia="宋体" w:cs="Times New Roman"/>
                <w:color w:val="auto"/>
                <w:szCs w:val="21"/>
                <w:highlight w:val="none"/>
                <w:u w:val="single"/>
              </w:rPr>
              <w:t>工</w:t>
            </w:r>
          </w:p>
          <w:p w14:paraId="58BFF421">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r>
              <w:rPr>
                <w:rFonts w:ascii="宋体" w:hAnsi="宋体" w:eastAsia="宋体" w:cs="Times New Roman"/>
                <w:color w:val="auto"/>
                <w:szCs w:val="21"/>
                <w:highlight w:val="none"/>
                <w:u w:val="single"/>
              </w:rPr>
              <w:t>020-</w:t>
            </w:r>
            <w:r>
              <w:rPr>
                <w:rFonts w:hint="eastAsia" w:ascii="宋体" w:hAnsi="宋体" w:eastAsia="宋体" w:cs="Times New Roman"/>
                <w:color w:val="auto"/>
                <w:szCs w:val="21"/>
                <w:highlight w:val="none"/>
                <w:u w:val="single"/>
              </w:rPr>
              <w:t>86970157</w:t>
            </w:r>
          </w:p>
        </w:tc>
      </w:tr>
      <w:tr w14:paraId="32BB22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782FF79">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1.1.3</w:t>
            </w:r>
          </w:p>
        </w:tc>
        <w:tc>
          <w:tcPr>
            <w:tcW w:w="2976" w:type="dxa"/>
            <w:vAlign w:val="center"/>
          </w:tcPr>
          <w:p w14:paraId="478F8BB0">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招标代理机构</w:t>
            </w:r>
          </w:p>
        </w:tc>
        <w:tc>
          <w:tcPr>
            <w:tcW w:w="5386" w:type="dxa"/>
            <w:vAlign w:val="center"/>
          </w:tcPr>
          <w:p w14:paraId="68EECAC2">
            <w:pPr>
              <w:wordWrap w:val="0"/>
              <w:snapToGrid w:val="0"/>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名称：</w:t>
            </w:r>
            <w:r>
              <w:rPr>
                <w:rFonts w:hint="eastAsia" w:ascii="宋体" w:hAnsi="宋体" w:eastAsia="宋体" w:cs="宋体"/>
                <w:color w:val="auto"/>
                <w:szCs w:val="21"/>
                <w:highlight w:val="none"/>
                <w:u w:val="single"/>
                <w:lang w:eastAsia="zh-CN"/>
              </w:rPr>
              <w:t>北京中交建设工程咨询有限公司</w:t>
            </w:r>
          </w:p>
          <w:p w14:paraId="2BE55CEE">
            <w:pPr>
              <w:wordWrap w:val="0"/>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广州市天河区黄埔大道西159号富星商贸大厦西塔7楼</w:t>
            </w:r>
          </w:p>
          <w:p w14:paraId="192AD1E2">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u w:val="single"/>
              </w:rPr>
              <w:t>罗工、梁工</w:t>
            </w:r>
          </w:p>
          <w:p w14:paraId="1AC28027">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r>
              <w:rPr>
                <w:rFonts w:hint="eastAsia" w:ascii="宋体" w:hAnsi="宋体" w:eastAsia="宋体" w:cs="Times New Roman"/>
                <w:color w:val="auto"/>
                <w:szCs w:val="21"/>
                <w:highlight w:val="none"/>
                <w:u w:val="single"/>
              </w:rPr>
              <w:t>020-87575800-810/840</w:t>
            </w:r>
          </w:p>
        </w:tc>
      </w:tr>
      <w:tr w14:paraId="055B51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02FE2C8">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1.1.4</w:t>
            </w:r>
          </w:p>
        </w:tc>
        <w:tc>
          <w:tcPr>
            <w:tcW w:w="2976" w:type="dxa"/>
            <w:vAlign w:val="center"/>
          </w:tcPr>
          <w:p w14:paraId="581BE8BF">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招标项目名称</w:t>
            </w:r>
          </w:p>
        </w:tc>
        <w:tc>
          <w:tcPr>
            <w:tcW w:w="5386" w:type="dxa"/>
            <w:vAlign w:val="center"/>
          </w:tcPr>
          <w:p w14:paraId="4C5845C0">
            <w:pPr>
              <w:wordWrap w:val="0"/>
              <w:snapToGrid w:val="0"/>
              <w:spacing w:line="276" w:lineRule="auto"/>
              <w:jc w:val="left"/>
              <w:rPr>
                <w:rFonts w:hint="eastAsia" w:ascii="宋体" w:hAnsi="宋体" w:eastAsia="宋体" w:cs="Times New Roman"/>
                <w:b/>
                <w:bCs/>
                <w:color w:val="auto"/>
                <w:szCs w:val="21"/>
                <w:highlight w:val="none"/>
                <w:u w:val="single"/>
              </w:rPr>
            </w:pPr>
            <w:r>
              <w:rPr>
                <w:rFonts w:hint="eastAsia" w:ascii="宋体" w:hAnsi="宋体" w:eastAsia="宋体" w:cs="Times New Roman"/>
                <w:b/>
                <w:bCs/>
                <w:color w:val="auto"/>
                <w:szCs w:val="21"/>
                <w:highlight w:val="none"/>
                <w:u w:val="single"/>
              </w:rPr>
              <w:t>标段一招标项目名称：红棉大道工程—田心立交至风神立交段工程监理（标段一）</w:t>
            </w:r>
          </w:p>
          <w:p w14:paraId="36ABDA8B">
            <w:pPr>
              <w:wordWrap w:val="0"/>
              <w:snapToGrid w:val="0"/>
              <w:spacing w:line="276" w:lineRule="auto"/>
              <w:jc w:val="left"/>
              <w:rPr>
                <w:rFonts w:hint="eastAsia" w:ascii="宋体" w:hAnsi="宋体" w:eastAsia="宋体" w:cs="Times New Roman"/>
                <w:b/>
                <w:bCs/>
                <w:color w:val="auto"/>
                <w:szCs w:val="21"/>
                <w:highlight w:val="none"/>
                <w:u w:val="single"/>
              </w:rPr>
            </w:pPr>
            <w:r>
              <w:rPr>
                <w:rFonts w:hint="eastAsia" w:ascii="宋体" w:hAnsi="宋体" w:eastAsia="宋体" w:cs="Times New Roman"/>
                <w:b/>
                <w:bCs/>
                <w:color w:val="auto"/>
                <w:szCs w:val="21"/>
                <w:highlight w:val="none"/>
                <w:u w:val="single"/>
              </w:rPr>
              <w:t>标段二招标项目名称：红棉大道工程—田心立交至风神立交段工程监理（标段二）</w:t>
            </w:r>
          </w:p>
        </w:tc>
      </w:tr>
      <w:tr w14:paraId="7EA1C8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B4167F2">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1.1.5</w:t>
            </w:r>
          </w:p>
        </w:tc>
        <w:tc>
          <w:tcPr>
            <w:tcW w:w="2976" w:type="dxa"/>
            <w:vAlign w:val="center"/>
          </w:tcPr>
          <w:p w14:paraId="373D6AEF">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项目建设地点</w:t>
            </w:r>
          </w:p>
        </w:tc>
        <w:tc>
          <w:tcPr>
            <w:tcW w:w="5386" w:type="dxa"/>
            <w:vAlign w:val="center"/>
          </w:tcPr>
          <w:p w14:paraId="4A3C1942">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6A8149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FA5FEAC">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1.1.6</w:t>
            </w:r>
          </w:p>
        </w:tc>
        <w:tc>
          <w:tcPr>
            <w:tcW w:w="2976" w:type="dxa"/>
            <w:vAlign w:val="center"/>
          </w:tcPr>
          <w:p w14:paraId="3E27C68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项目建设规模</w:t>
            </w:r>
          </w:p>
        </w:tc>
        <w:tc>
          <w:tcPr>
            <w:tcW w:w="5386" w:type="dxa"/>
          </w:tcPr>
          <w:p w14:paraId="16F906A9">
            <w:pPr>
              <w:wordWrap w:val="0"/>
              <w:snapToGrid w:val="0"/>
              <w:spacing w:line="276" w:lineRule="auto"/>
              <w:ind w:right="10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1B9F94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CE9BD3F">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1.1.7</w:t>
            </w:r>
          </w:p>
        </w:tc>
        <w:tc>
          <w:tcPr>
            <w:tcW w:w="2976" w:type="dxa"/>
            <w:vAlign w:val="center"/>
          </w:tcPr>
          <w:p w14:paraId="2E0E0902">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工程项目施工预计开工日期和建设周期</w:t>
            </w:r>
          </w:p>
        </w:tc>
        <w:tc>
          <w:tcPr>
            <w:tcW w:w="5386" w:type="dxa"/>
            <w:vAlign w:val="center"/>
          </w:tcPr>
          <w:p w14:paraId="6B7C5396">
            <w:pPr>
              <w:wordWrap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施工总工期：</w:t>
            </w:r>
            <w:r>
              <w:rPr>
                <w:rFonts w:hint="eastAsia" w:ascii="宋体" w:hAnsi="宋体" w:eastAsia="宋体" w:cs="Times New Roman"/>
                <w:color w:val="auto"/>
                <w:szCs w:val="21"/>
                <w:highlight w:val="none"/>
                <w:u w:val="single"/>
                <w:lang w:val="en-US" w:eastAsia="zh-CN"/>
              </w:rPr>
              <w:t>36</w:t>
            </w:r>
            <w:r>
              <w:rPr>
                <w:rFonts w:hint="eastAsia" w:ascii="宋体" w:hAnsi="宋体" w:eastAsia="宋体" w:cs="Times New Roman"/>
                <w:color w:val="auto"/>
                <w:szCs w:val="21"/>
                <w:highlight w:val="none"/>
                <w:u w:val="single"/>
              </w:rPr>
              <w:t>个</w:t>
            </w:r>
            <w:r>
              <w:rPr>
                <w:rFonts w:hint="eastAsia" w:ascii="宋体" w:hAnsi="宋体" w:eastAsia="宋体" w:cs="Times New Roman"/>
                <w:color w:val="auto"/>
                <w:szCs w:val="21"/>
                <w:highlight w:val="none"/>
                <w:u w:val="single"/>
                <w:lang w:val="en-US" w:eastAsia="zh-CN"/>
              </w:rPr>
              <w:t>月</w:t>
            </w:r>
            <w:r>
              <w:rPr>
                <w:rFonts w:hint="eastAsia" w:ascii="宋体" w:hAnsi="宋体" w:eastAsia="宋体" w:cs="Times New Roman"/>
                <w:color w:val="auto"/>
                <w:szCs w:val="21"/>
                <w:highlight w:val="none"/>
                <w:u w:val="single"/>
              </w:rPr>
              <w:t>。具体开工时间以招标人书面通知为准。</w:t>
            </w:r>
          </w:p>
        </w:tc>
      </w:tr>
      <w:tr w14:paraId="32DD0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419B1DC">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1.1.8</w:t>
            </w:r>
          </w:p>
        </w:tc>
        <w:tc>
          <w:tcPr>
            <w:tcW w:w="2976" w:type="dxa"/>
            <w:vAlign w:val="center"/>
          </w:tcPr>
          <w:p w14:paraId="78C91C49">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建筑安装工程费</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工程概算</w:t>
            </w:r>
          </w:p>
        </w:tc>
        <w:tc>
          <w:tcPr>
            <w:tcW w:w="5386" w:type="dxa"/>
            <w:vAlign w:val="center"/>
          </w:tcPr>
          <w:p w14:paraId="564F14C7">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r>
      <w:tr w14:paraId="68B88B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408B696">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1.2.1</w:t>
            </w:r>
          </w:p>
        </w:tc>
        <w:tc>
          <w:tcPr>
            <w:tcW w:w="2976" w:type="dxa"/>
            <w:vAlign w:val="center"/>
          </w:tcPr>
          <w:p w14:paraId="3D51879D">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资金来源及比例</w:t>
            </w:r>
          </w:p>
        </w:tc>
        <w:tc>
          <w:tcPr>
            <w:tcW w:w="5386" w:type="dxa"/>
            <w:vAlign w:val="center"/>
          </w:tcPr>
          <w:p w14:paraId="7BCC53D2">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0626BE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ACED8ED">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1.2.2</w:t>
            </w:r>
          </w:p>
        </w:tc>
        <w:tc>
          <w:tcPr>
            <w:tcW w:w="2976" w:type="dxa"/>
            <w:vAlign w:val="center"/>
          </w:tcPr>
          <w:p w14:paraId="3C64A5C2">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资金落实情况</w:t>
            </w:r>
          </w:p>
        </w:tc>
        <w:tc>
          <w:tcPr>
            <w:tcW w:w="5386" w:type="dxa"/>
            <w:vAlign w:val="center"/>
          </w:tcPr>
          <w:p w14:paraId="7C37DD03">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已落实</w:t>
            </w:r>
          </w:p>
        </w:tc>
      </w:tr>
      <w:tr w14:paraId="46A8E9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76B7710">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1.3.1</w:t>
            </w:r>
          </w:p>
        </w:tc>
        <w:tc>
          <w:tcPr>
            <w:tcW w:w="2976" w:type="dxa"/>
            <w:vAlign w:val="center"/>
          </w:tcPr>
          <w:p w14:paraId="10C3551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招标范围</w:t>
            </w:r>
          </w:p>
        </w:tc>
        <w:tc>
          <w:tcPr>
            <w:tcW w:w="5386" w:type="dxa"/>
          </w:tcPr>
          <w:p w14:paraId="30A50B22">
            <w:pPr>
              <w:wordWrap w:val="0"/>
              <w:snapToGrid w:val="0"/>
              <w:spacing w:line="276" w:lineRule="auto"/>
              <w:ind w:right="10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0FB8A5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91D2346">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1.3.2</w:t>
            </w:r>
          </w:p>
        </w:tc>
        <w:tc>
          <w:tcPr>
            <w:tcW w:w="2976" w:type="dxa"/>
            <w:vAlign w:val="center"/>
          </w:tcPr>
          <w:p w14:paraId="4DDF262C">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监理服务期限</w:t>
            </w:r>
          </w:p>
        </w:tc>
        <w:tc>
          <w:tcPr>
            <w:tcW w:w="5386" w:type="dxa"/>
          </w:tcPr>
          <w:p w14:paraId="04C8357D">
            <w:pPr>
              <w:wordWrap w:val="0"/>
              <w:snapToGrid w:val="0"/>
              <w:spacing w:line="276" w:lineRule="auto"/>
              <w:ind w:right="10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46E7EE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9A55BA2">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1.3.3</w:t>
            </w:r>
          </w:p>
        </w:tc>
        <w:tc>
          <w:tcPr>
            <w:tcW w:w="2976" w:type="dxa"/>
            <w:vAlign w:val="center"/>
          </w:tcPr>
          <w:p w14:paraId="17B916B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质量标准</w:t>
            </w:r>
          </w:p>
        </w:tc>
        <w:tc>
          <w:tcPr>
            <w:tcW w:w="5386" w:type="dxa"/>
            <w:vAlign w:val="center"/>
          </w:tcPr>
          <w:p w14:paraId="32AA360A">
            <w:pPr>
              <w:wordWrap w:val="0"/>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确保符合国家、省、市相关质量验收标准，并达到合格或（以上标准）。</w:t>
            </w:r>
          </w:p>
        </w:tc>
      </w:tr>
      <w:tr w14:paraId="10830A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AAC1E89">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1.4.1</w:t>
            </w:r>
          </w:p>
        </w:tc>
        <w:tc>
          <w:tcPr>
            <w:tcW w:w="2976" w:type="dxa"/>
            <w:vAlign w:val="center"/>
          </w:tcPr>
          <w:p w14:paraId="481C4F53">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投标人资质条件、能力、信誉</w:t>
            </w:r>
          </w:p>
        </w:tc>
        <w:tc>
          <w:tcPr>
            <w:tcW w:w="5386" w:type="dxa"/>
            <w:vAlign w:val="center"/>
          </w:tcPr>
          <w:p w14:paraId="11BB98B8">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（1）资质要求：详见招标公告。</w:t>
            </w:r>
          </w:p>
          <w:p w14:paraId="27FBBBE8">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（2）财务要求：</w:t>
            </w:r>
            <w:r>
              <w:rPr>
                <w:rFonts w:ascii="宋体" w:hAnsi="宋体" w:eastAsia="宋体" w:cs="Times New Roman"/>
                <w:color w:val="auto"/>
                <w:szCs w:val="21"/>
                <w:highlight w:val="none"/>
                <w:u w:val="single"/>
              </w:rPr>
              <w:t xml:space="preserve"> / </w:t>
            </w:r>
          </w:p>
          <w:p w14:paraId="7740621A">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（3）业绩要求：</w:t>
            </w:r>
            <w:r>
              <w:rPr>
                <w:rFonts w:ascii="宋体" w:hAnsi="宋体" w:eastAsia="宋体" w:cs="Times New Roman"/>
                <w:color w:val="auto"/>
                <w:szCs w:val="21"/>
                <w:highlight w:val="none"/>
                <w:u w:val="single"/>
              </w:rPr>
              <w:t xml:space="preserve"> / </w:t>
            </w:r>
          </w:p>
          <w:p w14:paraId="15D21055">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（4）信誉要求：</w:t>
            </w:r>
            <w:r>
              <w:rPr>
                <w:rFonts w:ascii="宋体" w:hAnsi="宋体" w:eastAsia="宋体" w:cs="Times New Roman"/>
                <w:color w:val="auto"/>
                <w:szCs w:val="21"/>
                <w:highlight w:val="none"/>
                <w:u w:val="single"/>
              </w:rPr>
              <w:t xml:space="preserve"> / </w:t>
            </w:r>
          </w:p>
          <w:p w14:paraId="5F4F967B">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（5）总监理工程师的资格要求：详见招标公告。</w:t>
            </w:r>
          </w:p>
          <w:p w14:paraId="4350A3C2">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（6）其他主要人员要求：</w:t>
            </w:r>
            <w:r>
              <w:rPr>
                <w:rFonts w:ascii="宋体" w:hAnsi="宋体" w:eastAsia="宋体" w:cs="Times New Roman"/>
                <w:color w:val="auto"/>
                <w:szCs w:val="21"/>
                <w:highlight w:val="none"/>
                <w:u w:val="single"/>
              </w:rPr>
              <w:t xml:space="preserve"> / </w:t>
            </w:r>
          </w:p>
          <w:p w14:paraId="5687CBCA">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w:t>
            </w:r>
            <w:r>
              <w:rPr>
                <w:rFonts w:hint="eastAsia" w:ascii="宋体" w:hAnsi="宋体" w:eastAsia="宋体" w:cs="宋体"/>
                <w:color w:val="auto"/>
                <w:szCs w:val="21"/>
                <w:highlight w:val="none"/>
              </w:rPr>
              <w:t>试验检测仪器设备要求</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u w:val="single"/>
              </w:rPr>
              <w:t xml:space="preserve"> / </w:t>
            </w:r>
          </w:p>
          <w:p w14:paraId="78A52D7C">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（8）其他要求：详见招标公告。</w:t>
            </w:r>
          </w:p>
        </w:tc>
      </w:tr>
      <w:tr w14:paraId="6AD793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E469DDC">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1.4.2</w:t>
            </w:r>
          </w:p>
        </w:tc>
        <w:tc>
          <w:tcPr>
            <w:tcW w:w="2976" w:type="dxa"/>
            <w:vAlign w:val="center"/>
          </w:tcPr>
          <w:p w14:paraId="4622B526">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是否接受联合体投标</w:t>
            </w:r>
          </w:p>
        </w:tc>
        <w:tc>
          <w:tcPr>
            <w:tcW w:w="5386" w:type="dxa"/>
            <w:vAlign w:val="center"/>
          </w:tcPr>
          <w:p w14:paraId="3C8C3D6F">
            <w:pPr>
              <w:wordWrap w:val="0"/>
              <w:snapToGrid w:val="0"/>
              <w:spacing w:line="276" w:lineRule="auto"/>
              <w:ind w:right="-238"/>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宋体"/>
                <w:color w:val="auto"/>
                <w:position w:val="3"/>
                <w:szCs w:val="21"/>
                <w:highlight w:val="none"/>
              </w:rPr>
              <w:t>不接受</w:t>
            </w:r>
          </w:p>
          <w:p w14:paraId="6B1DA1DD">
            <w:pPr>
              <w:wordWrap w:val="0"/>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□接受，应满足下列要求：</w:t>
            </w:r>
            <w:r>
              <w:rPr>
                <w:rFonts w:ascii="宋体" w:hAnsi="宋体" w:eastAsia="宋体" w:cs="宋体"/>
                <w:color w:val="auto"/>
                <w:szCs w:val="21"/>
                <w:highlight w:val="none"/>
                <w:u w:val="single"/>
              </w:rPr>
              <w:t xml:space="preserve">  / </w:t>
            </w:r>
          </w:p>
        </w:tc>
      </w:tr>
      <w:tr w14:paraId="3CF31F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B4709CF">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1.4.3</w:t>
            </w:r>
          </w:p>
        </w:tc>
        <w:tc>
          <w:tcPr>
            <w:tcW w:w="2976" w:type="dxa"/>
            <w:vAlign w:val="center"/>
          </w:tcPr>
          <w:p w14:paraId="1F503C51">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投标人不得存在的其他情形</w:t>
            </w:r>
          </w:p>
        </w:tc>
        <w:tc>
          <w:tcPr>
            <w:tcW w:w="5386" w:type="dxa"/>
            <w:vAlign w:val="center"/>
          </w:tcPr>
          <w:p w14:paraId="6426BB7A">
            <w:pPr>
              <w:wordWrap w:val="0"/>
              <w:topLinePunct/>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w:t>
            </w:r>
          </w:p>
        </w:tc>
      </w:tr>
      <w:tr w14:paraId="1BF662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5FFAB62">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1.9.1</w:t>
            </w:r>
          </w:p>
        </w:tc>
        <w:tc>
          <w:tcPr>
            <w:tcW w:w="2976" w:type="dxa"/>
            <w:vAlign w:val="center"/>
          </w:tcPr>
          <w:p w14:paraId="4C5EA49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踏勘现场</w:t>
            </w:r>
          </w:p>
        </w:tc>
        <w:tc>
          <w:tcPr>
            <w:tcW w:w="5386" w:type="dxa"/>
            <w:vAlign w:val="center"/>
          </w:tcPr>
          <w:p w14:paraId="53EC89ED">
            <w:pPr>
              <w:wordWrap w:val="0"/>
              <w:topLinePunct/>
              <w:snapToGrid w:val="0"/>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不组织</w:t>
            </w:r>
          </w:p>
          <w:p w14:paraId="511321DE">
            <w:pPr>
              <w:wordWrap w:val="0"/>
              <w:topLinePunct/>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补充说明如下：</w:t>
            </w:r>
          </w:p>
          <w:p w14:paraId="5BF3B040">
            <w:pPr>
              <w:wordWrap w:val="0"/>
              <w:topLinePunct/>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18E7CFB9">
            <w:pPr>
              <w:wordWrap w:val="0"/>
              <w:topLinePunct/>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322EFBB6">
            <w:pPr>
              <w:wordWrap w:val="0"/>
              <w:topLinePunct/>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（3）在现场考察中由招标人提供的资料和数据，只是为了使投标人能够利用招标人现有的资料。招标人对投标人由此而作出的推论、解释和结论概不负责。</w:t>
            </w:r>
          </w:p>
          <w:p w14:paraId="17CA222D">
            <w:pPr>
              <w:wordWrap w:val="0"/>
              <w:topLinePunct/>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□组织，踏勘时间：</w:t>
            </w:r>
            <w:r>
              <w:rPr>
                <w:rFonts w:ascii="宋体" w:hAnsi="宋体" w:eastAsia="宋体" w:cs="Times New Roman"/>
                <w:color w:val="auto"/>
                <w:szCs w:val="21"/>
                <w:highlight w:val="none"/>
                <w:u w:val="single"/>
              </w:rPr>
              <w:t xml:space="preserve"> / </w:t>
            </w:r>
          </w:p>
          <w:p w14:paraId="408DD377">
            <w:pPr>
              <w:wordWrap w:val="0"/>
              <w:topLinePunct/>
              <w:snapToGrid w:val="0"/>
              <w:spacing w:line="276" w:lineRule="auto"/>
              <w:ind w:firstLine="840" w:firstLineChars="4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踏勘集中地点：</w:t>
            </w:r>
            <w:r>
              <w:rPr>
                <w:rFonts w:ascii="宋体" w:hAnsi="宋体" w:eastAsia="宋体" w:cs="Times New Roman"/>
                <w:color w:val="auto"/>
                <w:szCs w:val="21"/>
                <w:highlight w:val="none"/>
                <w:u w:val="single"/>
              </w:rPr>
              <w:t xml:space="preserve"> / </w:t>
            </w:r>
          </w:p>
        </w:tc>
      </w:tr>
      <w:tr w14:paraId="0436E8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61F8D63">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1.10.1</w:t>
            </w:r>
          </w:p>
        </w:tc>
        <w:tc>
          <w:tcPr>
            <w:tcW w:w="2976" w:type="dxa"/>
            <w:vAlign w:val="center"/>
          </w:tcPr>
          <w:p w14:paraId="13800368">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投标预备会</w:t>
            </w:r>
          </w:p>
        </w:tc>
        <w:tc>
          <w:tcPr>
            <w:tcW w:w="5386" w:type="dxa"/>
            <w:vAlign w:val="center"/>
          </w:tcPr>
          <w:p w14:paraId="310F6A99">
            <w:pPr>
              <w:wordWrap w:val="0"/>
              <w:topLinePunct/>
              <w:snapToGrid w:val="0"/>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不召开</w:t>
            </w:r>
          </w:p>
          <w:p w14:paraId="377943CD">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□召开，召开时间：</w:t>
            </w:r>
            <w:r>
              <w:rPr>
                <w:rFonts w:ascii="宋体" w:hAnsi="宋体" w:eastAsia="宋体" w:cs="Times New Roman"/>
                <w:color w:val="auto"/>
                <w:szCs w:val="21"/>
                <w:highlight w:val="none"/>
                <w:u w:val="single"/>
              </w:rPr>
              <w:t xml:space="preserve"> / </w:t>
            </w:r>
          </w:p>
          <w:p w14:paraId="422AEF9B">
            <w:pPr>
              <w:wordWrap w:val="0"/>
              <w:snapToGrid w:val="0"/>
              <w:spacing w:line="276" w:lineRule="auto"/>
              <w:ind w:firstLine="840" w:firstLineChars="4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召开地点：</w:t>
            </w:r>
            <w:r>
              <w:rPr>
                <w:rFonts w:ascii="宋体" w:hAnsi="宋体" w:eastAsia="宋体" w:cs="Times New Roman"/>
                <w:color w:val="auto"/>
                <w:szCs w:val="21"/>
                <w:highlight w:val="none"/>
                <w:u w:val="single"/>
              </w:rPr>
              <w:t xml:space="preserve"> / </w:t>
            </w:r>
          </w:p>
        </w:tc>
      </w:tr>
      <w:tr w14:paraId="485AA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Merge w:val="restart"/>
            <w:vAlign w:val="center"/>
          </w:tcPr>
          <w:p w14:paraId="49908B80">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1.10.2</w:t>
            </w:r>
          </w:p>
        </w:tc>
        <w:tc>
          <w:tcPr>
            <w:tcW w:w="2976" w:type="dxa"/>
            <w:vMerge w:val="restart"/>
            <w:vAlign w:val="center"/>
          </w:tcPr>
          <w:p w14:paraId="49449B32">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投标人在投标预备会前提出问题</w:t>
            </w:r>
          </w:p>
        </w:tc>
        <w:tc>
          <w:tcPr>
            <w:tcW w:w="5386" w:type="dxa"/>
            <w:vAlign w:val="center"/>
          </w:tcPr>
          <w:p w14:paraId="6802A401">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时间：</w:t>
            </w:r>
            <w:r>
              <w:rPr>
                <w:rFonts w:ascii="宋体" w:hAnsi="宋体" w:eastAsia="宋体" w:cs="Times New Roman"/>
                <w:color w:val="auto"/>
                <w:szCs w:val="21"/>
                <w:highlight w:val="none"/>
                <w:u w:val="single"/>
              </w:rPr>
              <w:t xml:space="preserve"> / </w:t>
            </w:r>
          </w:p>
        </w:tc>
      </w:tr>
      <w:tr w14:paraId="0E28D8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Merge w:val="continue"/>
            <w:vAlign w:val="center"/>
          </w:tcPr>
          <w:p w14:paraId="58F3DE08">
            <w:pPr>
              <w:wordWrap w:val="0"/>
              <w:snapToGrid w:val="0"/>
              <w:spacing w:line="276" w:lineRule="auto"/>
              <w:jc w:val="center"/>
              <w:rPr>
                <w:rFonts w:hint="eastAsia" w:ascii="宋体" w:hAnsi="宋体" w:eastAsia="宋体" w:cs="Times New Roman"/>
                <w:color w:val="auto"/>
                <w:szCs w:val="21"/>
                <w:highlight w:val="none"/>
              </w:rPr>
            </w:pPr>
          </w:p>
        </w:tc>
        <w:tc>
          <w:tcPr>
            <w:tcW w:w="2976" w:type="dxa"/>
            <w:vMerge w:val="continue"/>
            <w:vAlign w:val="center"/>
          </w:tcPr>
          <w:p w14:paraId="1E99BE83">
            <w:pPr>
              <w:wordWrap w:val="0"/>
              <w:snapToGrid w:val="0"/>
              <w:spacing w:line="276" w:lineRule="auto"/>
              <w:jc w:val="center"/>
              <w:rPr>
                <w:rFonts w:hint="eastAsia" w:ascii="宋体" w:hAnsi="宋体" w:eastAsia="宋体" w:cs="Times New Roman"/>
                <w:color w:val="auto"/>
                <w:szCs w:val="21"/>
                <w:highlight w:val="none"/>
              </w:rPr>
            </w:pPr>
          </w:p>
        </w:tc>
        <w:tc>
          <w:tcPr>
            <w:tcW w:w="5386" w:type="dxa"/>
            <w:vAlign w:val="center"/>
          </w:tcPr>
          <w:p w14:paraId="0B2E66C2">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形式：</w:t>
            </w:r>
            <w:r>
              <w:rPr>
                <w:rFonts w:ascii="宋体" w:hAnsi="宋体" w:eastAsia="宋体" w:cs="Times New Roman"/>
                <w:color w:val="auto"/>
                <w:szCs w:val="21"/>
                <w:highlight w:val="none"/>
                <w:u w:val="single"/>
              </w:rPr>
              <w:t xml:space="preserve"> / </w:t>
            </w:r>
          </w:p>
        </w:tc>
      </w:tr>
      <w:tr w14:paraId="17058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00D212A">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1.10.3</w:t>
            </w:r>
          </w:p>
        </w:tc>
        <w:tc>
          <w:tcPr>
            <w:tcW w:w="2976" w:type="dxa"/>
            <w:vAlign w:val="center"/>
          </w:tcPr>
          <w:p w14:paraId="22BE2A91">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招标文件澄清发出的形式</w:t>
            </w:r>
          </w:p>
        </w:tc>
        <w:tc>
          <w:tcPr>
            <w:tcW w:w="5386" w:type="dxa"/>
            <w:vAlign w:val="center"/>
          </w:tcPr>
          <w:p w14:paraId="7473BC23">
            <w:pPr>
              <w:wordWrap w:val="0"/>
              <w:snapToGrid w:val="0"/>
              <w:spacing w:line="276" w:lineRule="auto"/>
              <w:rPr>
                <w:rFonts w:hint="eastAsia" w:ascii="宋体" w:hAnsi="宋体" w:eastAsia="宋体" w:cs="Times New Roman"/>
                <w:color w:val="auto"/>
                <w:szCs w:val="21"/>
                <w:highlight w:val="none"/>
              </w:rPr>
            </w:pPr>
            <w:r>
              <w:rPr>
                <w:rFonts w:ascii="宋体" w:hAnsi="宋体" w:eastAsia="宋体" w:cs="Times New Roman"/>
                <w:color w:val="auto"/>
                <w:szCs w:val="21"/>
                <w:highlight w:val="none"/>
                <w:u w:val="single"/>
              </w:rPr>
              <w:t xml:space="preserve"> / </w:t>
            </w:r>
            <w:r>
              <w:rPr>
                <w:rFonts w:hint="eastAsia" w:ascii="宋体" w:hAnsi="宋体" w:eastAsia="宋体" w:cs="Times New Roman"/>
                <w:color w:val="auto"/>
                <w:szCs w:val="21"/>
                <w:highlight w:val="none"/>
              </w:rPr>
              <w:t>（此为投标预备会的答疑澄清）</w:t>
            </w:r>
          </w:p>
        </w:tc>
      </w:tr>
      <w:tr w14:paraId="09D71E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9D1D527">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1.12.1</w:t>
            </w:r>
          </w:p>
        </w:tc>
        <w:tc>
          <w:tcPr>
            <w:tcW w:w="2976" w:type="dxa"/>
            <w:vAlign w:val="center"/>
          </w:tcPr>
          <w:p w14:paraId="11EB048D">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实质性要求和条件</w:t>
            </w:r>
          </w:p>
        </w:tc>
        <w:tc>
          <w:tcPr>
            <w:tcW w:w="5386" w:type="dxa"/>
            <w:vAlign w:val="center"/>
          </w:tcPr>
          <w:p w14:paraId="001A3E5D">
            <w:pPr>
              <w:wordWrap w:val="0"/>
              <w:topLinePunct/>
              <w:snapToGrid w:val="0"/>
              <w:spacing w:line="276" w:lineRule="auto"/>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 xml:space="preserve"> / </w:t>
            </w:r>
          </w:p>
        </w:tc>
      </w:tr>
      <w:tr w14:paraId="37ADAA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CBBB382">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1.12.3</w:t>
            </w:r>
          </w:p>
        </w:tc>
        <w:tc>
          <w:tcPr>
            <w:tcW w:w="2976" w:type="dxa"/>
            <w:vAlign w:val="center"/>
          </w:tcPr>
          <w:p w14:paraId="67E2517D">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偏差</w:t>
            </w:r>
          </w:p>
        </w:tc>
        <w:tc>
          <w:tcPr>
            <w:tcW w:w="5386" w:type="dxa"/>
          </w:tcPr>
          <w:p w14:paraId="705D201B">
            <w:pPr>
              <w:wordWrap w:val="0"/>
              <w:snapToGrid w:val="0"/>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不允许</w:t>
            </w:r>
          </w:p>
          <w:p w14:paraId="3FA59F59">
            <w:pPr>
              <w:wordWrap w:val="0"/>
              <w:topLinePunct/>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□允许，偏差范围：</w:t>
            </w:r>
            <w:r>
              <w:rPr>
                <w:rFonts w:ascii="宋体" w:hAnsi="宋体" w:eastAsia="宋体" w:cs="Times New Roman"/>
                <w:color w:val="auto"/>
                <w:szCs w:val="21"/>
                <w:highlight w:val="none"/>
                <w:u w:val="single"/>
              </w:rPr>
              <w:t xml:space="preserve"> / </w:t>
            </w:r>
          </w:p>
          <w:p w14:paraId="4FDEF6C4">
            <w:pPr>
              <w:wordWrap w:val="0"/>
              <w:topLinePunct/>
              <w:snapToGrid w:val="0"/>
              <w:spacing w:line="276" w:lineRule="auto"/>
              <w:ind w:firstLine="917" w:firstLineChars="43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偏差幅度：</w:t>
            </w:r>
            <w:r>
              <w:rPr>
                <w:rFonts w:ascii="宋体" w:hAnsi="宋体" w:eastAsia="宋体" w:cs="Times New Roman"/>
                <w:color w:val="auto"/>
                <w:szCs w:val="21"/>
                <w:highlight w:val="none"/>
                <w:u w:val="single"/>
              </w:rPr>
              <w:t xml:space="preserve"> / </w:t>
            </w:r>
          </w:p>
        </w:tc>
      </w:tr>
      <w:tr w14:paraId="106BF0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C70D12D">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w:t>
            </w:r>
          </w:p>
        </w:tc>
        <w:tc>
          <w:tcPr>
            <w:tcW w:w="2976" w:type="dxa"/>
            <w:vAlign w:val="center"/>
          </w:tcPr>
          <w:p w14:paraId="2F156532">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构成招标文件的其他资料</w:t>
            </w:r>
          </w:p>
        </w:tc>
        <w:tc>
          <w:tcPr>
            <w:tcW w:w="5386" w:type="dxa"/>
            <w:vAlign w:val="center"/>
          </w:tcPr>
          <w:p w14:paraId="62D7EB54">
            <w:pPr>
              <w:wordWrap w:val="0"/>
              <w:snapToGrid w:val="0"/>
              <w:spacing w:line="276" w:lineRule="auto"/>
              <w:rPr>
                <w:rFonts w:hint="eastAsia" w:ascii="宋体" w:hAnsi="宋体" w:eastAsia="宋体" w:cs="Times New Roman"/>
                <w:color w:val="auto"/>
                <w:szCs w:val="21"/>
                <w:highlight w:val="none"/>
              </w:rPr>
            </w:pPr>
            <w:r>
              <w:rPr>
                <w:rFonts w:ascii="宋体" w:hAnsi="宋体" w:eastAsia="宋体" w:cs="Times New Roman"/>
                <w:color w:val="auto"/>
                <w:szCs w:val="21"/>
                <w:highlight w:val="none"/>
                <w:u w:val="single"/>
              </w:rPr>
              <w:t xml:space="preserve"> / </w:t>
            </w:r>
          </w:p>
        </w:tc>
      </w:tr>
      <w:tr w14:paraId="6FA87C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7EC8EF6">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2.2</w:t>
            </w:r>
          </w:p>
        </w:tc>
        <w:tc>
          <w:tcPr>
            <w:tcW w:w="2976" w:type="dxa"/>
            <w:vAlign w:val="center"/>
          </w:tcPr>
          <w:p w14:paraId="69352052">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招标答疑</w:t>
            </w:r>
          </w:p>
        </w:tc>
        <w:tc>
          <w:tcPr>
            <w:tcW w:w="5386" w:type="dxa"/>
            <w:vAlign w:val="center"/>
          </w:tcPr>
          <w:p w14:paraId="2E116CA5">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疑问提交时间：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时前；</w:t>
            </w:r>
          </w:p>
          <w:p w14:paraId="6D81B195">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形式：投标人的疑问通过</w:t>
            </w:r>
            <w:r>
              <w:rPr>
                <w:rFonts w:hint="eastAsia" w:ascii="宋体" w:hAnsi="宋体" w:eastAsia="宋体" w:cs="Times New Roman"/>
                <w:color w:val="auto"/>
                <w:szCs w:val="21"/>
                <w:highlight w:val="none"/>
                <w:u w:val="single"/>
              </w:rPr>
              <w:t>广州交易集团有限公司（广州公共资源交易中心）</w:t>
            </w:r>
            <w:r>
              <w:rPr>
                <w:rFonts w:hint="eastAsia" w:ascii="宋体" w:hAnsi="宋体" w:eastAsia="宋体" w:cs="Times New Roman"/>
                <w:color w:val="auto"/>
                <w:szCs w:val="21"/>
                <w:highlight w:val="none"/>
              </w:rPr>
              <w:t>网站提交。</w:t>
            </w:r>
          </w:p>
          <w:p w14:paraId="677787FA">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具体要求：按照</w:t>
            </w:r>
            <w:r>
              <w:rPr>
                <w:rFonts w:hint="eastAsia" w:ascii="宋体" w:hAnsi="宋体" w:eastAsia="宋体" w:cs="Times New Roman"/>
                <w:color w:val="auto"/>
                <w:szCs w:val="21"/>
                <w:highlight w:val="none"/>
                <w:u w:val="single"/>
              </w:rPr>
              <w:t>广州交易集团有限公司（广州公共资源交易中心）网站</w:t>
            </w:r>
            <w:r>
              <w:rPr>
                <w:rFonts w:hint="eastAsia" w:ascii="宋体" w:hAnsi="宋体" w:eastAsia="宋体" w:cs="Times New Roman"/>
                <w:color w:val="auto"/>
                <w:szCs w:val="21"/>
                <w:highlight w:val="none"/>
              </w:rPr>
              <w:t>关于全流程电子化项目的相关指南进行操作，提问一律不得署名。</w:t>
            </w:r>
          </w:p>
        </w:tc>
      </w:tr>
      <w:tr w14:paraId="56B199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2A0F9F5">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2.3</w:t>
            </w:r>
          </w:p>
        </w:tc>
        <w:tc>
          <w:tcPr>
            <w:tcW w:w="2976" w:type="dxa"/>
            <w:vAlign w:val="center"/>
          </w:tcPr>
          <w:p w14:paraId="24A21FC5">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招标文件的澄清和修改</w:t>
            </w:r>
          </w:p>
        </w:tc>
        <w:tc>
          <w:tcPr>
            <w:tcW w:w="5386" w:type="dxa"/>
            <w:vAlign w:val="center"/>
          </w:tcPr>
          <w:p w14:paraId="7AA99477">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招标文件的修改期限：在投标截止时间</w:t>
            </w:r>
            <w:r>
              <w:rPr>
                <w:rFonts w:hint="eastAsia" w:ascii="宋体" w:hAnsi="宋体" w:eastAsia="宋体" w:cs="Times New Roman"/>
                <w:color w:val="auto"/>
                <w:szCs w:val="21"/>
                <w:highlight w:val="none"/>
                <w:u w:val="single"/>
              </w:rPr>
              <w:t xml:space="preserve"> 15 </w:t>
            </w:r>
            <w:r>
              <w:rPr>
                <w:rFonts w:hint="eastAsia" w:ascii="宋体" w:hAnsi="宋体" w:eastAsia="宋体" w:cs="Times New Roman"/>
                <w:color w:val="auto"/>
                <w:szCs w:val="21"/>
                <w:highlight w:val="none"/>
              </w:rPr>
              <w:t>天前</w:t>
            </w:r>
          </w:p>
        </w:tc>
      </w:tr>
      <w:tr w14:paraId="41327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F3C2365">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3.1.1</w:t>
            </w:r>
          </w:p>
        </w:tc>
        <w:tc>
          <w:tcPr>
            <w:tcW w:w="2976" w:type="dxa"/>
            <w:vAlign w:val="center"/>
          </w:tcPr>
          <w:p w14:paraId="4126CF08">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构成投标文件的其他资料</w:t>
            </w:r>
          </w:p>
        </w:tc>
        <w:tc>
          <w:tcPr>
            <w:tcW w:w="5386" w:type="dxa"/>
            <w:vAlign w:val="center"/>
          </w:tcPr>
          <w:p w14:paraId="08E12AC5">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满足本项目评审要求需提交的证明资料。</w:t>
            </w:r>
          </w:p>
        </w:tc>
      </w:tr>
      <w:tr w14:paraId="23AD0F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83CCB74">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3.2.1</w:t>
            </w:r>
          </w:p>
        </w:tc>
        <w:tc>
          <w:tcPr>
            <w:tcW w:w="2976" w:type="dxa"/>
            <w:vAlign w:val="center"/>
          </w:tcPr>
          <w:p w14:paraId="5F55F98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增值税税金的计算方法</w:t>
            </w:r>
          </w:p>
        </w:tc>
        <w:tc>
          <w:tcPr>
            <w:tcW w:w="5386" w:type="dxa"/>
            <w:vAlign w:val="center"/>
          </w:tcPr>
          <w:p w14:paraId="0053A351">
            <w:pPr>
              <w:wordWrap w:val="0"/>
              <w:snapToGrid w:val="0"/>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u w:val="single"/>
                <w:lang w:eastAsia="zh-CN"/>
              </w:rPr>
              <w:t xml:space="preserve"> / </w:t>
            </w:r>
          </w:p>
        </w:tc>
      </w:tr>
      <w:tr w14:paraId="4C066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12646A7">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3.2.3</w:t>
            </w:r>
          </w:p>
        </w:tc>
        <w:tc>
          <w:tcPr>
            <w:tcW w:w="2976" w:type="dxa"/>
            <w:vAlign w:val="center"/>
          </w:tcPr>
          <w:p w14:paraId="747144FD">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报价方式</w:t>
            </w:r>
          </w:p>
        </w:tc>
        <w:tc>
          <w:tcPr>
            <w:tcW w:w="5386" w:type="dxa"/>
            <w:vAlign w:val="center"/>
          </w:tcPr>
          <w:p w14:paraId="38709353">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各投标单位根据企业自身实力进行报价。</w:t>
            </w:r>
          </w:p>
          <w:p w14:paraId="51D0A2E7">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结算方式：</w:t>
            </w:r>
            <w:r>
              <w:rPr>
                <w:rFonts w:hint="eastAsia" w:ascii="宋体" w:hAnsi="宋体" w:eastAsia="宋体" w:cs="Times New Roman"/>
                <w:color w:val="auto"/>
                <w:szCs w:val="21"/>
                <w:highlight w:val="none"/>
                <w:u w:val="single"/>
              </w:rPr>
              <w:t>按合同约定执行。</w:t>
            </w:r>
          </w:p>
        </w:tc>
      </w:tr>
      <w:tr w14:paraId="042FD6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D2746DC">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3.2.4</w:t>
            </w:r>
          </w:p>
        </w:tc>
        <w:tc>
          <w:tcPr>
            <w:tcW w:w="2976" w:type="dxa"/>
            <w:vAlign w:val="center"/>
          </w:tcPr>
          <w:p w14:paraId="56D63A71">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最高投标限价</w:t>
            </w:r>
          </w:p>
        </w:tc>
        <w:tc>
          <w:tcPr>
            <w:tcW w:w="5386" w:type="dxa"/>
            <w:vAlign w:val="center"/>
          </w:tcPr>
          <w:p w14:paraId="738CD6B1">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□无</w:t>
            </w:r>
          </w:p>
          <w:p w14:paraId="7D1535BD">
            <w:pPr>
              <w:tabs>
                <w:tab w:val="left" w:pos="7513"/>
              </w:tabs>
              <w:wordWrap/>
              <w:spacing w:line="276" w:lineRule="auto"/>
              <w:rPr>
                <w:rFonts w:hint="eastAsia" w:ascii="宋体" w:hAnsi="宋体" w:eastAsia="宋体" w:cs="宋体"/>
                <w:b w:val="0"/>
                <w:bCs/>
                <w:color w:val="auto"/>
                <w:szCs w:val="21"/>
                <w:highlight w:val="none"/>
                <w:u w:val="single"/>
                <w:lang w:bidi="ar"/>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有，最高投标限价：</w:t>
            </w:r>
            <w:r>
              <w:rPr>
                <w:rFonts w:hint="eastAsia" w:ascii="宋体" w:hAnsi="宋体" w:eastAsia="宋体" w:cs="宋体"/>
                <w:b w:val="0"/>
                <w:bCs/>
                <w:color w:val="auto"/>
                <w:szCs w:val="21"/>
                <w:highlight w:val="none"/>
                <w:u w:val="single"/>
                <w:lang w:bidi="ar"/>
              </w:rPr>
              <w:t>红棉大道工程—田心立交至风神立交段工程监理（标段一）监理服务费最高投标限价为</w:t>
            </w:r>
            <w:bookmarkStart w:id="333" w:name="_GoBack"/>
            <w:r>
              <w:rPr>
                <w:rFonts w:hint="eastAsia" w:ascii="宋体" w:hAnsi="宋体"/>
                <w:b/>
                <w:bCs/>
                <w:color w:val="auto"/>
                <w:sz w:val="24"/>
                <w:szCs w:val="24"/>
                <w:highlight w:val="none"/>
                <w:u w:val="single"/>
                <w:lang w:val="en-US" w:eastAsia="zh-CN"/>
              </w:rPr>
              <w:t>539.54</w:t>
            </w:r>
            <w:r>
              <w:rPr>
                <w:rFonts w:hint="eastAsia" w:ascii="宋体" w:hAnsi="宋体" w:eastAsia="宋体" w:cs="宋体"/>
                <w:b/>
                <w:color w:val="auto"/>
                <w:sz w:val="24"/>
                <w:szCs w:val="24"/>
                <w:highlight w:val="none"/>
                <w:u w:val="single"/>
              </w:rPr>
              <w:t>万元</w:t>
            </w:r>
            <w:r>
              <w:rPr>
                <w:rFonts w:hint="eastAsia" w:ascii="宋体" w:hAnsi="宋体" w:eastAsia="宋体" w:cs="宋体"/>
                <w:b w:val="0"/>
                <w:bCs/>
                <w:color w:val="auto"/>
                <w:szCs w:val="21"/>
                <w:highlight w:val="none"/>
                <w:u w:val="single"/>
                <w:lang w:bidi="ar"/>
              </w:rPr>
              <w:t>，</w:t>
            </w:r>
            <w:bookmarkEnd w:id="333"/>
            <w:r>
              <w:rPr>
                <w:rFonts w:hint="eastAsia" w:ascii="宋体" w:hAnsi="宋体" w:eastAsia="宋体" w:cs="宋体"/>
                <w:b w:val="0"/>
                <w:bCs/>
                <w:color w:val="auto"/>
                <w:szCs w:val="21"/>
                <w:highlight w:val="none"/>
                <w:u w:val="single"/>
                <w:lang w:bidi="ar"/>
              </w:rPr>
              <w:t>红棉大道工程—田心立交至风神立交段工程监理（标段二）监理服务费最高投标限价为</w:t>
            </w:r>
            <w:r>
              <w:rPr>
                <w:rFonts w:hint="eastAsia" w:ascii="宋体" w:hAnsi="宋体"/>
                <w:b/>
                <w:bCs/>
                <w:color w:val="auto"/>
                <w:sz w:val="24"/>
                <w:szCs w:val="24"/>
                <w:highlight w:val="none"/>
                <w:u w:val="single"/>
                <w:lang w:val="en-US" w:eastAsia="zh-CN"/>
              </w:rPr>
              <w:t>795.95</w:t>
            </w:r>
            <w:r>
              <w:rPr>
                <w:rFonts w:hint="eastAsia" w:ascii="宋体" w:hAnsi="宋体" w:eastAsia="宋体" w:cs="宋体"/>
                <w:b/>
                <w:color w:val="auto"/>
                <w:sz w:val="24"/>
                <w:szCs w:val="24"/>
                <w:highlight w:val="none"/>
                <w:u w:val="single"/>
              </w:rPr>
              <w:t>万元</w:t>
            </w:r>
            <w:r>
              <w:rPr>
                <w:rFonts w:hint="eastAsia" w:ascii="宋体" w:hAnsi="宋体" w:eastAsia="宋体" w:cs="宋体"/>
                <w:b w:val="0"/>
                <w:bCs/>
                <w:color w:val="auto"/>
                <w:szCs w:val="21"/>
                <w:highlight w:val="none"/>
                <w:u w:val="single"/>
                <w:lang w:bidi="ar"/>
              </w:rPr>
              <w:t>。</w:t>
            </w:r>
          </w:p>
          <w:p w14:paraId="31BB942A">
            <w:pPr>
              <w:wordWrap w:val="0"/>
              <w:spacing w:line="276" w:lineRule="auto"/>
              <w:rPr>
                <w:rFonts w:hint="eastAsia" w:ascii="宋体" w:hAnsi="宋体" w:eastAsia="宋体" w:cs="Times New Roman"/>
                <w:color w:val="auto"/>
                <w:szCs w:val="21"/>
                <w:highlight w:val="none"/>
                <w:u w:val="single"/>
                <w:lang w:bidi="ar"/>
              </w:rPr>
            </w:pPr>
            <w:r>
              <w:rPr>
                <w:rFonts w:hint="eastAsia" w:ascii="宋体" w:hAnsi="宋体" w:eastAsia="宋体" w:cs="Times New Roman"/>
                <w:b/>
                <w:bCs/>
                <w:snapToGrid w:val="0"/>
                <w:color w:val="auto"/>
                <w:spacing w:val="4"/>
                <w:kern w:val="0"/>
                <w:szCs w:val="21"/>
                <w:highlight w:val="none"/>
                <w:u w:val="single"/>
              </w:rPr>
              <w:t>注：投标报价不得超过最高投标限价。</w:t>
            </w:r>
          </w:p>
        </w:tc>
      </w:tr>
      <w:tr w14:paraId="11D24C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A4555D4">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3.2.5</w:t>
            </w:r>
          </w:p>
        </w:tc>
        <w:tc>
          <w:tcPr>
            <w:tcW w:w="2976" w:type="dxa"/>
            <w:vAlign w:val="center"/>
          </w:tcPr>
          <w:p w14:paraId="10FA719F">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投标报价的其他要求</w:t>
            </w:r>
          </w:p>
        </w:tc>
        <w:tc>
          <w:tcPr>
            <w:tcW w:w="5386" w:type="dxa"/>
            <w:vAlign w:val="center"/>
          </w:tcPr>
          <w:p w14:paraId="72E59ECD">
            <w:pPr>
              <w:wordWrap w:val="0"/>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投标报价超过最高投标限价的投标文件将被否决其投标。</w:t>
            </w:r>
          </w:p>
          <w:p w14:paraId="6E0A0798">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投标人的报价，应是其按第五章“委托人要求”完成监理工作的所有费用，包括人工费、试验、检测仪器、设备使用费、管理费和利润，以及检验检测费、保险费、合同明示或暗示的风险、责任和义务涉及费用等。</w:t>
            </w:r>
          </w:p>
        </w:tc>
      </w:tr>
      <w:tr w14:paraId="60BC0F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BCAD554">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3.3.1</w:t>
            </w:r>
          </w:p>
        </w:tc>
        <w:tc>
          <w:tcPr>
            <w:tcW w:w="2976" w:type="dxa"/>
            <w:vAlign w:val="center"/>
          </w:tcPr>
          <w:p w14:paraId="3F66C84A">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投标有效期</w:t>
            </w:r>
          </w:p>
        </w:tc>
        <w:tc>
          <w:tcPr>
            <w:tcW w:w="5386" w:type="dxa"/>
            <w:vAlign w:val="center"/>
          </w:tcPr>
          <w:p w14:paraId="651E9160">
            <w:pPr>
              <w:wordWrap w:val="0"/>
              <w:snapToGrid w:val="0"/>
              <w:spacing w:line="276" w:lineRule="auto"/>
              <w:rPr>
                <w:rFonts w:hint="eastAsia" w:ascii="宋体" w:hAnsi="宋体" w:eastAsia="宋体" w:cs="Times New Roman"/>
                <w:color w:val="auto"/>
                <w:szCs w:val="21"/>
                <w:highlight w:val="none"/>
              </w:rPr>
            </w:pPr>
            <w:bookmarkStart w:id="69" w:name="_Toc384308207"/>
            <w:bookmarkStart w:id="70" w:name="_Toc352691470"/>
            <w:bookmarkStart w:id="71" w:name="_Toc369531512"/>
            <w:bookmarkStart w:id="72" w:name="_Toc1789"/>
            <w:bookmarkStart w:id="73" w:name="_Toc361508582"/>
            <w:bookmarkStart w:id="74" w:name="_Toc300834946"/>
            <w:r>
              <w:rPr>
                <w:rFonts w:ascii="宋体" w:hAnsi="宋体" w:eastAsia="宋体" w:cs="Times New Roman"/>
                <w:b/>
                <w:color w:val="auto"/>
                <w:szCs w:val="21"/>
                <w:highlight w:val="none"/>
                <w:u w:val="single"/>
              </w:rPr>
              <w:t>90</w:t>
            </w:r>
            <w:r>
              <w:rPr>
                <w:rFonts w:hint="eastAsia" w:ascii="宋体" w:hAnsi="宋体" w:eastAsia="宋体" w:cs="Times New Roman"/>
                <w:color w:val="auto"/>
                <w:szCs w:val="21"/>
                <w:highlight w:val="none"/>
              </w:rPr>
              <w:t>日历天（从投标截止之日计起）</w:t>
            </w:r>
          </w:p>
          <w:bookmarkEnd w:id="69"/>
          <w:bookmarkEnd w:id="70"/>
          <w:bookmarkEnd w:id="71"/>
          <w:bookmarkEnd w:id="72"/>
          <w:bookmarkEnd w:id="73"/>
          <w:bookmarkEnd w:id="74"/>
        </w:tc>
      </w:tr>
      <w:tr w14:paraId="5A3B80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9AD81D8">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3.4.1</w:t>
            </w:r>
          </w:p>
        </w:tc>
        <w:tc>
          <w:tcPr>
            <w:tcW w:w="2976" w:type="dxa"/>
            <w:vAlign w:val="center"/>
          </w:tcPr>
          <w:p w14:paraId="005B0B59">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tc>
        <w:tc>
          <w:tcPr>
            <w:tcW w:w="5386" w:type="dxa"/>
            <w:vAlign w:val="center"/>
          </w:tcPr>
          <w:p w14:paraId="3FCEFA92">
            <w:pPr>
              <w:wordWrap w:val="0"/>
              <w:topLinePunct/>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是否要求投标人递交投标保证金：</w:t>
            </w:r>
          </w:p>
          <w:p w14:paraId="2C01148F">
            <w:pPr>
              <w:wordWrap w:val="0"/>
              <w:topLinePunct/>
              <w:spacing w:line="276" w:lineRule="auto"/>
              <w:rPr>
                <w:rFonts w:hint="eastAsia" w:ascii="宋体" w:hAnsi="宋体" w:eastAsia="宋体" w:cs="Times New Roman"/>
                <w:color w:val="auto"/>
                <w:szCs w:val="21"/>
                <w:highlight w:val="none"/>
              </w:rPr>
            </w:pPr>
            <w:r>
              <w:rPr>
                <w:rFonts w:hint="eastAsia" w:ascii="宋体" w:hAnsi="宋体"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要求，投标保证金的金额：</w:t>
            </w:r>
          </w:p>
          <w:p w14:paraId="18299AAC">
            <w:pPr>
              <w:wordWrap w:val="0"/>
              <w:topLinePunct/>
              <w:spacing w:line="276" w:lineRule="auto"/>
              <w:ind w:firstLine="840" w:firstLineChars="400"/>
              <w:rPr>
                <w:rFonts w:hint="eastAsia" w:ascii="宋体" w:hAnsi="宋体" w:eastAsia="宋体" w:cs="Segoe UI Symbol"/>
                <w:color w:val="auto"/>
                <w:szCs w:val="21"/>
                <w:highlight w:val="none"/>
              </w:rPr>
            </w:pPr>
            <w:r>
              <w:rPr>
                <w:rFonts w:hint="eastAsia" w:ascii="宋体" w:hAnsi="宋体" w:eastAsia="宋体" w:cs="Times New Roman"/>
                <w:color w:val="auto"/>
                <w:szCs w:val="21"/>
                <w:highlight w:val="none"/>
              </w:rPr>
              <w:t>投标保证金的形式：</w:t>
            </w:r>
          </w:p>
          <w:p w14:paraId="0E11C191">
            <w:pPr>
              <w:wordWrap w:val="0"/>
              <w:topLinePunct/>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s="宋体"/>
                <w:color w:val="auto"/>
                <w:szCs w:val="21"/>
                <w:highlight w:val="none"/>
              </w:rPr>
              <w:t>不要求</w:t>
            </w:r>
          </w:p>
        </w:tc>
      </w:tr>
      <w:tr w14:paraId="13B7CC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7B57299">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3.4.4</w:t>
            </w:r>
          </w:p>
        </w:tc>
        <w:tc>
          <w:tcPr>
            <w:tcW w:w="2976" w:type="dxa"/>
            <w:vAlign w:val="center"/>
          </w:tcPr>
          <w:p w14:paraId="46FA17A5">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其他可以不予退还投标保证金的情形</w:t>
            </w:r>
          </w:p>
        </w:tc>
        <w:tc>
          <w:tcPr>
            <w:tcW w:w="5386" w:type="dxa"/>
            <w:vAlign w:val="center"/>
          </w:tcPr>
          <w:p w14:paraId="0369FA66">
            <w:pPr>
              <w:wordWrap w:val="0"/>
              <w:snapToGrid w:val="0"/>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u w:val="single"/>
                <w:lang w:eastAsia="zh-CN"/>
              </w:rPr>
              <w:t xml:space="preserve"> / </w:t>
            </w:r>
          </w:p>
        </w:tc>
      </w:tr>
      <w:tr w14:paraId="70E9D2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D24CCF6">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3.5</w:t>
            </w:r>
          </w:p>
        </w:tc>
        <w:tc>
          <w:tcPr>
            <w:tcW w:w="2976" w:type="dxa"/>
            <w:vAlign w:val="center"/>
          </w:tcPr>
          <w:p w14:paraId="57D7B4EF">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资格审查资料的特殊要求</w:t>
            </w:r>
          </w:p>
        </w:tc>
        <w:tc>
          <w:tcPr>
            <w:tcW w:w="5386" w:type="dxa"/>
            <w:vAlign w:val="center"/>
          </w:tcPr>
          <w:p w14:paraId="09451E2D">
            <w:pPr>
              <w:wordWrap w:val="0"/>
              <w:topLinePunct/>
              <w:snapToGrid w:val="0"/>
              <w:spacing w:line="276" w:lineRule="auto"/>
              <w:rPr>
                <w:rFonts w:hint="eastAsia" w:ascii="宋体" w:hAnsi="宋体" w:eastAsia="宋体" w:cs="Times New Roman"/>
                <w:color w:val="auto"/>
                <w:spacing w:val="-1"/>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pacing w:val="-1"/>
                <w:szCs w:val="21"/>
                <w:highlight w:val="none"/>
              </w:rPr>
              <w:t>无</w:t>
            </w:r>
          </w:p>
          <w:p w14:paraId="30CE2EE5">
            <w:pPr>
              <w:wordWrap w:val="0"/>
              <w:topLinePunct/>
              <w:snapToGrid w:val="0"/>
              <w:spacing w:line="276" w:lineRule="auto"/>
              <w:rPr>
                <w:rFonts w:hint="eastAsia"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□有，具体要求：</w:t>
            </w:r>
          </w:p>
        </w:tc>
      </w:tr>
      <w:tr w14:paraId="794722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260144C">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3.5.</w:t>
            </w:r>
            <w:r>
              <w:rPr>
                <w:rFonts w:hint="eastAsia" w:ascii="宋体" w:hAnsi="宋体" w:eastAsia="宋体" w:cs="Times New Roman"/>
                <w:color w:val="auto"/>
                <w:szCs w:val="21"/>
                <w:highlight w:val="none"/>
              </w:rPr>
              <w:t>2</w:t>
            </w:r>
          </w:p>
        </w:tc>
        <w:tc>
          <w:tcPr>
            <w:tcW w:w="2976" w:type="dxa"/>
            <w:vAlign w:val="center"/>
          </w:tcPr>
          <w:p w14:paraId="2AF77C34">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近年完成的类似项目情况的时间要求</w:t>
            </w:r>
          </w:p>
        </w:tc>
        <w:tc>
          <w:tcPr>
            <w:tcW w:w="5386" w:type="dxa"/>
            <w:vAlign w:val="center"/>
          </w:tcPr>
          <w:p w14:paraId="7364B380">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日至今</w:t>
            </w:r>
          </w:p>
        </w:tc>
      </w:tr>
      <w:tr w14:paraId="6E91B8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95427CB">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3.6.1</w:t>
            </w:r>
          </w:p>
        </w:tc>
        <w:tc>
          <w:tcPr>
            <w:tcW w:w="2976" w:type="dxa"/>
            <w:vAlign w:val="center"/>
          </w:tcPr>
          <w:p w14:paraId="5C877A2D">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是否允许递交备选投标方案</w:t>
            </w:r>
          </w:p>
        </w:tc>
        <w:tc>
          <w:tcPr>
            <w:tcW w:w="5386" w:type="dxa"/>
            <w:vAlign w:val="center"/>
          </w:tcPr>
          <w:p w14:paraId="5466EB9C">
            <w:pPr>
              <w:wordWrap w:val="0"/>
              <w:topLinePunct/>
              <w:snapToGrid w:val="0"/>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不允许</w:t>
            </w:r>
          </w:p>
          <w:p w14:paraId="0B69A2A8">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□允许</w:t>
            </w:r>
          </w:p>
        </w:tc>
      </w:tr>
      <w:tr w14:paraId="6B894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61C5915">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3.7.3</w:t>
            </w:r>
          </w:p>
        </w:tc>
        <w:tc>
          <w:tcPr>
            <w:tcW w:w="2976" w:type="dxa"/>
            <w:vAlign w:val="center"/>
          </w:tcPr>
          <w:p w14:paraId="68927223">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投标文件签字或盖章要求</w:t>
            </w:r>
          </w:p>
        </w:tc>
        <w:tc>
          <w:tcPr>
            <w:tcW w:w="5386" w:type="dxa"/>
            <w:vAlign w:val="center"/>
          </w:tcPr>
          <w:p w14:paraId="55319E0D">
            <w:pPr>
              <w:wordWrap w:val="0"/>
              <w:topLinePunct/>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投标文件格式规定需个人签字的，应签字或签章后扫描上传（可靠的电子签名与手写签名或者盖章具有同等的法律效力）。投标文件格式规定盖单位公章的页面必须盖单位公章或电子公章（公章与电子公章具有相同法律效力）。</w:t>
            </w:r>
          </w:p>
        </w:tc>
      </w:tr>
      <w:tr w14:paraId="4511B6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69FE2F9">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4.2.1</w:t>
            </w:r>
          </w:p>
        </w:tc>
        <w:tc>
          <w:tcPr>
            <w:tcW w:w="2976" w:type="dxa"/>
            <w:vAlign w:val="center"/>
          </w:tcPr>
          <w:p w14:paraId="7ED357DA">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投标截止时间</w:t>
            </w:r>
          </w:p>
        </w:tc>
        <w:tc>
          <w:tcPr>
            <w:tcW w:w="5386" w:type="dxa"/>
            <w:vAlign w:val="center"/>
          </w:tcPr>
          <w:p w14:paraId="0CDE3E89">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投标截止时间：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分（北京时间）。</w:t>
            </w:r>
          </w:p>
        </w:tc>
      </w:tr>
      <w:tr w14:paraId="3768B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5769702">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5.1</w:t>
            </w:r>
          </w:p>
        </w:tc>
        <w:tc>
          <w:tcPr>
            <w:tcW w:w="2976" w:type="dxa"/>
            <w:vAlign w:val="center"/>
          </w:tcPr>
          <w:p w14:paraId="018BF44F">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开标时间和地点</w:t>
            </w:r>
          </w:p>
        </w:tc>
        <w:tc>
          <w:tcPr>
            <w:tcW w:w="5386" w:type="dxa"/>
            <w:vAlign w:val="center"/>
          </w:tcPr>
          <w:p w14:paraId="5EF8B440">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1.开标时间：同投标截止时间</w:t>
            </w:r>
          </w:p>
          <w:p w14:paraId="0627EA9A">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2.开标地点：广州交易集团有限公司（广州公共资源交易中心）</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开标室</w:t>
            </w:r>
          </w:p>
          <w:p w14:paraId="445FB6EA">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3.（选择性条款）递交投标文件备用光盘时间：____年____月____日____时____分至____年____月____日____时____分；递交地点：____。</w:t>
            </w:r>
          </w:p>
          <w:p w14:paraId="26F905DA">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4.（选择性条款）提交投标文件光盘备用</w:t>
            </w:r>
          </w:p>
          <w:p w14:paraId="3A6243AD">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w:t>
            </w:r>
            <w:r>
              <w:rPr>
                <w:rFonts w:hint="eastAsia" w:ascii="宋体" w:hAnsi="宋体" w:eastAsia="宋体" w:cs="Times New Roman"/>
                <w:color w:val="auto"/>
                <w:szCs w:val="21"/>
                <w:highlight w:val="none"/>
                <w:lang w:val="en-US" w:eastAsia="zh-CN"/>
              </w:rPr>
              <w:t>标段项目</w:t>
            </w:r>
            <w:r>
              <w:rPr>
                <w:rFonts w:hint="eastAsia" w:ascii="宋体" w:hAnsi="宋体" w:eastAsia="宋体" w:cs="Times New Roman"/>
                <w:color w:val="auto"/>
                <w:szCs w:val="21"/>
                <w:highlight w:val="none"/>
              </w:rPr>
              <w:t>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6CB28A0">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5.补救方案</w:t>
            </w:r>
          </w:p>
          <w:p w14:paraId="1AE267BB">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（1）投标文件解密失败的补救方案：在规定时间内，因投标人之外原因</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指网络瘫痪、服务器损坏、交易系统故障短期无法恢复</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导致的电子投标文件解密失败，在开标现场读取光盘内容，继续开标程序。评标委员会对其投标文件的评审以光盘内容为准。因投标人之外原因解密失败且未递交电子光盘的，视为撤回投标文件。</w:t>
            </w:r>
          </w:p>
          <w:p w14:paraId="7AB23018">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（2）评标时突发情况的补救方案：若遇不可抗力发生（指网络瘫痪、服务器损坏、交易系统故障短期无法恢复等因素），由评标委员会开启投标人递交的全部投标文件光盘，并按光盘内容进行评审。</w:t>
            </w:r>
          </w:p>
          <w:p w14:paraId="20EC0DA5">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（3）除发生上述情况外，开标评标均以投标人通过交易平台网上递交的电子投标文件为准。</w:t>
            </w:r>
          </w:p>
          <w:p w14:paraId="1AD42F69">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6.开标时，投标人代表有权参加现场开标或在线开标，也可以自主决定不参加开标，投标人选择参加在线开标的，具体按照交易平台相关指南进行操作。</w:t>
            </w:r>
          </w:p>
          <w:p w14:paraId="0DE22316">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7.上述时间及地点是否有改变，请密切留意补充公告或招标答疑纪要的相关信息。</w:t>
            </w:r>
          </w:p>
        </w:tc>
      </w:tr>
      <w:tr w14:paraId="6D59B1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3CA8D7A">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6.1.1</w:t>
            </w:r>
          </w:p>
        </w:tc>
        <w:tc>
          <w:tcPr>
            <w:tcW w:w="2976" w:type="dxa"/>
            <w:vAlign w:val="center"/>
          </w:tcPr>
          <w:p w14:paraId="1CA2601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评标委员会的组建</w:t>
            </w:r>
          </w:p>
        </w:tc>
        <w:tc>
          <w:tcPr>
            <w:tcW w:w="5386" w:type="dxa"/>
            <w:vAlign w:val="center"/>
          </w:tcPr>
          <w:p w14:paraId="04ACA31B">
            <w:pPr>
              <w:wordWrap w:val="0"/>
              <w:spacing w:line="276" w:lineRule="auto"/>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lang w:bidi="ar"/>
              </w:rPr>
              <w:t>评标委员会构成：</w:t>
            </w:r>
            <w:r>
              <w:rPr>
                <w:rFonts w:hint="eastAsia" w:ascii="宋体" w:hAnsi="宋体" w:eastAsia="宋体" w:cs="宋体"/>
                <w:color w:val="auto"/>
                <w:szCs w:val="21"/>
                <w:highlight w:val="none"/>
                <w:u w:val="single"/>
                <w:lang w:val="en-US" w:eastAsia="zh-CN" w:bidi="ar"/>
              </w:rPr>
              <w:t>7</w:t>
            </w:r>
            <w:r>
              <w:rPr>
                <w:rFonts w:hint="eastAsia" w:ascii="宋体" w:hAnsi="宋体" w:eastAsia="宋体" w:cs="宋体"/>
                <w:color w:val="auto"/>
                <w:szCs w:val="21"/>
                <w:highlight w:val="none"/>
                <w:u w:val="none"/>
                <w:lang w:bidi="ar"/>
              </w:rPr>
              <w:t>人</w:t>
            </w:r>
          </w:p>
          <w:p w14:paraId="379F670E">
            <w:pPr>
              <w:wordWrap w:val="0"/>
              <w:spacing w:line="276" w:lineRule="auto"/>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lang w:bidi="ar"/>
              </w:rPr>
              <w:t>其中招标人代表</w:t>
            </w:r>
            <w:r>
              <w:rPr>
                <w:rFonts w:hint="eastAsia" w:ascii="宋体" w:hAnsi="宋体" w:eastAsia="宋体" w:cs="宋体"/>
                <w:color w:val="auto"/>
                <w:szCs w:val="21"/>
                <w:highlight w:val="none"/>
                <w:u w:val="single"/>
                <w:lang w:val="en-US" w:eastAsia="zh-CN" w:bidi="ar"/>
              </w:rPr>
              <w:t>2</w:t>
            </w:r>
            <w:r>
              <w:rPr>
                <w:rFonts w:hint="eastAsia" w:ascii="宋体" w:hAnsi="宋体" w:eastAsia="宋体" w:cs="宋体"/>
                <w:color w:val="auto"/>
                <w:szCs w:val="21"/>
                <w:highlight w:val="none"/>
                <w:u w:val="none"/>
                <w:lang w:bidi="ar"/>
              </w:rPr>
              <w:t>人，专家</w:t>
            </w:r>
            <w:r>
              <w:rPr>
                <w:rFonts w:hint="eastAsia" w:ascii="宋体" w:hAnsi="宋体" w:eastAsia="宋体" w:cs="宋体"/>
                <w:color w:val="auto"/>
                <w:szCs w:val="21"/>
                <w:highlight w:val="none"/>
                <w:u w:val="single"/>
                <w:lang w:val="en-US" w:eastAsia="zh-CN" w:bidi="ar"/>
              </w:rPr>
              <w:t>5</w:t>
            </w:r>
            <w:r>
              <w:rPr>
                <w:rFonts w:hint="eastAsia" w:ascii="宋体" w:hAnsi="宋体" w:eastAsia="宋体" w:cs="宋体"/>
                <w:color w:val="auto"/>
                <w:szCs w:val="21"/>
                <w:highlight w:val="none"/>
                <w:u w:val="none"/>
                <w:lang w:bidi="ar"/>
              </w:rPr>
              <w:t>人；</w:t>
            </w:r>
          </w:p>
          <w:p w14:paraId="4FF1A516">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u w:val="none"/>
                <w:lang w:bidi="ar"/>
              </w:rPr>
              <w:t>评标专家确定方式：专家</w:t>
            </w:r>
            <w:r>
              <w:rPr>
                <w:rFonts w:hint="eastAsia" w:ascii="宋体" w:hAnsi="宋体" w:eastAsia="宋体" w:cs="宋体"/>
                <w:color w:val="auto"/>
                <w:szCs w:val="21"/>
                <w:highlight w:val="none"/>
                <w:u w:val="none"/>
                <w:lang w:val="en-US" w:eastAsia="zh-CN" w:bidi="ar"/>
              </w:rPr>
              <w:t>在广东省综合评标评审专家库中随机抽取。</w:t>
            </w:r>
          </w:p>
        </w:tc>
      </w:tr>
      <w:tr w14:paraId="60121E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C1A105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w:t>
            </w:r>
          </w:p>
        </w:tc>
        <w:tc>
          <w:tcPr>
            <w:tcW w:w="2976" w:type="dxa"/>
            <w:vAlign w:val="center"/>
          </w:tcPr>
          <w:p w14:paraId="7EF24986">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定标委员会的组建</w:t>
            </w:r>
          </w:p>
        </w:tc>
        <w:tc>
          <w:tcPr>
            <w:tcW w:w="5386" w:type="dxa"/>
            <w:vAlign w:val="center"/>
          </w:tcPr>
          <w:p w14:paraId="2FFB8B0C">
            <w:pPr>
              <w:wordWrap w:val="0"/>
              <w:snapToGrid w:val="0"/>
              <w:spacing w:line="276" w:lineRule="auto"/>
              <w:jc w:val="left"/>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u w:val="single"/>
                <w:lang w:eastAsia="zh-CN"/>
              </w:rPr>
              <w:t xml:space="preserve"> / </w:t>
            </w:r>
          </w:p>
        </w:tc>
      </w:tr>
      <w:tr w14:paraId="01F29D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508B8C9">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6.3.2</w:t>
            </w:r>
          </w:p>
        </w:tc>
        <w:tc>
          <w:tcPr>
            <w:tcW w:w="2976" w:type="dxa"/>
            <w:vAlign w:val="center"/>
          </w:tcPr>
          <w:p w14:paraId="5AA5C0AC">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评标委员会推荐中标候选人的人数</w:t>
            </w:r>
          </w:p>
        </w:tc>
        <w:tc>
          <w:tcPr>
            <w:tcW w:w="5386" w:type="dxa"/>
            <w:vAlign w:val="center"/>
          </w:tcPr>
          <w:p w14:paraId="23DD7588">
            <w:pPr>
              <w:tabs>
                <w:tab w:val="left" w:pos="7513"/>
              </w:tabs>
              <w:wordWrap w:val="0"/>
              <w:spacing w:line="276" w:lineRule="auto"/>
              <w:rPr>
                <w:rFonts w:hint="eastAsia" w:ascii="宋体" w:hAnsi="宋体" w:eastAsia="宋体" w:cs="Times New Roman"/>
                <w:color w:val="auto"/>
                <w:szCs w:val="21"/>
                <w:highlight w:val="none"/>
              </w:rPr>
            </w:pPr>
            <w:r>
              <w:rPr>
                <w:rFonts w:ascii="宋体" w:hAnsi="宋体" w:eastAsia="宋体" w:cs="宋体"/>
                <w:color w:val="auto"/>
                <w:kern w:val="0"/>
                <w:szCs w:val="21"/>
                <w:highlight w:val="none"/>
                <w:u w:val="single"/>
              </w:rPr>
              <w:t>3</w:t>
            </w:r>
            <w:r>
              <w:rPr>
                <w:rFonts w:hint="eastAsia" w:ascii="宋体" w:hAnsi="宋体" w:eastAsia="宋体" w:cs="宋体"/>
                <w:color w:val="auto"/>
                <w:kern w:val="0"/>
                <w:szCs w:val="21"/>
                <w:highlight w:val="none"/>
                <w:u w:val="single"/>
              </w:rPr>
              <w:t>名</w:t>
            </w:r>
          </w:p>
        </w:tc>
      </w:tr>
      <w:tr w14:paraId="083548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3868419">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7.1</w:t>
            </w:r>
          </w:p>
        </w:tc>
        <w:tc>
          <w:tcPr>
            <w:tcW w:w="2976" w:type="dxa"/>
            <w:vAlign w:val="center"/>
          </w:tcPr>
          <w:p w14:paraId="6A869E9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中标候选人公示媒介及期限</w:t>
            </w:r>
          </w:p>
        </w:tc>
        <w:tc>
          <w:tcPr>
            <w:tcW w:w="5386" w:type="dxa"/>
            <w:vAlign w:val="center"/>
          </w:tcPr>
          <w:p w14:paraId="497F83E3">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rPr>
              <w:t>中国招标投标公共服务平台、广东省招标投标监管网、广州交易集团有限公司（广州公共资源交易中心）网站</w:t>
            </w:r>
          </w:p>
          <w:p w14:paraId="3BF384AA">
            <w:pPr>
              <w:wordWrap w:val="0"/>
              <w:snapToGrid w:val="0"/>
              <w:spacing w:line="276" w:lineRule="auto"/>
              <w:ind w:right="106"/>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公示期限：</w:t>
            </w:r>
            <w:r>
              <w:rPr>
                <w:rFonts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日，公示结束日为工作日。</w:t>
            </w:r>
          </w:p>
        </w:tc>
      </w:tr>
      <w:tr w14:paraId="63EDAB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F2B08B3">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7.4</w:t>
            </w:r>
          </w:p>
        </w:tc>
        <w:tc>
          <w:tcPr>
            <w:tcW w:w="2976" w:type="dxa"/>
            <w:vAlign w:val="center"/>
          </w:tcPr>
          <w:p w14:paraId="30F9AFB1">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是否授权评标委员会确定中标人</w:t>
            </w:r>
          </w:p>
        </w:tc>
        <w:tc>
          <w:tcPr>
            <w:tcW w:w="5386" w:type="dxa"/>
            <w:vAlign w:val="center"/>
          </w:tcPr>
          <w:p w14:paraId="75D5EC18">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w:t>
            </w:r>
          </w:p>
          <w:p w14:paraId="5044368D">
            <w:pPr>
              <w:wordWrap w:val="0"/>
              <w:snapToGrid w:val="0"/>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否</w:t>
            </w:r>
          </w:p>
        </w:tc>
      </w:tr>
      <w:tr w14:paraId="0F0B17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FE74C06">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7.6.1</w:t>
            </w:r>
          </w:p>
        </w:tc>
        <w:tc>
          <w:tcPr>
            <w:tcW w:w="2976" w:type="dxa"/>
            <w:vAlign w:val="center"/>
          </w:tcPr>
          <w:p w14:paraId="575C5CF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履约保证金</w:t>
            </w:r>
          </w:p>
        </w:tc>
        <w:tc>
          <w:tcPr>
            <w:tcW w:w="5386" w:type="dxa"/>
            <w:vAlign w:val="center"/>
          </w:tcPr>
          <w:p w14:paraId="0D685BCF">
            <w:pPr>
              <w:wordWrap w:val="0"/>
              <w:topLinePunct/>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是否要求中标人提交履约保证金：</w:t>
            </w:r>
          </w:p>
          <w:p w14:paraId="7796DE60">
            <w:pPr>
              <w:wordWrap w:val="0"/>
              <w:topLinePunct/>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□要求，履约保证金的形式：</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w:t>
            </w:r>
            <w:r>
              <w:rPr>
                <w:rFonts w:ascii="宋体" w:hAnsi="宋体" w:eastAsia="宋体" w:cs="Times New Roman"/>
                <w:color w:val="auto"/>
                <w:szCs w:val="21"/>
                <w:highlight w:val="none"/>
                <w:u w:val="single"/>
              </w:rPr>
              <w:t xml:space="preserve"> </w:t>
            </w:r>
          </w:p>
          <w:p w14:paraId="71DE0255">
            <w:pPr>
              <w:wordWrap w:val="0"/>
              <w:spacing w:line="276" w:lineRule="auto"/>
              <w:ind w:left="2730" w:leftChars="400" w:hanging="1890" w:hangingChars="9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履约保证金的金额：</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w:t>
            </w:r>
            <w:r>
              <w:rPr>
                <w:rFonts w:ascii="宋体" w:hAnsi="宋体" w:eastAsia="宋体" w:cs="Times New Roman"/>
                <w:color w:val="auto"/>
                <w:szCs w:val="21"/>
                <w:highlight w:val="none"/>
                <w:u w:val="single"/>
              </w:rPr>
              <w:t xml:space="preserve"> </w:t>
            </w:r>
          </w:p>
          <w:p w14:paraId="6D0C61A6">
            <w:pPr>
              <w:wordWrap w:val="0"/>
              <w:topLinePunct/>
              <w:snapToGrid w:val="0"/>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不要求</w:t>
            </w:r>
          </w:p>
        </w:tc>
      </w:tr>
      <w:tr w14:paraId="09C8E2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78C2094">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9</w:t>
            </w:r>
          </w:p>
        </w:tc>
        <w:tc>
          <w:tcPr>
            <w:tcW w:w="2976" w:type="dxa"/>
            <w:vAlign w:val="center"/>
          </w:tcPr>
          <w:p w14:paraId="15CAA6C9">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是否采用电子招标投标</w:t>
            </w:r>
          </w:p>
        </w:tc>
        <w:tc>
          <w:tcPr>
            <w:tcW w:w="5386" w:type="dxa"/>
            <w:vAlign w:val="center"/>
          </w:tcPr>
          <w:p w14:paraId="1A6D1868">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□否</w:t>
            </w:r>
          </w:p>
          <w:p w14:paraId="3904D76A">
            <w:pPr>
              <w:wordWrap w:val="0"/>
              <w:spacing w:line="276" w:lineRule="auto"/>
              <w:ind w:left="2099" w:leftChars="3" w:hanging="2093" w:hangingChars="997"/>
              <w:rPr>
                <w:rFonts w:hint="eastAsia" w:ascii="宋体" w:hAnsi="宋体" w:eastAsia="宋体" w:cs="Times New Roman"/>
                <w:color w:val="auto"/>
                <w:szCs w:val="21"/>
                <w:highlight w:val="none"/>
                <w:u w:val="singl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是，采用全流程电子招标投标。</w:t>
            </w:r>
          </w:p>
        </w:tc>
      </w:tr>
      <w:tr w14:paraId="01D05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AA3AFDC">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1</w:t>
            </w:r>
          </w:p>
        </w:tc>
        <w:tc>
          <w:tcPr>
            <w:tcW w:w="8362" w:type="dxa"/>
            <w:gridSpan w:val="2"/>
            <w:vAlign w:val="center"/>
          </w:tcPr>
          <w:p w14:paraId="749E8E91">
            <w:pPr>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需要补充的其他内容</w:t>
            </w:r>
          </w:p>
        </w:tc>
      </w:tr>
      <w:tr w14:paraId="0ECA6B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E1F9FCE">
            <w:pPr>
              <w:wordWrap w:val="0"/>
              <w:snapToGrid w:val="0"/>
              <w:spacing w:line="276"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11.1</w:t>
            </w:r>
          </w:p>
        </w:tc>
        <w:tc>
          <w:tcPr>
            <w:tcW w:w="2976" w:type="dxa"/>
            <w:vAlign w:val="center"/>
          </w:tcPr>
          <w:p w14:paraId="03E2C8E8">
            <w:pPr>
              <w:snapToGrid w:val="0"/>
              <w:spacing w:line="276"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特别提示</w:t>
            </w:r>
          </w:p>
        </w:tc>
        <w:tc>
          <w:tcPr>
            <w:tcW w:w="5386" w:type="dxa"/>
            <w:vAlign w:val="center"/>
          </w:tcPr>
          <w:p w14:paraId="31F121B5">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投标人在本项目招标人的工程项目中存在下列行为的，将被拒绝一年内参与招标人后续工程投标。（注：拒绝投标时限自招标人发出通知之日起计）</w:t>
            </w:r>
          </w:p>
          <w:p w14:paraId="55B3FEE0">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1.将中标工程转包或者违法分包的；</w:t>
            </w:r>
          </w:p>
          <w:p w14:paraId="7001EE08">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2.在中标工程中不执行质量、安全生产相关规定的，造成质量或安全事故的；</w:t>
            </w:r>
          </w:p>
          <w:p w14:paraId="40BDE608">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3.出让投标资格的；</w:t>
            </w:r>
          </w:p>
          <w:p w14:paraId="0408F117">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4.存在围标、串标情形的；</w:t>
            </w:r>
          </w:p>
          <w:p w14:paraId="7EFEA943">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5.在投标文件中提供虚假材料的；</w:t>
            </w:r>
          </w:p>
          <w:p w14:paraId="38D87C42">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6.存在少放、不放业绩、奖项等客观评审资料，减少自身竞争力情形的；</w:t>
            </w:r>
          </w:p>
          <w:p w14:paraId="0C718F3D">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7.存在行贿情形的；</w:t>
            </w:r>
          </w:p>
          <w:p w14:paraId="3A61727D">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8.拖欠农民工工资的；</w:t>
            </w:r>
          </w:p>
          <w:p w14:paraId="21406670">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9.未按照国家、省、市有关建筑施工实名制管理和工人工资支付分账管理的规定执行，被行政监管部门处罚的；</w:t>
            </w:r>
          </w:p>
          <w:p w14:paraId="4DF96794">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10.中标人在项目实施过程中选取的专业分包单位或劳务企业或劳务班组长与投标时不一致的；</w:t>
            </w:r>
          </w:p>
          <w:p w14:paraId="1926AE4B">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11.不同投标人投标工程量清单 XML 文件记录的编制软件码或编制机器硬件特征码相同：</w:t>
            </w:r>
          </w:p>
          <w:p w14:paraId="70B21836">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12.计价软件权属人与投标人不一致；</w:t>
            </w:r>
          </w:p>
          <w:p w14:paraId="6488F50D">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13.不同投标人打包上传投标文件的硬件特征码相同：</w:t>
            </w:r>
          </w:p>
          <w:p w14:paraId="11C3E222">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14.不同投标人软件安装码相同；</w:t>
            </w:r>
          </w:p>
          <w:p w14:paraId="6D28CCCA">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15.被授权代理人在其他单位购买社保；</w:t>
            </w:r>
          </w:p>
          <w:p w14:paraId="4D96933C">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16.投标登记人员电话号码相同；</w:t>
            </w:r>
          </w:p>
          <w:p w14:paraId="338F40C9">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17.被授权代理人社保缴存单位为同一非投标人：</w:t>
            </w:r>
          </w:p>
          <w:p w14:paraId="0954000C">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18.投标文件编制软件安装码相同；</w:t>
            </w:r>
          </w:p>
          <w:p w14:paraId="275C5976">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19.缴纳交易服务费经办人在其他单位购买社保。</w:t>
            </w:r>
          </w:p>
        </w:tc>
      </w:tr>
      <w:tr w14:paraId="3B4199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FBAD101">
            <w:pPr>
              <w:wordWrap w:val="0"/>
              <w:snapToGrid w:val="0"/>
              <w:spacing w:line="276"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11.2</w:t>
            </w:r>
          </w:p>
        </w:tc>
        <w:tc>
          <w:tcPr>
            <w:tcW w:w="2976" w:type="dxa"/>
            <w:vAlign w:val="center"/>
          </w:tcPr>
          <w:p w14:paraId="5217F72C">
            <w:pPr>
              <w:snapToGrid w:val="0"/>
              <w:spacing w:line="276"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招标失败的情形</w:t>
            </w:r>
          </w:p>
        </w:tc>
        <w:tc>
          <w:tcPr>
            <w:tcW w:w="5386" w:type="dxa"/>
            <w:vAlign w:val="center"/>
          </w:tcPr>
          <w:p w14:paraId="0C8A06E5">
            <w:pPr>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本项目采用资格后审，其中任意一个标段的登记或满足资格审查合格条件的投标人不足4名、或经评审有效的投标单位不足4名时为该标段招标失败（当N个标段同时招标且不允许兼中时，满足资格审查合格条件的投标人不足N+2名或通过符合性审查的投标人不足N+2名时为招标失败）。招标人分析招标失败原因，修正招标方案，重新组织招标。如其中一个标段重新组织招标，不影响其他标段的正常招标。</w:t>
            </w:r>
          </w:p>
        </w:tc>
      </w:tr>
      <w:tr w14:paraId="71B606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7FE7FDF">
            <w:pPr>
              <w:wordWrap w:val="0"/>
              <w:snapToGrid w:val="0"/>
              <w:spacing w:line="276" w:lineRule="auto"/>
              <w:jc w:val="center"/>
              <w:rPr>
                <w:rFonts w:hint="eastAsia" w:ascii="宋体" w:hAnsi="宋体" w:eastAsia="宋体" w:cs="Times New Roman"/>
                <w:color w:val="auto"/>
                <w:szCs w:val="21"/>
                <w:highlight w:val="none"/>
                <w:lang w:eastAsia="zh-CN"/>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p>
        </w:tc>
        <w:tc>
          <w:tcPr>
            <w:tcW w:w="2976" w:type="dxa"/>
            <w:vAlign w:val="center"/>
          </w:tcPr>
          <w:p w14:paraId="197C544C">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w:t>
            </w:r>
          </w:p>
        </w:tc>
        <w:tc>
          <w:tcPr>
            <w:tcW w:w="5386" w:type="dxa"/>
            <w:vAlign w:val="center"/>
          </w:tcPr>
          <w:p w14:paraId="51BAA99F">
            <w:pPr>
              <w:wordWrap w:val="0"/>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1、中标后，中标单位须提交与网上上传电子投标文件完全一致的纸质投标文件（1正4副，需加盖企业公章及法人章）给招标单位。</w:t>
            </w:r>
          </w:p>
          <w:p w14:paraId="7A9DCDEF">
            <w:pPr>
              <w:wordWrap w:val="0"/>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2、中标人应交纳交易服务费，该费用包含在投标价中。</w:t>
            </w:r>
          </w:p>
          <w:p w14:paraId="12F23A5F">
            <w:pPr>
              <w:wordWrap w:val="0"/>
              <w:snapToGrid w:val="0"/>
              <w:spacing w:line="276" w:lineRule="auto"/>
              <w:rPr>
                <w:rFonts w:hint="eastAsia"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u w:val="single"/>
              </w:rPr>
              <w:t>3、本项目招标代理服务费由中标人支付，招标代理服务费参照国家发改委颁布的《招标代理服务收费管理暂行办法》</w:t>
            </w:r>
            <w:r>
              <w:rPr>
                <w:rFonts w:hint="eastAsia" w:ascii="宋体" w:hAnsi="宋体" w:eastAsia="宋体" w:cs="Times New Roman"/>
                <w:b/>
                <w:color w:val="auto"/>
                <w:szCs w:val="21"/>
                <w:highlight w:val="none"/>
                <w:u w:val="single"/>
                <w:lang w:eastAsia="zh-CN"/>
              </w:rPr>
              <w:t>（</w:t>
            </w:r>
            <w:r>
              <w:rPr>
                <w:rFonts w:ascii="宋体" w:hAnsi="宋体" w:eastAsia="宋体" w:cs="Times New Roman"/>
                <w:b/>
                <w:color w:val="auto"/>
                <w:szCs w:val="21"/>
                <w:highlight w:val="none"/>
                <w:u w:val="single"/>
              </w:rPr>
              <w:t>计价格</w:t>
            </w:r>
            <w:r>
              <w:rPr>
                <w:rFonts w:hint="eastAsia" w:ascii="宋体" w:hAnsi="宋体" w:eastAsia="宋体" w:cs="Times New Roman"/>
                <w:b/>
                <w:color w:val="auto"/>
                <w:szCs w:val="21"/>
                <w:highlight w:val="none"/>
                <w:u w:val="single"/>
                <w:lang w:eastAsia="zh-CN"/>
              </w:rPr>
              <w:t>〔2002〕1980号）</w:t>
            </w:r>
            <w:r>
              <w:rPr>
                <w:rFonts w:ascii="宋体" w:hAnsi="宋体" w:eastAsia="宋体" w:cs="Times New Roman"/>
                <w:b/>
                <w:color w:val="auto"/>
                <w:szCs w:val="21"/>
                <w:highlight w:val="none"/>
                <w:u w:val="single"/>
              </w:rPr>
              <w:t>的收费标准计算。</w:t>
            </w:r>
          </w:p>
        </w:tc>
      </w:tr>
    </w:tbl>
    <w:p w14:paraId="26A23010">
      <w:pPr>
        <w:widowControl/>
        <w:wordWrap w:val="0"/>
        <w:jc w:val="left"/>
        <w:rPr>
          <w:rFonts w:hint="eastAsia" w:ascii="宋体" w:hAnsi="宋体" w:eastAsia="宋体" w:cs="Times New Roman"/>
          <w:b/>
          <w:color w:val="auto"/>
          <w:sz w:val="28"/>
          <w:szCs w:val="20"/>
          <w:highlight w:val="none"/>
        </w:rPr>
      </w:pPr>
      <w:r>
        <w:rPr>
          <w:rFonts w:hint="eastAsia" w:ascii="宋体" w:hAnsi="宋体" w:eastAsia="宋体" w:cs="Times New Roman"/>
          <w:b/>
          <w:color w:val="auto"/>
          <w:sz w:val="28"/>
          <w:szCs w:val="20"/>
          <w:highlight w:val="none"/>
        </w:rPr>
        <w:br w:type="page"/>
      </w:r>
    </w:p>
    <w:p w14:paraId="5EABCF54">
      <w:pPr>
        <w:wordWrap w:val="0"/>
        <w:jc w:val="center"/>
        <w:outlineLvl w:val="1"/>
        <w:rPr>
          <w:rFonts w:hint="eastAsia" w:ascii="宋体" w:hAnsi="宋体" w:eastAsia="宋体" w:cs="Times New Roman"/>
          <w:b/>
          <w:color w:val="auto"/>
          <w:sz w:val="32"/>
          <w:szCs w:val="20"/>
          <w:highlight w:val="none"/>
        </w:rPr>
      </w:pPr>
      <w:r>
        <w:rPr>
          <w:rFonts w:ascii="宋体" w:hAnsi="宋体" w:eastAsia="宋体" w:cs="Times New Roman"/>
          <w:b/>
          <w:color w:val="auto"/>
          <w:sz w:val="32"/>
          <w:szCs w:val="20"/>
          <w:highlight w:val="none"/>
        </w:rPr>
        <w:t>投标须知修改表</w:t>
      </w:r>
    </w:p>
    <w:p w14:paraId="003DA934">
      <w:pPr>
        <w:pStyle w:val="22"/>
        <w:pageBreakBefore w:val="0"/>
        <w:widowControl w:val="0"/>
        <w:pBdr>
          <w:bottom w:val="single" w:color="auto" w:sz="6" w:space="1"/>
        </w:pBdr>
        <w:kinsoku/>
        <w:wordWrap w:val="0"/>
        <w:overflowPunct/>
        <w:topLinePunct w:val="0"/>
        <w:autoSpaceDE/>
        <w:autoSpaceDN/>
        <w:bidi w:val="0"/>
        <w:adjustRightInd/>
        <w:snapToGrid/>
        <w:spacing w:after="0" w:line="360" w:lineRule="auto"/>
        <w:ind w:firstLine="482" w:firstLineChars="200"/>
        <w:textAlignment w:val="auto"/>
        <w:rPr>
          <w:rFonts w:hint="eastAsia" w:ascii="宋体" w:hAnsi="宋体"/>
          <w:bCs/>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GZJTZB2025-2</w:t>
      </w:r>
      <w:r>
        <w:rPr>
          <w:rFonts w:ascii="宋体" w:hAnsi="宋体"/>
          <w:b/>
          <w:color w:val="auto"/>
          <w:sz w:val="24"/>
          <w:szCs w:val="24"/>
          <w:highlight w:val="none"/>
        </w:rPr>
        <w:t>招标文件范本的投标须知通用条款，与该通用条款不同之处，均在本表中列明，并以现文为准，原文不再有效。</w:t>
      </w:r>
      <w:r>
        <w:rPr>
          <w:rFonts w:hint="eastAsia" w:ascii="宋体" w:hAnsi="宋体"/>
          <w:bCs/>
          <w:color w:val="auto"/>
          <w:sz w:val="24"/>
          <w:szCs w:val="24"/>
          <w:highlight w:val="none"/>
        </w:rPr>
        <w:t>（注：招标人按《投标须知修改表》修改的内容对应修改通用条款，属于删除的采用“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”；属于新增、修改的内容，用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14:paraId="38DA565E">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default" w:ascii="宋体" w:hAnsi="宋体" w:eastAsia="宋体"/>
          <w:b/>
          <w:bCs/>
          <w:color w:val="auto"/>
          <w:sz w:val="24"/>
          <w:szCs w:val="24"/>
          <w:highlight w:val="none"/>
        </w:rPr>
        <w:t>2.2.3</w:t>
      </w:r>
      <w:r>
        <w:rPr>
          <w:rFonts w:hint="eastAsia" w:ascii="宋体" w:hAnsi="宋体" w:eastAsia="宋体"/>
          <w:b/>
          <w:bCs/>
          <w:color w:val="auto"/>
          <w:sz w:val="24"/>
          <w:szCs w:val="24"/>
          <w:highlight w:val="none"/>
          <w:lang w:eastAsia="zh-CN"/>
        </w:rPr>
        <w:t>、2.2.</w:t>
      </w:r>
      <w:r>
        <w:rPr>
          <w:rFonts w:hint="eastAsia" w:ascii="宋体" w:hAnsi="宋体" w:eastAsia="宋体"/>
          <w:b/>
          <w:bCs/>
          <w:color w:val="auto"/>
          <w:sz w:val="24"/>
          <w:szCs w:val="24"/>
          <w:highlight w:val="none"/>
          <w:lang w:val="en-US" w:eastAsia="zh-CN"/>
        </w:rPr>
        <w:t>4</w:t>
      </w:r>
      <w:r>
        <w:rPr>
          <w:rFonts w:ascii="宋体" w:hAnsi="宋体" w:eastAsia="宋体"/>
          <w:b/>
          <w:bCs/>
          <w:color w:val="auto"/>
          <w:sz w:val="24"/>
          <w:szCs w:val="24"/>
          <w:highlight w:val="none"/>
        </w:rPr>
        <w:t xml:space="preserve">       修改类型：修改</w:t>
      </w:r>
    </w:p>
    <w:p w14:paraId="2C5452AD">
      <w:pPr>
        <w:wordWrap w:val="0"/>
        <w:autoSpaceDE w:val="0"/>
        <w:autoSpaceDN w:val="0"/>
        <w:spacing w:line="360" w:lineRule="auto"/>
        <w:ind w:firstLine="482" w:firstLineChars="200"/>
        <w:rPr>
          <w:rFonts w:ascii="宋体" w:hAnsi="宋体" w:eastAsia="宋体" w:cs="宋体"/>
          <w:color w:val="auto"/>
          <w:spacing w:val="-2"/>
          <w:kern w:val="0"/>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pacing w:val="-2"/>
          <w:kern w:val="0"/>
          <w:sz w:val="24"/>
          <w:szCs w:val="24"/>
          <w:highlight w:val="none"/>
        </w:rPr>
        <w:t>2.2.3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澄清发出的时间距本章第4.2.1项规定的投标截止时间不足15日的，并且澄清内容可能影响投标文件编制的，将相应延长投标截止时间。</w:t>
      </w:r>
    </w:p>
    <w:p w14:paraId="6A231962">
      <w:pPr>
        <w:spacing w:line="360" w:lineRule="auto"/>
        <w:ind w:firstLine="417" w:firstLineChars="177"/>
        <w:rPr>
          <w:rFonts w:ascii="宋体" w:hAnsi="宋体" w:eastAsia="宋体"/>
          <w:b/>
          <w:bCs/>
          <w:color w:val="auto"/>
          <w:sz w:val="24"/>
          <w:szCs w:val="24"/>
          <w:highlight w:val="none"/>
          <w:u w:val="single"/>
        </w:rPr>
      </w:pPr>
      <w:r>
        <w:rPr>
          <w:rFonts w:hint="eastAsia" w:ascii="宋体" w:hAnsi="宋体" w:eastAsia="宋体" w:cs="宋体"/>
          <w:color w:val="auto"/>
          <w:spacing w:val="-2"/>
          <w:kern w:val="0"/>
          <w:sz w:val="24"/>
          <w:szCs w:val="24"/>
          <w:highlight w:val="none"/>
        </w:rPr>
        <w:t>2.2.4招标答疑会会议纪要是招标文件的组成部分，对投标人起约束作用。若招标答疑会会议纪要与招标文件有矛盾时，以广州交易集团有限公司（广州公共资源交易中心）网站最后发布的答疑纪要为准。</w:t>
      </w:r>
    </w:p>
    <w:p w14:paraId="0F67F355">
      <w:pPr>
        <w:wordWrap w:val="0"/>
        <w:autoSpaceDE w:val="0"/>
        <w:autoSpaceDN w:val="0"/>
        <w:spacing w:line="360" w:lineRule="auto"/>
        <w:ind w:firstLine="482" w:firstLineChars="200"/>
        <w:rPr>
          <w:rFonts w:ascii="宋体" w:hAnsi="宋体" w:eastAsia="宋体" w:cs="宋体"/>
          <w:color w:val="auto"/>
          <w:spacing w:val="-2"/>
          <w:kern w:val="0"/>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s="宋体"/>
          <w:color w:val="auto"/>
          <w:spacing w:val="-2"/>
          <w:kern w:val="0"/>
          <w:sz w:val="24"/>
          <w:szCs w:val="24"/>
          <w:highlight w:val="none"/>
        </w:rPr>
        <w:t>2.2.3</w:t>
      </w:r>
      <w:r>
        <w:rPr>
          <w:rFonts w:hint="default" w:ascii="宋体" w:hAnsi="宋体" w:eastAsia="宋体"/>
          <w:b/>
          <w:bCs/>
          <w:color w:val="auto"/>
          <w:sz w:val="24"/>
          <w:szCs w:val="24"/>
          <w:highlight w:val="none"/>
          <w:u w:val="single"/>
        </w:rPr>
        <w:t>招标答疑纪要</w:t>
      </w:r>
      <w:r>
        <w:rPr>
          <w:rFonts w:hint="eastAsia" w:ascii="宋体" w:hAnsi="宋体" w:eastAsia="宋体" w:cs="宋体"/>
          <w:strike/>
          <w:dstrike w:val="0"/>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将在提交投标文件截止时间15日前在广州交易集团有限公司（广州公共资源交易中心）网站“项目答疑纪要”专区公开发布。答疑纪要一经在广州交易集团有限公司（广州公共资源交易中心）网站发布，视作已发放给所有投标人。澄清发出的时间距本章第4.2.1项规定的投标截止时间不足15日的，并且澄清内容可能影响投标文件编制的，将相应延长投标截止时间。</w:t>
      </w:r>
    </w:p>
    <w:p w14:paraId="06A2E66E">
      <w:pPr>
        <w:pBdr>
          <w:bottom w:val="single" w:color="auto" w:sz="6" w:space="1"/>
        </w:pBdr>
        <w:spacing w:line="360" w:lineRule="auto"/>
        <w:ind w:firstLine="417" w:firstLineChars="177"/>
        <w:rPr>
          <w:rFonts w:ascii="宋体" w:hAnsi="宋体" w:eastAsia="宋体"/>
          <w:b/>
          <w:bCs/>
          <w:color w:val="auto"/>
          <w:sz w:val="24"/>
          <w:szCs w:val="24"/>
          <w:highlight w:val="none"/>
          <w:u w:val="single"/>
        </w:rPr>
      </w:pPr>
      <w:r>
        <w:rPr>
          <w:rFonts w:hint="eastAsia" w:ascii="宋体" w:hAnsi="宋体" w:eastAsia="宋体" w:cs="宋体"/>
          <w:color w:val="auto"/>
          <w:spacing w:val="-2"/>
          <w:kern w:val="0"/>
          <w:sz w:val="24"/>
          <w:szCs w:val="24"/>
          <w:highlight w:val="none"/>
        </w:rPr>
        <w:t>2.2.4</w:t>
      </w:r>
      <w:r>
        <w:rPr>
          <w:rFonts w:hint="default" w:ascii="宋体" w:hAnsi="宋体" w:eastAsia="宋体"/>
          <w:b/>
          <w:bCs/>
          <w:color w:val="auto"/>
          <w:sz w:val="24"/>
          <w:szCs w:val="24"/>
          <w:highlight w:val="none"/>
          <w:u w:val="single"/>
        </w:rPr>
        <w:t>招标答疑纪要</w:t>
      </w:r>
      <w:r>
        <w:rPr>
          <w:rFonts w:hint="eastAsia" w:ascii="宋体" w:hAnsi="宋体" w:eastAsia="宋体" w:cs="宋体"/>
          <w:strike/>
          <w:dstrike w:val="0"/>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是招标文件的组成部分，对投标人起约束作用。若招标答疑会会议纪要与招标文件有矛盾时，以广州交易集团有限公司（广州公共资源交易中心）网站最后发布的答疑纪要为准。</w:t>
      </w:r>
    </w:p>
    <w:p w14:paraId="672EC295">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3.3.3</w:t>
      </w:r>
      <w:r>
        <w:rPr>
          <w:rFonts w:ascii="宋体" w:hAnsi="宋体" w:eastAsia="宋体"/>
          <w:b/>
          <w:bCs/>
          <w:color w:val="auto"/>
          <w:sz w:val="24"/>
          <w:szCs w:val="24"/>
          <w:highlight w:val="none"/>
        </w:rPr>
        <w:t xml:space="preserve">         修改类型：修改</w:t>
      </w:r>
    </w:p>
    <w:p w14:paraId="1A98B913">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3.3.3</w:t>
      </w:r>
      <w:r>
        <w:rPr>
          <w:rFonts w:hint="eastAsia" w:ascii="宋体" w:hAnsi="宋体" w:eastAsia="宋体" w:cs="Times New Roman"/>
          <w:color w:val="auto"/>
          <w:sz w:val="24"/>
          <w:szCs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55D0D38">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kern w:val="0"/>
          <w:sz w:val="24"/>
          <w:szCs w:val="24"/>
          <w:highlight w:val="none"/>
        </w:rPr>
        <w:t>3.3.3</w:t>
      </w:r>
      <w:r>
        <w:rPr>
          <w:rFonts w:hint="eastAsia" w:ascii="宋体" w:hAnsi="宋体" w:eastAsia="宋体" w:cs="Times New Roman"/>
          <w:color w:val="auto"/>
          <w:sz w:val="24"/>
          <w:szCs w:val="24"/>
          <w:highlight w:val="none"/>
        </w:rPr>
        <w:t>出现特殊情况需要延长投标有效期的，招标人以书面形式通知所有投标人延长投标有效期。投标人应予以书面答复，同意延长的</w:t>
      </w:r>
      <w:r>
        <w:rPr>
          <w:rFonts w:hint="eastAsia" w:ascii="宋体" w:hAnsi="宋体" w:eastAsia="宋体" w:cs="Times New Roman"/>
          <w:strike/>
          <w:dstrike w:val="0"/>
          <w:color w:val="auto"/>
          <w:sz w:val="24"/>
          <w:szCs w:val="24"/>
          <w:highlight w:val="none"/>
        </w:rPr>
        <w:t>，应相应延长其投标保证金的有效期，但</w:t>
      </w:r>
      <w:r>
        <w:rPr>
          <w:rFonts w:hint="eastAsia" w:ascii="宋体" w:hAnsi="宋体" w:eastAsia="宋体" w:cs="Times New Roman"/>
          <w:color w:val="auto"/>
          <w:sz w:val="24"/>
          <w:szCs w:val="24"/>
          <w:highlight w:val="none"/>
        </w:rPr>
        <w:t>不得要求或被允许修改其投标文件；投标人拒绝延长的，其投标失效</w:t>
      </w:r>
      <w:r>
        <w:rPr>
          <w:rFonts w:hint="eastAsia" w:ascii="宋体" w:hAnsi="宋体" w:eastAsia="宋体" w:cs="Times New Roman"/>
          <w:strike/>
          <w:dstrike w:val="0"/>
          <w:color w:val="auto"/>
          <w:sz w:val="24"/>
          <w:szCs w:val="24"/>
          <w:highlight w:val="none"/>
        </w:rPr>
        <w:t>，但投标人有权收回其投标保证金及以现金或者支票形式递交的投标保证金的银行同期存款利息</w:t>
      </w:r>
      <w:r>
        <w:rPr>
          <w:rFonts w:hint="eastAsia" w:ascii="宋体" w:hAnsi="宋体" w:eastAsia="宋体" w:cs="Times New Roman"/>
          <w:color w:val="auto"/>
          <w:sz w:val="24"/>
          <w:szCs w:val="24"/>
          <w:highlight w:val="none"/>
        </w:rPr>
        <w:t>。</w:t>
      </w:r>
    </w:p>
    <w:p w14:paraId="744E6B21">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3.4</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修改类型：修改</w:t>
      </w:r>
    </w:p>
    <w:p w14:paraId="5BDB2E18">
      <w:pPr>
        <w:spacing w:line="360" w:lineRule="auto"/>
        <w:ind w:firstLine="426" w:firstLineChars="177"/>
        <w:rPr>
          <w:rFonts w:hint="eastAsia" w:ascii="宋体" w:hAnsi="宋体" w:eastAsia="宋体" w:cs="宋体"/>
          <w:color w:val="auto"/>
          <w:spacing w:val="-2"/>
          <w:kern w:val="0"/>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pacing w:val="-2"/>
          <w:kern w:val="0"/>
          <w:sz w:val="24"/>
          <w:szCs w:val="24"/>
          <w:highlight w:val="none"/>
        </w:rPr>
        <w:t>3.4投标保证金</w:t>
      </w:r>
    </w:p>
    <w:p w14:paraId="0533E3C8">
      <w:pPr>
        <w:spacing w:line="360" w:lineRule="auto"/>
        <w:ind w:firstLine="424" w:firstLineChars="177"/>
        <w:rPr>
          <w:rFonts w:hint="eastAsia" w:ascii="宋体" w:hAnsi="宋体" w:eastAsia="宋体"/>
          <w:b w:val="0"/>
          <w:bCs w:val="0"/>
          <w:color w:val="auto"/>
          <w:sz w:val="24"/>
          <w:szCs w:val="24"/>
          <w:highlight w:val="none"/>
          <w:u w:val="none"/>
        </w:rPr>
      </w:pPr>
      <w:r>
        <w:rPr>
          <w:rFonts w:hint="eastAsia" w:ascii="宋体" w:hAnsi="宋体" w:eastAsia="宋体"/>
          <w:b w:val="0"/>
          <w:bCs w:val="0"/>
          <w:color w:val="auto"/>
          <w:sz w:val="24"/>
          <w:szCs w:val="24"/>
          <w:highlight w:val="none"/>
          <w:u w:val="none"/>
        </w:rPr>
        <w:t>3.4.1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1656F7AB">
      <w:pPr>
        <w:spacing w:line="360" w:lineRule="auto"/>
        <w:ind w:firstLine="424" w:firstLineChars="177"/>
        <w:rPr>
          <w:rFonts w:hint="eastAsia" w:ascii="宋体" w:hAnsi="宋体" w:eastAsia="宋体"/>
          <w:b w:val="0"/>
          <w:bCs w:val="0"/>
          <w:color w:val="auto"/>
          <w:sz w:val="24"/>
          <w:szCs w:val="24"/>
          <w:highlight w:val="none"/>
          <w:u w:val="none"/>
        </w:rPr>
      </w:pPr>
      <w:r>
        <w:rPr>
          <w:rFonts w:hint="eastAsia" w:ascii="宋体" w:hAnsi="宋体" w:eastAsia="宋体"/>
          <w:b w:val="0"/>
          <w:bCs w:val="0"/>
          <w:color w:val="auto"/>
          <w:sz w:val="24"/>
          <w:szCs w:val="24"/>
          <w:highlight w:val="none"/>
          <w:u w:val="none"/>
        </w:rPr>
        <w:t>3.4.2投标人不按本章第3.4.1项要求提交投标保证金的，评标委员会将否决其投标。未按招标文件要求提交符合免予提供投标保证金相关证明材料，且未提交投标保证金的投标人，视为未按要求提供投标保证金。</w:t>
      </w:r>
    </w:p>
    <w:p w14:paraId="0D8E6C2C">
      <w:pPr>
        <w:spacing w:line="360" w:lineRule="auto"/>
        <w:ind w:firstLine="424" w:firstLineChars="177"/>
        <w:rPr>
          <w:rFonts w:hint="eastAsia" w:ascii="宋体" w:hAnsi="宋体" w:eastAsia="宋体"/>
          <w:b w:val="0"/>
          <w:bCs w:val="0"/>
          <w:color w:val="auto"/>
          <w:sz w:val="24"/>
          <w:szCs w:val="24"/>
          <w:highlight w:val="none"/>
          <w:u w:val="none"/>
        </w:rPr>
      </w:pPr>
      <w:r>
        <w:rPr>
          <w:rFonts w:hint="eastAsia" w:ascii="宋体" w:hAnsi="宋体" w:eastAsia="宋体"/>
          <w:b w:val="0"/>
          <w:bCs w:val="0"/>
          <w:color w:val="auto"/>
          <w:sz w:val="24"/>
          <w:szCs w:val="24"/>
          <w:highlight w:val="none"/>
          <w:u w:val="none"/>
        </w:rPr>
        <w:t>3.4.3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567D8C12">
      <w:pPr>
        <w:spacing w:line="360" w:lineRule="auto"/>
        <w:ind w:firstLine="424" w:firstLineChars="177"/>
        <w:rPr>
          <w:rFonts w:hint="eastAsia" w:ascii="宋体" w:hAnsi="宋体" w:eastAsia="宋体"/>
          <w:b w:val="0"/>
          <w:bCs w:val="0"/>
          <w:color w:val="auto"/>
          <w:sz w:val="24"/>
          <w:szCs w:val="24"/>
          <w:highlight w:val="none"/>
          <w:u w:val="none"/>
        </w:rPr>
      </w:pPr>
      <w:r>
        <w:rPr>
          <w:rFonts w:hint="eastAsia" w:ascii="宋体" w:hAnsi="宋体" w:eastAsia="宋体"/>
          <w:b w:val="0"/>
          <w:bCs w:val="0"/>
          <w:color w:val="auto"/>
          <w:sz w:val="24"/>
          <w:szCs w:val="24"/>
          <w:highlight w:val="none"/>
          <w:u w:val="none"/>
        </w:rPr>
        <w:t>3.4.4在提交投标文件截止时间后到招标文件规定的投标有效期终止之前，投标人不得撤销其投标文件，否则招标人可以不退还投标保证金。</w:t>
      </w:r>
    </w:p>
    <w:p w14:paraId="2EBE1D29">
      <w:pPr>
        <w:spacing w:line="360" w:lineRule="auto"/>
        <w:ind w:firstLine="424" w:firstLineChars="177"/>
        <w:rPr>
          <w:rFonts w:hint="eastAsia" w:ascii="宋体" w:hAnsi="宋体" w:eastAsia="宋体"/>
          <w:b w:val="0"/>
          <w:bCs w:val="0"/>
          <w:color w:val="auto"/>
          <w:sz w:val="24"/>
          <w:szCs w:val="24"/>
          <w:highlight w:val="none"/>
          <w:u w:val="none"/>
        </w:rPr>
      </w:pPr>
      <w:r>
        <w:rPr>
          <w:rFonts w:hint="eastAsia" w:ascii="宋体" w:hAnsi="宋体" w:eastAsia="宋体"/>
          <w:b w:val="0"/>
          <w:bCs w:val="0"/>
          <w:color w:val="auto"/>
          <w:sz w:val="24"/>
          <w:szCs w:val="24"/>
          <w:highlight w:val="none"/>
          <w:u w:val="none"/>
        </w:rPr>
        <w:t>3.4.5有下列情形之一的，投标保证金将不予退还：</w:t>
      </w:r>
    </w:p>
    <w:p w14:paraId="7BEA2F3C">
      <w:pPr>
        <w:spacing w:line="360" w:lineRule="auto"/>
        <w:ind w:firstLine="424" w:firstLineChars="177"/>
        <w:rPr>
          <w:rFonts w:hint="eastAsia" w:ascii="宋体" w:hAnsi="宋体" w:eastAsia="宋体"/>
          <w:b w:val="0"/>
          <w:bCs w:val="0"/>
          <w:color w:val="auto"/>
          <w:sz w:val="24"/>
          <w:szCs w:val="24"/>
          <w:highlight w:val="none"/>
          <w:u w:val="none"/>
        </w:rPr>
      </w:pPr>
      <w:r>
        <w:rPr>
          <w:rFonts w:hint="eastAsia" w:ascii="宋体" w:hAnsi="宋体" w:eastAsia="宋体"/>
          <w:b w:val="0"/>
          <w:bCs w:val="0"/>
          <w:color w:val="auto"/>
          <w:sz w:val="24"/>
          <w:szCs w:val="24"/>
          <w:highlight w:val="none"/>
          <w:u w:val="none"/>
        </w:rPr>
        <w:t>（1）投标人在提交投标文件截止时间后到招标文件规定的投标有效期终止之前撤销投标文件；</w:t>
      </w:r>
    </w:p>
    <w:p w14:paraId="2324D6A8">
      <w:pPr>
        <w:spacing w:line="360" w:lineRule="auto"/>
        <w:ind w:firstLine="424" w:firstLineChars="177"/>
        <w:rPr>
          <w:rFonts w:hint="eastAsia" w:ascii="宋体" w:hAnsi="宋体" w:eastAsia="宋体"/>
          <w:b w:val="0"/>
          <w:bCs w:val="0"/>
          <w:color w:val="auto"/>
          <w:sz w:val="24"/>
          <w:szCs w:val="24"/>
          <w:highlight w:val="none"/>
          <w:u w:val="none"/>
        </w:rPr>
      </w:pPr>
      <w:r>
        <w:rPr>
          <w:rFonts w:hint="eastAsia" w:ascii="宋体" w:hAnsi="宋体" w:eastAsia="宋体"/>
          <w:b w:val="0"/>
          <w:bCs w:val="0"/>
          <w:color w:val="auto"/>
          <w:sz w:val="24"/>
          <w:szCs w:val="24"/>
          <w:highlight w:val="none"/>
          <w:u w:val="none"/>
        </w:rPr>
        <w:t>（2）中标人在收到中标通知书后，无正当理由不与招标人订立合同，在签订合同时向招标人提出附加条件，或者不按照招标文件要求提交履约保证金；</w:t>
      </w:r>
    </w:p>
    <w:p w14:paraId="53E3465F">
      <w:pPr>
        <w:spacing w:line="360" w:lineRule="auto"/>
        <w:ind w:firstLine="424" w:firstLineChars="177"/>
        <w:rPr>
          <w:rFonts w:hint="eastAsia" w:ascii="宋体" w:hAnsi="宋体" w:eastAsia="宋体"/>
          <w:b w:val="0"/>
          <w:bCs w:val="0"/>
          <w:color w:val="auto"/>
          <w:sz w:val="24"/>
          <w:szCs w:val="24"/>
          <w:highlight w:val="none"/>
          <w:u w:val="none"/>
        </w:rPr>
      </w:pPr>
      <w:r>
        <w:rPr>
          <w:rFonts w:hint="eastAsia" w:ascii="宋体" w:hAnsi="宋体" w:eastAsia="宋体"/>
          <w:b w:val="0"/>
          <w:bCs w:val="0"/>
          <w:color w:val="auto"/>
          <w:sz w:val="24"/>
          <w:szCs w:val="24"/>
          <w:highlight w:val="none"/>
          <w:u w:val="none"/>
        </w:rPr>
        <w:t>（3）发生投标人须知前附表规定的其他可以不予退还投标保证金的情形。</w:t>
      </w:r>
    </w:p>
    <w:p w14:paraId="0B22F1CE">
      <w:pPr>
        <w:spacing w:line="360" w:lineRule="auto"/>
        <w:ind w:firstLine="424" w:firstLineChars="177"/>
        <w:rPr>
          <w:rFonts w:ascii="宋体" w:hAnsi="宋体" w:eastAsia="宋体"/>
          <w:b w:val="0"/>
          <w:bCs w:val="0"/>
          <w:color w:val="auto"/>
          <w:sz w:val="24"/>
          <w:szCs w:val="24"/>
          <w:highlight w:val="none"/>
          <w:u w:val="none"/>
        </w:rPr>
      </w:pPr>
      <w:r>
        <w:rPr>
          <w:rFonts w:hint="eastAsia" w:ascii="宋体" w:hAnsi="宋体" w:eastAsia="宋体"/>
          <w:b w:val="0"/>
          <w:bCs w:val="0"/>
          <w:color w:val="auto"/>
          <w:sz w:val="24"/>
          <w:szCs w:val="24"/>
          <w:highlight w:val="none"/>
          <w:u w:val="none"/>
        </w:rPr>
        <w:t>3.4.6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69A5A6B0">
      <w:pPr>
        <w:spacing w:line="360" w:lineRule="auto"/>
        <w:ind w:firstLine="426" w:firstLineChars="177"/>
        <w:rPr>
          <w:rFonts w:hint="eastAsia" w:ascii="宋体" w:hAnsi="宋体" w:eastAsia="宋体" w:cs="宋体"/>
          <w:b/>
          <w:bCs/>
          <w:color w:val="auto"/>
          <w:spacing w:val="-2"/>
          <w:kern w:val="0"/>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spacing w:val="-2"/>
          <w:kern w:val="0"/>
          <w:sz w:val="24"/>
          <w:szCs w:val="24"/>
          <w:highlight w:val="none"/>
        </w:rPr>
        <w:t>3.4 投标保证金</w:t>
      </w:r>
      <w:r>
        <w:rPr>
          <w:rFonts w:hint="eastAsia" w:ascii="宋体" w:hAnsi="宋体" w:eastAsia="宋体" w:cs="宋体"/>
          <w:b/>
          <w:bCs/>
          <w:color w:val="auto"/>
          <w:spacing w:val="-2"/>
          <w:kern w:val="0"/>
          <w:sz w:val="24"/>
          <w:szCs w:val="24"/>
          <w:highlight w:val="none"/>
          <w:u w:val="single"/>
        </w:rPr>
        <w:t>（本项目不适用）</w:t>
      </w:r>
    </w:p>
    <w:p w14:paraId="231D554D">
      <w:pPr>
        <w:spacing w:line="360" w:lineRule="auto"/>
        <w:ind w:firstLine="424" w:firstLineChars="177"/>
        <w:rPr>
          <w:rFonts w:hint="eastAsia" w:ascii="宋体" w:hAnsi="宋体" w:eastAsia="宋体"/>
          <w:b w:val="0"/>
          <w:bCs w:val="0"/>
          <w:strike/>
          <w:dstrike w:val="0"/>
          <w:color w:val="auto"/>
          <w:sz w:val="24"/>
          <w:szCs w:val="24"/>
          <w:highlight w:val="none"/>
          <w:u w:val="none"/>
        </w:rPr>
      </w:pPr>
      <w:r>
        <w:rPr>
          <w:rFonts w:hint="eastAsia" w:ascii="宋体" w:hAnsi="宋体" w:eastAsia="宋体"/>
          <w:b w:val="0"/>
          <w:bCs w:val="0"/>
          <w:strike/>
          <w:dstrike w:val="0"/>
          <w:color w:val="auto"/>
          <w:sz w:val="24"/>
          <w:szCs w:val="24"/>
          <w:highlight w:val="none"/>
          <w:u w:val="none"/>
        </w:rPr>
        <w:t>3.4.1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105C6858">
      <w:pPr>
        <w:spacing w:line="360" w:lineRule="auto"/>
        <w:ind w:firstLine="424" w:firstLineChars="177"/>
        <w:rPr>
          <w:rFonts w:hint="eastAsia" w:ascii="宋体" w:hAnsi="宋体" w:eastAsia="宋体"/>
          <w:b w:val="0"/>
          <w:bCs w:val="0"/>
          <w:strike/>
          <w:dstrike w:val="0"/>
          <w:color w:val="auto"/>
          <w:sz w:val="24"/>
          <w:szCs w:val="24"/>
          <w:highlight w:val="none"/>
          <w:u w:val="none"/>
        </w:rPr>
      </w:pPr>
      <w:r>
        <w:rPr>
          <w:rFonts w:hint="eastAsia" w:ascii="宋体" w:hAnsi="宋体" w:eastAsia="宋体"/>
          <w:b w:val="0"/>
          <w:bCs w:val="0"/>
          <w:strike/>
          <w:dstrike w:val="0"/>
          <w:color w:val="auto"/>
          <w:sz w:val="24"/>
          <w:szCs w:val="24"/>
          <w:highlight w:val="none"/>
          <w:u w:val="none"/>
        </w:rPr>
        <w:t>3.4.2投标人不按本章第3.4.1项要求提交投标保证金的，评标委员会将否决其投标。未按招标文件要求提交符合免予提供投标保证金相关证明材料，且未提交投标保证金的投标人，视为未按要求提供投标保证金。</w:t>
      </w:r>
    </w:p>
    <w:p w14:paraId="43B9396B">
      <w:pPr>
        <w:spacing w:line="360" w:lineRule="auto"/>
        <w:ind w:firstLine="424" w:firstLineChars="177"/>
        <w:rPr>
          <w:rFonts w:hint="eastAsia" w:ascii="宋体" w:hAnsi="宋体" w:eastAsia="宋体"/>
          <w:b w:val="0"/>
          <w:bCs w:val="0"/>
          <w:strike/>
          <w:dstrike w:val="0"/>
          <w:color w:val="auto"/>
          <w:sz w:val="24"/>
          <w:szCs w:val="24"/>
          <w:highlight w:val="none"/>
          <w:u w:val="none"/>
        </w:rPr>
      </w:pPr>
      <w:r>
        <w:rPr>
          <w:rFonts w:hint="eastAsia" w:ascii="宋体" w:hAnsi="宋体" w:eastAsia="宋体"/>
          <w:b w:val="0"/>
          <w:bCs w:val="0"/>
          <w:strike/>
          <w:dstrike w:val="0"/>
          <w:color w:val="auto"/>
          <w:sz w:val="24"/>
          <w:szCs w:val="24"/>
          <w:highlight w:val="none"/>
          <w:u w:val="none"/>
        </w:rPr>
        <w:t>3.4.3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1ACF1B8A">
      <w:pPr>
        <w:spacing w:line="360" w:lineRule="auto"/>
        <w:ind w:firstLine="424" w:firstLineChars="177"/>
        <w:rPr>
          <w:rFonts w:hint="eastAsia" w:ascii="宋体" w:hAnsi="宋体" w:eastAsia="宋体"/>
          <w:b w:val="0"/>
          <w:bCs w:val="0"/>
          <w:strike/>
          <w:dstrike w:val="0"/>
          <w:color w:val="auto"/>
          <w:sz w:val="24"/>
          <w:szCs w:val="24"/>
          <w:highlight w:val="none"/>
          <w:u w:val="none"/>
        </w:rPr>
      </w:pPr>
      <w:r>
        <w:rPr>
          <w:rFonts w:hint="eastAsia" w:ascii="宋体" w:hAnsi="宋体" w:eastAsia="宋体"/>
          <w:b w:val="0"/>
          <w:bCs w:val="0"/>
          <w:strike/>
          <w:dstrike w:val="0"/>
          <w:color w:val="auto"/>
          <w:sz w:val="24"/>
          <w:szCs w:val="24"/>
          <w:highlight w:val="none"/>
          <w:u w:val="none"/>
        </w:rPr>
        <w:t>3.4.4在提交投标文件截止时间后到招标文件规定的投标有效期终止之前，投标人不得撤销其投标文件，否则招标人可以不退还投标保证金。</w:t>
      </w:r>
    </w:p>
    <w:p w14:paraId="7A506387">
      <w:pPr>
        <w:spacing w:line="360" w:lineRule="auto"/>
        <w:ind w:firstLine="424" w:firstLineChars="177"/>
        <w:rPr>
          <w:rFonts w:hint="eastAsia" w:ascii="宋体" w:hAnsi="宋体" w:eastAsia="宋体"/>
          <w:b w:val="0"/>
          <w:bCs w:val="0"/>
          <w:strike/>
          <w:dstrike w:val="0"/>
          <w:color w:val="auto"/>
          <w:sz w:val="24"/>
          <w:szCs w:val="24"/>
          <w:highlight w:val="none"/>
          <w:u w:val="none"/>
        </w:rPr>
      </w:pPr>
      <w:r>
        <w:rPr>
          <w:rFonts w:hint="eastAsia" w:ascii="宋体" w:hAnsi="宋体" w:eastAsia="宋体"/>
          <w:b w:val="0"/>
          <w:bCs w:val="0"/>
          <w:strike/>
          <w:dstrike w:val="0"/>
          <w:color w:val="auto"/>
          <w:sz w:val="24"/>
          <w:szCs w:val="24"/>
          <w:highlight w:val="none"/>
          <w:u w:val="none"/>
        </w:rPr>
        <w:t>3.4.5有下列情形之一的，投标保证金将不予退还：</w:t>
      </w:r>
    </w:p>
    <w:p w14:paraId="397C504A">
      <w:pPr>
        <w:spacing w:line="360" w:lineRule="auto"/>
        <w:ind w:firstLine="424" w:firstLineChars="177"/>
        <w:rPr>
          <w:rFonts w:hint="eastAsia" w:ascii="宋体" w:hAnsi="宋体" w:eastAsia="宋体"/>
          <w:b w:val="0"/>
          <w:bCs w:val="0"/>
          <w:strike/>
          <w:dstrike w:val="0"/>
          <w:color w:val="auto"/>
          <w:sz w:val="24"/>
          <w:szCs w:val="24"/>
          <w:highlight w:val="none"/>
          <w:u w:val="none"/>
        </w:rPr>
      </w:pPr>
      <w:r>
        <w:rPr>
          <w:rFonts w:hint="eastAsia" w:ascii="宋体" w:hAnsi="宋体" w:eastAsia="宋体"/>
          <w:b w:val="0"/>
          <w:bCs w:val="0"/>
          <w:strike/>
          <w:dstrike w:val="0"/>
          <w:color w:val="auto"/>
          <w:sz w:val="24"/>
          <w:szCs w:val="24"/>
          <w:highlight w:val="none"/>
          <w:u w:val="none"/>
        </w:rPr>
        <w:t>（1）投标人在提交投标文件截止时间后到招标文件规定的投标有效期终止之前撤销投标文件；</w:t>
      </w:r>
    </w:p>
    <w:p w14:paraId="23A60306">
      <w:pPr>
        <w:spacing w:line="360" w:lineRule="auto"/>
        <w:ind w:firstLine="424" w:firstLineChars="177"/>
        <w:rPr>
          <w:rFonts w:hint="eastAsia" w:ascii="宋体" w:hAnsi="宋体" w:eastAsia="宋体"/>
          <w:b w:val="0"/>
          <w:bCs w:val="0"/>
          <w:strike/>
          <w:dstrike w:val="0"/>
          <w:color w:val="auto"/>
          <w:sz w:val="24"/>
          <w:szCs w:val="24"/>
          <w:highlight w:val="none"/>
          <w:u w:val="none"/>
        </w:rPr>
      </w:pPr>
      <w:r>
        <w:rPr>
          <w:rFonts w:hint="eastAsia" w:ascii="宋体" w:hAnsi="宋体" w:eastAsia="宋体"/>
          <w:b w:val="0"/>
          <w:bCs w:val="0"/>
          <w:strike/>
          <w:dstrike w:val="0"/>
          <w:color w:val="auto"/>
          <w:sz w:val="24"/>
          <w:szCs w:val="24"/>
          <w:highlight w:val="none"/>
          <w:u w:val="none"/>
        </w:rPr>
        <w:t>（2）中标人在收到中标通知书后，无正当理由不与招标人订立合同，在签订合同时向招标人提出附加条件，或者不按照招标文件要求提交履约保证金；</w:t>
      </w:r>
    </w:p>
    <w:p w14:paraId="1B8D3AD3">
      <w:pPr>
        <w:spacing w:line="360" w:lineRule="auto"/>
        <w:ind w:firstLine="424" w:firstLineChars="177"/>
        <w:rPr>
          <w:rFonts w:hint="eastAsia" w:ascii="宋体" w:hAnsi="宋体" w:eastAsia="宋体"/>
          <w:b w:val="0"/>
          <w:bCs w:val="0"/>
          <w:strike/>
          <w:dstrike w:val="0"/>
          <w:color w:val="auto"/>
          <w:sz w:val="24"/>
          <w:szCs w:val="24"/>
          <w:highlight w:val="none"/>
          <w:u w:val="none"/>
        </w:rPr>
      </w:pPr>
      <w:r>
        <w:rPr>
          <w:rFonts w:hint="eastAsia" w:ascii="宋体" w:hAnsi="宋体" w:eastAsia="宋体"/>
          <w:b w:val="0"/>
          <w:bCs w:val="0"/>
          <w:strike/>
          <w:dstrike w:val="0"/>
          <w:color w:val="auto"/>
          <w:sz w:val="24"/>
          <w:szCs w:val="24"/>
          <w:highlight w:val="none"/>
          <w:u w:val="none"/>
        </w:rPr>
        <w:t>（3）发生投标人须知前附表规定的其他可以不予退还投标保证金的情形。</w:t>
      </w:r>
    </w:p>
    <w:p w14:paraId="5A62E7C7">
      <w:pPr>
        <w:pageBreakBefore w:val="0"/>
        <w:widowControl w:val="0"/>
        <w:pBdr>
          <w:bottom w:val="single" w:color="auto" w:sz="6" w:space="1"/>
        </w:pBd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3.4.6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1071906A">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3.5.1至3.5.4</w:t>
      </w:r>
      <w:r>
        <w:rPr>
          <w:rFonts w:ascii="宋体" w:hAnsi="宋体" w:eastAsia="宋体"/>
          <w:b/>
          <w:bCs/>
          <w:color w:val="auto"/>
          <w:sz w:val="24"/>
          <w:szCs w:val="24"/>
          <w:highlight w:val="none"/>
        </w:rPr>
        <w:t xml:space="preserve">         修改类型：修改</w:t>
      </w:r>
    </w:p>
    <w:p w14:paraId="53F880E1">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3.5.1“投标人基本情况表”应附投标人营业执照和组织机构代码证的扫描件（按照“三证合一”或“五证合一”登记制度进行登记的，可仅提供营业执照扫描件）、投标人监理资质证书副本等材料的扫描件。</w:t>
      </w:r>
    </w:p>
    <w:p w14:paraId="7F751026">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3.5.2“近年完成的类似监理项目情况表”应附中标通知书和（或）合同协议书、委托人出具的证明文件；具体时间要求见投标人须知前附表，每张表格只填写一个项目，并标明序号。</w:t>
      </w:r>
    </w:p>
    <w:p w14:paraId="48F98EE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3.5.3“拟委任的主要人员汇总表”应填报满足本章第1.4.1项规定的总监理工程师和其他主要人员的相关信息。“主要人员简历表”中总监理工程师应附身份证、学历证、职称证、注册监理工程师执业证书和社保缴费证明，管理过的项目业绩须附合同协议书（如有）；其他主要人员应附身份证、学历证、职称证、有关证书和社保缴费证明（如有）。（注：以上人员社保要求：具有离投标截止时间最近的至少1个月在本单位缴纳的社保证明文件，由招标人自行确定。）</w:t>
      </w:r>
    </w:p>
    <w:p w14:paraId="6E131423">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auto"/>
          <w:sz w:val="24"/>
          <w:szCs w:val="24"/>
          <w:highlight w:val="none"/>
          <w:u w:val="single"/>
        </w:rPr>
      </w:pPr>
      <w:r>
        <w:rPr>
          <w:rFonts w:hint="eastAsia" w:ascii="宋体" w:hAnsi="宋体" w:eastAsia="宋体"/>
          <w:color w:val="auto"/>
          <w:sz w:val="24"/>
          <w:szCs w:val="24"/>
          <w:highlight w:val="none"/>
        </w:rPr>
        <w:t>3.5.4投标人须知前附表规定接受联合体投标的，本章第3.5.1项至第3.5.3项规定的表格和资料应包括联合体各方相关情况。</w:t>
      </w:r>
    </w:p>
    <w:p w14:paraId="70385596">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olor w:val="auto"/>
          <w:sz w:val="24"/>
          <w:szCs w:val="24"/>
          <w:highlight w:val="none"/>
        </w:rPr>
        <w:t>3.5.1“投标人基本情况表”应附投标人营业执照和组织机构代码证的扫描件（按照“三证合一”或“五证合一”登记制度进行登记的，可仅提供营业执照扫描件）、投标人监理资质证书副本等材料的扫描件。</w:t>
      </w:r>
    </w:p>
    <w:p w14:paraId="3C385DF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3.5.2</w:t>
      </w:r>
      <w:r>
        <w:rPr>
          <w:rFonts w:hint="eastAsia" w:ascii="宋体" w:hAnsi="宋体" w:eastAsia="宋体"/>
          <w:color w:val="auto"/>
          <w:sz w:val="24"/>
          <w:szCs w:val="24"/>
          <w:highlight w:val="none"/>
          <w:u w:val="single"/>
        </w:rPr>
        <w:t>如有合格业绩要求，</w:t>
      </w:r>
      <w:r>
        <w:rPr>
          <w:rFonts w:hint="eastAsia" w:ascii="宋体" w:hAnsi="宋体" w:eastAsia="宋体"/>
          <w:color w:val="auto"/>
          <w:sz w:val="24"/>
          <w:szCs w:val="24"/>
          <w:highlight w:val="none"/>
        </w:rPr>
        <w:t>“近年完成的类似监理项目情况表”</w:t>
      </w:r>
      <w:r>
        <w:rPr>
          <w:rFonts w:hint="eastAsia" w:ascii="宋体" w:hAnsi="宋体" w:eastAsia="宋体"/>
          <w:color w:val="auto"/>
          <w:sz w:val="24"/>
          <w:szCs w:val="24"/>
          <w:highlight w:val="none"/>
          <w:u w:val="single"/>
        </w:rPr>
        <w:t>应按公告要求附相关资料</w:t>
      </w:r>
      <w:r>
        <w:rPr>
          <w:rFonts w:hint="eastAsia" w:ascii="宋体" w:hAnsi="宋体" w:eastAsia="宋体"/>
          <w:color w:val="auto"/>
          <w:sz w:val="24"/>
          <w:szCs w:val="24"/>
          <w:highlight w:val="none"/>
        </w:rPr>
        <w:t>，每张表格只填写一个项目，并标明序号。</w:t>
      </w:r>
    </w:p>
    <w:p w14:paraId="5978C988">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3.5.3“拟委任的主要人员汇总表”应填报满足本章第1.4.1项规定的总监理工程师和其他主要人员的相关信息。“主要人员简历表”中总监理工程师应附</w:t>
      </w:r>
      <w:r>
        <w:rPr>
          <w:rFonts w:hint="eastAsia" w:ascii="宋体" w:hAnsi="宋体" w:eastAsia="宋体"/>
          <w:strike/>
          <w:color w:val="auto"/>
          <w:sz w:val="24"/>
          <w:szCs w:val="24"/>
          <w:highlight w:val="none"/>
        </w:rPr>
        <w:t>身份证、</w:t>
      </w:r>
      <w:r>
        <w:rPr>
          <w:rFonts w:hint="eastAsia" w:ascii="宋体" w:hAnsi="宋体" w:eastAsia="宋体"/>
          <w:color w:val="auto"/>
          <w:sz w:val="24"/>
          <w:szCs w:val="24"/>
          <w:highlight w:val="none"/>
        </w:rPr>
        <w:t>学历证、职称证、注册监理工程师执业证书和社保缴费证明，管理过的项目业绩须附合同协议书（如有）；其他主要人员应附</w:t>
      </w:r>
      <w:r>
        <w:rPr>
          <w:rFonts w:hint="eastAsia" w:ascii="宋体" w:hAnsi="宋体" w:eastAsia="宋体"/>
          <w:strike/>
          <w:color w:val="auto"/>
          <w:sz w:val="24"/>
          <w:szCs w:val="24"/>
          <w:highlight w:val="none"/>
        </w:rPr>
        <w:t>身份证、</w:t>
      </w:r>
      <w:r>
        <w:rPr>
          <w:rFonts w:hint="eastAsia" w:ascii="宋体" w:hAnsi="宋体" w:eastAsia="宋体"/>
          <w:color w:val="auto"/>
          <w:sz w:val="24"/>
          <w:szCs w:val="24"/>
          <w:highlight w:val="none"/>
        </w:rPr>
        <w:t>学历证、职称证、有关证书和社保缴费证明（如有）。</w:t>
      </w:r>
      <w:r>
        <w:rPr>
          <w:rFonts w:hint="eastAsia" w:ascii="宋体" w:hAnsi="宋体" w:eastAsia="宋体"/>
          <w:strike/>
          <w:color w:val="auto"/>
          <w:sz w:val="24"/>
          <w:szCs w:val="24"/>
          <w:highlight w:val="none"/>
        </w:rPr>
        <w:t>（注：以上人员社保要求：具有离投标截止时间最近的至少1个月在本单位缴纳的社保证明文件，由招标人自行确定。）</w:t>
      </w:r>
    </w:p>
    <w:p w14:paraId="27F80082">
      <w:pPr>
        <w:pageBreakBefore w:val="0"/>
        <w:widowControl w:val="0"/>
        <w:pBdr>
          <w:bottom w:val="single" w:color="auto" w:sz="6" w:space="1"/>
        </w:pBd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3.5.4投标人须知前附表规定接受联合体投标的，本章第3.5.1项至第3.5.3项规定的表格和资料应包括联合体各方相关情况。</w:t>
      </w:r>
    </w:p>
    <w:p w14:paraId="42B0416E">
      <w:pPr>
        <w:pageBreakBefore w:val="0"/>
        <w:widowControl w:val="0"/>
        <w:pBdr>
          <w:bottom w:val="single" w:color="auto" w:sz="6" w:space="1"/>
        </w:pBdr>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注：具体详见第六章“投标文件格式”。</w:t>
      </w:r>
    </w:p>
    <w:p w14:paraId="4D170CE8">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3.7.3</w:t>
      </w:r>
      <w:r>
        <w:rPr>
          <w:rFonts w:hint="eastAsia" w:ascii="宋体" w:hAnsi="宋体" w:eastAsia="宋体"/>
          <w:b/>
          <w:bCs/>
          <w:color w:val="auto"/>
          <w:sz w:val="24"/>
          <w:szCs w:val="24"/>
          <w:highlight w:val="none"/>
          <w:lang w:val="en-US" w:eastAsia="zh-CN"/>
        </w:rPr>
        <w:t>至3.7.4</w:t>
      </w:r>
      <w:r>
        <w:rPr>
          <w:rFonts w:ascii="宋体" w:hAnsi="宋体" w:eastAsia="宋体"/>
          <w:b/>
          <w:bCs/>
          <w:color w:val="auto"/>
          <w:sz w:val="24"/>
          <w:szCs w:val="24"/>
          <w:highlight w:val="none"/>
        </w:rPr>
        <w:t xml:space="preserve">         修改类型：修改</w:t>
      </w:r>
    </w:p>
    <w:p w14:paraId="06E9526E">
      <w:pPr>
        <w:keepNext w:val="0"/>
        <w:keepLines w:val="0"/>
        <w:pageBreakBefore w:val="0"/>
        <w:widowControl w:val="0"/>
        <w:kinsoku w:val="0"/>
        <w:wordWrap w:val="0"/>
        <w:overflowPunct w:val="0"/>
        <w:topLinePunct w:val="0"/>
        <w:autoSpaceDE/>
        <w:autoSpaceDN/>
        <w:bidi w:val="0"/>
        <w:adjustRightInd/>
        <w:snapToGrid/>
        <w:spacing w:line="360" w:lineRule="auto"/>
        <w:ind w:right="0" w:firstLine="482" w:firstLineChars="200"/>
        <w:textAlignment w:val="auto"/>
        <w:rPr>
          <w:rFonts w:hint="eastAsia" w:ascii="宋体" w:hAnsi="宋体" w:eastAsia="宋体" w:cs="Times New Roman"/>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rPr>
        <w:t>3.7.3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广州交易集团有限公司（广州公共资源交易中心）网站关于全流程电子化项目的相关指南进行操作。</w:t>
      </w:r>
    </w:p>
    <w:p w14:paraId="492D4C34">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s="Times New Roman"/>
          <w:color w:val="auto"/>
          <w:sz w:val="24"/>
          <w:szCs w:val="24"/>
          <w:highlight w:val="none"/>
        </w:rPr>
        <w:t>3.7.4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若由联合体主办方法定代表人授权签字的电子投标文件需提供法定代表人证明及其授权委托书、授权委托人身份证扫描件。</w:t>
      </w:r>
    </w:p>
    <w:p w14:paraId="2AB1D0B0">
      <w:pPr>
        <w:keepNext w:val="0"/>
        <w:keepLines w:val="0"/>
        <w:pageBreakBefore w:val="0"/>
        <w:widowControl w:val="0"/>
        <w:kinsoku w:val="0"/>
        <w:wordWrap w:val="0"/>
        <w:overflowPunct w:val="0"/>
        <w:topLinePunct w:val="0"/>
        <w:autoSpaceDE/>
        <w:autoSpaceDN/>
        <w:bidi w:val="0"/>
        <w:adjustRightInd/>
        <w:snapToGrid/>
        <w:spacing w:line="360" w:lineRule="auto"/>
        <w:ind w:right="0" w:firstLine="482" w:firstLineChars="200"/>
        <w:textAlignment w:val="auto"/>
        <w:rPr>
          <w:rFonts w:hint="eastAsia" w:ascii="宋体" w:hAnsi="宋体" w:eastAsia="宋体" w:cs="Times New Roman"/>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rPr>
        <w:t>3.7.3投标文件全部采用电子文档，</w:t>
      </w:r>
      <w:r>
        <w:rPr>
          <w:rFonts w:hint="eastAsia" w:ascii="宋体" w:hAnsi="宋体" w:eastAsia="宋体"/>
          <w:b/>
          <w:bCs/>
          <w:color w:val="auto"/>
          <w:sz w:val="24"/>
          <w:szCs w:val="24"/>
          <w:highlight w:val="none"/>
          <w:u w:val="single"/>
        </w:rPr>
        <w:t>除招标文件另有规定外，</w:t>
      </w:r>
      <w:r>
        <w:rPr>
          <w:rFonts w:hint="eastAsia" w:ascii="宋体" w:hAnsi="宋体" w:eastAsia="宋体" w:cs="Times New Roman"/>
          <w:color w:val="auto"/>
          <w:sz w:val="24"/>
          <w:szCs w:val="24"/>
          <w:highlight w:val="none"/>
        </w:rPr>
        <w:t>投标文件所附证书证件均为</w:t>
      </w:r>
      <w:r>
        <w:rPr>
          <w:rFonts w:hint="eastAsia" w:ascii="宋体" w:hAnsi="宋体" w:eastAsia="宋体" w:cs="Times New Roman"/>
          <w:strike/>
          <w:dstrike w:val="0"/>
          <w:color w:val="auto"/>
          <w:sz w:val="24"/>
          <w:szCs w:val="24"/>
          <w:highlight w:val="none"/>
        </w:rPr>
        <w:t>原件</w:t>
      </w:r>
      <w:r>
        <w:rPr>
          <w:rFonts w:hint="eastAsia" w:ascii="宋体" w:hAnsi="宋体" w:eastAsia="宋体" w:cs="Times New Roman"/>
          <w:color w:val="auto"/>
          <w:sz w:val="24"/>
          <w:szCs w:val="24"/>
          <w:highlight w:val="none"/>
        </w:rPr>
        <w:t>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w:t>
      </w:r>
      <w:r>
        <w:rPr>
          <w:rFonts w:hint="default" w:ascii="宋体" w:hAnsi="宋体" w:eastAsia="宋体"/>
          <w:b/>
          <w:bCs/>
          <w:color w:val="auto"/>
          <w:sz w:val="24"/>
          <w:szCs w:val="24"/>
          <w:highlight w:val="none"/>
          <w:u w:val="single"/>
        </w:rPr>
        <w:t>投标文件格式规定盖单位公章的页面必须盖单位公章或电子公章（公章与电子公章具有相同法律效力）。</w:t>
      </w:r>
      <w:r>
        <w:rPr>
          <w:rFonts w:hint="eastAsia" w:ascii="宋体" w:hAnsi="宋体" w:eastAsia="宋体" w:cs="Times New Roman"/>
          <w:color w:val="auto"/>
          <w:sz w:val="24"/>
          <w:szCs w:val="24"/>
          <w:highlight w:val="none"/>
        </w:rPr>
        <w:t>按照广州交易集团有限公司（广州公共资源交易中心）网站关于全流程电子化项目的相关指南进行操作。</w:t>
      </w:r>
    </w:p>
    <w:p w14:paraId="30F4B951">
      <w:pPr>
        <w:pBdr>
          <w:bottom w:val="single" w:color="auto" w:sz="6" w:space="1"/>
        </w:pBd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s="Times New Roman"/>
          <w:color w:val="auto"/>
          <w:sz w:val="24"/>
          <w:szCs w:val="24"/>
          <w:highlight w:val="none"/>
        </w:rPr>
        <w:t>3.7.4联合体投标时，投标人封面及其他内容落款中的“投标人”</w:t>
      </w:r>
      <w:r>
        <w:rPr>
          <w:rFonts w:hint="default" w:ascii="宋体" w:hAnsi="宋体" w:eastAsia="宋体"/>
          <w:b/>
          <w:bCs/>
          <w:color w:val="auto"/>
          <w:sz w:val="24"/>
          <w:szCs w:val="24"/>
          <w:highlight w:val="none"/>
          <w:u w:val="single"/>
        </w:rPr>
        <w:t>“承诺企业”“声明企业”</w:t>
      </w:r>
      <w:r>
        <w:rPr>
          <w:rFonts w:hint="eastAsia" w:ascii="宋体" w:hAnsi="宋体" w:eastAsia="宋体" w:cs="Times New Roman"/>
          <w:color w:val="auto"/>
          <w:sz w:val="24"/>
          <w:szCs w:val="24"/>
          <w:highlight w:val="none"/>
        </w:rPr>
        <w:t>应填写联合体各方的单位全称【格式为：（主）XXXX公司（成）XXXX公司】</w:t>
      </w:r>
      <w:r>
        <w:rPr>
          <w:rFonts w:hint="default" w:ascii="宋体" w:hAnsi="宋体" w:eastAsia="宋体"/>
          <w:b/>
          <w:bCs/>
          <w:color w:val="auto"/>
          <w:sz w:val="24"/>
          <w:szCs w:val="24"/>
          <w:highlight w:val="none"/>
          <w:u w:val="single"/>
        </w:rPr>
        <w:t>（系统生成的单位名称除外）</w:t>
      </w:r>
      <w:r>
        <w:rPr>
          <w:rFonts w:hint="eastAsia" w:ascii="宋体" w:hAnsi="宋体" w:eastAsia="宋体" w:cs="Times New Roman"/>
          <w:color w:val="auto"/>
          <w:sz w:val="24"/>
          <w:szCs w:val="24"/>
          <w:highlight w:val="none"/>
        </w:rPr>
        <w:t>。除联合体共同投标协议需联合体各方按要求共同盖章</w:t>
      </w:r>
      <w:r>
        <w:rPr>
          <w:rFonts w:hint="eastAsia" w:ascii="宋体" w:hAnsi="宋体" w:eastAsia="宋体"/>
          <w:b/>
          <w:bCs/>
          <w:color w:val="auto"/>
          <w:sz w:val="24"/>
          <w:szCs w:val="24"/>
          <w:highlight w:val="none"/>
          <w:u w:val="single"/>
          <w:lang w:eastAsia="zh-CN"/>
        </w:rPr>
        <w:t>、</w:t>
      </w:r>
      <w:r>
        <w:rPr>
          <w:rFonts w:hint="eastAsia" w:ascii="宋体" w:hAnsi="宋体" w:eastAsia="宋体" w:cs="Times New Roman"/>
          <w:color w:val="auto"/>
          <w:sz w:val="24"/>
          <w:szCs w:val="24"/>
          <w:highlight w:val="none"/>
        </w:rPr>
        <w:t>签字</w:t>
      </w:r>
      <w:r>
        <w:rPr>
          <w:rFonts w:hint="eastAsia" w:ascii="宋体" w:hAnsi="宋体" w:eastAsia="宋体"/>
          <w:b/>
          <w:bCs/>
          <w:color w:val="auto"/>
          <w:sz w:val="24"/>
          <w:szCs w:val="24"/>
          <w:highlight w:val="none"/>
          <w:u w:val="single"/>
          <w:lang w:val="en-US" w:eastAsia="zh-CN"/>
        </w:rPr>
        <w:t>外</w:t>
      </w:r>
      <w:r>
        <w:rPr>
          <w:rFonts w:hint="eastAsia" w:ascii="宋体" w:hAnsi="宋体" w:eastAsia="宋体" w:cs="Times New Roman"/>
          <w:color w:val="auto"/>
          <w:sz w:val="24"/>
          <w:szCs w:val="24"/>
          <w:highlight w:val="none"/>
        </w:rPr>
        <w:t>，其余</w:t>
      </w:r>
      <w:r>
        <w:rPr>
          <w:rFonts w:hint="default" w:ascii="宋体" w:hAnsi="宋体" w:eastAsia="宋体"/>
          <w:b/>
          <w:bCs/>
          <w:color w:val="auto"/>
          <w:sz w:val="24"/>
          <w:szCs w:val="24"/>
          <w:highlight w:val="none"/>
          <w:u w:val="single"/>
        </w:rPr>
        <w:t>资料没有明确哪一方盖章的，若需要签字或盖章的均</w:t>
      </w:r>
      <w:r>
        <w:rPr>
          <w:rFonts w:hint="eastAsia" w:ascii="宋体" w:hAnsi="宋体" w:eastAsia="宋体" w:cs="Times New Roman"/>
          <w:color w:val="auto"/>
          <w:sz w:val="24"/>
          <w:szCs w:val="24"/>
          <w:highlight w:val="none"/>
        </w:rPr>
        <w:t>可由联合体主办方签字</w:t>
      </w:r>
      <w:r>
        <w:rPr>
          <w:rFonts w:hint="eastAsia" w:ascii="宋体" w:hAnsi="宋体" w:eastAsia="宋体"/>
          <w:b w:val="0"/>
          <w:bCs w:val="0"/>
          <w:strike/>
          <w:color w:val="auto"/>
          <w:sz w:val="24"/>
          <w:szCs w:val="24"/>
          <w:highlight w:val="none"/>
          <w:u w:val="none"/>
        </w:rPr>
        <w:t>、</w:t>
      </w:r>
      <w:r>
        <w:rPr>
          <w:rFonts w:hint="eastAsia" w:ascii="宋体" w:hAnsi="宋体" w:eastAsia="宋体" w:cs="宋体"/>
          <w:b/>
          <w:bCs/>
          <w:strike w:val="0"/>
          <w:color w:val="auto"/>
          <w:kern w:val="0"/>
          <w:sz w:val="24"/>
          <w:szCs w:val="24"/>
          <w:highlight w:val="none"/>
          <w:u w:val="single"/>
          <w:lang w:val="en-US" w:eastAsia="zh-CN"/>
        </w:rPr>
        <w:t>或</w:t>
      </w:r>
      <w:r>
        <w:rPr>
          <w:rFonts w:hint="eastAsia" w:ascii="宋体" w:hAnsi="宋体" w:eastAsia="宋体" w:cs="Times New Roman"/>
          <w:color w:val="auto"/>
          <w:sz w:val="24"/>
          <w:szCs w:val="24"/>
          <w:highlight w:val="none"/>
        </w:rPr>
        <w:t>盖章即可，由联合体主办方法人签字</w:t>
      </w:r>
      <w:r>
        <w:rPr>
          <w:rFonts w:hint="eastAsia" w:ascii="宋体" w:hAnsi="宋体" w:eastAsia="宋体"/>
          <w:b/>
          <w:bCs/>
          <w:color w:val="auto"/>
          <w:sz w:val="24"/>
          <w:szCs w:val="24"/>
          <w:highlight w:val="none"/>
          <w:u w:val="single"/>
          <w:lang w:eastAsia="zh-CN"/>
        </w:rPr>
        <w:t>（</w:t>
      </w:r>
      <w:r>
        <w:rPr>
          <w:rFonts w:hint="eastAsia" w:ascii="宋体" w:hAnsi="宋体" w:eastAsia="宋体"/>
          <w:b/>
          <w:bCs/>
          <w:color w:val="auto"/>
          <w:sz w:val="24"/>
          <w:szCs w:val="24"/>
          <w:highlight w:val="none"/>
          <w:u w:val="single"/>
          <w:lang w:val="en-US" w:eastAsia="zh-CN"/>
        </w:rPr>
        <w:t>或盖章</w:t>
      </w:r>
      <w:r>
        <w:rPr>
          <w:rFonts w:hint="eastAsia" w:ascii="宋体" w:hAnsi="宋体" w:eastAsia="宋体"/>
          <w:b/>
          <w:bCs/>
          <w:color w:val="auto"/>
          <w:sz w:val="24"/>
          <w:szCs w:val="24"/>
          <w:highlight w:val="none"/>
          <w:u w:val="single"/>
          <w:lang w:eastAsia="zh-CN"/>
        </w:rPr>
        <w:t>）</w:t>
      </w:r>
      <w:r>
        <w:rPr>
          <w:rFonts w:hint="eastAsia" w:ascii="宋体" w:hAnsi="宋体" w:eastAsia="宋体" w:cs="Times New Roman"/>
          <w:color w:val="auto"/>
          <w:sz w:val="24"/>
          <w:szCs w:val="24"/>
          <w:highlight w:val="none"/>
        </w:rPr>
        <w:t>的电子投标文件需提供主办方法定代表人证明</w:t>
      </w:r>
      <w:r>
        <w:rPr>
          <w:rFonts w:hint="eastAsia" w:ascii="宋体" w:hAnsi="宋体" w:eastAsia="宋体" w:cs="宋体"/>
          <w:b/>
          <w:bCs/>
          <w:color w:val="auto"/>
          <w:kern w:val="0"/>
          <w:sz w:val="24"/>
          <w:szCs w:val="24"/>
          <w:highlight w:val="none"/>
          <w:u w:val="single"/>
          <w:lang w:val="en-US" w:eastAsia="zh-CN"/>
        </w:rPr>
        <w:t>书</w:t>
      </w:r>
      <w:r>
        <w:rPr>
          <w:rFonts w:hint="eastAsia" w:ascii="宋体" w:hAnsi="宋体" w:eastAsia="宋体" w:cs="Times New Roman"/>
          <w:color w:val="auto"/>
          <w:sz w:val="24"/>
          <w:szCs w:val="24"/>
          <w:highlight w:val="none"/>
        </w:rPr>
        <w:t>，若由联合体主办方法定代表人授权签字</w:t>
      </w:r>
      <w:r>
        <w:rPr>
          <w:rFonts w:hint="eastAsia" w:ascii="宋体" w:hAnsi="宋体" w:eastAsia="宋体"/>
          <w:b/>
          <w:bCs/>
          <w:color w:val="auto"/>
          <w:sz w:val="24"/>
          <w:szCs w:val="24"/>
          <w:highlight w:val="none"/>
          <w:u w:val="single"/>
          <w:lang w:eastAsia="zh-CN"/>
        </w:rPr>
        <w:t>（</w:t>
      </w:r>
      <w:r>
        <w:rPr>
          <w:rFonts w:hint="eastAsia" w:ascii="宋体" w:hAnsi="宋体" w:eastAsia="宋体"/>
          <w:b/>
          <w:bCs/>
          <w:color w:val="auto"/>
          <w:sz w:val="24"/>
          <w:szCs w:val="24"/>
          <w:highlight w:val="none"/>
          <w:u w:val="single"/>
          <w:lang w:val="en-US" w:eastAsia="zh-CN"/>
        </w:rPr>
        <w:t>或盖章</w:t>
      </w:r>
      <w:r>
        <w:rPr>
          <w:rFonts w:hint="eastAsia" w:ascii="宋体" w:hAnsi="宋体" w:eastAsia="宋体"/>
          <w:b/>
          <w:bCs/>
          <w:color w:val="auto"/>
          <w:sz w:val="24"/>
          <w:szCs w:val="24"/>
          <w:highlight w:val="none"/>
          <w:u w:val="single"/>
          <w:lang w:eastAsia="zh-CN"/>
        </w:rPr>
        <w:t>）</w:t>
      </w:r>
      <w:r>
        <w:rPr>
          <w:rFonts w:hint="eastAsia" w:ascii="宋体" w:hAnsi="宋体" w:eastAsia="宋体" w:cs="Times New Roman"/>
          <w:color w:val="auto"/>
          <w:sz w:val="24"/>
          <w:szCs w:val="24"/>
          <w:highlight w:val="none"/>
        </w:rPr>
        <w:t>的电子投标文件需提供法定代表人证明</w:t>
      </w:r>
      <w:r>
        <w:rPr>
          <w:rFonts w:hint="eastAsia" w:ascii="宋体" w:hAnsi="宋体" w:eastAsia="宋体" w:cs="宋体"/>
          <w:b/>
          <w:bCs/>
          <w:color w:val="auto"/>
          <w:kern w:val="0"/>
          <w:sz w:val="24"/>
          <w:szCs w:val="24"/>
          <w:highlight w:val="none"/>
          <w:u w:val="single"/>
          <w:lang w:val="en-US" w:eastAsia="zh-CN"/>
        </w:rPr>
        <w:t>书</w:t>
      </w:r>
      <w:r>
        <w:rPr>
          <w:rFonts w:hint="eastAsia" w:ascii="宋体" w:hAnsi="宋体" w:eastAsia="宋体" w:cs="Times New Roman"/>
          <w:color w:val="auto"/>
          <w:sz w:val="24"/>
          <w:szCs w:val="24"/>
          <w:highlight w:val="none"/>
        </w:rPr>
        <w:t>及其授权委托书、授权委托人身份证扫描件。</w:t>
      </w:r>
    </w:p>
    <w:p w14:paraId="2856B95E">
      <w:pPr>
        <w:spacing w:line="360" w:lineRule="auto"/>
        <w:ind w:firstLine="426" w:firstLineChars="177"/>
        <w:rPr>
          <w:rFonts w:hint="eastAsia" w:ascii="宋体" w:hAnsi="宋体" w:eastAsia="宋体"/>
          <w:b/>
          <w:bCs/>
          <w:color w:val="auto"/>
          <w:sz w:val="24"/>
          <w:szCs w:val="24"/>
          <w:highlight w:val="none"/>
          <w:lang w:eastAsia="zh-CN"/>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4.3.5</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修改类型：</w:t>
      </w:r>
      <w:r>
        <w:rPr>
          <w:rFonts w:hint="eastAsia" w:ascii="宋体" w:hAnsi="宋体" w:eastAsia="宋体"/>
          <w:b/>
          <w:bCs/>
          <w:color w:val="auto"/>
          <w:sz w:val="24"/>
          <w:szCs w:val="24"/>
          <w:highlight w:val="none"/>
          <w:lang w:val="en-US" w:eastAsia="zh-CN"/>
        </w:rPr>
        <w:t>删除</w:t>
      </w:r>
    </w:p>
    <w:p w14:paraId="4E0C5472">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lang w:val="en-US" w:eastAsia="zh-CN"/>
        </w:rPr>
        <w:t>原</w:t>
      </w:r>
      <w:r>
        <w:rPr>
          <w:rFonts w:hint="eastAsia" w:ascii="宋体" w:hAnsi="宋体" w:eastAsia="宋体"/>
          <w:b/>
          <w:bCs/>
          <w:color w:val="auto"/>
          <w:sz w:val="24"/>
          <w:szCs w:val="24"/>
          <w:highlight w:val="none"/>
        </w:rPr>
        <w:t>文：</w:t>
      </w:r>
      <w:r>
        <w:rPr>
          <w:rFonts w:hint="eastAsia" w:ascii="宋体" w:hAnsi="宋体" w:eastAsia="宋体" w:cs="宋体"/>
          <w:color w:val="auto"/>
          <w:spacing w:val="-2"/>
          <w:kern w:val="0"/>
          <w:sz w:val="24"/>
          <w:szCs w:val="24"/>
          <w:highlight w:val="none"/>
        </w:rPr>
        <w:t>4.3.5 投标人撤回投标文件的，招标人自收到投标人书面撤回通知之日起5日内退还已收取的投标保证金。</w:t>
      </w:r>
    </w:p>
    <w:p w14:paraId="170735A7">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5.2.1</w:t>
      </w:r>
      <w:r>
        <w:rPr>
          <w:rFonts w:ascii="宋体" w:hAnsi="宋体" w:eastAsia="宋体"/>
          <w:b/>
          <w:bCs/>
          <w:color w:val="auto"/>
          <w:sz w:val="24"/>
          <w:szCs w:val="24"/>
          <w:highlight w:val="none"/>
        </w:rPr>
        <w:t xml:space="preserve">         修改类型：修改</w:t>
      </w:r>
    </w:p>
    <w:p w14:paraId="621A0F47">
      <w:pPr>
        <w:spacing w:line="360" w:lineRule="auto"/>
        <w:ind w:firstLine="426" w:firstLineChars="177"/>
        <w:rPr>
          <w:rFonts w:hint="eastAsia" w:ascii="宋体" w:hAnsi="宋体" w:eastAsia="宋体" w:cs="宋体"/>
          <w:color w:val="auto"/>
          <w:kern w:val="0"/>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5.2.1</w:t>
      </w:r>
      <w:r>
        <w:rPr>
          <w:rFonts w:hint="eastAsia" w:ascii="宋体" w:hAnsi="宋体" w:eastAsia="宋体" w:cs="Times New Roman"/>
          <w:color w:val="auto"/>
          <w:sz w:val="24"/>
          <w:szCs w:val="24"/>
          <w:highlight w:val="none"/>
        </w:rPr>
        <w:t>在投标截止时间后1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5AF03399">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kern w:val="0"/>
          <w:sz w:val="24"/>
          <w:szCs w:val="24"/>
          <w:highlight w:val="none"/>
        </w:rPr>
        <w:t>5.2.1</w:t>
      </w:r>
      <w:r>
        <w:rPr>
          <w:rFonts w:hint="eastAsia" w:ascii="宋体" w:hAnsi="宋体" w:eastAsia="宋体" w:cs="Times New Roman"/>
          <w:color w:val="auto"/>
          <w:sz w:val="24"/>
          <w:szCs w:val="24"/>
          <w:highlight w:val="none"/>
        </w:rPr>
        <w:t>在投标截止时间后1小时内，投标人通过递交投标文件的交易平台对已递交的电子投标文件进行解密。投标人完成解密后，再由招标人进行解密。解密完成后，公布招标</w:t>
      </w:r>
      <w:r>
        <w:rPr>
          <w:rFonts w:hint="eastAsia" w:ascii="宋体" w:hAnsi="宋体" w:eastAsia="宋体" w:cs="Times New Roman"/>
          <w:color w:val="auto"/>
          <w:sz w:val="24"/>
          <w:szCs w:val="24"/>
          <w:highlight w:val="none"/>
          <w:u w:val="single"/>
          <w:lang w:val="en-US" w:eastAsia="zh-CN"/>
        </w:rPr>
        <w:t>标段</w:t>
      </w:r>
      <w:r>
        <w:rPr>
          <w:rFonts w:hint="eastAsia" w:ascii="宋体" w:hAnsi="宋体" w:eastAsia="宋体" w:cs="Times New Roman"/>
          <w:color w:val="auto"/>
          <w:sz w:val="24"/>
          <w:szCs w:val="24"/>
          <w:highlight w:val="none"/>
          <w:u w:val="single"/>
        </w:rPr>
        <w:t>项目名称</w:t>
      </w:r>
      <w:r>
        <w:rPr>
          <w:rFonts w:hint="eastAsia" w:ascii="宋体" w:hAnsi="宋体" w:eastAsia="宋体" w:cs="Times New Roman"/>
          <w:color w:val="auto"/>
          <w:sz w:val="24"/>
          <w:szCs w:val="24"/>
          <w:highlight w:val="none"/>
        </w:rPr>
        <w:t>、投标人名称、</w:t>
      </w:r>
      <w:r>
        <w:rPr>
          <w:rFonts w:hint="eastAsia" w:ascii="宋体" w:hAnsi="宋体" w:eastAsia="宋体" w:cs="Times New Roman"/>
          <w:strike/>
          <w:dstrike w:val="0"/>
          <w:color w:val="auto"/>
          <w:sz w:val="24"/>
          <w:szCs w:val="24"/>
          <w:highlight w:val="none"/>
        </w:rPr>
        <w:t>投标保证金的递交情况、</w:t>
      </w:r>
      <w:r>
        <w:rPr>
          <w:rFonts w:hint="eastAsia" w:ascii="宋体" w:hAnsi="宋体" w:eastAsia="宋体" w:cs="Times New Roman"/>
          <w:color w:val="auto"/>
          <w:sz w:val="24"/>
          <w:szCs w:val="24"/>
          <w:highlight w:val="none"/>
        </w:rPr>
        <w:t>投标报价、项目负责人及其他内容。未在规定时间内解密的投标文件不参与开标、评标。</w:t>
      </w:r>
    </w:p>
    <w:p w14:paraId="556BC33C">
      <w:pPr>
        <w:spacing w:line="360" w:lineRule="auto"/>
        <w:ind w:firstLine="426" w:firstLineChars="177"/>
        <w:rPr>
          <w:rFonts w:hint="eastAsia" w:ascii="宋体" w:hAnsi="宋体" w:eastAsia="宋体"/>
          <w:b/>
          <w:bCs/>
          <w:color w:val="auto"/>
          <w:sz w:val="24"/>
          <w:szCs w:val="24"/>
          <w:highlight w:val="none"/>
          <w:lang w:eastAsia="zh-CN"/>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6.1.4</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修改类型：</w:t>
      </w:r>
      <w:r>
        <w:rPr>
          <w:rFonts w:hint="eastAsia" w:ascii="宋体" w:hAnsi="宋体" w:eastAsia="宋体"/>
          <w:b/>
          <w:bCs/>
          <w:color w:val="auto"/>
          <w:sz w:val="24"/>
          <w:szCs w:val="24"/>
          <w:highlight w:val="none"/>
          <w:lang w:val="en-US" w:eastAsia="zh-CN"/>
        </w:rPr>
        <w:t>增加</w:t>
      </w:r>
    </w:p>
    <w:p w14:paraId="4CE7A4FE">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b/>
          <w:bCs/>
          <w:color w:val="auto"/>
          <w:sz w:val="24"/>
          <w:szCs w:val="24"/>
          <w:highlight w:val="none"/>
          <w:u w:val="single"/>
        </w:rPr>
        <w:t>6.1.4 评标委员会在开始评标前，应了解评标专家的职责及守则，认真阅读附件《评标委员会成员声明》的内容并签名，签名后方可进行评标。</w:t>
      </w:r>
    </w:p>
    <w:p w14:paraId="1B775D21">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7.1.2</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修改类型：修改</w:t>
      </w:r>
    </w:p>
    <w:p w14:paraId="5CCDDB2B">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7.1.2在产生中标候选人后，招标人将中标候选人的投标文件商务部分（包括、人员、业绩、奖项等资料）在广州交易集团有限公司（广州公共资源交易中心）网站和广东省招标投标监管网公开。</w:t>
      </w:r>
    </w:p>
    <w:p w14:paraId="13096CE4">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kern w:val="0"/>
          <w:sz w:val="24"/>
          <w:szCs w:val="24"/>
          <w:highlight w:val="none"/>
        </w:rPr>
        <w:t>7.1.2在产生中标候选人后，招标人将中标候选人的投标文件商务部分（包括、人员、业绩、奖项等资料</w:t>
      </w:r>
      <w:r>
        <w:rPr>
          <w:rFonts w:hint="eastAsia" w:ascii="宋体" w:hAnsi="宋体" w:eastAsia="宋体" w:cs="宋体"/>
          <w:b/>
          <w:bCs/>
          <w:color w:val="auto"/>
          <w:kern w:val="0"/>
          <w:sz w:val="24"/>
          <w:szCs w:val="24"/>
          <w:highlight w:val="none"/>
          <w:u w:val="single"/>
        </w:rPr>
        <w:t>，但报价清单、方案等涉及商业秘密的内容除外</w:t>
      </w:r>
      <w:r>
        <w:rPr>
          <w:rFonts w:hint="eastAsia" w:ascii="宋体" w:hAnsi="宋体" w:eastAsia="宋体" w:cs="宋体"/>
          <w:color w:val="auto"/>
          <w:kern w:val="0"/>
          <w:sz w:val="24"/>
          <w:szCs w:val="24"/>
          <w:highlight w:val="none"/>
        </w:rPr>
        <w:t>）在广州交易集团有限公司（广州公共资源交易中心）网站和广东省招标投标监管网公开。</w:t>
      </w:r>
    </w:p>
    <w:p w14:paraId="0A67314B">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7.5.1</w:t>
      </w:r>
      <w:r>
        <w:rPr>
          <w:rFonts w:ascii="宋体" w:hAnsi="宋体" w:eastAsia="宋体"/>
          <w:b/>
          <w:bCs/>
          <w:color w:val="auto"/>
          <w:sz w:val="24"/>
          <w:szCs w:val="24"/>
          <w:highlight w:val="none"/>
        </w:rPr>
        <w:t xml:space="preserve">         修改类型：修改</w:t>
      </w:r>
    </w:p>
    <w:p w14:paraId="15A4AF96">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7.5.1在本章第3.3款规定的投标有效期内，招标人向中标人发出中标通知书。在广东省招标投标监管网和广州交易集团有限公司（广州公共资源交易中心）网站发布中标信息，视同将中标结果通知未中标的投标人。</w:t>
      </w:r>
    </w:p>
    <w:p w14:paraId="75FF8A6A">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kern w:val="0"/>
          <w:sz w:val="24"/>
          <w:szCs w:val="24"/>
          <w:highlight w:val="none"/>
        </w:rPr>
        <w:t>7.5.1在本章第3.3款规定的投标有效期内，招标人向中标人发出中标通知书</w:t>
      </w:r>
      <w:r>
        <w:rPr>
          <w:rFonts w:hint="eastAsia" w:ascii="宋体" w:hAnsi="宋体" w:eastAsia="宋体"/>
          <w:b/>
          <w:bCs/>
          <w:color w:val="auto"/>
          <w:sz w:val="24"/>
          <w:szCs w:val="24"/>
          <w:highlight w:val="none"/>
          <w:u w:val="single"/>
          <w:lang w:eastAsia="zh-CN"/>
        </w:rPr>
        <w:t>，中标人自行于广州交易集团有限公司（广州公共资源交易中心）交易平台下载中标通知书</w:t>
      </w:r>
      <w:r>
        <w:rPr>
          <w:rFonts w:hint="eastAsia" w:ascii="宋体" w:hAnsi="宋体" w:eastAsia="宋体" w:cs="宋体"/>
          <w:color w:val="auto"/>
          <w:kern w:val="0"/>
          <w:sz w:val="24"/>
          <w:szCs w:val="24"/>
          <w:highlight w:val="none"/>
        </w:rPr>
        <w:t>。在广东省招标投标监管网和广州交易集团有限公司（广州公共资源交易中心）网站发布中标信息，视同将中标结果通知未中标的投标人。</w:t>
      </w:r>
      <w:r>
        <w:rPr>
          <w:rFonts w:hint="default" w:ascii="宋体" w:hAnsi="宋体" w:eastAsia="宋体"/>
          <w:b/>
          <w:bCs/>
          <w:color w:val="auto"/>
          <w:sz w:val="24"/>
          <w:szCs w:val="24"/>
          <w:highlight w:val="none"/>
          <w:u w:val="single"/>
        </w:rPr>
        <w:t>中标人须对其投标文件真实性负责，并准备投标文件涉及的所有原件待查，如存在弄虚作假情况或原件不齐或与原件不符的，招标人有权取消其中标人资格，并上报建设行政主管部门。</w:t>
      </w:r>
    </w:p>
    <w:p w14:paraId="26816399">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7.6</w:t>
      </w:r>
      <w:r>
        <w:rPr>
          <w:rFonts w:ascii="宋体" w:hAnsi="宋体" w:eastAsia="宋体"/>
          <w:b/>
          <w:bCs/>
          <w:color w:val="auto"/>
          <w:sz w:val="24"/>
          <w:szCs w:val="24"/>
          <w:highlight w:val="none"/>
        </w:rPr>
        <w:t xml:space="preserve">         修改类型：修改</w:t>
      </w:r>
    </w:p>
    <w:p w14:paraId="2D9E57F7">
      <w:pPr>
        <w:spacing w:line="360" w:lineRule="auto"/>
        <w:ind w:firstLine="426" w:firstLineChars="177"/>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7.</w:t>
      </w:r>
      <w:r>
        <w:rPr>
          <w:rFonts w:hint="eastAsia" w:ascii="宋体" w:hAnsi="宋体" w:eastAsia="宋体"/>
          <w:b/>
          <w:bCs/>
          <w:color w:val="auto"/>
          <w:sz w:val="24"/>
          <w:szCs w:val="24"/>
          <w:highlight w:val="none"/>
          <w:lang w:val="en-US" w:eastAsia="zh-CN"/>
        </w:rPr>
        <w:t>6</w:t>
      </w:r>
      <w:r>
        <w:rPr>
          <w:rFonts w:hint="eastAsia" w:ascii="宋体" w:hAnsi="宋体" w:eastAsia="宋体"/>
          <w:b/>
          <w:bCs/>
          <w:color w:val="auto"/>
          <w:sz w:val="24"/>
          <w:szCs w:val="24"/>
          <w:highlight w:val="none"/>
        </w:rPr>
        <w:t>履约保证金</w:t>
      </w:r>
    </w:p>
    <w:p w14:paraId="3B394A5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2783248">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s="Times New Roman"/>
          <w:color w:val="auto"/>
          <w:sz w:val="24"/>
          <w:szCs w:val="24"/>
          <w:highlight w:val="none"/>
        </w:rPr>
        <w:t>7.6.2中标人不能按本章第7.6.1项要求提交履约保证金的，视为放弃中标，其投标保证金不予退还，给招标人造成的损失超过投标保证金数额的，中标人还应当对超过部分予以赔偿。</w:t>
      </w:r>
    </w:p>
    <w:p w14:paraId="0F533A24">
      <w:pPr>
        <w:spacing w:line="360" w:lineRule="auto"/>
        <w:ind w:firstLine="426" w:firstLineChars="177"/>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现文：7.</w:t>
      </w:r>
      <w:r>
        <w:rPr>
          <w:rFonts w:hint="eastAsia" w:ascii="宋体" w:hAnsi="宋体" w:eastAsia="宋体"/>
          <w:b/>
          <w:bCs/>
          <w:color w:val="auto"/>
          <w:sz w:val="24"/>
          <w:szCs w:val="24"/>
          <w:highlight w:val="none"/>
          <w:lang w:val="en-US" w:eastAsia="zh-CN"/>
        </w:rPr>
        <w:t>6</w:t>
      </w:r>
      <w:r>
        <w:rPr>
          <w:rFonts w:hint="eastAsia" w:ascii="宋体" w:hAnsi="宋体" w:eastAsia="宋体"/>
          <w:b/>
          <w:bCs/>
          <w:color w:val="auto"/>
          <w:sz w:val="24"/>
          <w:szCs w:val="24"/>
          <w:highlight w:val="none"/>
        </w:rPr>
        <w:t>履约保证金</w:t>
      </w:r>
      <w:r>
        <w:rPr>
          <w:rFonts w:hint="eastAsia" w:ascii="宋体" w:hAnsi="宋体" w:eastAsia="宋体" w:cs="宋体"/>
          <w:b/>
          <w:bCs/>
          <w:color w:val="auto"/>
          <w:spacing w:val="-2"/>
          <w:kern w:val="0"/>
          <w:sz w:val="24"/>
          <w:szCs w:val="24"/>
          <w:highlight w:val="none"/>
          <w:u w:val="single"/>
        </w:rPr>
        <w:t>（本项目不适用）</w:t>
      </w:r>
    </w:p>
    <w:p w14:paraId="3EE5AAE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1D96366">
      <w:pPr>
        <w:pBdr>
          <w:bottom w:val="single" w:color="auto" w:sz="6" w:space="1"/>
        </w:pBdr>
        <w:spacing w:line="360" w:lineRule="auto"/>
        <w:ind w:firstLine="424" w:firstLineChars="177"/>
        <w:rPr>
          <w:rFonts w:ascii="宋体" w:hAnsi="宋体" w:eastAsia="宋体"/>
          <w:b/>
          <w:bCs/>
          <w:strike/>
          <w:dstrike w:val="0"/>
          <w:color w:val="auto"/>
          <w:sz w:val="24"/>
          <w:szCs w:val="24"/>
          <w:highlight w:val="none"/>
          <w:u w:val="single"/>
        </w:rPr>
      </w:pPr>
      <w:r>
        <w:rPr>
          <w:rFonts w:hint="eastAsia" w:ascii="宋体" w:hAnsi="宋体" w:eastAsia="宋体" w:cs="Times New Roman"/>
          <w:strike/>
          <w:dstrike w:val="0"/>
          <w:color w:val="auto"/>
          <w:sz w:val="24"/>
          <w:szCs w:val="24"/>
          <w:highlight w:val="none"/>
        </w:rPr>
        <w:t>7.6.2中标人不能按本章第7.6.1项要求提交履约保证金的，视为放弃中标，其投标保证金不予退还，给招标人造成的损失超过投标保证金数额的，中标人还应当对超过部分予以赔偿。</w:t>
      </w:r>
    </w:p>
    <w:p w14:paraId="054B9B9D">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7.7.1至7.7.2</w:t>
      </w:r>
      <w:r>
        <w:rPr>
          <w:rFonts w:ascii="宋体" w:hAnsi="宋体" w:eastAsia="宋体"/>
          <w:b/>
          <w:bCs/>
          <w:color w:val="auto"/>
          <w:sz w:val="24"/>
          <w:szCs w:val="24"/>
          <w:highlight w:val="none"/>
        </w:rPr>
        <w:t xml:space="preserve">         修改类型：修改</w:t>
      </w:r>
    </w:p>
    <w:p w14:paraId="1CEA9A44">
      <w:pPr>
        <w:keepNext w:val="0"/>
        <w:keepLines w:val="0"/>
        <w:pageBreakBefore w:val="0"/>
        <w:widowControl w:val="0"/>
        <w:kinsoku/>
        <w:wordWrap w:val="0"/>
        <w:overflowPunct w:val="0"/>
        <w:topLinePunct w:val="0"/>
        <w:autoSpaceDE/>
        <w:autoSpaceDN/>
        <w:bidi w:val="0"/>
        <w:adjustRightInd/>
        <w:snapToGrid/>
        <w:spacing w:line="360" w:lineRule="auto"/>
        <w:ind w:right="0" w:firstLine="482" w:firstLineChars="200"/>
        <w:textAlignment w:val="auto"/>
        <w:rPr>
          <w:rFonts w:hint="eastAsia" w:ascii="宋体" w:hAnsi="宋体" w:eastAsia="宋体" w:cs="Times New Roman"/>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rPr>
        <w:t>7.7.1招标人和中标人应当在中标通知书发出之日起30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BD0B360">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s="Times New Roman"/>
          <w:color w:val="auto"/>
          <w:sz w:val="24"/>
          <w:szCs w:val="24"/>
          <w:highlight w:val="none"/>
        </w:rPr>
        <w:t>7.7.2发出中标通知书后，招标人无正当理由拒签合同，或者在签订合同时向中标人提出附加条件的，招标人向中标人退还投标保证金；给中标人造成损失的，还应当赔偿损失。</w:t>
      </w:r>
    </w:p>
    <w:p w14:paraId="42F2211E">
      <w:pPr>
        <w:keepNext w:val="0"/>
        <w:keepLines w:val="0"/>
        <w:pageBreakBefore w:val="0"/>
        <w:widowControl w:val="0"/>
        <w:kinsoku/>
        <w:wordWrap w:val="0"/>
        <w:overflowPunct w:val="0"/>
        <w:topLinePunct w:val="0"/>
        <w:autoSpaceDE/>
        <w:autoSpaceDN/>
        <w:bidi w:val="0"/>
        <w:adjustRightInd/>
        <w:snapToGrid/>
        <w:spacing w:line="360" w:lineRule="auto"/>
        <w:ind w:right="0" w:firstLine="482" w:firstLineChars="200"/>
        <w:textAlignment w:val="auto"/>
        <w:rPr>
          <w:rFonts w:hint="eastAsia" w:ascii="宋体" w:hAnsi="宋体" w:eastAsia="宋体" w:cs="Times New Roman"/>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rPr>
        <w:t>7.7.1招标人和中标人应当在中标通知书发出之日起30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w:t>
      </w:r>
      <w:r>
        <w:rPr>
          <w:rFonts w:hint="eastAsia" w:ascii="宋体" w:hAnsi="宋体" w:eastAsia="宋体" w:cs="Times New Roman"/>
          <w:strike/>
          <w:dstrike w:val="0"/>
          <w:color w:val="auto"/>
          <w:sz w:val="24"/>
          <w:szCs w:val="24"/>
          <w:highlight w:val="none"/>
        </w:rPr>
        <w:t>，或者不按照招标文件要求提交履约保证金的</w:t>
      </w:r>
      <w:r>
        <w:rPr>
          <w:rFonts w:hint="eastAsia" w:ascii="宋体" w:hAnsi="宋体" w:eastAsia="宋体" w:cs="Times New Roman"/>
          <w:color w:val="auto"/>
          <w:sz w:val="24"/>
          <w:szCs w:val="24"/>
          <w:highlight w:val="none"/>
        </w:rPr>
        <w:t>，招标人有权取消其中标资格</w:t>
      </w:r>
      <w:r>
        <w:rPr>
          <w:rFonts w:hint="eastAsia" w:ascii="宋体" w:hAnsi="宋体" w:eastAsia="宋体" w:cs="Times New Roman"/>
          <w:strike/>
          <w:dstrike w:val="0"/>
          <w:color w:val="auto"/>
          <w:sz w:val="24"/>
          <w:szCs w:val="24"/>
          <w:highlight w:val="none"/>
        </w:rPr>
        <w:t>，其投标保证金不予退还</w:t>
      </w:r>
      <w:r>
        <w:rPr>
          <w:rFonts w:hint="eastAsia" w:ascii="宋体" w:hAnsi="宋体" w:eastAsia="宋体" w:cs="Times New Roman"/>
          <w:color w:val="auto"/>
          <w:sz w:val="24"/>
          <w:szCs w:val="24"/>
          <w:highlight w:val="none"/>
        </w:rPr>
        <w:t>；给招标人造成</w:t>
      </w:r>
      <w:r>
        <w:rPr>
          <w:rFonts w:hint="eastAsia" w:ascii="宋体" w:hAnsi="宋体" w:eastAsia="宋体" w:cs="Times New Roman"/>
          <w:strike/>
          <w:dstrike w:val="0"/>
          <w:color w:val="auto"/>
          <w:sz w:val="24"/>
          <w:szCs w:val="24"/>
          <w:highlight w:val="none"/>
        </w:rPr>
        <w:t>的</w:t>
      </w:r>
      <w:r>
        <w:rPr>
          <w:rFonts w:hint="eastAsia" w:ascii="宋体" w:hAnsi="宋体" w:eastAsia="宋体" w:cs="Times New Roman"/>
          <w:color w:val="auto"/>
          <w:sz w:val="24"/>
          <w:szCs w:val="24"/>
          <w:highlight w:val="none"/>
        </w:rPr>
        <w:t>损失</w:t>
      </w:r>
      <w:r>
        <w:rPr>
          <w:rFonts w:hint="eastAsia" w:ascii="宋体" w:hAnsi="宋体" w:eastAsia="宋体" w:cs="Times New Roman"/>
          <w:strike/>
          <w:dstrike w:val="0"/>
          <w:color w:val="auto"/>
          <w:sz w:val="24"/>
          <w:szCs w:val="24"/>
          <w:highlight w:val="none"/>
        </w:rPr>
        <w:t>超过投标保证金数额</w:t>
      </w:r>
      <w:r>
        <w:rPr>
          <w:rFonts w:hint="eastAsia" w:ascii="宋体" w:hAnsi="宋体" w:eastAsia="宋体" w:cs="Times New Roman"/>
          <w:color w:val="auto"/>
          <w:sz w:val="24"/>
          <w:szCs w:val="24"/>
          <w:highlight w:val="none"/>
        </w:rPr>
        <w:t>的，中标人还应当</w:t>
      </w:r>
      <w:r>
        <w:rPr>
          <w:rFonts w:hint="eastAsia" w:ascii="宋体" w:hAnsi="宋体" w:eastAsia="宋体" w:cs="Times New Roman"/>
          <w:strike/>
          <w:dstrike w:val="0"/>
          <w:color w:val="auto"/>
          <w:sz w:val="24"/>
          <w:szCs w:val="24"/>
          <w:highlight w:val="none"/>
        </w:rPr>
        <w:t>对超过部分</w:t>
      </w:r>
      <w:r>
        <w:rPr>
          <w:rFonts w:hint="eastAsia" w:ascii="宋体" w:hAnsi="宋体" w:eastAsia="宋体" w:cs="Times New Roman"/>
          <w:color w:val="auto"/>
          <w:sz w:val="24"/>
          <w:szCs w:val="24"/>
          <w:highlight w:val="none"/>
        </w:rPr>
        <w:t>予以赔偿。</w:t>
      </w:r>
    </w:p>
    <w:p w14:paraId="5184C42A">
      <w:pPr>
        <w:pBdr>
          <w:bottom w:val="single" w:color="auto" w:sz="6" w:space="1"/>
        </w:pBdr>
        <w:spacing w:line="360" w:lineRule="auto"/>
        <w:ind w:firstLine="424" w:firstLineChars="177"/>
        <w:rPr>
          <w:rFonts w:ascii="宋体" w:hAnsi="宋体" w:eastAsia="宋体"/>
          <w:b/>
          <w:bCs/>
          <w:strike/>
          <w:dstrike w:val="0"/>
          <w:color w:val="auto"/>
          <w:sz w:val="24"/>
          <w:szCs w:val="24"/>
          <w:highlight w:val="none"/>
          <w:u w:val="single"/>
        </w:rPr>
      </w:pPr>
      <w:r>
        <w:rPr>
          <w:rFonts w:hint="eastAsia" w:ascii="宋体" w:hAnsi="宋体" w:eastAsia="宋体" w:cs="Times New Roman"/>
          <w:color w:val="auto"/>
          <w:sz w:val="24"/>
          <w:szCs w:val="24"/>
          <w:highlight w:val="none"/>
        </w:rPr>
        <w:t>7.7.2发出中标通知书后，招标人无正当理由拒签合同，或者在签订合同时向中标人提出附加条件的，</w:t>
      </w:r>
      <w:r>
        <w:rPr>
          <w:rFonts w:hint="eastAsia" w:ascii="宋体" w:hAnsi="宋体" w:eastAsia="宋体" w:cs="Times New Roman"/>
          <w:strike/>
          <w:dstrike w:val="0"/>
          <w:color w:val="auto"/>
          <w:sz w:val="24"/>
          <w:szCs w:val="24"/>
          <w:highlight w:val="none"/>
        </w:rPr>
        <w:t>招标人向中标人退还投标保证金；</w:t>
      </w:r>
      <w:r>
        <w:rPr>
          <w:rFonts w:hint="eastAsia" w:ascii="宋体" w:hAnsi="宋体" w:eastAsia="宋体" w:cs="Times New Roman"/>
          <w:color w:val="auto"/>
          <w:sz w:val="24"/>
          <w:szCs w:val="24"/>
          <w:highlight w:val="none"/>
        </w:rPr>
        <w:t>给中标人造成损失的，还应当赔偿损失。</w:t>
      </w:r>
    </w:p>
    <w:p w14:paraId="4285CF41">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 xml:space="preserve">10.  </w:t>
      </w:r>
      <w:r>
        <w:rPr>
          <w:rFonts w:ascii="宋体" w:hAnsi="宋体" w:eastAsia="宋体"/>
          <w:b/>
          <w:bCs/>
          <w:color w:val="auto"/>
          <w:sz w:val="24"/>
          <w:szCs w:val="24"/>
          <w:highlight w:val="none"/>
        </w:rPr>
        <w:t xml:space="preserve">         修改类型：修改</w:t>
      </w:r>
    </w:p>
    <w:p w14:paraId="2045AE47">
      <w:pPr>
        <w:spacing w:line="360" w:lineRule="auto"/>
        <w:ind w:firstLine="426" w:firstLineChars="177"/>
        <w:rPr>
          <w:rFonts w:hint="eastAsia" w:ascii="宋体" w:hAnsi="宋体" w:eastAsia="宋体"/>
          <w:b w:val="0"/>
          <w:bCs w:val="0"/>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val="0"/>
          <w:bCs w:val="0"/>
          <w:color w:val="auto"/>
          <w:sz w:val="24"/>
          <w:szCs w:val="24"/>
          <w:highlight w:val="none"/>
        </w:rPr>
        <w:t>10.  重新招标情形</w:t>
      </w:r>
    </w:p>
    <w:p w14:paraId="60A6500E">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在下列情况下，依法必须招标项目的招标人在分析招标失败的原因并采取相应措施后，应当依照本办法重新招标：</w:t>
      </w:r>
    </w:p>
    <w:p w14:paraId="347B1A55">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（一）资格审查合格的投标人不足三个的；</w:t>
      </w:r>
    </w:p>
    <w:p w14:paraId="353E359A">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（二）在投标截止时间前提交投标文件的投标人少于三个的；</w:t>
      </w:r>
    </w:p>
    <w:p w14:paraId="4BE31D64">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（三）所有投标均被否决的；</w:t>
      </w:r>
    </w:p>
    <w:p w14:paraId="127036D5">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（四）评标委员会否决不合格投标后，因有效投标不足三个使得投标明显缺乏竞争，评标委员会决定否决全部投标的；</w:t>
      </w:r>
    </w:p>
    <w:p w14:paraId="6449370F">
      <w:pPr>
        <w:spacing w:line="360" w:lineRule="auto"/>
        <w:ind w:firstLine="424" w:firstLineChars="177"/>
        <w:rPr>
          <w:rFonts w:ascii="宋体" w:hAnsi="宋体" w:eastAsia="宋体"/>
          <w:b w:val="0"/>
          <w:bCs w:val="0"/>
          <w:color w:val="auto"/>
          <w:sz w:val="24"/>
          <w:szCs w:val="24"/>
          <w:highlight w:val="none"/>
          <w:u w:val="single"/>
        </w:rPr>
      </w:pPr>
      <w:r>
        <w:rPr>
          <w:rFonts w:hint="eastAsia" w:ascii="宋体" w:hAnsi="宋体" w:eastAsia="宋体"/>
          <w:b w:val="0"/>
          <w:bCs w:val="0"/>
          <w:color w:val="auto"/>
          <w:sz w:val="24"/>
          <w:szCs w:val="24"/>
          <w:highlight w:val="none"/>
        </w:rPr>
        <w:t>（五）符合法律法规需重新招标的其他情形。</w:t>
      </w:r>
    </w:p>
    <w:p w14:paraId="4623EBD5">
      <w:pPr>
        <w:spacing w:line="360" w:lineRule="auto"/>
        <w:ind w:firstLine="426" w:firstLineChars="177"/>
        <w:rPr>
          <w:rFonts w:hint="eastAsia" w:ascii="宋体" w:hAnsi="宋体" w:eastAsia="宋体"/>
          <w:b w:val="0"/>
          <w:bCs w:val="0"/>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b w:val="0"/>
          <w:bCs w:val="0"/>
          <w:color w:val="auto"/>
          <w:sz w:val="24"/>
          <w:szCs w:val="24"/>
          <w:highlight w:val="none"/>
        </w:rPr>
        <w:t>10.  重新招标情形</w:t>
      </w:r>
    </w:p>
    <w:p w14:paraId="78A48461">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在下列情况下，依法必须招标</w:t>
      </w:r>
      <w:r>
        <w:rPr>
          <w:rFonts w:hint="eastAsia" w:ascii="宋体" w:hAnsi="宋体" w:eastAsia="宋体"/>
          <w:b w:val="0"/>
          <w:bCs w:val="0"/>
          <w:strike/>
          <w:dstrike w:val="0"/>
          <w:color w:val="auto"/>
          <w:sz w:val="24"/>
          <w:szCs w:val="24"/>
          <w:highlight w:val="none"/>
          <w:u w:val="none"/>
        </w:rPr>
        <w:t>项目</w:t>
      </w:r>
      <w:r>
        <w:rPr>
          <w:rFonts w:hint="eastAsia" w:ascii="宋体" w:hAnsi="宋体" w:eastAsia="宋体"/>
          <w:b w:val="0"/>
          <w:bCs w:val="0"/>
          <w:strike w:val="0"/>
          <w:dstrike w:val="0"/>
          <w:color w:val="auto"/>
          <w:sz w:val="24"/>
          <w:szCs w:val="24"/>
          <w:highlight w:val="none"/>
          <w:u w:val="single"/>
          <w:lang w:val="en-US" w:eastAsia="zh-CN"/>
        </w:rPr>
        <w:t>标段</w:t>
      </w:r>
      <w:r>
        <w:rPr>
          <w:rFonts w:hint="eastAsia" w:ascii="宋体" w:hAnsi="宋体" w:eastAsia="宋体"/>
          <w:b w:val="0"/>
          <w:bCs w:val="0"/>
          <w:color w:val="auto"/>
          <w:sz w:val="24"/>
          <w:szCs w:val="24"/>
          <w:highlight w:val="none"/>
        </w:rPr>
        <w:t>的招标人在分析招标失败的原因并采取相应措施后，应当依照本办法重新招标：</w:t>
      </w:r>
    </w:p>
    <w:p w14:paraId="026C1B9E">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（一）资格审查合格的投标人不足</w:t>
      </w:r>
      <w:r>
        <w:rPr>
          <w:rFonts w:hint="eastAsia" w:ascii="宋体" w:hAnsi="宋体" w:eastAsia="宋体"/>
          <w:b w:val="0"/>
          <w:bCs w:val="0"/>
          <w:strike/>
          <w:dstrike w:val="0"/>
          <w:color w:val="auto"/>
          <w:sz w:val="24"/>
          <w:szCs w:val="24"/>
          <w:highlight w:val="none"/>
          <w:lang w:val="en-US" w:eastAsia="zh-CN"/>
        </w:rPr>
        <w:t>三</w:t>
      </w:r>
      <w:r>
        <w:rPr>
          <w:rFonts w:hint="eastAsia" w:ascii="宋体" w:hAnsi="宋体" w:eastAsia="宋体"/>
          <w:b w:val="0"/>
          <w:bCs w:val="0"/>
          <w:color w:val="auto"/>
          <w:sz w:val="24"/>
          <w:szCs w:val="24"/>
          <w:highlight w:val="none"/>
          <w:u w:val="single"/>
          <w:lang w:val="en-US" w:eastAsia="zh-CN"/>
        </w:rPr>
        <w:t>四</w:t>
      </w:r>
      <w:r>
        <w:rPr>
          <w:rFonts w:hint="eastAsia" w:ascii="宋体" w:hAnsi="宋体" w:eastAsia="宋体"/>
          <w:b w:val="0"/>
          <w:bCs w:val="0"/>
          <w:color w:val="auto"/>
          <w:sz w:val="24"/>
          <w:szCs w:val="24"/>
          <w:highlight w:val="none"/>
        </w:rPr>
        <w:t>个的；</w:t>
      </w:r>
    </w:p>
    <w:p w14:paraId="3699C443">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（二）在投标截止时间前提交投标文件的投标人少于</w:t>
      </w:r>
      <w:r>
        <w:rPr>
          <w:rFonts w:hint="eastAsia" w:ascii="宋体" w:hAnsi="宋体" w:eastAsia="宋体"/>
          <w:b w:val="0"/>
          <w:bCs w:val="0"/>
          <w:strike/>
          <w:dstrike w:val="0"/>
          <w:color w:val="auto"/>
          <w:sz w:val="24"/>
          <w:szCs w:val="24"/>
          <w:highlight w:val="none"/>
          <w:lang w:val="en-US" w:eastAsia="zh-CN"/>
        </w:rPr>
        <w:t>三</w:t>
      </w:r>
      <w:r>
        <w:rPr>
          <w:rFonts w:hint="eastAsia" w:ascii="宋体" w:hAnsi="宋体" w:eastAsia="宋体"/>
          <w:b w:val="0"/>
          <w:bCs w:val="0"/>
          <w:color w:val="auto"/>
          <w:sz w:val="24"/>
          <w:szCs w:val="24"/>
          <w:highlight w:val="none"/>
          <w:u w:val="single"/>
          <w:lang w:val="en-US" w:eastAsia="zh-CN"/>
        </w:rPr>
        <w:t>四</w:t>
      </w:r>
      <w:r>
        <w:rPr>
          <w:rFonts w:hint="eastAsia" w:ascii="宋体" w:hAnsi="宋体" w:eastAsia="宋体"/>
          <w:b w:val="0"/>
          <w:bCs w:val="0"/>
          <w:color w:val="auto"/>
          <w:sz w:val="24"/>
          <w:szCs w:val="24"/>
          <w:highlight w:val="none"/>
        </w:rPr>
        <w:t>个的；</w:t>
      </w:r>
    </w:p>
    <w:p w14:paraId="3E65BFFD">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（三）所有投标均被否决的；</w:t>
      </w:r>
    </w:p>
    <w:p w14:paraId="588FDA33">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（四）评标委员会否决不合格投标后，因有效投标不足</w:t>
      </w:r>
      <w:r>
        <w:rPr>
          <w:rFonts w:hint="eastAsia" w:ascii="宋体" w:hAnsi="宋体" w:eastAsia="宋体"/>
          <w:b w:val="0"/>
          <w:bCs w:val="0"/>
          <w:strike/>
          <w:dstrike w:val="0"/>
          <w:color w:val="auto"/>
          <w:sz w:val="24"/>
          <w:szCs w:val="24"/>
          <w:highlight w:val="none"/>
          <w:lang w:val="en-US" w:eastAsia="zh-CN"/>
        </w:rPr>
        <w:t>三</w:t>
      </w:r>
      <w:r>
        <w:rPr>
          <w:rFonts w:hint="eastAsia" w:ascii="宋体" w:hAnsi="宋体" w:eastAsia="宋体"/>
          <w:b w:val="0"/>
          <w:bCs w:val="0"/>
          <w:color w:val="auto"/>
          <w:sz w:val="24"/>
          <w:szCs w:val="24"/>
          <w:highlight w:val="none"/>
          <w:u w:val="single"/>
          <w:lang w:val="en-US" w:eastAsia="zh-CN"/>
        </w:rPr>
        <w:t>四</w:t>
      </w:r>
      <w:r>
        <w:rPr>
          <w:rFonts w:hint="eastAsia" w:ascii="宋体" w:hAnsi="宋体" w:eastAsia="宋体"/>
          <w:b w:val="0"/>
          <w:bCs w:val="0"/>
          <w:color w:val="auto"/>
          <w:sz w:val="24"/>
          <w:szCs w:val="24"/>
          <w:highlight w:val="none"/>
        </w:rPr>
        <w:t>个使得投标明显缺乏竞争，评标委员会决定否决全部投标的；</w:t>
      </w:r>
    </w:p>
    <w:p w14:paraId="03D869F7">
      <w:pPr>
        <w:pBdr>
          <w:bottom w:val="single" w:color="auto" w:sz="6" w:space="1"/>
        </w:pBdr>
        <w:spacing w:line="360" w:lineRule="auto"/>
        <w:ind w:firstLine="424" w:firstLineChars="177"/>
        <w:rPr>
          <w:rFonts w:ascii="宋体" w:hAnsi="宋体" w:eastAsia="宋体"/>
          <w:b/>
          <w:bCs/>
          <w:strike/>
          <w:dstrike w:val="0"/>
          <w:color w:val="auto"/>
          <w:sz w:val="24"/>
          <w:szCs w:val="24"/>
          <w:highlight w:val="none"/>
          <w:u w:val="single"/>
        </w:rPr>
      </w:pPr>
      <w:r>
        <w:rPr>
          <w:rFonts w:hint="eastAsia" w:ascii="宋体" w:hAnsi="宋体" w:eastAsia="宋体"/>
          <w:b w:val="0"/>
          <w:bCs w:val="0"/>
          <w:color w:val="auto"/>
          <w:sz w:val="24"/>
          <w:szCs w:val="24"/>
          <w:highlight w:val="none"/>
        </w:rPr>
        <w:t>（五）符合法律法规需重新招标的其他情形。</w:t>
      </w:r>
    </w:p>
    <w:p w14:paraId="616B50BB">
      <w:pPr>
        <w:spacing w:line="360" w:lineRule="auto"/>
        <w:ind w:firstLine="426" w:firstLineChars="177"/>
        <w:rPr>
          <w:rFonts w:hint="eastAsia" w:ascii="宋体" w:hAnsi="宋体" w:eastAsia="宋体"/>
          <w:b/>
          <w:bCs/>
          <w:color w:val="auto"/>
          <w:sz w:val="24"/>
          <w:szCs w:val="24"/>
          <w:highlight w:val="none"/>
          <w:lang w:eastAsia="zh-CN"/>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附件《评标委员会成员声明》</w:t>
      </w:r>
      <w:r>
        <w:rPr>
          <w:rFonts w:ascii="宋体" w:hAnsi="宋体" w:eastAsia="宋体"/>
          <w:b/>
          <w:bCs/>
          <w:color w:val="auto"/>
          <w:sz w:val="24"/>
          <w:szCs w:val="24"/>
          <w:highlight w:val="none"/>
        </w:rPr>
        <w:t xml:space="preserve">         修改类型：</w:t>
      </w:r>
      <w:r>
        <w:rPr>
          <w:rFonts w:hint="eastAsia" w:ascii="宋体" w:hAnsi="宋体" w:eastAsia="宋体"/>
          <w:b/>
          <w:bCs/>
          <w:color w:val="auto"/>
          <w:sz w:val="24"/>
          <w:szCs w:val="24"/>
          <w:highlight w:val="none"/>
          <w:lang w:val="en-US" w:eastAsia="zh-CN"/>
        </w:rPr>
        <w:t>增加</w:t>
      </w:r>
    </w:p>
    <w:p w14:paraId="1A648701">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b/>
          <w:bCs/>
          <w:color w:val="auto"/>
          <w:spacing w:val="-2"/>
          <w:kern w:val="0"/>
          <w:sz w:val="24"/>
          <w:szCs w:val="24"/>
          <w:highlight w:val="none"/>
          <w:u w:val="single"/>
        </w:rPr>
        <w:t>详见附件《评标委员会成员声明》</w:t>
      </w:r>
    </w:p>
    <w:p w14:paraId="1F467AED">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楷体_GB2312"/>
          <w:color w:val="auto"/>
          <w:sz w:val="24"/>
          <w:szCs w:val="24"/>
          <w:highlight w:val="none"/>
        </w:rPr>
      </w:pPr>
      <w:r>
        <w:rPr>
          <w:rFonts w:ascii="宋体" w:hAnsi="宋体" w:eastAsia="宋体" w:cs="楷体_GB2312"/>
          <w:color w:val="auto"/>
          <w:sz w:val="24"/>
          <w:szCs w:val="24"/>
          <w:highlight w:val="none"/>
        </w:rPr>
        <w:t>注：以上修改，仅限于本范本中有可供选择条款的情形。</w:t>
      </w:r>
    </w:p>
    <w:p w14:paraId="6DE68AEB">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（以下无正文）</w:t>
      </w:r>
    </w:p>
    <w:p w14:paraId="6F2F104D">
      <w:pPr>
        <w:keepNext/>
        <w:keepLines/>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4"/>
          <w:szCs w:val="24"/>
          <w:highlight w:val="none"/>
        </w:rPr>
        <w:br w:type="page"/>
      </w:r>
      <w:r>
        <w:rPr>
          <w:rFonts w:ascii="宋体" w:hAnsi="宋体" w:eastAsia="宋体" w:cs="Times New Roman"/>
          <w:b/>
          <w:color w:val="auto"/>
          <w:sz w:val="28"/>
          <w:szCs w:val="20"/>
          <w:highlight w:val="none"/>
        </w:rPr>
        <w:t xml:space="preserve">1.  </w:t>
      </w:r>
      <w:r>
        <w:rPr>
          <w:rFonts w:hint="eastAsia" w:ascii="宋体" w:hAnsi="宋体" w:eastAsia="宋体" w:cs="Times New Roman"/>
          <w:b/>
          <w:color w:val="auto"/>
          <w:sz w:val="28"/>
          <w:szCs w:val="20"/>
          <w:highlight w:val="none"/>
        </w:rPr>
        <w:t>总则</w:t>
      </w:r>
    </w:p>
    <w:p w14:paraId="7B915EAB">
      <w:pPr>
        <w:keepNext/>
        <w:keepLines/>
        <w:wordWrap w:val="0"/>
        <w:spacing w:line="360" w:lineRule="auto"/>
        <w:outlineLvl w:val="3"/>
        <w:rPr>
          <w:rFonts w:hint="eastAsia" w:ascii="宋体" w:hAnsi="宋体" w:eastAsia="宋体" w:cs="Times New Roman"/>
          <w:b/>
          <w:color w:val="auto"/>
          <w:sz w:val="28"/>
          <w:szCs w:val="28"/>
          <w:highlight w:val="none"/>
        </w:rPr>
      </w:pPr>
      <w:bookmarkStart w:id="75" w:name="bookmark21"/>
      <w:bookmarkEnd w:id="75"/>
      <w:r>
        <w:rPr>
          <w:rFonts w:ascii="宋体" w:hAnsi="宋体" w:eastAsia="宋体" w:cs="Times New Roman"/>
          <w:b/>
          <w:color w:val="auto"/>
          <w:sz w:val="28"/>
          <w:szCs w:val="28"/>
          <w:highlight w:val="none"/>
        </w:rPr>
        <w:t>1.1</w:t>
      </w:r>
      <w:r>
        <w:rPr>
          <w:rFonts w:hint="eastAsia" w:ascii="宋体" w:hAnsi="宋体" w:eastAsia="宋体" w:cs="Times New Roman"/>
          <w:b/>
          <w:color w:val="auto"/>
          <w:sz w:val="28"/>
          <w:szCs w:val="28"/>
          <w:highlight w:val="none"/>
        </w:rPr>
        <w:t>招标项目概况</w:t>
      </w:r>
    </w:p>
    <w:p w14:paraId="12E9BA5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spacing w:val="-8"/>
          <w:sz w:val="24"/>
          <w:szCs w:val="24"/>
          <w:highlight w:val="none"/>
        </w:rPr>
        <w:t>根据《中华人民共和国招标投标法》、《中华人民共和国招标投标法实施条例》等有关</w:t>
      </w:r>
      <w:r>
        <w:rPr>
          <w:rFonts w:hint="eastAsia" w:ascii="宋体" w:hAnsi="宋体" w:eastAsia="宋体" w:cs="Times New Roman"/>
          <w:color w:val="auto"/>
          <w:sz w:val="24"/>
          <w:szCs w:val="24"/>
          <w:highlight w:val="none"/>
        </w:rPr>
        <w:t>法律、法规和规章的规定，本招标项目已具备招标条件，现对监理进行招标。</w:t>
      </w:r>
    </w:p>
    <w:p w14:paraId="2B9E449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1.1.2</w:t>
      </w:r>
      <w:r>
        <w:rPr>
          <w:rFonts w:hint="eastAsia" w:ascii="宋体" w:hAnsi="宋体" w:eastAsia="宋体" w:cs="Times New Roman"/>
          <w:color w:val="auto"/>
          <w:sz w:val="24"/>
          <w:szCs w:val="24"/>
          <w:highlight w:val="none"/>
        </w:rPr>
        <w:t>招标人：见投标人须知前附表。</w:t>
      </w:r>
    </w:p>
    <w:p w14:paraId="71BA3C6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1.1.3</w:t>
      </w:r>
      <w:r>
        <w:rPr>
          <w:rFonts w:hint="eastAsia" w:ascii="宋体" w:hAnsi="宋体" w:eastAsia="宋体" w:cs="Times New Roman"/>
          <w:color w:val="auto"/>
          <w:sz w:val="24"/>
          <w:szCs w:val="24"/>
          <w:highlight w:val="none"/>
        </w:rPr>
        <w:t>招标代理机构：见投标人须知前附表。</w:t>
      </w:r>
    </w:p>
    <w:p w14:paraId="10AC3CA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1.1.4</w:t>
      </w:r>
      <w:r>
        <w:rPr>
          <w:rFonts w:hint="eastAsia" w:ascii="宋体" w:hAnsi="宋体" w:eastAsia="宋体" w:cs="Times New Roman"/>
          <w:color w:val="auto"/>
          <w:sz w:val="24"/>
          <w:szCs w:val="24"/>
          <w:highlight w:val="none"/>
        </w:rPr>
        <w:t>招标项目名称：见投标人须知前附表。</w:t>
      </w:r>
    </w:p>
    <w:p w14:paraId="3AA052B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1.1.5</w:t>
      </w:r>
      <w:r>
        <w:rPr>
          <w:rFonts w:hint="eastAsia" w:ascii="宋体" w:hAnsi="宋体" w:eastAsia="宋体" w:cs="Times New Roman"/>
          <w:color w:val="auto"/>
          <w:sz w:val="24"/>
          <w:szCs w:val="24"/>
          <w:highlight w:val="none"/>
        </w:rPr>
        <w:t>项目建设地点：见投标人须知前附表。</w:t>
      </w:r>
    </w:p>
    <w:p w14:paraId="33916A0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1.1.6</w:t>
      </w:r>
      <w:r>
        <w:rPr>
          <w:rFonts w:hint="eastAsia" w:ascii="宋体" w:hAnsi="宋体" w:eastAsia="宋体" w:cs="Times New Roman"/>
          <w:color w:val="auto"/>
          <w:sz w:val="24"/>
          <w:szCs w:val="24"/>
          <w:highlight w:val="none"/>
        </w:rPr>
        <w:t>项目建设规模：见投标人须知前附表。</w:t>
      </w:r>
    </w:p>
    <w:p w14:paraId="6C9E6A6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1.1.7</w:t>
      </w:r>
      <w:r>
        <w:rPr>
          <w:rFonts w:hint="eastAsia" w:ascii="宋体" w:hAnsi="宋体" w:eastAsia="宋体" w:cs="Times New Roman"/>
          <w:color w:val="auto"/>
          <w:sz w:val="24"/>
          <w:szCs w:val="24"/>
          <w:highlight w:val="none"/>
        </w:rPr>
        <w:t>工程项目施工预计开工日期和建设周期：见投标人须知前附表。</w:t>
      </w:r>
    </w:p>
    <w:p w14:paraId="14660BE1">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1.1.8</w:t>
      </w:r>
      <w:r>
        <w:rPr>
          <w:rFonts w:hint="eastAsia" w:ascii="宋体" w:hAnsi="宋体" w:eastAsia="宋体" w:cs="Times New Roman"/>
          <w:color w:val="auto"/>
          <w:sz w:val="24"/>
          <w:szCs w:val="24"/>
          <w:highlight w:val="none"/>
        </w:rPr>
        <w:t>建筑安装工程费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工程概算：见投标人须知前附表。</w:t>
      </w:r>
    </w:p>
    <w:p w14:paraId="29E26B6A">
      <w:pPr>
        <w:keepNext/>
        <w:keepLines/>
        <w:wordWrap w:val="0"/>
        <w:spacing w:line="360" w:lineRule="auto"/>
        <w:outlineLvl w:val="3"/>
        <w:rPr>
          <w:rFonts w:hint="eastAsia" w:ascii="宋体" w:hAnsi="宋体" w:eastAsia="宋体" w:cs="Times New Roman"/>
          <w:b/>
          <w:color w:val="auto"/>
          <w:sz w:val="28"/>
          <w:szCs w:val="28"/>
          <w:highlight w:val="none"/>
        </w:rPr>
      </w:pPr>
      <w:bookmarkStart w:id="76" w:name="bookmark22"/>
      <w:bookmarkEnd w:id="76"/>
      <w:r>
        <w:rPr>
          <w:rFonts w:ascii="宋体" w:hAnsi="宋体" w:eastAsia="宋体" w:cs="Times New Roman"/>
          <w:b/>
          <w:color w:val="auto"/>
          <w:sz w:val="28"/>
          <w:szCs w:val="28"/>
          <w:highlight w:val="none"/>
        </w:rPr>
        <w:t>1.2</w:t>
      </w:r>
      <w:r>
        <w:rPr>
          <w:rFonts w:hint="eastAsia" w:ascii="宋体" w:hAnsi="宋体" w:eastAsia="宋体" w:cs="Times New Roman"/>
          <w:b/>
          <w:color w:val="auto"/>
          <w:sz w:val="28"/>
          <w:szCs w:val="28"/>
          <w:highlight w:val="none"/>
        </w:rPr>
        <w:t>招标项目的资金来源和落实情况</w:t>
      </w:r>
    </w:p>
    <w:p w14:paraId="6E3F8F95">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资金来源及比例：见投标人须知前附表。</w:t>
      </w:r>
    </w:p>
    <w:p w14:paraId="17742B5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1.2.2</w:t>
      </w:r>
      <w:r>
        <w:rPr>
          <w:rFonts w:hint="eastAsia" w:ascii="宋体" w:hAnsi="宋体" w:eastAsia="宋体" w:cs="Times New Roman"/>
          <w:color w:val="auto"/>
          <w:sz w:val="24"/>
          <w:szCs w:val="24"/>
          <w:highlight w:val="none"/>
        </w:rPr>
        <w:t>资金落实情况：见投标人须知前附表。</w:t>
      </w:r>
    </w:p>
    <w:p w14:paraId="5EAE49FE">
      <w:pPr>
        <w:keepNext/>
        <w:keepLines/>
        <w:wordWrap w:val="0"/>
        <w:spacing w:line="360" w:lineRule="auto"/>
        <w:outlineLvl w:val="3"/>
        <w:rPr>
          <w:rFonts w:hint="eastAsia" w:ascii="宋体" w:hAnsi="宋体" w:eastAsia="宋体" w:cs="Times New Roman"/>
          <w:b/>
          <w:color w:val="auto"/>
          <w:sz w:val="28"/>
          <w:szCs w:val="28"/>
          <w:highlight w:val="none"/>
        </w:rPr>
      </w:pPr>
      <w:bookmarkStart w:id="77" w:name="bookmark23"/>
      <w:bookmarkEnd w:id="77"/>
      <w:r>
        <w:rPr>
          <w:rFonts w:ascii="宋体" w:hAnsi="宋体" w:eastAsia="宋体" w:cs="Times New Roman"/>
          <w:b/>
          <w:color w:val="auto"/>
          <w:sz w:val="28"/>
          <w:szCs w:val="28"/>
          <w:highlight w:val="none"/>
        </w:rPr>
        <w:t>1.3</w:t>
      </w:r>
      <w:r>
        <w:rPr>
          <w:rFonts w:hint="eastAsia" w:ascii="宋体" w:hAnsi="宋体" w:eastAsia="宋体" w:cs="Times New Roman"/>
          <w:b/>
          <w:color w:val="auto"/>
          <w:sz w:val="28"/>
          <w:szCs w:val="28"/>
          <w:highlight w:val="none"/>
        </w:rPr>
        <w:t>招标范围、监理服务期限和质量标准</w:t>
      </w:r>
    </w:p>
    <w:p w14:paraId="5F597C6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招标范围：见投标人须知前附表。</w:t>
      </w:r>
    </w:p>
    <w:p w14:paraId="0705465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1.3.2</w:t>
      </w:r>
      <w:r>
        <w:rPr>
          <w:rFonts w:hint="eastAsia" w:ascii="宋体" w:hAnsi="宋体" w:eastAsia="宋体" w:cs="Times New Roman"/>
          <w:color w:val="auto"/>
          <w:sz w:val="24"/>
          <w:szCs w:val="24"/>
          <w:highlight w:val="none"/>
        </w:rPr>
        <w:t>监理服务期限：见投标人须知前附表。</w:t>
      </w:r>
    </w:p>
    <w:p w14:paraId="70676A4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1.3.3</w:t>
      </w:r>
      <w:r>
        <w:rPr>
          <w:rFonts w:hint="eastAsia" w:ascii="宋体" w:hAnsi="宋体" w:eastAsia="宋体" w:cs="Times New Roman"/>
          <w:color w:val="auto"/>
          <w:sz w:val="24"/>
          <w:szCs w:val="24"/>
          <w:highlight w:val="none"/>
        </w:rPr>
        <w:t>质量标准：见投标人须知前附表。</w:t>
      </w:r>
    </w:p>
    <w:p w14:paraId="4A65830E">
      <w:pPr>
        <w:keepNext/>
        <w:keepLines/>
        <w:wordWrap w:val="0"/>
        <w:spacing w:line="360" w:lineRule="auto"/>
        <w:outlineLvl w:val="3"/>
        <w:rPr>
          <w:rFonts w:hint="eastAsia" w:ascii="宋体" w:hAnsi="宋体" w:eastAsia="宋体" w:cs="Times New Roman"/>
          <w:b/>
          <w:color w:val="auto"/>
          <w:sz w:val="28"/>
          <w:szCs w:val="28"/>
          <w:highlight w:val="none"/>
        </w:rPr>
      </w:pPr>
      <w:bookmarkStart w:id="78" w:name="bookmark24"/>
      <w:bookmarkEnd w:id="78"/>
      <w:r>
        <w:rPr>
          <w:rFonts w:ascii="宋体" w:hAnsi="宋体" w:eastAsia="宋体" w:cs="Times New Roman"/>
          <w:b/>
          <w:color w:val="auto"/>
          <w:sz w:val="28"/>
          <w:szCs w:val="28"/>
          <w:highlight w:val="none"/>
        </w:rPr>
        <w:t>1.4</w:t>
      </w:r>
      <w:r>
        <w:rPr>
          <w:rFonts w:hint="eastAsia" w:ascii="宋体" w:hAnsi="宋体" w:eastAsia="宋体" w:cs="Times New Roman"/>
          <w:b/>
          <w:color w:val="auto"/>
          <w:sz w:val="28"/>
          <w:szCs w:val="28"/>
          <w:highlight w:val="none"/>
        </w:rPr>
        <w:t>投标人资格要求</w:t>
      </w:r>
    </w:p>
    <w:p w14:paraId="336198C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投标人应具备承担本招标项目资质条件、能力和信誉：</w:t>
      </w:r>
    </w:p>
    <w:p w14:paraId="230DB34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（1）资质要求：见投标人须知前附表；</w:t>
      </w:r>
    </w:p>
    <w:p w14:paraId="5FA38A4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（2）业绩要求：见投标人须知前附表；</w:t>
      </w:r>
    </w:p>
    <w:p w14:paraId="1FFBA2D4">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（3）总监理工程师的资格要求：应当具备工程注册监理工程师执业资格（如有），具体要求见投标人须知前附表；</w:t>
      </w:r>
    </w:p>
    <w:p w14:paraId="13A24FD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（4）其他主要人员要求：见投标人须知前附表。</w:t>
      </w:r>
    </w:p>
    <w:p w14:paraId="54DEE1F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（5）其他要求：见投标人须知前附表。</w:t>
      </w:r>
    </w:p>
    <w:p w14:paraId="0904165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需要提交的相关证明材料见本章第3.5款的规定。</w:t>
      </w:r>
    </w:p>
    <w:p w14:paraId="2A4BFB7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1.4.2</w:t>
      </w:r>
      <w:r>
        <w:rPr>
          <w:rFonts w:hint="eastAsia" w:ascii="宋体" w:hAnsi="宋体" w:eastAsia="宋体" w:cs="Times New Roman"/>
          <w:color w:val="auto"/>
          <w:sz w:val="24"/>
          <w:szCs w:val="24"/>
          <w:highlight w:val="none"/>
        </w:rPr>
        <w:t>投标人须知前附表规定接受联合体投标的，联合体除应符合本章第</w:t>
      </w: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项和投标人须知前附表的要求外，还应遵守以下规定：</w:t>
      </w:r>
    </w:p>
    <w:p w14:paraId="3FFAC5C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）联合体各方应按招标文件提供的格式签订联合体协议书，明确联合体牵头人和各方权利义务，并承诺就中标项目向招标人承担连带责任；</w:t>
      </w:r>
    </w:p>
    <w:p w14:paraId="1282D41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）由同一专业的单位组成的联合体，按照资质等级较低的单位确定资质等级；</w:t>
      </w:r>
    </w:p>
    <w:p w14:paraId="40102E6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）联合体各方不得再以自己名义单独或参加其他联合体在本招标项目中投标，否则各相关投标均无效。</w:t>
      </w:r>
    </w:p>
    <w:p w14:paraId="47D22041">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1.4.3</w:t>
      </w:r>
      <w:r>
        <w:rPr>
          <w:rFonts w:hint="eastAsia" w:ascii="宋体" w:hAnsi="宋体" w:eastAsia="宋体" w:cs="Times New Roman"/>
          <w:color w:val="auto"/>
          <w:sz w:val="24"/>
          <w:szCs w:val="24"/>
          <w:highlight w:val="none"/>
        </w:rPr>
        <w:t>投标人不得存在下列情形之一：</w:t>
      </w:r>
    </w:p>
    <w:p w14:paraId="632C45D6">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）为招标人不具有独立法人资格的附属机构（单位）；</w:t>
      </w:r>
    </w:p>
    <w:p w14:paraId="348015F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）与招标人存在利害关系且可能影响招标公正性；</w:t>
      </w:r>
    </w:p>
    <w:p w14:paraId="30D825F6">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）与本招标项目的其他投标人为同一个单位负责人；</w:t>
      </w:r>
    </w:p>
    <w:p w14:paraId="6F3517C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）与本招标项目的其他投标人存在控股、管理关系；</w:t>
      </w:r>
    </w:p>
    <w:p w14:paraId="62DEC73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）为本招标项目的代建人或建设管理单位；</w:t>
      </w:r>
    </w:p>
    <w:p w14:paraId="178EA98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）为本招标项目的招标代理机构；</w:t>
      </w:r>
    </w:p>
    <w:p w14:paraId="5709B01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）与本招标项目的招标代理机构同为一个法定代表人；</w:t>
      </w:r>
    </w:p>
    <w:p w14:paraId="29B5A10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8</w:t>
      </w:r>
      <w:r>
        <w:rPr>
          <w:rFonts w:hint="eastAsia" w:ascii="宋体" w:hAnsi="宋体" w:eastAsia="宋体" w:cs="Times New Roman"/>
          <w:color w:val="auto"/>
          <w:sz w:val="24"/>
          <w:szCs w:val="24"/>
          <w:highlight w:val="none"/>
        </w:rPr>
        <w:t>）与本招标项目的代建人或招标代理机构存在控股或参股关系；</w:t>
      </w:r>
    </w:p>
    <w:p w14:paraId="37F02DC4">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）与本招标项目的检测机构、建设、施工单位以及建筑材料、建筑构配件和设备供应商</w:t>
      </w:r>
      <w:r>
        <w:rPr>
          <w:rFonts w:hint="eastAsia" w:ascii="宋体" w:hAnsi="宋体" w:eastAsia="宋体" w:cs="Times New Roman"/>
          <w:color w:val="auto"/>
          <w:sz w:val="24"/>
          <w:szCs w:val="24"/>
          <w:highlight w:val="none"/>
          <w:lang w:eastAsia="zh-CN"/>
        </w:rPr>
        <w:t>有隶属关系或者其他利害关系</w:t>
      </w:r>
      <w:r>
        <w:rPr>
          <w:rFonts w:hint="eastAsia" w:ascii="宋体" w:hAnsi="宋体" w:eastAsia="宋体" w:cs="Times New Roman"/>
          <w:color w:val="auto"/>
          <w:sz w:val="24"/>
          <w:szCs w:val="24"/>
          <w:highlight w:val="none"/>
        </w:rPr>
        <w:t>；</w:t>
      </w:r>
    </w:p>
    <w:p w14:paraId="39C06A8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25C4B56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（11）被责令停产停业、暂扣或者吊销许可证、暂扣或者吊销执照（本项事实应当以根据《中华人民共和国行政处罚法》依法作出并已生效的行政处罚决定为认定依据）；</w:t>
      </w:r>
    </w:p>
    <w:p w14:paraId="06703F3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（12）进入清算程序，或被宣告破产，或其他丧失履约能力的情形；</w:t>
      </w:r>
    </w:p>
    <w:p w14:paraId="58012F5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在最近三年内有严重违约或发生重大监理质量问题（“严重违约”事实应当以司法机关、仲裁机构出具的认定文件为准。“重大监理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4082D90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14</w:t>
      </w:r>
      <w:r>
        <w:rPr>
          <w:rFonts w:hint="eastAsia" w:ascii="宋体" w:hAnsi="宋体" w:eastAsia="宋体" w:cs="Times New Roman"/>
          <w:color w:val="auto"/>
          <w:sz w:val="24"/>
          <w:szCs w:val="24"/>
          <w:highlight w:val="none"/>
        </w:rPr>
        <w:t>）法律法规或投标人须知前附表规定的其他情形。</w:t>
      </w:r>
    </w:p>
    <w:p w14:paraId="76CCBE00">
      <w:pPr>
        <w:keepNext/>
        <w:keepLines/>
        <w:wordWrap w:val="0"/>
        <w:spacing w:line="360" w:lineRule="auto"/>
        <w:outlineLvl w:val="3"/>
        <w:rPr>
          <w:rFonts w:hint="eastAsia" w:ascii="宋体" w:hAnsi="宋体" w:eastAsia="宋体" w:cs="Times New Roman"/>
          <w:b/>
          <w:color w:val="auto"/>
          <w:sz w:val="28"/>
          <w:szCs w:val="28"/>
          <w:highlight w:val="none"/>
        </w:rPr>
      </w:pPr>
      <w:bookmarkStart w:id="79" w:name="bookmark25"/>
      <w:bookmarkEnd w:id="79"/>
      <w:r>
        <w:rPr>
          <w:rFonts w:ascii="宋体" w:hAnsi="宋体" w:eastAsia="宋体" w:cs="Times New Roman"/>
          <w:b/>
          <w:color w:val="auto"/>
          <w:sz w:val="28"/>
          <w:szCs w:val="28"/>
          <w:highlight w:val="none"/>
        </w:rPr>
        <w:t>1.5</w:t>
      </w:r>
      <w:r>
        <w:rPr>
          <w:rFonts w:hint="eastAsia" w:ascii="宋体" w:hAnsi="宋体" w:eastAsia="宋体" w:cs="Times New Roman"/>
          <w:b/>
          <w:color w:val="auto"/>
          <w:sz w:val="28"/>
          <w:szCs w:val="28"/>
          <w:highlight w:val="none"/>
        </w:rPr>
        <w:t>费用承担</w:t>
      </w:r>
    </w:p>
    <w:p w14:paraId="27A20BC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投标人准备和参加投标活动发生的费用自理。</w:t>
      </w:r>
    </w:p>
    <w:p w14:paraId="0EA98112">
      <w:pPr>
        <w:keepNext/>
        <w:keepLines/>
        <w:wordWrap w:val="0"/>
        <w:spacing w:line="360" w:lineRule="auto"/>
        <w:outlineLvl w:val="3"/>
        <w:rPr>
          <w:rFonts w:hint="eastAsia" w:ascii="宋体" w:hAnsi="宋体" w:eastAsia="宋体" w:cs="Times New Roman"/>
          <w:b/>
          <w:color w:val="auto"/>
          <w:sz w:val="28"/>
          <w:szCs w:val="28"/>
          <w:highlight w:val="none"/>
        </w:rPr>
      </w:pPr>
      <w:bookmarkStart w:id="80" w:name="bookmark26"/>
      <w:bookmarkEnd w:id="80"/>
      <w:r>
        <w:rPr>
          <w:rFonts w:ascii="宋体" w:hAnsi="宋体" w:eastAsia="宋体" w:cs="Times New Roman"/>
          <w:b/>
          <w:color w:val="auto"/>
          <w:sz w:val="28"/>
          <w:szCs w:val="28"/>
          <w:highlight w:val="none"/>
        </w:rPr>
        <w:t>1.6</w:t>
      </w:r>
      <w:r>
        <w:rPr>
          <w:rFonts w:hint="eastAsia" w:ascii="宋体" w:hAnsi="宋体" w:eastAsia="宋体" w:cs="Times New Roman"/>
          <w:b/>
          <w:color w:val="auto"/>
          <w:sz w:val="28"/>
          <w:szCs w:val="28"/>
          <w:highlight w:val="none"/>
        </w:rPr>
        <w:t>保密</w:t>
      </w:r>
    </w:p>
    <w:p w14:paraId="17C94B7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参与招标投标活动的各方应对招标文件和投标文件中的商业和技术等秘密保密，否则应承担相应的法律责任。</w:t>
      </w:r>
    </w:p>
    <w:p w14:paraId="20619383">
      <w:pPr>
        <w:keepNext/>
        <w:keepLines/>
        <w:wordWrap w:val="0"/>
        <w:spacing w:line="360" w:lineRule="auto"/>
        <w:outlineLvl w:val="3"/>
        <w:rPr>
          <w:rFonts w:hint="eastAsia" w:ascii="宋体" w:hAnsi="宋体" w:eastAsia="宋体" w:cs="Times New Roman"/>
          <w:b/>
          <w:color w:val="auto"/>
          <w:sz w:val="28"/>
          <w:szCs w:val="28"/>
          <w:highlight w:val="none"/>
        </w:rPr>
      </w:pPr>
      <w:bookmarkStart w:id="81" w:name="bookmark27"/>
      <w:bookmarkEnd w:id="81"/>
      <w:r>
        <w:rPr>
          <w:rFonts w:ascii="宋体" w:hAnsi="宋体" w:eastAsia="宋体" w:cs="Times New Roman"/>
          <w:b/>
          <w:color w:val="auto"/>
          <w:sz w:val="28"/>
          <w:szCs w:val="28"/>
          <w:highlight w:val="none"/>
        </w:rPr>
        <w:t>1.7</w:t>
      </w:r>
      <w:r>
        <w:rPr>
          <w:rFonts w:hint="eastAsia" w:ascii="宋体" w:hAnsi="宋体" w:eastAsia="宋体" w:cs="Times New Roman"/>
          <w:b/>
          <w:color w:val="auto"/>
          <w:sz w:val="28"/>
          <w:szCs w:val="28"/>
          <w:highlight w:val="none"/>
        </w:rPr>
        <w:t>语言文字</w:t>
      </w:r>
    </w:p>
    <w:p w14:paraId="5A64DCA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招标投标文件使用的语言文字为中文。专用术语使用外文的，应附有中文注释。</w:t>
      </w:r>
    </w:p>
    <w:p w14:paraId="6A721197">
      <w:pPr>
        <w:keepNext/>
        <w:keepLines/>
        <w:wordWrap w:val="0"/>
        <w:spacing w:line="360" w:lineRule="auto"/>
        <w:outlineLvl w:val="3"/>
        <w:rPr>
          <w:rFonts w:hint="eastAsia" w:ascii="宋体" w:hAnsi="宋体" w:eastAsia="宋体" w:cs="Times New Roman"/>
          <w:b/>
          <w:color w:val="auto"/>
          <w:sz w:val="28"/>
          <w:szCs w:val="28"/>
          <w:highlight w:val="none"/>
        </w:rPr>
      </w:pPr>
      <w:bookmarkStart w:id="82" w:name="bookmark28"/>
      <w:bookmarkEnd w:id="82"/>
      <w:r>
        <w:rPr>
          <w:rFonts w:ascii="宋体" w:hAnsi="宋体" w:eastAsia="宋体" w:cs="Times New Roman"/>
          <w:b/>
          <w:color w:val="auto"/>
          <w:sz w:val="28"/>
          <w:szCs w:val="28"/>
          <w:highlight w:val="none"/>
        </w:rPr>
        <w:t>1.8</w:t>
      </w:r>
      <w:r>
        <w:rPr>
          <w:rFonts w:hint="eastAsia" w:ascii="宋体" w:hAnsi="宋体" w:eastAsia="宋体" w:cs="Times New Roman"/>
          <w:b/>
          <w:color w:val="auto"/>
          <w:sz w:val="28"/>
          <w:szCs w:val="28"/>
          <w:highlight w:val="none"/>
        </w:rPr>
        <w:t>计量单位</w:t>
      </w:r>
    </w:p>
    <w:p w14:paraId="3519B1A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所有计量均采用中华人民共和国法定计量单位。</w:t>
      </w:r>
    </w:p>
    <w:p w14:paraId="35C17823">
      <w:pPr>
        <w:keepNext/>
        <w:keepLines/>
        <w:wordWrap w:val="0"/>
        <w:spacing w:line="360" w:lineRule="auto"/>
        <w:outlineLvl w:val="3"/>
        <w:rPr>
          <w:rFonts w:hint="eastAsia" w:ascii="宋体" w:hAnsi="宋体" w:eastAsia="宋体" w:cs="Times New Roman"/>
          <w:b/>
          <w:color w:val="auto"/>
          <w:sz w:val="28"/>
          <w:szCs w:val="28"/>
          <w:highlight w:val="none"/>
        </w:rPr>
      </w:pPr>
      <w:bookmarkStart w:id="83" w:name="bookmark29"/>
      <w:bookmarkEnd w:id="83"/>
      <w:r>
        <w:rPr>
          <w:rFonts w:ascii="宋体" w:hAnsi="宋体" w:eastAsia="宋体" w:cs="Times New Roman"/>
          <w:b/>
          <w:color w:val="auto"/>
          <w:sz w:val="28"/>
          <w:szCs w:val="28"/>
          <w:highlight w:val="none"/>
        </w:rPr>
        <w:t>1.9</w:t>
      </w:r>
      <w:r>
        <w:rPr>
          <w:rFonts w:hint="eastAsia" w:ascii="宋体" w:hAnsi="宋体" w:eastAsia="宋体" w:cs="Times New Roman"/>
          <w:b/>
          <w:color w:val="auto"/>
          <w:sz w:val="28"/>
          <w:szCs w:val="28"/>
          <w:highlight w:val="none"/>
        </w:rPr>
        <w:t>踏勘现场</w:t>
      </w:r>
    </w:p>
    <w:p w14:paraId="5A2AA51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1.9.1</w:t>
      </w:r>
      <w:r>
        <w:rPr>
          <w:rFonts w:hint="eastAsia" w:ascii="宋体" w:hAnsi="宋体" w:eastAsia="宋体" w:cs="Times New Roman"/>
          <w:color w:val="auto"/>
          <w:sz w:val="24"/>
          <w:szCs w:val="24"/>
          <w:highlight w:val="none"/>
        </w:rPr>
        <w:t>投标人须知前附表规定组织踏勘现场的，招标人按投标人须知前附表规定的时间、地点组织投标人踏勘项目现场。部分投标人未按时参加踏勘现场的，不影响踏勘现场的正常进行。</w:t>
      </w:r>
    </w:p>
    <w:p w14:paraId="2B34BAC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1.9.2投标人踏勘现场发生的费用自理。</w:t>
      </w:r>
    </w:p>
    <w:p w14:paraId="20EEDBA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1.9.3除招标人的原因外，投标人自行负责在踏勘现场中所发生的人员伤亡和财产损失。</w:t>
      </w:r>
    </w:p>
    <w:p w14:paraId="275FAF5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1.9.4由于投标人没有对工程现场及周围环境进行踏勘，造成投标失误的，由投标人自行承担责任和损失。</w:t>
      </w:r>
    </w:p>
    <w:p w14:paraId="1CD6DD2C">
      <w:pPr>
        <w:keepNext/>
        <w:keepLines/>
        <w:wordWrap w:val="0"/>
        <w:spacing w:line="360" w:lineRule="auto"/>
        <w:outlineLvl w:val="3"/>
        <w:rPr>
          <w:rFonts w:hint="eastAsia" w:ascii="宋体" w:hAnsi="宋体" w:eastAsia="宋体" w:cs="Times New Roman"/>
          <w:b/>
          <w:color w:val="auto"/>
          <w:sz w:val="28"/>
          <w:szCs w:val="28"/>
          <w:highlight w:val="none"/>
        </w:rPr>
      </w:pPr>
      <w:bookmarkStart w:id="84" w:name="bookmark30"/>
      <w:bookmarkEnd w:id="84"/>
      <w:r>
        <w:rPr>
          <w:rFonts w:ascii="宋体" w:hAnsi="宋体" w:eastAsia="宋体" w:cs="Times New Roman"/>
          <w:b/>
          <w:color w:val="auto"/>
          <w:sz w:val="28"/>
          <w:szCs w:val="28"/>
          <w:highlight w:val="none"/>
        </w:rPr>
        <w:t>1.10</w:t>
      </w:r>
      <w:r>
        <w:rPr>
          <w:rFonts w:hint="eastAsia" w:ascii="宋体" w:hAnsi="宋体" w:eastAsia="宋体" w:cs="Times New Roman"/>
          <w:b/>
          <w:color w:val="auto"/>
          <w:sz w:val="28"/>
          <w:szCs w:val="28"/>
          <w:highlight w:val="none"/>
        </w:rPr>
        <w:t>投标预备会</w:t>
      </w:r>
    </w:p>
    <w:p w14:paraId="79EFB3C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1.10.1</w:t>
      </w:r>
      <w:r>
        <w:rPr>
          <w:rFonts w:hint="eastAsia" w:ascii="宋体" w:hAnsi="宋体" w:eastAsia="宋体" w:cs="Times New Roman"/>
          <w:color w:val="auto"/>
          <w:sz w:val="24"/>
          <w:szCs w:val="24"/>
          <w:highlight w:val="none"/>
        </w:rPr>
        <w:t>投标人须知前附表规定召开投标预备会的，招标人按投标人须知前附表规定的时间和地点召开投标预备会，澄清投标人提出的问题。</w:t>
      </w:r>
    </w:p>
    <w:p w14:paraId="7BD0CE7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1.10.2</w:t>
      </w:r>
      <w:r>
        <w:rPr>
          <w:rFonts w:hint="eastAsia" w:ascii="宋体" w:hAnsi="宋体" w:eastAsia="宋体" w:cs="Times New Roman"/>
          <w:color w:val="auto"/>
          <w:sz w:val="24"/>
          <w:szCs w:val="24"/>
          <w:highlight w:val="none"/>
        </w:rPr>
        <w:t>投标人应按投标人须知前附表规定的时间和形式将提出的问题送达招标人，以便招标人在会议期间澄清。</w:t>
      </w:r>
    </w:p>
    <w:p w14:paraId="148E21D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1.10.3</w:t>
      </w:r>
      <w:r>
        <w:rPr>
          <w:rFonts w:hint="eastAsia" w:ascii="宋体" w:hAnsi="宋体" w:eastAsia="宋体" w:cs="Times New Roman"/>
          <w:color w:val="auto"/>
          <w:sz w:val="24"/>
          <w:szCs w:val="24"/>
          <w:highlight w:val="none"/>
        </w:rPr>
        <w:t>投标预备会后，招标人将对投标人所提问题的澄清，以投标人须知前附表规定的形式通知所有购买招标文件的投标人。该澄清内容为招标文件的组成部分。</w:t>
      </w:r>
    </w:p>
    <w:p w14:paraId="2BB446BD">
      <w:pPr>
        <w:keepNext/>
        <w:keepLines/>
        <w:wordWrap w:val="0"/>
        <w:spacing w:line="360" w:lineRule="auto"/>
        <w:outlineLvl w:val="3"/>
        <w:rPr>
          <w:rFonts w:hint="eastAsia" w:ascii="宋体" w:hAnsi="宋体" w:eastAsia="宋体" w:cs="Times New Roman"/>
          <w:b/>
          <w:color w:val="auto"/>
          <w:sz w:val="28"/>
          <w:szCs w:val="28"/>
          <w:highlight w:val="none"/>
        </w:rPr>
      </w:pPr>
      <w:bookmarkStart w:id="85" w:name="bookmark31"/>
      <w:bookmarkEnd w:id="85"/>
      <w:r>
        <w:rPr>
          <w:rFonts w:ascii="宋体" w:hAnsi="宋体" w:eastAsia="宋体" w:cs="Times New Roman"/>
          <w:b/>
          <w:color w:val="auto"/>
          <w:sz w:val="28"/>
          <w:szCs w:val="28"/>
          <w:highlight w:val="none"/>
        </w:rPr>
        <w:t>1.11</w:t>
      </w:r>
      <w:r>
        <w:rPr>
          <w:rFonts w:hint="eastAsia" w:ascii="宋体" w:hAnsi="宋体" w:eastAsia="宋体" w:cs="Times New Roman"/>
          <w:b/>
          <w:color w:val="auto"/>
          <w:sz w:val="28"/>
          <w:szCs w:val="28"/>
          <w:highlight w:val="none"/>
        </w:rPr>
        <w:t>分包</w:t>
      </w:r>
    </w:p>
    <w:p w14:paraId="4B906CC4">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1.11.1本项目不得分包。</w:t>
      </w:r>
    </w:p>
    <w:p w14:paraId="3E0A8525">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1.11.2中标人不得向他人转让中标项目。</w:t>
      </w:r>
    </w:p>
    <w:p w14:paraId="34A2B708">
      <w:pPr>
        <w:keepNext/>
        <w:keepLines/>
        <w:wordWrap w:val="0"/>
        <w:spacing w:line="360" w:lineRule="auto"/>
        <w:outlineLvl w:val="3"/>
        <w:rPr>
          <w:rFonts w:hint="eastAsia" w:ascii="宋体" w:hAnsi="宋体" w:eastAsia="宋体" w:cs="Times New Roman"/>
          <w:b/>
          <w:color w:val="auto"/>
          <w:sz w:val="28"/>
          <w:szCs w:val="28"/>
          <w:highlight w:val="none"/>
        </w:rPr>
      </w:pPr>
      <w:bookmarkStart w:id="86" w:name="bookmark32"/>
      <w:bookmarkEnd w:id="86"/>
      <w:r>
        <w:rPr>
          <w:rFonts w:ascii="宋体" w:hAnsi="宋体" w:eastAsia="宋体" w:cs="Times New Roman"/>
          <w:b/>
          <w:color w:val="auto"/>
          <w:sz w:val="28"/>
          <w:szCs w:val="28"/>
          <w:highlight w:val="none"/>
        </w:rPr>
        <w:t>1.12</w:t>
      </w:r>
      <w:r>
        <w:rPr>
          <w:rFonts w:hint="eastAsia" w:ascii="宋体" w:hAnsi="宋体" w:eastAsia="宋体" w:cs="Times New Roman"/>
          <w:b/>
          <w:color w:val="auto"/>
          <w:sz w:val="28"/>
          <w:szCs w:val="28"/>
          <w:highlight w:val="none"/>
        </w:rPr>
        <w:t>响应和偏差</w:t>
      </w:r>
    </w:p>
    <w:p w14:paraId="6154788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1.12.1</w:t>
      </w:r>
      <w:r>
        <w:rPr>
          <w:rFonts w:hint="eastAsia" w:ascii="宋体" w:hAnsi="宋体" w:eastAsia="宋体" w:cs="Times New Roman"/>
          <w:color w:val="auto"/>
          <w:sz w:val="24"/>
          <w:szCs w:val="24"/>
          <w:highlight w:val="none"/>
        </w:rPr>
        <w:t>投标文件应当对招标文件的实质性要求和条件作出满足性或更有利于招标人的响应，否则，投标人的投标将被否决。实质性要求和条件见投标人须知前附表。</w:t>
      </w:r>
    </w:p>
    <w:p w14:paraId="00A0F651">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1.12.2</w:t>
      </w:r>
      <w:r>
        <w:rPr>
          <w:rFonts w:hint="eastAsia" w:ascii="宋体" w:hAnsi="宋体" w:eastAsia="宋体" w:cs="Times New Roman"/>
          <w:color w:val="auto"/>
          <w:sz w:val="24"/>
          <w:szCs w:val="24"/>
          <w:highlight w:val="none"/>
        </w:rPr>
        <w:t>投标人应根据招标文件的要求提供投标监理大纲等内容以对招标文件作出响应。</w:t>
      </w:r>
    </w:p>
    <w:p w14:paraId="3A162D0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1.12.3</w:t>
      </w:r>
      <w:r>
        <w:rPr>
          <w:rFonts w:hint="eastAsia" w:ascii="宋体" w:hAnsi="宋体" w:eastAsia="宋体" w:cs="Times New Roman"/>
          <w:color w:val="auto"/>
          <w:sz w:val="24"/>
          <w:szCs w:val="24"/>
          <w:highlight w:val="none"/>
        </w:rPr>
        <w:t>投标人须知前附表允许投标文件偏离招标文件某些要求的，偏差应当符合招标文件规定的偏差范围和幅度。</w:t>
      </w:r>
    </w:p>
    <w:p w14:paraId="7FCA812B">
      <w:pPr>
        <w:keepNext/>
        <w:keepLines/>
        <w:wordWrap w:val="0"/>
        <w:spacing w:line="360" w:lineRule="auto"/>
        <w:outlineLvl w:val="2"/>
        <w:rPr>
          <w:rFonts w:hint="eastAsia" w:ascii="宋体" w:hAnsi="宋体" w:eastAsia="宋体" w:cs="Times New Roman"/>
          <w:b/>
          <w:color w:val="auto"/>
          <w:sz w:val="28"/>
          <w:szCs w:val="20"/>
          <w:highlight w:val="none"/>
        </w:rPr>
      </w:pPr>
      <w:bookmarkStart w:id="87" w:name="bookmark33"/>
      <w:bookmarkEnd w:id="87"/>
      <w:bookmarkStart w:id="88" w:name="_Toc14873647"/>
      <w:r>
        <w:rPr>
          <w:rFonts w:ascii="宋体" w:hAnsi="宋体" w:eastAsia="宋体" w:cs="Times New Roman"/>
          <w:b/>
          <w:color w:val="auto"/>
          <w:sz w:val="28"/>
          <w:szCs w:val="20"/>
          <w:highlight w:val="none"/>
        </w:rPr>
        <w:t xml:space="preserve">2.  </w:t>
      </w:r>
      <w:r>
        <w:rPr>
          <w:rFonts w:hint="eastAsia" w:ascii="宋体" w:hAnsi="宋体" w:eastAsia="宋体" w:cs="Times New Roman"/>
          <w:b/>
          <w:color w:val="auto"/>
          <w:sz w:val="28"/>
          <w:szCs w:val="20"/>
          <w:highlight w:val="none"/>
        </w:rPr>
        <w:t>招标文件</w:t>
      </w:r>
      <w:bookmarkEnd w:id="88"/>
    </w:p>
    <w:p w14:paraId="16CA3E31">
      <w:pPr>
        <w:keepNext/>
        <w:keepLines/>
        <w:wordWrap w:val="0"/>
        <w:spacing w:line="360" w:lineRule="auto"/>
        <w:outlineLvl w:val="3"/>
        <w:rPr>
          <w:rFonts w:hint="eastAsia" w:ascii="宋体" w:hAnsi="宋体" w:eastAsia="宋体" w:cs="Times New Roman"/>
          <w:b/>
          <w:color w:val="auto"/>
          <w:sz w:val="28"/>
          <w:szCs w:val="28"/>
          <w:highlight w:val="none"/>
        </w:rPr>
      </w:pPr>
      <w:bookmarkStart w:id="89" w:name="bookmark34"/>
      <w:bookmarkEnd w:id="89"/>
      <w:r>
        <w:rPr>
          <w:rFonts w:ascii="宋体" w:hAnsi="宋体" w:eastAsia="宋体" w:cs="Times New Roman"/>
          <w:b/>
          <w:color w:val="auto"/>
          <w:sz w:val="28"/>
          <w:szCs w:val="28"/>
          <w:highlight w:val="none"/>
        </w:rPr>
        <w:t>2.1</w:t>
      </w:r>
      <w:r>
        <w:rPr>
          <w:rFonts w:hint="eastAsia" w:ascii="宋体" w:hAnsi="宋体" w:eastAsia="宋体" w:cs="Times New Roman"/>
          <w:b/>
          <w:color w:val="auto"/>
          <w:sz w:val="28"/>
          <w:szCs w:val="28"/>
          <w:highlight w:val="none"/>
        </w:rPr>
        <w:t>招标文件的组成</w:t>
      </w:r>
    </w:p>
    <w:p w14:paraId="67C0A31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本招标文件包括：</w:t>
      </w:r>
    </w:p>
    <w:p w14:paraId="643E43A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）招标公告；</w:t>
      </w:r>
    </w:p>
    <w:p w14:paraId="43B77A9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）投标人须知；</w:t>
      </w:r>
    </w:p>
    <w:p w14:paraId="70E71A3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）评标办法；</w:t>
      </w:r>
    </w:p>
    <w:p w14:paraId="6CE6B47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）合同条款及格式；</w:t>
      </w:r>
    </w:p>
    <w:p w14:paraId="69A6CB8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）委托人要求；</w:t>
      </w:r>
    </w:p>
    <w:p w14:paraId="3EDB6CE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）投标文件格式；</w:t>
      </w:r>
    </w:p>
    <w:p w14:paraId="02ED0EB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）投标人须知前附表规定的其他资料。</w:t>
      </w:r>
    </w:p>
    <w:p w14:paraId="5B59680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根据本章第</w:t>
      </w:r>
      <w:r>
        <w:rPr>
          <w:rFonts w:ascii="宋体" w:hAnsi="宋体" w:eastAsia="宋体" w:cs="Times New Roman"/>
          <w:color w:val="auto"/>
          <w:sz w:val="24"/>
          <w:szCs w:val="24"/>
          <w:highlight w:val="none"/>
        </w:rPr>
        <w:t>1.10</w:t>
      </w:r>
      <w:r>
        <w:rPr>
          <w:rFonts w:hint="eastAsia" w:ascii="宋体" w:hAnsi="宋体" w:eastAsia="宋体" w:cs="Times New Roman"/>
          <w:color w:val="auto"/>
          <w:sz w:val="24"/>
          <w:szCs w:val="24"/>
          <w:highlight w:val="none"/>
        </w:rPr>
        <w:t>款、第</w:t>
      </w:r>
      <w:r>
        <w:rPr>
          <w:rFonts w:ascii="宋体" w:hAnsi="宋体" w:eastAsia="宋体" w:cs="Times New Roman"/>
          <w:color w:val="auto"/>
          <w:sz w:val="24"/>
          <w:szCs w:val="24"/>
          <w:highlight w:val="none"/>
        </w:rPr>
        <w:t>2.2</w:t>
      </w:r>
      <w:r>
        <w:rPr>
          <w:rFonts w:hint="eastAsia" w:ascii="宋体" w:hAnsi="宋体" w:eastAsia="宋体" w:cs="Times New Roman"/>
          <w:color w:val="auto"/>
          <w:sz w:val="24"/>
          <w:szCs w:val="24"/>
          <w:highlight w:val="none"/>
        </w:rPr>
        <w:t>款和第</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款对招标文件所作的澄清、修改，构成招标文件的组成部分。</w:t>
      </w:r>
    </w:p>
    <w:p w14:paraId="0FF9AD12">
      <w:pPr>
        <w:keepNext/>
        <w:keepLines/>
        <w:wordWrap w:val="0"/>
        <w:spacing w:line="360" w:lineRule="auto"/>
        <w:outlineLvl w:val="3"/>
        <w:rPr>
          <w:rFonts w:hint="eastAsia" w:ascii="宋体" w:hAnsi="宋体" w:eastAsia="宋体" w:cs="Times New Roman"/>
          <w:b/>
          <w:color w:val="auto"/>
          <w:sz w:val="28"/>
          <w:szCs w:val="28"/>
          <w:highlight w:val="none"/>
        </w:rPr>
      </w:pPr>
      <w:bookmarkStart w:id="90" w:name="bookmark35"/>
      <w:bookmarkEnd w:id="90"/>
      <w:r>
        <w:rPr>
          <w:rFonts w:ascii="宋体" w:hAnsi="宋体" w:eastAsia="宋体" w:cs="Times New Roman"/>
          <w:b/>
          <w:color w:val="auto"/>
          <w:sz w:val="28"/>
          <w:szCs w:val="28"/>
          <w:highlight w:val="none"/>
        </w:rPr>
        <w:t>2.2</w:t>
      </w:r>
      <w:r>
        <w:rPr>
          <w:rFonts w:hint="eastAsia" w:ascii="宋体" w:hAnsi="宋体" w:eastAsia="宋体" w:cs="Times New Roman"/>
          <w:b/>
          <w:color w:val="auto"/>
          <w:sz w:val="28"/>
          <w:szCs w:val="28"/>
          <w:highlight w:val="none"/>
        </w:rPr>
        <w:t>招标文件的答疑</w:t>
      </w:r>
    </w:p>
    <w:p w14:paraId="406EC4F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2.2.1投标人应仔细阅读和检查招标文件的全部内容。如有疑问，应按投标人须知前附表规定的时间和形式将提出的问题送达招标人，要求招标人对招标文件予以澄清。</w:t>
      </w:r>
    </w:p>
    <w:p w14:paraId="74879B5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2.2.2招标答疑采用网上答疑方式进行。投标人若对招标文件有疑问的，通过广州交易集团有限公司（广州公共资源交易中心）网站提交，应按照广州交易集团有限公司（广州公共资源交易中心）网站关于全流程电子化项目的相关指南进行操作。提问一律不得署名。</w:t>
      </w:r>
    </w:p>
    <w:p w14:paraId="257FB48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2.2.3</w:t>
      </w:r>
      <w:r>
        <w:rPr>
          <w:rFonts w:hint="default" w:ascii="宋体" w:hAnsi="宋体" w:eastAsia="宋体"/>
          <w:b/>
          <w:bCs/>
          <w:color w:val="auto"/>
          <w:sz w:val="24"/>
          <w:szCs w:val="24"/>
          <w:highlight w:val="none"/>
          <w:u w:val="single"/>
        </w:rPr>
        <w:t>招标答疑纪要</w:t>
      </w:r>
      <w:r>
        <w:rPr>
          <w:rFonts w:hint="eastAsia" w:ascii="宋体" w:hAnsi="宋体" w:eastAsia="宋体" w:cs="宋体"/>
          <w:strike/>
          <w:dstrike w:val="0"/>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将在提交投标文件截止时间15日前在广州交易集团有限公司（广州公共资源交易中心）网站“项目答疑纪要”专区公开发布。答疑纪要一经在广州交易集团有限公司（广州公共资源交易中心）网站发布，视作已发放给所有投标人。澄清发出的时间距本章第4.2.1项规定的投标截止时间不足15日的，并且澄清内容可能影响投标文件编制的，将相应延长投标截止时间。</w:t>
      </w:r>
    </w:p>
    <w:p w14:paraId="6D660F9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72" w:firstLineChars="200"/>
        <w:textAlignment w:val="auto"/>
        <w:rPr>
          <w:rFonts w:hint="eastAsia" w:ascii="宋体" w:hAnsi="宋体" w:eastAsia="宋体" w:cs="Times New Roman"/>
          <w:color w:val="auto"/>
          <w:sz w:val="24"/>
          <w:szCs w:val="24"/>
          <w:highlight w:val="none"/>
        </w:rPr>
      </w:pPr>
      <w:r>
        <w:rPr>
          <w:rFonts w:hint="eastAsia" w:ascii="宋体" w:hAnsi="宋体" w:eastAsia="宋体" w:cs="宋体"/>
          <w:color w:val="auto"/>
          <w:spacing w:val="-2"/>
          <w:kern w:val="0"/>
          <w:sz w:val="24"/>
          <w:szCs w:val="24"/>
          <w:highlight w:val="none"/>
        </w:rPr>
        <w:t>2.2.4</w:t>
      </w:r>
      <w:r>
        <w:rPr>
          <w:rFonts w:hint="default" w:ascii="宋体" w:hAnsi="宋体" w:eastAsia="宋体"/>
          <w:b/>
          <w:bCs/>
          <w:color w:val="auto"/>
          <w:sz w:val="24"/>
          <w:szCs w:val="24"/>
          <w:highlight w:val="none"/>
          <w:u w:val="single"/>
        </w:rPr>
        <w:t>招标答疑纪要</w:t>
      </w:r>
      <w:r>
        <w:rPr>
          <w:rFonts w:hint="eastAsia" w:ascii="宋体" w:hAnsi="宋体" w:eastAsia="宋体" w:cs="宋体"/>
          <w:strike/>
          <w:dstrike w:val="0"/>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是招标文件的组成部分，对投标人起约束作用。若招标答疑会会议纪要与招标文件有矛盾时，以广州交易集团有限公司（广州公共资源交易中心）网站最后发布的答疑纪要为准。</w:t>
      </w:r>
    </w:p>
    <w:p w14:paraId="5BD6B00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2.2.5除非招标人认为确有必要答复，否则，招标人有权拒绝回复投标人在本章第2.2.1项规定的时间后的任何澄清要求。</w:t>
      </w:r>
    </w:p>
    <w:p w14:paraId="562C64E5">
      <w:pPr>
        <w:keepNext/>
        <w:keepLines/>
        <w:wordWrap w:val="0"/>
        <w:spacing w:line="360" w:lineRule="auto"/>
        <w:outlineLvl w:val="3"/>
        <w:rPr>
          <w:rFonts w:hint="eastAsia" w:ascii="宋体" w:hAnsi="宋体" w:eastAsia="宋体" w:cs="Times New Roman"/>
          <w:b/>
          <w:color w:val="auto"/>
          <w:sz w:val="28"/>
          <w:szCs w:val="28"/>
          <w:highlight w:val="none"/>
        </w:rPr>
      </w:pPr>
      <w:bookmarkStart w:id="91" w:name="bookmark36"/>
      <w:bookmarkEnd w:id="91"/>
      <w:r>
        <w:rPr>
          <w:rFonts w:ascii="宋体" w:hAnsi="宋体" w:eastAsia="宋体" w:cs="Times New Roman"/>
          <w:b/>
          <w:color w:val="auto"/>
          <w:sz w:val="28"/>
          <w:szCs w:val="28"/>
          <w:highlight w:val="none"/>
        </w:rPr>
        <w:t>2.3</w:t>
      </w:r>
      <w:r>
        <w:rPr>
          <w:rFonts w:hint="eastAsia" w:ascii="宋体" w:hAnsi="宋体" w:eastAsia="宋体" w:cs="Times New Roman"/>
          <w:b/>
          <w:color w:val="auto"/>
          <w:sz w:val="28"/>
          <w:szCs w:val="28"/>
          <w:highlight w:val="none"/>
        </w:rPr>
        <w:t>招标文件的澄清与修改</w:t>
      </w:r>
    </w:p>
    <w:p w14:paraId="4BEF90E1">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2.3.1招标文件发出后，在提交投标文件截止时间15日前，招标人可对招标文件进行必要的澄清或修改。</w:t>
      </w:r>
    </w:p>
    <w:p w14:paraId="4095EC3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5293EA1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2.3.3招标文件的澄清或修改是招标文件的组成部分，对投标人起约束作用。</w:t>
      </w:r>
    </w:p>
    <w:p w14:paraId="0F87AA8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2.3.4招标文件的澄清或修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14:paraId="07CAF5D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046DD2E">
      <w:pPr>
        <w:keepNext/>
        <w:keepLines/>
        <w:wordWrap w:val="0"/>
        <w:spacing w:line="360" w:lineRule="auto"/>
        <w:outlineLvl w:val="3"/>
        <w:rPr>
          <w:rFonts w:hint="eastAsia" w:ascii="宋体" w:hAnsi="宋体" w:eastAsia="宋体" w:cs="Times New Roman"/>
          <w:b/>
          <w:color w:val="auto"/>
          <w:sz w:val="28"/>
          <w:szCs w:val="28"/>
          <w:highlight w:val="none"/>
        </w:rPr>
      </w:pPr>
      <w:bookmarkStart w:id="92" w:name="bookmark37"/>
      <w:bookmarkEnd w:id="92"/>
      <w:r>
        <w:rPr>
          <w:rFonts w:ascii="宋体" w:hAnsi="宋体" w:eastAsia="宋体" w:cs="Times New Roman"/>
          <w:b/>
          <w:color w:val="auto"/>
          <w:sz w:val="28"/>
          <w:szCs w:val="28"/>
          <w:highlight w:val="none"/>
        </w:rPr>
        <w:t>2.4</w:t>
      </w:r>
      <w:r>
        <w:rPr>
          <w:rFonts w:hint="eastAsia" w:ascii="宋体" w:hAnsi="宋体" w:eastAsia="宋体" w:cs="Times New Roman"/>
          <w:b/>
          <w:color w:val="auto"/>
          <w:sz w:val="28"/>
          <w:szCs w:val="28"/>
          <w:highlight w:val="none"/>
        </w:rPr>
        <w:t>招标文件的异议</w:t>
      </w:r>
    </w:p>
    <w:p w14:paraId="099FF0E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投标人或者其他利害关系人对招标文件有异议的，应当在投标截止时间</w:t>
      </w:r>
      <w:r>
        <w:rPr>
          <w:rFonts w:ascii="宋体" w:hAnsi="宋体" w:eastAsia="宋体" w:cs="Times New Roman"/>
          <w:color w:val="auto"/>
          <w:sz w:val="24"/>
          <w:szCs w:val="24"/>
          <w:highlight w:val="none"/>
        </w:rPr>
        <w:t>10</w:t>
      </w:r>
      <w:r>
        <w:rPr>
          <w:rFonts w:hint="eastAsia" w:ascii="宋体" w:hAnsi="宋体" w:eastAsia="宋体" w:cs="Times New Roman"/>
          <w:color w:val="auto"/>
          <w:sz w:val="24"/>
          <w:szCs w:val="24"/>
          <w:highlight w:val="none"/>
        </w:rPr>
        <w:t>日前以书面形式提出。招标人将在收到异议之日起</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日内作出答复；作出答复前，将暂停招标投标活动。</w:t>
      </w:r>
      <w:bookmarkStart w:id="93" w:name="bookmark38"/>
      <w:bookmarkEnd w:id="93"/>
    </w:p>
    <w:p w14:paraId="57EA08FA">
      <w:pPr>
        <w:keepNext/>
        <w:keepLines/>
        <w:wordWrap w:val="0"/>
        <w:spacing w:line="360" w:lineRule="auto"/>
        <w:outlineLvl w:val="2"/>
        <w:rPr>
          <w:rFonts w:hint="eastAsia" w:ascii="宋体" w:hAnsi="宋体" w:eastAsia="宋体" w:cs="Times New Roman"/>
          <w:b/>
          <w:color w:val="auto"/>
          <w:sz w:val="28"/>
          <w:szCs w:val="20"/>
          <w:highlight w:val="none"/>
        </w:rPr>
      </w:pPr>
      <w:bookmarkStart w:id="94" w:name="_Toc59200681"/>
      <w:bookmarkStart w:id="95" w:name="_Toc14873648"/>
      <w:r>
        <w:rPr>
          <w:rFonts w:ascii="宋体" w:hAnsi="宋体" w:eastAsia="宋体" w:cs="Times New Roman"/>
          <w:b/>
          <w:color w:val="auto"/>
          <w:sz w:val="28"/>
          <w:szCs w:val="20"/>
          <w:highlight w:val="none"/>
        </w:rPr>
        <w:t xml:space="preserve">3.  </w:t>
      </w:r>
      <w:r>
        <w:rPr>
          <w:rFonts w:hint="eastAsia" w:ascii="宋体" w:hAnsi="宋体" w:eastAsia="宋体" w:cs="Times New Roman"/>
          <w:b/>
          <w:color w:val="auto"/>
          <w:sz w:val="28"/>
          <w:szCs w:val="20"/>
          <w:highlight w:val="none"/>
        </w:rPr>
        <w:t>投标文件</w:t>
      </w:r>
      <w:bookmarkEnd w:id="94"/>
      <w:bookmarkEnd w:id="95"/>
    </w:p>
    <w:p w14:paraId="48673759">
      <w:pPr>
        <w:keepNext/>
        <w:keepLines/>
        <w:wordWrap w:val="0"/>
        <w:spacing w:line="360" w:lineRule="auto"/>
        <w:outlineLvl w:val="3"/>
        <w:rPr>
          <w:rFonts w:hint="eastAsia" w:ascii="宋体" w:hAnsi="宋体" w:eastAsia="宋体" w:cs="Times New Roman"/>
          <w:b/>
          <w:color w:val="auto"/>
          <w:sz w:val="28"/>
          <w:szCs w:val="28"/>
          <w:highlight w:val="none"/>
        </w:rPr>
      </w:pPr>
      <w:bookmarkStart w:id="96" w:name="bookmark39"/>
      <w:bookmarkEnd w:id="96"/>
      <w:r>
        <w:rPr>
          <w:rFonts w:ascii="宋体" w:hAnsi="宋体" w:eastAsia="宋体" w:cs="Times New Roman"/>
          <w:b/>
          <w:color w:val="auto"/>
          <w:sz w:val="28"/>
          <w:szCs w:val="28"/>
          <w:highlight w:val="none"/>
        </w:rPr>
        <w:t>3.1</w:t>
      </w:r>
      <w:r>
        <w:rPr>
          <w:rFonts w:hint="eastAsia" w:ascii="宋体" w:hAnsi="宋体" w:eastAsia="宋体" w:cs="Times New Roman"/>
          <w:b/>
          <w:color w:val="auto"/>
          <w:sz w:val="28"/>
          <w:szCs w:val="28"/>
          <w:highlight w:val="none"/>
        </w:rPr>
        <w:t>投标文件的组成</w:t>
      </w:r>
    </w:p>
    <w:p w14:paraId="3AC32F4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3.1.1</w:t>
      </w:r>
      <w:r>
        <w:rPr>
          <w:rFonts w:hint="eastAsia" w:ascii="宋体" w:hAnsi="宋体" w:eastAsia="宋体" w:cs="Times New Roman"/>
          <w:color w:val="auto"/>
          <w:sz w:val="24"/>
          <w:szCs w:val="24"/>
          <w:highlight w:val="none"/>
        </w:rPr>
        <w:t>投标文件应包括下列内容：</w:t>
      </w:r>
    </w:p>
    <w:p w14:paraId="651747C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（1）投标函及投标函附录；</w:t>
      </w:r>
    </w:p>
    <w:p w14:paraId="492A95C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（2）法定代表人证明或授权委托书；</w:t>
      </w:r>
    </w:p>
    <w:p w14:paraId="01C1F63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（3）联合体协议书；</w:t>
      </w:r>
    </w:p>
    <w:p w14:paraId="090FC24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（4）投标保证金（如有）；</w:t>
      </w:r>
    </w:p>
    <w:p w14:paraId="3C9BC70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（5）监理报酬清单；</w:t>
      </w:r>
    </w:p>
    <w:p w14:paraId="3F30183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（6）资格审查资料；</w:t>
      </w:r>
    </w:p>
    <w:p w14:paraId="331E43C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（7）监理大纲；</w:t>
      </w:r>
    </w:p>
    <w:p w14:paraId="236A8E2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（8）投标人须知前附表规定的其他资料。</w:t>
      </w:r>
    </w:p>
    <w:p w14:paraId="7D2C572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投标人在评标过程中作出的符合法律法规和招标文件规定的澄清确认，构成投标文件的组成部分。</w:t>
      </w:r>
    </w:p>
    <w:p w14:paraId="29194D1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3.1.2</w:t>
      </w:r>
      <w:r>
        <w:rPr>
          <w:rFonts w:hint="eastAsia" w:ascii="宋体" w:hAnsi="宋体" w:eastAsia="宋体" w:cs="Times New Roman"/>
          <w:color w:val="auto"/>
          <w:sz w:val="24"/>
          <w:szCs w:val="24"/>
          <w:highlight w:val="none"/>
        </w:rPr>
        <w:t>投标人须知前附表规定不接受联合体投标的，或投标人没有组成联合体的，投标文件不包括本章第</w:t>
      </w:r>
      <w:r>
        <w:rPr>
          <w:rFonts w:ascii="宋体" w:hAnsi="宋体" w:eastAsia="宋体" w:cs="Times New Roman"/>
          <w:color w:val="auto"/>
          <w:sz w:val="24"/>
          <w:szCs w:val="24"/>
          <w:highlight w:val="none"/>
        </w:rPr>
        <w:t>3.1.1</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）目所指的联合体协议书。</w:t>
      </w:r>
    </w:p>
    <w:p w14:paraId="4AB01D7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3.1.3</w:t>
      </w:r>
      <w:r>
        <w:rPr>
          <w:rFonts w:hint="eastAsia" w:ascii="宋体" w:hAnsi="宋体" w:eastAsia="宋体" w:cs="Times New Roman"/>
          <w:color w:val="auto"/>
          <w:sz w:val="24"/>
          <w:szCs w:val="24"/>
          <w:highlight w:val="none"/>
        </w:rPr>
        <w:t>投标人须知前附表未要求提交投标保证金的，投标文件不包括本章第</w:t>
      </w:r>
      <w:r>
        <w:rPr>
          <w:rFonts w:ascii="宋体" w:hAnsi="宋体" w:eastAsia="宋体" w:cs="Times New Roman"/>
          <w:color w:val="auto"/>
          <w:sz w:val="24"/>
          <w:szCs w:val="24"/>
          <w:highlight w:val="none"/>
        </w:rPr>
        <w:t>3.1.1</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）目所指的投标保证金。</w:t>
      </w:r>
    </w:p>
    <w:p w14:paraId="61662B9A">
      <w:pPr>
        <w:keepNext/>
        <w:keepLines/>
        <w:wordWrap w:val="0"/>
        <w:spacing w:line="360" w:lineRule="auto"/>
        <w:outlineLvl w:val="3"/>
        <w:rPr>
          <w:rFonts w:hint="eastAsia" w:ascii="宋体" w:hAnsi="宋体" w:eastAsia="宋体" w:cs="Times New Roman"/>
          <w:b/>
          <w:color w:val="auto"/>
          <w:sz w:val="28"/>
          <w:szCs w:val="28"/>
          <w:highlight w:val="none"/>
        </w:rPr>
      </w:pPr>
      <w:bookmarkStart w:id="97" w:name="bookmark40"/>
      <w:bookmarkEnd w:id="97"/>
      <w:bookmarkStart w:id="98" w:name="_Toc59200682"/>
      <w:r>
        <w:rPr>
          <w:rFonts w:ascii="宋体" w:hAnsi="宋体" w:eastAsia="宋体" w:cs="Times New Roman"/>
          <w:b/>
          <w:color w:val="auto"/>
          <w:sz w:val="28"/>
          <w:szCs w:val="28"/>
          <w:highlight w:val="none"/>
        </w:rPr>
        <w:t>3.2</w:t>
      </w:r>
      <w:r>
        <w:rPr>
          <w:rFonts w:hint="eastAsia" w:ascii="宋体" w:hAnsi="宋体" w:eastAsia="宋体" w:cs="Times New Roman"/>
          <w:b/>
          <w:color w:val="auto"/>
          <w:sz w:val="28"/>
          <w:szCs w:val="28"/>
          <w:highlight w:val="none"/>
        </w:rPr>
        <w:t>投标报价</w:t>
      </w:r>
      <w:bookmarkEnd w:id="98"/>
    </w:p>
    <w:p w14:paraId="27A38B96">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3.2.1</w:t>
      </w:r>
      <w:r>
        <w:rPr>
          <w:rFonts w:hint="eastAsia" w:ascii="宋体" w:hAnsi="宋体" w:eastAsia="宋体" w:cs="Times New Roman"/>
          <w:color w:val="auto"/>
          <w:sz w:val="24"/>
          <w:szCs w:val="24"/>
          <w:highlight w:val="none"/>
        </w:rPr>
        <w:t>投标报价应包括国家规定的增值税税金，除投标人须知前附表另有规定外，增值税税金按一般计税方法计算。投标人应按第六章“投标文件格式”的要求在投标函中进行报价并填写监理报酬清单。</w:t>
      </w:r>
    </w:p>
    <w:p w14:paraId="482ECEC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3.2.2</w:t>
      </w:r>
      <w:r>
        <w:rPr>
          <w:rFonts w:hint="eastAsia" w:ascii="宋体" w:hAnsi="宋体" w:eastAsia="宋体" w:cs="Times New Roman"/>
          <w:color w:val="auto"/>
          <w:sz w:val="24"/>
          <w:szCs w:val="24"/>
          <w:highlight w:val="none"/>
        </w:rPr>
        <w:t>投标人应充分了解该项目的总体情况以及影响投标报价的其他要素。</w:t>
      </w:r>
    </w:p>
    <w:p w14:paraId="46BEDD71">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3.2.3</w:t>
      </w:r>
      <w:r>
        <w:rPr>
          <w:rFonts w:hint="eastAsia" w:ascii="宋体" w:hAnsi="宋体" w:eastAsia="宋体" w:cs="Times New Roman"/>
          <w:color w:val="auto"/>
          <w:sz w:val="24"/>
          <w:szCs w:val="24"/>
          <w:highlight w:val="none"/>
        </w:rPr>
        <w:t>本项目的报价方式见投标人须知前附表。投标人在投标截止时间前修改投标函中的投标报价总额，应同时修改投标文件“监理报酬清单”中的相应报价。此修改须符合本章第</w:t>
      </w:r>
      <w:r>
        <w:rPr>
          <w:rFonts w:ascii="宋体" w:hAnsi="宋体" w:eastAsia="宋体" w:cs="Times New Roman"/>
          <w:color w:val="auto"/>
          <w:sz w:val="24"/>
          <w:szCs w:val="24"/>
          <w:highlight w:val="none"/>
        </w:rPr>
        <w:t>4.3</w:t>
      </w:r>
      <w:r>
        <w:rPr>
          <w:rFonts w:hint="eastAsia" w:ascii="宋体" w:hAnsi="宋体" w:eastAsia="宋体" w:cs="Times New Roman"/>
          <w:color w:val="auto"/>
          <w:sz w:val="24"/>
          <w:szCs w:val="24"/>
          <w:highlight w:val="none"/>
        </w:rPr>
        <w:t>款的有关要求。</w:t>
      </w:r>
    </w:p>
    <w:p w14:paraId="2342004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3.2.4</w:t>
      </w:r>
      <w:r>
        <w:rPr>
          <w:rFonts w:hint="eastAsia" w:ascii="宋体" w:hAnsi="宋体" w:eastAsia="宋体" w:cs="Times New Roman"/>
          <w:color w:val="auto"/>
          <w:sz w:val="24"/>
          <w:szCs w:val="24"/>
          <w:highlight w:val="none"/>
        </w:rPr>
        <w:t>招标人设有最高投标限价的，投标人的投标报价不得超过最高投标限价，最高投标限价在投标人须知前附表中载明。</w:t>
      </w:r>
    </w:p>
    <w:p w14:paraId="3611A7E4">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3.2.5</w:t>
      </w:r>
      <w:r>
        <w:rPr>
          <w:rFonts w:hint="eastAsia" w:ascii="宋体" w:hAnsi="宋体" w:eastAsia="宋体" w:cs="Times New Roman"/>
          <w:color w:val="auto"/>
          <w:sz w:val="24"/>
          <w:szCs w:val="24"/>
          <w:highlight w:val="none"/>
        </w:rPr>
        <w:t>投标报价的其他要求见投标人须知前附表。</w:t>
      </w:r>
    </w:p>
    <w:p w14:paraId="5E62B895">
      <w:pPr>
        <w:keepNext/>
        <w:keepLines/>
        <w:wordWrap w:val="0"/>
        <w:spacing w:line="360" w:lineRule="auto"/>
        <w:outlineLvl w:val="3"/>
        <w:rPr>
          <w:rFonts w:hint="eastAsia" w:ascii="宋体" w:hAnsi="宋体" w:eastAsia="宋体" w:cs="Times New Roman"/>
          <w:b/>
          <w:color w:val="auto"/>
          <w:sz w:val="28"/>
          <w:szCs w:val="28"/>
          <w:highlight w:val="none"/>
        </w:rPr>
      </w:pPr>
      <w:bookmarkStart w:id="99" w:name="bookmark41"/>
      <w:bookmarkEnd w:id="99"/>
      <w:r>
        <w:rPr>
          <w:rFonts w:ascii="宋体" w:hAnsi="宋体" w:eastAsia="宋体" w:cs="Times New Roman"/>
          <w:b/>
          <w:color w:val="auto"/>
          <w:sz w:val="28"/>
          <w:szCs w:val="28"/>
          <w:highlight w:val="none"/>
        </w:rPr>
        <w:t>3.3</w:t>
      </w:r>
      <w:r>
        <w:rPr>
          <w:rFonts w:hint="eastAsia" w:ascii="宋体" w:hAnsi="宋体" w:eastAsia="宋体" w:cs="Times New Roman"/>
          <w:b/>
          <w:color w:val="auto"/>
          <w:sz w:val="28"/>
          <w:szCs w:val="28"/>
          <w:highlight w:val="none"/>
        </w:rPr>
        <w:t>投标有效期</w:t>
      </w:r>
    </w:p>
    <w:p w14:paraId="0C50156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3.3.1</w:t>
      </w:r>
      <w:r>
        <w:rPr>
          <w:rFonts w:hint="eastAsia" w:ascii="宋体" w:hAnsi="宋体" w:eastAsia="宋体" w:cs="Times New Roman"/>
          <w:color w:val="auto"/>
          <w:sz w:val="24"/>
          <w:szCs w:val="24"/>
          <w:highlight w:val="none"/>
        </w:rPr>
        <w:t>除投标人须知前附表另有规定外，投标有效期不少于</w:t>
      </w:r>
      <w:r>
        <w:rPr>
          <w:rFonts w:ascii="宋体" w:hAnsi="宋体" w:eastAsia="宋体" w:cs="Times New Roman"/>
          <w:color w:val="auto"/>
          <w:sz w:val="24"/>
          <w:szCs w:val="24"/>
          <w:highlight w:val="none"/>
        </w:rPr>
        <w:t>90</w:t>
      </w:r>
      <w:r>
        <w:rPr>
          <w:rFonts w:hint="eastAsia" w:ascii="宋体" w:hAnsi="宋体" w:eastAsia="宋体" w:cs="Times New Roman"/>
          <w:color w:val="auto"/>
          <w:sz w:val="24"/>
          <w:szCs w:val="24"/>
          <w:highlight w:val="none"/>
        </w:rPr>
        <w:t>天。</w:t>
      </w:r>
    </w:p>
    <w:p w14:paraId="7751F21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3.3.2</w:t>
      </w:r>
      <w:r>
        <w:rPr>
          <w:rFonts w:hint="eastAsia" w:ascii="宋体" w:hAnsi="宋体" w:eastAsia="宋体" w:cs="Times New Roman"/>
          <w:color w:val="auto"/>
          <w:sz w:val="24"/>
          <w:szCs w:val="24"/>
          <w:highlight w:val="none"/>
        </w:rPr>
        <w:t>在投标有效期内，投标人撤销投标文件的，应承担招标文件和法律规定的责任。</w:t>
      </w:r>
    </w:p>
    <w:p w14:paraId="1DC28A1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3.3.3</w:t>
      </w:r>
      <w:r>
        <w:rPr>
          <w:rFonts w:hint="eastAsia" w:ascii="宋体" w:hAnsi="宋体" w:eastAsia="宋体" w:cs="Times New Roman"/>
          <w:color w:val="auto"/>
          <w:sz w:val="24"/>
          <w:szCs w:val="24"/>
          <w:highlight w:val="none"/>
        </w:rPr>
        <w:t>出现特殊情况需要延长投标有效期的，招标人以书面形式通知所有投标人延长投标有效期。投标人应予以书面答复，同意延长的</w:t>
      </w:r>
      <w:r>
        <w:rPr>
          <w:rFonts w:hint="eastAsia" w:ascii="宋体" w:hAnsi="宋体" w:eastAsia="宋体" w:cs="Times New Roman"/>
          <w:strike/>
          <w:dstrike w:val="0"/>
          <w:color w:val="auto"/>
          <w:sz w:val="24"/>
          <w:szCs w:val="24"/>
          <w:highlight w:val="none"/>
        </w:rPr>
        <w:t>，应相应延长其投标保证金的有效期，但</w:t>
      </w:r>
      <w:r>
        <w:rPr>
          <w:rFonts w:hint="eastAsia" w:ascii="宋体" w:hAnsi="宋体" w:eastAsia="宋体" w:cs="Times New Roman"/>
          <w:color w:val="auto"/>
          <w:sz w:val="24"/>
          <w:szCs w:val="24"/>
          <w:highlight w:val="none"/>
        </w:rPr>
        <w:t>不得要求或被允许修改其投标文件；投标人拒绝延长的，其投标失效</w:t>
      </w:r>
      <w:r>
        <w:rPr>
          <w:rFonts w:hint="eastAsia" w:ascii="宋体" w:hAnsi="宋体" w:eastAsia="宋体" w:cs="Times New Roman"/>
          <w:strike/>
          <w:dstrike w:val="0"/>
          <w:color w:val="auto"/>
          <w:sz w:val="24"/>
          <w:szCs w:val="24"/>
          <w:highlight w:val="none"/>
        </w:rPr>
        <w:t>，但投标人有权收回其投标保证金及以现金或者支票形式递交的投标保证金的银行同期存款利息</w:t>
      </w:r>
      <w:r>
        <w:rPr>
          <w:rFonts w:hint="eastAsia" w:ascii="宋体" w:hAnsi="宋体" w:eastAsia="宋体" w:cs="Times New Roman"/>
          <w:color w:val="auto"/>
          <w:sz w:val="24"/>
          <w:szCs w:val="24"/>
          <w:highlight w:val="none"/>
        </w:rPr>
        <w:t>。</w:t>
      </w:r>
    </w:p>
    <w:p w14:paraId="4B37A34A">
      <w:pPr>
        <w:keepNext/>
        <w:keepLines/>
        <w:wordWrap w:val="0"/>
        <w:spacing w:line="360" w:lineRule="auto"/>
        <w:outlineLvl w:val="3"/>
        <w:rPr>
          <w:rFonts w:hint="eastAsia" w:ascii="宋体" w:hAnsi="宋体" w:eastAsia="宋体" w:cs="Times New Roman"/>
          <w:b/>
          <w:color w:val="auto"/>
          <w:sz w:val="28"/>
          <w:szCs w:val="28"/>
          <w:highlight w:val="none"/>
          <w:u w:val="single"/>
        </w:rPr>
      </w:pPr>
      <w:bookmarkStart w:id="100" w:name="bookmark42"/>
      <w:bookmarkEnd w:id="100"/>
      <w:r>
        <w:rPr>
          <w:rFonts w:ascii="宋体" w:hAnsi="宋体" w:eastAsia="宋体" w:cs="Times New Roman"/>
          <w:b/>
          <w:color w:val="auto"/>
          <w:sz w:val="28"/>
          <w:szCs w:val="28"/>
          <w:highlight w:val="none"/>
        </w:rPr>
        <w:t>3.4</w:t>
      </w:r>
      <w:r>
        <w:rPr>
          <w:rFonts w:hint="eastAsia" w:ascii="宋体" w:hAnsi="宋体" w:eastAsia="宋体" w:cs="Times New Roman"/>
          <w:b/>
          <w:color w:val="auto"/>
          <w:sz w:val="28"/>
          <w:szCs w:val="28"/>
          <w:highlight w:val="none"/>
        </w:rPr>
        <w:t>投标保证金</w:t>
      </w:r>
      <w:r>
        <w:rPr>
          <w:rFonts w:hint="eastAsia" w:ascii="宋体" w:hAnsi="宋体" w:eastAsia="宋体" w:cs="Times New Roman"/>
          <w:b/>
          <w:color w:val="auto"/>
          <w:sz w:val="28"/>
          <w:szCs w:val="28"/>
          <w:highlight w:val="none"/>
          <w:u w:val="single"/>
        </w:rPr>
        <w:t>（本项目不适用）</w:t>
      </w:r>
    </w:p>
    <w:p w14:paraId="33B8BB4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3.4.1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50F56D9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3.4.2投标人不按本章第3.4.1项要求提交投标保证金的，评标委员会将否决其投标。未按招标文件要求提交符合免予提供投标保证金相关证明材料，且未提交投标保证金的投标人，视为未按要求提供投标保证金。</w:t>
      </w:r>
    </w:p>
    <w:p w14:paraId="727AB2D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3.4.3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682BD2A5">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3.4.4在提交投标文件截止时间后到招标文件规定的投标有效期终止之前，投标人不得撤销其投标文件，否则招标人可以不退还投标保证金。</w:t>
      </w:r>
    </w:p>
    <w:p w14:paraId="743CFD8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3.4.5有下列情形之一的，投标保证金将不予退还：</w:t>
      </w:r>
    </w:p>
    <w:p w14:paraId="62D7DC7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（1）投标人在提交投标文件截止时间后到招标文件规定的投标有效期终止之前撤销投标文件；</w:t>
      </w:r>
    </w:p>
    <w:p w14:paraId="0E32B8B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（2）中标人在收到中标通知书后，无正当理由不与招标人订立合同，在签订合同时向招标人提出附加条件，或者不按照招标文件要求提交履约保证金；</w:t>
      </w:r>
    </w:p>
    <w:p w14:paraId="4AE4663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（3）发生投标人须知前附表规定的其他可以不予退还投标保证金的情形。</w:t>
      </w:r>
    </w:p>
    <w:p w14:paraId="08C171B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strike/>
          <w:dstrike w:val="0"/>
          <w:color w:val="auto"/>
          <w:sz w:val="24"/>
          <w:szCs w:val="24"/>
          <w:highlight w:val="none"/>
        </w:rPr>
        <w:t>3.4.6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47E86EB7">
      <w:pPr>
        <w:keepNext/>
        <w:keepLines/>
        <w:wordWrap w:val="0"/>
        <w:spacing w:line="360" w:lineRule="auto"/>
        <w:outlineLvl w:val="3"/>
        <w:rPr>
          <w:rFonts w:hint="eastAsia" w:ascii="宋体" w:hAnsi="宋体" w:eastAsia="宋体" w:cs="Times New Roman"/>
          <w:b/>
          <w:color w:val="auto"/>
          <w:sz w:val="28"/>
          <w:szCs w:val="28"/>
          <w:highlight w:val="none"/>
        </w:rPr>
      </w:pPr>
      <w:bookmarkStart w:id="101" w:name="bookmark44"/>
      <w:bookmarkEnd w:id="101"/>
      <w:bookmarkStart w:id="102" w:name="bookmark43"/>
      <w:bookmarkEnd w:id="102"/>
      <w:r>
        <w:rPr>
          <w:rFonts w:ascii="宋体" w:hAnsi="宋体" w:eastAsia="宋体" w:cs="Times New Roman"/>
          <w:b/>
          <w:color w:val="auto"/>
          <w:sz w:val="28"/>
          <w:szCs w:val="28"/>
          <w:highlight w:val="none"/>
        </w:rPr>
        <w:t>3.5</w:t>
      </w:r>
      <w:r>
        <w:rPr>
          <w:rFonts w:hint="eastAsia" w:ascii="宋体" w:hAnsi="宋体" w:eastAsia="宋体" w:cs="Times New Roman"/>
          <w:b/>
          <w:color w:val="auto"/>
          <w:sz w:val="28"/>
          <w:szCs w:val="28"/>
          <w:highlight w:val="none"/>
        </w:rPr>
        <w:t>资格审查资料（适用于未进行资格预审的）</w:t>
      </w:r>
    </w:p>
    <w:p w14:paraId="5CE1B985">
      <w:pPr>
        <w:keepNext w:val="0"/>
        <w:keepLines w:val="0"/>
        <w:pageBreakBefore w:val="0"/>
        <w:widowControl w:val="0"/>
        <w:kinsoku w:val="0"/>
        <w:wordWrap w:val="0"/>
        <w:overflowPunct w:val="0"/>
        <w:topLinePunct w:val="0"/>
        <w:autoSpaceDE/>
        <w:autoSpaceDN/>
        <w:bidi w:val="0"/>
        <w:adjustRightInd/>
        <w:snapToGrid/>
        <w:spacing w:line="360" w:lineRule="auto"/>
        <w:ind w:right="0" w:firstLine="476" w:firstLineChars="200"/>
        <w:textAlignment w:val="auto"/>
        <w:rPr>
          <w:rFonts w:hint="eastAsia" w:ascii="宋体" w:hAnsi="宋体" w:eastAsia="宋体" w:cs="Times New Roman"/>
          <w:color w:val="auto"/>
          <w:spacing w:val="-1"/>
          <w:sz w:val="24"/>
          <w:szCs w:val="24"/>
          <w:highlight w:val="none"/>
        </w:rPr>
      </w:pPr>
      <w:r>
        <w:rPr>
          <w:rFonts w:hint="eastAsia" w:ascii="宋体" w:hAnsi="宋体" w:eastAsia="宋体" w:cs="Times New Roman"/>
          <w:color w:val="auto"/>
          <w:spacing w:val="-1"/>
          <w:sz w:val="24"/>
          <w:szCs w:val="24"/>
          <w:highlight w:val="none"/>
        </w:rPr>
        <w:t>除投标人须知前附表另有规定外，投标人应按招标公告投标人资格要求及下列规定提供资格审查资料，以证明其满足本章第1.4款规定的资质、业绩等要求。</w:t>
      </w:r>
    </w:p>
    <w:p w14:paraId="1B046770">
      <w:pPr>
        <w:keepNext w:val="0"/>
        <w:keepLines w:val="0"/>
        <w:pageBreakBefore w:val="0"/>
        <w:widowControl w:val="0"/>
        <w:topLinePunct w:val="0"/>
        <w:autoSpaceDE/>
        <w:autoSpaceDN/>
        <w:bidi w:val="0"/>
        <w:adjustRightInd/>
        <w:snapToGrid/>
        <w:spacing w:line="360" w:lineRule="auto"/>
        <w:ind w:right="0"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3.5.1“投标人基本情况表”应附投标人营业执照和组织机构代码证的扫描件（按照“三证合一”或“五证合一”登记制度进行登记的，可仅提供营业执照扫描件）、投标人监理资质证书副本等材料的扫描件。</w:t>
      </w:r>
    </w:p>
    <w:p w14:paraId="28CAAD51">
      <w:pPr>
        <w:keepNext w:val="0"/>
        <w:keepLines w:val="0"/>
        <w:pageBreakBefore w:val="0"/>
        <w:widowControl w:val="0"/>
        <w:topLinePunct w:val="0"/>
        <w:autoSpaceDE/>
        <w:autoSpaceDN/>
        <w:bidi w:val="0"/>
        <w:adjustRightInd/>
        <w:snapToGrid/>
        <w:spacing w:line="360" w:lineRule="auto"/>
        <w:ind w:right="0"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3.5.2</w:t>
      </w:r>
      <w:r>
        <w:rPr>
          <w:rFonts w:hint="eastAsia" w:ascii="宋体" w:hAnsi="宋体" w:eastAsia="宋体"/>
          <w:color w:val="auto"/>
          <w:sz w:val="24"/>
          <w:szCs w:val="24"/>
          <w:highlight w:val="none"/>
          <w:u w:val="single"/>
        </w:rPr>
        <w:t>如有合格业绩要求，</w:t>
      </w:r>
      <w:r>
        <w:rPr>
          <w:rFonts w:hint="eastAsia" w:ascii="宋体" w:hAnsi="宋体" w:eastAsia="宋体"/>
          <w:color w:val="auto"/>
          <w:sz w:val="24"/>
          <w:szCs w:val="24"/>
          <w:highlight w:val="none"/>
        </w:rPr>
        <w:t>“近年完成的类似监理项目情况表”</w:t>
      </w:r>
      <w:r>
        <w:rPr>
          <w:rFonts w:hint="eastAsia" w:ascii="宋体" w:hAnsi="宋体" w:eastAsia="宋体"/>
          <w:color w:val="auto"/>
          <w:sz w:val="24"/>
          <w:szCs w:val="24"/>
          <w:highlight w:val="none"/>
          <w:u w:val="single"/>
        </w:rPr>
        <w:t>应按公告要求附相关资料</w:t>
      </w:r>
      <w:r>
        <w:rPr>
          <w:rFonts w:hint="eastAsia" w:ascii="宋体" w:hAnsi="宋体" w:eastAsia="宋体"/>
          <w:color w:val="auto"/>
          <w:sz w:val="24"/>
          <w:szCs w:val="24"/>
          <w:highlight w:val="none"/>
        </w:rPr>
        <w:t>，每张表格只填写一个项目，并标明序号。</w:t>
      </w:r>
    </w:p>
    <w:p w14:paraId="4AF0EBEF">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pacing w:val="-1"/>
          <w:sz w:val="24"/>
          <w:szCs w:val="24"/>
          <w:highlight w:val="none"/>
        </w:rPr>
      </w:pPr>
      <w:r>
        <w:rPr>
          <w:rFonts w:hint="eastAsia" w:ascii="宋体" w:hAnsi="宋体" w:eastAsia="宋体"/>
          <w:color w:val="auto"/>
          <w:sz w:val="24"/>
          <w:szCs w:val="24"/>
          <w:highlight w:val="none"/>
        </w:rPr>
        <w:t>3.5.3“拟委任的主要人员汇总表”应填报满足本章第1.4.1项规定的总监理工程师和其他主要人员的相关信息。“主要人员简历表”中总监理工程师应附</w:t>
      </w:r>
      <w:r>
        <w:rPr>
          <w:rFonts w:hint="eastAsia" w:ascii="宋体" w:hAnsi="宋体" w:eastAsia="宋体"/>
          <w:strike/>
          <w:color w:val="auto"/>
          <w:sz w:val="24"/>
          <w:szCs w:val="24"/>
          <w:highlight w:val="none"/>
        </w:rPr>
        <w:t>身份证、</w:t>
      </w:r>
      <w:r>
        <w:rPr>
          <w:rFonts w:hint="eastAsia" w:ascii="宋体" w:hAnsi="宋体" w:eastAsia="宋体"/>
          <w:color w:val="auto"/>
          <w:sz w:val="24"/>
          <w:szCs w:val="24"/>
          <w:highlight w:val="none"/>
        </w:rPr>
        <w:t>学历证、职称证、注册监理工程师执业证书和社保缴费证明，管理过的项目业绩须附合同协议书（如有）；其他主要人员应附</w:t>
      </w:r>
      <w:r>
        <w:rPr>
          <w:rFonts w:hint="eastAsia" w:ascii="宋体" w:hAnsi="宋体" w:eastAsia="宋体"/>
          <w:strike/>
          <w:color w:val="auto"/>
          <w:sz w:val="24"/>
          <w:szCs w:val="24"/>
          <w:highlight w:val="none"/>
        </w:rPr>
        <w:t>身份证、</w:t>
      </w:r>
      <w:r>
        <w:rPr>
          <w:rFonts w:hint="eastAsia" w:ascii="宋体" w:hAnsi="宋体" w:eastAsia="宋体"/>
          <w:color w:val="auto"/>
          <w:sz w:val="24"/>
          <w:szCs w:val="24"/>
          <w:highlight w:val="none"/>
        </w:rPr>
        <w:t>学历证、职称证、有关证书和社保缴费证明（如有）。</w:t>
      </w:r>
      <w:r>
        <w:rPr>
          <w:rFonts w:hint="eastAsia" w:ascii="宋体" w:hAnsi="宋体" w:eastAsia="宋体"/>
          <w:strike/>
          <w:color w:val="auto"/>
          <w:sz w:val="24"/>
          <w:szCs w:val="24"/>
          <w:highlight w:val="none"/>
        </w:rPr>
        <w:t>（注：以上人员社保要求：具有离投标截止时间最近的至少1个月在本单位缴纳的社保证明文件，由招标人自行确定。）</w:t>
      </w:r>
    </w:p>
    <w:p w14:paraId="45A9CDD2">
      <w:pPr>
        <w:keepNext w:val="0"/>
        <w:keepLines w:val="0"/>
        <w:pageBreakBefore w:val="0"/>
        <w:widowControl w:val="0"/>
        <w:kinsoku w:val="0"/>
        <w:wordWrap w:val="0"/>
        <w:overflowPunct w:val="0"/>
        <w:topLinePunct w:val="0"/>
        <w:autoSpaceDE/>
        <w:autoSpaceDN/>
        <w:bidi w:val="0"/>
        <w:adjustRightInd/>
        <w:snapToGrid/>
        <w:spacing w:line="360" w:lineRule="auto"/>
        <w:ind w:right="0" w:firstLine="476" w:firstLineChars="200"/>
        <w:textAlignment w:val="auto"/>
        <w:rPr>
          <w:rFonts w:hint="eastAsia" w:ascii="宋体" w:hAnsi="宋体" w:eastAsia="宋体" w:cs="Times New Roman"/>
          <w:color w:val="auto"/>
          <w:spacing w:val="-1"/>
          <w:sz w:val="24"/>
          <w:szCs w:val="24"/>
          <w:highlight w:val="none"/>
        </w:rPr>
      </w:pPr>
      <w:r>
        <w:rPr>
          <w:rFonts w:hint="eastAsia" w:ascii="宋体" w:hAnsi="宋体" w:eastAsia="宋体" w:cs="Times New Roman"/>
          <w:color w:val="auto"/>
          <w:spacing w:val="-1"/>
          <w:sz w:val="24"/>
          <w:szCs w:val="24"/>
          <w:highlight w:val="none"/>
        </w:rPr>
        <w:t>3.5.4投标人须知前附表规定接受联合体投标的，本章第3.5.1项至第3.5.3项规定的表格和资料应包括联合体各方相关情况。</w:t>
      </w:r>
    </w:p>
    <w:p w14:paraId="07EB2807">
      <w:pPr>
        <w:keepNext w:val="0"/>
        <w:keepLines w:val="0"/>
        <w:pageBreakBefore w:val="0"/>
        <w:widowControl w:val="0"/>
        <w:kinsoku w:val="0"/>
        <w:wordWrap w:val="0"/>
        <w:overflowPunct w:val="0"/>
        <w:topLinePunct w:val="0"/>
        <w:autoSpaceDE/>
        <w:autoSpaceDN/>
        <w:bidi w:val="0"/>
        <w:adjustRightInd/>
        <w:snapToGrid/>
        <w:spacing w:line="360" w:lineRule="auto"/>
        <w:ind w:right="0" w:firstLine="478" w:firstLineChars="200"/>
        <w:textAlignment w:val="auto"/>
        <w:rPr>
          <w:rFonts w:hint="eastAsia" w:ascii="宋体" w:hAnsi="宋体" w:eastAsia="宋体" w:cs="Times New Roman"/>
          <w:b/>
          <w:bCs/>
          <w:color w:val="auto"/>
          <w:sz w:val="24"/>
          <w:szCs w:val="24"/>
          <w:highlight w:val="none"/>
          <w:u w:val="single"/>
        </w:rPr>
      </w:pPr>
      <w:r>
        <w:rPr>
          <w:rFonts w:hint="eastAsia" w:ascii="宋体" w:hAnsi="宋体" w:eastAsia="宋体" w:cs="Times New Roman"/>
          <w:b/>
          <w:bCs/>
          <w:color w:val="auto"/>
          <w:spacing w:val="-1"/>
          <w:sz w:val="24"/>
          <w:szCs w:val="24"/>
          <w:highlight w:val="none"/>
          <w:u w:val="single"/>
        </w:rPr>
        <w:t>注：具体详见第六章“投标文件格式”。</w:t>
      </w:r>
    </w:p>
    <w:p w14:paraId="560EFE78">
      <w:pPr>
        <w:keepNext/>
        <w:keepLines/>
        <w:wordWrap w:val="0"/>
        <w:spacing w:line="360" w:lineRule="auto"/>
        <w:outlineLvl w:val="3"/>
        <w:rPr>
          <w:rFonts w:hint="eastAsia" w:ascii="宋体" w:hAnsi="宋体" w:eastAsia="宋体" w:cs="Times New Roman"/>
          <w:b/>
          <w:color w:val="auto"/>
          <w:sz w:val="28"/>
          <w:szCs w:val="28"/>
          <w:highlight w:val="none"/>
        </w:rPr>
      </w:pPr>
      <w:bookmarkStart w:id="103" w:name="bookmark45"/>
      <w:bookmarkEnd w:id="103"/>
      <w:r>
        <w:rPr>
          <w:rFonts w:ascii="宋体" w:hAnsi="宋体" w:eastAsia="宋体" w:cs="Times New Roman"/>
          <w:b/>
          <w:color w:val="auto"/>
          <w:sz w:val="28"/>
          <w:szCs w:val="28"/>
          <w:highlight w:val="none"/>
        </w:rPr>
        <w:t>3.6</w:t>
      </w:r>
      <w:r>
        <w:rPr>
          <w:rFonts w:hint="eastAsia" w:ascii="宋体" w:hAnsi="宋体" w:eastAsia="宋体" w:cs="Times New Roman"/>
          <w:b/>
          <w:color w:val="auto"/>
          <w:sz w:val="28"/>
          <w:szCs w:val="28"/>
          <w:highlight w:val="none"/>
        </w:rPr>
        <w:t>备选投标方案</w:t>
      </w:r>
    </w:p>
    <w:p w14:paraId="18452D45">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3.6.1</w:t>
      </w:r>
      <w:r>
        <w:rPr>
          <w:rFonts w:hint="eastAsia" w:ascii="宋体" w:hAnsi="宋体" w:eastAsia="宋体" w:cs="Times New Roman"/>
          <w:color w:val="auto"/>
          <w:spacing w:val="-4"/>
          <w:sz w:val="24"/>
          <w:szCs w:val="24"/>
          <w:highlight w:val="none"/>
        </w:rPr>
        <w:t>除投标人须知前附表规定允许外，投标人不得递交备选投标方案，否则其投标将被否</w:t>
      </w:r>
      <w:r>
        <w:rPr>
          <w:rFonts w:hint="eastAsia" w:ascii="宋体" w:hAnsi="宋体" w:eastAsia="宋体" w:cs="Times New Roman"/>
          <w:color w:val="auto"/>
          <w:sz w:val="24"/>
          <w:szCs w:val="24"/>
          <w:highlight w:val="none"/>
        </w:rPr>
        <w:t>决。</w:t>
      </w:r>
    </w:p>
    <w:p w14:paraId="30E6643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3.6.2</w:t>
      </w:r>
      <w:r>
        <w:rPr>
          <w:rFonts w:hint="eastAsia" w:ascii="宋体" w:hAnsi="宋体" w:eastAsia="宋体" w:cs="Times New Roman"/>
          <w:color w:val="auto"/>
          <w:sz w:val="24"/>
          <w:szCs w:val="24"/>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19F7C02">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3.6.3</w:t>
      </w:r>
      <w:r>
        <w:rPr>
          <w:rFonts w:hint="eastAsia" w:ascii="宋体" w:hAnsi="宋体" w:eastAsia="宋体" w:cs="Times New Roman"/>
          <w:color w:val="auto"/>
          <w:spacing w:val="-4"/>
          <w:sz w:val="24"/>
          <w:szCs w:val="24"/>
          <w:highlight w:val="none"/>
        </w:rPr>
        <w:t>投标人提供两个或两个以上投标报价，或者在投标文件中提供一个报价，但同时提供</w:t>
      </w:r>
      <w:r>
        <w:rPr>
          <w:rFonts w:hint="eastAsia" w:ascii="宋体" w:hAnsi="宋体" w:eastAsia="宋体" w:cs="Times New Roman"/>
          <w:color w:val="auto"/>
          <w:sz w:val="24"/>
          <w:szCs w:val="24"/>
          <w:highlight w:val="none"/>
        </w:rPr>
        <w:t>两个或两个以上监理方案的，视为提供备选方案。</w:t>
      </w:r>
    </w:p>
    <w:p w14:paraId="2E650D07">
      <w:pPr>
        <w:keepNext/>
        <w:keepLines/>
        <w:wordWrap w:val="0"/>
        <w:spacing w:line="360" w:lineRule="auto"/>
        <w:outlineLvl w:val="3"/>
        <w:rPr>
          <w:rFonts w:hint="eastAsia" w:ascii="宋体" w:hAnsi="宋体" w:eastAsia="宋体" w:cs="Times New Roman"/>
          <w:b/>
          <w:color w:val="auto"/>
          <w:sz w:val="28"/>
          <w:szCs w:val="28"/>
          <w:highlight w:val="none"/>
        </w:rPr>
      </w:pPr>
      <w:bookmarkStart w:id="104" w:name="bookmark46"/>
      <w:bookmarkEnd w:id="104"/>
      <w:r>
        <w:rPr>
          <w:rFonts w:ascii="宋体" w:hAnsi="宋体" w:eastAsia="宋体" w:cs="Times New Roman"/>
          <w:b/>
          <w:color w:val="auto"/>
          <w:sz w:val="28"/>
          <w:szCs w:val="28"/>
          <w:highlight w:val="none"/>
        </w:rPr>
        <w:t>3.7</w:t>
      </w:r>
      <w:r>
        <w:rPr>
          <w:rFonts w:hint="eastAsia" w:ascii="宋体" w:hAnsi="宋体" w:eastAsia="宋体" w:cs="Times New Roman"/>
          <w:b/>
          <w:color w:val="auto"/>
          <w:sz w:val="28"/>
          <w:szCs w:val="28"/>
          <w:highlight w:val="none"/>
        </w:rPr>
        <w:t>投标文件的编制</w:t>
      </w:r>
    </w:p>
    <w:p w14:paraId="6FD2B80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01EA82F8">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3.7.2投标文件应当对招标文件有关监理服务期限、投标有效期、委托人要求、招标范围等实质性内容作出响应。</w:t>
      </w:r>
    </w:p>
    <w:p w14:paraId="3ABF7EE1">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3.7.3投标文件全部采用电子文档，</w:t>
      </w:r>
      <w:r>
        <w:rPr>
          <w:rFonts w:hint="eastAsia" w:ascii="宋体" w:hAnsi="宋体" w:eastAsia="宋体"/>
          <w:b/>
          <w:bCs/>
          <w:color w:val="auto"/>
          <w:sz w:val="24"/>
          <w:szCs w:val="24"/>
          <w:highlight w:val="none"/>
          <w:u w:val="single"/>
        </w:rPr>
        <w:t>除招标文件另有规定外，</w:t>
      </w:r>
      <w:r>
        <w:rPr>
          <w:rFonts w:hint="eastAsia" w:ascii="宋体" w:hAnsi="宋体" w:eastAsia="宋体" w:cs="Times New Roman"/>
          <w:color w:val="auto"/>
          <w:sz w:val="24"/>
          <w:szCs w:val="24"/>
          <w:highlight w:val="none"/>
        </w:rPr>
        <w:t>投标文件所附证书证件均为</w:t>
      </w:r>
      <w:r>
        <w:rPr>
          <w:rFonts w:hint="eastAsia" w:ascii="宋体" w:hAnsi="宋体" w:eastAsia="宋体" w:cs="Times New Roman"/>
          <w:strike/>
          <w:dstrike w:val="0"/>
          <w:color w:val="auto"/>
          <w:sz w:val="24"/>
          <w:szCs w:val="24"/>
          <w:highlight w:val="none"/>
        </w:rPr>
        <w:t>原件</w:t>
      </w:r>
      <w:r>
        <w:rPr>
          <w:rFonts w:hint="eastAsia" w:ascii="宋体" w:hAnsi="宋体" w:eastAsia="宋体" w:cs="Times New Roman"/>
          <w:color w:val="auto"/>
          <w:sz w:val="24"/>
          <w:szCs w:val="24"/>
          <w:highlight w:val="none"/>
        </w:rPr>
        <w:t>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w:t>
      </w:r>
      <w:r>
        <w:rPr>
          <w:rFonts w:hint="default" w:ascii="宋体" w:hAnsi="宋体" w:eastAsia="宋体"/>
          <w:b/>
          <w:bCs/>
          <w:color w:val="auto"/>
          <w:sz w:val="24"/>
          <w:szCs w:val="24"/>
          <w:highlight w:val="none"/>
          <w:u w:val="single"/>
        </w:rPr>
        <w:t>投标文件格式规定盖单位公章的页面必须盖单位公章或电子公章（公章与电子公章具有相同法律效力）。</w:t>
      </w:r>
      <w:r>
        <w:rPr>
          <w:rFonts w:hint="eastAsia" w:ascii="宋体" w:hAnsi="宋体" w:eastAsia="宋体" w:cs="Times New Roman"/>
          <w:color w:val="auto"/>
          <w:sz w:val="24"/>
          <w:szCs w:val="24"/>
          <w:highlight w:val="none"/>
        </w:rPr>
        <w:t>按照广州交易集团有限公司（广州公共资源交易中心）网站关于全流程电子化项目的相关指南进行操作。</w:t>
      </w:r>
    </w:p>
    <w:p w14:paraId="49C10C5F">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3.7.4联合体投标时，投标人封面及其他内容落款中的“投标人”</w:t>
      </w:r>
      <w:r>
        <w:rPr>
          <w:rFonts w:hint="default" w:ascii="宋体" w:hAnsi="宋体" w:eastAsia="宋体"/>
          <w:b/>
          <w:bCs/>
          <w:color w:val="auto"/>
          <w:sz w:val="24"/>
          <w:szCs w:val="24"/>
          <w:highlight w:val="none"/>
          <w:u w:val="single"/>
        </w:rPr>
        <w:t>“承诺企业”“声明企业”</w:t>
      </w:r>
      <w:r>
        <w:rPr>
          <w:rFonts w:hint="eastAsia" w:ascii="宋体" w:hAnsi="宋体" w:eastAsia="宋体" w:cs="Times New Roman"/>
          <w:color w:val="auto"/>
          <w:sz w:val="24"/>
          <w:szCs w:val="24"/>
          <w:highlight w:val="none"/>
        </w:rPr>
        <w:t>应填写联合体各方的单位全称【格式为：（主）XXXX公司（成）XXXX公司】</w:t>
      </w:r>
      <w:r>
        <w:rPr>
          <w:rFonts w:hint="default" w:ascii="宋体" w:hAnsi="宋体" w:eastAsia="宋体"/>
          <w:b/>
          <w:bCs/>
          <w:color w:val="auto"/>
          <w:sz w:val="24"/>
          <w:szCs w:val="24"/>
          <w:highlight w:val="none"/>
          <w:u w:val="single"/>
        </w:rPr>
        <w:t>（系统生成的单位名称除外）</w:t>
      </w:r>
      <w:r>
        <w:rPr>
          <w:rFonts w:hint="eastAsia" w:ascii="宋体" w:hAnsi="宋体" w:eastAsia="宋体" w:cs="Times New Roman"/>
          <w:color w:val="auto"/>
          <w:sz w:val="24"/>
          <w:szCs w:val="24"/>
          <w:highlight w:val="none"/>
        </w:rPr>
        <w:t>。除联合体共同投标协议需联合体各方按要求共同盖章</w:t>
      </w:r>
      <w:r>
        <w:rPr>
          <w:rFonts w:hint="eastAsia" w:ascii="宋体" w:hAnsi="宋体" w:eastAsia="宋体"/>
          <w:b/>
          <w:bCs/>
          <w:color w:val="auto"/>
          <w:sz w:val="24"/>
          <w:szCs w:val="24"/>
          <w:highlight w:val="none"/>
          <w:u w:val="single"/>
          <w:lang w:eastAsia="zh-CN"/>
        </w:rPr>
        <w:t>、</w:t>
      </w:r>
      <w:r>
        <w:rPr>
          <w:rFonts w:hint="eastAsia" w:ascii="宋体" w:hAnsi="宋体" w:eastAsia="宋体" w:cs="Times New Roman"/>
          <w:color w:val="auto"/>
          <w:sz w:val="24"/>
          <w:szCs w:val="24"/>
          <w:highlight w:val="none"/>
        </w:rPr>
        <w:t>签字</w:t>
      </w:r>
      <w:r>
        <w:rPr>
          <w:rFonts w:hint="eastAsia" w:ascii="宋体" w:hAnsi="宋体" w:eastAsia="宋体"/>
          <w:b/>
          <w:bCs/>
          <w:color w:val="auto"/>
          <w:sz w:val="24"/>
          <w:szCs w:val="24"/>
          <w:highlight w:val="none"/>
          <w:u w:val="single"/>
          <w:lang w:val="en-US" w:eastAsia="zh-CN"/>
        </w:rPr>
        <w:t>外</w:t>
      </w:r>
      <w:r>
        <w:rPr>
          <w:rFonts w:hint="eastAsia" w:ascii="宋体" w:hAnsi="宋体" w:eastAsia="宋体" w:cs="Times New Roman"/>
          <w:color w:val="auto"/>
          <w:sz w:val="24"/>
          <w:szCs w:val="24"/>
          <w:highlight w:val="none"/>
        </w:rPr>
        <w:t>，其余</w:t>
      </w:r>
      <w:r>
        <w:rPr>
          <w:rFonts w:hint="default" w:ascii="宋体" w:hAnsi="宋体" w:eastAsia="宋体"/>
          <w:b/>
          <w:bCs/>
          <w:color w:val="auto"/>
          <w:sz w:val="24"/>
          <w:szCs w:val="24"/>
          <w:highlight w:val="none"/>
          <w:u w:val="single"/>
        </w:rPr>
        <w:t>资料没有明确哪一方盖章的，若需要签字或盖章的均</w:t>
      </w:r>
      <w:r>
        <w:rPr>
          <w:rFonts w:hint="eastAsia" w:ascii="宋体" w:hAnsi="宋体" w:eastAsia="宋体" w:cs="Times New Roman"/>
          <w:color w:val="auto"/>
          <w:sz w:val="24"/>
          <w:szCs w:val="24"/>
          <w:highlight w:val="none"/>
        </w:rPr>
        <w:t>可由联合体主办方签字</w:t>
      </w:r>
      <w:r>
        <w:rPr>
          <w:rFonts w:hint="eastAsia" w:ascii="宋体" w:hAnsi="宋体" w:eastAsia="宋体"/>
          <w:b w:val="0"/>
          <w:bCs w:val="0"/>
          <w:strike/>
          <w:color w:val="auto"/>
          <w:sz w:val="24"/>
          <w:szCs w:val="24"/>
          <w:highlight w:val="none"/>
          <w:u w:val="none"/>
        </w:rPr>
        <w:t>、</w:t>
      </w:r>
      <w:r>
        <w:rPr>
          <w:rFonts w:hint="eastAsia" w:ascii="宋体" w:hAnsi="宋体" w:eastAsia="宋体" w:cs="宋体"/>
          <w:b/>
          <w:bCs/>
          <w:strike w:val="0"/>
          <w:color w:val="auto"/>
          <w:kern w:val="0"/>
          <w:sz w:val="24"/>
          <w:szCs w:val="24"/>
          <w:highlight w:val="none"/>
          <w:u w:val="single"/>
          <w:lang w:val="en-US" w:eastAsia="zh-CN"/>
        </w:rPr>
        <w:t>或</w:t>
      </w:r>
      <w:r>
        <w:rPr>
          <w:rFonts w:hint="eastAsia" w:ascii="宋体" w:hAnsi="宋体" w:eastAsia="宋体" w:cs="Times New Roman"/>
          <w:color w:val="auto"/>
          <w:sz w:val="24"/>
          <w:szCs w:val="24"/>
          <w:highlight w:val="none"/>
        </w:rPr>
        <w:t>盖章即可，由联合体主办方法人签字</w:t>
      </w:r>
      <w:r>
        <w:rPr>
          <w:rFonts w:hint="eastAsia" w:ascii="宋体" w:hAnsi="宋体" w:eastAsia="宋体"/>
          <w:b/>
          <w:bCs/>
          <w:color w:val="auto"/>
          <w:sz w:val="24"/>
          <w:szCs w:val="24"/>
          <w:highlight w:val="none"/>
          <w:u w:val="single"/>
          <w:lang w:eastAsia="zh-CN"/>
        </w:rPr>
        <w:t>（</w:t>
      </w:r>
      <w:r>
        <w:rPr>
          <w:rFonts w:hint="eastAsia" w:ascii="宋体" w:hAnsi="宋体" w:eastAsia="宋体"/>
          <w:b/>
          <w:bCs/>
          <w:color w:val="auto"/>
          <w:sz w:val="24"/>
          <w:szCs w:val="24"/>
          <w:highlight w:val="none"/>
          <w:u w:val="single"/>
          <w:lang w:val="en-US" w:eastAsia="zh-CN"/>
        </w:rPr>
        <w:t>或盖章</w:t>
      </w:r>
      <w:r>
        <w:rPr>
          <w:rFonts w:hint="eastAsia" w:ascii="宋体" w:hAnsi="宋体" w:eastAsia="宋体"/>
          <w:b/>
          <w:bCs/>
          <w:color w:val="auto"/>
          <w:sz w:val="24"/>
          <w:szCs w:val="24"/>
          <w:highlight w:val="none"/>
          <w:u w:val="single"/>
          <w:lang w:eastAsia="zh-CN"/>
        </w:rPr>
        <w:t>）</w:t>
      </w:r>
      <w:r>
        <w:rPr>
          <w:rFonts w:hint="eastAsia" w:ascii="宋体" w:hAnsi="宋体" w:eastAsia="宋体" w:cs="Times New Roman"/>
          <w:color w:val="auto"/>
          <w:sz w:val="24"/>
          <w:szCs w:val="24"/>
          <w:highlight w:val="none"/>
        </w:rPr>
        <w:t>的电子投标文件需提供主办方法定代表人证明</w:t>
      </w:r>
      <w:r>
        <w:rPr>
          <w:rFonts w:hint="eastAsia" w:ascii="宋体" w:hAnsi="宋体" w:eastAsia="宋体" w:cs="宋体"/>
          <w:b/>
          <w:bCs/>
          <w:color w:val="auto"/>
          <w:kern w:val="0"/>
          <w:sz w:val="24"/>
          <w:szCs w:val="24"/>
          <w:highlight w:val="none"/>
          <w:u w:val="single"/>
          <w:lang w:val="en-US" w:eastAsia="zh-CN"/>
        </w:rPr>
        <w:t>书</w:t>
      </w:r>
      <w:r>
        <w:rPr>
          <w:rFonts w:hint="eastAsia" w:ascii="宋体" w:hAnsi="宋体" w:eastAsia="宋体" w:cs="Times New Roman"/>
          <w:color w:val="auto"/>
          <w:sz w:val="24"/>
          <w:szCs w:val="24"/>
          <w:highlight w:val="none"/>
        </w:rPr>
        <w:t>，若由联合体主办方法定代表人授权签字</w:t>
      </w:r>
      <w:r>
        <w:rPr>
          <w:rFonts w:hint="eastAsia" w:ascii="宋体" w:hAnsi="宋体" w:eastAsia="宋体"/>
          <w:b/>
          <w:bCs/>
          <w:color w:val="auto"/>
          <w:sz w:val="24"/>
          <w:szCs w:val="24"/>
          <w:highlight w:val="none"/>
          <w:u w:val="single"/>
          <w:lang w:eastAsia="zh-CN"/>
        </w:rPr>
        <w:t>（</w:t>
      </w:r>
      <w:r>
        <w:rPr>
          <w:rFonts w:hint="eastAsia" w:ascii="宋体" w:hAnsi="宋体" w:eastAsia="宋体"/>
          <w:b/>
          <w:bCs/>
          <w:color w:val="auto"/>
          <w:sz w:val="24"/>
          <w:szCs w:val="24"/>
          <w:highlight w:val="none"/>
          <w:u w:val="single"/>
          <w:lang w:val="en-US" w:eastAsia="zh-CN"/>
        </w:rPr>
        <w:t>或盖章</w:t>
      </w:r>
      <w:r>
        <w:rPr>
          <w:rFonts w:hint="eastAsia" w:ascii="宋体" w:hAnsi="宋体" w:eastAsia="宋体"/>
          <w:b/>
          <w:bCs/>
          <w:color w:val="auto"/>
          <w:sz w:val="24"/>
          <w:szCs w:val="24"/>
          <w:highlight w:val="none"/>
          <w:u w:val="single"/>
          <w:lang w:eastAsia="zh-CN"/>
        </w:rPr>
        <w:t>）</w:t>
      </w:r>
      <w:r>
        <w:rPr>
          <w:rFonts w:hint="eastAsia" w:ascii="宋体" w:hAnsi="宋体" w:eastAsia="宋体" w:cs="Times New Roman"/>
          <w:color w:val="auto"/>
          <w:sz w:val="24"/>
          <w:szCs w:val="24"/>
          <w:highlight w:val="none"/>
        </w:rPr>
        <w:t>的电子投标文件需提供法定代表人证明</w:t>
      </w:r>
      <w:r>
        <w:rPr>
          <w:rFonts w:hint="eastAsia" w:ascii="宋体" w:hAnsi="宋体" w:eastAsia="宋体" w:cs="宋体"/>
          <w:b/>
          <w:bCs/>
          <w:color w:val="auto"/>
          <w:kern w:val="0"/>
          <w:sz w:val="24"/>
          <w:szCs w:val="24"/>
          <w:highlight w:val="none"/>
          <w:u w:val="single"/>
          <w:lang w:val="en-US" w:eastAsia="zh-CN"/>
        </w:rPr>
        <w:t>书</w:t>
      </w:r>
      <w:r>
        <w:rPr>
          <w:rFonts w:hint="eastAsia" w:ascii="宋体" w:hAnsi="宋体" w:eastAsia="宋体" w:cs="Times New Roman"/>
          <w:color w:val="auto"/>
          <w:sz w:val="24"/>
          <w:szCs w:val="24"/>
          <w:highlight w:val="none"/>
        </w:rPr>
        <w:t>及其授权委托书、授权委托人身份证扫描件。</w:t>
      </w:r>
    </w:p>
    <w:p w14:paraId="5E83BB19">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3.7.5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7EAD87B1">
      <w:pPr>
        <w:keepNext/>
        <w:keepLines/>
        <w:wordWrap w:val="0"/>
        <w:spacing w:line="360" w:lineRule="auto"/>
        <w:outlineLvl w:val="2"/>
        <w:rPr>
          <w:rFonts w:hint="eastAsia" w:ascii="宋体" w:hAnsi="宋体" w:eastAsia="宋体" w:cs="Times New Roman"/>
          <w:b/>
          <w:color w:val="auto"/>
          <w:sz w:val="28"/>
          <w:szCs w:val="20"/>
          <w:highlight w:val="none"/>
        </w:rPr>
      </w:pPr>
      <w:bookmarkStart w:id="105" w:name="bookmark47"/>
      <w:bookmarkEnd w:id="105"/>
      <w:bookmarkStart w:id="106" w:name="_Toc14873649"/>
      <w:r>
        <w:rPr>
          <w:rFonts w:ascii="宋体" w:hAnsi="宋体" w:eastAsia="宋体" w:cs="Times New Roman"/>
          <w:b/>
          <w:color w:val="auto"/>
          <w:sz w:val="28"/>
          <w:szCs w:val="20"/>
          <w:highlight w:val="none"/>
        </w:rPr>
        <w:t xml:space="preserve">4.  </w:t>
      </w:r>
      <w:r>
        <w:rPr>
          <w:rFonts w:hint="eastAsia" w:ascii="宋体" w:hAnsi="宋体" w:eastAsia="宋体" w:cs="Times New Roman"/>
          <w:b/>
          <w:color w:val="auto"/>
          <w:sz w:val="28"/>
          <w:szCs w:val="20"/>
          <w:highlight w:val="none"/>
        </w:rPr>
        <w:t>投标</w:t>
      </w:r>
      <w:bookmarkEnd w:id="106"/>
    </w:p>
    <w:p w14:paraId="623B9ACB">
      <w:pPr>
        <w:keepNext/>
        <w:keepLines/>
        <w:wordWrap w:val="0"/>
        <w:spacing w:line="360" w:lineRule="auto"/>
        <w:outlineLvl w:val="3"/>
        <w:rPr>
          <w:rFonts w:hint="eastAsia" w:ascii="宋体" w:hAnsi="宋体" w:eastAsia="宋体" w:cs="Times New Roman"/>
          <w:b/>
          <w:color w:val="auto"/>
          <w:sz w:val="28"/>
          <w:szCs w:val="28"/>
          <w:highlight w:val="none"/>
        </w:rPr>
      </w:pPr>
      <w:bookmarkStart w:id="107" w:name="bookmark48"/>
      <w:bookmarkEnd w:id="107"/>
      <w:r>
        <w:rPr>
          <w:rFonts w:ascii="宋体" w:hAnsi="宋体" w:eastAsia="宋体" w:cs="Times New Roman"/>
          <w:b/>
          <w:color w:val="auto"/>
          <w:sz w:val="28"/>
          <w:szCs w:val="28"/>
          <w:highlight w:val="none"/>
        </w:rPr>
        <w:t>4.1</w:t>
      </w:r>
      <w:r>
        <w:rPr>
          <w:rFonts w:hint="eastAsia" w:ascii="宋体" w:hAnsi="宋体" w:eastAsia="宋体" w:cs="Times New Roman"/>
          <w:b/>
          <w:color w:val="auto"/>
          <w:sz w:val="28"/>
          <w:szCs w:val="28"/>
          <w:highlight w:val="none"/>
        </w:rPr>
        <w:t>投标文件的密封和标记</w:t>
      </w:r>
    </w:p>
    <w:p w14:paraId="5EBFD43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4.1.1投标人应当按照招标文件和电子招标投标交易平台的要求加密投标文件（不含备用光盘），具体要求见投标人须知前附表。</w:t>
      </w:r>
    </w:p>
    <w:p w14:paraId="003E1B41">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4.1.2（如有）投标文件备用光盘封套上应写明的内容见投标人须知前附表。</w:t>
      </w:r>
    </w:p>
    <w:p w14:paraId="0C55A20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4.1.3未按本章第4.1.1项要求加密的投标文件，招标人将授权广州交易集团有限公司（广州公共资源交易中心）网站交易平台予以拒收。</w:t>
      </w:r>
    </w:p>
    <w:p w14:paraId="4C368511">
      <w:pPr>
        <w:keepNext/>
        <w:keepLines/>
        <w:wordWrap w:val="0"/>
        <w:spacing w:line="360" w:lineRule="auto"/>
        <w:outlineLvl w:val="3"/>
        <w:rPr>
          <w:rFonts w:hint="eastAsia"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4.2</w:t>
      </w:r>
      <w:r>
        <w:rPr>
          <w:rFonts w:hint="eastAsia" w:ascii="宋体" w:hAnsi="宋体" w:eastAsia="宋体" w:cs="Times New Roman"/>
          <w:b/>
          <w:color w:val="auto"/>
          <w:sz w:val="28"/>
          <w:szCs w:val="28"/>
          <w:highlight w:val="none"/>
        </w:rPr>
        <w:t>投标文件的递交</w:t>
      </w:r>
    </w:p>
    <w:p w14:paraId="00514B8A">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4.2.1投标人应在投标人须知前附表规定的投标截止时间前通过广州交易集团有限公司（广州公共资源交易中心）网站交易平台递交电子投标文件。</w:t>
      </w:r>
    </w:p>
    <w:p w14:paraId="49CB9059">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4.2.2投标人完成电子投标文件上传后，广州交易集团有限公司（广州公共资源交易中心）网站交易平台即时向投标人发出递交回执通知。递交时间以递交回执通知载明的传输完成时间为准。</w:t>
      </w:r>
    </w:p>
    <w:p w14:paraId="216D8E69">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4.2.3逾期送达的电子投标文件，广州交易集团有限公司（广州公共资源交易中心）网站交易平台将予以拒收。</w:t>
      </w:r>
    </w:p>
    <w:p w14:paraId="46CDC55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4.2.4投标截止前，招标人拒绝接收符合条件的投标文件，投标人可向招标监督机构投诉。</w:t>
      </w:r>
    </w:p>
    <w:p w14:paraId="5F19207A">
      <w:pPr>
        <w:keepNext/>
        <w:keepLines/>
        <w:wordWrap w:val="0"/>
        <w:spacing w:line="360" w:lineRule="auto"/>
        <w:outlineLvl w:val="3"/>
        <w:rPr>
          <w:rFonts w:hint="eastAsia" w:ascii="宋体" w:hAnsi="宋体" w:eastAsia="宋体" w:cs="Times New Roman"/>
          <w:b/>
          <w:color w:val="auto"/>
          <w:sz w:val="28"/>
          <w:szCs w:val="28"/>
          <w:highlight w:val="none"/>
        </w:rPr>
      </w:pPr>
      <w:bookmarkStart w:id="108" w:name="bookmark50"/>
      <w:bookmarkEnd w:id="108"/>
      <w:r>
        <w:rPr>
          <w:rFonts w:ascii="宋体" w:hAnsi="宋体" w:eastAsia="宋体" w:cs="Times New Roman"/>
          <w:b/>
          <w:color w:val="auto"/>
          <w:sz w:val="28"/>
          <w:szCs w:val="28"/>
          <w:highlight w:val="none"/>
        </w:rPr>
        <w:t>4.3</w:t>
      </w:r>
      <w:r>
        <w:rPr>
          <w:rFonts w:hint="eastAsia" w:ascii="宋体" w:hAnsi="宋体" w:eastAsia="宋体" w:cs="Times New Roman"/>
          <w:b/>
          <w:color w:val="auto"/>
          <w:sz w:val="28"/>
          <w:szCs w:val="28"/>
          <w:highlight w:val="none"/>
        </w:rPr>
        <w:t>投标文件的修改与撤回</w:t>
      </w:r>
    </w:p>
    <w:p w14:paraId="18FCB512">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4.3.1在规定的投标截止时间前，投标人可以修改或撤回已递交的投标文件，但应以书面形式通知招标人。</w:t>
      </w:r>
    </w:p>
    <w:p w14:paraId="31BB2944">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4.3.2投标人修改或撤回已递交投标文件，需在交易平台发出修改或撤回通知，并按要求加盖电子印章。电子招标投标交易平台收到通知后，即时向投标人发出确认回执通知。</w:t>
      </w:r>
    </w:p>
    <w:p w14:paraId="742AD23E">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4.3.3修改后再次递交的，按第4.2项的规定执行。</w:t>
      </w:r>
    </w:p>
    <w:p w14:paraId="29D08BBC">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4.3.4在投标截止时间之后，投标人不得补充、修改和更换投标文件。</w:t>
      </w:r>
    </w:p>
    <w:p w14:paraId="49278BB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4.3.5投标人撤回投标文件的，招标人自收到投标人书面撤回通知之日起5日内退还已收取的投标保证金。</w:t>
      </w:r>
    </w:p>
    <w:p w14:paraId="0D286A04">
      <w:pPr>
        <w:keepNext/>
        <w:keepLines/>
        <w:wordWrap w:val="0"/>
        <w:spacing w:line="360" w:lineRule="auto"/>
        <w:outlineLvl w:val="2"/>
        <w:rPr>
          <w:rFonts w:hint="eastAsia" w:ascii="宋体" w:hAnsi="宋体" w:eastAsia="宋体" w:cs="Times New Roman"/>
          <w:b/>
          <w:color w:val="auto"/>
          <w:sz w:val="28"/>
          <w:szCs w:val="20"/>
          <w:highlight w:val="none"/>
        </w:rPr>
      </w:pPr>
      <w:bookmarkStart w:id="109" w:name="bookmark51"/>
      <w:bookmarkEnd w:id="109"/>
      <w:bookmarkStart w:id="110" w:name="_Toc14873650"/>
      <w:r>
        <w:rPr>
          <w:rFonts w:ascii="宋体" w:hAnsi="宋体" w:eastAsia="宋体" w:cs="Times New Roman"/>
          <w:b/>
          <w:color w:val="auto"/>
          <w:sz w:val="28"/>
          <w:szCs w:val="20"/>
          <w:highlight w:val="none"/>
        </w:rPr>
        <w:t xml:space="preserve">5.  </w:t>
      </w:r>
      <w:r>
        <w:rPr>
          <w:rFonts w:hint="eastAsia" w:ascii="宋体" w:hAnsi="宋体" w:eastAsia="宋体" w:cs="Times New Roman"/>
          <w:b/>
          <w:color w:val="auto"/>
          <w:sz w:val="28"/>
          <w:szCs w:val="20"/>
          <w:highlight w:val="none"/>
        </w:rPr>
        <w:t>开标</w:t>
      </w:r>
      <w:bookmarkEnd w:id="110"/>
    </w:p>
    <w:p w14:paraId="75EAC3E1">
      <w:pPr>
        <w:keepNext/>
        <w:keepLines/>
        <w:wordWrap w:val="0"/>
        <w:spacing w:line="360" w:lineRule="auto"/>
        <w:outlineLvl w:val="3"/>
        <w:rPr>
          <w:rFonts w:hint="eastAsia" w:ascii="宋体" w:hAnsi="宋体" w:eastAsia="宋体" w:cs="Times New Roman"/>
          <w:b/>
          <w:color w:val="auto"/>
          <w:sz w:val="28"/>
          <w:szCs w:val="28"/>
          <w:highlight w:val="none"/>
        </w:rPr>
      </w:pPr>
      <w:bookmarkStart w:id="111" w:name="bookmark52"/>
      <w:bookmarkEnd w:id="111"/>
      <w:bookmarkStart w:id="112" w:name="bookmark53"/>
      <w:bookmarkEnd w:id="112"/>
      <w:r>
        <w:rPr>
          <w:rFonts w:ascii="宋体" w:hAnsi="宋体" w:eastAsia="宋体" w:cs="Times New Roman"/>
          <w:b/>
          <w:color w:val="auto"/>
          <w:sz w:val="28"/>
          <w:szCs w:val="28"/>
          <w:highlight w:val="none"/>
        </w:rPr>
        <w:t>5.1</w:t>
      </w:r>
      <w:r>
        <w:rPr>
          <w:rFonts w:hint="eastAsia" w:ascii="宋体" w:hAnsi="宋体" w:eastAsia="宋体" w:cs="Times New Roman"/>
          <w:b/>
          <w:color w:val="auto"/>
          <w:sz w:val="28"/>
          <w:szCs w:val="28"/>
          <w:highlight w:val="none"/>
        </w:rPr>
        <w:t>开标时间和地点</w:t>
      </w:r>
    </w:p>
    <w:p w14:paraId="530BEC0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5.1.1招标人按投标须知前附表规定的时间和地点公开开标。截标后，开标开始时间因故推迟的，相关评标信息仍以原定的开标开始时间的信息为准。</w:t>
      </w:r>
    </w:p>
    <w:p w14:paraId="4A6989B2">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5.1.2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DD44E5A">
      <w:pPr>
        <w:keepNext/>
        <w:keepLines/>
        <w:wordWrap w:val="0"/>
        <w:spacing w:line="360" w:lineRule="auto"/>
        <w:outlineLvl w:val="3"/>
        <w:rPr>
          <w:rFonts w:hint="eastAsia"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5.2</w:t>
      </w:r>
      <w:r>
        <w:rPr>
          <w:rFonts w:hint="eastAsia" w:ascii="宋体" w:hAnsi="宋体" w:eastAsia="宋体" w:cs="Times New Roman"/>
          <w:b/>
          <w:color w:val="auto"/>
          <w:sz w:val="28"/>
          <w:szCs w:val="28"/>
          <w:highlight w:val="none"/>
        </w:rPr>
        <w:t>开标程序</w:t>
      </w:r>
    </w:p>
    <w:p w14:paraId="2A6A743F">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5.2.1在投标截止时间后1小时内，投标人通过递交投标文件的交易平台对已递交的电子投标文件进行解密。投标人完成解密后，再由招标人进行解密。解密完成后，公布招标</w:t>
      </w:r>
      <w:r>
        <w:rPr>
          <w:rFonts w:hint="eastAsia" w:ascii="宋体" w:hAnsi="宋体" w:eastAsia="宋体" w:cs="Times New Roman"/>
          <w:color w:val="auto"/>
          <w:sz w:val="24"/>
          <w:szCs w:val="24"/>
          <w:highlight w:val="none"/>
          <w:u w:val="single"/>
          <w:lang w:val="en-US" w:eastAsia="zh-CN"/>
        </w:rPr>
        <w:t>标段</w:t>
      </w:r>
      <w:r>
        <w:rPr>
          <w:rFonts w:hint="eastAsia" w:ascii="宋体" w:hAnsi="宋体" w:eastAsia="宋体" w:cs="Times New Roman"/>
          <w:color w:val="auto"/>
          <w:sz w:val="24"/>
          <w:szCs w:val="24"/>
          <w:highlight w:val="none"/>
          <w:u w:val="single"/>
        </w:rPr>
        <w:t>项目名称</w:t>
      </w:r>
      <w:r>
        <w:rPr>
          <w:rFonts w:hint="eastAsia" w:ascii="宋体" w:hAnsi="宋体" w:eastAsia="宋体" w:cs="Times New Roman"/>
          <w:color w:val="auto"/>
          <w:sz w:val="24"/>
          <w:szCs w:val="24"/>
          <w:highlight w:val="none"/>
        </w:rPr>
        <w:t>、投标人名称、</w:t>
      </w:r>
      <w:r>
        <w:rPr>
          <w:rFonts w:hint="eastAsia" w:ascii="宋体" w:hAnsi="宋体" w:eastAsia="宋体" w:cs="Times New Roman"/>
          <w:strike/>
          <w:dstrike w:val="0"/>
          <w:color w:val="auto"/>
          <w:sz w:val="24"/>
          <w:szCs w:val="24"/>
          <w:highlight w:val="none"/>
        </w:rPr>
        <w:t>投标保证金的递交情况、</w:t>
      </w:r>
      <w:r>
        <w:rPr>
          <w:rFonts w:hint="eastAsia" w:ascii="宋体" w:hAnsi="宋体" w:eastAsia="宋体" w:cs="Times New Roman"/>
          <w:color w:val="auto"/>
          <w:sz w:val="24"/>
          <w:szCs w:val="24"/>
          <w:highlight w:val="none"/>
        </w:rPr>
        <w:t>投标报价、项目负责人及其他内容。未在规定时间内解密的投标文件不参与开标、评标。</w:t>
      </w:r>
    </w:p>
    <w:p w14:paraId="50FA589F">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5.2.2按开标记录表规定的内容进行唱标。</w:t>
      </w:r>
    </w:p>
    <w:p w14:paraId="2F26AD6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5.2.3投标人代表、招标人代表等有关人员在开标记录上签字确认；若有关人员不签字的，不影响开标程序。</w:t>
      </w:r>
    </w:p>
    <w:p w14:paraId="79D6C92A">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5.2.4开标结束。</w:t>
      </w:r>
    </w:p>
    <w:p w14:paraId="3FF0496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5.2.5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0328514">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5.2.6开标时，两个（含两个）以上的投标人加密打包投标文件的硬件特征码（含MAC地址、硬盘序列号、CPU名称、主板等）一致的，由评标委员会否决其投标。</w:t>
      </w:r>
    </w:p>
    <w:p w14:paraId="2D27FC1A">
      <w:pPr>
        <w:keepNext/>
        <w:keepLines/>
        <w:wordWrap w:val="0"/>
        <w:spacing w:line="360" w:lineRule="auto"/>
        <w:outlineLvl w:val="3"/>
        <w:rPr>
          <w:rFonts w:hint="eastAsia" w:ascii="宋体" w:hAnsi="宋体" w:eastAsia="宋体" w:cs="Times New Roman"/>
          <w:b/>
          <w:color w:val="auto"/>
          <w:sz w:val="28"/>
          <w:szCs w:val="28"/>
          <w:highlight w:val="none"/>
        </w:rPr>
      </w:pPr>
      <w:bookmarkStart w:id="113" w:name="bookmark55"/>
      <w:bookmarkEnd w:id="113"/>
      <w:r>
        <w:rPr>
          <w:rFonts w:ascii="宋体" w:hAnsi="宋体" w:eastAsia="宋体" w:cs="Times New Roman"/>
          <w:b/>
          <w:color w:val="auto"/>
          <w:sz w:val="28"/>
          <w:szCs w:val="28"/>
          <w:highlight w:val="none"/>
        </w:rPr>
        <w:t>5.3</w:t>
      </w:r>
      <w:r>
        <w:rPr>
          <w:rFonts w:hint="eastAsia" w:ascii="宋体" w:hAnsi="宋体" w:eastAsia="宋体" w:cs="Times New Roman"/>
          <w:b/>
          <w:color w:val="auto"/>
          <w:sz w:val="28"/>
          <w:szCs w:val="28"/>
          <w:highlight w:val="none"/>
        </w:rPr>
        <w:t>开标异议</w:t>
      </w:r>
    </w:p>
    <w:p w14:paraId="33579356">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bookmarkStart w:id="114" w:name="bookmark56"/>
      <w:bookmarkEnd w:id="114"/>
      <w:bookmarkStart w:id="115" w:name="_Toc14873651"/>
      <w:r>
        <w:rPr>
          <w:rFonts w:hint="eastAsia" w:ascii="宋体" w:hAnsi="宋体" w:eastAsia="宋体" w:cs="Times New Roman"/>
          <w:color w:val="auto"/>
          <w:sz w:val="24"/>
          <w:szCs w:val="24"/>
          <w:highlight w:val="none"/>
        </w:rPr>
        <w:t>5.3.1参加现场开标的投标人对开标结果有异议的，应当在开标现场提出，该投标人代表须同时出示本人身份证原件，招标人应当当场作出答复，并制作记录。未答复的，开标程序不得结束。</w:t>
      </w:r>
    </w:p>
    <w:p w14:paraId="41BC223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5.3.2参加在线开标的投标人对开标结果有异议的，应当在唱标结束后的规定时间内使用单位数字证书登录广州交易集团有限公司（广州公共资源交易中心）（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71FF2EE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5.3.3投标人未参加开标或在规定的时间内未提出异议的，视为对开标无异议。</w:t>
      </w:r>
    </w:p>
    <w:p w14:paraId="65B6A097">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t xml:space="preserve">6.  </w:t>
      </w:r>
      <w:r>
        <w:rPr>
          <w:rFonts w:hint="eastAsia" w:ascii="宋体" w:hAnsi="宋体" w:eastAsia="宋体" w:cs="Times New Roman"/>
          <w:b/>
          <w:color w:val="auto"/>
          <w:sz w:val="28"/>
          <w:szCs w:val="20"/>
          <w:highlight w:val="none"/>
        </w:rPr>
        <w:t>评标</w:t>
      </w:r>
      <w:bookmarkEnd w:id="115"/>
    </w:p>
    <w:p w14:paraId="2A3BB0E0">
      <w:pPr>
        <w:keepNext/>
        <w:keepLines/>
        <w:wordWrap w:val="0"/>
        <w:spacing w:line="360" w:lineRule="auto"/>
        <w:outlineLvl w:val="3"/>
        <w:rPr>
          <w:rFonts w:hint="eastAsia" w:ascii="宋体" w:hAnsi="宋体" w:eastAsia="宋体" w:cs="Times New Roman"/>
          <w:b/>
          <w:color w:val="auto"/>
          <w:sz w:val="28"/>
          <w:szCs w:val="28"/>
          <w:highlight w:val="none"/>
        </w:rPr>
      </w:pPr>
      <w:bookmarkStart w:id="116" w:name="bookmark57"/>
      <w:bookmarkEnd w:id="116"/>
      <w:r>
        <w:rPr>
          <w:rFonts w:ascii="宋体" w:hAnsi="宋体" w:eastAsia="宋体" w:cs="Times New Roman"/>
          <w:b/>
          <w:color w:val="auto"/>
          <w:sz w:val="28"/>
          <w:szCs w:val="28"/>
          <w:highlight w:val="none"/>
        </w:rPr>
        <w:t>6.1</w:t>
      </w:r>
      <w:r>
        <w:rPr>
          <w:rFonts w:hint="eastAsia" w:ascii="宋体" w:hAnsi="宋体" w:eastAsia="宋体" w:cs="Times New Roman"/>
          <w:b/>
          <w:color w:val="auto"/>
          <w:sz w:val="28"/>
          <w:szCs w:val="28"/>
          <w:highlight w:val="none"/>
        </w:rPr>
        <w:t>评标委员会</w:t>
      </w:r>
    </w:p>
    <w:p w14:paraId="5BD5BE4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w:t>
      </w:r>
    </w:p>
    <w:p w14:paraId="31F274C1">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6.1.2评标委员会成员有下列情形之一的，应当回避：</w:t>
      </w:r>
    </w:p>
    <w:p w14:paraId="3D75E65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（1）</w:t>
      </w:r>
      <w:r>
        <w:rPr>
          <w:rFonts w:hint="eastAsia" w:ascii="宋体" w:hAnsi="宋体" w:eastAsia="宋体" w:cs="Times New Roman"/>
          <w:color w:val="auto"/>
          <w:sz w:val="24"/>
          <w:szCs w:val="24"/>
          <w:highlight w:val="none"/>
        </w:rPr>
        <w:t>投标人或投标人主要负责人的近亲属；</w:t>
      </w:r>
    </w:p>
    <w:p w14:paraId="6F130D84">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（2）</w:t>
      </w:r>
      <w:r>
        <w:rPr>
          <w:rFonts w:hint="eastAsia" w:ascii="宋体" w:hAnsi="宋体" w:eastAsia="宋体" w:cs="Times New Roman"/>
          <w:color w:val="auto"/>
          <w:sz w:val="24"/>
          <w:szCs w:val="24"/>
          <w:highlight w:val="none"/>
        </w:rPr>
        <w:t>项目主管部门或者行政监督部门的人员；</w:t>
      </w:r>
    </w:p>
    <w:p w14:paraId="48FA86B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（3）</w:t>
      </w:r>
      <w:r>
        <w:rPr>
          <w:rFonts w:hint="eastAsia" w:ascii="宋体" w:hAnsi="宋体" w:eastAsia="宋体" w:cs="Times New Roman"/>
          <w:color w:val="auto"/>
          <w:sz w:val="24"/>
          <w:szCs w:val="24"/>
          <w:highlight w:val="none"/>
        </w:rPr>
        <w:t>招标人或投标人的工作人员、退休或离职未满3年的人员；</w:t>
      </w:r>
    </w:p>
    <w:p w14:paraId="4E0E63B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（4）</w:t>
      </w:r>
      <w:r>
        <w:rPr>
          <w:rFonts w:hint="eastAsia" w:ascii="宋体" w:hAnsi="宋体" w:eastAsia="宋体" w:cs="Times New Roman"/>
          <w:color w:val="auto"/>
          <w:sz w:val="24"/>
          <w:szCs w:val="24"/>
          <w:highlight w:val="none"/>
        </w:rPr>
        <w:t>与投标人有经济利益关系，可能影响对投标公正评审的；</w:t>
      </w:r>
    </w:p>
    <w:p w14:paraId="1913F910">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（5）</w:t>
      </w:r>
      <w:r>
        <w:rPr>
          <w:rFonts w:hint="eastAsia" w:ascii="宋体" w:hAnsi="宋体" w:eastAsia="宋体" w:cs="Times New Roman"/>
          <w:color w:val="auto"/>
          <w:sz w:val="24"/>
          <w:szCs w:val="24"/>
          <w:highlight w:val="none"/>
        </w:rPr>
        <w:t>曾因在招标、评标以及其他与招标投标有关活动中从事违法行为而受过行政处罚或刑事处罚的；</w:t>
      </w:r>
    </w:p>
    <w:p w14:paraId="5AB0BD3F">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（6）</w:t>
      </w:r>
      <w:r>
        <w:rPr>
          <w:rFonts w:hint="eastAsia" w:ascii="宋体" w:hAnsi="宋体" w:eastAsia="宋体" w:cs="Times New Roman"/>
          <w:color w:val="auto"/>
          <w:sz w:val="24"/>
          <w:szCs w:val="24"/>
          <w:highlight w:val="none"/>
        </w:rPr>
        <w:t>与投标人有其他利害关系。</w:t>
      </w:r>
    </w:p>
    <w:p w14:paraId="525DA506">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14:paraId="4958F287">
      <w:pPr>
        <w:keepNext w:val="0"/>
        <w:keepLines w:val="0"/>
        <w:pageBreakBefore w:val="0"/>
        <w:widowControl w:val="0"/>
        <w:kinsoku w:val="0"/>
        <w:wordWrap w:val="0"/>
        <w:overflowPunct w:val="0"/>
        <w:topLinePunct w:val="0"/>
        <w:autoSpaceDE/>
        <w:autoSpaceDN/>
        <w:bidi w:val="0"/>
        <w:adjustRightInd/>
        <w:snapToGrid/>
        <w:spacing w:line="360" w:lineRule="auto"/>
        <w:ind w:right="0" w:firstLine="482" w:firstLineChars="200"/>
        <w:textAlignment w:val="auto"/>
        <w:rPr>
          <w:rFonts w:hint="eastAsia" w:ascii="宋体" w:hAnsi="宋体" w:eastAsia="宋体" w:cs="Times New Roman"/>
          <w:color w:val="auto"/>
          <w:sz w:val="24"/>
          <w:szCs w:val="24"/>
          <w:highlight w:val="none"/>
        </w:rPr>
      </w:pPr>
      <w:r>
        <w:rPr>
          <w:rFonts w:hint="eastAsia" w:ascii="宋体" w:hAnsi="宋体" w:eastAsia="宋体"/>
          <w:b/>
          <w:bCs/>
          <w:color w:val="auto"/>
          <w:sz w:val="24"/>
          <w:szCs w:val="24"/>
          <w:highlight w:val="none"/>
          <w:u w:val="single"/>
        </w:rPr>
        <w:t>6.1.4 评标委员会在开始评标前，应了解评标专家的职责及守则，认真阅读附件《评标委员会成员声明》的内容并签名，签名后方可进行评标。</w:t>
      </w:r>
    </w:p>
    <w:p w14:paraId="745CFA4F">
      <w:pPr>
        <w:keepNext/>
        <w:keepLines/>
        <w:wordWrap w:val="0"/>
        <w:spacing w:line="360" w:lineRule="auto"/>
        <w:outlineLvl w:val="3"/>
        <w:rPr>
          <w:rFonts w:hint="eastAsia" w:ascii="宋体" w:hAnsi="宋体" w:eastAsia="宋体" w:cs="Times New Roman"/>
          <w:b/>
          <w:color w:val="auto"/>
          <w:sz w:val="28"/>
          <w:szCs w:val="28"/>
          <w:highlight w:val="none"/>
        </w:rPr>
      </w:pPr>
      <w:bookmarkStart w:id="117" w:name="bookmark58"/>
      <w:bookmarkEnd w:id="117"/>
      <w:r>
        <w:rPr>
          <w:rFonts w:ascii="宋体" w:hAnsi="宋体" w:eastAsia="宋体" w:cs="Times New Roman"/>
          <w:b/>
          <w:color w:val="auto"/>
          <w:sz w:val="28"/>
          <w:szCs w:val="28"/>
          <w:highlight w:val="none"/>
        </w:rPr>
        <w:t>6.2</w:t>
      </w:r>
      <w:r>
        <w:rPr>
          <w:rFonts w:hint="eastAsia" w:ascii="宋体" w:hAnsi="宋体" w:eastAsia="宋体" w:cs="Times New Roman"/>
          <w:b/>
          <w:color w:val="auto"/>
          <w:sz w:val="28"/>
          <w:szCs w:val="28"/>
          <w:highlight w:val="none"/>
        </w:rPr>
        <w:t>评标原则</w:t>
      </w:r>
    </w:p>
    <w:p w14:paraId="2DFB9DAA">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评标活动遵循公平、公正、科学和择优的原则。</w:t>
      </w:r>
    </w:p>
    <w:p w14:paraId="28DC4B11">
      <w:pPr>
        <w:keepNext/>
        <w:keepLines/>
        <w:wordWrap w:val="0"/>
        <w:spacing w:line="360" w:lineRule="auto"/>
        <w:outlineLvl w:val="3"/>
        <w:rPr>
          <w:rFonts w:hint="eastAsia" w:ascii="宋体" w:hAnsi="宋体" w:eastAsia="宋体" w:cs="Times New Roman"/>
          <w:b/>
          <w:color w:val="auto"/>
          <w:sz w:val="28"/>
          <w:szCs w:val="28"/>
          <w:highlight w:val="none"/>
        </w:rPr>
      </w:pPr>
      <w:bookmarkStart w:id="118" w:name="bookmark59"/>
      <w:bookmarkEnd w:id="118"/>
      <w:r>
        <w:rPr>
          <w:rFonts w:ascii="宋体" w:hAnsi="宋体" w:eastAsia="宋体" w:cs="Times New Roman"/>
          <w:b/>
          <w:color w:val="auto"/>
          <w:sz w:val="28"/>
          <w:szCs w:val="28"/>
          <w:highlight w:val="none"/>
        </w:rPr>
        <w:t>6.3</w:t>
      </w:r>
      <w:r>
        <w:rPr>
          <w:rFonts w:hint="eastAsia" w:ascii="宋体" w:hAnsi="宋体" w:eastAsia="宋体" w:cs="Times New Roman"/>
          <w:b/>
          <w:color w:val="auto"/>
          <w:sz w:val="28"/>
          <w:szCs w:val="28"/>
          <w:highlight w:val="none"/>
        </w:rPr>
        <w:t>评标</w:t>
      </w:r>
    </w:p>
    <w:p w14:paraId="2638898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6.3.1评标委员会按照第三章“评标办法”规定的方法、评审因素、标准和程序对投标文件进行评审。第三章“评标办法”没有规定的方法、评审因素和标准，不作为评标依据。</w:t>
      </w:r>
    </w:p>
    <w:p w14:paraId="62006B96">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6.3.2评标完成后，评标委员会应当向招标人提交书面评标报告和中标候选人名单。评标委员会推荐中标候选人的人数见投标人须知前附表。</w:t>
      </w:r>
    </w:p>
    <w:p w14:paraId="452C4324">
      <w:pPr>
        <w:keepNext/>
        <w:keepLines/>
        <w:wordWrap w:val="0"/>
        <w:spacing w:line="360" w:lineRule="auto"/>
        <w:outlineLvl w:val="2"/>
        <w:rPr>
          <w:rFonts w:hint="eastAsia" w:ascii="宋体" w:hAnsi="宋体" w:eastAsia="宋体" w:cs="Times New Roman"/>
          <w:b/>
          <w:color w:val="auto"/>
          <w:sz w:val="28"/>
          <w:szCs w:val="20"/>
          <w:highlight w:val="none"/>
        </w:rPr>
      </w:pPr>
      <w:bookmarkStart w:id="119" w:name="bookmark60"/>
      <w:bookmarkEnd w:id="119"/>
      <w:bookmarkStart w:id="120" w:name="_Toc14873652"/>
      <w:r>
        <w:rPr>
          <w:rFonts w:ascii="宋体" w:hAnsi="宋体" w:eastAsia="宋体" w:cs="Times New Roman"/>
          <w:b/>
          <w:color w:val="auto"/>
          <w:sz w:val="28"/>
          <w:szCs w:val="20"/>
          <w:highlight w:val="none"/>
        </w:rPr>
        <w:t xml:space="preserve">7.  </w:t>
      </w:r>
      <w:r>
        <w:rPr>
          <w:rFonts w:hint="eastAsia" w:ascii="宋体" w:hAnsi="宋体" w:eastAsia="宋体" w:cs="Times New Roman"/>
          <w:b/>
          <w:color w:val="auto"/>
          <w:sz w:val="28"/>
          <w:szCs w:val="20"/>
          <w:highlight w:val="none"/>
        </w:rPr>
        <w:t>合同授予</w:t>
      </w:r>
      <w:bookmarkEnd w:id="120"/>
    </w:p>
    <w:p w14:paraId="4E189A43">
      <w:pPr>
        <w:keepNext/>
        <w:keepLines/>
        <w:wordWrap w:val="0"/>
        <w:spacing w:line="360" w:lineRule="auto"/>
        <w:outlineLvl w:val="3"/>
        <w:rPr>
          <w:rFonts w:hint="eastAsia" w:ascii="宋体" w:hAnsi="宋体" w:eastAsia="宋体" w:cs="Times New Roman"/>
          <w:b/>
          <w:color w:val="auto"/>
          <w:sz w:val="28"/>
          <w:szCs w:val="28"/>
          <w:highlight w:val="none"/>
        </w:rPr>
      </w:pPr>
      <w:bookmarkStart w:id="121" w:name="bookmark61"/>
      <w:bookmarkEnd w:id="121"/>
      <w:r>
        <w:rPr>
          <w:rFonts w:ascii="宋体" w:hAnsi="宋体" w:eastAsia="宋体" w:cs="Times New Roman"/>
          <w:b/>
          <w:color w:val="auto"/>
          <w:sz w:val="28"/>
          <w:szCs w:val="28"/>
          <w:highlight w:val="none"/>
        </w:rPr>
        <w:t>7.1</w:t>
      </w:r>
      <w:r>
        <w:rPr>
          <w:rFonts w:hint="eastAsia" w:ascii="宋体" w:hAnsi="宋体" w:eastAsia="宋体" w:cs="Times New Roman"/>
          <w:b/>
          <w:color w:val="auto"/>
          <w:sz w:val="28"/>
          <w:szCs w:val="28"/>
          <w:highlight w:val="none"/>
        </w:rPr>
        <w:t>中标候选人公示</w:t>
      </w:r>
    </w:p>
    <w:p w14:paraId="772CFC3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7.1.1招标人在收到评标报告之日起3日内，按照投标人须知前附表规定的公示媒介和期限公示中标候选人，公示期不得少于3天，最后一天应为工作日。</w:t>
      </w:r>
    </w:p>
    <w:p w14:paraId="13D428D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7.1.2在产生中标候选人后，招标人将中标候选人的投标文件商务部分（包括、人员、业绩、奖项等资料</w:t>
      </w:r>
      <w:r>
        <w:rPr>
          <w:rFonts w:hint="eastAsia" w:ascii="宋体" w:hAnsi="宋体" w:eastAsia="宋体" w:cs="宋体"/>
          <w:b/>
          <w:bCs/>
          <w:color w:val="auto"/>
          <w:kern w:val="0"/>
          <w:sz w:val="24"/>
          <w:szCs w:val="24"/>
          <w:highlight w:val="none"/>
          <w:u w:val="single"/>
        </w:rPr>
        <w:t>，但报价清单、方案等涉及商业秘密的内容除外</w:t>
      </w:r>
      <w:r>
        <w:rPr>
          <w:rFonts w:hint="eastAsia" w:ascii="宋体" w:hAnsi="宋体" w:eastAsia="宋体" w:cs="Times New Roman"/>
          <w:color w:val="auto"/>
          <w:sz w:val="24"/>
          <w:szCs w:val="24"/>
          <w:highlight w:val="none"/>
        </w:rPr>
        <w:t>）在广州交易集团有限公司（广州公共资源交易中心）网站和广东省招标投标监管网公开。</w:t>
      </w:r>
    </w:p>
    <w:p w14:paraId="20E2E28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根据《国家发展改革委等部门关于严格执行招标投标法规制度进一步规范招标投标主体行为的若干意见》（发改法规规〔2022〕1117号），招标人应当在中标候选人公示前认真审查评标委员会提交的书面评标报告，发现异常情形的，依照法定程序进行复核，确认存在问题的，依照法定程序予以纠正。</w:t>
      </w:r>
    </w:p>
    <w:p w14:paraId="3B19BF0B">
      <w:pPr>
        <w:keepNext/>
        <w:keepLines/>
        <w:wordWrap w:val="0"/>
        <w:spacing w:line="360" w:lineRule="auto"/>
        <w:outlineLvl w:val="3"/>
        <w:rPr>
          <w:rFonts w:hint="eastAsia" w:ascii="宋体" w:hAnsi="宋体" w:eastAsia="宋体" w:cs="Times New Roman"/>
          <w:b/>
          <w:color w:val="auto"/>
          <w:sz w:val="28"/>
          <w:szCs w:val="28"/>
          <w:highlight w:val="none"/>
        </w:rPr>
      </w:pPr>
      <w:bookmarkStart w:id="122" w:name="bookmark62"/>
      <w:bookmarkEnd w:id="122"/>
      <w:r>
        <w:rPr>
          <w:rFonts w:ascii="宋体" w:hAnsi="宋体" w:eastAsia="宋体" w:cs="Times New Roman"/>
          <w:b/>
          <w:color w:val="auto"/>
          <w:sz w:val="28"/>
          <w:szCs w:val="28"/>
          <w:highlight w:val="none"/>
        </w:rPr>
        <w:t>7.2</w:t>
      </w:r>
      <w:r>
        <w:rPr>
          <w:rFonts w:hint="eastAsia" w:ascii="宋体" w:hAnsi="宋体" w:eastAsia="宋体" w:cs="Times New Roman"/>
          <w:b/>
          <w:color w:val="auto"/>
          <w:sz w:val="28"/>
          <w:szCs w:val="28"/>
          <w:highlight w:val="none"/>
        </w:rPr>
        <w:t>评标结果异议</w:t>
      </w:r>
    </w:p>
    <w:p w14:paraId="65C2ECF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02090BF6">
      <w:pPr>
        <w:keepNext/>
        <w:keepLines/>
        <w:wordWrap w:val="0"/>
        <w:spacing w:line="360" w:lineRule="auto"/>
        <w:outlineLvl w:val="3"/>
        <w:rPr>
          <w:rFonts w:hint="eastAsia" w:ascii="宋体" w:hAnsi="宋体" w:eastAsia="宋体" w:cs="Times New Roman"/>
          <w:b/>
          <w:color w:val="auto"/>
          <w:sz w:val="28"/>
          <w:szCs w:val="28"/>
          <w:highlight w:val="none"/>
        </w:rPr>
      </w:pPr>
      <w:bookmarkStart w:id="123" w:name="bookmark63"/>
      <w:bookmarkEnd w:id="123"/>
      <w:r>
        <w:rPr>
          <w:rFonts w:ascii="宋体" w:hAnsi="宋体" w:eastAsia="宋体" w:cs="Times New Roman"/>
          <w:b/>
          <w:color w:val="auto"/>
          <w:sz w:val="28"/>
          <w:szCs w:val="28"/>
          <w:highlight w:val="none"/>
        </w:rPr>
        <w:t>7.3</w:t>
      </w:r>
      <w:r>
        <w:rPr>
          <w:rFonts w:hint="eastAsia" w:ascii="宋体" w:hAnsi="宋体" w:eastAsia="宋体" w:cs="Times New Roman"/>
          <w:b/>
          <w:color w:val="auto"/>
          <w:sz w:val="28"/>
          <w:szCs w:val="28"/>
          <w:highlight w:val="none"/>
        </w:rPr>
        <w:t>中标候选人履约能力审查</w:t>
      </w:r>
    </w:p>
    <w:p w14:paraId="301C7C2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FD32528">
      <w:pPr>
        <w:keepNext/>
        <w:keepLines/>
        <w:wordWrap w:val="0"/>
        <w:spacing w:line="360" w:lineRule="auto"/>
        <w:outlineLvl w:val="3"/>
        <w:rPr>
          <w:rFonts w:hint="eastAsia" w:ascii="宋体" w:hAnsi="宋体" w:eastAsia="宋体" w:cs="Times New Roman"/>
          <w:b/>
          <w:color w:val="auto"/>
          <w:sz w:val="28"/>
          <w:szCs w:val="28"/>
          <w:highlight w:val="none"/>
        </w:rPr>
      </w:pPr>
      <w:bookmarkStart w:id="124" w:name="bookmark64"/>
      <w:bookmarkEnd w:id="124"/>
      <w:r>
        <w:rPr>
          <w:rFonts w:ascii="宋体" w:hAnsi="宋体" w:eastAsia="宋体" w:cs="Times New Roman"/>
          <w:b/>
          <w:color w:val="auto"/>
          <w:sz w:val="28"/>
          <w:szCs w:val="28"/>
          <w:highlight w:val="none"/>
        </w:rPr>
        <w:t>7.4</w:t>
      </w:r>
      <w:r>
        <w:rPr>
          <w:rFonts w:hint="eastAsia" w:ascii="宋体" w:hAnsi="宋体" w:eastAsia="宋体" w:cs="Times New Roman"/>
          <w:b/>
          <w:color w:val="auto"/>
          <w:sz w:val="28"/>
          <w:szCs w:val="28"/>
          <w:highlight w:val="none"/>
        </w:rPr>
        <w:t>定标</w:t>
      </w:r>
    </w:p>
    <w:p w14:paraId="72454339">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按照投标人须知前附表的规定，招标人或招标人授权的评标委员会依法确定中标人。</w:t>
      </w:r>
    </w:p>
    <w:p w14:paraId="6630DDC9">
      <w:pPr>
        <w:keepNext/>
        <w:keepLines/>
        <w:wordWrap w:val="0"/>
        <w:spacing w:line="360" w:lineRule="auto"/>
        <w:outlineLvl w:val="3"/>
        <w:rPr>
          <w:rFonts w:hint="eastAsia" w:ascii="宋体" w:hAnsi="宋体" w:eastAsia="宋体" w:cs="Times New Roman"/>
          <w:b/>
          <w:color w:val="auto"/>
          <w:sz w:val="28"/>
          <w:szCs w:val="28"/>
          <w:highlight w:val="none"/>
        </w:rPr>
      </w:pPr>
      <w:bookmarkStart w:id="125" w:name="bookmark65"/>
      <w:bookmarkEnd w:id="125"/>
      <w:r>
        <w:rPr>
          <w:rFonts w:ascii="宋体" w:hAnsi="宋体" w:eastAsia="宋体" w:cs="Times New Roman"/>
          <w:b/>
          <w:color w:val="auto"/>
          <w:sz w:val="28"/>
          <w:szCs w:val="28"/>
          <w:highlight w:val="none"/>
        </w:rPr>
        <w:t>7.5</w:t>
      </w:r>
      <w:r>
        <w:rPr>
          <w:rFonts w:hint="eastAsia" w:ascii="宋体" w:hAnsi="宋体" w:eastAsia="宋体" w:cs="Times New Roman"/>
          <w:b/>
          <w:color w:val="auto"/>
          <w:sz w:val="28"/>
          <w:szCs w:val="28"/>
          <w:highlight w:val="none"/>
        </w:rPr>
        <w:t>中标通知</w:t>
      </w:r>
    </w:p>
    <w:p w14:paraId="0B057A8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bookmarkStart w:id="126" w:name="bookmark66"/>
      <w:bookmarkEnd w:id="126"/>
      <w:r>
        <w:rPr>
          <w:rFonts w:hint="eastAsia" w:ascii="宋体" w:hAnsi="宋体" w:eastAsia="宋体" w:cs="Times New Roman"/>
          <w:color w:val="auto"/>
          <w:sz w:val="24"/>
          <w:szCs w:val="24"/>
          <w:highlight w:val="none"/>
        </w:rPr>
        <w:t>7.5.1</w:t>
      </w:r>
      <w:r>
        <w:rPr>
          <w:rFonts w:hint="eastAsia" w:ascii="宋体" w:hAnsi="宋体" w:eastAsia="宋体" w:cs="宋体"/>
          <w:color w:val="auto"/>
          <w:kern w:val="0"/>
          <w:sz w:val="24"/>
          <w:szCs w:val="24"/>
          <w:highlight w:val="none"/>
        </w:rPr>
        <w:t>在本章第3.3款规定的投标有效期内，招标人向中标人发出中标通知书</w:t>
      </w:r>
      <w:r>
        <w:rPr>
          <w:rFonts w:hint="eastAsia" w:ascii="宋体" w:hAnsi="宋体" w:eastAsia="宋体"/>
          <w:b/>
          <w:bCs/>
          <w:color w:val="auto"/>
          <w:sz w:val="24"/>
          <w:szCs w:val="24"/>
          <w:highlight w:val="none"/>
          <w:u w:val="single"/>
          <w:lang w:eastAsia="zh-CN"/>
        </w:rPr>
        <w:t>，中标人自行于广州交易集团有限公司（广州公共资源交易中心）交易平台下载中标通知书</w:t>
      </w:r>
      <w:r>
        <w:rPr>
          <w:rFonts w:hint="eastAsia" w:ascii="宋体" w:hAnsi="宋体" w:eastAsia="宋体" w:cs="宋体"/>
          <w:color w:val="auto"/>
          <w:kern w:val="0"/>
          <w:sz w:val="24"/>
          <w:szCs w:val="24"/>
          <w:highlight w:val="none"/>
        </w:rPr>
        <w:t>。在广东省招标投标监管网和广州交易集团有限公司（广州公共资源交易中心）网站发布中标信息，视同将中标结果通知未中标的投标人。</w:t>
      </w:r>
      <w:r>
        <w:rPr>
          <w:rFonts w:hint="default" w:ascii="宋体" w:hAnsi="宋体" w:eastAsia="宋体"/>
          <w:b/>
          <w:bCs/>
          <w:color w:val="auto"/>
          <w:sz w:val="24"/>
          <w:szCs w:val="24"/>
          <w:highlight w:val="none"/>
          <w:u w:val="single"/>
        </w:rPr>
        <w:t>中标人须对其投标文件真实性负责，并准备投标文件涉及的所有原件待查，如存在弄虚作假情况或原件不齐或与原件不符的，招标人有权取消其中标人资格，并上报建设行政主管部门。</w:t>
      </w:r>
    </w:p>
    <w:p w14:paraId="7BB9606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7.5.2政府投资项目，中标通知书发出前，中标人应未被纳入失信惩戒名单，否则招标人将取消其中标资格。失信联合惩戒名单以“信用广州”网站公布的为准。</w:t>
      </w:r>
    </w:p>
    <w:p w14:paraId="11B531D5">
      <w:pPr>
        <w:keepNext/>
        <w:keepLines/>
        <w:wordWrap w:val="0"/>
        <w:spacing w:line="360" w:lineRule="auto"/>
        <w:outlineLvl w:val="3"/>
        <w:rPr>
          <w:rFonts w:hint="eastAsia" w:ascii="宋体" w:hAnsi="宋体" w:eastAsia="宋体" w:cs="Times New Roman"/>
          <w:b/>
          <w:color w:val="auto"/>
          <w:sz w:val="28"/>
          <w:szCs w:val="28"/>
          <w:highlight w:val="none"/>
          <w:u w:val="single"/>
        </w:rPr>
      </w:pPr>
      <w:r>
        <w:rPr>
          <w:rFonts w:ascii="宋体" w:hAnsi="宋体" w:eastAsia="宋体" w:cs="Times New Roman"/>
          <w:b/>
          <w:color w:val="auto"/>
          <w:sz w:val="28"/>
          <w:szCs w:val="28"/>
          <w:highlight w:val="none"/>
        </w:rPr>
        <w:t>7.6</w:t>
      </w:r>
      <w:r>
        <w:rPr>
          <w:rFonts w:hint="eastAsia" w:ascii="宋体" w:hAnsi="宋体" w:eastAsia="宋体" w:cs="Times New Roman"/>
          <w:b/>
          <w:color w:val="auto"/>
          <w:sz w:val="28"/>
          <w:szCs w:val="28"/>
          <w:highlight w:val="none"/>
        </w:rPr>
        <w:t>履约保证金</w:t>
      </w:r>
      <w:r>
        <w:rPr>
          <w:rFonts w:hint="eastAsia" w:ascii="宋体" w:hAnsi="宋体" w:eastAsia="宋体" w:cs="Times New Roman"/>
          <w:b/>
          <w:color w:val="auto"/>
          <w:sz w:val="28"/>
          <w:szCs w:val="28"/>
          <w:highlight w:val="none"/>
          <w:u w:val="single"/>
        </w:rPr>
        <w:t>（本项目不适用）</w:t>
      </w:r>
    </w:p>
    <w:p w14:paraId="6F457225">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638F75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strike/>
          <w:dstrike w:val="0"/>
          <w:color w:val="auto"/>
          <w:sz w:val="24"/>
          <w:szCs w:val="24"/>
          <w:highlight w:val="none"/>
        </w:rPr>
      </w:pPr>
      <w:r>
        <w:rPr>
          <w:rFonts w:hint="eastAsia" w:ascii="宋体" w:hAnsi="宋体" w:eastAsia="宋体" w:cs="Times New Roman"/>
          <w:strike/>
          <w:dstrike w:val="0"/>
          <w:color w:val="auto"/>
          <w:sz w:val="24"/>
          <w:szCs w:val="24"/>
          <w:highlight w:val="none"/>
        </w:rPr>
        <w:t>7.6.2中标人不能按本章第7.6.1项要求提交履约保证金的，视为放弃中标，其投标保证金不予退还，给招标人造成的损失超过投标保证金数额的，中标人还应当对超过部分予以赔偿。</w:t>
      </w:r>
    </w:p>
    <w:p w14:paraId="6276A9C9">
      <w:pPr>
        <w:keepNext/>
        <w:keepLines/>
        <w:wordWrap w:val="0"/>
        <w:spacing w:line="360" w:lineRule="auto"/>
        <w:outlineLvl w:val="3"/>
        <w:rPr>
          <w:rFonts w:hint="eastAsia" w:ascii="宋体" w:hAnsi="宋体" w:eastAsia="宋体" w:cs="Times New Roman"/>
          <w:b/>
          <w:color w:val="auto"/>
          <w:sz w:val="28"/>
          <w:szCs w:val="28"/>
          <w:highlight w:val="none"/>
        </w:rPr>
      </w:pPr>
      <w:bookmarkStart w:id="127" w:name="bookmark67"/>
      <w:bookmarkEnd w:id="127"/>
      <w:r>
        <w:rPr>
          <w:rFonts w:ascii="宋体" w:hAnsi="宋体" w:eastAsia="宋体" w:cs="Times New Roman"/>
          <w:b/>
          <w:color w:val="auto"/>
          <w:sz w:val="28"/>
          <w:szCs w:val="28"/>
          <w:highlight w:val="none"/>
        </w:rPr>
        <w:t>7.7</w:t>
      </w:r>
      <w:r>
        <w:rPr>
          <w:rFonts w:hint="eastAsia" w:ascii="宋体" w:hAnsi="宋体" w:eastAsia="宋体" w:cs="Times New Roman"/>
          <w:b/>
          <w:color w:val="auto"/>
          <w:sz w:val="28"/>
          <w:szCs w:val="28"/>
          <w:highlight w:val="none"/>
        </w:rPr>
        <w:t>签订合同</w:t>
      </w:r>
    </w:p>
    <w:p w14:paraId="44ACADC3">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7.7.1招标人和中标人应当在中标通知书发出之日起30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w:t>
      </w:r>
      <w:r>
        <w:rPr>
          <w:rFonts w:hint="eastAsia" w:ascii="宋体" w:hAnsi="宋体" w:eastAsia="宋体" w:cs="Times New Roman"/>
          <w:strike/>
          <w:dstrike w:val="0"/>
          <w:color w:val="auto"/>
          <w:sz w:val="24"/>
          <w:szCs w:val="24"/>
          <w:highlight w:val="none"/>
        </w:rPr>
        <w:t>，或者不按照招标文件要求提交履约保证金的</w:t>
      </w:r>
      <w:r>
        <w:rPr>
          <w:rFonts w:hint="eastAsia" w:ascii="宋体" w:hAnsi="宋体" w:eastAsia="宋体" w:cs="Times New Roman"/>
          <w:color w:val="auto"/>
          <w:sz w:val="24"/>
          <w:szCs w:val="24"/>
          <w:highlight w:val="none"/>
        </w:rPr>
        <w:t>，招标人有权取消其中标资格</w:t>
      </w:r>
      <w:r>
        <w:rPr>
          <w:rFonts w:hint="eastAsia" w:ascii="宋体" w:hAnsi="宋体" w:eastAsia="宋体" w:cs="Times New Roman"/>
          <w:strike/>
          <w:dstrike w:val="0"/>
          <w:color w:val="auto"/>
          <w:sz w:val="24"/>
          <w:szCs w:val="24"/>
          <w:highlight w:val="none"/>
        </w:rPr>
        <w:t>，其投标保证金不予退还</w:t>
      </w:r>
      <w:r>
        <w:rPr>
          <w:rFonts w:hint="eastAsia" w:ascii="宋体" w:hAnsi="宋体" w:eastAsia="宋体" w:cs="Times New Roman"/>
          <w:color w:val="auto"/>
          <w:sz w:val="24"/>
          <w:szCs w:val="24"/>
          <w:highlight w:val="none"/>
        </w:rPr>
        <w:t>；给招标人造成</w:t>
      </w:r>
      <w:r>
        <w:rPr>
          <w:rFonts w:hint="eastAsia" w:ascii="宋体" w:hAnsi="宋体" w:eastAsia="宋体" w:cs="Times New Roman"/>
          <w:strike/>
          <w:dstrike w:val="0"/>
          <w:color w:val="auto"/>
          <w:sz w:val="24"/>
          <w:szCs w:val="24"/>
          <w:highlight w:val="none"/>
        </w:rPr>
        <w:t>的</w:t>
      </w:r>
      <w:r>
        <w:rPr>
          <w:rFonts w:hint="eastAsia" w:ascii="宋体" w:hAnsi="宋体" w:eastAsia="宋体" w:cs="Times New Roman"/>
          <w:color w:val="auto"/>
          <w:sz w:val="24"/>
          <w:szCs w:val="24"/>
          <w:highlight w:val="none"/>
        </w:rPr>
        <w:t>损失</w:t>
      </w:r>
      <w:r>
        <w:rPr>
          <w:rFonts w:hint="eastAsia" w:ascii="宋体" w:hAnsi="宋体" w:eastAsia="宋体" w:cs="Times New Roman"/>
          <w:strike/>
          <w:dstrike w:val="0"/>
          <w:color w:val="auto"/>
          <w:sz w:val="24"/>
          <w:szCs w:val="24"/>
          <w:highlight w:val="none"/>
        </w:rPr>
        <w:t>超过投标保证金数额</w:t>
      </w:r>
      <w:r>
        <w:rPr>
          <w:rFonts w:hint="eastAsia" w:ascii="宋体" w:hAnsi="宋体" w:eastAsia="宋体" w:cs="Times New Roman"/>
          <w:color w:val="auto"/>
          <w:sz w:val="24"/>
          <w:szCs w:val="24"/>
          <w:highlight w:val="none"/>
        </w:rPr>
        <w:t>的，中标人还应当</w:t>
      </w:r>
      <w:r>
        <w:rPr>
          <w:rFonts w:hint="eastAsia" w:ascii="宋体" w:hAnsi="宋体" w:eastAsia="宋体" w:cs="Times New Roman"/>
          <w:strike/>
          <w:dstrike w:val="0"/>
          <w:color w:val="auto"/>
          <w:sz w:val="24"/>
          <w:szCs w:val="24"/>
          <w:highlight w:val="none"/>
        </w:rPr>
        <w:t>对超过部分</w:t>
      </w:r>
      <w:r>
        <w:rPr>
          <w:rFonts w:hint="eastAsia" w:ascii="宋体" w:hAnsi="宋体" w:eastAsia="宋体" w:cs="Times New Roman"/>
          <w:color w:val="auto"/>
          <w:sz w:val="24"/>
          <w:szCs w:val="24"/>
          <w:highlight w:val="none"/>
        </w:rPr>
        <w:t>予以赔偿。</w:t>
      </w:r>
    </w:p>
    <w:p w14:paraId="3F9CA23D">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7.7.2发出中标通知书后，招标人无正当理由拒签合同，或者在签订合同时向中标人提出附加条件的，</w:t>
      </w:r>
      <w:r>
        <w:rPr>
          <w:rFonts w:hint="eastAsia" w:ascii="宋体" w:hAnsi="宋体" w:eastAsia="宋体" w:cs="Times New Roman"/>
          <w:strike/>
          <w:dstrike w:val="0"/>
          <w:color w:val="auto"/>
          <w:sz w:val="24"/>
          <w:szCs w:val="24"/>
          <w:highlight w:val="none"/>
        </w:rPr>
        <w:t>招标人向中标人退还投标保证金；</w:t>
      </w:r>
      <w:r>
        <w:rPr>
          <w:rFonts w:hint="eastAsia" w:ascii="宋体" w:hAnsi="宋体" w:eastAsia="宋体" w:cs="Times New Roman"/>
          <w:color w:val="auto"/>
          <w:sz w:val="24"/>
          <w:szCs w:val="24"/>
          <w:highlight w:val="none"/>
        </w:rPr>
        <w:t>给中标人造成损失的，还应当赔偿损失。</w:t>
      </w:r>
    </w:p>
    <w:p w14:paraId="0DD63760">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7.7.3联合体中标的，联合体各方应当共同与招标人签订合同，就中标项目向招标人承担连带责任。</w:t>
      </w:r>
    </w:p>
    <w:p w14:paraId="6E171C36">
      <w:pPr>
        <w:keepNext/>
        <w:keepLines/>
        <w:wordWrap w:val="0"/>
        <w:spacing w:line="360" w:lineRule="auto"/>
        <w:outlineLvl w:val="2"/>
        <w:rPr>
          <w:rFonts w:hint="eastAsia" w:ascii="宋体" w:hAnsi="宋体" w:eastAsia="宋体" w:cs="Times New Roman"/>
          <w:b/>
          <w:color w:val="auto"/>
          <w:sz w:val="28"/>
          <w:szCs w:val="20"/>
          <w:highlight w:val="none"/>
        </w:rPr>
      </w:pPr>
      <w:bookmarkStart w:id="128" w:name="bookmark68"/>
      <w:bookmarkEnd w:id="128"/>
      <w:bookmarkStart w:id="129" w:name="_Toc14873653"/>
      <w:r>
        <w:rPr>
          <w:rFonts w:ascii="宋体" w:hAnsi="宋体" w:eastAsia="宋体" w:cs="Times New Roman"/>
          <w:b/>
          <w:color w:val="auto"/>
          <w:sz w:val="28"/>
          <w:szCs w:val="20"/>
          <w:highlight w:val="none"/>
        </w:rPr>
        <w:t xml:space="preserve">8.  </w:t>
      </w:r>
      <w:r>
        <w:rPr>
          <w:rFonts w:hint="eastAsia" w:ascii="宋体" w:hAnsi="宋体" w:eastAsia="宋体" w:cs="Times New Roman"/>
          <w:b/>
          <w:color w:val="auto"/>
          <w:sz w:val="28"/>
          <w:szCs w:val="20"/>
          <w:highlight w:val="none"/>
        </w:rPr>
        <w:t>纪律和监督</w:t>
      </w:r>
      <w:bookmarkEnd w:id="129"/>
    </w:p>
    <w:p w14:paraId="07A2489E">
      <w:pPr>
        <w:keepNext/>
        <w:keepLines/>
        <w:wordWrap w:val="0"/>
        <w:spacing w:line="360" w:lineRule="auto"/>
        <w:outlineLvl w:val="3"/>
        <w:rPr>
          <w:rFonts w:hint="eastAsia" w:ascii="宋体" w:hAnsi="宋体" w:eastAsia="宋体" w:cs="Times New Roman"/>
          <w:b/>
          <w:color w:val="auto"/>
          <w:sz w:val="28"/>
          <w:szCs w:val="28"/>
          <w:highlight w:val="none"/>
        </w:rPr>
      </w:pPr>
      <w:bookmarkStart w:id="130" w:name="bookmark69"/>
      <w:bookmarkEnd w:id="130"/>
      <w:r>
        <w:rPr>
          <w:rFonts w:ascii="宋体" w:hAnsi="宋体" w:eastAsia="宋体" w:cs="Times New Roman"/>
          <w:b/>
          <w:color w:val="auto"/>
          <w:sz w:val="28"/>
          <w:szCs w:val="28"/>
          <w:highlight w:val="none"/>
        </w:rPr>
        <w:t>8.1</w:t>
      </w:r>
      <w:r>
        <w:rPr>
          <w:rFonts w:hint="eastAsia" w:ascii="宋体" w:hAnsi="宋体" w:eastAsia="宋体" w:cs="Times New Roman"/>
          <w:b/>
          <w:color w:val="auto"/>
          <w:sz w:val="28"/>
          <w:szCs w:val="28"/>
          <w:highlight w:val="none"/>
        </w:rPr>
        <w:t>对招标人的纪律要求</w:t>
      </w:r>
    </w:p>
    <w:p w14:paraId="77C898C2">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招标人不得泄露招标投标活动中应当保密的情况和资料，不得与投标人串通损害国家利益、社会公共利益或者他人合法权益。</w:t>
      </w:r>
    </w:p>
    <w:p w14:paraId="65992FA1">
      <w:pPr>
        <w:keepNext/>
        <w:keepLines/>
        <w:wordWrap w:val="0"/>
        <w:spacing w:line="360" w:lineRule="auto"/>
        <w:outlineLvl w:val="3"/>
        <w:rPr>
          <w:rFonts w:hint="eastAsia" w:ascii="宋体" w:hAnsi="宋体" w:eastAsia="宋体" w:cs="Times New Roman"/>
          <w:b/>
          <w:color w:val="auto"/>
          <w:sz w:val="28"/>
          <w:szCs w:val="28"/>
          <w:highlight w:val="none"/>
        </w:rPr>
      </w:pPr>
      <w:bookmarkStart w:id="131" w:name="bookmark70"/>
      <w:bookmarkEnd w:id="131"/>
      <w:r>
        <w:rPr>
          <w:rFonts w:ascii="宋体" w:hAnsi="宋体" w:eastAsia="宋体" w:cs="Times New Roman"/>
          <w:b/>
          <w:color w:val="auto"/>
          <w:sz w:val="28"/>
          <w:szCs w:val="28"/>
          <w:highlight w:val="none"/>
        </w:rPr>
        <w:t>8.2</w:t>
      </w:r>
      <w:r>
        <w:rPr>
          <w:rFonts w:hint="eastAsia" w:ascii="宋体" w:hAnsi="宋体" w:eastAsia="宋体" w:cs="Times New Roman"/>
          <w:b/>
          <w:color w:val="auto"/>
          <w:sz w:val="28"/>
          <w:szCs w:val="28"/>
          <w:highlight w:val="none"/>
        </w:rPr>
        <w:t>对投标人的纪律要求</w:t>
      </w:r>
    </w:p>
    <w:p w14:paraId="40C515B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3DF12B3">
      <w:pPr>
        <w:keepNext/>
        <w:keepLines/>
        <w:wordWrap w:val="0"/>
        <w:spacing w:line="360" w:lineRule="auto"/>
        <w:outlineLvl w:val="3"/>
        <w:rPr>
          <w:rFonts w:hint="eastAsia" w:ascii="宋体" w:hAnsi="宋体" w:eastAsia="宋体" w:cs="Times New Roman"/>
          <w:b/>
          <w:color w:val="auto"/>
          <w:sz w:val="28"/>
          <w:szCs w:val="28"/>
          <w:highlight w:val="none"/>
        </w:rPr>
      </w:pPr>
      <w:bookmarkStart w:id="132" w:name="bookmark71"/>
      <w:bookmarkEnd w:id="132"/>
      <w:r>
        <w:rPr>
          <w:rFonts w:ascii="宋体" w:hAnsi="宋体" w:eastAsia="宋体" w:cs="Times New Roman"/>
          <w:b/>
          <w:color w:val="auto"/>
          <w:sz w:val="28"/>
          <w:szCs w:val="28"/>
          <w:highlight w:val="none"/>
        </w:rPr>
        <w:t>8.3</w:t>
      </w:r>
      <w:r>
        <w:rPr>
          <w:rFonts w:hint="eastAsia" w:ascii="宋体" w:hAnsi="宋体" w:eastAsia="宋体" w:cs="Times New Roman"/>
          <w:b/>
          <w:color w:val="auto"/>
          <w:sz w:val="28"/>
          <w:szCs w:val="28"/>
          <w:highlight w:val="none"/>
        </w:rPr>
        <w:t>对评标委员会成员的纪律要求</w:t>
      </w:r>
    </w:p>
    <w:p w14:paraId="7FDD5B94">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6A0F34F3">
      <w:pPr>
        <w:keepNext/>
        <w:keepLines/>
        <w:wordWrap w:val="0"/>
        <w:spacing w:line="360" w:lineRule="auto"/>
        <w:outlineLvl w:val="3"/>
        <w:rPr>
          <w:rFonts w:hint="eastAsia" w:ascii="宋体" w:hAnsi="宋体" w:eastAsia="宋体" w:cs="Times New Roman"/>
          <w:b/>
          <w:color w:val="auto"/>
          <w:sz w:val="28"/>
          <w:szCs w:val="28"/>
          <w:highlight w:val="none"/>
        </w:rPr>
      </w:pPr>
      <w:bookmarkStart w:id="133" w:name="bookmark72"/>
      <w:bookmarkEnd w:id="133"/>
      <w:r>
        <w:rPr>
          <w:rFonts w:ascii="宋体" w:hAnsi="宋体" w:eastAsia="宋体" w:cs="Times New Roman"/>
          <w:b/>
          <w:color w:val="auto"/>
          <w:sz w:val="28"/>
          <w:szCs w:val="28"/>
          <w:highlight w:val="none"/>
        </w:rPr>
        <w:t>8.4</w:t>
      </w:r>
      <w:r>
        <w:rPr>
          <w:rFonts w:hint="eastAsia" w:ascii="宋体" w:hAnsi="宋体" w:eastAsia="宋体" w:cs="Times New Roman"/>
          <w:b/>
          <w:color w:val="auto"/>
          <w:sz w:val="28"/>
          <w:szCs w:val="28"/>
          <w:highlight w:val="none"/>
        </w:rPr>
        <w:t>对与评标活动有关的工作人员的纪律要求</w:t>
      </w:r>
    </w:p>
    <w:p w14:paraId="646F359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968414B">
      <w:pPr>
        <w:keepNext/>
        <w:keepLines/>
        <w:wordWrap w:val="0"/>
        <w:spacing w:line="360" w:lineRule="auto"/>
        <w:outlineLvl w:val="3"/>
        <w:rPr>
          <w:rFonts w:hint="eastAsia" w:ascii="宋体" w:hAnsi="宋体" w:eastAsia="宋体" w:cs="Times New Roman"/>
          <w:b/>
          <w:color w:val="auto"/>
          <w:sz w:val="28"/>
          <w:szCs w:val="28"/>
          <w:highlight w:val="none"/>
        </w:rPr>
      </w:pPr>
      <w:bookmarkStart w:id="134" w:name="bookmark73"/>
      <w:bookmarkEnd w:id="134"/>
      <w:r>
        <w:rPr>
          <w:rFonts w:ascii="宋体" w:hAnsi="宋体" w:eastAsia="宋体" w:cs="Times New Roman"/>
          <w:b/>
          <w:color w:val="auto"/>
          <w:sz w:val="28"/>
          <w:szCs w:val="28"/>
          <w:highlight w:val="none"/>
        </w:rPr>
        <w:t>8.5</w:t>
      </w:r>
      <w:r>
        <w:rPr>
          <w:rFonts w:hint="eastAsia" w:ascii="宋体" w:hAnsi="宋体" w:eastAsia="宋体" w:cs="Times New Roman"/>
          <w:b/>
          <w:color w:val="auto"/>
          <w:sz w:val="28"/>
          <w:szCs w:val="28"/>
          <w:highlight w:val="none"/>
        </w:rPr>
        <w:t>投诉</w:t>
      </w:r>
    </w:p>
    <w:p w14:paraId="4F9DA6BF">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6E12D8A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8.5.2投标人或者其他利害关系人对招标文件、开标和评标结果提出投诉的，应当按照投标人须知第2.4款、第5.3款和第7.2款的规定先向招标人提出异议。异议答复期间不计算在第8.5.1项规定的期限内。</w:t>
      </w:r>
    </w:p>
    <w:p w14:paraId="640F8F9B">
      <w:pPr>
        <w:keepNext/>
        <w:keepLines/>
        <w:wordWrap w:val="0"/>
        <w:spacing w:line="360" w:lineRule="auto"/>
        <w:outlineLvl w:val="2"/>
        <w:rPr>
          <w:rFonts w:hint="eastAsia" w:ascii="宋体" w:hAnsi="宋体" w:eastAsia="宋体" w:cs="Times New Roman"/>
          <w:b/>
          <w:color w:val="auto"/>
          <w:sz w:val="28"/>
          <w:szCs w:val="20"/>
          <w:highlight w:val="none"/>
        </w:rPr>
      </w:pPr>
      <w:bookmarkStart w:id="135" w:name="bookmark74"/>
      <w:bookmarkEnd w:id="135"/>
      <w:bookmarkStart w:id="136" w:name="_Toc14873654"/>
      <w:r>
        <w:rPr>
          <w:rFonts w:ascii="宋体" w:hAnsi="宋体" w:eastAsia="宋体" w:cs="Times New Roman"/>
          <w:b/>
          <w:color w:val="auto"/>
          <w:sz w:val="28"/>
          <w:szCs w:val="20"/>
          <w:highlight w:val="none"/>
        </w:rPr>
        <w:t xml:space="preserve">9.  </w:t>
      </w:r>
      <w:r>
        <w:rPr>
          <w:rFonts w:hint="eastAsia" w:ascii="宋体" w:hAnsi="宋体" w:eastAsia="宋体" w:cs="Times New Roman"/>
          <w:b/>
          <w:color w:val="auto"/>
          <w:sz w:val="28"/>
          <w:szCs w:val="20"/>
          <w:highlight w:val="none"/>
        </w:rPr>
        <w:t>是否采用电子招标投标</w:t>
      </w:r>
      <w:bookmarkEnd w:id="136"/>
    </w:p>
    <w:p w14:paraId="44052C03">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本招标项目采用电子招标投标方式，按照广州交易集团有限公司（广州公共资源交易中心）网站关于全流程电子化项目的相关指南进行操作。</w:t>
      </w:r>
    </w:p>
    <w:p w14:paraId="15764EDA">
      <w:pPr>
        <w:keepNext/>
        <w:keepLines/>
        <w:wordWrap w:val="0"/>
        <w:spacing w:line="360" w:lineRule="auto"/>
        <w:outlineLvl w:val="2"/>
        <w:rPr>
          <w:rFonts w:hint="eastAsia" w:ascii="宋体" w:hAnsi="宋体" w:eastAsia="宋体" w:cs="Times New Roman"/>
          <w:b/>
          <w:color w:val="auto"/>
          <w:sz w:val="28"/>
          <w:szCs w:val="20"/>
          <w:highlight w:val="none"/>
        </w:rPr>
      </w:pPr>
      <w:bookmarkStart w:id="137" w:name="bookmark75"/>
      <w:bookmarkEnd w:id="137"/>
      <w:bookmarkStart w:id="138" w:name="_Toc14873655"/>
      <w:r>
        <w:rPr>
          <w:rFonts w:ascii="宋体" w:hAnsi="宋体" w:eastAsia="宋体" w:cs="Times New Roman"/>
          <w:b/>
          <w:color w:val="auto"/>
          <w:sz w:val="28"/>
          <w:szCs w:val="20"/>
          <w:highlight w:val="none"/>
        </w:rPr>
        <w:t xml:space="preserve">10.  </w:t>
      </w:r>
      <w:bookmarkEnd w:id="138"/>
      <w:r>
        <w:rPr>
          <w:rFonts w:hint="eastAsia" w:ascii="宋体" w:hAnsi="宋体" w:eastAsia="宋体" w:cs="Times New Roman"/>
          <w:b/>
          <w:color w:val="auto"/>
          <w:sz w:val="28"/>
          <w:szCs w:val="20"/>
          <w:highlight w:val="none"/>
        </w:rPr>
        <w:t>重新招标情形</w:t>
      </w:r>
    </w:p>
    <w:p w14:paraId="5D6A5995">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在下列情况下，依法必须招标</w:t>
      </w:r>
      <w:r>
        <w:rPr>
          <w:rFonts w:hint="eastAsia" w:ascii="宋体" w:hAnsi="宋体" w:eastAsia="宋体"/>
          <w:b w:val="0"/>
          <w:bCs w:val="0"/>
          <w:strike/>
          <w:dstrike w:val="0"/>
          <w:color w:val="auto"/>
          <w:sz w:val="24"/>
          <w:szCs w:val="24"/>
          <w:highlight w:val="none"/>
          <w:u w:val="none"/>
        </w:rPr>
        <w:t>项目</w:t>
      </w:r>
      <w:r>
        <w:rPr>
          <w:rFonts w:hint="eastAsia" w:ascii="宋体" w:hAnsi="宋体" w:eastAsia="宋体"/>
          <w:b w:val="0"/>
          <w:bCs w:val="0"/>
          <w:strike w:val="0"/>
          <w:dstrike w:val="0"/>
          <w:color w:val="auto"/>
          <w:sz w:val="24"/>
          <w:szCs w:val="24"/>
          <w:highlight w:val="none"/>
          <w:u w:val="single"/>
          <w:lang w:val="en-US" w:eastAsia="zh-CN"/>
        </w:rPr>
        <w:t>标段</w:t>
      </w:r>
      <w:r>
        <w:rPr>
          <w:rFonts w:hint="eastAsia" w:ascii="宋体" w:hAnsi="宋体" w:eastAsia="宋体"/>
          <w:b w:val="0"/>
          <w:bCs w:val="0"/>
          <w:color w:val="auto"/>
          <w:sz w:val="24"/>
          <w:szCs w:val="24"/>
          <w:highlight w:val="none"/>
        </w:rPr>
        <w:t>的招标人在分析招标失败的原因并采取相应措施后，应当依照本办法重新招标：</w:t>
      </w:r>
    </w:p>
    <w:p w14:paraId="4DA8B8D4">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（一）资格审查合格的投标人不足</w:t>
      </w:r>
      <w:r>
        <w:rPr>
          <w:rFonts w:hint="eastAsia" w:ascii="宋体" w:hAnsi="宋体" w:eastAsia="宋体"/>
          <w:b w:val="0"/>
          <w:bCs w:val="0"/>
          <w:strike/>
          <w:dstrike w:val="0"/>
          <w:color w:val="auto"/>
          <w:sz w:val="24"/>
          <w:szCs w:val="24"/>
          <w:highlight w:val="none"/>
          <w:lang w:val="en-US" w:eastAsia="zh-CN"/>
        </w:rPr>
        <w:t>三</w:t>
      </w:r>
      <w:r>
        <w:rPr>
          <w:rFonts w:hint="eastAsia" w:ascii="宋体" w:hAnsi="宋体" w:eastAsia="宋体"/>
          <w:b w:val="0"/>
          <w:bCs w:val="0"/>
          <w:color w:val="auto"/>
          <w:sz w:val="24"/>
          <w:szCs w:val="24"/>
          <w:highlight w:val="none"/>
          <w:u w:val="single"/>
          <w:lang w:val="en-US" w:eastAsia="zh-CN"/>
        </w:rPr>
        <w:t>四</w:t>
      </w:r>
      <w:r>
        <w:rPr>
          <w:rFonts w:hint="eastAsia" w:ascii="宋体" w:hAnsi="宋体" w:eastAsia="宋体"/>
          <w:b w:val="0"/>
          <w:bCs w:val="0"/>
          <w:color w:val="auto"/>
          <w:sz w:val="24"/>
          <w:szCs w:val="24"/>
          <w:highlight w:val="none"/>
        </w:rPr>
        <w:t>个的；</w:t>
      </w:r>
    </w:p>
    <w:p w14:paraId="36CC63D7">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（二）在投标截止时间前提交投标文件的投标人少于</w:t>
      </w:r>
      <w:r>
        <w:rPr>
          <w:rFonts w:hint="eastAsia" w:ascii="宋体" w:hAnsi="宋体" w:eastAsia="宋体"/>
          <w:b w:val="0"/>
          <w:bCs w:val="0"/>
          <w:strike/>
          <w:dstrike w:val="0"/>
          <w:color w:val="auto"/>
          <w:sz w:val="24"/>
          <w:szCs w:val="24"/>
          <w:highlight w:val="none"/>
          <w:lang w:val="en-US" w:eastAsia="zh-CN"/>
        </w:rPr>
        <w:t>三</w:t>
      </w:r>
      <w:r>
        <w:rPr>
          <w:rFonts w:hint="eastAsia" w:ascii="宋体" w:hAnsi="宋体" w:eastAsia="宋体"/>
          <w:b w:val="0"/>
          <w:bCs w:val="0"/>
          <w:color w:val="auto"/>
          <w:sz w:val="24"/>
          <w:szCs w:val="24"/>
          <w:highlight w:val="none"/>
          <w:u w:val="single"/>
          <w:lang w:val="en-US" w:eastAsia="zh-CN"/>
        </w:rPr>
        <w:t>四</w:t>
      </w:r>
      <w:r>
        <w:rPr>
          <w:rFonts w:hint="eastAsia" w:ascii="宋体" w:hAnsi="宋体" w:eastAsia="宋体"/>
          <w:b w:val="0"/>
          <w:bCs w:val="0"/>
          <w:color w:val="auto"/>
          <w:sz w:val="24"/>
          <w:szCs w:val="24"/>
          <w:highlight w:val="none"/>
        </w:rPr>
        <w:t>个的；</w:t>
      </w:r>
    </w:p>
    <w:p w14:paraId="08ECC020">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（三）所有投标均被否决的；</w:t>
      </w:r>
    </w:p>
    <w:p w14:paraId="0A5D6EB8">
      <w:pPr>
        <w:spacing w:line="360" w:lineRule="auto"/>
        <w:ind w:firstLine="424" w:firstLineChars="177"/>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（四）评标委员会否决不合格投标后，因有效投标不足</w:t>
      </w:r>
      <w:r>
        <w:rPr>
          <w:rFonts w:hint="eastAsia" w:ascii="宋体" w:hAnsi="宋体" w:eastAsia="宋体"/>
          <w:b w:val="0"/>
          <w:bCs w:val="0"/>
          <w:strike/>
          <w:dstrike w:val="0"/>
          <w:color w:val="auto"/>
          <w:sz w:val="24"/>
          <w:szCs w:val="24"/>
          <w:highlight w:val="none"/>
          <w:lang w:val="en-US" w:eastAsia="zh-CN"/>
        </w:rPr>
        <w:t>三</w:t>
      </w:r>
      <w:r>
        <w:rPr>
          <w:rFonts w:hint="eastAsia" w:ascii="宋体" w:hAnsi="宋体" w:eastAsia="宋体"/>
          <w:b w:val="0"/>
          <w:bCs w:val="0"/>
          <w:color w:val="auto"/>
          <w:sz w:val="24"/>
          <w:szCs w:val="24"/>
          <w:highlight w:val="none"/>
          <w:u w:val="single"/>
          <w:lang w:val="en-US" w:eastAsia="zh-CN"/>
        </w:rPr>
        <w:t>四</w:t>
      </w:r>
      <w:r>
        <w:rPr>
          <w:rFonts w:hint="eastAsia" w:ascii="宋体" w:hAnsi="宋体" w:eastAsia="宋体"/>
          <w:b w:val="0"/>
          <w:bCs w:val="0"/>
          <w:color w:val="auto"/>
          <w:sz w:val="24"/>
          <w:szCs w:val="24"/>
          <w:highlight w:val="none"/>
        </w:rPr>
        <w:t>个使得投标明显缺乏竞争，评标委员会决定否决全部投标的；</w:t>
      </w:r>
    </w:p>
    <w:p w14:paraId="73853A4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b w:val="0"/>
          <w:bCs w:val="0"/>
          <w:color w:val="auto"/>
          <w:sz w:val="24"/>
          <w:szCs w:val="24"/>
          <w:highlight w:val="none"/>
        </w:rPr>
        <w:t>（五）符合法律法规需重新招标的其他情形。</w:t>
      </w:r>
    </w:p>
    <w:p w14:paraId="4875F599">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t>1</w:t>
      </w:r>
      <w:r>
        <w:rPr>
          <w:rFonts w:hint="eastAsia" w:ascii="宋体" w:hAnsi="宋体" w:eastAsia="宋体" w:cs="Times New Roman"/>
          <w:b/>
          <w:color w:val="auto"/>
          <w:sz w:val="28"/>
          <w:szCs w:val="20"/>
          <w:highlight w:val="none"/>
        </w:rPr>
        <w:t>1</w:t>
      </w:r>
      <w:r>
        <w:rPr>
          <w:rFonts w:ascii="宋体" w:hAnsi="宋体" w:eastAsia="宋体" w:cs="Times New Roman"/>
          <w:b/>
          <w:color w:val="auto"/>
          <w:sz w:val="28"/>
          <w:szCs w:val="20"/>
          <w:highlight w:val="none"/>
        </w:rPr>
        <w:t xml:space="preserve">.  </w:t>
      </w:r>
      <w:r>
        <w:rPr>
          <w:rFonts w:hint="eastAsia" w:ascii="宋体" w:hAnsi="宋体" w:eastAsia="宋体" w:cs="Times New Roman"/>
          <w:b/>
          <w:color w:val="auto"/>
          <w:sz w:val="28"/>
          <w:szCs w:val="20"/>
          <w:highlight w:val="none"/>
        </w:rPr>
        <w:t>需要补充的其他内容</w:t>
      </w:r>
    </w:p>
    <w:p w14:paraId="16E8CC6F">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需要补充的其他内容：见投标人须知前附表。</w:t>
      </w:r>
    </w:p>
    <w:p w14:paraId="732D5844">
      <w:pPr>
        <w:keepNext/>
        <w:keepLines/>
        <w:wordWrap w:val="0"/>
        <w:spacing w:line="360" w:lineRule="auto"/>
        <w:outlineLvl w:val="2"/>
        <w:rPr>
          <w:rFonts w:hint="eastAsia" w:ascii="宋体" w:hAnsi="宋体" w:eastAsia="宋体" w:cs="Times New Roman"/>
          <w:b/>
          <w:color w:val="auto"/>
          <w:sz w:val="28"/>
          <w:szCs w:val="20"/>
          <w:highlight w:val="none"/>
        </w:rPr>
      </w:pPr>
      <w:bookmarkStart w:id="139" w:name="_Toc352691487"/>
      <w:bookmarkEnd w:id="139"/>
      <w:bookmarkStart w:id="140" w:name="_Toc247527568"/>
      <w:bookmarkEnd w:id="140"/>
      <w:bookmarkStart w:id="141" w:name="_Toc15242"/>
      <w:bookmarkEnd w:id="141"/>
      <w:bookmarkStart w:id="142" w:name="_Toc300834964"/>
      <w:bookmarkEnd w:id="142"/>
      <w:bookmarkStart w:id="143" w:name="_Toc152042319"/>
      <w:bookmarkEnd w:id="143"/>
      <w:bookmarkStart w:id="144" w:name="_Toc152045543"/>
      <w:bookmarkEnd w:id="144"/>
      <w:bookmarkStart w:id="145" w:name="_Toc144974511"/>
      <w:bookmarkEnd w:id="145"/>
      <w:bookmarkStart w:id="146" w:name="_Toc247513967"/>
      <w:bookmarkEnd w:id="146"/>
      <w:bookmarkStart w:id="147" w:name="_Toc361508599"/>
      <w:bookmarkEnd w:id="147"/>
      <w:bookmarkStart w:id="148" w:name="_Toc369531530"/>
      <w:bookmarkEnd w:id="148"/>
      <w:bookmarkStart w:id="149" w:name="_Toc384308224"/>
      <w:bookmarkEnd w:id="149"/>
      <w:bookmarkStart w:id="150" w:name="_Toc11759"/>
      <w:bookmarkStart w:id="151" w:name="_Toc15547"/>
      <w:bookmarkStart w:id="152" w:name="_Toc59200683"/>
      <w:bookmarkStart w:id="153" w:name="_Toc526786487"/>
      <w:r>
        <w:rPr>
          <w:rFonts w:ascii="宋体" w:hAnsi="宋体" w:eastAsia="宋体" w:cs="Times New Roman"/>
          <w:b/>
          <w:color w:val="auto"/>
          <w:highlight w:val="none"/>
        </w:rPr>
        <w:br w:type="page"/>
      </w:r>
      <w:bookmarkEnd w:id="150"/>
      <w:bookmarkEnd w:id="151"/>
      <w:bookmarkEnd w:id="152"/>
      <w:bookmarkEnd w:id="153"/>
      <w:bookmarkStart w:id="154" w:name="_Toc14873657"/>
      <w:bookmarkStart w:id="155" w:name="_Toc59200684"/>
      <w:bookmarkStart w:id="156" w:name="_Toc526786489"/>
      <w:bookmarkStart w:id="157" w:name="_Toc11145"/>
    </w:p>
    <w:bookmarkEnd w:id="154"/>
    <w:bookmarkEnd w:id="155"/>
    <w:p w14:paraId="3E46223A">
      <w:pPr>
        <w:keepNext/>
        <w:keepLines/>
        <w:wordWrap w:val="0"/>
        <w:spacing w:before="260" w:line="416" w:lineRule="auto"/>
        <w:outlineLvl w:val="2"/>
        <w:rPr>
          <w:rFonts w:hint="eastAsia" w:ascii="宋体" w:hAnsi="宋体" w:eastAsia="宋体" w:cs="宋体"/>
          <w:b/>
          <w:bCs/>
          <w:color w:val="auto"/>
          <w:spacing w:val="1"/>
          <w:kern w:val="0"/>
          <w:sz w:val="28"/>
          <w:szCs w:val="32"/>
          <w:highlight w:val="none"/>
          <w:lang w:val="en-US" w:eastAsia="zh-CN"/>
        </w:rPr>
      </w:pPr>
      <w:bookmarkStart w:id="158" w:name="_Toc59200686"/>
      <w:r>
        <w:rPr>
          <w:rFonts w:hint="eastAsia" w:ascii="宋体" w:hAnsi="宋体" w:eastAsia="宋体" w:cs="宋体"/>
          <w:b/>
          <w:bCs/>
          <w:color w:val="auto"/>
          <w:spacing w:val="1"/>
          <w:kern w:val="0"/>
          <w:sz w:val="28"/>
          <w:szCs w:val="32"/>
          <w:highlight w:val="none"/>
          <w:lang w:val="en-US" w:eastAsia="zh-CN"/>
        </w:rPr>
        <w:t>附件：</w:t>
      </w:r>
    </w:p>
    <w:p w14:paraId="16BA44CF">
      <w:pPr>
        <w:keepNext/>
        <w:keepLines/>
        <w:wordWrap w:val="0"/>
        <w:spacing w:before="260" w:line="416" w:lineRule="auto"/>
        <w:jc w:val="center"/>
        <w:outlineLvl w:val="2"/>
        <w:rPr>
          <w:rFonts w:hint="eastAsia" w:ascii="宋体" w:hAnsi="宋体" w:eastAsia="宋体" w:cs="宋体"/>
          <w:b/>
          <w:bCs/>
          <w:color w:val="auto"/>
          <w:spacing w:val="1"/>
          <w:kern w:val="0"/>
          <w:sz w:val="28"/>
          <w:szCs w:val="32"/>
          <w:highlight w:val="none"/>
          <w:lang w:val="zh-CN"/>
        </w:rPr>
      </w:pPr>
      <w:r>
        <w:rPr>
          <w:rFonts w:hint="eastAsia" w:ascii="宋体" w:hAnsi="宋体" w:eastAsia="宋体" w:cs="宋体"/>
          <w:b/>
          <w:bCs/>
          <w:color w:val="auto"/>
          <w:spacing w:val="1"/>
          <w:kern w:val="0"/>
          <w:sz w:val="28"/>
          <w:szCs w:val="32"/>
          <w:highlight w:val="none"/>
          <w:lang w:val="zh-CN"/>
        </w:rPr>
        <w:t>评标委员会成员声明</w:t>
      </w:r>
    </w:p>
    <w:p w14:paraId="3CD806B6">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u w:val="single"/>
        </w:rPr>
        <w:t xml:space="preserve">   本项目招标人  </w:t>
      </w:r>
      <w:r>
        <w:rPr>
          <w:rFonts w:hint="default" w:ascii="宋体" w:hAnsi="宋体" w:eastAsia="宋体" w:cs="宋体"/>
          <w:color w:val="auto"/>
          <w:sz w:val="24"/>
          <w:szCs w:val="24"/>
          <w:highlight w:val="none"/>
        </w:rPr>
        <w:t>：</w:t>
      </w:r>
    </w:p>
    <w:p w14:paraId="7B91889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本人就参与</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项目的评标工作，作出郑重声明：</w:t>
      </w:r>
    </w:p>
    <w:p w14:paraId="3AE4754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5CDFA1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1F131E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06B03E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FC0A1D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8A1950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如果本人违反上述声明内容，造成的后果由本人自行承担。</w:t>
      </w:r>
    </w:p>
    <w:p w14:paraId="2CFF60E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 xml:space="preserve">                             声明人：</w:t>
      </w:r>
      <w:r>
        <w:rPr>
          <w:rFonts w:hint="default" w:ascii="宋体" w:hAnsi="宋体" w:eastAsia="宋体" w:cs="宋体"/>
          <w:color w:val="auto"/>
          <w:sz w:val="24"/>
          <w:szCs w:val="24"/>
          <w:highlight w:val="none"/>
          <w:u w:val="single"/>
        </w:rPr>
        <w:t xml:space="preserve">（签名）  </w:t>
      </w:r>
    </w:p>
    <w:p w14:paraId="744C02F1">
      <w:pPr>
        <w:rPr>
          <w:rFonts w:hint="eastAsia" w:ascii="宋体" w:hAnsi="宋体" w:eastAsia="宋体" w:cs="Times New Roman"/>
          <w:b/>
          <w:color w:val="auto"/>
          <w:kern w:val="44"/>
          <w:sz w:val="44"/>
          <w:szCs w:val="20"/>
          <w:highlight w:val="none"/>
        </w:rPr>
      </w:pPr>
      <w:r>
        <w:rPr>
          <w:rFonts w:hint="eastAsia" w:ascii="宋体" w:hAnsi="宋体" w:eastAsia="宋体" w:cs="Times New Roman"/>
          <w:b/>
          <w:color w:val="auto"/>
          <w:kern w:val="44"/>
          <w:sz w:val="44"/>
          <w:szCs w:val="20"/>
          <w:highlight w:val="none"/>
        </w:rPr>
        <w:br w:type="page"/>
      </w:r>
    </w:p>
    <w:p w14:paraId="1DA51D37">
      <w:pPr>
        <w:wordWrap w:val="0"/>
        <w:spacing w:before="340" w:after="330"/>
        <w:jc w:val="center"/>
        <w:outlineLvl w:val="0"/>
        <w:rPr>
          <w:rFonts w:hint="eastAsia" w:ascii="宋体" w:hAnsi="宋体" w:eastAsia="宋体" w:cs="Times New Roman"/>
          <w:b/>
          <w:color w:val="auto"/>
          <w:kern w:val="44"/>
          <w:sz w:val="44"/>
          <w:szCs w:val="20"/>
          <w:highlight w:val="none"/>
        </w:rPr>
      </w:pPr>
      <w:r>
        <w:rPr>
          <w:rFonts w:hint="eastAsia" w:ascii="宋体" w:hAnsi="宋体" w:eastAsia="宋体" w:cs="Times New Roman"/>
          <w:b/>
          <w:color w:val="auto"/>
          <w:kern w:val="44"/>
          <w:sz w:val="44"/>
          <w:szCs w:val="20"/>
          <w:highlight w:val="none"/>
        </w:rPr>
        <w:t>第三章 评标办法（综合评估法）</w:t>
      </w:r>
      <w:bookmarkEnd w:id="156"/>
      <w:bookmarkEnd w:id="157"/>
      <w:bookmarkEnd w:id="158"/>
    </w:p>
    <w:p w14:paraId="625E955B">
      <w:pPr>
        <w:wordWrap w:val="0"/>
        <w:jc w:val="center"/>
        <w:outlineLvl w:val="1"/>
        <w:rPr>
          <w:rFonts w:hint="eastAsia" w:ascii="宋体" w:hAnsi="宋体" w:eastAsia="宋体" w:cs="Times New Roman"/>
          <w:b/>
          <w:color w:val="auto"/>
          <w:sz w:val="32"/>
          <w:szCs w:val="20"/>
          <w:highlight w:val="none"/>
        </w:rPr>
      </w:pPr>
      <w:bookmarkStart w:id="159" w:name="_Toc59200687"/>
      <w:r>
        <w:rPr>
          <w:rFonts w:hint="eastAsia" w:ascii="宋体" w:hAnsi="宋体" w:eastAsia="宋体" w:cs="Times New Roman"/>
          <w:b/>
          <w:color w:val="auto"/>
          <w:sz w:val="32"/>
          <w:szCs w:val="20"/>
          <w:highlight w:val="none"/>
        </w:rPr>
        <w:t>评标办法前附表</w:t>
      </w:r>
      <w:bookmarkEnd w:id="159"/>
    </w:p>
    <w:tbl>
      <w:tblPr>
        <w:tblStyle w:val="24"/>
        <w:tblW w:w="4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7"/>
        <w:gridCol w:w="900"/>
        <w:gridCol w:w="2049"/>
        <w:gridCol w:w="5823"/>
      </w:tblGrid>
      <w:tr w14:paraId="3F69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73" w:type="pct"/>
            <w:gridSpan w:val="3"/>
            <w:vAlign w:val="center"/>
          </w:tcPr>
          <w:p w14:paraId="61949DBF">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条款号</w:t>
            </w:r>
          </w:p>
        </w:tc>
        <w:tc>
          <w:tcPr>
            <w:tcW w:w="1074" w:type="pct"/>
            <w:vAlign w:val="center"/>
          </w:tcPr>
          <w:p w14:paraId="1D74927D">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评审因素</w:t>
            </w:r>
          </w:p>
        </w:tc>
        <w:tc>
          <w:tcPr>
            <w:tcW w:w="3051" w:type="pct"/>
            <w:vAlign w:val="center"/>
          </w:tcPr>
          <w:p w14:paraId="1C2480AE">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评审标准</w:t>
            </w:r>
          </w:p>
        </w:tc>
      </w:tr>
      <w:tr w14:paraId="3FFB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Align w:val="center"/>
          </w:tcPr>
          <w:p w14:paraId="48AF12BC">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w:t>
            </w:r>
          </w:p>
        </w:tc>
        <w:tc>
          <w:tcPr>
            <w:tcW w:w="472" w:type="pct"/>
            <w:vAlign w:val="center"/>
          </w:tcPr>
          <w:p w14:paraId="7F6E851E">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评标方法</w:t>
            </w:r>
          </w:p>
        </w:tc>
        <w:tc>
          <w:tcPr>
            <w:tcW w:w="1074" w:type="pct"/>
            <w:vAlign w:val="center"/>
          </w:tcPr>
          <w:p w14:paraId="4DF5D366">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中标候选人排序方法</w:t>
            </w:r>
          </w:p>
        </w:tc>
        <w:tc>
          <w:tcPr>
            <w:tcW w:w="3051" w:type="pct"/>
            <w:vAlign w:val="center"/>
          </w:tcPr>
          <w:p w14:paraId="6ABBC180">
            <w:pPr>
              <w:wordWrap w:val="0"/>
              <w:spacing w:line="276"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招标项目</w:t>
            </w:r>
            <w:r>
              <w:rPr>
                <w:rFonts w:hint="eastAsia" w:ascii="宋体" w:hAnsi="宋体" w:eastAsia="宋体" w:cs="宋体"/>
                <w:color w:val="auto"/>
                <w:szCs w:val="21"/>
                <w:highlight w:val="none"/>
              </w:rPr>
              <w:t>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监理大纲得分高的优先；如果监理大纲得分也相等，</w:t>
            </w:r>
            <w:r>
              <w:rPr>
                <w:rFonts w:hint="eastAsia" w:ascii="宋体" w:hAnsi="宋体" w:eastAsia="宋体" w:cs="宋体"/>
                <w:color w:val="auto"/>
                <w:szCs w:val="21"/>
                <w:highlight w:val="none"/>
                <w:u w:val="single"/>
              </w:rPr>
              <w:t>则对具有相同情况的投标人，由评标委员会采用记名投票方式，确定投标人最终名次的排序。</w:t>
            </w:r>
          </w:p>
        </w:tc>
      </w:tr>
      <w:tr w14:paraId="3318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restart"/>
            <w:vAlign w:val="center"/>
          </w:tcPr>
          <w:p w14:paraId="2360CEEC">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2.1.1</w:t>
            </w:r>
          </w:p>
        </w:tc>
        <w:tc>
          <w:tcPr>
            <w:tcW w:w="472" w:type="pct"/>
            <w:vMerge w:val="restart"/>
            <w:vAlign w:val="center"/>
          </w:tcPr>
          <w:p w14:paraId="53EEFE5D">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形式评审标准</w:t>
            </w:r>
          </w:p>
        </w:tc>
        <w:tc>
          <w:tcPr>
            <w:tcW w:w="1074" w:type="pct"/>
            <w:vAlign w:val="center"/>
          </w:tcPr>
          <w:p w14:paraId="12A10C55">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投标人名称</w:t>
            </w:r>
          </w:p>
        </w:tc>
        <w:tc>
          <w:tcPr>
            <w:tcW w:w="3051" w:type="pct"/>
            <w:vAlign w:val="center"/>
          </w:tcPr>
          <w:p w14:paraId="4762C47D">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与营业执照或事业单位登记机构核发的事业单位法人证书、资质证书一致。</w:t>
            </w:r>
          </w:p>
        </w:tc>
      </w:tr>
      <w:tr w14:paraId="2416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76391C88">
            <w:pPr>
              <w:wordWrap w:val="0"/>
              <w:spacing w:line="276" w:lineRule="auto"/>
              <w:jc w:val="center"/>
              <w:rPr>
                <w:rFonts w:hint="eastAsia" w:ascii="宋体" w:hAnsi="宋体" w:eastAsia="宋体" w:cs="Times New Roman"/>
                <w:color w:val="auto"/>
                <w:szCs w:val="21"/>
                <w:highlight w:val="none"/>
              </w:rPr>
            </w:pPr>
          </w:p>
        </w:tc>
        <w:tc>
          <w:tcPr>
            <w:tcW w:w="472" w:type="pct"/>
            <w:vMerge w:val="continue"/>
            <w:vAlign w:val="center"/>
          </w:tcPr>
          <w:p w14:paraId="08089691">
            <w:pPr>
              <w:wordWrap w:val="0"/>
              <w:spacing w:line="276" w:lineRule="auto"/>
              <w:jc w:val="center"/>
              <w:rPr>
                <w:rFonts w:hint="eastAsia" w:ascii="宋体" w:hAnsi="宋体" w:eastAsia="宋体" w:cs="Times New Roman"/>
                <w:color w:val="auto"/>
                <w:szCs w:val="21"/>
                <w:highlight w:val="none"/>
              </w:rPr>
            </w:pPr>
          </w:p>
        </w:tc>
        <w:tc>
          <w:tcPr>
            <w:tcW w:w="1074" w:type="pct"/>
            <w:vAlign w:val="center"/>
          </w:tcPr>
          <w:p w14:paraId="4C84EC00">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投标人参加投标的意思表达清楚，投标人代表被授权有效</w:t>
            </w:r>
          </w:p>
        </w:tc>
        <w:tc>
          <w:tcPr>
            <w:tcW w:w="3051" w:type="pct"/>
            <w:vAlign w:val="center"/>
          </w:tcPr>
          <w:p w14:paraId="225EA61A">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投标人声明、投标人廉洁承诺书、法定代表人证明；委托投标的还应提供法人授权委托证明书。</w:t>
            </w:r>
          </w:p>
        </w:tc>
      </w:tr>
      <w:tr w14:paraId="1E47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5749C0CD">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43766C16">
            <w:pPr>
              <w:wordWrap w:val="0"/>
              <w:spacing w:line="276" w:lineRule="auto"/>
              <w:rPr>
                <w:rFonts w:hint="eastAsia" w:ascii="宋体" w:hAnsi="宋体" w:eastAsia="宋体" w:cs="Times New Roman"/>
                <w:color w:val="auto"/>
                <w:szCs w:val="21"/>
                <w:highlight w:val="none"/>
              </w:rPr>
            </w:pPr>
          </w:p>
        </w:tc>
        <w:tc>
          <w:tcPr>
            <w:tcW w:w="1074" w:type="pct"/>
            <w:vAlign w:val="center"/>
          </w:tcPr>
          <w:p w14:paraId="311D6C3F">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投标函及投标函附录签字盖章</w:t>
            </w:r>
          </w:p>
        </w:tc>
        <w:tc>
          <w:tcPr>
            <w:tcW w:w="3051" w:type="pct"/>
            <w:vAlign w:val="center"/>
          </w:tcPr>
          <w:p w14:paraId="50CE8813">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有法定代表人或其委托代理人签字</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或盖章</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或</w:t>
            </w:r>
            <w:r>
              <w:rPr>
                <w:rFonts w:hint="eastAsia" w:ascii="宋体" w:hAnsi="宋体" w:eastAsia="宋体" w:cs="Times New Roman"/>
                <w:color w:val="auto"/>
                <w:szCs w:val="21"/>
                <w:highlight w:val="none"/>
              </w:rPr>
              <w:t>加盖单位章。由法定代表人签字</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或盖章</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的，应附法定代表人证明；由代理人签字</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或盖章</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的，应附法定代表人证明及授权委托书，身份证明或授权委托书参考第六章“投标文件格式”的规定。</w:t>
            </w:r>
          </w:p>
        </w:tc>
      </w:tr>
      <w:tr w14:paraId="3B8C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292D18F2">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4222D0E2">
            <w:pPr>
              <w:wordWrap w:val="0"/>
              <w:spacing w:line="276" w:lineRule="auto"/>
              <w:rPr>
                <w:rFonts w:hint="eastAsia" w:ascii="宋体" w:hAnsi="宋体" w:eastAsia="宋体" w:cs="Times New Roman"/>
                <w:color w:val="auto"/>
                <w:szCs w:val="21"/>
                <w:highlight w:val="none"/>
              </w:rPr>
            </w:pPr>
          </w:p>
        </w:tc>
        <w:tc>
          <w:tcPr>
            <w:tcW w:w="1074" w:type="pct"/>
            <w:vAlign w:val="center"/>
          </w:tcPr>
          <w:p w14:paraId="4CB44731">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投标文件格式</w:t>
            </w:r>
          </w:p>
        </w:tc>
        <w:tc>
          <w:tcPr>
            <w:tcW w:w="3051" w:type="pct"/>
            <w:vAlign w:val="center"/>
          </w:tcPr>
          <w:p w14:paraId="3B1BFB84">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符合第六章</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投标文件格式</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中的</w:t>
            </w:r>
            <w:r>
              <w:rPr>
                <w:rFonts w:hint="eastAsia" w:ascii="宋体" w:hAnsi="宋体" w:eastAsia="宋体" w:cs="Times New Roman"/>
                <w:b/>
                <w:color w:val="auto"/>
                <w:szCs w:val="21"/>
                <w:highlight w:val="none"/>
                <w:u w:val="single"/>
              </w:rPr>
              <w:t>《投标函及投标函附录》</w:t>
            </w:r>
            <w:r>
              <w:rPr>
                <w:rFonts w:hint="eastAsia" w:ascii="宋体" w:hAnsi="宋体" w:eastAsia="宋体" w:cs="Times New Roman"/>
                <w:color w:val="auto"/>
                <w:szCs w:val="21"/>
                <w:highlight w:val="none"/>
              </w:rPr>
              <w:t>规定。</w:t>
            </w:r>
          </w:p>
        </w:tc>
      </w:tr>
      <w:tr w14:paraId="69D0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248EC948">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14CC97C4">
            <w:pPr>
              <w:wordWrap w:val="0"/>
              <w:spacing w:line="276" w:lineRule="auto"/>
              <w:rPr>
                <w:rFonts w:hint="eastAsia" w:ascii="宋体" w:hAnsi="宋体" w:eastAsia="宋体" w:cs="Times New Roman"/>
                <w:color w:val="auto"/>
                <w:szCs w:val="21"/>
                <w:highlight w:val="none"/>
              </w:rPr>
            </w:pPr>
          </w:p>
        </w:tc>
        <w:tc>
          <w:tcPr>
            <w:tcW w:w="1074" w:type="pct"/>
            <w:vAlign w:val="center"/>
          </w:tcPr>
          <w:p w14:paraId="07E6EE0F">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联合体投标人</w:t>
            </w:r>
          </w:p>
        </w:tc>
        <w:tc>
          <w:tcPr>
            <w:tcW w:w="3051" w:type="pct"/>
            <w:vAlign w:val="center"/>
          </w:tcPr>
          <w:p w14:paraId="41475D3D">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不接受。</w:t>
            </w:r>
          </w:p>
        </w:tc>
      </w:tr>
      <w:tr w14:paraId="6F8B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06476104">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7B619098">
            <w:pPr>
              <w:wordWrap w:val="0"/>
              <w:spacing w:line="276" w:lineRule="auto"/>
              <w:rPr>
                <w:rFonts w:hint="eastAsia" w:ascii="宋体" w:hAnsi="宋体" w:eastAsia="宋体" w:cs="Times New Roman"/>
                <w:color w:val="auto"/>
                <w:szCs w:val="21"/>
                <w:highlight w:val="none"/>
              </w:rPr>
            </w:pPr>
          </w:p>
        </w:tc>
        <w:tc>
          <w:tcPr>
            <w:tcW w:w="1074" w:type="pct"/>
            <w:vAlign w:val="center"/>
          </w:tcPr>
          <w:p w14:paraId="68F5159F">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备选投标方案</w:t>
            </w:r>
          </w:p>
        </w:tc>
        <w:tc>
          <w:tcPr>
            <w:tcW w:w="3051" w:type="pct"/>
            <w:vAlign w:val="center"/>
          </w:tcPr>
          <w:p w14:paraId="1D4B5F16">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除招标文件明确允许提交备选投标方案外，投标人不得提交备选投标方案。</w:t>
            </w:r>
          </w:p>
        </w:tc>
      </w:tr>
      <w:tr w14:paraId="0F2E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5A65F5BC">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1491014B">
            <w:pPr>
              <w:wordWrap w:val="0"/>
              <w:spacing w:line="276" w:lineRule="auto"/>
              <w:rPr>
                <w:rFonts w:hint="eastAsia" w:ascii="宋体" w:hAnsi="宋体" w:eastAsia="宋体" w:cs="Times New Roman"/>
                <w:color w:val="auto"/>
                <w:szCs w:val="21"/>
                <w:highlight w:val="none"/>
              </w:rPr>
            </w:pPr>
          </w:p>
        </w:tc>
        <w:tc>
          <w:tcPr>
            <w:tcW w:w="1074" w:type="pct"/>
            <w:vAlign w:val="center"/>
          </w:tcPr>
          <w:p w14:paraId="19EB657A">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投标人硬件特征码</w:t>
            </w:r>
          </w:p>
        </w:tc>
        <w:tc>
          <w:tcPr>
            <w:tcW w:w="3051" w:type="pct"/>
            <w:vAlign w:val="center"/>
          </w:tcPr>
          <w:p w14:paraId="76A0BAE1">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投标人与其他投标人加密打包投标文件硬件特征码不一致的（以广州交易集团有限公司（广州公共资源交易中心）交易平台开标系统的检索信息为准）。</w:t>
            </w:r>
          </w:p>
        </w:tc>
      </w:tr>
      <w:tr w14:paraId="70F1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restart"/>
            <w:vAlign w:val="center"/>
          </w:tcPr>
          <w:p w14:paraId="7D7898A3">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2.1.2</w:t>
            </w:r>
          </w:p>
        </w:tc>
        <w:tc>
          <w:tcPr>
            <w:tcW w:w="472" w:type="pct"/>
            <w:vMerge w:val="restart"/>
            <w:vAlign w:val="center"/>
          </w:tcPr>
          <w:p w14:paraId="1684A173">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资格评审标准</w:t>
            </w:r>
          </w:p>
        </w:tc>
        <w:tc>
          <w:tcPr>
            <w:tcW w:w="1074" w:type="pct"/>
            <w:vAlign w:val="center"/>
          </w:tcPr>
          <w:p w14:paraId="7932728B">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营业执照和组织机构代码证</w:t>
            </w:r>
          </w:p>
        </w:tc>
        <w:tc>
          <w:tcPr>
            <w:tcW w:w="3051" w:type="pct"/>
            <w:vAlign w:val="center"/>
          </w:tcPr>
          <w:p w14:paraId="1F61406D">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符合第二章“投标人须知”第3.5.1项规定，具备有效的营业执照和组织机构代码证。按照“三证合一”或“五证合一”登记制度进行登记的投标人，可仅提供营业执照或事业单位法人证书。</w:t>
            </w:r>
          </w:p>
        </w:tc>
      </w:tr>
      <w:tr w14:paraId="0ACB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735F31A4">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260055B1">
            <w:pPr>
              <w:wordWrap w:val="0"/>
              <w:spacing w:line="276" w:lineRule="auto"/>
              <w:rPr>
                <w:rFonts w:hint="eastAsia" w:ascii="宋体" w:hAnsi="宋体" w:eastAsia="宋体" w:cs="Times New Roman"/>
                <w:color w:val="auto"/>
                <w:szCs w:val="21"/>
                <w:highlight w:val="none"/>
              </w:rPr>
            </w:pPr>
          </w:p>
        </w:tc>
        <w:tc>
          <w:tcPr>
            <w:tcW w:w="1074" w:type="pct"/>
            <w:vAlign w:val="center"/>
          </w:tcPr>
          <w:p w14:paraId="75E43D8A">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资质要求</w:t>
            </w:r>
          </w:p>
        </w:tc>
        <w:tc>
          <w:tcPr>
            <w:tcW w:w="3051" w:type="pct"/>
            <w:vAlign w:val="center"/>
          </w:tcPr>
          <w:p w14:paraId="5019D9F5">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1.4.1</w:t>
            </w:r>
            <w:r>
              <w:rPr>
                <w:rFonts w:hint="eastAsia" w:ascii="宋体" w:hAnsi="宋体" w:eastAsia="宋体" w:cs="Times New Roman"/>
                <w:color w:val="auto"/>
                <w:szCs w:val="21"/>
                <w:highlight w:val="none"/>
              </w:rPr>
              <w:t>项规定。</w:t>
            </w:r>
          </w:p>
        </w:tc>
      </w:tr>
      <w:tr w14:paraId="499F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38E95750">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6AC76B28">
            <w:pPr>
              <w:wordWrap w:val="0"/>
              <w:spacing w:line="276" w:lineRule="auto"/>
              <w:rPr>
                <w:rFonts w:hint="eastAsia" w:ascii="宋体" w:hAnsi="宋体" w:eastAsia="宋体" w:cs="Times New Roman"/>
                <w:color w:val="auto"/>
                <w:szCs w:val="21"/>
                <w:highlight w:val="none"/>
              </w:rPr>
            </w:pPr>
          </w:p>
        </w:tc>
        <w:tc>
          <w:tcPr>
            <w:tcW w:w="1074" w:type="pct"/>
            <w:vAlign w:val="center"/>
          </w:tcPr>
          <w:p w14:paraId="7F66C83A">
            <w:pPr>
              <w:wordWrap w:val="0"/>
              <w:spacing w:line="276" w:lineRule="auto"/>
              <w:jc w:val="center"/>
              <w:rPr>
                <w:rFonts w:hint="eastAsia" w:ascii="宋体" w:hAnsi="宋体" w:eastAsia="宋体" w:cs="Times New Roman"/>
                <w:strike/>
                <w:color w:val="auto"/>
                <w:szCs w:val="21"/>
                <w:highlight w:val="none"/>
              </w:rPr>
            </w:pPr>
            <w:r>
              <w:rPr>
                <w:rFonts w:hint="eastAsia" w:ascii="宋体" w:hAnsi="宋体" w:eastAsia="宋体" w:cs="Times New Roman"/>
                <w:strike/>
                <w:color w:val="auto"/>
                <w:szCs w:val="21"/>
                <w:highlight w:val="none"/>
              </w:rPr>
              <w:t>业绩要求</w:t>
            </w:r>
          </w:p>
        </w:tc>
        <w:tc>
          <w:tcPr>
            <w:tcW w:w="3051" w:type="pct"/>
            <w:vAlign w:val="center"/>
          </w:tcPr>
          <w:p w14:paraId="251C4C16">
            <w:pPr>
              <w:wordWrap w:val="0"/>
              <w:spacing w:line="276" w:lineRule="auto"/>
              <w:rPr>
                <w:rFonts w:hint="eastAsia" w:ascii="宋体" w:hAnsi="宋体" w:eastAsia="宋体" w:cs="Times New Roman"/>
                <w:strike/>
                <w:color w:val="auto"/>
                <w:szCs w:val="21"/>
                <w:highlight w:val="none"/>
              </w:rPr>
            </w:pPr>
            <w:r>
              <w:rPr>
                <w:rFonts w:hint="eastAsia" w:ascii="宋体" w:hAnsi="宋体" w:eastAsia="宋体" w:cs="Times New Roman"/>
                <w:strike/>
                <w:color w:val="auto"/>
                <w:szCs w:val="21"/>
                <w:highlight w:val="none"/>
              </w:rPr>
              <w:t>符合第二章“投标人须知”第</w:t>
            </w:r>
            <w:r>
              <w:rPr>
                <w:rFonts w:ascii="宋体" w:hAnsi="宋体" w:eastAsia="宋体" w:cs="Times New Roman"/>
                <w:strike/>
                <w:color w:val="auto"/>
                <w:szCs w:val="21"/>
                <w:highlight w:val="none"/>
              </w:rPr>
              <w:t>1.4.1</w:t>
            </w:r>
            <w:r>
              <w:rPr>
                <w:rFonts w:hint="eastAsia" w:ascii="宋体" w:hAnsi="宋体" w:eastAsia="宋体" w:cs="Times New Roman"/>
                <w:strike/>
                <w:color w:val="auto"/>
                <w:szCs w:val="21"/>
                <w:highlight w:val="none"/>
              </w:rPr>
              <w:t>项规定。</w:t>
            </w:r>
          </w:p>
        </w:tc>
      </w:tr>
      <w:tr w14:paraId="27A0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0FD365F4">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3BFAF02C">
            <w:pPr>
              <w:wordWrap w:val="0"/>
              <w:spacing w:line="276" w:lineRule="auto"/>
              <w:rPr>
                <w:rFonts w:hint="eastAsia" w:ascii="宋体" w:hAnsi="宋体" w:eastAsia="宋体" w:cs="Times New Roman"/>
                <w:color w:val="auto"/>
                <w:szCs w:val="21"/>
                <w:highlight w:val="none"/>
              </w:rPr>
            </w:pPr>
          </w:p>
        </w:tc>
        <w:tc>
          <w:tcPr>
            <w:tcW w:w="1074" w:type="pct"/>
            <w:vAlign w:val="center"/>
          </w:tcPr>
          <w:p w14:paraId="24DC9A1C">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总监理工程师</w:t>
            </w:r>
          </w:p>
        </w:tc>
        <w:tc>
          <w:tcPr>
            <w:tcW w:w="3051" w:type="pct"/>
            <w:vAlign w:val="center"/>
          </w:tcPr>
          <w:p w14:paraId="3E10DAA5">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1.4.1</w:t>
            </w:r>
            <w:r>
              <w:rPr>
                <w:rFonts w:hint="eastAsia" w:ascii="宋体" w:hAnsi="宋体" w:eastAsia="宋体" w:cs="Times New Roman"/>
                <w:color w:val="auto"/>
                <w:szCs w:val="21"/>
                <w:highlight w:val="none"/>
              </w:rPr>
              <w:t>项规定。</w:t>
            </w:r>
          </w:p>
        </w:tc>
      </w:tr>
      <w:tr w14:paraId="3594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1FE243DF">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465291E3">
            <w:pPr>
              <w:wordWrap w:val="0"/>
              <w:spacing w:line="276" w:lineRule="auto"/>
              <w:rPr>
                <w:rFonts w:hint="eastAsia" w:ascii="宋体" w:hAnsi="宋体" w:eastAsia="宋体" w:cs="Times New Roman"/>
                <w:color w:val="auto"/>
                <w:szCs w:val="21"/>
                <w:highlight w:val="none"/>
              </w:rPr>
            </w:pPr>
          </w:p>
        </w:tc>
        <w:tc>
          <w:tcPr>
            <w:tcW w:w="1074" w:type="pct"/>
            <w:vAlign w:val="center"/>
          </w:tcPr>
          <w:p w14:paraId="68B37D11">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其他要求</w:t>
            </w:r>
          </w:p>
        </w:tc>
        <w:tc>
          <w:tcPr>
            <w:tcW w:w="3051" w:type="pct"/>
            <w:vAlign w:val="center"/>
          </w:tcPr>
          <w:p w14:paraId="48D1D994">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1.4.1</w:t>
            </w:r>
            <w:r>
              <w:rPr>
                <w:rFonts w:hint="eastAsia" w:ascii="宋体" w:hAnsi="宋体" w:eastAsia="宋体" w:cs="Times New Roman"/>
                <w:color w:val="auto"/>
                <w:szCs w:val="21"/>
                <w:highlight w:val="none"/>
              </w:rPr>
              <w:t>项规定。</w:t>
            </w:r>
          </w:p>
        </w:tc>
      </w:tr>
      <w:tr w14:paraId="4805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2D2A5D99">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4D559345">
            <w:pPr>
              <w:wordWrap w:val="0"/>
              <w:spacing w:line="276" w:lineRule="auto"/>
              <w:rPr>
                <w:rFonts w:hint="eastAsia" w:ascii="宋体" w:hAnsi="宋体" w:eastAsia="宋体" w:cs="Times New Roman"/>
                <w:color w:val="auto"/>
                <w:szCs w:val="21"/>
                <w:highlight w:val="none"/>
              </w:rPr>
            </w:pPr>
          </w:p>
        </w:tc>
        <w:tc>
          <w:tcPr>
            <w:tcW w:w="1074" w:type="pct"/>
            <w:vAlign w:val="center"/>
          </w:tcPr>
          <w:p w14:paraId="66FF8BFD">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联合体投标人</w:t>
            </w:r>
          </w:p>
        </w:tc>
        <w:tc>
          <w:tcPr>
            <w:tcW w:w="3051" w:type="pct"/>
            <w:vAlign w:val="center"/>
          </w:tcPr>
          <w:p w14:paraId="74AA6583">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不接受。</w:t>
            </w:r>
          </w:p>
        </w:tc>
      </w:tr>
      <w:tr w14:paraId="3794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24D98CEA">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48FFA73A">
            <w:pPr>
              <w:wordWrap w:val="0"/>
              <w:spacing w:line="276" w:lineRule="auto"/>
              <w:rPr>
                <w:rFonts w:hint="eastAsia" w:ascii="宋体" w:hAnsi="宋体" w:eastAsia="宋体" w:cs="Times New Roman"/>
                <w:color w:val="auto"/>
                <w:szCs w:val="21"/>
                <w:highlight w:val="none"/>
              </w:rPr>
            </w:pPr>
          </w:p>
        </w:tc>
        <w:tc>
          <w:tcPr>
            <w:tcW w:w="1074" w:type="pct"/>
            <w:vAlign w:val="center"/>
          </w:tcPr>
          <w:p w14:paraId="12BF3B15">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不存在禁止投标的情形</w:t>
            </w:r>
          </w:p>
        </w:tc>
        <w:tc>
          <w:tcPr>
            <w:tcW w:w="3051" w:type="pct"/>
            <w:vAlign w:val="center"/>
          </w:tcPr>
          <w:p w14:paraId="4D4A5464">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不存在第二章“投标人须知”第</w:t>
            </w:r>
            <w:r>
              <w:rPr>
                <w:rFonts w:ascii="宋体" w:hAnsi="宋体" w:eastAsia="宋体" w:cs="Times New Roman"/>
                <w:color w:val="auto"/>
                <w:szCs w:val="21"/>
                <w:highlight w:val="none"/>
              </w:rPr>
              <w:t>1.4.3</w:t>
            </w:r>
            <w:r>
              <w:rPr>
                <w:rFonts w:hint="eastAsia" w:ascii="宋体" w:hAnsi="宋体" w:eastAsia="宋体" w:cs="Times New Roman"/>
                <w:color w:val="auto"/>
                <w:szCs w:val="21"/>
                <w:highlight w:val="none"/>
              </w:rPr>
              <w:t>项规定的任何一种情形。</w:t>
            </w:r>
          </w:p>
        </w:tc>
      </w:tr>
      <w:tr w14:paraId="00A2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2F997CD3">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2E56707D">
            <w:pPr>
              <w:wordWrap w:val="0"/>
              <w:spacing w:line="276" w:lineRule="auto"/>
              <w:rPr>
                <w:rFonts w:hint="eastAsia" w:ascii="宋体" w:hAnsi="宋体" w:eastAsia="宋体" w:cs="Times New Roman"/>
                <w:color w:val="auto"/>
                <w:szCs w:val="21"/>
                <w:highlight w:val="none"/>
              </w:rPr>
            </w:pPr>
          </w:p>
        </w:tc>
        <w:tc>
          <w:tcPr>
            <w:tcW w:w="1074" w:type="pct"/>
            <w:vAlign w:val="center"/>
          </w:tcPr>
          <w:p w14:paraId="452629FA">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在投标截止时间前，投标人未被列入拖欠农民工工资失信联合惩戒对象名单</w:t>
            </w:r>
          </w:p>
        </w:tc>
        <w:tc>
          <w:tcPr>
            <w:tcW w:w="3051" w:type="pct"/>
            <w:vAlign w:val="center"/>
          </w:tcPr>
          <w:p w14:paraId="642528FF">
            <w:pPr>
              <w:wordWrap w:val="0"/>
              <w:spacing w:line="276"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投标人无需提供资料，资格审查时按投标截止时间广州交易集团有限公司（广州公共资源交易中心）交易系统比对的结果进行评审</w:t>
            </w:r>
          </w:p>
        </w:tc>
      </w:tr>
      <w:tr w14:paraId="374D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0FAAA30B">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203DA72D">
            <w:pPr>
              <w:wordWrap w:val="0"/>
              <w:spacing w:line="276" w:lineRule="auto"/>
              <w:rPr>
                <w:rFonts w:hint="eastAsia" w:ascii="宋体" w:hAnsi="宋体" w:eastAsia="宋体" w:cs="Times New Roman"/>
                <w:color w:val="auto"/>
                <w:szCs w:val="21"/>
                <w:highlight w:val="none"/>
              </w:rPr>
            </w:pPr>
          </w:p>
        </w:tc>
        <w:tc>
          <w:tcPr>
            <w:tcW w:w="1074" w:type="pct"/>
            <w:vAlign w:val="center"/>
          </w:tcPr>
          <w:p w14:paraId="78433C71">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政府投资项目，在投标截止时间前，投标人未被列入“失信被执行人”名单</w:t>
            </w:r>
          </w:p>
        </w:tc>
        <w:tc>
          <w:tcPr>
            <w:tcW w:w="3051" w:type="pct"/>
            <w:vAlign w:val="center"/>
          </w:tcPr>
          <w:p w14:paraId="4672A5C0">
            <w:pPr>
              <w:wordWrap w:val="0"/>
              <w:spacing w:line="276"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投标人无需提供资料，资格审查时按投标截止时间广州交易集团有限公司（广州公共资源交易中心）交易系统比对的结果进行评审</w:t>
            </w:r>
          </w:p>
        </w:tc>
      </w:tr>
      <w:tr w14:paraId="5DAD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restart"/>
            <w:vAlign w:val="center"/>
          </w:tcPr>
          <w:p w14:paraId="33B6D94A">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2.1.3</w:t>
            </w:r>
          </w:p>
        </w:tc>
        <w:tc>
          <w:tcPr>
            <w:tcW w:w="472" w:type="pct"/>
            <w:vMerge w:val="restart"/>
            <w:vAlign w:val="center"/>
          </w:tcPr>
          <w:p w14:paraId="08BAC1AE">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响应性评审标准</w:t>
            </w:r>
          </w:p>
        </w:tc>
        <w:tc>
          <w:tcPr>
            <w:tcW w:w="1074" w:type="pct"/>
            <w:vAlign w:val="center"/>
          </w:tcPr>
          <w:p w14:paraId="7FA4E2DC">
            <w:pPr>
              <w:wordWrap w:val="0"/>
              <w:spacing w:line="276" w:lineRule="auto"/>
              <w:jc w:val="center"/>
              <w:rPr>
                <w:rFonts w:hint="eastAsia" w:ascii="宋体" w:hAnsi="宋体" w:eastAsia="宋体" w:cs="Times New Roman"/>
                <w:strike/>
                <w:color w:val="auto"/>
                <w:szCs w:val="21"/>
                <w:highlight w:val="none"/>
              </w:rPr>
            </w:pPr>
            <w:r>
              <w:rPr>
                <w:rFonts w:hint="eastAsia" w:ascii="宋体" w:hAnsi="宋体" w:eastAsia="宋体" w:cs="Times New Roman"/>
                <w:color w:val="auto"/>
                <w:szCs w:val="21"/>
                <w:highlight w:val="none"/>
              </w:rPr>
              <w:t>投标报价</w:t>
            </w:r>
          </w:p>
        </w:tc>
        <w:tc>
          <w:tcPr>
            <w:tcW w:w="3051" w:type="pct"/>
            <w:vAlign w:val="center"/>
          </w:tcPr>
          <w:p w14:paraId="73A00A07">
            <w:pPr>
              <w:wordWrap w:val="0"/>
              <w:spacing w:line="276" w:lineRule="auto"/>
              <w:rPr>
                <w:rFonts w:hint="eastAsia" w:ascii="宋体" w:hAnsi="宋体" w:eastAsia="宋体" w:cs="Times New Roman"/>
                <w:strike/>
                <w:color w:val="auto"/>
                <w:szCs w:val="21"/>
                <w:highlight w:val="none"/>
              </w:rPr>
            </w:pPr>
            <w:r>
              <w:rPr>
                <w:rFonts w:hint="eastAsia" w:ascii="宋体" w:hAnsi="宋体" w:eastAsia="宋体" w:cs="Times New Roman"/>
                <w:color w:val="auto"/>
                <w:szCs w:val="21"/>
                <w:highlight w:val="none"/>
              </w:rPr>
              <w:t>符合第二章“投标人须知”第3.2款规定；</w:t>
            </w:r>
            <w:r>
              <w:rPr>
                <w:rFonts w:hint="eastAsia" w:ascii="宋体" w:hAnsi="宋体" w:eastAsia="宋体" w:cs="Times New Roman"/>
                <w:color w:val="auto"/>
                <w:szCs w:val="21"/>
                <w:highlight w:val="none"/>
                <w:u w:val="single"/>
              </w:rPr>
              <w:t>对同一招标项目没有出现两个或以上的投标报价，且修正无依据。</w:t>
            </w:r>
          </w:p>
        </w:tc>
      </w:tr>
      <w:tr w14:paraId="2EA1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6C129BC0">
            <w:pPr>
              <w:wordWrap w:val="0"/>
              <w:spacing w:line="276" w:lineRule="auto"/>
              <w:jc w:val="center"/>
              <w:rPr>
                <w:rFonts w:hint="eastAsia" w:ascii="宋体" w:hAnsi="宋体" w:eastAsia="宋体" w:cs="Times New Roman"/>
                <w:color w:val="auto"/>
                <w:szCs w:val="21"/>
                <w:highlight w:val="none"/>
              </w:rPr>
            </w:pPr>
          </w:p>
        </w:tc>
        <w:tc>
          <w:tcPr>
            <w:tcW w:w="472" w:type="pct"/>
            <w:vMerge w:val="continue"/>
            <w:vAlign w:val="center"/>
          </w:tcPr>
          <w:p w14:paraId="20EE0A17">
            <w:pPr>
              <w:wordWrap w:val="0"/>
              <w:spacing w:line="276" w:lineRule="auto"/>
              <w:jc w:val="center"/>
              <w:rPr>
                <w:rFonts w:hint="eastAsia" w:ascii="宋体" w:hAnsi="宋体" w:eastAsia="宋体" w:cs="Times New Roman"/>
                <w:color w:val="auto"/>
                <w:szCs w:val="21"/>
                <w:highlight w:val="none"/>
              </w:rPr>
            </w:pPr>
          </w:p>
        </w:tc>
        <w:tc>
          <w:tcPr>
            <w:tcW w:w="1074" w:type="pct"/>
            <w:vAlign w:val="center"/>
          </w:tcPr>
          <w:p w14:paraId="6705D936">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投标内容</w:t>
            </w:r>
          </w:p>
        </w:tc>
        <w:tc>
          <w:tcPr>
            <w:tcW w:w="3051" w:type="pct"/>
            <w:vAlign w:val="center"/>
          </w:tcPr>
          <w:p w14:paraId="666AEA0C">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 xml:space="preserve"> 1.3.1 </w:t>
            </w:r>
            <w:r>
              <w:rPr>
                <w:rFonts w:hint="eastAsia" w:ascii="宋体" w:hAnsi="宋体" w:eastAsia="宋体" w:cs="Times New Roman"/>
                <w:color w:val="auto"/>
                <w:szCs w:val="21"/>
                <w:highlight w:val="none"/>
              </w:rPr>
              <w:t>项规定；投标文件按规定的格式填写，内容齐全或关键字迹清晰、容易</w:t>
            </w:r>
            <w:r>
              <w:rPr>
                <w:rFonts w:hint="eastAsia" w:ascii="宋体" w:hAnsi="宋体" w:eastAsia="宋体" w:cs="Times New Roman"/>
                <w:color w:val="auto"/>
                <w:szCs w:val="21"/>
                <w:highlight w:val="none"/>
                <w:lang w:eastAsia="zh-CN"/>
              </w:rPr>
              <w:t>辨认</w:t>
            </w:r>
            <w:r>
              <w:rPr>
                <w:rFonts w:hint="eastAsia" w:ascii="宋体" w:hAnsi="宋体" w:eastAsia="宋体" w:cs="Times New Roman"/>
                <w:color w:val="auto"/>
                <w:szCs w:val="21"/>
                <w:highlight w:val="none"/>
              </w:rPr>
              <w:t>。</w:t>
            </w:r>
          </w:p>
        </w:tc>
      </w:tr>
      <w:tr w14:paraId="23CE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0B2039CE">
            <w:pPr>
              <w:wordWrap w:val="0"/>
              <w:spacing w:line="276" w:lineRule="auto"/>
              <w:jc w:val="center"/>
              <w:rPr>
                <w:rFonts w:hint="eastAsia" w:ascii="宋体" w:hAnsi="宋体" w:eastAsia="宋体" w:cs="Times New Roman"/>
                <w:color w:val="auto"/>
                <w:szCs w:val="21"/>
                <w:highlight w:val="none"/>
              </w:rPr>
            </w:pPr>
          </w:p>
        </w:tc>
        <w:tc>
          <w:tcPr>
            <w:tcW w:w="472" w:type="pct"/>
            <w:vMerge w:val="continue"/>
            <w:vAlign w:val="center"/>
          </w:tcPr>
          <w:p w14:paraId="6E565432">
            <w:pPr>
              <w:wordWrap w:val="0"/>
              <w:spacing w:line="276" w:lineRule="auto"/>
              <w:jc w:val="center"/>
              <w:rPr>
                <w:rFonts w:hint="eastAsia" w:ascii="宋体" w:hAnsi="宋体" w:eastAsia="宋体" w:cs="Times New Roman"/>
                <w:color w:val="auto"/>
                <w:szCs w:val="21"/>
                <w:highlight w:val="none"/>
              </w:rPr>
            </w:pPr>
          </w:p>
        </w:tc>
        <w:tc>
          <w:tcPr>
            <w:tcW w:w="1074" w:type="pct"/>
            <w:vAlign w:val="center"/>
          </w:tcPr>
          <w:p w14:paraId="00E9037F">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监理服务期限</w:t>
            </w:r>
          </w:p>
        </w:tc>
        <w:tc>
          <w:tcPr>
            <w:tcW w:w="3051" w:type="pct"/>
            <w:vAlign w:val="center"/>
          </w:tcPr>
          <w:p w14:paraId="0637C009">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1.3.2</w:t>
            </w:r>
            <w:r>
              <w:rPr>
                <w:rFonts w:hint="eastAsia" w:ascii="宋体" w:hAnsi="宋体" w:eastAsia="宋体" w:cs="Times New Roman"/>
                <w:color w:val="auto"/>
                <w:szCs w:val="21"/>
                <w:highlight w:val="none"/>
              </w:rPr>
              <w:t>项规定。</w:t>
            </w:r>
          </w:p>
        </w:tc>
      </w:tr>
      <w:tr w14:paraId="4722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4E1349C1">
            <w:pPr>
              <w:wordWrap w:val="0"/>
              <w:spacing w:line="276" w:lineRule="auto"/>
              <w:jc w:val="center"/>
              <w:rPr>
                <w:rFonts w:hint="eastAsia" w:ascii="宋体" w:hAnsi="宋体" w:eastAsia="宋体" w:cs="Times New Roman"/>
                <w:color w:val="auto"/>
                <w:szCs w:val="21"/>
                <w:highlight w:val="none"/>
              </w:rPr>
            </w:pPr>
          </w:p>
        </w:tc>
        <w:tc>
          <w:tcPr>
            <w:tcW w:w="472" w:type="pct"/>
            <w:vMerge w:val="continue"/>
            <w:vAlign w:val="center"/>
          </w:tcPr>
          <w:p w14:paraId="55015C86">
            <w:pPr>
              <w:wordWrap w:val="0"/>
              <w:spacing w:line="276" w:lineRule="auto"/>
              <w:jc w:val="center"/>
              <w:rPr>
                <w:rFonts w:hint="eastAsia" w:ascii="宋体" w:hAnsi="宋体" w:eastAsia="宋体" w:cs="Times New Roman"/>
                <w:color w:val="auto"/>
                <w:szCs w:val="21"/>
                <w:highlight w:val="none"/>
              </w:rPr>
            </w:pPr>
          </w:p>
        </w:tc>
        <w:tc>
          <w:tcPr>
            <w:tcW w:w="1074" w:type="pct"/>
            <w:vAlign w:val="center"/>
          </w:tcPr>
          <w:p w14:paraId="304755F3">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质量标准</w:t>
            </w:r>
          </w:p>
        </w:tc>
        <w:tc>
          <w:tcPr>
            <w:tcW w:w="3051" w:type="pct"/>
            <w:vAlign w:val="center"/>
          </w:tcPr>
          <w:p w14:paraId="3BB919E1">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1.3.3</w:t>
            </w:r>
            <w:r>
              <w:rPr>
                <w:rFonts w:hint="eastAsia" w:ascii="宋体" w:hAnsi="宋体" w:eastAsia="宋体" w:cs="Times New Roman"/>
                <w:color w:val="auto"/>
                <w:szCs w:val="21"/>
                <w:highlight w:val="none"/>
              </w:rPr>
              <w:t>项规定。</w:t>
            </w:r>
          </w:p>
        </w:tc>
      </w:tr>
      <w:tr w14:paraId="017D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14B9CBD5">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36CD66C6">
            <w:pPr>
              <w:wordWrap w:val="0"/>
              <w:spacing w:line="276" w:lineRule="auto"/>
              <w:rPr>
                <w:rFonts w:hint="eastAsia" w:ascii="宋体" w:hAnsi="宋体" w:eastAsia="宋体" w:cs="Times New Roman"/>
                <w:color w:val="auto"/>
                <w:szCs w:val="21"/>
                <w:highlight w:val="none"/>
              </w:rPr>
            </w:pPr>
          </w:p>
        </w:tc>
        <w:tc>
          <w:tcPr>
            <w:tcW w:w="1074" w:type="pct"/>
            <w:vAlign w:val="center"/>
          </w:tcPr>
          <w:p w14:paraId="00EC7CD8">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投标有效期</w:t>
            </w:r>
          </w:p>
        </w:tc>
        <w:tc>
          <w:tcPr>
            <w:tcW w:w="3051" w:type="pct"/>
            <w:vAlign w:val="center"/>
          </w:tcPr>
          <w:p w14:paraId="0B7E25D1">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3.3.1</w:t>
            </w:r>
            <w:r>
              <w:rPr>
                <w:rFonts w:hint="eastAsia" w:ascii="宋体" w:hAnsi="宋体" w:eastAsia="宋体" w:cs="Times New Roman"/>
                <w:color w:val="auto"/>
                <w:szCs w:val="21"/>
                <w:highlight w:val="none"/>
              </w:rPr>
              <w:t>项规定。</w:t>
            </w:r>
          </w:p>
        </w:tc>
      </w:tr>
      <w:tr w14:paraId="3E61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446533E7">
            <w:pPr>
              <w:wordWrap w:val="0"/>
              <w:spacing w:line="276" w:lineRule="auto"/>
              <w:rPr>
                <w:rFonts w:hint="eastAsia" w:ascii="宋体" w:hAnsi="宋体" w:eastAsia="宋体" w:cs="Times New Roman"/>
                <w:strike/>
                <w:color w:val="auto"/>
                <w:szCs w:val="21"/>
                <w:highlight w:val="none"/>
              </w:rPr>
            </w:pPr>
          </w:p>
        </w:tc>
        <w:tc>
          <w:tcPr>
            <w:tcW w:w="472" w:type="pct"/>
            <w:vMerge w:val="continue"/>
            <w:vAlign w:val="center"/>
          </w:tcPr>
          <w:p w14:paraId="798502C3">
            <w:pPr>
              <w:wordWrap w:val="0"/>
              <w:spacing w:line="276" w:lineRule="auto"/>
              <w:rPr>
                <w:rFonts w:hint="eastAsia" w:ascii="宋体" w:hAnsi="宋体" w:eastAsia="宋体" w:cs="Times New Roman"/>
                <w:strike/>
                <w:color w:val="auto"/>
                <w:szCs w:val="21"/>
                <w:highlight w:val="none"/>
              </w:rPr>
            </w:pPr>
          </w:p>
        </w:tc>
        <w:tc>
          <w:tcPr>
            <w:tcW w:w="1074" w:type="pct"/>
            <w:vAlign w:val="center"/>
          </w:tcPr>
          <w:p w14:paraId="7EC7FEBA">
            <w:pPr>
              <w:wordWrap w:val="0"/>
              <w:spacing w:line="276" w:lineRule="auto"/>
              <w:jc w:val="center"/>
              <w:rPr>
                <w:rFonts w:hint="eastAsia" w:ascii="宋体" w:hAnsi="宋体" w:eastAsia="宋体" w:cs="Times New Roman"/>
                <w:strike/>
                <w:color w:val="auto"/>
                <w:szCs w:val="21"/>
                <w:highlight w:val="none"/>
              </w:rPr>
            </w:pPr>
            <w:r>
              <w:rPr>
                <w:rFonts w:hint="eastAsia" w:ascii="宋体" w:hAnsi="宋体" w:eastAsia="宋体" w:cs="Times New Roman"/>
                <w:strike/>
                <w:color w:val="auto"/>
                <w:szCs w:val="21"/>
                <w:highlight w:val="none"/>
              </w:rPr>
              <w:t>投标保证金</w:t>
            </w:r>
          </w:p>
        </w:tc>
        <w:tc>
          <w:tcPr>
            <w:tcW w:w="3051" w:type="pct"/>
            <w:vAlign w:val="center"/>
          </w:tcPr>
          <w:p w14:paraId="59842A91">
            <w:pPr>
              <w:wordWrap w:val="0"/>
              <w:spacing w:line="276" w:lineRule="auto"/>
              <w:jc w:val="left"/>
              <w:rPr>
                <w:rFonts w:hint="eastAsia" w:ascii="宋体" w:hAnsi="宋体" w:eastAsia="宋体" w:cs="Times New Roman"/>
                <w:strike/>
                <w:color w:val="auto"/>
                <w:szCs w:val="21"/>
                <w:highlight w:val="none"/>
              </w:rPr>
            </w:pPr>
            <w:r>
              <w:rPr>
                <w:rFonts w:hint="eastAsia" w:ascii="宋体" w:hAnsi="宋体" w:eastAsia="宋体" w:cs="Times New Roman"/>
                <w:strike/>
                <w:color w:val="auto"/>
                <w:szCs w:val="21"/>
                <w:highlight w:val="none"/>
              </w:rPr>
              <w:t>符合第二章“投标人须知”第</w:t>
            </w:r>
            <w:r>
              <w:rPr>
                <w:rFonts w:ascii="宋体" w:hAnsi="宋体" w:eastAsia="宋体" w:cs="Times New Roman"/>
                <w:strike/>
                <w:color w:val="auto"/>
                <w:szCs w:val="21"/>
                <w:highlight w:val="none"/>
              </w:rPr>
              <w:t>3.4.1</w:t>
            </w:r>
            <w:r>
              <w:rPr>
                <w:rFonts w:hint="eastAsia" w:ascii="宋体" w:hAnsi="宋体" w:eastAsia="宋体" w:cs="Times New Roman"/>
                <w:strike/>
                <w:color w:val="auto"/>
                <w:szCs w:val="21"/>
                <w:highlight w:val="none"/>
              </w:rPr>
              <w:t>项规定。</w:t>
            </w:r>
          </w:p>
        </w:tc>
      </w:tr>
      <w:tr w14:paraId="3DDF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gridSpan w:val="2"/>
            <w:vMerge w:val="continue"/>
            <w:vAlign w:val="center"/>
          </w:tcPr>
          <w:p w14:paraId="4CD0BC35">
            <w:pPr>
              <w:wordWrap w:val="0"/>
              <w:spacing w:line="276" w:lineRule="auto"/>
              <w:rPr>
                <w:rFonts w:hint="eastAsia" w:ascii="宋体" w:hAnsi="宋体" w:eastAsia="宋体" w:cs="Times New Roman"/>
                <w:color w:val="auto"/>
                <w:szCs w:val="21"/>
                <w:highlight w:val="none"/>
              </w:rPr>
            </w:pPr>
          </w:p>
        </w:tc>
        <w:tc>
          <w:tcPr>
            <w:tcW w:w="472" w:type="pct"/>
            <w:vMerge w:val="continue"/>
            <w:vAlign w:val="center"/>
          </w:tcPr>
          <w:p w14:paraId="7ED11F55">
            <w:pPr>
              <w:wordWrap w:val="0"/>
              <w:spacing w:line="276" w:lineRule="auto"/>
              <w:rPr>
                <w:rFonts w:hint="eastAsia" w:ascii="宋体" w:hAnsi="宋体" w:eastAsia="宋体" w:cs="Times New Roman"/>
                <w:color w:val="auto"/>
                <w:szCs w:val="21"/>
                <w:highlight w:val="none"/>
              </w:rPr>
            </w:pPr>
          </w:p>
        </w:tc>
        <w:tc>
          <w:tcPr>
            <w:tcW w:w="1074" w:type="pct"/>
            <w:vAlign w:val="center"/>
          </w:tcPr>
          <w:p w14:paraId="37ABF72A">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串通投标情形</w:t>
            </w:r>
          </w:p>
        </w:tc>
        <w:tc>
          <w:tcPr>
            <w:tcW w:w="3051" w:type="pct"/>
            <w:vAlign w:val="center"/>
          </w:tcPr>
          <w:p w14:paraId="5B35E6B0">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不存在串通投标情形（串通投标情形以广东省实施《中华人民共和国招标投标法》办法第十六条的规定为准）。</w:t>
            </w:r>
          </w:p>
        </w:tc>
      </w:tr>
      <w:tr w14:paraId="6BF3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gridSpan w:val="3"/>
            <w:vAlign w:val="center"/>
          </w:tcPr>
          <w:p w14:paraId="516F5BE1">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条款号</w:t>
            </w:r>
          </w:p>
        </w:tc>
        <w:tc>
          <w:tcPr>
            <w:tcW w:w="1074" w:type="pct"/>
            <w:vAlign w:val="center"/>
          </w:tcPr>
          <w:p w14:paraId="3824B5EF">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条款内容</w:t>
            </w:r>
          </w:p>
        </w:tc>
        <w:tc>
          <w:tcPr>
            <w:tcW w:w="3051" w:type="pct"/>
            <w:vAlign w:val="center"/>
          </w:tcPr>
          <w:p w14:paraId="73645A94">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编列内容</w:t>
            </w:r>
          </w:p>
        </w:tc>
      </w:tr>
      <w:tr w14:paraId="3F7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gridSpan w:val="3"/>
            <w:vAlign w:val="center"/>
          </w:tcPr>
          <w:p w14:paraId="0249486F">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2.2.1</w:t>
            </w:r>
          </w:p>
        </w:tc>
        <w:tc>
          <w:tcPr>
            <w:tcW w:w="1074" w:type="pct"/>
            <w:vAlign w:val="center"/>
          </w:tcPr>
          <w:p w14:paraId="506C7781">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分值构成</w:t>
            </w:r>
          </w:p>
          <w:p w14:paraId="6C317E02">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总分</w:t>
            </w:r>
            <w:r>
              <w:rPr>
                <w:rFonts w:ascii="宋体" w:hAnsi="宋体" w:eastAsia="宋体" w:cs="Times New Roman"/>
                <w:color w:val="auto"/>
                <w:szCs w:val="21"/>
                <w:highlight w:val="none"/>
              </w:rPr>
              <w:t>100</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eastAsia="zh-CN"/>
              </w:rPr>
              <w:t>）</w:t>
            </w:r>
          </w:p>
        </w:tc>
        <w:tc>
          <w:tcPr>
            <w:tcW w:w="3051" w:type="pct"/>
            <w:vAlign w:val="center"/>
          </w:tcPr>
          <w:p w14:paraId="41BC0405">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资信业绩部分：</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rPr>
              <w:t>分</w:t>
            </w:r>
          </w:p>
          <w:p w14:paraId="64F2FFDE">
            <w:pPr>
              <w:wordWrap w:val="0"/>
              <w:spacing w:line="276" w:lineRule="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监理大纲部分：</w:t>
            </w:r>
            <w:r>
              <w:rPr>
                <w:rFonts w:hint="eastAsia" w:ascii="宋体" w:hAnsi="宋体" w:eastAsia="宋体" w:cs="Times New Roman"/>
                <w:color w:val="auto"/>
                <w:szCs w:val="21"/>
                <w:highlight w:val="none"/>
                <w:u w:val="single"/>
              </w:rPr>
              <w:t>4</w:t>
            </w:r>
            <w:r>
              <w:rPr>
                <w:rFonts w:ascii="宋体" w:hAnsi="宋体" w:eastAsia="宋体" w:cs="Times New Roman"/>
                <w:color w:val="auto"/>
                <w:szCs w:val="21"/>
                <w:highlight w:val="none"/>
                <w:u w:val="single"/>
              </w:rPr>
              <w:t>0</w:t>
            </w:r>
            <w:r>
              <w:rPr>
                <w:rFonts w:hint="eastAsia" w:ascii="宋体" w:hAnsi="宋体" w:eastAsia="宋体" w:cs="Times New Roman"/>
                <w:color w:val="auto"/>
                <w:szCs w:val="21"/>
                <w:highlight w:val="none"/>
              </w:rPr>
              <w:t>分</w:t>
            </w:r>
          </w:p>
          <w:p w14:paraId="0042D561">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投标报价</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10</w:t>
            </w:r>
            <w:r>
              <w:rPr>
                <w:rFonts w:hint="eastAsia" w:ascii="宋体" w:hAnsi="宋体" w:eastAsia="宋体" w:cs="Times New Roman"/>
                <w:color w:val="auto"/>
                <w:szCs w:val="21"/>
                <w:highlight w:val="none"/>
              </w:rPr>
              <w:t>分</w:t>
            </w:r>
          </w:p>
          <w:p w14:paraId="594ECF7F">
            <w:pPr>
              <w:wordWrap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b/>
                <w:bCs/>
                <w:color w:val="auto"/>
                <w:szCs w:val="21"/>
                <w:highlight w:val="none"/>
              </w:rPr>
              <w:t>其他评分因素：</w:t>
            </w:r>
            <w:r>
              <w:rPr>
                <w:rFonts w:hint="eastAsia" w:ascii="宋体" w:hAnsi="宋体" w:eastAsia="宋体" w:cs="Times New Roman"/>
                <w:color w:val="auto"/>
                <w:szCs w:val="21"/>
                <w:highlight w:val="none"/>
                <w:u w:val="single"/>
              </w:rPr>
              <w:t>企业信用评价分数×</w:t>
            </w:r>
            <w:r>
              <w:rPr>
                <w:rFonts w:hint="eastAsia" w:ascii="宋体" w:hAnsi="宋体" w:eastAsia="宋体" w:cs="Times New Roman"/>
                <w:color w:val="auto"/>
                <w:szCs w:val="21"/>
                <w:highlight w:val="none"/>
                <w:u w:val="single"/>
                <w:lang w:val="en-US" w:eastAsia="zh-CN"/>
              </w:rPr>
              <w:t>20</w:t>
            </w:r>
            <w:r>
              <w:rPr>
                <w:rFonts w:ascii="宋体" w:hAnsi="宋体" w:eastAsia="宋体" w:cs="Times New Roman"/>
                <w:color w:val="auto"/>
                <w:szCs w:val="21"/>
                <w:highlight w:val="none"/>
                <w:u w:val="single"/>
              </w:rPr>
              <w:t>%</w:t>
            </w:r>
          </w:p>
        </w:tc>
      </w:tr>
      <w:tr w14:paraId="0408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gridSpan w:val="3"/>
            <w:vAlign w:val="center"/>
          </w:tcPr>
          <w:p w14:paraId="74361A92">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2.2.2</w:t>
            </w:r>
          </w:p>
        </w:tc>
        <w:tc>
          <w:tcPr>
            <w:tcW w:w="1074" w:type="pct"/>
            <w:vAlign w:val="center"/>
          </w:tcPr>
          <w:p w14:paraId="5AA640F5">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评标基准价计算方法</w:t>
            </w:r>
          </w:p>
        </w:tc>
        <w:tc>
          <w:tcPr>
            <w:tcW w:w="3051" w:type="pct"/>
            <w:vAlign w:val="center"/>
          </w:tcPr>
          <w:p w14:paraId="6D87BE1C">
            <w:pPr>
              <w:spacing w:line="276" w:lineRule="auto"/>
              <w:rPr>
                <w:rFonts w:ascii="宋体" w:hAnsi="宋体" w:eastAsia="宋体" w:cs="宋体"/>
                <w:color w:val="auto"/>
                <w:szCs w:val="21"/>
                <w:highlight w:val="none"/>
                <w:lang w:eastAsia="zh"/>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eastAsia="zh"/>
              </w:rPr>
              <w:t>当通过初步评审的投标报价位于[监理服务费用最高投标限价</w:t>
            </w:r>
            <w:r>
              <w:rPr>
                <w:rFonts w:ascii="宋体" w:hAnsi="宋体" w:eastAsia="宋体" w:cs="Arial"/>
                <w:color w:val="auto"/>
                <w:szCs w:val="21"/>
                <w:highlight w:val="none"/>
                <w:lang w:eastAsia="zh"/>
              </w:rPr>
              <w:t>×</w:t>
            </w:r>
            <w:r>
              <w:rPr>
                <w:rFonts w:hint="eastAsia" w:ascii="宋体" w:hAnsi="宋体" w:eastAsia="宋体" w:cs="宋体"/>
                <w:color w:val="auto"/>
                <w:szCs w:val="21"/>
                <w:highlight w:val="none"/>
                <w:lang w:eastAsia="zh"/>
              </w:rPr>
              <w:t>90%，监理服务费用最高投标限价</w:t>
            </w:r>
            <w:r>
              <w:rPr>
                <w:rFonts w:ascii="宋体" w:hAnsi="宋体" w:eastAsia="宋体" w:cs="Arial"/>
                <w:color w:val="auto"/>
                <w:szCs w:val="21"/>
                <w:highlight w:val="none"/>
                <w:lang w:eastAsia="zh"/>
              </w:rPr>
              <w:t>×</w:t>
            </w:r>
            <w:r>
              <w:rPr>
                <w:rFonts w:hint="eastAsia" w:ascii="宋体" w:hAnsi="宋体" w:eastAsia="宋体" w:cs="宋体"/>
                <w:color w:val="auto"/>
                <w:szCs w:val="21"/>
                <w:highlight w:val="none"/>
                <w:lang w:eastAsia="zh"/>
              </w:rPr>
              <w:t>100%]区间的投标人大于或等于5家时，去掉一个最高价和一个最低价，取该区间内余下有效投标人的投标报价的算术平均值作为评标基准价。</w:t>
            </w:r>
          </w:p>
          <w:p w14:paraId="0C135672">
            <w:pPr>
              <w:spacing w:line="276" w:lineRule="auto"/>
              <w:rPr>
                <w:rFonts w:ascii="宋体" w:hAnsi="宋体" w:eastAsia="宋体" w:cs="宋体"/>
                <w:color w:val="auto"/>
                <w:szCs w:val="21"/>
                <w:highlight w:val="none"/>
                <w:lang w:eastAsia="zh"/>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eastAsia="zh"/>
              </w:rPr>
              <w:t>当通过初步评审的投标报价位于[监理服务费用最高投标限价</w:t>
            </w:r>
            <w:r>
              <w:rPr>
                <w:rFonts w:ascii="宋体" w:hAnsi="宋体" w:eastAsia="宋体" w:cs="Arial"/>
                <w:color w:val="auto"/>
                <w:szCs w:val="21"/>
                <w:highlight w:val="none"/>
                <w:lang w:eastAsia="zh"/>
              </w:rPr>
              <w:t>×</w:t>
            </w:r>
            <w:r>
              <w:rPr>
                <w:rFonts w:hint="eastAsia" w:ascii="宋体" w:hAnsi="宋体" w:eastAsia="宋体" w:cs="宋体"/>
                <w:color w:val="auto"/>
                <w:szCs w:val="21"/>
                <w:highlight w:val="none"/>
                <w:lang w:eastAsia="zh"/>
              </w:rPr>
              <w:t>90%，监理服务费用最高投标限价</w:t>
            </w:r>
            <w:r>
              <w:rPr>
                <w:rFonts w:ascii="宋体" w:hAnsi="宋体" w:eastAsia="宋体" w:cs="Arial"/>
                <w:color w:val="auto"/>
                <w:szCs w:val="21"/>
                <w:highlight w:val="none"/>
                <w:lang w:eastAsia="zh"/>
              </w:rPr>
              <w:t>×</w:t>
            </w:r>
            <w:r>
              <w:rPr>
                <w:rFonts w:hint="eastAsia" w:ascii="宋体" w:hAnsi="宋体" w:eastAsia="宋体" w:cs="宋体"/>
                <w:color w:val="auto"/>
                <w:szCs w:val="21"/>
                <w:highlight w:val="none"/>
                <w:lang w:eastAsia="zh"/>
              </w:rPr>
              <w:t>100%]区间的投标人小于5家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
              </w:rPr>
              <w:t>且不为0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
              </w:rPr>
              <w:t>时，直接取该区间中的所有有效投标人的投标报价的算术平均值作为评标基准价。</w:t>
            </w:r>
          </w:p>
          <w:p w14:paraId="17C28E5F">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eastAsia="zh"/>
              </w:rPr>
              <w:t xml:space="preserve"> 当通过初步评审的投标报价无位于[监理服务费用最高投标限价</w:t>
            </w:r>
            <w:r>
              <w:rPr>
                <w:rFonts w:ascii="宋体" w:hAnsi="宋体" w:eastAsia="宋体" w:cs="Arial"/>
                <w:color w:val="auto"/>
                <w:szCs w:val="21"/>
                <w:highlight w:val="none"/>
                <w:lang w:eastAsia="zh"/>
              </w:rPr>
              <w:t>×</w:t>
            </w:r>
            <w:r>
              <w:rPr>
                <w:rFonts w:hint="eastAsia" w:ascii="宋体" w:hAnsi="宋体" w:eastAsia="宋体" w:cs="宋体"/>
                <w:color w:val="auto"/>
                <w:szCs w:val="21"/>
                <w:highlight w:val="none"/>
                <w:lang w:eastAsia="zh"/>
              </w:rPr>
              <w:t>90%，监理服务费用最高投标限价</w:t>
            </w:r>
            <w:r>
              <w:rPr>
                <w:rFonts w:ascii="宋体" w:hAnsi="宋体" w:eastAsia="宋体" w:cs="Arial"/>
                <w:color w:val="auto"/>
                <w:szCs w:val="21"/>
                <w:highlight w:val="none"/>
                <w:lang w:eastAsia="zh"/>
              </w:rPr>
              <w:t>×</w:t>
            </w:r>
            <w:r>
              <w:rPr>
                <w:rFonts w:hint="eastAsia" w:ascii="宋体" w:hAnsi="宋体" w:eastAsia="宋体" w:cs="宋体"/>
                <w:color w:val="auto"/>
                <w:szCs w:val="21"/>
                <w:highlight w:val="none"/>
                <w:lang w:eastAsia="zh"/>
              </w:rPr>
              <w:t>100%]区间的，则取监理服务费用最高投标限价×90%作为评标基准价。</w:t>
            </w:r>
          </w:p>
        </w:tc>
      </w:tr>
      <w:tr w14:paraId="4BF4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gridSpan w:val="3"/>
            <w:vAlign w:val="center"/>
          </w:tcPr>
          <w:p w14:paraId="5A19443A">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2.2.3</w:t>
            </w:r>
          </w:p>
        </w:tc>
        <w:tc>
          <w:tcPr>
            <w:tcW w:w="1074" w:type="pct"/>
            <w:vAlign w:val="center"/>
          </w:tcPr>
          <w:p w14:paraId="165B407C">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投标报价的偏差率</w:t>
            </w:r>
          </w:p>
          <w:p w14:paraId="45C59F9A">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计算公式</w:t>
            </w:r>
          </w:p>
        </w:tc>
        <w:tc>
          <w:tcPr>
            <w:tcW w:w="3051" w:type="pct"/>
            <w:vAlign w:val="center"/>
          </w:tcPr>
          <w:p w14:paraId="6BE244F1">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偏差率X＝∣评标价—评标基准价∣/评标基准价</w:t>
            </w:r>
            <w:r>
              <w:rPr>
                <w:rFonts w:ascii="宋体" w:hAnsi="宋体" w:eastAsia="宋体" w:cs="Arial"/>
                <w:color w:val="auto"/>
                <w:szCs w:val="21"/>
                <w:highlight w:val="none"/>
              </w:rPr>
              <w:t>×</w:t>
            </w:r>
            <w:r>
              <w:rPr>
                <w:rFonts w:hint="eastAsia" w:ascii="宋体" w:hAnsi="宋体" w:eastAsia="宋体" w:cs="宋体"/>
                <w:color w:val="auto"/>
                <w:szCs w:val="21"/>
                <w:highlight w:val="none"/>
              </w:rPr>
              <w:t>100%</w:t>
            </w:r>
          </w:p>
          <w:p w14:paraId="3CCB637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（偏差率四舍五入保留1位小数，报价偏差率不足1%的，按直线内插法计算投标报价得分）</w:t>
            </w:r>
          </w:p>
          <w:p w14:paraId="69399DC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“投标报价”为投标人投标函中的大写金额。</w:t>
            </w:r>
          </w:p>
          <w:p w14:paraId="547D9A9D">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“评标价”为经修正后的投标报价（如有）。</w:t>
            </w:r>
          </w:p>
        </w:tc>
      </w:tr>
      <w:tr w14:paraId="51AB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restart"/>
            <w:shd w:val="clear" w:color="auto" w:fill="FFFFFF"/>
            <w:tcMar>
              <w:top w:w="0" w:type="dxa"/>
              <w:left w:w="108" w:type="dxa"/>
              <w:bottom w:w="0" w:type="dxa"/>
              <w:right w:w="108" w:type="dxa"/>
            </w:tcMar>
            <w:vAlign w:val="center"/>
          </w:tcPr>
          <w:p w14:paraId="3A349AD4">
            <w:pPr>
              <w:widowControl/>
              <w:wordWrap w:val="0"/>
              <w:spacing w:line="276"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rPr>
              <w:t>2.2.4</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p>
        </w:tc>
        <w:tc>
          <w:tcPr>
            <w:tcW w:w="486" w:type="pct"/>
            <w:gridSpan w:val="2"/>
            <w:vMerge w:val="restart"/>
            <w:shd w:val="clear" w:color="auto" w:fill="FFFFFF"/>
            <w:tcMar>
              <w:top w:w="0" w:type="dxa"/>
              <w:left w:w="108" w:type="dxa"/>
              <w:bottom w:w="0" w:type="dxa"/>
              <w:right w:w="108" w:type="dxa"/>
            </w:tcMar>
            <w:vAlign w:val="center"/>
          </w:tcPr>
          <w:p w14:paraId="0F2490A2">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资信业绩评分标准（</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0</w:t>
            </w:r>
            <w:r>
              <w:rPr>
                <w:rFonts w:hint="eastAsia" w:ascii="宋体" w:hAnsi="宋体" w:eastAsia="宋体" w:cs="宋体"/>
                <w:color w:val="auto"/>
                <w:szCs w:val="21"/>
                <w:highlight w:val="none"/>
              </w:rPr>
              <w:t>分）（</w:t>
            </w:r>
            <w:r>
              <w:rPr>
                <w:rFonts w:ascii="宋体" w:hAnsi="宋体" w:eastAsia="宋体" w:cs="宋体"/>
                <w:color w:val="auto"/>
                <w:szCs w:val="21"/>
                <w:highlight w:val="none"/>
              </w:rPr>
              <w:t>A</w:t>
            </w:r>
            <w:r>
              <w:rPr>
                <w:rFonts w:hint="eastAsia" w:ascii="宋体" w:hAnsi="宋体" w:eastAsia="宋体" w:cs="宋体"/>
                <w:color w:val="auto"/>
                <w:szCs w:val="21"/>
                <w:highlight w:val="none"/>
              </w:rPr>
              <w:t>）</w:t>
            </w:r>
          </w:p>
        </w:tc>
        <w:tc>
          <w:tcPr>
            <w:tcW w:w="1074" w:type="pct"/>
            <w:shd w:val="clear" w:color="auto" w:fill="FFFFFF"/>
            <w:tcMar>
              <w:top w:w="0" w:type="dxa"/>
              <w:left w:w="108" w:type="dxa"/>
              <w:bottom w:w="0" w:type="dxa"/>
              <w:right w:w="108" w:type="dxa"/>
            </w:tcMar>
            <w:vAlign w:val="center"/>
          </w:tcPr>
          <w:p w14:paraId="08CD539F">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类似项目业绩（</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c>
          <w:tcPr>
            <w:tcW w:w="3051" w:type="pct"/>
            <w:shd w:val="clear" w:color="auto" w:fill="FFFFFF"/>
            <w:tcMar>
              <w:top w:w="0" w:type="dxa"/>
              <w:left w:w="108" w:type="dxa"/>
              <w:bottom w:w="0" w:type="dxa"/>
              <w:right w:w="108" w:type="dxa"/>
            </w:tcMar>
            <w:vAlign w:val="center"/>
          </w:tcPr>
          <w:p w14:paraId="480DBA27">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投标人自2022年1月1日至投标截止时间为止，</w:t>
            </w:r>
            <w:r>
              <w:rPr>
                <w:rFonts w:hint="eastAsia" w:ascii="宋体" w:hAnsi="宋体" w:eastAsia="宋体" w:cs="宋体"/>
                <w:color w:val="auto"/>
                <w:szCs w:val="21"/>
                <w:highlight w:val="none"/>
                <w:lang w:val="en-US" w:eastAsia="zh-CN"/>
              </w:rPr>
              <w:t>每</w:t>
            </w:r>
            <w:r>
              <w:rPr>
                <w:rFonts w:hint="eastAsia" w:ascii="宋体" w:hAnsi="宋体" w:eastAsia="宋体" w:cs="宋体"/>
                <w:color w:val="auto"/>
                <w:szCs w:val="21"/>
                <w:highlight w:val="none"/>
              </w:rPr>
              <w:t>完成过一</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rPr>
              <w:t>质量合格的类似工程监理业绩</w:t>
            </w:r>
            <w:r>
              <w:rPr>
                <w:rFonts w:hint="eastAsia" w:ascii="宋体" w:hAnsi="宋体" w:eastAsia="宋体" w:cs="宋体"/>
                <w:color w:val="auto"/>
                <w:szCs w:val="21"/>
                <w:highlight w:val="none"/>
                <w:lang w:val="en-US" w:eastAsia="zh-CN"/>
              </w:rPr>
              <w:t>的，每项</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5分，最多得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032D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tcMar>
              <w:top w:w="0" w:type="dxa"/>
              <w:left w:w="108" w:type="dxa"/>
              <w:bottom w:w="0" w:type="dxa"/>
              <w:right w:w="108" w:type="dxa"/>
            </w:tcMar>
            <w:vAlign w:val="center"/>
          </w:tcPr>
          <w:p w14:paraId="6756472E">
            <w:pPr>
              <w:widowControl/>
              <w:wordWrap w:val="0"/>
              <w:spacing w:line="276" w:lineRule="auto"/>
              <w:jc w:val="center"/>
              <w:rPr>
                <w:rFonts w:ascii="宋体" w:hAnsi="宋体" w:eastAsia="宋体" w:cs="宋体"/>
                <w:color w:val="auto"/>
                <w:szCs w:val="21"/>
                <w:highlight w:val="none"/>
              </w:rPr>
            </w:pPr>
          </w:p>
        </w:tc>
        <w:tc>
          <w:tcPr>
            <w:tcW w:w="486" w:type="pct"/>
            <w:gridSpan w:val="2"/>
            <w:vMerge w:val="continue"/>
            <w:shd w:val="clear" w:color="auto" w:fill="FFFFFF"/>
            <w:tcMar>
              <w:top w:w="0" w:type="dxa"/>
              <w:left w:w="108" w:type="dxa"/>
              <w:bottom w:w="0" w:type="dxa"/>
              <w:right w:w="108" w:type="dxa"/>
            </w:tcMar>
            <w:vAlign w:val="center"/>
          </w:tcPr>
          <w:p w14:paraId="49672792">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108" w:type="dxa"/>
              <w:bottom w:w="0" w:type="dxa"/>
              <w:right w:w="108" w:type="dxa"/>
            </w:tcMar>
            <w:vAlign w:val="center"/>
          </w:tcPr>
          <w:p w14:paraId="4F33C2BE">
            <w:pPr>
              <w:widowControl/>
              <w:wordWrap w:val="0"/>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获奖业绩（12分）</w:t>
            </w:r>
          </w:p>
        </w:tc>
        <w:tc>
          <w:tcPr>
            <w:tcW w:w="3051" w:type="pct"/>
            <w:shd w:val="clear" w:color="auto" w:fill="FFFFFF"/>
            <w:tcMar>
              <w:top w:w="0" w:type="dxa"/>
              <w:left w:w="108" w:type="dxa"/>
              <w:bottom w:w="0" w:type="dxa"/>
              <w:right w:w="108" w:type="dxa"/>
            </w:tcMar>
            <w:vAlign w:val="center"/>
          </w:tcPr>
          <w:p w14:paraId="3C87DAD5">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投标人自2022年1月1日至投标截止时间为止，监理过的市政公用工程监理项目获得国家级质量奖每项得1.5分，省级质量奖每项得1分，市级质量奖每项得0.5分，最多得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p>
        </w:tc>
      </w:tr>
      <w:tr w14:paraId="6654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179AE1AF">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733E1B07">
            <w:pPr>
              <w:widowControl/>
              <w:wordWrap w:val="0"/>
              <w:spacing w:line="276" w:lineRule="auto"/>
              <w:jc w:val="center"/>
              <w:rPr>
                <w:rFonts w:hint="eastAsia" w:ascii="宋体" w:hAnsi="宋体" w:eastAsia="宋体" w:cs="宋体"/>
                <w:color w:val="auto"/>
                <w:szCs w:val="21"/>
                <w:highlight w:val="none"/>
              </w:rPr>
            </w:pPr>
          </w:p>
        </w:tc>
        <w:tc>
          <w:tcPr>
            <w:tcW w:w="1074" w:type="pct"/>
            <w:vMerge w:val="restart"/>
            <w:shd w:val="clear" w:color="auto" w:fill="FFFFFF"/>
            <w:tcMar>
              <w:top w:w="0" w:type="dxa"/>
              <w:left w:w="108" w:type="dxa"/>
              <w:bottom w:w="0" w:type="dxa"/>
              <w:right w:w="108" w:type="dxa"/>
            </w:tcMar>
            <w:vAlign w:val="center"/>
          </w:tcPr>
          <w:p w14:paraId="309FDD2C">
            <w:pPr>
              <w:widowControl/>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总监理工程师资历（</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分）</w:t>
            </w:r>
          </w:p>
        </w:tc>
        <w:tc>
          <w:tcPr>
            <w:tcW w:w="3051" w:type="pct"/>
            <w:shd w:val="clear" w:color="auto" w:fill="FFFFFF"/>
            <w:tcMar>
              <w:top w:w="0" w:type="dxa"/>
              <w:left w:w="108" w:type="dxa"/>
              <w:bottom w:w="0" w:type="dxa"/>
              <w:right w:w="108" w:type="dxa"/>
            </w:tcMar>
            <w:vAlign w:val="center"/>
          </w:tcPr>
          <w:p w14:paraId="72690E71">
            <w:pPr>
              <w:numPr>
                <w:ilvl w:val="0"/>
                <w:numId w:val="0"/>
              </w:num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具有工程类中级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或以上</w:t>
            </w:r>
            <w:r>
              <w:rPr>
                <w:rFonts w:hint="eastAsia" w:ascii="宋体" w:hAnsi="宋体" w:eastAsia="宋体" w:cs="宋体"/>
                <w:color w:val="auto"/>
                <w:szCs w:val="21"/>
                <w:highlight w:val="none"/>
                <w:lang w:eastAsia="zh-CN"/>
              </w:rPr>
              <w:t>）工程师职称</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分；否则不得分。</w:t>
            </w:r>
          </w:p>
          <w:p w14:paraId="7FF49DBF">
            <w:pPr>
              <w:numPr>
                <w:ilvl w:val="0"/>
                <w:numId w:val="0"/>
              </w:numPr>
              <w:wordWrap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注：须提供职称证</w:t>
            </w:r>
            <w:r>
              <w:rPr>
                <w:rFonts w:hint="eastAsia" w:ascii="宋体" w:hAnsi="宋体" w:eastAsia="宋体" w:cs="Times New Roman"/>
                <w:color w:val="auto"/>
                <w:szCs w:val="21"/>
                <w:highlight w:val="none"/>
                <w:lang w:val="en-US" w:eastAsia="zh-CN"/>
              </w:rPr>
              <w:t>扫描件</w:t>
            </w:r>
            <w:r>
              <w:rPr>
                <w:rFonts w:hint="eastAsia" w:ascii="宋体" w:hAnsi="宋体" w:eastAsia="宋体" w:cs="宋体"/>
                <w:color w:val="auto"/>
                <w:szCs w:val="21"/>
                <w:highlight w:val="none"/>
              </w:rPr>
              <w:t>、社保证明</w:t>
            </w:r>
            <w:r>
              <w:rPr>
                <w:rFonts w:hint="eastAsia" w:ascii="宋体" w:hAnsi="宋体" w:eastAsia="宋体" w:cs="Times New Roman"/>
                <w:color w:val="auto"/>
                <w:szCs w:val="21"/>
                <w:highlight w:val="none"/>
                <w:lang w:val="en-US" w:eastAsia="zh-CN"/>
              </w:rPr>
              <w:t>扫描件</w:t>
            </w:r>
            <w:r>
              <w:rPr>
                <w:rFonts w:hint="eastAsia" w:ascii="宋体" w:hAnsi="宋体" w:eastAsia="宋体" w:cs="宋体"/>
                <w:color w:val="auto"/>
                <w:szCs w:val="21"/>
                <w:highlight w:val="none"/>
                <w:lang w:eastAsia="zh-CN"/>
              </w:rPr>
              <w:t>。</w:t>
            </w:r>
          </w:p>
        </w:tc>
      </w:tr>
      <w:tr w14:paraId="75FF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30AC8504">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7CD16292">
            <w:pPr>
              <w:widowControl/>
              <w:wordWrap w:val="0"/>
              <w:spacing w:line="276" w:lineRule="auto"/>
              <w:jc w:val="center"/>
              <w:rPr>
                <w:rFonts w:hint="eastAsia" w:ascii="宋体" w:hAnsi="宋体" w:eastAsia="宋体" w:cs="宋体"/>
                <w:color w:val="auto"/>
                <w:szCs w:val="21"/>
                <w:highlight w:val="none"/>
              </w:rPr>
            </w:pPr>
          </w:p>
        </w:tc>
        <w:tc>
          <w:tcPr>
            <w:tcW w:w="1074" w:type="pct"/>
            <w:vMerge w:val="continue"/>
            <w:shd w:val="clear" w:color="auto" w:fill="FFFFFF"/>
            <w:tcMar>
              <w:top w:w="0" w:type="dxa"/>
              <w:left w:w="108" w:type="dxa"/>
              <w:bottom w:w="0" w:type="dxa"/>
              <w:right w:w="108" w:type="dxa"/>
            </w:tcMar>
            <w:vAlign w:val="center"/>
          </w:tcPr>
          <w:p w14:paraId="4CC6D8A7">
            <w:pPr>
              <w:widowControl/>
              <w:wordWrap w:val="0"/>
              <w:snapToGrid w:val="0"/>
              <w:spacing w:line="276" w:lineRule="auto"/>
              <w:jc w:val="center"/>
              <w:rPr>
                <w:rFonts w:hint="eastAsia" w:ascii="宋体" w:hAnsi="宋体" w:eastAsia="宋体" w:cs="宋体"/>
                <w:color w:val="auto"/>
                <w:szCs w:val="21"/>
                <w:highlight w:val="none"/>
              </w:rPr>
            </w:pPr>
          </w:p>
        </w:tc>
        <w:tc>
          <w:tcPr>
            <w:tcW w:w="3051" w:type="pct"/>
            <w:shd w:val="clear" w:color="auto" w:fill="FFFFFF"/>
            <w:tcMar>
              <w:top w:w="0" w:type="dxa"/>
              <w:left w:w="108" w:type="dxa"/>
              <w:bottom w:w="0" w:type="dxa"/>
              <w:right w:w="108" w:type="dxa"/>
            </w:tcMar>
            <w:vAlign w:val="center"/>
          </w:tcPr>
          <w:p w14:paraId="438F0603">
            <w:pPr>
              <w:numPr>
                <w:ilvl w:val="0"/>
                <w:numId w:val="0"/>
              </w:numPr>
              <w:wordWrap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lang w:val="en-US" w:eastAsia="zh-CN"/>
              </w:rPr>
              <w:t>自2022年1月1日至投标截止时间为止，作为总监理工程师承接过市政公用工程监理业绩的，得2分，无提供不得分。</w:t>
            </w:r>
          </w:p>
          <w:p w14:paraId="7FD4C601">
            <w:pPr>
              <w:numPr>
                <w:ilvl w:val="0"/>
                <w:numId w:val="0"/>
              </w:numPr>
              <w:wordWrap w:val="0"/>
              <w:spacing w:line="276"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总监理工程师业绩须提供中标通知书或免招标的相关证明、监理合同、竣工验收报告或竣工验收证明（如有），业绩时间以合同签订时间为准，竣工验收报告或竣工验收证明（如有）中须能体现该人员的姓名及对应职位。</w:t>
            </w:r>
          </w:p>
        </w:tc>
      </w:tr>
      <w:tr w14:paraId="6E4E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1978BF77">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682EEAC9">
            <w:pPr>
              <w:widowControl/>
              <w:wordWrap w:val="0"/>
              <w:spacing w:line="276" w:lineRule="auto"/>
              <w:jc w:val="center"/>
              <w:rPr>
                <w:rFonts w:hint="eastAsia" w:ascii="宋体" w:hAnsi="宋体" w:eastAsia="宋体" w:cs="宋体"/>
                <w:color w:val="auto"/>
                <w:szCs w:val="21"/>
                <w:highlight w:val="none"/>
              </w:rPr>
            </w:pPr>
          </w:p>
        </w:tc>
        <w:tc>
          <w:tcPr>
            <w:tcW w:w="1074" w:type="pct"/>
            <w:vMerge w:val="restart"/>
            <w:shd w:val="clear" w:color="auto" w:fill="FFFFFF"/>
            <w:tcMar>
              <w:top w:w="0" w:type="dxa"/>
              <w:left w:w="108" w:type="dxa"/>
              <w:bottom w:w="0" w:type="dxa"/>
              <w:right w:w="108" w:type="dxa"/>
            </w:tcMar>
            <w:vAlign w:val="center"/>
          </w:tcPr>
          <w:p w14:paraId="6AF22291">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项目管理班子人员配备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分）</w:t>
            </w:r>
          </w:p>
        </w:tc>
        <w:tc>
          <w:tcPr>
            <w:tcW w:w="3051" w:type="pct"/>
            <w:shd w:val="clear" w:color="auto" w:fill="FFFFFF"/>
            <w:tcMar>
              <w:top w:w="0" w:type="dxa"/>
              <w:left w:w="108" w:type="dxa"/>
              <w:bottom w:w="0" w:type="dxa"/>
              <w:right w:w="108" w:type="dxa"/>
            </w:tcMar>
            <w:vAlign w:val="center"/>
          </w:tcPr>
          <w:p w14:paraId="37F229A9">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1、人员配备满足程度（不含总监）：满足本项目各专业监理人员配备需包括以下专业：市政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给排水、安全、造价得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分；不满足不得分。</w:t>
            </w:r>
          </w:p>
          <w:p w14:paraId="138946B6">
            <w:pPr>
              <w:wordWrap w:val="0"/>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注：</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）须提供</w:t>
            </w:r>
            <w:r>
              <w:rPr>
                <w:rFonts w:hint="eastAsia" w:ascii="宋体" w:hAnsi="宋体" w:eastAsia="宋体" w:cs="Times New Roman"/>
                <w:color w:val="auto"/>
                <w:szCs w:val="21"/>
                <w:highlight w:val="none"/>
                <w:lang w:val="en-US" w:eastAsia="zh-CN"/>
              </w:rPr>
              <w:t>证书或职称证书或注册证书或</w:t>
            </w:r>
            <w:r>
              <w:rPr>
                <w:rFonts w:hint="eastAsia" w:ascii="宋体" w:hAnsi="宋体" w:eastAsia="宋体" w:cs="Times New Roman"/>
                <w:color w:val="auto"/>
                <w:szCs w:val="21"/>
                <w:highlight w:val="none"/>
              </w:rPr>
              <w:t>培训证书（岗位证）</w:t>
            </w:r>
            <w:r>
              <w:rPr>
                <w:rFonts w:hint="eastAsia" w:ascii="宋体" w:hAnsi="宋体" w:eastAsia="宋体" w:cs="Times New Roman"/>
                <w:color w:val="auto"/>
                <w:szCs w:val="21"/>
                <w:highlight w:val="none"/>
                <w:lang w:val="en-US" w:eastAsia="zh-CN"/>
              </w:rPr>
              <w:t>扫描件</w:t>
            </w:r>
            <w:r>
              <w:rPr>
                <w:rFonts w:hint="eastAsia" w:ascii="宋体" w:hAnsi="宋体" w:eastAsia="宋体" w:cs="Times New Roman"/>
                <w:color w:val="auto"/>
                <w:szCs w:val="21"/>
                <w:highlight w:val="none"/>
                <w:lang w:eastAsia="zh-CN"/>
              </w:rPr>
              <w:t>、社保证明</w:t>
            </w:r>
            <w:r>
              <w:rPr>
                <w:rFonts w:hint="eastAsia" w:ascii="宋体" w:hAnsi="宋体" w:eastAsia="宋体" w:cs="Times New Roman"/>
                <w:color w:val="auto"/>
                <w:szCs w:val="21"/>
                <w:highlight w:val="none"/>
                <w:lang w:val="en-US" w:eastAsia="zh-CN"/>
              </w:rPr>
              <w:t>扫描件</w:t>
            </w:r>
            <w:r>
              <w:rPr>
                <w:rFonts w:hint="eastAsia" w:ascii="宋体" w:hAnsi="宋体" w:eastAsia="宋体" w:cs="Times New Roman"/>
                <w:color w:val="auto"/>
                <w:szCs w:val="21"/>
                <w:highlight w:val="none"/>
                <w:lang w:eastAsia="zh-CN"/>
              </w:rPr>
              <w:t>。</w:t>
            </w:r>
          </w:p>
          <w:p w14:paraId="552487A9">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上述专业监理人员专业以专业监理工程师证书或职称证或注册证的任意一个证书相关专业为准，其中造价专业监理人员以注册造价工程师证或一级注册造价工程师为准，安全专业监理人员以安全监理员培训证书（岗位证）或注册安全工程师证为准，上述人员不得兼任。</w:t>
            </w:r>
          </w:p>
          <w:p w14:paraId="60350D5D">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一级注册造价工程师是指根据住房城乡建设部、交通运输部、水利部、人力资源社会保障部发布的《造价工程师职业资格制度规定》、《造价工程师职业资格考试实施办法》（建人</w:t>
            </w:r>
            <w:r>
              <w:rPr>
                <w:rFonts w:hint="eastAsia" w:ascii="宋体" w:hAnsi="宋体" w:eastAsia="宋体" w:cs="Times New Roman"/>
                <w:color w:val="auto"/>
                <w:szCs w:val="21"/>
                <w:highlight w:val="none"/>
                <w:lang w:eastAsia="zh-CN"/>
              </w:rPr>
              <w:t>〔2018〕</w:t>
            </w:r>
            <w:r>
              <w:rPr>
                <w:rFonts w:hint="eastAsia" w:ascii="宋体" w:hAnsi="宋体" w:eastAsia="宋体" w:cs="Times New Roman"/>
                <w:color w:val="auto"/>
                <w:szCs w:val="21"/>
                <w:highlight w:val="none"/>
              </w:rPr>
              <w:t>67号）取得的一级造价工程师职业资格，并经注册且在有效期内。按照《造价工程师职业资格制度规定》的规定，根据原人事部、原建设部发布的《造价工程师执业资格制度暂行规定》（人发</w:t>
            </w:r>
            <w:r>
              <w:rPr>
                <w:rFonts w:hint="eastAsia" w:ascii="宋体" w:hAnsi="宋体" w:eastAsia="宋体" w:cs="Times New Roman"/>
                <w:color w:val="auto"/>
                <w:szCs w:val="21"/>
                <w:highlight w:val="none"/>
                <w:lang w:eastAsia="zh-CN"/>
              </w:rPr>
              <w:t>〔1996〕77号）</w:t>
            </w:r>
            <w:r>
              <w:rPr>
                <w:rFonts w:hint="eastAsia" w:ascii="宋体" w:hAnsi="宋体" w:eastAsia="宋体" w:cs="Times New Roman"/>
                <w:color w:val="auto"/>
                <w:szCs w:val="21"/>
                <w:highlight w:val="none"/>
              </w:rPr>
              <w:t>取得的造价工程师执业资格，并经注册且在有效期内的，等同于一级注册造价工程师。</w:t>
            </w:r>
          </w:p>
        </w:tc>
      </w:tr>
      <w:tr w14:paraId="6230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574929D8">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5E9794F5">
            <w:pPr>
              <w:widowControl/>
              <w:wordWrap w:val="0"/>
              <w:spacing w:line="276" w:lineRule="auto"/>
              <w:jc w:val="center"/>
              <w:rPr>
                <w:rFonts w:hint="eastAsia" w:ascii="宋体" w:hAnsi="宋体" w:eastAsia="宋体" w:cs="宋体"/>
                <w:color w:val="auto"/>
                <w:szCs w:val="21"/>
                <w:highlight w:val="none"/>
              </w:rPr>
            </w:pPr>
          </w:p>
        </w:tc>
        <w:tc>
          <w:tcPr>
            <w:tcW w:w="1074" w:type="pct"/>
            <w:vMerge w:val="continue"/>
            <w:shd w:val="clear" w:color="auto" w:fill="FFFFFF"/>
            <w:tcMar>
              <w:top w:w="0" w:type="dxa"/>
              <w:left w:w="108" w:type="dxa"/>
              <w:bottom w:w="0" w:type="dxa"/>
              <w:right w:w="108" w:type="dxa"/>
            </w:tcMar>
            <w:vAlign w:val="center"/>
          </w:tcPr>
          <w:p w14:paraId="7CE336CE">
            <w:pPr>
              <w:widowControl/>
              <w:wordWrap w:val="0"/>
              <w:spacing w:line="276" w:lineRule="auto"/>
              <w:jc w:val="center"/>
              <w:rPr>
                <w:rFonts w:hint="eastAsia" w:ascii="宋体" w:hAnsi="宋体" w:eastAsia="宋体" w:cs="宋体"/>
                <w:color w:val="auto"/>
                <w:szCs w:val="21"/>
                <w:highlight w:val="none"/>
                <w:lang w:val="en-US" w:eastAsia="zh-CN"/>
              </w:rPr>
            </w:pPr>
          </w:p>
        </w:tc>
        <w:tc>
          <w:tcPr>
            <w:tcW w:w="3051" w:type="pct"/>
            <w:shd w:val="clear" w:color="auto" w:fill="FFFFFF"/>
            <w:tcMar>
              <w:top w:w="0" w:type="dxa"/>
              <w:left w:w="108" w:type="dxa"/>
              <w:bottom w:w="0" w:type="dxa"/>
              <w:right w:w="108" w:type="dxa"/>
            </w:tcMar>
            <w:vAlign w:val="center"/>
          </w:tcPr>
          <w:p w14:paraId="2672E4E0">
            <w:pPr>
              <w:numPr>
                <w:ilvl w:val="0"/>
                <w:numId w:val="0"/>
              </w:numPr>
              <w:wordWrap w:val="0"/>
              <w:spacing w:line="276"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szCs w:val="21"/>
                <w:highlight w:val="none"/>
                <w:lang w:val="en-US" w:eastAsia="zh-CN"/>
              </w:rPr>
              <w:t>配备的监理人员（不含总监理工程师）具有注册监理工程师或工程类高级（或以上）工程师职称的，得1分，一人多证不累计计分，本项最多得2分。</w:t>
            </w:r>
          </w:p>
          <w:p w14:paraId="7E1D5B5C">
            <w:pPr>
              <w:numPr>
                <w:ilvl w:val="0"/>
                <w:numId w:val="0"/>
              </w:numPr>
              <w:wordWrap w:val="0"/>
              <w:spacing w:line="276" w:lineRule="auto"/>
              <w:rPr>
                <w:rFonts w:hint="eastAsia" w:ascii="宋体" w:hAnsi="宋体" w:eastAsia="宋体" w:cs="Times New Roman"/>
                <w:color w:val="auto"/>
                <w:szCs w:val="21"/>
                <w:highlight w:val="none"/>
                <w:lang w:val="en-US" w:eastAsia="zh-CN"/>
              </w:rPr>
            </w:pPr>
            <w:r>
              <w:rPr>
                <w:rFonts w:hint="eastAsia" w:ascii="宋体" w:hAnsi="宋体" w:eastAsia="宋体" w:cs="宋体"/>
                <w:color w:val="auto"/>
                <w:szCs w:val="21"/>
                <w:highlight w:val="none"/>
              </w:rPr>
              <w:t>注：须提供职称证</w:t>
            </w:r>
            <w:r>
              <w:rPr>
                <w:rFonts w:hint="eastAsia" w:ascii="宋体" w:hAnsi="宋体" w:eastAsia="宋体" w:cs="Times New Roman"/>
                <w:color w:val="auto"/>
                <w:szCs w:val="21"/>
                <w:highlight w:val="none"/>
                <w:lang w:val="en-US" w:eastAsia="zh-CN"/>
              </w:rPr>
              <w:t>扫描件</w:t>
            </w:r>
            <w:r>
              <w:rPr>
                <w:rFonts w:hint="eastAsia" w:ascii="宋体" w:hAnsi="宋体" w:eastAsia="宋体" w:cs="宋体"/>
                <w:color w:val="auto"/>
                <w:szCs w:val="21"/>
                <w:highlight w:val="none"/>
              </w:rPr>
              <w:t>、社保证明</w:t>
            </w:r>
            <w:r>
              <w:rPr>
                <w:rFonts w:hint="eastAsia" w:ascii="宋体" w:hAnsi="宋体" w:eastAsia="宋体" w:cs="Times New Roman"/>
                <w:color w:val="auto"/>
                <w:szCs w:val="21"/>
                <w:highlight w:val="none"/>
                <w:lang w:val="en-US" w:eastAsia="zh-CN"/>
              </w:rPr>
              <w:t>扫描件</w:t>
            </w:r>
            <w:r>
              <w:rPr>
                <w:rFonts w:hint="eastAsia" w:ascii="宋体" w:hAnsi="宋体" w:eastAsia="宋体" w:cs="宋体"/>
                <w:color w:val="auto"/>
                <w:szCs w:val="21"/>
                <w:highlight w:val="none"/>
                <w:lang w:eastAsia="zh-CN"/>
              </w:rPr>
              <w:t>。</w:t>
            </w:r>
          </w:p>
        </w:tc>
      </w:tr>
      <w:tr w14:paraId="34AF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7C4B188E">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20EEBF91">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108" w:type="dxa"/>
              <w:bottom w:w="0" w:type="dxa"/>
              <w:right w:w="108" w:type="dxa"/>
            </w:tcMar>
            <w:vAlign w:val="center"/>
          </w:tcPr>
          <w:p w14:paraId="4A263B98">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资信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分）</w:t>
            </w:r>
          </w:p>
        </w:tc>
        <w:tc>
          <w:tcPr>
            <w:tcW w:w="3051" w:type="pct"/>
            <w:shd w:val="clear" w:color="auto" w:fill="FFFFFF"/>
            <w:tcMar>
              <w:top w:w="0" w:type="dxa"/>
              <w:left w:w="108" w:type="dxa"/>
              <w:bottom w:w="0" w:type="dxa"/>
              <w:right w:w="108" w:type="dxa"/>
            </w:tcMar>
            <w:vAlign w:val="center"/>
          </w:tcPr>
          <w:p w14:paraId="4FD3A3AE">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投标人（含最近评审年份202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年）获得“A级纳税人”称号情况：</w:t>
            </w:r>
          </w:p>
          <w:p w14:paraId="04DF7C91">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（1）连续获得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次或以上“A级纳税人”称号的，得5分；</w:t>
            </w:r>
          </w:p>
          <w:p w14:paraId="15C65A80">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（2）连续获得</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次“A级纳税人”称号的，得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43CF9073">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（3）连续获得1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次“A级纳税人”称号的，得1分；</w:t>
            </w:r>
          </w:p>
          <w:p w14:paraId="3514F3BD">
            <w:pPr>
              <w:widowControl/>
              <w:wordWrap w:val="0"/>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未获得过的或不满足上述要求的不得分。</w:t>
            </w:r>
            <w:r>
              <w:rPr>
                <w:rFonts w:hint="eastAsia" w:ascii="宋体" w:hAnsi="宋体" w:eastAsia="宋体" w:cs="宋体"/>
                <w:color w:val="auto"/>
                <w:szCs w:val="21"/>
                <w:highlight w:val="none"/>
                <w:lang w:val="en-US" w:eastAsia="zh-CN"/>
              </w:rPr>
              <w:t>本项最多得5分。</w:t>
            </w:r>
          </w:p>
        </w:tc>
      </w:tr>
      <w:tr w14:paraId="589D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restart"/>
            <w:shd w:val="clear" w:color="auto" w:fill="FFFFFF"/>
            <w:tcMar>
              <w:top w:w="0" w:type="dxa"/>
              <w:left w:w="108" w:type="dxa"/>
              <w:bottom w:w="0" w:type="dxa"/>
              <w:right w:w="108" w:type="dxa"/>
            </w:tcMar>
            <w:vAlign w:val="center"/>
          </w:tcPr>
          <w:p w14:paraId="6B4D579E">
            <w:pPr>
              <w:widowControl/>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2.2.4</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p>
        </w:tc>
        <w:tc>
          <w:tcPr>
            <w:tcW w:w="486" w:type="pct"/>
            <w:gridSpan w:val="2"/>
            <w:vMerge w:val="restart"/>
            <w:shd w:val="clear" w:color="auto" w:fill="FFFFFF"/>
            <w:tcMar>
              <w:top w:w="0" w:type="dxa"/>
              <w:left w:w="108" w:type="dxa"/>
              <w:bottom w:w="0" w:type="dxa"/>
              <w:right w:w="108" w:type="dxa"/>
            </w:tcMar>
            <w:vAlign w:val="center"/>
          </w:tcPr>
          <w:p w14:paraId="112742C2">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监理大纲评分标准（4</w:t>
            </w:r>
            <w:r>
              <w:rPr>
                <w:rFonts w:ascii="宋体" w:hAnsi="宋体" w:eastAsia="宋体" w:cs="宋体"/>
                <w:color w:val="auto"/>
                <w:szCs w:val="21"/>
                <w:highlight w:val="none"/>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B</w:t>
            </w:r>
            <w:r>
              <w:rPr>
                <w:rFonts w:hint="eastAsia" w:ascii="宋体" w:hAnsi="宋体" w:eastAsia="宋体" w:cs="宋体"/>
                <w:color w:val="auto"/>
                <w:szCs w:val="21"/>
                <w:highlight w:val="none"/>
                <w:lang w:eastAsia="zh-CN"/>
              </w:rPr>
              <w:t>）</w:t>
            </w:r>
          </w:p>
        </w:tc>
        <w:tc>
          <w:tcPr>
            <w:tcW w:w="1074" w:type="pct"/>
            <w:shd w:val="clear" w:color="auto" w:fill="FFFFFF"/>
            <w:tcMar>
              <w:top w:w="0" w:type="dxa"/>
              <w:left w:w="108" w:type="dxa"/>
              <w:bottom w:w="0" w:type="dxa"/>
              <w:right w:w="108" w:type="dxa"/>
            </w:tcMar>
            <w:vAlign w:val="center"/>
          </w:tcPr>
          <w:p w14:paraId="2A38D7C8">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投资控制方案（5</w:t>
            </w:r>
            <w:r>
              <w:rPr>
                <w:rFonts w:ascii="宋体" w:hAnsi="宋体" w:eastAsia="宋体" w:cs="宋体"/>
                <w:color w:val="auto"/>
                <w:szCs w:val="21"/>
                <w:highlight w:val="none"/>
              </w:rPr>
              <w:t>分）</w:t>
            </w:r>
          </w:p>
        </w:tc>
        <w:tc>
          <w:tcPr>
            <w:tcW w:w="3051" w:type="pct"/>
            <w:shd w:val="clear" w:color="auto" w:fill="FFFFFF"/>
            <w:tcMar>
              <w:top w:w="0" w:type="dxa"/>
              <w:left w:w="108" w:type="dxa"/>
              <w:bottom w:w="0" w:type="dxa"/>
              <w:right w:w="108" w:type="dxa"/>
            </w:tcMar>
            <w:vAlign w:val="center"/>
          </w:tcPr>
          <w:p w14:paraId="353D0DCD">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针对本项目的特点和招标内容，提出投资控制目标、方法、措施等。</w:t>
            </w:r>
          </w:p>
          <w:p w14:paraId="783A37A9">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w:t>
            </w:r>
            <w:r>
              <w:rPr>
                <w:rFonts w:hint="eastAsia" w:ascii="宋体" w:hAnsi="宋体" w:eastAsia="宋体" w:cs="宋体"/>
                <w:color w:val="auto"/>
                <w:szCs w:val="21"/>
                <w:highlight w:val="none"/>
              </w:rPr>
              <w:t>制定了针对性的投资控制措施，投资控制原则、任务及制度合理、齐全，能提出资金运用的合理化建议；</w:t>
            </w:r>
            <w:r>
              <w:rPr>
                <w:rFonts w:hint="eastAsia" w:ascii="宋体" w:hAnsi="宋体" w:eastAsia="宋体" w:cs="宋体"/>
                <w:color w:val="auto"/>
                <w:szCs w:val="21"/>
                <w:highlight w:val="none"/>
                <w:lang w:val="en-US" w:eastAsia="zh-CN"/>
              </w:rPr>
              <w:t>得[5，3）</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5EE5CEB1">
            <w:pPr>
              <w:widowControl/>
              <w:wordWrap w:val="0"/>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良：</w:t>
            </w:r>
            <w:r>
              <w:rPr>
                <w:rFonts w:hint="eastAsia" w:ascii="宋体" w:hAnsi="宋体" w:eastAsia="宋体" w:cs="宋体"/>
                <w:color w:val="auto"/>
                <w:szCs w:val="21"/>
                <w:highlight w:val="none"/>
              </w:rPr>
              <w:t>制定了针对性的投资控制措施，投资控制原则、任务及制度基本合理，能提出资金运用的合理化建议；</w:t>
            </w:r>
            <w:r>
              <w:rPr>
                <w:rFonts w:hint="eastAsia" w:ascii="宋体" w:hAnsi="宋体" w:eastAsia="宋体" w:cs="宋体"/>
                <w:color w:val="auto"/>
                <w:szCs w:val="21"/>
                <w:highlight w:val="none"/>
                <w:lang w:val="en-US" w:eastAsia="zh-CN"/>
              </w:rPr>
              <w:t>得[3，2）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1E281524">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一般：</w:t>
            </w:r>
            <w:r>
              <w:rPr>
                <w:rFonts w:hint="eastAsia" w:ascii="宋体" w:hAnsi="宋体" w:eastAsia="宋体" w:cs="宋体"/>
                <w:color w:val="auto"/>
                <w:szCs w:val="21"/>
                <w:highlight w:val="none"/>
              </w:rPr>
              <w:t>制定了投资控制措施但缺乏针对性，有投资控制原则、任务及制度但不够完善，有提出资金运用建议但不够合理；</w:t>
            </w:r>
            <w:r>
              <w:rPr>
                <w:rFonts w:hint="eastAsia" w:ascii="宋体" w:hAnsi="宋体" w:eastAsia="宋体" w:cs="宋体"/>
                <w:color w:val="auto"/>
                <w:szCs w:val="21"/>
                <w:highlight w:val="none"/>
                <w:lang w:val="en-US" w:eastAsia="zh-CN"/>
              </w:rPr>
              <w:t>得[2，1]</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7A1EDE7E">
            <w:pPr>
              <w:widowControl/>
              <w:wordWrap w:val="0"/>
              <w:spacing w:line="276" w:lineRule="auto"/>
              <w:rPr>
                <w:rFonts w:hint="eastAsia" w:ascii="宋体" w:hAnsi="宋体" w:eastAsia="宋体" w:cs="宋体"/>
                <w:color w:val="auto"/>
                <w:kern w:val="0"/>
                <w:sz w:val="21"/>
                <w:szCs w:val="21"/>
                <w:highlight w:val="none"/>
                <w:lang w:val="zh-CN" w:bidi="zh-CN"/>
              </w:rPr>
            </w:pPr>
            <w:r>
              <w:rPr>
                <w:rFonts w:hint="eastAsia" w:ascii="宋体" w:hAnsi="宋体" w:eastAsia="宋体" w:cs="宋体"/>
                <w:b/>
                <w:color w:val="auto"/>
                <w:szCs w:val="21"/>
                <w:highlight w:val="none"/>
              </w:rPr>
              <w:t>差：</w:t>
            </w:r>
            <w:r>
              <w:rPr>
                <w:rFonts w:hint="eastAsia" w:ascii="宋体" w:hAnsi="宋体" w:eastAsia="宋体" w:cs="宋体"/>
                <w:color w:val="auto"/>
                <w:szCs w:val="21"/>
                <w:highlight w:val="none"/>
              </w:rPr>
              <w:t>达不到“优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一般”标准的情况；</w:t>
            </w:r>
            <w:r>
              <w:rPr>
                <w:rFonts w:hint="eastAsia" w:ascii="宋体" w:hAnsi="宋体" w:eastAsia="宋体" w:cs="宋体"/>
                <w:color w:val="auto"/>
                <w:szCs w:val="21"/>
                <w:highlight w:val="none"/>
                <w:lang w:val="en-US" w:eastAsia="zh-CN"/>
              </w:rPr>
              <w:t>得</w:t>
            </w:r>
            <w:r>
              <w:rPr>
                <w:rFonts w:ascii="宋体" w:hAnsi="宋体" w:eastAsia="宋体" w:cs="宋体"/>
                <w:color w:val="auto"/>
                <w:szCs w:val="21"/>
                <w:highlight w:val="none"/>
              </w:rPr>
              <w:t>0分。</w:t>
            </w:r>
          </w:p>
        </w:tc>
      </w:tr>
      <w:tr w14:paraId="1F4D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3E273BD9">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022FB83F">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108" w:type="dxa"/>
              <w:bottom w:w="0" w:type="dxa"/>
              <w:right w:w="108" w:type="dxa"/>
            </w:tcMar>
            <w:vAlign w:val="center"/>
          </w:tcPr>
          <w:p w14:paraId="7BBBF624">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进度控制方案（5</w:t>
            </w:r>
            <w:r>
              <w:rPr>
                <w:rFonts w:ascii="宋体" w:hAnsi="宋体" w:eastAsia="宋体" w:cs="宋体"/>
                <w:color w:val="auto"/>
                <w:szCs w:val="21"/>
                <w:highlight w:val="none"/>
              </w:rPr>
              <w:t>分）</w:t>
            </w:r>
          </w:p>
        </w:tc>
        <w:tc>
          <w:tcPr>
            <w:tcW w:w="3051" w:type="pct"/>
            <w:shd w:val="clear" w:color="auto" w:fill="FFFFFF"/>
            <w:tcMar>
              <w:top w:w="0" w:type="dxa"/>
              <w:left w:w="108" w:type="dxa"/>
              <w:bottom w:w="0" w:type="dxa"/>
              <w:right w:w="108" w:type="dxa"/>
            </w:tcMar>
            <w:vAlign w:val="center"/>
          </w:tcPr>
          <w:p w14:paraId="307A804D">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针对本项目的特点和招标内容，提出进度控制目标、方法、措施。</w:t>
            </w:r>
          </w:p>
          <w:p w14:paraId="39BEFB8C">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w:t>
            </w:r>
            <w:r>
              <w:rPr>
                <w:rFonts w:hint="eastAsia" w:ascii="宋体" w:hAnsi="宋体" w:eastAsia="宋体" w:cs="宋体"/>
                <w:color w:val="auto"/>
                <w:szCs w:val="21"/>
                <w:highlight w:val="none"/>
              </w:rPr>
              <w:t>制定了总进度目标及合理的分解目标，能体现预控和全面控制水平，进度控制手段明确、有效；</w:t>
            </w:r>
            <w:r>
              <w:rPr>
                <w:rFonts w:hint="eastAsia" w:ascii="宋体" w:hAnsi="宋体" w:eastAsia="宋体" w:cs="宋体"/>
                <w:color w:val="auto"/>
                <w:szCs w:val="21"/>
                <w:highlight w:val="none"/>
                <w:lang w:val="en-US" w:eastAsia="zh-CN"/>
              </w:rPr>
              <w:t>得[5，3）</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6A0E839A">
            <w:pPr>
              <w:widowControl/>
              <w:wordWrap w:val="0"/>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良：</w:t>
            </w:r>
            <w:r>
              <w:rPr>
                <w:rFonts w:hint="eastAsia" w:ascii="宋体" w:hAnsi="宋体" w:eastAsia="宋体" w:cs="宋体"/>
                <w:color w:val="auto"/>
                <w:szCs w:val="21"/>
                <w:highlight w:val="none"/>
              </w:rPr>
              <w:t>制定了总进度目标及合理的分解目标，能体现预控和全面控制水平，进度控制手段基本可行；</w:t>
            </w:r>
            <w:r>
              <w:rPr>
                <w:rFonts w:hint="eastAsia" w:ascii="宋体" w:hAnsi="宋体" w:eastAsia="宋体" w:cs="宋体"/>
                <w:color w:val="auto"/>
                <w:szCs w:val="21"/>
                <w:highlight w:val="none"/>
                <w:lang w:val="en-US" w:eastAsia="zh-CN"/>
              </w:rPr>
              <w:t>得[3，2）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109BA31A">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一般：</w:t>
            </w:r>
            <w:r>
              <w:rPr>
                <w:rFonts w:hint="eastAsia" w:ascii="宋体" w:hAnsi="宋体" w:eastAsia="宋体" w:cs="宋体"/>
                <w:color w:val="auto"/>
                <w:szCs w:val="21"/>
                <w:highlight w:val="none"/>
              </w:rPr>
              <w:t>制定了总进度目标及分解目标但不够合理，有体现预控和全面控制水平但不够完善，有进度控制手段但不够完善；</w:t>
            </w:r>
            <w:r>
              <w:rPr>
                <w:rFonts w:hint="eastAsia" w:ascii="宋体" w:hAnsi="宋体" w:eastAsia="宋体" w:cs="宋体"/>
                <w:color w:val="auto"/>
                <w:szCs w:val="21"/>
                <w:highlight w:val="none"/>
                <w:lang w:val="en-US" w:eastAsia="zh-CN"/>
              </w:rPr>
              <w:t>得[2，1]</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3A2EACDB">
            <w:pPr>
              <w:widowControl/>
              <w:wordWrap w:val="0"/>
              <w:spacing w:line="276" w:lineRule="auto"/>
              <w:rPr>
                <w:rFonts w:hint="eastAsia" w:ascii="宋体" w:hAnsi="宋体" w:eastAsia="宋体" w:cs="宋体"/>
                <w:color w:val="auto"/>
                <w:kern w:val="0"/>
                <w:sz w:val="21"/>
                <w:szCs w:val="21"/>
                <w:highlight w:val="none"/>
                <w:lang w:val="zh-CN" w:bidi="zh-CN"/>
              </w:rPr>
            </w:pPr>
            <w:r>
              <w:rPr>
                <w:rFonts w:hint="eastAsia" w:ascii="宋体" w:hAnsi="宋体" w:eastAsia="宋体" w:cs="宋体"/>
                <w:b/>
                <w:color w:val="auto"/>
                <w:szCs w:val="21"/>
                <w:highlight w:val="none"/>
              </w:rPr>
              <w:t>差：</w:t>
            </w:r>
            <w:r>
              <w:rPr>
                <w:rFonts w:hint="eastAsia" w:ascii="宋体" w:hAnsi="宋体" w:eastAsia="宋体" w:cs="宋体"/>
                <w:color w:val="auto"/>
                <w:szCs w:val="21"/>
                <w:highlight w:val="none"/>
              </w:rPr>
              <w:t>达不到“优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一般”标准的情况；</w:t>
            </w:r>
            <w:r>
              <w:rPr>
                <w:rFonts w:hint="eastAsia" w:ascii="宋体" w:hAnsi="宋体" w:eastAsia="宋体" w:cs="宋体"/>
                <w:color w:val="auto"/>
                <w:szCs w:val="21"/>
                <w:highlight w:val="none"/>
                <w:lang w:val="en-US" w:eastAsia="zh-CN"/>
              </w:rPr>
              <w:t>得</w:t>
            </w:r>
            <w:r>
              <w:rPr>
                <w:rFonts w:ascii="宋体" w:hAnsi="宋体" w:eastAsia="宋体" w:cs="宋体"/>
                <w:color w:val="auto"/>
                <w:szCs w:val="21"/>
                <w:highlight w:val="none"/>
              </w:rPr>
              <w:t>0分。</w:t>
            </w:r>
          </w:p>
        </w:tc>
      </w:tr>
      <w:tr w14:paraId="19EA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6C5D48F5">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51C4CA4D">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57" w:type="dxa"/>
              <w:bottom w:w="0" w:type="dxa"/>
              <w:right w:w="57" w:type="dxa"/>
            </w:tcMar>
            <w:vAlign w:val="center"/>
          </w:tcPr>
          <w:p w14:paraId="0591CA03">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质量控制方案（5</w:t>
            </w:r>
            <w:r>
              <w:rPr>
                <w:rFonts w:ascii="宋体" w:hAnsi="宋体" w:eastAsia="宋体" w:cs="宋体"/>
                <w:color w:val="auto"/>
                <w:szCs w:val="21"/>
                <w:highlight w:val="none"/>
              </w:rPr>
              <w:t>分）</w:t>
            </w:r>
          </w:p>
        </w:tc>
        <w:tc>
          <w:tcPr>
            <w:tcW w:w="3051" w:type="pct"/>
            <w:shd w:val="clear" w:color="auto" w:fill="FFFFFF"/>
            <w:tcMar>
              <w:top w:w="0" w:type="dxa"/>
              <w:left w:w="57" w:type="dxa"/>
              <w:bottom w:w="0" w:type="dxa"/>
              <w:right w:w="57" w:type="dxa"/>
            </w:tcMar>
            <w:vAlign w:val="center"/>
          </w:tcPr>
          <w:p w14:paraId="58358961">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针对本项目的特点和招标内容，提出质量控制目标、方法、措施。</w:t>
            </w:r>
          </w:p>
          <w:p w14:paraId="26CB26EE">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w:t>
            </w:r>
            <w:r>
              <w:rPr>
                <w:rFonts w:hint="eastAsia" w:ascii="宋体" w:hAnsi="宋体" w:eastAsia="宋体" w:cs="宋体"/>
                <w:color w:val="auto"/>
                <w:szCs w:val="21"/>
                <w:highlight w:val="none"/>
              </w:rPr>
              <w:t>制定的质量控制方法、程序和措施有效、可行，关键部位监理旁站制度到位，监理单位内部有完善的质量奖惩制度；</w:t>
            </w:r>
            <w:r>
              <w:rPr>
                <w:rFonts w:hint="eastAsia" w:ascii="宋体" w:hAnsi="宋体" w:eastAsia="宋体" w:cs="宋体"/>
                <w:color w:val="auto"/>
                <w:szCs w:val="21"/>
                <w:highlight w:val="none"/>
                <w:lang w:val="en-US" w:eastAsia="zh-CN"/>
              </w:rPr>
              <w:t>得[5，3）</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762BD09D">
            <w:pPr>
              <w:widowControl/>
              <w:wordWrap w:val="0"/>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良：</w:t>
            </w:r>
            <w:r>
              <w:rPr>
                <w:rFonts w:hint="eastAsia" w:ascii="宋体" w:hAnsi="宋体" w:eastAsia="宋体" w:cs="宋体"/>
                <w:color w:val="auto"/>
                <w:szCs w:val="21"/>
                <w:highlight w:val="none"/>
              </w:rPr>
              <w:t>制定的质量控制方法、程序和措施基本可行，关键部位监理旁站制度基本符合要求，监理单位内部有完善的质量奖惩制度基本符合要求；</w:t>
            </w:r>
            <w:r>
              <w:rPr>
                <w:rFonts w:hint="eastAsia" w:ascii="宋体" w:hAnsi="宋体" w:eastAsia="宋体" w:cs="宋体"/>
                <w:color w:val="auto"/>
                <w:szCs w:val="21"/>
                <w:highlight w:val="none"/>
                <w:lang w:val="en-US" w:eastAsia="zh-CN"/>
              </w:rPr>
              <w:t>得[3，2）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40C49921">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一般：</w:t>
            </w:r>
            <w:r>
              <w:rPr>
                <w:rFonts w:hint="eastAsia" w:ascii="宋体" w:hAnsi="宋体" w:eastAsia="宋体" w:cs="宋体"/>
                <w:color w:val="auto"/>
                <w:szCs w:val="21"/>
                <w:highlight w:val="none"/>
              </w:rPr>
              <w:t>制定的质量控制方法、程序和措施内容有欠缺，关键部位有监理旁站制度但不够合理，监理单位内部有质量奖惩制度但不够完善；</w:t>
            </w:r>
            <w:r>
              <w:rPr>
                <w:rFonts w:hint="eastAsia" w:ascii="宋体" w:hAnsi="宋体" w:eastAsia="宋体" w:cs="宋体"/>
                <w:color w:val="auto"/>
                <w:szCs w:val="21"/>
                <w:highlight w:val="none"/>
                <w:lang w:val="en-US" w:eastAsia="zh-CN"/>
              </w:rPr>
              <w:t>得[2，1]</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7551F111">
            <w:pPr>
              <w:widowControl/>
              <w:wordWrap w:val="0"/>
              <w:spacing w:line="276" w:lineRule="auto"/>
              <w:rPr>
                <w:rFonts w:hint="eastAsia" w:ascii="宋体" w:hAnsi="宋体" w:eastAsia="宋体" w:cs="宋体"/>
                <w:color w:val="auto"/>
                <w:kern w:val="0"/>
                <w:sz w:val="21"/>
                <w:szCs w:val="21"/>
                <w:highlight w:val="none"/>
                <w:lang w:val="zh-CN" w:bidi="zh-CN"/>
              </w:rPr>
            </w:pPr>
            <w:r>
              <w:rPr>
                <w:rFonts w:hint="eastAsia" w:ascii="宋体" w:hAnsi="宋体" w:eastAsia="宋体" w:cs="宋体"/>
                <w:b/>
                <w:color w:val="auto"/>
                <w:szCs w:val="21"/>
                <w:highlight w:val="none"/>
              </w:rPr>
              <w:t>差：</w:t>
            </w:r>
            <w:r>
              <w:rPr>
                <w:rFonts w:hint="eastAsia" w:ascii="宋体" w:hAnsi="宋体" w:eastAsia="宋体" w:cs="宋体"/>
                <w:color w:val="auto"/>
                <w:szCs w:val="21"/>
                <w:highlight w:val="none"/>
              </w:rPr>
              <w:t>达不到“优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一般”标准的情况；</w:t>
            </w:r>
            <w:r>
              <w:rPr>
                <w:rFonts w:hint="eastAsia" w:ascii="宋体" w:hAnsi="宋体" w:eastAsia="宋体" w:cs="宋体"/>
                <w:color w:val="auto"/>
                <w:szCs w:val="21"/>
                <w:highlight w:val="none"/>
                <w:lang w:val="en-US" w:eastAsia="zh-CN"/>
              </w:rPr>
              <w:t>得</w:t>
            </w:r>
            <w:r>
              <w:rPr>
                <w:rFonts w:ascii="宋体" w:hAnsi="宋体" w:eastAsia="宋体" w:cs="宋体"/>
                <w:color w:val="auto"/>
                <w:szCs w:val="21"/>
                <w:highlight w:val="none"/>
              </w:rPr>
              <w:t>0分。</w:t>
            </w:r>
          </w:p>
        </w:tc>
      </w:tr>
      <w:tr w14:paraId="6E5E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57B22404">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681C9A2C">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57" w:type="dxa"/>
              <w:bottom w:w="0" w:type="dxa"/>
              <w:right w:w="57" w:type="dxa"/>
            </w:tcMar>
            <w:vAlign w:val="center"/>
          </w:tcPr>
          <w:p w14:paraId="2C537954">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合同管理、信息管理（</w:t>
            </w:r>
            <w:r>
              <w:rPr>
                <w:rFonts w:ascii="宋体" w:hAnsi="宋体" w:eastAsia="宋体" w:cs="宋体"/>
                <w:color w:val="auto"/>
                <w:szCs w:val="21"/>
                <w:highlight w:val="none"/>
              </w:rPr>
              <w:t>5分）</w:t>
            </w:r>
          </w:p>
        </w:tc>
        <w:tc>
          <w:tcPr>
            <w:tcW w:w="3051" w:type="pct"/>
            <w:shd w:val="clear" w:color="auto" w:fill="FFFFFF"/>
            <w:tcMar>
              <w:top w:w="0" w:type="dxa"/>
              <w:left w:w="57" w:type="dxa"/>
              <w:bottom w:w="0" w:type="dxa"/>
              <w:right w:w="57" w:type="dxa"/>
            </w:tcMar>
            <w:vAlign w:val="center"/>
          </w:tcPr>
          <w:p w14:paraId="019B4029">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针对本项目的特点和招标内容，提出合同管理、信息管理方法、措施。</w:t>
            </w:r>
          </w:p>
          <w:p w14:paraId="1C202565">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w:t>
            </w:r>
            <w:r>
              <w:rPr>
                <w:rFonts w:hint="eastAsia" w:ascii="宋体" w:hAnsi="宋体" w:eastAsia="宋体" w:cs="宋体"/>
                <w:color w:val="auto"/>
                <w:szCs w:val="21"/>
                <w:highlight w:val="none"/>
              </w:rPr>
              <w:t>合同管理、信息管理的内容、制度齐全，根据工程特点制定的措施具体、可行；</w:t>
            </w:r>
            <w:r>
              <w:rPr>
                <w:rFonts w:hint="eastAsia" w:ascii="宋体" w:hAnsi="宋体" w:eastAsia="宋体" w:cs="宋体"/>
                <w:color w:val="auto"/>
                <w:szCs w:val="21"/>
                <w:highlight w:val="none"/>
                <w:lang w:val="en-US" w:eastAsia="zh-CN"/>
              </w:rPr>
              <w:t>得[5，3）</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78297F48">
            <w:pPr>
              <w:widowControl/>
              <w:wordWrap w:val="0"/>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良：</w:t>
            </w:r>
            <w:r>
              <w:rPr>
                <w:rFonts w:hint="eastAsia" w:ascii="宋体" w:hAnsi="宋体" w:eastAsia="宋体" w:cs="宋体"/>
                <w:color w:val="auto"/>
                <w:szCs w:val="21"/>
                <w:highlight w:val="none"/>
              </w:rPr>
              <w:t>合同管理、信息管理的内容、制度较齐全，根据工程特点制定的措施基本可行；</w:t>
            </w:r>
            <w:r>
              <w:rPr>
                <w:rFonts w:hint="eastAsia" w:ascii="宋体" w:hAnsi="宋体" w:eastAsia="宋体" w:cs="宋体"/>
                <w:color w:val="auto"/>
                <w:szCs w:val="21"/>
                <w:highlight w:val="none"/>
                <w:lang w:val="en-US" w:eastAsia="zh-CN"/>
              </w:rPr>
              <w:t>得[3，2）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0E40F279">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一般：</w:t>
            </w:r>
            <w:r>
              <w:rPr>
                <w:rFonts w:hint="eastAsia" w:ascii="宋体" w:hAnsi="宋体" w:eastAsia="宋体" w:cs="宋体"/>
                <w:color w:val="auto"/>
                <w:szCs w:val="21"/>
                <w:highlight w:val="none"/>
              </w:rPr>
              <w:t>合同、信息管理的内容，制度内容有欠缺，有根据工程特点制定措施但不够合理；</w:t>
            </w:r>
            <w:r>
              <w:rPr>
                <w:rFonts w:hint="eastAsia" w:ascii="宋体" w:hAnsi="宋体" w:eastAsia="宋体" w:cs="宋体"/>
                <w:color w:val="auto"/>
                <w:szCs w:val="21"/>
                <w:highlight w:val="none"/>
                <w:lang w:val="en-US" w:eastAsia="zh-CN"/>
              </w:rPr>
              <w:t>得[2，1]</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389C11A5">
            <w:pPr>
              <w:widowControl/>
              <w:wordWrap w:val="0"/>
              <w:spacing w:line="276" w:lineRule="auto"/>
              <w:rPr>
                <w:rFonts w:hint="eastAsia" w:ascii="宋体" w:hAnsi="宋体" w:eastAsia="宋体" w:cs="宋体"/>
                <w:color w:val="auto"/>
                <w:kern w:val="0"/>
                <w:sz w:val="21"/>
                <w:szCs w:val="21"/>
                <w:highlight w:val="none"/>
                <w:lang w:val="zh-CN" w:bidi="zh-CN"/>
              </w:rPr>
            </w:pPr>
            <w:r>
              <w:rPr>
                <w:rFonts w:hint="eastAsia" w:ascii="宋体" w:hAnsi="宋体" w:eastAsia="宋体" w:cs="宋体"/>
                <w:b/>
                <w:color w:val="auto"/>
                <w:szCs w:val="21"/>
                <w:highlight w:val="none"/>
              </w:rPr>
              <w:t>差：</w:t>
            </w:r>
            <w:r>
              <w:rPr>
                <w:rFonts w:hint="eastAsia" w:ascii="宋体" w:hAnsi="宋体" w:eastAsia="宋体" w:cs="宋体"/>
                <w:color w:val="auto"/>
                <w:szCs w:val="21"/>
                <w:highlight w:val="none"/>
              </w:rPr>
              <w:t>达不到“优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一般”标准的情况；</w:t>
            </w:r>
            <w:r>
              <w:rPr>
                <w:rFonts w:hint="eastAsia" w:ascii="宋体" w:hAnsi="宋体" w:eastAsia="宋体" w:cs="宋体"/>
                <w:color w:val="auto"/>
                <w:szCs w:val="21"/>
                <w:highlight w:val="none"/>
                <w:lang w:val="en-US" w:eastAsia="zh-CN"/>
              </w:rPr>
              <w:t>得</w:t>
            </w:r>
            <w:r>
              <w:rPr>
                <w:rFonts w:ascii="宋体" w:hAnsi="宋体" w:eastAsia="宋体" w:cs="宋体"/>
                <w:color w:val="auto"/>
                <w:szCs w:val="21"/>
                <w:highlight w:val="none"/>
              </w:rPr>
              <w:t>0分。</w:t>
            </w:r>
          </w:p>
        </w:tc>
      </w:tr>
      <w:tr w14:paraId="16FA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3741F0EB">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77C425EF">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57" w:type="dxa"/>
              <w:bottom w:w="0" w:type="dxa"/>
              <w:right w:w="57" w:type="dxa"/>
            </w:tcMar>
            <w:vAlign w:val="center"/>
          </w:tcPr>
          <w:p w14:paraId="3AF0355D">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组织协调（</w:t>
            </w:r>
            <w:r>
              <w:rPr>
                <w:rFonts w:ascii="宋体" w:hAnsi="宋体" w:eastAsia="宋体" w:cs="宋体"/>
                <w:color w:val="auto"/>
                <w:szCs w:val="21"/>
                <w:highlight w:val="none"/>
              </w:rPr>
              <w:t>4分）</w:t>
            </w:r>
          </w:p>
        </w:tc>
        <w:tc>
          <w:tcPr>
            <w:tcW w:w="3051" w:type="pct"/>
            <w:shd w:val="clear" w:color="auto" w:fill="FFFFFF"/>
            <w:tcMar>
              <w:top w:w="0" w:type="dxa"/>
              <w:left w:w="57" w:type="dxa"/>
              <w:bottom w:w="0" w:type="dxa"/>
              <w:right w:w="57" w:type="dxa"/>
            </w:tcMar>
            <w:vAlign w:val="center"/>
          </w:tcPr>
          <w:p w14:paraId="61BA7CA7">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针对本项目的特点和招标内容，提出组织协调方法、措施。</w:t>
            </w:r>
          </w:p>
          <w:p w14:paraId="53975429">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w:t>
            </w:r>
            <w:r>
              <w:rPr>
                <w:rFonts w:hint="eastAsia" w:ascii="宋体" w:hAnsi="宋体" w:eastAsia="宋体" w:cs="宋体"/>
                <w:color w:val="auto"/>
                <w:szCs w:val="21"/>
                <w:highlight w:val="none"/>
              </w:rPr>
              <w:t>有完善的现场协调制度，协调方法和措施有效、可行；</w:t>
            </w:r>
            <w:r>
              <w:rPr>
                <w:rFonts w:hint="eastAsia" w:ascii="宋体" w:hAnsi="宋体" w:eastAsia="宋体" w:cs="宋体"/>
                <w:color w:val="auto"/>
                <w:szCs w:val="21"/>
                <w:highlight w:val="none"/>
                <w:lang w:val="en-US" w:eastAsia="zh-CN"/>
              </w:rPr>
              <w:t>得[4，3）</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3FF5E67D">
            <w:pPr>
              <w:widowControl/>
              <w:wordWrap w:val="0"/>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良：</w:t>
            </w:r>
            <w:r>
              <w:rPr>
                <w:rFonts w:hint="eastAsia" w:ascii="宋体" w:hAnsi="宋体" w:eastAsia="宋体" w:cs="宋体"/>
                <w:color w:val="auto"/>
                <w:szCs w:val="21"/>
                <w:highlight w:val="none"/>
              </w:rPr>
              <w:t>有完善的现场协调制度，协调方法和措施基本可行；</w:t>
            </w:r>
            <w:r>
              <w:rPr>
                <w:rFonts w:hint="eastAsia" w:ascii="宋体" w:hAnsi="宋体" w:eastAsia="宋体" w:cs="宋体"/>
                <w:color w:val="auto"/>
                <w:szCs w:val="21"/>
                <w:highlight w:val="none"/>
                <w:lang w:val="en-US" w:eastAsia="zh-CN"/>
              </w:rPr>
              <w:t>得[3，2）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192AD478">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一般：</w:t>
            </w:r>
            <w:r>
              <w:rPr>
                <w:rFonts w:hint="eastAsia" w:ascii="宋体" w:hAnsi="宋体" w:eastAsia="宋体" w:cs="宋体"/>
                <w:color w:val="auto"/>
                <w:szCs w:val="21"/>
                <w:highlight w:val="none"/>
              </w:rPr>
              <w:t>有现场协调制度及协调方法和措施但不够完善；</w:t>
            </w:r>
            <w:r>
              <w:rPr>
                <w:rFonts w:hint="eastAsia" w:ascii="宋体" w:hAnsi="宋体" w:eastAsia="宋体" w:cs="宋体"/>
                <w:color w:val="auto"/>
                <w:szCs w:val="21"/>
                <w:highlight w:val="none"/>
                <w:lang w:val="en-US" w:eastAsia="zh-CN"/>
              </w:rPr>
              <w:t>得[2，1]</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3BA63F83">
            <w:pPr>
              <w:widowControl/>
              <w:wordWrap w:val="0"/>
              <w:spacing w:line="276" w:lineRule="auto"/>
              <w:rPr>
                <w:rFonts w:hint="eastAsia" w:ascii="宋体" w:hAnsi="宋体" w:eastAsia="宋体" w:cs="宋体"/>
                <w:color w:val="auto"/>
                <w:kern w:val="0"/>
                <w:sz w:val="21"/>
                <w:szCs w:val="21"/>
                <w:highlight w:val="none"/>
                <w:lang w:val="zh-CN" w:bidi="zh-CN"/>
              </w:rPr>
            </w:pPr>
            <w:r>
              <w:rPr>
                <w:rFonts w:hint="eastAsia" w:ascii="宋体" w:hAnsi="宋体" w:eastAsia="宋体" w:cs="宋体"/>
                <w:b/>
                <w:color w:val="auto"/>
                <w:szCs w:val="21"/>
                <w:highlight w:val="none"/>
              </w:rPr>
              <w:t>差：</w:t>
            </w:r>
            <w:r>
              <w:rPr>
                <w:rFonts w:hint="eastAsia" w:ascii="宋体" w:hAnsi="宋体" w:eastAsia="宋体" w:cs="宋体"/>
                <w:color w:val="auto"/>
                <w:szCs w:val="21"/>
                <w:highlight w:val="none"/>
              </w:rPr>
              <w:t>达不到“优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一般”标准的情况；</w:t>
            </w:r>
            <w:r>
              <w:rPr>
                <w:rFonts w:hint="eastAsia" w:ascii="宋体" w:hAnsi="宋体" w:eastAsia="宋体" w:cs="宋体"/>
                <w:color w:val="auto"/>
                <w:szCs w:val="21"/>
                <w:highlight w:val="none"/>
                <w:lang w:val="en-US" w:eastAsia="zh-CN"/>
              </w:rPr>
              <w:t>得</w:t>
            </w:r>
            <w:r>
              <w:rPr>
                <w:rFonts w:ascii="宋体" w:hAnsi="宋体" w:eastAsia="宋体" w:cs="宋体"/>
                <w:color w:val="auto"/>
                <w:szCs w:val="21"/>
                <w:highlight w:val="none"/>
              </w:rPr>
              <w:t>0分。</w:t>
            </w:r>
          </w:p>
        </w:tc>
      </w:tr>
      <w:tr w14:paraId="2028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735B42BA">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0F1BD98D">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57" w:type="dxa"/>
              <w:bottom w:w="0" w:type="dxa"/>
              <w:right w:w="57" w:type="dxa"/>
            </w:tcMar>
            <w:vAlign w:val="center"/>
          </w:tcPr>
          <w:p w14:paraId="3A75B2FD">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安全、文明施工、环保、绿色节能管理（</w:t>
            </w:r>
            <w:r>
              <w:rPr>
                <w:rFonts w:ascii="宋体" w:hAnsi="宋体" w:eastAsia="宋体" w:cs="宋体"/>
                <w:color w:val="auto"/>
                <w:szCs w:val="21"/>
                <w:highlight w:val="none"/>
              </w:rPr>
              <w:t>4分）</w:t>
            </w:r>
          </w:p>
        </w:tc>
        <w:tc>
          <w:tcPr>
            <w:tcW w:w="3051" w:type="pct"/>
            <w:shd w:val="clear" w:color="auto" w:fill="FFFFFF"/>
            <w:tcMar>
              <w:top w:w="0" w:type="dxa"/>
              <w:left w:w="57" w:type="dxa"/>
              <w:bottom w:w="0" w:type="dxa"/>
              <w:right w:w="57" w:type="dxa"/>
            </w:tcMar>
            <w:vAlign w:val="center"/>
          </w:tcPr>
          <w:p w14:paraId="2F4F2120">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针对本项目的特点和招标内容，提出安全、文明施工、环保、绿色节能管理措施。</w:t>
            </w:r>
          </w:p>
          <w:p w14:paraId="2384D8E3">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w:t>
            </w:r>
            <w:r>
              <w:rPr>
                <w:rFonts w:hint="eastAsia" w:ascii="宋体" w:hAnsi="宋体" w:eastAsia="宋体" w:cs="宋体"/>
                <w:color w:val="auto"/>
                <w:szCs w:val="21"/>
                <w:highlight w:val="none"/>
              </w:rPr>
              <w:t>制定的安全文明施工、环保及绿色节能控制方法、程序和措施科学可行、合理有效，关键部位监理旁站制度到位，监理单位内部有完善的安全奖惩制度；</w:t>
            </w:r>
            <w:r>
              <w:rPr>
                <w:rFonts w:hint="eastAsia" w:ascii="宋体" w:hAnsi="宋体" w:eastAsia="宋体" w:cs="宋体"/>
                <w:color w:val="auto"/>
                <w:szCs w:val="21"/>
                <w:highlight w:val="none"/>
                <w:lang w:val="en-US" w:eastAsia="zh-CN"/>
              </w:rPr>
              <w:t>得[4，3）</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70B3220B">
            <w:pPr>
              <w:widowControl/>
              <w:wordWrap w:val="0"/>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良：</w:t>
            </w:r>
            <w:r>
              <w:rPr>
                <w:rFonts w:hint="eastAsia" w:ascii="宋体" w:hAnsi="宋体" w:eastAsia="宋体" w:cs="宋体"/>
                <w:color w:val="auto"/>
                <w:szCs w:val="21"/>
                <w:highlight w:val="none"/>
              </w:rPr>
              <w:t>制定的安全文明施工、环保及绿色节能控制方法、程序和措施基本可行、合理，关键部位监理旁站制度到位，监理单位内部有完善的安全奖惩制度；</w:t>
            </w:r>
            <w:r>
              <w:rPr>
                <w:rFonts w:hint="eastAsia" w:ascii="宋体" w:hAnsi="宋体" w:eastAsia="宋体" w:cs="宋体"/>
                <w:color w:val="auto"/>
                <w:szCs w:val="21"/>
                <w:highlight w:val="none"/>
                <w:lang w:val="en-US" w:eastAsia="zh-CN"/>
              </w:rPr>
              <w:t>得[3，2）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32C3CBE8">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一般：</w:t>
            </w:r>
            <w:r>
              <w:rPr>
                <w:rFonts w:hint="eastAsia" w:ascii="宋体" w:hAnsi="宋体" w:eastAsia="宋体" w:cs="宋体"/>
                <w:color w:val="auto"/>
                <w:szCs w:val="21"/>
                <w:highlight w:val="none"/>
              </w:rPr>
              <w:t>制定了安全文明施工、环保及绿色节能控制方法、程序和措施，但科学性、可行性有所欠缺，关键部位有监理旁站制度但不够合理，监理单位内部有安全奖惩制度但不够完善；</w:t>
            </w:r>
            <w:r>
              <w:rPr>
                <w:rFonts w:hint="eastAsia" w:ascii="宋体" w:hAnsi="宋体" w:eastAsia="宋体" w:cs="宋体"/>
                <w:color w:val="auto"/>
                <w:szCs w:val="21"/>
                <w:highlight w:val="none"/>
                <w:lang w:val="en-US" w:eastAsia="zh-CN"/>
              </w:rPr>
              <w:t>得[2，1]</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5F2A1499">
            <w:pPr>
              <w:widowControl/>
              <w:wordWrap w:val="0"/>
              <w:spacing w:line="276" w:lineRule="auto"/>
              <w:rPr>
                <w:rFonts w:hint="eastAsia" w:ascii="宋体" w:hAnsi="宋体" w:eastAsia="宋体" w:cs="宋体"/>
                <w:color w:val="auto"/>
                <w:kern w:val="0"/>
                <w:sz w:val="21"/>
                <w:szCs w:val="21"/>
                <w:highlight w:val="none"/>
                <w:lang w:val="zh-CN" w:bidi="zh-CN"/>
              </w:rPr>
            </w:pPr>
            <w:r>
              <w:rPr>
                <w:rFonts w:hint="eastAsia" w:ascii="宋体" w:hAnsi="宋体" w:eastAsia="宋体" w:cs="宋体"/>
                <w:b/>
                <w:color w:val="auto"/>
                <w:szCs w:val="21"/>
                <w:highlight w:val="none"/>
              </w:rPr>
              <w:t>差：</w:t>
            </w:r>
            <w:r>
              <w:rPr>
                <w:rFonts w:hint="eastAsia" w:ascii="宋体" w:hAnsi="宋体" w:eastAsia="宋体" w:cs="宋体"/>
                <w:color w:val="auto"/>
                <w:szCs w:val="21"/>
                <w:highlight w:val="none"/>
              </w:rPr>
              <w:t>达不到“优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一般”标准的情况；</w:t>
            </w:r>
            <w:r>
              <w:rPr>
                <w:rFonts w:hint="eastAsia" w:ascii="宋体" w:hAnsi="宋体" w:eastAsia="宋体" w:cs="宋体"/>
                <w:color w:val="auto"/>
                <w:szCs w:val="21"/>
                <w:highlight w:val="none"/>
                <w:lang w:val="en-US" w:eastAsia="zh-CN"/>
              </w:rPr>
              <w:t>得</w:t>
            </w:r>
            <w:r>
              <w:rPr>
                <w:rFonts w:ascii="宋体" w:hAnsi="宋体" w:eastAsia="宋体" w:cs="宋体"/>
                <w:color w:val="auto"/>
                <w:szCs w:val="21"/>
                <w:highlight w:val="none"/>
              </w:rPr>
              <w:t>0分。</w:t>
            </w:r>
          </w:p>
        </w:tc>
      </w:tr>
      <w:tr w14:paraId="550D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4B4A5EB7">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3F733097">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57" w:type="dxa"/>
              <w:bottom w:w="0" w:type="dxa"/>
              <w:right w:w="57" w:type="dxa"/>
            </w:tcMar>
            <w:vAlign w:val="center"/>
          </w:tcPr>
          <w:p w14:paraId="411BEC1E">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重点难点监控措施（</w:t>
            </w:r>
            <w:r>
              <w:rPr>
                <w:rFonts w:ascii="宋体" w:hAnsi="宋体" w:eastAsia="宋体" w:cs="宋体"/>
                <w:color w:val="auto"/>
                <w:szCs w:val="21"/>
                <w:highlight w:val="none"/>
              </w:rPr>
              <w:t>4分）</w:t>
            </w:r>
          </w:p>
        </w:tc>
        <w:tc>
          <w:tcPr>
            <w:tcW w:w="3051" w:type="pct"/>
            <w:shd w:val="clear" w:color="auto" w:fill="FFFFFF"/>
            <w:tcMar>
              <w:top w:w="0" w:type="dxa"/>
              <w:left w:w="57" w:type="dxa"/>
              <w:bottom w:w="0" w:type="dxa"/>
              <w:right w:w="57" w:type="dxa"/>
            </w:tcMar>
            <w:vAlign w:val="center"/>
          </w:tcPr>
          <w:p w14:paraId="281055C3">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针对本项目的特点和招标内容、要求，提出重点难点</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标段一重点难点：做好交通疏解工作及交通安全措施；标段二重点难点：做好交通疏解工作及交通安全措施，标段内有大型桥梁工程</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监控措施。</w:t>
            </w:r>
          </w:p>
          <w:p w14:paraId="1C247FB0">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w:t>
            </w:r>
            <w:r>
              <w:rPr>
                <w:rFonts w:hint="eastAsia" w:ascii="宋体" w:hAnsi="宋体" w:eastAsia="宋体" w:cs="宋体"/>
                <w:color w:val="auto"/>
                <w:szCs w:val="21"/>
                <w:highlight w:val="none"/>
              </w:rPr>
              <w:t>能针对全部的重难点提出监理管理对策，有完善的现场协调制度，认识全面、针对性强、措施具体可行；</w:t>
            </w:r>
            <w:r>
              <w:rPr>
                <w:rFonts w:hint="eastAsia" w:ascii="宋体" w:hAnsi="宋体" w:eastAsia="宋体" w:cs="宋体"/>
                <w:color w:val="auto"/>
                <w:szCs w:val="21"/>
                <w:highlight w:val="none"/>
                <w:lang w:val="en-US" w:eastAsia="zh-CN"/>
              </w:rPr>
              <w:t>得[4，3）</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4B4B7042">
            <w:pPr>
              <w:widowControl/>
              <w:wordWrap w:val="0"/>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良：</w:t>
            </w:r>
            <w:r>
              <w:rPr>
                <w:rFonts w:hint="eastAsia" w:ascii="宋体" w:hAnsi="宋体" w:eastAsia="宋体" w:cs="宋体"/>
                <w:color w:val="auto"/>
                <w:szCs w:val="21"/>
                <w:highlight w:val="none"/>
              </w:rPr>
              <w:t>能针对全部的重难点提出监理管理对策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措施基本可行；</w:t>
            </w:r>
            <w:r>
              <w:rPr>
                <w:rFonts w:hint="eastAsia" w:ascii="宋体" w:hAnsi="宋体" w:eastAsia="宋体" w:cs="宋体"/>
                <w:color w:val="auto"/>
                <w:szCs w:val="21"/>
                <w:highlight w:val="none"/>
                <w:lang w:val="en-US" w:eastAsia="zh-CN"/>
              </w:rPr>
              <w:t>得[3，2）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3D18B80A">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一般：</w:t>
            </w:r>
            <w:r>
              <w:rPr>
                <w:rFonts w:hint="eastAsia" w:ascii="宋体" w:hAnsi="宋体" w:eastAsia="宋体" w:cs="宋体"/>
                <w:color w:val="auto"/>
                <w:szCs w:val="21"/>
                <w:highlight w:val="none"/>
              </w:rPr>
              <w:t>提出监理管理对策有欠缺，措施不具体，可行性一般；</w:t>
            </w:r>
            <w:r>
              <w:rPr>
                <w:rFonts w:hint="eastAsia" w:ascii="宋体" w:hAnsi="宋体" w:eastAsia="宋体" w:cs="宋体"/>
                <w:color w:val="auto"/>
                <w:szCs w:val="21"/>
                <w:highlight w:val="none"/>
                <w:lang w:val="en-US" w:eastAsia="zh-CN"/>
              </w:rPr>
              <w:t>得[2，1]</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08357636">
            <w:pPr>
              <w:widowControl/>
              <w:wordWrap w:val="0"/>
              <w:spacing w:line="276" w:lineRule="auto"/>
              <w:rPr>
                <w:rFonts w:hint="eastAsia" w:ascii="宋体" w:hAnsi="宋体" w:eastAsia="宋体" w:cs="宋体"/>
                <w:color w:val="auto"/>
                <w:kern w:val="0"/>
                <w:sz w:val="21"/>
                <w:szCs w:val="21"/>
                <w:highlight w:val="none"/>
                <w:lang w:val="zh-CN" w:bidi="zh-CN"/>
              </w:rPr>
            </w:pPr>
            <w:r>
              <w:rPr>
                <w:rFonts w:hint="eastAsia" w:ascii="宋体" w:hAnsi="宋体" w:eastAsia="宋体" w:cs="宋体"/>
                <w:b/>
                <w:color w:val="auto"/>
                <w:szCs w:val="21"/>
                <w:highlight w:val="none"/>
              </w:rPr>
              <w:t>差：</w:t>
            </w:r>
            <w:r>
              <w:rPr>
                <w:rFonts w:hint="eastAsia" w:ascii="宋体" w:hAnsi="宋体" w:eastAsia="宋体" w:cs="宋体"/>
                <w:color w:val="auto"/>
                <w:szCs w:val="21"/>
                <w:highlight w:val="none"/>
              </w:rPr>
              <w:t>达不到“优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一般”标准的情况；</w:t>
            </w:r>
            <w:r>
              <w:rPr>
                <w:rFonts w:hint="eastAsia" w:ascii="宋体" w:hAnsi="宋体" w:eastAsia="宋体" w:cs="宋体"/>
                <w:color w:val="auto"/>
                <w:szCs w:val="21"/>
                <w:highlight w:val="none"/>
                <w:lang w:val="en-US" w:eastAsia="zh-CN"/>
              </w:rPr>
              <w:t>得</w:t>
            </w:r>
            <w:r>
              <w:rPr>
                <w:rFonts w:ascii="宋体" w:hAnsi="宋体" w:eastAsia="宋体" w:cs="宋体"/>
                <w:color w:val="auto"/>
                <w:szCs w:val="21"/>
                <w:highlight w:val="none"/>
              </w:rPr>
              <w:t>0分。</w:t>
            </w:r>
          </w:p>
        </w:tc>
      </w:tr>
      <w:tr w14:paraId="2E70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7C1161A0">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41DB2D96">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57" w:type="dxa"/>
              <w:bottom w:w="0" w:type="dxa"/>
              <w:right w:w="57" w:type="dxa"/>
            </w:tcMar>
            <w:vAlign w:val="center"/>
          </w:tcPr>
          <w:p w14:paraId="1070B414">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监理工作程序（</w:t>
            </w:r>
            <w:r>
              <w:rPr>
                <w:rFonts w:ascii="宋体" w:hAnsi="宋体" w:eastAsia="宋体" w:cs="宋体"/>
                <w:color w:val="auto"/>
                <w:szCs w:val="21"/>
                <w:highlight w:val="none"/>
              </w:rPr>
              <w:t>2分）</w:t>
            </w:r>
          </w:p>
        </w:tc>
        <w:tc>
          <w:tcPr>
            <w:tcW w:w="3051" w:type="pct"/>
            <w:shd w:val="clear" w:color="auto" w:fill="FFFFFF"/>
            <w:tcMar>
              <w:top w:w="0" w:type="dxa"/>
              <w:left w:w="57" w:type="dxa"/>
              <w:bottom w:w="0" w:type="dxa"/>
              <w:right w:w="57" w:type="dxa"/>
            </w:tcMar>
            <w:vAlign w:val="center"/>
          </w:tcPr>
          <w:p w14:paraId="4EB91BE9">
            <w:pPr>
              <w:widowControl/>
              <w:wordWrap w:val="0"/>
              <w:spacing w:line="276" w:lineRule="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zCs w:val="21"/>
                <w:highlight w:val="none"/>
              </w:rPr>
              <w:t>针对本项目的特点和招标内容，有清晰的工作流程图、工作准则。完全满足要求得</w:t>
            </w:r>
            <w:r>
              <w:rPr>
                <w:rFonts w:ascii="宋体" w:hAnsi="宋体" w:eastAsia="宋体" w:cs="宋体"/>
                <w:color w:val="auto"/>
                <w:szCs w:val="21"/>
                <w:highlight w:val="none"/>
              </w:rPr>
              <w:t>2</w:t>
            </w:r>
            <w:r>
              <w:rPr>
                <w:rFonts w:hint="eastAsia" w:ascii="宋体" w:hAnsi="宋体" w:eastAsia="宋体" w:cs="宋体"/>
                <w:color w:val="auto"/>
                <w:szCs w:val="21"/>
                <w:highlight w:val="none"/>
              </w:rPr>
              <w:t>分；基本满足要求或内容有欠缺得</w:t>
            </w:r>
            <w:r>
              <w:rPr>
                <w:rFonts w:ascii="宋体" w:hAnsi="宋体" w:eastAsia="宋体" w:cs="宋体"/>
                <w:color w:val="auto"/>
                <w:szCs w:val="21"/>
                <w:highlight w:val="none"/>
              </w:rPr>
              <w:t>1</w:t>
            </w:r>
            <w:r>
              <w:rPr>
                <w:rFonts w:hint="eastAsia" w:ascii="宋体" w:hAnsi="宋体" w:eastAsia="宋体" w:cs="宋体"/>
                <w:color w:val="auto"/>
                <w:szCs w:val="21"/>
                <w:highlight w:val="none"/>
              </w:rPr>
              <w:t>分；不满足得0分。</w:t>
            </w:r>
          </w:p>
        </w:tc>
      </w:tr>
      <w:tr w14:paraId="5C50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766C68C3">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4160A231">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57" w:type="dxa"/>
              <w:bottom w:w="0" w:type="dxa"/>
              <w:right w:w="57" w:type="dxa"/>
            </w:tcMar>
            <w:vAlign w:val="center"/>
          </w:tcPr>
          <w:p w14:paraId="5E5701CB">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会议制度（3分）</w:t>
            </w:r>
          </w:p>
        </w:tc>
        <w:tc>
          <w:tcPr>
            <w:tcW w:w="3051" w:type="pct"/>
            <w:shd w:val="clear" w:color="auto" w:fill="FFFFFF"/>
            <w:tcMar>
              <w:top w:w="0" w:type="dxa"/>
              <w:left w:w="57" w:type="dxa"/>
              <w:bottom w:w="0" w:type="dxa"/>
              <w:right w:w="57" w:type="dxa"/>
            </w:tcMar>
            <w:vAlign w:val="center"/>
          </w:tcPr>
          <w:p w14:paraId="3305DAFE">
            <w:pPr>
              <w:widowControl/>
              <w:wordWrap w:val="0"/>
              <w:spacing w:line="276" w:lineRule="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zCs w:val="21"/>
                <w:highlight w:val="none"/>
              </w:rPr>
              <w:t>针对本项目的特点和招标内容，建立完善的工地会议制度。完全满足要求得3分；基本满足要求或内容有欠缺得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分；不满足得0分。</w:t>
            </w:r>
          </w:p>
        </w:tc>
      </w:tr>
      <w:tr w14:paraId="14CB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vMerge w:val="continue"/>
            <w:shd w:val="clear" w:color="auto" w:fill="FFFFFF"/>
            <w:vAlign w:val="center"/>
          </w:tcPr>
          <w:p w14:paraId="6A69608C">
            <w:pPr>
              <w:widowControl/>
              <w:wordWrap w:val="0"/>
              <w:spacing w:line="276" w:lineRule="auto"/>
              <w:rPr>
                <w:rFonts w:hint="eastAsia" w:ascii="宋体" w:hAnsi="宋体" w:eastAsia="宋体" w:cs="宋体"/>
                <w:color w:val="auto"/>
                <w:szCs w:val="21"/>
                <w:highlight w:val="none"/>
              </w:rPr>
            </w:pPr>
          </w:p>
        </w:tc>
        <w:tc>
          <w:tcPr>
            <w:tcW w:w="486" w:type="pct"/>
            <w:gridSpan w:val="2"/>
            <w:vMerge w:val="continue"/>
            <w:shd w:val="clear" w:color="auto" w:fill="FFFFFF"/>
            <w:vAlign w:val="center"/>
          </w:tcPr>
          <w:p w14:paraId="426092FD">
            <w:pPr>
              <w:widowControl/>
              <w:wordWrap w:val="0"/>
              <w:spacing w:line="276" w:lineRule="auto"/>
              <w:jc w:val="center"/>
              <w:rPr>
                <w:rFonts w:hint="eastAsia" w:ascii="宋体" w:hAnsi="宋体" w:eastAsia="宋体" w:cs="宋体"/>
                <w:color w:val="auto"/>
                <w:szCs w:val="21"/>
                <w:highlight w:val="none"/>
              </w:rPr>
            </w:pPr>
          </w:p>
        </w:tc>
        <w:tc>
          <w:tcPr>
            <w:tcW w:w="1074" w:type="pct"/>
            <w:shd w:val="clear" w:color="auto" w:fill="FFFFFF"/>
            <w:tcMar>
              <w:top w:w="0" w:type="dxa"/>
              <w:left w:w="57" w:type="dxa"/>
              <w:bottom w:w="0" w:type="dxa"/>
              <w:right w:w="57" w:type="dxa"/>
            </w:tcMar>
            <w:vAlign w:val="center"/>
          </w:tcPr>
          <w:p w14:paraId="465B852C">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合理化建议（3</w:t>
            </w:r>
            <w:r>
              <w:rPr>
                <w:rFonts w:ascii="宋体" w:hAnsi="宋体" w:eastAsia="宋体" w:cs="宋体"/>
                <w:color w:val="auto"/>
                <w:szCs w:val="21"/>
                <w:highlight w:val="none"/>
              </w:rPr>
              <w:t>分）</w:t>
            </w:r>
          </w:p>
        </w:tc>
        <w:tc>
          <w:tcPr>
            <w:tcW w:w="3051" w:type="pct"/>
            <w:shd w:val="clear" w:color="auto" w:fill="FFFFFF"/>
            <w:tcMar>
              <w:top w:w="0" w:type="dxa"/>
              <w:left w:w="57" w:type="dxa"/>
              <w:bottom w:w="0" w:type="dxa"/>
              <w:right w:w="57" w:type="dxa"/>
            </w:tcMar>
            <w:vAlign w:val="center"/>
          </w:tcPr>
          <w:p w14:paraId="60F4E186">
            <w:pPr>
              <w:widowControl/>
              <w:wordWrap w:val="0"/>
              <w:spacing w:line="276" w:lineRule="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zCs w:val="21"/>
                <w:highlight w:val="none"/>
              </w:rPr>
              <w:t>针对本项目的特点和招标内容，提出科学、合理、可行的建议。所提建议合理可行的得3分；所提建议部分合理可行得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分，没有或不提供的不得分。</w:t>
            </w:r>
          </w:p>
        </w:tc>
      </w:tr>
      <w:tr w14:paraId="0D78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shd w:val="clear" w:color="auto" w:fill="FFFFFF"/>
            <w:tcMar>
              <w:top w:w="0" w:type="dxa"/>
              <w:left w:w="108" w:type="dxa"/>
              <w:bottom w:w="0" w:type="dxa"/>
              <w:right w:w="108" w:type="dxa"/>
            </w:tcMar>
            <w:vAlign w:val="center"/>
          </w:tcPr>
          <w:p w14:paraId="09B050A6">
            <w:pPr>
              <w:widowControl/>
              <w:wordWrap w:val="0"/>
              <w:spacing w:line="276"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rPr>
              <w:t>2.2.4</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p>
        </w:tc>
        <w:tc>
          <w:tcPr>
            <w:tcW w:w="486" w:type="pct"/>
            <w:gridSpan w:val="2"/>
            <w:shd w:val="clear" w:color="auto" w:fill="FFFFFF"/>
            <w:tcMar>
              <w:top w:w="0" w:type="dxa"/>
              <w:left w:w="108" w:type="dxa"/>
              <w:bottom w:w="0" w:type="dxa"/>
              <w:right w:w="108" w:type="dxa"/>
            </w:tcMar>
            <w:vAlign w:val="center"/>
          </w:tcPr>
          <w:p w14:paraId="4C12A461">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投标报价评分标准</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1</w:t>
            </w:r>
            <w:r>
              <w:rPr>
                <w:rFonts w:hint="eastAsia" w:ascii="宋体" w:hAnsi="宋体" w:eastAsia="宋体" w:cs="宋体"/>
                <w:color w:val="auto"/>
                <w:szCs w:val="21"/>
                <w:highlight w:val="none"/>
              </w:rPr>
              <w:t>0分</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(C)</w:t>
            </w:r>
          </w:p>
        </w:tc>
        <w:tc>
          <w:tcPr>
            <w:tcW w:w="1074" w:type="pct"/>
            <w:shd w:val="clear" w:color="auto" w:fill="FFFFFF"/>
            <w:tcMar>
              <w:top w:w="0" w:type="dxa"/>
              <w:left w:w="108" w:type="dxa"/>
              <w:bottom w:w="0" w:type="dxa"/>
              <w:right w:w="108" w:type="dxa"/>
            </w:tcMar>
            <w:vAlign w:val="center"/>
          </w:tcPr>
          <w:p w14:paraId="0239004C">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报价得分</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1</w:t>
            </w:r>
            <w:r>
              <w:rPr>
                <w:rFonts w:hint="eastAsia" w:ascii="宋体" w:hAnsi="宋体" w:eastAsia="宋体" w:cs="宋体"/>
                <w:color w:val="auto"/>
                <w:szCs w:val="21"/>
                <w:highlight w:val="none"/>
              </w:rPr>
              <w:t>0</w:t>
            </w:r>
            <w:r>
              <w:rPr>
                <w:rFonts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c>
          <w:tcPr>
            <w:tcW w:w="3051" w:type="pct"/>
            <w:shd w:val="clear" w:color="auto" w:fill="FFFFFF"/>
            <w:tcMar>
              <w:top w:w="0" w:type="dxa"/>
              <w:left w:w="108" w:type="dxa"/>
              <w:bottom w:w="0" w:type="dxa"/>
              <w:right w:w="108" w:type="dxa"/>
            </w:tcMar>
            <w:vAlign w:val="center"/>
          </w:tcPr>
          <w:p w14:paraId="5AB93021">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以评标基准价作为计算各有效投标价得分的基础，当有效投标报价等于评标基准价时得10分；投标有效报价与评标基准价相比，每上偏</w:t>
            </w:r>
            <w:r>
              <w:rPr>
                <w:rFonts w:ascii="宋体" w:hAnsi="宋体" w:eastAsia="宋体" w:cs="宋体"/>
                <w:color w:val="auto"/>
                <w:szCs w:val="21"/>
                <w:highlight w:val="none"/>
              </w:rPr>
              <w:t>1%</w:t>
            </w:r>
            <w:r>
              <w:rPr>
                <w:rFonts w:hint="eastAsia" w:ascii="宋体" w:hAnsi="宋体" w:eastAsia="宋体" w:cs="宋体"/>
                <w:color w:val="auto"/>
                <w:szCs w:val="21"/>
                <w:highlight w:val="none"/>
              </w:rPr>
              <w:t>扣1分，每下偏</w:t>
            </w:r>
            <w:r>
              <w:rPr>
                <w:rFonts w:ascii="宋体" w:hAnsi="宋体" w:eastAsia="宋体" w:cs="宋体"/>
                <w:color w:val="auto"/>
                <w:szCs w:val="21"/>
                <w:highlight w:val="none"/>
              </w:rPr>
              <w:t>1%</w:t>
            </w:r>
            <w:r>
              <w:rPr>
                <w:rFonts w:hint="eastAsia" w:ascii="宋体" w:hAnsi="宋体" w:eastAsia="宋体" w:cs="宋体"/>
                <w:color w:val="auto"/>
                <w:szCs w:val="21"/>
                <w:highlight w:val="none"/>
              </w:rPr>
              <w:t>扣0.5分，最多扣10分。</w:t>
            </w:r>
          </w:p>
        </w:tc>
      </w:tr>
      <w:tr w14:paraId="01B9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387" w:type="pct"/>
            <w:shd w:val="clear" w:color="auto" w:fill="FFFFFF"/>
            <w:tcMar>
              <w:top w:w="0" w:type="dxa"/>
              <w:left w:w="108" w:type="dxa"/>
              <w:bottom w:w="0" w:type="dxa"/>
              <w:right w:w="108" w:type="dxa"/>
            </w:tcMar>
            <w:vAlign w:val="center"/>
          </w:tcPr>
          <w:p w14:paraId="2ED163BA">
            <w:pPr>
              <w:widowControl/>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2.2.4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p>
        </w:tc>
        <w:tc>
          <w:tcPr>
            <w:tcW w:w="486" w:type="pct"/>
            <w:gridSpan w:val="2"/>
            <w:shd w:val="clear" w:color="auto" w:fill="FFFFFF"/>
            <w:tcMar>
              <w:top w:w="0" w:type="dxa"/>
              <w:left w:w="108" w:type="dxa"/>
              <w:bottom w:w="0" w:type="dxa"/>
              <w:right w:w="108" w:type="dxa"/>
            </w:tcMar>
            <w:vAlign w:val="center"/>
          </w:tcPr>
          <w:p w14:paraId="31EB9D74">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其他因素评分标准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（D）</w:t>
            </w:r>
          </w:p>
        </w:tc>
        <w:tc>
          <w:tcPr>
            <w:tcW w:w="4126" w:type="pct"/>
            <w:gridSpan w:val="2"/>
            <w:shd w:val="clear" w:color="auto" w:fill="FFFFFF"/>
            <w:tcMar>
              <w:top w:w="0" w:type="dxa"/>
              <w:left w:w="108" w:type="dxa"/>
              <w:bottom w:w="0" w:type="dxa"/>
              <w:right w:w="108" w:type="dxa"/>
            </w:tcMar>
            <w:vAlign w:val="center"/>
          </w:tcPr>
          <w:p w14:paraId="13EE0AD6">
            <w:pPr>
              <w:widowControl/>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投标人信用评价得分=城市道路行业（监理）信用评价排名得分*信用评价得分权重（20%）</w:t>
            </w:r>
          </w:p>
          <w:p w14:paraId="3AD393E4">
            <w:pPr>
              <w:widowControl/>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项目企业信用评价分数，以投标截止当日广州交易集团有限公司（广州公共资源交易中心）网站公布的分值为准【通过“广州交易集团有限公司（广州公共资源交易中心）网站-信用信息-广州公共资源交易信用平台3.0-城市道路监理-城市道路信用分” 进行核实，未能在网站查询到投标人信用评价分的，以投标截止当日城市道路-监理信用评价基准分计算】</w:t>
            </w:r>
          </w:p>
        </w:tc>
      </w:tr>
    </w:tbl>
    <w:p w14:paraId="5B7904B5">
      <w:pPr>
        <w:wordWrap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说明：</w:t>
      </w:r>
    </w:p>
    <w:p w14:paraId="29886EC6">
      <w:pPr>
        <w:tabs>
          <w:tab w:val="left" w:pos="420"/>
          <w:tab w:val="left" w:pos="720"/>
        </w:tabs>
        <w:spacing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w:t>
      </w:r>
      <w:r>
        <w:rPr>
          <w:rFonts w:ascii="宋体" w:hAnsi="宋体" w:eastAsia="宋体" w:cs="宋体"/>
          <w:b/>
          <w:color w:val="auto"/>
          <w:szCs w:val="21"/>
          <w:highlight w:val="none"/>
        </w:rPr>
        <w:t>类似工程：</w:t>
      </w:r>
      <w:r>
        <w:rPr>
          <w:rFonts w:hint="eastAsia" w:ascii="宋体" w:hAnsi="宋体" w:eastAsia="宋体" w:cs="宋体"/>
          <w:color w:val="auto"/>
          <w:szCs w:val="21"/>
          <w:highlight w:val="none"/>
        </w:rPr>
        <w:t>是指</w:t>
      </w:r>
      <w:r>
        <w:rPr>
          <w:rFonts w:ascii="宋体" w:hAnsi="宋体" w:eastAsia="宋体" w:cs="宋体"/>
          <w:b/>
          <w:color w:val="auto"/>
          <w:szCs w:val="21"/>
          <w:highlight w:val="none"/>
          <w:u w:val="single"/>
        </w:rPr>
        <w:t>市政公用工程</w:t>
      </w:r>
      <w:r>
        <w:rPr>
          <w:rFonts w:hint="eastAsia" w:ascii="宋体" w:hAnsi="宋体" w:eastAsia="宋体" w:cs="宋体"/>
          <w:color w:val="auto"/>
          <w:szCs w:val="21"/>
          <w:highlight w:val="none"/>
        </w:rPr>
        <w:t>。须</w:t>
      </w:r>
      <w:r>
        <w:rPr>
          <w:rFonts w:ascii="宋体" w:hAnsi="宋体" w:eastAsia="宋体" w:cs="宋体"/>
          <w:color w:val="auto"/>
          <w:szCs w:val="21"/>
          <w:highlight w:val="none"/>
        </w:rPr>
        <w:t>同时提供中标通知书或免招标的相关证明、施工监理合同、竣工验收报告或竣工验收证明，业绩时间以竣工验收报告或竣工验收证明出具时间为准。</w:t>
      </w:r>
    </w:p>
    <w:p w14:paraId="720E7360">
      <w:pPr>
        <w:tabs>
          <w:tab w:val="left" w:pos="420"/>
          <w:tab w:val="left" w:pos="720"/>
        </w:tabs>
        <w:spacing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ascii="宋体" w:hAnsi="宋体" w:eastAsia="宋体" w:cs="宋体"/>
          <w:b/>
          <w:color w:val="auto"/>
          <w:szCs w:val="21"/>
          <w:highlight w:val="none"/>
        </w:rPr>
        <w:t>获奖业绩：</w:t>
      </w:r>
      <w:r>
        <w:rPr>
          <w:rFonts w:ascii="宋体" w:hAnsi="宋体" w:eastAsia="宋体" w:cs="宋体"/>
          <w:color w:val="auto"/>
          <w:szCs w:val="21"/>
          <w:highlight w:val="none"/>
        </w:rPr>
        <w:t>①获奖时间以获奖证书或获奖文件颁发日期为准。②国家级奖</w:t>
      </w:r>
      <w:r>
        <w:rPr>
          <w:rFonts w:hint="eastAsia" w:ascii="宋体" w:hAnsi="宋体" w:eastAsia="宋体" w:cs="宋体"/>
          <w:color w:val="auto"/>
          <w:szCs w:val="21"/>
          <w:highlight w:val="none"/>
        </w:rPr>
        <w:t>项指</w:t>
      </w:r>
      <w:r>
        <w:rPr>
          <w:rFonts w:ascii="宋体" w:hAnsi="宋体" w:eastAsia="宋体" w:cs="宋体"/>
          <w:color w:val="auto"/>
          <w:szCs w:val="21"/>
          <w:highlight w:val="none"/>
        </w:rPr>
        <w:t>市政工程最高水平质量评价奖、</w:t>
      </w:r>
      <w:r>
        <w:rPr>
          <w:rFonts w:hint="eastAsia" w:ascii="宋体" w:hAnsi="宋体" w:eastAsia="宋体" w:cs="宋体"/>
          <w:color w:val="auto"/>
          <w:highlight w:val="none"/>
        </w:rPr>
        <w:t>中国建设工程</w:t>
      </w:r>
      <w:r>
        <w:rPr>
          <w:rFonts w:ascii="宋体" w:hAnsi="宋体" w:eastAsia="宋体" w:cs="宋体"/>
          <w:color w:val="auto"/>
          <w:szCs w:val="21"/>
          <w:highlight w:val="none"/>
        </w:rPr>
        <w:t>鲁班奖、中国土木工程詹天佑奖、</w:t>
      </w:r>
      <w:r>
        <w:rPr>
          <w:rFonts w:hint="eastAsia" w:ascii="宋体" w:hAnsi="宋体" w:eastAsia="宋体" w:cs="宋体"/>
          <w:color w:val="auto"/>
          <w:szCs w:val="21"/>
          <w:highlight w:val="none"/>
        </w:rPr>
        <w:t>国家优质工程奖、国家优质工程（金质奖）</w:t>
      </w:r>
      <w:r>
        <w:rPr>
          <w:rFonts w:ascii="宋体" w:hAnsi="宋体" w:eastAsia="宋体" w:cs="宋体"/>
          <w:color w:val="auto"/>
          <w:szCs w:val="21"/>
          <w:highlight w:val="none"/>
        </w:rPr>
        <w:t>等；</w:t>
      </w:r>
      <w:r>
        <w:rPr>
          <w:rFonts w:hint="eastAsia" w:ascii="宋体" w:hAnsi="宋体" w:eastAsia="宋体" w:cs="宋体"/>
          <w:color w:val="auto"/>
          <w:szCs w:val="21"/>
          <w:highlight w:val="none"/>
        </w:rPr>
        <w:t>省、市级奖项是指省、市级建设行政主管部门或行业协会颁发（行业协会须在民政部门备案）的工程质量奖。工程质量奖项不含安全文明、绿色施工、技术创新QC成果、科技进步及技术应用类奖项，非质量类获奖不予计算。③</w:t>
      </w:r>
      <w:r>
        <w:rPr>
          <w:rFonts w:ascii="宋体" w:hAnsi="宋体" w:eastAsia="宋体" w:cs="宋体"/>
          <w:color w:val="auto"/>
          <w:szCs w:val="21"/>
          <w:highlight w:val="none"/>
        </w:rPr>
        <w:t>须提供获奖证书或获奖文件</w:t>
      </w:r>
      <w:r>
        <w:rPr>
          <w:rFonts w:hint="eastAsia" w:ascii="宋体" w:hAnsi="宋体" w:eastAsia="宋体" w:cs="宋体"/>
          <w:color w:val="auto"/>
          <w:szCs w:val="21"/>
          <w:highlight w:val="none"/>
        </w:rPr>
        <w:t>，颁发机构如为行业协会的还须同时提供该行业协会在“中国社会组织政务服务平台”的登记信息查询结果网页截图，否则不予计分。</w:t>
      </w:r>
      <w:r>
        <w:rPr>
          <w:rFonts w:ascii="宋体" w:hAnsi="宋体" w:eastAsia="宋体" w:cs="宋体"/>
          <w:color w:val="auto"/>
          <w:szCs w:val="21"/>
          <w:highlight w:val="none"/>
        </w:rPr>
        <w:t>同一工程获奖按最高奖项计取一次得分，不重复计算。</w:t>
      </w:r>
    </w:p>
    <w:p w14:paraId="2F6D14B9">
      <w:pPr>
        <w:tabs>
          <w:tab w:val="left" w:pos="420"/>
          <w:tab w:val="left" w:pos="720"/>
        </w:tabs>
        <w:wordWrap w:val="0"/>
        <w:spacing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ascii="宋体" w:hAnsi="宋体" w:eastAsia="宋体" w:cs="宋体"/>
          <w:b/>
          <w:color w:val="auto"/>
          <w:szCs w:val="21"/>
          <w:highlight w:val="none"/>
        </w:rPr>
        <w:t>A级纳税人：</w:t>
      </w:r>
      <w:r>
        <w:rPr>
          <w:rFonts w:ascii="宋体" w:hAnsi="宋体" w:eastAsia="宋体" w:cs="宋体"/>
          <w:color w:val="auto"/>
          <w:szCs w:val="21"/>
          <w:highlight w:val="none"/>
        </w:rPr>
        <w:t>纳税信用等级及时间以</w:t>
      </w:r>
      <w:r>
        <w:rPr>
          <w:rFonts w:hint="eastAsia" w:ascii="宋体" w:hAnsi="宋体" w:eastAsia="宋体" w:cs="宋体"/>
          <w:color w:val="auto"/>
          <w:szCs w:val="21"/>
          <w:highlight w:val="none"/>
        </w:rPr>
        <w:t>省级或以上的税务局官方网站（</w:t>
      </w:r>
      <w:r>
        <w:rPr>
          <w:rFonts w:ascii="宋体" w:hAnsi="宋体" w:eastAsia="宋体" w:cs="宋体"/>
          <w:color w:val="auto"/>
          <w:szCs w:val="21"/>
          <w:highlight w:val="none"/>
        </w:rPr>
        <w:t>http://www.chinatax.gov.cn/）公布信息为准</w:t>
      </w:r>
      <w:r>
        <w:rPr>
          <w:rFonts w:hint="eastAsia" w:ascii="宋体" w:hAnsi="宋体" w:eastAsia="宋体" w:cs="宋体"/>
          <w:color w:val="auto"/>
          <w:szCs w:val="21"/>
          <w:highlight w:val="none"/>
        </w:rPr>
        <w:t>。</w:t>
      </w:r>
      <w:r>
        <w:rPr>
          <w:rFonts w:ascii="宋体" w:hAnsi="宋体" w:eastAsia="宋体" w:cs="宋体"/>
          <w:color w:val="auto"/>
          <w:szCs w:val="21"/>
          <w:highlight w:val="none"/>
        </w:rPr>
        <w:t>纳税人等级只计算投标人自身（不计算投标人的分公司和子公司），投标人须提供等级证书以及在上述官网的查询结果网页截图</w:t>
      </w:r>
      <w:r>
        <w:rPr>
          <w:rFonts w:hint="eastAsia" w:ascii="宋体" w:hAnsi="宋体" w:eastAsia="宋体" w:cs="宋体"/>
          <w:color w:val="auto"/>
          <w:szCs w:val="21"/>
          <w:highlight w:val="none"/>
        </w:rPr>
        <w:t>，</w:t>
      </w:r>
      <w:r>
        <w:rPr>
          <w:rFonts w:ascii="宋体" w:hAnsi="宋体" w:eastAsia="宋体" w:cs="宋体"/>
          <w:color w:val="auto"/>
          <w:szCs w:val="21"/>
          <w:highlight w:val="none"/>
        </w:rPr>
        <w:t>时间以</w:t>
      </w:r>
      <w:r>
        <w:rPr>
          <w:rFonts w:hint="eastAsia" w:ascii="宋体" w:hAnsi="宋体" w:eastAsia="宋体" w:cs="宋体"/>
          <w:color w:val="auto"/>
          <w:szCs w:val="21"/>
          <w:highlight w:val="none"/>
        </w:rPr>
        <w:t>省级或以上的税务局官方网站</w:t>
      </w:r>
      <w:r>
        <w:rPr>
          <w:rFonts w:ascii="宋体" w:hAnsi="宋体" w:eastAsia="宋体" w:cs="宋体"/>
          <w:color w:val="auto"/>
          <w:szCs w:val="21"/>
          <w:highlight w:val="none"/>
        </w:rPr>
        <w:t>公布的</w:t>
      </w:r>
      <w:r>
        <w:rPr>
          <w:rFonts w:hint="eastAsia" w:ascii="宋体" w:hAnsi="宋体" w:eastAsia="宋体" w:cs="宋体"/>
          <w:color w:val="auto"/>
          <w:szCs w:val="21"/>
          <w:highlight w:val="none"/>
        </w:rPr>
        <w:t>评审年度（或</w:t>
      </w:r>
      <w:r>
        <w:rPr>
          <w:rFonts w:ascii="宋体" w:hAnsi="宋体" w:eastAsia="宋体" w:cs="宋体"/>
          <w:color w:val="auto"/>
          <w:szCs w:val="21"/>
          <w:highlight w:val="none"/>
        </w:rPr>
        <w:t>评价年度</w:t>
      </w:r>
      <w:r>
        <w:rPr>
          <w:rFonts w:hint="eastAsia" w:ascii="宋体" w:hAnsi="宋体" w:eastAsia="宋体" w:cs="宋体"/>
          <w:color w:val="auto"/>
          <w:szCs w:val="21"/>
          <w:highlight w:val="none"/>
        </w:rPr>
        <w:t>）</w:t>
      </w:r>
      <w:r>
        <w:rPr>
          <w:rFonts w:ascii="宋体" w:hAnsi="宋体" w:eastAsia="宋体" w:cs="宋体"/>
          <w:color w:val="auto"/>
          <w:szCs w:val="21"/>
          <w:highlight w:val="none"/>
        </w:rPr>
        <w:t>为准。未提供上述资料或不符合要求的不得分。</w:t>
      </w:r>
    </w:p>
    <w:p w14:paraId="06C0D7F3">
      <w:pPr>
        <w:tabs>
          <w:tab w:val="left" w:pos="420"/>
          <w:tab w:val="left" w:pos="720"/>
        </w:tabs>
        <w:spacing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b/>
          <w:color w:val="auto"/>
          <w:szCs w:val="21"/>
          <w:highlight w:val="none"/>
        </w:rPr>
        <w:t>社保证明：</w:t>
      </w:r>
      <w:r>
        <w:rPr>
          <w:rFonts w:hint="eastAsia" w:ascii="宋体" w:hAnsi="宋体" w:eastAsia="宋体" w:cs="宋体"/>
          <w:color w:val="auto"/>
          <w:szCs w:val="21"/>
          <w:highlight w:val="none"/>
        </w:rPr>
        <w:t>指离投标截止时间最近的至少1个月（即2025年8月）在本单位缴纳的社保证明文件（如部分地区社保证明显示隔月缴费状态，则提供2025年7月的社保证明）</w:t>
      </w:r>
      <w:r>
        <w:rPr>
          <w:rFonts w:ascii="宋体" w:hAnsi="宋体" w:eastAsia="宋体" w:cs="宋体"/>
          <w:color w:val="auto"/>
          <w:szCs w:val="21"/>
          <w:highlight w:val="none"/>
        </w:rPr>
        <w:t>。</w:t>
      </w:r>
    </w:p>
    <w:p w14:paraId="2F29377B">
      <w:pPr>
        <w:tabs>
          <w:tab w:val="left" w:pos="420"/>
          <w:tab w:val="left" w:pos="720"/>
        </w:tabs>
        <w:spacing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w:t>
      </w:r>
      <w:r>
        <w:rPr>
          <w:rFonts w:hint="eastAsia" w:ascii="宋体" w:hAnsi="宋体" w:eastAsia="宋体" w:cs="宋体"/>
          <w:color w:val="auto"/>
          <w:szCs w:val="21"/>
          <w:highlight w:val="none"/>
        </w:rPr>
        <w:t>）</w:t>
      </w:r>
      <w:r>
        <w:rPr>
          <w:rFonts w:ascii="宋体" w:hAnsi="宋体" w:eastAsia="宋体" w:cs="宋体"/>
          <w:color w:val="auto"/>
          <w:szCs w:val="21"/>
          <w:highlight w:val="none"/>
        </w:rPr>
        <w:t>投标人得分满足多个档次的按最高档次计算。</w:t>
      </w:r>
    </w:p>
    <w:p w14:paraId="2916DAD1">
      <w:pPr>
        <w:wordWrap w:val="0"/>
        <w:spacing w:line="276"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6）投标人</w:t>
      </w:r>
      <w:r>
        <w:rPr>
          <w:rFonts w:hint="eastAsia" w:ascii="宋体" w:hAnsi="宋体" w:eastAsia="宋体" w:cs="宋体"/>
          <w:color w:val="auto"/>
          <w:szCs w:val="21"/>
          <w:highlight w:val="none"/>
        </w:rPr>
        <w:t>各部分</w:t>
      </w:r>
      <w:r>
        <w:rPr>
          <w:rFonts w:ascii="宋体" w:hAnsi="宋体" w:eastAsia="宋体" w:cs="宋体"/>
          <w:color w:val="auto"/>
          <w:szCs w:val="21"/>
          <w:highlight w:val="none"/>
        </w:rPr>
        <w:t>得分为各评委评分的算术平均值（分数出现小数点时，保留小数点后</w:t>
      </w:r>
      <w:r>
        <w:rPr>
          <w:rFonts w:hint="eastAsia" w:ascii="宋体" w:hAnsi="宋体" w:eastAsia="宋体" w:cs="宋体"/>
          <w:color w:val="auto"/>
          <w:szCs w:val="21"/>
          <w:highlight w:val="none"/>
          <w:lang w:eastAsia="zh-CN"/>
        </w:rPr>
        <w:t>两位</w:t>
      </w:r>
      <w:r>
        <w:rPr>
          <w:rFonts w:ascii="宋体" w:hAnsi="宋体" w:eastAsia="宋体" w:cs="宋体"/>
          <w:color w:val="auto"/>
          <w:szCs w:val="21"/>
          <w:highlight w:val="none"/>
        </w:rPr>
        <w:t>，第三位小数四舍五入）。</w:t>
      </w:r>
    </w:p>
    <w:p w14:paraId="4B0128D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3605F07">
      <w:pPr>
        <w:wordWrap w:val="0"/>
        <w:jc w:val="center"/>
        <w:outlineLvl w:val="1"/>
        <w:rPr>
          <w:rFonts w:hint="eastAsia" w:ascii="宋体" w:hAnsi="宋体" w:eastAsia="宋体" w:cs="Times New Roman"/>
          <w:b/>
          <w:color w:val="auto"/>
          <w:sz w:val="32"/>
          <w:szCs w:val="20"/>
          <w:highlight w:val="none"/>
        </w:rPr>
      </w:pPr>
      <w:r>
        <w:rPr>
          <w:rFonts w:hint="eastAsia" w:ascii="宋体" w:hAnsi="宋体" w:eastAsia="宋体" w:cs="Times New Roman"/>
          <w:b/>
          <w:color w:val="auto"/>
          <w:sz w:val="32"/>
          <w:szCs w:val="20"/>
          <w:highlight w:val="none"/>
        </w:rPr>
        <w:t>评标办法</w:t>
      </w:r>
      <w:r>
        <w:rPr>
          <w:rFonts w:ascii="宋体" w:hAnsi="宋体" w:eastAsia="宋体" w:cs="Times New Roman"/>
          <w:b/>
          <w:color w:val="auto"/>
          <w:sz w:val="32"/>
          <w:szCs w:val="20"/>
          <w:highlight w:val="none"/>
        </w:rPr>
        <w:t>修改表</w:t>
      </w:r>
    </w:p>
    <w:p w14:paraId="532A7632">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本投标须知使用</w:t>
      </w:r>
      <w:r>
        <w:rPr>
          <w:rFonts w:hint="eastAsia" w:ascii="宋体" w:hAnsi="宋体" w:eastAsia="宋体" w:cs="Times New Roman"/>
          <w:b/>
          <w:color w:val="auto"/>
          <w:sz w:val="24"/>
          <w:szCs w:val="24"/>
          <w:highlight w:val="none"/>
        </w:rPr>
        <w:t>GZJTZB2025-2</w:t>
      </w:r>
      <w:r>
        <w:rPr>
          <w:rFonts w:ascii="宋体" w:hAnsi="宋体" w:eastAsia="宋体" w:cs="Times New Roman"/>
          <w:b/>
          <w:color w:val="auto"/>
          <w:sz w:val="24"/>
          <w:szCs w:val="24"/>
          <w:highlight w:val="none"/>
        </w:rPr>
        <w:t>招标文件范本的</w:t>
      </w:r>
      <w:r>
        <w:rPr>
          <w:rFonts w:hint="eastAsia" w:ascii="宋体" w:hAnsi="宋体" w:eastAsia="宋体" w:cs="Times New Roman"/>
          <w:b/>
          <w:color w:val="auto"/>
          <w:sz w:val="24"/>
          <w:szCs w:val="24"/>
          <w:highlight w:val="none"/>
        </w:rPr>
        <w:t>评标办法</w:t>
      </w:r>
      <w:r>
        <w:rPr>
          <w:rFonts w:ascii="宋体" w:hAnsi="宋体" w:eastAsia="宋体" w:cs="Times New Roman"/>
          <w:b/>
          <w:color w:val="auto"/>
          <w:sz w:val="24"/>
          <w:szCs w:val="24"/>
          <w:highlight w:val="none"/>
        </w:rPr>
        <w:t>条款，与该条款不同之处，均在本表中列明，并以现文为准，原文不再有效。</w:t>
      </w:r>
      <w:r>
        <w:rPr>
          <w:rFonts w:hint="eastAsia" w:ascii="宋体" w:hAnsi="宋体" w:eastAsia="宋体" w:cs="Times New Roman"/>
          <w:bCs/>
          <w:color w:val="auto"/>
          <w:sz w:val="24"/>
          <w:szCs w:val="24"/>
          <w:highlight w:val="none"/>
        </w:rPr>
        <w:t>（注：招标人按《评标办法修改表》修改的内容对应修改通用条款，属于删除的采用“</w:t>
      </w:r>
      <w:r>
        <w:rPr>
          <w:rFonts w:hint="eastAsia" w:ascii="宋体" w:hAnsi="宋体" w:eastAsia="宋体" w:cs="Times New Roman"/>
          <w:bCs/>
          <w:strike/>
          <w:color w:val="auto"/>
          <w:sz w:val="24"/>
          <w:szCs w:val="24"/>
          <w:highlight w:val="none"/>
        </w:rPr>
        <w:t xml:space="preserve">   </w:t>
      </w:r>
      <w:r>
        <w:rPr>
          <w:rFonts w:hint="eastAsia" w:ascii="宋体" w:hAnsi="宋体" w:eastAsia="宋体" w:cs="Times New Roman"/>
          <w:bCs/>
          <w:color w:val="auto"/>
          <w:sz w:val="24"/>
          <w:szCs w:val="24"/>
          <w:highlight w:val="none"/>
        </w:rPr>
        <w:t>”表示，如“</w:t>
      </w:r>
      <w:r>
        <w:rPr>
          <w:rFonts w:hint="eastAsia" w:ascii="宋体" w:hAnsi="宋体" w:eastAsia="宋体" w:cs="Times New Roman"/>
          <w:bCs/>
          <w:strike/>
          <w:color w:val="auto"/>
          <w:sz w:val="24"/>
          <w:szCs w:val="24"/>
          <w:highlight w:val="none"/>
        </w:rPr>
        <w:t>删除</w:t>
      </w:r>
      <w:r>
        <w:rPr>
          <w:rFonts w:hint="eastAsia" w:ascii="宋体" w:hAnsi="宋体" w:eastAsia="宋体" w:cs="Times New Roman"/>
          <w:bCs/>
          <w:color w:val="auto"/>
          <w:sz w:val="24"/>
          <w:szCs w:val="24"/>
          <w:highlight w:val="none"/>
        </w:rPr>
        <w:t>”；属于新增、修改的内容，用</w:t>
      </w:r>
      <w:r>
        <w:rPr>
          <w:rFonts w:hint="eastAsia" w:ascii="宋体" w:hAnsi="宋体" w:eastAsia="宋体" w:cs="Times New Roman"/>
          <w:b/>
          <w:color w:val="auto"/>
          <w:sz w:val="24"/>
          <w:szCs w:val="24"/>
          <w:highlight w:val="none"/>
        </w:rPr>
        <w:t>黑色加粗</w:t>
      </w:r>
      <w:r>
        <w:rPr>
          <w:rFonts w:hint="eastAsia" w:ascii="宋体" w:hAnsi="宋体" w:eastAsia="宋体" w:cs="Times New Roman"/>
          <w:bCs/>
          <w:color w:val="auto"/>
          <w:sz w:val="24"/>
          <w:szCs w:val="24"/>
          <w:highlight w:val="none"/>
        </w:rPr>
        <w:t>字体显示</w:t>
      </w:r>
      <w:r>
        <w:rPr>
          <w:rFonts w:hint="eastAsia" w:ascii="宋体" w:hAnsi="宋体" w:eastAsia="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并加注下划线，如“</w:t>
      </w:r>
      <w:r>
        <w:rPr>
          <w:rFonts w:hint="eastAsia" w:ascii="宋体" w:hAnsi="宋体" w:eastAsia="宋体" w:cs="Times New Roman"/>
          <w:b/>
          <w:color w:val="auto"/>
          <w:sz w:val="24"/>
          <w:szCs w:val="24"/>
          <w:highlight w:val="none"/>
          <w:u w:val="single"/>
        </w:rPr>
        <w:t>新增修改</w:t>
      </w:r>
      <w:r>
        <w:rPr>
          <w:rFonts w:hint="eastAsia" w:ascii="宋体" w:hAnsi="宋体" w:eastAsia="宋体" w:cs="Times New Roman"/>
          <w:bCs/>
          <w:color w:val="auto"/>
          <w:sz w:val="24"/>
          <w:szCs w:val="24"/>
          <w:highlight w:val="none"/>
        </w:rPr>
        <w:t>”。）</w:t>
      </w:r>
    </w:p>
    <w:p w14:paraId="00F68D99">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条款号：</w:t>
      </w:r>
      <w:r>
        <w:rPr>
          <w:rFonts w:hint="eastAsia" w:ascii="宋体" w:hAnsi="宋体" w:eastAsia="宋体" w:cs="Times New Roman"/>
          <w:b/>
          <w:bCs/>
          <w:color w:val="auto"/>
          <w:sz w:val="24"/>
          <w:szCs w:val="24"/>
          <w:highlight w:val="none"/>
        </w:rPr>
        <w:t>1.</w:t>
      </w:r>
      <w:r>
        <w:rPr>
          <w:rFonts w:ascii="宋体" w:hAnsi="宋体" w:eastAsia="宋体" w:cs="Times New Roman"/>
          <w:b/>
          <w:bCs/>
          <w:color w:val="auto"/>
          <w:sz w:val="24"/>
          <w:szCs w:val="24"/>
          <w:highlight w:val="none"/>
        </w:rPr>
        <w:t xml:space="preserve">       修改类型：修改</w:t>
      </w:r>
    </w:p>
    <w:p w14:paraId="5EEEF71D">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原文：</w:t>
      </w:r>
      <w:r>
        <w:rPr>
          <w:rFonts w:hint="eastAsia" w:ascii="宋体" w:hAnsi="宋体" w:eastAsia="宋体" w:cs="Times New Roman"/>
          <w:b/>
          <w:bCs/>
          <w:color w:val="auto"/>
          <w:sz w:val="24"/>
          <w:szCs w:val="24"/>
          <w:highlight w:val="none"/>
        </w:rPr>
        <w:t>1. 评标方法</w:t>
      </w:r>
    </w:p>
    <w:p w14:paraId="541EBED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7C1C7EA7">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现文：</w:t>
      </w:r>
      <w:r>
        <w:rPr>
          <w:rFonts w:hint="default" w:ascii="宋体" w:hAnsi="宋体" w:eastAsia="宋体" w:cs="Times New Roman"/>
          <w:strike/>
          <w:color w:val="auto"/>
          <w:spacing w:val="-1"/>
          <w:sz w:val="24"/>
          <w:szCs w:val="24"/>
          <w:highlight w:val="none"/>
          <w:lang w:val="en-US"/>
        </w:rPr>
        <w:t>本次评标</w:t>
      </w:r>
      <w:r>
        <w:rPr>
          <w:rFonts w:hint="eastAsia" w:ascii="宋体" w:hAnsi="宋体" w:eastAsia="宋体" w:cs="Times New Roman"/>
          <w:color w:val="auto"/>
          <w:sz w:val="24"/>
          <w:szCs w:val="24"/>
          <w:highlight w:val="none"/>
          <w:u w:val="single"/>
        </w:rPr>
        <w:t>本</w:t>
      </w:r>
      <w:r>
        <w:rPr>
          <w:rFonts w:hint="eastAsia" w:ascii="宋体" w:hAnsi="宋体" w:eastAsia="宋体" w:cs="Times New Roman"/>
          <w:color w:val="auto"/>
          <w:sz w:val="24"/>
          <w:szCs w:val="24"/>
          <w:highlight w:val="none"/>
          <w:u w:val="single"/>
          <w:lang w:val="en-US" w:eastAsia="zh-CN"/>
        </w:rPr>
        <w:t>招标项目</w:t>
      </w:r>
      <w:r>
        <w:rPr>
          <w:rFonts w:hint="eastAsia" w:ascii="宋体" w:hAnsi="宋体" w:eastAsia="宋体" w:cs="Times New Roman"/>
          <w:color w:val="auto"/>
          <w:sz w:val="24"/>
          <w:szCs w:val="24"/>
          <w:highlight w:val="none"/>
        </w:rPr>
        <w:t>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则对具有相同情况的投标人，由评标委员会采用记名投票方式，确定投标人最终名次的排序。</w:t>
      </w:r>
      <w:r>
        <w:rPr>
          <w:rFonts w:hint="eastAsia" w:ascii="宋体" w:hAnsi="宋体" w:eastAsia="宋体" w:cs="Times New Roman"/>
          <w:strike/>
          <w:color w:val="auto"/>
          <w:sz w:val="24"/>
          <w:szCs w:val="24"/>
          <w:highlight w:val="none"/>
        </w:rPr>
        <w:t>，按照评标办法前附表的规定确定中标候选人顺序。</w:t>
      </w:r>
    </w:p>
    <w:p w14:paraId="6D2FDC78">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条款号：</w:t>
      </w:r>
      <w:r>
        <w:rPr>
          <w:rFonts w:hint="eastAsia" w:ascii="宋体" w:hAnsi="宋体" w:eastAsia="宋体" w:cs="Times New Roman"/>
          <w:b/>
          <w:bCs/>
          <w:color w:val="auto"/>
          <w:sz w:val="24"/>
          <w:szCs w:val="24"/>
          <w:highlight w:val="none"/>
        </w:rPr>
        <w:t>3.2.1</w:t>
      </w:r>
      <w:r>
        <w:rPr>
          <w:rFonts w:ascii="宋体" w:hAnsi="宋体" w:eastAsia="宋体" w:cs="Times New Roman"/>
          <w:b/>
          <w:bCs/>
          <w:color w:val="auto"/>
          <w:sz w:val="24"/>
          <w:szCs w:val="24"/>
          <w:highlight w:val="none"/>
        </w:rPr>
        <w:t xml:space="preserve">       修改类型：修改</w:t>
      </w:r>
    </w:p>
    <w:p w14:paraId="7ED7B256">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原文：</w:t>
      </w:r>
      <w:r>
        <w:rPr>
          <w:rFonts w:hint="eastAsia" w:ascii="宋体" w:hAnsi="宋体" w:eastAsia="宋体" w:cs="Times New Roman"/>
          <w:color w:val="auto"/>
          <w:sz w:val="24"/>
          <w:szCs w:val="24"/>
          <w:highlight w:val="none"/>
        </w:rPr>
        <w:t>3.2.1评标委员会按本章第2.2款规定的量化因素和分值进行打分，并计算出综合评估得分。</w:t>
      </w:r>
    </w:p>
    <w:p w14:paraId="33E17EE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按本章第2.2.4（1）目规定的评审因素和分值对资信业绩部分计算出得分A，资信业绩部分评审得分A为评标委员会各成员打分的算术平均值（由招标人自行设置），分数出现小数点，保留小数点后二位，第三位小数四舍五入。</w:t>
      </w:r>
    </w:p>
    <w:p w14:paraId="6CCE793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按本章第2.2.4（2）目规定的评审因素和分值对监理大纲部分计算出得分B，（以下两种方法招标人自行选择）①监理大纲部分评审得分B为从评标委员会各成员打分中去掉一个最高分和去掉一个最低分后的剩余评标委员会成员打分的算术平均值或②监理大纲部分评审得分B为评标委员会各成员打分的算术平均值，分数出现小数点，保留小数点后二位，第三位小数四舍五入。</w:t>
      </w:r>
    </w:p>
    <w:p w14:paraId="480E667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（3）按本章第2.2.4（3）目规定的评审因素和分值对投标报价计算出得分C，分数出现小数点，保留小数点后二位，第三位小数四舍五入。</w:t>
      </w:r>
    </w:p>
    <w:p w14:paraId="6029D30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（4）按本章第2.2.4（4）目规定的评审因素和分值对其他部分计算出得分D，分数出现小数点，保留小数点后二位，第三位小数四舍五入。</w:t>
      </w:r>
    </w:p>
    <w:p w14:paraId="321FA931">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现文：</w:t>
      </w:r>
      <w:r>
        <w:rPr>
          <w:rFonts w:hint="eastAsia" w:ascii="宋体" w:hAnsi="宋体" w:eastAsia="宋体" w:cs="Times New Roman"/>
          <w:color w:val="auto"/>
          <w:sz w:val="24"/>
          <w:szCs w:val="24"/>
          <w:highlight w:val="none"/>
        </w:rPr>
        <w:t>3.2.1评标委员会按本章第2.2款规定的量化因素和分值进行打分，并计算出综合评估得分。</w:t>
      </w:r>
    </w:p>
    <w:p w14:paraId="03AA7B72">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（1）按本章第2.2.4（1）目规定的评审因素和分值对资信业绩部分计算出得分A，资信业绩部分评审得分A为评标委员会各成员打分的算术平均值</w:t>
      </w:r>
      <w:r>
        <w:rPr>
          <w:rFonts w:hint="eastAsia" w:ascii="宋体" w:hAnsi="宋体" w:eastAsia="宋体" w:cs="Times New Roman"/>
          <w:strike/>
          <w:color w:val="auto"/>
          <w:sz w:val="24"/>
          <w:szCs w:val="24"/>
          <w:highlight w:val="none"/>
        </w:rPr>
        <w:t>（由招标人自行设置）</w:t>
      </w:r>
      <w:r>
        <w:rPr>
          <w:rFonts w:hint="eastAsia" w:ascii="宋体" w:hAnsi="宋体" w:eastAsia="宋体" w:cs="Times New Roman"/>
          <w:color w:val="auto"/>
          <w:sz w:val="24"/>
          <w:szCs w:val="24"/>
          <w:highlight w:val="none"/>
        </w:rPr>
        <w:t>，分数出现小数点，保留小数点后二位，第三位小数四舍五入。</w:t>
      </w:r>
    </w:p>
    <w:p w14:paraId="3E4E7232">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（2）按本章第2.2.4（2）目规定的评审因素和分值对监理大纲部分计算出得分B，</w:t>
      </w:r>
      <w:r>
        <w:rPr>
          <w:rFonts w:hint="eastAsia" w:ascii="宋体" w:hAnsi="宋体" w:eastAsia="宋体" w:cs="Times New Roman"/>
          <w:strike/>
          <w:color w:val="auto"/>
          <w:sz w:val="24"/>
          <w:szCs w:val="24"/>
          <w:highlight w:val="none"/>
        </w:rPr>
        <w:t>（以下两种方法招标人自行选择）①监理大纲部分评审得分B为从评标委员会各成员打分中去掉一个最高分和去掉一个最低分后的剩余评标委员会成员打分的算术平均值或</w:t>
      </w:r>
      <w:r>
        <w:rPr>
          <w:rFonts w:hint="eastAsia" w:ascii="宋体" w:hAnsi="宋体" w:eastAsia="宋体" w:cs="Times New Roman"/>
          <w:color w:val="auto"/>
          <w:sz w:val="24"/>
          <w:szCs w:val="24"/>
          <w:highlight w:val="none"/>
        </w:rPr>
        <w:t>②监理大纲部分评审得分B为评标委员会各成员打分的算术平均值，分数出现小数点，保留小数点后二位，第三位小数四舍五入。</w:t>
      </w:r>
    </w:p>
    <w:p w14:paraId="627FC154">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（3）按本章第2.2.4（3）目规定的评审因素和分值对投标报价计算出得分C，分数出现小数点，保留小数点后二位，第三位小数四舍五入。</w:t>
      </w:r>
    </w:p>
    <w:p w14:paraId="3F9212C1">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（4）按本章第2.2.4（4）目规定的评审因素和分值对其他部分计算出得分D，分数出现小数点，保留小数点后二位，第三位小数四舍五入。</w:t>
      </w:r>
    </w:p>
    <w:p w14:paraId="43AC9EA4">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条款号：3.2.4       修改类型：删除</w:t>
      </w:r>
    </w:p>
    <w:p w14:paraId="1DEF5A4C">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原文：</w:t>
      </w:r>
      <w:r>
        <w:rPr>
          <w:rFonts w:hint="eastAsia" w:ascii="宋体" w:hAnsi="宋体" w:eastAsia="宋体" w:cs="Times New Roman"/>
          <w:color w:val="auto"/>
          <w:sz w:val="24"/>
          <w:szCs w:val="24"/>
          <w:highlight w:val="none"/>
        </w:rPr>
        <w:t>3.2.4（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p>
    <w:p w14:paraId="578BB0B8">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条款号：</w:t>
      </w:r>
      <w:r>
        <w:rPr>
          <w:rFonts w:hint="eastAsia"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lang w:val="en-US" w:eastAsia="zh-CN"/>
        </w:rPr>
        <w:t>4.3</w:t>
      </w:r>
      <w:r>
        <w:rPr>
          <w:rFonts w:ascii="宋体" w:hAnsi="宋体" w:eastAsia="宋体" w:cs="Times New Roman"/>
          <w:b/>
          <w:bCs/>
          <w:color w:val="auto"/>
          <w:sz w:val="24"/>
          <w:szCs w:val="24"/>
          <w:highlight w:val="none"/>
        </w:rPr>
        <w:t xml:space="preserve">       修改类型：修改</w:t>
      </w:r>
    </w:p>
    <w:p w14:paraId="7D5E915A">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原文：</w:t>
      </w:r>
      <w:r>
        <w:rPr>
          <w:rFonts w:hint="eastAsia" w:ascii="宋体" w:hAnsi="宋体" w:eastAsia="宋体" w:cs="Times New Roman"/>
          <w:color w:val="auto"/>
          <w:sz w:val="24"/>
          <w:szCs w:val="24"/>
          <w:highlight w:val="none"/>
        </w:rPr>
        <w:t>3.4.3如采用评标定标分离方法的，按相关规定执行。</w:t>
      </w:r>
    </w:p>
    <w:p w14:paraId="68AA54B1">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sz w:val="24"/>
          <w:szCs w:val="24"/>
          <w:highlight w:val="none"/>
          <w:u w:val="single"/>
        </w:rPr>
      </w:pPr>
      <w:r>
        <w:rPr>
          <w:rFonts w:ascii="宋体" w:hAnsi="宋体" w:eastAsia="宋体" w:cs="Times New Roman"/>
          <w:b/>
          <w:bCs/>
          <w:color w:val="auto"/>
          <w:sz w:val="24"/>
          <w:szCs w:val="24"/>
          <w:highlight w:val="none"/>
        </w:rPr>
        <w:t>现文：</w:t>
      </w:r>
      <w:r>
        <w:rPr>
          <w:rFonts w:hint="eastAsia" w:ascii="宋体" w:hAnsi="宋体" w:eastAsia="宋体" w:cs="Times New Roman"/>
          <w:color w:val="auto"/>
          <w:sz w:val="24"/>
          <w:szCs w:val="24"/>
          <w:highlight w:val="none"/>
        </w:rPr>
        <w:t>3.4.3</w:t>
      </w:r>
      <w:r>
        <w:rPr>
          <w:rFonts w:hint="eastAsia" w:ascii="宋体" w:hAnsi="宋体" w:eastAsia="宋体" w:cs="Times New Roman"/>
          <w:strike/>
          <w:dstrike w:val="0"/>
          <w:color w:val="auto"/>
          <w:sz w:val="24"/>
          <w:szCs w:val="24"/>
          <w:highlight w:val="none"/>
        </w:rPr>
        <w:t>如采用评标定标分离方法的，按相关规定执行。</w:t>
      </w:r>
      <w:r>
        <w:rPr>
          <w:rFonts w:hint="eastAsia" w:ascii="宋体" w:hAnsi="宋体" w:eastAsia="宋体" w:cs="Times New Roman"/>
          <w:color w:val="auto"/>
          <w:sz w:val="24"/>
          <w:szCs w:val="24"/>
          <w:highlight w:val="none"/>
          <w:u w:val="single"/>
        </w:rPr>
        <w:t>本项目采用资格后审，其中任意一个标段的登记或满足资格审查合格条件的投标人不足4名、或经评审有效的投标单位不足4名时为该标段招标失败（当N个标段同时招标且不允许兼中时，满足资格审查合格条件的投标人不足N+2名或通过符合性审查的投标人不足N+2名时为招标失败）。招标人分析招标失败原因，修正招标方案，重新组织招标。如其中一个标段重新组织招标，不影响其他标段的正常招标。</w:t>
      </w:r>
    </w:p>
    <w:p w14:paraId="69B76772">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投标申请人可以自行选择登记参加本项目的1个或1个以上标段投标，但不可以兼中，只能中1个标段，否则，由此引起的一切责任由投标人承担。</w:t>
      </w:r>
    </w:p>
    <w:p w14:paraId="4E4EBBB5">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条款号：3.</w:t>
      </w:r>
      <w:r>
        <w:rPr>
          <w:rFonts w:hint="eastAsia" w:ascii="宋体" w:hAnsi="宋体" w:eastAsia="宋体" w:cs="Times New Roman"/>
          <w:b/>
          <w:bCs/>
          <w:color w:val="auto"/>
          <w:sz w:val="24"/>
          <w:szCs w:val="24"/>
          <w:highlight w:val="none"/>
          <w:lang w:val="en-US" w:eastAsia="zh-CN"/>
        </w:rPr>
        <w:t>4.4</w:t>
      </w:r>
      <w:r>
        <w:rPr>
          <w:rFonts w:hint="eastAsia" w:ascii="宋体" w:hAnsi="宋体" w:eastAsia="宋体" w:cs="Times New Roman"/>
          <w:b/>
          <w:bCs/>
          <w:color w:val="auto"/>
          <w:sz w:val="24"/>
          <w:szCs w:val="24"/>
          <w:highlight w:val="none"/>
        </w:rPr>
        <w:t xml:space="preserve">       修改类型：</w:t>
      </w:r>
      <w:r>
        <w:rPr>
          <w:rFonts w:hint="eastAsia" w:ascii="宋体" w:hAnsi="宋体" w:eastAsia="宋体" w:cs="Times New Roman"/>
          <w:b/>
          <w:bCs/>
          <w:color w:val="auto"/>
          <w:sz w:val="24"/>
          <w:szCs w:val="24"/>
          <w:highlight w:val="none"/>
          <w:lang w:val="en-US" w:eastAsia="zh-CN"/>
        </w:rPr>
        <w:t>新增</w:t>
      </w:r>
    </w:p>
    <w:p w14:paraId="03774BC5">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b/>
          <w:bCs/>
          <w:color w:val="auto"/>
          <w:sz w:val="24"/>
          <w:szCs w:val="24"/>
          <w:highlight w:val="none"/>
          <w:lang w:val="en-US" w:eastAsia="zh-CN"/>
        </w:rPr>
        <w:t>现</w:t>
      </w:r>
      <w:r>
        <w:rPr>
          <w:rFonts w:hint="eastAsia" w:ascii="宋体" w:hAnsi="宋体" w:eastAsia="宋体" w:cs="Times New Roman"/>
          <w:b/>
          <w:bCs/>
          <w:color w:val="auto"/>
          <w:sz w:val="24"/>
          <w:szCs w:val="24"/>
          <w:highlight w:val="none"/>
        </w:rPr>
        <w:t>文：</w:t>
      </w:r>
      <w:r>
        <w:rPr>
          <w:rFonts w:hint="eastAsia" w:ascii="宋体" w:hAnsi="宋体" w:eastAsia="宋体" w:cs="Times New Roman"/>
          <w:color w:val="auto"/>
          <w:sz w:val="24"/>
          <w:szCs w:val="24"/>
          <w:highlight w:val="none"/>
          <w:u w:val="single"/>
        </w:rPr>
        <w:t>3.</w:t>
      </w:r>
      <w:r>
        <w:rPr>
          <w:rFonts w:hint="eastAsia" w:ascii="宋体" w:hAnsi="宋体" w:eastAsia="宋体" w:cs="Times New Roman"/>
          <w:color w:val="auto"/>
          <w:sz w:val="24"/>
          <w:szCs w:val="24"/>
          <w:highlight w:val="none"/>
          <w:u w:val="single"/>
          <w:lang w:val="en-US" w:eastAsia="zh-CN"/>
        </w:rPr>
        <w:t>4</w:t>
      </w:r>
      <w:r>
        <w:rPr>
          <w:rFonts w:hint="eastAsia" w:ascii="宋体" w:hAnsi="宋体" w:eastAsia="宋体" w:cs="Times New Roman"/>
          <w:color w:val="auto"/>
          <w:sz w:val="24"/>
          <w:szCs w:val="24"/>
          <w:highlight w:val="none"/>
          <w:u w:val="single"/>
        </w:rPr>
        <w:t>.4定标原则：</w:t>
      </w:r>
    </w:p>
    <w:p w14:paraId="7C0C9EEF">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本次招标设2个标段，本项目招标公告及招标文件中所列要求，除已明示仅适用于某一标段的外，其余内容均适用于本项目下所有标段。</w:t>
      </w:r>
    </w:p>
    <w:p w14:paraId="28F12FF2">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投标人可以参加一个或一个以上标段的投标，但兼投不兼中，只能中其中一个标段。如投标人同时参加多个标段投标的，须按标段分别进行投标登记、分别编制投标文件。同时参加多个标段投标的投标人可只委派1名项目负责人（总监理工程师）、同一个项目管理团队参加投标。中标人推荐原则如下：</w:t>
      </w:r>
    </w:p>
    <w:p w14:paraId="429BE605">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1）若某一投标人在多个标段中同时评审排名第一，则按照优先中最高投标限价较大标段的原则，将其确定为最高投标限价较大标段的第一中标候选人，同时，视为自动放弃其余标段的第一中标候选人资格，其余标段经评审的第二名上升递补成为第一中标候选人，以此类推。</w:t>
      </w:r>
    </w:p>
    <w:p w14:paraId="16DA66F1">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（2）若某一投标人在其中一个标段成为第一中标候选人，则自动放弃其余标段的第二、第三中标候选人资格，经评审的后续排名单位上升递补成为第二或第三中标候选人，以此类推。</w:t>
      </w:r>
    </w:p>
    <w:p w14:paraId="679BE939">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3）如果出现某标段的第一中标候选人放弃中标或因其他原因被取消中标资格的，仅在该标段内按照已确定的中标候选人顺序依次上升替补定标，以此类推；若替补上来的中标候选人已成为其他标段的第一中标候选人或中标人，则该单位不得成为该标段的中标人，由该标段排名其后的中标候选人上升替补定标，并以此类推；若该标段所有中标候选人都不能成为中标人，则该标段招标失败，招标人分析招标失败原因，修正招标方案，重新组织招标。</w:t>
      </w:r>
    </w:p>
    <w:p w14:paraId="55967C05">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（4）若某标段在确定中标候选人后，因其他原因导致该标段重新招标或中标通知书尚未发出，将不影响其他标段中标人的确定。</w:t>
      </w:r>
    </w:p>
    <w:p w14:paraId="4ACE478C">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5）若某标段招标失败不影响另一标段的开标、评标、定标等工作，另一标段的中标候选人按评审排名的先后顺序依次确定。若某标段招标失败而重新招标的，另一标段的中标人不能再成为该项目重新招标标段的中标人。</w:t>
      </w:r>
    </w:p>
    <w:p w14:paraId="61E6541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注：以上修改，仅限于本范本中有可供选择条款的情形。</w:t>
      </w:r>
    </w:p>
    <w:p w14:paraId="7019D6D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ascii="宋体" w:hAnsi="宋体" w:eastAsia="宋体" w:cs="Times New Roman"/>
          <w:color w:val="auto"/>
          <w:sz w:val="24"/>
          <w:szCs w:val="24"/>
          <w:highlight w:val="none"/>
        </w:rPr>
        <w:t>（以下无正文）</w:t>
      </w:r>
    </w:p>
    <w:p w14:paraId="16602B34">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br w:type="page"/>
      </w:r>
      <w:bookmarkStart w:id="160" w:name="_Toc59200688"/>
      <w:bookmarkStart w:id="161" w:name="_Toc14873661"/>
      <w:r>
        <w:rPr>
          <w:rFonts w:ascii="宋体" w:hAnsi="宋体" w:eastAsia="宋体" w:cs="Times New Roman"/>
          <w:b/>
          <w:color w:val="auto"/>
          <w:sz w:val="28"/>
          <w:szCs w:val="20"/>
          <w:highlight w:val="none"/>
        </w:rPr>
        <w:t xml:space="preserve">1. </w:t>
      </w:r>
      <w:r>
        <w:rPr>
          <w:rFonts w:hint="eastAsia" w:ascii="宋体" w:hAnsi="宋体" w:eastAsia="宋体" w:cs="Times New Roman"/>
          <w:b/>
          <w:color w:val="auto"/>
          <w:sz w:val="28"/>
          <w:szCs w:val="20"/>
          <w:highlight w:val="none"/>
        </w:rPr>
        <w:t>评标方法</w:t>
      </w:r>
      <w:bookmarkEnd w:id="160"/>
      <w:bookmarkEnd w:id="161"/>
    </w:p>
    <w:p w14:paraId="0266186D">
      <w:pPr>
        <w:keepNext w:val="0"/>
        <w:keepLines w:val="0"/>
        <w:pageBreakBefore w:val="0"/>
        <w:widowControl w:val="0"/>
        <w:kinsoku w:val="0"/>
        <w:wordWrap w:val="0"/>
        <w:overflowPunct w:val="0"/>
        <w:topLinePunct w:val="0"/>
        <w:autoSpaceDE/>
        <w:autoSpaceDN/>
        <w:bidi w:val="0"/>
        <w:adjustRightInd/>
        <w:snapToGrid/>
        <w:spacing w:line="360" w:lineRule="auto"/>
        <w:ind w:right="0" w:firstLine="476" w:firstLineChars="200"/>
        <w:textAlignment w:val="auto"/>
        <w:rPr>
          <w:rFonts w:hint="eastAsia" w:ascii="宋体" w:hAnsi="宋体" w:eastAsia="宋体" w:cs="Times New Roman"/>
          <w:color w:val="auto"/>
          <w:sz w:val="24"/>
          <w:szCs w:val="24"/>
          <w:highlight w:val="none"/>
        </w:rPr>
      </w:pPr>
      <w:r>
        <w:rPr>
          <w:rFonts w:hint="default" w:ascii="宋体" w:hAnsi="宋体" w:eastAsia="宋体" w:cs="Times New Roman"/>
          <w:strike/>
          <w:color w:val="auto"/>
          <w:spacing w:val="-1"/>
          <w:sz w:val="24"/>
          <w:szCs w:val="24"/>
          <w:highlight w:val="none"/>
          <w:lang w:val="en-US"/>
        </w:rPr>
        <w:t>本次评标</w:t>
      </w:r>
      <w:r>
        <w:rPr>
          <w:rFonts w:hint="eastAsia" w:ascii="宋体" w:hAnsi="宋体" w:eastAsia="宋体" w:cs="Times New Roman"/>
          <w:color w:val="auto"/>
          <w:spacing w:val="-1"/>
          <w:sz w:val="24"/>
          <w:szCs w:val="24"/>
          <w:highlight w:val="none"/>
          <w:lang w:val="en-US" w:eastAsia="zh-CN"/>
        </w:rPr>
        <w:t>本招标项目</w:t>
      </w:r>
      <w:r>
        <w:rPr>
          <w:rFonts w:hint="eastAsia" w:ascii="宋体" w:hAnsi="宋体" w:eastAsia="宋体" w:cs="Times New Roman"/>
          <w:color w:val="auto"/>
          <w:spacing w:val="-1"/>
          <w:sz w:val="24"/>
          <w:szCs w:val="24"/>
          <w:highlight w:val="none"/>
        </w:rPr>
        <w:t>采用综合评估法。评标委员会对满足招标文件实质性要求的投标文件，按照本章</w:t>
      </w:r>
      <w:r>
        <w:rPr>
          <w:rFonts w:hint="eastAsia" w:ascii="宋体" w:hAnsi="宋体" w:eastAsia="宋体" w:cs="Times New Roman"/>
          <w:color w:val="auto"/>
          <w:sz w:val="24"/>
          <w:szCs w:val="24"/>
          <w:highlight w:val="none"/>
        </w:rPr>
        <w:t>第</w:t>
      </w:r>
      <w:r>
        <w:rPr>
          <w:rFonts w:ascii="宋体" w:hAnsi="宋体" w:eastAsia="宋体" w:cs="Times New Roman"/>
          <w:color w:val="auto"/>
          <w:sz w:val="24"/>
          <w:szCs w:val="24"/>
          <w:highlight w:val="none"/>
        </w:rPr>
        <w:t>2.2</w:t>
      </w:r>
      <w:r>
        <w:rPr>
          <w:rFonts w:hint="eastAsia" w:ascii="宋体" w:hAnsi="宋体" w:eastAsia="宋体" w:cs="Times New Roman"/>
          <w:color w:val="auto"/>
          <w:sz w:val="24"/>
          <w:szCs w:val="24"/>
          <w:highlight w:val="none"/>
        </w:rPr>
        <w:t>款规定的评分标准进行打分，并按得分由高到低顺序推荐中标候选人，或根据招标人授</w:t>
      </w:r>
      <w:r>
        <w:rPr>
          <w:rFonts w:hint="eastAsia" w:ascii="宋体" w:hAnsi="宋体" w:eastAsia="宋体" w:cs="Times New Roman"/>
          <w:color w:val="auto"/>
          <w:spacing w:val="-1"/>
          <w:sz w:val="24"/>
          <w:szCs w:val="24"/>
          <w:highlight w:val="none"/>
        </w:rPr>
        <w:t>权直接确定中标人，但投标报价低于其成本的除外。综合评分相等时，以投标报价低的优先；投标报价也相等的，以监理大纲得分高的优先；如果监理大纲得分也相等</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则对具有相同情况的投标人，由评标委员会采用记名投票方式，确定投标人最终名次的排序。</w:t>
      </w:r>
      <w:r>
        <w:rPr>
          <w:rFonts w:hint="eastAsia" w:ascii="宋体" w:hAnsi="宋体" w:eastAsia="宋体" w:cs="Times New Roman"/>
          <w:strike/>
          <w:color w:val="auto"/>
          <w:spacing w:val="-1"/>
          <w:sz w:val="24"/>
          <w:szCs w:val="24"/>
          <w:highlight w:val="none"/>
        </w:rPr>
        <w:t>，按照评标办法前附</w:t>
      </w:r>
      <w:r>
        <w:rPr>
          <w:rFonts w:hint="eastAsia" w:ascii="宋体" w:hAnsi="宋体" w:eastAsia="宋体" w:cs="Times New Roman"/>
          <w:strike/>
          <w:color w:val="auto"/>
          <w:sz w:val="24"/>
          <w:szCs w:val="24"/>
          <w:highlight w:val="none"/>
        </w:rPr>
        <w:t>表的规定确定中标候选人顺序。</w:t>
      </w:r>
    </w:p>
    <w:p w14:paraId="21C3B95C">
      <w:pPr>
        <w:keepNext/>
        <w:keepLines/>
        <w:wordWrap w:val="0"/>
        <w:spacing w:line="360" w:lineRule="auto"/>
        <w:outlineLvl w:val="2"/>
        <w:rPr>
          <w:rFonts w:hint="eastAsia" w:ascii="宋体" w:hAnsi="宋体" w:eastAsia="宋体" w:cs="Times New Roman"/>
          <w:b/>
          <w:color w:val="auto"/>
          <w:sz w:val="28"/>
          <w:szCs w:val="20"/>
          <w:highlight w:val="none"/>
        </w:rPr>
      </w:pPr>
      <w:bookmarkStart w:id="162" w:name="bookmark85"/>
      <w:bookmarkEnd w:id="162"/>
      <w:bookmarkStart w:id="163" w:name="_Toc59200689"/>
      <w:bookmarkStart w:id="164" w:name="_Toc14873662"/>
      <w:r>
        <w:rPr>
          <w:rFonts w:ascii="宋体" w:hAnsi="宋体" w:eastAsia="宋体" w:cs="Times New Roman"/>
          <w:b/>
          <w:color w:val="auto"/>
          <w:sz w:val="28"/>
          <w:szCs w:val="20"/>
          <w:highlight w:val="none"/>
        </w:rPr>
        <w:t xml:space="preserve">2. </w:t>
      </w:r>
      <w:r>
        <w:rPr>
          <w:rFonts w:hint="eastAsia" w:ascii="宋体" w:hAnsi="宋体" w:eastAsia="宋体" w:cs="Times New Roman"/>
          <w:b/>
          <w:color w:val="auto"/>
          <w:sz w:val="28"/>
          <w:szCs w:val="20"/>
          <w:highlight w:val="none"/>
        </w:rPr>
        <w:t>评审标准</w:t>
      </w:r>
      <w:bookmarkEnd w:id="163"/>
      <w:bookmarkEnd w:id="164"/>
    </w:p>
    <w:p w14:paraId="6CAAB4E5">
      <w:pPr>
        <w:keepNext/>
        <w:keepLines/>
        <w:wordWrap w:val="0"/>
        <w:spacing w:line="360" w:lineRule="auto"/>
        <w:outlineLvl w:val="3"/>
        <w:rPr>
          <w:rFonts w:hint="eastAsia" w:ascii="宋体" w:hAnsi="宋体" w:eastAsia="宋体" w:cs="Times New Roman"/>
          <w:b/>
          <w:color w:val="auto"/>
          <w:sz w:val="28"/>
          <w:szCs w:val="28"/>
          <w:highlight w:val="none"/>
        </w:rPr>
      </w:pPr>
      <w:bookmarkStart w:id="165" w:name="bookmark86"/>
      <w:bookmarkEnd w:id="165"/>
      <w:bookmarkStart w:id="166" w:name="_Toc59200690"/>
      <w:r>
        <w:rPr>
          <w:rFonts w:ascii="宋体" w:hAnsi="宋体" w:eastAsia="宋体" w:cs="Times New Roman"/>
          <w:b/>
          <w:color w:val="auto"/>
          <w:sz w:val="28"/>
          <w:szCs w:val="28"/>
          <w:highlight w:val="none"/>
        </w:rPr>
        <w:t>2.1</w:t>
      </w:r>
      <w:r>
        <w:rPr>
          <w:rFonts w:hint="eastAsia" w:ascii="宋体" w:hAnsi="宋体" w:eastAsia="宋体" w:cs="Times New Roman"/>
          <w:b/>
          <w:color w:val="auto"/>
          <w:sz w:val="28"/>
          <w:szCs w:val="28"/>
          <w:highlight w:val="none"/>
        </w:rPr>
        <w:t>初步评审标准</w:t>
      </w:r>
      <w:bookmarkEnd w:id="166"/>
    </w:p>
    <w:p w14:paraId="6BEAA80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2.1.1形式评审标准：见评标办法前附表。</w:t>
      </w:r>
    </w:p>
    <w:p w14:paraId="243E0C76">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2.1.2资格评审标准：见评标办法前附表。</w:t>
      </w:r>
    </w:p>
    <w:p w14:paraId="7B70C994">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2.1.3响应性评审标准：见评标办法前附表。</w:t>
      </w:r>
    </w:p>
    <w:p w14:paraId="30F2343E">
      <w:pPr>
        <w:keepNext/>
        <w:keepLines/>
        <w:wordWrap w:val="0"/>
        <w:spacing w:line="360" w:lineRule="auto"/>
        <w:outlineLvl w:val="3"/>
        <w:rPr>
          <w:rFonts w:hint="eastAsia" w:ascii="宋体" w:hAnsi="宋体" w:eastAsia="宋体" w:cs="Times New Roman"/>
          <w:b/>
          <w:color w:val="auto"/>
          <w:sz w:val="28"/>
          <w:szCs w:val="28"/>
          <w:highlight w:val="none"/>
        </w:rPr>
      </w:pPr>
      <w:bookmarkStart w:id="167" w:name="bookmark87"/>
      <w:bookmarkEnd w:id="167"/>
      <w:bookmarkStart w:id="168" w:name="_Toc59200691"/>
      <w:r>
        <w:rPr>
          <w:rFonts w:ascii="宋体" w:hAnsi="宋体" w:eastAsia="宋体" w:cs="Times New Roman"/>
          <w:b/>
          <w:color w:val="auto"/>
          <w:sz w:val="28"/>
          <w:szCs w:val="28"/>
          <w:highlight w:val="none"/>
        </w:rPr>
        <w:t>2.2</w:t>
      </w:r>
      <w:r>
        <w:rPr>
          <w:rFonts w:hint="eastAsia" w:ascii="宋体" w:hAnsi="宋体" w:eastAsia="宋体" w:cs="Times New Roman"/>
          <w:b/>
          <w:color w:val="auto"/>
          <w:sz w:val="28"/>
          <w:szCs w:val="28"/>
          <w:highlight w:val="none"/>
        </w:rPr>
        <w:t>分值构成与评分标准</w:t>
      </w:r>
      <w:bookmarkEnd w:id="168"/>
    </w:p>
    <w:p w14:paraId="17312FCC">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2.2.1分值构成</w:t>
      </w:r>
    </w:p>
    <w:p w14:paraId="55035D01">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（1）资信业绩部分：见评标办法前附表；</w:t>
      </w:r>
    </w:p>
    <w:p w14:paraId="7D13DC8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（2）监理大纲部分：见评标办法前附表；</w:t>
      </w:r>
    </w:p>
    <w:p w14:paraId="7E004031">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（3）投标报价：见评标办法前附表；</w:t>
      </w:r>
    </w:p>
    <w:p w14:paraId="6AABA27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（4）其他评分因素：见评标办法前附表。</w:t>
      </w:r>
    </w:p>
    <w:p w14:paraId="55859E01">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2.2.2评标基准价计算</w:t>
      </w:r>
    </w:p>
    <w:p w14:paraId="020B6B3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评标基准价计算方法：见评标办法前附表。</w:t>
      </w:r>
    </w:p>
    <w:p w14:paraId="0B1D41E7">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2.2.3投标报价的偏差率计算</w:t>
      </w:r>
    </w:p>
    <w:p w14:paraId="7C75E660">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投标报价的偏差率计算公式：见评标办法前附表。</w:t>
      </w:r>
    </w:p>
    <w:p w14:paraId="5213EF32">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2.2.4评分标准</w:t>
      </w:r>
    </w:p>
    <w:p w14:paraId="61CC254F">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（1）资信业绩评分标准：见评标办法前附表；</w:t>
      </w:r>
    </w:p>
    <w:p w14:paraId="6FC020DC">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（2）监理大纲评分标准：见评标办法前附表；</w:t>
      </w:r>
    </w:p>
    <w:p w14:paraId="38B99DF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（3）投标报价评分标准：见评标办法前附表；</w:t>
      </w:r>
    </w:p>
    <w:p w14:paraId="61804E32">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（4）其他因素评分标准：见评标办法前附表。</w:t>
      </w:r>
    </w:p>
    <w:p w14:paraId="1244BB32">
      <w:pPr>
        <w:keepNext/>
        <w:keepLines/>
        <w:wordWrap w:val="0"/>
        <w:spacing w:line="360" w:lineRule="auto"/>
        <w:outlineLvl w:val="2"/>
        <w:rPr>
          <w:rFonts w:hint="eastAsia" w:ascii="宋体" w:hAnsi="宋体" w:eastAsia="宋体" w:cs="Times New Roman"/>
          <w:b/>
          <w:color w:val="auto"/>
          <w:sz w:val="28"/>
          <w:szCs w:val="20"/>
          <w:highlight w:val="none"/>
        </w:rPr>
      </w:pPr>
      <w:bookmarkStart w:id="169" w:name="bookmark88"/>
      <w:bookmarkEnd w:id="169"/>
      <w:bookmarkStart w:id="170" w:name="_Toc14873663"/>
      <w:bookmarkStart w:id="171" w:name="_Toc59200692"/>
      <w:r>
        <w:rPr>
          <w:rFonts w:ascii="宋体" w:hAnsi="宋体" w:eastAsia="宋体" w:cs="Times New Roman"/>
          <w:b/>
          <w:color w:val="auto"/>
          <w:sz w:val="28"/>
          <w:szCs w:val="20"/>
          <w:highlight w:val="none"/>
        </w:rPr>
        <w:t xml:space="preserve">3. </w:t>
      </w:r>
      <w:r>
        <w:rPr>
          <w:rFonts w:hint="eastAsia" w:ascii="宋体" w:hAnsi="宋体" w:eastAsia="宋体" w:cs="Times New Roman"/>
          <w:b/>
          <w:color w:val="auto"/>
          <w:sz w:val="28"/>
          <w:szCs w:val="20"/>
          <w:highlight w:val="none"/>
        </w:rPr>
        <w:t>评标程序</w:t>
      </w:r>
      <w:bookmarkEnd w:id="170"/>
      <w:bookmarkEnd w:id="171"/>
    </w:p>
    <w:p w14:paraId="71CE2E46">
      <w:pPr>
        <w:keepNext/>
        <w:keepLines/>
        <w:wordWrap w:val="0"/>
        <w:spacing w:line="360" w:lineRule="auto"/>
        <w:outlineLvl w:val="3"/>
        <w:rPr>
          <w:rFonts w:hint="eastAsia" w:ascii="宋体" w:hAnsi="宋体" w:eastAsia="宋体" w:cs="Times New Roman"/>
          <w:b/>
          <w:color w:val="auto"/>
          <w:sz w:val="28"/>
          <w:szCs w:val="28"/>
          <w:highlight w:val="none"/>
        </w:rPr>
      </w:pPr>
      <w:bookmarkStart w:id="172" w:name="bookmark89"/>
      <w:bookmarkEnd w:id="172"/>
      <w:r>
        <w:rPr>
          <w:rFonts w:ascii="宋体" w:hAnsi="宋体" w:eastAsia="宋体" w:cs="Times New Roman"/>
          <w:b/>
          <w:color w:val="auto"/>
          <w:sz w:val="28"/>
          <w:szCs w:val="28"/>
          <w:highlight w:val="none"/>
        </w:rPr>
        <w:t>3.1</w:t>
      </w:r>
      <w:r>
        <w:rPr>
          <w:rFonts w:hint="eastAsia" w:ascii="宋体" w:hAnsi="宋体" w:eastAsia="宋体" w:cs="Times New Roman"/>
          <w:b/>
          <w:color w:val="auto"/>
          <w:sz w:val="28"/>
          <w:szCs w:val="28"/>
          <w:highlight w:val="none"/>
        </w:rPr>
        <w:t>初步评审</w:t>
      </w:r>
    </w:p>
    <w:p w14:paraId="5582B716">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3.1.1评标委员会如认为有必要，可以要求投标人提交第二章“投标人须知”规定的有关证明和证件的原件，以便核验。评标委员会依据本章第2.1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持不同意见的评标委员会成员应以书面形式阐述其意见和理由并记录在案。</w:t>
      </w:r>
    </w:p>
    <w:p w14:paraId="12B6AB7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3.1.1.1形式评审：</w:t>
      </w:r>
    </w:p>
    <w:p w14:paraId="04DD0AB1">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评标委员会根据评标办法前附表中规定的评审因素和评审标准，对投标人的文件进行形式评审。通过形式评审的投标文件方可参加下一阶段评审程序。</w:t>
      </w:r>
    </w:p>
    <w:p w14:paraId="2EEFD196">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3.1.1.2资格评审：</w:t>
      </w:r>
    </w:p>
    <w:p w14:paraId="4148448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评标委员会根据评标办法前附表中的规定的评审因素和评审标准，对投标人的资格审查文件进行资格评审。通过资格评审的投标文件方可参加下一阶段评审程序。</w:t>
      </w:r>
    </w:p>
    <w:p w14:paraId="0C7AC5F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3.1.1.3响应性评审：</w:t>
      </w:r>
    </w:p>
    <w:p w14:paraId="5D0A62E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评标委员会根据评标办法前附表中规定的评审因素和评审标准，对投标人的商务文件进行响应性评审。通过商务文件响应性评审的投标文件方可参加下一阶段评审程序。</w:t>
      </w:r>
    </w:p>
    <w:p w14:paraId="728162F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3.1.2投标人有以下情形之一的，评标委员会应当否决其投标：</w:t>
      </w:r>
    </w:p>
    <w:p w14:paraId="68BF04F5">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（1）投标文件没有对招标文件的实质性要求和条件作出响应，或者对招标文件的偏差超出招标文件规定的偏差范围或最高项数；</w:t>
      </w:r>
    </w:p>
    <w:p w14:paraId="032E19D4">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（2）有串通投标、弄虚作假、行贿等违法行为。</w:t>
      </w:r>
    </w:p>
    <w:p w14:paraId="1AA17FEF">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招标人设置了成本警示价的，对于低于成本警示价的投标报价，投标人必须提供详细的单价、措施、投标人成本等分析供评标委员会评审，由评标委员会判定其是否低于企业自身成本。在评标过程中，评标委员会发现投标人的报价明显低于其他投标报价或者低于成本警示价，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40B5A3DB">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（4）投标人与其他投标人加密打包投标文件硬件特征码一致的。</w:t>
      </w:r>
    </w:p>
    <w:p w14:paraId="135BE39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（5）评标办法规定的其他应当否决其投标的情形。</w:t>
      </w:r>
    </w:p>
    <w:p w14:paraId="473732A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3.1.3投标报价有算术错误及其他错误的，评标委员会按以下原则要求投标人对投标报价进行修正，并要求投标人书面澄清确认。投标人拒不澄清确认的，投标人拒不接受的，评标委员会应当否决其投标：</w:t>
      </w:r>
    </w:p>
    <w:p w14:paraId="2B9F3B36">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（1）投标文件中的大写金额与小写金额不一致的，以大写金额为准；</w:t>
      </w:r>
    </w:p>
    <w:p w14:paraId="16AF5AD7">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03CA3E0">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3.1.4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14:paraId="1167A3F1">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3.1.5有效投标不足三个的，评标委员会应当对投标是否明显缺乏竞争和是否需要否决全部投标进行充分论证，并在评标报告中记载论证过程和结果。</w:t>
      </w:r>
    </w:p>
    <w:p w14:paraId="0775034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3.1.6若评标委员会各成员对否决投标意见不一致时，则按少数服从多数的原则作出评审结论。持有不同意见的评标委员会成员应书面记录本人意见后上传至评标系统，招标人应对评标委员会的意见合法、合理性进行确认。</w:t>
      </w:r>
    </w:p>
    <w:p w14:paraId="2F0BA139">
      <w:pPr>
        <w:keepNext/>
        <w:keepLines/>
        <w:wordWrap w:val="0"/>
        <w:spacing w:line="360" w:lineRule="auto"/>
        <w:outlineLvl w:val="3"/>
        <w:rPr>
          <w:rFonts w:hint="eastAsia" w:ascii="宋体" w:hAnsi="宋体" w:eastAsia="宋体" w:cs="Times New Roman"/>
          <w:b/>
          <w:color w:val="auto"/>
          <w:sz w:val="28"/>
          <w:szCs w:val="28"/>
          <w:highlight w:val="none"/>
        </w:rPr>
      </w:pPr>
      <w:bookmarkStart w:id="173" w:name="bookmark90"/>
      <w:bookmarkEnd w:id="173"/>
      <w:bookmarkStart w:id="174" w:name="_Toc59200693"/>
      <w:r>
        <w:rPr>
          <w:rFonts w:ascii="宋体" w:hAnsi="宋体" w:eastAsia="宋体" w:cs="Times New Roman"/>
          <w:b/>
          <w:color w:val="auto"/>
          <w:sz w:val="28"/>
          <w:szCs w:val="28"/>
          <w:highlight w:val="none"/>
        </w:rPr>
        <w:t>3.2</w:t>
      </w:r>
      <w:r>
        <w:rPr>
          <w:rFonts w:hint="eastAsia" w:ascii="宋体" w:hAnsi="宋体" w:eastAsia="宋体" w:cs="Times New Roman"/>
          <w:b/>
          <w:color w:val="auto"/>
          <w:sz w:val="28"/>
          <w:szCs w:val="28"/>
          <w:highlight w:val="none"/>
        </w:rPr>
        <w:t>详细评审</w:t>
      </w:r>
      <w:bookmarkEnd w:id="174"/>
    </w:p>
    <w:p w14:paraId="3BA755D4">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3.2.1评标委员会按本章第2.2款规定的量化因素和分值进行打分，并计算出综合评估得分。</w:t>
      </w:r>
    </w:p>
    <w:p w14:paraId="1D948ACC">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（1）按本章第2.2.4（1）目规定的评审因素和分值对资信业绩部分计算出得分A，资信业绩部分评审得分A为评标委员会各成员打分的算术平均值</w:t>
      </w:r>
      <w:r>
        <w:rPr>
          <w:rFonts w:hint="eastAsia" w:ascii="宋体" w:hAnsi="宋体" w:eastAsia="宋体" w:cs="Times New Roman"/>
          <w:strike/>
          <w:color w:val="auto"/>
          <w:sz w:val="24"/>
          <w:szCs w:val="24"/>
          <w:highlight w:val="none"/>
        </w:rPr>
        <w:t>（由招标人自行设置）</w:t>
      </w:r>
      <w:r>
        <w:rPr>
          <w:rFonts w:hint="eastAsia" w:ascii="宋体" w:hAnsi="宋体" w:eastAsia="宋体" w:cs="Times New Roman"/>
          <w:color w:val="auto"/>
          <w:sz w:val="24"/>
          <w:szCs w:val="24"/>
          <w:highlight w:val="none"/>
        </w:rPr>
        <w:t>，分数出现小数点，保留小数点后二位，第三位小数四舍五入。</w:t>
      </w:r>
    </w:p>
    <w:p w14:paraId="669D7359">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（2）按本章第2.2.4（2）目规定的评审因素和分值对监理大纲部分计算出得分B，</w:t>
      </w:r>
      <w:r>
        <w:rPr>
          <w:rFonts w:hint="eastAsia" w:ascii="宋体" w:hAnsi="宋体" w:eastAsia="宋体" w:cs="Times New Roman"/>
          <w:strike/>
          <w:color w:val="auto"/>
          <w:sz w:val="24"/>
          <w:szCs w:val="24"/>
          <w:highlight w:val="none"/>
        </w:rPr>
        <w:t>（以下两种方法招标人自行选择）①监理大纲部分评审得分B为从评标委员会各成员打分中去掉一个最高分和去掉一个最低分后的剩余评标委员会成员打分的算术平均值或</w:t>
      </w:r>
      <w:r>
        <w:rPr>
          <w:rFonts w:hint="eastAsia" w:ascii="宋体" w:hAnsi="宋体" w:eastAsia="宋体" w:cs="Times New Roman"/>
          <w:color w:val="auto"/>
          <w:sz w:val="24"/>
          <w:szCs w:val="24"/>
          <w:highlight w:val="none"/>
        </w:rPr>
        <w:t>②监理大纲部分评审得分B为评标委员会各成员打分的算术平均值，分数出现小数点，保留小数点后二位，第三位小数四舍五入。</w:t>
      </w:r>
    </w:p>
    <w:p w14:paraId="415F02DC">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（3）按本章第2.2.4（3）目规定的评审因素和分值对投标报价计算出得分C，分数出现小数点，保留小数点后二位，第三位小数四舍五入。</w:t>
      </w:r>
    </w:p>
    <w:p w14:paraId="74FD907A">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（4）按本章第2.2.4（4）目规定的评审因素和分值对其他部分计算出得分D，分数出现小数点，保留小数点后二位，第三位小数四舍五入。</w:t>
      </w:r>
    </w:p>
    <w:p w14:paraId="3E9CA15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3.2.2评分分值计算保留小数点后两位，小数点后第三位“四舍五入”。</w:t>
      </w:r>
    </w:p>
    <w:p w14:paraId="19E74F2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3.2.3投标人得分=A+B+C+D。</w:t>
      </w:r>
    </w:p>
    <w:p w14:paraId="54ABAF2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strike/>
          <w:dstrike w:val="0"/>
          <w:color w:val="auto"/>
          <w:spacing w:val="-6"/>
          <w:sz w:val="24"/>
          <w:szCs w:val="24"/>
          <w:highlight w:val="none"/>
        </w:rPr>
      </w:pPr>
      <w:r>
        <w:rPr>
          <w:rFonts w:hint="eastAsia" w:ascii="宋体" w:hAnsi="宋体" w:eastAsia="宋体" w:cs="Times New Roman"/>
          <w:strike/>
          <w:dstrike w:val="0"/>
          <w:color w:val="auto"/>
          <w:sz w:val="24"/>
          <w:szCs w:val="24"/>
          <w:highlight w:val="none"/>
        </w:rPr>
        <w:t>3.2.4（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p>
    <w:p w14:paraId="596AFF3F">
      <w:pPr>
        <w:keepNext/>
        <w:keepLines/>
        <w:wordWrap w:val="0"/>
        <w:spacing w:line="360" w:lineRule="auto"/>
        <w:outlineLvl w:val="3"/>
        <w:rPr>
          <w:rFonts w:hint="eastAsia" w:ascii="宋体" w:hAnsi="宋体" w:eastAsia="宋体" w:cs="Times New Roman"/>
          <w:b/>
          <w:color w:val="auto"/>
          <w:sz w:val="28"/>
          <w:szCs w:val="28"/>
          <w:highlight w:val="none"/>
        </w:rPr>
      </w:pPr>
      <w:bookmarkStart w:id="175" w:name="bookmark91"/>
      <w:bookmarkEnd w:id="175"/>
      <w:r>
        <w:rPr>
          <w:rFonts w:ascii="宋体" w:hAnsi="宋体" w:eastAsia="宋体" w:cs="Times New Roman"/>
          <w:b/>
          <w:color w:val="auto"/>
          <w:sz w:val="28"/>
          <w:szCs w:val="28"/>
          <w:highlight w:val="none"/>
        </w:rPr>
        <w:t>3.3</w:t>
      </w:r>
      <w:r>
        <w:rPr>
          <w:rFonts w:hint="eastAsia" w:ascii="宋体" w:hAnsi="宋体" w:eastAsia="宋体" w:cs="Times New Roman"/>
          <w:b/>
          <w:color w:val="auto"/>
          <w:sz w:val="28"/>
          <w:szCs w:val="28"/>
          <w:highlight w:val="none"/>
        </w:rPr>
        <w:t>投标文件的澄清</w:t>
      </w:r>
    </w:p>
    <w:p w14:paraId="557E008B">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1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DE7C20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.2澄清、说明或补正不得超出投标文件的范围且不得改变投标文件实质性内容，并构成投标文件的组成部分。</w:t>
      </w:r>
    </w:p>
    <w:p w14:paraId="1F0BE8E7">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.3评标委员会对投标人提交的澄清、说明或补正有疑问的，可以要求投标人进一步澄清、说明或补正，直到满足评标委员会的要求。</w:t>
      </w:r>
    </w:p>
    <w:p w14:paraId="5D4D7803">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001F68B">
      <w:pPr>
        <w:keepNext/>
        <w:keepLines/>
        <w:wordWrap w:val="0"/>
        <w:spacing w:line="360" w:lineRule="auto"/>
        <w:outlineLvl w:val="3"/>
        <w:rPr>
          <w:rFonts w:hint="eastAsia" w:ascii="宋体" w:hAnsi="宋体" w:eastAsia="宋体" w:cs="Times New Roman"/>
          <w:b/>
          <w:color w:val="auto"/>
          <w:sz w:val="28"/>
          <w:szCs w:val="28"/>
          <w:highlight w:val="none"/>
        </w:rPr>
      </w:pPr>
      <w:bookmarkStart w:id="176" w:name="bookmark92"/>
      <w:bookmarkEnd w:id="176"/>
      <w:r>
        <w:rPr>
          <w:rFonts w:ascii="宋体" w:hAnsi="宋体" w:eastAsia="宋体" w:cs="Times New Roman"/>
          <w:b/>
          <w:color w:val="auto"/>
          <w:sz w:val="28"/>
          <w:szCs w:val="28"/>
          <w:highlight w:val="none"/>
        </w:rPr>
        <w:t>3.4</w:t>
      </w:r>
      <w:r>
        <w:rPr>
          <w:rFonts w:hint="eastAsia" w:ascii="宋体" w:hAnsi="宋体" w:eastAsia="宋体" w:cs="Times New Roman"/>
          <w:b/>
          <w:color w:val="auto"/>
          <w:sz w:val="28"/>
          <w:szCs w:val="28"/>
          <w:highlight w:val="none"/>
        </w:rPr>
        <w:t>评标结果</w:t>
      </w:r>
    </w:p>
    <w:p w14:paraId="290CAAC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3.4.1除第二章“投标人须知”前附表授权直接确定中标人外，评标委员会按照得分由高到低的顺序推荐中标候选人，并标明排序。</w:t>
      </w:r>
    </w:p>
    <w:p w14:paraId="66009CCF">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3.4.2评标委员会完成评标后，应当向招标人提交书面评标报告和中标候选人名单。</w:t>
      </w:r>
    </w:p>
    <w:p w14:paraId="611A190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3.4.3</w:t>
      </w:r>
      <w:r>
        <w:rPr>
          <w:rFonts w:hint="eastAsia" w:ascii="宋体" w:hAnsi="宋体" w:eastAsia="宋体" w:cs="Times New Roman"/>
          <w:strike/>
          <w:dstrike w:val="0"/>
          <w:color w:val="auto"/>
          <w:sz w:val="24"/>
          <w:szCs w:val="24"/>
          <w:highlight w:val="none"/>
        </w:rPr>
        <w:t>如采用评标定标分离方法的，按相关规定执行。</w:t>
      </w:r>
      <w:r>
        <w:rPr>
          <w:rFonts w:hint="eastAsia" w:ascii="宋体" w:hAnsi="宋体" w:eastAsia="宋体" w:cs="Times New Roman"/>
          <w:color w:val="auto"/>
          <w:sz w:val="24"/>
          <w:szCs w:val="24"/>
          <w:highlight w:val="none"/>
          <w:u w:val="single"/>
        </w:rPr>
        <w:t>本项目采用资格后审，其中任意一个标段的登记或满足资格审查合格条件的投标人不足4名、或经评审有效的投标单位不足4名时为该标段招标失败（当N个标段同时招标且不允许兼中时，满足资格审查合格条件的投标人不足N+2名或通过符合性审查的投标人不足N+2名时为招标失败）。招标人分析招标失败原因，修正招标方案，重新组织招标。如其中一个标段重新组织招标，不影响其他标段的正常招标。</w:t>
      </w:r>
    </w:p>
    <w:p w14:paraId="6D1172BD">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投标申请人可以自行选择登记参加本项目的1个或1个以上标段投标，但不可以兼中，只能中1个标段，否则，由此引起的一切责任由投标人承担。</w:t>
      </w:r>
    </w:p>
    <w:p w14:paraId="09B1DC62">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3.4.4定标原则：</w:t>
      </w:r>
    </w:p>
    <w:p w14:paraId="3515C426">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本次招标设2个标段，本项目招标公告及招标文件中所列要求，除已明示仅适用于某一标段的外，其余内容均适用于本项目下所有标段。</w:t>
      </w:r>
    </w:p>
    <w:p w14:paraId="4A9D5AE4">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投标人可以参加一个或一个以上标段的投标，但兼投不兼中，只能中其中一个标段。如投标人同时参加多个标段投标的，须按标段分别进行投标登记、分别编制投标文件。同时参加多个标段投标的投标人可只委派1名项目负责人（总监理工程师）、同一个项目管理团队参加投标。中标人推荐原则如下：</w:t>
      </w:r>
    </w:p>
    <w:p w14:paraId="6C48C583">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1）若某一投标人在多个标段中同时评审排名第一，则按照优先中最高投标限价较大标段的原则，将其确定为最高投标限价较大标段的第一中标候选人，同时，视为自动放弃其余标段的第一中标候选人资格，其余标段经评审的第二名上升递补成为第一中标候选人，以此类推。</w:t>
      </w:r>
    </w:p>
    <w:p w14:paraId="06DD447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（2）若某一投标人在其中一个标段成为第一中标候选人，则自动放弃其余标段的第二、第三中标候选人资格，经评审的后续排名单位上升递补成为第二或第三中标候选人，以此类推。</w:t>
      </w:r>
    </w:p>
    <w:p w14:paraId="366A9BDD">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3）如果出现某标段的第一中标候选人放弃中标或因其他原因被取消中标资格的，仅在该标段内按照已确定的中标候选人顺序依次上升替补定标，以此类推；若替补上来的中标候选人已成为其他标段的第一中标候选人或中标人，则该单位不得成为该标段的中标人，由该标段排名其后的中标候选人上升替补定标，并以此类推；若该标段所有中标候选人都不能成为中标人，则该标段招标失败，招标人分析招标失败原因，修正招标方案，重新组织招标。</w:t>
      </w:r>
    </w:p>
    <w:p w14:paraId="44D041E0">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（4）若某标段在确定中标候选人后，因其他原因导致该标段重新招标或中标通知书尚未发出，将不影响其他标段中标人的确定。</w:t>
      </w:r>
    </w:p>
    <w:p w14:paraId="6C0626FB">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u w:val="single"/>
        </w:rPr>
        <w:t>（5）若某标段招标失败不影响另一标段的开标、评标、定标等工作，另一标段的中标候选人按评审排名的先后顺序依次确定。若某标段招标失败而重新招标的，另一标段的中标人不能再成为该项目重新招标标段的中标人。</w:t>
      </w:r>
    </w:p>
    <w:p w14:paraId="304851C3">
      <w:pPr>
        <w:wordWrap w:val="0"/>
        <w:spacing w:before="340" w:after="330"/>
        <w:jc w:val="center"/>
        <w:outlineLvl w:val="0"/>
        <w:rPr>
          <w:rFonts w:hint="eastAsia" w:ascii="宋体" w:hAnsi="宋体" w:eastAsia="宋体" w:cs="Times New Roman"/>
          <w:b/>
          <w:color w:val="auto"/>
          <w:kern w:val="44"/>
          <w:sz w:val="44"/>
          <w:szCs w:val="20"/>
          <w:highlight w:val="none"/>
        </w:rPr>
      </w:pPr>
      <w:bookmarkStart w:id="177" w:name="_Toc526786491"/>
      <w:bookmarkStart w:id="178" w:name="_Toc31071"/>
      <w:r>
        <w:rPr>
          <w:rFonts w:ascii="宋体" w:hAnsi="宋体" w:eastAsia="宋体" w:cs="Times New Roman"/>
          <w:b/>
          <w:color w:val="auto"/>
          <w:kern w:val="44"/>
          <w:sz w:val="44"/>
          <w:szCs w:val="20"/>
          <w:highlight w:val="none"/>
        </w:rPr>
        <w:br w:type="page"/>
      </w:r>
      <w:bookmarkStart w:id="179" w:name="_Toc59200694"/>
      <w:r>
        <w:rPr>
          <w:rFonts w:hint="eastAsia" w:ascii="宋体" w:hAnsi="宋体" w:eastAsia="宋体" w:cs="Times New Roman"/>
          <w:b/>
          <w:color w:val="auto"/>
          <w:kern w:val="44"/>
          <w:sz w:val="44"/>
          <w:szCs w:val="20"/>
          <w:highlight w:val="none"/>
        </w:rPr>
        <w:t>第四章</w:t>
      </w:r>
      <w:r>
        <w:rPr>
          <w:rFonts w:ascii="宋体" w:hAnsi="宋体" w:eastAsia="宋体" w:cs="Times New Roman"/>
          <w:b/>
          <w:color w:val="auto"/>
          <w:kern w:val="44"/>
          <w:sz w:val="44"/>
          <w:szCs w:val="20"/>
          <w:highlight w:val="none"/>
        </w:rPr>
        <w:t xml:space="preserve"> </w:t>
      </w:r>
      <w:r>
        <w:rPr>
          <w:rFonts w:hint="eastAsia" w:ascii="宋体" w:hAnsi="宋体" w:eastAsia="宋体" w:cs="Times New Roman"/>
          <w:b/>
          <w:color w:val="auto"/>
          <w:kern w:val="44"/>
          <w:sz w:val="44"/>
          <w:szCs w:val="20"/>
          <w:highlight w:val="none"/>
        </w:rPr>
        <w:t>合同条款及格式</w:t>
      </w:r>
      <w:bookmarkEnd w:id="177"/>
      <w:bookmarkEnd w:id="178"/>
      <w:bookmarkEnd w:id="179"/>
    </w:p>
    <w:p w14:paraId="617572CA">
      <w:pPr>
        <w:wordWrap w:val="0"/>
        <w:spacing w:line="360" w:lineRule="auto"/>
        <w:jc w:val="center"/>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u w:val="single"/>
        </w:rPr>
        <w:t>（另册）</w:t>
      </w:r>
    </w:p>
    <w:p w14:paraId="71C19E20">
      <w:pPr>
        <w:wordWrap w:val="0"/>
        <w:rPr>
          <w:rFonts w:hint="eastAsia" w:ascii="宋体" w:hAnsi="宋体" w:eastAsia="宋体" w:cs="Times New Roman"/>
          <w:b/>
          <w:color w:val="auto"/>
          <w:highlight w:val="none"/>
        </w:rPr>
      </w:pPr>
    </w:p>
    <w:p w14:paraId="2BDC1D4C">
      <w:pPr>
        <w:wordWrap w:val="0"/>
        <w:spacing w:before="340" w:after="330"/>
        <w:jc w:val="center"/>
        <w:outlineLvl w:val="0"/>
        <w:rPr>
          <w:rFonts w:hint="eastAsia" w:ascii="宋体" w:hAnsi="宋体" w:eastAsia="宋体" w:cs="Times New Roman"/>
          <w:b/>
          <w:color w:val="auto"/>
          <w:kern w:val="44"/>
          <w:sz w:val="44"/>
          <w:szCs w:val="20"/>
          <w:highlight w:val="none"/>
        </w:rPr>
      </w:pPr>
      <w:r>
        <w:rPr>
          <w:rFonts w:ascii="宋体" w:hAnsi="宋体" w:eastAsia="宋体" w:cs="Times New Roman"/>
          <w:b/>
          <w:color w:val="auto"/>
          <w:kern w:val="44"/>
          <w:sz w:val="44"/>
          <w:szCs w:val="20"/>
          <w:highlight w:val="none"/>
        </w:rPr>
        <w:br w:type="page"/>
      </w:r>
      <w:bookmarkStart w:id="180" w:name="_Toc59200695"/>
      <w:bookmarkStart w:id="181" w:name="_Toc25312"/>
      <w:bookmarkStart w:id="182" w:name="_Toc526786492"/>
      <w:bookmarkStart w:id="183" w:name="_Toc246996338"/>
      <w:bookmarkStart w:id="184" w:name="_Toc179632787"/>
      <w:bookmarkStart w:id="185" w:name="_Toc247085853"/>
      <w:bookmarkStart w:id="186" w:name="_Toc246997081"/>
      <w:bookmarkStart w:id="187" w:name="_Toc152042388"/>
      <w:bookmarkStart w:id="188" w:name="_Toc152045610"/>
      <w:bookmarkStart w:id="189" w:name="_Toc247514197"/>
      <w:bookmarkStart w:id="190" w:name="_Toc184635122"/>
      <w:bookmarkStart w:id="191" w:name="_Toc144974829"/>
      <w:bookmarkStart w:id="192" w:name="_Toc144974578"/>
      <w:bookmarkStart w:id="193" w:name="_Toc247527798"/>
      <w:bookmarkStart w:id="194" w:name="_Toc300835199"/>
      <w:bookmarkStart w:id="195" w:name="_Toc152042549"/>
      <w:r>
        <w:rPr>
          <w:rFonts w:hint="eastAsia" w:ascii="宋体" w:hAnsi="宋体" w:eastAsia="宋体" w:cs="Times New Roman"/>
          <w:b/>
          <w:color w:val="auto"/>
          <w:kern w:val="44"/>
          <w:sz w:val="44"/>
          <w:szCs w:val="20"/>
          <w:highlight w:val="none"/>
        </w:rPr>
        <w:t>第二卷</w:t>
      </w:r>
      <w:bookmarkEnd w:id="180"/>
      <w:bookmarkEnd w:id="181"/>
      <w:bookmarkEnd w:id="182"/>
    </w:p>
    <w:p w14:paraId="365CC733">
      <w:pPr>
        <w:wordWrap w:val="0"/>
        <w:spacing w:before="340" w:after="330"/>
        <w:jc w:val="center"/>
        <w:outlineLvl w:val="0"/>
        <w:rPr>
          <w:rFonts w:hint="eastAsia" w:ascii="宋体" w:hAnsi="宋体" w:eastAsia="宋体" w:cs="Times New Roman"/>
          <w:b/>
          <w:color w:val="auto"/>
          <w:kern w:val="44"/>
          <w:sz w:val="44"/>
          <w:szCs w:val="20"/>
          <w:highlight w:val="none"/>
        </w:rPr>
      </w:pPr>
      <w:bookmarkStart w:id="196" w:name="_Toc59200696"/>
      <w:bookmarkStart w:id="197" w:name="_Toc526786493"/>
      <w:r>
        <w:rPr>
          <w:rFonts w:hint="eastAsia" w:ascii="宋体" w:hAnsi="宋体" w:eastAsia="宋体" w:cs="Times New Roman"/>
          <w:b/>
          <w:color w:val="auto"/>
          <w:kern w:val="44"/>
          <w:sz w:val="44"/>
          <w:szCs w:val="20"/>
          <w:highlight w:val="none"/>
        </w:rPr>
        <w:t>第五章</w:t>
      </w:r>
      <w:r>
        <w:rPr>
          <w:rFonts w:ascii="宋体" w:hAnsi="宋体" w:eastAsia="宋体" w:cs="Times New Roman"/>
          <w:b/>
          <w:color w:val="auto"/>
          <w:kern w:val="44"/>
          <w:sz w:val="44"/>
          <w:szCs w:val="20"/>
          <w:highlight w:val="none"/>
        </w:rPr>
        <w:t xml:space="preserve"> </w:t>
      </w:r>
      <w:r>
        <w:rPr>
          <w:rFonts w:hint="eastAsia" w:ascii="宋体" w:hAnsi="宋体" w:eastAsia="宋体" w:cs="Times New Roman"/>
          <w:b/>
          <w:color w:val="auto"/>
          <w:kern w:val="44"/>
          <w:sz w:val="44"/>
          <w:szCs w:val="20"/>
          <w:highlight w:val="none"/>
        </w:rPr>
        <w:t>委托人要求</w:t>
      </w:r>
      <w:bookmarkEnd w:id="196"/>
    </w:p>
    <w:p w14:paraId="377B5613">
      <w:pPr>
        <w:keepNext/>
        <w:keepLines/>
        <w:widowControl w:val="0"/>
        <w:spacing w:line="360" w:lineRule="auto"/>
        <w:jc w:val="both"/>
        <w:outlineLvl w:val="2"/>
        <w:rPr>
          <w:rFonts w:ascii="Times New Roman" w:hAnsi="Times New Roman" w:eastAsia="宋体" w:cs="Times New Roman"/>
          <w:b/>
          <w:bCs/>
          <w:color w:val="auto"/>
          <w:kern w:val="0"/>
          <w:sz w:val="24"/>
          <w:szCs w:val="32"/>
          <w:highlight w:val="none"/>
          <w:lang w:val="en-US" w:eastAsia="zh-CN" w:bidi="ar-SA"/>
        </w:rPr>
      </w:pPr>
      <w:bookmarkStart w:id="198" w:name="_Toc189921834"/>
      <w:r>
        <w:rPr>
          <w:rFonts w:hint="eastAsia" w:ascii="Times New Roman" w:hAnsi="Times New Roman" w:eastAsia="宋体" w:cs="Times New Roman"/>
          <w:b/>
          <w:bCs/>
          <w:color w:val="auto"/>
          <w:kern w:val="0"/>
          <w:sz w:val="24"/>
          <w:szCs w:val="32"/>
          <w:highlight w:val="none"/>
          <w:lang w:val="en-US" w:eastAsia="zh-CN" w:bidi="ar-SA"/>
        </w:rPr>
        <w:t>本工程的监理工作按现行国家相关要求执行，委托人其他要求详见合同。</w:t>
      </w:r>
      <w:bookmarkEnd w:id="198"/>
    </w:p>
    <w:bookmarkEnd w:id="183"/>
    <w:bookmarkEnd w:id="184"/>
    <w:bookmarkEnd w:id="185"/>
    <w:bookmarkEnd w:id="186"/>
    <w:bookmarkEnd w:id="197"/>
    <w:p w14:paraId="78558866">
      <w:pPr>
        <w:wordWrap w:val="0"/>
        <w:spacing w:before="340" w:after="330"/>
        <w:jc w:val="center"/>
        <w:outlineLvl w:val="0"/>
        <w:rPr>
          <w:rFonts w:hint="eastAsia" w:ascii="宋体" w:hAnsi="宋体" w:eastAsia="宋体" w:cs="Times New Roman"/>
          <w:b/>
          <w:color w:val="auto"/>
          <w:kern w:val="44"/>
          <w:sz w:val="44"/>
          <w:szCs w:val="20"/>
          <w:highlight w:val="none"/>
        </w:rPr>
      </w:pPr>
      <w:r>
        <w:rPr>
          <w:rFonts w:ascii="宋体" w:hAnsi="宋体" w:eastAsia="宋体" w:cs="Times New Roman"/>
          <w:b/>
          <w:color w:val="auto"/>
          <w:kern w:val="44"/>
          <w:sz w:val="44"/>
          <w:szCs w:val="20"/>
          <w:highlight w:val="none"/>
        </w:rPr>
        <w:br w:type="page"/>
      </w:r>
      <w:bookmarkStart w:id="199" w:name="_Toc59200707"/>
      <w:bookmarkStart w:id="200" w:name="_Toc526786504"/>
      <w:bookmarkStart w:id="201" w:name="_Toc27929"/>
      <w:r>
        <w:rPr>
          <w:rFonts w:hint="eastAsia" w:ascii="宋体" w:hAnsi="宋体" w:eastAsia="宋体" w:cs="Times New Roman"/>
          <w:b/>
          <w:color w:val="auto"/>
          <w:kern w:val="44"/>
          <w:sz w:val="44"/>
          <w:szCs w:val="20"/>
          <w:highlight w:val="none"/>
        </w:rPr>
        <w:t>第三卷</w:t>
      </w:r>
      <w:bookmarkEnd w:id="199"/>
      <w:bookmarkEnd w:id="200"/>
      <w:bookmarkEnd w:id="201"/>
    </w:p>
    <w:p w14:paraId="045E9F6E">
      <w:pPr>
        <w:wordWrap w:val="0"/>
        <w:spacing w:before="340" w:after="330"/>
        <w:jc w:val="center"/>
        <w:outlineLvl w:val="0"/>
        <w:rPr>
          <w:rFonts w:hint="eastAsia" w:ascii="宋体" w:hAnsi="宋体" w:eastAsia="宋体" w:cs="Times New Roman"/>
          <w:b/>
          <w:color w:val="auto"/>
          <w:kern w:val="44"/>
          <w:sz w:val="44"/>
          <w:szCs w:val="20"/>
          <w:highlight w:val="none"/>
        </w:rPr>
      </w:pPr>
      <w:bookmarkStart w:id="202" w:name="_Toc5259"/>
      <w:bookmarkStart w:id="203" w:name="_Toc526786505"/>
      <w:bookmarkStart w:id="204" w:name="_Toc59200708"/>
      <w:r>
        <w:rPr>
          <w:rFonts w:hint="eastAsia" w:ascii="宋体" w:hAnsi="宋体" w:eastAsia="宋体" w:cs="Times New Roman"/>
          <w:b/>
          <w:color w:val="auto"/>
          <w:kern w:val="44"/>
          <w:sz w:val="44"/>
          <w:szCs w:val="20"/>
          <w:highlight w:val="none"/>
        </w:rPr>
        <w:t>第六章</w:t>
      </w:r>
      <w:r>
        <w:rPr>
          <w:rFonts w:ascii="宋体" w:hAnsi="宋体" w:eastAsia="宋体" w:cs="Times New Roman"/>
          <w:b/>
          <w:color w:val="auto"/>
          <w:kern w:val="44"/>
          <w:sz w:val="44"/>
          <w:szCs w:val="20"/>
          <w:highlight w:val="none"/>
        </w:rPr>
        <w:t xml:space="preserve"> </w:t>
      </w:r>
      <w:r>
        <w:rPr>
          <w:rFonts w:hint="eastAsia" w:ascii="宋体" w:hAnsi="宋体" w:eastAsia="宋体" w:cs="Times New Roman"/>
          <w:b/>
          <w:color w:val="auto"/>
          <w:kern w:val="44"/>
          <w:sz w:val="44"/>
          <w:szCs w:val="20"/>
          <w:highlight w:val="none"/>
        </w:rPr>
        <w:t>投标文件格式</w:t>
      </w:r>
      <w:bookmarkEnd w:id="202"/>
      <w:bookmarkEnd w:id="203"/>
      <w:bookmarkEnd w:id="204"/>
    </w:p>
    <w:p w14:paraId="3D16E181">
      <w:pPr>
        <w:wordWrap w:val="0"/>
        <w:rPr>
          <w:rFonts w:hint="eastAsia" w:ascii="宋体" w:hAnsi="宋体" w:eastAsia="宋体" w:cs="Times New Roman"/>
          <w:color w:val="auto"/>
          <w:highlight w:val="none"/>
        </w:rPr>
      </w:pPr>
      <w:r>
        <w:rPr>
          <w:rFonts w:ascii="宋体" w:hAnsi="宋体" w:eastAsia="宋体" w:cs="Times New Roman"/>
          <w:color w:val="auto"/>
          <w:highlight w:val="none"/>
        </w:rPr>
        <w:br w:type="page"/>
      </w:r>
    </w:p>
    <w:p w14:paraId="31D5E197">
      <w:pPr>
        <w:wordWrap w:val="0"/>
        <w:spacing w:line="400" w:lineRule="exact"/>
        <w:rPr>
          <w:rFonts w:hint="eastAsia" w:ascii="宋体" w:hAnsi="宋体" w:eastAsia="宋体" w:cs="Times New Roman"/>
          <w:color w:val="auto"/>
          <w:highlight w:val="none"/>
        </w:rPr>
      </w:pPr>
    </w:p>
    <w:p w14:paraId="753C1B85">
      <w:pPr>
        <w:wordWrap w:val="0"/>
        <w:jc w:val="center"/>
        <w:rPr>
          <w:rFonts w:hint="eastAsia" w:ascii="宋体" w:hAnsi="宋体" w:eastAsia="宋体" w:cs="Times New Roman"/>
          <w:b/>
          <w:color w:val="auto"/>
          <w:sz w:val="28"/>
          <w:szCs w:val="28"/>
          <w:highlight w:val="none"/>
        </w:rPr>
      </w:pPr>
      <w:r>
        <w:rPr>
          <w:rFonts w:ascii="宋体" w:hAnsi="宋体" w:eastAsia="宋体" w:cs="Times New Roman"/>
          <w:b/>
          <w:color w:val="auto"/>
          <w:sz w:val="32"/>
          <w:szCs w:val="32"/>
          <w:highlight w:val="none"/>
          <w:u w:val="single"/>
        </w:rPr>
        <w:t xml:space="preserve">       </w:t>
      </w:r>
      <w:r>
        <w:rPr>
          <w:rFonts w:hint="eastAsia" w:ascii="宋体" w:hAnsi="宋体" w:eastAsia="宋体" w:cs="Times New Roman"/>
          <w:b/>
          <w:color w:val="auto"/>
          <w:sz w:val="32"/>
          <w:szCs w:val="32"/>
          <w:highlight w:val="none"/>
          <w:u w:val="single"/>
          <w:lang w:eastAsia="zh-CN"/>
        </w:rPr>
        <w:t>（</w:t>
      </w:r>
      <w:r>
        <w:rPr>
          <w:rFonts w:hint="eastAsia" w:ascii="宋体" w:hAnsi="宋体" w:eastAsia="宋体" w:cs="Times New Roman"/>
          <w:b/>
          <w:color w:val="auto"/>
          <w:sz w:val="32"/>
          <w:szCs w:val="32"/>
          <w:highlight w:val="none"/>
          <w:u w:val="single"/>
          <w:lang w:val="en-US" w:eastAsia="zh-CN"/>
        </w:rPr>
        <w:t>标段项目名称</w:t>
      </w:r>
      <w:r>
        <w:rPr>
          <w:rFonts w:hint="eastAsia" w:ascii="宋体" w:hAnsi="宋体" w:eastAsia="宋体" w:cs="Times New Roman"/>
          <w:b/>
          <w:color w:val="auto"/>
          <w:sz w:val="32"/>
          <w:szCs w:val="32"/>
          <w:highlight w:val="none"/>
          <w:u w:val="single"/>
          <w:lang w:eastAsia="zh-CN"/>
        </w:rPr>
        <w:t>）</w:t>
      </w:r>
      <w:r>
        <w:rPr>
          <w:rFonts w:hint="eastAsia" w:ascii="宋体" w:hAnsi="宋体" w:eastAsia="宋体" w:cs="Times New Roman"/>
          <w:b/>
          <w:color w:val="auto"/>
          <w:sz w:val="32"/>
          <w:szCs w:val="32"/>
          <w:highlight w:val="none"/>
          <w:u w:val="single"/>
          <w:lang w:val="en-US" w:eastAsia="zh-CN"/>
        </w:rPr>
        <w:t xml:space="preserve">   </w:t>
      </w:r>
      <w:r>
        <w:rPr>
          <w:rFonts w:ascii="宋体" w:hAnsi="宋体" w:eastAsia="宋体" w:cs="Times New Roman"/>
          <w:b/>
          <w:color w:val="auto"/>
          <w:sz w:val="32"/>
          <w:szCs w:val="32"/>
          <w:highlight w:val="none"/>
          <w:u w:val="single"/>
        </w:rPr>
        <w:t xml:space="preserve"> </w:t>
      </w:r>
    </w:p>
    <w:p w14:paraId="1DF8A9F7">
      <w:pPr>
        <w:wordWrap w:val="0"/>
        <w:rPr>
          <w:rFonts w:hint="eastAsia" w:ascii="宋体" w:hAnsi="宋体" w:eastAsia="宋体" w:cs="Times New Roman"/>
          <w:color w:val="auto"/>
          <w:sz w:val="20"/>
          <w:highlight w:val="none"/>
        </w:rPr>
      </w:pPr>
    </w:p>
    <w:p w14:paraId="679D2AE4">
      <w:pPr>
        <w:wordWrap w:val="0"/>
        <w:rPr>
          <w:rFonts w:hint="eastAsia" w:ascii="宋体" w:hAnsi="宋体" w:eastAsia="宋体" w:cs="Times New Roman"/>
          <w:color w:val="auto"/>
          <w:sz w:val="20"/>
          <w:highlight w:val="none"/>
        </w:rPr>
      </w:pPr>
    </w:p>
    <w:p w14:paraId="13835595">
      <w:pPr>
        <w:wordWrap w:val="0"/>
        <w:rPr>
          <w:rFonts w:hint="eastAsia" w:ascii="宋体" w:hAnsi="宋体" w:eastAsia="宋体" w:cs="Times New Roman"/>
          <w:color w:val="auto"/>
          <w:sz w:val="20"/>
          <w:highlight w:val="none"/>
        </w:rPr>
      </w:pPr>
    </w:p>
    <w:p w14:paraId="3076E60F">
      <w:pPr>
        <w:wordWrap w:val="0"/>
        <w:rPr>
          <w:rFonts w:hint="eastAsia" w:ascii="宋体" w:hAnsi="宋体" w:eastAsia="宋体" w:cs="Times New Roman"/>
          <w:color w:val="auto"/>
          <w:sz w:val="20"/>
          <w:highlight w:val="none"/>
        </w:rPr>
      </w:pPr>
    </w:p>
    <w:p w14:paraId="5C649860">
      <w:pPr>
        <w:wordWrap w:val="0"/>
        <w:rPr>
          <w:rFonts w:hint="eastAsia" w:ascii="宋体" w:hAnsi="宋体" w:eastAsia="宋体" w:cs="Times New Roman"/>
          <w:color w:val="auto"/>
          <w:sz w:val="20"/>
          <w:highlight w:val="none"/>
        </w:rPr>
      </w:pPr>
    </w:p>
    <w:p w14:paraId="1A368D4B">
      <w:pPr>
        <w:wordWrap w:val="0"/>
        <w:rPr>
          <w:rFonts w:hint="eastAsia" w:ascii="宋体" w:hAnsi="宋体" w:eastAsia="宋体" w:cs="Times New Roman"/>
          <w:color w:val="auto"/>
          <w:sz w:val="20"/>
          <w:highlight w:val="none"/>
        </w:rPr>
      </w:pPr>
    </w:p>
    <w:p w14:paraId="39D737BC">
      <w:pPr>
        <w:wordWrap w:val="0"/>
        <w:rPr>
          <w:rFonts w:hint="eastAsia" w:ascii="宋体" w:hAnsi="宋体" w:eastAsia="宋体" w:cs="Times New Roman"/>
          <w:color w:val="auto"/>
          <w:sz w:val="20"/>
          <w:highlight w:val="none"/>
        </w:rPr>
      </w:pPr>
    </w:p>
    <w:p w14:paraId="1081F7B3">
      <w:pPr>
        <w:wordWrap w:val="0"/>
        <w:rPr>
          <w:rFonts w:hint="eastAsia" w:ascii="宋体" w:hAnsi="宋体" w:eastAsia="宋体" w:cs="Times New Roman"/>
          <w:color w:val="auto"/>
          <w:sz w:val="20"/>
          <w:highlight w:val="none"/>
        </w:rPr>
      </w:pPr>
    </w:p>
    <w:p w14:paraId="65083DAE">
      <w:pPr>
        <w:wordWrap w:val="0"/>
        <w:rPr>
          <w:rFonts w:hint="eastAsia" w:ascii="宋体" w:hAnsi="宋体" w:eastAsia="宋体" w:cs="Times New Roman"/>
          <w:color w:val="auto"/>
          <w:sz w:val="20"/>
          <w:highlight w:val="none"/>
        </w:rPr>
      </w:pPr>
    </w:p>
    <w:p w14:paraId="08332A22">
      <w:pPr>
        <w:wordWrap w:val="0"/>
        <w:rPr>
          <w:rFonts w:hint="eastAsia" w:ascii="宋体" w:hAnsi="宋体" w:eastAsia="宋体" w:cs="Times New Roman"/>
          <w:color w:val="auto"/>
          <w:sz w:val="20"/>
          <w:highlight w:val="none"/>
        </w:rPr>
      </w:pPr>
    </w:p>
    <w:p w14:paraId="2DE41FBD">
      <w:pPr>
        <w:wordWrap w:val="0"/>
        <w:rPr>
          <w:rFonts w:hint="eastAsia" w:ascii="宋体" w:hAnsi="宋体" w:eastAsia="宋体" w:cs="Times New Roman"/>
          <w:color w:val="auto"/>
          <w:sz w:val="20"/>
          <w:highlight w:val="none"/>
        </w:rPr>
      </w:pPr>
    </w:p>
    <w:p w14:paraId="23A250C8">
      <w:pPr>
        <w:wordWrap w:val="0"/>
        <w:jc w:val="center"/>
        <w:rPr>
          <w:rFonts w:hint="eastAsia" w:ascii="宋体" w:hAnsi="宋体" w:eastAsia="宋体" w:cs="Times New Roman"/>
          <w:b/>
          <w:color w:val="auto"/>
          <w:sz w:val="44"/>
          <w:highlight w:val="none"/>
        </w:rPr>
      </w:pPr>
      <w:r>
        <w:rPr>
          <w:rFonts w:hint="eastAsia" w:ascii="宋体" w:hAnsi="宋体" w:eastAsia="宋体" w:cs="Times New Roman"/>
          <w:b/>
          <w:color w:val="auto"/>
          <w:sz w:val="44"/>
          <w:highlight w:val="none"/>
        </w:rPr>
        <w:t>投</w:t>
      </w:r>
      <w:r>
        <w:rPr>
          <w:rFonts w:ascii="宋体" w:hAnsi="宋体" w:eastAsia="宋体" w:cs="Times New Roman"/>
          <w:b/>
          <w:color w:val="auto"/>
          <w:sz w:val="44"/>
          <w:highlight w:val="none"/>
        </w:rPr>
        <w:t xml:space="preserve"> </w:t>
      </w:r>
      <w:r>
        <w:rPr>
          <w:rFonts w:hint="eastAsia" w:ascii="宋体" w:hAnsi="宋体" w:eastAsia="宋体" w:cs="Times New Roman"/>
          <w:b/>
          <w:color w:val="auto"/>
          <w:sz w:val="44"/>
          <w:highlight w:val="none"/>
        </w:rPr>
        <w:t>标</w:t>
      </w:r>
      <w:r>
        <w:rPr>
          <w:rFonts w:ascii="宋体" w:hAnsi="宋体" w:eastAsia="宋体" w:cs="Times New Roman"/>
          <w:b/>
          <w:color w:val="auto"/>
          <w:sz w:val="44"/>
          <w:highlight w:val="none"/>
        </w:rPr>
        <w:t xml:space="preserve"> </w:t>
      </w:r>
      <w:r>
        <w:rPr>
          <w:rFonts w:hint="eastAsia" w:ascii="宋体" w:hAnsi="宋体" w:eastAsia="宋体" w:cs="Times New Roman"/>
          <w:b/>
          <w:color w:val="auto"/>
          <w:sz w:val="44"/>
          <w:highlight w:val="none"/>
        </w:rPr>
        <w:t>文</w:t>
      </w:r>
      <w:r>
        <w:rPr>
          <w:rFonts w:ascii="宋体" w:hAnsi="宋体" w:eastAsia="宋体" w:cs="Times New Roman"/>
          <w:b/>
          <w:color w:val="auto"/>
          <w:sz w:val="44"/>
          <w:highlight w:val="none"/>
        </w:rPr>
        <w:t xml:space="preserve"> </w:t>
      </w:r>
      <w:r>
        <w:rPr>
          <w:rFonts w:hint="eastAsia" w:ascii="宋体" w:hAnsi="宋体" w:eastAsia="宋体" w:cs="Times New Roman"/>
          <w:b/>
          <w:color w:val="auto"/>
          <w:sz w:val="44"/>
          <w:highlight w:val="none"/>
        </w:rPr>
        <w:t>件</w:t>
      </w:r>
    </w:p>
    <w:p w14:paraId="2501C833">
      <w:pPr>
        <w:wordWrap w:val="0"/>
        <w:jc w:val="center"/>
        <w:rPr>
          <w:rFonts w:hint="eastAsia" w:ascii="宋体" w:hAnsi="宋体" w:eastAsia="宋体" w:cs="Times New Roman"/>
          <w:color w:val="auto"/>
          <w:sz w:val="44"/>
          <w:highlight w:val="none"/>
        </w:rPr>
      </w:pPr>
    </w:p>
    <w:p w14:paraId="506A0134">
      <w:pPr>
        <w:wordWrap w:val="0"/>
        <w:rPr>
          <w:rFonts w:hint="eastAsia" w:ascii="宋体" w:hAnsi="宋体" w:eastAsia="宋体" w:cs="Times New Roman"/>
          <w:color w:val="auto"/>
          <w:sz w:val="28"/>
          <w:highlight w:val="none"/>
        </w:rPr>
      </w:pPr>
    </w:p>
    <w:p w14:paraId="0DBCF5F8">
      <w:pPr>
        <w:wordWrap w:val="0"/>
        <w:rPr>
          <w:rFonts w:hint="eastAsia" w:ascii="宋体" w:hAnsi="宋体" w:eastAsia="宋体" w:cs="Times New Roman"/>
          <w:color w:val="auto"/>
          <w:sz w:val="28"/>
          <w:highlight w:val="none"/>
        </w:rPr>
      </w:pPr>
    </w:p>
    <w:p w14:paraId="2534E8E9">
      <w:pPr>
        <w:wordWrap w:val="0"/>
        <w:rPr>
          <w:rFonts w:hint="eastAsia" w:ascii="宋体" w:hAnsi="宋体" w:eastAsia="宋体" w:cs="Times New Roman"/>
          <w:color w:val="auto"/>
          <w:sz w:val="28"/>
          <w:highlight w:val="none"/>
        </w:rPr>
      </w:pPr>
    </w:p>
    <w:p w14:paraId="79D806DC">
      <w:pPr>
        <w:wordWrap w:val="0"/>
        <w:rPr>
          <w:rFonts w:hint="eastAsia" w:ascii="宋体" w:hAnsi="宋体" w:eastAsia="宋体" w:cs="Times New Roman"/>
          <w:color w:val="auto"/>
          <w:sz w:val="28"/>
          <w:highlight w:val="none"/>
        </w:rPr>
      </w:pPr>
    </w:p>
    <w:p w14:paraId="6F8C2C6A">
      <w:pPr>
        <w:wordWrap w:val="0"/>
        <w:rPr>
          <w:rFonts w:hint="eastAsia" w:ascii="宋体" w:hAnsi="宋体" w:eastAsia="宋体" w:cs="Times New Roman"/>
          <w:color w:val="auto"/>
          <w:sz w:val="28"/>
          <w:highlight w:val="none"/>
        </w:rPr>
      </w:pPr>
    </w:p>
    <w:p w14:paraId="6F90E081">
      <w:pPr>
        <w:wordWrap w:val="0"/>
        <w:rPr>
          <w:rFonts w:hint="eastAsia" w:ascii="宋体" w:hAnsi="宋体" w:eastAsia="宋体" w:cs="Times New Roman"/>
          <w:color w:val="auto"/>
          <w:sz w:val="28"/>
          <w:highlight w:val="none"/>
        </w:rPr>
      </w:pPr>
    </w:p>
    <w:p w14:paraId="2401BAC3">
      <w:pPr>
        <w:wordWrap w:val="0"/>
        <w:rPr>
          <w:rFonts w:hint="eastAsia" w:ascii="宋体" w:hAnsi="宋体" w:eastAsia="宋体" w:cs="Times New Roman"/>
          <w:color w:val="auto"/>
          <w:sz w:val="28"/>
          <w:highlight w:val="none"/>
        </w:rPr>
      </w:pPr>
    </w:p>
    <w:p w14:paraId="71669517">
      <w:pPr>
        <w:wordWrap w:val="0"/>
        <w:spacing w:line="360" w:lineRule="auto"/>
        <w:rPr>
          <w:rFonts w:hint="eastAsia" w:ascii="宋体" w:hAnsi="宋体" w:eastAsia="宋体" w:cs="Times New Roman"/>
          <w:color w:val="auto"/>
          <w:sz w:val="28"/>
          <w:highlight w:val="none"/>
        </w:rPr>
      </w:pPr>
    </w:p>
    <w:p w14:paraId="7EF1B870">
      <w:pPr>
        <w:wordWrap w:val="0"/>
        <w:spacing w:line="360" w:lineRule="auto"/>
        <w:ind w:firstLine="1120" w:firstLineChars="400"/>
        <w:rPr>
          <w:rFonts w:hint="eastAsia" w:ascii="宋体" w:hAnsi="宋体" w:eastAsia="宋体" w:cs="Times New Roman"/>
          <w:color w:val="auto"/>
          <w:sz w:val="28"/>
          <w:highlight w:val="none"/>
        </w:rPr>
      </w:pPr>
    </w:p>
    <w:p w14:paraId="0A1942F3">
      <w:pPr>
        <w:wordWrap w:val="0"/>
        <w:spacing w:line="360" w:lineRule="auto"/>
        <w:ind w:firstLine="1120" w:firstLineChars="400"/>
        <w:rPr>
          <w:rFonts w:hint="eastAsia" w:ascii="宋体" w:hAnsi="宋体" w:eastAsia="宋体" w:cs="Times New Roman"/>
          <w:color w:val="auto"/>
          <w:sz w:val="28"/>
          <w:highlight w:val="none"/>
        </w:rPr>
      </w:pPr>
    </w:p>
    <w:p w14:paraId="196F844A">
      <w:pPr>
        <w:wordWrap w:val="0"/>
        <w:spacing w:line="360" w:lineRule="auto"/>
        <w:ind w:firstLine="1120" w:firstLineChars="400"/>
        <w:rPr>
          <w:rFonts w:hint="eastAsia" w:ascii="宋体" w:hAnsi="宋体" w:eastAsia="宋体" w:cs="Times New Roman"/>
          <w:color w:val="auto"/>
          <w:sz w:val="28"/>
          <w:highlight w:val="none"/>
        </w:rPr>
      </w:pPr>
    </w:p>
    <w:p w14:paraId="49E5A006">
      <w:pPr>
        <w:wordWrap w:val="0"/>
        <w:spacing w:line="360" w:lineRule="auto"/>
        <w:ind w:firstLine="1120" w:firstLineChars="400"/>
        <w:rPr>
          <w:rFonts w:hint="eastAsia" w:ascii="宋体" w:hAnsi="宋体" w:eastAsia="宋体" w:cs="Times New Roman"/>
          <w:color w:val="auto"/>
          <w:sz w:val="28"/>
          <w:highlight w:val="none"/>
        </w:rPr>
      </w:pPr>
    </w:p>
    <w:p w14:paraId="72540B28">
      <w:pPr>
        <w:wordWrap w:val="0"/>
        <w:spacing w:line="360" w:lineRule="auto"/>
        <w:ind w:firstLine="1120" w:firstLineChars="400"/>
        <w:rPr>
          <w:rFonts w:hint="eastAsia" w:ascii="宋体" w:hAnsi="宋体" w:eastAsia="宋体" w:cs="Times New Roman"/>
          <w:color w:val="auto"/>
          <w:sz w:val="28"/>
          <w:highlight w:val="none"/>
        </w:rPr>
      </w:pPr>
    </w:p>
    <w:p w14:paraId="2F6C6F9E">
      <w:pPr>
        <w:wordWrap w:val="0"/>
        <w:spacing w:line="360" w:lineRule="auto"/>
        <w:ind w:firstLine="1120" w:firstLineChars="400"/>
        <w:rPr>
          <w:rFonts w:hint="eastAsia" w:ascii="宋体" w:hAnsi="宋体" w:eastAsia="宋体" w:cs="Times New Roman"/>
          <w:color w:val="auto"/>
          <w:sz w:val="28"/>
          <w:highlight w:val="none"/>
        </w:rPr>
      </w:pPr>
    </w:p>
    <w:p w14:paraId="077293C9">
      <w:pPr>
        <w:wordWrap w:val="0"/>
        <w:spacing w:line="360" w:lineRule="auto"/>
        <w:ind w:firstLine="1120" w:firstLineChars="400"/>
        <w:rPr>
          <w:rFonts w:hint="eastAsia" w:ascii="宋体" w:hAnsi="宋体" w:eastAsia="宋体" w:cs="Times New Roman"/>
          <w:color w:val="auto"/>
          <w:sz w:val="28"/>
          <w:highlight w:val="none"/>
          <w:u w:val="none"/>
        </w:rPr>
      </w:pPr>
      <w:r>
        <w:rPr>
          <w:rFonts w:hint="eastAsia" w:ascii="宋体" w:hAnsi="宋体" w:eastAsia="宋体" w:cs="Times New Roman"/>
          <w:color w:val="auto"/>
          <w:sz w:val="28"/>
          <w:highlight w:val="none"/>
        </w:rPr>
        <w:t>投标人：</w:t>
      </w:r>
      <w:r>
        <w:rPr>
          <w:rFonts w:hint="eastAsia" w:ascii="宋体" w:hAnsi="宋体" w:eastAsia="宋体" w:cs="Times New Roman"/>
          <w:color w:val="auto"/>
          <w:sz w:val="28"/>
          <w:highlight w:val="none"/>
          <w:u w:val="none"/>
        </w:rPr>
        <w:t xml:space="preserve">                                            （盖单位章）</w:t>
      </w:r>
    </w:p>
    <w:p w14:paraId="519C4662">
      <w:pPr>
        <w:wordWrap w:val="0"/>
        <w:spacing w:line="360" w:lineRule="auto"/>
        <w:ind w:firstLine="1120" w:firstLineChars="400"/>
        <w:jc w:val="left"/>
        <w:rPr>
          <w:rFonts w:hint="eastAsia" w:ascii="宋体" w:hAnsi="宋体" w:eastAsia="宋体" w:cs="Times New Roman"/>
          <w:color w:val="auto"/>
          <w:sz w:val="28"/>
          <w:highlight w:val="none"/>
        </w:rPr>
      </w:pPr>
    </w:p>
    <w:p w14:paraId="7344F890">
      <w:pPr>
        <w:wordWrap w:val="0"/>
        <w:spacing w:line="360" w:lineRule="auto"/>
        <w:ind w:firstLine="0" w:firstLineChars="0"/>
        <w:jc w:val="center"/>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年</w:t>
      </w:r>
      <w:r>
        <w:rPr>
          <w:rFonts w:hint="eastAsia" w:ascii="宋体" w:hAnsi="宋体" w:eastAsia="宋体" w:cs="Times New Roman"/>
          <w:color w:val="auto"/>
          <w:sz w:val="28"/>
          <w:highlight w:val="none"/>
          <w:u w:val="none"/>
        </w:rPr>
        <w:t xml:space="preserve">       </w:t>
      </w:r>
      <w:r>
        <w:rPr>
          <w:rFonts w:hint="eastAsia" w:ascii="宋体" w:hAnsi="宋体" w:eastAsia="宋体" w:cs="Times New Roman"/>
          <w:color w:val="auto"/>
          <w:sz w:val="28"/>
          <w:highlight w:val="none"/>
        </w:rPr>
        <w:t>月</w:t>
      </w:r>
      <w:r>
        <w:rPr>
          <w:rFonts w:hint="eastAsia" w:ascii="宋体" w:hAnsi="宋体" w:eastAsia="宋体" w:cs="Times New Roman"/>
          <w:color w:val="auto"/>
          <w:sz w:val="28"/>
          <w:highlight w:val="none"/>
          <w:u w:val="none"/>
        </w:rPr>
        <w:t xml:space="preserve">       </w:t>
      </w:r>
      <w:r>
        <w:rPr>
          <w:rFonts w:hint="eastAsia" w:ascii="宋体" w:hAnsi="宋体" w:eastAsia="宋体" w:cs="Times New Roman"/>
          <w:color w:val="auto"/>
          <w:sz w:val="28"/>
          <w:highlight w:val="none"/>
        </w:rPr>
        <w:t>日</w:t>
      </w:r>
    </w:p>
    <w:p w14:paraId="380099C9">
      <w:pPr>
        <w:wordWrap w:val="0"/>
        <w:rPr>
          <w:rFonts w:hint="eastAsia" w:ascii="宋体" w:hAnsi="宋体" w:eastAsia="宋体" w:cs="Times New Roman"/>
          <w:color w:val="auto"/>
          <w:highlight w:val="none"/>
        </w:rPr>
      </w:pPr>
    </w:p>
    <w:p w14:paraId="0A187609">
      <w:pPr>
        <w:wordWrap w:val="0"/>
        <w:rPr>
          <w:rFonts w:hint="eastAsia" w:ascii="宋体" w:hAnsi="宋体" w:eastAsia="宋体" w:cs="Times New Roman"/>
          <w:color w:val="auto"/>
          <w:highlight w:val="none"/>
        </w:rPr>
      </w:pPr>
    </w:p>
    <w:p w14:paraId="6774EBB8">
      <w:pPr>
        <w:wordWrap w:val="0"/>
        <w:spacing w:line="360" w:lineRule="auto"/>
        <w:jc w:val="center"/>
        <w:rPr>
          <w:rFonts w:hint="eastAsia" w:ascii="宋体" w:hAnsi="宋体" w:eastAsia="宋体" w:cs="Times New Roman"/>
          <w:b/>
          <w:color w:val="auto"/>
          <w:sz w:val="24"/>
          <w:szCs w:val="24"/>
          <w:highlight w:val="none"/>
        </w:rPr>
      </w:pPr>
      <w:r>
        <w:rPr>
          <w:rFonts w:ascii="宋体" w:hAnsi="宋体" w:eastAsia="宋体" w:cs="Times New Roman"/>
          <w:color w:val="auto"/>
          <w:highlight w:val="none"/>
        </w:rPr>
        <w:br w:type="page"/>
      </w:r>
      <w:bookmarkStart w:id="205" w:name="_Toc20964"/>
      <w:bookmarkStart w:id="206" w:name="_Toc59200709"/>
      <w:bookmarkStart w:id="207" w:name="_Toc526786506"/>
      <w:bookmarkStart w:id="208" w:name="_Toc4037"/>
      <w:r>
        <w:rPr>
          <w:rFonts w:hint="eastAsia" w:ascii="宋体" w:hAnsi="宋体" w:eastAsia="宋体" w:cs="Times New Roman"/>
          <w:b/>
          <w:color w:val="auto"/>
          <w:sz w:val="24"/>
          <w:szCs w:val="24"/>
          <w:highlight w:val="none"/>
        </w:rPr>
        <w:t>目</w:t>
      </w:r>
      <w:r>
        <w:rPr>
          <w:rFonts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rPr>
        <w:t>录</w:t>
      </w:r>
      <w:bookmarkEnd w:id="205"/>
      <w:bookmarkEnd w:id="206"/>
      <w:bookmarkEnd w:id="207"/>
      <w:bookmarkEnd w:id="208"/>
    </w:p>
    <w:p w14:paraId="0B83D161">
      <w:pPr>
        <w:wordWrap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一、投标函及投标函附录</w:t>
      </w:r>
    </w:p>
    <w:p w14:paraId="5B04406A">
      <w:pPr>
        <w:wordWrap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二、法定代表人证明或授权委托书</w:t>
      </w:r>
    </w:p>
    <w:p w14:paraId="4D281BF7">
      <w:pPr>
        <w:wordWrap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三、联合体协议书</w:t>
      </w:r>
    </w:p>
    <w:p w14:paraId="16C5BD6E">
      <w:pPr>
        <w:wordWrap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四、投标保证金</w:t>
      </w:r>
    </w:p>
    <w:p w14:paraId="3B00F19D">
      <w:pPr>
        <w:wordWrap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五、监理报酬清单</w:t>
      </w:r>
    </w:p>
    <w:p w14:paraId="2E41E6E8">
      <w:pPr>
        <w:wordWrap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六、资格审查资料</w:t>
      </w:r>
    </w:p>
    <w:p w14:paraId="31442813">
      <w:pPr>
        <w:wordWrap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七、监理大纲</w:t>
      </w:r>
    </w:p>
    <w:p w14:paraId="1EC239EB">
      <w:pPr>
        <w:wordWrap w:val="0"/>
        <w:spacing w:line="360" w:lineRule="auto"/>
        <w:rPr>
          <w:rFonts w:hint="eastAsia" w:ascii="宋体" w:hAnsi="宋体" w:eastAsia="宋体" w:cs="Times New Roman"/>
          <w:color w:val="auto"/>
          <w:sz w:val="20"/>
          <w:highlight w:val="none"/>
        </w:rPr>
      </w:pPr>
      <w:bookmarkStart w:id="209" w:name="_Toc369531691"/>
      <w:bookmarkStart w:id="210" w:name="_Toc352691655"/>
      <w:bookmarkStart w:id="211" w:name="_Toc7039"/>
      <w:r>
        <w:rPr>
          <w:rFonts w:hint="eastAsia" w:ascii="宋体" w:hAnsi="宋体" w:eastAsia="宋体" w:cs="Times New Roman"/>
          <w:color w:val="auto"/>
          <w:sz w:val="24"/>
          <w:szCs w:val="24"/>
          <w:highlight w:val="none"/>
        </w:rPr>
        <w:t>八、其他资料</w:t>
      </w:r>
    </w:p>
    <w:p w14:paraId="1C34BE1F">
      <w:pPr>
        <w:wordWrap w:val="0"/>
        <w:spacing w:line="540" w:lineRule="exact"/>
        <w:rPr>
          <w:rFonts w:hint="eastAsia" w:ascii="宋体" w:hAnsi="宋体" w:eastAsia="宋体" w:cs="Times New Roman"/>
          <w:color w:val="auto"/>
          <w:sz w:val="20"/>
          <w:highlight w:val="none"/>
        </w:rPr>
      </w:pPr>
    </w:p>
    <w:p w14:paraId="2E6E6542">
      <w:pPr>
        <w:wordWrap w:val="0"/>
        <w:jc w:val="center"/>
        <w:outlineLvl w:val="1"/>
        <w:rPr>
          <w:rFonts w:hint="eastAsia" w:ascii="宋体" w:hAnsi="宋体" w:eastAsia="宋体" w:cs="Times New Roman"/>
          <w:b/>
          <w:color w:val="auto"/>
          <w:sz w:val="32"/>
          <w:szCs w:val="20"/>
          <w:highlight w:val="none"/>
        </w:rPr>
      </w:pPr>
      <w:r>
        <w:rPr>
          <w:rFonts w:ascii="宋体" w:hAnsi="宋体" w:eastAsia="宋体" w:cs="Times New Roman"/>
          <w:b/>
          <w:color w:val="auto"/>
          <w:sz w:val="32"/>
          <w:szCs w:val="20"/>
          <w:highlight w:val="none"/>
        </w:rPr>
        <w:br w:type="page"/>
      </w:r>
      <w:bookmarkEnd w:id="209"/>
      <w:bookmarkEnd w:id="210"/>
      <w:bookmarkEnd w:id="211"/>
      <w:bookmarkStart w:id="212" w:name="_Toc526786507"/>
      <w:bookmarkStart w:id="213" w:name="_Toc22776"/>
      <w:bookmarkStart w:id="214" w:name="_Toc59200710"/>
      <w:r>
        <w:rPr>
          <w:rFonts w:hint="eastAsia" w:ascii="宋体" w:hAnsi="宋体" w:eastAsia="宋体" w:cs="Times New Roman"/>
          <w:b/>
          <w:color w:val="auto"/>
          <w:sz w:val="32"/>
          <w:szCs w:val="20"/>
          <w:highlight w:val="none"/>
        </w:rPr>
        <w:t>一、投标</w:t>
      </w:r>
      <w:bookmarkStart w:id="215" w:name="_Toc369531692"/>
      <w:bookmarkStart w:id="216" w:name="_Toc352691656"/>
      <w:bookmarkStart w:id="217" w:name="_Toc6931"/>
      <w:r>
        <w:rPr>
          <w:rFonts w:hint="eastAsia" w:ascii="宋体" w:hAnsi="宋体" w:eastAsia="宋体" w:cs="Times New Roman"/>
          <w:b/>
          <w:color w:val="auto"/>
          <w:sz w:val="32"/>
          <w:szCs w:val="20"/>
          <w:highlight w:val="none"/>
        </w:rPr>
        <w:t>函及投标函附录</w:t>
      </w:r>
      <w:bookmarkEnd w:id="212"/>
      <w:bookmarkEnd w:id="213"/>
      <w:bookmarkEnd w:id="214"/>
    </w:p>
    <w:bookmarkEnd w:id="215"/>
    <w:bookmarkEnd w:id="216"/>
    <w:bookmarkEnd w:id="217"/>
    <w:p w14:paraId="5C2F5F14">
      <w:pPr>
        <w:keepNext/>
        <w:keepLines/>
        <w:wordWrap w:val="0"/>
        <w:spacing w:line="360" w:lineRule="auto"/>
        <w:outlineLvl w:val="2"/>
        <w:rPr>
          <w:rFonts w:hint="eastAsia" w:ascii="宋体" w:hAnsi="宋体" w:eastAsia="宋体" w:cs="Times New Roman"/>
          <w:b/>
          <w:color w:val="auto"/>
          <w:sz w:val="28"/>
          <w:szCs w:val="20"/>
          <w:highlight w:val="none"/>
        </w:rPr>
      </w:pPr>
      <w:bookmarkStart w:id="218" w:name="_Toc526786508"/>
      <w:bookmarkStart w:id="219" w:name="_Toc59200711"/>
      <w:bookmarkStart w:id="220" w:name="_Toc30766"/>
      <w:bookmarkStart w:id="221" w:name="_Toc370676426"/>
      <w:bookmarkStart w:id="222" w:name="_Toc391394111"/>
      <w:bookmarkStart w:id="223" w:name="_Toc14291"/>
      <w:bookmarkStart w:id="224" w:name="_Toc359594235"/>
      <w:bookmarkStart w:id="225" w:name="_Toc385943065"/>
      <w:bookmarkStart w:id="226" w:name="_Toc482188651"/>
      <w:r>
        <w:rPr>
          <w:rFonts w:hint="eastAsia" w:ascii="宋体" w:hAnsi="宋体" w:eastAsia="宋体" w:cs="Times New Roman"/>
          <w:b/>
          <w:color w:val="auto"/>
          <w:sz w:val="28"/>
          <w:szCs w:val="20"/>
          <w:highlight w:val="none"/>
        </w:rPr>
        <w:t>（一）投标函</w:t>
      </w:r>
      <w:bookmarkEnd w:id="218"/>
      <w:bookmarkEnd w:id="219"/>
      <w:bookmarkEnd w:id="220"/>
      <w:bookmarkEnd w:id="221"/>
      <w:bookmarkEnd w:id="222"/>
      <w:bookmarkEnd w:id="223"/>
      <w:bookmarkEnd w:id="224"/>
      <w:bookmarkEnd w:id="225"/>
      <w:bookmarkEnd w:id="226"/>
    </w:p>
    <w:p w14:paraId="205F74C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（招标人名称）：</w:t>
      </w:r>
    </w:p>
    <w:p w14:paraId="090EFEF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我方已仔细研究了</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en-US" w:eastAsia="zh-CN"/>
        </w:rPr>
        <w:t>标段</w:t>
      </w:r>
      <w:r>
        <w:rPr>
          <w:rFonts w:hint="eastAsia" w:ascii="宋体" w:hAnsi="宋体" w:eastAsia="宋体" w:cs="Times New Roman"/>
          <w:color w:val="auto"/>
          <w:sz w:val="24"/>
          <w:szCs w:val="24"/>
          <w:highlight w:val="none"/>
          <w:u w:val="single"/>
        </w:rPr>
        <w:t>项目名称）</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的</w:t>
      </w:r>
      <w:r>
        <w:rPr>
          <w:rFonts w:hint="eastAsia" w:ascii="宋体" w:hAnsi="宋体" w:eastAsia="宋体" w:cs="Times New Roman"/>
          <w:color w:val="auto"/>
          <w:sz w:val="24"/>
          <w:szCs w:val="24"/>
          <w:highlight w:val="none"/>
        </w:rPr>
        <w:t>监理招标项目招标文件的全部内容，愿意以人民币（大写）</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元）的投标报价，监理下浮率为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，监理服务期限：</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，按合同约定完成监理工作。</w:t>
      </w:r>
    </w:p>
    <w:p w14:paraId="1F56E31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我方的投标文件包括下列内容：</w:t>
      </w:r>
    </w:p>
    <w:p w14:paraId="6FB7D75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（1）投标函及投标函附录；</w:t>
      </w:r>
    </w:p>
    <w:p w14:paraId="7ACC3E4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（2）法定代表人证明或授权委托书；</w:t>
      </w:r>
    </w:p>
    <w:p w14:paraId="087D18F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（3）联合体协议书（如有）；</w:t>
      </w:r>
    </w:p>
    <w:p w14:paraId="423344A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（4）投标保证金（如有）；</w:t>
      </w:r>
    </w:p>
    <w:p w14:paraId="43DD5F6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（5）监理报酬清单；</w:t>
      </w:r>
    </w:p>
    <w:p w14:paraId="1EA10C9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（6）资格审查资料；</w:t>
      </w:r>
    </w:p>
    <w:p w14:paraId="1C1CF85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（7）监理大纲；</w:t>
      </w:r>
    </w:p>
    <w:p w14:paraId="3D411E4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）其他资料。投标文件的上述组成部分如存在内容不一致的，以投标函为准。</w:t>
      </w:r>
    </w:p>
    <w:p w14:paraId="063315E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3.</w:t>
      </w:r>
      <w:r>
        <w:rPr>
          <w:rFonts w:hint="eastAsia" w:ascii="宋体" w:hAnsi="宋体" w:eastAsia="宋体" w:cs="Times New Roman"/>
          <w:color w:val="auto"/>
          <w:sz w:val="24"/>
          <w:szCs w:val="24"/>
          <w:highlight w:val="none"/>
        </w:rPr>
        <w:t>我方承诺在招标文件规定的投标有效期内不撤销投标文件。</w:t>
      </w:r>
    </w:p>
    <w:p w14:paraId="70DD35A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4.</w:t>
      </w:r>
      <w:r>
        <w:rPr>
          <w:rFonts w:hint="eastAsia" w:ascii="宋体" w:hAnsi="宋体" w:eastAsia="宋体" w:cs="Times New Roman"/>
          <w:color w:val="auto"/>
          <w:sz w:val="24"/>
          <w:szCs w:val="24"/>
          <w:highlight w:val="none"/>
        </w:rPr>
        <w:t>如我方中标，我方承诺：</w:t>
      </w:r>
    </w:p>
    <w:p w14:paraId="715F707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）在收到中标通知书后，在中标通知书规定的期限内与你方签订合同；</w:t>
      </w:r>
    </w:p>
    <w:p w14:paraId="7569DB7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）在签订合同时不向你方提出附加条件；</w:t>
      </w:r>
    </w:p>
    <w:p w14:paraId="2904987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bookmarkStart w:id="227" w:name="_Toc352691658"/>
      <w:bookmarkStart w:id="228" w:name="_Toc369531694"/>
      <w:bookmarkStart w:id="229" w:name="_Toc1187"/>
      <w:r>
        <w:rPr>
          <w:rFonts w:hint="eastAsia" w:ascii="宋体" w:hAnsi="宋体" w:eastAsia="宋体" w:cs="Times New Roman"/>
          <w:color w:val="auto"/>
          <w:sz w:val="24"/>
          <w:szCs w:val="24"/>
          <w:highlight w:val="none"/>
        </w:rPr>
        <w:t>（3）按照招标文件要求提交履约保证金（如要求）；</w:t>
      </w:r>
    </w:p>
    <w:p w14:paraId="79166A6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（4）在合</w:t>
      </w:r>
      <w:bookmarkEnd w:id="227"/>
      <w:bookmarkEnd w:id="228"/>
      <w:bookmarkEnd w:id="229"/>
      <w:r>
        <w:rPr>
          <w:rFonts w:hint="eastAsia" w:ascii="宋体" w:hAnsi="宋体" w:eastAsia="宋体" w:cs="Times New Roman"/>
          <w:color w:val="auto"/>
          <w:sz w:val="24"/>
          <w:szCs w:val="24"/>
          <w:highlight w:val="none"/>
        </w:rPr>
        <w:t>同约定的期限内完成合同规定的全部义务。</w:t>
      </w:r>
    </w:p>
    <w:p w14:paraId="23C8C38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（5）承诺本项目拟投入的人员为本单位人员，并已按规定购买社保。</w:t>
      </w:r>
    </w:p>
    <w:p w14:paraId="6BFC03F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5.</w:t>
      </w:r>
      <w:r>
        <w:rPr>
          <w:rFonts w:hint="eastAsia" w:ascii="宋体" w:hAnsi="宋体" w:eastAsia="宋体" w:cs="Times New Roman"/>
          <w:color w:val="auto"/>
          <w:sz w:val="24"/>
          <w:szCs w:val="24"/>
          <w:highlight w:val="none"/>
        </w:rPr>
        <w:t>我方在此声明，所递交的投标文件及有关资料内容完整、真实和准确，且不存在第二章“投标人须知”第</w:t>
      </w:r>
      <w:r>
        <w:rPr>
          <w:rFonts w:ascii="宋体" w:hAnsi="宋体" w:eastAsia="宋体" w:cs="Times New Roman"/>
          <w:color w:val="auto"/>
          <w:sz w:val="24"/>
          <w:szCs w:val="24"/>
          <w:highlight w:val="none"/>
        </w:rPr>
        <w:t>1.4.3</w:t>
      </w:r>
      <w:r>
        <w:rPr>
          <w:rFonts w:hint="eastAsia" w:ascii="宋体" w:hAnsi="宋体" w:eastAsia="宋体" w:cs="Times New Roman"/>
          <w:color w:val="auto"/>
          <w:sz w:val="24"/>
          <w:szCs w:val="24"/>
          <w:highlight w:val="none"/>
        </w:rPr>
        <w:t>项规定的任何一种情形。</w:t>
      </w:r>
    </w:p>
    <w:p w14:paraId="3E304CB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6.</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（其他补充说明）。</w:t>
      </w:r>
    </w:p>
    <w:bookmarkEnd w:id="187"/>
    <w:bookmarkEnd w:id="188"/>
    <w:bookmarkEnd w:id="189"/>
    <w:bookmarkEnd w:id="190"/>
    <w:bookmarkEnd w:id="191"/>
    <w:bookmarkEnd w:id="192"/>
    <w:bookmarkEnd w:id="193"/>
    <w:bookmarkEnd w:id="194"/>
    <w:bookmarkEnd w:id="195"/>
    <w:p w14:paraId="39A6B24B">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ascii="宋体" w:hAnsi="宋体" w:eastAsia="宋体" w:cs="Times New Roman"/>
          <w:color w:val="auto"/>
          <w:sz w:val="24"/>
          <w:szCs w:val="24"/>
          <w:highlight w:val="none"/>
          <w:u w:val="single"/>
        </w:rPr>
      </w:pPr>
      <w:bookmarkStart w:id="230" w:name="_Toc369531696"/>
      <w:bookmarkEnd w:id="230"/>
      <w:bookmarkStart w:id="231" w:name="_Toc369531695"/>
      <w:bookmarkEnd w:id="231"/>
      <w:bookmarkStart w:id="232" w:name="_Toc16568"/>
      <w:bookmarkEnd w:id="232"/>
      <w:bookmarkStart w:id="233" w:name="_Toc352691659"/>
      <w:bookmarkEnd w:id="233"/>
      <w:bookmarkStart w:id="234" w:name="_Toc352691660"/>
      <w:bookmarkEnd w:id="234"/>
      <w:bookmarkStart w:id="235" w:name="_Toc16824"/>
      <w:bookmarkEnd w:id="235"/>
      <w:r>
        <w:rPr>
          <w:rFonts w:hint="eastAsia" w:ascii="宋体" w:hAnsi="宋体" w:eastAsia="宋体" w:cs="Times New Roman"/>
          <w:color w:val="auto"/>
          <w:sz w:val="24"/>
          <w:szCs w:val="24"/>
          <w:highlight w:val="none"/>
        </w:rPr>
        <w:t>投</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标</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人：（盖单位章）</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p>
    <w:p w14:paraId="6E5D5601">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法定代表人或授权委托人（签字或盖章）：</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ascii="宋体" w:hAnsi="宋体" w:eastAsia="宋体" w:cs="Times New Roman"/>
          <w:color w:val="auto"/>
          <w:sz w:val="24"/>
          <w:szCs w:val="24"/>
          <w:highlight w:val="none"/>
          <w:u w:val="single"/>
        </w:rPr>
        <w:t xml:space="preserve">               </w:t>
      </w:r>
    </w:p>
    <w:p w14:paraId="4B12B625">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网</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址：</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p>
    <w:p w14:paraId="27E28D8C">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话：</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p>
    <w:p w14:paraId="395D011C">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传</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真：</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p>
    <w:p w14:paraId="4000736D">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邮政编码：</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p>
    <w:p w14:paraId="6C58F7C8">
      <w:pPr>
        <w:keepNext w:val="0"/>
        <w:keepLines w:val="0"/>
        <w:pageBreakBefore w:val="0"/>
        <w:widowControl w:val="0"/>
        <w:kinsoku/>
        <w:wordWrap w:val="0"/>
        <w:overflowPunct/>
        <w:topLinePunct w:val="0"/>
        <w:autoSpaceDE/>
        <w:autoSpaceDN/>
        <w:bidi w:val="0"/>
        <w:adjustRightInd/>
        <w:snapToGrid/>
        <w:spacing w:line="360" w:lineRule="auto"/>
        <w:ind w:firstLine="5400" w:firstLineChars="2250"/>
        <w:jc w:val="right"/>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bookmarkStart w:id="236" w:name="_Toc152042576"/>
      <w:bookmarkStart w:id="237" w:name="_Toc384308375"/>
      <w:bookmarkStart w:id="238" w:name="_Toc361508752"/>
      <w:bookmarkStart w:id="239" w:name="_Toc369531697"/>
      <w:bookmarkStart w:id="240" w:name="_Toc247527827"/>
      <w:bookmarkStart w:id="241" w:name="_Toc144974856"/>
      <w:bookmarkStart w:id="242" w:name="_Toc17960"/>
      <w:bookmarkStart w:id="243" w:name="_Toc152045787"/>
      <w:bookmarkStart w:id="244" w:name="_Toc247514246"/>
      <w:bookmarkStart w:id="245" w:name="_Toc300835209"/>
      <w:bookmarkStart w:id="246" w:name="_Toc352691661"/>
    </w:p>
    <w:p w14:paraId="2C26B608">
      <w:pPr>
        <w:keepNext/>
        <w:keepLines/>
        <w:wordWrap w:val="0"/>
        <w:spacing w:line="360" w:lineRule="auto"/>
        <w:outlineLvl w:val="2"/>
        <w:rPr>
          <w:rFonts w:hint="eastAsia" w:ascii="宋体" w:hAnsi="宋体" w:eastAsia="宋体" w:cs="Times New Roman"/>
          <w:b/>
          <w:color w:val="auto"/>
          <w:sz w:val="28"/>
          <w:szCs w:val="20"/>
          <w:highlight w:val="none"/>
        </w:rPr>
      </w:pPr>
      <w:bookmarkStart w:id="247" w:name="_Toc370676427"/>
      <w:bookmarkStart w:id="248" w:name="_Toc482188652"/>
      <w:bookmarkStart w:id="249" w:name="_Toc391394112"/>
      <w:bookmarkStart w:id="250" w:name="_Toc4306"/>
      <w:bookmarkStart w:id="251" w:name="_Toc385943066"/>
      <w:bookmarkStart w:id="252" w:name="_Toc27307"/>
      <w:bookmarkStart w:id="253" w:name="_Toc526786509"/>
      <w:bookmarkStart w:id="254" w:name="_Toc359594236"/>
      <w:bookmarkStart w:id="255" w:name="_Toc59200712"/>
      <w:r>
        <w:rPr>
          <w:rFonts w:hint="eastAsia" w:ascii="宋体" w:hAnsi="宋体" w:eastAsia="宋体" w:cs="Times New Roman"/>
          <w:b/>
          <w:color w:val="auto"/>
          <w:sz w:val="28"/>
          <w:szCs w:val="20"/>
          <w:highlight w:val="none"/>
        </w:rPr>
        <w:br w:type="page"/>
      </w:r>
      <w:r>
        <w:rPr>
          <w:rFonts w:hint="eastAsia" w:ascii="宋体" w:hAnsi="宋体" w:eastAsia="宋体" w:cs="Times New Roman"/>
          <w:b/>
          <w:color w:val="auto"/>
          <w:sz w:val="28"/>
          <w:szCs w:val="20"/>
          <w:highlight w:val="none"/>
        </w:rPr>
        <w:t>（二）投标函附录</w:t>
      </w:r>
      <w:bookmarkEnd w:id="247"/>
      <w:bookmarkEnd w:id="248"/>
      <w:bookmarkEnd w:id="249"/>
      <w:bookmarkEnd w:id="250"/>
      <w:bookmarkEnd w:id="251"/>
      <w:bookmarkEnd w:id="252"/>
      <w:bookmarkEnd w:id="253"/>
      <w:bookmarkEnd w:id="254"/>
      <w:bookmarkEnd w:id="255"/>
    </w:p>
    <w:tbl>
      <w:tblPr>
        <w:tblStyle w:val="24"/>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308"/>
        <w:gridCol w:w="4103"/>
        <w:gridCol w:w="2721"/>
      </w:tblGrid>
      <w:tr w14:paraId="7863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64222CD7">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64" w:type="pct"/>
            <w:vAlign w:val="center"/>
          </w:tcPr>
          <w:p w14:paraId="0E1F2F71">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2069" w:type="pct"/>
            <w:vAlign w:val="center"/>
          </w:tcPr>
          <w:p w14:paraId="5D6BB4C7">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c>
          <w:tcPr>
            <w:tcW w:w="1372" w:type="pct"/>
            <w:vAlign w:val="center"/>
          </w:tcPr>
          <w:p w14:paraId="08030F03">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6AC1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20631D36">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1</w:t>
            </w:r>
          </w:p>
        </w:tc>
        <w:tc>
          <w:tcPr>
            <w:tcW w:w="1164" w:type="pct"/>
            <w:vAlign w:val="center"/>
          </w:tcPr>
          <w:p w14:paraId="15646960">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2069" w:type="pct"/>
            <w:vAlign w:val="center"/>
          </w:tcPr>
          <w:p w14:paraId="482B49A9">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ascii="宋体" w:hAnsi="宋体" w:eastAsia="宋体" w:cs="宋体"/>
                <w:color w:val="auto"/>
                <w:szCs w:val="21"/>
                <w:highlight w:val="none"/>
                <w:u w:val="single"/>
              </w:rPr>
              <w:t xml:space="preserve">                         </w:t>
            </w:r>
          </w:p>
          <w:p w14:paraId="3FB5C4AB">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r>
              <w:rPr>
                <w:rFonts w:ascii="宋体" w:hAnsi="宋体" w:eastAsia="宋体" w:cs="宋体"/>
                <w:color w:val="auto"/>
                <w:szCs w:val="21"/>
                <w:highlight w:val="none"/>
                <w:u w:val="single"/>
              </w:rPr>
              <w:t xml:space="preserve">                         </w:t>
            </w:r>
          </w:p>
          <w:p w14:paraId="3B4699A8">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注册证号：</w:t>
            </w:r>
            <w:r>
              <w:rPr>
                <w:rFonts w:ascii="宋体" w:hAnsi="宋体" w:eastAsia="宋体" w:cs="宋体"/>
                <w:color w:val="auto"/>
                <w:szCs w:val="21"/>
                <w:highlight w:val="none"/>
                <w:u w:val="single"/>
              </w:rPr>
              <w:t xml:space="preserve">                         </w:t>
            </w:r>
          </w:p>
        </w:tc>
        <w:tc>
          <w:tcPr>
            <w:tcW w:w="1372" w:type="pct"/>
            <w:vAlign w:val="center"/>
          </w:tcPr>
          <w:p w14:paraId="1E818B17">
            <w:pPr>
              <w:wordWrap w:val="0"/>
              <w:spacing w:line="276" w:lineRule="auto"/>
              <w:jc w:val="left"/>
              <w:rPr>
                <w:rFonts w:hint="eastAsia" w:ascii="宋体" w:hAnsi="宋体" w:eastAsia="宋体" w:cs="宋体"/>
                <w:color w:val="auto"/>
                <w:szCs w:val="21"/>
                <w:highlight w:val="none"/>
              </w:rPr>
            </w:pPr>
          </w:p>
        </w:tc>
      </w:tr>
      <w:tr w14:paraId="71D3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226FEA75">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p>
        </w:tc>
        <w:tc>
          <w:tcPr>
            <w:tcW w:w="1164" w:type="pct"/>
            <w:vAlign w:val="center"/>
          </w:tcPr>
          <w:p w14:paraId="3A825189">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2069" w:type="pct"/>
            <w:vAlign w:val="center"/>
          </w:tcPr>
          <w:p w14:paraId="347ED61A">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按招标文件要求</w:t>
            </w:r>
          </w:p>
        </w:tc>
        <w:tc>
          <w:tcPr>
            <w:tcW w:w="1372" w:type="pct"/>
            <w:vAlign w:val="center"/>
          </w:tcPr>
          <w:p w14:paraId="00E87B6A">
            <w:pPr>
              <w:wordWrap w:val="0"/>
              <w:spacing w:line="276" w:lineRule="auto"/>
              <w:jc w:val="left"/>
              <w:rPr>
                <w:rFonts w:hint="eastAsia" w:ascii="宋体" w:hAnsi="宋体" w:eastAsia="宋体" w:cs="宋体"/>
                <w:color w:val="auto"/>
                <w:szCs w:val="21"/>
                <w:highlight w:val="none"/>
              </w:rPr>
            </w:pPr>
          </w:p>
        </w:tc>
      </w:tr>
      <w:tr w14:paraId="622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527478ED">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p>
        </w:tc>
        <w:tc>
          <w:tcPr>
            <w:tcW w:w="1164" w:type="pct"/>
            <w:vAlign w:val="center"/>
          </w:tcPr>
          <w:p w14:paraId="594FEC7F">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合同价款确定方式</w:t>
            </w:r>
          </w:p>
        </w:tc>
        <w:tc>
          <w:tcPr>
            <w:tcW w:w="2069" w:type="pct"/>
            <w:vAlign w:val="center"/>
          </w:tcPr>
          <w:p w14:paraId="6A309A27">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按招标文件要求</w:t>
            </w:r>
          </w:p>
        </w:tc>
        <w:tc>
          <w:tcPr>
            <w:tcW w:w="1372" w:type="pct"/>
            <w:vAlign w:val="center"/>
          </w:tcPr>
          <w:p w14:paraId="6596B816">
            <w:pPr>
              <w:wordWrap w:val="0"/>
              <w:spacing w:line="276" w:lineRule="auto"/>
              <w:jc w:val="left"/>
              <w:rPr>
                <w:rFonts w:hint="eastAsia" w:ascii="宋体" w:hAnsi="宋体" w:eastAsia="宋体" w:cs="宋体"/>
                <w:color w:val="auto"/>
                <w:szCs w:val="21"/>
                <w:highlight w:val="none"/>
              </w:rPr>
            </w:pPr>
          </w:p>
        </w:tc>
      </w:tr>
      <w:tr w14:paraId="238D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2965A725">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4</w:t>
            </w:r>
          </w:p>
        </w:tc>
        <w:tc>
          <w:tcPr>
            <w:tcW w:w="1164" w:type="pct"/>
            <w:vAlign w:val="center"/>
          </w:tcPr>
          <w:p w14:paraId="3BC9F5FB">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2069" w:type="pct"/>
            <w:vAlign w:val="center"/>
          </w:tcPr>
          <w:p w14:paraId="4DEE7939">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w:t>
            </w:r>
          </w:p>
        </w:tc>
        <w:tc>
          <w:tcPr>
            <w:tcW w:w="1372" w:type="pct"/>
            <w:vAlign w:val="center"/>
          </w:tcPr>
          <w:p w14:paraId="50AD4DC8">
            <w:pPr>
              <w:wordWrap w:val="0"/>
              <w:spacing w:line="276" w:lineRule="auto"/>
              <w:jc w:val="left"/>
              <w:rPr>
                <w:rFonts w:hint="eastAsia" w:ascii="宋体" w:hAnsi="宋体" w:eastAsia="宋体" w:cs="宋体"/>
                <w:color w:val="auto"/>
                <w:szCs w:val="21"/>
                <w:highlight w:val="none"/>
              </w:rPr>
            </w:pPr>
          </w:p>
        </w:tc>
      </w:tr>
      <w:tr w14:paraId="202D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3" w:type="pct"/>
            <w:vAlign w:val="center"/>
          </w:tcPr>
          <w:p w14:paraId="135146F7">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5</w:t>
            </w:r>
          </w:p>
        </w:tc>
        <w:tc>
          <w:tcPr>
            <w:tcW w:w="1164" w:type="pct"/>
            <w:vAlign w:val="center"/>
          </w:tcPr>
          <w:p w14:paraId="301C2B80">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监理人员</w:t>
            </w:r>
          </w:p>
        </w:tc>
        <w:tc>
          <w:tcPr>
            <w:tcW w:w="2069" w:type="pct"/>
            <w:vAlign w:val="center"/>
          </w:tcPr>
          <w:p w14:paraId="43BDA910">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驻场监理人数：</w:t>
            </w:r>
            <w:r>
              <w:rPr>
                <w:rFonts w:ascii="宋体" w:hAnsi="宋体" w:eastAsia="宋体" w:cs="宋体"/>
                <w:color w:val="auto"/>
                <w:szCs w:val="21"/>
                <w:highlight w:val="none"/>
                <w:u w:val="single"/>
              </w:rPr>
              <w:t xml:space="preserve">      </w:t>
            </w:r>
          </w:p>
          <w:p w14:paraId="5E0BA34D">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监理工程师人数</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u w:val="single"/>
              </w:rPr>
              <w:t xml:space="preserve">     </w:t>
            </w:r>
          </w:p>
        </w:tc>
        <w:tc>
          <w:tcPr>
            <w:tcW w:w="1372" w:type="pct"/>
            <w:vAlign w:val="center"/>
          </w:tcPr>
          <w:p w14:paraId="7F84AEAA">
            <w:pPr>
              <w:wordWrap w:val="0"/>
              <w:spacing w:line="276" w:lineRule="auto"/>
              <w:jc w:val="left"/>
              <w:rPr>
                <w:rFonts w:hint="eastAsia" w:ascii="宋体" w:hAnsi="宋体" w:eastAsia="宋体" w:cs="宋体"/>
                <w:color w:val="auto"/>
                <w:szCs w:val="21"/>
                <w:highlight w:val="none"/>
              </w:rPr>
            </w:pPr>
          </w:p>
        </w:tc>
      </w:tr>
      <w:tr w14:paraId="7ABA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3" w:type="pct"/>
            <w:vAlign w:val="center"/>
          </w:tcPr>
          <w:p w14:paraId="1351474A">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6</w:t>
            </w:r>
          </w:p>
        </w:tc>
        <w:tc>
          <w:tcPr>
            <w:tcW w:w="1164" w:type="pct"/>
            <w:vAlign w:val="center"/>
          </w:tcPr>
          <w:p w14:paraId="3028A745">
            <w:pPr>
              <w:wordWrap w:val="0"/>
              <w:spacing w:line="276" w:lineRule="auto"/>
              <w:jc w:val="left"/>
              <w:rPr>
                <w:rFonts w:hint="eastAsia" w:ascii="宋体" w:hAnsi="宋体" w:eastAsia="宋体" w:cs="宋体"/>
                <w:color w:val="auto"/>
                <w:szCs w:val="21"/>
                <w:highlight w:val="none"/>
              </w:rPr>
            </w:pPr>
            <w:bookmarkStart w:id="256" w:name="_Hlk79673015"/>
            <w:r>
              <w:rPr>
                <w:rFonts w:hint="eastAsia" w:ascii="宋体" w:hAnsi="宋体" w:eastAsia="宋体" w:cs="宋体"/>
                <w:color w:val="auto"/>
                <w:szCs w:val="21"/>
                <w:highlight w:val="none"/>
              </w:rPr>
              <w:t>暂定工程费</w:t>
            </w:r>
            <w:bookmarkEnd w:id="256"/>
          </w:p>
        </w:tc>
        <w:tc>
          <w:tcPr>
            <w:tcW w:w="2069" w:type="pct"/>
            <w:vAlign w:val="center"/>
          </w:tcPr>
          <w:p w14:paraId="22A5BD30">
            <w:pPr>
              <w:wordWrap w:val="0"/>
              <w:spacing w:line="276" w:lineRule="auto"/>
              <w:jc w:val="left"/>
              <w:rPr>
                <w:rFonts w:hint="eastAsia" w:ascii="宋体" w:hAnsi="宋体" w:eastAsia="宋体" w:cs="宋体"/>
                <w:color w:val="auto"/>
                <w:szCs w:val="21"/>
                <w:highlight w:val="none"/>
                <w:u w:val="single"/>
              </w:rPr>
            </w:pPr>
            <w:bookmarkStart w:id="257" w:name="_Hlk79665979"/>
            <w:r>
              <w:rPr>
                <w:rFonts w:hint="eastAsia" w:ascii="宋体" w:hAnsi="宋体" w:eastAsia="宋体" w:cs="Times New Roman"/>
                <w:color w:val="auto"/>
                <w:szCs w:val="21"/>
                <w:highlight w:val="none"/>
              </w:rPr>
              <w:t>/万元</w:t>
            </w:r>
            <w:bookmarkEnd w:id="257"/>
          </w:p>
        </w:tc>
        <w:tc>
          <w:tcPr>
            <w:tcW w:w="1372" w:type="pct"/>
            <w:vAlign w:val="center"/>
          </w:tcPr>
          <w:p w14:paraId="4B5799FA">
            <w:pPr>
              <w:wordWrap w:val="0"/>
              <w:spacing w:line="276" w:lineRule="auto"/>
              <w:jc w:val="left"/>
              <w:rPr>
                <w:rFonts w:hint="eastAsia" w:ascii="宋体" w:hAnsi="宋体" w:eastAsia="宋体" w:cs="宋体"/>
                <w:color w:val="auto"/>
                <w:szCs w:val="21"/>
                <w:highlight w:val="none"/>
              </w:rPr>
            </w:pPr>
          </w:p>
        </w:tc>
      </w:tr>
      <w:tr w14:paraId="3A2B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6F3753FF">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7</w:t>
            </w:r>
          </w:p>
        </w:tc>
        <w:tc>
          <w:tcPr>
            <w:tcW w:w="1164" w:type="pct"/>
            <w:vAlign w:val="center"/>
          </w:tcPr>
          <w:p w14:paraId="389E41F7">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2069" w:type="pct"/>
            <w:vAlign w:val="center"/>
          </w:tcPr>
          <w:p w14:paraId="77471FE2">
            <w:pPr>
              <w:wordWrap w:val="0"/>
              <w:spacing w:line="276" w:lineRule="auto"/>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 xml:space="preserve">大写：      </w:t>
            </w:r>
          </w:p>
          <w:p w14:paraId="2A5582F7">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小写：</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1372" w:type="pct"/>
            <w:vAlign w:val="center"/>
          </w:tcPr>
          <w:p w14:paraId="2D8DF63A">
            <w:pPr>
              <w:wordWrap w:val="0"/>
              <w:spacing w:line="276" w:lineRule="auto"/>
              <w:jc w:val="left"/>
              <w:rPr>
                <w:rFonts w:hint="eastAsia" w:ascii="宋体" w:hAnsi="宋体" w:eastAsia="宋体" w:cs="宋体"/>
                <w:color w:val="auto"/>
                <w:szCs w:val="21"/>
                <w:highlight w:val="none"/>
              </w:rPr>
            </w:pPr>
          </w:p>
        </w:tc>
      </w:tr>
      <w:tr w14:paraId="35A1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153C729">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8</w:t>
            </w:r>
          </w:p>
        </w:tc>
        <w:tc>
          <w:tcPr>
            <w:tcW w:w="1164" w:type="pct"/>
            <w:vAlign w:val="center"/>
          </w:tcPr>
          <w:p w14:paraId="460C5738">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监理下浮率</w:t>
            </w:r>
          </w:p>
        </w:tc>
        <w:tc>
          <w:tcPr>
            <w:tcW w:w="2069" w:type="pct"/>
            <w:vAlign w:val="center"/>
          </w:tcPr>
          <w:p w14:paraId="627AEBB0">
            <w:pPr>
              <w:wordWrap w:val="0"/>
              <w:spacing w:line="276" w:lineRule="auto"/>
              <w:jc w:val="left"/>
              <w:rPr>
                <w:rFonts w:hint="eastAsia" w:ascii="宋体" w:hAnsi="宋体" w:eastAsia="宋体" w:cs="宋体"/>
                <w:color w:val="auto"/>
                <w:szCs w:val="21"/>
                <w:highlight w:val="none"/>
              </w:rPr>
            </w:pP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1372" w:type="pct"/>
            <w:vAlign w:val="center"/>
          </w:tcPr>
          <w:p w14:paraId="20B0B1CE">
            <w:pPr>
              <w:wordWrap w:val="0"/>
              <w:spacing w:line="276"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下浮率=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1-投标报价/最高投标限价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*100%</w:t>
            </w:r>
          </w:p>
        </w:tc>
      </w:tr>
      <w:tr w14:paraId="61AC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209E939B">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9</w:t>
            </w:r>
          </w:p>
        </w:tc>
        <w:tc>
          <w:tcPr>
            <w:tcW w:w="1164" w:type="pct"/>
            <w:vAlign w:val="center"/>
          </w:tcPr>
          <w:p w14:paraId="7E915335">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法人营业执照证号</w:t>
            </w:r>
          </w:p>
        </w:tc>
        <w:tc>
          <w:tcPr>
            <w:tcW w:w="2069" w:type="pct"/>
            <w:vAlign w:val="center"/>
          </w:tcPr>
          <w:p w14:paraId="28321769">
            <w:pPr>
              <w:wordWrap w:val="0"/>
              <w:spacing w:line="276" w:lineRule="auto"/>
              <w:jc w:val="left"/>
              <w:rPr>
                <w:rFonts w:hint="eastAsia" w:ascii="宋体" w:hAnsi="宋体" w:eastAsia="宋体" w:cs="宋体"/>
                <w:color w:val="auto"/>
                <w:szCs w:val="21"/>
                <w:highlight w:val="none"/>
              </w:rPr>
            </w:pPr>
          </w:p>
        </w:tc>
        <w:tc>
          <w:tcPr>
            <w:tcW w:w="1372" w:type="pct"/>
            <w:vAlign w:val="center"/>
          </w:tcPr>
          <w:p w14:paraId="24B8D410">
            <w:pPr>
              <w:wordWrap w:val="0"/>
              <w:spacing w:line="276" w:lineRule="auto"/>
              <w:jc w:val="center"/>
              <w:rPr>
                <w:rFonts w:hint="eastAsia" w:ascii="宋体" w:hAnsi="宋体" w:eastAsia="宋体" w:cs="宋体"/>
                <w:color w:val="auto"/>
                <w:szCs w:val="21"/>
                <w:highlight w:val="none"/>
              </w:rPr>
            </w:pPr>
          </w:p>
        </w:tc>
      </w:tr>
      <w:tr w14:paraId="7351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26CC24F0">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10</w:t>
            </w:r>
          </w:p>
        </w:tc>
        <w:tc>
          <w:tcPr>
            <w:tcW w:w="1164" w:type="pct"/>
            <w:vAlign w:val="center"/>
          </w:tcPr>
          <w:p w14:paraId="00B1E242">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资质等级及证书号</w:t>
            </w:r>
          </w:p>
        </w:tc>
        <w:tc>
          <w:tcPr>
            <w:tcW w:w="2069" w:type="pct"/>
            <w:vAlign w:val="center"/>
          </w:tcPr>
          <w:p w14:paraId="4341B400">
            <w:pPr>
              <w:wordWrap w:val="0"/>
              <w:spacing w:line="276" w:lineRule="auto"/>
              <w:jc w:val="left"/>
              <w:rPr>
                <w:rFonts w:hint="eastAsia" w:ascii="宋体" w:hAnsi="宋体" w:eastAsia="宋体" w:cs="宋体"/>
                <w:color w:val="auto"/>
                <w:szCs w:val="21"/>
                <w:highlight w:val="none"/>
              </w:rPr>
            </w:pPr>
          </w:p>
        </w:tc>
        <w:tc>
          <w:tcPr>
            <w:tcW w:w="1372" w:type="pct"/>
            <w:vAlign w:val="center"/>
          </w:tcPr>
          <w:p w14:paraId="4AA33C6B">
            <w:pPr>
              <w:wordWrap w:val="0"/>
              <w:spacing w:line="276" w:lineRule="auto"/>
              <w:jc w:val="left"/>
              <w:rPr>
                <w:rFonts w:hint="eastAsia" w:ascii="宋体" w:hAnsi="宋体" w:eastAsia="宋体" w:cs="宋体"/>
                <w:color w:val="auto"/>
                <w:szCs w:val="21"/>
                <w:highlight w:val="none"/>
              </w:rPr>
            </w:pPr>
          </w:p>
        </w:tc>
      </w:tr>
      <w:tr w14:paraId="3295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1D8EC5FA">
            <w:pPr>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11</w:t>
            </w:r>
          </w:p>
        </w:tc>
        <w:tc>
          <w:tcPr>
            <w:tcW w:w="1164" w:type="pct"/>
            <w:vAlign w:val="center"/>
          </w:tcPr>
          <w:p w14:paraId="094DBE4C">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2069" w:type="pct"/>
            <w:vAlign w:val="center"/>
          </w:tcPr>
          <w:p w14:paraId="068A1F1D">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按招标文件要求</w:t>
            </w:r>
          </w:p>
        </w:tc>
        <w:tc>
          <w:tcPr>
            <w:tcW w:w="1372" w:type="pct"/>
            <w:vAlign w:val="center"/>
          </w:tcPr>
          <w:p w14:paraId="7BD8432B">
            <w:pPr>
              <w:wordWrap w:val="0"/>
              <w:spacing w:line="276" w:lineRule="auto"/>
              <w:jc w:val="left"/>
              <w:rPr>
                <w:rFonts w:hint="eastAsia" w:ascii="宋体" w:hAnsi="宋体" w:eastAsia="宋体" w:cs="宋体"/>
                <w:color w:val="auto"/>
                <w:szCs w:val="21"/>
                <w:highlight w:val="none"/>
              </w:rPr>
            </w:pPr>
          </w:p>
        </w:tc>
      </w:tr>
    </w:tbl>
    <w:p w14:paraId="5DF1729B">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p>
    <w:p w14:paraId="37C77281">
      <w:pPr>
        <w:keepNext w:val="0"/>
        <w:keepLines w:val="0"/>
        <w:pageBreakBefore w:val="0"/>
        <w:widowControl w:val="0"/>
        <w:kinsoku/>
        <w:overflowPunct/>
        <w:topLinePunct w:val="0"/>
        <w:autoSpaceDE/>
        <w:autoSpaceDN/>
        <w:bidi w:val="0"/>
        <w:adjustRightInd/>
        <w:snapToGrid/>
        <w:spacing w:line="360" w:lineRule="auto"/>
        <w:jc w:val="right"/>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标</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人</w:t>
      </w:r>
      <w:r>
        <w:rPr>
          <w:rFonts w:hint="eastAsia" w:ascii="宋体" w:hAnsi="宋体" w:eastAsia="宋体" w:cs="Times New Roman"/>
          <w:color w:val="auto"/>
          <w:sz w:val="24"/>
          <w:szCs w:val="24"/>
          <w:highlight w:val="none"/>
        </w:rPr>
        <w:t>（盖单位章）</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ab/>
      </w:r>
    </w:p>
    <w:p w14:paraId="74355C1F">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法定代表人或授权委托人（签字或盖章）：</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ab/>
      </w:r>
    </w:p>
    <w:p w14:paraId="79809E9E">
      <w:pPr>
        <w:keepNext w:val="0"/>
        <w:keepLines w:val="0"/>
        <w:pageBreakBefore w:val="0"/>
        <w:widowControl w:val="0"/>
        <w:kinsoku/>
        <w:wordWrap w:val="0"/>
        <w:overflowPunct/>
        <w:topLinePunct w:val="0"/>
        <w:autoSpaceDE/>
        <w:autoSpaceDN/>
        <w:bidi w:val="0"/>
        <w:adjustRightInd/>
        <w:snapToGrid/>
        <w:spacing w:line="360" w:lineRule="auto"/>
        <w:ind w:firstLine="5400" w:firstLineChars="2250"/>
        <w:jc w:val="right"/>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565218D8">
      <w:pPr>
        <w:wordWrap w:val="0"/>
        <w:jc w:val="center"/>
        <w:outlineLvl w:val="1"/>
        <w:rPr>
          <w:rFonts w:hint="eastAsia" w:ascii="宋体" w:hAnsi="宋体" w:eastAsia="宋体" w:cs="Times New Roman"/>
          <w:b/>
          <w:color w:val="auto"/>
          <w:sz w:val="32"/>
          <w:szCs w:val="20"/>
          <w:highlight w:val="none"/>
        </w:rPr>
      </w:pPr>
      <w:bookmarkStart w:id="258" w:name="_Toc8404"/>
      <w:bookmarkStart w:id="259" w:name="_Toc59200713"/>
      <w:bookmarkStart w:id="260" w:name="_Toc526786510"/>
      <w:r>
        <w:rPr>
          <w:rFonts w:hint="eastAsia" w:ascii="宋体" w:hAnsi="宋体" w:eastAsia="宋体" w:cs="Times New Roman"/>
          <w:b/>
          <w:color w:val="auto"/>
          <w:sz w:val="32"/>
          <w:szCs w:val="20"/>
          <w:highlight w:val="none"/>
        </w:rPr>
        <w:br w:type="page"/>
      </w:r>
      <w:r>
        <w:rPr>
          <w:rFonts w:hint="eastAsia" w:ascii="宋体" w:hAnsi="宋体" w:eastAsia="宋体" w:cs="Times New Roman"/>
          <w:b/>
          <w:color w:val="auto"/>
          <w:sz w:val="32"/>
          <w:szCs w:val="20"/>
          <w:highlight w:val="none"/>
        </w:rPr>
        <w:t>二</w:t>
      </w:r>
      <w:bookmarkEnd w:id="236"/>
      <w:bookmarkEnd w:id="237"/>
      <w:bookmarkEnd w:id="238"/>
      <w:bookmarkEnd w:id="239"/>
      <w:bookmarkEnd w:id="240"/>
      <w:bookmarkEnd w:id="241"/>
      <w:bookmarkEnd w:id="242"/>
      <w:bookmarkEnd w:id="243"/>
      <w:bookmarkEnd w:id="244"/>
      <w:bookmarkEnd w:id="245"/>
      <w:bookmarkEnd w:id="246"/>
      <w:r>
        <w:rPr>
          <w:rFonts w:hint="eastAsia" w:ascii="宋体" w:hAnsi="宋体" w:eastAsia="宋体" w:cs="Times New Roman"/>
          <w:b/>
          <w:color w:val="auto"/>
          <w:sz w:val="32"/>
          <w:szCs w:val="20"/>
          <w:highlight w:val="none"/>
        </w:rPr>
        <w:t>、法定代表人证明</w:t>
      </w:r>
      <w:bookmarkEnd w:id="258"/>
      <w:bookmarkEnd w:id="259"/>
      <w:bookmarkEnd w:id="260"/>
      <w:r>
        <w:rPr>
          <w:rFonts w:hint="eastAsia" w:ascii="宋体" w:hAnsi="宋体" w:eastAsia="宋体" w:cs="Times New Roman"/>
          <w:b/>
          <w:color w:val="auto"/>
          <w:sz w:val="32"/>
          <w:szCs w:val="20"/>
          <w:highlight w:val="none"/>
        </w:rPr>
        <w:t>或授权委托书</w:t>
      </w:r>
    </w:p>
    <w:p w14:paraId="269003A4">
      <w:pPr>
        <w:wordWrap w:val="0"/>
        <w:spacing w:line="440" w:lineRule="exact"/>
        <w:rPr>
          <w:rFonts w:hint="eastAsia" w:ascii="宋体" w:hAnsi="宋体" w:eastAsia="宋体" w:cs="Times New Roman"/>
          <w:color w:val="auto"/>
          <w:highlight w:val="none"/>
        </w:rPr>
      </w:pPr>
    </w:p>
    <w:p w14:paraId="22B3B83E">
      <w:pPr>
        <w:spacing w:line="440" w:lineRule="exact"/>
        <w:jc w:val="center"/>
        <w:rPr>
          <w:rFonts w:hint="eastAsia" w:ascii="宋体" w:hAnsi="宋体" w:eastAsia="宋体" w:cs="Times New Roman"/>
          <w:color w:val="auto"/>
          <w:highlight w:val="none"/>
        </w:rPr>
      </w:pPr>
      <w:r>
        <w:rPr>
          <w:rFonts w:hint="eastAsia" w:ascii="宋体" w:hAnsi="宋体" w:eastAsia="宋体" w:cs="Times New Roman"/>
          <w:b/>
          <w:color w:val="auto"/>
          <w:sz w:val="32"/>
          <w:szCs w:val="20"/>
          <w:highlight w:val="none"/>
        </w:rPr>
        <w:t>法定代表人证明</w:t>
      </w:r>
    </w:p>
    <w:p w14:paraId="7DE8770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投标人名称：</w:t>
      </w:r>
      <w:r>
        <w:rPr>
          <w:rFonts w:ascii="宋体" w:hAnsi="宋体" w:eastAsia="宋体" w:cs="Times New Roman"/>
          <w:color w:val="auto"/>
          <w:sz w:val="24"/>
          <w:szCs w:val="24"/>
          <w:highlight w:val="none"/>
          <w:u w:val="single"/>
        </w:rPr>
        <w:t xml:space="preserve">                        </w:t>
      </w:r>
    </w:p>
    <w:p w14:paraId="5A2A45B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姓名：</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性别：</w:t>
      </w:r>
      <w:bookmarkStart w:id="261" w:name="_Toc369531698"/>
      <w:bookmarkStart w:id="262" w:name="_Toc27897"/>
      <w:bookmarkStart w:id="263" w:name="_Toc352691662"/>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bookmarkEnd w:id="261"/>
      <w:bookmarkEnd w:id="262"/>
      <w:bookmarkEnd w:id="263"/>
      <w:r>
        <w:rPr>
          <w:rFonts w:hint="eastAsia" w:ascii="宋体" w:hAnsi="宋体" w:eastAsia="宋体" w:cs="Times New Roman"/>
          <w:color w:val="auto"/>
          <w:sz w:val="24"/>
          <w:szCs w:val="24"/>
          <w:highlight w:val="none"/>
        </w:rPr>
        <w:t>龄</w:t>
      </w:r>
      <w:bookmarkStart w:id="264" w:name="_Toc247527829"/>
      <w:bookmarkStart w:id="265" w:name="_Toc152042578"/>
      <w:bookmarkStart w:id="266" w:name="_Toc152045789"/>
      <w:bookmarkStart w:id="267" w:name="_Toc352691663"/>
      <w:bookmarkStart w:id="268" w:name="_Toc384308377"/>
      <w:bookmarkStart w:id="269" w:name="_Toc369531699"/>
      <w:bookmarkStart w:id="270" w:name="_Toc361508754"/>
      <w:bookmarkStart w:id="271" w:name="_Toc144974858"/>
      <w:bookmarkStart w:id="272" w:name="_Toc247514248"/>
      <w:bookmarkStart w:id="273" w:name="_Toc300835211"/>
      <w:bookmarkStart w:id="274" w:name="_Toc15573"/>
      <w:r>
        <w:rPr>
          <w:rFonts w:hint="eastAsia" w:ascii="宋体" w:hAnsi="宋体" w:eastAsia="宋体" w:cs="Times New Roman"/>
          <w:color w:val="auto"/>
          <w:sz w:val="24"/>
          <w:szCs w:val="24"/>
          <w:highlight w:val="none"/>
        </w:rPr>
        <w:t>：</w:t>
      </w:r>
      <w:bookmarkEnd w:id="264"/>
      <w:bookmarkEnd w:id="265"/>
      <w:bookmarkEnd w:id="266"/>
      <w:bookmarkEnd w:id="267"/>
      <w:bookmarkEnd w:id="268"/>
      <w:bookmarkEnd w:id="269"/>
      <w:bookmarkEnd w:id="270"/>
      <w:bookmarkEnd w:id="271"/>
      <w:bookmarkEnd w:id="272"/>
      <w:bookmarkEnd w:id="273"/>
      <w:bookmarkEnd w:id="274"/>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职务：</w:t>
      </w:r>
      <w:r>
        <w:rPr>
          <w:rFonts w:ascii="宋体" w:hAnsi="宋体" w:eastAsia="宋体" w:cs="Times New Roman"/>
          <w:color w:val="auto"/>
          <w:sz w:val="24"/>
          <w:szCs w:val="24"/>
          <w:highlight w:val="none"/>
          <w:u w:val="single"/>
        </w:rPr>
        <w:t xml:space="preserve">        </w:t>
      </w:r>
    </w:p>
    <w:p w14:paraId="22C0798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系</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（投标人名称）的法定代表人。</w:t>
      </w:r>
    </w:p>
    <w:p w14:paraId="4D03354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p>
    <w:p w14:paraId="0F1F49E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特此证明。</w:t>
      </w:r>
    </w:p>
    <w:p w14:paraId="3E62A80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p>
    <w:p w14:paraId="69D4626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附：法定代表人身份证扫描件。</w:t>
      </w:r>
    </w:p>
    <w:p w14:paraId="13D068D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p>
    <w:p w14:paraId="3D53661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注：本身份证明需由投标人加盖单位电子印章。</w:t>
      </w:r>
    </w:p>
    <w:p w14:paraId="437F38B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p>
    <w:p w14:paraId="02B0D56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p>
    <w:p w14:paraId="54F868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投标人：</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r>
        <w:rPr>
          <w:rFonts w:hint="eastAsia" w:ascii="宋体" w:hAnsi="宋体" w:eastAsia="宋体" w:cs="Times New Roman"/>
          <w:color w:val="auto"/>
          <w:sz w:val="24"/>
          <w:szCs w:val="24"/>
          <w:highlight w:val="none"/>
        </w:rPr>
        <w:t>（盖单位章）</w:t>
      </w:r>
    </w:p>
    <w:p w14:paraId="58CDCF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p>
    <w:p w14:paraId="6A964417">
      <w:pPr>
        <w:keepNext w:val="0"/>
        <w:keepLines w:val="0"/>
        <w:pageBreakBefore w:val="0"/>
        <w:widowControl w:val="0"/>
        <w:kinsoku/>
        <w:wordWrap w:val="0"/>
        <w:overflowPunct/>
        <w:topLinePunct w:val="0"/>
        <w:autoSpaceDE/>
        <w:autoSpaceDN/>
        <w:bidi w:val="0"/>
        <w:adjustRightInd/>
        <w:snapToGrid/>
        <w:spacing w:line="360" w:lineRule="auto"/>
        <w:ind w:firstLine="5280" w:firstLineChars="2200"/>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21BF0A0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p>
    <w:p w14:paraId="38EFDEE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p>
    <w:p w14:paraId="6546CDCE">
      <w:pPr>
        <w:spacing w:line="440" w:lineRule="exact"/>
        <w:jc w:val="center"/>
        <w:rPr>
          <w:rFonts w:hint="eastAsia" w:ascii="宋体" w:hAnsi="宋体" w:eastAsia="宋体" w:cs="Times New Roman"/>
          <w:b/>
          <w:color w:val="auto"/>
          <w:sz w:val="32"/>
          <w:szCs w:val="20"/>
          <w:highlight w:val="none"/>
        </w:rPr>
      </w:pPr>
      <w:r>
        <w:rPr>
          <w:rFonts w:ascii="宋体" w:hAnsi="宋体" w:eastAsia="宋体" w:cs="Times New Roman"/>
          <w:b/>
          <w:color w:val="auto"/>
          <w:sz w:val="20"/>
          <w:szCs w:val="20"/>
          <w:highlight w:val="none"/>
        </w:rPr>
        <w:br w:type="page"/>
      </w:r>
      <w:bookmarkStart w:id="275" w:name="_Toc526786511"/>
      <w:bookmarkStart w:id="276" w:name="_Toc7033"/>
      <w:bookmarkStart w:id="277" w:name="_Toc59200714"/>
      <w:r>
        <w:rPr>
          <w:rFonts w:hint="eastAsia" w:ascii="宋体" w:hAnsi="宋体" w:eastAsia="宋体" w:cs="Times New Roman"/>
          <w:b/>
          <w:color w:val="auto"/>
          <w:sz w:val="32"/>
          <w:szCs w:val="20"/>
          <w:highlight w:val="none"/>
        </w:rPr>
        <w:t>授权委托书</w:t>
      </w:r>
      <w:bookmarkEnd w:id="275"/>
      <w:bookmarkEnd w:id="276"/>
      <w:bookmarkEnd w:id="277"/>
    </w:p>
    <w:p w14:paraId="68525723">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p>
    <w:p w14:paraId="39E5CADB">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（投标人名称）的法定代表人，现委托</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（姓名）为我方代理人。代理人根据授权，以我方名义签署、澄清确认、递交、撤回、修改监理招标项目投标文件、签订合同和处理有关事宜，其法律后果由我方承担。</w:t>
      </w:r>
    </w:p>
    <w:p w14:paraId="3FA4180A">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委托期限：</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53B015D">
      <w:pPr>
        <w:keepNext w:val="0"/>
        <w:keepLines w:val="0"/>
        <w:pageBreakBefore w:val="0"/>
        <w:widowControl w:val="0"/>
        <w:kinsoku/>
        <w:wordWrap w:val="0"/>
        <w:overflowPunct/>
        <w:autoSpaceDE/>
        <w:autoSpaceDN/>
        <w:bidi w:val="0"/>
        <w:adjustRightInd/>
        <w:snapToGrid/>
        <w:spacing w:line="360" w:lineRule="auto"/>
        <w:ind w:firstLine="480" w:firstLineChars="200"/>
        <w:textAlignment w:val="auto"/>
        <w:rPr>
          <w:rFonts w:hint="eastAsia"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代理人无转委托权。代理人为投标人正式职工，</w:t>
      </w:r>
      <w:r>
        <w:rPr>
          <w:rFonts w:hint="eastAsia" w:ascii="宋体" w:hAnsi="宋体" w:eastAsia="宋体" w:cs="Times New Roman"/>
          <w:b/>
          <w:bCs/>
          <w:color w:val="auto"/>
          <w:sz w:val="24"/>
          <w:szCs w:val="24"/>
          <w:highlight w:val="none"/>
        </w:rPr>
        <w:t>必须具有离投标截止时间最近的至少1个月（即2025年8月）在本单位缴纳的社保证明文件（如部分地区社保证明显示隔月缴费状态，则提供2025年7月的社保证明）。</w:t>
      </w:r>
    </w:p>
    <w:p w14:paraId="13B01C70">
      <w:pPr>
        <w:keepNext w:val="0"/>
        <w:keepLines w:val="0"/>
        <w:pageBreakBefore w:val="0"/>
        <w:widowControl w:val="0"/>
        <w:kinsoku/>
        <w:wordWrap w:val="0"/>
        <w:overflowPunct/>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p>
    <w:p w14:paraId="663FAB62">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附：法定代表人身份证及委托代理人身份证扫描件</w:t>
      </w:r>
    </w:p>
    <w:p w14:paraId="339EBF5F">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p>
    <w:p w14:paraId="6C206126">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注：本授权委托书需由投标人加盖单位电子印章并由其法定代表人和委托代理人签字或盖章。</w:t>
      </w:r>
    </w:p>
    <w:p w14:paraId="313BCD24">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p>
    <w:p w14:paraId="5E39ABED">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标</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人：</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r>
        <w:rPr>
          <w:rFonts w:hint="eastAsia" w:ascii="宋体" w:hAnsi="宋体" w:eastAsia="宋体" w:cs="Times New Roman"/>
          <w:color w:val="auto"/>
          <w:sz w:val="24"/>
          <w:szCs w:val="24"/>
          <w:highlight w:val="none"/>
        </w:rPr>
        <w:t>（盖单位章）</w:t>
      </w:r>
    </w:p>
    <w:p w14:paraId="658598BC">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Times New Roman"/>
          <w:color w:val="auto"/>
          <w:sz w:val="24"/>
          <w:szCs w:val="24"/>
          <w:highlight w:val="none"/>
        </w:rPr>
      </w:pPr>
    </w:p>
    <w:p w14:paraId="514144E1">
      <w:pPr>
        <w:keepNext w:val="0"/>
        <w:keepLines w:val="0"/>
        <w:pageBreakBefore w:val="0"/>
        <w:widowControl w:val="0"/>
        <w:kinsoku/>
        <w:wordWrap w:val="0"/>
        <w:overflowPunct/>
        <w:autoSpaceDE/>
        <w:autoSpaceDN/>
        <w:bidi w:val="0"/>
        <w:adjustRightInd/>
        <w:snapToGrid/>
        <w:spacing w:line="360" w:lineRule="auto"/>
        <w:ind w:firstLine="3074" w:firstLineChars="1281"/>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r>
        <w:rPr>
          <w:rFonts w:hint="eastAsia" w:ascii="宋体" w:hAnsi="宋体" w:eastAsia="宋体" w:cs="Times New Roman"/>
          <w:color w:val="auto"/>
          <w:sz w:val="24"/>
          <w:szCs w:val="24"/>
          <w:highlight w:val="none"/>
        </w:rPr>
        <w:t>（签字或盖章）</w:t>
      </w:r>
    </w:p>
    <w:p w14:paraId="4FFC4ABF">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Times New Roman"/>
          <w:color w:val="auto"/>
          <w:sz w:val="24"/>
          <w:szCs w:val="24"/>
          <w:highlight w:val="none"/>
        </w:rPr>
      </w:pPr>
    </w:p>
    <w:p w14:paraId="1CCC6784">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身份证号码：</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p>
    <w:p w14:paraId="68ABFC88">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Times New Roman"/>
          <w:color w:val="auto"/>
          <w:sz w:val="24"/>
          <w:szCs w:val="24"/>
          <w:highlight w:val="none"/>
        </w:rPr>
      </w:pPr>
    </w:p>
    <w:p w14:paraId="2903D57C">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委托代理人：</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r>
        <w:rPr>
          <w:rFonts w:hint="eastAsia" w:ascii="宋体" w:hAnsi="宋体" w:eastAsia="宋体" w:cs="Times New Roman"/>
          <w:color w:val="auto"/>
          <w:sz w:val="24"/>
          <w:szCs w:val="24"/>
          <w:highlight w:val="none"/>
        </w:rPr>
        <w:t>（签字或盖章）</w:t>
      </w:r>
    </w:p>
    <w:p w14:paraId="1321B4FD">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Times New Roman"/>
          <w:color w:val="auto"/>
          <w:sz w:val="24"/>
          <w:szCs w:val="24"/>
          <w:highlight w:val="none"/>
        </w:rPr>
      </w:pPr>
    </w:p>
    <w:p w14:paraId="0F291791">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身份证号码：</w:t>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ab/>
      </w:r>
    </w:p>
    <w:p w14:paraId="3679DE5B">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Times New Roman"/>
          <w:color w:val="auto"/>
          <w:sz w:val="24"/>
          <w:szCs w:val="24"/>
          <w:highlight w:val="none"/>
        </w:rPr>
      </w:pPr>
    </w:p>
    <w:p w14:paraId="7C542A3D">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Times New Roman"/>
          <w:color w:val="auto"/>
          <w:sz w:val="24"/>
          <w:szCs w:val="24"/>
          <w:highlight w:val="none"/>
        </w:rPr>
      </w:pPr>
    </w:p>
    <w:p w14:paraId="43E5568D">
      <w:pPr>
        <w:keepNext w:val="0"/>
        <w:keepLines w:val="0"/>
        <w:pageBreakBefore w:val="0"/>
        <w:widowControl w:val="0"/>
        <w:kinsoku/>
        <w:wordWrap w:val="0"/>
        <w:overflowPunct/>
        <w:autoSpaceDE/>
        <w:autoSpaceDN/>
        <w:bidi w:val="0"/>
        <w:adjustRightInd/>
        <w:snapToGrid/>
        <w:spacing w:line="360" w:lineRule="auto"/>
        <w:ind w:firstLine="4636" w:firstLineChars="1932"/>
        <w:jc w:val="right"/>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50364ABE">
      <w:pPr>
        <w:widowControl/>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br w:type="page"/>
      </w:r>
    </w:p>
    <w:p w14:paraId="75E375EA">
      <w:pPr>
        <w:wordWrap w:val="0"/>
        <w:jc w:val="center"/>
        <w:outlineLvl w:val="1"/>
        <w:rPr>
          <w:rFonts w:hint="eastAsia" w:ascii="宋体" w:hAnsi="宋体" w:eastAsia="宋体" w:cs="Times New Roman"/>
          <w:b/>
          <w:color w:val="auto"/>
          <w:sz w:val="32"/>
          <w:szCs w:val="20"/>
          <w:highlight w:val="none"/>
        </w:rPr>
      </w:pPr>
      <w:r>
        <w:rPr>
          <w:rFonts w:hint="eastAsia" w:ascii="宋体" w:hAnsi="宋体" w:eastAsia="宋体" w:cs="Times New Roman"/>
          <w:b/>
          <w:color w:val="auto"/>
          <w:sz w:val="32"/>
          <w:szCs w:val="20"/>
          <w:highlight w:val="none"/>
        </w:rPr>
        <w:t>三、联合体协议书</w:t>
      </w:r>
    </w:p>
    <w:p w14:paraId="322F87D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本项目不接受联合体投标。</w:t>
      </w:r>
    </w:p>
    <w:p w14:paraId="49B1CCEA">
      <w:pPr>
        <w:spacing w:line="440" w:lineRule="exact"/>
        <w:ind w:firstLine="6207" w:firstLineChars="1932"/>
        <w:jc w:val="right"/>
        <w:rPr>
          <w:rFonts w:hint="eastAsia" w:ascii="宋体" w:hAnsi="宋体" w:eastAsia="宋体" w:cs="Times New Roman"/>
          <w:color w:val="auto"/>
          <w:highlight w:val="none"/>
        </w:rPr>
      </w:pPr>
      <w:r>
        <w:rPr>
          <w:rFonts w:ascii="宋体" w:hAnsi="宋体" w:eastAsia="宋体" w:cs="Times New Roman"/>
          <w:b/>
          <w:color w:val="auto"/>
          <w:sz w:val="32"/>
          <w:szCs w:val="20"/>
          <w:highlight w:val="none"/>
        </w:rPr>
        <w:br w:type="page"/>
      </w:r>
    </w:p>
    <w:p w14:paraId="4DDE4DF7">
      <w:pPr>
        <w:wordWrap w:val="0"/>
        <w:jc w:val="center"/>
        <w:outlineLvl w:val="1"/>
        <w:rPr>
          <w:rFonts w:hint="eastAsia" w:ascii="宋体" w:hAnsi="宋体" w:eastAsia="宋体" w:cs="Times New Roman"/>
          <w:b/>
          <w:color w:val="auto"/>
          <w:sz w:val="32"/>
          <w:szCs w:val="20"/>
          <w:highlight w:val="none"/>
        </w:rPr>
      </w:pPr>
      <w:bookmarkStart w:id="278" w:name="_Toc59200715"/>
      <w:bookmarkStart w:id="279" w:name="_Toc526786512"/>
      <w:bookmarkStart w:id="280" w:name="_Toc30880"/>
      <w:r>
        <w:rPr>
          <w:rFonts w:hint="eastAsia" w:ascii="宋体" w:hAnsi="宋体" w:eastAsia="宋体" w:cs="Times New Roman"/>
          <w:b/>
          <w:color w:val="auto"/>
          <w:sz w:val="32"/>
          <w:szCs w:val="20"/>
          <w:highlight w:val="none"/>
        </w:rPr>
        <w:t>四、</w:t>
      </w:r>
      <w:bookmarkStart w:id="281" w:name="_Toc369531702"/>
      <w:bookmarkStart w:id="282" w:name="_Toc152042581"/>
      <w:bookmarkStart w:id="283" w:name="_Toc152045792"/>
      <w:bookmarkStart w:id="284" w:name="_Toc13469"/>
      <w:bookmarkStart w:id="285" w:name="_Toc144974861"/>
      <w:bookmarkStart w:id="286" w:name="_Toc247514284"/>
      <w:bookmarkStart w:id="287" w:name="_Toc300835214"/>
      <w:bookmarkStart w:id="288" w:name="_Toc384308381"/>
      <w:bookmarkStart w:id="289" w:name="_Toc352691666"/>
      <w:bookmarkStart w:id="290" w:name="_Toc361508757"/>
      <w:bookmarkStart w:id="291" w:name="_Toc247527832"/>
      <w:r>
        <w:rPr>
          <w:rFonts w:hint="eastAsia" w:ascii="宋体" w:hAnsi="宋体" w:eastAsia="宋体" w:cs="Times New Roman"/>
          <w:b/>
          <w:color w:val="auto"/>
          <w:sz w:val="32"/>
          <w:szCs w:val="20"/>
          <w:highlight w:val="none"/>
        </w:rPr>
        <w:t>投标保证金</w:t>
      </w:r>
      <w:bookmarkEnd w:id="278"/>
      <w:bookmarkEnd w:id="279"/>
      <w:bookmarkEnd w:id="280"/>
    </w:p>
    <w:bookmarkEnd w:id="281"/>
    <w:bookmarkEnd w:id="282"/>
    <w:bookmarkEnd w:id="283"/>
    <w:bookmarkEnd w:id="284"/>
    <w:bookmarkEnd w:id="285"/>
    <w:bookmarkEnd w:id="286"/>
    <w:bookmarkEnd w:id="287"/>
    <w:bookmarkEnd w:id="288"/>
    <w:bookmarkEnd w:id="289"/>
    <w:bookmarkEnd w:id="290"/>
    <w:bookmarkEnd w:id="291"/>
    <w:p w14:paraId="6461C8A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本项目不要求投标保证金。</w:t>
      </w:r>
    </w:p>
    <w:p w14:paraId="165AC8C5">
      <w:pPr>
        <w:wordWrap w:val="0"/>
        <w:jc w:val="center"/>
        <w:outlineLvl w:val="1"/>
        <w:rPr>
          <w:rFonts w:hint="eastAsia" w:ascii="宋体" w:hAnsi="宋体" w:eastAsia="宋体" w:cs="Times New Roman"/>
          <w:b/>
          <w:color w:val="auto"/>
          <w:sz w:val="32"/>
          <w:szCs w:val="20"/>
          <w:highlight w:val="none"/>
        </w:rPr>
      </w:pPr>
      <w:r>
        <w:rPr>
          <w:rFonts w:ascii="宋体" w:hAnsi="宋体" w:eastAsia="宋体" w:cs="Times New Roman"/>
          <w:b/>
          <w:color w:val="auto"/>
          <w:sz w:val="32"/>
          <w:szCs w:val="20"/>
          <w:highlight w:val="none"/>
        </w:rPr>
        <w:br w:type="page"/>
      </w:r>
      <w:bookmarkStart w:id="292" w:name="_Toc59200716"/>
      <w:bookmarkStart w:id="293" w:name="_Toc526786513"/>
      <w:bookmarkStart w:id="294" w:name="_Toc19611"/>
      <w:r>
        <w:rPr>
          <w:rFonts w:hint="eastAsia" w:ascii="宋体" w:hAnsi="宋体" w:eastAsia="宋体" w:cs="Times New Roman"/>
          <w:b/>
          <w:color w:val="auto"/>
          <w:sz w:val="32"/>
          <w:szCs w:val="20"/>
          <w:highlight w:val="none"/>
        </w:rPr>
        <w:t>五、监理报酬清单</w:t>
      </w:r>
      <w:bookmarkEnd w:id="292"/>
      <w:bookmarkEnd w:id="293"/>
      <w:bookmarkEnd w:id="294"/>
    </w:p>
    <w:p w14:paraId="33D4DFD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监理报酬清单说明</w:t>
      </w:r>
    </w:p>
    <w:p w14:paraId="089C36B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监理报酬清单</w:t>
      </w:r>
    </w:p>
    <w:p w14:paraId="6BECBF42">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单位：人民币元</w:t>
      </w:r>
    </w:p>
    <w:tbl>
      <w:tblPr>
        <w:tblStyle w:val="24"/>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3544"/>
        <w:gridCol w:w="1322"/>
        <w:gridCol w:w="1938"/>
      </w:tblGrid>
      <w:tr w14:paraId="341E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vAlign w:val="center"/>
          </w:tcPr>
          <w:p w14:paraId="74723591">
            <w:pPr>
              <w:wordWrap w:val="0"/>
              <w:spacing w:line="276" w:lineRule="auto"/>
              <w:jc w:val="center"/>
              <w:rPr>
                <w:rFonts w:hint="eastAsia" w:ascii="宋体" w:hAnsi="宋体" w:eastAsia="宋体" w:cs="Times New Roman"/>
                <w:b/>
                <w:color w:val="auto"/>
                <w:kern w:val="0"/>
                <w:szCs w:val="21"/>
                <w:highlight w:val="none"/>
              </w:rPr>
            </w:pPr>
            <w:bookmarkStart w:id="295" w:name="_Toc361508760"/>
            <w:r>
              <w:rPr>
                <w:rFonts w:hint="eastAsia" w:ascii="宋体" w:hAnsi="宋体" w:eastAsia="宋体" w:cs="Times New Roman"/>
                <w:b/>
                <w:color w:val="auto"/>
                <w:kern w:val="0"/>
                <w:szCs w:val="21"/>
                <w:highlight w:val="none"/>
              </w:rPr>
              <w:t>序号</w:t>
            </w:r>
          </w:p>
        </w:tc>
        <w:tc>
          <w:tcPr>
            <w:tcW w:w="2410" w:type="dxa"/>
            <w:vAlign w:val="center"/>
          </w:tcPr>
          <w:p w14:paraId="5C7DFFC6">
            <w:pPr>
              <w:wordWrap w:val="0"/>
              <w:spacing w:line="276"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监理报酬分项名称</w:t>
            </w:r>
          </w:p>
        </w:tc>
        <w:tc>
          <w:tcPr>
            <w:tcW w:w="3544" w:type="dxa"/>
            <w:vAlign w:val="center"/>
          </w:tcPr>
          <w:p w14:paraId="68CA31C2">
            <w:pPr>
              <w:wordWrap w:val="0"/>
              <w:spacing w:line="276"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计算依据、过程和公式</w:t>
            </w:r>
          </w:p>
        </w:tc>
        <w:tc>
          <w:tcPr>
            <w:tcW w:w="1322" w:type="dxa"/>
            <w:vAlign w:val="center"/>
          </w:tcPr>
          <w:p w14:paraId="2FE3CFB8">
            <w:pPr>
              <w:wordWrap w:val="0"/>
              <w:spacing w:line="276"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金额（元）</w:t>
            </w:r>
          </w:p>
        </w:tc>
        <w:tc>
          <w:tcPr>
            <w:tcW w:w="1938" w:type="dxa"/>
            <w:vAlign w:val="center"/>
          </w:tcPr>
          <w:p w14:paraId="51A4A36E">
            <w:pPr>
              <w:wordWrap w:val="0"/>
              <w:spacing w:line="276"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6301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4BCED0">
            <w:pPr>
              <w:wordWrap w:val="0"/>
              <w:spacing w:line="276" w:lineRule="auto"/>
              <w:jc w:val="center"/>
              <w:rPr>
                <w:rFonts w:hint="eastAsia" w:ascii="宋体" w:hAnsi="宋体" w:eastAsia="宋体" w:cs="Times New Roman"/>
                <w:color w:val="auto"/>
                <w:highlight w:val="none"/>
              </w:rPr>
            </w:pPr>
            <w:r>
              <w:rPr>
                <w:rFonts w:ascii="宋体" w:hAnsi="宋体" w:eastAsia="宋体" w:cs="Times New Roman"/>
                <w:color w:val="auto"/>
                <w:highlight w:val="none"/>
              </w:rPr>
              <w:t>1</w:t>
            </w:r>
          </w:p>
        </w:tc>
        <w:tc>
          <w:tcPr>
            <w:tcW w:w="2410" w:type="dxa"/>
            <w:vAlign w:val="center"/>
          </w:tcPr>
          <w:p w14:paraId="0149BC29">
            <w:pPr>
              <w:wordWrap w:val="0"/>
              <w:spacing w:line="276" w:lineRule="auto"/>
              <w:jc w:val="center"/>
              <w:rPr>
                <w:rFonts w:hint="eastAsia" w:ascii="宋体" w:hAnsi="宋体" w:eastAsia="宋体" w:cs="Times New Roman"/>
                <w:color w:val="auto"/>
                <w:highlight w:val="none"/>
              </w:rPr>
            </w:pPr>
          </w:p>
        </w:tc>
        <w:tc>
          <w:tcPr>
            <w:tcW w:w="3544" w:type="dxa"/>
            <w:vAlign w:val="center"/>
          </w:tcPr>
          <w:p w14:paraId="04C42606">
            <w:pPr>
              <w:wordWrap w:val="0"/>
              <w:spacing w:line="276" w:lineRule="auto"/>
              <w:jc w:val="center"/>
              <w:rPr>
                <w:rFonts w:hint="eastAsia" w:ascii="宋体" w:hAnsi="宋体" w:eastAsia="宋体" w:cs="Times New Roman"/>
                <w:color w:val="auto"/>
                <w:highlight w:val="none"/>
              </w:rPr>
            </w:pPr>
          </w:p>
        </w:tc>
        <w:tc>
          <w:tcPr>
            <w:tcW w:w="1322" w:type="dxa"/>
            <w:vAlign w:val="center"/>
          </w:tcPr>
          <w:p w14:paraId="73F35F56">
            <w:pPr>
              <w:wordWrap w:val="0"/>
              <w:spacing w:line="276" w:lineRule="auto"/>
              <w:jc w:val="center"/>
              <w:rPr>
                <w:rFonts w:hint="eastAsia" w:ascii="宋体" w:hAnsi="宋体" w:eastAsia="宋体" w:cs="Times New Roman"/>
                <w:color w:val="auto"/>
                <w:highlight w:val="none"/>
              </w:rPr>
            </w:pPr>
          </w:p>
        </w:tc>
        <w:tc>
          <w:tcPr>
            <w:tcW w:w="1938" w:type="dxa"/>
            <w:vAlign w:val="center"/>
          </w:tcPr>
          <w:p w14:paraId="5A9D638E">
            <w:pPr>
              <w:wordWrap w:val="0"/>
              <w:spacing w:line="276" w:lineRule="auto"/>
              <w:jc w:val="center"/>
              <w:rPr>
                <w:rFonts w:hint="eastAsia" w:ascii="宋体" w:hAnsi="宋体" w:eastAsia="宋体" w:cs="Times New Roman"/>
                <w:color w:val="auto"/>
                <w:highlight w:val="none"/>
              </w:rPr>
            </w:pPr>
          </w:p>
        </w:tc>
      </w:tr>
      <w:tr w14:paraId="5175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A298CE">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ascii="宋体" w:hAnsi="宋体" w:eastAsia="宋体" w:cs="Times New Roman"/>
                <w:color w:val="auto"/>
                <w:highlight w:val="none"/>
              </w:rPr>
              <w:t>2</w:t>
            </w:r>
          </w:p>
        </w:tc>
        <w:tc>
          <w:tcPr>
            <w:tcW w:w="2410" w:type="dxa"/>
            <w:vAlign w:val="center"/>
          </w:tcPr>
          <w:p w14:paraId="44CCE1FD">
            <w:pPr>
              <w:wordWrap w:val="0"/>
              <w:spacing w:line="276" w:lineRule="auto"/>
              <w:jc w:val="center"/>
              <w:rPr>
                <w:rFonts w:hint="eastAsia" w:ascii="宋体" w:hAnsi="宋体" w:eastAsia="宋体" w:cs="Times New Roman"/>
                <w:color w:val="auto"/>
                <w:highlight w:val="none"/>
              </w:rPr>
            </w:pPr>
          </w:p>
        </w:tc>
        <w:tc>
          <w:tcPr>
            <w:tcW w:w="3544" w:type="dxa"/>
            <w:vAlign w:val="center"/>
          </w:tcPr>
          <w:p w14:paraId="030687DF">
            <w:pPr>
              <w:wordWrap w:val="0"/>
              <w:spacing w:line="276" w:lineRule="auto"/>
              <w:jc w:val="center"/>
              <w:rPr>
                <w:rFonts w:hint="eastAsia" w:ascii="宋体" w:hAnsi="宋体" w:eastAsia="宋体" w:cs="Times New Roman"/>
                <w:color w:val="auto"/>
                <w:highlight w:val="none"/>
              </w:rPr>
            </w:pPr>
          </w:p>
        </w:tc>
        <w:tc>
          <w:tcPr>
            <w:tcW w:w="1322" w:type="dxa"/>
            <w:vAlign w:val="center"/>
          </w:tcPr>
          <w:p w14:paraId="2C972B23">
            <w:pPr>
              <w:wordWrap w:val="0"/>
              <w:spacing w:line="276" w:lineRule="auto"/>
              <w:jc w:val="center"/>
              <w:rPr>
                <w:rFonts w:hint="eastAsia" w:ascii="宋体" w:hAnsi="宋体" w:eastAsia="宋体" w:cs="Times New Roman"/>
                <w:color w:val="auto"/>
                <w:highlight w:val="none"/>
              </w:rPr>
            </w:pPr>
          </w:p>
        </w:tc>
        <w:tc>
          <w:tcPr>
            <w:tcW w:w="1938" w:type="dxa"/>
            <w:vAlign w:val="center"/>
          </w:tcPr>
          <w:p w14:paraId="3E5EAF3D">
            <w:pPr>
              <w:wordWrap w:val="0"/>
              <w:spacing w:line="276" w:lineRule="auto"/>
              <w:jc w:val="center"/>
              <w:rPr>
                <w:rFonts w:hint="eastAsia" w:ascii="宋体" w:hAnsi="宋体" w:eastAsia="宋体" w:cs="Times New Roman"/>
                <w:color w:val="auto"/>
                <w:highlight w:val="none"/>
              </w:rPr>
            </w:pPr>
          </w:p>
        </w:tc>
      </w:tr>
      <w:tr w14:paraId="4570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930FCD">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ascii="宋体" w:hAnsi="宋体" w:eastAsia="宋体" w:cs="Times New Roman"/>
                <w:color w:val="auto"/>
                <w:highlight w:val="none"/>
              </w:rPr>
              <w:t>3</w:t>
            </w:r>
          </w:p>
        </w:tc>
        <w:tc>
          <w:tcPr>
            <w:tcW w:w="2410" w:type="dxa"/>
            <w:vAlign w:val="center"/>
          </w:tcPr>
          <w:p w14:paraId="4FD1F74D">
            <w:pPr>
              <w:wordWrap w:val="0"/>
              <w:spacing w:line="276" w:lineRule="auto"/>
              <w:jc w:val="center"/>
              <w:rPr>
                <w:rFonts w:hint="eastAsia" w:ascii="宋体" w:hAnsi="宋体" w:eastAsia="宋体" w:cs="Times New Roman"/>
                <w:color w:val="auto"/>
                <w:highlight w:val="none"/>
              </w:rPr>
            </w:pPr>
          </w:p>
        </w:tc>
        <w:tc>
          <w:tcPr>
            <w:tcW w:w="3544" w:type="dxa"/>
            <w:vAlign w:val="center"/>
          </w:tcPr>
          <w:p w14:paraId="450917EB">
            <w:pPr>
              <w:wordWrap w:val="0"/>
              <w:spacing w:line="276" w:lineRule="auto"/>
              <w:jc w:val="center"/>
              <w:rPr>
                <w:rFonts w:hint="eastAsia" w:ascii="宋体" w:hAnsi="宋体" w:eastAsia="宋体" w:cs="Times New Roman"/>
                <w:color w:val="auto"/>
                <w:highlight w:val="none"/>
              </w:rPr>
            </w:pPr>
          </w:p>
        </w:tc>
        <w:tc>
          <w:tcPr>
            <w:tcW w:w="1322" w:type="dxa"/>
            <w:vAlign w:val="center"/>
          </w:tcPr>
          <w:p w14:paraId="08E76F23">
            <w:pPr>
              <w:wordWrap w:val="0"/>
              <w:spacing w:line="276" w:lineRule="auto"/>
              <w:jc w:val="center"/>
              <w:rPr>
                <w:rFonts w:hint="eastAsia" w:ascii="宋体" w:hAnsi="宋体" w:eastAsia="宋体" w:cs="Times New Roman"/>
                <w:color w:val="auto"/>
                <w:highlight w:val="none"/>
              </w:rPr>
            </w:pPr>
          </w:p>
        </w:tc>
        <w:tc>
          <w:tcPr>
            <w:tcW w:w="1938" w:type="dxa"/>
            <w:vAlign w:val="center"/>
          </w:tcPr>
          <w:p w14:paraId="319F403F">
            <w:pPr>
              <w:wordWrap w:val="0"/>
              <w:spacing w:line="276" w:lineRule="auto"/>
              <w:jc w:val="center"/>
              <w:rPr>
                <w:rFonts w:hint="eastAsia" w:ascii="宋体" w:hAnsi="宋体" w:eastAsia="宋体" w:cs="Times New Roman"/>
                <w:color w:val="auto"/>
                <w:highlight w:val="none"/>
              </w:rPr>
            </w:pPr>
          </w:p>
        </w:tc>
      </w:tr>
      <w:tr w14:paraId="29D0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85EC091">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ascii="宋体" w:hAnsi="宋体" w:eastAsia="宋体" w:cs="Times New Roman"/>
                <w:color w:val="auto"/>
                <w:highlight w:val="none"/>
              </w:rPr>
              <w:t>4</w:t>
            </w:r>
          </w:p>
        </w:tc>
        <w:tc>
          <w:tcPr>
            <w:tcW w:w="2410" w:type="dxa"/>
            <w:vAlign w:val="center"/>
          </w:tcPr>
          <w:p w14:paraId="360E302D">
            <w:pPr>
              <w:wordWrap w:val="0"/>
              <w:spacing w:line="276" w:lineRule="auto"/>
              <w:jc w:val="center"/>
              <w:rPr>
                <w:rFonts w:hint="eastAsia" w:ascii="宋体" w:hAnsi="宋体" w:eastAsia="宋体" w:cs="Times New Roman"/>
                <w:color w:val="auto"/>
                <w:highlight w:val="none"/>
              </w:rPr>
            </w:pPr>
          </w:p>
        </w:tc>
        <w:tc>
          <w:tcPr>
            <w:tcW w:w="3544" w:type="dxa"/>
            <w:vAlign w:val="center"/>
          </w:tcPr>
          <w:p w14:paraId="595AFC59">
            <w:pPr>
              <w:wordWrap w:val="0"/>
              <w:spacing w:line="276" w:lineRule="auto"/>
              <w:jc w:val="center"/>
              <w:rPr>
                <w:rFonts w:hint="eastAsia" w:ascii="宋体" w:hAnsi="宋体" w:eastAsia="宋体" w:cs="Times New Roman"/>
                <w:color w:val="auto"/>
                <w:highlight w:val="none"/>
              </w:rPr>
            </w:pPr>
          </w:p>
        </w:tc>
        <w:tc>
          <w:tcPr>
            <w:tcW w:w="1322" w:type="dxa"/>
            <w:vAlign w:val="center"/>
          </w:tcPr>
          <w:p w14:paraId="128FBF8C">
            <w:pPr>
              <w:wordWrap w:val="0"/>
              <w:spacing w:line="276" w:lineRule="auto"/>
              <w:jc w:val="center"/>
              <w:rPr>
                <w:rFonts w:hint="eastAsia" w:ascii="宋体" w:hAnsi="宋体" w:eastAsia="宋体" w:cs="Times New Roman"/>
                <w:color w:val="auto"/>
                <w:highlight w:val="none"/>
              </w:rPr>
            </w:pPr>
          </w:p>
        </w:tc>
        <w:tc>
          <w:tcPr>
            <w:tcW w:w="1938" w:type="dxa"/>
            <w:vAlign w:val="center"/>
          </w:tcPr>
          <w:p w14:paraId="2FB40FD6">
            <w:pPr>
              <w:wordWrap w:val="0"/>
              <w:spacing w:line="276" w:lineRule="auto"/>
              <w:jc w:val="center"/>
              <w:rPr>
                <w:rFonts w:hint="eastAsia" w:ascii="宋体" w:hAnsi="宋体" w:eastAsia="宋体" w:cs="Times New Roman"/>
                <w:color w:val="auto"/>
                <w:highlight w:val="none"/>
              </w:rPr>
            </w:pPr>
          </w:p>
        </w:tc>
      </w:tr>
      <w:tr w14:paraId="6C48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AC6196">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ascii="宋体" w:hAnsi="宋体" w:eastAsia="宋体" w:cs="Times New Roman"/>
                <w:color w:val="auto"/>
                <w:highlight w:val="none"/>
              </w:rPr>
              <w:t>5</w:t>
            </w:r>
          </w:p>
        </w:tc>
        <w:tc>
          <w:tcPr>
            <w:tcW w:w="2410" w:type="dxa"/>
            <w:vAlign w:val="center"/>
          </w:tcPr>
          <w:p w14:paraId="02287E3B">
            <w:pPr>
              <w:wordWrap w:val="0"/>
              <w:spacing w:line="276" w:lineRule="auto"/>
              <w:jc w:val="center"/>
              <w:rPr>
                <w:rFonts w:hint="eastAsia" w:ascii="宋体" w:hAnsi="宋体" w:eastAsia="宋体" w:cs="Times New Roman"/>
                <w:color w:val="auto"/>
                <w:highlight w:val="none"/>
              </w:rPr>
            </w:pPr>
          </w:p>
        </w:tc>
        <w:tc>
          <w:tcPr>
            <w:tcW w:w="3544" w:type="dxa"/>
            <w:vAlign w:val="center"/>
          </w:tcPr>
          <w:p w14:paraId="667F3C87">
            <w:pPr>
              <w:wordWrap w:val="0"/>
              <w:spacing w:line="276" w:lineRule="auto"/>
              <w:jc w:val="center"/>
              <w:rPr>
                <w:rFonts w:hint="eastAsia" w:ascii="宋体" w:hAnsi="宋体" w:eastAsia="宋体" w:cs="Times New Roman"/>
                <w:color w:val="auto"/>
                <w:highlight w:val="none"/>
              </w:rPr>
            </w:pPr>
          </w:p>
        </w:tc>
        <w:tc>
          <w:tcPr>
            <w:tcW w:w="1322" w:type="dxa"/>
            <w:vAlign w:val="center"/>
          </w:tcPr>
          <w:p w14:paraId="3A41EF7F">
            <w:pPr>
              <w:wordWrap w:val="0"/>
              <w:spacing w:line="276" w:lineRule="auto"/>
              <w:jc w:val="center"/>
              <w:rPr>
                <w:rFonts w:hint="eastAsia" w:ascii="宋体" w:hAnsi="宋体" w:eastAsia="宋体" w:cs="Times New Roman"/>
                <w:color w:val="auto"/>
                <w:highlight w:val="none"/>
              </w:rPr>
            </w:pPr>
          </w:p>
        </w:tc>
        <w:tc>
          <w:tcPr>
            <w:tcW w:w="1938" w:type="dxa"/>
            <w:vAlign w:val="center"/>
          </w:tcPr>
          <w:p w14:paraId="0E8DAD90">
            <w:pPr>
              <w:wordWrap w:val="0"/>
              <w:spacing w:line="276" w:lineRule="auto"/>
              <w:jc w:val="center"/>
              <w:rPr>
                <w:rFonts w:hint="eastAsia" w:ascii="宋体" w:hAnsi="宋体" w:eastAsia="宋体" w:cs="Times New Roman"/>
                <w:color w:val="auto"/>
                <w:highlight w:val="none"/>
              </w:rPr>
            </w:pPr>
          </w:p>
        </w:tc>
      </w:tr>
      <w:tr w14:paraId="3027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FF43FD">
            <w:pPr>
              <w:wordWrap w:val="0"/>
              <w:spacing w:line="276" w:lineRule="auto"/>
              <w:jc w:val="center"/>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2410" w:type="dxa"/>
            <w:vAlign w:val="center"/>
          </w:tcPr>
          <w:p w14:paraId="6FE0108E">
            <w:pPr>
              <w:wordWrap w:val="0"/>
              <w:spacing w:line="276" w:lineRule="auto"/>
              <w:jc w:val="center"/>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3544" w:type="dxa"/>
            <w:vAlign w:val="center"/>
          </w:tcPr>
          <w:p w14:paraId="01E81B04">
            <w:pPr>
              <w:wordWrap w:val="0"/>
              <w:spacing w:line="276" w:lineRule="auto"/>
              <w:jc w:val="center"/>
              <w:rPr>
                <w:rFonts w:hint="eastAsia" w:ascii="宋体" w:hAnsi="宋体" w:eastAsia="宋体" w:cs="Times New Roman"/>
                <w:color w:val="auto"/>
                <w:highlight w:val="none"/>
              </w:rPr>
            </w:pPr>
          </w:p>
        </w:tc>
        <w:tc>
          <w:tcPr>
            <w:tcW w:w="1322" w:type="dxa"/>
            <w:vAlign w:val="center"/>
          </w:tcPr>
          <w:p w14:paraId="40610CA5">
            <w:pPr>
              <w:wordWrap w:val="0"/>
              <w:spacing w:line="276" w:lineRule="auto"/>
              <w:jc w:val="center"/>
              <w:rPr>
                <w:rFonts w:hint="eastAsia" w:ascii="宋体" w:hAnsi="宋体" w:eastAsia="宋体" w:cs="Times New Roman"/>
                <w:color w:val="auto"/>
                <w:highlight w:val="none"/>
              </w:rPr>
            </w:pPr>
          </w:p>
        </w:tc>
        <w:tc>
          <w:tcPr>
            <w:tcW w:w="1938" w:type="dxa"/>
            <w:vAlign w:val="center"/>
          </w:tcPr>
          <w:p w14:paraId="662EE584">
            <w:pPr>
              <w:wordWrap w:val="0"/>
              <w:spacing w:line="276" w:lineRule="auto"/>
              <w:jc w:val="center"/>
              <w:rPr>
                <w:rFonts w:hint="eastAsia" w:ascii="宋体" w:hAnsi="宋体" w:eastAsia="宋体" w:cs="Times New Roman"/>
                <w:color w:val="auto"/>
                <w:highlight w:val="none"/>
              </w:rPr>
            </w:pPr>
          </w:p>
        </w:tc>
      </w:tr>
      <w:tr w14:paraId="64FF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gridSpan w:val="3"/>
            <w:vAlign w:val="center"/>
          </w:tcPr>
          <w:p w14:paraId="05B1462F">
            <w:pPr>
              <w:wordWrap w:val="0"/>
              <w:spacing w:line="276"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合计报价</w:t>
            </w:r>
          </w:p>
        </w:tc>
        <w:tc>
          <w:tcPr>
            <w:tcW w:w="1322" w:type="dxa"/>
            <w:vAlign w:val="center"/>
          </w:tcPr>
          <w:p w14:paraId="7CDE3B28">
            <w:pPr>
              <w:wordWrap w:val="0"/>
              <w:spacing w:line="276" w:lineRule="auto"/>
              <w:jc w:val="center"/>
              <w:rPr>
                <w:rFonts w:hint="eastAsia" w:ascii="宋体" w:hAnsi="宋体" w:eastAsia="宋体" w:cs="Times New Roman"/>
                <w:color w:val="auto"/>
                <w:highlight w:val="none"/>
              </w:rPr>
            </w:pPr>
          </w:p>
        </w:tc>
        <w:tc>
          <w:tcPr>
            <w:tcW w:w="1938" w:type="dxa"/>
            <w:vAlign w:val="center"/>
          </w:tcPr>
          <w:p w14:paraId="749075AC">
            <w:pPr>
              <w:wordWrap w:val="0"/>
              <w:spacing w:line="276" w:lineRule="auto"/>
              <w:jc w:val="center"/>
              <w:rPr>
                <w:rFonts w:hint="eastAsia" w:ascii="宋体" w:hAnsi="宋体" w:eastAsia="宋体" w:cs="Times New Roman"/>
                <w:color w:val="auto"/>
                <w:highlight w:val="none"/>
              </w:rPr>
            </w:pPr>
          </w:p>
        </w:tc>
      </w:tr>
      <w:tr w14:paraId="4C10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gridSpan w:val="3"/>
            <w:vAlign w:val="center"/>
          </w:tcPr>
          <w:p w14:paraId="30AD39D7">
            <w:pPr>
              <w:wordWrap w:val="0"/>
              <w:spacing w:line="276"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color w:val="auto"/>
                <w:szCs w:val="21"/>
                <w:highlight w:val="none"/>
              </w:rPr>
              <w:t>监理下浮率</w:t>
            </w:r>
          </w:p>
        </w:tc>
        <w:tc>
          <w:tcPr>
            <w:tcW w:w="3260" w:type="dxa"/>
            <w:gridSpan w:val="2"/>
            <w:vAlign w:val="center"/>
          </w:tcPr>
          <w:p w14:paraId="0090BF88">
            <w:pPr>
              <w:wordWrap w:val="0"/>
              <w:spacing w:line="276" w:lineRule="auto"/>
              <w:jc w:val="center"/>
              <w:rPr>
                <w:rFonts w:hint="eastAsia" w:ascii="宋体" w:hAnsi="宋体" w:eastAsia="宋体" w:cs="Times New Roman"/>
                <w:color w:val="auto"/>
                <w:highlight w:val="none"/>
              </w:rPr>
            </w:pPr>
          </w:p>
        </w:tc>
      </w:tr>
    </w:tbl>
    <w:p w14:paraId="2DB477B5">
      <w:pPr>
        <w:wordWrap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ascii="宋体" w:hAnsi="宋体" w:eastAsia="宋体" w:cs="宋体"/>
          <w:color w:val="auto"/>
          <w:szCs w:val="21"/>
          <w:highlight w:val="none"/>
        </w:rPr>
        <w:t>1</w:t>
      </w:r>
      <w:r>
        <w:rPr>
          <w:rFonts w:hint="eastAsia" w:ascii="宋体" w:hAnsi="宋体" w:eastAsia="宋体" w:cs="宋体"/>
          <w:color w:val="auto"/>
          <w:szCs w:val="21"/>
          <w:highlight w:val="none"/>
        </w:rPr>
        <w:t>、监理报酬报价总金额不能超过最高投标限价，监理</w:t>
      </w:r>
      <w:r>
        <w:rPr>
          <w:rFonts w:hint="eastAsia" w:ascii="宋体" w:hAnsi="宋体" w:eastAsia="宋体" w:cs="Times New Roman"/>
          <w:color w:val="auto"/>
          <w:szCs w:val="21"/>
          <w:highlight w:val="none"/>
        </w:rPr>
        <w:t>下浮率</w:t>
      </w:r>
      <w:r>
        <w:rPr>
          <w:rFonts w:hint="eastAsia" w:ascii="宋体" w:hAnsi="宋体" w:eastAsia="宋体" w:cs="宋体"/>
          <w:color w:val="auto"/>
          <w:szCs w:val="21"/>
          <w:highlight w:val="none"/>
        </w:rPr>
        <w:t>在监理费结算时不予调整。其中调整系数</w:t>
      </w:r>
      <w:r>
        <w:rPr>
          <w:rFonts w:hint="eastAsia" w:ascii="宋体" w:hAnsi="宋体" w:eastAsia="宋体" w:cs="宋体"/>
          <w:color w:val="auto"/>
          <w:szCs w:val="21"/>
          <w:highlight w:val="none"/>
          <w:lang w:val="en-US" w:eastAsia="zh-CN"/>
        </w:rPr>
        <w:t>详见合同条款</w:t>
      </w:r>
      <w:r>
        <w:rPr>
          <w:rFonts w:hint="eastAsia" w:ascii="宋体" w:hAnsi="宋体" w:eastAsia="宋体" w:cs="宋体"/>
          <w:color w:val="auto"/>
          <w:szCs w:val="21"/>
          <w:highlight w:val="none"/>
        </w:rPr>
        <w:t>。</w:t>
      </w:r>
    </w:p>
    <w:p w14:paraId="7F6135B7">
      <w:pPr>
        <w:wordWrap w:val="0"/>
        <w:spacing w:line="400" w:lineRule="exact"/>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、报价以元为单位，保留两位小数，第三位小数四舍五入。</w:t>
      </w:r>
    </w:p>
    <w:p w14:paraId="4F569AF3">
      <w:pPr>
        <w:wordWrap w:val="0"/>
        <w:rPr>
          <w:rFonts w:hint="eastAsia" w:ascii="宋体" w:hAnsi="宋体" w:eastAsia="宋体" w:cs="Times New Roman"/>
          <w:color w:val="auto"/>
          <w:highlight w:val="none"/>
        </w:rPr>
      </w:pPr>
    </w:p>
    <w:p w14:paraId="488344A7">
      <w:pPr>
        <w:wordWrap w:val="0"/>
        <w:jc w:val="center"/>
        <w:outlineLvl w:val="1"/>
        <w:rPr>
          <w:rFonts w:hint="eastAsia" w:ascii="宋体" w:hAnsi="宋体" w:eastAsia="宋体" w:cs="Times New Roman"/>
          <w:b/>
          <w:color w:val="auto"/>
          <w:sz w:val="32"/>
          <w:szCs w:val="20"/>
          <w:highlight w:val="none"/>
        </w:rPr>
      </w:pPr>
      <w:r>
        <w:rPr>
          <w:rFonts w:ascii="宋体" w:hAnsi="宋体" w:eastAsia="宋体" w:cs="Times New Roman"/>
          <w:b/>
          <w:color w:val="auto"/>
          <w:sz w:val="32"/>
          <w:szCs w:val="20"/>
          <w:highlight w:val="none"/>
        </w:rPr>
        <w:br w:type="page"/>
      </w:r>
      <w:bookmarkStart w:id="296" w:name="_Toc526786514"/>
      <w:bookmarkStart w:id="297" w:name="_Toc22086"/>
      <w:bookmarkStart w:id="298" w:name="_Toc59200717"/>
      <w:r>
        <w:rPr>
          <w:rFonts w:hint="eastAsia" w:ascii="宋体" w:hAnsi="宋体" w:eastAsia="宋体" w:cs="Times New Roman"/>
          <w:b/>
          <w:color w:val="auto"/>
          <w:sz w:val="32"/>
          <w:szCs w:val="20"/>
          <w:highlight w:val="none"/>
        </w:rPr>
        <w:t>六、资格审查资料</w:t>
      </w:r>
      <w:bookmarkEnd w:id="296"/>
      <w:bookmarkEnd w:id="297"/>
      <w:bookmarkEnd w:id="298"/>
    </w:p>
    <w:p w14:paraId="6EED957B">
      <w:pPr>
        <w:keepNext/>
        <w:keepLines/>
        <w:wordWrap w:val="0"/>
        <w:spacing w:line="360" w:lineRule="auto"/>
        <w:outlineLvl w:val="2"/>
        <w:rPr>
          <w:rFonts w:hint="eastAsia" w:ascii="宋体" w:hAnsi="宋体" w:eastAsia="宋体" w:cs="Times New Roman"/>
          <w:b/>
          <w:color w:val="auto"/>
          <w:sz w:val="28"/>
          <w:szCs w:val="20"/>
          <w:highlight w:val="none"/>
        </w:rPr>
      </w:pPr>
      <w:bookmarkStart w:id="299" w:name="_Toc32629"/>
      <w:bookmarkStart w:id="300" w:name="_Toc59200718"/>
      <w:bookmarkStart w:id="301" w:name="_Toc4257"/>
      <w:bookmarkStart w:id="302" w:name="_Toc526786515"/>
      <w:r>
        <w:rPr>
          <w:rFonts w:hint="eastAsia" w:ascii="宋体" w:hAnsi="宋体" w:eastAsia="宋体" w:cs="Times New Roman"/>
          <w:b/>
          <w:color w:val="auto"/>
          <w:sz w:val="28"/>
          <w:szCs w:val="20"/>
          <w:highlight w:val="none"/>
        </w:rPr>
        <w:t>（一）基本情况表</w:t>
      </w:r>
      <w:bookmarkEnd w:id="299"/>
      <w:bookmarkEnd w:id="300"/>
      <w:bookmarkEnd w:id="301"/>
      <w:bookmarkEnd w:id="302"/>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89"/>
        <w:gridCol w:w="898"/>
        <w:gridCol w:w="1026"/>
        <w:gridCol w:w="1287"/>
        <w:gridCol w:w="414"/>
        <w:gridCol w:w="873"/>
        <w:gridCol w:w="828"/>
        <w:gridCol w:w="284"/>
        <w:gridCol w:w="1230"/>
      </w:tblGrid>
      <w:tr w14:paraId="46DFA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2B8C6F38">
            <w:pPr>
              <w:topLinePunct/>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45938199">
            <w:pPr>
              <w:wordWrap w:val="0"/>
              <w:topLinePunct/>
              <w:spacing w:line="276" w:lineRule="auto"/>
              <w:jc w:val="center"/>
              <w:rPr>
                <w:rFonts w:hint="eastAsia" w:ascii="宋体" w:hAnsi="宋体" w:eastAsia="宋体" w:cs="Times New Roman"/>
                <w:color w:val="auto"/>
                <w:szCs w:val="21"/>
                <w:highlight w:val="none"/>
              </w:rPr>
            </w:pPr>
          </w:p>
        </w:tc>
      </w:tr>
      <w:tr w14:paraId="3DC14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0CBC3486">
            <w:pPr>
              <w:wordWrap w:val="0"/>
              <w:topLinePunct/>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B379F58">
            <w:pPr>
              <w:wordWrap w:val="0"/>
              <w:topLinePunct/>
              <w:spacing w:line="276" w:lineRule="auto"/>
              <w:jc w:val="center"/>
              <w:rPr>
                <w:rFonts w:hint="eastAsia" w:ascii="宋体" w:hAnsi="宋体" w:eastAsia="宋体" w:cs="Times New Roman"/>
                <w:color w:val="auto"/>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FE8C252">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6F7384F9">
            <w:pPr>
              <w:wordWrap w:val="0"/>
              <w:topLinePunct/>
              <w:spacing w:line="276" w:lineRule="auto"/>
              <w:jc w:val="center"/>
              <w:rPr>
                <w:rFonts w:hint="eastAsia" w:ascii="宋体" w:hAnsi="宋体" w:eastAsia="宋体" w:cs="Times New Roman"/>
                <w:color w:val="auto"/>
                <w:szCs w:val="21"/>
                <w:highlight w:val="none"/>
              </w:rPr>
            </w:pPr>
          </w:p>
        </w:tc>
      </w:tr>
      <w:tr w14:paraId="16D1D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vMerge w:val="restart"/>
            <w:tcBorders>
              <w:top w:val="single" w:color="auto" w:sz="4" w:space="0"/>
              <w:bottom w:val="single" w:color="auto" w:sz="4" w:space="0"/>
              <w:right w:val="single" w:color="auto" w:sz="4" w:space="0"/>
            </w:tcBorders>
            <w:vAlign w:val="center"/>
          </w:tcPr>
          <w:p w14:paraId="3A9C1755">
            <w:pPr>
              <w:wordWrap w:val="0"/>
              <w:topLinePunct/>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137E4E9">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85567A2">
            <w:pPr>
              <w:wordWrap w:val="0"/>
              <w:topLinePunct/>
              <w:spacing w:line="276" w:lineRule="auto"/>
              <w:jc w:val="center"/>
              <w:rPr>
                <w:rFonts w:hint="eastAsia" w:ascii="宋体" w:hAnsi="宋体" w:eastAsia="宋体" w:cs="Times New Roman"/>
                <w:color w:val="auto"/>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F757309">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话</w:t>
            </w:r>
          </w:p>
        </w:tc>
        <w:tc>
          <w:tcPr>
            <w:tcW w:w="2342" w:type="dxa"/>
            <w:gridSpan w:val="3"/>
            <w:tcBorders>
              <w:top w:val="single" w:color="auto" w:sz="4" w:space="0"/>
              <w:left w:val="single" w:color="auto" w:sz="4" w:space="0"/>
              <w:bottom w:val="single" w:color="auto" w:sz="4" w:space="0"/>
            </w:tcBorders>
            <w:vAlign w:val="center"/>
          </w:tcPr>
          <w:p w14:paraId="07CB2186">
            <w:pPr>
              <w:wordWrap w:val="0"/>
              <w:topLinePunct/>
              <w:spacing w:line="276" w:lineRule="auto"/>
              <w:jc w:val="center"/>
              <w:rPr>
                <w:rFonts w:hint="eastAsia" w:ascii="宋体" w:hAnsi="宋体" w:eastAsia="宋体" w:cs="Times New Roman"/>
                <w:color w:val="auto"/>
                <w:szCs w:val="21"/>
                <w:highlight w:val="none"/>
              </w:rPr>
            </w:pPr>
          </w:p>
        </w:tc>
      </w:tr>
      <w:tr w14:paraId="600F6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vMerge w:val="continue"/>
            <w:tcBorders>
              <w:top w:val="single" w:color="auto" w:sz="4" w:space="0"/>
              <w:bottom w:val="single" w:color="auto" w:sz="4" w:space="0"/>
              <w:right w:val="single" w:color="auto" w:sz="4" w:space="0"/>
            </w:tcBorders>
            <w:vAlign w:val="center"/>
          </w:tcPr>
          <w:p w14:paraId="0A6E0B39">
            <w:pPr>
              <w:wordWrap w:val="0"/>
              <w:spacing w:line="276" w:lineRule="auto"/>
              <w:jc w:val="center"/>
              <w:rPr>
                <w:rFonts w:hint="eastAsia" w:ascii="宋体" w:hAnsi="宋体" w:eastAsia="宋体" w:cs="Times New Roman"/>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3AB132B2">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AF297DA">
            <w:pPr>
              <w:wordWrap w:val="0"/>
              <w:topLinePunct/>
              <w:spacing w:line="276" w:lineRule="auto"/>
              <w:jc w:val="center"/>
              <w:rPr>
                <w:rFonts w:hint="eastAsia" w:ascii="宋体" w:hAnsi="宋体" w:eastAsia="宋体" w:cs="Times New Roman"/>
                <w:color w:val="auto"/>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7B86116">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网</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址</w:t>
            </w:r>
          </w:p>
        </w:tc>
        <w:tc>
          <w:tcPr>
            <w:tcW w:w="2342" w:type="dxa"/>
            <w:gridSpan w:val="3"/>
            <w:tcBorders>
              <w:top w:val="single" w:color="auto" w:sz="4" w:space="0"/>
              <w:left w:val="single" w:color="auto" w:sz="4" w:space="0"/>
              <w:bottom w:val="single" w:color="auto" w:sz="4" w:space="0"/>
            </w:tcBorders>
            <w:vAlign w:val="center"/>
          </w:tcPr>
          <w:p w14:paraId="47714921">
            <w:pPr>
              <w:wordWrap w:val="0"/>
              <w:topLinePunct/>
              <w:spacing w:line="276" w:lineRule="auto"/>
              <w:jc w:val="center"/>
              <w:rPr>
                <w:rFonts w:hint="eastAsia" w:ascii="宋体" w:hAnsi="宋体" w:eastAsia="宋体" w:cs="Times New Roman"/>
                <w:color w:val="auto"/>
                <w:szCs w:val="21"/>
                <w:highlight w:val="none"/>
              </w:rPr>
            </w:pPr>
          </w:p>
        </w:tc>
      </w:tr>
      <w:tr w14:paraId="26E42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4965869D">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56EA1C36">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6E492206">
            <w:pPr>
              <w:wordWrap w:val="0"/>
              <w:topLinePunct/>
              <w:spacing w:line="276" w:lineRule="auto"/>
              <w:jc w:val="center"/>
              <w:rPr>
                <w:rFonts w:hint="eastAsia" w:ascii="宋体" w:hAnsi="宋体" w:eastAsia="宋体" w:cs="Times New Roman"/>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06AB3B4A">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20E4A24">
            <w:pPr>
              <w:wordWrap w:val="0"/>
              <w:topLinePunct/>
              <w:spacing w:line="276" w:lineRule="auto"/>
              <w:jc w:val="center"/>
              <w:rPr>
                <w:rFonts w:hint="eastAsia" w:ascii="宋体" w:hAnsi="宋体" w:eastAsia="宋体" w:cs="Times New Roman"/>
                <w:color w:val="auto"/>
                <w:szCs w:val="21"/>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93F3320">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c>
          <w:tcPr>
            <w:tcW w:w="1230" w:type="dxa"/>
            <w:tcBorders>
              <w:top w:val="single" w:color="auto" w:sz="4" w:space="0"/>
              <w:left w:val="single" w:color="auto" w:sz="4" w:space="0"/>
              <w:bottom w:val="single" w:color="auto" w:sz="4" w:space="0"/>
            </w:tcBorders>
            <w:vAlign w:val="center"/>
          </w:tcPr>
          <w:p w14:paraId="789929C3">
            <w:pPr>
              <w:wordWrap w:val="0"/>
              <w:topLinePunct/>
              <w:spacing w:line="276" w:lineRule="auto"/>
              <w:jc w:val="center"/>
              <w:rPr>
                <w:rFonts w:hint="eastAsia" w:ascii="宋体" w:hAnsi="宋体" w:eastAsia="宋体" w:cs="Times New Roman"/>
                <w:color w:val="auto"/>
                <w:szCs w:val="21"/>
                <w:highlight w:val="none"/>
              </w:rPr>
            </w:pPr>
          </w:p>
        </w:tc>
      </w:tr>
      <w:tr w14:paraId="4FE34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19CE6D65">
            <w:pPr>
              <w:wordWrap w:val="0"/>
              <w:topLinePunct/>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F478A5E">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694075A">
            <w:pPr>
              <w:wordWrap w:val="0"/>
              <w:topLinePunct/>
              <w:spacing w:line="276" w:lineRule="auto"/>
              <w:jc w:val="center"/>
              <w:rPr>
                <w:rFonts w:hint="eastAsia" w:ascii="宋体" w:hAnsi="宋体" w:eastAsia="宋体" w:cs="Times New Roman"/>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47EABAF2">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312B90C">
            <w:pPr>
              <w:wordWrap w:val="0"/>
              <w:topLinePunct/>
              <w:spacing w:line="276" w:lineRule="auto"/>
              <w:jc w:val="center"/>
              <w:rPr>
                <w:rFonts w:hint="eastAsia" w:ascii="宋体" w:hAnsi="宋体" w:eastAsia="宋体" w:cs="Times New Roman"/>
                <w:color w:val="auto"/>
                <w:szCs w:val="21"/>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051C0BF">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c>
          <w:tcPr>
            <w:tcW w:w="1230" w:type="dxa"/>
            <w:tcBorders>
              <w:top w:val="single" w:color="auto" w:sz="4" w:space="0"/>
              <w:left w:val="single" w:color="auto" w:sz="4" w:space="0"/>
              <w:bottom w:val="single" w:color="auto" w:sz="4" w:space="0"/>
            </w:tcBorders>
            <w:vAlign w:val="center"/>
          </w:tcPr>
          <w:p w14:paraId="6B5C52D9">
            <w:pPr>
              <w:wordWrap w:val="0"/>
              <w:topLinePunct/>
              <w:spacing w:line="276" w:lineRule="auto"/>
              <w:jc w:val="center"/>
              <w:rPr>
                <w:rFonts w:hint="eastAsia" w:ascii="宋体" w:hAnsi="宋体" w:eastAsia="宋体" w:cs="Times New Roman"/>
                <w:color w:val="auto"/>
                <w:szCs w:val="21"/>
                <w:highlight w:val="none"/>
              </w:rPr>
            </w:pPr>
          </w:p>
        </w:tc>
      </w:tr>
      <w:tr w14:paraId="70C51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5DD4C405">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企业监理资质证书</w:t>
            </w:r>
          </w:p>
        </w:tc>
        <w:tc>
          <w:tcPr>
            <w:tcW w:w="6840" w:type="dxa"/>
            <w:gridSpan w:val="8"/>
            <w:tcBorders>
              <w:top w:val="single" w:color="auto" w:sz="4" w:space="0"/>
              <w:left w:val="single" w:color="auto" w:sz="4" w:space="0"/>
              <w:bottom w:val="single" w:color="auto" w:sz="4" w:space="0"/>
            </w:tcBorders>
            <w:vAlign w:val="center"/>
          </w:tcPr>
          <w:p w14:paraId="4670CF14">
            <w:pPr>
              <w:wordWrap w:val="0"/>
              <w:topLinePunct/>
              <w:spacing w:before="100" w:beforeAutospacing="1" w:after="100" w:afterAutospacing="1" w:line="276" w:lineRule="auto"/>
              <w:ind w:firstLine="105" w:firstLineChars="5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类型：</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等级：</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证书号：</w:t>
            </w:r>
          </w:p>
        </w:tc>
      </w:tr>
      <w:tr w14:paraId="4C1AC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53CCE9B4">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772E73BB">
            <w:pPr>
              <w:wordWrap w:val="0"/>
              <w:topLinePunct/>
              <w:spacing w:before="100" w:beforeAutospacing="1" w:after="100" w:afterAutospacing="1" w:line="276" w:lineRule="auto"/>
              <w:ind w:firstLine="105" w:firstLineChars="5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类型：</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等级：</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证书号：</w:t>
            </w:r>
          </w:p>
        </w:tc>
      </w:tr>
      <w:tr w14:paraId="15678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3A98B0E9">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EC7A055">
            <w:pPr>
              <w:wordWrap w:val="0"/>
              <w:topLinePunct/>
              <w:spacing w:line="276" w:lineRule="auto"/>
              <w:jc w:val="center"/>
              <w:rPr>
                <w:rFonts w:hint="eastAsia" w:ascii="宋体" w:hAnsi="宋体" w:eastAsia="宋体" w:cs="Times New Roman"/>
                <w:color w:val="auto"/>
                <w:szCs w:val="21"/>
                <w:highlight w:val="none"/>
              </w:rPr>
            </w:pPr>
          </w:p>
        </w:tc>
        <w:tc>
          <w:tcPr>
            <w:tcW w:w="3629" w:type="dxa"/>
            <w:gridSpan w:val="5"/>
            <w:tcBorders>
              <w:top w:val="single" w:color="auto" w:sz="4" w:space="0"/>
              <w:left w:val="single" w:color="auto" w:sz="4" w:space="0"/>
              <w:bottom w:val="single" w:color="auto" w:sz="4" w:space="0"/>
            </w:tcBorders>
            <w:vAlign w:val="center"/>
          </w:tcPr>
          <w:p w14:paraId="1B5E8D83">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员工总人数：</w:t>
            </w:r>
          </w:p>
        </w:tc>
      </w:tr>
      <w:tr w14:paraId="65223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40185B7A">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17A3DAD">
            <w:pPr>
              <w:wordWrap w:val="0"/>
              <w:topLinePunct/>
              <w:spacing w:line="276" w:lineRule="auto"/>
              <w:jc w:val="center"/>
              <w:rPr>
                <w:rFonts w:hint="eastAsia" w:ascii="宋体" w:hAnsi="宋体" w:eastAsia="宋体" w:cs="Times New Roman"/>
                <w:color w:val="auto"/>
                <w:szCs w:val="21"/>
                <w:highlight w:val="none"/>
              </w:rPr>
            </w:pPr>
          </w:p>
        </w:tc>
        <w:tc>
          <w:tcPr>
            <w:tcW w:w="414" w:type="dxa"/>
            <w:vMerge w:val="restart"/>
            <w:tcBorders>
              <w:top w:val="single" w:color="auto" w:sz="4" w:space="0"/>
              <w:left w:val="single" w:color="auto" w:sz="4" w:space="0"/>
              <w:right w:val="single" w:color="auto" w:sz="4" w:space="0"/>
            </w:tcBorders>
            <w:vAlign w:val="center"/>
          </w:tcPr>
          <w:p w14:paraId="499CCDF8">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F967ECF">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6B8B96B9">
            <w:pPr>
              <w:wordWrap w:val="0"/>
              <w:topLinePunct/>
              <w:spacing w:line="276" w:lineRule="auto"/>
              <w:jc w:val="center"/>
              <w:rPr>
                <w:rFonts w:hint="eastAsia" w:ascii="宋体" w:hAnsi="宋体" w:eastAsia="宋体" w:cs="Times New Roman"/>
                <w:color w:val="auto"/>
                <w:szCs w:val="21"/>
                <w:highlight w:val="none"/>
              </w:rPr>
            </w:pPr>
          </w:p>
        </w:tc>
      </w:tr>
      <w:tr w14:paraId="319FA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6D3E82AE">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2284DF1">
            <w:pPr>
              <w:wordWrap w:val="0"/>
              <w:topLinePunct/>
              <w:spacing w:line="276" w:lineRule="auto"/>
              <w:jc w:val="center"/>
              <w:rPr>
                <w:rFonts w:hint="eastAsia" w:ascii="宋体" w:hAnsi="宋体" w:eastAsia="宋体" w:cs="Times New Roman"/>
                <w:color w:val="auto"/>
                <w:szCs w:val="21"/>
                <w:highlight w:val="none"/>
              </w:rPr>
            </w:pPr>
          </w:p>
        </w:tc>
        <w:tc>
          <w:tcPr>
            <w:tcW w:w="414" w:type="dxa"/>
            <w:vMerge w:val="continue"/>
            <w:tcBorders>
              <w:left w:val="single" w:color="auto" w:sz="4" w:space="0"/>
              <w:right w:val="single" w:color="auto" w:sz="4" w:space="0"/>
            </w:tcBorders>
            <w:vAlign w:val="center"/>
          </w:tcPr>
          <w:p w14:paraId="2F42CC6D">
            <w:pPr>
              <w:wordWrap w:val="0"/>
              <w:spacing w:line="276" w:lineRule="auto"/>
              <w:jc w:val="center"/>
              <w:rPr>
                <w:rFonts w:hint="eastAsia" w:ascii="宋体" w:hAnsi="宋体" w:eastAsia="宋体" w:cs="Times New Roman"/>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0A93C14">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677293DE">
            <w:pPr>
              <w:wordWrap w:val="0"/>
              <w:topLinePunct/>
              <w:spacing w:line="276" w:lineRule="auto"/>
              <w:jc w:val="center"/>
              <w:rPr>
                <w:rFonts w:hint="eastAsia" w:ascii="宋体" w:hAnsi="宋体" w:eastAsia="宋体" w:cs="Times New Roman"/>
                <w:color w:val="auto"/>
                <w:szCs w:val="21"/>
                <w:highlight w:val="none"/>
              </w:rPr>
            </w:pPr>
          </w:p>
        </w:tc>
      </w:tr>
      <w:tr w14:paraId="27B5B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559EFB38">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F187E7E">
            <w:pPr>
              <w:wordWrap w:val="0"/>
              <w:topLinePunct/>
              <w:spacing w:line="276" w:lineRule="auto"/>
              <w:jc w:val="center"/>
              <w:rPr>
                <w:rFonts w:hint="eastAsia" w:ascii="宋体" w:hAnsi="宋体" w:eastAsia="宋体" w:cs="Times New Roman"/>
                <w:color w:val="auto"/>
                <w:szCs w:val="21"/>
                <w:highlight w:val="none"/>
              </w:rPr>
            </w:pPr>
          </w:p>
        </w:tc>
        <w:tc>
          <w:tcPr>
            <w:tcW w:w="414" w:type="dxa"/>
            <w:vMerge w:val="continue"/>
            <w:tcBorders>
              <w:left w:val="single" w:color="auto" w:sz="4" w:space="0"/>
              <w:right w:val="single" w:color="auto" w:sz="4" w:space="0"/>
            </w:tcBorders>
            <w:vAlign w:val="center"/>
          </w:tcPr>
          <w:p w14:paraId="79B977DE">
            <w:pPr>
              <w:wordWrap w:val="0"/>
              <w:spacing w:line="276" w:lineRule="auto"/>
              <w:jc w:val="center"/>
              <w:rPr>
                <w:rFonts w:hint="eastAsia" w:ascii="宋体" w:hAnsi="宋体" w:eastAsia="宋体" w:cs="Times New Roman"/>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B388685">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228D745C">
            <w:pPr>
              <w:wordWrap w:val="0"/>
              <w:topLinePunct/>
              <w:spacing w:line="276" w:lineRule="auto"/>
              <w:jc w:val="center"/>
              <w:rPr>
                <w:rFonts w:hint="eastAsia" w:ascii="宋体" w:hAnsi="宋体" w:eastAsia="宋体" w:cs="Times New Roman"/>
                <w:color w:val="auto"/>
                <w:szCs w:val="21"/>
                <w:highlight w:val="none"/>
              </w:rPr>
            </w:pPr>
          </w:p>
        </w:tc>
      </w:tr>
      <w:tr w14:paraId="6C9ED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005FECE9">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B104583">
            <w:pPr>
              <w:wordWrap w:val="0"/>
              <w:topLinePunct/>
              <w:spacing w:line="276" w:lineRule="auto"/>
              <w:jc w:val="center"/>
              <w:rPr>
                <w:rFonts w:hint="eastAsia" w:ascii="宋体" w:hAnsi="宋体" w:eastAsia="宋体" w:cs="Times New Roman"/>
                <w:color w:val="auto"/>
                <w:szCs w:val="21"/>
                <w:highlight w:val="none"/>
              </w:rPr>
            </w:pPr>
          </w:p>
        </w:tc>
        <w:tc>
          <w:tcPr>
            <w:tcW w:w="414" w:type="dxa"/>
            <w:vMerge w:val="continue"/>
            <w:tcBorders>
              <w:left w:val="single" w:color="auto" w:sz="4" w:space="0"/>
              <w:right w:val="single" w:color="auto" w:sz="4" w:space="0"/>
            </w:tcBorders>
            <w:vAlign w:val="center"/>
          </w:tcPr>
          <w:p w14:paraId="3A47AC80">
            <w:pPr>
              <w:wordWrap w:val="0"/>
              <w:spacing w:line="276" w:lineRule="auto"/>
              <w:jc w:val="center"/>
              <w:rPr>
                <w:rFonts w:hint="eastAsia" w:ascii="宋体" w:hAnsi="宋体" w:eastAsia="宋体" w:cs="Times New Roman"/>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AB180BD">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36A4D57C">
            <w:pPr>
              <w:wordWrap w:val="0"/>
              <w:topLinePunct/>
              <w:spacing w:line="276" w:lineRule="auto"/>
              <w:jc w:val="center"/>
              <w:rPr>
                <w:rFonts w:hint="eastAsia" w:ascii="宋体" w:hAnsi="宋体" w:eastAsia="宋体" w:cs="Times New Roman"/>
                <w:color w:val="auto"/>
                <w:szCs w:val="21"/>
                <w:highlight w:val="none"/>
              </w:rPr>
            </w:pPr>
          </w:p>
        </w:tc>
      </w:tr>
      <w:tr w14:paraId="77D8D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right w:val="single" w:color="auto" w:sz="4" w:space="0"/>
            </w:tcBorders>
            <w:vAlign w:val="center"/>
          </w:tcPr>
          <w:p w14:paraId="246EBF92">
            <w:pPr>
              <w:wordWrap w:val="0"/>
              <w:topLinePunct/>
              <w:spacing w:before="100" w:beforeAutospacing="1" w:after="100" w:afterAutospacing="1" w:line="276" w:lineRule="auto"/>
              <w:ind w:firstLine="210" w:firstLineChars="1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经营范围</w:t>
            </w:r>
          </w:p>
        </w:tc>
        <w:tc>
          <w:tcPr>
            <w:tcW w:w="6840" w:type="dxa"/>
            <w:gridSpan w:val="8"/>
            <w:tcBorders>
              <w:top w:val="single" w:color="auto" w:sz="4" w:space="0"/>
              <w:left w:val="single" w:color="auto" w:sz="4" w:space="0"/>
            </w:tcBorders>
            <w:vAlign w:val="center"/>
          </w:tcPr>
          <w:p w14:paraId="47B7F903">
            <w:pPr>
              <w:wordWrap w:val="0"/>
              <w:topLinePunct/>
              <w:spacing w:line="276" w:lineRule="auto"/>
              <w:jc w:val="center"/>
              <w:rPr>
                <w:rFonts w:hint="eastAsia" w:ascii="宋体" w:hAnsi="宋体" w:eastAsia="宋体" w:cs="Times New Roman"/>
                <w:color w:val="auto"/>
                <w:szCs w:val="21"/>
                <w:highlight w:val="none"/>
              </w:rPr>
            </w:pPr>
          </w:p>
        </w:tc>
      </w:tr>
      <w:tr w14:paraId="492F3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right w:val="single" w:color="auto" w:sz="4" w:space="0"/>
            </w:tcBorders>
            <w:vAlign w:val="center"/>
          </w:tcPr>
          <w:p w14:paraId="53FE9D54">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69E6754E">
            <w:pPr>
              <w:wordWrap w:val="0"/>
              <w:topLinePunct/>
              <w:spacing w:line="276" w:lineRule="auto"/>
              <w:jc w:val="center"/>
              <w:rPr>
                <w:rFonts w:hint="eastAsia" w:ascii="宋体" w:hAnsi="宋体" w:eastAsia="宋体" w:cs="Times New Roman"/>
                <w:color w:val="auto"/>
                <w:szCs w:val="21"/>
                <w:highlight w:val="none"/>
              </w:rPr>
            </w:pPr>
          </w:p>
        </w:tc>
      </w:tr>
      <w:tr w14:paraId="4B439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89" w:type="dxa"/>
            <w:tcBorders>
              <w:top w:val="single" w:color="auto" w:sz="4" w:space="0"/>
              <w:bottom w:val="single" w:color="auto" w:sz="4" w:space="0"/>
              <w:right w:val="single" w:color="auto" w:sz="4" w:space="0"/>
            </w:tcBorders>
            <w:vAlign w:val="center"/>
          </w:tcPr>
          <w:p w14:paraId="326CAE3A">
            <w:pPr>
              <w:wordWrap w:val="0"/>
              <w:topLinePunct/>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c>
          <w:tcPr>
            <w:tcW w:w="6840" w:type="dxa"/>
            <w:gridSpan w:val="8"/>
            <w:tcBorders>
              <w:top w:val="single" w:color="auto" w:sz="4" w:space="0"/>
              <w:left w:val="single" w:color="auto" w:sz="4" w:space="0"/>
              <w:bottom w:val="single" w:color="auto" w:sz="4" w:space="0"/>
            </w:tcBorders>
            <w:vAlign w:val="center"/>
          </w:tcPr>
          <w:p w14:paraId="0E64C76E">
            <w:pPr>
              <w:wordWrap w:val="0"/>
              <w:topLinePunct/>
              <w:spacing w:line="276" w:lineRule="auto"/>
              <w:jc w:val="center"/>
              <w:rPr>
                <w:rFonts w:hint="eastAsia" w:ascii="宋体" w:hAnsi="宋体" w:eastAsia="宋体" w:cs="Times New Roman"/>
                <w:color w:val="auto"/>
                <w:szCs w:val="21"/>
                <w:highlight w:val="none"/>
              </w:rPr>
            </w:pPr>
          </w:p>
        </w:tc>
      </w:tr>
    </w:tbl>
    <w:p w14:paraId="7A21054D">
      <w:pPr>
        <w:wordWrap w:val="0"/>
        <w:spacing w:line="276" w:lineRule="auto"/>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注：投标人应根据招标文件的要求在本表后附营业执照、资质证书等证明材料。</w:t>
      </w:r>
    </w:p>
    <w:p w14:paraId="5FD549CA">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br w:type="page"/>
      </w:r>
      <w:bookmarkStart w:id="303" w:name="_Toc4509"/>
      <w:bookmarkStart w:id="304" w:name="_Toc59200720"/>
      <w:bookmarkStart w:id="305" w:name="_Toc23514"/>
      <w:bookmarkStart w:id="306" w:name="_Toc526786517"/>
      <w:r>
        <w:rPr>
          <w:rFonts w:hint="eastAsia" w:ascii="宋体" w:hAnsi="宋体" w:eastAsia="宋体" w:cs="Times New Roman"/>
          <w:b/>
          <w:color w:val="auto"/>
          <w:sz w:val="28"/>
          <w:szCs w:val="20"/>
          <w:highlight w:val="none"/>
        </w:rPr>
        <w:t>（二）近年完成的类似监理项目情况表</w:t>
      </w:r>
      <w:bookmarkEnd w:id="303"/>
      <w:bookmarkEnd w:id="304"/>
      <w:bookmarkEnd w:id="305"/>
      <w:bookmarkEnd w:id="306"/>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6253"/>
      </w:tblGrid>
      <w:tr w14:paraId="17C7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147CBD1A">
            <w:pPr>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标段</w:t>
            </w:r>
            <w:r>
              <w:rPr>
                <w:rFonts w:hint="eastAsia" w:ascii="宋体" w:hAnsi="宋体" w:eastAsia="宋体" w:cs="Times New Roman"/>
                <w:color w:val="auto"/>
                <w:highlight w:val="none"/>
              </w:rPr>
              <w:t>项目名称</w:t>
            </w:r>
          </w:p>
        </w:tc>
        <w:tc>
          <w:tcPr>
            <w:tcW w:w="6253" w:type="dxa"/>
            <w:vAlign w:val="center"/>
          </w:tcPr>
          <w:p w14:paraId="106F4572">
            <w:pPr>
              <w:wordWrap w:val="0"/>
              <w:topLinePunct/>
              <w:spacing w:line="276" w:lineRule="auto"/>
              <w:rPr>
                <w:rFonts w:hint="eastAsia" w:ascii="宋体" w:hAnsi="宋体" w:eastAsia="宋体" w:cs="Times New Roman"/>
                <w:color w:val="auto"/>
                <w:highlight w:val="none"/>
              </w:rPr>
            </w:pPr>
          </w:p>
        </w:tc>
      </w:tr>
      <w:tr w14:paraId="59B6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6ADBFC08">
            <w:pPr>
              <w:wordWrap w:val="0"/>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项目所在地</w:t>
            </w:r>
          </w:p>
        </w:tc>
        <w:tc>
          <w:tcPr>
            <w:tcW w:w="6253" w:type="dxa"/>
            <w:vAlign w:val="center"/>
          </w:tcPr>
          <w:p w14:paraId="14609EBE">
            <w:pPr>
              <w:wordWrap w:val="0"/>
              <w:topLinePunct/>
              <w:spacing w:line="276" w:lineRule="auto"/>
              <w:rPr>
                <w:rFonts w:hint="eastAsia" w:ascii="宋体" w:hAnsi="宋体" w:eastAsia="宋体" w:cs="Times New Roman"/>
                <w:color w:val="auto"/>
                <w:highlight w:val="none"/>
              </w:rPr>
            </w:pPr>
          </w:p>
        </w:tc>
      </w:tr>
      <w:tr w14:paraId="1595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4DF674F6">
            <w:pPr>
              <w:wordWrap w:val="0"/>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委托人（或发包人）名称</w:t>
            </w:r>
          </w:p>
        </w:tc>
        <w:tc>
          <w:tcPr>
            <w:tcW w:w="6253" w:type="dxa"/>
            <w:vAlign w:val="center"/>
          </w:tcPr>
          <w:p w14:paraId="02F1E972">
            <w:pPr>
              <w:wordWrap w:val="0"/>
              <w:topLinePunct/>
              <w:spacing w:line="276" w:lineRule="auto"/>
              <w:rPr>
                <w:rFonts w:hint="eastAsia" w:ascii="宋体" w:hAnsi="宋体" w:eastAsia="宋体" w:cs="Times New Roman"/>
                <w:color w:val="auto"/>
                <w:highlight w:val="none"/>
              </w:rPr>
            </w:pPr>
          </w:p>
        </w:tc>
      </w:tr>
      <w:tr w14:paraId="3EEC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225D61B8">
            <w:pPr>
              <w:wordWrap w:val="0"/>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委托人（或发包人）地址</w:t>
            </w:r>
          </w:p>
        </w:tc>
        <w:tc>
          <w:tcPr>
            <w:tcW w:w="6253" w:type="dxa"/>
            <w:vAlign w:val="center"/>
          </w:tcPr>
          <w:p w14:paraId="737A8929">
            <w:pPr>
              <w:wordWrap w:val="0"/>
              <w:topLinePunct/>
              <w:spacing w:line="276" w:lineRule="auto"/>
              <w:rPr>
                <w:rFonts w:hint="eastAsia" w:ascii="宋体" w:hAnsi="宋体" w:eastAsia="宋体" w:cs="Times New Roman"/>
                <w:color w:val="auto"/>
                <w:highlight w:val="none"/>
              </w:rPr>
            </w:pPr>
          </w:p>
        </w:tc>
      </w:tr>
      <w:tr w14:paraId="7A71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219B75BB">
            <w:pPr>
              <w:wordWrap w:val="0"/>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委托人（或发包人）电话</w:t>
            </w:r>
          </w:p>
        </w:tc>
        <w:tc>
          <w:tcPr>
            <w:tcW w:w="6253" w:type="dxa"/>
            <w:vAlign w:val="center"/>
          </w:tcPr>
          <w:p w14:paraId="64004C04">
            <w:pPr>
              <w:wordWrap w:val="0"/>
              <w:topLinePunct/>
              <w:spacing w:line="276" w:lineRule="auto"/>
              <w:rPr>
                <w:rFonts w:hint="eastAsia" w:ascii="宋体" w:hAnsi="宋体" w:eastAsia="宋体" w:cs="Times New Roman"/>
                <w:color w:val="auto"/>
                <w:highlight w:val="none"/>
              </w:rPr>
            </w:pPr>
          </w:p>
        </w:tc>
      </w:tr>
      <w:tr w14:paraId="4B49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611C229F">
            <w:pPr>
              <w:wordWrap w:val="0"/>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合同价格</w:t>
            </w:r>
          </w:p>
        </w:tc>
        <w:tc>
          <w:tcPr>
            <w:tcW w:w="6253" w:type="dxa"/>
            <w:vAlign w:val="center"/>
          </w:tcPr>
          <w:p w14:paraId="0F69074E">
            <w:pPr>
              <w:wordWrap w:val="0"/>
              <w:topLinePunct/>
              <w:spacing w:line="276" w:lineRule="auto"/>
              <w:rPr>
                <w:rFonts w:hint="eastAsia" w:ascii="宋体" w:hAnsi="宋体" w:eastAsia="宋体" w:cs="Times New Roman"/>
                <w:color w:val="auto"/>
                <w:highlight w:val="none"/>
              </w:rPr>
            </w:pPr>
          </w:p>
        </w:tc>
      </w:tr>
      <w:tr w14:paraId="0CD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6EB48F39">
            <w:pPr>
              <w:wordWrap w:val="0"/>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监理服务期限</w:t>
            </w:r>
          </w:p>
        </w:tc>
        <w:tc>
          <w:tcPr>
            <w:tcW w:w="6253" w:type="dxa"/>
            <w:vAlign w:val="center"/>
          </w:tcPr>
          <w:p w14:paraId="1FE770CD">
            <w:pPr>
              <w:wordWrap w:val="0"/>
              <w:topLinePunct/>
              <w:spacing w:line="276" w:lineRule="auto"/>
              <w:rPr>
                <w:rFonts w:hint="eastAsia" w:ascii="宋体" w:hAnsi="宋体" w:eastAsia="宋体" w:cs="Times New Roman"/>
                <w:color w:val="auto"/>
                <w:highlight w:val="none"/>
              </w:rPr>
            </w:pPr>
          </w:p>
        </w:tc>
      </w:tr>
      <w:tr w14:paraId="51A7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66400AF2">
            <w:pPr>
              <w:wordWrap w:val="0"/>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监理内容</w:t>
            </w:r>
          </w:p>
        </w:tc>
        <w:tc>
          <w:tcPr>
            <w:tcW w:w="6253" w:type="dxa"/>
            <w:vAlign w:val="center"/>
          </w:tcPr>
          <w:p w14:paraId="41F0E5AB">
            <w:pPr>
              <w:wordWrap w:val="0"/>
              <w:topLinePunct/>
              <w:spacing w:line="276" w:lineRule="auto"/>
              <w:rPr>
                <w:rFonts w:hint="eastAsia" w:ascii="宋体" w:hAnsi="宋体" w:eastAsia="宋体" w:cs="Times New Roman"/>
                <w:color w:val="auto"/>
                <w:highlight w:val="none"/>
              </w:rPr>
            </w:pPr>
          </w:p>
        </w:tc>
      </w:tr>
      <w:tr w14:paraId="5D91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2698E516">
            <w:pPr>
              <w:wordWrap w:val="0"/>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总监理工程师</w:t>
            </w:r>
          </w:p>
        </w:tc>
        <w:tc>
          <w:tcPr>
            <w:tcW w:w="6253" w:type="dxa"/>
            <w:vAlign w:val="center"/>
          </w:tcPr>
          <w:p w14:paraId="529948F8">
            <w:pPr>
              <w:wordWrap w:val="0"/>
              <w:topLinePunct/>
              <w:spacing w:line="276" w:lineRule="auto"/>
              <w:rPr>
                <w:rFonts w:hint="eastAsia" w:ascii="宋体" w:hAnsi="宋体" w:eastAsia="宋体" w:cs="Times New Roman"/>
                <w:color w:val="auto"/>
                <w:highlight w:val="none"/>
              </w:rPr>
            </w:pPr>
          </w:p>
        </w:tc>
      </w:tr>
      <w:tr w14:paraId="4850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265D7557">
            <w:pPr>
              <w:wordWrap w:val="0"/>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项目描述</w:t>
            </w:r>
          </w:p>
        </w:tc>
        <w:tc>
          <w:tcPr>
            <w:tcW w:w="6253" w:type="dxa"/>
            <w:vAlign w:val="center"/>
          </w:tcPr>
          <w:p w14:paraId="6A6B603F">
            <w:pPr>
              <w:wordWrap w:val="0"/>
              <w:topLinePunct/>
              <w:spacing w:line="276" w:lineRule="auto"/>
              <w:rPr>
                <w:rFonts w:hint="eastAsia" w:ascii="宋体" w:hAnsi="宋体" w:eastAsia="宋体" w:cs="Times New Roman"/>
                <w:color w:val="auto"/>
                <w:highlight w:val="none"/>
              </w:rPr>
            </w:pPr>
          </w:p>
          <w:p w14:paraId="34584254">
            <w:pPr>
              <w:wordWrap w:val="0"/>
              <w:topLinePunct/>
              <w:spacing w:line="276" w:lineRule="auto"/>
              <w:rPr>
                <w:rFonts w:hint="eastAsia" w:ascii="宋体" w:hAnsi="宋体" w:eastAsia="宋体" w:cs="Times New Roman"/>
                <w:color w:val="auto"/>
                <w:highlight w:val="none"/>
              </w:rPr>
            </w:pPr>
          </w:p>
          <w:p w14:paraId="38F56A81">
            <w:pPr>
              <w:wordWrap w:val="0"/>
              <w:topLinePunct/>
              <w:spacing w:line="276" w:lineRule="auto"/>
              <w:rPr>
                <w:rFonts w:hint="eastAsia" w:ascii="宋体" w:hAnsi="宋体" w:eastAsia="宋体" w:cs="Times New Roman"/>
                <w:color w:val="auto"/>
                <w:highlight w:val="none"/>
              </w:rPr>
            </w:pPr>
          </w:p>
          <w:p w14:paraId="3A03B679">
            <w:pPr>
              <w:wordWrap w:val="0"/>
              <w:topLinePunct/>
              <w:spacing w:line="276" w:lineRule="auto"/>
              <w:rPr>
                <w:rFonts w:hint="eastAsia" w:ascii="宋体" w:hAnsi="宋体" w:eastAsia="宋体" w:cs="Times New Roman"/>
                <w:color w:val="auto"/>
                <w:highlight w:val="none"/>
              </w:rPr>
            </w:pPr>
          </w:p>
          <w:p w14:paraId="3B7C111B">
            <w:pPr>
              <w:wordWrap w:val="0"/>
              <w:topLinePunct/>
              <w:spacing w:line="276" w:lineRule="auto"/>
              <w:rPr>
                <w:rFonts w:hint="eastAsia" w:ascii="宋体" w:hAnsi="宋体" w:eastAsia="宋体" w:cs="Times New Roman"/>
                <w:color w:val="auto"/>
                <w:highlight w:val="none"/>
              </w:rPr>
            </w:pPr>
          </w:p>
          <w:p w14:paraId="21A907C9">
            <w:pPr>
              <w:wordWrap w:val="0"/>
              <w:topLinePunct/>
              <w:spacing w:line="276" w:lineRule="auto"/>
              <w:rPr>
                <w:rFonts w:hint="eastAsia" w:ascii="宋体" w:hAnsi="宋体" w:eastAsia="宋体" w:cs="Times New Roman"/>
                <w:color w:val="auto"/>
                <w:highlight w:val="none"/>
              </w:rPr>
            </w:pPr>
          </w:p>
          <w:p w14:paraId="6C9C6EBA">
            <w:pPr>
              <w:wordWrap w:val="0"/>
              <w:topLinePunct/>
              <w:spacing w:line="276" w:lineRule="auto"/>
              <w:rPr>
                <w:rFonts w:hint="eastAsia" w:ascii="宋体" w:hAnsi="宋体" w:eastAsia="宋体" w:cs="Times New Roman"/>
                <w:color w:val="auto"/>
                <w:highlight w:val="none"/>
              </w:rPr>
            </w:pPr>
          </w:p>
        </w:tc>
      </w:tr>
      <w:tr w14:paraId="017C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5DA4DB71">
            <w:pPr>
              <w:wordWrap w:val="0"/>
              <w:topLinePunct/>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备注</w:t>
            </w:r>
          </w:p>
        </w:tc>
        <w:tc>
          <w:tcPr>
            <w:tcW w:w="6253" w:type="dxa"/>
            <w:vAlign w:val="center"/>
          </w:tcPr>
          <w:p w14:paraId="188355B8">
            <w:pPr>
              <w:wordWrap w:val="0"/>
              <w:topLinePunct/>
              <w:spacing w:line="276" w:lineRule="auto"/>
              <w:rPr>
                <w:rFonts w:hint="eastAsia" w:ascii="宋体" w:hAnsi="宋体" w:eastAsia="宋体" w:cs="Times New Roman"/>
                <w:color w:val="auto"/>
                <w:highlight w:val="none"/>
              </w:rPr>
            </w:pPr>
          </w:p>
        </w:tc>
      </w:tr>
    </w:tbl>
    <w:p w14:paraId="15F9E410">
      <w:pPr>
        <w:wordWrap w:val="0"/>
        <w:spacing w:line="276"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注：</w:t>
      </w:r>
      <w:r>
        <w:rPr>
          <w:rFonts w:hint="eastAsia" w:ascii="宋体" w:hAnsi="宋体" w:eastAsia="宋体" w:cs="Times New Roman"/>
          <w:color w:val="auto"/>
          <w:highlight w:val="none"/>
          <w:u w:val="single"/>
        </w:rPr>
        <w:t>如要求合格业绩，投标人应根据招标文件的要求在本表后附相关证明材料。</w:t>
      </w:r>
    </w:p>
    <w:p w14:paraId="2EAEFD2D">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br w:type="page"/>
      </w:r>
      <w:bookmarkEnd w:id="295"/>
      <w:bookmarkStart w:id="307" w:name="_Toc526786520"/>
      <w:bookmarkStart w:id="308" w:name="_Toc31393"/>
      <w:bookmarkStart w:id="309" w:name="_Toc482188667"/>
      <w:bookmarkStart w:id="310" w:name="_Toc21542"/>
      <w:bookmarkStart w:id="311" w:name="_Toc59200723"/>
      <w:r>
        <w:rPr>
          <w:rFonts w:hint="eastAsia" w:ascii="宋体" w:hAnsi="宋体" w:eastAsia="宋体" w:cs="Times New Roman"/>
          <w:b/>
          <w:color w:val="auto"/>
          <w:sz w:val="28"/>
          <w:szCs w:val="20"/>
          <w:highlight w:val="none"/>
        </w:rPr>
        <w:t>（三）拟委任的主要人员汇总表</w:t>
      </w:r>
      <w:bookmarkEnd w:id="307"/>
      <w:bookmarkEnd w:id="308"/>
      <w:bookmarkEnd w:id="309"/>
      <w:bookmarkEnd w:id="310"/>
      <w:bookmarkEnd w:id="311"/>
    </w:p>
    <w:tbl>
      <w:tblPr>
        <w:tblStyle w:val="24"/>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007"/>
        <w:gridCol w:w="992"/>
        <w:gridCol w:w="603"/>
        <w:gridCol w:w="488"/>
        <w:gridCol w:w="1134"/>
        <w:gridCol w:w="709"/>
        <w:gridCol w:w="871"/>
        <w:gridCol w:w="1134"/>
      </w:tblGrid>
      <w:tr w14:paraId="4923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0A3371A5">
            <w:pPr>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3007" w:type="dxa"/>
            <w:vMerge w:val="restart"/>
            <w:vAlign w:val="center"/>
          </w:tcPr>
          <w:p w14:paraId="729B6AF1">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本项目任职</w:t>
            </w:r>
          </w:p>
        </w:tc>
        <w:tc>
          <w:tcPr>
            <w:tcW w:w="992" w:type="dxa"/>
            <w:vMerge w:val="restart"/>
            <w:vAlign w:val="center"/>
          </w:tcPr>
          <w:p w14:paraId="4F629740">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姓名</w:t>
            </w:r>
          </w:p>
        </w:tc>
        <w:tc>
          <w:tcPr>
            <w:tcW w:w="603" w:type="dxa"/>
            <w:vMerge w:val="restart"/>
            <w:vAlign w:val="center"/>
          </w:tcPr>
          <w:p w14:paraId="14513F81">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职称</w:t>
            </w:r>
          </w:p>
        </w:tc>
        <w:tc>
          <w:tcPr>
            <w:tcW w:w="488" w:type="dxa"/>
            <w:vMerge w:val="restart"/>
            <w:vAlign w:val="center"/>
          </w:tcPr>
          <w:p w14:paraId="0BFDF5C2">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专业</w:t>
            </w:r>
          </w:p>
        </w:tc>
        <w:tc>
          <w:tcPr>
            <w:tcW w:w="2714" w:type="dxa"/>
            <w:gridSpan w:val="3"/>
            <w:vAlign w:val="center"/>
          </w:tcPr>
          <w:p w14:paraId="28C9C84E">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执业或职业资格证明</w:t>
            </w:r>
          </w:p>
        </w:tc>
        <w:tc>
          <w:tcPr>
            <w:tcW w:w="1134" w:type="dxa"/>
            <w:vAlign w:val="center"/>
          </w:tcPr>
          <w:p w14:paraId="60160DFC">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B97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6C066203">
            <w:pPr>
              <w:wordWrap w:val="0"/>
              <w:spacing w:line="276" w:lineRule="auto"/>
              <w:rPr>
                <w:rFonts w:hint="eastAsia" w:ascii="宋体" w:hAnsi="宋体" w:eastAsia="宋体" w:cs="Times New Roman"/>
                <w:color w:val="auto"/>
                <w:szCs w:val="21"/>
                <w:highlight w:val="none"/>
              </w:rPr>
            </w:pPr>
          </w:p>
        </w:tc>
        <w:tc>
          <w:tcPr>
            <w:tcW w:w="3007" w:type="dxa"/>
            <w:vMerge w:val="continue"/>
          </w:tcPr>
          <w:p w14:paraId="4BEB0C8B">
            <w:pPr>
              <w:wordWrap w:val="0"/>
              <w:spacing w:line="276" w:lineRule="auto"/>
              <w:rPr>
                <w:rFonts w:hint="eastAsia" w:ascii="宋体" w:hAnsi="宋体" w:eastAsia="宋体" w:cs="Times New Roman"/>
                <w:color w:val="auto"/>
                <w:szCs w:val="21"/>
                <w:highlight w:val="none"/>
              </w:rPr>
            </w:pPr>
          </w:p>
        </w:tc>
        <w:tc>
          <w:tcPr>
            <w:tcW w:w="992" w:type="dxa"/>
            <w:vMerge w:val="continue"/>
            <w:vAlign w:val="center"/>
          </w:tcPr>
          <w:p w14:paraId="134D094A">
            <w:pPr>
              <w:wordWrap w:val="0"/>
              <w:spacing w:line="276" w:lineRule="auto"/>
              <w:rPr>
                <w:rFonts w:hint="eastAsia" w:ascii="宋体" w:hAnsi="宋体" w:eastAsia="宋体" w:cs="Times New Roman"/>
                <w:color w:val="auto"/>
                <w:szCs w:val="21"/>
                <w:highlight w:val="none"/>
              </w:rPr>
            </w:pPr>
          </w:p>
        </w:tc>
        <w:tc>
          <w:tcPr>
            <w:tcW w:w="603" w:type="dxa"/>
            <w:vMerge w:val="continue"/>
            <w:vAlign w:val="center"/>
          </w:tcPr>
          <w:p w14:paraId="0D6A18BA">
            <w:pPr>
              <w:wordWrap w:val="0"/>
              <w:spacing w:line="276" w:lineRule="auto"/>
              <w:rPr>
                <w:rFonts w:hint="eastAsia" w:ascii="宋体" w:hAnsi="宋体" w:eastAsia="宋体" w:cs="Times New Roman"/>
                <w:color w:val="auto"/>
                <w:szCs w:val="21"/>
                <w:highlight w:val="none"/>
              </w:rPr>
            </w:pPr>
          </w:p>
        </w:tc>
        <w:tc>
          <w:tcPr>
            <w:tcW w:w="488" w:type="dxa"/>
            <w:vMerge w:val="continue"/>
            <w:vAlign w:val="center"/>
          </w:tcPr>
          <w:p w14:paraId="3A435DEE">
            <w:pPr>
              <w:wordWrap w:val="0"/>
              <w:spacing w:line="276" w:lineRule="auto"/>
              <w:jc w:val="center"/>
              <w:rPr>
                <w:rFonts w:hint="eastAsia" w:ascii="宋体" w:hAnsi="宋体" w:eastAsia="宋体" w:cs="Times New Roman"/>
                <w:color w:val="auto"/>
                <w:szCs w:val="21"/>
                <w:highlight w:val="none"/>
              </w:rPr>
            </w:pPr>
          </w:p>
        </w:tc>
        <w:tc>
          <w:tcPr>
            <w:tcW w:w="1134" w:type="dxa"/>
            <w:vAlign w:val="center"/>
          </w:tcPr>
          <w:p w14:paraId="45773C71">
            <w:pPr>
              <w:wordWrap w:val="0"/>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证书名称</w:t>
            </w:r>
          </w:p>
        </w:tc>
        <w:tc>
          <w:tcPr>
            <w:tcW w:w="709" w:type="dxa"/>
            <w:vAlign w:val="center"/>
          </w:tcPr>
          <w:p w14:paraId="0A5691BF">
            <w:pPr>
              <w:wordWrap w:val="0"/>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级别</w:t>
            </w:r>
          </w:p>
        </w:tc>
        <w:tc>
          <w:tcPr>
            <w:tcW w:w="871" w:type="dxa"/>
            <w:vAlign w:val="center"/>
          </w:tcPr>
          <w:p w14:paraId="362205EF">
            <w:pPr>
              <w:wordWrap w:val="0"/>
              <w:spacing w:before="100" w:beforeAutospacing="1" w:after="100" w:afterAutospacing="1"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证号</w:t>
            </w:r>
          </w:p>
        </w:tc>
        <w:tc>
          <w:tcPr>
            <w:tcW w:w="1134" w:type="dxa"/>
            <w:vAlign w:val="center"/>
          </w:tcPr>
          <w:p w14:paraId="524A687B">
            <w:pPr>
              <w:wordWrap w:val="0"/>
              <w:spacing w:line="276" w:lineRule="auto"/>
              <w:jc w:val="center"/>
              <w:rPr>
                <w:rFonts w:hint="eastAsia" w:ascii="宋体" w:hAnsi="宋体" w:eastAsia="宋体" w:cs="Times New Roman"/>
                <w:color w:val="auto"/>
                <w:szCs w:val="21"/>
                <w:highlight w:val="none"/>
              </w:rPr>
            </w:pPr>
          </w:p>
        </w:tc>
      </w:tr>
      <w:tr w14:paraId="1E54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F084357">
            <w:pPr>
              <w:wordWrap w:val="0"/>
              <w:spacing w:line="276" w:lineRule="auto"/>
              <w:jc w:val="center"/>
              <w:rPr>
                <w:rFonts w:hint="eastAsia" w:ascii="宋体" w:hAnsi="宋体" w:eastAsia="宋体" w:cs="Times New Roman"/>
                <w:color w:val="auto"/>
                <w:szCs w:val="21"/>
                <w:highlight w:val="none"/>
              </w:rPr>
            </w:pPr>
          </w:p>
        </w:tc>
        <w:tc>
          <w:tcPr>
            <w:tcW w:w="3007" w:type="dxa"/>
          </w:tcPr>
          <w:p w14:paraId="3B0C4203">
            <w:pPr>
              <w:wordWrap w:val="0"/>
              <w:spacing w:line="276" w:lineRule="auto"/>
              <w:jc w:val="center"/>
              <w:rPr>
                <w:rFonts w:hint="eastAsia" w:ascii="宋体" w:hAnsi="宋体" w:eastAsia="宋体" w:cs="Times New Roman"/>
                <w:color w:val="auto"/>
                <w:szCs w:val="21"/>
                <w:highlight w:val="none"/>
              </w:rPr>
            </w:pPr>
          </w:p>
        </w:tc>
        <w:tc>
          <w:tcPr>
            <w:tcW w:w="992" w:type="dxa"/>
            <w:vAlign w:val="center"/>
          </w:tcPr>
          <w:p w14:paraId="604D4C06">
            <w:pPr>
              <w:wordWrap w:val="0"/>
              <w:spacing w:line="276" w:lineRule="auto"/>
              <w:jc w:val="center"/>
              <w:rPr>
                <w:rFonts w:hint="eastAsia" w:ascii="宋体" w:hAnsi="宋体" w:eastAsia="宋体" w:cs="Times New Roman"/>
                <w:color w:val="auto"/>
                <w:szCs w:val="21"/>
                <w:highlight w:val="none"/>
              </w:rPr>
            </w:pPr>
          </w:p>
        </w:tc>
        <w:tc>
          <w:tcPr>
            <w:tcW w:w="603" w:type="dxa"/>
            <w:vAlign w:val="center"/>
          </w:tcPr>
          <w:p w14:paraId="106A6158">
            <w:pPr>
              <w:wordWrap w:val="0"/>
              <w:spacing w:line="276" w:lineRule="auto"/>
              <w:jc w:val="center"/>
              <w:rPr>
                <w:rFonts w:hint="eastAsia" w:ascii="宋体" w:hAnsi="宋体" w:eastAsia="宋体" w:cs="Times New Roman"/>
                <w:color w:val="auto"/>
                <w:szCs w:val="21"/>
                <w:highlight w:val="none"/>
              </w:rPr>
            </w:pPr>
          </w:p>
        </w:tc>
        <w:tc>
          <w:tcPr>
            <w:tcW w:w="488" w:type="dxa"/>
            <w:vAlign w:val="center"/>
          </w:tcPr>
          <w:p w14:paraId="5C25144E">
            <w:pPr>
              <w:wordWrap w:val="0"/>
              <w:spacing w:line="276" w:lineRule="auto"/>
              <w:jc w:val="center"/>
              <w:rPr>
                <w:rFonts w:hint="eastAsia" w:ascii="宋体" w:hAnsi="宋体" w:eastAsia="宋体" w:cs="Times New Roman"/>
                <w:color w:val="auto"/>
                <w:szCs w:val="21"/>
                <w:highlight w:val="none"/>
              </w:rPr>
            </w:pPr>
          </w:p>
        </w:tc>
        <w:tc>
          <w:tcPr>
            <w:tcW w:w="1134" w:type="dxa"/>
            <w:vAlign w:val="center"/>
          </w:tcPr>
          <w:p w14:paraId="1588DC0A">
            <w:pPr>
              <w:wordWrap w:val="0"/>
              <w:spacing w:line="276" w:lineRule="auto"/>
              <w:jc w:val="center"/>
              <w:rPr>
                <w:rFonts w:hint="eastAsia" w:ascii="宋体" w:hAnsi="宋体" w:eastAsia="宋体" w:cs="Times New Roman"/>
                <w:color w:val="auto"/>
                <w:szCs w:val="21"/>
                <w:highlight w:val="none"/>
              </w:rPr>
            </w:pPr>
          </w:p>
        </w:tc>
        <w:tc>
          <w:tcPr>
            <w:tcW w:w="709" w:type="dxa"/>
            <w:vAlign w:val="center"/>
          </w:tcPr>
          <w:p w14:paraId="3E6E2E18">
            <w:pPr>
              <w:wordWrap w:val="0"/>
              <w:spacing w:line="276" w:lineRule="auto"/>
              <w:jc w:val="center"/>
              <w:rPr>
                <w:rFonts w:hint="eastAsia" w:ascii="宋体" w:hAnsi="宋体" w:eastAsia="宋体" w:cs="Times New Roman"/>
                <w:color w:val="auto"/>
                <w:szCs w:val="21"/>
                <w:highlight w:val="none"/>
              </w:rPr>
            </w:pPr>
          </w:p>
        </w:tc>
        <w:tc>
          <w:tcPr>
            <w:tcW w:w="871" w:type="dxa"/>
            <w:vAlign w:val="center"/>
          </w:tcPr>
          <w:p w14:paraId="23EB2CFB">
            <w:pPr>
              <w:wordWrap w:val="0"/>
              <w:spacing w:line="276" w:lineRule="auto"/>
              <w:jc w:val="center"/>
              <w:rPr>
                <w:rFonts w:hint="eastAsia" w:ascii="宋体" w:hAnsi="宋体" w:eastAsia="宋体" w:cs="Times New Roman"/>
                <w:color w:val="auto"/>
                <w:szCs w:val="21"/>
                <w:highlight w:val="none"/>
              </w:rPr>
            </w:pPr>
          </w:p>
        </w:tc>
        <w:tc>
          <w:tcPr>
            <w:tcW w:w="1134" w:type="dxa"/>
            <w:vAlign w:val="center"/>
          </w:tcPr>
          <w:p w14:paraId="10295FFE">
            <w:pPr>
              <w:wordWrap w:val="0"/>
              <w:spacing w:line="276" w:lineRule="auto"/>
              <w:jc w:val="center"/>
              <w:rPr>
                <w:rFonts w:hint="eastAsia" w:ascii="宋体" w:hAnsi="宋体" w:eastAsia="宋体" w:cs="Times New Roman"/>
                <w:color w:val="auto"/>
                <w:szCs w:val="21"/>
                <w:highlight w:val="none"/>
              </w:rPr>
            </w:pPr>
          </w:p>
        </w:tc>
      </w:tr>
      <w:tr w14:paraId="7A6D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5E83A5C">
            <w:pPr>
              <w:wordWrap w:val="0"/>
              <w:spacing w:line="276" w:lineRule="auto"/>
              <w:jc w:val="center"/>
              <w:rPr>
                <w:rFonts w:hint="eastAsia" w:ascii="宋体" w:hAnsi="宋体" w:eastAsia="宋体" w:cs="Times New Roman"/>
                <w:color w:val="auto"/>
                <w:szCs w:val="21"/>
                <w:highlight w:val="none"/>
              </w:rPr>
            </w:pPr>
          </w:p>
        </w:tc>
        <w:tc>
          <w:tcPr>
            <w:tcW w:w="3007" w:type="dxa"/>
          </w:tcPr>
          <w:p w14:paraId="59139737">
            <w:pPr>
              <w:wordWrap w:val="0"/>
              <w:spacing w:line="276" w:lineRule="auto"/>
              <w:jc w:val="center"/>
              <w:rPr>
                <w:rFonts w:hint="eastAsia" w:ascii="宋体" w:hAnsi="宋体" w:eastAsia="宋体" w:cs="Times New Roman"/>
                <w:color w:val="auto"/>
                <w:szCs w:val="21"/>
                <w:highlight w:val="none"/>
              </w:rPr>
            </w:pPr>
          </w:p>
        </w:tc>
        <w:tc>
          <w:tcPr>
            <w:tcW w:w="992" w:type="dxa"/>
          </w:tcPr>
          <w:p w14:paraId="5F9CF0DF">
            <w:pPr>
              <w:wordWrap w:val="0"/>
              <w:spacing w:line="276" w:lineRule="auto"/>
              <w:jc w:val="center"/>
              <w:rPr>
                <w:rFonts w:hint="eastAsia" w:ascii="宋体" w:hAnsi="宋体" w:eastAsia="宋体" w:cs="Times New Roman"/>
                <w:color w:val="auto"/>
                <w:szCs w:val="21"/>
                <w:highlight w:val="none"/>
              </w:rPr>
            </w:pPr>
          </w:p>
        </w:tc>
        <w:tc>
          <w:tcPr>
            <w:tcW w:w="603" w:type="dxa"/>
          </w:tcPr>
          <w:p w14:paraId="22D17753">
            <w:pPr>
              <w:wordWrap w:val="0"/>
              <w:spacing w:line="276" w:lineRule="auto"/>
              <w:jc w:val="center"/>
              <w:rPr>
                <w:rFonts w:hint="eastAsia" w:ascii="宋体" w:hAnsi="宋体" w:eastAsia="宋体" w:cs="Times New Roman"/>
                <w:color w:val="auto"/>
                <w:szCs w:val="21"/>
                <w:highlight w:val="none"/>
              </w:rPr>
            </w:pPr>
          </w:p>
        </w:tc>
        <w:tc>
          <w:tcPr>
            <w:tcW w:w="488" w:type="dxa"/>
          </w:tcPr>
          <w:p w14:paraId="58DB7C99">
            <w:pPr>
              <w:wordWrap w:val="0"/>
              <w:spacing w:line="276" w:lineRule="auto"/>
              <w:jc w:val="center"/>
              <w:rPr>
                <w:rFonts w:hint="eastAsia" w:ascii="宋体" w:hAnsi="宋体" w:eastAsia="宋体" w:cs="Times New Roman"/>
                <w:color w:val="auto"/>
                <w:szCs w:val="21"/>
                <w:highlight w:val="none"/>
              </w:rPr>
            </w:pPr>
          </w:p>
        </w:tc>
        <w:tc>
          <w:tcPr>
            <w:tcW w:w="1134" w:type="dxa"/>
          </w:tcPr>
          <w:p w14:paraId="7747E46D">
            <w:pPr>
              <w:wordWrap w:val="0"/>
              <w:spacing w:line="276" w:lineRule="auto"/>
              <w:jc w:val="center"/>
              <w:rPr>
                <w:rFonts w:hint="eastAsia" w:ascii="宋体" w:hAnsi="宋体" w:eastAsia="宋体" w:cs="Times New Roman"/>
                <w:color w:val="auto"/>
                <w:szCs w:val="21"/>
                <w:highlight w:val="none"/>
              </w:rPr>
            </w:pPr>
          </w:p>
        </w:tc>
        <w:tc>
          <w:tcPr>
            <w:tcW w:w="709" w:type="dxa"/>
          </w:tcPr>
          <w:p w14:paraId="1C132A8D">
            <w:pPr>
              <w:wordWrap w:val="0"/>
              <w:spacing w:line="276" w:lineRule="auto"/>
              <w:jc w:val="center"/>
              <w:rPr>
                <w:rFonts w:hint="eastAsia" w:ascii="宋体" w:hAnsi="宋体" w:eastAsia="宋体" w:cs="Times New Roman"/>
                <w:color w:val="auto"/>
                <w:szCs w:val="21"/>
                <w:highlight w:val="none"/>
              </w:rPr>
            </w:pPr>
          </w:p>
        </w:tc>
        <w:tc>
          <w:tcPr>
            <w:tcW w:w="871" w:type="dxa"/>
          </w:tcPr>
          <w:p w14:paraId="26542DEE">
            <w:pPr>
              <w:wordWrap w:val="0"/>
              <w:spacing w:line="276" w:lineRule="auto"/>
              <w:jc w:val="center"/>
              <w:rPr>
                <w:rFonts w:hint="eastAsia" w:ascii="宋体" w:hAnsi="宋体" w:eastAsia="宋体" w:cs="Times New Roman"/>
                <w:color w:val="auto"/>
                <w:szCs w:val="21"/>
                <w:highlight w:val="none"/>
              </w:rPr>
            </w:pPr>
          </w:p>
        </w:tc>
        <w:tc>
          <w:tcPr>
            <w:tcW w:w="1134" w:type="dxa"/>
          </w:tcPr>
          <w:p w14:paraId="0672BA9D">
            <w:pPr>
              <w:wordWrap w:val="0"/>
              <w:spacing w:line="276" w:lineRule="auto"/>
              <w:jc w:val="center"/>
              <w:rPr>
                <w:rFonts w:hint="eastAsia" w:ascii="宋体" w:hAnsi="宋体" w:eastAsia="宋体" w:cs="Times New Roman"/>
                <w:color w:val="auto"/>
                <w:szCs w:val="21"/>
                <w:highlight w:val="none"/>
              </w:rPr>
            </w:pPr>
          </w:p>
        </w:tc>
      </w:tr>
      <w:tr w14:paraId="1036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5F7FA3F4">
            <w:pPr>
              <w:wordWrap w:val="0"/>
              <w:spacing w:line="276" w:lineRule="auto"/>
              <w:jc w:val="center"/>
              <w:rPr>
                <w:rFonts w:hint="eastAsia" w:ascii="宋体" w:hAnsi="宋体" w:eastAsia="宋体" w:cs="Times New Roman"/>
                <w:color w:val="auto"/>
                <w:szCs w:val="21"/>
                <w:highlight w:val="none"/>
              </w:rPr>
            </w:pPr>
          </w:p>
        </w:tc>
        <w:tc>
          <w:tcPr>
            <w:tcW w:w="3007" w:type="dxa"/>
          </w:tcPr>
          <w:p w14:paraId="3EC1A860">
            <w:pPr>
              <w:wordWrap w:val="0"/>
              <w:spacing w:line="276" w:lineRule="auto"/>
              <w:jc w:val="center"/>
              <w:rPr>
                <w:rFonts w:hint="eastAsia" w:ascii="宋体" w:hAnsi="宋体" w:eastAsia="宋体" w:cs="Times New Roman"/>
                <w:color w:val="auto"/>
                <w:szCs w:val="21"/>
                <w:highlight w:val="none"/>
              </w:rPr>
            </w:pPr>
          </w:p>
        </w:tc>
        <w:tc>
          <w:tcPr>
            <w:tcW w:w="992" w:type="dxa"/>
          </w:tcPr>
          <w:p w14:paraId="26653176">
            <w:pPr>
              <w:wordWrap w:val="0"/>
              <w:spacing w:line="276" w:lineRule="auto"/>
              <w:jc w:val="center"/>
              <w:rPr>
                <w:rFonts w:hint="eastAsia" w:ascii="宋体" w:hAnsi="宋体" w:eastAsia="宋体" w:cs="Times New Roman"/>
                <w:color w:val="auto"/>
                <w:szCs w:val="21"/>
                <w:highlight w:val="none"/>
              </w:rPr>
            </w:pPr>
          </w:p>
        </w:tc>
        <w:tc>
          <w:tcPr>
            <w:tcW w:w="603" w:type="dxa"/>
          </w:tcPr>
          <w:p w14:paraId="13273364">
            <w:pPr>
              <w:wordWrap w:val="0"/>
              <w:spacing w:line="276" w:lineRule="auto"/>
              <w:jc w:val="center"/>
              <w:rPr>
                <w:rFonts w:hint="eastAsia" w:ascii="宋体" w:hAnsi="宋体" w:eastAsia="宋体" w:cs="Times New Roman"/>
                <w:color w:val="auto"/>
                <w:szCs w:val="21"/>
                <w:highlight w:val="none"/>
              </w:rPr>
            </w:pPr>
          </w:p>
        </w:tc>
        <w:tc>
          <w:tcPr>
            <w:tcW w:w="488" w:type="dxa"/>
          </w:tcPr>
          <w:p w14:paraId="61EB4DA8">
            <w:pPr>
              <w:wordWrap w:val="0"/>
              <w:spacing w:line="276" w:lineRule="auto"/>
              <w:jc w:val="center"/>
              <w:rPr>
                <w:rFonts w:hint="eastAsia" w:ascii="宋体" w:hAnsi="宋体" w:eastAsia="宋体" w:cs="Times New Roman"/>
                <w:color w:val="auto"/>
                <w:szCs w:val="21"/>
                <w:highlight w:val="none"/>
              </w:rPr>
            </w:pPr>
          </w:p>
        </w:tc>
        <w:tc>
          <w:tcPr>
            <w:tcW w:w="1134" w:type="dxa"/>
          </w:tcPr>
          <w:p w14:paraId="1B0F0711">
            <w:pPr>
              <w:wordWrap w:val="0"/>
              <w:spacing w:line="276" w:lineRule="auto"/>
              <w:jc w:val="center"/>
              <w:rPr>
                <w:rFonts w:hint="eastAsia" w:ascii="宋体" w:hAnsi="宋体" w:eastAsia="宋体" w:cs="Times New Roman"/>
                <w:color w:val="auto"/>
                <w:szCs w:val="21"/>
                <w:highlight w:val="none"/>
              </w:rPr>
            </w:pPr>
          </w:p>
        </w:tc>
        <w:tc>
          <w:tcPr>
            <w:tcW w:w="709" w:type="dxa"/>
          </w:tcPr>
          <w:p w14:paraId="2A8ED345">
            <w:pPr>
              <w:wordWrap w:val="0"/>
              <w:spacing w:line="276" w:lineRule="auto"/>
              <w:jc w:val="center"/>
              <w:rPr>
                <w:rFonts w:hint="eastAsia" w:ascii="宋体" w:hAnsi="宋体" w:eastAsia="宋体" w:cs="Times New Roman"/>
                <w:color w:val="auto"/>
                <w:szCs w:val="21"/>
                <w:highlight w:val="none"/>
              </w:rPr>
            </w:pPr>
          </w:p>
        </w:tc>
        <w:tc>
          <w:tcPr>
            <w:tcW w:w="871" w:type="dxa"/>
          </w:tcPr>
          <w:p w14:paraId="444BCB78">
            <w:pPr>
              <w:wordWrap w:val="0"/>
              <w:spacing w:line="276" w:lineRule="auto"/>
              <w:jc w:val="center"/>
              <w:rPr>
                <w:rFonts w:hint="eastAsia" w:ascii="宋体" w:hAnsi="宋体" w:eastAsia="宋体" w:cs="Times New Roman"/>
                <w:color w:val="auto"/>
                <w:szCs w:val="21"/>
                <w:highlight w:val="none"/>
              </w:rPr>
            </w:pPr>
          </w:p>
        </w:tc>
        <w:tc>
          <w:tcPr>
            <w:tcW w:w="1134" w:type="dxa"/>
          </w:tcPr>
          <w:p w14:paraId="2AC9866C">
            <w:pPr>
              <w:wordWrap w:val="0"/>
              <w:spacing w:line="276" w:lineRule="auto"/>
              <w:jc w:val="center"/>
              <w:rPr>
                <w:rFonts w:hint="eastAsia" w:ascii="宋体" w:hAnsi="宋体" w:eastAsia="宋体" w:cs="Times New Roman"/>
                <w:color w:val="auto"/>
                <w:szCs w:val="21"/>
                <w:highlight w:val="none"/>
              </w:rPr>
            </w:pPr>
          </w:p>
        </w:tc>
      </w:tr>
      <w:tr w14:paraId="6D15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1D11B17A">
            <w:pPr>
              <w:wordWrap w:val="0"/>
              <w:spacing w:line="276" w:lineRule="auto"/>
              <w:jc w:val="center"/>
              <w:rPr>
                <w:rFonts w:hint="eastAsia" w:ascii="宋体" w:hAnsi="宋体" w:eastAsia="宋体" w:cs="Times New Roman"/>
                <w:color w:val="auto"/>
                <w:szCs w:val="21"/>
                <w:highlight w:val="none"/>
              </w:rPr>
            </w:pPr>
          </w:p>
        </w:tc>
        <w:tc>
          <w:tcPr>
            <w:tcW w:w="3007" w:type="dxa"/>
          </w:tcPr>
          <w:p w14:paraId="4AD243DA">
            <w:pPr>
              <w:wordWrap w:val="0"/>
              <w:spacing w:line="276" w:lineRule="auto"/>
              <w:jc w:val="center"/>
              <w:rPr>
                <w:rFonts w:hint="eastAsia" w:ascii="宋体" w:hAnsi="宋体" w:eastAsia="宋体" w:cs="Times New Roman"/>
                <w:color w:val="auto"/>
                <w:szCs w:val="21"/>
                <w:highlight w:val="none"/>
              </w:rPr>
            </w:pPr>
          </w:p>
        </w:tc>
        <w:tc>
          <w:tcPr>
            <w:tcW w:w="992" w:type="dxa"/>
          </w:tcPr>
          <w:p w14:paraId="7F81D450">
            <w:pPr>
              <w:wordWrap w:val="0"/>
              <w:spacing w:line="276" w:lineRule="auto"/>
              <w:jc w:val="center"/>
              <w:rPr>
                <w:rFonts w:hint="eastAsia" w:ascii="宋体" w:hAnsi="宋体" w:eastAsia="宋体" w:cs="Times New Roman"/>
                <w:color w:val="auto"/>
                <w:szCs w:val="21"/>
                <w:highlight w:val="none"/>
              </w:rPr>
            </w:pPr>
          </w:p>
        </w:tc>
        <w:tc>
          <w:tcPr>
            <w:tcW w:w="603" w:type="dxa"/>
          </w:tcPr>
          <w:p w14:paraId="32BB0443">
            <w:pPr>
              <w:wordWrap w:val="0"/>
              <w:spacing w:line="276" w:lineRule="auto"/>
              <w:jc w:val="center"/>
              <w:rPr>
                <w:rFonts w:hint="eastAsia" w:ascii="宋体" w:hAnsi="宋体" w:eastAsia="宋体" w:cs="Times New Roman"/>
                <w:color w:val="auto"/>
                <w:szCs w:val="21"/>
                <w:highlight w:val="none"/>
              </w:rPr>
            </w:pPr>
          </w:p>
        </w:tc>
        <w:tc>
          <w:tcPr>
            <w:tcW w:w="488" w:type="dxa"/>
          </w:tcPr>
          <w:p w14:paraId="4B9F5A47">
            <w:pPr>
              <w:wordWrap w:val="0"/>
              <w:spacing w:line="276" w:lineRule="auto"/>
              <w:jc w:val="center"/>
              <w:rPr>
                <w:rFonts w:hint="eastAsia" w:ascii="宋体" w:hAnsi="宋体" w:eastAsia="宋体" w:cs="Times New Roman"/>
                <w:color w:val="auto"/>
                <w:szCs w:val="21"/>
                <w:highlight w:val="none"/>
              </w:rPr>
            </w:pPr>
          </w:p>
        </w:tc>
        <w:tc>
          <w:tcPr>
            <w:tcW w:w="1134" w:type="dxa"/>
          </w:tcPr>
          <w:p w14:paraId="3B572AC3">
            <w:pPr>
              <w:wordWrap w:val="0"/>
              <w:spacing w:line="276" w:lineRule="auto"/>
              <w:jc w:val="center"/>
              <w:rPr>
                <w:rFonts w:hint="eastAsia" w:ascii="宋体" w:hAnsi="宋体" w:eastAsia="宋体" w:cs="Times New Roman"/>
                <w:color w:val="auto"/>
                <w:szCs w:val="21"/>
                <w:highlight w:val="none"/>
              </w:rPr>
            </w:pPr>
          </w:p>
        </w:tc>
        <w:tc>
          <w:tcPr>
            <w:tcW w:w="709" w:type="dxa"/>
          </w:tcPr>
          <w:p w14:paraId="1A1053EF">
            <w:pPr>
              <w:wordWrap w:val="0"/>
              <w:spacing w:line="276" w:lineRule="auto"/>
              <w:jc w:val="center"/>
              <w:rPr>
                <w:rFonts w:hint="eastAsia" w:ascii="宋体" w:hAnsi="宋体" w:eastAsia="宋体" w:cs="Times New Roman"/>
                <w:color w:val="auto"/>
                <w:szCs w:val="21"/>
                <w:highlight w:val="none"/>
              </w:rPr>
            </w:pPr>
          </w:p>
        </w:tc>
        <w:tc>
          <w:tcPr>
            <w:tcW w:w="871" w:type="dxa"/>
          </w:tcPr>
          <w:p w14:paraId="7F70AA2C">
            <w:pPr>
              <w:wordWrap w:val="0"/>
              <w:spacing w:line="276" w:lineRule="auto"/>
              <w:jc w:val="center"/>
              <w:rPr>
                <w:rFonts w:hint="eastAsia" w:ascii="宋体" w:hAnsi="宋体" w:eastAsia="宋体" w:cs="Times New Roman"/>
                <w:color w:val="auto"/>
                <w:szCs w:val="21"/>
                <w:highlight w:val="none"/>
              </w:rPr>
            </w:pPr>
          </w:p>
        </w:tc>
        <w:tc>
          <w:tcPr>
            <w:tcW w:w="1134" w:type="dxa"/>
          </w:tcPr>
          <w:p w14:paraId="203D5C96">
            <w:pPr>
              <w:wordWrap w:val="0"/>
              <w:spacing w:line="276" w:lineRule="auto"/>
              <w:jc w:val="center"/>
              <w:rPr>
                <w:rFonts w:hint="eastAsia" w:ascii="宋体" w:hAnsi="宋体" w:eastAsia="宋体" w:cs="Times New Roman"/>
                <w:color w:val="auto"/>
                <w:szCs w:val="21"/>
                <w:highlight w:val="none"/>
              </w:rPr>
            </w:pPr>
          </w:p>
        </w:tc>
      </w:tr>
      <w:tr w14:paraId="7476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7435E8EE">
            <w:pPr>
              <w:wordWrap w:val="0"/>
              <w:spacing w:line="276" w:lineRule="auto"/>
              <w:jc w:val="center"/>
              <w:rPr>
                <w:rFonts w:hint="eastAsia" w:ascii="宋体" w:hAnsi="宋体" w:eastAsia="宋体" w:cs="Times New Roman"/>
                <w:color w:val="auto"/>
                <w:szCs w:val="21"/>
                <w:highlight w:val="none"/>
              </w:rPr>
            </w:pPr>
          </w:p>
        </w:tc>
        <w:tc>
          <w:tcPr>
            <w:tcW w:w="3007" w:type="dxa"/>
          </w:tcPr>
          <w:p w14:paraId="5335EF11">
            <w:pPr>
              <w:wordWrap w:val="0"/>
              <w:spacing w:line="276" w:lineRule="auto"/>
              <w:jc w:val="center"/>
              <w:rPr>
                <w:rFonts w:hint="eastAsia" w:ascii="宋体" w:hAnsi="宋体" w:eastAsia="宋体" w:cs="Times New Roman"/>
                <w:color w:val="auto"/>
                <w:szCs w:val="21"/>
                <w:highlight w:val="none"/>
              </w:rPr>
            </w:pPr>
          </w:p>
        </w:tc>
        <w:tc>
          <w:tcPr>
            <w:tcW w:w="992" w:type="dxa"/>
          </w:tcPr>
          <w:p w14:paraId="57213BB6">
            <w:pPr>
              <w:wordWrap w:val="0"/>
              <w:spacing w:line="276" w:lineRule="auto"/>
              <w:jc w:val="center"/>
              <w:rPr>
                <w:rFonts w:hint="eastAsia" w:ascii="宋体" w:hAnsi="宋体" w:eastAsia="宋体" w:cs="Times New Roman"/>
                <w:color w:val="auto"/>
                <w:szCs w:val="21"/>
                <w:highlight w:val="none"/>
              </w:rPr>
            </w:pPr>
          </w:p>
        </w:tc>
        <w:tc>
          <w:tcPr>
            <w:tcW w:w="603" w:type="dxa"/>
          </w:tcPr>
          <w:p w14:paraId="30FC9B78">
            <w:pPr>
              <w:wordWrap w:val="0"/>
              <w:spacing w:line="276" w:lineRule="auto"/>
              <w:jc w:val="center"/>
              <w:rPr>
                <w:rFonts w:hint="eastAsia" w:ascii="宋体" w:hAnsi="宋体" w:eastAsia="宋体" w:cs="Times New Roman"/>
                <w:color w:val="auto"/>
                <w:szCs w:val="21"/>
                <w:highlight w:val="none"/>
              </w:rPr>
            </w:pPr>
          </w:p>
        </w:tc>
        <w:tc>
          <w:tcPr>
            <w:tcW w:w="488" w:type="dxa"/>
          </w:tcPr>
          <w:p w14:paraId="65E52914">
            <w:pPr>
              <w:wordWrap w:val="0"/>
              <w:spacing w:line="276" w:lineRule="auto"/>
              <w:jc w:val="center"/>
              <w:rPr>
                <w:rFonts w:hint="eastAsia" w:ascii="宋体" w:hAnsi="宋体" w:eastAsia="宋体" w:cs="Times New Roman"/>
                <w:color w:val="auto"/>
                <w:szCs w:val="21"/>
                <w:highlight w:val="none"/>
              </w:rPr>
            </w:pPr>
          </w:p>
        </w:tc>
        <w:tc>
          <w:tcPr>
            <w:tcW w:w="1134" w:type="dxa"/>
          </w:tcPr>
          <w:p w14:paraId="2365BFFB">
            <w:pPr>
              <w:wordWrap w:val="0"/>
              <w:spacing w:line="276" w:lineRule="auto"/>
              <w:jc w:val="center"/>
              <w:rPr>
                <w:rFonts w:hint="eastAsia" w:ascii="宋体" w:hAnsi="宋体" w:eastAsia="宋体" w:cs="Times New Roman"/>
                <w:color w:val="auto"/>
                <w:szCs w:val="21"/>
                <w:highlight w:val="none"/>
              </w:rPr>
            </w:pPr>
          </w:p>
        </w:tc>
        <w:tc>
          <w:tcPr>
            <w:tcW w:w="709" w:type="dxa"/>
          </w:tcPr>
          <w:p w14:paraId="1182C040">
            <w:pPr>
              <w:wordWrap w:val="0"/>
              <w:spacing w:line="276" w:lineRule="auto"/>
              <w:jc w:val="center"/>
              <w:rPr>
                <w:rFonts w:hint="eastAsia" w:ascii="宋体" w:hAnsi="宋体" w:eastAsia="宋体" w:cs="Times New Roman"/>
                <w:color w:val="auto"/>
                <w:szCs w:val="21"/>
                <w:highlight w:val="none"/>
              </w:rPr>
            </w:pPr>
          </w:p>
        </w:tc>
        <w:tc>
          <w:tcPr>
            <w:tcW w:w="871" w:type="dxa"/>
          </w:tcPr>
          <w:p w14:paraId="60161657">
            <w:pPr>
              <w:wordWrap w:val="0"/>
              <w:spacing w:line="276" w:lineRule="auto"/>
              <w:jc w:val="center"/>
              <w:rPr>
                <w:rFonts w:hint="eastAsia" w:ascii="宋体" w:hAnsi="宋体" w:eastAsia="宋体" w:cs="Times New Roman"/>
                <w:color w:val="auto"/>
                <w:szCs w:val="21"/>
                <w:highlight w:val="none"/>
              </w:rPr>
            </w:pPr>
          </w:p>
        </w:tc>
        <w:tc>
          <w:tcPr>
            <w:tcW w:w="1134" w:type="dxa"/>
          </w:tcPr>
          <w:p w14:paraId="4A63DF32">
            <w:pPr>
              <w:wordWrap w:val="0"/>
              <w:spacing w:line="276" w:lineRule="auto"/>
              <w:jc w:val="center"/>
              <w:rPr>
                <w:rFonts w:hint="eastAsia" w:ascii="宋体" w:hAnsi="宋体" w:eastAsia="宋体" w:cs="Times New Roman"/>
                <w:color w:val="auto"/>
                <w:szCs w:val="21"/>
                <w:highlight w:val="none"/>
              </w:rPr>
            </w:pPr>
          </w:p>
        </w:tc>
      </w:tr>
      <w:tr w14:paraId="088E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7D7F50A9">
            <w:pPr>
              <w:wordWrap w:val="0"/>
              <w:spacing w:line="276" w:lineRule="auto"/>
              <w:jc w:val="center"/>
              <w:rPr>
                <w:rFonts w:hint="eastAsia" w:ascii="宋体" w:hAnsi="宋体" w:eastAsia="宋体" w:cs="Times New Roman"/>
                <w:color w:val="auto"/>
                <w:szCs w:val="21"/>
                <w:highlight w:val="none"/>
              </w:rPr>
            </w:pPr>
          </w:p>
        </w:tc>
        <w:tc>
          <w:tcPr>
            <w:tcW w:w="3007" w:type="dxa"/>
          </w:tcPr>
          <w:p w14:paraId="18464CD2">
            <w:pPr>
              <w:wordWrap w:val="0"/>
              <w:spacing w:line="276" w:lineRule="auto"/>
              <w:jc w:val="center"/>
              <w:rPr>
                <w:rFonts w:hint="eastAsia" w:ascii="宋体" w:hAnsi="宋体" w:eastAsia="宋体" w:cs="Times New Roman"/>
                <w:color w:val="auto"/>
                <w:szCs w:val="21"/>
                <w:highlight w:val="none"/>
              </w:rPr>
            </w:pPr>
          </w:p>
        </w:tc>
        <w:tc>
          <w:tcPr>
            <w:tcW w:w="992" w:type="dxa"/>
          </w:tcPr>
          <w:p w14:paraId="5BFDDDA4">
            <w:pPr>
              <w:wordWrap w:val="0"/>
              <w:spacing w:line="276" w:lineRule="auto"/>
              <w:jc w:val="center"/>
              <w:rPr>
                <w:rFonts w:hint="eastAsia" w:ascii="宋体" w:hAnsi="宋体" w:eastAsia="宋体" w:cs="Times New Roman"/>
                <w:color w:val="auto"/>
                <w:szCs w:val="21"/>
                <w:highlight w:val="none"/>
              </w:rPr>
            </w:pPr>
          </w:p>
        </w:tc>
        <w:tc>
          <w:tcPr>
            <w:tcW w:w="603" w:type="dxa"/>
          </w:tcPr>
          <w:p w14:paraId="352CD61D">
            <w:pPr>
              <w:wordWrap w:val="0"/>
              <w:spacing w:line="276" w:lineRule="auto"/>
              <w:jc w:val="center"/>
              <w:rPr>
                <w:rFonts w:hint="eastAsia" w:ascii="宋体" w:hAnsi="宋体" w:eastAsia="宋体" w:cs="Times New Roman"/>
                <w:color w:val="auto"/>
                <w:szCs w:val="21"/>
                <w:highlight w:val="none"/>
              </w:rPr>
            </w:pPr>
          </w:p>
        </w:tc>
        <w:tc>
          <w:tcPr>
            <w:tcW w:w="488" w:type="dxa"/>
          </w:tcPr>
          <w:p w14:paraId="141EE1D7">
            <w:pPr>
              <w:wordWrap w:val="0"/>
              <w:spacing w:line="276" w:lineRule="auto"/>
              <w:jc w:val="center"/>
              <w:rPr>
                <w:rFonts w:hint="eastAsia" w:ascii="宋体" w:hAnsi="宋体" w:eastAsia="宋体" w:cs="Times New Roman"/>
                <w:color w:val="auto"/>
                <w:szCs w:val="21"/>
                <w:highlight w:val="none"/>
              </w:rPr>
            </w:pPr>
          </w:p>
        </w:tc>
        <w:tc>
          <w:tcPr>
            <w:tcW w:w="1134" w:type="dxa"/>
          </w:tcPr>
          <w:p w14:paraId="7FCABDA2">
            <w:pPr>
              <w:wordWrap w:val="0"/>
              <w:spacing w:line="276" w:lineRule="auto"/>
              <w:jc w:val="center"/>
              <w:rPr>
                <w:rFonts w:hint="eastAsia" w:ascii="宋体" w:hAnsi="宋体" w:eastAsia="宋体" w:cs="Times New Roman"/>
                <w:color w:val="auto"/>
                <w:szCs w:val="21"/>
                <w:highlight w:val="none"/>
              </w:rPr>
            </w:pPr>
          </w:p>
        </w:tc>
        <w:tc>
          <w:tcPr>
            <w:tcW w:w="709" w:type="dxa"/>
          </w:tcPr>
          <w:p w14:paraId="1FD9E976">
            <w:pPr>
              <w:wordWrap w:val="0"/>
              <w:spacing w:line="276" w:lineRule="auto"/>
              <w:jc w:val="center"/>
              <w:rPr>
                <w:rFonts w:hint="eastAsia" w:ascii="宋体" w:hAnsi="宋体" w:eastAsia="宋体" w:cs="Times New Roman"/>
                <w:color w:val="auto"/>
                <w:szCs w:val="21"/>
                <w:highlight w:val="none"/>
              </w:rPr>
            </w:pPr>
          </w:p>
        </w:tc>
        <w:tc>
          <w:tcPr>
            <w:tcW w:w="871" w:type="dxa"/>
          </w:tcPr>
          <w:p w14:paraId="05DE2638">
            <w:pPr>
              <w:wordWrap w:val="0"/>
              <w:spacing w:line="276" w:lineRule="auto"/>
              <w:jc w:val="center"/>
              <w:rPr>
                <w:rFonts w:hint="eastAsia" w:ascii="宋体" w:hAnsi="宋体" w:eastAsia="宋体" w:cs="Times New Roman"/>
                <w:color w:val="auto"/>
                <w:szCs w:val="21"/>
                <w:highlight w:val="none"/>
              </w:rPr>
            </w:pPr>
          </w:p>
        </w:tc>
        <w:tc>
          <w:tcPr>
            <w:tcW w:w="1134" w:type="dxa"/>
          </w:tcPr>
          <w:p w14:paraId="366CD75C">
            <w:pPr>
              <w:wordWrap w:val="0"/>
              <w:spacing w:line="276" w:lineRule="auto"/>
              <w:jc w:val="center"/>
              <w:rPr>
                <w:rFonts w:hint="eastAsia" w:ascii="宋体" w:hAnsi="宋体" w:eastAsia="宋体" w:cs="Times New Roman"/>
                <w:color w:val="auto"/>
                <w:szCs w:val="21"/>
                <w:highlight w:val="none"/>
              </w:rPr>
            </w:pPr>
          </w:p>
        </w:tc>
      </w:tr>
      <w:tr w14:paraId="18E3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59933DB">
            <w:pPr>
              <w:wordWrap w:val="0"/>
              <w:spacing w:line="276" w:lineRule="auto"/>
              <w:jc w:val="center"/>
              <w:rPr>
                <w:rFonts w:hint="eastAsia" w:ascii="宋体" w:hAnsi="宋体" w:eastAsia="宋体" w:cs="Times New Roman"/>
                <w:color w:val="auto"/>
                <w:szCs w:val="21"/>
                <w:highlight w:val="none"/>
              </w:rPr>
            </w:pPr>
          </w:p>
        </w:tc>
        <w:tc>
          <w:tcPr>
            <w:tcW w:w="3007" w:type="dxa"/>
          </w:tcPr>
          <w:p w14:paraId="41675191">
            <w:pPr>
              <w:wordWrap w:val="0"/>
              <w:spacing w:line="276" w:lineRule="auto"/>
              <w:jc w:val="center"/>
              <w:rPr>
                <w:rFonts w:hint="eastAsia" w:ascii="宋体" w:hAnsi="宋体" w:eastAsia="宋体" w:cs="Times New Roman"/>
                <w:color w:val="auto"/>
                <w:szCs w:val="21"/>
                <w:highlight w:val="none"/>
              </w:rPr>
            </w:pPr>
          </w:p>
        </w:tc>
        <w:tc>
          <w:tcPr>
            <w:tcW w:w="992" w:type="dxa"/>
          </w:tcPr>
          <w:p w14:paraId="33B10EEE">
            <w:pPr>
              <w:wordWrap w:val="0"/>
              <w:spacing w:line="276" w:lineRule="auto"/>
              <w:jc w:val="center"/>
              <w:rPr>
                <w:rFonts w:hint="eastAsia" w:ascii="宋体" w:hAnsi="宋体" w:eastAsia="宋体" w:cs="Times New Roman"/>
                <w:color w:val="auto"/>
                <w:szCs w:val="21"/>
                <w:highlight w:val="none"/>
              </w:rPr>
            </w:pPr>
          </w:p>
        </w:tc>
        <w:tc>
          <w:tcPr>
            <w:tcW w:w="603" w:type="dxa"/>
          </w:tcPr>
          <w:p w14:paraId="2A967F7A">
            <w:pPr>
              <w:wordWrap w:val="0"/>
              <w:spacing w:line="276" w:lineRule="auto"/>
              <w:jc w:val="center"/>
              <w:rPr>
                <w:rFonts w:hint="eastAsia" w:ascii="宋体" w:hAnsi="宋体" w:eastAsia="宋体" w:cs="Times New Roman"/>
                <w:color w:val="auto"/>
                <w:szCs w:val="21"/>
                <w:highlight w:val="none"/>
              </w:rPr>
            </w:pPr>
          </w:p>
        </w:tc>
        <w:tc>
          <w:tcPr>
            <w:tcW w:w="488" w:type="dxa"/>
          </w:tcPr>
          <w:p w14:paraId="6AA53BF1">
            <w:pPr>
              <w:wordWrap w:val="0"/>
              <w:spacing w:line="276" w:lineRule="auto"/>
              <w:jc w:val="center"/>
              <w:rPr>
                <w:rFonts w:hint="eastAsia" w:ascii="宋体" w:hAnsi="宋体" w:eastAsia="宋体" w:cs="Times New Roman"/>
                <w:color w:val="auto"/>
                <w:szCs w:val="21"/>
                <w:highlight w:val="none"/>
              </w:rPr>
            </w:pPr>
          </w:p>
        </w:tc>
        <w:tc>
          <w:tcPr>
            <w:tcW w:w="1134" w:type="dxa"/>
          </w:tcPr>
          <w:p w14:paraId="5FF97779">
            <w:pPr>
              <w:wordWrap w:val="0"/>
              <w:spacing w:line="276" w:lineRule="auto"/>
              <w:jc w:val="center"/>
              <w:rPr>
                <w:rFonts w:hint="eastAsia" w:ascii="宋体" w:hAnsi="宋体" w:eastAsia="宋体" w:cs="Times New Roman"/>
                <w:color w:val="auto"/>
                <w:szCs w:val="21"/>
                <w:highlight w:val="none"/>
              </w:rPr>
            </w:pPr>
          </w:p>
        </w:tc>
        <w:tc>
          <w:tcPr>
            <w:tcW w:w="709" w:type="dxa"/>
          </w:tcPr>
          <w:p w14:paraId="00693E85">
            <w:pPr>
              <w:wordWrap w:val="0"/>
              <w:spacing w:line="276" w:lineRule="auto"/>
              <w:jc w:val="center"/>
              <w:rPr>
                <w:rFonts w:hint="eastAsia" w:ascii="宋体" w:hAnsi="宋体" w:eastAsia="宋体" w:cs="Times New Roman"/>
                <w:color w:val="auto"/>
                <w:szCs w:val="21"/>
                <w:highlight w:val="none"/>
              </w:rPr>
            </w:pPr>
          </w:p>
        </w:tc>
        <w:tc>
          <w:tcPr>
            <w:tcW w:w="871" w:type="dxa"/>
          </w:tcPr>
          <w:p w14:paraId="60901476">
            <w:pPr>
              <w:wordWrap w:val="0"/>
              <w:spacing w:line="276" w:lineRule="auto"/>
              <w:jc w:val="center"/>
              <w:rPr>
                <w:rFonts w:hint="eastAsia" w:ascii="宋体" w:hAnsi="宋体" w:eastAsia="宋体" w:cs="Times New Roman"/>
                <w:color w:val="auto"/>
                <w:szCs w:val="21"/>
                <w:highlight w:val="none"/>
              </w:rPr>
            </w:pPr>
          </w:p>
        </w:tc>
        <w:tc>
          <w:tcPr>
            <w:tcW w:w="1134" w:type="dxa"/>
          </w:tcPr>
          <w:p w14:paraId="126DC9CA">
            <w:pPr>
              <w:wordWrap w:val="0"/>
              <w:spacing w:line="276" w:lineRule="auto"/>
              <w:jc w:val="center"/>
              <w:rPr>
                <w:rFonts w:hint="eastAsia" w:ascii="宋体" w:hAnsi="宋体" w:eastAsia="宋体" w:cs="Times New Roman"/>
                <w:color w:val="auto"/>
                <w:szCs w:val="21"/>
                <w:highlight w:val="none"/>
              </w:rPr>
            </w:pPr>
          </w:p>
        </w:tc>
      </w:tr>
      <w:tr w14:paraId="275B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57A4AD6B">
            <w:pPr>
              <w:wordWrap w:val="0"/>
              <w:spacing w:line="276" w:lineRule="auto"/>
              <w:jc w:val="center"/>
              <w:rPr>
                <w:rFonts w:hint="eastAsia" w:ascii="宋体" w:hAnsi="宋体" w:eastAsia="宋体" w:cs="Times New Roman"/>
                <w:color w:val="auto"/>
                <w:szCs w:val="21"/>
                <w:highlight w:val="none"/>
              </w:rPr>
            </w:pPr>
          </w:p>
        </w:tc>
        <w:tc>
          <w:tcPr>
            <w:tcW w:w="3007" w:type="dxa"/>
          </w:tcPr>
          <w:p w14:paraId="639DD63C">
            <w:pPr>
              <w:wordWrap w:val="0"/>
              <w:spacing w:line="276" w:lineRule="auto"/>
              <w:jc w:val="center"/>
              <w:rPr>
                <w:rFonts w:hint="eastAsia" w:ascii="宋体" w:hAnsi="宋体" w:eastAsia="宋体" w:cs="Times New Roman"/>
                <w:color w:val="auto"/>
                <w:szCs w:val="21"/>
                <w:highlight w:val="none"/>
              </w:rPr>
            </w:pPr>
          </w:p>
        </w:tc>
        <w:tc>
          <w:tcPr>
            <w:tcW w:w="992" w:type="dxa"/>
          </w:tcPr>
          <w:p w14:paraId="39309902">
            <w:pPr>
              <w:wordWrap w:val="0"/>
              <w:spacing w:line="276" w:lineRule="auto"/>
              <w:jc w:val="center"/>
              <w:rPr>
                <w:rFonts w:hint="eastAsia" w:ascii="宋体" w:hAnsi="宋体" w:eastAsia="宋体" w:cs="Times New Roman"/>
                <w:color w:val="auto"/>
                <w:szCs w:val="21"/>
                <w:highlight w:val="none"/>
              </w:rPr>
            </w:pPr>
          </w:p>
        </w:tc>
        <w:tc>
          <w:tcPr>
            <w:tcW w:w="603" w:type="dxa"/>
          </w:tcPr>
          <w:p w14:paraId="186ABA12">
            <w:pPr>
              <w:wordWrap w:val="0"/>
              <w:spacing w:line="276" w:lineRule="auto"/>
              <w:jc w:val="center"/>
              <w:rPr>
                <w:rFonts w:hint="eastAsia" w:ascii="宋体" w:hAnsi="宋体" w:eastAsia="宋体" w:cs="Times New Roman"/>
                <w:color w:val="auto"/>
                <w:szCs w:val="21"/>
                <w:highlight w:val="none"/>
              </w:rPr>
            </w:pPr>
          </w:p>
        </w:tc>
        <w:tc>
          <w:tcPr>
            <w:tcW w:w="488" w:type="dxa"/>
          </w:tcPr>
          <w:p w14:paraId="5170FDEF">
            <w:pPr>
              <w:wordWrap w:val="0"/>
              <w:spacing w:line="276" w:lineRule="auto"/>
              <w:jc w:val="center"/>
              <w:rPr>
                <w:rFonts w:hint="eastAsia" w:ascii="宋体" w:hAnsi="宋体" w:eastAsia="宋体" w:cs="Times New Roman"/>
                <w:color w:val="auto"/>
                <w:szCs w:val="21"/>
                <w:highlight w:val="none"/>
              </w:rPr>
            </w:pPr>
          </w:p>
        </w:tc>
        <w:tc>
          <w:tcPr>
            <w:tcW w:w="1134" w:type="dxa"/>
          </w:tcPr>
          <w:p w14:paraId="76CA98E8">
            <w:pPr>
              <w:wordWrap w:val="0"/>
              <w:spacing w:line="276" w:lineRule="auto"/>
              <w:jc w:val="center"/>
              <w:rPr>
                <w:rFonts w:hint="eastAsia" w:ascii="宋体" w:hAnsi="宋体" w:eastAsia="宋体" w:cs="Times New Roman"/>
                <w:color w:val="auto"/>
                <w:szCs w:val="21"/>
                <w:highlight w:val="none"/>
              </w:rPr>
            </w:pPr>
          </w:p>
        </w:tc>
        <w:tc>
          <w:tcPr>
            <w:tcW w:w="709" w:type="dxa"/>
          </w:tcPr>
          <w:p w14:paraId="5558E960">
            <w:pPr>
              <w:wordWrap w:val="0"/>
              <w:spacing w:line="276" w:lineRule="auto"/>
              <w:jc w:val="center"/>
              <w:rPr>
                <w:rFonts w:hint="eastAsia" w:ascii="宋体" w:hAnsi="宋体" w:eastAsia="宋体" w:cs="Times New Roman"/>
                <w:color w:val="auto"/>
                <w:szCs w:val="21"/>
                <w:highlight w:val="none"/>
              </w:rPr>
            </w:pPr>
          </w:p>
        </w:tc>
        <w:tc>
          <w:tcPr>
            <w:tcW w:w="871" w:type="dxa"/>
          </w:tcPr>
          <w:p w14:paraId="4EFDF3B2">
            <w:pPr>
              <w:wordWrap w:val="0"/>
              <w:spacing w:line="276" w:lineRule="auto"/>
              <w:jc w:val="center"/>
              <w:rPr>
                <w:rFonts w:hint="eastAsia" w:ascii="宋体" w:hAnsi="宋体" w:eastAsia="宋体" w:cs="Times New Roman"/>
                <w:color w:val="auto"/>
                <w:szCs w:val="21"/>
                <w:highlight w:val="none"/>
              </w:rPr>
            </w:pPr>
          </w:p>
        </w:tc>
        <w:tc>
          <w:tcPr>
            <w:tcW w:w="1134" w:type="dxa"/>
          </w:tcPr>
          <w:p w14:paraId="7F7ADC1C">
            <w:pPr>
              <w:wordWrap w:val="0"/>
              <w:spacing w:line="276" w:lineRule="auto"/>
              <w:jc w:val="center"/>
              <w:rPr>
                <w:rFonts w:hint="eastAsia" w:ascii="宋体" w:hAnsi="宋体" w:eastAsia="宋体" w:cs="Times New Roman"/>
                <w:color w:val="auto"/>
                <w:szCs w:val="21"/>
                <w:highlight w:val="none"/>
              </w:rPr>
            </w:pPr>
          </w:p>
        </w:tc>
      </w:tr>
      <w:tr w14:paraId="06F6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ED9CCE9">
            <w:pPr>
              <w:wordWrap w:val="0"/>
              <w:spacing w:line="276" w:lineRule="auto"/>
              <w:jc w:val="center"/>
              <w:rPr>
                <w:rFonts w:hint="eastAsia" w:ascii="宋体" w:hAnsi="宋体" w:eastAsia="宋体" w:cs="Times New Roman"/>
                <w:color w:val="auto"/>
                <w:szCs w:val="21"/>
                <w:highlight w:val="none"/>
              </w:rPr>
            </w:pPr>
          </w:p>
        </w:tc>
        <w:tc>
          <w:tcPr>
            <w:tcW w:w="3007" w:type="dxa"/>
          </w:tcPr>
          <w:p w14:paraId="3496FE88">
            <w:pPr>
              <w:wordWrap w:val="0"/>
              <w:spacing w:line="276" w:lineRule="auto"/>
              <w:jc w:val="center"/>
              <w:rPr>
                <w:rFonts w:hint="eastAsia" w:ascii="宋体" w:hAnsi="宋体" w:eastAsia="宋体" w:cs="Times New Roman"/>
                <w:color w:val="auto"/>
                <w:szCs w:val="21"/>
                <w:highlight w:val="none"/>
              </w:rPr>
            </w:pPr>
          </w:p>
        </w:tc>
        <w:tc>
          <w:tcPr>
            <w:tcW w:w="992" w:type="dxa"/>
          </w:tcPr>
          <w:p w14:paraId="1FAF72DD">
            <w:pPr>
              <w:wordWrap w:val="0"/>
              <w:spacing w:line="276" w:lineRule="auto"/>
              <w:jc w:val="center"/>
              <w:rPr>
                <w:rFonts w:hint="eastAsia" w:ascii="宋体" w:hAnsi="宋体" w:eastAsia="宋体" w:cs="Times New Roman"/>
                <w:color w:val="auto"/>
                <w:szCs w:val="21"/>
                <w:highlight w:val="none"/>
              </w:rPr>
            </w:pPr>
          </w:p>
        </w:tc>
        <w:tc>
          <w:tcPr>
            <w:tcW w:w="603" w:type="dxa"/>
          </w:tcPr>
          <w:p w14:paraId="28D63864">
            <w:pPr>
              <w:wordWrap w:val="0"/>
              <w:spacing w:line="276" w:lineRule="auto"/>
              <w:jc w:val="center"/>
              <w:rPr>
                <w:rFonts w:hint="eastAsia" w:ascii="宋体" w:hAnsi="宋体" w:eastAsia="宋体" w:cs="Times New Roman"/>
                <w:color w:val="auto"/>
                <w:szCs w:val="21"/>
                <w:highlight w:val="none"/>
              </w:rPr>
            </w:pPr>
          </w:p>
        </w:tc>
        <w:tc>
          <w:tcPr>
            <w:tcW w:w="488" w:type="dxa"/>
          </w:tcPr>
          <w:p w14:paraId="3D3E1F55">
            <w:pPr>
              <w:wordWrap w:val="0"/>
              <w:spacing w:line="276" w:lineRule="auto"/>
              <w:jc w:val="center"/>
              <w:rPr>
                <w:rFonts w:hint="eastAsia" w:ascii="宋体" w:hAnsi="宋体" w:eastAsia="宋体" w:cs="Times New Roman"/>
                <w:color w:val="auto"/>
                <w:szCs w:val="21"/>
                <w:highlight w:val="none"/>
              </w:rPr>
            </w:pPr>
          </w:p>
        </w:tc>
        <w:tc>
          <w:tcPr>
            <w:tcW w:w="1134" w:type="dxa"/>
          </w:tcPr>
          <w:p w14:paraId="1344D2E7">
            <w:pPr>
              <w:wordWrap w:val="0"/>
              <w:spacing w:line="276" w:lineRule="auto"/>
              <w:jc w:val="center"/>
              <w:rPr>
                <w:rFonts w:hint="eastAsia" w:ascii="宋体" w:hAnsi="宋体" w:eastAsia="宋体" w:cs="Times New Roman"/>
                <w:color w:val="auto"/>
                <w:szCs w:val="21"/>
                <w:highlight w:val="none"/>
              </w:rPr>
            </w:pPr>
          </w:p>
        </w:tc>
        <w:tc>
          <w:tcPr>
            <w:tcW w:w="709" w:type="dxa"/>
          </w:tcPr>
          <w:p w14:paraId="525BA549">
            <w:pPr>
              <w:wordWrap w:val="0"/>
              <w:spacing w:line="276" w:lineRule="auto"/>
              <w:jc w:val="center"/>
              <w:rPr>
                <w:rFonts w:hint="eastAsia" w:ascii="宋体" w:hAnsi="宋体" w:eastAsia="宋体" w:cs="Times New Roman"/>
                <w:color w:val="auto"/>
                <w:szCs w:val="21"/>
                <w:highlight w:val="none"/>
              </w:rPr>
            </w:pPr>
          </w:p>
        </w:tc>
        <w:tc>
          <w:tcPr>
            <w:tcW w:w="871" w:type="dxa"/>
          </w:tcPr>
          <w:p w14:paraId="20E0B24B">
            <w:pPr>
              <w:wordWrap w:val="0"/>
              <w:spacing w:line="276" w:lineRule="auto"/>
              <w:jc w:val="center"/>
              <w:rPr>
                <w:rFonts w:hint="eastAsia" w:ascii="宋体" w:hAnsi="宋体" w:eastAsia="宋体" w:cs="Times New Roman"/>
                <w:color w:val="auto"/>
                <w:szCs w:val="21"/>
                <w:highlight w:val="none"/>
              </w:rPr>
            </w:pPr>
          </w:p>
        </w:tc>
        <w:tc>
          <w:tcPr>
            <w:tcW w:w="1134" w:type="dxa"/>
          </w:tcPr>
          <w:p w14:paraId="6724B9BD">
            <w:pPr>
              <w:wordWrap w:val="0"/>
              <w:spacing w:line="276" w:lineRule="auto"/>
              <w:jc w:val="center"/>
              <w:rPr>
                <w:rFonts w:hint="eastAsia" w:ascii="宋体" w:hAnsi="宋体" w:eastAsia="宋体" w:cs="Times New Roman"/>
                <w:color w:val="auto"/>
                <w:szCs w:val="21"/>
                <w:highlight w:val="none"/>
              </w:rPr>
            </w:pPr>
          </w:p>
        </w:tc>
      </w:tr>
      <w:tr w14:paraId="2629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AB2DBDD">
            <w:pPr>
              <w:wordWrap w:val="0"/>
              <w:spacing w:line="276" w:lineRule="auto"/>
              <w:jc w:val="center"/>
              <w:rPr>
                <w:rFonts w:hint="eastAsia" w:ascii="宋体" w:hAnsi="宋体" w:eastAsia="宋体" w:cs="Times New Roman"/>
                <w:color w:val="auto"/>
                <w:szCs w:val="21"/>
                <w:highlight w:val="none"/>
              </w:rPr>
            </w:pPr>
          </w:p>
        </w:tc>
        <w:tc>
          <w:tcPr>
            <w:tcW w:w="3007" w:type="dxa"/>
          </w:tcPr>
          <w:p w14:paraId="7AA97D28">
            <w:pPr>
              <w:wordWrap w:val="0"/>
              <w:spacing w:line="276" w:lineRule="auto"/>
              <w:jc w:val="center"/>
              <w:rPr>
                <w:rFonts w:hint="eastAsia" w:ascii="宋体" w:hAnsi="宋体" w:eastAsia="宋体" w:cs="Times New Roman"/>
                <w:color w:val="auto"/>
                <w:szCs w:val="21"/>
                <w:highlight w:val="none"/>
              </w:rPr>
            </w:pPr>
          </w:p>
        </w:tc>
        <w:tc>
          <w:tcPr>
            <w:tcW w:w="992" w:type="dxa"/>
          </w:tcPr>
          <w:p w14:paraId="5333597F">
            <w:pPr>
              <w:wordWrap w:val="0"/>
              <w:spacing w:line="276" w:lineRule="auto"/>
              <w:jc w:val="center"/>
              <w:rPr>
                <w:rFonts w:hint="eastAsia" w:ascii="宋体" w:hAnsi="宋体" w:eastAsia="宋体" w:cs="Times New Roman"/>
                <w:color w:val="auto"/>
                <w:szCs w:val="21"/>
                <w:highlight w:val="none"/>
              </w:rPr>
            </w:pPr>
          </w:p>
        </w:tc>
        <w:tc>
          <w:tcPr>
            <w:tcW w:w="603" w:type="dxa"/>
          </w:tcPr>
          <w:p w14:paraId="73FD419D">
            <w:pPr>
              <w:wordWrap w:val="0"/>
              <w:spacing w:line="276" w:lineRule="auto"/>
              <w:jc w:val="center"/>
              <w:rPr>
                <w:rFonts w:hint="eastAsia" w:ascii="宋体" w:hAnsi="宋体" w:eastAsia="宋体" w:cs="Times New Roman"/>
                <w:color w:val="auto"/>
                <w:szCs w:val="21"/>
                <w:highlight w:val="none"/>
              </w:rPr>
            </w:pPr>
          </w:p>
        </w:tc>
        <w:tc>
          <w:tcPr>
            <w:tcW w:w="488" w:type="dxa"/>
          </w:tcPr>
          <w:p w14:paraId="55CB1420">
            <w:pPr>
              <w:wordWrap w:val="0"/>
              <w:spacing w:line="276" w:lineRule="auto"/>
              <w:jc w:val="center"/>
              <w:rPr>
                <w:rFonts w:hint="eastAsia" w:ascii="宋体" w:hAnsi="宋体" w:eastAsia="宋体" w:cs="Times New Roman"/>
                <w:color w:val="auto"/>
                <w:szCs w:val="21"/>
                <w:highlight w:val="none"/>
              </w:rPr>
            </w:pPr>
          </w:p>
        </w:tc>
        <w:tc>
          <w:tcPr>
            <w:tcW w:w="1134" w:type="dxa"/>
          </w:tcPr>
          <w:p w14:paraId="6AD005A3">
            <w:pPr>
              <w:wordWrap w:val="0"/>
              <w:spacing w:line="276" w:lineRule="auto"/>
              <w:jc w:val="center"/>
              <w:rPr>
                <w:rFonts w:hint="eastAsia" w:ascii="宋体" w:hAnsi="宋体" w:eastAsia="宋体" w:cs="Times New Roman"/>
                <w:color w:val="auto"/>
                <w:szCs w:val="21"/>
                <w:highlight w:val="none"/>
              </w:rPr>
            </w:pPr>
          </w:p>
        </w:tc>
        <w:tc>
          <w:tcPr>
            <w:tcW w:w="709" w:type="dxa"/>
          </w:tcPr>
          <w:p w14:paraId="49751B47">
            <w:pPr>
              <w:wordWrap w:val="0"/>
              <w:spacing w:line="276" w:lineRule="auto"/>
              <w:jc w:val="center"/>
              <w:rPr>
                <w:rFonts w:hint="eastAsia" w:ascii="宋体" w:hAnsi="宋体" w:eastAsia="宋体" w:cs="Times New Roman"/>
                <w:color w:val="auto"/>
                <w:szCs w:val="21"/>
                <w:highlight w:val="none"/>
              </w:rPr>
            </w:pPr>
          </w:p>
        </w:tc>
        <w:tc>
          <w:tcPr>
            <w:tcW w:w="871" w:type="dxa"/>
          </w:tcPr>
          <w:p w14:paraId="2CA43D59">
            <w:pPr>
              <w:wordWrap w:val="0"/>
              <w:spacing w:line="276" w:lineRule="auto"/>
              <w:jc w:val="center"/>
              <w:rPr>
                <w:rFonts w:hint="eastAsia" w:ascii="宋体" w:hAnsi="宋体" w:eastAsia="宋体" w:cs="Times New Roman"/>
                <w:color w:val="auto"/>
                <w:szCs w:val="21"/>
                <w:highlight w:val="none"/>
              </w:rPr>
            </w:pPr>
          </w:p>
        </w:tc>
        <w:tc>
          <w:tcPr>
            <w:tcW w:w="1134" w:type="dxa"/>
          </w:tcPr>
          <w:p w14:paraId="33D24EE8">
            <w:pPr>
              <w:wordWrap w:val="0"/>
              <w:spacing w:line="276" w:lineRule="auto"/>
              <w:jc w:val="center"/>
              <w:rPr>
                <w:rFonts w:hint="eastAsia" w:ascii="宋体" w:hAnsi="宋体" w:eastAsia="宋体" w:cs="Times New Roman"/>
                <w:color w:val="auto"/>
                <w:szCs w:val="21"/>
                <w:highlight w:val="none"/>
              </w:rPr>
            </w:pPr>
          </w:p>
        </w:tc>
      </w:tr>
      <w:tr w14:paraId="401B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1F76167">
            <w:pPr>
              <w:wordWrap w:val="0"/>
              <w:spacing w:line="276" w:lineRule="auto"/>
              <w:jc w:val="center"/>
              <w:rPr>
                <w:rFonts w:hint="eastAsia" w:ascii="宋体" w:hAnsi="宋体" w:eastAsia="宋体" w:cs="Times New Roman"/>
                <w:color w:val="auto"/>
                <w:szCs w:val="21"/>
                <w:highlight w:val="none"/>
              </w:rPr>
            </w:pPr>
          </w:p>
        </w:tc>
        <w:tc>
          <w:tcPr>
            <w:tcW w:w="3007" w:type="dxa"/>
          </w:tcPr>
          <w:p w14:paraId="7A606DAD">
            <w:pPr>
              <w:wordWrap w:val="0"/>
              <w:spacing w:line="276" w:lineRule="auto"/>
              <w:jc w:val="center"/>
              <w:rPr>
                <w:rFonts w:hint="eastAsia" w:ascii="宋体" w:hAnsi="宋体" w:eastAsia="宋体" w:cs="Times New Roman"/>
                <w:color w:val="auto"/>
                <w:szCs w:val="21"/>
                <w:highlight w:val="none"/>
              </w:rPr>
            </w:pPr>
          </w:p>
        </w:tc>
        <w:tc>
          <w:tcPr>
            <w:tcW w:w="992" w:type="dxa"/>
          </w:tcPr>
          <w:p w14:paraId="605C8E11">
            <w:pPr>
              <w:wordWrap w:val="0"/>
              <w:spacing w:line="276" w:lineRule="auto"/>
              <w:jc w:val="center"/>
              <w:rPr>
                <w:rFonts w:hint="eastAsia" w:ascii="宋体" w:hAnsi="宋体" w:eastAsia="宋体" w:cs="Times New Roman"/>
                <w:color w:val="auto"/>
                <w:szCs w:val="21"/>
                <w:highlight w:val="none"/>
              </w:rPr>
            </w:pPr>
          </w:p>
        </w:tc>
        <w:tc>
          <w:tcPr>
            <w:tcW w:w="603" w:type="dxa"/>
          </w:tcPr>
          <w:p w14:paraId="59C304B5">
            <w:pPr>
              <w:wordWrap w:val="0"/>
              <w:spacing w:line="276" w:lineRule="auto"/>
              <w:jc w:val="center"/>
              <w:rPr>
                <w:rFonts w:hint="eastAsia" w:ascii="宋体" w:hAnsi="宋体" w:eastAsia="宋体" w:cs="Times New Roman"/>
                <w:color w:val="auto"/>
                <w:szCs w:val="21"/>
                <w:highlight w:val="none"/>
              </w:rPr>
            </w:pPr>
          </w:p>
        </w:tc>
        <w:tc>
          <w:tcPr>
            <w:tcW w:w="488" w:type="dxa"/>
          </w:tcPr>
          <w:p w14:paraId="29986820">
            <w:pPr>
              <w:wordWrap w:val="0"/>
              <w:spacing w:line="276" w:lineRule="auto"/>
              <w:jc w:val="center"/>
              <w:rPr>
                <w:rFonts w:hint="eastAsia" w:ascii="宋体" w:hAnsi="宋体" w:eastAsia="宋体" w:cs="Times New Roman"/>
                <w:color w:val="auto"/>
                <w:szCs w:val="21"/>
                <w:highlight w:val="none"/>
              </w:rPr>
            </w:pPr>
          </w:p>
        </w:tc>
        <w:tc>
          <w:tcPr>
            <w:tcW w:w="1134" w:type="dxa"/>
          </w:tcPr>
          <w:p w14:paraId="56DF5B55">
            <w:pPr>
              <w:wordWrap w:val="0"/>
              <w:spacing w:line="276" w:lineRule="auto"/>
              <w:jc w:val="center"/>
              <w:rPr>
                <w:rFonts w:hint="eastAsia" w:ascii="宋体" w:hAnsi="宋体" w:eastAsia="宋体" w:cs="Times New Roman"/>
                <w:color w:val="auto"/>
                <w:szCs w:val="21"/>
                <w:highlight w:val="none"/>
              </w:rPr>
            </w:pPr>
          </w:p>
        </w:tc>
        <w:tc>
          <w:tcPr>
            <w:tcW w:w="709" w:type="dxa"/>
          </w:tcPr>
          <w:p w14:paraId="51BF9F33">
            <w:pPr>
              <w:wordWrap w:val="0"/>
              <w:spacing w:line="276" w:lineRule="auto"/>
              <w:jc w:val="center"/>
              <w:rPr>
                <w:rFonts w:hint="eastAsia" w:ascii="宋体" w:hAnsi="宋体" w:eastAsia="宋体" w:cs="Times New Roman"/>
                <w:color w:val="auto"/>
                <w:szCs w:val="21"/>
                <w:highlight w:val="none"/>
              </w:rPr>
            </w:pPr>
          </w:p>
        </w:tc>
        <w:tc>
          <w:tcPr>
            <w:tcW w:w="871" w:type="dxa"/>
          </w:tcPr>
          <w:p w14:paraId="3F4B40C4">
            <w:pPr>
              <w:wordWrap w:val="0"/>
              <w:spacing w:line="276" w:lineRule="auto"/>
              <w:jc w:val="center"/>
              <w:rPr>
                <w:rFonts w:hint="eastAsia" w:ascii="宋体" w:hAnsi="宋体" w:eastAsia="宋体" w:cs="Times New Roman"/>
                <w:color w:val="auto"/>
                <w:szCs w:val="21"/>
                <w:highlight w:val="none"/>
              </w:rPr>
            </w:pPr>
          </w:p>
        </w:tc>
        <w:tc>
          <w:tcPr>
            <w:tcW w:w="1134" w:type="dxa"/>
          </w:tcPr>
          <w:p w14:paraId="450085DB">
            <w:pPr>
              <w:wordWrap w:val="0"/>
              <w:spacing w:line="276" w:lineRule="auto"/>
              <w:jc w:val="center"/>
              <w:rPr>
                <w:rFonts w:hint="eastAsia" w:ascii="宋体" w:hAnsi="宋体" w:eastAsia="宋体" w:cs="Times New Roman"/>
                <w:color w:val="auto"/>
                <w:szCs w:val="21"/>
                <w:highlight w:val="none"/>
              </w:rPr>
            </w:pPr>
          </w:p>
        </w:tc>
      </w:tr>
      <w:tr w14:paraId="0D9D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0BCE70D1">
            <w:pPr>
              <w:wordWrap w:val="0"/>
              <w:spacing w:line="276" w:lineRule="auto"/>
              <w:jc w:val="center"/>
              <w:rPr>
                <w:rFonts w:hint="eastAsia" w:ascii="宋体" w:hAnsi="宋体" w:eastAsia="宋体" w:cs="Times New Roman"/>
                <w:color w:val="auto"/>
                <w:szCs w:val="21"/>
                <w:highlight w:val="none"/>
              </w:rPr>
            </w:pPr>
          </w:p>
        </w:tc>
        <w:tc>
          <w:tcPr>
            <w:tcW w:w="3007" w:type="dxa"/>
          </w:tcPr>
          <w:p w14:paraId="09CAC37E">
            <w:pPr>
              <w:wordWrap w:val="0"/>
              <w:spacing w:line="276" w:lineRule="auto"/>
              <w:jc w:val="center"/>
              <w:rPr>
                <w:rFonts w:hint="eastAsia" w:ascii="宋体" w:hAnsi="宋体" w:eastAsia="宋体" w:cs="Times New Roman"/>
                <w:color w:val="auto"/>
                <w:szCs w:val="21"/>
                <w:highlight w:val="none"/>
              </w:rPr>
            </w:pPr>
          </w:p>
        </w:tc>
        <w:tc>
          <w:tcPr>
            <w:tcW w:w="992" w:type="dxa"/>
          </w:tcPr>
          <w:p w14:paraId="42BA69C7">
            <w:pPr>
              <w:wordWrap w:val="0"/>
              <w:spacing w:line="276" w:lineRule="auto"/>
              <w:jc w:val="center"/>
              <w:rPr>
                <w:rFonts w:hint="eastAsia" w:ascii="宋体" w:hAnsi="宋体" w:eastAsia="宋体" w:cs="Times New Roman"/>
                <w:color w:val="auto"/>
                <w:szCs w:val="21"/>
                <w:highlight w:val="none"/>
              </w:rPr>
            </w:pPr>
          </w:p>
        </w:tc>
        <w:tc>
          <w:tcPr>
            <w:tcW w:w="603" w:type="dxa"/>
          </w:tcPr>
          <w:p w14:paraId="0478C932">
            <w:pPr>
              <w:wordWrap w:val="0"/>
              <w:spacing w:line="276" w:lineRule="auto"/>
              <w:jc w:val="center"/>
              <w:rPr>
                <w:rFonts w:hint="eastAsia" w:ascii="宋体" w:hAnsi="宋体" w:eastAsia="宋体" w:cs="Times New Roman"/>
                <w:color w:val="auto"/>
                <w:szCs w:val="21"/>
                <w:highlight w:val="none"/>
              </w:rPr>
            </w:pPr>
          </w:p>
        </w:tc>
        <w:tc>
          <w:tcPr>
            <w:tcW w:w="488" w:type="dxa"/>
          </w:tcPr>
          <w:p w14:paraId="28CB24BC">
            <w:pPr>
              <w:wordWrap w:val="0"/>
              <w:spacing w:line="276" w:lineRule="auto"/>
              <w:jc w:val="center"/>
              <w:rPr>
                <w:rFonts w:hint="eastAsia" w:ascii="宋体" w:hAnsi="宋体" w:eastAsia="宋体" w:cs="Times New Roman"/>
                <w:color w:val="auto"/>
                <w:szCs w:val="21"/>
                <w:highlight w:val="none"/>
              </w:rPr>
            </w:pPr>
          </w:p>
        </w:tc>
        <w:tc>
          <w:tcPr>
            <w:tcW w:w="1134" w:type="dxa"/>
          </w:tcPr>
          <w:p w14:paraId="144D0229">
            <w:pPr>
              <w:wordWrap w:val="0"/>
              <w:spacing w:line="276" w:lineRule="auto"/>
              <w:jc w:val="center"/>
              <w:rPr>
                <w:rFonts w:hint="eastAsia" w:ascii="宋体" w:hAnsi="宋体" w:eastAsia="宋体" w:cs="Times New Roman"/>
                <w:color w:val="auto"/>
                <w:szCs w:val="21"/>
                <w:highlight w:val="none"/>
              </w:rPr>
            </w:pPr>
          </w:p>
        </w:tc>
        <w:tc>
          <w:tcPr>
            <w:tcW w:w="709" w:type="dxa"/>
          </w:tcPr>
          <w:p w14:paraId="6958ABC5">
            <w:pPr>
              <w:wordWrap w:val="0"/>
              <w:spacing w:line="276" w:lineRule="auto"/>
              <w:jc w:val="center"/>
              <w:rPr>
                <w:rFonts w:hint="eastAsia" w:ascii="宋体" w:hAnsi="宋体" w:eastAsia="宋体" w:cs="Times New Roman"/>
                <w:color w:val="auto"/>
                <w:szCs w:val="21"/>
                <w:highlight w:val="none"/>
              </w:rPr>
            </w:pPr>
          </w:p>
        </w:tc>
        <w:tc>
          <w:tcPr>
            <w:tcW w:w="871" w:type="dxa"/>
          </w:tcPr>
          <w:p w14:paraId="09C28C59">
            <w:pPr>
              <w:wordWrap w:val="0"/>
              <w:spacing w:line="276" w:lineRule="auto"/>
              <w:jc w:val="center"/>
              <w:rPr>
                <w:rFonts w:hint="eastAsia" w:ascii="宋体" w:hAnsi="宋体" w:eastAsia="宋体" w:cs="Times New Roman"/>
                <w:color w:val="auto"/>
                <w:szCs w:val="21"/>
                <w:highlight w:val="none"/>
              </w:rPr>
            </w:pPr>
          </w:p>
        </w:tc>
        <w:tc>
          <w:tcPr>
            <w:tcW w:w="1134" w:type="dxa"/>
          </w:tcPr>
          <w:p w14:paraId="078ED567">
            <w:pPr>
              <w:wordWrap w:val="0"/>
              <w:spacing w:line="276" w:lineRule="auto"/>
              <w:jc w:val="center"/>
              <w:rPr>
                <w:rFonts w:hint="eastAsia" w:ascii="宋体" w:hAnsi="宋体" w:eastAsia="宋体" w:cs="Times New Roman"/>
                <w:color w:val="auto"/>
                <w:szCs w:val="21"/>
                <w:highlight w:val="none"/>
              </w:rPr>
            </w:pPr>
          </w:p>
        </w:tc>
      </w:tr>
      <w:tr w14:paraId="5FA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EE53958">
            <w:pPr>
              <w:wordWrap w:val="0"/>
              <w:spacing w:line="276" w:lineRule="auto"/>
              <w:jc w:val="center"/>
              <w:rPr>
                <w:rFonts w:hint="eastAsia" w:ascii="宋体" w:hAnsi="宋体" w:eastAsia="宋体" w:cs="Times New Roman"/>
                <w:color w:val="auto"/>
                <w:szCs w:val="21"/>
                <w:highlight w:val="none"/>
              </w:rPr>
            </w:pPr>
          </w:p>
        </w:tc>
        <w:tc>
          <w:tcPr>
            <w:tcW w:w="3007" w:type="dxa"/>
          </w:tcPr>
          <w:p w14:paraId="6AD5D43C">
            <w:pPr>
              <w:wordWrap w:val="0"/>
              <w:spacing w:line="276" w:lineRule="auto"/>
              <w:jc w:val="center"/>
              <w:rPr>
                <w:rFonts w:hint="eastAsia" w:ascii="宋体" w:hAnsi="宋体" w:eastAsia="宋体" w:cs="Times New Roman"/>
                <w:color w:val="auto"/>
                <w:szCs w:val="21"/>
                <w:highlight w:val="none"/>
              </w:rPr>
            </w:pPr>
          </w:p>
        </w:tc>
        <w:tc>
          <w:tcPr>
            <w:tcW w:w="992" w:type="dxa"/>
          </w:tcPr>
          <w:p w14:paraId="283BF7F6">
            <w:pPr>
              <w:wordWrap w:val="0"/>
              <w:spacing w:line="276" w:lineRule="auto"/>
              <w:jc w:val="center"/>
              <w:rPr>
                <w:rFonts w:hint="eastAsia" w:ascii="宋体" w:hAnsi="宋体" w:eastAsia="宋体" w:cs="Times New Roman"/>
                <w:color w:val="auto"/>
                <w:szCs w:val="21"/>
                <w:highlight w:val="none"/>
              </w:rPr>
            </w:pPr>
          </w:p>
        </w:tc>
        <w:tc>
          <w:tcPr>
            <w:tcW w:w="603" w:type="dxa"/>
          </w:tcPr>
          <w:p w14:paraId="1FA45D14">
            <w:pPr>
              <w:wordWrap w:val="0"/>
              <w:spacing w:line="276" w:lineRule="auto"/>
              <w:jc w:val="center"/>
              <w:rPr>
                <w:rFonts w:hint="eastAsia" w:ascii="宋体" w:hAnsi="宋体" w:eastAsia="宋体" w:cs="Times New Roman"/>
                <w:color w:val="auto"/>
                <w:szCs w:val="21"/>
                <w:highlight w:val="none"/>
              </w:rPr>
            </w:pPr>
          </w:p>
        </w:tc>
        <w:tc>
          <w:tcPr>
            <w:tcW w:w="488" w:type="dxa"/>
          </w:tcPr>
          <w:p w14:paraId="7F939164">
            <w:pPr>
              <w:wordWrap w:val="0"/>
              <w:spacing w:line="276" w:lineRule="auto"/>
              <w:jc w:val="center"/>
              <w:rPr>
                <w:rFonts w:hint="eastAsia" w:ascii="宋体" w:hAnsi="宋体" w:eastAsia="宋体" w:cs="Times New Roman"/>
                <w:color w:val="auto"/>
                <w:szCs w:val="21"/>
                <w:highlight w:val="none"/>
              </w:rPr>
            </w:pPr>
          </w:p>
        </w:tc>
        <w:tc>
          <w:tcPr>
            <w:tcW w:w="1134" w:type="dxa"/>
          </w:tcPr>
          <w:p w14:paraId="5B3DB452">
            <w:pPr>
              <w:wordWrap w:val="0"/>
              <w:spacing w:line="276" w:lineRule="auto"/>
              <w:jc w:val="center"/>
              <w:rPr>
                <w:rFonts w:hint="eastAsia" w:ascii="宋体" w:hAnsi="宋体" w:eastAsia="宋体" w:cs="Times New Roman"/>
                <w:color w:val="auto"/>
                <w:szCs w:val="21"/>
                <w:highlight w:val="none"/>
              </w:rPr>
            </w:pPr>
          </w:p>
        </w:tc>
        <w:tc>
          <w:tcPr>
            <w:tcW w:w="709" w:type="dxa"/>
          </w:tcPr>
          <w:p w14:paraId="693B8587">
            <w:pPr>
              <w:wordWrap w:val="0"/>
              <w:spacing w:line="276" w:lineRule="auto"/>
              <w:jc w:val="center"/>
              <w:rPr>
                <w:rFonts w:hint="eastAsia" w:ascii="宋体" w:hAnsi="宋体" w:eastAsia="宋体" w:cs="Times New Roman"/>
                <w:color w:val="auto"/>
                <w:szCs w:val="21"/>
                <w:highlight w:val="none"/>
              </w:rPr>
            </w:pPr>
          </w:p>
        </w:tc>
        <w:tc>
          <w:tcPr>
            <w:tcW w:w="871" w:type="dxa"/>
          </w:tcPr>
          <w:p w14:paraId="2B7E80C8">
            <w:pPr>
              <w:wordWrap w:val="0"/>
              <w:spacing w:line="276" w:lineRule="auto"/>
              <w:jc w:val="center"/>
              <w:rPr>
                <w:rFonts w:hint="eastAsia" w:ascii="宋体" w:hAnsi="宋体" w:eastAsia="宋体" w:cs="Times New Roman"/>
                <w:color w:val="auto"/>
                <w:szCs w:val="21"/>
                <w:highlight w:val="none"/>
              </w:rPr>
            </w:pPr>
          </w:p>
        </w:tc>
        <w:tc>
          <w:tcPr>
            <w:tcW w:w="1134" w:type="dxa"/>
          </w:tcPr>
          <w:p w14:paraId="2F1F5259">
            <w:pPr>
              <w:wordWrap w:val="0"/>
              <w:spacing w:line="276" w:lineRule="auto"/>
              <w:jc w:val="center"/>
              <w:rPr>
                <w:rFonts w:hint="eastAsia" w:ascii="宋体" w:hAnsi="宋体" w:eastAsia="宋体" w:cs="Times New Roman"/>
                <w:color w:val="auto"/>
                <w:szCs w:val="21"/>
                <w:highlight w:val="none"/>
              </w:rPr>
            </w:pPr>
          </w:p>
        </w:tc>
      </w:tr>
      <w:tr w14:paraId="698C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08841CF">
            <w:pPr>
              <w:wordWrap w:val="0"/>
              <w:spacing w:line="276" w:lineRule="auto"/>
              <w:jc w:val="center"/>
              <w:rPr>
                <w:rFonts w:hint="eastAsia" w:ascii="宋体" w:hAnsi="宋体" w:eastAsia="宋体" w:cs="Times New Roman"/>
                <w:color w:val="auto"/>
                <w:szCs w:val="21"/>
                <w:highlight w:val="none"/>
              </w:rPr>
            </w:pPr>
          </w:p>
        </w:tc>
        <w:tc>
          <w:tcPr>
            <w:tcW w:w="3007" w:type="dxa"/>
          </w:tcPr>
          <w:p w14:paraId="26516FAD">
            <w:pPr>
              <w:wordWrap w:val="0"/>
              <w:spacing w:line="276" w:lineRule="auto"/>
              <w:jc w:val="center"/>
              <w:rPr>
                <w:rFonts w:hint="eastAsia" w:ascii="宋体" w:hAnsi="宋体" w:eastAsia="宋体" w:cs="Times New Roman"/>
                <w:color w:val="auto"/>
                <w:szCs w:val="21"/>
                <w:highlight w:val="none"/>
              </w:rPr>
            </w:pPr>
          </w:p>
        </w:tc>
        <w:tc>
          <w:tcPr>
            <w:tcW w:w="992" w:type="dxa"/>
          </w:tcPr>
          <w:p w14:paraId="1D3612A5">
            <w:pPr>
              <w:wordWrap w:val="0"/>
              <w:spacing w:line="276" w:lineRule="auto"/>
              <w:jc w:val="center"/>
              <w:rPr>
                <w:rFonts w:hint="eastAsia" w:ascii="宋体" w:hAnsi="宋体" w:eastAsia="宋体" w:cs="Times New Roman"/>
                <w:color w:val="auto"/>
                <w:szCs w:val="21"/>
                <w:highlight w:val="none"/>
              </w:rPr>
            </w:pPr>
          </w:p>
        </w:tc>
        <w:tc>
          <w:tcPr>
            <w:tcW w:w="603" w:type="dxa"/>
          </w:tcPr>
          <w:p w14:paraId="3E7612C4">
            <w:pPr>
              <w:wordWrap w:val="0"/>
              <w:spacing w:line="276" w:lineRule="auto"/>
              <w:jc w:val="center"/>
              <w:rPr>
                <w:rFonts w:hint="eastAsia" w:ascii="宋体" w:hAnsi="宋体" w:eastAsia="宋体" w:cs="Times New Roman"/>
                <w:color w:val="auto"/>
                <w:szCs w:val="21"/>
                <w:highlight w:val="none"/>
              </w:rPr>
            </w:pPr>
          </w:p>
        </w:tc>
        <w:tc>
          <w:tcPr>
            <w:tcW w:w="488" w:type="dxa"/>
          </w:tcPr>
          <w:p w14:paraId="52BAC657">
            <w:pPr>
              <w:wordWrap w:val="0"/>
              <w:spacing w:line="276" w:lineRule="auto"/>
              <w:jc w:val="center"/>
              <w:rPr>
                <w:rFonts w:hint="eastAsia" w:ascii="宋体" w:hAnsi="宋体" w:eastAsia="宋体" w:cs="Times New Roman"/>
                <w:color w:val="auto"/>
                <w:szCs w:val="21"/>
                <w:highlight w:val="none"/>
              </w:rPr>
            </w:pPr>
          </w:p>
        </w:tc>
        <w:tc>
          <w:tcPr>
            <w:tcW w:w="1134" w:type="dxa"/>
          </w:tcPr>
          <w:p w14:paraId="6257C8FA">
            <w:pPr>
              <w:wordWrap w:val="0"/>
              <w:spacing w:line="276" w:lineRule="auto"/>
              <w:jc w:val="center"/>
              <w:rPr>
                <w:rFonts w:hint="eastAsia" w:ascii="宋体" w:hAnsi="宋体" w:eastAsia="宋体" w:cs="Times New Roman"/>
                <w:color w:val="auto"/>
                <w:szCs w:val="21"/>
                <w:highlight w:val="none"/>
              </w:rPr>
            </w:pPr>
          </w:p>
        </w:tc>
        <w:tc>
          <w:tcPr>
            <w:tcW w:w="709" w:type="dxa"/>
          </w:tcPr>
          <w:p w14:paraId="5CC602B3">
            <w:pPr>
              <w:wordWrap w:val="0"/>
              <w:spacing w:line="276" w:lineRule="auto"/>
              <w:jc w:val="center"/>
              <w:rPr>
                <w:rFonts w:hint="eastAsia" w:ascii="宋体" w:hAnsi="宋体" w:eastAsia="宋体" w:cs="Times New Roman"/>
                <w:color w:val="auto"/>
                <w:szCs w:val="21"/>
                <w:highlight w:val="none"/>
              </w:rPr>
            </w:pPr>
          </w:p>
        </w:tc>
        <w:tc>
          <w:tcPr>
            <w:tcW w:w="871" w:type="dxa"/>
          </w:tcPr>
          <w:p w14:paraId="33626BBD">
            <w:pPr>
              <w:wordWrap w:val="0"/>
              <w:spacing w:line="276" w:lineRule="auto"/>
              <w:jc w:val="center"/>
              <w:rPr>
                <w:rFonts w:hint="eastAsia" w:ascii="宋体" w:hAnsi="宋体" w:eastAsia="宋体" w:cs="Times New Roman"/>
                <w:color w:val="auto"/>
                <w:szCs w:val="21"/>
                <w:highlight w:val="none"/>
              </w:rPr>
            </w:pPr>
          </w:p>
        </w:tc>
        <w:tc>
          <w:tcPr>
            <w:tcW w:w="1134" w:type="dxa"/>
          </w:tcPr>
          <w:p w14:paraId="61CBFBEA">
            <w:pPr>
              <w:wordWrap w:val="0"/>
              <w:spacing w:line="276" w:lineRule="auto"/>
              <w:jc w:val="center"/>
              <w:rPr>
                <w:rFonts w:hint="eastAsia" w:ascii="宋体" w:hAnsi="宋体" w:eastAsia="宋体" w:cs="Times New Roman"/>
                <w:color w:val="auto"/>
                <w:szCs w:val="21"/>
                <w:highlight w:val="none"/>
              </w:rPr>
            </w:pPr>
          </w:p>
        </w:tc>
      </w:tr>
      <w:tr w14:paraId="0F75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ED10B1E">
            <w:pPr>
              <w:wordWrap w:val="0"/>
              <w:spacing w:line="276" w:lineRule="auto"/>
              <w:jc w:val="center"/>
              <w:rPr>
                <w:rFonts w:hint="eastAsia" w:ascii="宋体" w:hAnsi="宋体" w:eastAsia="宋体" w:cs="Times New Roman"/>
                <w:color w:val="auto"/>
                <w:szCs w:val="21"/>
                <w:highlight w:val="none"/>
              </w:rPr>
            </w:pPr>
          </w:p>
        </w:tc>
        <w:tc>
          <w:tcPr>
            <w:tcW w:w="3007" w:type="dxa"/>
          </w:tcPr>
          <w:p w14:paraId="74A44AEC">
            <w:pPr>
              <w:wordWrap w:val="0"/>
              <w:spacing w:line="276" w:lineRule="auto"/>
              <w:jc w:val="center"/>
              <w:rPr>
                <w:rFonts w:hint="eastAsia" w:ascii="宋体" w:hAnsi="宋体" w:eastAsia="宋体" w:cs="Times New Roman"/>
                <w:color w:val="auto"/>
                <w:szCs w:val="21"/>
                <w:highlight w:val="none"/>
              </w:rPr>
            </w:pPr>
          </w:p>
        </w:tc>
        <w:tc>
          <w:tcPr>
            <w:tcW w:w="992" w:type="dxa"/>
          </w:tcPr>
          <w:p w14:paraId="5DDB3572">
            <w:pPr>
              <w:wordWrap w:val="0"/>
              <w:spacing w:line="276" w:lineRule="auto"/>
              <w:jc w:val="center"/>
              <w:rPr>
                <w:rFonts w:hint="eastAsia" w:ascii="宋体" w:hAnsi="宋体" w:eastAsia="宋体" w:cs="Times New Roman"/>
                <w:color w:val="auto"/>
                <w:szCs w:val="21"/>
                <w:highlight w:val="none"/>
              </w:rPr>
            </w:pPr>
          </w:p>
        </w:tc>
        <w:tc>
          <w:tcPr>
            <w:tcW w:w="603" w:type="dxa"/>
          </w:tcPr>
          <w:p w14:paraId="3D9E3E0A">
            <w:pPr>
              <w:wordWrap w:val="0"/>
              <w:spacing w:line="276" w:lineRule="auto"/>
              <w:jc w:val="center"/>
              <w:rPr>
                <w:rFonts w:hint="eastAsia" w:ascii="宋体" w:hAnsi="宋体" w:eastAsia="宋体" w:cs="Times New Roman"/>
                <w:color w:val="auto"/>
                <w:szCs w:val="21"/>
                <w:highlight w:val="none"/>
              </w:rPr>
            </w:pPr>
          </w:p>
        </w:tc>
        <w:tc>
          <w:tcPr>
            <w:tcW w:w="488" w:type="dxa"/>
          </w:tcPr>
          <w:p w14:paraId="7ABEE77C">
            <w:pPr>
              <w:wordWrap w:val="0"/>
              <w:spacing w:line="276" w:lineRule="auto"/>
              <w:jc w:val="center"/>
              <w:rPr>
                <w:rFonts w:hint="eastAsia" w:ascii="宋体" w:hAnsi="宋体" w:eastAsia="宋体" w:cs="Times New Roman"/>
                <w:color w:val="auto"/>
                <w:szCs w:val="21"/>
                <w:highlight w:val="none"/>
              </w:rPr>
            </w:pPr>
          </w:p>
        </w:tc>
        <w:tc>
          <w:tcPr>
            <w:tcW w:w="1134" w:type="dxa"/>
          </w:tcPr>
          <w:p w14:paraId="08C388CB">
            <w:pPr>
              <w:wordWrap w:val="0"/>
              <w:spacing w:line="276" w:lineRule="auto"/>
              <w:jc w:val="center"/>
              <w:rPr>
                <w:rFonts w:hint="eastAsia" w:ascii="宋体" w:hAnsi="宋体" w:eastAsia="宋体" w:cs="Times New Roman"/>
                <w:color w:val="auto"/>
                <w:szCs w:val="21"/>
                <w:highlight w:val="none"/>
              </w:rPr>
            </w:pPr>
          </w:p>
        </w:tc>
        <w:tc>
          <w:tcPr>
            <w:tcW w:w="709" w:type="dxa"/>
          </w:tcPr>
          <w:p w14:paraId="50639A41">
            <w:pPr>
              <w:wordWrap w:val="0"/>
              <w:spacing w:line="276" w:lineRule="auto"/>
              <w:jc w:val="center"/>
              <w:rPr>
                <w:rFonts w:hint="eastAsia" w:ascii="宋体" w:hAnsi="宋体" w:eastAsia="宋体" w:cs="Times New Roman"/>
                <w:color w:val="auto"/>
                <w:szCs w:val="21"/>
                <w:highlight w:val="none"/>
              </w:rPr>
            </w:pPr>
          </w:p>
        </w:tc>
        <w:tc>
          <w:tcPr>
            <w:tcW w:w="871" w:type="dxa"/>
          </w:tcPr>
          <w:p w14:paraId="18218688">
            <w:pPr>
              <w:wordWrap w:val="0"/>
              <w:spacing w:line="276" w:lineRule="auto"/>
              <w:jc w:val="center"/>
              <w:rPr>
                <w:rFonts w:hint="eastAsia" w:ascii="宋体" w:hAnsi="宋体" w:eastAsia="宋体" w:cs="Times New Roman"/>
                <w:color w:val="auto"/>
                <w:szCs w:val="21"/>
                <w:highlight w:val="none"/>
              </w:rPr>
            </w:pPr>
          </w:p>
        </w:tc>
        <w:tc>
          <w:tcPr>
            <w:tcW w:w="1134" w:type="dxa"/>
          </w:tcPr>
          <w:p w14:paraId="5932DDDB">
            <w:pPr>
              <w:wordWrap w:val="0"/>
              <w:spacing w:line="276" w:lineRule="auto"/>
              <w:jc w:val="center"/>
              <w:rPr>
                <w:rFonts w:hint="eastAsia" w:ascii="宋体" w:hAnsi="宋体" w:eastAsia="宋体" w:cs="Times New Roman"/>
                <w:color w:val="auto"/>
                <w:szCs w:val="21"/>
                <w:highlight w:val="none"/>
              </w:rPr>
            </w:pPr>
          </w:p>
        </w:tc>
      </w:tr>
      <w:tr w14:paraId="20D1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C3352F5">
            <w:pPr>
              <w:wordWrap w:val="0"/>
              <w:spacing w:line="276" w:lineRule="auto"/>
              <w:jc w:val="center"/>
              <w:rPr>
                <w:rFonts w:hint="eastAsia" w:ascii="宋体" w:hAnsi="宋体" w:eastAsia="宋体" w:cs="Times New Roman"/>
                <w:color w:val="auto"/>
                <w:szCs w:val="21"/>
                <w:highlight w:val="none"/>
              </w:rPr>
            </w:pPr>
          </w:p>
        </w:tc>
        <w:tc>
          <w:tcPr>
            <w:tcW w:w="3007" w:type="dxa"/>
          </w:tcPr>
          <w:p w14:paraId="18026303">
            <w:pPr>
              <w:wordWrap w:val="0"/>
              <w:spacing w:line="276" w:lineRule="auto"/>
              <w:jc w:val="center"/>
              <w:rPr>
                <w:rFonts w:hint="eastAsia" w:ascii="宋体" w:hAnsi="宋体" w:eastAsia="宋体" w:cs="Times New Roman"/>
                <w:color w:val="auto"/>
                <w:szCs w:val="21"/>
                <w:highlight w:val="none"/>
              </w:rPr>
            </w:pPr>
          </w:p>
        </w:tc>
        <w:tc>
          <w:tcPr>
            <w:tcW w:w="992" w:type="dxa"/>
          </w:tcPr>
          <w:p w14:paraId="2E9D340C">
            <w:pPr>
              <w:wordWrap w:val="0"/>
              <w:spacing w:line="276" w:lineRule="auto"/>
              <w:jc w:val="center"/>
              <w:rPr>
                <w:rFonts w:hint="eastAsia" w:ascii="宋体" w:hAnsi="宋体" w:eastAsia="宋体" w:cs="Times New Roman"/>
                <w:color w:val="auto"/>
                <w:szCs w:val="21"/>
                <w:highlight w:val="none"/>
              </w:rPr>
            </w:pPr>
          </w:p>
        </w:tc>
        <w:tc>
          <w:tcPr>
            <w:tcW w:w="603" w:type="dxa"/>
          </w:tcPr>
          <w:p w14:paraId="5FE26E8C">
            <w:pPr>
              <w:wordWrap w:val="0"/>
              <w:spacing w:line="276" w:lineRule="auto"/>
              <w:jc w:val="center"/>
              <w:rPr>
                <w:rFonts w:hint="eastAsia" w:ascii="宋体" w:hAnsi="宋体" w:eastAsia="宋体" w:cs="Times New Roman"/>
                <w:color w:val="auto"/>
                <w:szCs w:val="21"/>
                <w:highlight w:val="none"/>
              </w:rPr>
            </w:pPr>
          </w:p>
        </w:tc>
        <w:tc>
          <w:tcPr>
            <w:tcW w:w="488" w:type="dxa"/>
          </w:tcPr>
          <w:p w14:paraId="0CB7E7ED">
            <w:pPr>
              <w:wordWrap w:val="0"/>
              <w:spacing w:line="276" w:lineRule="auto"/>
              <w:jc w:val="center"/>
              <w:rPr>
                <w:rFonts w:hint="eastAsia" w:ascii="宋体" w:hAnsi="宋体" w:eastAsia="宋体" w:cs="Times New Roman"/>
                <w:color w:val="auto"/>
                <w:szCs w:val="21"/>
                <w:highlight w:val="none"/>
              </w:rPr>
            </w:pPr>
          </w:p>
        </w:tc>
        <w:tc>
          <w:tcPr>
            <w:tcW w:w="1134" w:type="dxa"/>
          </w:tcPr>
          <w:p w14:paraId="06491444">
            <w:pPr>
              <w:wordWrap w:val="0"/>
              <w:spacing w:line="276" w:lineRule="auto"/>
              <w:jc w:val="center"/>
              <w:rPr>
                <w:rFonts w:hint="eastAsia" w:ascii="宋体" w:hAnsi="宋体" w:eastAsia="宋体" w:cs="Times New Roman"/>
                <w:color w:val="auto"/>
                <w:szCs w:val="21"/>
                <w:highlight w:val="none"/>
              </w:rPr>
            </w:pPr>
          </w:p>
        </w:tc>
        <w:tc>
          <w:tcPr>
            <w:tcW w:w="709" w:type="dxa"/>
          </w:tcPr>
          <w:p w14:paraId="3C9B2BC7">
            <w:pPr>
              <w:wordWrap w:val="0"/>
              <w:spacing w:line="276" w:lineRule="auto"/>
              <w:jc w:val="center"/>
              <w:rPr>
                <w:rFonts w:hint="eastAsia" w:ascii="宋体" w:hAnsi="宋体" w:eastAsia="宋体" w:cs="Times New Roman"/>
                <w:color w:val="auto"/>
                <w:szCs w:val="21"/>
                <w:highlight w:val="none"/>
              </w:rPr>
            </w:pPr>
          </w:p>
        </w:tc>
        <w:tc>
          <w:tcPr>
            <w:tcW w:w="871" w:type="dxa"/>
          </w:tcPr>
          <w:p w14:paraId="27EB382D">
            <w:pPr>
              <w:wordWrap w:val="0"/>
              <w:spacing w:line="276" w:lineRule="auto"/>
              <w:jc w:val="center"/>
              <w:rPr>
                <w:rFonts w:hint="eastAsia" w:ascii="宋体" w:hAnsi="宋体" w:eastAsia="宋体" w:cs="Times New Roman"/>
                <w:color w:val="auto"/>
                <w:szCs w:val="21"/>
                <w:highlight w:val="none"/>
              </w:rPr>
            </w:pPr>
          </w:p>
        </w:tc>
        <w:tc>
          <w:tcPr>
            <w:tcW w:w="1134" w:type="dxa"/>
          </w:tcPr>
          <w:p w14:paraId="05D6E9BF">
            <w:pPr>
              <w:wordWrap w:val="0"/>
              <w:spacing w:line="276" w:lineRule="auto"/>
              <w:jc w:val="center"/>
              <w:rPr>
                <w:rFonts w:hint="eastAsia" w:ascii="宋体" w:hAnsi="宋体" w:eastAsia="宋体" w:cs="Times New Roman"/>
                <w:color w:val="auto"/>
                <w:szCs w:val="21"/>
                <w:highlight w:val="none"/>
              </w:rPr>
            </w:pPr>
          </w:p>
        </w:tc>
      </w:tr>
      <w:tr w14:paraId="4662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312FFF7">
            <w:pPr>
              <w:wordWrap w:val="0"/>
              <w:spacing w:line="276" w:lineRule="auto"/>
              <w:jc w:val="center"/>
              <w:rPr>
                <w:rFonts w:hint="eastAsia" w:ascii="宋体" w:hAnsi="宋体" w:eastAsia="宋体" w:cs="Times New Roman"/>
                <w:color w:val="auto"/>
                <w:szCs w:val="21"/>
                <w:highlight w:val="none"/>
              </w:rPr>
            </w:pPr>
          </w:p>
        </w:tc>
        <w:tc>
          <w:tcPr>
            <w:tcW w:w="3007" w:type="dxa"/>
          </w:tcPr>
          <w:p w14:paraId="7AF27B19">
            <w:pPr>
              <w:wordWrap w:val="0"/>
              <w:spacing w:line="276" w:lineRule="auto"/>
              <w:jc w:val="center"/>
              <w:rPr>
                <w:rFonts w:hint="eastAsia" w:ascii="宋体" w:hAnsi="宋体" w:eastAsia="宋体" w:cs="Times New Roman"/>
                <w:color w:val="auto"/>
                <w:szCs w:val="21"/>
                <w:highlight w:val="none"/>
              </w:rPr>
            </w:pPr>
          </w:p>
        </w:tc>
        <w:tc>
          <w:tcPr>
            <w:tcW w:w="992" w:type="dxa"/>
          </w:tcPr>
          <w:p w14:paraId="43695C27">
            <w:pPr>
              <w:wordWrap w:val="0"/>
              <w:spacing w:line="276" w:lineRule="auto"/>
              <w:jc w:val="center"/>
              <w:rPr>
                <w:rFonts w:hint="eastAsia" w:ascii="宋体" w:hAnsi="宋体" w:eastAsia="宋体" w:cs="Times New Roman"/>
                <w:color w:val="auto"/>
                <w:szCs w:val="21"/>
                <w:highlight w:val="none"/>
              </w:rPr>
            </w:pPr>
          </w:p>
        </w:tc>
        <w:tc>
          <w:tcPr>
            <w:tcW w:w="603" w:type="dxa"/>
          </w:tcPr>
          <w:p w14:paraId="3C011790">
            <w:pPr>
              <w:wordWrap w:val="0"/>
              <w:spacing w:line="276" w:lineRule="auto"/>
              <w:jc w:val="center"/>
              <w:rPr>
                <w:rFonts w:hint="eastAsia" w:ascii="宋体" w:hAnsi="宋体" w:eastAsia="宋体" w:cs="Times New Roman"/>
                <w:color w:val="auto"/>
                <w:szCs w:val="21"/>
                <w:highlight w:val="none"/>
              </w:rPr>
            </w:pPr>
          </w:p>
        </w:tc>
        <w:tc>
          <w:tcPr>
            <w:tcW w:w="488" w:type="dxa"/>
          </w:tcPr>
          <w:p w14:paraId="10F1CF86">
            <w:pPr>
              <w:wordWrap w:val="0"/>
              <w:spacing w:line="276" w:lineRule="auto"/>
              <w:jc w:val="center"/>
              <w:rPr>
                <w:rFonts w:hint="eastAsia" w:ascii="宋体" w:hAnsi="宋体" w:eastAsia="宋体" w:cs="Times New Roman"/>
                <w:color w:val="auto"/>
                <w:szCs w:val="21"/>
                <w:highlight w:val="none"/>
              </w:rPr>
            </w:pPr>
          </w:p>
        </w:tc>
        <w:tc>
          <w:tcPr>
            <w:tcW w:w="1134" w:type="dxa"/>
          </w:tcPr>
          <w:p w14:paraId="27B303D9">
            <w:pPr>
              <w:wordWrap w:val="0"/>
              <w:spacing w:line="276" w:lineRule="auto"/>
              <w:jc w:val="center"/>
              <w:rPr>
                <w:rFonts w:hint="eastAsia" w:ascii="宋体" w:hAnsi="宋体" w:eastAsia="宋体" w:cs="Times New Roman"/>
                <w:color w:val="auto"/>
                <w:szCs w:val="21"/>
                <w:highlight w:val="none"/>
              </w:rPr>
            </w:pPr>
          </w:p>
        </w:tc>
        <w:tc>
          <w:tcPr>
            <w:tcW w:w="709" w:type="dxa"/>
          </w:tcPr>
          <w:p w14:paraId="19A77034">
            <w:pPr>
              <w:wordWrap w:val="0"/>
              <w:spacing w:line="276" w:lineRule="auto"/>
              <w:jc w:val="center"/>
              <w:rPr>
                <w:rFonts w:hint="eastAsia" w:ascii="宋体" w:hAnsi="宋体" w:eastAsia="宋体" w:cs="Times New Roman"/>
                <w:color w:val="auto"/>
                <w:szCs w:val="21"/>
                <w:highlight w:val="none"/>
              </w:rPr>
            </w:pPr>
          </w:p>
        </w:tc>
        <w:tc>
          <w:tcPr>
            <w:tcW w:w="871" w:type="dxa"/>
          </w:tcPr>
          <w:p w14:paraId="47884299">
            <w:pPr>
              <w:wordWrap w:val="0"/>
              <w:spacing w:line="276" w:lineRule="auto"/>
              <w:jc w:val="center"/>
              <w:rPr>
                <w:rFonts w:hint="eastAsia" w:ascii="宋体" w:hAnsi="宋体" w:eastAsia="宋体" w:cs="Times New Roman"/>
                <w:color w:val="auto"/>
                <w:szCs w:val="21"/>
                <w:highlight w:val="none"/>
              </w:rPr>
            </w:pPr>
          </w:p>
        </w:tc>
        <w:tc>
          <w:tcPr>
            <w:tcW w:w="1134" w:type="dxa"/>
          </w:tcPr>
          <w:p w14:paraId="516FBAE7">
            <w:pPr>
              <w:wordWrap w:val="0"/>
              <w:spacing w:line="276" w:lineRule="auto"/>
              <w:jc w:val="center"/>
              <w:rPr>
                <w:rFonts w:hint="eastAsia" w:ascii="宋体" w:hAnsi="宋体" w:eastAsia="宋体" w:cs="Times New Roman"/>
                <w:color w:val="auto"/>
                <w:szCs w:val="21"/>
                <w:highlight w:val="none"/>
              </w:rPr>
            </w:pPr>
          </w:p>
        </w:tc>
      </w:tr>
      <w:tr w14:paraId="09B4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A062A2F">
            <w:pPr>
              <w:wordWrap w:val="0"/>
              <w:spacing w:line="276" w:lineRule="auto"/>
              <w:jc w:val="center"/>
              <w:rPr>
                <w:rFonts w:hint="eastAsia" w:ascii="宋体" w:hAnsi="宋体" w:eastAsia="宋体" w:cs="Times New Roman"/>
                <w:color w:val="auto"/>
                <w:szCs w:val="21"/>
                <w:highlight w:val="none"/>
              </w:rPr>
            </w:pPr>
          </w:p>
        </w:tc>
        <w:tc>
          <w:tcPr>
            <w:tcW w:w="3007" w:type="dxa"/>
          </w:tcPr>
          <w:p w14:paraId="198D2112">
            <w:pPr>
              <w:wordWrap w:val="0"/>
              <w:spacing w:line="276" w:lineRule="auto"/>
              <w:jc w:val="center"/>
              <w:rPr>
                <w:rFonts w:hint="eastAsia" w:ascii="宋体" w:hAnsi="宋体" w:eastAsia="宋体" w:cs="Times New Roman"/>
                <w:color w:val="auto"/>
                <w:szCs w:val="21"/>
                <w:highlight w:val="none"/>
              </w:rPr>
            </w:pPr>
          </w:p>
        </w:tc>
        <w:tc>
          <w:tcPr>
            <w:tcW w:w="992" w:type="dxa"/>
          </w:tcPr>
          <w:p w14:paraId="563A7AC4">
            <w:pPr>
              <w:wordWrap w:val="0"/>
              <w:spacing w:line="276" w:lineRule="auto"/>
              <w:jc w:val="center"/>
              <w:rPr>
                <w:rFonts w:hint="eastAsia" w:ascii="宋体" w:hAnsi="宋体" w:eastAsia="宋体" w:cs="Times New Roman"/>
                <w:color w:val="auto"/>
                <w:szCs w:val="21"/>
                <w:highlight w:val="none"/>
              </w:rPr>
            </w:pPr>
          </w:p>
        </w:tc>
        <w:tc>
          <w:tcPr>
            <w:tcW w:w="603" w:type="dxa"/>
          </w:tcPr>
          <w:p w14:paraId="1C849922">
            <w:pPr>
              <w:wordWrap w:val="0"/>
              <w:spacing w:line="276" w:lineRule="auto"/>
              <w:jc w:val="center"/>
              <w:rPr>
                <w:rFonts w:hint="eastAsia" w:ascii="宋体" w:hAnsi="宋体" w:eastAsia="宋体" w:cs="Times New Roman"/>
                <w:color w:val="auto"/>
                <w:szCs w:val="21"/>
                <w:highlight w:val="none"/>
              </w:rPr>
            </w:pPr>
          </w:p>
        </w:tc>
        <w:tc>
          <w:tcPr>
            <w:tcW w:w="488" w:type="dxa"/>
          </w:tcPr>
          <w:p w14:paraId="25F35E5B">
            <w:pPr>
              <w:wordWrap w:val="0"/>
              <w:spacing w:line="276" w:lineRule="auto"/>
              <w:jc w:val="center"/>
              <w:rPr>
                <w:rFonts w:hint="eastAsia" w:ascii="宋体" w:hAnsi="宋体" w:eastAsia="宋体" w:cs="Times New Roman"/>
                <w:color w:val="auto"/>
                <w:szCs w:val="21"/>
                <w:highlight w:val="none"/>
              </w:rPr>
            </w:pPr>
          </w:p>
        </w:tc>
        <w:tc>
          <w:tcPr>
            <w:tcW w:w="1134" w:type="dxa"/>
          </w:tcPr>
          <w:p w14:paraId="04779AF6">
            <w:pPr>
              <w:wordWrap w:val="0"/>
              <w:spacing w:line="276" w:lineRule="auto"/>
              <w:jc w:val="center"/>
              <w:rPr>
                <w:rFonts w:hint="eastAsia" w:ascii="宋体" w:hAnsi="宋体" w:eastAsia="宋体" w:cs="Times New Roman"/>
                <w:color w:val="auto"/>
                <w:szCs w:val="21"/>
                <w:highlight w:val="none"/>
              </w:rPr>
            </w:pPr>
          </w:p>
        </w:tc>
        <w:tc>
          <w:tcPr>
            <w:tcW w:w="709" w:type="dxa"/>
          </w:tcPr>
          <w:p w14:paraId="7B8070EF">
            <w:pPr>
              <w:wordWrap w:val="0"/>
              <w:spacing w:line="276" w:lineRule="auto"/>
              <w:jc w:val="center"/>
              <w:rPr>
                <w:rFonts w:hint="eastAsia" w:ascii="宋体" w:hAnsi="宋体" w:eastAsia="宋体" w:cs="Times New Roman"/>
                <w:color w:val="auto"/>
                <w:szCs w:val="21"/>
                <w:highlight w:val="none"/>
              </w:rPr>
            </w:pPr>
          </w:p>
        </w:tc>
        <w:tc>
          <w:tcPr>
            <w:tcW w:w="871" w:type="dxa"/>
          </w:tcPr>
          <w:p w14:paraId="0979690E">
            <w:pPr>
              <w:wordWrap w:val="0"/>
              <w:spacing w:line="276" w:lineRule="auto"/>
              <w:jc w:val="center"/>
              <w:rPr>
                <w:rFonts w:hint="eastAsia" w:ascii="宋体" w:hAnsi="宋体" w:eastAsia="宋体" w:cs="Times New Roman"/>
                <w:color w:val="auto"/>
                <w:szCs w:val="21"/>
                <w:highlight w:val="none"/>
              </w:rPr>
            </w:pPr>
          </w:p>
        </w:tc>
        <w:tc>
          <w:tcPr>
            <w:tcW w:w="1134" w:type="dxa"/>
          </w:tcPr>
          <w:p w14:paraId="11BFE4AD">
            <w:pPr>
              <w:wordWrap w:val="0"/>
              <w:spacing w:line="276" w:lineRule="auto"/>
              <w:jc w:val="center"/>
              <w:rPr>
                <w:rFonts w:hint="eastAsia" w:ascii="宋体" w:hAnsi="宋体" w:eastAsia="宋体" w:cs="Times New Roman"/>
                <w:color w:val="auto"/>
                <w:szCs w:val="21"/>
                <w:highlight w:val="none"/>
              </w:rPr>
            </w:pPr>
          </w:p>
        </w:tc>
      </w:tr>
      <w:tr w14:paraId="2F96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E0161BD">
            <w:pPr>
              <w:wordWrap w:val="0"/>
              <w:spacing w:line="276" w:lineRule="auto"/>
              <w:jc w:val="center"/>
              <w:rPr>
                <w:rFonts w:hint="eastAsia" w:ascii="宋体" w:hAnsi="宋体" w:eastAsia="宋体" w:cs="Times New Roman"/>
                <w:color w:val="auto"/>
                <w:szCs w:val="21"/>
                <w:highlight w:val="none"/>
              </w:rPr>
            </w:pPr>
          </w:p>
        </w:tc>
        <w:tc>
          <w:tcPr>
            <w:tcW w:w="3007" w:type="dxa"/>
          </w:tcPr>
          <w:p w14:paraId="460F9089">
            <w:pPr>
              <w:wordWrap w:val="0"/>
              <w:spacing w:line="276" w:lineRule="auto"/>
              <w:jc w:val="center"/>
              <w:rPr>
                <w:rFonts w:hint="eastAsia" w:ascii="宋体" w:hAnsi="宋体" w:eastAsia="宋体" w:cs="Times New Roman"/>
                <w:color w:val="auto"/>
                <w:szCs w:val="21"/>
                <w:highlight w:val="none"/>
              </w:rPr>
            </w:pPr>
          </w:p>
        </w:tc>
        <w:tc>
          <w:tcPr>
            <w:tcW w:w="992" w:type="dxa"/>
          </w:tcPr>
          <w:p w14:paraId="5E28C1CB">
            <w:pPr>
              <w:wordWrap w:val="0"/>
              <w:spacing w:line="276" w:lineRule="auto"/>
              <w:jc w:val="center"/>
              <w:rPr>
                <w:rFonts w:hint="eastAsia" w:ascii="宋体" w:hAnsi="宋体" w:eastAsia="宋体" w:cs="Times New Roman"/>
                <w:color w:val="auto"/>
                <w:szCs w:val="21"/>
                <w:highlight w:val="none"/>
              </w:rPr>
            </w:pPr>
          </w:p>
        </w:tc>
        <w:tc>
          <w:tcPr>
            <w:tcW w:w="603" w:type="dxa"/>
          </w:tcPr>
          <w:p w14:paraId="5C9F6368">
            <w:pPr>
              <w:wordWrap w:val="0"/>
              <w:spacing w:line="276" w:lineRule="auto"/>
              <w:jc w:val="center"/>
              <w:rPr>
                <w:rFonts w:hint="eastAsia" w:ascii="宋体" w:hAnsi="宋体" w:eastAsia="宋体" w:cs="Times New Roman"/>
                <w:color w:val="auto"/>
                <w:szCs w:val="21"/>
                <w:highlight w:val="none"/>
              </w:rPr>
            </w:pPr>
          </w:p>
        </w:tc>
        <w:tc>
          <w:tcPr>
            <w:tcW w:w="488" w:type="dxa"/>
          </w:tcPr>
          <w:p w14:paraId="69B584BD">
            <w:pPr>
              <w:wordWrap w:val="0"/>
              <w:spacing w:line="276" w:lineRule="auto"/>
              <w:jc w:val="center"/>
              <w:rPr>
                <w:rFonts w:hint="eastAsia" w:ascii="宋体" w:hAnsi="宋体" w:eastAsia="宋体" w:cs="Times New Roman"/>
                <w:color w:val="auto"/>
                <w:szCs w:val="21"/>
                <w:highlight w:val="none"/>
              </w:rPr>
            </w:pPr>
          </w:p>
        </w:tc>
        <w:tc>
          <w:tcPr>
            <w:tcW w:w="1134" w:type="dxa"/>
          </w:tcPr>
          <w:p w14:paraId="73B23F71">
            <w:pPr>
              <w:wordWrap w:val="0"/>
              <w:spacing w:line="276" w:lineRule="auto"/>
              <w:jc w:val="center"/>
              <w:rPr>
                <w:rFonts w:hint="eastAsia" w:ascii="宋体" w:hAnsi="宋体" w:eastAsia="宋体" w:cs="Times New Roman"/>
                <w:color w:val="auto"/>
                <w:szCs w:val="21"/>
                <w:highlight w:val="none"/>
              </w:rPr>
            </w:pPr>
          </w:p>
        </w:tc>
        <w:tc>
          <w:tcPr>
            <w:tcW w:w="709" w:type="dxa"/>
          </w:tcPr>
          <w:p w14:paraId="1838CAC3">
            <w:pPr>
              <w:wordWrap w:val="0"/>
              <w:spacing w:line="276" w:lineRule="auto"/>
              <w:jc w:val="center"/>
              <w:rPr>
                <w:rFonts w:hint="eastAsia" w:ascii="宋体" w:hAnsi="宋体" w:eastAsia="宋体" w:cs="Times New Roman"/>
                <w:color w:val="auto"/>
                <w:szCs w:val="21"/>
                <w:highlight w:val="none"/>
              </w:rPr>
            </w:pPr>
          </w:p>
        </w:tc>
        <w:tc>
          <w:tcPr>
            <w:tcW w:w="871" w:type="dxa"/>
          </w:tcPr>
          <w:p w14:paraId="55C7664B">
            <w:pPr>
              <w:wordWrap w:val="0"/>
              <w:spacing w:line="276" w:lineRule="auto"/>
              <w:jc w:val="center"/>
              <w:rPr>
                <w:rFonts w:hint="eastAsia" w:ascii="宋体" w:hAnsi="宋体" w:eastAsia="宋体" w:cs="Times New Roman"/>
                <w:color w:val="auto"/>
                <w:szCs w:val="21"/>
                <w:highlight w:val="none"/>
              </w:rPr>
            </w:pPr>
          </w:p>
        </w:tc>
        <w:tc>
          <w:tcPr>
            <w:tcW w:w="1134" w:type="dxa"/>
          </w:tcPr>
          <w:p w14:paraId="5DAC21B6">
            <w:pPr>
              <w:wordWrap w:val="0"/>
              <w:spacing w:line="276" w:lineRule="auto"/>
              <w:jc w:val="center"/>
              <w:rPr>
                <w:rFonts w:hint="eastAsia" w:ascii="宋体" w:hAnsi="宋体" w:eastAsia="宋体" w:cs="Times New Roman"/>
                <w:color w:val="auto"/>
                <w:szCs w:val="21"/>
                <w:highlight w:val="none"/>
              </w:rPr>
            </w:pPr>
          </w:p>
        </w:tc>
      </w:tr>
    </w:tbl>
    <w:p w14:paraId="30684C12">
      <w:pPr>
        <w:wordWrap w:val="0"/>
        <w:rPr>
          <w:rFonts w:hint="eastAsia" w:ascii="宋体" w:hAnsi="宋体" w:eastAsia="宋体" w:cs="Times New Roman"/>
          <w:color w:val="auto"/>
          <w:highlight w:val="none"/>
        </w:rPr>
      </w:pPr>
      <w:bookmarkStart w:id="312" w:name="_Toc152045805"/>
      <w:bookmarkStart w:id="313" w:name="_Toc152042594"/>
      <w:bookmarkStart w:id="314" w:name="_Toc144974873"/>
      <w:bookmarkStart w:id="315" w:name="_Toc179632825"/>
    </w:p>
    <w:p w14:paraId="2C3B0BE8">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br w:type="page"/>
      </w:r>
      <w:bookmarkStart w:id="316" w:name="_Toc4098"/>
      <w:bookmarkStart w:id="317" w:name="_Toc59200724"/>
      <w:bookmarkStart w:id="318" w:name="_Toc359594249"/>
      <w:bookmarkStart w:id="319" w:name="_Toc482188668"/>
      <w:bookmarkStart w:id="320" w:name="_Toc300835232"/>
      <w:bookmarkStart w:id="321" w:name="_Toc391394125"/>
      <w:bookmarkStart w:id="322" w:name="_Toc384308390"/>
      <w:bookmarkStart w:id="323" w:name="_Toc370676440"/>
      <w:bookmarkStart w:id="324" w:name="_Toc385943079"/>
      <w:bookmarkStart w:id="325" w:name="_Toc19001"/>
      <w:bookmarkStart w:id="326" w:name="_Toc526786521"/>
      <w:r>
        <w:rPr>
          <w:rFonts w:hint="eastAsia" w:ascii="宋体" w:hAnsi="宋体" w:eastAsia="宋体" w:cs="Times New Roman"/>
          <w:b/>
          <w:color w:val="auto"/>
          <w:sz w:val="28"/>
          <w:szCs w:val="20"/>
          <w:highlight w:val="none"/>
        </w:rPr>
        <w:t>（四）主要人员简历表</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bl>
      <w:tblPr>
        <w:tblStyle w:val="2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3150"/>
      </w:tblGrid>
      <w:tr w14:paraId="111C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87" w:type="dxa"/>
            <w:vAlign w:val="center"/>
          </w:tcPr>
          <w:p w14:paraId="7044940D">
            <w:pPr>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姓</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名</w:t>
            </w:r>
          </w:p>
        </w:tc>
        <w:tc>
          <w:tcPr>
            <w:tcW w:w="1048" w:type="dxa"/>
            <w:gridSpan w:val="2"/>
            <w:vAlign w:val="center"/>
          </w:tcPr>
          <w:p w14:paraId="11F0AF96">
            <w:pPr>
              <w:wordWrap w:val="0"/>
              <w:spacing w:line="276" w:lineRule="auto"/>
              <w:jc w:val="center"/>
              <w:rPr>
                <w:rFonts w:hint="eastAsia" w:ascii="宋体" w:hAnsi="宋体" w:eastAsia="宋体" w:cs="Times New Roman"/>
                <w:color w:val="auto"/>
                <w:highlight w:val="none"/>
              </w:rPr>
            </w:pPr>
          </w:p>
        </w:tc>
        <w:tc>
          <w:tcPr>
            <w:tcW w:w="958" w:type="dxa"/>
            <w:vAlign w:val="center"/>
          </w:tcPr>
          <w:p w14:paraId="598CC084">
            <w:pPr>
              <w:wordWrap w:val="0"/>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年龄</w:t>
            </w:r>
          </w:p>
        </w:tc>
        <w:tc>
          <w:tcPr>
            <w:tcW w:w="1065" w:type="dxa"/>
            <w:vAlign w:val="center"/>
          </w:tcPr>
          <w:p w14:paraId="07C27C8C">
            <w:pPr>
              <w:wordWrap w:val="0"/>
              <w:spacing w:line="276" w:lineRule="auto"/>
              <w:jc w:val="center"/>
              <w:rPr>
                <w:rFonts w:hint="eastAsia" w:ascii="宋体" w:hAnsi="宋体" w:eastAsia="宋体" w:cs="Times New Roman"/>
                <w:color w:val="auto"/>
                <w:highlight w:val="none"/>
              </w:rPr>
            </w:pPr>
          </w:p>
        </w:tc>
        <w:tc>
          <w:tcPr>
            <w:tcW w:w="2368" w:type="dxa"/>
            <w:gridSpan w:val="3"/>
            <w:vAlign w:val="center"/>
          </w:tcPr>
          <w:p w14:paraId="4B30AC40">
            <w:pPr>
              <w:wordWrap w:val="0"/>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执业资格证书（或上岗证书）名称</w:t>
            </w:r>
          </w:p>
        </w:tc>
        <w:tc>
          <w:tcPr>
            <w:tcW w:w="3150" w:type="dxa"/>
            <w:vAlign w:val="center"/>
          </w:tcPr>
          <w:p w14:paraId="254CDF3B">
            <w:pPr>
              <w:wordWrap w:val="0"/>
              <w:spacing w:line="276" w:lineRule="auto"/>
              <w:jc w:val="center"/>
              <w:rPr>
                <w:rFonts w:hint="eastAsia" w:ascii="宋体" w:hAnsi="宋体" w:eastAsia="宋体" w:cs="Times New Roman"/>
                <w:color w:val="auto"/>
                <w:highlight w:val="none"/>
              </w:rPr>
            </w:pPr>
          </w:p>
        </w:tc>
      </w:tr>
      <w:tr w14:paraId="6654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87" w:type="dxa"/>
            <w:vAlign w:val="center"/>
          </w:tcPr>
          <w:p w14:paraId="108B292A">
            <w:pPr>
              <w:wordWrap w:val="0"/>
              <w:spacing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职</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称</w:t>
            </w:r>
          </w:p>
        </w:tc>
        <w:tc>
          <w:tcPr>
            <w:tcW w:w="1048" w:type="dxa"/>
            <w:gridSpan w:val="2"/>
            <w:vAlign w:val="center"/>
          </w:tcPr>
          <w:p w14:paraId="45B6DF8A">
            <w:pPr>
              <w:wordWrap w:val="0"/>
              <w:spacing w:line="276" w:lineRule="auto"/>
              <w:jc w:val="center"/>
              <w:rPr>
                <w:rFonts w:hint="eastAsia" w:ascii="宋体" w:hAnsi="宋体" w:eastAsia="宋体" w:cs="Times New Roman"/>
                <w:color w:val="auto"/>
                <w:highlight w:val="none"/>
              </w:rPr>
            </w:pPr>
          </w:p>
        </w:tc>
        <w:tc>
          <w:tcPr>
            <w:tcW w:w="958" w:type="dxa"/>
            <w:vAlign w:val="center"/>
          </w:tcPr>
          <w:p w14:paraId="13AA7C37">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学历</w:t>
            </w:r>
          </w:p>
        </w:tc>
        <w:tc>
          <w:tcPr>
            <w:tcW w:w="1065" w:type="dxa"/>
            <w:vAlign w:val="center"/>
          </w:tcPr>
          <w:p w14:paraId="0E6BFD9C">
            <w:pPr>
              <w:wordWrap w:val="0"/>
              <w:spacing w:line="276" w:lineRule="auto"/>
              <w:jc w:val="center"/>
              <w:rPr>
                <w:rFonts w:hint="eastAsia" w:ascii="宋体" w:hAnsi="宋体" w:eastAsia="宋体" w:cs="Times New Roman"/>
                <w:color w:val="auto"/>
                <w:highlight w:val="none"/>
              </w:rPr>
            </w:pPr>
          </w:p>
        </w:tc>
        <w:tc>
          <w:tcPr>
            <w:tcW w:w="2368" w:type="dxa"/>
            <w:gridSpan w:val="3"/>
            <w:vAlign w:val="center"/>
          </w:tcPr>
          <w:p w14:paraId="5FED02EA">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拟在本项目任职</w:t>
            </w:r>
          </w:p>
        </w:tc>
        <w:tc>
          <w:tcPr>
            <w:tcW w:w="3150" w:type="dxa"/>
            <w:vAlign w:val="center"/>
          </w:tcPr>
          <w:p w14:paraId="2295C285">
            <w:pPr>
              <w:wordWrap w:val="0"/>
              <w:spacing w:line="276" w:lineRule="auto"/>
              <w:jc w:val="center"/>
              <w:rPr>
                <w:rFonts w:hint="eastAsia" w:ascii="宋体" w:hAnsi="宋体" w:eastAsia="宋体" w:cs="Times New Roman"/>
                <w:color w:val="auto"/>
                <w:highlight w:val="none"/>
              </w:rPr>
            </w:pPr>
          </w:p>
        </w:tc>
      </w:tr>
      <w:tr w14:paraId="1736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87" w:type="dxa"/>
            <w:vAlign w:val="center"/>
          </w:tcPr>
          <w:p w14:paraId="47D9FCF5">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工作年限</w:t>
            </w:r>
          </w:p>
        </w:tc>
        <w:tc>
          <w:tcPr>
            <w:tcW w:w="3071" w:type="dxa"/>
            <w:gridSpan w:val="4"/>
            <w:vAlign w:val="center"/>
          </w:tcPr>
          <w:p w14:paraId="10CA0C23">
            <w:pPr>
              <w:wordWrap w:val="0"/>
              <w:spacing w:line="276" w:lineRule="auto"/>
              <w:jc w:val="center"/>
              <w:rPr>
                <w:rFonts w:hint="eastAsia" w:ascii="宋体" w:hAnsi="宋体" w:eastAsia="宋体" w:cs="Times New Roman"/>
                <w:color w:val="auto"/>
                <w:highlight w:val="none"/>
              </w:rPr>
            </w:pPr>
          </w:p>
        </w:tc>
        <w:tc>
          <w:tcPr>
            <w:tcW w:w="2368" w:type="dxa"/>
            <w:gridSpan w:val="3"/>
            <w:vAlign w:val="center"/>
          </w:tcPr>
          <w:p w14:paraId="324058FB">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从事监理工作年限</w:t>
            </w:r>
          </w:p>
        </w:tc>
        <w:tc>
          <w:tcPr>
            <w:tcW w:w="3150" w:type="dxa"/>
            <w:vAlign w:val="center"/>
          </w:tcPr>
          <w:p w14:paraId="69A26CD9">
            <w:pPr>
              <w:wordWrap w:val="0"/>
              <w:spacing w:line="276" w:lineRule="auto"/>
              <w:jc w:val="center"/>
              <w:rPr>
                <w:rFonts w:hint="eastAsia" w:ascii="宋体" w:hAnsi="宋体" w:eastAsia="宋体" w:cs="Times New Roman"/>
                <w:color w:val="auto"/>
                <w:highlight w:val="none"/>
              </w:rPr>
            </w:pPr>
          </w:p>
        </w:tc>
      </w:tr>
      <w:tr w14:paraId="6C23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87" w:type="dxa"/>
            <w:vAlign w:val="center"/>
          </w:tcPr>
          <w:p w14:paraId="27D527C2">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毕业学校</w:t>
            </w:r>
          </w:p>
        </w:tc>
        <w:tc>
          <w:tcPr>
            <w:tcW w:w="8589" w:type="dxa"/>
            <w:gridSpan w:val="8"/>
            <w:vAlign w:val="center"/>
          </w:tcPr>
          <w:p w14:paraId="376300D7">
            <w:pPr>
              <w:wordWrap w:val="0"/>
              <w:spacing w:before="100" w:beforeAutospacing="1" w:after="100" w:afterAutospacing="1" w:line="276" w:lineRule="auto"/>
              <w:ind w:firstLine="1155" w:firstLineChars="550"/>
              <w:rPr>
                <w:rFonts w:hint="eastAsia" w:ascii="宋体" w:hAnsi="宋体" w:eastAsia="宋体" w:cs="Times New Roman"/>
                <w:color w:val="auto"/>
                <w:highlight w:val="none"/>
              </w:rPr>
            </w:pPr>
            <w:r>
              <w:rPr>
                <w:rFonts w:hint="eastAsia" w:ascii="宋体" w:hAnsi="宋体" w:eastAsia="宋体" w:cs="Times New Roman"/>
                <w:color w:val="auto"/>
                <w:highlight w:val="none"/>
              </w:rPr>
              <w:t>年毕业于</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学校</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专业</w:t>
            </w:r>
          </w:p>
        </w:tc>
      </w:tr>
      <w:tr w14:paraId="7BA8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776" w:type="dxa"/>
            <w:gridSpan w:val="9"/>
            <w:vAlign w:val="center"/>
          </w:tcPr>
          <w:p w14:paraId="3AC39146">
            <w:pPr>
              <w:wordWrap w:val="0"/>
              <w:spacing w:before="100" w:beforeAutospacing="1" w:after="100" w:afterAutospacing="1" w:line="276" w:lineRule="auto"/>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主要工作经历</w:t>
            </w:r>
          </w:p>
        </w:tc>
      </w:tr>
      <w:tr w14:paraId="04BA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544" w:type="dxa"/>
            <w:gridSpan w:val="2"/>
            <w:vAlign w:val="center"/>
          </w:tcPr>
          <w:p w14:paraId="1CC26C00">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时</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间</w:t>
            </w:r>
          </w:p>
        </w:tc>
        <w:tc>
          <w:tcPr>
            <w:tcW w:w="3420" w:type="dxa"/>
            <w:gridSpan w:val="4"/>
            <w:vAlign w:val="center"/>
          </w:tcPr>
          <w:p w14:paraId="69B608F3">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参加过的类似项目</w:t>
            </w:r>
          </w:p>
        </w:tc>
        <w:tc>
          <w:tcPr>
            <w:tcW w:w="1261" w:type="dxa"/>
            <w:vAlign w:val="center"/>
          </w:tcPr>
          <w:p w14:paraId="07824106">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担任职务</w:t>
            </w:r>
          </w:p>
        </w:tc>
        <w:tc>
          <w:tcPr>
            <w:tcW w:w="3551" w:type="dxa"/>
            <w:gridSpan w:val="2"/>
            <w:vAlign w:val="center"/>
          </w:tcPr>
          <w:p w14:paraId="2B05487D">
            <w:pPr>
              <w:wordWrap w:val="0"/>
              <w:spacing w:before="100" w:beforeAutospacing="1" w:after="100" w:afterAutospacing="1" w:line="276"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委托人（发包人）及联系电话</w:t>
            </w:r>
          </w:p>
        </w:tc>
      </w:tr>
      <w:tr w14:paraId="4E50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0B14F0C3">
            <w:pPr>
              <w:wordWrap w:val="0"/>
              <w:spacing w:line="276" w:lineRule="auto"/>
              <w:rPr>
                <w:rFonts w:hint="eastAsia" w:ascii="宋体" w:hAnsi="宋体" w:eastAsia="宋体" w:cs="Times New Roman"/>
                <w:color w:val="auto"/>
                <w:highlight w:val="none"/>
              </w:rPr>
            </w:pPr>
          </w:p>
        </w:tc>
        <w:tc>
          <w:tcPr>
            <w:tcW w:w="3420" w:type="dxa"/>
            <w:gridSpan w:val="4"/>
            <w:vAlign w:val="center"/>
          </w:tcPr>
          <w:p w14:paraId="3D651D24">
            <w:pPr>
              <w:wordWrap w:val="0"/>
              <w:spacing w:line="276" w:lineRule="auto"/>
              <w:rPr>
                <w:rFonts w:hint="eastAsia" w:ascii="宋体" w:hAnsi="宋体" w:eastAsia="宋体" w:cs="Times New Roman"/>
                <w:color w:val="auto"/>
                <w:highlight w:val="none"/>
              </w:rPr>
            </w:pPr>
          </w:p>
        </w:tc>
        <w:tc>
          <w:tcPr>
            <w:tcW w:w="1261" w:type="dxa"/>
            <w:vAlign w:val="center"/>
          </w:tcPr>
          <w:p w14:paraId="6B1BBFAC">
            <w:pPr>
              <w:wordWrap w:val="0"/>
              <w:spacing w:line="276" w:lineRule="auto"/>
              <w:rPr>
                <w:rFonts w:hint="eastAsia" w:ascii="宋体" w:hAnsi="宋体" w:eastAsia="宋体" w:cs="Times New Roman"/>
                <w:color w:val="auto"/>
                <w:highlight w:val="none"/>
              </w:rPr>
            </w:pPr>
          </w:p>
        </w:tc>
        <w:tc>
          <w:tcPr>
            <w:tcW w:w="3551" w:type="dxa"/>
            <w:gridSpan w:val="2"/>
            <w:vAlign w:val="center"/>
          </w:tcPr>
          <w:p w14:paraId="22952245">
            <w:pPr>
              <w:wordWrap w:val="0"/>
              <w:spacing w:line="276" w:lineRule="auto"/>
              <w:rPr>
                <w:rFonts w:hint="eastAsia" w:ascii="宋体" w:hAnsi="宋体" w:eastAsia="宋体" w:cs="Times New Roman"/>
                <w:color w:val="auto"/>
                <w:highlight w:val="none"/>
              </w:rPr>
            </w:pPr>
          </w:p>
        </w:tc>
      </w:tr>
      <w:tr w14:paraId="111F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01CE44E4">
            <w:pPr>
              <w:wordWrap w:val="0"/>
              <w:spacing w:line="276" w:lineRule="auto"/>
              <w:rPr>
                <w:rFonts w:hint="eastAsia" w:ascii="宋体" w:hAnsi="宋体" w:eastAsia="宋体" w:cs="Times New Roman"/>
                <w:color w:val="auto"/>
                <w:highlight w:val="none"/>
              </w:rPr>
            </w:pPr>
          </w:p>
        </w:tc>
        <w:tc>
          <w:tcPr>
            <w:tcW w:w="3420" w:type="dxa"/>
            <w:gridSpan w:val="4"/>
            <w:vAlign w:val="center"/>
          </w:tcPr>
          <w:p w14:paraId="613587F6">
            <w:pPr>
              <w:wordWrap w:val="0"/>
              <w:spacing w:line="276" w:lineRule="auto"/>
              <w:rPr>
                <w:rFonts w:hint="eastAsia" w:ascii="宋体" w:hAnsi="宋体" w:eastAsia="宋体" w:cs="Times New Roman"/>
                <w:color w:val="auto"/>
                <w:highlight w:val="none"/>
              </w:rPr>
            </w:pPr>
          </w:p>
        </w:tc>
        <w:tc>
          <w:tcPr>
            <w:tcW w:w="1261" w:type="dxa"/>
            <w:vAlign w:val="center"/>
          </w:tcPr>
          <w:p w14:paraId="5DADDDDB">
            <w:pPr>
              <w:wordWrap w:val="0"/>
              <w:spacing w:line="276" w:lineRule="auto"/>
              <w:rPr>
                <w:rFonts w:hint="eastAsia" w:ascii="宋体" w:hAnsi="宋体" w:eastAsia="宋体" w:cs="Times New Roman"/>
                <w:color w:val="auto"/>
                <w:highlight w:val="none"/>
              </w:rPr>
            </w:pPr>
          </w:p>
        </w:tc>
        <w:tc>
          <w:tcPr>
            <w:tcW w:w="3551" w:type="dxa"/>
            <w:gridSpan w:val="2"/>
            <w:vAlign w:val="center"/>
          </w:tcPr>
          <w:p w14:paraId="72250434">
            <w:pPr>
              <w:wordWrap w:val="0"/>
              <w:spacing w:line="276" w:lineRule="auto"/>
              <w:rPr>
                <w:rFonts w:hint="eastAsia" w:ascii="宋体" w:hAnsi="宋体" w:eastAsia="宋体" w:cs="Times New Roman"/>
                <w:color w:val="auto"/>
                <w:highlight w:val="none"/>
              </w:rPr>
            </w:pPr>
          </w:p>
        </w:tc>
      </w:tr>
      <w:tr w14:paraId="11BA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776B05F6">
            <w:pPr>
              <w:wordWrap w:val="0"/>
              <w:spacing w:line="276" w:lineRule="auto"/>
              <w:rPr>
                <w:rFonts w:hint="eastAsia" w:ascii="宋体" w:hAnsi="宋体" w:eastAsia="宋体" w:cs="Times New Roman"/>
                <w:color w:val="auto"/>
                <w:highlight w:val="none"/>
              </w:rPr>
            </w:pPr>
          </w:p>
        </w:tc>
        <w:tc>
          <w:tcPr>
            <w:tcW w:w="3420" w:type="dxa"/>
            <w:gridSpan w:val="4"/>
            <w:vAlign w:val="center"/>
          </w:tcPr>
          <w:p w14:paraId="5FD0AC3F">
            <w:pPr>
              <w:wordWrap w:val="0"/>
              <w:spacing w:line="276" w:lineRule="auto"/>
              <w:rPr>
                <w:rFonts w:hint="eastAsia" w:ascii="宋体" w:hAnsi="宋体" w:eastAsia="宋体" w:cs="Times New Roman"/>
                <w:color w:val="auto"/>
                <w:highlight w:val="none"/>
              </w:rPr>
            </w:pPr>
          </w:p>
        </w:tc>
        <w:tc>
          <w:tcPr>
            <w:tcW w:w="1261" w:type="dxa"/>
            <w:vAlign w:val="center"/>
          </w:tcPr>
          <w:p w14:paraId="636CCCB8">
            <w:pPr>
              <w:wordWrap w:val="0"/>
              <w:spacing w:line="276" w:lineRule="auto"/>
              <w:rPr>
                <w:rFonts w:hint="eastAsia" w:ascii="宋体" w:hAnsi="宋体" w:eastAsia="宋体" w:cs="Times New Roman"/>
                <w:color w:val="auto"/>
                <w:highlight w:val="none"/>
              </w:rPr>
            </w:pPr>
          </w:p>
        </w:tc>
        <w:tc>
          <w:tcPr>
            <w:tcW w:w="3551" w:type="dxa"/>
            <w:gridSpan w:val="2"/>
            <w:vAlign w:val="center"/>
          </w:tcPr>
          <w:p w14:paraId="5FF694E5">
            <w:pPr>
              <w:wordWrap w:val="0"/>
              <w:spacing w:line="276" w:lineRule="auto"/>
              <w:rPr>
                <w:rFonts w:hint="eastAsia" w:ascii="宋体" w:hAnsi="宋体" w:eastAsia="宋体" w:cs="Times New Roman"/>
                <w:color w:val="auto"/>
                <w:highlight w:val="none"/>
              </w:rPr>
            </w:pPr>
          </w:p>
        </w:tc>
      </w:tr>
      <w:tr w14:paraId="2F15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4DB57D74">
            <w:pPr>
              <w:wordWrap w:val="0"/>
              <w:spacing w:line="276" w:lineRule="auto"/>
              <w:rPr>
                <w:rFonts w:hint="eastAsia" w:ascii="宋体" w:hAnsi="宋体" w:eastAsia="宋体" w:cs="Times New Roman"/>
                <w:color w:val="auto"/>
                <w:highlight w:val="none"/>
              </w:rPr>
            </w:pPr>
          </w:p>
        </w:tc>
        <w:tc>
          <w:tcPr>
            <w:tcW w:w="3420" w:type="dxa"/>
            <w:gridSpan w:val="4"/>
            <w:vAlign w:val="center"/>
          </w:tcPr>
          <w:p w14:paraId="469AB012">
            <w:pPr>
              <w:wordWrap w:val="0"/>
              <w:spacing w:line="276" w:lineRule="auto"/>
              <w:rPr>
                <w:rFonts w:hint="eastAsia" w:ascii="宋体" w:hAnsi="宋体" w:eastAsia="宋体" w:cs="Times New Roman"/>
                <w:color w:val="auto"/>
                <w:highlight w:val="none"/>
              </w:rPr>
            </w:pPr>
          </w:p>
        </w:tc>
        <w:tc>
          <w:tcPr>
            <w:tcW w:w="1261" w:type="dxa"/>
            <w:vAlign w:val="center"/>
          </w:tcPr>
          <w:p w14:paraId="37616FB7">
            <w:pPr>
              <w:wordWrap w:val="0"/>
              <w:spacing w:line="276" w:lineRule="auto"/>
              <w:rPr>
                <w:rFonts w:hint="eastAsia" w:ascii="宋体" w:hAnsi="宋体" w:eastAsia="宋体" w:cs="Times New Roman"/>
                <w:color w:val="auto"/>
                <w:highlight w:val="none"/>
              </w:rPr>
            </w:pPr>
          </w:p>
        </w:tc>
        <w:tc>
          <w:tcPr>
            <w:tcW w:w="3551" w:type="dxa"/>
            <w:gridSpan w:val="2"/>
            <w:vAlign w:val="center"/>
          </w:tcPr>
          <w:p w14:paraId="30079CC4">
            <w:pPr>
              <w:wordWrap w:val="0"/>
              <w:spacing w:line="276" w:lineRule="auto"/>
              <w:rPr>
                <w:rFonts w:hint="eastAsia" w:ascii="宋体" w:hAnsi="宋体" w:eastAsia="宋体" w:cs="Times New Roman"/>
                <w:color w:val="auto"/>
                <w:highlight w:val="none"/>
              </w:rPr>
            </w:pPr>
          </w:p>
        </w:tc>
      </w:tr>
      <w:tr w14:paraId="0304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76D27F39">
            <w:pPr>
              <w:wordWrap w:val="0"/>
              <w:spacing w:line="276" w:lineRule="auto"/>
              <w:rPr>
                <w:rFonts w:hint="eastAsia" w:ascii="宋体" w:hAnsi="宋体" w:eastAsia="宋体" w:cs="Times New Roman"/>
                <w:color w:val="auto"/>
                <w:highlight w:val="none"/>
              </w:rPr>
            </w:pPr>
          </w:p>
        </w:tc>
        <w:tc>
          <w:tcPr>
            <w:tcW w:w="3420" w:type="dxa"/>
            <w:gridSpan w:val="4"/>
            <w:vAlign w:val="center"/>
          </w:tcPr>
          <w:p w14:paraId="0467B388">
            <w:pPr>
              <w:wordWrap w:val="0"/>
              <w:spacing w:line="276" w:lineRule="auto"/>
              <w:rPr>
                <w:rFonts w:hint="eastAsia" w:ascii="宋体" w:hAnsi="宋体" w:eastAsia="宋体" w:cs="Times New Roman"/>
                <w:color w:val="auto"/>
                <w:highlight w:val="none"/>
              </w:rPr>
            </w:pPr>
          </w:p>
        </w:tc>
        <w:tc>
          <w:tcPr>
            <w:tcW w:w="1261" w:type="dxa"/>
            <w:vAlign w:val="center"/>
          </w:tcPr>
          <w:p w14:paraId="195F2BC5">
            <w:pPr>
              <w:wordWrap w:val="0"/>
              <w:spacing w:line="276" w:lineRule="auto"/>
              <w:rPr>
                <w:rFonts w:hint="eastAsia" w:ascii="宋体" w:hAnsi="宋体" w:eastAsia="宋体" w:cs="Times New Roman"/>
                <w:color w:val="auto"/>
                <w:highlight w:val="none"/>
              </w:rPr>
            </w:pPr>
          </w:p>
        </w:tc>
        <w:tc>
          <w:tcPr>
            <w:tcW w:w="3551" w:type="dxa"/>
            <w:gridSpan w:val="2"/>
            <w:vAlign w:val="center"/>
          </w:tcPr>
          <w:p w14:paraId="731EE35B">
            <w:pPr>
              <w:wordWrap w:val="0"/>
              <w:spacing w:line="276" w:lineRule="auto"/>
              <w:rPr>
                <w:rFonts w:hint="eastAsia" w:ascii="宋体" w:hAnsi="宋体" w:eastAsia="宋体" w:cs="Times New Roman"/>
                <w:color w:val="auto"/>
                <w:highlight w:val="none"/>
              </w:rPr>
            </w:pPr>
          </w:p>
        </w:tc>
      </w:tr>
      <w:tr w14:paraId="47AB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7149C213">
            <w:pPr>
              <w:wordWrap w:val="0"/>
              <w:spacing w:line="276" w:lineRule="auto"/>
              <w:rPr>
                <w:rFonts w:hint="eastAsia" w:ascii="宋体" w:hAnsi="宋体" w:eastAsia="宋体" w:cs="Times New Roman"/>
                <w:color w:val="auto"/>
                <w:highlight w:val="none"/>
              </w:rPr>
            </w:pPr>
          </w:p>
        </w:tc>
        <w:tc>
          <w:tcPr>
            <w:tcW w:w="3420" w:type="dxa"/>
            <w:gridSpan w:val="4"/>
            <w:vAlign w:val="center"/>
          </w:tcPr>
          <w:p w14:paraId="35A73A4F">
            <w:pPr>
              <w:wordWrap w:val="0"/>
              <w:spacing w:line="276" w:lineRule="auto"/>
              <w:rPr>
                <w:rFonts w:hint="eastAsia" w:ascii="宋体" w:hAnsi="宋体" w:eastAsia="宋体" w:cs="Times New Roman"/>
                <w:color w:val="auto"/>
                <w:highlight w:val="none"/>
              </w:rPr>
            </w:pPr>
          </w:p>
        </w:tc>
        <w:tc>
          <w:tcPr>
            <w:tcW w:w="1261" w:type="dxa"/>
            <w:vAlign w:val="center"/>
          </w:tcPr>
          <w:p w14:paraId="6B74A65D">
            <w:pPr>
              <w:wordWrap w:val="0"/>
              <w:spacing w:line="276" w:lineRule="auto"/>
              <w:rPr>
                <w:rFonts w:hint="eastAsia" w:ascii="宋体" w:hAnsi="宋体" w:eastAsia="宋体" w:cs="Times New Roman"/>
                <w:color w:val="auto"/>
                <w:highlight w:val="none"/>
              </w:rPr>
            </w:pPr>
          </w:p>
        </w:tc>
        <w:tc>
          <w:tcPr>
            <w:tcW w:w="3551" w:type="dxa"/>
            <w:gridSpan w:val="2"/>
            <w:vAlign w:val="center"/>
          </w:tcPr>
          <w:p w14:paraId="751F2A6E">
            <w:pPr>
              <w:wordWrap w:val="0"/>
              <w:spacing w:line="276" w:lineRule="auto"/>
              <w:rPr>
                <w:rFonts w:hint="eastAsia" w:ascii="宋体" w:hAnsi="宋体" w:eastAsia="宋体" w:cs="Times New Roman"/>
                <w:color w:val="auto"/>
                <w:highlight w:val="none"/>
              </w:rPr>
            </w:pPr>
          </w:p>
        </w:tc>
      </w:tr>
      <w:tr w14:paraId="69F6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1F1ECBE0">
            <w:pPr>
              <w:wordWrap w:val="0"/>
              <w:spacing w:line="276" w:lineRule="auto"/>
              <w:rPr>
                <w:rFonts w:hint="eastAsia" w:ascii="宋体" w:hAnsi="宋体" w:eastAsia="宋体" w:cs="Times New Roman"/>
                <w:color w:val="auto"/>
                <w:highlight w:val="none"/>
              </w:rPr>
            </w:pPr>
          </w:p>
        </w:tc>
        <w:tc>
          <w:tcPr>
            <w:tcW w:w="3420" w:type="dxa"/>
            <w:gridSpan w:val="4"/>
            <w:vAlign w:val="center"/>
          </w:tcPr>
          <w:p w14:paraId="7B800845">
            <w:pPr>
              <w:wordWrap w:val="0"/>
              <w:spacing w:line="276" w:lineRule="auto"/>
              <w:rPr>
                <w:rFonts w:hint="eastAsia" w:ascii="宋体" w:hAnsi="宋体" w:eastAsia="宋体" w:cs="Times New Roman"/>
                <w:color w:val="auto"/>
                <w:highlight w:val="none"/>
              </w:rPr>
            </w:pPr>
          </w:p>
        </w:tc>
        <w:tc>
          <w:tcPr>
            <w:tcW w:w="1261" w:type="dxa"/>
            <w:vAlign w:val="center"/>
          </w:tcPr>
          <w:p w14:paraId="79CA2C3C">
            <w:pPr>
              <w:wordWrap w:val="0"/>
              <w:spacing w:line="276" w:lineRule="auto"/>
              <w:rPr>
                <w:rFonts w:hint="eastAsia" w:ascii="宋体" w:hAnsi="宋体" w:eastAsia="宋体" w:cs="Times New Roman"/>
                <w:color w:val="auto"/>
                <w:highlight w:val="none"/>
              </w:rPr>
            </w:pPr>
          </w:p>
        </w:tc>
        <w:tc>
          <w:tcPr>
            <w:tcW w:w="3551" w:type="dxa"/>
            <w:gridSpan w:val="2"/>
            <w:vAlign w:val="center"/>
          </w:tcPr>
          <w:p w14:paraId="5C0FECA9">
            <w:pPr>
              <w:wordWrap w:val="0"/>
              <w:spacing w:line="276" w:lineRule="auto"/>
              <w:rPr>
                <w:rFonts w:hint="eastAsia" w:ascii="宋体" w:hAnsi="宋体" w:eastAsia="宋体" w:cs="Times New Roman"/>
                <w:color w:val="auto"/>
                <w:highlight w:val="none"/>
              </w:rPr>
            </w:pPr>
          </w:p>
        </w:tc>
      </w:tr>
    </w:tbl>
    <w:p w14:paraId="42FF1635">
      <w:pPr>
        <w:wordWrap w:val="0"/>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注：投标人应根据招标文件的要求在本表后附相关证明材料。</w:t>
      </w:r>
    </w:p>
    <w:p w14:paraId="4F03C366">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br w:type="page"/>
      </w:r>
      <w:bookmarkStart w:id="327" w:name="_Toc526786523"/>
      <w:bookmarkStart w:id="328" w:name="_Toc59200726"/>
      <w:bookmarkStart w:id="329" w:name="_Toc2632"/>
    </w:p>
    <w:p w14:paraId="5E6BF938">
      <w:pPr>
        <w:keepNext/>
        <w:keepLines/>
        <w:wordWrap w:val="0"/>
        <w:spacing w:line="360" w:lineRule="auto"/>
        <w:outlineLvl w:val="2"/>
        <w:rPr>
          <w:rFonts w:hint="eastAsia" w:ascii="宋体" w:hAnsi="宋体" w:eastAsia="宋体" w:cs="Times New Roman"/>
          <w:b/>
          <w:color w:val="auto"/>
          <w:sz w:val="28"/>
          <w:szCs w:val="20"/>
          <w:highlight w:val="none"/>
        </w:rPr>
      </w:pPr>
      <w:r>
        <w:rPr>
          <w:rFonts w:hint="eastAsia" w:ascii="宋体" w:hAnsi="宋体" w:eastAsia="宋体" w:cs="Times New Roman"/>
          <w:b/>
          <w:color w:val="auto"/>
          <w:sz w:val="28"/>
          <w:szCs w:val="20"/>
          <w:highlight w:val="none"/>
        </w:rPr>
        <w:t>（五）投标人声明</w:t>
      </w:r>
    </w:p>
    <w:p w14:paraId="6F44B906">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投标人声明</w:t>
      </w:r>
    </w:p>
    <w:p w14:paraId="2E9E0E0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008C9BF4">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项目投标工作，作出郑重声明：</w:t>
      </w:r>
    </w:p>
    <w:p w14:paraId="2D4793B8">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一、本公司保证投标报名登记材料及其后提供的一切材料都是真实的。如我司成为本项目中标候选人，我司同意并授权招标人将我司投标文件商务部分的人员、业绩、奖项等资料进行公开。</w:t>
      </w:r>
    </w:p>
    <w:p w14:paraId="2DFAB68A">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0639900F">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三、本公司不存在招标文件第二章投标人须知第1.4.3项所规定的任何一种情形。具体如下：</w:t>
      </w:r>
    </w:p>
    <w:p w14:paraId="695848F4">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14:paraId="7AF3B55B">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（二）与招标人存在利害关系且可能影响招标公正性；</w:t>
      </w:r>
    </w:p>
    <w:p w14:paraId="72815E30">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（三）与本招标项目的其他投标人为同一个单位负责人；</w:t>
      </w:r>
    </w:p>
    <w:p w14:paraId="68075AA3">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（四）与本招标项目的其他投标人存在控股、管理关系；</w:t>
      </w:r>
    </w:p>
    <w:p w14:paraId="7D2CFB26">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（五）为本招标项目的代建人或建设管理单位；</w:t>
      </w:r>
    </w:p>
    <w:p w14:paraId="41ABDC23">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（六）为本招标项目的招标代理机构；</w:t>
      </w:r>
    </w:p>
    <w:p w14:paraId="792903F4">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（七）与本招标项目的代建人或招标代理机构同为一个法定代表人；</w:t>
      </w:r>
    </w:p>
    <w:p w14:paraId="35898E4B">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（八）与本招标项目的代建人或招标代理机构存在控股或参股关系；</w:t>
      </w:r>
    </w:p>
    <w:p w14:paraId="7924A763">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（九）与本招标项目的检测机构、建设、施工单位以及建筑材料、建筑构配件和设备供应商</w:t>
      </w:r>
      <w:r>
        <w:rPr>
          <w:rFonts w:hint="eastAsia" w:ascii="宋体" w:hAnsi="宋体" w:eastAsia="宋体" w:cs="宋体"/>
          <w:color w:val="auto"/>
          <w:sz w:val="24"/>
          <w:szCs w:val="24"/>
          <w:highlight w:val="none"/>
          <w:lang w:eastAsia="zh-CN"/>
        </w:rPr>
        <w:t>有隶属关系或者其他利害关系</w:t>
      </w:r>
      <w:r>
        <w:rPr>
          <w:rFonts w:hint="eastAsia" w:ascii="宋体" w:hAnsi="宋体" w:eastAsia="宋体" w:cs="宋体"/>
          <w:color w:val="auto"/>
          <w:sz w:val="24"/>
          <w:szCs w:val="24"/>
          <w:highlight w:val="none"/>
        </w:rPr>
        <w:t>；</w:t>
      </w:r>
    </w:p>
    <w:p w14:paraId="0E36807F">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5BEC419B">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（十一）被责令停产停业、暂扣或者吊销许可证、暂扣或者吊销执照（本项事实应当以根据《中华人民共和国行政处罚法》依法作出并已生效的行政处罚决定为认定依据。）；</w:t>
      </w:r>
    </w:p>
    <w:p w14:paraId="119DBD5D">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（十二）进入清算程序，或被宣告破产，或其他丧失履约能力的情形；</w:t>
      </w:r>
    </w:p>
    <w:p w14:paraId="6B765B65">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在最近三年内有发生重大监理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369D1DE4">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（十四）法律法规或投标人须知前附表规定的其他情形。</w:t>
      </w:r>
    </w:p>
    <w:p w14:paraId="44907265">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748159DD">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五、本公司承诺，中标后严格执行安全生产相关管理规定。</w:t>
      </w:r>
    </w:p>
    <w:p w14:paraId="216176F0">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331C8E36">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七、本公司承诺所提供的银行保函、保证保险、专业工程担保公司担保（如有）真实、有效</w:t>
      </w:r>
    </w:p>
    <w:p w14:paraId="698869DB">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八、本公司积极响应广州市关于投身“百千万工程”的号召，主动参与政府投资类建设工程施工项目的建筑业结对帮扶等活动（市属国有企业投资项目参照执行）。</w:t>
      </w:r>
    </w:p>
    <w:p w14:paraId="3151F843">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九、本公司违反上述承诺，或本声明陈述与事实不符，经查实，本公司愿意接受公开通报，愿意按照广州市交通运输局有关信用评价管理有关规定，被记录为“不良交易行为信息”，承担由此带来的法律后果。</w:t>
      </w:r>
    </w:p>
    <w:p w14:paraId="30ADE5ED">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4F80C46">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p>
    <w:p w14:paraId="1AFBD5AA">
      <w:pPr>
        <w:keepNext w:val="0"/>
        <w:keepLines w:val="0"/>
        <w:pageBreakBefore w:val="0"/>
        <w:widowControl w:val="0"/>
        <w:kinsoku/>
        <w:wordWrap w:val="0"/>
        <w:overflowPunct/>
        <w:topLinePunct w:val="0"/>
        <w:autoSpaceDE/>
        <w:autoSpaceDN/>
        <w:bidi w:val="0"/>
        <w:adjustRightInd/>
        <w:snapToGrid/>
        <w:spacing w:line="360" w:lineRule="auto"/>
        <w:ind w:firstLine="484" w:firstLineChars="20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企业公章</w:t>
      </w:r>
      <w:r>
        <w:rPr>
          <w:rFonts w:hint="eastAsia" w:ascii="宋体" w:hAnsi="宋体" w:eastAsia="宋体" w:cs="宋体"/>
          <w:color w:val="auto"/>
          <w:sz w:val="24"/>
          <w:szCs w:val="24"/>
          <w:highlight w:val="none"/>
          <w:lang w:eastAsia="zh-CN"/>
        </w:rPr>
        <w:t>）</w:t>
      </w:r>
    </w:p>
    <w:p w14:paraId="2A891ADE">
      <w:pPr>
        <w:keepNext w:val="0"/>
        <w:keepLines w:val="0"/>
        <w:pageBreakBefore w:val="0"/>
        <w:widowControl w:val="0"/>
        <w:kinsoku/>
        <w:wordWrap w:val="0"/>
        <w:overflowPunct/>
        <w:topLinePunct w:val="0"/>
        <w:autoSpaceDE/>
        <w:autoSpaceDN/>
        <w:bidi w:val="0"/>
        <w:adjustRightInd/>
        <w:snapToGrid/>
        <w:spacing w:line="360" w:lineRule="auto"/>
        <w:ind w:firstLine="484" w:firstLineChars="20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总监理工程师签字（或盖章）：</w:t>
      </w:r>
      <w:r>
        <w:rPr>
          <w:rFonts w:hint="eastAsia" w:ascii="宋体" w:hAnsi="宋体" w:eastAsia="宋体" w:cs="宋体"/>
          <w:color w:val="auto"/>
          <w:sz w:val="24"/>
          <w:szCs w:val="24"/>
          <w:highlight w:val="none"/>
          <w:u w:val="single"/>
        </w:rPr>
        <w:t xml:space="preserve">            </w:t>
      </w:r>
    </w:p>
    <w:p w14:paraId="68D87104">
      <w:pPr>
        <w:keepNext w:val="0"/>
        <w:keepLines w:val="0"/>
        <w:pageBreakBefore w:val="0"/>
        <w:widowControl w:val="0"/>
        <w:kinsoku/>
        <w:wordWrap w:val="0"/>
        <w:overflowPunct/>
        <w:topLinePunct w:val="0"/>
        <w:autoSpaceDE/>
        <w:autoSpaceDN/>
        <w:bidi w:val="0"/>
        <w:adjustRightInd/>
        <w:snapToGrid/>
        <w:spacing w:line="360" w:lineRule="auto"/>
        <w:ind w:firstLine="484" w:firstLineChars="20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项目技术负责人签字（或盖章）：</w:t>
      </w:r>
      <w:r>
        <w:rPr>
          <w:rFonts w:hint="eastAsia" w:ascii="宋体" w:hAnsi="宋体" w:eastAsia="宋体" w:cs="宋体"/>
          <w:color w:val="auto"/>
          <w:sz w:val="24"/>
          <w:szCs w:val="24"/>
          <w:highlight w:val="none"/>
          <w:u w:val="single"/>
        </w:rPr>
        <w:t xml:space="preserve">            </w:t>
      </w:r>
    </w:p>
    <w:p w14:paraId="1866C08F">
      <w:pPr>
        <w:keepNext w:val="0"/>
        <w:keepLines w:val="0"/>
        <w:pageBreakBefore w:val="0"/>
        <w:widowControl w:val="0"/>
        <w:kinsoku/>
        <w:wordWrap w:val="0"/>
        <w:overflowPunct/>
        <w:topLinePunct w:val="0"/>
        <w:autoSpaceDE/>
        <w:autoSpaceDN/>
        <w:bidi w:val="0"/>
        <w:adjustRightInd/>
        <w:snapToGrid/>
        <w:spacing w:line="360" w:lineRule="auto"/>
        <w:ind w:firstLine="484" w:firstLineChars="20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BF1228A">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宋体"/>
          <w:b/>
          <w:color w:val="auto"/>
          <w:sz w:val="24"/>
          <w:szCs w:val="24"/>
          <w:highlight w:val="none"/>
        </w:rPr>
        <w:br w:type="page"/>
      </w:r>
      <w:r>
        <w:rPr>
          <w:rFonts w:hint="eastAsia" w:ascii="宋体" w:hAnsi="宋体" w:eastAsia="宋体" w:cs="Times New Roman"/>
          <w:b/>
          <w:color w:val="auto"/>
          <w:sz w:val="28"/>
          <w:szCs w:val="20"/>
          <w:highlight w:val="none"/>
        </w:rPr>
        <w:t>（六）投标人廉洁承诺书</w:t>
      </w:r>
    </w:p>
    <w:p w14:paraId="5837D941">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49EBC5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p w14:paraId="75CA3D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6A9A49B4">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投标，为确保招标工作的公平、公正、公开、有序进行，我们保证遵守《中华人民共和国招标投标法》、《中华人民共和国招标投标法实施条例》、《</w:t>
      </w:r>
      <w:r>
        <w:rPr>
          <w:rFonts w:hint="eastAsia" w:ascii="宋体" w:hAnsi="宋体" w:eastAsia="宋体" w:cs="宋体"/>
          <w:color w:val="auto"/>
          <w:sz w:val="24"/>
          <w:szCs w:val="24"/>
          <w:highlight w:val="none"/>
          <w:lang w:eastAsia="zh-CN"/>
        </w:rPr>
        <w:t>广东省实施〈中华人民共和国招标投标法〉办法</w:t>
      </w:r>
      <w:r>
        <w:rPr>
          <w:rFonts w:hint="eastAsia" w:ascii="宋体" w:hAnsi="宋体" w:eastAsia="宋体" w:cs="宋体"/>
          <w:color w:val="auto"/>
          <w:sz w:val="24"/>
          <w:szCs w:val="24"/>
          <w:highlight w:val="none"/>
        </w:rPr>
        <w:t>》等法律法规，特承诺如下事项：</w:t>
      </w:r>
    </w:p>
    <w:p w14:paraId="3C0A748E">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14:paraId="78263038">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14:paraId="6C14BCDE">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14:paraId="729E7978">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44A6F54B">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五、不以任何名义为参与招标、评标工作的有关人员装修住房、婚丧嫁娶、配偶子女的工作安排以及境内外旅游等提供方便；</w:t>
      </w:r>
    </w:p>
    <w:p w14:paraId="541D0C18">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p>
    <w:p w14:paraId="7965EA5A">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本公司违反上述承诺，或本承诺陈述与事实不符，经查实，本公司愿意接受公开通报，被招标监管部门信用评价记录不良行为并扣分，并承担由此带来的法律后果。</w:t>
      </w:r>
    </w:p>
    <w:p w14:paraId="55DC85A4">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p>
    <w:p w14:paraId="07FFC3AA">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p>
    <w:p w14:paraId="3D4C023C">
      <w:pPr>
        <w:keepNext w:val="0"/>
        <w:keepLines w:val="0"/>
        <w:pageBreakBefore w:val="0"/>
        <w:widowControl/>
        <w:kinsoku/>
        <w:wordWrap/>
        <w:overflowPunct/>
        <w:topLinePunct w:val="0"/>
        <w:autoSpaceDE/>
        <w:autoSpaceDN/>
        <w:bidi w:val="0"/>
        <w:adjustRightInd/>
        <w:snapToGrid/>
        <w:spacing w:line="360" w:lineRule="auto"/>
        <w:ind w:firstLine="2400" w:firstLineChars="10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承诺企业：</w:t>
      </w:r>
      <w:r>
        <w:rPr>
          <w:rFonts w:hint="eastAsia" w:ascii="宋体" w:hAnsi="宋体" w:eastAsia="宋体" w:cs="Times New Roman"/>
          <w:color w:val="auto"/>
          <w:sz w:val="24"/>
          <w:szCs w:val="24"/>
          <w:highlight w:val="none"/>
        </w:rPr>
        <w:t>（盖单位章）</w:t>
      </w:r>
      <w:r>
        <w:rPr>
          <w:rFonts w:hint="eastAsia" w:ascii="宋体" w:hAnsi="宋体" w:eastAsia="宋体" w:cs="宋体"/>
          <w:color w:val="auto"/>
          <w:sz w:val="24"/>
          <w:szCs w:val="24"/>
          <w:highlight w:val="none"/>
          <w:u w:val="single"/>
        </w:rPr>
        <w:t xml:space="preserve">          </w:t>
      </w:r>
    </w:p>
    <w:p w14:paraId="160E513D">
      <w:pPr>
        <w:widowControl/>
        <w:jc w:val="left"/>
        <w:rPr>
          <w:rFonts w:hint="eastAsia" w:ascii="宋体" w:hAnsi="宋体" w:eastAsia="宋体" w:cs="Times New Roman"/>
          <w:b/>
          <w:color w:val="auto"/>
          <w:sz w:val="28"/>
          <w:szCs w:val="20"/>
          <w:highlight w:val="none"/>
        </w:rPr>
      </w:pPr>
      <w:r>
        <w:rPr>
          <w:rFonts w:hint="eastAsia" w:ascii="宋体" w:hAnsi="宋体" w:eastAsia="宋体" w:cs="Times New Roman"/>
          <w:b/>
          <w:color w:val="auto"/>
          <w:sz w:val="28"/>
          <w:szCs w:val="20"/>
          <w:highlight w:val="none"/>
        </w:rPr>
        <w:br w:type="page"/>
      </w:r>
    </w:p>
    <w:p w14:paraId="3A7B19A9">
      <w:pPr>
        <w:keepNext/>
        <w:keepLines/>
        <w:wordWrap w:val="0"/>
        <w:spacing w:line="360" w:lineRule="auto"/>
        <w:outlineLvl w:val="2"/>
        <w:rPr>
          <w:rFonts w:hint="eastAsia" w:ascii="宋体" w:hAnsi="宋体" w:eastAsia="宋体" w:cs="Times New Roman"/>
          <w:b/>
          <w:color w:val="auto"/>
          <w:sz w:val="28"/>
          <w:szCs w:val="20"/>
          <w:highlight w:val="none"/>
        </w:rPr>
      </w:pPr>
      <w:r>
        <w:rPr>
          <w:rFonts w:hint="eastAsia" w:ascii="宋体" w:hAnsi="宋体" w:eastAsia="宋体" w:cs="Times New Roman"/>
          <w:b/>
          <w:color w:val="auto"/>
          <w:sz w:val="28"/>
          <w:szCs w:val="20"/>
          <w:highlight w:val="none"/>
        </w:rPr>
        <w:t>（七）其他符合“投标人资格要求”规定的证明材料。</w:t>
      </w:r>
    </w:p>
    <w:p w14:paraId="1F943340">
      <w:pPr>
        <w:wordWrap w:val="0"/>
        <w:jc w:val="center"/>
        <w:outlineLvl w:val="1"/>
        <w:rPr>
          <w:rFonts w:hint="eastAsia" w:ascii="宋体" w:hAnsi="宋体" w:eastAsia="宋体" w:cs="Times New Roman"/>
          <w:b/>
          <w:color w:val="auto"/>
          <w:sz w:val="32"/>
          <w:szCs w:val="20"/>
          <w:highlight w:val="none"/>
        </w:rPr>
      </w:pPr>
      <w:r>
        <w:rPr>
          <w:rFonts w:ascii="宋体" w:hAnsi="宋体" w:eastAsia="宋体" w:cs="Times New Roman"/>
          <w:b/>
          <w:color w:val="auto"/>
          <w:sz w:val="32"/>
          <w:szCs w:val="20"/>
          <w:highlight w:val="none"/>
        </w:rPr>
        <w:br w:type="page"/>
      </w:r>
      <w:r>
        <w:rPr>
          <w:rFonts w:hint="eastAsia" w:ascii="宋体" w:hAnsi="宋体" w:eastAsia="宋体" w:cs="Times New Roman"/>
          <w:b/>
          <w:color w:val="auto"/>
          <w:sz w:val="32"/>
          <w:szCs w:val="20"/>
          <w:highlight w:val="none"/>
        </w:rPr>
        <w:t>七、监理大纲</w:t>
      </w:r>
      <w:bookmarkEnd w:id="327"/>
      <w:bookmarkEnd w:id="328"/>
      <w:bookmarkEnd w:id="329"/>
    </w:p>
    <w:p w14:paraId="137EE3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监理大纲应包括下列内容（投标单位可根据评分表自行增加或调整内容）：</w:t>
      </w:r>
    </w:p>
    <w:p w14:paraId="0A11C03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一、监理工程概况；</w:t>
      </w:r>
    </w:p>
    <w:p w14:paraId="66069ED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二、监理范围、监理内容；</w:t>
      </w:r>
    </w:p>
    <w:p w14:paraId="2708A12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三、监理依据、监理工作目标；</w:t>
      </w:r>
    </w:p>
    <w:p w14:paraId="111B497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四、监理机构设置（框图）、岗位职责；</w:t>
      </w:r>
    </w:p>
    <w:p w14:paraId="5EDDE3B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五、监理工作程序、方法和制度；</w:t>
      </w:r>
    </w:p>
    <w:p w14:paraId="0176F2D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六、拟投入的监理人员、试验检测仪器设备；</w:t>
      </w:r>
    </w:p>
    <w:p w14:paraId="4B4F4E3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七、质量、进度、造价、安全、文明施工、环保、绿色节能等各项</w:t>
      </w:r>
      <w:r>
        <w:rPr>
          <w:rFonts w:hint="eastAsia" w:ascii="宋体" w:hAnsi="宋体" w:eastAsia="宋体" w:cs="Times New Roman"/>
          <w:color w:val="auto"/>
          <w:sz w:val="24"/>
          <w:szCs w:val="24"/>
          <w:highlight w:val="none"/>
          <w:lang w:val="en-US" w:eastAsia="zh-CN"/>
        </w:rPr>
        <w:t>管理</w:t>
      </w:r>
      <w:r>
        <w:rPr>
          <w:rFonts w:hint="eastAsia" w:ascii="宋体" w:hAnsi="宋体" w:eastAsia="宋体" w:cs="Times New Roman"/>
          <w:color w:val="auto"/>
          <w:sz w:val="24"/>
          <w:szCs w:val="24"/>
          <w:highlight w:val="none"/>
        </w:rPr>
        <w:t>措施；</w:t>
      </w:r>
    </w:p>
    <w:p w14:paraId="3C78769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八、合同</w:t>
      </w:r>
      <w:r>
        <w:rPr>
          <w:rFonts w:hint="eastAsia" w:ascii="宋体" w:hAnsi="宋体" w:eastAsia="宋体" w:cs="Times New Roman"/>
          <w:color w:val="auto"/>
          <w:sz w:val="24"/>
          <w:szCs w:val="24"/>
          <w:highlight w:val="none"/>
          <w:lang w:val="en-US" w:eastAsia="zh-CN"/>
        </w:rPr>
        <w:t>管理</w:t>
      </w:r>
      <w:r>
        <w:rPr>
          <w:rFonts w:hint="eastAsia" w:ascii="宋体" w:hAnsi="宋体" w:eastAsia="宋体" w:cs="Times New Roman"/>
          <w:color w:val="auto"/>
          <w:sz w:val="24"/>
          <w:szCs w:val="24"/>
          <w:highlight w:val="none"/>
        </w:rPr>
        <w:t>、信息管理方案；</w:t>
      </w:r>
    </w:p>
    <w:p w14:paraId="61AFC56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九、投资控制方案</w:t>
      </w:r>
      <w:r>
        <w:rPr>
          <w:rFonts w:hint="eastAsia" w:ascii="宋体" w:hAnsi="宋体" w:eastAsia="宋体" w:cs="Times New Roman"/>
          <w:color w:val="auto"/>
          <w:sz w:val="24"/>
          <w:szCs w:val="24"/>
          <w:highlight w:val="none"/>
          <w:lang w:eastAsia="zh-CN"/>
        </w:rPr>
        <w:t>；</w:t>
      </w:r>
    </w:p>
    <w:p w14:paraId="4D0C479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十、</w:t>
      </w:r>
      <w:r>
        <w:rPr>
          <w:rFonts w:hint="eastAsia" w:ascii="宋体" w:hAnsi="宋体" w:eastAsia="宋体" w:cs="Times New Roman"/>
          <w:color w:val="auto"/>
          <w:sz w:val="24"/>
          <w:szCs w:val="24"/>
          <w:highlight w:val="none"/>
        </w:rPr>
        <w:t>质量控制方案</w:t>
      </w:r>
    </w:p>
    <w:p w14:paraId="6AE9DFD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十一、</w:t>
      </w:r>
      <w:r>
        <w:rPr>
          <w:rFonts w:hint="eastAsia" w:ascii="宋体" w:hAnsi="宋体" w:eastAsia="宋体" w:cs="Times New Roman"/>
          <w:color w:val="auto"/>
          <w:sz w:val="24"/>
          <w:szCs w:val="24"/>
          <w:highlight w:val="none"/>
        </w:rPr>
        <w:t>进度控制方案</w:t>
      </w:r>
    </w:p>
    <w:p w14:paraId="746A3F4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十二、</w:t>
      </w:r>
      <w:r>
        <w:rPr>
          <w:rFonts w:hint="eastAsia" w:ascii="宋体" w:hAnsi="宋体" w:eastAsia="宋体" w:cs="Times New Roman"/>
          <w:color w:val="auto"/>
          <w:sz w:val="24"/>
          <w:szCs w:val="24"/>
          <w:highlight w:val="none"/>
        </w:rPr>
        <w:t>组织协调内容及措施；</w:t>
      </w:r>
    </w:p>
    <w:p w14:paraId="2B0B022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w:t>
      </w:r>
      <w:r>
        <w:rPr>
          <w:rFonts w:hint="eastAsia" w:ascii="宋体" w:hAnsi="宋体" w:eastAsia="宋体" w:cs="Times New Roman"/>
          <w:color w:val="auto"/>
          <w:sz w:val="24"/>
          <w:szCs w:val="24"/>
          <w:highlight w:val="none"/>
          <w:lang w:val="en-US" w:eastAsia="zh-CN"/>
        </w:rPr>
        <w:t>三</w:t>
      </w:r>
      <w:r>
        <w:rPr>
          <w:rFonts w:hint="eastAsia" w:ascii="宋体" w:hAnsi="宋体" w:eastAsia="宋体" w:cs="Times New Roman"/>
          <w:color w:val="auto"/>
          <w:sz w:val="24"/>
          <w:szCs w:val="24"/>
          <w:highlight w:val="none"/>
        </w:rPr>
        <w:t>、监理工作重点、难点分析</w:t>
      </w:r>
      <w:r>
        <w:rPr>
          <w:rFonts w:hint="eastAsia" w:ascii="宋体" w:hAnsi="宋体" w:eastAsia="宋体" w:cs="Times New Roman"/>
          <w:color w:val="auto"/>
          <w:sz w:val="24"/>
          <w:szCs w:val="24"/>
          <w:highlight w:val="none"/>
          <w:lang w:val="en-US" w:eastAsia="zh-CN"/>
        </w:rPr>
        <w:t>及措施</w:t>
      </w:r>
      <w:r>
        <w:rPr>
          <w:rFonts w:hint="eastAsia" w:ascii="宋体" w:hAnsi="宋体" w:eastAsia="宋体" w:cs="Times New Roman"/>
          <w:color w:val="auto"/>
          <w:sz w:val="24"/>
          <w:szCs w:val="24"/>
          <w:highlight w:val="none"/>
        </w:rPr>
        <w:t>；</w:t>
      </w:r>
    </w:p>
    <w:p w14:paraId="605F61C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w:t>
      </w:r>
      <w:r>
        <w:rPr>
          <w:rFonts w:hint="eastAsia" w:ascii="宋体" w:hAnsi="宋体" w:eastAsia="宋体" w:cs="Times New Roman"/>
          <w:color w:val="auto"/>
          <w:sz w:val="24"/>
          <w:szCs w:val="24"/>
          <w:highlight w:val="none"/>
          <w:lang w:val="en-US" w:eastAsia="zh-CN"/>
        </w:rPr>
        <w:t>四</w:t>
      </w:r>
      <w:r>
        <w:rPr>
          <w:rFonts w:hint="eastAsia" w:ascii="宋体" w:hAnsi="宋体" w:eastAsia="宋体" w:cs="Times New Roman"/>
          <w:color w:val="auto"/>
          <w:sz w:val="24"/>
          <w:szCs w:val="24"/>
          <w:highlight w:val="none"/>
        </w:rPr>
        <w:t>、对本工程投资控制措施；</w:t>
      </w:r>
    </w:p>
    <w:p w14:paraId="75B8E8A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十</w:t>
      </w:r>
      <w:r>
        <w:rPr>
          <w:rFonts w:hint="eastAsia" w:ascii="宋体" w:hAnsi="宋体" w:eastAsia="宋体" w:cs="Times New Roman"/>
          <w:color w:val="auto"/>
          <w:sz w:val="24"/>
          <w:szCs w:val="24"/>
          <w:highlight w:val="none"/>
          <w:lang w:val="en-US" w:eastAsia="zh-CN"/>
        </w:rPr>
        <w:t>五</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会议制度</w:t>
      </w:r>
    </w:p>
    <w:p w14:paraId="7BFF96A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十六、</w:t>
      </w:r>
      <w:r>
        <w:rPr>
          <w:rFonts w:hint="eastAsia" w:ascii="宋体" w:hAnsi="宋体" w:eastAsia="宋体" w:cs="Times New Roman"/>
          <w:color w:val="auto"/>
          <w:sz w:val="24"/>
          <w:szCs w:val="24"/>
          <w:highlight w:val="none"/>
        </w:rPr>
        <w:t>对本工程监理的合理化建议。</w:t>
      </w:r>
    </w:p>
    <w:p w14:paraId="1743BF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p>
    <w:p w14:paraId="1D1ACB5F">
      <w:pPr>
        <w:wordWrap w:val="0"/>
        <w:jc w:val="center"/>
        <w:outlineLvl w:val="1"/>
        <w:rPr>
          <w:rFonts w:hint="eastAsia" w:ascii="宋体" w:hAnsi="宋体" w:eastAsia="宋体" w:cs="Times New Roman"/>
          <w:b/>
          <w:color w:val="auto"/>
          <w:sz w:val="32"/>
          <w:szCs w:val="20"/>
          <w:highlight w:val="none"/>
        </w:rPr>
      </w:pPr>
      <w:bookmarkStart w:id="330" w:name="_Toc13875"/>
      <w:bookmarkStart w:id="331" w:name="_Toc526786524"/>
      <w:r>
        <w:rPr>
          <w:rFonts w:ascii="宋体" w:hAnsi="宋体" w:eastAsia="宋体" w:cs="Times New Roman"/>
          <w:b/>
          <w:color w:val="auto"/>
          <w:sz w:val="32"/>
          <w:szCs w:val="20"/>
          <w:highlight w:val="none"/>
        </w:rPr>
        <w:br w:type="page"/>
      </w:r>
      <w:bookmarkStart w:id="332" w:name="_Toc59200727"/>
      <w:r>
        <w:rPr>
          <w:rFonts w:hint="eastAsia" w:ascii="宋体" w:hAnsi="宋体" w:eastAsia="宋体" w:cs="Times New Roman"/>
          <w:b/>
          <w:color w:val="auto"/>
          <w:sz w:val="32"/>
          <w:szCs w:val="20"/>
          <w:highlight w:val="none"/>
        </w:rPr>
        <w:t>八、其他资料</w:t>
      </w:r>
      <w:bookmarkEnd w:id="330"/>
      <w:bookmarkEnd w:id="331"/>
      <w:bookmarkEnd w:id="332"/>
    </w:p>
    <w:p w14:paraId="219FD55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p>
    <w:p w14:paraId="27F8AD1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投标人须知前附表规定的其他资料、投标人认为有必要提交的其他资料，格式自定。</w:t>
      </w:r>
    </w:p>
    <w:p w14:paraId="0102CD08">
      <w:pPr>
        <w:wordWrap w:val="0"/>
        <w:spacing w:line="360" w:lineRule="auto"/>
        <w:ind w:firstLine="424" w:firstLineChars="202"/>
        <w:rPr>
          <w:rFonts w:hint="eastAsia" w:ascii="宋体" w:hAnsi="宋体" w:eastAsia="宋体"/>
          <w:color w:val="auto"/>
          <w:highlight w:val="none"/>
        </w:rPr>
      </w:pPr>
    </w:p>
    <w:sectPr>
      <w:footerReference r:id="rId3" w:type="default"/>
      <w:pgSz w:w="11907" w:h="16839"/>
      <w:pgMar w:top="1440" w:right="1080" w:bottom="1440" w:left="1080" w:header="720" w:footer="720" w:gutter="0"/>
      <w:pgNumType w:start="1"/>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B032C">
    <w:pPr>
      <w:pStyle w:val="17"/>
      <w:jc w:val="center"/>
    </w:pPr>
    <w:r>
      <w:fldChar w:fldCharType="begin"/>
    </w:r>
    <w:r>
      <w:instrText xml:space="preserve"> PAGE   \* MERGEFORMAT </w:instrText>
    </w:r>
    <w:r>
      <w:fldChar w:fldCharType="separate"/>
    </w:r>
    <w:r>
      <w:rPr>
        <w:lang w:val="zh-CN"/>
      </w:rPr>
      <w:t>21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iN2M3ODYxMDgxNjJhZDcxOTU5NWI2YWFkZjNmZTAifQ=="/>
  </w:docVars>
  <w:rsids>
    <w:rsidRoot w:val="007F4BA1"/>
    <w:rsid w:val="0000331B"/>
    <w:rsid w:val="00007339"/>
    <w:rsid w:val="000171AF"/>
    <w:rsid w:val="0002059F"/>
    <w:rsid w:val="00021C5B"/>
    <w:rsid w:val="00083F4C"/>
    <w:rsid w:val="0009151C"/>
    <w:rsid w:val="00095FF6"/>
    <w:rsid w:val="000A4DDC"/>
    <w:rsid w:val="000B00E2"/>
    <w:rsid w:val="000D46FF"/>
    <w:rsid w:val="000F2841"/>
    <w:rsid w:val="000F7836"/>
    <w:rsid w:val="00111C5F"/>
    <w:rsid w:val="00114294"/>
    <w:rsid w:val="00120D0B"/>
    <w:rsid w:val="001228CE"/>
    <w:rsid w:val="00125230"/>
    <w:rsid w:val="00127E8C"/>
    <w:rsid w:val="00134435"/>
    <w:rsid w:val="00134E70"/>
    <w:rsid w:val="00136A0B"/>
    <w:rsid w:val="00145008"/>
    <w:rsid w:val="001548BC"/>
    <w:rsid w:val="00165388"/>
    <w:rsid w:val="00173683"/>
    <w:rsid w:val="0017575A"/>
    <w:rsid w:val="00180AB9"/>
    <w:rsid w:val="00181E2A"/>
    <w:rsid w:val="00184D9A"/>
    <w:rsid w:val="001960C3"/>
    <w:rsid w:val="001B74B0"/>
    <w:rsid w:val="001B7CF3"/>
    <w:rsid w:val="001D2E08"/>
    <w:rsid w:val="001D4DA9"/>
    <w:rsid w:val="001D7A0D"/>
    <w:rsid w:val="0021139D"/>
    <w:rsid w:val="002269E5"/>
    <w:rsid w:val="00247D80"/>
    <w:rsid w:val="00265058"/>
    <w:rsid w:val="002810FE"/>
    <w:rsid w:val="00286C7E"/>
    <w:rsid w:val="002A1A24"/>
    <w:rsid w:val="002B391D"/>
    <w:rsid w:val="00307BE4"/>
    <w:rsid w:val="003314DF"/>
    <w:rsid w:val="00335B25"/>
    <w:rsid w:val="00343956"/>
    <w:rsid w:val="00364534"/>
    <w:rsid w:val="00386106"/>
    <w:rsid w:val="003A0AE6"/>
    <w:rsid w:val="003B0524"/>
    <w:rsid w:val="003D2A05"/>
    <w:rsid w:val="003D6A9A"/>
    <w:rsid w:val="004017F7"/>
    <w:rsid w:val="004138C0"/>
    <w:rsid w:val="00420FED"/>
    <w:rsid w:val="00423750"/>
    <w:rsid w:val="004378A9"/>
    <w:rsid w:val="00472664"/>
    <w:rsid w:val="004747D1"/>
    <w:rsid w:val="00475B97"/>
    <w:rsid w:val="004B5446"/>
    <w:rsid w:val="004B69E6"/>
    <w:rsid w:val="004E4989"/>
    <w:rsid w:val="004F13DF"/>
    <w:rsid w:val="004F1530"/>
    <w:rsid w:val="004F33B5"/>
    <w:rsid w:val="004F7E69"/>
    <w:rsid w:val="00500CDF"/>
    <w:rsid w:val="00500F14"/>
    <w:rsid w:val="0050741A"/>
    <w:rsid w:val="00525074"/>
    <w:rsid w:val="0053632A"/>
    <w:rsid w:val="00566531"/>
    <w:rsid w:val="005671B9"/>
    <w:rsid w:val="005850D9"/>
    <w:rsid w:val="0059044B"/>
    <w:rsid w:val="005B017E"/>
    <w:rsid w:val="005C1A53"/>
    <w:rsid w:val="005C3B60"/>
    <w:rsid w:val="005D19D9"/>
    <w:rsid w:val="005E1BEC"/>
    <w:rsid w:val="005F1B76"/>
    <w:rsid w:val="005F6A61"/>
    <w:rsid w:val="0060535C"/>
    <w:rsid w:val="00606F7F"/>
    <w:rsid w:val="00611086"/>
    <w:rsid w:val="00641267"/>
    <w:rsid w:val="006535B2"/>
    <w:rsid w:val="006545AE"/>
    <w:rsid w:val="00656A8A"/>
    <w:rsid w:val="00661F1B"/>
    <w:rsid w:val="00661FC7"/>
    <w:rsid w:val="006621D4"/>
    <w:rsid w:val="00694E4C"/>
    <w:rsid w:val="006C74FE"/>
    <w:rsid w:val="006D6F25"/>
    <w:rsid w:val="006E59DA"/>
    <w:rsid w:val="00711AD4"/>
    <w:rsid w:val="007363BA"/>
    <w:rsid w:val="0075170B"/>
    <w:rsid w:val="007570C0"/>
    <w:rsid w:val="00771B22"/>
    <w:rsid w:val="00774623"/>
    <w:rsid w:val="00775E54"/>
    <w:rsid w:val="0079156F"/>
    <w:rsid w:val="007969E7"/>
    <w:rsid w:val="007A0B2B"/>
    <w:rsid w:val="007A7F7C"/>
    <w:rsid w:val="007D6A99"/>
    <w:rsid w:val="007E1A6F"/>
    <w:rsid w:val="007E1FC9"/>
    <w:rsid w:val="007E332A"/>
    <w:rsid w:val="007F0790"/>
    <w:rsid w:val="007F4BA1"/>
    <w:rsid w:val="00802A46"/>
    <w:rsid w:val="00803A09"/>
    <w:rsid w:val="00806919"/>
    <w:rsid w:val="00827689"/>
    <w:rsid w:val="00834A5A"/>
    <w:rsid w:val="0083727D"/>
    <w:rsid w:val="00847518"/>
    <w:rsid w:val="00847EE4"/>
    <w:rsid w:val="00853F24"/>
    <w:rsid w:val="0085423B"/>
    <w:rsid w:val="00857EB2"/>
    <w:rsid w:val="00864020"/>
    <w:rsid w:val="00872618"/>
    <w:rsid w:val="008A25C0"/>
    <w:rsid w:val="008A2717"/>
    <w:rsid w:val="008A6948"/>
    <w:rsid w:val="008E0608"/>
    <w:rsid w:val="008E5867"/>
    <w:rsid w:val="00907B84"/>
    <w:rsid w:val="00913C9F"/>
    <w:rsid w:val="009168F6"/>
    <w:rsid w:val="00941277"/>
    <w:rsid w:val="009419A6"/>
    <w:rsid w:val="00943C25"/>
    <w:rsid w:val="00952191"/>
    <w:rsid w:val="00963909"/>
    <w:rsid w:val="00967489"/>
    <w:rsid w:val="00983F95"/>
    <w:rsid w:val="00992593"/>
    <w:rsid w:val="00993484"/>
    <w:rsid w:val="00996A59"/>
    <w:rsid w:val="009A13F0"/>
    <w:rsid w:val="009A4A07"/>
    <w:rsid w:val="009B112F"/>
    <w:rsid w:val="009B197A"/>
    <w:rsid w:val="009F4AAE"/>
    <w:rsid w:val="00A1180D"/>
    <w:rsid w:val="00A36262"/>
    <w:rsid w:val="00A37FE9"/>
    <w:rsid w:val="00A4661F"/>
    <w:rsid w:val="00A701AC"/>
    <w:rsid w:val="00A91B88"/>
    <w:rsid w:val="00AD4D5E"/>
    <w:rsid w:val="00AE00C1"/>
    <w:rsid w:val="00AF1F0E"/>
    <w:rsid w:val="00AF3843"/>
    <w:rsid w:val="00B0350B"/>
    <w:rsid w:val="00B24487"/>
    <w:rsid w:val="00B31382"/>
    <w:rsid w:val="00B43F37"/>
    <w:rsid w:val="00B46E85"/>
    <w:rsid w:val="00B61984"/>
    <w:rsid w:val="00B662A6"/>
    <w:rsid w:val="00B71EBD"/>
    <w:rsid w:val="00B76364"/>
    <w:rsid w:val="00BB278D"/>
    <w:rsid w:val="00BB298C"/>
    <w:rsid w:val="00BC285B"/>
    <w:rsid w:val="00BF6902"/>
    <w:rsid w:val="00C02C09"/>
    <w:rsid w:val="00C16647"/>
    <w:rsid w:val="00C30463"/>
    <w:rsid w:val="00C40A63"/>
    <w:rsid w:val="00C717EC"/>
    <w:rsid w:val="00C97FBE"/>
    <w:rsid w:val="00CA0098"/>
    <w:rsid w:val="00CA5BF6"/>
    <w:rsid w:val="00CA5DDE"/>
    <w:rsid w:val="00CB6BFA"/>
    <w:rsid w:val="00CC176A"/>
    <w:rsid w:val="00CC6398"/>
    <w:rsid w:val="00CD57F3"/>
    <w:rsid w:val="00CD7024"/>
    <w:rsid w:val="00CE0D38"/>
    <w:rsid w:val="00D033CB"/>
    <w:rsid w:val="00D125E1"/>
    <w:rsid w:val="00D358DC"/>
    <w:rsid w:val="00D54080"/>
    <w:rsid w:val="00D705EF"/>
    <w:rsid w:val="00D81516"/>
    <w:rsid w:val="00D91915"/>
    <w:rsid w:val="00DA4E8D"/>
    <w:rsid w:val="00DB3BA9"/>
    <w:rsid w:val="00DC21C8"/>
    <w:rsid w:val="00DC3CCE"/>
    <w:rsid w:val="00DC7CAC"/>
    <w:rsid w:val="00DD17AE"/>
    <w:rsid w:val="00DF051E"/>
    <w:rsid w:val="00E015DC"/>
    <w:rsid w:val="00E03670"/>
    <w:rsid w:val="00E03911"/>
    <w:rsid w:val="00E1044D"/>
    <w:rsid w:val="00E17A77"/>
    <w:rsid w:val="00E24ADA"/>
    <w:rsid w:val="00E5034A"/>
    <w:rsid w:val="00E60D49"/>
    <w:rsid w:val="00E72741"/>
    <w:rsid w:val="00E75D78"/>
    <w:rsid w:val="00E835F0"/>
    <w:rsid w:val="00E93E5A"/>
    <w:rsid w:val="00E945FE"/>
    <w:rsid w:val="00E97FEF"/>
    <w:rsid w:val="00ED3A32"/>
    <w:rsid w:val="00ED50E4"/>
    <w:rsid w:val="00EE3321"/>
    <w:rsid w:val="00F01FED"/>
    <w:rsid w:val="00F32265"/>
    <w:rsid w:val="00F324EF"/>
    <w:rsid w:val="00F538C8"/>
    <w:rsid w:val="00F55524"/>
    <w:rsid w:val="00F613B8"/>
    <w:rsid w:val="00F751BE"/>
    <w:rsid w:val="00F84304"/>
    <w:rsid w:val="00F93D3B"/>
    <w:rsid w:val="00FB1764"/>
    <w:rsid w:val="00FB2FC0"/>
    <w:rsid w:val="00FB40A1"/>
    <w:rsid w:val="00FE1EEA"/>
    <w:rsid w:val="00FE5A4C"/>
    <w:rsid w:val="016B1ADB"/>
    <w:rsid w:val="037C672A"/>
    <w:rsid w:val="03BE360A"/>
    <w:rsid w:val="0442248D"/>
    <w:rsid w:val="05D038CB"/>
    <w:rsid w:val="061609A5"/>
    <w:rsid w:val="0B632EB5"/>
    <w:rsid w:val="0BBB1DAE"/>
    <w:rsid w:val="0BF17223"/>
    <w:rsid w:val="0F4216F5"/>
    <w:rsid w:val="0F841BEF"/>
    <w:rsid w:val="108610CD"/>
    <w:rsid w:val="118E7C18"/>
    <w:rsid w:val="11C90E3E"/>
    <w:rsid w:val="131851D8"/>
    <w:rsid w:val="136363FD"/>
    <w:rsid w:val="167C0C7E"/>
    <w:rsid w:val="17932B9A"/>
    <w:rsid w:val="1A51761E"/>
    <w:rsid w:val="1CA72AA1"/>
    <w:rsid w:val="1DFD7CD9"/>
    <w:rsid w:val="1E3165E2"/>
    <w:rsid w:val="1F240CB5"/>
    <w:rsid w:val="207F164D"/>
    <w:rsid w:val="267918E7"/>
    <w:rsid w:val="28FD7EA7"/>
    <w:rsid w:val="2B481888"/>
    <w:rsid w:val="2BFC2C9E"/>
    <w:rsid w:val="2CA87C66"/>
    <w:rsid w:val="2D6E3085"/>
    <w:rsid w:val="2DE95FFE"/>
    <w:rsid w:val="2FF13605"/>
    <w:rsid w:val="30A55C90"/>
    <w:rsid w:val="30EA5633"/>
    <w:rsid w:val="32036D43"/>
    <w:rsid w:val="32BF5156"/>
    <w:rsid w:val="330B68D9"/>
    <w:rsid w:val="342F6874"/>
    <w:rsid w:val="35BB3842"/>
    <w:rsid w:val="372B2BD8"/>
    <w:rsid w:val="387265D3"/>
    <w:rsid w:val="3B0A26F4"/>
    <w:rsid w:val="3C373AF7"/>
    <w:rsid w:val="3C4423F0"/>
    <w:rsid w:val="3D5C156D"/>
    <w:rsid w:val="4230334A"/>
    <w:rsid w:val="44424AC2"/>
    <w:rsid w:val="482030A8"/>
    <w:rsid w:val="48BF07A7"/>
    <w:rsid w:val="4F2F65F9"/>
    <w:rsid w:val="517A4E54"/>
    <w:rsid w:val="51EF417D"/>
    <w:rsid w:val="51F461E3"/>
    <w:rsid w:val="561F5757"/>
    <w:rsid w:val="576A3B68"/>
    <w:rsid w:val="58140FA9"/>
    <w:rsid w:val="58D029E9"/>
    <w:rsid w:val="5BE46549"/>
    <w:rsid w:val="616947AF"/>
    <w:rsid w:val="61CA2D38"/>
    <w:rsid w:val="657C0F07"/>
    <w:rsid w:val="662D353F"/>
    <w:rsid w:val="6673623C"/>
    <w:rsid w:val="667A1921"/>
    <w:rsid w:val="66FB4A0F"/>
    <w:rsid w:val="67AE6A57"/>
    <w:rsid w:val="68821661"/>
    <w:rsid w:val="696E029C"/>
    <w:rsid w:val="7033357E"/>
    <w:rsid w:val="70E8255C"/>
    <w:rsid w:val="752B6E97"/>
    <w:rsid w:val="77E32BF4"/>
    <w:rsid w:val="7AB1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33"/>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4"/>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5"/>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6"/>
    <w:unhideWhenUsed/>
    <w:qFormat/>
    <w:uiPriority w:val="0"/>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7"/>
    <w:unhideWhenUsed/>
    <w:qFormat/>
    <w:uiPriority w:val="0"/>
    <w:pPr>
      <w:keepNext/>
      <w:keepLines/>
      <w:spacing w:before="40"/>
      <w:outlineLvl w:val="5"/>
    </w:pPr>
    <w:rPr>
      <w:rFonts w:cstheme="majorBidi"/>
      <w:b/>
      <w:bCs/>
      <w:color w:val="104862" w:themeColor="accent1" w:themeShade="BF"/>
    </w:rPr>
  </w:style>
  <w:style w:type="paragraph" w:styleId="8">
    <w:name w:val="heading 7"/>
    <w:basedOn w:val="1"/>
    <w:next w:val="1"/>
    <w:link w:val="38"/>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9"/>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0"/>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unhideWhenUsed/>
    <w:qFormat/>
    <w:uiPriority w:val="0"/>
    <w:pPr>
      <w:ind w:firstLine="420" w:firstLineChars="200"/>
    </w:pPr>
    <w:rPr>
      <w:rFonts w:ascii="Times New Roman" w:hAnsi="Times New Roman" w:eastAsia="宋体" w:cs="Times New Roman"/>
    </w:rPr>
  </w:style>
  <w:style w:type="paragraph" w:styleId="12">
    <w:name w:val="annotation text"/>
    <w:basedOn w:val="1"/>
    <w:link w:val="61"/>
    <w:qFormat/>
    <w:uiPriority w:val="0"/>
    <w:pPr>
      <w:jc w:val="left"/>
    </w:pPr>
    <w:rPr>
      <w:rFonts w:ascii="Times New Roman" w:hAnsi="Times New Roman" w:eastAsia="宋体" w:cs="Times New Roman"/>
      <w:szCs w:val="20"/>
    </w:rPr>
  </w:style>
  <w:style w:type="paragraph" w:styleId="13">
    <w:name w:val="Body Text"/>
    <w:basedOn w:val="1"/>
    <w:link w:val="63"/>
    <w:qFormat/>
    <w:uiPriority w:val="0"/>
    <w:pPr>
      <w:spacing w:after="120"/>
    </w:pPr>
    <w:rPr>
      <w:rFonts w:ascii="Times New Roman" w:hAnsi="Times New Roman" w:eastAsia="宋体" w:cs="Times New Roman"/>
      <w:szCs w:val="20"/>
    </w:rPr>
  </w:style>
  <w:style w:type="paragraph" w:styleId="14">
    <w:name w:val="Body Text Indent"/>
    <w:basedOn w:val="1"/>
    <w:link w:val="65"/>
    <w:qFormat/>
    <w:uiPriority w:val="0"/>
    <w:pPr>
      <w:spacing w:after="120"/>
      <w:ind w:left="420" w:leftChars="200"/>
    </w:pPr>
    <w:rPr>
      <w:rFonts w:ascii="Times New Roman" w:hAnsi="Times New Roman" w:eastAsia="宋体" w:cs="Times New Roman"/>
    </w:rPr>
  </w:style>
  <w:style w:type="paragraph" w:styleId="15">
    <w:name w:val="Plain Text"/>
    <w:basedOn w:val="1"/>
    <w:link w:val="67"/>
    <w:qFormat/>
    <w:uiPriority w:val="0"/>
    <w:rPr>
      <w:rFonts w:ascii="等线" w:hAnsi="Courier New" w:eastAsia="等线" w:cs="Times New Roman"/>
      <w:color w:val="000000"/>
      <w:kern w:val="0"/>
    </w:rPr>
  </w:style>
  <w:style w:type="paragraph" w:styleId="16">
    <w:name w:val="Balloon Text"/>
    <w:basedOn w:val="1"/>
    <w:link w:val="69"/>
    <w:qFormat/>
    <w:uiPriority w:val="0"/>
    <w:rPr>
      <w:rFonts w:ascii="Times New Roman" w:hAnsi="Times New Roman" w:eastAsia="宋体" w:cs="Times New Roman"/>
      <w:sz w:val="18"/>
      <w:szCs w:val="20"/>
    </w:rPr>
  </w:style>
  <w:style w:type="paragraph" w:styleId="17">
    <w:name w:val="footer"/>
    <w:basedOn w:val="1"/>
    <w:link w:val="71"/>
    <w:qFormat/>
    <w:uiPriority w:val="0"/>
    <w:pPr>
      <w:tabs>
        <w:tab w:val="center" w:pos="4153"/>
        <w:tab w:val="right" w:pos="8306"/>
      </w:tabs>
      <w:snapToGrid w:val="0"/>
      <w:jc w:val="left"/>
    </w:pPr>
    <w:rPr>
      <w:rFonts w:ascii="Calibri" w:hAnsi="Calibri" w:eastAsia="宋体" w:cs="Times New Roman"/>
      <w:sz w:val="22"/>
      <w:szCs w:val="20"/>
    </w:rPr>
  </w:style>
  <w:style w:type="paragraph" w:styleId="18">
    <w:name w:val="header"/>
    <w:basedOn w:val="1"/>
    <w:link w:val="73"/>
    <w:qFormat/>
    <w:uiPriority w:val="0"/>
    <w:pPr>
      <w:tabs>
        <w:tab w:val="center" w:pos="4153"/>
        <w:tab w:val="right" w:pos="8306"/>
      </w:tabs>
      <w:snapToGrid w:val="0"/>
    </w:pPr>
    <w:rPr>
      <w:rFonts w:ascii="Times New Roman" w:hAnsi="Times New Roman" w:eastAsia="宋体" w:cs="Times New Roman"/>
      <w:sz w:val="18"/>
      <w:szCs w:val="20"/>
    </w:rPr>
  </w:style>
  <w:style w:type="paragraph" w:styleId="19">
    <w:name w:val="Subtitle"/>
    <w:basedOn w:val="1"/>
    <w:next w:val="1"/>
    <w:link w:val="4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itle"/>
    <w:basedOn w:val="1"/>
    <w:next w:val="1"/>
    <w:link w:val="41"/>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2"/>
    <w:next w:val="12"/>
    <w:link w:val="76"/>
    <w:qFormat/>
    <w:uiPriority w:val="0"/>
    <w:rPr>
      <w:b/>
      <w:bCs/>
      <w:szCs w:val="22"/>
    </w:rPr>
  </w:style>
  <w:style w:type="paragraph" w:styleId="22">
    <w:name w:val="Body Text First Indent"/>
    <w:basedOn w:val="13"/>
    <w:link w:val="141"/>
    <w:qFormat/>
    <w:uiPriority w:val="0"/>
    <w:pPr>
      <w:ind w:firstLine="420" w:firstLineChars="100"/>
    </w:pPr>
    <w:rPr>
      <w:rFonts w:ascii="Calibri" w:hAnsi="Calibri"/>
      <w:szCs w:val="22"/>
    </w:rPr>
  </w:style>
  <w:style w:type="paragraph" w:styleId="23">
    <w:name w:val="Body Text First Indent 2"/>
    <w:basedOn w:val="14"/>
    <w:link w:val="140"/>
    <w:semiHidden/>
    <w:unhideWhenUsed/>
    <w:qFormat/>
    <w:uiPriority w:val="99"/>
    <w:pPr>
      <w:ind w:firstLine="420" w:firstLineChars="200"/>
    </w:pPr>
    <w:rPr>
      <w:rFonts w:ascii="等线" w:hAnsi="等线" w:eastAsia="等线"/>
    </w:rPr>
  </w:style>
  <w:style w:type="table" w:styleId="25">
    <w:name w:val="Table Grid"/>
    <w:basedOn w:val="2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rPr>
  </w:style>
  <w:style w:type="character" w:styleId="28">
    <w:name w:val="page number"/>
    <w:qFormat/>
    <w:uiPriority w:val="0"/>
    <w:rPr>
      <w:rFonts w:cs="Times New Roman"/>
      <w:lang w:bidi="ar-SA"/>
    </w:rPr>
  </w:style>
  <w:style w:type="character" w:styleId="29">
    <w:name w:val="Hyperlink"/>
    <w:qFormat/>
    <w:uiPriority w:val="99"/>
    <w:rPr>
      <w:rFonts w:cs="Times New Roman"/>
      <w:color w:val="0000FF"/>
      <w:u w:val="single"/>
    </w:rPr>
  </w:style>
  <w:style w:type="character" w:styleId="30">
    <w:name w:val="annotation reference"/>
    <w:qFormat/>
    <w:uiPriority w:val="0"/>
    <w:rPr>
      <w:sz w:val="21"/>
      <w:szCs w:val="21"/>
    </w:rPr>
  </w:style>
  <w:style w:type="character" w:styleId="31">
    <w:name w:val="footnote reference"/>
    <w:qFormat/>
    <w:uiPriority w:val="0"/>
    <w:rPr>
      <w:rFonts w:cs="Times New Roman"/>
      <w:vertAlign w:val="superscript"/>
    </w:rPr>
  </w:style>
  <w:style w:type="character" w:customStyle="1" w:styleId="32">
    <w:name w:val="标题 1 字符"/>
    <w:basedOn w:val="26"/>
    <w:link w:val="3"/>
    <w:qFormat/>
    <w:uiPriority w:val="9"/>
    <w:rPr>
      <w:rFonts w:asciiTheme="majorHAnsi" w:hAnsiTheme="majorHAnsi" w:eastAsiaTheme="majorEastAsia" w:cstheme="majorBidi"/>
      <w:color w:val="104862" w:themeColor="accent1" w:themeShade="BF"/>
      <w:sz w:val="48"/>
      <w:szCs w:val="48"/>
    </w:rPr>
  </w:style>
  <w:style w:type="character" w:customStyle="1" w:styleId="33">
    <w:name w:val="标题 2 字符"/>
    <w:basedOn w:val="26"/>
    <w:link w:val="2"/>
    <w:semiHidden/>
    <w:qFormat/>
    <w:uiPriority w:val="9"/>
    <w:rPr>
      <w:rFonts w:asciiTheme="majorHAnsi" w:hAnsiTheme="majorHAnsi" w:eastAsiaTheme="majorEastAsia" w:cstheme="majorBidi"/>
      <w:color w:val="104862" w:themeColor="accent1" w:themeShade="BF"/>
      <w:sz w:val="40"/>
      <w:szCs w:val="40"/>
    </w:rPr>
  </w:style>
  <w:style w:type="character" w:customStyle="1" w:styleId="34">
    <w:name w:val="标题 3 字符"/>
    <w:basedOn w:val="2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5">
    <w:name w:val="标题 4 字符"/>
    <w:basedOn w:val="26"/>
    <w:link w:val="5"/>
    <w:semiHidden/>
    <w:qFormat/>
    <w:uiPriority w:val="9"/>
    <w:rPr>
      <w:rFonts w:cstheme="majorBidi"/>
      <w:color w:val="104862" w:themeColor="accent1" w:themeShade="BF"/>
      <w:sz w:val="28"/>
      <w:szCs w:val="28"/>
    </w:rPr>
  </w:style>
  <w:style w:type="character" w:customStyle="1" w:styleId="36">
    <w:name w:val="标题 5 字符"/>
    <w:basedOn w:val="26"/>
    <w:link w:val="6"/>
    <w:semiHidden/>
    <w:qFormat/>
    <w:uiPriority w:val="9"/>
    <w:rPr>
      <w:rFonts w:cstheme="majorBidi"/>
      <w:color w:val="104862" w:themeColor="accent1" w:themeShade="BF"/>
      <w:sz w:val="24"/>
      <w:szCs w:val="24"/>
    </w:rPr>
  </w:style>
  <w:style w:type="character" w:customStyle="1" w:styleId="37">
    <w:name w:val="标题 6 字符"/>
    <w:basedOn w:val="26"/>
    <w:link w:val="7"/>
    <w:semiHidden/>
    <w:qFormat/>
    <w:uiPriority w:val="9"/>
    <w:rPr>
      <w:rFonts w:cstheme="majorBidi"/>
      <w:b/>
      <w:bCs/>
      <w:color w:val="104862" w:themeColor="accent1" w:themeShade="BF"/>
    </w:rPr>
  </w:style>
  <w:style w:type="character" w:customStyle="1" w:styleId="38">
    <w:name w:val="标题 7 字符"/>
    <w:basedOn w:val="2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9">
    <w:name w:val="标题 8 字符"/>
    <w:basedOn w:val="2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0">
    <w:name w:val="标题 9 字符"/>
    <w:basedOn w:val="2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1">
    <w:name w:val="标题 字符"/>
    <w:basedOn w:val="26"/>
    <w:link w:val="20"/>
    <w:qFormat/>
    <w:uiPriority w:val="10"/>
    <w:rPr>
      <w:rFonts w:asciiTheme="majorHAnsi" w:hAnsiTheme="majorHAnsi" w:eastAsiaTheme="majorEastAsia" w:cstheme="majorBidi"/>
      <w:spacing w:val="-10"/>
      <w:kern w:val="28"/>
      <w:sz w:val="56"/>
      <w:szCs w:val="56"/>
    </w:rPr>
  </w:style>
  <w:style w:type="character" w:customStyle="1" w:styleId="42">
    <w:name w:val="副标题 字符"/>
    <w:basedOn w:val="26"/>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引用 字符"/>
    <w:basedOn w:val="26"/>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34"/>
    <w:pPr>
      <w:ind w:left="720"/>
      <w:contextualSpacing/>
    </w:pPr>
  </w:style>
  <w:style w:type="character" w:customStyle="1" w:styleId="46">
    <w:name w:val="明显强调1"/>
    <w:basedOn w:val="26"/>
    <w:qFormat/>
    <w:uiPriority w:val="21"/>
    <w:rPr>
      <w:i/>
      <w:iCs/>
      <w:color w:val="104862" w:themeColor="accent1" w:themeShade="BF"/>
    </w:rPr>
  </w:style>
  <w:style w:type="paragraph" w:styleId="47">
    <w:name w:val="Intense Quote"/>
    <w:basedOn w:val="1"/>
    <w:next w:val="1"/>
    <w:link w:val="4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8">
    <w:name w:val="明显引用 字符"/>
    <w:basedOn w:val="26"/>
    <w:link w:val="47"/>
    <w:qFormat/>
    <w:uiPriority w:val="30"/>
    <w:rPr>
      <w:i/>
      <w:iCs/>
      <w:color w:val="104862" w:themeColor="accent1" w:themeShade="BF"/>
    </w:rPr>
  </w:style>
  <w:style w:type="character" w:customStyle="1" w:styleId="49">
    <w:name w:val="明显参考1"/>
    <w:basedOn w:val="26"/>
    <w:qFormat/>
    <w:uiPriority w:val="32"/>
    <w:rPr>
      <w:b/>
      <w:bCs/>
      <w:smallCaps/>
      <w:color w:val="104862" w:themeColor="accent1" w:themeShade="BF"/>
      <w:spacing w:val="5"/>
    </w:rPr>
  </w:style>
  <w:style w:type="character" w:customStyle="1" w:styleId="50">
    <w:name w:val="标题 1 字符1"/>
    <w:qFormat/>
    <w:uiPriority w:val="0"/>
    <w:rPr>
      <w:rFonts w:ascii="Times New Roman" w:hAnsi="Times New Roman" w:eastAsia="宋体"/>
      <w:b/>
      <w:kern w:val="44"/>
      <w:sz w:val="44"/>
    </w:rPr>
  </w:style>
  <w:style w:type="character" w:customStyle="1" w:styleId="51">
    <w:name w:val="标题 2 字符1"/>
    <w:qFormat/>
    <w:uiPriority w:val="0"/>
    <w:rPr>
      <w:rFonts w:ascii="宋体" w:hAnsi="宋体" w:eastAsia="宋体"/>
      <w:b/>
      <w:kern w:val="2"/>
      <w:sz w:val="32"/>
    </w:rPr>
  </w:style>
  <w:style w:type="character" w:customStyle="1" w:styleId="52">
    <w:name w:val="标题 3 字符1"/>
    <w:qFormat/>
    <w:uiPriority w:val="0"/>
    <w:rPr>
      <w:rFonts w:ascii="宋体" w:hAnsi="宋体" w:eastAsia="宋体"/>
      <w:b/>
      <w:kern w:val="2"/>
      <w:sz w:val="28"/>
    </w:rPr>
  </w:style>
  <w:style w:type="character" w:customStyle="1" w:styleId="53">
    <w:name w:val="标题 4 字符1"/>
    <w:qFormat/>
    <w:uiPriority w:val="0"/>
    <w:rPr>
      <w:rFonts w:ascii="宋体" w:hAnsi="宋体" w:eastAsia="宋体"/>
      <w:b/>
      <w:kern w:val="2"/>
      <w:sz w:val="28"/>
      <w:szCs w:val="28"/>
    </w:rPr>
  </w:style>
  <w:style w:type="character" w:customStyle="1" w:styleId="54">
    <w:name w:val="标题 5 字符1"/>
    <w:qFormat/>
    <w:uiPriority w:val="0"/>
    <w:rPr>
      <w:rFonts w:ascii="Times New Roman" w:hAnsi="Times New Roman" w:eastAsia="宋体"/>
      <w:b/>
      <w:kern w:val="2"/>
      <w:sz w:val="28"/>
    </w:rPr>
  </w:style>
  <w:style w:type="character" w:customStyle="1" w:styleId="55">
    <w:name w:val="标题 6 字符1"/>
    <w:qFormat/>
    <w:uiPriority w:val="0"/>
    <w:rPr>
      <w:rFonts w:ascii="Arial" w:hAnsi="Arial" w:eastAsia="黑体"/>
      <w:b/>
      <w:sz w:val="24"/>
    </w:rPr>
  </w:style>
  <w:style w:type="character" w:customStyle="1" w:styleId="56">
    <w:name w:val="标题 7 字符1"/>
    <w:qFormat/>
    <w:uiPriority w:val="0"/>
    <w:rPr>
      <w:rFonts w:ascii="Times New Roman" w:hAnsi="Times New Roman" w:eastAsia="宋体"/>
      <w:b/>
      <w:sz w:val="24"/>
    </w:rPr>
  </w:style>
  <w:style w:type="character" w:customStyle="1" w:styleId="57">
    <w:name w:val="标题 8 字符1"/>
    <w:qFormat/>
    <w:uiPriority w:val="0"/>
    <w:rPr>
      <w:rFonts w:ascii="Arial" w:hAnsi="Arial" w:eastAsia="黑体"/>
      <w:sz w:val="24"/>
    </w:rPr>
  </w:style>
  <w:style w:type="character" w:customStyle="1" w:styleId="58">
    <w:name w:val="标题 9 字符1"/>
    <w:qFormat/>
    <w:uiPriority w:val="0"/>
    <w:rPr>
      <w:rFonts w:ascii="Arial" w:hAnsi="Arial" w:eastAsia="黑体"/>
      <w:sz w:val="21"/>
    </w:rPr>
  </w:style>
  <w:style w:type="paragraph" w:customStyle="1" w:styleId="59">
    <w:name w:val="_Style 41"/>
    <w:basedOn w:val="14"/>
    <w:next w:val="23"/>
    <w:link w:val="77"/>
    <w:qFormat/>
    <w:uiPriority w:val="0"/>
    <w:pPr>
      <w:ind w:firstLine="420" w:firstLineChars="200"/>
    </w:pPr>
    <w:rPr>
      <w:kern w:val="0"/>
      <w:sz w:val="20"/>
      <w:szCs w:val="20"/>
    </w:rPr>
  </w:style>
  <w:style w:type="character" w:customStyle="1" w:styleId="60">
    <w:name w:val="批注文字 字符"/>
    <w:basedOn w:val="26"/>
    <w:semiHidden/>
    <w:qFormat/>
    <w:uiPriority w:val="99"/>
  </w:style>
  <w:style w:type="character" w:customStyle="1" w:styleId="61">
    <w:name w:val="批注文字 字符1"/>
    <w:link w:val="12"/>
    <w:qFormat/>
    <w:uiPriority w:val="0"/>
    <w:rPr>
      <w:rFonts w:ascii="Times New Roman" w:hAnsi="Times New Roman" w:eastAsia="宋体" w:cs="Times New Roman"/>
      <w:szCs w:val="20"/>
    </w:rPr>
  </w:style>
  <w:style w:type="character" w:customStyle="1" w:styleId="62">
    <w:name w:val="正文文本 字符"/>
    <w:basedOn w:val="26"/>
    <w:semiHidden/>
    <w:qFormat/>
    <w:uiPriority w:val="99"/>
  </w:style>
  <w:style w:type="character" w:customStyle="1" w:styleId="63">
    <w:name w:val="正文文本 字符1"/>
    <w:link w:val="13"/>
    <w:qFormat/>
    <w:uiPriority w:val="0"/>
    <w:rPr>
      <w:rFonts w:ascii="Times New Roman" w:hAnsi="Times New Roman" w:eastAsia="宋体" w:cs="Times New Roman"/>
      <w:szCs w:val="20"/>
    </w:rPr>
  </w:style>
  <w:style w:type="character" w:customStyle="1" w:styleId="64">
    <w:name w:val="正文文本缩进 字符"/>
    <w:basedOn w:val="26"/>
    <w:semiHidden/>
    <w:qFormat/>
    <w:uiPriority w:val="99"/>
  </w:style>
  <w:style w:type="character" w:customStyle="1" w:styleId="65">
    <w:name w:val="正文文本缩进 字符1"/>
    <w:link w:val="14"/>
    <w:qFormat/>
    <w:uiPriority w:val="0"/>
    <w:rPr>
      <w:rFonts w:ascii="Times New Roman" w:hAnsi="Times New Roman" w:eastAsia="宋体" w:cs="Times New Roman"/>
    </w:rPr>
  </w:style>
  <w:style w:type="character" w:customStyle="1" w:styleId="66">
    <w:name w:val="纯文本 字符"/>
    <w:basedOn w:val="26"/>
    <w:semiHidden/>
    <w:qFormat/>
    <w:uiPriority w:val="99"/>
    <w:rPr>
      <w:rFonts w:hAnsi="Courier New" w:cs="Courier New" w:asciiTheme="minorEastAsia"/>
    </w:rPr>
  </w:style>
  <w:style w:type="character" w:customStyle="1" w:styleId="67">
    <w:name w:val="纯文本 字符1"/>
    <w:link w:val="15"/>
    <w:qFormat/>
    <w:uiPriority w:val="0"/>
    <w:rPr>
      <w:rFonts w:ascii="等线" w:hAnsi="Courier New" w:eastAsia="等线" w:cs="Times New Roman"/>
      <w:color w:val="000000"/>
      <w:kern w:val="0"/>
    </w:rPr>
  </w:style>
  <w:style w:type="character" w:customStyle="1" w:styleId="68">
    <w:name w:val="批注框文本 字符"/>
    <w:basedOn w:val="26"/>
    <w:semiHidden/>
    <w:qFormat/>
    <w:uiPriority w:val="99"/>
    <w:rPr>
      <w:sz w:val="18"/>
      <w:szCs w:val="18"/>
    </w:rPr>
  </w:style>
  <w:style w:type="character" w:customStyle="1" w:styleId="69">
    <w:name w:val="批注框文本 字符1"/>
    <w:link w:val="16"/>
    <w:qFormat/>
    <w:uiPriority w:val="0"/>
    <w:rPr>
      <w:rFonts w:ascii="Times New Roman" w:hAnsi="Times New Roman" w:eastAsia="宋体" w:cs="Times New Roman"/>
      <w:sz w:val="18"/>
      <w:szCs w:val="20"/>
    </w:rPr>
  </w:style>
  <w:style w:type="character" w:customStyle="1" w:styleId="70">
    <w:name w:val="页脚 字符"/>
    <w:basedOn w:val="26"/>
    <w:semiHidden/>
    <w:qFormat/>
    <w:uiPriority w:val="99"/>
    <w:rPr>
      <w:sz w:val="18"/>
      <w:szCs w:val="18"/>
    </w:rPr>
  </w:style>
  <w:style w:type="character" w:customStyle="1" w:styleId="71">
    <w:name w:val="页脚 字符1"/>
    <w:link w:val="17"/>
    <w:qFormat/>
    <w:uiPriority w:val="0"/>
    <w:rPr>
      <w:rFonts w:ascii="Calibri" w:hAnsi="Calibri" w:eastAsia="宋体" w:cs="Times New Roman"/>
      <w:sz w:val="22"/>
      <w:szCs w:val="20"/>
    </w:rPr>
  </w:style>
  <w:style w:type="character" w:customStyle="1" w:styleId="72">
    <w:name w:val="页眉 字符"/>
    <w:basedOn w:val="26"/>
    <w:semiHidden/>
    <w:qFormat/>
    <w:uiPriority w:val="99"/>
    <w:rPr>
      <w:sz w:val="18"/>
      <w:szCs w:val="18"/>
    </w:rPr>
  </w:style>
  <w:style w:type="character" w:customStyle="1" w:styleId="73">
    <w:name w:val="页眉 字符1"/>
    <w:link w:val="18"/>
    <w:qFormat/>
    <w:uiPriority w:val="0"/>
    <w:rPr>
      <w:rFonts w:ascii="Times New Roman" w:hAnsi="Times New Roman" w:eastAsia="宋体" w:cs="Times New Roman"/>
      <w:sz w:val="18"/>
      <w:szCs w:val="20"/>
    </w:rPr>
  </w:style>
  <w:style w:type="character" w:customStyle="1" w:styleId="74">
    <w:name w:val="标题 字符1"/>
    <w:qFormat/>
    <w:uiPriority w:val="0"/>
    <w:rPr>
      <w:rFonts w:ascii="Arial" w:hAnsi="Arial" w:eastAsia="宋体"/>
      <w:b/>
      <w:sz w:val="32"/>
    </w:rPr>
  </w:style>
  <w:style w:type="character" w:customStyle="1" w:styleId="75">
    <w:name w:val="批注主题 字符"/>
    <w:basedOn w:val="60"/>
    <w:semiHidden/>
    <w:qFormat/>
    <w:uiPriority w:val="99"/>
    <w:rPr>
      <w:b/>
      <w:bCs/>
    </w:rPr>
  </w:style>
  <w:style w:type="character" w:customStyle="1" w:styleId="76">
    <w:name w:val="批注主题 字符1"/>
    <w:link w:val="21"/>
    <w:qFormat/>
    <w:uiPriority w:val="0"/>
    <w:rPr>
      <w:rFonts w:ascii="Times New Roman" w:hAnsi="Times New Roman" w:eastAsia="宋体" w:cs="Times New Roman"/>
      <w:b/>
      <w:bCs/>
    </w:rPr>
  </w:style>
  <w:style w:type="character" w:customStyle="1" w:styleId="77">
    <w:name w:val="正文首行缩进 2 字符1"/>
    <w:link w:val="59"/>
    <w:qFormat/>
    <w:uiPriority w:val="0"/>
    <w:rPr>
      <w:rFonts w:ascii="Times New Roman" w:hAnsi="Times New Roman" w:eastAsia="宋体"/>
    </w:rPr>
  </w:style>
  <w:style w:type="character" w:customStyle="1" w:styleId="78">
    <w:name w:val="正文首行缩进 2 字符"/>
    <w:semiHidden/>
    <w:qFormat/>
    <w:uiPriority w:val="99"/>
  </w:style>
  <w:style w:type="paragraph" w:customStyle="1" w:styleId="7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0">
    <w:name w:val="标题 5 Char Char"/>
    <w:qFormat/>
    <w:uiPriority w:val="0"/>
    <w:rPr>
      <w:rFonts w:eastAsia="宋体"/>
      <w:b/>
      <w:kern w:val="2"/>
      <w:sz w:val="28"/>
    </w:rPr>
  </w:style>
  <w:style w:type="character" w:customStyle="1" w:styleId="81">
    <w:name w:val="Body Text First Indent Char Char"/>
    <w:link w:val="82"/>
    <w:qFormat/>
    <w:uiPriority w:val="0"/>
    <w:rPr>
      <w:sz w:val="24"/>
    </w:rPr>
  </w:style>
  <w:style w:type="paragraph" w:customStyle="1" w:styleId="82">
    <w:name w:val="正文文本首行缩进1"/>
    <w:basedOn w:val="13"/>
    <w:link w:val="81"/>
    <w:qFormat/>
    <w:uiPriority w:val="0"/>
    <w:pPr>
      <w:spacing w:line="312" w:lineRule="auto"/>
      <w:ind w:firstLine="420"/>
    </w:pPr>
    <w:rPr>
      <w:rFonts w:asciiTheme="minorHAnsi" w:hAnsiTheme="minorHAnsi" w:eastAsiaTheme="minorEastAsia" w:cstheme="minorBidi"/>
      <w:sz w:val="24"/>
      <w:szCs w:val="22"/>
    </w:rPr>
  </w:style>
  <w:style w:type="character" w:customStyle="1" w:styleId="83">
    <w:name w:val="style_kwd"/>
    <w:qFormat/>
    <w:uiPriority w:val="0"/>
  </w:style>
  <w:style w:type="character" w:customStyle="1" w:styleId="84">
    <w:name w:val="Document Map Char Char"/>
    <w:link w:val="85"/>
    <w:qFormat/>
    <w:uiPriority w:val="0"/>
    <w:rPr>
      <w:rFonts w:ascii="宋体" w:hAnsi="Calibri"/>
      <w:sz w:val="18"/>
    </w:rPr>
  </w:style>
  <w:style w:type="paragraph" w:customStyle="1" w:styleId="85">
    <w:name w:val="文档结构图1"/>
    <w:basedOn w:val="1"/>
    <w:link w:val="84"/>
    <w:qFormat/>
    <w:uiPriority w:val="0"/>
    <w:rPr>
      <w:rFonts w:ascii="宋体" w:hAnsi="Calibri"/>
      <w:sz w:val="18"/>
    </w:rPr>
  </w:style>
  <w:style w:type="character" w:customStyle="1" w:styleId="86">
    <w:name w:val="正文文本 Char Char"/>
    <w:qFormat/>
    <w:uiPriority w:val="0"/>
    <w:rPr>
      <w:rFonts w:eastAsia="宋体"/>
      <w:kern w:val="2"/>
      <w:sz w:val="24"/>
      <w:lang w:val="en-US" w:eastAsia="zh-CN"/>
    </w:rPr>
  </w:style>
  <w:style w:type="character" w:customStyle="1" w:styleId="87">
    <w:name w:val="页码1"/>
    <w:qFormat/>
    <w:uiPriority w:val="0"/>
    <w:rPr>
      <w:rFonts w:cs="Times New Roman"/>
    </w:rPr>
  </w:style>
  <w:style w:type="character" w:customStyle="1" w:styleId="88">
    <w:name w:val="Date Char Char"/>
    <w:link w:val="89"/>
    <w:qFormat/>
    <w:uiPriority w:val="0"/>
  </w:style>
  <w:style w:type="paragraph" w:customStyle="1" w:styleId="89">
    <w:name w:val="日期1"/>
    <w:basedOn w:val="1"/>
    <w:next w:val="1"/>
    <w:link w:val="88"/>
    <w:qFormat/>
    <w:uiPriority w:val="0"/>
    <w:pPr>
      <w:ind w:left="2500" w:leftChars="2500"/>
    </w:pPr>
  </w:style>
  <w:style w:type="character" w:customStyle="1" w:styleId="90">
    <w:name w:val="Comment Subject Char"/>
    <w:link w:val="91"/>
    <w:qFormat/>
    <w:uiPriority w:val="0"/>
  </w:style>
  <w:style w:type="paragraph" w:customStyle="1" w:styleId="91">
    <w:name w:val="批注主题1"/>
    <w:basedOn w:val="12"/>
    <w:next w:val="12"/>
    <w:link w:val="90"/>
    <w:qFormat/>
    <w:uiPriority w:val="0"/>
    <w:rPr>
      <w:rFonts w:asciiTheme="minorHAnsi" w:hAnsiTheme="minorHAnsi" w:eastAsiaTheme="minorEastAsia" w:cstheme="minorBidi"/>
      <w:szCs w:val="22"/>
    </w:rPr>
  </w:style>
  <w:style w:type="character" w:customStyle="1" w:styleId="92">
    <w:name w:val="Body Text 3 Char Char"/>
    <w:link w:val="93"/>
    <w:qFormat/>
    <w:uiPriority w:val="0"/>
    <w:rPr>
      <w:rFonts w:ascii="宋体" w:hAnsi="Calibri"/>
      <w:sz w:val="24"/>
    </w:rPr>
  </w:style>
  <w:style w:type="paragraph" w:customStyle="1" w:styleId="93">
    <w:name w:val="正文文本 31"/>
    <w:basedOn w:val="1"/>
    <w:link w:val="92"/>
    <w:qFormat/>
    <w:uiPriority w:val="0"/>
    <w:rPr>
      <w:rFonts w:ascii="宋体" w:hAnsi="Calibri"/>
      <w:sz w:val="24"/>
    </w:rPr>
  </w:style>
  <w:style w:type="character" w:customStyle="1" w:styleId="94">
    <w:name w:val="正文首行缩进 Char1"/>
    <w:qFormat/>
    <w:uiPriority w:val="0"/>
    <w:rPr>
      <w:rFonts w:eastAsia="宋体"/>
      <w:kern w:val="2"/>
      <w:sz w:val="21"/>
    </w:rPr>
  </w:style>
  <w:style w:type="character" w:customStyle="1" w:styleId="95">
    <w:name w:val="文一 Char Char"/>
    <w:link w:val="96"/>
    <w:qFormat/>
    <w:uiPriority w:val="0"/>
    <w:rPr>
      <w:spacing w:val="4"/>
      <w:sz w:val="24"/>
    </w:rPr>
  </w:style>
  <w:style w:type="paragraph" w:customStyle="1" w:styleId="96">
    <w:name w:val="文一"/>
    <w:basedOn w:val="1"/>
    <w:link w:val="95"/>
    <w:qFormat/>
    <w:uiPriority w:val="0"/>
    <w:pPr>
      <w:topLinePunct/>
      <w:adjustRightInd w:val="0"/>
      <w:snapToGrid w:val="0"/>
      <w:spacing w:line="360" w:lineRule="auto"/>
      <w:ind w:firstLine="200" w:firstLineChars="200"/>
    </w:pPr>
    <w:rPr>
      <w:spacing w:val="4"/>
      <w:sz w:val="24"/>
    </w:rPr>
  </w:style>
  <w:style w:type="character" w:customStyle="1" w:styleId="97">
    <w:name w:val="Body Text Indent 3 Char Char"/>
    <w:link w:val="98"/>
    <w:qFormat/>
    <w:uiPriority w:val="0"/>
    <w:rPr>
      <w:rFonts w:ascii="Calibri" w:hAnsi="Calibri"/>
      <w:sz w:val="16"/>
    </w:rPr>
  </w:style>
  <w:style w:type="paragraph" w:customStyle="1" w:styleId="98">
    <w:name w:val="正文文本缩进 31"/>
    <w:basedOn w:val="1"/>
    <w:link w:val="97"/>
    <w:qFormat/>
    <w:uiPriority w:val="0"/>
    <w:pPr>
      <w:spacing w:after="120"/>
      <w:ind w:left="200" w:leftChars="200"/>
    </w:pPr>
    <w:rPr>
      <w:rFonts w:ascii="Calibri" w:hAnsi="Calibri"/>
      <w:sz w:val="16"/>
    </w:rPr>
  </w:style>
  <w:style w:type="character" w:customStyle="1" w:styleId="99">
    <w:name w:val="Comment Text Char"/>
    <w:qFormat/>
    <w:uiPriority w:val="0"/>
    <w:rPr>
      <w:rFonts w:cs="Times New Roman"/>
    </w:rPr>
  </w:style>
  <w:style w:type="character" w:customStyle="1" w:styleId="100">
    <w:name w:val="Body Text Indent Char Char"/>
    <w:link w:val="101"/>
    <w:qFormat/>
    <w:uiPriority w:val="0"/>
  </w:style>
  <w:style w:type="paragraph" w:customStyle="1" w:styleId="101">
    <w:name w:val="正文文本缩进1"/>
    <w:basedOn w:val="1"/>
    <w:link w:val="100"/>
    <w:qFormat/>
    <w:uiPriority w:val="0"/>
    <w:pPr>
      <w:spacing w:after="120"/>
      <w:ind w:left="420" w:leftChars="200"/>
    </w:pPr>
  </w:style>
  <w:style w:type="character" w:customStyle="1" w:styleId="102">
    <w:name w:val="font161"/>
    <w:qFormat/>
    <w:uiPriority w:val="0"/>
    <w:rPr>
      <w:b/>
      <w:sz w:val="32"/>
    </w:rPr>
  </w:style>
  <w:style w:type="character" w:customStyle="1" w:styleId="103">
    <w:name w:val="Plain Text Char Char"/>
    <w:link w:val="104"/>
    <w:qFormat/>
    <w:uiPriority w:val="0"/>
    <w:rPr>
      <w:rFonts w:ascii="宋体" w:hAnsi="Calibri"/>
      <w:sz w:val="22"/>
    </w:rPr>
  </w:style>
  <w:style w:type="paragraph" w:customStyle="1" w:styleId="104">
    <w:name w:val="纯文本1"/>
    <w:basedOn w:val="1"/>
    <w:link w:val="103"/>
    <w:qFormat/>
    <w:uiPriority w:val="0"/>
    <w:rPr>
      <w:rFonts w:ascii="宋体" w:hAnsi="Calibri"/>
      <w:sz w:val="22"/>
    </w:rPr>
  </w:style>
  <w:style w:type="character" w:customStyle="1" w:styleId="105">
    <w:name w:val="页脚 Char Char"/>
    <w:qFormat/>
    <w:uiPriority w:val="0"/>
    <w:rPr>
      <w:rFonts w:ascii="Calibri" w:hAnsi="Calibri" w:eastAsia="宋体"/>
      <w:kern w:val="2"/>
      <w:sz w:val="22"/>
    </w:rPr>
  </w:style>
  <w:style w:type="character" w:customStyle="1" w:styleId="106">
    <w:name w:val="批注文字 Char1"/>
    <w:qFormat/>
    <w:uiPriority w:val="0"/>
    <w:rPr>
      <w:rFonts w:ascii="Times New Roman" w:hAnsi="Times New Roman" w:eastAsia="宋体"/>
      <w:sz w:val="20"/>
    </w:rPr>
  </w:style>
  <w:style w:type="character" w:customStyle="1" w:styleId="107">
    <w:name w:val="批注文字 Char2"/>
    <w:qFormat/>
    <w:uiPriority w:val="0"/>
    <w:rPr>
      <w:rFonts w:ascii="Times New Roman" w:hAnsi="Times New Roman"/>
      <w:kern w:val="2"/>
      <w:sz w:val="24"/>
    </w:rPr>
  </w:style>
  <w:style w:type="character" w:customStyle="1" w:styleId="108">
    <w:name w:val="批注引用1"/>
    <w:qFormat/>
    <w:uiPriority w:val="0"/>
    <w:rPr>
      <w:rFonts w:cs="Times New Roman"/>
      <w:sz w:val="21"/>
    </w:rPr>
  </w:style>
  <w:style w:type="character" w:customStyle="1" w:styleId="109">
    <w:name w:val="样式3 字符"/>
    <w:link w:val="110"/>
    <w:qFormat/>
    <w:uiPriority w:val="0"/>
    <w:rPr>
      <w:rFonts w:ascii="宋体" w:hAnsi="宋体"/>
      <w:szCs w:val="21"/>
    </w:rPr>
  </w:style>
  <w:style w:type="paragraph" w:customStyle="1" w:styleId="110">
    <w:name w:val="样式3"/>
    <w:basedOn w:val="13"/>
    <w:link w:val="109"/>
    <w:qFormat/>
    <w:uiPriority w:val="0"/>
    <w:pPr>
      <w:kinsoku w:val="0"/>
      <w:overflowPunct w:val="0"/>
      <w:spacing w:before="21" w:line="328" w:lineRule="auto"/>
      <w:ind w:left="100" w:firstLine="419"/>
    </w:pPr>
    <w:rPr>
      <w:rFonts w:ascii="宋体" w:hAnsi="宋体" w:eastAsiaTheme="minorEastAsia" w:cstheme="minorBidi"/>
      <w:szCs w:val="21"/>
    </w:rPr>
  </w:style>
  <w:style w:type="paragraph" w:customStyle="1" w:styleId="111">
    <w:name w:val="Char1"/>
    <w:basedOn w:val="1"/>
    <w:qFormat/>
    <w:uiPriority w:val="0"/>
    <w:pPr>
      <w:tabs>
        <w:tab w:val="left" w:pos="360"/>
      </w:tabs>
    </w:pPr>
    <w:rPr>
      <w:rFonts w:ascii="Times New Roman" w:hAnsi="Times New Roman" w:eastAsia="宋体" w:cs="Times New Roman"/>
      <w:sz w:val="24"/>
      <w:szCs w:val="20"/>
    </w:rPr>
  </w:style>
  <w:style w:type="paragraph" w:customStyle="1" w:styleId="112">
    <w:name w:val="表格"/>
    <w:basedOn w:val="1"/>
    <w:qFormat/>
    <w:uiPriority w:val="0"/>
    <w:pPr>
      <w:jc w:val="center"/>
      <w:textAlignment w:val="center"/>
    </w:pPr>
    <w:rPr>
      <w:rFonts w:ascii="华文细黑" w:hAnsi="华文细黑" w:eastAsia="宋体" w:cs="Times New Roman"/>
      <w:kern w:val="0"/>
      <w:szCs w:val="20"/>
    </w:rPr>
  </w:style>
  <w:style w:type="paragraph" w:customStyle="1" w:styleId="113">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14">
    <w:name w:val="样式 标题 2 + Times New Roman 四号 非加粗 段前: 5 磅 段后: 0 磅 行距: 固定值 20..."/>
    <w:basedOn w:val="2"/>
    <w:qFormat/>
    <w:uiPriority w:val="0"/>
    <w:pPr>
      <w:keepNext w:val="0"/>
      <w:keepLines w:val="0"/>
      <w:spacing w:before="100" w:after="0" w:line="400" w:lineRule="exact"/>
      <w:jc w:val="center"/>
    </w:pPr>
    <w:rPr>
      <w:rFonts w:ascii="Times New Roman" w:hAnsi="Times New Roman" w:eastAsia="宋体" w:cs="宋体"/>
      <w:color w:val="auto"/>
      <w:sz w:val="28"/>
      <w:szCs w:val="20"/>
    </w:rPr>
  </w:style>
  <w:style w:type="paragraph" w:customStyle="1" w:styleId="115">
    <w:name w:val="样式2"/>
    <w:basedOn w:val="4"/>
    <w:qFormat/>
    <w:uiPriority w:val="0"/>
    <w:pPr>
      <w:spacing w:before="0" w:after="0" w:line="415" w:lineRule="auto"/>
      <w:ind w:firstLine="137"/>
    </w:pPr>
    <w:rPr>
      <w:rFonts w:ascii="宋体" w:hAnsi="宋体" w:eastAsia="宋体" w:cs="Times New Roman"/>
      <w:b/>
      <w:bCs/>
      <w:i/>
      <w:color w:val="auto"/>
      <w:sz w:val="28"/>
      <w:szCs w:val="28"/>
    </w:rPr>
  </w:style>
  <w:style w:type="paragraph" w:customStyle="1" w:styleId="1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7">
    <w:name w:val="普通(网站)1"/>
    <w:basedOn w:val="1"/>
    <w:qFormat/>
    <w:uiPriority w:val="0"/>
    <w:pPr>
      <w:widowControl/>
      <w:spacing w:before="100" w:beforeAutospacing="1" w:after="100" w:afterAutospacing="1"/>
      <w:jc w:val="left"/>
    </w:pPr>
    <w:rPr>
      <w:rFonts w:ascii="宋体" w:hAnsi="宋体" w:eastAsia="宋体" w:cs="宋体"/>
      <w:color w:val="000000"/>
      <w:kern w:val="0"/>
      <w:sz w:val="24"/>
      <w:szCs w:val="20"/>
    </w:rPr>
  </w:style>
  <w:style w:type="paragraph" w:customStyle="1" w:styleId="118">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19">
    <w:name w:val="p0"/>
    <w:basedOn w:val="1"/>
    <w:qFormat/>
    <w:uiPriority w:val="0"/>
    <w:pPr>
      <w:widowControl/>
    </w:pPr>
    <w:rPr>
      <w:rFonts w:ascii="Times New Roman" w:hAnsi="Times New Roman" w:eastAsia="宋体" w:cs="宋体"/>
      <w:kern w:val="0"/>
      <w:szCs w:val="21"/>
    </w:rPr>
  </w:style>
  <w:style w:type="paragraph" w:customStyle="1" w:styleId="120">
    <w:name w:val="正文缩进1"/>
    <w:basedOn w:val="1"/>
    <w:qFormat/>
    <w:uiPriority w:val="0"/>
    <w:pPr>
      <w:ind w:firstLine="420"/>
    </w:pPr>
    <w:rPr>
      <w:rFonts w:ascii="Times New Roman" w:hAnsi="Times New Roman" w:eastAsia="宋体" w:cs="Times New Roman"/>
    </w:rPr>
  </w:style>
  <w:style w:type="paragraph" w:customStyle="1" w:styleId="121">
    <w:name w:val="列表段落1"/>
    <w:basedOn w:val="1"/>
    <w:qFormat/>
    <w:uiPriority w:val="0"/>
    <w:pPr>
      <w:ind w:firstLine="420" w:firstLineChars="200"/>
    </w:pPr>
    <w:rPr>
      <w:rFonts w:ascii="Times New Roman" w:hAnsi="Times New Roman" w:eastAsia="宋体" w:cs="Times New Roman"/>
    </w:rPr>
  </w:style>
  <w:style w:type="paragraph" w:customStyle="1" w:styleId="122">
    <w:name w:val="修订111"/>
    <w:qFormat/>
    <w:uiPriority w:val="0"/>
    <w:rPr>
      <w:rFonts w:ascii="Times New Roman" w:hAnsi="Times New Roman" w:eastAsia="宋体" w:cs="Times New Roman"/>
      <w:kern w:val="2"/>
      <w:sz w:val="21"/>
      <w:lang w:val="en-US" w:eastAsia="zh-CN" w:bidi="ar-SA"/>
    </w:rPr>
  </w:style>
  <w:style w:type="paragraph" w:customStyle="1" w:styleId="123">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124">
    <w:name w:val="_Style 23"/>
    <w:basedOn w:val="1"/>
    <w:qFormat/>
    <w:uiPriority w:val="0"/>
    <w:pPr>
      <w:widowControl/>
      <w:spacing w:after="160" w:line="240" w:lineRule="exact"/>
      <w:jc w:val="left"/>
    </w:pPr>
    <w:rPr>
      <w:rFonts w:ascii="Times New Roman" w:hAnsi="Times New Roman" w:eastAsia="宋体" w:cs="Times New Roman"/>
    </w:rPr>
  </w:style>
  <w:style w:type="paragraph" w:customStyle="1" w:styleId="125">
    <w:name w:val="文二"/>
    <w:basedOn w:val="1"/>
    <w:qFormat/>
    <w:uiPriority w:val="0"/>
    <w:rPr>
      <w:rFonts w:ascii="宋体" w:hAnsi="宋体" w:eastAsia="宋体" w:cs="Times New Roman"/>
      <w:szCs w:val="21"/>
    </w:rPr>
  </w:style>
  <w:style w:type="paragraph" w:customStyle="1" w:styleId="126">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27">
    <w:name w:val="Table Paragraph"/>
    <w:basedOn w:val="1"/>
    <w:qFormat/>
    <w:uiPriority w:val="0"/>
    <w:pPr>
      <w:autoSpaceDE w:val="0"/>
      <w:autoSpaceDN w:val="0"/>
      <w:jc w:val="left"/>
    </w:pPr>
    <w:rPr>
      <w:rFonts w:ascii="宋体" w:hAnsi="宋体" w:eastAsia="宋体" w:cs="宋体"/>
      <w:kern w:val="0"/>
      <w:sz w:val="22"/>
      <w:lang w:val="zh-CN"/>
    </w:rPr>
  </w:style>
  <w:style w:type="paragraph" w:customStyle="1" w:styleId="128">
    <w:name w:val="索引 11"/>
    <w:basedOn w:val="1"/>
    <w:next w:val="1"/>
    <w:qFormat/>
    <w:uiPriority w:val="0"/>
    <w:pPr>
      <w:spacing w:line="220" w:lineRule="exact"/>
      <w:jc w:val="center"/>
    </w:pPr>
    <w:rPr>
      <w:rFonts w:ascii="仿宋_GB2312" w:hAnsi="Times New Roman" w:eastAsia="仿宋_GB2312" w:cs="Times New Roman"/>
      <w:szCs w:val="21"/>
    </w:rPr>
  </w:style>
  <w:style w:type="paragraph" w:customStyle="1" w:styleId="129">
    <w:name w:val="TOC 标题1"/>
    <w:basedOn w:val="3"/>
    <w:next w:val="1"/>
    <w:qFormat/>
    <w:uiPriority w:val="0"/>
    <w:pPr>
      <w:keepNext w:val="0"/>
      <w:keepLines w:val="0"/>
      <w:widowControl/>
      <w:spacing w:after="0" w:line="276" w:lineRule="auto"/>
      <w:jc w:val="left"/>
      <w:outlineLvl w:val="9"/>
    </w:pPr>
    <w:rPr>
      <w:rFonts w:ascii="Cambria" w:hAnsi="Cambria" w:eastAsia="宋体" w:cs="Times New Roman"/>
      <w:b/>
      <w:color w:val="365F91"/>
      <w:kern w:val="0"/>
      <w:sz w:val="28"/>
      <w:szCs w:val="20"/>
    </w:rPr>
  </w:style>
  <w:style w:type="paragraph" w:customStyle="1" w:styleId="130">
    <w:name w:val="样式 标题 1 + 黑体 三号 非加粗 居中 段前: 6 磅 段后: 6 磅 行距: 固定值 20 磅"/>
    <w:basedOn w:val="3"/>
    <w:qFormat/>
    <w:uiPriority w:val="0"/>
    <w:pPr>
      <w:keepNext w:val="0"/>
      <w:keepLines w:val="0"/>
      <w:spacing w:before="120" w:after="120" w:line="400" w:lineRule="exact"/>
      <w:jc w:val="center"/>
    </w:pPr>
    <w:rPr>
      <w:rFonts w:ascii="黑体" w:hAnsi="黑体" w:eastAsia="黑体" w:cs="宋体"/>
      <w:color w:val="auto"/>
      <w:kern w:val="44"/>
      <w:sz w:val="32"/>
      <w:szCs w:val="20"/>
    </w:rPr>
  </w:style>
  <w:style w:type="paragraph" w:customStyle="1" w:styleId="131">
    <w:name w:val="修订2"/>
    <w:qFormat/>
    <w:uiPriority w:val="0"/>
    <w:rPr>
      <w:rFonts w:ascii="Times New Roman" w:hAnsi="Times New Roman" w:eastAsia="宋体" w:cs="Times New Roman"/>
      <w:kern w:val="2"/>
      <w:sz w:val="21"/>
      <w:szCs w:val="22"/>
      <w:lang w:val="en-US" w:eastAsia="zh-CN" w:bidi="ar-SA"/>
    </w:rPr>
  </w:style>
  <w:style w:type="paragraph" w:customStyle="1" w:styleId="132">
    <w:name w:val="样式 标题 3 + (中文) 黑体 小四 非加粗 段前: 7.8 磅 段后: 0 磅 行距: 固定值 20 磅"/>
    <w:basedOn w:val="4"/>
    <w:qFormat/>
    <w:uiPriority w:val="0"/>
    <w:pPr>
      <w:spacing w:before="0" w:after="0" w:line="400" w:lineRule="exact"/>
      <w:ind w:firstLine="137"/>
    </w:pPr>
    <w:rPr>
      <w:rFonts w:ascii="宋体" w:hAnsi="宋体" w:eastAsia="宋体" w:cs="宋体"/>
      <w:b/>
      <w:color w:val="auto"/>
      <w:sz w:val="24"/>
      <w:szCs w:val="20"/>
    </w:rPr>
  </w:style>
  <w:style w:type="paragraph" w:customStyle="1" w:styleId="133">
    <w:name w:val="我的正文"/>
    <w:basedOn w:val="1"/>
    <w:qFormat/>
    <w:uiPriority w:val="0"/>
    <w:rPr>
      <w:rFonts w:ascii="宋体" w:hAnsi="宋体" w:eastAsia="宋体" w:cs="Times New Roman"/>
      <w:sz w:val="24"/>
      <w:szCs w:val="24"/>
    </w:rPr>
  </w:style>
  <w:style w:type="paragraph" w:customStyle="1" w:styleId="134">
    <w:name w:val="修订11"/>
    <w:qFormat/>
    <w:uiPriority w:val="0"/>
    <w:rPr>
      <w:rFonts w:ascii="Times New Roman" w:hAnsi="Times New Roman" w:eastAsia="宋体" w:cs="Times New Roman"/>
      <w:kern w:val="2"/>
      <w:sz w:val="21"/>
      <w:szCs w:val="24"/>
      <w:lang w:val="en-US" w:eastAsia="zh-CN" w:bidi="ar-SA"/>
    </w:rPr>
  </w:style>
  <w:style w:type="paragraph" w:customStyle="1" w:styleId="135">
    <w:name w:val="_Style 57"/>
    <w:qFormat/>
    <w:uiPriority w:val="0"/>
    <w:rPr>
      <w:rFonts w:ascii="Times New Roman" w:hAnsi="Times New Roman" w:eastAsia="宋体" w:cs="Times New Roman"/>
      <w:kern w:val="2"/>
      <w:sz w:val="21"/>
      <w:szCs w:val="22"/>
      <w:lang w:val="en-US" w:eastAsia="zh-CN" w:bidi="ar-SA"/>
    </w:rPr>
  </w:style>
  <w:style w:type="paragraph" w:customStyle="1" w:styleId="136">
    <w:name w:val="1"/>
    <w:basedOn w:val="1"/>
    <w:qFormat/>
    <w:uiPriority w:val="0"/>
    <w:rPr>
      <w:rFonts w:ascii="Times New Roman" w:hAnsi="Times New Roman" w:eastAsia="宋体" w:cs="Times New Roman"/>
      <w:szCs w:val="20"/>
    </w:rPr>
  </w:style>
  <w:style w:type="paragraph" w:customStyle="1" w:styleId="137">
    <w:name w:val="修订21"/>
    <w:qFormat/>
    <w:uiPriority w:val="0"/>
    <w:rPr>
      <w:rFonts w:ascii="Times New Roman" w:hAnsi="Times New Roman" w:eastAsia="宋体" w:cs="Times New Roman"/>
      <w:kern w:val="2"/>
      <w:sz w:val="21"/>
      <w:szCs w:val="24"/>
      <w:lang w:val="en-US" w:eastAsia="zh-CN" w:bidi="ar-SA"/>
    </w:rPr>
  </w:style>
  <w:style w:type="paragraph" w:customStyle="1" w:styleId="138">
    <w:name w:val="_Style 58"/>
    <w:basedOn w:val="1"/>
    <w:qFormat/>
    <w:uiPriority w:val="0"/>
    <w:pPr>
      <w:ind w:firstLine="420" w:firstLineChars="200"/>
    </w:pPr>
    <w:rPr>
      <w:rFonts w:ascii="Times New Roman" w:hAnsi="Times New Roman" w:eastAsia="宋体" w:cs="Times New Roman"/>
    </w:rPr>
  </w:style>
  <w:style w:type="paragraph" w:customStyle="1" w:styleId="139">
    <w:name w:val="样式1"/>
    <w:basedOn w:val="1"/>
    <w:next w:val="5"/>
    <w:qFormat/>
    <w:uiPriority w:val="0"/>
    <w:pPr>
      <w:spacing w:line="360" w:lineRule="auto"/>
      <w:ind w:firstLine="420" w:firstLineChars="200"/>
    </w:pPr>
    <w:rPr>
      <w:rFonts w:ascii="宋体" w:hAnsi="宋体" w:eastAsia="宋体" w:cs="Times New Roman"/>
      <w:szCs w:val="21"/>
    </w:rPr>
  </w:style>
  <w:style w:type="character" w:customStyle="1" w:styleId="140">
    <w:name w:val="正文文本首行缩进 2 字符"/>
    <w:basedOn w:val="64"/>
    <w:link w:val="23"/>
    <w:semiHidden/>
    <w:qFormat/>
    <w:uiPriority w:val="99"/>
    <w:rPr>
      <w:rFonts w:ascii="等线" w:hAnsi="等线" w:eastAsia="等线" w:cs="Times New Roman"/>
    </w:rPr>
  </w:style>
  <w:style w:type="character" w:customStyle="1" w:styleId="141">
    <w:name w:val="正文文本首行缩进 字符"/>
    <w:basedOn w:val="63"/>
    <w:link w:val="22"/>
    <w:qFormat/>
    <w:uiPriority w:val="0"/>
    <w:rPr>
      <w:rFonts w:ascii="Calibri" w:hAnsi="Calibri"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22904</Words>
  <Characters>24204</Characters>
  <Lines>45</Lines>
  <Paragraphs>75</Paragraphs>
  <TotalTime>4</TotalTime>
  <ScaleCrop>false</ScaleCrop>
  <LinksUpToDate>false</LinksUpToDate>
  <CharactersWithSpaces>24567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2025-04-12T02:30:00Z</dcterms:created>
  <dc:creator>Administrator</dc:creator>
  <cp:lastModifiedBy>h</cp:lastModifiedBy>
  <cp:lastPrinted>2025-04-27T09:43:00Z</cp:lastPrinted>
  <dcterms:modified xsi:type="dcterms:W3CDTF">2025-09-29T01:21:18Z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eyJoZGlkIjoiMjdmZTcyMThkMjAwN2UyN2E1YTBlNWRkZDQ5OGRkNmEiLCJ1c2VySWQiOiIxNjAxMzk4MzY1In0=</vt:lpwstr>
  </property>
  <property fmtid="{D5CDD505-2E9C-101B-9397-08002B2CF9AE}" pid="3" name="KSOProductBuildVer">
    <vt:lpwstr>2052-12.1.0.22529</vt:lpwstr>
  </property>
  <property fmtid="{D5CDD505-2E9C-101B-9397-08002B2CF9AE}" pid="4" name="ICV">
    <vt:lpwstr>1B7D87AEC6664465A5F9D6789B63E8EA_13</vt:lpwstr>
  </property>
</Properties>
</file>