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5D7CA2">
      <w:pPr>
        <w:widowControl/>
        <w:ind w:left="0" w:leftChars="0" w:right="0" w:rightChars="0" w:firstLine="0" w:firstLineChars="0"/>
        <w:jc w:val="center"/>
        <w:rPr>
          <w:rFonts w:hint="eastAsia" w:ascii="宋体" w:hAnsi="宋体" w:eastAsia="宋体" w:cs="宋体"/>
          <w:color w:val="auto"/>
          <w:highlight w:val="none"/>
          <w:lang w:eastAsia="zh-CN"/>
        </w:rPr>
      </w:pPr>
    </w:p>
    <w:p w14:paraId="2CB08816">
      <w:pPr>
        <w:widowControl/>
        <w:ind w:left="0" w:leftChars="0" w:right="0" w:rightChars="0" w:firstLine="0" w:firstLineChars="0"/>
        <w:jc w:val="center"/>
        <w:rPr>
          <w:rFonts w:hint="eastAsia" w:ascii="宋体" w:hAnsi="宋体" w:eastAsia="宋体" w:cs="宋体"/>
          <w:color w:val="auto"/>
          <w:highlight w:val="none"/>
          <w:lang w:eastAsia="zh-CN"/>
        </w:rPr>
      </w:pPr>
    </w:p>
    <w:p w14:paraId="35EFE986">
      <w:pPr>
        <w:widowControl/>
        <w:ind w:left="0" w:leftChars="0" w:right="0" w:rightChars="0" w:firstLine="0" w:firstLineChars="0"/>
        <w:jc w:val="center"/>
        <w:rPr>
          <w:rFonts w:hint="eastAsia" w:ascii="宋体" w:hAnsi="宋体" w:eastAsia="宋体" w:cs="宋体"/>
          <w:color w:val="auto"/>
          <w:sz w:val="52"/>
          <w:szCs w:val="52"/>
          <w:highlight w:val="none"/>
          <w:lang w:eastAsia="zh-CN"/>
        </w:rPr>
      </w:pPr>
      <w:r>
        <w:rPr>
          <w:rFonts w:hint="eastAsia" w:ascii="宋体" w:hAnsi="宋体" w:eastAsia="宋体" w:cs="宋体"/>
          <w:b/>
          <w:bCs/>
          <w:color w:val="auto"/>
          <w:sz w:val="52"/>
          <w:szCs w:val="52"/>
          <w:highlight w:val="none"/>
          <w:lang w:eastAsia="zh-CN"/>
        </w:rPr>
        <w:t>广东省公安厅机场公安局2025-42白云机场三期扩建工程航站楼警务室及相关配套用房弱电系统及配套工程</w:t>
      </w:r>
    </w:p>
    <w:p w14:paraId="04F86A6E">
      <w:pPr>
        <w:widowControl/>
        <w:ind w:left="0" w:leftChars="0" w:right="0" w:rightChars="0" w:firstLine="0" w:firstLineChars="0"/>
        <w:jc w:val="center"/>
        <w:rPr>
          <w:rFonts w:hint="eastAsia" w:ascii="宋体" w:hAnsi="宋体" w:eastAsia="宋体" w:cs="宋体"/>
          <w:color w:val="auto"/>
          <w:highlight w:val="none"/>
          <w:lang w:eastAsia="zh-CN"/>
        </w:rPr>
      </w:pPr>
    </w:p>
    <w:p w14:paraId="1C4F486F">
      <w:pPr>
        <w:widowControl/>
        <w:ind w:left="0" w:leftChars="0" w:right="0" w:rightChars="0" w:firstLine="0" w:firstLineChars="0"/>
        <w:jc w:val="center"/>
        <w:rPr>
          <w:rFonts w:hint="eastAsia" w:ascii="宋体" w:hAnsi="宋体" w:eastAsia="宋体" w:cs="宋体"/>
          <w:color w:val="auto"/>
          <w:highlight w:val="none"/>
          <w:lang w:eastAsia="zh-CN"/>
        </w:rPr>
      </w:pPr>
    </w:p>
    <w:p w14:paraId="0B9EEE11">
      <w:pPr>
        <w:widowControl/>
        <w:ind w:left="0" w:leftChars="0" w:right="0" w:rightChars="0" w:firstLine="0" w:firstLineChars="0"/>
        <w:jc w:val="center"/>
        <w:rPr>
          <w:rFonts w:hint="eastAsia" w:ascii="宋体" w:hAnsi="宋体" w:eastAsia="宋体" w:cs="宋体"/>
          <w:color w:val="auto"/>
          <w:highlight w:val="none"/>
          <w:lang w:eastAsia="zh-CN"/>
        </w:rPr>
      </w:pPr>
    </w:p>
    <w:p w14:paraId="07BE9FB0">
      <w:pPr>
        <w:widowControl/>
        <w:ind w:left="0" w:leftChars="0" w:right="0" w:rightChars="0" w:firstLine="0" w:firstLineChars="0"/>
        <w:jc w:val="center"/>
        <w:rPr>
          <w:rFonts w:hint="default" w:ascii="仿宋" w:hAnsi="仿宋" w:eastAsia="仿宋" w:cs="仿宋"/>
          <w:color w:val="auto"/>
          <w:sz w:val="44"/>
          <w:szCs w:val="44"/>
          <w:highlight w:val="none"/>
          <w:lang w:val="en-US" w:eastAsia="zh-CN"/>
        </w:rPr>
      </w:pPr>
      <w:r>
        <w:rPr>
          <w:rFonts w:hint="eastAsia" w:ascii="仿宋" w:hAnsi="仿宋" w:eastAsia="仿宋" w:cs="仿宋"/>
          <w:b/>
          <w:bCs/>
          <w:color w:val="auto"/>
          <w:sz w:val="84"/>
          <w:szCs w:val="84"/>
          <w:highlight w:val="none"/>
          <w:lang w:eastAsia="zh-CN"/>
        </w:rPr>
        <w:t>招标</w:t>
      </w:r>
      <w:r>
        <w:rPr>
          <w:rFonts w:hint="eastAsia" w:ascii="仿宋" w:hAnsi="仿宋" w:eastAsia="仿宋" w:cs="仿宋"/>
          <w:b/>
          <w:bCs/>
          <w:color w:val="auto"/>
          <w:sz w:val="84"/>
          <w:szCs w:val="84"/>
          <w:highlight w:val="none"/>
          <w:lang w:val="en-US" w:eastAsia="zh-CN"/>
        </w:rPr>
        <w:t>公告</w:t>
      </w:r>
    </w:p>
    <w:p w14:paraId="40BEFCBC">
      <w:pPr>
        <w:widowControl/>
        <w:ind w:left="0" w:leftChars="0" w:right="0" w:rightChars="0" w:firstLine="0" w:firstLineChars="0"/>
        <w:jc w:val="center"/>
        <w:rPr>
          <w:rFonts w:hint="eastAsia" w:ascii="仿宋" w:hAnsi="仿宋" w:eastAsia="仿宋" w:cs="仿宋"/>
          <w:b/>
          <w:bCs/>
          <w:color w:val="auto"/>
          <w:sz w:val="44"/>
          <w:szCs w:val="44"/>
          <w:highlight w:val="none"/>
          <w:lang w:eastAsia="zh-CN"/>
        </w:rPr>
      </w:pPr>
      <w:r>
        <w:rPr>
          <w:rFonts w:hint="eastAsia" w:ascii="仿宋" w:hAnsi="仿宋" w:eastAsia="仿宋" w:cs="仿宋"/>
          <w:b/>
          <w:bCs/>
          <w:color w:val="auto"/>
          <w:sz w:val="44"/>
          <w:szCs w:val="44"/>
          <w:highlight w:val="none"/>
          <w:lang w:eastAsia="zh-CN"/>
        </w:rPr>
        <w:t>（货物类）</w:t>
      </w:r>
    </w:p>
    <w:p w14:paraId="65A0F20A">
      <w:pPr>
        <w:widowControl/>
        <w:ind w:left="0" w:leftChars="0" w:right="0" w:rightChars="0" w:firstLine="0" w:firstLineChars="0"/>
        <w:jc w:val="center"/>
        <w:rPr>
          <w:rFonts w:hint="eastAsia" w:ascii="宋体" w:hAnsi="宋体" w:eastAsia="宋体" w:cs="宋体"/>
          <w:color w:val="auto"/>
          <w:highlight w:val="none"/>
          <w:lang w:eastAsia="zh-CN"/>
        </w:rPr>
      </w:pPr>
    </w:p>
    <w:p w14:paraId="324C9513">
      <w:pPr>
        <w:widowControl/>
        <w:ind w:left="0" w:leftChars="0" w:right="0" w:rightChars="0" w:firstLine="0" w:firstLineChars="0"/>
        <w:jc w:val="center"/>
        <w:rPr>
          <w:rFonts w:hint="eastAsia" w:ascii="宋体" w:hAnsi="宋体" w:eastAsia="宋体" w:cs="宋体"/>
          <w:color w:val="auto"/>
          <w:highlight w:val="none"/>
          <w:lang w:eastAsia="zh-CN"/>
        </w:rPr>
      </w:pPr>
    </w:p>
    <w:p w14:paraId="43B9CC71">
      <w:pPr>
        <w:widowControl/>
        <w:ind w:left="0" w:leftChars="0" w:right="0" w:rightChars="0" w:firstLine="0" w:firstLineChars="0"/>
        <w:jc w:val="center"/>
        <w:rPr>
          <w:rFonts w:hint="eastAsia" w:ascii="宋体" w:hAnsi="宋体" w:eastAsia="宋体" w:cs="宋体"/>
          <w:color w:val="auto"/>
          <w:highlight w:val="none"/>
          <w:lang w:eastAsia="zh-CN"/>
        </w:rPr>
      </w:pPr>
    </w:p>
    <w:p w14:paraId="451EA1F8">
      <w:pPr>
        <w:widowControl/>
        <w:ind w:left="0" w:leftChars="0" w:right="0" w:rightChars="0" w:firstLine="0" w:firstLineChars="0"/>
        <w:jc w:val="center"/>
        <w:rPr>
          <w:rFonts w:hint="eastAsia" w:ascii="宋体" w:hAnsi="宋体" w:eastAsia="宋体" w:cs="宋体"/>
          <w:color w:val="auto"/>
          <w:highlight w:val="none"/>
          <w:lang w:eastAsia="zh-CN"/>
        </w:rPr>
      </w:pPr>
    </w:p>
    <w:p w14:paraId="790E836D">
      <w:pPr>
        <w:widowControl/>
        <w:ind w:left="0" w:leftChars="0" w:right="0" w:rightChars="0" w:firstLine="0" w:firstLineChars="0"/>
        <w:jc w:val="center"/>
        <w:rPr>
          <w:rFonts w:hint="eastAsia" w:ascii="宋体" w:hAnsi="宋体" w:eastAsia="宋体" w:cs="宋体"/>
          <w:color w:val="auto"/>
          <w:highlight w:val="none"/>
          <w:lang w:eastAsia="zh-CN"/>
        </w:rPr>
      </w:pPr>
    </w:p>
    <w:p w14:paraId="1E2AFE3B">
      <w:pPr>
        <w:widowControl/>
        <w:ind w:left="0" w:leftChars="0" w:right="0" w:rightChars="0" w:firstLine="0" w:firstLineChars="0"/>
        <w:jc w:val="center"/>
        <w:rPr>
          <w:rFonts w:hint="eastAsia" w:ascii="宋体" w:hAnsi="宋体" w:eastAsia="宋体" w:cs="宋体"/>
          <w:color w:val="auto"/>
          <w:highlight w:val="none"/>
          <w:lang w:eastAsia="zh-CN"/>
        </w:rPr>
      </w:pPr>
    </w:p>
    <w:p w14:paraId="14C44701">
      <w:pPr>
        <w:widowControl/>
        <w:ind w:left="0" w:leftChars="0" w:right="0" w:rightChars="0" w:firstLine="0" w:firstLineChars="0"/>
        <w:jc w:val="center"/>
        <w:rPr>
          <w:rFonts w:hint="eastAsia" w:ascii="宋体" w:hAnsi="宋体" w:eastAsia="宋体" w:cs="宋体"/>
          <w:color w:val="auto"/>
          <w:highlight w:val="none"/>
          <w:lang w:eastAsia="zh-CN"/>
        </w:rPr>
      </w:pPr>
    </w:p>
    <w:p w14:paraId="30D1B886">
      <w:pPr>
        <w:widowControl/>
        <w:ind w:left="0" w:leftChars="0" w:right="0" w:rightChars="0" w:firstLine="0" w:firstLineChars="0"/>
        <w:jc w:val="center"/>
        <w:rPr>
          <w:rFonts w:hint="eastAsia" w:ascii="宋体" w:hAnsi="宋体" w:eastAsia="宋体" w:cs="宋体"/>
          <w:color w:val="auto"/>
          <w:highlight w:val="none"/>
          <w:lang w:eastAsia="zh-CN"/>
        </w:rPr>
      </w:pPr>
    </w:p>
    <w:p w14:paraId="4F35F0EA">
      <w:pPr>
        <w:widowControl/>
        <w:ind w:left="0" w:leftChars="0" w:right="0" w:rightChars="0" w:firstLine="0" w:firstLineChars="0"/>
        <w:jc w:val="center"/>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eastAsia="zh-CN"/>
        </w:rPr>
        <w:t>招标人：广东省公安厅机场公安局（广州白云国际机场公安局）</w:t>
      </w:r>
    </w:p>
    <w:p w14:paraId="554FACEF">
      <w:pPr>
        <w:widowControl/>
        <w:ind w:left="0" w:leftChars="0" w:right="0" w:rightChars="0" w:firstLine="0" w:firstLineChars="0"/>
        <w:jc w:val="center"/>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eastAsia="zh-CN"/>
        </w:rPr>
        <w:t>招标代理机构：广东省华粤采购科技有限公司</w:t>
      </w:r>
    </w:p>
    <w:p w14:paraId="7A327875">
      <w:pPr>
        <w:widowControl/>
        <w:ind w:left="0" w:leftChars="0" w:right="0" w:rightChars="0" w:firstLine="0" w:firstLineChars="0"/>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202</w:t>
      </w:r>
      <w:r>
        <w:rPr>
          <w:rFonts w:hint="eastAsia" w:ascii="宋体" w:hAnsi="宋体" w:eastAsia="宋体" w:cs="宋体"/>
          <w:b/>
          <w:bCs/>
          <w:color w:val="auto"/>
          <w:sz w:val="32"/>
          <w:szCs w:val="32"/>
          <w:highlight w:val="none"/>
          <w:lang w:eastAsia="zh-CN"/>
        </w:rPr>
        <w:t>5</w:t>
      </w:r>
      <w:r>
        <w:rPr>
          <w:rFonts w:hint="eastAsia" w:ascii="宋体" w:hAnsi="宋体" w:eastAsia="宋体" w:cs="宋体"/>
          <w:b/>
          <w:bCs/>
          <w:color w:val="auto"/>
          <w:sz w:val="32"/>
          <w:szCs w:val="32"/>
          <w:highlight w:val="none"/>
        </w:rPr>
        <w:t>年</w:t>
      </w:r>
      <w:r>
        <w:rPr>
          <w:rFonts w:hint="eastAsia" w:ascii="宋体" w:hAnsi="宋体" w:eastAsia="宋体" w:cs="宋体"/>
          <w:b/>
          <w:bCs/>
          <w:color w:val="auto"/>
          <w:sz w:val="32"/>
          <w:szCs w:val="32"/>
          <w:highlight w:val="none"/>
          <w:lang w:eastAsia="zh-CN"/>
        </w:rPr>
        <w:t>09</w:t>
      </w:r>
      <w:r>
        <w:rPr>
          <w:rFonts w:hint="eastAsia" w:ascii="宋体" w:hAnsi="宋体" w:eastAsia="宋体" w:cs="宋体"/>
          <w:b/>
          <w:bCs/>
          <w:color w:val="auto"/>
          <w:sz w:val="32"/>
          <w:szCs w:val="32"/>
          <w:highlight w:val="none"/>
        </w:rPr>
        <w:t>月</w:t>
      </w:r>
    </w:p>
    <w:p w14:paraId="6D40CDCB">
      <w:pPr>
        <w:bidi w:val="0"/>
        <w:rPr>
          <w:rFonts w:hint="eastAsia"/>
          <w:lang w:eastAsia="zh-CN"/>
        </w:rPr>
      </w:pPr>
    </w:p>
    <w:p w14:paraId="1D69EA2F">
      <w:pPr>
        <w:widowControl/>
        <w:spacing w:line="360" w:lineRule="auto"/>
        <w:ind w:left="0" w:leftChars="0" w:right="0" w:rightChars="0" w:firstLine="0" w:firstLineChars="0"/>
        <w:jc w:val="center"/>
        <w:rPr>
          <w:rFonts w:hint="eastAsia" w:ascii="宋体" w:hAnsi="宋体" w:eastAsia="宋体" w:cs="宋体"/>
          <w:b/>
          <w:bCs/>
          <w:spacing w:val="0"/>
          <w:w w:val="100"/>
          <w:kern w:val="0"/>
          <w:position w:val="0"/>
          <w:sz w:val="32"/>
          <w:szCs w:val="28"/>
          <w:highlight w:val="none"/>
          <w:lang w:eastAsia="zh-CN"/>
        </w:rPr>
        <w:sectPr>
          <w:footerReference r:id="rId5" w:type="default"/>
          <w:pgSz w:w="11905" w:h="16838"/>
          <w:pgMar w:top="1417" w:right="1417" w:bottom="1417" w:left="1417" w:header="850" w:footer="850" w:gutter="0"/>
          <w:pgNumType w:fmt="decimal"/>
          <w:cols w:space="0" w:num="1"/>
          <w:rtlGutter w:val="0"/>
          <w:docGrid w:type="linesAndChars" w:linePitch="350" w:charSpace="0"/>
        </w:sectPr>
      </w:pPr>
    </w:p>
    <w:p w14:paraId="0A6F0A90">
      <w:pPr>
        <w:widowControl/>
        <w:spacing w:line="360" w:lineRule="auto"/>
        <w:ind w:left="0" w:leftChars="0" w:right="0" w:rightChars="0" w:firstLine="0" w:firstLineChars="0"/>
        <w:jc w:val="center"/>
        <w:rPr>
          <w:rFonts w:hint="eastAsia" w:ascii="宋体" w:hAnsi="宋体" w:eastAsia="宋体" w:cs="宋体"/>
          <w:b/>
          <w:bCs/>
          <w:spacing w:val="0"/>
          <w:w w:val="100"/>
          <w:kern w:val="0"/>
          <w:position w:val="0"/>
          <w:sz w:val="32"/>
          <w:szCs w:val="28"/>
          <w:highlight w:val="none"/>
          <w:lang w:eastAsia="zh-CN"/>
        </w:rPr>
      </w:pPr>
      <w:r>
        <w:rPr>
          <w:rFonts w:hint="eastAsia" w:ascii="宋体" w:hAnsi="宋体" w:eastAsia="宋体" w:cs="宋体"/>
          <w:b/>
          <w:bCs/>
          <w:spacing w:val="0"/>
          <w:w w:val="100"/>
          <w:kern w:val="0"/>
          <w:position w:val="0"/>
          <w:sz w:val="32"/>
          <w:szCs w:val="28"/>
          <w:highlight w:val="none"/>
          <w:lang w:eastAsia="zh-CN"/>
        </w:rPr>
        <w:t>广东省公安厅机场公安局2025-42白云机场三期扩建工程航站楼警务室及相关配套用房弱电系统及配套工程</w:t>
      </w:r>
    </w:p>
    <w:p w14:paraId="2FFC32FC">
      <w:pPr>
        <w:widowControl/>
        <w:spacing w:line="360" w:lineRule="auto"/>
        <w:ind w:left="0" w:leftChars="0" w:right="0" w:rightChars="0" w:firstLine="0" w:firstLineChars="0"/>
        <w:jc w:val="center"/>
        <w:rPr>
          <w:rFonts w:hint="eastAsia" w:ascii="宋体" w:hAnsi="宋体" w:eastAsia="宋体" w:cs="宋体"/>
          <w:b/>
          <w:bCs/>
          <w:spacing w:val="0"/>
          <w:w w:val="100"/>
          <w:kern w:val="0"/>
          <w:position w:val="0"/>
          <w:sz w:val="32"/>
          <w:szCs w:val="28"/>
          <w:highlight w:val="none"/>
          <w:lang w:eastAsia="zh-CN"/>
        </w:rPr>
      </w:pPr>
      <w:r>
        <w:rPr>
          <w:rFonts w:hint="eastAsia" w:ascii="宋体" w:hAnsi="宋体" w:eastAsia="宋体" w:cs="宋体"/>
          <w:b/>
          <w:bCs/>
          <w:spacing w:val="0"/>
          <w:w w:val="100"/>
          <w:kern w:val="0"/>
          <w:position w:val="0"/>
          <w:sz w:val="32"/>
          <w:szCs w:val="28"/>
          <w:highlight w:val="none"/>
          <w:lang w:eastAsia="zh-CN"/>
        </w:rPr>
        <w:t>招标公告</w:t>
      </w:r>
    </w:p>
    <w:p w14:paraId="215C483A">
      <w:pPr>
        <w:widowControl/>
        <w:rPr>
          <w:rFonts w:hint="eastAsia" w:ascii="宋体" w:hAnsi="宋体" w:eastAsia="宋体" w:cs="宋体"/>
          <w:b/>
          <w:bCs/>
          <w:color w:val="auto"/>
          <w:szCs w:val="22"/>
          <w:highlight w:val="none"/>
          <w:lang w:eastAsia="zh-CN"/>
        </w:rPr>
      </w:pPr>
      <w:r>
        <w:rPr>
          <w:rFonts w:hint="eastAsia" w:ascii="宋体" w:hAnsi="宋体" w:eastAsia="宋体" w:cs="宋体"/>
          <w:b/>
          <w:bCs/>
          <w:color w:val="auto"/>
          <w:szCs w:val="22"/>
          <w:highlight w:val="none"/>
          <w:lang w:eastAsia="zh-CN"/>
        </w:rPr>
        <w:t>1. 招标条件</w:t>
      </w:r>
    </w:p>
    <w:p w14:paraId="68F44DFA">
      <w:pPr>
        <w:widowControl/>
        <w:ind w:firstLine="480" w:firstLineChars="200"/>
        <w:rPr>
          <w:rFonts w:hint="eastAsia" w:ascii="宋体" w:hAnsi="宋体" w:eastAsia="宋体" w:cs="宋体"/>
          <w:color w:val="auto"/>
          <w:szCs w:val="22"/>
          <w:highlight w:val="none"/>
          <w:lang w:eastAsia="zh-CN"/>
        </w:rPr>
      </w:pPr>
      <w:r>
        <w:rPr>
          <w:rFonts w:hint="eastAsia" w:ascii="宋体" w:hAnsi="宋体" w:eastAsia="宋体" w:cs="宋体"/>
          <w:color w:val="auto"/>
          <w:szCs w:val="22"/>
          <w:highlight w:val="none"/>
          <w:lang w:eastAsia="zh-CN"/>
        </w:rPr>
        <w:t>根据</w:t>
      </w:r>
      <w:r>
        <w:rPr>
          <w:rFonts w:hint="eastAsia" w:ascii="宋体" w:hAnsi="宋体" w:eastAsia="宋体" w:cs="宋体"/>
          <w:color w:val="auto"/>
          <w:szCs w:val="22"/>
          <w:highlight w:val="none"/>
          <w:u w:val="single"/>
          <w:lang w:eastAsia="zh-CN"/>
        </w:rPr>
        <w:t>粤发改投审〔2025〕78号</w:t>
      </w:r>
      <w:r>
        <w:rPr>
          <w:rFonts w:hint="eastAsia" w:ascii="宋体" w:hAnsi="宋体" w:eastAsia="宋体" w:cs="宋体"/>
          <w:color w:val="auto"/>
          <w:szCs w:val="22"/>
          <w:highlight w:val="none"/>
          <w:lang w:eastAsia="zh-CN"/>
        </w:rPr>
        <w:t>批准，本招标项目</w:t>
      </w:r>
      <w:r>
        <w:rPr>
          <w:rFonts w:hint="eastAsia" w:ascii="宋体" w:hAnsi="宋体" w:eastAsia="宋体" w:cs="宋体"/>
          <w:color w:val="auto"/>
          <w:szCs w:val="22"/>
          <w:highlight w:val="none"/>
          <w:u w:val="single"/>
          <w:lang w:eastAsia="zh-CN"/>
        </w:rPr>
        <w:t xml:space="preserve"> 广东省公安厅机场公安局2025-42白云机场三期扩建工程航站楼警务室及相关配套用房弱电系统及配套工程 </w:t>
      </w:r>
      <w:r>
        <w:rPr>
          <w:rFonts w:hint="eastAsia" w:ascii="宋体" w:hAnsi="宋体" w:eastAsia="宋体" w:cs="宋体"/>
          <w:color w:val="auto"/>
          <w:szCs w:val="22"/>
          <w:highlight w:val="none"/>
          <w:lang w:eastAsia="zh-CN"/>
        </w:rPr>
        <w:t>已具备招标条件，招标人为</w:t>
      </w:r>
      <w:r>
        <w:rPr>
          <w:rFonts w:hint="eastAsia" w:ascii="宋体" w:hAnsi="宋体" w:eastAsia="宋体" w:cs="宋体"/>
          <w:color w:val="auto"/>
          <w:szCs w:val="22"/>
          <w:highlight w:val="none"/>
          <w:u w:val="single"/>
          <w:lang w:eastAsia="zh-CN"/>
        </w:rPr>
        <w:t>广东省公安厅机场公安局（广州白云国际机场公安局）</w:t>
      </w:r>
      <w:r>
        <w:rPr>
          <w:rFonts w:hint="eastAsia" w:ascii="宋体" w:hAnsi="宋体" w:eastAsia="宋体" w:cs="宋体"/>
          <w:color w:val="auto"/>
          <w:szCs w:val="22"/>
          <w:highlight w:val="none"/>
          <w:lang w:eastAsia="zh-CN"/>
        </w:rPr>
        <w:t>，资金来源为</w:t>
      </w:r>
      <w:r>
        <w:rPr>
          <w:rFonts w:hint="eastAsia" w:ascii="宋体" w:hAnsi="宋体" w:eastAsia="宋体" w:cs="宋体"/>
          <w:color w:val="auto"/>
          <w:szCs w:val="22"/>
          <w:highlight w:val="none"/>
          <w:u w:val="single"/>
          <w:lang w:eastAsia="zh-CN"/>
        </w:rPr>
        <w:t>财政资金</w:t>
      </w:r>
      <w:r>
        <w:rPr>
          <w:rFonts w:hint="eastAsia" w:ascii="宋体" w:hAnsi="宋体" w:eastAsia="宋体" w:cs="宋体"/>
          <w:color w:val="auto"/>
          <w:szCs w:val="22"/>
          <w:highlight w:val="none"/>
          <w:lang w:eastAsia="zh-CN"/>
        </w:rPr>
        <w:t>。潜在投标人应在广州交易集团有限公司（广州公共资源交易中心）网站（http://www.gzggzy.cn/）获取招标文件，并于招标公告规定的投标截止时间前上传投标文件。</w:t>
      </w:r>
    </w:p>
    <w:p w14:paraId="17C1FE8B">
      <w:pPr>
        <w:widowControl/>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2. 项目概况与招标范围</w:t>
      </w:r>
    </w:p>
    <w:p w14:paraId="04A5DED1">
      <w:pPr>
        <w:widowControl/>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2.1 项目概况</w:t>
      </w:r>
    </w:p>
    <w:p w14:paraId="5CF05825">
      <w:pPr>
        <w:widowControl/>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完成招标人在机场公安办公区和警务室区域内进行升级建设：主要内容为满足白云机场三期扩建工程航站楼警务室及相关配套用房警务工作、日常办公、视频会议等需要，建设高清视频会议系统、综合布线系统、基础网络和安全边界系统（视频边界系统和数据边界系统）等相关设备。</w:t>
      </w:r>
    </w:p>
    <w:p w14:paraId="45B76ECD">
      <w:pPr>
        <w:widowControl/>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2.2 招标范围</w:t>
      </w:r>
    </w:p>
    <w:p w14:paraId="3B0977CE">
      <w:pPr>
        <w:widowControl/>
        <w:ind w:firstLine="480" w:firstLineChars="200"/>
        <w:rPr>
          <w:rFonts w:hint="eastAsia" w:ascii="宋体" w:hAnsi="宋体" w:eastAsia="宋体" w:cs="宋体"/>
          <w:color w:val="auto"/>
          <w:szCs w:val="22"/>
          <w:highlight w:val="none"/>
          <w:lang w:eastAsia="zh-CN"/>
        </w:rPr>
      </w:pPr>
      <w:r>
        <w:rPr>
          <w:rFonts w:hint="eastAsia" w:ascii="宋体" w:hAnsi="宋体" w:eastAsia="宋体" w:cs="宋体"/>
          <w:color w:val="auto"/>
          <w:highlight w:val="none"/>
          <w:lang w:eastAsia="zh-CN"/>
        </w:rPr>
        <w:t>广东省公安厅机场公安局2025-42白云机场三期扩建工程航站楼警务室及相关配套用房弱电系统及配套工程，具体内容详见第三章《用户需求和技术规格书》。</w:t>
      </w:r>
    </w:p>
    <w:p w14:paraId="1E6483D0">
      <w:pPr>
        <w:widowControl/>
        <w:ind w:firstLine="480" w:firstLineChars="200"/>
        <w:rPr>
          <w:rFonts w:hint="eastAsia" w:ascii="宋体" w:hAnsi="宋体" w:eastAsia="宋体" w:cs="宋体"/>
          <w:color w:val="auto"/>
          <w:szCs w:val="22"/>
          <w:highlight w:val="none"/>
          <w:lang w:eastAsia="zh-CN"/>
        </w:rPr>
      </w:pPr>
      <w:r>
        <w:rPr>
          <w:rFonts w:hint="eastAsia" w:ascii="宋体" w:hAnsi="宋体" w:eastAsia="宋体" w:cs="宋体"/>
          <w:color w:val="auto"/>
          <w:szCs w:val="22"/>
          <w:highlight w:val="none"/>
          <w:lang w:eastAsia="zh-CN"/>
        </w:rPr>
        <w:t>2.3 招标控制价：人民币3,500,000.00元。</w:t>
      </w:r>
    </w:p>
    <w:p w14:paraId="4F6D891F">
      <w:pPr>
        <w:widowControl/>
        <w:ind w:firstLine="480" w:firstLineChars="200"/>
        <w:rPr>
          <w:rFonts w:hint="eastAsia" w:ascii="宋体" w:hAnsi="宋体" w:eastAsia="宋体" w:cs="宋体"/>
          <w:color w:val="auto"/>
          <w:szCs w:val="22"/>
          <w:highlight w:val="none"/>
          <w:lang w:eastAsia="zh-CN"/>
        </w:rPr>
      </w:pPr>
      <w:r>
        <w:rPr>
          <w:rFonts w:hint="eastAsia" w:ascii="宋体" w:hAnsi="宋体" w:eastAsia="宋体" w:cs="宋体"/>
          <w:color w:val="auto"/>
          <w:szCs w:val="22"/>
          <w:highlight w:val="none"/>
          <w:lang w:eastAsia="zh-CN"/>
        </w:rPr>
        <w:t>2.4 交货期：项目完成期6个月（含深化设计、施工、强检、初验、试运行和终验）。其中，合同签订之日起2个月内完成施工，并通过初验。</w:t>
      </w:r>
    </w:p>
    <w:p w14:paraId="70803677">
      <w:pPr>
        <w:widowControl/>
        <w:ind w:firstLine="480" w:firstLineChars="200"/>
        <w:rPr>
          <w:rFonts w:hint="eastAsia" w:ascii="宋体" w:hAnsi="宋体" w:eastAsia="宋体" w:cs="宋体"/>
          <w:color w:val="auto"/>
          <w:szCs w:val="22"/>
          <w:highlight w:val="none"/>
          <w:lang w:eastAsia="zh-CN"/>
        </w:rPr>
      </w:pPr>
      <w:r>
        <w:rPr>
          <w:rFonts w:hint="eastAsia" w:ascii="宋体" w:hAnsi="宋体" w:eastAsia="宋体" w:cs="宋体"/>
          <w:color w:val="auto"/>
          <w:szCs w:val="22"/>
          <w:highlight w:val="none"/>
          <w:lang w:eastAsia="zh-CN"/>
        </w:rPr>
        <w:t>2.5 交货地点：广州白云国际机场三期扩建工程T3航站楼和E10地块公安楼内。</w:t>
      </w:r>
    </w:p>
    <w:p w14:paraId="77F4AE8C">
      <w:pPr>
        <w:widowControl/>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3. 投标人资格要求</w:t>
      </w:r>
    </w:p>
    <w:p w14:paraId="5934E6E2">
      <w:pPr>
        <w:widowControl/>
        <w:ind w:firstLine="480" w:firstLineChars="200"/>
        <w:rPr>
          <w:rFonts w:hint="eastAsia" w:ascii="宋体" w:hAnsi="宋体" w:eastAsia="宋体" w:cs="宋体"/>
          <w:color w:val="auto"/>
          <w:szCs w:val="22"/>
          <w:highlight w:val="none"/>
          <w:lang w:eastAsia="zh-CN"/>
        </w:rPr>
      </w:pPr>
      <w:r>
        <w:rPr>
          <w:rFonts w:hint="eastAsia" w:ascii="宋体" w:hAnsi="宋体" w:eastAsia="宋体" w:cs="宋体"/>
          <w:color w:val="auto"/>
          <w:szCs w:val="22"/>
          <w:highlight w:val="none"/>
          <w:lang w:eastAsia="zh-CN"/>
        </w:rPr>
        <w:t>3.1 投标人参加投标的意思表达清楚，投标人代表被授权有效。（提供法定代表人身份证明；委托投标的还应提供法人授权委托书及被委托人身份证明）</w:t>
      </w:r>
    </w:p>
    <w:p w14:paraId="51C1FF91">
      <w:pPr>
        <w:widowControl/>
        <w:ind w:firstLine="480" w:firstLineChars="200"/>
        <w:rPr>
          <w:rFonts w:hint="eastAsia" w:ascii="宋体" w:hAnsi="宋体" w:eastAsia="宋体" w:cs="宋体"/>
          <w:color w:val="auto"/>
          <w:szCs w:val="22"/>
          <w:highlight w:val="none"/>
          <w:lang w:eastAsia="zh-CN"/>
        </w:rPr>
      </w:pPr>
      <w:r>
        <w:rPr>
          <w:rFonts w:hint="eastAsia" w:ascii="宋体" w:hAnsi="宋体" w:eastAsia="宋体" w:cs="宋体"/>
          <w:color w:val="auto"/>
          <w:szCs w:val="22"/>
          <w:highlight w:val="none"/>
          <w:lang w:eastAsia="zh-CN"/>
        </w:rPr>
        <w:t>3.2 投标人为具有独立承担民事责任能力的在中华人民共和国境内注册的法人或其他组织或自然人，投标时提交有效的营业执照（或事业法人登记证或身份证等相关证明）副本复印件；</w:t>
      </w:r>
    </w:p>
    <w:p w14:paraId="2BC79626">
      <w:pPr>
        <w:widowControl/>
        <w:ind w:firstLine="480" w:firstLineChars="200"/>
        <w:rPr>
          <w:rFonts w:hint="default" w:ascii="宋体" w:hAnsi="宋体" w:eastAsia="宋体" w:cs="宋体"/>
          <w:color w:val="auto"/>
          <w:szCs w:val="22"/>
          <w:highlight w:val="none"/>
          <w:lang w:val="en-US" w:eastAsia="zh-CN"/>
        </w:rPr>
      </w:pPr>
      <w:r>
        <w:rPr>
          <w:rFonts w:hint="eastAsia" w:ascii="宋体" w:hAnsi="宋体" w:eastAsia="宋体" w:cs="宋体"/>
          <w:color w:val="auto"/>
          <w:szCs w:val="22"/>
          <w:highlight w:val="none"/>
          <w:lang w:eastAsia="zh-CN"/>
        </w:rPr>
        <w:t>3.3 本项目</w:t>
      </w:r>
      <w:r>
        <w:rPr>
          <w:rFonts w:hint="eastAsia" w:ascii="宋体" w:hAnsi="宋体" w:eastAsia="宋体" w:cs="宋体"/>
          <w:color w:val="auto"/>
          <w:szCs w:val="22"/>
          <w:highlight w:val="none"/>
          <w:lang w:val="en-US" w:eastAsia="zh-CN"/>
        </w:rPr>
        <w:t>不</w:t>
      </w:r>
      <w:r>
        <w:rPr>
          <w:rFonts w:hint="eastAsia" w:ascii="宋体" w:hAnsi="宋体" w:eastAsia="宋体" w:cs="宋体"/>
          <w:color w:val="auto"/>
          <w:szCs w:val="22"/>
          <w:highlight w:val="none"/>
          <w:lang w:eastAsia="zh-CN"/>
        </w:rPr>
        <w:t>属于专门面向中小微企业采购的项目</w:t>
      </w:r>
      <w:r>
        <w:rPr>
          <w:rFonts w:hint="eastAsia" w:ascii="宋体" w:hAnsi="宋体" w:eastAsia="宋体" w:cs="宋体"/>
          <w:color w:val="auto"/>
          <w:szCs w:val="22"/>
          <w:highlight w:val="none"/>
          <w:lang w:val="en-US" w:eastAsia="zh-CN"/>
        </w:rPr>
        <w:t>。</w:t>
      </w:r>
    </w:p>
    <w:p w14:paraId="6B665F68">
      <w:pPr>
        <w:widowControl/>
        <w:ind w:firstLine="480" w:firstLineChars="200"/>
        <w:rPr>
          <w:rFonts w:hint="eastAsia" w:ascii="宋体" w:hAnsi="宋体" w:eastAsia="宋体" w:cs="宋体"/>
          <w:color w:val="auto"/>
          <w:szCs w:val="22"/>
          <w:highlight w:val="none"/>
          <w:lang w:eastAsia="zh-CN"/>
        </w:rPr>
      </w:pPr>
      <w:r>
        <w:rPr>
          <w:rFonts w:hint="eastAsia" w:ascii="宋体" w:hAnsi="宋体" w:eastAsia="宋体" w:cs="宋体"/>
          <w:color w:val="auto"/>
          <w:szCs w:val="22"/>
          <w:highlight w:val="none"/>
          <w:lang w:eastAsia="zh-CN"/>
        </w:rPr>
        <w:t>3.</w:t>
      </w:r>
      <w:r>
        <w:rPr>
          <w:rFonts w:hint="eastAsia" w:ascii="宋体" w:hAnsi="宋体" w:eastAsia="宋体" w:cs="宋体"/>
          <w:color w:val="auto"/>
          <w:szCs w:val="22"/>
          <w:highlight w:val="none"/>
          <w:lang w:val="en-US" w:eastAsia="zh-CN"/>
        </w:rPr>
        <w:t>4</w:t>
      </w:r>
      <w:r>
        <w:rPr>
          <w:rFonts w:hint="eastAsia" w:ascii="宋体" w:hAnsi="宋体" w:eastAsia="宋体" w:cs="宋体"/>
          <w:color w:val="auto"/>
          <w:szCs w:val="22"/>
          <w:highlight w:val="none"/>
          <w:lang w:eastAsia="zh-CN"/>
        </w:rPr>
        <w:t xml:space="preserve"> 投标人已出具按照招标公告附件一规定格式的内容签署盖章的《投标人声明》。</w:t>
      </w:r>
    </w:p>
    <w:p w14:paraId="0E34985D">
      <w:pPr>
        <w:widowControl/>
        <w:ind w:firstLine="480" w:firstLineChars="200"/>
        <w:rPr>
          <w:rFonts w:hint="eastAsia" w:ascii="宋体" w:hAnsi="宋体" w:eastAsia="宋体" w:cs="宋体"/>
          <w:color w:val="auto"/>
          <w:szCs w:val="22"/>
          <w:highlight w:val="none"/>
          <w:lang w:eastAsia="zh-CN"/>
        </w:rPr>
      </w:pPr>
      <w:r>
        <w:rPr>
          <w:rFonts w:hint="eastAsia" w:ascii="宋体" w:hAnsi="宋体" w:eastAsia="宋体" w:cs="宋体"/>
          <w:color w:val="auto"/>
          <w:szCs w:val="22"/>
          <w:highlight w:val="none"/>
          <w:lang w:eastAsia="zh-CN"/>
        </w:rPr>
        <w:t>3.</w:t>
      </w:r>
      <w:r>
        <w:rPr>
          <w:rFonts w:hint="eastAsia" w:ascii="宋体" w:hAnsi="宋体" w:eastAsia="宋体" w:cs="宋体"/>
          <w:color w:val="auto"/>
          <w:szCs w:val="22"/>
          <w:highlight w:val="none"/>
          <w:lang w:val="en-US" w:eastAsia="zh-CN"/>
        </w:rPr>
        <w:t>5</w:t>
      </w:r>
      <w:r>
        <w:rPr>
          <w:rFonts w:hint="eastAsia" w:ascii="宋体" w:hAnsi="宋体" w:eastAsia="宋体" w:cs="宋体"/>
          <w:color w:val="auto"/>
          <w:szCs w:val="22"/>
          <w:highlight w:val="none"/>
          <w:lang w:eastAsia="zh-CN"/>
        </w:rPr>
        <w:t xml:space="preserve"> 投标人未出现以下情形：与其它投标人的单位负责人为同一人或者存在控股、管理关系的（按投标人提供的《投标人声明》第六条内容进行评审）。如不同投标人出现单位负责人为同一人或者存在控股、管理关系的情形，则视为无效投标。若同时投标，则均被否决。</w:t>
      </w:r>
    </w:p>
    <w:p w14:paraId="2B629D34">
      <w:pPr>
        <w:widowControl/>
        <w:ind w:firstLine="480" w:firstLineChars="200"/>
        <w:rPr>
          <w:rFonts w:hint="eastAsia" w:ascii="宋体" w:hAnsi="宋体" w:eastAsia="宋体" w:cs="宋体"/>
          <w:color w:val="auto"/>
          <w:szCs w:val="22"/>
          <w:highlight w:val="none"/>
          <w:lang w:val="en-US" w:eastAsia="zh-CN"/>
        </w:rPr>
      </w:pPr>
      <w:r>
        <w:rPr>
          <w:rFonts w:hint="eastAsia" w:ascii="宋体" w:hAnsi="宋体" w:eastAsia="宋体" w:cs="宋体"/>
          <w:color w:val="auto"/>
          <w:szCs w:val="22"/>
          <w:highlight w:val="none"/>
          <w:lang w:val="en-US" w:eastAsia="zh-CN"/>
        </w:rPr>
        <w:t>3.6</w:t>
      </w:r>
      <w:r>
        <w:rPr>
          <w:rFonts w:hint="eastAsia" w:cs="宋体"/>
          <w:color w:val="auto"/>
          <w:szCs w:val="22"/>
          <w:highlight w:val="none"/>
          <w:lang w:val="en-US" w:eastAsia="zh-CN"/>
        </w:rPr>
        <w:t xml:space="preserve"> </w:t>
      </w:r>
      <w:bookmarkStart w:id="1" w:name="_GoBack"/>
      <w:bookmarkEnd w:id="1"/>
      <w:r>
        <w:rPr>
          <w:rFonts w:hint="eastAsia" w:ascii="宋体" w:hAnsi="宋体" w:eastAsia="宋体" w:cs="宋体"/>
          <w:color w:val="auto"/>
          <w:szCs w:val="22"/>
          <w:highlight w:val="none"/>
          <w:lang w:eastAsia="zh-CN"/>
        </w:rPr>
        <w:t>投标人须持有住房和城乡建设部门核发且在有效期内的电子与智能化工程专业承包二级或以上资质，或根据《建设工程企业资质管理制度改革方案》（建市〔2020〕94号）整合后的建筑机电工程专业承包乙级或以上资质。并同时具备建设行政主管部门颁发的有效《安全生产许可证》。（提供符合相关规定的有效建筑业企业资质证书及安全生产许可证）</w:t>
      </w:r>
    </w:p>
    <w:p w14:paraId="705EC09D">
      <w:pPr>
        <w:widowControl/>
        <w:tabs>
          <w:tab w:val="left" w:pos="6374"/>
        </w:tabs>
        <w:ind w:firstLine="480" w:firstLineChars="200"/>
        <w:rPr>
          <w:rFonts w:hint="eastAsia" w:ascii="宋体" w:hAnsi="宋体" w:eastAsia="宋体" w:cs="宋体"/>
          <w:color w:val="auto"/>
          <w:szCs w:val="22"/>
          <w:highlight w:val="none"/>
          <w:lang w:eastAsia="zh-CN"/>
        </w:rPr>
      </w:pPr>
      <w:r>
        <w:rPr>
          <w:rFonts w:hint="eastAsia" w:ascii="宋体" w:hAnsi="宋体" w:eastAsia="宋体" w:cs="宋体"/>
          <w:color w:val="auto"/>
          <w:szCs w:val="22"/>
          <w:highlight w:val="none"/>
          <w:lang w:eastAsia="zh-CN"/>
        </w:rPr>
        <w:t>3.</w:t>
      </w:r>
      <w:r>
        <w:rPr>
          <w:rFonts w:hint="eastAsia" w:ascii="宋体" w:hAnsi="宋体" w:eastAsia="宋体" w:cs="宋体"/>
          <w:color w:val="auto"/>
          <w:szCs w:val="22"/>
          <w:highlight w:val="none"/>
          <w:lang w:val="en-US" w:eastAsia="zh-CN"/>
        </w:rPr>
        <w:t>7</w:t>
      </w:r>
      <w:r>
        <w:rPr>
          <w:rFonts w:hint="eastAsia" w:ascii="宋体" w:hAnsi="宋体" w:eastAsia="宋体" w:cs="宋体"/>
          <w:color w:val="auto"/>
          <w:szCs w:val="22"/>
          <w:highlight w:val="none"/>
          <w:lang w:eastAsia="zh-CN"/>
        </w:rPr>
        <w:t xml:space="preserve"> 本次招标不接受联合体投标。</w:t>
      </w:r>
    </w:p>
    <w:p w14:paraId="439FA6B4">
      <w:pPr>
        <w:widowControl/>
        <w:ind w:firstLine="480" w:firstLineChars="200"/>
        <w:rPr>
          <w:rFonts w:hint="eastAsia" w:ascii="宋体" w:hAnsi="宋体" w:eastAsia="宋体" w:cs="宋体"/>
          <w:color w:val="auto"/>
          <w:szCs w:val="22"/>
          <w:highlight w:val="none"/>
          <w:lang w:eastAsia="zh-CN"/>
        </w:rPr>
      </w:pPr>
      <w:r>
        <w:rPr>
          <w:rFonts w:hint="eastAsia" w:ascii="宋体" w:hAnsi="宋体" w:eastAsia="宋体" w:cs="宋体"/>
          <w:color w:val="auto"/>
          <w:szCs w:val="22"/>
          <w:highlight w:val="none"/>
          <w:lang w:eastAsia="zh-CN"/>
        </w:rPr>
        <w:t>注：未在本“投标人资格要求”单列的投标人资格要求条件，不作为资审不合格的依据。</w:t>
      </w:r>
    </w:p>
    <w:p w14:paraId="1DB414F7">
      <w:pPr>
        <w:widowControl/>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4. 招标公告发布和招标文件的获取</w:t>
      </w:r>
    </w:p>
    <w:p w14:paraId="726BFCCF">
      <w:pPr>
        <w:widowControl/>
        <w:ind w:firstLine="480" w:firstLineChars="200"/>
        <w:rPr>
          <w:rFonts w:hint="eastAsia" w:ascii="宋体" w:hAnsi="宋体" w:eastAsia="宋体" w:cs="宋体"/>
          <w:color w:val="auto"/>
          <w:szCs w:val="22"/>
          <w:highlight w:val="none"/>
          <w:lang w:eastAsia="zh-CN"/>
        </w:rPr>
      </w:pPr>
      <w:r>
        <w:rPr>
          <w:rFonts w:hint="eastAsia" w:ascii="宋体" w:hAnsi="宋体" w:eastAsia="宋体" w:cs="宋体"/>
          <w:color w:val="auto"/>
          <w:szCs w:val="22"/>
          <w:highlight w:val="none"/>
          <w:lang w:eastAsia="zh-CN"/>
        </w:rPr>
        <w:t>4.1 招标公告发布时间</w:t>
      </w:r>
    </w:p>
    <w:p w14:paraId="69B8477E">
      <w:pPr>
        <w:widowControl/>
        <w:ind w:firstLine="480" w:firstLineChars="200"/>
        <w:rPr>
          <w:rFonts w:hint="eastAsia" w:ascii="宋体" w:hAnsi="宋体" w:eastAsia="宋体" w:cs="宋体"/>
          <w:color w:val="auto"/>
          <w:szCs w:val="22"/>
          <w:highlight w:val="none"/>
          <w:lang w:eastAsia="zh-CN"/>
        </w:rPr>
      </w:pPr>
      <w:r>
        <w:rPr>
          <w:rFonts w:hint="eastAsia" w:ascii="宋体" w:hAnsi="宋体" w:eastAsia="宋体" w:cs="宋体"/>
          <w:color w:val="auto"/>
          <w:szCs w:val="22"/>
          <w:highlight w:val="none"/>
          <w:lang w:eastAsia="zh-CN"/>
        </w:rPr>
        <w:t>从</w:t>
      </w:r>
      <w:r>
        <w:rPr>
          <w:rFonts w:hint="eastAsia" w:ascii="宋体" w:hAnsi="宋体" w:eastAsia="宋体" w:cs="宋体"/>
          <w:color w:val="auto"/>
          <w:szCs w:val="22"/>
          <w:highlight w:val="none"/>
          <w:u w:val="single"/>
          <w:lang w:eastAsia="zh-CN"/>
        </w:rPr>
        <w:t>2025</w:t>
      </w:r>
      <w:r>
        <w:rPr>
          <w:rFonts w:hint="eastAsia" w:ascii="宋体" w:hAnsi="宋体" w:eastAsia="宋体" w:cs="宋体"/>
          <w:color w:val="auto"/>
          <w:szCs w:val="22"/>
          <w:highlight w:val="none"/>
          <w:lang w:eastAsia="zh-CN"/>
        </w:rPr>
        <w:t>年</w:t>
      </w:r>
      <w:r>
        <w:rPr>
          <w:rFonts w:hint="eastAsia" w:ascii="宋体" w:hAnsi="宋体" w:eastAsia="宋体" w:cs="宋体"/>
          <w:color w:val="auto"/>
          <w:szCs w:val="22"/>
          <w:highlight w:val="none"/>
          <w:u w:val="single"/>
          <w:lang w:eastAsia="zh-CN"/>
        </w:rPr>
        <w:t xml:space="preserve">  </w:t>
      </w:r>
      <w:r>
        <w:rPr>
          <w:rFonts w:hint="eastAsia" w:ascii="宋体" w:hAnsi="宋体" w:eastAsia="宋体" w:cs="宋体"/>
          <w:color w:val="auto"/>
          <w:szCs w:val="22"/>
          <w:highlight w:val="none"/>
          <w:lang w:eastAsia="zh-CN"/>
        </w:rPr>
        <w:t>月</w:t>
      </w:r>
      <w:r>
        <w:rPr>
          <w:rFonts w:hint="eastAsia" w:ascii="宋体" w:hAnsi="宋体" w:eastAsia="宋体" w:cs="宋体"/>
          <w:color w:val="auto"/>
          <w:szCs w:val="22"/>
          <w:highlight w:val="none"/>
          <w:u w:val="single"/>
          <w:lang w:eastAsia="zh-CN"/>
        </w:rPr>
        <w:t xml:space="preserve">  </w:t>
      </w:r>
      <w:r>
        <w:rPr>
          <w:rFonts w:hint="eastAsia" w:ascii="宋体" w:hAnsi="宋体" w:eastAsia="宋体" w:cs="宋体"/>
          <w:color w:val="auto"/>
          <w:szCs w:val="22"/>
          <w:highlight w:val="none"/>
          <w:lang w:eastAsia="zh-CN"/>
        </w:rPr>
        <w:t>日</w:t>
      </w:r>
      <w:r>
        <w:rPr>
          <w:rFonts w:hint="eastAsia" w:ascii="宋体" w:hAnsi="宋体" w:eastAsia="宋体" w:cs="宋体"/>
          <w:color w:val="auto"/>
          <w:szCs w:val="22"/>
          <w:highlight w:val="none"/>
          <w:u w:val="single"/>
          <w:lang w:eastAsia="zh-CN"/>
        </w:rPr>
        <w:t xml:space="preserve">  </w:t>
      </w:r>
      <w:r>
        <w:rPr>
          <w:rFonts w:hint="eastAsia" w:ascii="宋体" w:hAnsi="宋体" w:eastAsia="宋体" w:cs="宋体"/>
          <w:color w:val="auto"/>
          <w:szCs w:val="22"/>
          <w:highlight w:val="none"/>
          <w:lang w:eastAsia="zh-CN"/>
        </w:rPr>
        <w:t>时</w:t>
      </w:r>
      <w:r>
        <w:rPr>
          <w:rFonts w:hint="eastAsia" w:ascii="宋体" w:hAnsi="宋体" w:eastAsia="宋体" w:cs="宋体"/>
          <w:color w:val="auto"/>
          <w:szCs w:val="22"/>
          <w:highlight w:val="none"/>
          <w:u w:val="single"/>
          <w:lang w:eastAsia="zh-CN"/>
        </w:rPr>
        <w:t xml:space="preserve">  </w:t>
      </w:r>
      <w:r>
        <w:rPr>
          <w:rFonts w:hint="eastAsia" w:ascii="宋体" w:hAnsi="宋体" w:eastAsia="宋体" w:cs="宋体"/>
          <w:color w:val="auto"/>
          <w:szCs w:val="22"/>
          <w:highlight w:val="none"/>
          <w:lang w:eastAsia="zh-CN"/>
        </w:rPr>
        <w:t>分至</w:t>
      </w:r>
      <w:r>
        <w:rPr>
          <w:rFonts w:hint="eastAsia" w:ascii="宋体" w:hAnsi="宋体" w:eastAsia="宋体" w:cs="宋体"/>
          <w:color w:val="auto"/>
          <w:szCs w:val="22"/>
          <w:highlight w:val="none"/>
          <w:u w:val="single"/>
          <w:lang w:eastAsia="zh-CN"/>
        </w:rPr>
        <w:t>2025</w:t>
      </w:r>
      <w:r>
        <w:rPr>
          <w:rFonts w:hint="eastAsia" w:ascii="宋体" w:hAnsi="宋体" w:eastAsia="宋体" w:cs="宋体"/>
          <w:color w:val="auto"/>
          <w:szCs w:val="22"/>
          <w:highlight w:val="none"/>
          <w:lang w:eastAsia="zh-CN"/>
        </w:rPr>
        <w:t>年</w:t>
      </w:r>
      <w:r>
        <w:rPr>
          <w:rFonts w:hint="eastAsia" w:ascii="宋体" w:hAnsi="宋体" w:eastAsia="宋体" w:cs="宋体"/>
          <w:color w:val="auto"/>
          <w:szCs w:val="22"/>
          <w:highlight w:val="none"/>
          <w:u w:val="single"/>
          <w:lang w:eastAsia="zh-CN"/>
        </w:rPr>
        <w:t xml:space="preserve">  </w:t>
      </w:r>
      <w:r>
        <w:rPr>
          <w:rFonts w:hint="eastAsia" w:ascii="宋体" w:hAnsi="宋体" w:eastAsia="宋体" w:cs="宋体"/>
          <w:color w:val="auto"/>
          <w:szCs w:val="22"/>
          <w:highlight w:val="none"/>
          <w:lang w:eastAsia="zh-CN"/>
        </w:rPr>
        <w:t>月</w:t>
      </w:r>
      <w:r>
        <w:rPr>
          <w:rFonts w:hint="eastAsia" w:ascii="宋体" w:hAnsi="宋体" w:eastAsia="宋体" w:cs="宋体"/>
          <w:color w:val="auto"/>
          <w:szCs w:val="22"/>
          <w:highlight w:val="none"/>
          <w:u w:val="single"/>
          <w:lang w:eastAsia="zh-CN"/>
        </w:rPr>
        <w:t xml:space="preserve">  </w:t>
      </w:r>
      <w:r>
        <w:rPr>
          <w:rFonts w:hint="eastAsia" w:ascii="宋体" w:hAnsi="宋体" w:eastAsia="宋体" w:cs="宋体"/>
          <w:color w:val="auto"/>
          <w:szCs w:val="22"/>
          <w:highlight w:val="none"/>
          <w:lang w:eastAsia="zh-CN"/>
        </w:rPr>
        <w:t>日</w:t>
      </w:r>
      <w:r>
        <w:rPr>
          <w:rFonts w:hint="eastAsia" w:ascii="宋体" w:hAnsi="宋体" w:eastAsia="宋体" w:cs="宋体"/>
          <w:color w:val="auto"/>
          <w:szCs w:val="22"/>
          <w:highlight w:val="none"/>
          <w:u w:val="single"/>
          <w:lang w:eastAsia="zh-CN"/>
        </w:rPr>
        <w:t xml:space="preserve">  </w:t>
      </w:r>
      <w:r>
        <w:rPr>
          <w:rFonts w:hint="eastAsia" w:ascii="宋体" w:hAnsi="宋体" w:eastAsia="宋体" w:cs="宋体"/>
          <w:color w:val="auto"/>
          <w:szCs w:val="22"/>
          <w:highlight w:val="none"/>
          <w:lang w:eastAsia="zh-CN"/>
        </w:rPr>
        <w:t>时</w:t>
      </w:r>
      <w:r>
        <w:rPr>
          <w:rFonts w:hint="eastAsia" w:ascii="宋体" w:hAnsi="宋体" w:eastAsia="宋体" w:cs="宋体"/>
          <w:color w:val="auto"/>
          <w:szCs w:val="22"/>
          <w:highlight w:val="none"/>
          <w:u w:val="single"/>
          <w:lang w:eastAsia="zh-CN"/>
        </w:rPr>
        <w:t xml:space="preserve">  </w:t>
      </w:r>
      <w:r>
        <w:rPr>
          <w:rFonts w:hint="eastAsia" w:ascii="宋体" w:hAnsi="宋体" w:eastAsia="宋体" w:cs="宋体"/>
          <w:color w:val="auto"/>
          <w:szCs w:val="22"/>
          <w:highlight w:val="none"/>
          <w:lang w:eastAsia="zh-CN"/>
        </w:rPr>
        <w:t>分（北京时间），凡有意参加投标者，请登录广州交易集团有限公司（广州公共资源交易中心）下载电子招标文件。</w:t>
      </w:r>
    </w:p>
    <w:p w14:paraId="040924B1">
      <w:pPr>
        <w:widowControl/>
        <w:ind w:firstLine="480" w:firstLineChars="200"/>
        <w:rPr>
          <w:rFonts w:hint="eastAsia" w:ascii="宋体" w:hAnsi="宋体" w:eastAsia="宋体" w:cs="宋体"/>
          <w:color w:val="auto"/>
          <w:szCs w:val="22"/>
          <w:highlight w:val="none"/>
          <w:lang w:eastAsia="zh-CN"/>
        </w:rPr>
      </w:pPr>
      <w:r>
        <w:rPr>
          <w:rFonts w:hint="eastAsia" w:ascii="宋体" w:hAnsi="宋体" w:eastAsia="宋体" w:cs="宋体"/>
          <w:color w:val="auto"/>
          <w:szCs w:val="22"/>
          <w:highlight w:val="none"/>
          <w:lang w:eastAsia="zh-CN"/>
        </w:rPr>
        <w:t>4.2 招标文件获取方式</w:t>
      </w:r>
    </w:p>
    <w:p w14:paraId="668086E8">
      <w:pPr>
        <w:widowControl/>
        <w:ind w:firstLine="480" w:firstLineChars="200"/>
        <w:rPr>
          <w:rFonts w:hint="eastAsia" w:ascii="宋体" w:hAnsi="宋体" w:eastAsia="宋体" w:cs="宋体"/>
          <w:color w:val="auto"/>
          <w:szCs w:val="22"/>
          <w:highlight w:val="none"/>
          <w:lang w:eastAsia="zh-CN"/>
        </w:rPr>
      </w:pPr>
      <w:r>
        <w:rPr>
          <w:rFonts w:hint="eastAsia" w:ascii="宋体" w:hAnsi="宋体" w:eastAsia="宋体" w:cs="宋体"/>
          <w:color w:val="auto"/>
          <w:szCs w:val="22"/>
          <w:highlight w:val="none"/>
          <w:lang w:eastAsia="zh-CN"/>
        </w:rPr>
        <w:t>本项目招标文件随招标公告一并在广州交易集团有限公司（广州公共资源交易中心）网站发布，由投标人自行下载。招标文件一经在广州公共资源交易中心发布，视为送达给投标人。</w:t>
      </w:r>
    </w:p>
    <w:p w14:paraId="5688DB00">
      <w:pPr>
        <w:widowControl/>
        <w:ind w:firstLine="480" w:firstLineChars="200"/>
        <w:rPr>
          <w:rFonts w:hint="eastAsia" w:ascii="宋体" w:hAnsi="宋体" w:eastAsia="宋体" w:cs="宋体"/>
          <w:color w:val="auto"/>
          <w:szCs w:val="22"/>
          <w:highlight w:val="none"/>
          <w:lang w:eastAsia="zh-CN"/>
        </w:rPr>
      </w:pPr>
      <w:r>
        <w:rPr>
          <w:rFonts w:hint="eastAsia" w:ascii="宋体" w:hAnsi="宋体" w:eastAsia="宋体" w:cs="宋体"/>
          <w:color w:val="auto"/>
          <w:szCs w:val="22"/>
          <w:highlight w:val="none"/>
          <w:lang w:eastAsia="zh-CN"/>
        </w:rPr>
        <w:t>注：发布招标公告的时间为招标公告发出之日起至投标截止时间止。招标公告发布之日起计算编制投标文件时间，编制投标文件的时间不得少于20天。</w:t>
      </w:r>
    </w:p>
    <w:p w14:paraId="78A37BEC">
      <w:pPr>
        <w:widowControl/>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5. 投标文件的递交</w:t>
      </w:r>
    </w:p>
    <w:p w14:paraId="6A091588">
      <w:pPr>
        <w:widowControl/>
        <w:ind w:firstLine="480" w:firstLineChars="200"/>
        <w:rPr>
          <w:rFonts w:hint="eastAsia" w:ascii="宋体" w:hAnsi="宋体" w:eastAsia="宋体" w:cs="宋体"/>
          <w:color w:val="auto"/>
          <w:kern w:val="2"/>
          <w:highlight w:val="none"/>
          <w:lang w:eastAsia="zh-CN"/>
        </w:rPr>
      </w:pPr>
      <w:r>
        <w:rPr>
          <w:rFonts w:hint="eastAsia" w:ascii="宋体" w:hAnsi="宋体" w:eastAsia="宋体" w:cs="宋体"/>
          <w:color w:val="auto"/>
          <w:kern w:val="2"/>
          <w:highlight w:val="none"/>
          <w:lang w:eastAsia="zh-CN"/>
        </w:rPr>
        <w:t>5.1 递交投标文件起始时间：</w:t>
      </w:r>
      <w:r>
        <w:rPr>
          <w:rFonts w:hint="eastAsia" w:ascii="宋体" w:hAnsi="宋体" w:eastAsia="宋体" w:cs="宋体"/>
          <w:bCs/>
          <w:color w:val="auto"/>
          <w:kern w:val="2"/>
          <w:szCs w:val="22"/>
          <w:highlight w:val="none"/>
          <w:u w:val="single"/>
          <w:lang w:eastAsia="zh-CN"/>
        </w:rPr>
        <w:t>2025</w:t>
      </w:r>
      <w:r>
        <w:rPr>
          <w:rFonts w:hint="eastAsia" w:ascii="宋体" w:hAnsi="宋体" w:eastAsia="宋体" w:cs="宋体"/>
          <w:bCs/>
          <w:color w:val="auto"/>
          <w:kern w:val="2"/>
          <w:szCs w:val="22"/>
          <w:highlight w:val="none"/>
          <w:lang w:eastAsia="zh-CN"/>
        </w:rPr>
        <w:t>年</w:t>
      </w:r>
      <w:r>
        <w:rPr>
          <w:rFonts w:hint="eastAsia" w:ascii="宋体" w:hAnsi="宋体" w:eastAsia="宋体" w:cs="宋体"/>
          <w:bCs/>
          <w:color w:val="auto"/>
          <w:kern w:val="2"/>
          <w:szCs w:val="22"/>
          <w:highlight w:val="none"/>
          <w:u w:val="single"/>
          <w:lang w:eastAsia="zh-CN"/>
        </w:rPr>
        <w:t xml:space="preserve">  </w:t>
      </w:r>
      <w:r>
        <w:rPr>
          <w:rFonts w:hint="eastAsia" w:ascii="宋体" w:hAnsi="宋体" w:eastAsia="宋体" w:cs="宋体"/>
          <w:bCs/>
          <w:color w:val="auto"/>
          <w:kern w:val="2"/>
          <w:szCs w:val="22"/>
          <w:highlight w:val="none"/>
          <w:lang w:eastAsia="zh-CN"/>
        </w:rPr>
        <w:t>月</w:t>
      </w:r>
      <w:r>
        <w:rPr>
          <w:rFonts w:hint="eastAsia" w:ascii="宋体" w:hAnsi="宋体" w:eastAsia="宋体" w:cs="宋体"/>
          <w:bCs/>
          <w:color w:val="auto"/>
          <w:kern w:val="2"/>
          <w:szCs w:val="22"/>
          <w:highlight w:val="none"/>
          <w:u w:val="single"/>
          <w:lang w:eastAsia="zh-CN"/>
        </w:rPr>
        <w:t xml:space="preserve">  </w:t>
      </w:r>
      <w:r>
        <w:rPr>
          <w:rFonts w:hint="eastAsia" w:ascii="宋体" w:hAnsi="宋体" w:eastAsia="宋体" w:cs="宋体"/>
          <w:bCs/>
          <w:color w:val="auto"/>
          <w:kern w:val="2"/>
          <w:szCs w:val="22"/>
          <w:highlight w:val="none"/>
          <w:lang w:eastAsia="zh-CN"/>
        </w:rPr>
        <w:t>日</w:t>
      </w:r>
      <w:r>
        <w:rPr>
          <w:rFonts w:hint="eastAsia" w:ascii="宋体" w:hAnsi="宋体" w:eastAsia="宋体" w:cs="宋体"/>
          <w:bCs/>
          <w:color w:val="auto"/>
          <w:kern w:val="2"/>
          <w:szCs w:val="22"/>
          <w:highlight w:val="none"/>
          <w:u w:val="single"/>
          <w:lang w:eastAsia="zh-CN"/>
        </w:rPr>
        <w:t xml:space="preserve">  </w:t>
      </w:r>
      <w:r>
        <w:rPr>
          <w:rFonts w:hint="eastAsia" w:ascii="宋体" w:hAnsi="宋体" w:eastAsia="宋体" w:cs="宋体"/>
          <w:bCs/>
          <w:color w:val="auto"/>
          <w:kern w:val="2"/>
          <w:szCs w:val="22"/>
          <w:highlight w:val="none"/>
          <w:lang w:eastAsia="zh-CN"/>
        </w:rPr>
        <w:t>时</w:t>
      </w:r>
      <w:r>
        <w:rPr>
          <w:rFonts w:hint="eastAsia" w:ascii="宋体" w:hAnsi="宋体" w:eastAsia="宋体" w:cs="宋体"/>
          <w:bCs/>
          <w:color w:val="auto"/>
          <w:kern w:val="2"/>
          <w:szCs w:val="22"/>
          <w:highlight w:val="none"/>
          <w:u w:val="single"/>
          <w:lang w:eastAsia="zh-CN"/>
        </w:rPr>
        <w:t xml:space="preserve">  </w:t>
      </w:r>
      <w:r>
        <w:rPr>
          <w:rFonts w:hint="eastAsia" w:ascii="宋体" w:hAnsi="宋体" w:eastAsia="宋体" w:cs="宋体"/>
          <w:bCs/>
          <w:color w:val="auto"/>
          <w:kern w:val="2"/>
          <w:szCs w:val="22"/>
          <w:highlight w:val="none"/>
          <w:lang w:eastAsia="zh-CN"/>
        </w:rPr>
        <w:t>分</w:t>
      </w:r>
    </w:p>
    <w:p w14:paraId="62C145BA">
      <w:pPr>
        <w:widowControl/>
        <w:ind w:left="1920" w:leftChars="800" w:firstLine="480" w:firstLineChars="200"/>
        <w:rPr>
          <w:rFonts w:hint="eastAsia" w:ascii="宋体" w:hAnsi="宋体" w:eastAsia="宋体" w:cs="宋体"/>
          <w:color w:val="auto"/>
          <w:kern w:val="2"/>
          <w:highlight w:val="none"/>
          <w:lang w:eastAsia="zh-CN"/>
        </w:rPr>
      </w:pPr>
      <w:r>
        <w:rPr>
          <w:rFonts w:hint="eastAsia" w:ascii="宋体" w:hAnsi="宋体" w:eastAsia="宋体" w:cs="宋体"/>
          <w:color w:val="auto"/>
          <w:kern w:val="2"/>
          <w:highlight w:val="none"/>
          <w:lang w:eastAsia="zh-CN"/>
        </w:rPr>
        <w:t>截止时间：</w:t>
      </w:r>
      <w:r>
        <w:rPr>
          <w:rFonts w:hint="eastAsia" w:ascii="宋体" w:hAnsi="宋体" w:eastAsia="宋体" w:cs="宋体"/>
          <w:bCs/>
          <w:color w:val="auto"/>
          <w:kern w:val="2"/>
          <w:szCs w:val="22"/>
          <w:highlight w:val="none"/>
          <w:u w:val="single"/>
          <w:lang w:eastAsia="zh-CN"/>
        </w:rPr>
        <w:t>2025</w:t>
      </w:r>
      <w:r>
        <w:rPr>
          <w:rFonts w:hint="eastAsia" w:ascii="宋体" w:hAnsi="宋体" w:eastAsia="宋体" w:cs="宋体"/>
          <w:bCs/>
          <w:color w:val="auto"/>
          <w:kern w:val="2"/>
          <w:szCs w:val="22"/>
          <w:highlight w:val="none"/>
          <w:lang w:eastAsia="zh-CN"/>
        </w:rPr>
        <w:t>年</w:t>
      </w:r>
      <w:r>
        <w:rPr>
          <w:rFonts w:hint="eastAsia" w:ascii="宋体" w:hAnsi="宋体" w:eastAsia="宋体" w:cs="宋体"/>
          <w:bCs/>
          <w:color w:val="auto"/>
          <w:kern w:val="2"/>
          <w:szCs w:val="22"/>
          <w:highlight w:val="none"/>
          <w:u w:val="single"/>
          <w:lang w:eastAsia="zh-CN"/>
        </w:rPr>
        <w:t xml:space="preserve">  </w:t>
      </w:r>
      <w:r>
        <w:rPr>
          <w:rFonts w:hint="eastAsia" w:ascii="宋体" w:hAnsi="宋体" w:eastAsia="宋体" w:cs="宋体"/>
          <w:bCs/>
          <w:color w:val="auto"/>
          <w:kern w:val="2"/>
          <w:szCs w:val="22"/>
          <w:highlight w:val="none"/>
          <w:lang w:eastAsia="zh-CN"/>
        </w:rPr>
        <w:t>月</w:t>
      </w:r>
      <w:r>
        <w:rPr>
          <w:rFonts w:hint="eastAsia" w:ascii="宋体" w:hAnsi="宋体" w:eastAsia="宋体" w:cs="宋体"/>
          <w:bCs/>
          <w:color w:val="auto"/>
          <w:kern w:val="2"/>
          <w:szCs w:val="22"/>
          <w:highlight w:val="none"/>
          <w:u w:val="single"/>
          <w:lang w:eastAsia="zh-CN"/>
        </w:rPr>
        <w:t xml:space="preserve">  </w:t>
      </w:r>
      <w:r>
        <w:rPr>
          <w:rFonts w:hint="eastAsia" w:ascii="宋体" w:hAnsi="宋体" w:eastAsia="宋体" w:cs="宋体"/>
          <w:bCs/>
          <w:color w:val="auto"/>
          <w:kern w:val="2"/>
          <w:szCs w:val="22"/>
          <w:highlight w:val="none"/>
          <w:lang w:eastAsia="zh-CN"/>
        </w:rPr>
        <w:t>日</w:t>
      </w:r>
      <w:r>
        <w:rPr>
          <w:rFonts w:hint="eastAsia" w:ascii="宋体" w:hAnsi="宋体" w:eastAsia="宋体" w:cs="宋体"/>
          <w:bCs/>
          <w:color w:val="auto"/>
          <w:kern w:val="2"/>
          <w:szCs w:val="22"/>
          <w:highlight w:val="none"/>
          <w:u w:val="single"/>
          <w:lang w:eastAsia="zh-CN"/>
        </w:rPr>
        <w:t xml:space="preserve">  </w:t>
      </w:r>
      <w:r>
        <w:rPr>
          <w:rFonts w:hint="eastAsia" w:ascii="宋体" w:hAnsi="宋体" w:eastAsia="宋体" w:cs="宋体"/>
          <w:bCs/>
          <w:color w:val="auto"/>
          <w:kern w:val="2"/>
          <w:szCs w:val="22"/>
          <w:highlight w:val="none"/>
          <w:lang w:eastAsia="zh-CN"/>
        </w:rPr>
        <w:t>时</w:t>
      </w:r>
      <w:r>
        <w:rPr>
          <w:rFonts w:hint="eastAsia" w:ascii="宋体" w:hAnsi="宋体" w:eastAsia="宋体" w:cs="宋体"/>
          <w:bCs/>
          <w:color w:val="auto"/>
          <w:kern w:val="2"/>
          <w:szCs w:val="22"/>
          <w:highlight w:val="none"/>
          <w:u w:val="single"/>
          <w:lang w:eastAsia="zh-CN"/>
        </w:rPr>
        <w:t xml:space="preserve">  </w:t>
      </w:r>
      <w:r>
        <w:rPr>
          <w:rFonts w:hint="eastAsia" w:ascii="宋体" w:hAnsi="宋体" w:eastAsia="宋体" w:cs="宋体"/>
          <w:bCs/>
          <w:color w:val="auto"/>
          <w:kern w:val="2"/>
          <w:szCs w:val="22"/>
          <w:highlight w:val="none"/>
          <w:lang w:eastAsia="zh-CN"/>
        </w:rPr>
        <w:t>分</w:t>
      </w:r>
    </w:p>
    <w:p w14:paraId="473E358A">
      <w:pPr>
        <w:widowControl/>
        <w:ind w:firstLine="480" w:firstLineChars="200"/>
        <w:rPr>
          <w:rFonts w:hint="eastAsia" w:ascii="宋体" w:hAnsi="宋体" w:eastAsia="宋体" w:cs="宋体"/>
          <w:color w:val="auto"/>
          <w:kern w:val="2"/>
          <w:highlight w:val="none"/>
          <w:lang w:eastAsia="zh-CN"/>
        </w:rPr>
      </w:pPr>
      <w:r>
        <w:rPr>
          <w:rFonts w:hint="eastAsia" w:ascii="宋体" w:hAnsi="宋体" w:eastAsia="宋体" w:cs="宋体"/>
          <w:color w:val="auto"/>
          <w:kern w:val="2"/>
          <w:highlight w:val="none"/>
          <w:lang w:eastAsia="zh-CN"/>
        </w:rPr>
        <w:t>在投标截止时间后半小时内，投标人通过</w:t>
      </w:r>
      <w:r>
        <w:rPr>
          <w:rFonts w:hint="eastAsia" w:ascii="宋体" w:hAnsi="宋体" w:eastAsia="宋体" w:cs="宋体"/>
          <w:color w:val="auto"/>
          <w:kern w:val="2"/>
          <w:highlight w:val="none"/>
          <w:u w:val="single"/>
          <w:lang w:eastAsia="zh-CN"/>
        </w:rPr>
        <w:t>广州交易集团有限公司（广州公共资源交易中心）</w:t>
      </w:r>
      <w:r>
        <w:rPr>
          <w:rFonts w:hint="eastAsia" w:ascii="宋体" w:hAnsi="宋体" w:eastAsia="宋体" w:cs="宋体"/>
          <w:color w:val="auto"/>
          <w:kern w:val="2"/>
          <w:highlight w:val="none"/>
          <w:lang w:eastAsia="zh-CN"/>
        </w:rPr>
        <w:t>网站对已递交的电子投标文件进行解密。</w:t>
      </w:r>
    </w:p>
    <w:p w14:paraId="2E841558">
      <w:pPr>
        <w:widowControl/>
        <w:ind w:firstLine="480" w:firstLineChars="200"/>
        <w:rPr>
          <w:rFonts w:hint="eastAsia" w:ascii="宋体" w:hAnsi="宋体" w:eastAsia="宋体" w:cs="宋体"/>
          <w:color w:val="auto"/>
          <w:kern w:val="2"/>
          <w:highlight w:val="none"/>
          <w:lang w:eastAsia="zh-CN"/>
        </w:rPr>
      </w:pPr>
      <w:r>
        <w:rPr>
          <w:rFonts w:hint="eastAsia" w:ascii="宋体" w:hAnsi="宋体" w:eastAsia="宋体" w:cs="宋体"/>
          <w:color w:val="auto"/>
          <w:kern w:val="2"/>
          <w:highlight w:val="none"/>
          <w:lang w:eastAsia="zh-CN"/>
        </w:rPr>
        <w:t>递交投标文件备用光盘起止时间：</w:t>
      </w:r>
      <w:r>
        <w:rPr>
          <w:rFonts w:hint="eastAsia" w:ascii="宋体" w:hAnsi="宋体" w:eastAsia="宋体" w:cs="宋体"/>
          <w:color w:val="auto"/>
          <w:kern w:val="2"/>
          <w:highlight w:val="none"/>
          <w:u w:val="single"/>
          <w:lang w:eastAsia="zh-CN"/>
        </w:rPr>
        <w:t>2025</w:t>
      </w:r>
      <w:r>
        <w:rPr>
          <w:rFonts w:hint="eastAsia" w:ascii="宋体" w:hAnsi="宋体" w:eastAsia="宋体" w:cs="宋体"/>
          <w:color w:val="auto"/>
          <w:kern w:val="2"/>
          <w:highlight w:val="none"/>
          <w:lang w:eastAsia="zh-CN"/>
        </w:rPr>
        <w:t>年</w:t>
      </w:r>
      <w:r>
        <w:rPr>
          <w:rFonts w:hint="eastAsia" w:ascii="宋体" w:hAnsi="宋体" w:eastAsia="宋体" w:cs="宋体"/>
          <w:color w:val="auto"/>
          <w:kern w:val="2"/>
          <w:highlight w:val="none"/>
          <w:u w:val="single"/>
          <w:lang w:eastAsia="zh-CN"/>
        </w:rPr>
        <w:t xml:space="preserve">  </w:t>
      </w:r>
      <w:r>
        <w:rPr>
          <w:rFonts w:hint="eastAsia" w:ascii="宋体" w:hAnsi="宋体" w:eastAsia="宋体" w:cs="宋体"/>
          <w:color w:val="auto"/>
          <w:kern w:val="2"/>
          <w:highlight w:val="none"/>
          <w:lang w:eastAsia="zh-CN"/>
        </w:rPr>
        <w:t>月</w:t>
      </w:r>
      <w:r>
        <w:rPr>
          <w:rFonts w:hint="eastAsia" w:ascii="宋体" w:hAnsi="宋体" w:eastAsia="宋体" w:cs="宋体"/>
          <w:color w:val="auto"/>
          <w:kern w:val="2"/>
          <w:highlight w:val="none"/>
          <w:u w:val="single"/>
          <w:lang w:eastAsia="zh-CN"/>
        </w:rPr>
        <w:t xml:space="preserve">  </w:t>
      </w:r>
      <w:r>
        <w:rPr>
          <w:rFonts w:hint="eastAsia" w:ascii="宋体" w:hAnsi="宋体" w:eastAsia="宋体" w:cs="宋体"/>
          <w:color w:val="auto"/>
          <w:kern w:val="2"/>
          <w:highlight w:val="none"/>
          <w:lang w:eastAsia="zh-CN"/>
        </w:rPr>
        <w:t>日</w:t>
      </w:r>
      <w:r>
        <w:rPr>
          <w:rFonts w:hint="eastAsia" w:ascii="宋体" w:hAnsi="宋体" w:eastAsia="宋体" w:cs="宋体"/>
          <w:color w:val="auto"/>
          <w:kern w:val="2"/>
          <w:highlight w:val="none"/>
          <w:u w:val="single"/>
          <w:lang w:eastAsia="zh-CN"/>
        </w:rPr>
        <w:t xml:space="preserve">  </w:t>
      </w:r>
      <w:r>
        <w:rPr>
          <w:rFonts w:hint="eastAsia" w:ascii="宋体" w:hAnsi="宋体" w:eastAsia="宋体" w:cs="宋体"/>
          <w:color w:val="auto"/>
          <w:kern w:val="2"/>
          <w:highlight w:val="none"/>
          <w:lang w:eastAsia="zh-CN"/>
        </w:rPr>
        <w:t>时</w:t>
      </w:r>
      <w:r>
        <w:rPr>
          <w:rFonts w:hint="eastAsia" w:ascii="宋体" w:hAnsi="宋体" w:eastAsia="宋体" w:cs="宋体"/>
          <w:color w:val="auto"/>
          <w:kern w:val="2"/>
          <w:highlight w:val="none"/>
          <w:u w:val="single"/>
          <w:lang w:eastAsia="zh-CN"/>
        </w:rPr>
        <w:t xml:space="preserve">  </w:t>
      </w:r>
      <w:r>
        <w:rPr>
          <w:rFonts w:hint="eastAsia" w:ascii="宋体" w:hAnsi="宋体" w:eastAsia="宋体" w:cs="宋体"/>
          <w:color w:val="auto"/>
          <w:kern w:val="2"/>
          <w:highlight w:val="none"/>
          <w:lang w:eastAsia="zh-CN"/>
        </w:rPr>
        <w:t>分至</w:t>
      </w:r>
      <w:r>
        <w:rPr>
          <w:rFonts w:hint="eastAsia" w:ascii="宋体" w:hAnsi="宋体" w:eastAsia="宋体" w:cs="宋体"/>
          <w:color w:val="auto"/>
          <w:kern w:val="2"/>
          <w:highlight w:val="none"/>
          <w:u w:val="single"/>
          <w:lang w:eastAsia="zh-CN"/>
        </w:rPr>
        <w:t>2025</w:t>
      </w:r>
      <w:r>
        <w:rPr>
          <w:rFonts w:hint="eastAsia" w:ascii="宋体" w:hAnsi="宋体" w:eastAsia="宋体" w:cs="宋体"/>
          <w:color w:val="auto"/>
          <w:kern w:val="2"/>
          <w:highlight w:val="none"/>
          <w:lang w:eastAsia="zh-CN"/>
        </w:rPr>
        <w:t>年</w:t>
      </w:r>
      <w:r>
        <w:rPr>
          <w:rFonts w:hint="eastAsia" w:ascii="宋体" w:hAnsi="宋体" w:eastAsia="宋体" w:cs="宋体"/>
          <w:color w:val="auto"/>
          <w:kern w:val="2"/>
          <w:highlight w:val="none"/>
          <w:u w:val="single"/>
          <w:lang w:eastAsia="zh-CN"/>
        </w:rPr>
        <w:t xml:space="preserve">  </w:t>
      </w:r>
      <w:r>
        <w:rPr>
          <w:rFonts w:hint="eastAsia" w:ascii="宋体" w:hAnsi="宋体" w:eastAsia="宋体" w:cs="宋体"/>
          <w:color w:val="auto"/>
          <w:kern w:val="2"/>
          <w:highlight w:val="none"/>
          <w:lang w:eastAsia="zh-CN"/>
        </w:rPr>
        <w:t>月</w:t>
      </w:r>
      <w:r>
        <w:rPr>
          <w:rFonts w:hint="eastAsia" w:ascii="宋体" w:hAnsi="宋体" w:eastAsia="宋体" w:cs="宋体"/>
          <w:color w:val="auto"/>
          <w:kern w:val="2"/>
          <w:highlight w:val="none"/>
          <w:u w:val="single"/>
          <w:lang w:eastAsia="zh-CN"/>
        </w:rPr>
        <w:t xml:space="preserve">  </w:t>
      </w:r>
      <w:r>
        <w:rPr>
          <w:rFonts w:hint="eastAsia" w:ascii="宋体" w:hAnsi="宋体" w:eastAsia="宋体" w:cs="宋体"/>
          <w:color w:val="auto"/>
          <w:kern w:val="2"/>
          <w:highlight w:val="none"/>
          <w:lang w:eastAsia="zh-CN"/>
        </w:rPr>
        <w:t>日</w:t>
      </w:r>
      <w:r>
        <w:rPr>
          <w:rFonts w:hint="eastAsia" w:ascii="宋体" w:hAnsi="宋体" w:eastAsia="宋体" w:cs="宋体"/>
          <w:color w:val="auto"/>
          <w:kern w:val="2"/>
          <w:highlight w:val="none"/>
          <w:u w:val="single"/>
          <w:lang w:eastAsia="zh-CN"/>
        </w:rPr>
        <w:t xml:space="preserve"> </w:t>
      </w:r>
      <w:r>
        <w:rPr>
          <w:rFonts w:hint="eastAsia" w:ascii="宋体" w:hAnsi="宋体" w:eastAsia="宋体" w:cs="宋体"/>
          <w:color w:val="auto"/>
          <w:kern w:val="2"/>
          <w:highlight w:val="none"/>
          <w:lang w:eastAsia="zh-CN"/>
        </w:rPr>
        <w:t>时</w:t>
      </w:r>
      <w:r>
        <w:rPr>
          <w:rFonts w:hint="eastAsia" w:ascii="宋体" w:hAnsi="宋体" w:eastAsia="宋体" w:cs="宋体"/>
          <w:color w:val="auto"/>
          <w:kern w:val="2"/>
          <w:highlight w:val="none"/>
          <w:u w:val="single"/>
          <w:lang w:eastAsia="zh-CN"/>
        </w:rPr>
        <w:t xml:space="preserve">  </w:t>
      </w:r>
      <w:r>
        <w:rPr>
          <w:rFonts w:hint="eastAsia" w:ascii="宋体" w:hAnsi="宋体" w:eastAsia="宋体" w:cs="宋体"/>
          <w:color w:val="auto"/>
          <w:kern w:val="2"/>
          <w:highlight w:val="none"/>
          <w:lang w:eastAsia="zh-CN"/>
        </w:rPr>
        <w:t>分，递交地点：广州交易集团有限公司（广州公共资源交易中心）开标室。电子光盘需按规定封装。需由法定代表人或授权委托人现场递交，投标人在将数据刻录到光盘之后，投标前自行检查文件是否可以读取。</w:t>
      </w:r>
    </w:p>
    <w:p w14:paraId="27577F9D">
      <w:pPr>
        <w:widowControl/>
        <w:ind w:firstLine="480" w:firstLineChars="200"/>
        <w:rPr>
          <w:rFonts w:hint="eastAsia" w:ascii="宋体" w:hAnsi="宋体" w:eastAsia="宋体" w:cs="宋体"/>
          <w:color w:val="auto"/>
          <w:kern w:val="2"/>
          <w:highlight w:val="none"/>
          <w:lang w:eastAsia="zh-CN"/>
        </w:rPr>
      </w:pPr>
      <w:r>
        <w:rPr>
          <w:rFonts w:hint="eastAsia" w:ascii="宋体" w:hAnsi="宋体" w:eastAsia="宋体" w:cs="宋体"/>
          <w:color w:val="auto"/>
          <w:kern w:val="2"/>
          <w:highlight w:val="none"/>
          <w:lang w:eastAsia="zh-CN"/>
        </w:rPr>
        <w:t>5.2 开标开始时间：</w:t>
      </w:r>
      <w:r>
        <w:rPr>
          <w:rFonts w:hint="eastAsia" w:ascii="宋体" w:hAnsi="宋体" w:eastAsia="宋体" w:cs="宋体"/>
          <w:bCs/>
          <w:color w:val="auto"/>
          <w:kern w:val="2"/>
          <w:szCs w:val="22"/>
          <w:highlight w:val="none"/>
          <w:u w:val="single"/>
          <w:lang w:eastAsia="zh-CN"/>
        </w:rPr>
        <w:t>2025</w:t>
      </w:r>
      <w:r>
        <w:rPr>
          <w:rFonts w:hint="eastAsia" w:ascii="宋体" w:hAnsi="宋体" w:eastAsia="宋体" w:cs="宋体"/>
          <w:bCs/>
          <w:color w:val="auto"/>
          <w:kern w:val="2"/>
          <w:szCs w:val="22"/>
          <w:highlight w:val="none"/>
          <w:lang w:eastAsia="zh-CN"/>
        </w:rPr>
        <w:t>年</w:t>
      </w:r>
      <w:r>
        <w:rPr>
          <w:rFonts w:hint="eastAsia" w:ascii="宋体" w:hAnsi="宋体" w:eastAsia="宋体" w:cs="宋体"/>
          <w:bCs/>
          <w:color w:val="auto"/>
          <w:kern w:val="2"/>
          <w:szCs w:val="22"/>
          <w:highlight w:val="none"/>
          <w:u w:val="single"/>
          <w:lang w:eastAsia="zh-CN"/>
        </w:rPr>
        <w:t xml:space="preserve">  </w:t>
      </w:r>
      <w:r>
        <w:rPr>
          <w:rFonts w:hint="eastAsia" w:ascii="宋体" w:hAnsi="宋体" w:eastAsia="宋体" w:cs="宋体"/>
          <w:bCs/>
          <w:color w:val="auto"/>
          <w:kern w:val="2"/>
          <w:szCs w:val="22"/>
          <w:highlight w:val="none"/>
          <w:lang w:eastAsia="zh-CN"/>
        </w:rPr>
        <w:t>月</w:t>
      </w:r>
      <w:r>
        <w:rPr>
          <w:rFonts w:hint="eastAsia" w:ascii="宋体" w:hAnsi="宋体" w:eastAsia="宋体" w:cs="宋体"/>
          <w:bCs/>
          <w:color w:val="auto"/>
          <w:kern w:val="2"/>
          <w:szCs w:val="22"/>
          <w:highlight w:val="none"/>
          <w:u w:val="single"/>
          <w:lang w:eastAsia="zh-CN"/>
        </w:rPr>
        <w:t xml:space="preserve">  </w:t>
      </w:r>
      <w:r>
        <w:rPr>
          <w:rFonts w:hint="eastAsia" w:ascii="宋体" w:hAnsi="宋体" w:eastAsia="宋体" w:cs="宋体"/>
          <w:bCs/>
          <w:color w:val="auto"/>
          <w:kern w:val="2"/>
          <w:szCs w:val="22"/>
          <w:highlight w:val="none"/>
          <w:lang w:eastAsia="zh-CN"/>
        </w:rPr>
        <w:t>日</w:t>
      </w:r>
      <w:r>
        <w:rPr>
          <w:rFonts w:hint="eastAsia" w:ascii="宋体" w:hAnsi="宋体" w:eastAsia="宋体" w:cs="宋体"/>
          <w:bCs/>
          <w:color w:val="auto"/>
          <w:kern w:val="2"/>
          <w:szCs w:val="22"/>
          <w:highlight w:val="none"/>
          <w:u w:val="single"/>
          <w:lang w:eastAsia="zh-CN"/>
        </w:rPr>
        <w:t xml:space="preserve">  </w:t>
      </w:r>
      <w:r>
        <w:rPr>
          <w:rFonts w:hint="eastAsia" w:ascii="宋体" w:hAnsi="宋体" w:eastAsia="宋体" w:cs="宋体"/>
          <w:bCs/>
          <w:color w:val="auto"/>
          <w:kern w:val="2"/>
          <w:szCs w:val="22"/>
          <w:highlight w:val="none"/>
          <w:lang w:eastAsia="zh-CN"/>
        </w:rPr>
        <w:t>时</w:t>
      </w:r>
      <w:r>
        <w:rPr>
          <w:rFonts w:hint="eastAsia" w:ascii="宋体" w:hAnsi="宋体" w:eastAsia="宋体" w:cs="宋体"/>
          <w:bCs/>
          <w:color w:val="auto"/>
          <w:kern w:val="2"/>
          <w:szCs w:val="22"/>
          <w:highlight w:val="none"/>
          <w:u w:val="single"/>
          <w:lang w:eastAsia="zh-CN"/>
        </w:rPr>
        <w:t xml:space="preserve">  </w:t>
      </w:r>
      <w:r>
        <w:rPr>
          <w:rFonts w:hint="eastAsia" w:ascii="宋体" w:hAnsi="宋体" w:eastAsia="宋体" w:cs="宋体"/>
          <w:bCs/>
          <w:color w:val="auto"/>
          <w:kern w:val="2"/>
          <w:szCs w:val="22"/>
          <w:highlight w:val="none"/>
          <w:lang w:eastAsia="zh-CN"/>
        </w:rPr>
        <w:t>分</w:t>
      </w:r>
    </w:p>
    <w:p w14:paraId="5C2C06B5">
      <w:pPr>
        <w:widowControl/>
        <w:ind w:firstLine="480" w:firstLineChars="200"/>
        <w:rPr>
          <w:rFonts w:hint="eastAsia" w:ascii="宋体" w:hAnsi="宋体" w:eastAsia="宋体" w:cs="宋体"/>
          <w:color w:val="auto"/>
          <w:kern w:val="2"/>
          <w:highlight w:val="none"/>
          <w:lang w:eastAsia="zh-CN"/>
        </w:rPr>
      </w:pPr>
      <w:r>
        <w:rPr>
          <w:rFonts w:hint="eastAsia" w:ascii="宋体" w:hAnsi="宋体" w:eastAsia="宋体" w:cs="宋体"/>
          <w:color w:val="auto"/>
          <w:kern w:val="2"/>
          <w:highlight w:val="none"/>
          <w:lang w:eastAsia="zh-CN"/>
        </w:rPr>
        <w:t>5.3 投标人通过广州交易集团有限公司（广州公共资源交易中心）网站递交电子投标文件。投标人应在递交投标文件截止时间前，登录广州交易集团有限公司（广州公共资源交易中心）网站办理网上投标登记手续。按照广州交易集团有限公司（广州公共资源交易中心）网站关于全流程电子化项目的相关指南进行操作。详见：广州交易集团有限公司（广州公共资源交易中心）网站发布的最新版操作指引。</w:t>
      </w:r>
    </w:p>
    <w:p w14:paraId="35CC1680">
      <w:pPr>
        <w:widowControl/>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（投标人完成电子投标上传后，电子招标投标交易平台即时向投标人发出递交回执通知。递交时间以递交回执通知载明的传输时间为准。）</w:t>
      </w:r>
    </w:p>
    <w:p w14:paraId="610FE185">
      <w:pPr>
        <w:widowControl/>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5.4 逾期送达的投标文件，电子招标投标交易平台将予以拒收。</w:t>
      </w:r>
    </w:p>
    <w:p w14:paraId="774FC950">
      <w:pPr>
        <w:widowControl/>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5.5 如参加投标的单位数量过少不足以形成充分竞争时，招标人可以发出补充公告，适当延长公告发布时间。</w:t>
      </w:r>
    </w:p>
    <w:p w14:paraId="637FF8EC">
      <w:pPr>
        <w:widowControl/>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6. 发布公告的媒介</w:t>
      </w:r>
    </w:p>
    <w:p w14:paraId="3C5950B3">
      <w:pPr>
        <w:widowControl/>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本次招标公告同时在广州交易集团有限公司（广州公共资源交易中心）官网（网址：http://www.gzggzy.cn）、广东省招标投标监管网（网址： https://zbtb.gd.gov.cn/#/index）和中国招标投标公共服务平台（网址：http://www.cebpubservice.com/）发布。</w:t>
      </w:r>
    </w:p>
    <w:p w14:paraId="53A8E8EA">
      <w:pPr>
        <w:widowControl/>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7. 异议联系方式</w:t>
      </w:r>
    </w:p>
    <w:p w14:paraId="49C4CF67">
      <w:pPr>
        <w:widowControl/>
        <w:tabs>
          <w:tab w:val="left" w:pos="720"/>
        </w:tabs>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潜在投标人或利害关系人对本招标公告及招标文件有异议的，</w:t>
      </w:r>
      <w:r>
        <w:rPr>
          <w:rFonts w:hint="eastAsia" w:ascii="宋体" w:hAnsi="宋体" w:eastAsia="宋体" w:cs="宋体"/>
          <w:b/>
          <w:bCs/>
          <w:color w:val="auto"/>
          <w:highlight w:val="none"/>
          <w:lang w:eastAsia="zh-CN"/>
        </w:rPr>
        <w:t>应当在投标截止时间10日前向招标人书面提出。</w:t>
      </w:r>
    </w:p>
    <w:p w14:paraId="745D7B8B">
      <w:pPr>
        <w:widowControl/>
        <w:tabs>
          <w:tab w:val="left" w:pos="720"/>
        </w:tabs>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异议受理部门：广东省公安厅机场公安局（广州白云国际机场公安局）</w:t>
      </w:r>
    </w:p>
    <w:p w14:paraId="70117531">
      <w:pPr>
        <w:widowControl/>
        <w:tabs>
          <w:tab w:val="left" w:pos="720"/>
        </w:tabs>
        <w:ind w:firstLine="480" w:firstLineChars="200"/>
        <w:rPr>
          <w:rFonts w:hint="default" w:ascii="宋体" w:hAnsi="宋体" w:eastAsia="宋体" w:cs="宋体"/>
          <w:color w:val="auto"/>
          <w:highlight w:val="none"/>
          <w:lang w:val="en-US" w:eastAsia="zh-CN"/>
        </w:rPr>
      </w:pPr>
      <w:r>
        <w:rPr>
          <w:rFonts w:hint="eastAsia" w:ascii="宋体" w:hAnsi="宋体" w:eastAsia="宋体" w:cs="宋体"/>
          <w:color w:val="auto"/>
          <w:highlight w:val="none"/>
          <w:lang w:eastAsia="zh-CN"/>
        </w:rPr>
        <w:t>异议受理电话：</w:t>
      </w:r>
      <w:r>
        <w:rPr>
          <w:rFonts w:hint="eastAsia" w:ascii="宋体" w:hAnsi="宋体" w:eastAsia="宋体" w:cs="宋体"/>
          <w:color w:val="auto"/>
          <w:highlight w:val="none"/>
          <w:lang w:val="en-US" w:eastAsia="zh-CN"/>
        </w:rPr>
        <w:t>020-86112921</w:t>
      </w:r>
    </w:p>
    <w:p w14:paraId="2F7617C6">
      <w:pPr>
        <w:widowControl/>
        <w:tabs>
          <w:tab w:val="left" w:pos="720"/>
        </w:tabs>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地址：广东省广州市白云区新白云机场南工作区空港横二路广州白云机场公安大楼</w:t>
      </w:r>
    </w:p>
    <w:p w14:paraId="295DE168">
      <w:pPr>
        <w:widowControl/>
        <w:ind w:firstLine="480" w:firstLineChars="200"/>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注：潜在投标人或利害关系人可以通过线上的形式提出异议。线上提出异议的，应通过交易平台提交，招标人也应通过交易平台答复线上提出的异议。具体按照交易平台相关指南进行操作。作出答复前，应当暂停招标投标活动。</w:t>
      </w:r>
    </w:p>
    <w:p w14:paraId="3A7603FA">
      <w:pPr>
        <w:widowControl/>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8. 联系方式</w:t>
      </w:r>
    </w:p>
    <w:tbl>
      <w:tblPr>
        <w:tblStyle w:val="23"/>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42"/>
        <w:gridCol w:w="4645"/>
      </w:tblGrid>
      <w:tr w14:paraId="41039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499" w:type="pct"/>
            <w:noWrap w:val="0"/>
            <w:vAlign w:val="top"/>
          </w:tcPr>
          <w:p w14:paraId="1B7B7DC3">
            <w:pPr>
              <w:widowControl/>
              <w:jc w:val="both"/>
              <w:rPr>
                <w:rFonts w:hint="default" w:ascii="宋体" w:hAnsi="宋体" w:eastAsia="宋体" w:cs="宋体"/>
                <w:color w:val="auto"/>
                <w:highlight w:val="none"/>
                <w:lang w:val="en-US" w:eastAsia="zh-CN"/>
              </w:rPr>
            </w:pPr>
            <w:r>
              <w:rPr>
                <w:rFonts w:hint="eastAsia" w:ascii="宋体" w:hAnsi="宋体" w:eastAsia="宋体" w:cs="宋体"/>
                <w:color w:val="auto"/>
                <w:highlight w:val="none"/>
                <w:lang w:eastAsia="zh-CN"/>
              </w:rPr>
              <w:t>招标人：</w:t>
            </w:r>
            <w:r>
              <w:rPr>
                <w:rFonts w:hint="eastAsia" w:ascii="宋体" w:hAnsi="宋体" w:eastAsia="宋体" w:cs="宋体"/>
                <w:color w:val="auto"/>
                <w:highlight w:val="none"/>
                <w:u w:val="single"/>
                <w:lang w:eastAsia="zh-CN"/>
              </w:rPr>
              <w:t>广东省公安厅机场公安局（广州白云国际机场公安局）</w:t>
            </w:r>
          </w:p>
          <w:p w14:paraId="09FDC436">
            <w:pPr>
              <w:widowControl/>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地址：</w:t>
            </w:r>
            <w:r>
              <w:rPr>
                <w:rFonts w:hint="eastAsia" w:ascii="宋体" w:hAnsi="宋体" w:eastAsia="宋体" w:cs="宋体"/>
                <w:color w:val="auto"/>
                <w:highlight w:val="none"/>
                <w:u w:val="single"/>
                <w:lang w:eastAsia="zh-CN"/>
              </w:rPr>
              <w:t>广东省广州市白云区新白云机场南工作区空港横二路广州白云机场公安大楼</w:t>
            </w:r>
          </w:p>
          <w:p w14:paraId="6F77037A">
            <w:pPr>
              <w:widowControl/>
              <w:jc w:val="both"/>
              <w:rPr>
                <w:rFonts w:hint="eastAsia" w:ascii="宋体" w:hAnsi="宋体" w:eastAsia="宋体" w:cs="宋体"/>
                <w:color w:val="auto"/>
                <w:highlight w:val="none"/>
                <w:u w:val="single"/>
                <w:lang w:eastAsia="zh-CN"/>
              </w:rPr>
            </w:pPr>
            <w:r>
              <w:rPr>
                <w:rFonts w:hint="eastAsia" w:ascii="宋体" w:hAnsi="宋体" w:eastAsia="宋体" w:cs="宋体"/>
                <w:color w:val="auto"/>
                <w:highlight w:val="none"/>
                <w:lang w:eastAsia="zh-CN"/>
              </w:rPr>
              <w:t>联系人：刘警官</w:t>
            </w:r>
          </w:p>
          <w:p w14:paraId="3D243808">
            <w:pPr>
              <w:widowControl/>
              <w:jc w:val="both"/>
              <w:rPr>
                <w:rFonts w:hint="default" w:ascii="宋体" w:hAnsi="宋体" w:eastAsia="宋体" w:cs="宋体"/>
                <w:color w:val="auto"/>
                <w:highlight w:val="none"/>
                <w:lang w:val="en-US" w:eastAsia="zh-CN"/>
              </w:rPr>
            </w:pPr>
            <w:r>
              <w:rPr>
                <w:rFonts w:hint="eastAsia" w:ascii="宋体" w:hAnsi="宋体" w:eastAsia="宋体" w:cs="宋体"/>
                <w:color w:val="auto"/>
                <w:highlight w:val="none"/>
                <w:lang w:eastAsia="zh-CN"/>
              </w:rPr>
              <w:t>电话：</w:t>
            </w:r>
            <w:r>
              <w:rPr>
                <w:rFonts w:hint="eastAsia" w:ascii="宋体" w:hAnsi="宋体" w:eastAsia="宋体" w:cs="宋体"/>
                <w:color w:val="auto"/>
                <w:highlight w:val="none"/>
                <w:lang w:val="en-US" w:eastAsia="zh-CN"/>
              </w:rPr>
              <w:t>020-86112921</w:t>
            </w:r>
          </w:p>
        </w:tc>
        <w:tc>
          <w:tcPr>
            <w:tcW w:w="2500" w:type="pct"/>
            <w:noWrap w:val="0"/>
            <w:vAlign w:val="top"/>
          </w:tcPr>
          <w:p w14:paraId="43CD5018">
            <w:pPr>
              <w:widowControl/>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招标代理机构：</w:t>
            </w:r>
            <w:r>
              <w:rPr>
                <w:rFonts w:hint="eastAsia" w:ascii="宋体" w:hAnsi="宋体" w:eastAsia="宋体" w:cs="宋体"/>
                <w:color w:val="auto"/>
                <w:highlight w:val="none"/>
                <w:u w:val="single"/>
                <w:lang w:eastAsia="zh-CN"/>
              </w:rPr>
              <w:t>广东省华粤采购科技有限公司</w:t>
            </w:r>
          </w:p>
          <w:p w14:paraId="399053BB">
            <w:pPr>
              <w:widowControl/>
              <w:jc w:val="both"/>
              <w:rPr>
                <w:rFonts w:hint="eastAsia" w:ascii="宋体" w:hAnsi="宋体" w:eastAsia="宋体" w:cs="宋体"/>
                <w:color w:val="auto"/>
                <w:highlight w:val="none"/>
                <w:u w:val="single"/>
                <w:lang w:eastAsia="zh-CN"/>
              </w:rPr>
            </w:pPr>
            <w:r>
              <w:rPr>
                <w:rFonts w:ascii="宋体" w:hAnsi="宋体" w:eastAsia="宋体" w:cs="宋体"/>
                <w:color w:val="auto"/>
                <w:highlight w:val="none"/>
                <w:lang w:eastAsia="zh-CN"/>
              </w:rPr>
              <w:t>地址：</w:t>
            </w:r>
            <w:r>
              <w:rPr>
                <w:rFonts w:ascii="宋体" w:hAnsi="宋体" w:eastAsia="宋体" w:cs="宋体"/>
                <w:color w:val="auto"/>
                <w:highlight w:val="none"/>
                <w:u w:val="single"/>
                <w:lang w:eastAsia="zh-CN"/>
              </w:rPr>
              <w:t>广州市天河区体育西路191号中石化大厦B塔603-611房</w:t>
            </w:r>
          </w:p>
          <w:p w14:paraId="4EAEAA33">
            <w:pPr>
              <w:widowControl/>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联系人：</w:t>
            </w:r>
            <w:r>
              <w:rPr>
                <w:rFonts w:hint="eastAsia" w:ascii="宋体" w:hAnsi="宋体" w:eastAsia="宋体" w:cs="宋体"/>
                <w:color w:val="auto"/>
                <w:highlight w:val="none"/>
                <w:u w:val="single"/>
                <w:lang w:eastAsia="zh-CN"/>
              </w:rPr>
              <w:t>贺工</w:t>
            </w:r>
          </w:p>
          <w:p w14:paraId="1023F6A6">
            <w:pPr>
              <w:widowControl/>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电话</w:t>
            </w:r>
            <w:r>
              <w:rPr>
                <w:rFonts w:ascii="宋体" w:hAnsi="宋体" w:eastAsia="宋体" w:cs="宋体"/>
                <w:color w:val="auto"/>
                <w:highlight w:val="none"/>
                <w:lang w:eastAsia="zh-CN"/>
              </w:rPr>
              <w:t>：</w:t>
            </w:r>
            <w:r>
              <w:rPr>
                <w:rFonts w:ascii="宋体" w:hAnsi="宋体" w:eastAsia="宋体" w:cs="宋体"/>
                <w:color w:val="auto"/>
                <w:highlight w:val="none"/>
                <w:u w:val="single"/>
                <w:lang w:eastAsia="zh-CN"/>
              </w:rPr>
              <w:t>020-62313760-810</w:t>
            </w:r>
          </w:p>
        </w:tc>
      </w:tr>
      <w:tr w14:paraId="2D09F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00" w:type="pct"/>
            <w:gridSpan w:val="2"/>
            <w:noWrap w:val="0"/>
            <w:vAlign w:val="center"/>
          </w:tcPr>
          <w:p w14:paraId="1AAED86D">
            <w:pPr>
              <w:widowControl/>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招标监管部门：广东省公安厅机关政府采购管理办公室</w:t>
            </w:r>
          </w:p>
          <w:p w14:paraId="6214C098">
            <w:pPr>
              <w:widowControl/>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地址：</w:t>
            </w:r>
            <w:r>
              <w:rPr>
                <w:rFonts w:hint="eastAsia" w:ascii="宋体" w:hAnsi="宋体" w:eastAsia="宋体" w:cs="宋体"/>
                <w:color w:val="auto"/>
                <w:highlight w:val="none"/>
              </w:rPr>
              <w:t>广州市越秀区黄华路97号</w:t>
            </w:r>
          </w:p>
          <w:p w14:paraId="652BC2A2">
            <w:pPr>
              <w:widowControl/>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电话：020-83110321</w:t>
            </w:r>
          </w:p>
        </w:tc>
      </w:tr>
    </w:tbl>
    <w:p w14:paraId="336798C7">
      <w:pPr>
        <w:widowControl/>
        <w:jc w:val="center"/>
        <w:rPr>
          <w:rFonts w:hint="eastAsia" w:ascii="宋体" w:hAnsi="宋体" w:eastAsia="宋体" w:cs="宋体"/>
          <w:color w:val="auto"/>
          <w:highlight w:val="none"/>
          <w:lang w:eastAsia="zh-CN"/>
        </w:rPr>
      </w:pPr>
    </w:p>
    <w:p w14:paraId="4BB402DC">
      <w:pPr>
        <w:widowControl/>
        <w:wordWrap w:val="0"/>
        <w:jc w:val="right"/>
        <w:rPr>
          <w:rFonts w:hint="default" w:ascii="宋体" w:hAnsi="宋体" w:eastAsia="宋体" w:cs="宋体"/>
          <w:color w:val="auto"/>
          <w:highlight w:val="none"/>
          <w:lang w:val="en-US" w:eastAsia="zh-CN"/>
        </w:rPr>
      </w:pPr>
      <w:r>
        <w:rPr>
          <w:rFonts w:hint="eastAsia" w:cs="宋体"/>
          <w:color w:val="auto"/>
          <w:highlight w:val="none"/>
          <w:lang w:val="en-US" w:eastAsia="zh-CN"/>
        </w:rPr>
        <w:t>2025年09月   日</w:t>
      </w:r>
    </w:p>
    <w:p w14:paraId="2D7227D2">
      <w:pPr>
        <w:widowControl/>
        <w:tabs>
          <w:tab w:val="left" w:pos="180"/>
        </w:tabs>
        <w:rPr>
          <w:rFonts w:hint="eastAsia" w:ascii="宋体" w:hAnsi="宋体" w:eastAsia="宋体" w:cs="宋体"/>
          <w:b/>
          <w:bCs/>
          <w:color w:val="auto"/>
          <w:highlight w:val="none"/>
          <w:lang w:eastAsia="zh-CN"/>
        </w:rPr>
      </w:pPr>
      <w:r>
        <w:rPr>
          <w:rFonts w:hint="eastAsia" w:ascii="宋体" w:hAnsi="宋体" w:eastAsia="宋体" w:cs="宋体"/>
          <w:color w:val="auto"/>
          <w:szCs w:val="21"/>
          <w:highlight w:val="none"/>
          <w:u w:val="single" w:color="000000"/>
          <w:lang w:eastAsia="zh-CN"/>
        </w:rPr>
        <w:br w:type="page"/>
      </w:r>
      <w:r>
        <w:rPr>
          <w:rFonts w:hint="eastAsia" w:ascii="宋体" w:hAnsi="宋体" w:eastAsia="宋体" w:cs="宋体"/>
          <w:b/>
          <w:bCs/>
          <w:color w:val="auto"/>
          <w:highlight w:val="none"/>
          <w:lang w:eastAsia="zh-CN"/>
        </w:rPr>
        <w:t>附件一：</w:t>
      </w:r>
    </w:p>
    <w:p w14:paraId="43FBB6FC">
      <w:pPr>
        <w:widowControl/>
        <w:jc w:val="center"/>
        <w:rPr>
          <w:rFonts w:hint="eastAsia" w:ascii="宋体" w:hAnsi="宋体" w:eastAsia="宋体" w:cs="宋体"/>
          <w:b/>
          <w:color w:val="auto"/>
          <w:sz w:val="32"/>
          <w:szCs w:val="32"/>
          <w:highlight w:val="none"/>
          <w:lang w:eastAsia="zh-CN"/>
        </w:rPr>
      </w:pPr>
      <w:bookmarkStart w:id="0" w:name="_Toc14568"/>
      <w:r>
        <w:rPr>
          <w:rFonts w:hint="eastAsia" w:ascii="宋体" w:hAnsi="宋体" w:eastAsia="宋体" w:cs="宋体"/>
          <w:b/>
          <w:color w:val="auto"/>
          <w:sz w:val="32"/>
          <w:szCs w:val="32"/>
          <w:highlight w:val="none"/>
          <w:lang w:eastAsia="zh-CN"/>
        </w:rPr>
        <w:t>投标人声明</w:t>
      </w:r>
      <w:bookmarkEnd w:id="0"/>
    </w:p>
    <w:p w14:paraId="26DAEFA2">
      <w:pPr>
        <w:widowControl/>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广东省公安厅机场公安局</w:t>
      </w:r>
      <w:r>
        <w:rPr>
          <w:rFonts w:hint="eastAsia" w:ascii="宋体" w:hAnsi="宋体" w:eastAsia="宋体" w:cs="宋体"/>
          <w:color w:val="auto"/>
          <w:highlight w:val="none"/>
          <w:u w:val="single"/>
          <w:lang w:eastAsia="zh-CN"/>
        </w:rPr>
        <w:t>（广州白云国际机场公安局）</w:t>
      </w:r>
      <w:r>
        <w:rPr>
          <w:rFonts w:hint="eastAsia" w:ascii="宋体" w:hAnsi="宋体" w:eastAsia="宋体" w:cs="宋体"/>
          <w:color w:val="auto"/>
          <w:highlight w:val="none"/>
          <w:lang w:eastAsia="zh-CN"/>
        </w:rPr>
        <w:t>：</w:t>
      </w:r>
    </w:p>
    <w:p w14:paraId="5D77F4BF">
      <w:pPr>
        <w:widowControl/>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本公司就参加</w:t>
      </w:r>
      <w:r>
        <w:rPr>
          <w:rFonts w:hint="eastAsia" w:ascii="宋体" w:hAnsi="宋体" w:eastAsia="宋体" w:cs="宋体"/>
          <w:color w:val="auto"/>
          <w:highlight w:val="none"/>
          <w:u w:val="single"/>
          <w:lang w:eastAsia="zh-CN"/>
        </w:rPr>
        <w:t>                </w:t>
      </w:r>
      <w:r>
        <w:rPr>
          <w:rFonts w:hint="eastAsia" w:ascii="宋体" w:hAnsi="宋体" w:eastAsia="宋体" w:cs="宋体"/>
          <w:color w:val="auto"/>
          <w:highlight w:val="none"/>
          <w:lang w:eastAsia="zh-CN"/>
        </w:rPr>
        <w:t>项目投标工作，作出郑重声明：</w:t>
      </w:r>
    </w:p>
    <w:p w14:paraId="42C5DFBF">
      <w:pPr>
        <w:widowControl/>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一、本公司保证投标文件及其后提供的一切材料都是真实的。</w:t>
      </w:r>
    </w:p>
    <w:p w14:paraId="37857238">
      <w:pPr>
        <w:widowControl/>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二、本公司承诺遵循公平、公正、公开、诚实信用原则，在本项目投标中诚信投标，在本项目投标中不与其他单位围标、串标，不出让投标资格，不向招标人或评标委员会成员行贿，不存在少放、不放业绩、奖项等客观评审资料，减少自身竞争力的情形，若存在以上情形的，将自愿接受被招标人列入拒绝投标名单，不能参与招标人后续招标项目的投标。</w:t>
      </w:r>
    </w:p>
    <w:p w14:paraId="2A6AFADF">
      <w:pPr>
        <w:widowControl/>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三、本公司不存在招标文件第二章投标人须知第1.4.3项所规定的任何一种情形。</w:t>
      </w:r>
    </w:p>
    <w:p w14:paraId="2A357819">
      <w:pPr>
        <w:widowControl/>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四、本公司及其有隶属关系的机构，没有参加本项目招标文件的编写工作；本公司与本次招标的招标代理机构没有隶属关系或其他利害关系。</w:t>
      </w:r>
    </w:p>
    <w:p w14:paraId="27D8FDC4">
      <w:pPr>
        <w:widowControl/>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五、本公司承诺，中标后严格执行安全生产相关管理规定。</w:t>
      </w:r>
    </w:p>
    <w:p w14:paraId="51B5F693">
      <w:pPr>
        <w:widowControl/>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六、与本公司单位负责人为同一人或者与本公司存在控股、管理关系的其他单位包括：</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。（注：本条由投标人如实填写，如有，应列出全部满足招标公告资质要求的相关单位的名称；如无，则填写“无”。）</w:t>
      </w:r>
    </w:p>
    <w:p w14:paraId="7AE93C60">
      <w:pPr>
        <w:widowControl/>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七、本公司违反上述保证，或本声明陈述与事实不符，一经查实将按相关规定进行信用记录。本公司对失信行为产生的一切后果已知悉。本公司愿意接受公开通报，承担由此带来的法律后果，并自愿停止参加广州市行政辖区内的招标投标活动三个月。其中，本声明陈述与事实不符的，属于弄虚作假骗取中标，将依法接受监管部门的处罚。</w:t>
      </w:r>
    </w:p>
    <w:p w14:paraId="45D598DA">
      <w:pPr>
        <w:widowControl/>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特此声明。</w:t>
      </w:r>
    </w:p>
    <w:p w14:paraId="2A0191BF">
      <w:pPr>
        <w:keepNext w:val="0"/>
        <w:keepLines w:val="0"/>
        <w:pageBreakBefore w:val="0"/>
        <w:widowControl/>
        <w:kinsoku/>
        <w:wordWrap/>
        <w:overflowPunct/>
        <w:topLinePunct w:val="0"/>
        <w:autoSpaceDE/>
        <w:autoSpaceDN/>
        <w:bidi w:val="0"/>
        <w:adjustRightInd/>
        <w:snapToGrid/>
        <w:spacing w:line="200" w:lineRule="exact"/>
        <w:ind w:left="0" w:leftChars="0" w:right="0" w:rightChars="0" w:firstLine="0" w:firstLineChars="0"/>
        <w:jc w:val="center"/>
        <w:textAlignment w:val="auto"/>
        <w:rPr>
          <w:rFonts w:hint="eastAsia" w:ascii="宋体" w:hAnsi="宋体" w:eastAsia="宋体" w:cs="宋体"/>
          <w:color w:val="auto"/>
          <w:sz w:val="21"/>
          <w:szCs w:val="21"/>
          <w:highlight w:val="none"/>
          <w:lang w:eastAsia="zh-CN"/>
        </w:rPr>
      </w:pPr>
    </w:p>
    <w:p w14:paraId="26B5BE2A">
      <w:pPr>
        <w:widowControl/>
        <w:ind w:firstLine="3600" w:firstLineChars="15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声明企业（公章）：</w:t>
      </w:r>
    </w:p>
    <w:p w14:paraId="4434709F">
      <w:pPr>
        <w:widowControl/>
        <w:ind w:firstLine="3600" w:firstLineChars="15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法定代表人（签字或印章）：</w:t>
      </w:r>
    </w:p>
    <w:p w14:paraId="58BCBF3C">
      <w:pPr>
        <w:widowControl/>
        <w:tabs>
          <w:tab w:val="left" w:pos="1040"/>
          <w:tab w:val="left" w:pos="2200"/>
          <w:tab w:val="left" w:pos="3340"/>
          <w:tab w:val="left" w:pos="6280"/>
        </w:tabs>
        <w:jc w:val="right"/>
        <w:rPr>
          <w:sz w:val="24"/>
          <w:szCs w:val="24"/>
        </w:rPr>
      </w:pPr>
      <w:r>
        <w:rPr>
          <w:rFonts w:hint="eastAsia" w:ascii="宋体" w:hAnsi="宋体" w:eastAsia="宋体" w:cs="宋体"/>
          <w:color w:val="auto"/>
          <w:highlight w:val="none"/>
          <w:lang w:eastAsia="zh-CN"/>
        </w:rPr>
        <w:t>年  月  日</w:t>
      </w:r>
    </w:p>
    <w:sectPr>
      <w:footerReference r:id="rId6" w:type="default"/>
      <w:pgSz w:w="11905" w:h="16838"/>
      <w:pgMar w:top="1417" w:right="1417" w:bottom="1417" w:left="1417" w:header="850" w:footer="850" w:gutter="0"/>
      <w:pgNumType w:fmt="decimal" w:start="1"/>
      <w:cols w:space="0" w:num="1"/>
      <w:rtlGutter w:val="0"/>
      <w:docGrid w:type="linesAndChars" w:linePitch="35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E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Calisto MT">
    <w:altName w:val="Segoe Print"/>
    <w:panose1 w:val="0204060305050503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DC204">
    <w:pPr>
      <w:spacing w:after="0" w:line="10" w:lineRule="exact"/>
      <w:rPr>
        <w:sz w:val="1"/>
        <w:szCs w:val="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F8456">
    <w:pPr>
      <w:spacing w:after="0" w:line="10" w:lineRule="exact"/>
      <w:rPr>
        <w:sz w:val="1"/>
        <w:szCs w:val="1"/>
      </w:rPr>
    </w:pPr>
    <w:r>
      <w:rPr>
        <w:sz w:val="1"/>
      </w:rPr>
      <mc:AlternateContent>
        <mc:Choice Requires="wps">
          <w:drawing>
            <wp:anchor distT="0" distB="0" distL="114300" distR="114300" simplePos="0" relativeHeight="251659264" behindDoc="0" locked="0" layoutInCell="1" allowOverlap="1">
              <wp:simplePos x="0" y="0"/>
              <wp:positionH relativeFrom="margin">
                <wp:posOffset>2843530</wp:posOffset>
              </wp:positionH>
              <wp:positionV relativeFrom="paragraph">
                <wp:posOffset>-251460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7C541F">
                          <w:pPr>
                            <w:keepNext w:val="0"/>
                            <w:keepLines w:val="0"/>
                            <w:pageBreakBefore w:val="0"/>
                            <w:widowControl/>
                            <w:tabs>
                              <w:tab w:val="center" w:pos="4153"/>
                              <w:tab w:val="right" w:pos="8306"/>
                            </w:tabs>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en-US" w:bidi="ar-SA"/>
                            </w:rPr>
                          </w:pPr>
                          <w:r>
                            <w:rPr>
                              <w:rFonts w:hint="default" w:ascii="Times New Roman" w:hAnsi="Times New Roman" w:eastAsia="宋体" w:cs="Times New Roman"/>
                              <w:sz w:val="21"/>
                              <w:szCs w:val="21"/>
                              <w:lang w:val="en-US" w:eastAsia="en-US" w:bidi="ar-SA"/>
                            </w:rPr>
                            <w:fldChar w:fldCharType="begin"/>
                          </w:r>
                          <w:r>
                            <w:rPr>
                              <w:rFonts w:hint="default" w:ascii="Times New Roman" w:hAnsi="Times New Roman" w:eastAsia="宋体" w:cs="Times New Roman"/>
                              <w:sz w:val="21"/>
                              <w:szCs w:val="21"/>
                              <w:lang w:val="en-US" w:eastAsia="en-US" w:bidi="ar-SA"/>
                            </w:rPr>
                            <w:instrText xml:space="preserve"> PAGE  \* MERGEFORMAT </w:instrText>
                          </w:r>
                          <w:r>
                            <w:rPr>
                              <w:rFonts w:hint="default" w:ascii="Times New Roman" w:hAnsi="Times New Roman" w:eastAsia="宋体" w:cs="Times New Roman"/>
                              <w:sz w:val="21"/>
                              <w:szCs w:val="21"/>
                              <w:lang w:val="en-US" w:eastAsia="en-US" w:bidi="ar-SA"/>
                            </w:rPr>
                            <w:fldChar w:fldCharType="separate"/>
                          </w:r>
                          <w:r>
                            <w:rPr>
                              <w:rFonts w:hint="default" w:ascii="Times New Roman" w:hAnsi="Times New Roman" w:eastAsia="宋体" w:cs="Times New Roman"/>
                              <w:sz w:val="21"/>
                              <w:szCs w:val="21"/>
                              <w:lang w:val="en-US" w:eastAsia="en-US" w:bidi="ar-SA"/>
                            </w:rPr>
                            <w:t>1</w:t>
                          </w:r>
                          <w:r>
                            <w:rPr>
                              <w:rFonts w:hint="default" w:ascii="Times New Roman" w:hAnsi="Times New Roman" w:eastAsia="宋体" w:cs="Times New Roman"/>
                              <w:sz w:val="21"/>
                              <w:szCs w:val="21"/>
                              <w:lang w:val="en-US" w:eastAsia="en-US"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23.9pt;margin-top:-19.8pt;height:144pt;width:144pt;mso-position-horizontal-relative:margin;mso-wrap-style:none;z-index:251659264;mso-width-relative:page;mso-height-relative:page;" filled="f" stroked="f" coordsize="21600,21600" o:gfxdata="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45UJbZAAAACwEAAA8AAAAAAAAAAQAgAAAAIgAAAGRycy9kb3du&#10;cmV2LnhtbFBLAQIUABQAAAAIAIdO4kC9dBt2NwIAAG8EAAAOAAAAAAAAAAEAIAAAACgBAABkcnMv&#10;ZTJvRG9jLnhtbFBLBQYAAAAABgAGAFkBAADRBQAAAAA=&#10;">
              <v:fill on="f" focussize="0,0"/>
              <v:stroke on="f" weight="0.5pt"/>
              <v:imagedata o:title=""/>
              <o:lock v:ext="edit" aspectratio="f"/>
              <v:textbox inset="0mm,0mm,0mm,0mm" style="mso-fit-shape-to-text:t;">
                <w:txbxContent>
                  <w:p w14:paraId="797C541F">
                    <w:pPr>
                      <w:keepNext w:val="0"/>
                      <w:keepLines w:val="0"/>
                      <w:pageBreakBefore w:val="0"/>
                      <w:widowControl/>
                      <w:tabs>
                        <w:tab w:val="center" w:pos="4153"/>
                        <w:tab w:val="right" w:pos="8306"/>
                      </w:tabs>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en-US" w:bidi="ar-SA"/>
                      </w:rPr>
                    </w:pPr>
                    <w:r>
                      <w:rPr>
                        <w:rFonts w:hint="default" w:ascii="Times New Roman" w:hAnsi="Times New Roman" w:eastAsia="宋体" w:cs="Times New Roman"/>
                        <w:sz w:val="21"/>
                        <w:szCs w:val="21"/>
                        <w:lang w:val="en-US" w:eastAsia="en-US" w:bidi="ar-SA"/>
                      </w:rPr>
                      <w:fldChar w:fldCharType="begin"/>
                    </w:r>
                    <w:r>
                      <w:rPr>
                        <w:rFonts w:hint="default" w:ascii="Times New Roman" w:hAnsi="Times New Roman" w:eastAsia="宋体" w:cs="Times New Roman"/>
                        <w:sz w:val="21"/>
                        <w:szCs w:val="21"/>
                        <w:lang w:val="en-US" w:eastAsia="en-US" w:bidi="ar-SA"/>
                      </w:rPr>
                      <w:instrText xml:space="preserve"> PAGE  \* MERGEFORMAT </w:instrText>
                    </w:r>
                    <w:r>
                      <w:rPr>
                        <w:rFonts w:hint="default" w:ascii="Times New Roman" w:hAnsi="Times New Roman" w:eastAsia="宋体" w:cs="Times New Roman"/>
                        <w:sz w:val="21"/>
                        <w:szCs w:val="21"/>
                        <w:lang w:val="en-US" w:eastAsia="en-US" w:bidi="ar-SA"/>
                      </w:rPr>
                      <w:fldChar w:fldCharType="separate"/>
                    </w:r>
                    <w:r>
                      <w:rPr>
                        <w:rFonts w:hint="default" w:ascii="Times New Roman" w:hAnsi="Times New Roman" w:eastAsia="宋体" w:cs="Times New Roman"/>
                        <w:sz w:val="21"/>
                        <w:szCs w:val="21"/>
                        <w:lang w:val="en-US" w:eastAsia="en-US" w:bidi="ar-SA"/>
                      </w:rPr>
                      <w:t>1</w:t>
                    </w:r>
                    <w:r>
                      <w:rPr>
                        <w:rFonts w:hint="default" w:ascii="Times New Roman" w:hAnsi="Times New Roman" w:eastAsia="宋体" w:cs="Times New Roman"/>
                        <w:sz w:val="21"/>
                        <w:szCs w:val="21"/>
                        <w:lang w:val="en-US" w:eastAsia="en-US" w:bidi="ar-S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0C72F6"/>
    <w:multiLevelType w:val="multilevel"/>
    <w:tmpl w:val="530C72F6"/>
    <w:lvl w:ilvl="0" w:tentative="0">
      <w:start w:val="1"/>
      <w:numFmt w:val="chineseCounting"/>
      <w:suff w:val="nothing"/>
      <w:lvlText w:val="第%1章 "/>
      <w:lvlJc w:val="left"/>
      <w:pPr>
        <w:ind w:left="432" w:hanging="432"/>
      </w:pPr>
      <w:rPr>
        <w:rFonts w:hint="eastAsia"/>
        <w:sz w:val="36"/>
        <w:szCs w:val="36"/>
      </w:rPr>
    </w:lvl>
    <w:lvl w:ilvl="1" w:tentative="0">
      <w:start w:val="1"/>
      <w:numFmt w:val="decimal"/>
      <w:isLgl/>
      <w:lvlText w:val="%1.%2."/>
      <w:lvlJc w:val="left"/>
      <w:pPr>
        <w:ind w:left="575" w:hanging="575"/>
      </w:pPr>
      <w:rPr>
        <w:rFonts w:hint="eastAsia" w:ascii="宋体" w:hAnsi="宋体" w:eastAsia="宋体" w:cs="宋体"/>
        <w:sz w:val="36"/>
        <w:szCs w:val="36"/>
      </w:rPr>
    </w:lvl>
    <w:lvl w:ilvl="2" w:tentative="0">
      <w:start w:val="1"/>
      <w:numFmt w:val="decimal"/>
      <w:isLgl/>
      <w:lvlText w:val="%1.%2.%3."/>
      <w:lvlJc w:val="left"/>
      <w:pPr>
        <w:ind w:left="720" w:hanging="720"/>
      </w:pPr>
      <w:rPr>
        <w:rFonts w:hint="eastAsia" w:ascii="宋体" w:hAnsi="宋体" w:eastAsia="宋体" w:cs="宋体"/>
        <w:sz w:val="32"/>
        <w:szCs w:val="32"/>
      </w:rPr>
    </w:lvl>
    <w:lvl w:ilvl="3" w:tentative="0">
      <w:start w:val="1"/>
      <w:numFmt w:val="decimal"/>
      <w:isLgl/>
      <w:lvlText w:val="%1.%2.%3.%4."/>
      <w:lvlJc w:val="left"/>
      <w:pPr>
        <w:ind w:left="864" w:hanging="864"/>
      </w:pPr>
      <w:rPr>
        <w:rFonts w:hint="eastAsia"/>
      </w:rPr>
    </w:lvl>
    <w:lvl w:ilvl="4" w:tentative="0">
      <w:start w:val="1"/>
      <w:numFmt w:val="decimal"/>
      <w:isLgl/>
      <w:lvlText w:val="%1.%2.%3.%4.%5."/>
      <w:lvlJc w:val="left"/>
      <w:pPr>
        <w:ind w:left="1008" w:hanging="1008"/>
      </w:pPr>
      <w:rPr>
        <w:rFonts w:hint="eastAsia"/>
      </w:rPr>
    </w:lvl>
    <w:lvl w:ilvl="5" w:tentative="0">
      <w:start w:val="1"/>
      <w:numFmt w:val="decimal"/>
      <w:pStyle w:val="7"/>
      <w:isLgl/>
      <w:lvlText w:val="%1.%2.%3.%4.%5.%6."/>
      <w:lvlJc w:val="left"/>
      <w:pPr>
        <w:ind w:left="1151" w:hanging="1151"/>
      </w:pPr>
      <w:rPr>
        <w:rFonts w:hint="eastAsia"/>
      </w:rPr>
    </w:lvl>
    <w:lvl w:ilvl="6" w:tentative="0">
      <w:start w:val="1"/>
      <w:numFmt w:val="decimal"/>
      <w:isLgl/>
      <w:lvlText w:val="%1.%2.%3.%4.%5.%6.%7."/>
      <w:lvlJc w:val="left"/>
      <w:pPr>
        <w:ind w:left="1296" w:hanging="1296"/>
      </w:pPr>
      <w:rPr>
        <w:rFonts w:hint="eastAsia"/>
      </w:rPr>
    </w:lvl>
    <w:lvl w:ilvl="7" w:tentative="0">
      <w:start w:val="1"/>
      <w:numFmt w:val="decimal"/>
      <w:pStyle w:val="9"/>
      <w:isLgl/>
      <w:lvlText w:val="%1.%2.%3.%4.%5.%6.%7.%8."/>
      <w:lvlJc w:val="left"/>
      <w:pPr>
        <w:ind w:left="1440" w:hanging="1440"/>
      </w:pPr>
      <w:rPr>
        <w:rFonts w:hint="eastAsia"/>
      </w:rPr>
    </w:lvl>
    <w:lvl w:ilvl="8" w:tentative="0">
      <w:start w:val="1"/>
      <w:numFmt w:val="decimal"/>
      <w:pStyle w:val="10"/>
      <w:isLgl/>
      <w:lvlText w:val="%1.%2.%3.%4.%5.%6.%7.%8.%9."/>
      <w:lvlJc w:val="left"/>
      <w:pPr>
        <w:ind w:left="1583" w:hanging="1583"/>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0"/>
  <w:bordersDoNotSurroundFooter w:val="0"/>
  <w:documentProtection w:enforcement="0"/>
  <w:defaultTabStop w:val="420"/>
  <w:drawingGridVerticalSpacing w:val="175"/>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654FA5"/>
    <w:rsid w:val="00E45443"/>
    <w:rsid w:val="010C0176"/>
    <w:rsid w:val="012225F1"/>
    <w:rsid w:val="0129589B"/>
    <w:rsid w:val="012B1FDF"/>
    <w:rsid w:val="01B62F5C"/>
    <w:rsid w:val="01C22072"/>
    <w:rsid w:val="01C50FF8"/>
    <w:rsid w:val="01E65B80"/>
    <w:rsid w:val="01F96D70"/>
    <w:rsid w:val="02285819"/>
    <w:rsid w:val="03460612"/>
    <w:rsid w:val="0356048A"/>
    <w:rsid w:val="037C235D"/>
    <w:rsid w:val="03811877"/>
    <w:rsid w:val="041D0F75"/>
    <w:rsid w:val="04D91F8C"/>
    <w:rsid w:val="062F6F9D"/>
    <w:rsid w:val="063444F1"/>
    <w:rsid w:val="06410F43"/>
    <w:rsid w:val="066D338A"/>
    <w:rsid w:val="06D342D8"/>
    <w:rsid w:val="06E20753"/>
    <w:rsid w:val="07123EE8"/>
    <w:rsid w:val="077965D0"/>
    <w:rsid w:val="07886BEA"/>
    <w:rsid w:val="07EC3F0B"/>
    <w:rsid w:val="0825411C"/>
    <w:rsid w:val="083F16E1"/>
    <w:rsid w:val="0840321C"/>
    <w:rsid w:val="08BC7EE1"/>
    <w:rsid w:val="08D9478F"/>
    <w:rsid w:val="091E4702"/>
    <w:rsid w:val="096D5B06"/>
    <w:rsid w:val="09735491"/>
    <w:rsid w:val="0A592EFC"/>
    <w:rsid w:val="0B765B5B"/>
    <w:rsid w:val="0BA546C7"/>
    <w:rsid w:val="0BD45EF5"/>
    <w:rsid w:val="0BDF3F7F"/>
    <w:rsid w:val="0C620756"/>
    <w:rsid w:val="0CA557C0"/>
    <w:rsid w:val="0E8151D3"/>
    <w:rsid w:val="0ECD6C5C"/>
    <w:rsid w:val="0F527D11"/>
    <w:rsid w:val="0F711A83"/>
    <w:rsid w:val="0F845381"/>
    <w:rsid w:val="108A76A5"/>
    <w:rsid w:val="10B242CF"/>
    <w:rsid w:val="11465F2D"/>
    <w:rsid w:val="114C30E8"/>
    <w:rsid w:val="11AC7198"/>
    <w:rsid w:val="12167C83"/>
    <w:rsid w:val="12FA34A5"/>
    <w:rsid w:val="13654FA5"/>
    <w:rsid w:val="13D05E01"/>
    <w:rsid w:val="14B72BAE"/>
    <w:rsid w:val="1546405A"/>
    <w:rsid w:val="15AD4D03"/>
    <w:rsid w:val="15F0378C"/>
    <w:rsid w:val="160E47F4"/>
    <w:rsid w:val="16773980"/>
    <w:rsid w:val="17650515"/>
    <w:rsid w:val="17E6234E"/>
    <w:rsid w:val="17EC547C"/>
    <w:rsid w:val="17F91257"/>
    <w:rsid w:val="181D20AE"/>
    <w:rsid w:val="18B36093"/>
    <w:rsid w:val="199823E4"/>
    <w:rsid w:val="19BF7A02"/>
    <w:rsid w:val="19C33487"/>
    <w:rsid w:val="19FB4A59"/>
    <w:rsid w:val="1A3F4981"/>
    <w:rsid w:val="1AA757E7"/>
    <w:rsid w:val="1B0A229A"/>
    <w:rsid w:val="1B5A709B"/>
    <w:rsid w:val="1BD96E5D"/>
    <w:rsid w:val="1BE453D0"/>
    <w:rsid w:val="1C354696"/>
    <w:rsid w:val="1D1E3640"/>
    <w:rsid w:val="1D441577"/>
    <w:rsid w:val="1D476E48"/>
    <w:rsid w:val="1E7A04BE"/>
    <w:rsid w:val="1E7E4E6A"/>
    <w:rsid w:val="1ED54406"/>
    <w:rsid w:val="2009346C"/>
    <w:rsid w:val="20143357"/>
    <w:rsid w:val="204C00D2"/>
    <w:rsid w:val="20834165"/>
    <w:rsid w:val="20AD6C3C"/>
    <w:rsid w:val="211C4807"/>
    <w:rsid w:val="21D40771"/>
    <w:rsid w:val="22D24B66"/>
    <w:rsid w:val="22D9443A"/>
    <w:rsid w:val="235D6E11"/>
    <w:rsid w:val="23AD3C0C"/>
    <w:rsid w:val="25320F67"/>
    <w:rsid w:val="25606DA2"/>
    <w:rsid w:val="259C752E"/>
    <w:rsid w:val="25A1598B"/>
    <w:rsid w:val="2699350C"/>
    <w:rsid w:val="271635D9"/>
    <w:rsid w:val="285D4FB8"/>
    <w:rsid w:val="28A8529B"/>
    <w:rsid w:val="29290F36"/>
    <w:rsid w:val="29747578"/>
    <w:rsid w:val="2A7423E6"/>
    <w:rsid w:val="2A7B0D23"/>
    <w:rsid w:val="2A88034A"/>
    <w:rsid w:val="2B4D18B6"/>
    <w:rsid w:val="2BB1742D"/>
    <w:rsid w:val="2BD32CF3"/>
    <w:rsid w:val="2CA84F80"/>
    <w:rsid w:val="2D141100"/>
    <w:rsid w:val="2D5E2D55"/>
    <w:rsid w:val="2DB07694"/>
    <w:rsid w:val="2E675DEA"/>
    <w:rsid w:val="2EE341F5"/>
    <w:rsid w:val="2F772A8B"/>
    <w:rsid w:val="2FF16992"/>
    <w:rsid w:val="30042EAA"/>
    <w:rsid w:val="303A0B1D"/>
    <w:rsid w:val="3123449D"/>
    <w:rsid w:val="31EF07DB"/>
    <w:rsid w:val="32AF4BE7"/>
    <w:rsid w:val="33466642"/>
    <w:rsid w:val="341C2CFF"/>
    <w:rsid w:val="34661D88"/>
    <w:rsid w:val="34A01B29"/>
    <w:rsid w:val="350E5722"/>
    <w:rsid w:val="35296430"/>
    <w:rsid w:val="35304DEB"/>
    <w:rsid w:val="358E6EB2"/>
    <w:rsid w:val="35C8614C"/>
    <w:rsid w:val="35D125D5"/>
    <w:rsid w:val="3621205E"/>
    <w:rsid w:val="36EE26AB"/>
    <w:rsid w:val="37436B38"/>
    <w:rsid w:val="376400EB"/>
    <w:rsid w:val="383C2264"/>
    <w:rsid w:val="38BE1CB2"/>
    <w:rsid w:val="38D36FF1"/>
    <w:rsid w:val="394C787D"/>
    <w:rsid w:val="3A3B38C7"/>
    <w:rsid w:val="3A5C601C"/>
    <w:rsid w:val="3ACE7FFB"/>
    <w:rsid w:val="3B152717"/>
    <w:rsid w:val="3BE2474D"/>
    <w:rsid w:val="3BE43A8E"/>
    <w:rsid w:val="3C4F2096"/>
    <w:rsid w:val="3D423BD0"/>
    <w:rsid w:val="3D874C9E"/>
    <w:rsid w:val="3D94191D"/>
    <w:rsid w:val="3D98059B"/>
    <w:rsid w:val="3E4E0B34"/>
    <w:rsid w:val="3E5A353C"/>
    <w:rsid w:val="3EBC7267"/>
    <w:rsid w:val="3F490F5A"/>
    <w:rsid w:val="3F891F1A"/>
    <w:rsid w:val="40D8013D"/>
    <w:rsid w:val="41055649"/>
    <w:rsid w:val="411A01DD"/>
    <w:rsid w:val="411E510D"/>
    <w:rsid w:val="415128B5"/>
    <w:rsid w:val="41EE3A38"/>
    <w:rsid w:val="41FE672C"/>
    <w:rsid w:val="42DE3C55"/>
    <w:rsid w:val="42DF219B"/>
    <w:rsid w:val="430E6858"/>
    <w:rsid w:val="433B3FCF"/>
    <w:rsid w:val="43472D70"/>
    <w:rsid w:val="43710A10"/>
    <w:rsid w:val="43986917"/>
    <w:rsid w:val="43A62D89"/>
    <w:rsid w:val="44384368"/>
    <w:rsid w:val="4453748D"/>
    <w:rsid w:val="446B534E"/>
    <w:rsid w:val="447B635C"/>
    <w:rsid w:val="44DB5385"/>
    <w:rsid w:val="4536246E"/>
    <w:rsid w:val="457F2B12"/>
    <w:rsid w:val="45906D9E"/>
    <w:rsid w:val="45D253D7"/>
    <w:rsid w:val="482A361A"/>
    <w:rsid w:val="486C1D5E"/>
    <w:rsid w:val="48A070C7"/>
    <w:rsid w:val="48DB47DA"/>
    <w:rsid w:val="48DE1B32"/>
    <w:rsid w:val="490779DE"/>
    <w:rsid w:val="493E590E"/>
    <w:rsid w:val="49883A6B"/>
    <w:rsid w:val="49D525E7"/>
    <w:rsid w:val="4A2279AB"/>
    <w:rsid w:val="4ABD59DC"/>
    <w:rsid w:val="4B4A71F4"/>
    <w:rsid w:val="4B6C74E5"/>
    <w:rsid w:val="4B85087F"/>
    <w:rsid w:val="4B900B5E"/>
    <w:rsid w:val="4BAF3578"/>
    <w:rsid w:val="4BE55762"/>
    <w:rsid w:val="4CC104AE"/>
    <w:rsid w:val="4CD13297"/>
    <w:rsid w:val="4D550BA7"/>
    <w:rsid w:val="4D60363A"/>
    <w:rsid w:val="4DE44058"/>
    <w:rsid w:val="4E3D6F1E"/>
    <w:rsid w:val="4E7116BE"/>
    <w:rsid w:val="4E73595B"/>
    <w:rsid w:val="4FF360AE"/>
    <w:rsid w:val="50870B84"/>
    <w:rsid w:val="51300B08"/>
    <w:rsid w:val="517E67A2"/>
    <w:rsid w:val="52BC7CF8"/>
    <w:rsid w:val="53487DC7"/>
    <w:rsid w:val="538A2755"/>
    <w:rsid w:val="544F3F34"/>
    <w:rsid w:val="54C8106E"/>
    <w:rsid w:val="54FB6445"/>
    <w:rsid w:val="576F7D50"/>
    <w:rsid w:val="577E64AD"/>
    <w:rsid w:val="579B691F"/>
    <w:rsid w:val="57F97D92"/>
    <w:rsid w:val="59092F71"/>
    <w:rsid w:val="596B01C8"/>
    <w:rsid w:val="59816A5D"/>
    <w:rsid w:val="59B147BD"/>
    <w:rsid w:val="59D65B8D"/>
    <w:rsid w:val="59EA3107"/>
    <w:rsid w:val="5A2A05AC"/>
    <w:rsid w:val="5B140904"/>
    <w:rsid w:val="5BCD2E92"/>
    <w:rsid w:val="5BCE0DF3"/>
    <w:rsid w:val="5BE921DB"/>
    <w:rsid w:val="5CD268D5"/>
    <w:rsid w:val="5D0A469E"/>
    <w:rsid w:val="5D153946"/>
    <w:rsid w:val="5D8F5639"/>
    <w:rsid w:val="5ED6057A"/>
    <w:rsid w:val="5F186EE0"/>
    <w:rsid w:val="5F1F7E6B"/>
    <w:rsid w:val="5FB90010"/>
    <w:rsid w:val="5FD34C58"/>
    <w:rsid w:val="600F6F69"/>
    <w:rsid w:val="60AC7174"/>
    <w:rsid w:val="61133842"/>
    <w:rsid w:val="62223096"/>
    <w:rsid w:val="622A0332"/>
    <w:rsid w:val="62662D38"/>
    <w:rsid w:val="626C1F45"/>
    <w:rsid w:val="62D33B61"/>
    <w:rsid w:val="638A7276"/>
    <w:rsid w:val="63991B2B"/>
    <w:rsid w:val="643C16AD"/>
    <w:rsid w:val="647A3E31"/>
    <w:rsid w:val="65A457F8"/>
    <w:rsid w:val="66087371"/>
    <w:rsid w:val="66416052"/>
    <w:rsid w:val="666B5E4F"/>
    <w:rsid w:val="67E77C07"/>
    <w:rsid w:val="688C43D3"/>
    <w:rsid w:val="689F3973"/>
    <w:rsid w:val="690D34A8"/>
    <w:rsid w:val="69171433"/>
    <w:rsid w:val="69216E7D"/>
    <w:rsid w:val="69896D7A"/>
    <w:rsid w:val="69B549E7"/>
    <w:rsid w:val="69C76847"/>
    <w:rsid w:val="6A12254A"/>
    <w:rsid w:val="6A3715A0"/>
    <w:rsid w:val="6A88270B"/>
    <w:rsid w:val="6B437609"/>
    <w:rsid w:val="6B5820E3"/>
    <w:rsid w:val="6BB15B63"/>
    <w:rsid w:val="6C3F05A6"/>
    <w:rsid w:val="6C9611B5"/>
    <w:rsid w:val="6D367091"/>
    <w:rsid w:val="6D400EA0"/>
    <w:rsid w:val="6DD42637"/>
    <w:rsid w:val="6DDA2B10"/>
    <w:rsid w:val="6DDE6F4D"/>
    <w:rsid w:val="6E204F1C"/>
    <w:rsid w:val="6E795EBC"/>
    <w:rsid w:val="6EC801D0"/>
    <w:rsid w:val="6ECA34F1"/>
    <w:rsid w:val="6F18508D"/>
    <w:rsid w:val="6F242BBC"/>
    <w:rsid w:val="6F3C60E7"/>
    <w:rsid w:val="6F733FDE"/>
    <w:rsid w:val="70186FE8"/>
    <w:rsid w:val="70275178"/>
    <w:rsid w:val="703D7D31"/>
    <w:rsid w:val="70BE3879"/>
    <w:rsid w:val="70D43998"/>
    <w:rsid w:val="710146F2"/>
    <w:rsid w:val="71AB1617"/>
    <w:rsid w:val="726735E9"/>
    <w:rsid w:val="73E0684A"/>
    <w:rsid w:val="75304351"/>
    <w:rsid w:val="7544669C"/>
    <w:rsid w:val="755E6AB1"/>
    <w:rsid w:val="75B46B29"/>
    <w:rsid w:val="76363CDC"/>
    <w:rsid w:val="76530D05"/>
    <w:rsid w:val="76A7712D"/>
    <w:rsid w:val="76AC47FB"/>
    <w:rsid w:val="76ED5D89"/>
    <w:rsid w:val="77102C12"/>
    <w:rsid w:val="77750E03"/>
    <w:rsid w:val="777777C7"/>
    <w:rsid w:val="77BB68FC"/>
    <w:rsid w:val="77BC0A35"/>
    <w:rsid w:val="77C32BA6"/>
    <w:rsid w:val="782B5164"/>
    <w:rsid w:val="787F7564"/>
    <w:rsid w:val="78F36DE9"/>
    <w:rsid w:val="792E092D"/>
    <w:rsid w:val="798E249A"/>
    <w:rsid w:val="79CD3E9D"/>
    <w:rsid w:val="7A6C3B49"/>
    <w:rsid w:val="7AA57984"/>
    <w:rsid w:val="7ACD1D04"/>
    <w:rsid w:val="7B241BBE"/>
    <w:rsid w:val="7B3C363D"/>
    <w:rsid w:val="7B407050"/>
    <w:rsid w:val="7B4E164C"/>
    <w:rsid w:val="7B4E1939"/>
    <w:rsid w:val="7C7A455D"/>
    <w:rsid w:val="7C91404E"/>
    <w:rsid w:val="7C9C3108"/>
    <w:rsid w:val="7D0803A6"/>
    <w:rsid w:val="7D730CDE"/>
    <w:rsid w:val="7DB13DA2"/>
    <w:rsid w:val="7E7C01BD"/>
    <w:rsid w:val="7F2044D8"/>
    <w:rsid w:val="7FD60385"/>
    <w:rsid w:val="7FFB4E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32"/>
    <w:qFormat/>
    <w:uiPriority w:val="0"/>
    <w:pPr>
      <w:widowControl/>
      <w:spacing w:line="360" w:lineRule="auto"/>
      <w:jc w:val="both"/>
    </w:pPr>
    <w:rPr>
      <w:rFonts w:ascii="宋体" w:hAnsi="宋体" w:eastAsia="宋体" w:cs="宋体"/>
      <w:sz w:val="24"/>
      <w:szCs w:val="24"/>
      <w:lang w:val="en-US" w:eastAsia="en-US" w:bidi="ar-SA"/>
    </w:rPr>
  </w:style>
  <w:style w:type="paragraph" w:styleId="2">
    <w:name w:val="heading 1"/>
    <w:basedOn w:val="1"/>
    <w:next w:val="1"/>
    <w:link w:val="25"/>
    <w:qFormat/>
    <w:uiPriority w:val="0"/>
    <w:pPr>
      <w:keepNext w:val="0"/>
      <w:keepLines w:val="0"/>
      <w:spacing w:line="360" w:lineRule="auto"/>
      <w:jc w:val="center"/>
      <w:outlineLvl w:val="0"/>
    </w:pPr>
    <w:rPr>
      <w:rFonts w:ascii="黑体" w:hAnsi="黑体" w:eastAsia="黑体" w:cs="黑体"/>
      <w:b/>
      <w:bCs/>
      <w:kern w:val="0"/>
      <w:sz w:val="44"/>
      <w:szCs w:val="44"/>
    </w:rPr>
  </w:style>
  <w:style w:type="paragraph" w:styleId="3">
    <w:name w:val="heading 2"/>
    <w:basedOn w:val="1"/>
    <w:next w:val="1"/>
    <w:link w:val="26"/>
    <w:semiHidden/>
    <w:unhideWhenUsed/>
    <w:qFormat/>
    <w:uiPriority w:val="0"/>
    <w:pPr>
      <w:keepNext w:val="0"/>
      <w:keepLines w:val="0"/>
      <w:spacing w:beforeLines="0" w:afterLines="0" w:line="360" w:lineRule="auto"/>
      <w:jc w:val="both"/>
      <w:outlineLvl w:val="1"/>
    </w:pPr>
    <w:rPr>
      <w:rFonts w:ascii="黑体" w:hAnsi="黑体" w:eastAsia="黑体" w:cs="黑体"/>
      <w:b/>
      <w:bCs/>
      <w:sz w:val="32"/>
      <w:szCs w:val="32"/>
    </w:rPr>
  </w:style>
  <w:style w:type="paragraph" w:styleId="4">
    <w:name w:val="heading 3"/>
    <w:basedOn w:val="1"/>
    <w:next w:val="1"/>
    <w:link w:val="27"/>
    <w:semiHidden/>
    <w:unhideWhenUsed/>
    <w:qFormat/>
    <w:uiPriority w:val="0"/>
    <w:pPr>
      <w:keepNext w:val="0"/>
      <w:keepLines w:val="0"/>
      <w:widowControl/>
      <w:spacing w:line="360" w:lineRule="auto"/>
      <w:ind w:left="0" w:leftChars="0" w:right="0" w:rightChars="0" w:firstLine="0"/>
      <w:jc w:val="center"/>
      <w:outlineLvl w:val="2"/>
    </w:pPr>
    <w:rPr>
      <w:rFonts w:ascii="宋体" w:hAnsi="宋体" w:eastAsia="宋体" w:cs="宋体"/>
      <w:b/>
      <w:bCs/>
      <w:sz w:val="30"/>
      <w:szCs w:val="28"/>
    </w:rPr>
  </w:style>
  <w:style w:type="paragraph" w:styleId="5">
    <w:name w:val="heading 4"/>
    <w:basedOn w:val="1"/>
    <w:next w:val="1"/>
    <w:link w:val="28"/>
    <w:semiHidden/>
    <w:unhideWhenUsed/>
    <w:qFormat/>
    <w:uiPriority w:val="0"/>
    <w:pPr>
      <w:keepNext w:val="0"/>
      <w:keepLines w:val="0"/>
      <w:widowControl/>
      <w:tabs>
        <w:tab w:val="left" w:pos="1984"/>
      </w:tabs>
      <w:spacing w:line="360" w:lineRule="auto"/>
      <w:ind w:left="0" w:firstLine="0"/>
      <w:jc w:val="center"/>
      <w:outlineLvl w:val="3"/>
    </w:pPr>
    <w:rPr>
      <w:rFonts w:ascii="仿宋" w:hAnsi="仿宋" w:eastAsia="仿宋"/>
      <w:b/>
      <w:bCs/>
      <w:sz w:val="28"/>
      <w:szCs w:val="28"/>
    </w:rPr>
  </w:style>
  <w:style w:type="paragraph" w:styleId="6">
    <w:name w:val="heading 5"/>
    <w:link w:val="31"/>
    <w:semiHidden/>
    <w:unhideWhenUsed/>
    <w:qFormat/>
    <w:uiPriority w:val="0"/>
    <w:pPr>
      <w:spacing w:before="120" w:after="120" w:line="240" w:lineRule="auto"/>
      <w:outlineLvl w:val="4"/>
    </w:pPr>
    <w:rPr>
      <w:rFonts w:ascii="宋体" w:hAnsi="宋体" w:eastAsia="宋体" w:cstheme="minorBidi"/>
      <w:b/>
      <w:sz w:val="24"/>
      <w:szCs w:val="22"/>
    </w:rPr>
  </w:style>
  <w:style w:type="paragraph" w:styleId="7">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51" w:hanging="1151"/>
      <w:outlineLvl w:val="5"/>
    </w:pPr>
    <w:rPr>
      <w:rFonts w:ascii="Arial" w:hAnsi="Arial" w:eastAsia="黑体"/>
      <w:b/>
      <w:sz w:val="24"/>
    </w:rPr>
  </w:style>
  <w:style w:type="paragraph" w:styleId="8">
    <w:name w:val="heading 7"/>
    <w:basedOn w:val="1"/>
    <w:next w:val="1"/>
    <w:semiHidden/>
    <w:unhideWhenUsed/>
    <w:qFormat/>
    <w:uiPriority w:val="0"/>
    <w:pPr>
      <w:keepNext/>
      <w:keepLines/>
      <w:spacing w:beforeLines="0" w:beforeAutospacing="0" w:afterLines="0" w:afterAutospacing="0" w:line="360" w:lineRule="auto"/>
      <w:ind w:left="0" w:firstLine="0"/>
      <w:jc w:val="both"/>
      <w:outlineLvl w:val="6"/>
    </w:pPr>
    <w:rPr>
      <w:rFonts w:ascii="宋体" w:hAnsi="宋体" w:cstheme="minorBidi"/>
      <w:b/>
    </w:rPr>
  </w:style>
  <w:style w:type="paragraph" w:styleId="9">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40" w:hanging="144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83" w:hanging="1583"/>
      <w:outlineLvl w:val="8"/>
    </w:pPr>
    <w:rPr>
      <w:rFonts w:ascii="Arial" w:hAnsi="Arial" w:eastAsia="黑体"/>
      <w:sz w:val="21"/>
    </w:rPr>
  </w:style>
  <w:style w:type="character" w:default="1" w:styleId="24">
    <w:name w:val="Default Paragraph Font"/>
    <w:semiHidden/>
    <w:qFormat/>
    <w:uiPriority w:val="0"/>
  </w:style>
  <w:style w:type="table" w:default="1" w:styleId="22">
    <w:name w:val="Normal Table"/>
    <w:semiHidden/>
    <w:qFormat/>
    <w:uiPriority w:val="0"/>
    <w:tblPr>
      <w:tblCellMar>
        <w:top w:w="0" w:type="dxa"/>
        <w:left w:w="108" w:type="dxa"/>
        <w:bottom w:w="0" w:type="dxa"/>
        <w:right w:w="108" w:type="dxa"/>
      </w:tblCellMar>
    </w:tblPr>
  </w:style>
  <w:style w:type="paragraph" w:styleId="11">
    <w:name w:val="Normal Indent"/>
    <w:basedOn w:val="1"/>
    <w:qFormat/>
    <w:uiPriority w:val="0"/>
    <w:pPr>
      <w:ind w:firstLine="420" w:firstLineChars="200"/>
    </w:pPr>
  </w:style>
  <w:style w:type="paragraph" w:styleId="12">
    <w:name w:val="Body Text"/>
    <w:basedOn w:val="1"/>
    <w:next w:val="1"/>
    <w:qFormat/>
    <w:uiPriority w:val="0"/>
    <w:pPr>
      <w:spacing w:line="360" w:lineRule="auto"/>
    </w:pPr>
    <w:rPr>
      <w:rFonts w:ascii="宋体" w:hAnsi="宋体"/>
      <w:sz w:val="24"/>
    </w:rPr>
  </w:style>
  <w:style w:type="paragraph" w:styleId="13">
    <w:name w:val="Body Text Indent"/>
    <w:basedOn w:val="1"/>
    <w:qFormat/>
    <w:uiPriority w:val="0"/>
    <w:pPr>
      <w:spacing w:after="120" w:afterLines="0" w:afterAutospacing="0"/>
      <w:ind w:left="420" w:leftChars="200"/>
    </w:pPr>
  </w:style>
  <w:style w:type="paragraph" w:styleId="14">
    <w:name w:val="toc 5"/>
    <w:basedOn w:val="1"/>
    <w:next w:val="1"/>
    <w:qFormat/>
    <w:uiPriority w:val="0"/>
    <w:pPr>
      <w:widowControl/>
      <w:spacing w:line="360" w:lineRule="auto"/>
      <w:ind w:left="0" w:leftChars="0" w:firstLine="2640" w:firstLineChars="600"/>
    </w:pPr>
    <w:rPr>
      <w:rFonts w:ascii="宋体" w:hAnsi="宋体" w:eastAsia="宋体" w:cs="宋体"/>
      <w:kern w:val="0"/>
      <w:sz w:val="28"/>
      <w:szCs w:val="28"/>
      <w:lang w:eastAsia="zh-CN"/>
    </w:rPr>
  </w:style>
  <w:style w:type="paragraph" w:styleId="15">
    <w:name w:val="toc 3"/>
    <w:basedOn w:val="1"/>
    <w:next w:val="1"/>
    <w:qFormat/>
    <w:uiPriority w:val="0"/>
    <w:pPr>
      <w:widowControl/>
      <w:spacing w:line="360" w:lineRule="auto"/>
      <w:ind w:left="720" w:leftChars="300"/>
      <w:jc w:val="both"/>
    </w:pPr>
    <w:rPr>
      <w:rFonts w:ascii="Times New Roman" w:hAnsi="Times New Roman"/>
      <w:color w:val="000000"/>
      <w:sz w:val="28"/>
      <w:szCs w:val="28"/>
    </w:rPr>
  </w:style>
  <w:style w:type="paragraph" w:styleId="16">
    <w:name w:val="footer"/>
    <w:basedOn w:val="1"/>
    <w:qFormat/>
    <w:uiPriority w:val="0"/>
    <w:pPr>
      <w:tabs>
        <w:tab w:val="center" w:pos="4153"/>
        <w:tab w:val="right" w:pos="8306"/>
      </w:tabs>
      <w:snapToGrid/>
      <w:spacing w:line="240" w:lineRule="auto"/>
      <w:jc w:val="center"/>
    </w:pPr>
    <w:rPr>
      <w:rFonts w:ascii="Times New Roman" w:hAnsi="Times New Roman" w:cs="Times New Roman"/>
      <w:sz w:val="21"/>
      <w:szCs w:val="21"/>
    </w:rPr>
  </w:style>
  <w:style w:type="paragraph" w:styleId="1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8">
    <w:name w:val="toc 1"/>
    <w:basedOn w:val="1"/>
    <w:next w:val="1"/>
    <w:qFormat/>
    <w:uiPriority w:val="0"/>
    <w:pPr>
      <w:spacing w:line="600" w:lineRule="auto"/>
    </w:pPr>
    <w:rPr>
      <w:rFonts w:ascii="黑体" w:hAnsi="黑体" w:eastAsia="黑体" w:cs="黑体"/>
      <w:b/>
      <w:bCs/>
      <w:sz w:val="30"/>
      <w:szCs w:val="30"/>
    </w:rPr>
  </w:style>
  <w:style w:type="paragraph" w:styleId="19">
    <w:name w:val="toc 4"/>
    <w:basedOn w:val="1"/>
    <w:next w:val="1"/>
    <w:qFormat/>
    <w:uiPriority w:val="0"/>
    <w:pPr>
      <w:widowControl/>
      <w:ind w:left="1080" w:leftChars="450"/>
    </w:pPr>
    <w:rPr>
      <w:rFonts w:ascii="Times New Roman" w:hAnsi="Times New Roman"/>
      <w:sz w:val="28"/>
      <w:szCs w:val="28"/>
    </w:rPr>
  </w:style>
  <w:style w:type="paragraph" w:styleId="20">
    <w:name w:val="toc 2"/>
    <w:basedOn w:val="1"/>
    <w:next w:val="1"/>
    <w:qFormat/>
    <w:uiPriority w:val="0"/>
    <w:pPr>
      <w:widowControl/>
      <w:tabs>
        <w:tab w:val="right" w:leader="dot" w:pos="8296"/>
        <w:tab w:val="right" w:leader="dot" w:pos="9628"/>
      </w:tabs>
      <w:spacing w:line="360" w:lineRule="auto"/>
      <w:ind w:left="360" w:leftChars="150"/>
    </w:pPr>
    <w:rPr>
      <w:rFonts w:ascii="Times New Roman" w:hAnsi="Times New Roman" w:eastAsia="仿宋"/>
      <w:sz w:val="28"/>
      <w:szCs w:val="28"/>
    </w:rPr>
  </w:style>
  <w:style w:type="paragraph" w:styleId="21">
    <w:name w:val="Body Text First Indent 2"/>
    <w:basedOn w:val="13"/>
    <w:next w:val="1"/>
    <w:qFormat/>
    <w:uiPriority w:val="0"/>
    <w:pPr>
      <w:ind w:left="0" w:leftChars="0" w:firstLine="0"/>
    </w:pPr>
    <w:rPr>
      <w:szCs w:val="30"/>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5">
    <w:name w:val="标题 1 Char"/>
    <w:basedOn w:val="24"/>
    <w:link w:val="2"/>
    <w:qFormat/>
    <w:uiPriority w:val="0"/>
    <w:rPr>
      <w:rFonts w:ascii="宋体" w:hAnsi="宋体" w:eastAsia="宋体" w:cs="宋体"/>
      <w:b/>
      <w:bCs/>
      <w:kern w:val="0"/>
      <w:sz w:val="44"/>
      <w:szCs w:val="32"/>
      <w:lang w:eastAsia="zh-CN"/>
    </w:rPr>
  </w:style>
  <w:style w:type="character" w:customStyle="1" w:styleId="26">
    <w:name w:val="标题 2 字符1"/>
    <w:link w:val="3"/>
    <w:qFormat/>
    <w:uiPriority w:val="0"/>
    <w:rPr>
      <w:rFonts w:ascii="宋体" w:hAnsi="宋体" w:eastAsia="宋体" w:cs="宋体"/>
      <w:b/>
      <w:bCs/>
      <w:color w:val="000000"/>
      <w:kern w:val="2"/>
      <w:sz w:val="32"/>
      <w:szCs w:val="32"/>
      <w:lang w:val="en-US" w:eastAsia="zh-CN" w:bidi="ar-SA"/>
    </w:rPr>
  </w:style>
  <w:style w:type="character" w:customStyle="1" w:styleId="27">
    <w:name w:val="标题 3 字符"/>
    <w:basedOn w:val="24"/>
    <w:link w:val="4"/>
    <w:qFormat/>
    <w:uiPriority w:val="0"/>
    <w:rPr>
      <w:rFonts w:ascii="宋体" w:hAnsi="宋体" w:eastAsia="宋体" w:cs="宋体"/>
      <w:b/>
      <w:bCs/>
      <w:kern w:val="0"/>
      <w:sz w:val="28"/>
      <w:szCs w:val="28"/>
      <w:lang w:eastAsia="zh-CN"/>
    </w:rPr>
  </w:style>
  <w:style w:type="character" w:customStyle="1" w:styleId="28">
    <w:name w:val="标题 4 字符"/>
    <w:link w:val="5"/>
    <w:qFormat/>
    <w:uiPriority w:val="0"/>
    <w:rPr>
      <w:rFonts w:ascii="宋体" w:hAnsi="宋体" w:eastAsia="宋体" w:cs="Times New Roman"/>
      <w:b/>
      <w:bCs/>
      <w:sz w:val="30"/>
      <w:szCs w:val="28"/>
    </w:rPr>
  </w:style>
  <w:style w:type="paragraph" w:customStyle="1" w:styleId="29">
    <w:name w:val="标题5"/>
    <w:basedOn w:val="1"/>
    <w:next w:val="1"/>
    <w:qFormat/>
    <w:uiPriority w:val="0"/>
    <w:pPr>
      <w:keepNext w:val="0"/>
      <w:keepLines w:val="0"/>
      <w:widowControl/>
      <w:spacing w:line="360" w:lineRule="auto"/>
      <w:jc w:val="both"/>
      <w:outlineLvl w:val="4"/>
    </w:pPr>
    <w:rPr>
      <w:rFonts w:hint="eastAsia" w:ascii="仿宋" w:hAnsi="仿宋" w:eastAsia="仿宋" w:cs="仿宋"/>
      <w:b/>
      <w:bCs/>
      <w:kern w:val="0"/>
      <w:sz w:val="32"/>
      <w:szCs w:val="32"/>
    </w:rPr>
  </w:style>
  <w:style w:type="paragraph" w:customStyle="1" w:styleId="30">
    <w:name w:val="文档正文"/>
    <w:basedOn w:val="1"/>
    <w:next w:val="1"/>
    <w:qFormat/>
    <w:uiPriority w:val="99"/>
    <w:pPr>
      <w:adjustRightInd/>
      <w:spacing w:line="360" w:lineRule="auto"/>
      <w:ind w:firstLine="567" w:firstLineChars="200"/>
      <w:textAlignment w:val="auto"/>
    </w:pPr>
    <w:rPr>
      <w:rFonts w:ascii="宋体" w:hAnsi="宋体"/>
      <w:szCs w:val="24"/>
    </w:rPr>
  </w:style>
  <w:style w:type="character" w:customStyle="1" w:styleId="31">
    <w:name w:val="标题 5 字符"/>
    <w:basedOn w:val="24"/>
    <w:link w:val="6"/>
    <w:semiHidden/>
    <w:qFormat/>
    <w:uiPriority w:val="0"/>
    <w:rPr>
      <w:rFonts w:ascii="宋体" w:hAnsi="宋体" w:eastAsia="宋体" w:cs="Times New Roman"/>
      <w:b/>
      <w:bCs/>
      <w:sz w:val="28"/>
      <w:szCs w:val="28"/>
    </w:rPr>
  </w:style>
  <w:style w:type="character" w:customStyle="1" w:styleId="32">
    <w:name w:val="NormalCharacter"/>
    <w:link w:val="1"/>
    <w:qFormat/>
    <w:uiPriority w:val="0"/>
    <w:rPr>
      <w:rFonts w:ascii="宋体" w:hAnsi="宋体" w:eastAsia="宋体" w:cs="宋体"/>
      <w:sz w:val="24"/>
      <w:szCs w:val="24"/>
      <w:lang w:val="en-US" w:eastAsia="zh-CN" w:bidi="ar-SA"/>
    </w:rPr>
  </w:style>
  <w:style w:type="paragraph" w:customStyle="1" w:styleId="33">
    <w:name w:val="公文正文"/>
    <w:qFormat/>
    <w:uiPriority w:val="0"/>
    <w:pPr>
      <w:widowControl w:val="0"/>
      <w:spacing w:line="360" w:lineRule="auto"/>
      <w:ind w:firstLine="629"/>
      <w:jc w:val="both"/>
    </w:pPr>
    <w:rPr>
      <w:rFonts w:ascii="仿宋_GB2312" w:hAnsi="Calisto MT" w:eastAsia="仿宋_GB2312" w:cs="Times New Roman"/>
      <w:color w:val="000000"/>
      <w:sz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3101</Words>
  <Characters>3381</Characters>
  <Lines>0</Lines>
  <Paragraphs>0</Paragraphs>
  <TotalTime>0</TotalTime>
  <ScaleCrop>false</ScaleCrop>
  <LinksUpToDate>false</LinksUpToDate>
  <CharactersWithSpaces>3497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2025-08-27T02:57:00Z</dcterms:created>
  <dc:creator>梦</dc:creator>
  <cp:lastModifiedBy>梦</cp:lastModifiedBy>
  <dcterms:modified xsi:type="dcterms:W3CDTF">2025-09-28T02:35:57Z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DED1DC8747844F47A7EB220331C0493E_11</vt:lpwstr>
  </property>
  <property fmtid="{D5CDD505-2E9C-101B-9397-08002B2CF9AE}" pid="4" name="KSOTemplateDocerSaveRecord">
    <vt:lpwstr>eyJoZGlkIjoiMThjMzQ3MjU0NjAxNjg0NmU0ODllZTYzZjIxNmI4NTEiLCJ1c2VySWQiOiI0NDQ2MTg3MjkifQ==</vt:lpwstr>
  </property>
</Properties>
</file>