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1C197">
      <w:pPr>
        <w:rPr>
          <w:rFonts w:hint="eastAsia" w:ascii="黑体" w:hAnsi="黑体" w:eastAsia="黑体"/>
          <w:color w:val="auto"/>
          <w:sz w:val="32"/>
          <w:szCs w:val="32"/>
          <w:highlight w:val="none"/>
          <w:lang w:val="en-US" w:eastAsia="zh-CN"/>
        </w:rPr>
      </w:pPr>
    </w:p>
    <w:p w14:paraId="11F423D7">
      <w:pPr>
        <w:jc w:val="center"/>
        <w:rPr>
          <w:rFonts w:hint="eastAsia" w:ascii="宋体" w:hAnsi="宋体" w:eastAsia="宋体" w:cs="宋体"/>
          <w:b/>
          <w:color w:val="auto"/>
          <w:sz w:val="11"/>
          <w:szCs w:val="11"/>
          <w:highlight w:val="none"/>
        </w:rPr>
      </w:pPr>
    </w:p>
    <w:p w14:paraId="42FD72F8">
      <w:pPr>
        <w:jc w:val="center"/>
        <w:rPr>
          <w:rFonts w:hint="eastAsia" w:ascii="宋体" w:hAnsi="宋体" w:eastAsia="宋体" w:cs="宋体"/>
          <w:b/>
          <w:color w:val="auto"/>
          <w:sz w:val="44"/>
          <w:szCs w:val="44"/>
          <w:highlight w:val="none"/>
        </w:rPr>
      </w:pPr>
      <w:r>
        <w:rPr>
          <w:rFonts w:hint="eastAsia" w:ascii="宋体" w:hAnsi="宋体" w:eastAsia="宋体" w:cs="宋体"/>
          <w:b/>
          <w:color w:val="auto"/>
          <w:kern w:val="2"/>
          <w:sz w:val="52"/>
          <w:szCs w:val="52"/>
          <w:highlight w:val="none"/>
          <w:u w:val="single"/>
          <w:lang w:val="en-US" w:eastAsia="zh-CN" w:bidi="ar-SA"/>
        </w:rPr>
        <w:t>从化区“十四五”生物防火林带改造项目2025年度建设</w:t>
      </w:r>
    </w:p>
    <w:p w14:paraId="5F9C2F98">
      <w:pPr>
        <w:jc w:val="center"/>
        <w:rPr>
          <w:rFonts w:hint="eastAsia" w:ascii="宋体" w:hAnsi="宋体" w:eastAsia="宋体" w:cs="宋体"/>
          <w:b/>
          <w:color w:val="auto"/>
          <w:sz w:val="44"/>
          <w:szCs w:val="44"/>
          <w:highlight w:val="none"/>
        </w:rPr>
      </w:pPr>
    </w:p>
    <w:p w14:paraId="712E315E">
      <w:pPr>
        <w:jc w:val="center"/>
        <w:rPr>
          <w:rFonts w:hint="eastAsia" w:ascii="宋体" w:hAnsi="宋体" w:eastAsia="宋体" w:cs="宋体"/>
          <w:b/>
          <w:color w:val="auto"/>
          <w:sz w:val="44"/>
          <w:szCs w:val="44"/>
          <w:highlight w:val="none"/>
        </w:rPr>
      </w:pPr>
    </w:p>
    <w:p w14:paraId="5FDB2FA5">
      <w:pPr>
        <w:jc w:val="center"/>
        <w:rPr>
          <w:rFonts w:hint="eastAsia" w:ascii="宋体" w:hAnsi="宋体" w:eastAsia="宋体" w:cs="宋体"/>
          <w:b/>
          <w:color w:val="auto"/>
          <w:sz w:val="44"/>
          <w:szCs w:val="44"/>
          <w:highlight w:val="none"/>
        </w:rPr>
      </w:pPr>
    </w:p>
    <w:p w14:paraId="5546F428">
      <w:pPr>
        <w:jc w:val="center"/>
        <w:rPr>
          <w:rFonts w:hint="eastAsia" w:ascii="宋体" w:hAnsi="宋体" w:eastAsia="宋体" w:cs="宋体"/>
          <w:b/>
          <w:color w:val="auto"/>
          <w:sz w:val="44"/>
          <w:szCs w:val="44"/>
          <w:highlight w:val="none"/>
        </w:rPr>
      </w:pPr>
    </w:p>
    <w:p w14:paraId="33561F90">
      <w:pPr>
        <w:jc w:val="center"/>
        <w:rPr>
          <w:rFonts w:hint="eastAsia" w:ascii="宋体" w:hAnsi="宋体" w:eastAsia="宋体" w:cs="宋体"/>
          <w:b/>
          <w:color w:val="auto"/>
          <w:sz w:val="44"/>
          <w:szCs w:val="44"/>
          <w:highlight w:val="none"/>
        </w:rPr>
      </w:pPr>
    </w:p>
    <w:p w14:paraId="3D3ECDD7">
      <w:pPr>
        <w:jc w:val="center"/>
        <w:rPr>
          <w:rFonts w:hint="eastAsia" w:ascii="宋体" w:hAnsi="宋体" w:eastAsia="宋体" w:cs="宋体"/>
          <w:b/>
          <w:color w:val="auto"/>
          <w:sz w:val="44"/>
          <w:szCs w:val="44"/>
          <w:highlight w:val="none"/>
        </w:rPr>
      </w:pPr>
    </w:p>
    <w:p w14:paraId="6D3D79BB">
      <w:pPr>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招标文件</w:t>
      </w:r>
    </w:p>
    <w:p w14:paraId="0D8B2842">
      <w:pPr>
        <w:jc w:val="center"/>
        <w:rPr>
          <w:rFonts w:hint="eastAsia" w:ascii="宋体" w:hAnsi="宋体" w:eastAsia="宋体" w:cs="宋体"/>
          <w:b/>
          <w:color w:val="auto"/>
          <w:sz w:val="44"/>
          <w:szCs w:val="44"/>
          <w:highlight w:val="none"/>
          <w:lang w:val="en-US" w:eastAsia="zh-CN"/>
        </w:rPr>
      </w:pPr>
    </w:p>
    <w:p w14:paraId="61DC2CA4">
      <w:pPr>
        <w:jc w:val="center"/>
        <w:rPr>
          <w:rFonts w:hint="eastAsia" w:ascii="宋体" w:hAnsi="宋体" w:eastAsia="宋体" w:cs="宋体"/>
          <w:b/>
          <w:color w:val="auto"/>
          <w:sz w:val="52"/>
          <w:szCs w:val="52"/>
          <w:highlight w:val="none"/>
        </w:rPr>
      </w:pPr>
    </w:p>
    <w:p w14:paraId="5851563B">
      <w:pPr>
        <w:jc w:val="center"/>
        <w:rPr>
          <w:rFonts w:hint="eastAsia" w:ascii="宋体" w:hAnsi="宋体" w:eastAsia="宋体" w:cs="宋体"/>
          <w:b/>
          <w:color w:val="auto"/>
          <w:sz w:val="52"/>
          <w:szCs w:val="52"/>
          <w:highlight w:val="none"/>
        </w:rPr>
      </w:pPr>
    </w:p>
    <w:p w14:paraId="23D70C8D">
      <w:pPr>
        <w:jc w:val="both"/>
        <w:rPr>
          <w:rFonts w:hint="eastAsia" w:ascii="宋体" w:hAnsi="宋体" w:eastAsia="宋体" w:cs="宋体"/>
          <w:b/>
          <w:color w:val="auto"/>
          <w:sz w:val="52"/>
          <w:szCs w:val="52"/>
          <w:highlight w:val="none"/>
        </w:rPr>
      </w:pPr>
    </w:p>
    <w:p w14:paraId="05ADA26C">
      <w:pPr>
        <w:jc w:val="center"/>
        <w:rPr>
          <w:rFonts w:hint="eastAsia" w:ascii="宋体" w:hAnsi="宋体" w:eastAsia="宋体" w:cs="宋体"/>
          <w:b/>
          <w:color w:val="auto"/>
          <w:sz w:val="52"/>
          <w:szCs w:val="52"/>
          <w:highlight w:val="none"/>
        </w:rPr>
      </w:pPr>
      <w:bookmarkStart w:id="406" w:name="_GoBack"/>
      <w:bookmarkEnd w:id="406"/>
    </w:p>
    <w:p w14:paraId="20BC8E6A">
      <w:pPr>
        <w:keepNext w:val="0"/>
        <w:keepLines w:val="0"/>
        <w:pageBreakBefore w:val="0"/>
        <w:widowControl w:val="0"/>
        <w:kinsoku/>
        <w:wordWrap/>
        <w:overflowPunct/>
        <w:topLinePunct w:val="0"/>
        <w:autoSpaceDE/>
        <w:autoSpaceDN/>
        <w:bidi w:val="0"/>
        <w:adjustRightInd/>
        <w:snapToGrid/>
        <w:spacing w:line="360" w:lineRule="auto"/>
        <w:ind w:firstLine="1080" w:firstLineChars="300"/>
        <w:jc w:val="both"/>
        <w:textAlignment w:val="auto"/>
        <w:rPr>
          <w:rFonts w:hint="eastAsia" w:ascii="宋体" w:hAnsi="宋体" w:eastAsia="宋体" w:cs="宋体"/>
          <w:b w:val="0"/>
          <w:bCs/>
          <w:color w:val="auto"/>
          <w:sz w:val="36"/>
          <w:szCs w:val="36"/>
          <w:highlight w:val="none"/>
          <w:lang w:eastAsia="zh-CN"/>
        </w:rPr>
      </w:pPr>
      <w:r>
        <w:rPr>
          <w:rFonts w:hint="eastAsia" w:ascii="宋体" w:hAnsi="宋体" w:eastAsia="宋体" w:cs="宋体"/>
          <w:b w:val="0"/>
          <w:bCs/>
          <w:color w:val="auto"/>
          <w:sz w:val="36"/>
          <w:szCs w:val="36"/>
          <w:highlight w:val="none"/>
        </w:rPr>
        <w:t>招标人：</w:t>
      </w:r>
      <w:r>
        <w:rPr>
          <w:rFonts w:hint="eastAsia" w:ascii="宋体" w:hAnsi="宋体" w:eastAsia="宋体" w:cs="宋体"/>
          <w:b w:val="0"/>
          <w:bCs/>
          <w:color w:val="auto"/>
          <w:sz w:val="36"/>
          <w:szCs w:val="36"/>
          <w:highlight w:val="none"/>
          <w:lang w:eastAsia="zh-CN"/>
        </w:rPr>
        <w:t>广州市从化区林业和园林局</w:t>
      </w:r>
    </w:p>
    <w:p w14:paraId="32B9B965">
      <w:pPr>
        <w:keepNext w:val="0"/>
        <w:keepLines w:val="0"/>
        <w:pageBreakBefore w:val="0"/>
        <w:widowControl w:val="0"/>
        <w:kinsoku/>
        <w:wordWrap/>
        <w:overflowPunct/>
        <w:topLinePunct w:val="0"/>
        <w:autoSpaceDE/>
        <w:autoSpaceDN/>
        <w:bidi w:val="0"/>
        <w:adjustRightInd/>
        <w:snapToGrid/>
        <w:spacing w:line="360" w:lineRule="auto"/>
        <w:ind w:firstLine="1080" w:firstLineChars="300"/>
        <w:jc w:val="both"/>
        <w:textAlignment w:val="auto"/>
        <w:rPr>
          <w:rFonts w:hint="eastAsia" w:ascii="宋体" w:hAnsi="宋体" w:eastAsia="宋体" w:cs="宋体"/>
          <w:b w:val="0"/>
          <w:bCs/>
          <w:color w:val="auto"/>
          <w:sz w:val="36"/>
          <w:szCs w:val="36"/>
          <w:highlight w:val="none"/>
          <w:lang w:eastAsia="zh-CN"/>
        </w:rPr>
      </w:pPr>
      <w:r>
        <w:rPr>
          <w:rFonts w:hint="eastAsia" w:ascii="宋体" w:hAnsi="宋体" w:eastAsia="宋体" w:cs="宋体"/>
          <w:b w:val="0"/>
          <w:bCs/>
          <w:color w:val="auto"/>
          <w:sz w:val="36"/>
          <w:szCs w:val="36"/>
          <w:highlight w:val="none"/>
          <w:lang w:eastAsia="zh-CN"/>
        </w:rPr>
        <w:t>招标代理机构：广州从城工程建设管理有限公司</w:t>
      </w:r>
    </w:p>
    <w:p w14:paraId="32E860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lang w:val="en-US" w:eastAsia="zh-CN"/>
        </w:rPr>
        <w:t>日期：2025</w:t>
      </w:r>
      <w:r>
        <w:rPr>
          <w:rFonts w:hint="eastAsia" w:ascii="宋体" w:hAnsi="宋体" w:eastAsia="宋体" w:cs="宋体"/>
          <w:b w:val="0"/>
          <w:bCs/>
          <w:color w:val="auto"/>
          <w:sz w:val="36"/>
          <w:szCs w:val="36"/>
          <w:highlight w:val="none"/>
        </w:rPr>
        <w:t>年</w:t>
      </w:r>
      <w:r>
        <w:rPr>
          <w:rFonts w:hint="eastAsia" w:ascii="宋体" w:hAnsi="宋体" w:eastAsia="宋体" w:cs="宋体"/>
          <w:b w:val="0"/>
          <w:bCs/>
          <w:color w:val="auto"/>
          <w:sz w:val="36"/>
          <w:szCs w:val="36"/>
          <w:highlight w:val="none"/>
          <w:lang w:val="en-US" w:eastAsia="zh-CN"/>
        </w:rPr>
        <w:t>9</w:t>
      </w:r>
      <w:r>
        <w:rPr>
          <w:rFonts w:hint="eastAsia" w:ascii="宋体" w:hAnsi="宋体" w:eastAsia="宋体" w:cs="宋体"/>
          <w:b w:val="0"/>
          <w:bCs/>
          <w:color w:val="auto"/>
          <w:sz w:val="36"/>
          <w:szCs w:val="36"/>
          <w:highlight w:val="none"/>
        </w:rPr>
        <w:t>月</w:t>
      </w:r>
    </w:p>
    <w:p w14:paraId="72EFDB78">
      <w:pPr>
        <w:widowControl/>
        <w:spacing w:line="240" w:lineRule="auto"/>
        <w:jc w:val="left"/>
        <w:rPr>
          <w:rFonts w:hint="eastAsia" w:ascii="宋体" w:hAnsi="宋体" w:eastAsia="宋体"/>
          <w:b/>
          <w:color w:val="auto"/>
          <w:sz w:val="36"/>
          <w:szCs w:val="36"/>
          <w:highlight w:val="none"/>
        </w:rPr>
      </w:pPr>
      <w:r>
        <w:rPr>
          <w:rFonts w:hint="eastAsia" w:ascii="宋体" w:hAnsi="宋体" w:eastAsia="宋体"/>
          <w:b/>
          <w:color w:val="auto"/>
          <w:sz w:val="44"/>
          <w:szCs w:val="44"/>
          <w:highlight w:val="none"/>
        </w:rPr>
        <w:t xml:space="preserve">               </w:t>
      </w:r>
      <w:r>
        <w:rPr>
          <w:rFonts w:hint="eastAsia" w:ascii="宋体" w:hAnsi="宋体" w:eastAsia="宋体"/>
          <w:b/>
          <w:color w:val="auto"/>
          <w:sz w:val="36"/>
          <w:szCs w:val="36"/>
          <w:highlight w:val="none"/>
        </w:rPr>
        <w:t xml:space="preserve">                </w:t>
      </w:r>
    </w:p>
    <w:p w14:paraId="3361C5B3">
      <w:pPr>
        <w:spacing w:line="360" w:lineRule="auto"/>
        <w:ind w:left="-358" w:leftChars="-171" w:hanging="1"/>
        <w:jc w:val="center"/>
        <w:rPr>
          <w:rFonts w:hint="eastAsia" w:ascii="宋体" w:hAnsi="宋体" w:eastAsia="宋体"/>
          <w:b/>
          <w:color w:val="auto"/>
          <w:sz w:val="36"/>
          <w:szCs w:val="36"/>
          <w:highlight w:val="none"/>
        </w:rPr>
      </w:pPr>
    </w:p>
    <w:p w14:paraId="626BCA57">
      <w:pPr>
        <w:spacing w:line="360" w:lineRule="auto"/>
        <w:ind w:left="-358" w:leftChars="-171" w:hanging="1"/>
        <w:jc w:val="center"/>
        <w:rPr>
          <w:rFonts w:hint="eastAsia" w:ascii="宋体" w:hAnsi="宋体" w:eastAsia="宋体"/>
          <w:b/>
          <w:color w:val="auto"/>
          <w:sz w:val="36"/>
          <w:szCs w:val="36"/>
          <w:highlight w:val="none"/>
        </w:rPr>
      </w:pPr>
    </w:p>
    <w:p w14:paraId="0CC512DE">
      <w:pPr>
        <w:jc w:val="center"/>
        <w:rPr>
          <w:rStyle w:val="36"/>
          <w:rFonts w:hint="eastAsia" w:ascii="宋体"/>
          <w:b/>
          <w:bCs/>
          <w:color w:val="auto"/>
          <w:sz w:val="32"/>
          <w:szCs w:val="32"/>
          <w:highlight w:val="none"/>
          <w:u w:val="none"/>
        </w:rPr>
      </w:pPr>
    </w:p>
    <w:p w14:paraId="308604C4">
      <w:pPr>
        <w:jc w:val="center"/>
        <w:rPr>
          <w:rStyle w:val="36"/>
          <w:rFonts w:ascii="宋体"/>
          <w:b/>
          <w:bCs/>
          <w:color w:val="auto"/>
          <w:sz w:val="40"/>
          <w:szCs w:val="40"/>
          <w:highlight w:val="none"/>
          <w:u w:val="none"/>
        </w:rPr>
      </w:pPr>
      <w:r>
        <w:rPr>
          <w:rStyle w:val="36"/>
          <w:rFonts w:hint="eastAsia" w:ascii="宋体"/>
          <w:b/>
          <w:bCs/>
          <w:color w:val="auto"/>
          <w:sz w:val="40"/>
          <w:szCs w:val="40"/>
          <w:highlight w:val="none"/>
          <w:u w:val="none"/>
        </w:rPr>
        <w:t>目    录</w:t>
      </w:r>
    </w:p>
    <w:p w14:paraId="7D75722B">
      <w:pPr>
        <w:pStyle w:val="24"/>
        <w:tabs>
          <w:tab w:val="right" w:leader="dot" w:pos="8754"/>
          <w:tab w:val="clear" w:pos="8493"/>
        </w:tabs>
        <w:spacing w:line="480" w:lineRule="auto"/>
        <w:rPr>
          <w:rFonts w:hint="eastAsia" w:eastAsia="宋体" w:cs="宋体"/>
          <w:color w:val="auto"/>
          <w:sz w:val="21"/>
          <w:szCs w:val="21"/>
          <w:highlight w:val="none"/>
        </w:rPr>
      </w:pPr>
    </w:p>
    <w:p w14:paraId="2B3870E4">
      <w:pPr>
        <w:pStyle w:val="25"/>
        <w:tabs>
          <w:tab w:val="right" w:leader="dot" w:pos="8697"/>
          <w:tab w:val="clear" w:pos="90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"1-3"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_Toc467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  投标须知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_Toc467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D4222DD">
      <w:pPr>
        <w:pStyle w:val="18"/>
        <w:tabs>
          <w:tab w:val="right" w:leader="dot" w:pos="869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_Toc7152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一、投标须知前附表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_Toc7152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FA77419">
      <w:pPr>
        <w:pStyle w:val="18"/>
        <w:tabs>
          <w:tab w:val="right" w:leader="dot" w:pos="869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_Toc3078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二、投标须知修改表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_Toc3078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E1D13D7">
      <w:pPr>
        <w:pStyle w:val="18"/>
        <w:tabs>
          <w:tab w:val="right" w:leader="dot" w:pos="869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_Toc5742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三、投标须知通用条款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_Toc5742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61051D4">
      <w:pPr>
        <w:pStyle w:val="18"/>
        <w:tabs>
          <w:tab w:val="right" w:leader="dot" w:pos="869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_Toc25962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（一）总则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_Toc25962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3188B6F">
      <w:pPr>
        <w:pStyle w:val="18"/>
        <w:tabs>
          <w:tab w:val="right" w:leader="dot" w:pos="869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_Toc29517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（二）招标文件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_Toc29517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923C3DD">
      <w:pPr>
        <w:pStyle w:val="18"/>
        <w:tabs>
          <w:tab w:val="right" w:leader="dot" w:pos="869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_Toc18637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（三）投标文件的编制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_Toc18637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6B8858A">
      <w:pPr>
        <w:pStyle w:val="18"/>
        <w:tabs>
          <w:tab w:val="right" w:leader="dot" w:pos="869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_Toc15301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（四）投标文件的递交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_Toc15301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FFFAA9B">
      <w:pPr>
        <w:pStyle w:val="18"/>
        <w:tabs>
          <w:tab w:val="right" w:leader="dot" w:pos="869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_Toc30113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（五）开标、评标、定标及合同签订</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_Toc30113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F021BA6">
      <w:pPr>
        <w:pStyle w:val="25"/>
        <w:tabs>
          <w:tab w:val="right" w:leader="dot" w:pos="8697"/>
          <w:tab w:val="clear" w:pos="90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开标、评标及定标办法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_Toc2099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5947DD5">
      <w:pPr>
        <w:pStyle w:val="18"/>
        <w:tabs>
          <w:tab w:val="right" w:leader="dot" w:pos="869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_Toc26300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一、开标、评标及定标办法修改表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_Toc26300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00DF882">
      <w:pPr>
        <w:pStyle w:val="18"/>
        <w:tabs>
          <w:tab w:val="right" w:leader="dot" w:pos="869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_Toc18340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二、开标、评标及定标办法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_Toc18340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ACCACB1">
      <w:pPr>
        <w:pStyle w:val="18"/>
        <w:tabs>
          <w:tab w:val="right" w:leader="dot" w:pos="869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_Toc29178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（一）总则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_Toc29178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94D0175">
      <w:pPr>
        <w:pStyle w:val="18"/>
        <w:tabs>
          <w:tab w:val="right" w:leader="dot" w:pos="869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_Toc11602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（二）开标评标办法程序和细则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_Toc11602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4E8B690">
      <w:pPr>
        <w:pStyle w:val="18"/>
        <w:tabs>
          <w:tab w:val="right" w:leader="dot" w:pos="869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_Toc31408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可选办法一  综合评分法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_Toc31408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46D90D8">
      <w:pPr>
        <w:pStyle w:val="25"/>
        <w:tabs>
          <w:tab w:val="right" w:leader="dot" w:pos="8697"/>
          <w:tab w:val="clear" w:pos="90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_Toc26534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合同条款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_Toc26534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BCC8A76">
      <w:pPr>
        <w:pStyle w:val="25"/>
        <w:tabs>
          <w:tab w:val="right" w:leader="dot" w:pos="8697"/>
          <w:tab w:val="clear" w:pos="90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_Toc24844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_Toc24844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2105B49">
      <w:pPr>
        <w:pStyle w:val="25"/>
        <w:tabs>
          <w:tab w:val="right" w:leader="dot" w:pos="8697"/>
          <w:tab w:val="clear" w:pos="90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第五章  技术条件（工程建设标准）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_Toc2339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AB7DAE5">
      <w:pPr>
        <w:pStyle w:val="25"/>
        <w:tabs>
          <w:tab w:val="right" w:leader="dot" w:pos="8697"/>
          <w:tab w:val="clear" w:pos="90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_Toc32070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第六章  图纸及勘察资料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_Toc32070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79D9D97">
      <w:pPr>
        <w:pStyle w:val="25"/>
        <w:tabs>
          <w:tab w:val="right" w:leader="dot" w:pos="8697"/>
          <w:tab w:val="clear" w:pos="90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_Toc21398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第七章  工程量清单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_Toc21398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F82DBDA">
      <w:pPr>
        <w:pStyle w:val="25"/>
        <w:tabs>
          <w:tab w:val="right" w:leader="dot" w:pos="8697"/>
          <w:tab w:val="clear" w:pos="90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_Toc2283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第八章</w:t>
      </w:r>
      <w:r>
        <w:rPr>
          <w:rFonts w:hint="eastAsia" w:ascii="宋体" w:hAnsi="宋体" w:eastAsia="宋体" w:cs="宋体"/>
          <w:color w:val="auto"/>
          <w:sz w:val="24"/>
          <w:szCs w:val="24"/>
          <w:highlight w:val="none"/>
        </w:rPr>
        <w:t xml:space="preserve">  最高投标限价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_Toc2283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76C3E8F">
      <w:pPr>
        <w:spacing w:line="360" w:lineRule="auto"/>
        <w:jc w:val="center"/>
        <w:rPr>
          <w:rFonts w:ascii="宋体" w:hAnsi="宋体" w:eastAsia="宋体"/>
          <w:b/>
          <w:color w:val="auto"/>
          <w:sz w:val="44"/>
          <w:szCs w:val="44"/>
          <w:highlight w:val="none"/>
        </w:rPr>
        <w:sectPr>
          <w:headerReference r:id="rId3" w:type="default"/>
          <w:endnotePr>
            <w:numFmt w:val="decimal"/>
          </w:endnotePr>
          <w:pgSz w:w="11850" w:h="16783"/>
          <w:pgMar w:top="1418" w:right="1293" w:bottom="1418" w:left="1293" w:header="851" w:footer="992" w:gutter="567"/>
          <w:pgNumType w:fmt="decimal" w:start="1"/>
          <w:cols w:space="720" w:num="1"/>
        </w:sectPr>
      </w:pPr>
      <w:r>
        <w:rPr>
          <w:rFonts w:hint="eastAsia" w:ascii="宋体" w:hAnsi="宋体" w:eastAsia="宋体" w:cs="宋体"/>
          <w:color w:val="auto"/>
          <w:sz w:val="24"/>
          <w:szCs w:val="24"/>
          <w:highlight w:val="none"/>
        </w:rPr>
        <w:fldChar w:fldCharType="end"/>
      </w:r>
    </w:p>
    <w:p w14:paraId="2F328D01">
      <w:pPr>
        <w:pStyle w:val="9"/>
        <w:ind w:firstLine="0"/>
        <w:rPr>
          <w:rFonts w:ascii="宋体" w:hAnsi="宋体" w:eastAsia="宋体"/>
          <w:color w:val="auto"/>
          <w:highlight w:val="none"/>
        </w:rPr>
      </w:pPr>
      <w:bookmarkStart w:id="0" w:name="_目___   录"/>
      <w:bookmarkEnd w:id="0"/>
      <w:bookmarkStart w:id="1" w:name="_Toc101777609"/>
    </w:p>
    <w:p w14:paraId="1C8BF9E2">
      <w:pPr>
        <w:pStyle w:val="7"/>
        <w:rPr>
          <w:rFonts w:ascii="宋体" w:eastAsia="宋体"/>
          <w:color w:val="auto"/>
          <w:highlight w:val="none"/>
        </w:rPr>
      </w:pPr>
      <w:bookmarkStart w:id="2" w:name="_第一章__投标须知"/>
      <w:bookmarkEnd w:id="2"/>
      <w:bookmarkStart w:id="3" w:name="_Toc467"/>
      <w:bookmarkStart w:id="4" w:name="_Toc9944"/>
      <w:bookmarkStart w:id="5" w:name="_Toc22933"/>
      <w:bookmarkStart w:id="6" w:name="_Toc10653"/>
      <w:bookmarkStart w:id="7" w:name="_Toc18352"/>
      <w:bookmarkStart w:id="8" w:name="_Toc1626"/>
      <w:bookmarkStart w:id="9" w:name="_Toc29083"/>
      <w:bookmarkStart w:id="10" w:name="_Toc262229159"/>
      <w:bookmarkStart w:id="11" w:name="_Toc27070"/>
      <w:bookmarkStart w:id="12" w:name="_Toc32630"/>
      <w:bookmarkStart w:id="13" w:name="_Toc15515"/>
      <w:bookmarkStart w:id="14" w:name="_Toc8930"/>
      <w:r>
        <w:rPr>
          <w:rFonts w:hint="eastAsia" w:ascii="宋体" w:eastAsia="宋体"/>
          <w:color w:val="auto"/>
          <w:highlight w:val="none"/>
        </w:rPr>
        <w:t>第一章  投标须知</w:t>
      </w:r>
      <w:bookmarkEnd w:id="1"/>
      <w:bookmarkEnd w:id="3"/>
      <w:bookmarkEnd w:id="4"/>
      <w:bookmarkEnd w:id="5"/>
      <w:bookmarkEnd w:id="6"/>
      <w:bookmarkEnd w:id="7"/>
      <w:bookmarkEnd w:id="8"/>
      <w:bookmarkEnd w:id="9"/>
      <w:bookmarkEnd w:id="10"/>
      <w:bookmarkEnd w:id="11"/>
      <w:bookmarkEnd w:id="12"/>
      <w:bookmarkEnd w:id="13"/>
      <w:bookmarkEnd w:id="14"/>
    </w:p>
    <w:p w14:paraId="36BF00E1">
      <w:pPr>
        <w:pStyle w:val="8"/>
        <w:spacing w:before="120"/>
        <w:rPr>
          <w:rFonts w:ascii="宋体" w:eastAsia="宋体"/>
          <w:color w:val="auto"/>
          <w:highlight w:val="none"/>
        </w:rPr>
      </w:pPr>
      <w:bookmarkStart w:id="15" w:name="_一、投标须知前附表"/>
      <w:bookmarkEnd w:id="15"/>
      <w:bookmarkStart w:id="16" w:name="_Toc24826"/>
      <w:bookmarkStart w:id="17" w:name="_Toc4718"/>
      <w:bookmarkStart w:id="18" w:name="_Toc13828"/>
      <w:bookmarkStart w:id="19" w:name="_Toc8328"/>
      <w:bookmarkStart w:id="20" w:name="_Toc11230"/>
      <w:bookmarkStart w:id="21" w:name="_Toc101777610"/>
      <w:bookmarkStart w:id="22" w:name="_Toc20881"/>
      <w:bookmarkStart w:id="23" w:name="_Toc28255"/>
      <w:bookmarkStart w:id="24" w:name="_Toc7152"/>
      <w:bookmarkStart w:id="25" w:name="_Toc20346"/>
      <w:bookmarkStart w:id="26" w:name="_Toc25292"/>
      <w:bookmarkStart w:id="27" w:name="_Toc262229160"/>
      <w:bookmarkStart w:id="28" w:name="_Toc22312"/>
      <w:r>
        <w:rPr>
          <w:rFonts w:hint="eastAsia" w:ascii="宋体" w:eastAsia="宋体"/>
          <w:color w:val="auto"/>
          <w:highlight w:val="none"/>
        </w:rPr>
        <w:t>一、投标须知前附表</w:t>
      </w:r>
      <w:bookmarkEnd w:id="16"/>
      <w:bookmarkEnd w:id="17"/>
      <w:bookmarkEnd w:id="18"/>
      <w:bookmarkEnd w:id="19"/>
      <w:bookmarkEnd w:id="20"/>
      <w:bookmarkEnd w:id="21"/>
      <w:bookmarkEnd w:id="22"/>
      <w:bookmarkEnd w:id="23"/>
      <w:bookmarkEnd w:id="24"/>
      <w:bookmarkEnd w:id="25"/>
      <w:bookmarkEnd w:id="26"/>
      <w:bookmarkEnd w:id="27"/>
      <w:bookmarkEnd w:id="28"/>
    </w:p>
    <w:p w14:paraId="0C9DEDFD">
      <w:pPr>
        <w:pStyle w:val="9"/>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声明：本投标须知前附表使用GZYLZB202</w:t>
      </w:r>
      <w:r>
        <w:rPr>
          <w:rFonts w:hint="eastAsia" w:ascii="宋体" w:hAnsi="宋体" w:eastAsia="宋体"/>
          <w:b/>
          <w:color w:val="auto"/>
          <w:szCs w:val="21"/>
          <w:highlight w:val="none"/>
          <w:lang w:val="en-US" w:eastAsia="zh-CN"/>
        </w:rPr>
        <w:t>3</w:t>
      </w:r>
      <w:r>
        <w:rPr>
          <w:rFonts w:hint="eastAsia" w:ascii="宋体" w:hAnsi="宋体" w:eastAsia="宋体"/>
          <w:b/>
          <w:color w:val="auto"/>
          <w:szCs w:val="21"/>
          <w:highlight w:val="none"/>
        </w:rPr>
        <w:t>-1招标文件范本，与范本不同之处均以下划线标明，所有标明下划线部分属于本表的组成部分，同其他部分具有同等效力。对范本《投标须知通用条款》和《开标、评标和定标办法通用条款》可选择部分的选择使用，均已在本表中注明，通用条款可选择部分中未被本投标须知前附表选择的部分无效。</w:t>
      </w:r>
    </w:p>
    <w:tbl>
      <w:tblPr>
        <w:tblStyle w:val="29"/>
        <w:tblW w:w="976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941"/>
        <w:gridCol w:w="1341"/>
        <w:gridCol w:w="7029"/>
      </w:tblGrid>
      <w:tr w14:paraId="78C69C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blHeader/>
          <w:jc w:val="center"/>
        </w:trPr>
        <w:tc>
          <w:tcPr>
            <w:tcW w:w="457" w:type="dxa"/>
            <w:tcBorders>
              <w:top w:val="double" w:color="auto" w:sz="4" w:space="0"/>
              <w:left w:val="double" w:color="auto" w:sz="4" w:space="0"/>
              <w:bottom w:val="single" w:color="auto" w:sz="4" w:space="0"/>
              <w:right w:val="single" w:color="auto" w:sz="4" w:space="0"/>
            </w:tcBorders>
            <w:noWrap w:val="0"/>
            <w:vAlign w:val="center"/>
          </w:tcPr>
          <w:p w14:paraId="4592F5DA">
            <w:pPr>
              <w:jc w:val="center"/>
              <w:rPr>
                <w:rFonts w:ascii="宋体" w:hAnsi="宋体" w:eastAsia="宋体"/>
                <w:color w:val="auto"/>
                <w:highlight w:val="none"/>
              </w:rPr>
            </w:pPr>
            <w:r>
              <w:rPr>
                <w:rFonts w:hint="eastAsia" w:ascii="宋体" w:hAnsi="宋体" w:eastAsia="宋体"/>
                <w:color w:val="auto"/>
                <w:highlight w:val="none"/>
              </w:rPr>
              <w:t>项目</w:t>
            </w:r>
          </w:p>
        </w:tc>
        <w:tc>
          <w:tcPr>
            <w:tcW w:w="941" w:type="dxa"/>
            <w:tcBorders>
              <w:top w:val="double" w:color="auto" w:sz="4" w:space="0"/>
              <w:left w:val="single" w:color="auto" w:sz="4" w:space="0"/>
              <w:bottom w:val="single" w:color="auto" w:sz="4" w:space="0"/>
              <w:right w:val="single" w:color="auto" w:sz="4" w:space="0"/>
            </w:tcBorders>
            <w:noWrap w:val="0"/>
            <w:vAlign w:val="center"/>
          </w:tcPr>
          <w:p w14:paraId="6EF5A4D4">
            <w:pPr>
              <w:jc w:val="center"/>
              <w:rPr>
                <w:rFonts w:ascii="宋体" w:hAnsi="宋体" w:eastAsia="宋体"/>
                <w:color w:val="auto"/>
                <w:highlight w:val="none"/>
              </w:rPr>
            </w:pPr>
            <w:r>
              <w:rPr>
                <w:rFonts w:hint="eastAsia" w:ascii="宋体" w:hAnsi="宋体" w:eastAsia="宋体"/>
                <w:color w:val="auto"/>
                <w:highlight w:val="none"/>
              </w:rPr>
              <w:t>条款号</w:t>
            </w:r>
          </w:p>
        </w:tc>
        <w:tc>
          <w:tcPr>
            <w:tcW w:w="1341" w:type="dxa"/>
            <w:tcBorders>
              <w:top w:val="double" w:color="auto" w:sz="4" w:space="0"/>
              <w:left w:val="single" w:color="auto" w:sz="4" w:space="0"/>
              <w:bottom w:val="single" w:color="auto" w:sz="4" w:space="0"/>
              <w:right w:val="single" w:color="auto" w:sz="4" w:space="0"/>
            </w:tcBorders>
            <w:noWrap w:val="0"/>
            <w:vAlign w:val="center"/>
          </w:tcPr>
          <w:p w14:paraId="3C8DBF00">
            <w:pPr>
              <w:jc w:val="center"/>
              <w:rPr>
                <w:rFonts w:ascii="宋体" w:hAnsi="宋体" w:eastAsia="宋体"/>
                <w:color w:val="auto"/>
                <w:highlight w:val="none"/>
              </w:rPr>
            </w:pPr>
            <w:r>
              <w:rPr>
                <w:rFonts w:hint="eastAsia" w:ascii="宋体" w:hAnsi="宋体" w:eastAsia="宋体"/>
                <w:color w:val="auto"/>
                <w:highlight w:val="none"/>
              </w:rPr>
              <w:t>内容</w:t>
            </w:r>
          </w:p>
        </w:tc>
        <w:tc>
          <w:tcPr>
            <w:tcW w:w="7029" w:type="dxa"/>
            <w:tcBorders>
              <w:top w:val="double" w:color="auto" w:sz="4" w:space="0"/>
              <w:left w:val="single" w:color="auto" w:sz="4" w:space="0"/>
              <w:bottom w:val="single" w:color="auto" w:sz="4" w:space="0"/>
              <w:right w:val="double" w:color="auto" w:sz="4" w:space="0"/>
            </w:tcBorders>
            <w:noWrap w:val="0"/>
            <w:vAlign w:val="center"/>
          </w:tcPr>
          <w:p w14:paraId="5D87255B">
            <w:pPr>
              <w:pStyle w:val="19"/>
              <w:jc w:val="center"/>
              <w:rPr>
                <w:rFonts w:ascii="宋体" w:hAnsi="宋体" w:eastAsia="宋体"/>
                <w:color w:val="auto"/>
                <w:highlight w:val="none"/>
              </w:rPr>
            </w:pPr>
            <w:r>
              <w:rPr>
                <w:rFonts w:hint="eastAsia" w:ascii="宋体" w:hAnsi="宋体" w:eastAsia="宋体"/>
                <w:color w:val="auto"/>
                <w:highlight w:val="none"/>
              </w:rPr>
              <w:t>说明与要求</w:t>
            </w:r>
          </w:p>
        </w:tc>
      </w:tr>
      <w:tr w14:paraId="344D34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0B42A209">
            <w:pPr>
              <w:rPr>
                <w:rFonts w:ascii="宋体" w:hAnsi="宋体" w:eastAsia="宋体"/>
                <w:color w:val="auto"/>
                <w:highlight w:val="none"/>
              </w:rPr>
            </w:pPr>
            <w:r>
              <w:rPr>
                <w:rFonts w:hint="eastAsia" w:ascii="宋体" w:hAnsi="宋体" w:eastAsia="宋体"/>
                <w:color w:val="auto"/>
                <w:highlight w:val="none"/>
              </w:rPr>
              <w:t>1</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401524AE">
            <w:pPr>
              <w:rPr>
                <w:rFonts w:ascii="宋体" w:hAnsi="宋体" w:eastAsia="宋体"/>
                <w:color w:val="auto"/>
                <w:highlight w:val="none"/>
              </w:rPr>
            </w:pPr>
            <w:r>
              <w:rPr>
                <w:rFonts w:hint="eastAsia" w:ascii="宋体" w:hAnsi="宋体" w:eastAsia="宋体"/>
                <w:color w:val="auto"/>
                <w:highlight w:val="none"/>
              </w:rPr>
              <w:t>1</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27CB8C38">
            <w:pPr>
              <w:jc w:val="center"/>
              <w:rPr>
                <w:rFonts w:ascii="宋体" w:hAnsi="宋体" w:eastAsia="宋体"/>
                <w:color w:val="auto"/>
                <w:highlight w:val="none"/>
              </w:rPr>
            </w:pPr>
            <w:r>
              <w:rPr>
                <w:rFonts w:hint="eastAsia" w:ascii="宋体" w:hAnsi="宋体" w:eastAsia="宋体"/>
                <w:color w:val="auto"/>
                <w:highlight w:val="none"/>
              </w:rPr>
              <w:t>定义</w:t>
            </w:r>
          </w:p>
        </w:tc>
        <w:tc>
          <w:tcPr>
            <w:tcW w:w="7029" w:type="dxa"/>
            <w:tcBorders>
              <w:top w:val="single" w:color="auto" w:sz="4" w:space="0"/>
              <w:left w:val="single" w:color="auto" w:sz="4" w:space="0"/>
              <w:bottom w:val="single" w:color="auto" w:sz="4" w:space="0"/>
              <w:right w:val="double" w:color="auto" w:sz="4" w:space="0"/>
            </w:tcBorders>
            <w:noWrap w:val="0"/>
            <w:vAlign w:val="center"/>
          </w:tcPr>
          <w:p w14:paraId="59DCE6D8">
            <w:pPr>
              <w:rPr>
                <w:rFonts w:hint="eastAsia" w:ascii="宋体" w:hAnsi="宋体" w:eastAsia="宋体"/>
                <w:color w:val="auto"/>
                <w:highlight w:val="none"/>
                <w:lang w:eastAsia="zh-CN"/>
              </w:rPr>
            </w:pPr>
            <w:r>
              <w:rPr>
                <w:rFonts w:hint="eastAsia" w:ascii="宋体" w:hAnsi="宋体" w:eastAsia="宋体"/>
                <w:color w:val="auto"/>
                <w:highlight w:val="none"/>
              </w:rPr>
              <w:t>招标人（即发包人）：</w:t>
            </w:r>
            <w:r>
              <w:rPr>
                <w:rFonts w:hint="eastAsia" w:ascii="宋体" w:hAnsi="宋体" w:eastAsia="宋体"/>
                <w:color w:val="auto"/>
                <w:highlight w:val="none"/>
                <w:u w:val="single"/>
                <w:lang w:eastAsia="zh-CN"/>
              </w:rPr>
              <w:t>广州市从化区林业和园林局</w:t>
            </w:r>
          </w:p>
          <w:p w14:paraId="75D60344">
            <w:pPr>
              <w:rPr>
                <w:rFonts w:ascii="宋体" w:hAnsi="宋体" w:eastAsia="宋体"/>
                <w:color w:val="auto"/>
                <w:highlight w:val="none"/>
              </w:rPr>
            </w:pPr>
            <w:r>
              <w:rPr>
                <w:rFonts w:hint="eastAsia" w:ascii="宋体" w:hAnsi="宋体" w:eastAsia="宋体"/>
                <w:color w:val="auto"/>
                <w:highlight w:val="none"/>
              </w:rPr>
              <w:t>项目建设管理单位：</w:t>
            </w:r>
            <w:r>
              <w:rPr>
                <w:rFonts w:hint="eastAsia" w:ascii="宋体" w:hAnsi="宋体" w:eastAsia="宋体"/>
                <w:color w:val="auto"/>
                <w:highlight w:val="none"/>
                <w:u w:val="single"/>
              </w:rPr>
              <w:t xml:space="preserve">            </w:t>
            </w:r>
            <w:r>
              <w:rPr>
                <w:rFonts w:hint="eastAsia" w:ascii="宋体" w:hAnsi="宋体" w:eastAsia="宋体"/>
                <w:color w:val="auto"/>
                <w:highlight w:val="none"/>
                <w:u w:val="single"/>
                <w:lang w:val="en-US" w:eastAsia="zh-CN"/>
              </w:rPr>
              <w:t>/</w:t>
            </w:r>
            <w:r>
              <w:rPr>
                <w:rFonts w:hint="eastAsia" w:ascii="宋体" w:hAnsi="宋体" w:eastAsia="宋体"/>
                <w:color w:val="auto"/>
                <w:highlight w:val="none"/>
                <w:u w:val="single"/>
              </w:rPr>
              <w:t xml:space="preserve">             </w:t>
            </w:r>
          </w:p>
          <w:p w14:paraId="61F1BF2D">
            <w:pPr>
              <w:rPr>
                <w:rFonts w:hint="default" w:ascii="宋体" w:hAnsi="宋体" w:eastAsia="宋体"/>
                <w:color w:val="auto"/>
                <w:highlight w:val="none"/>
                <w:lang w:val="en-US" w:eastAsia="zh-CN"/>
              </w:rPr>
            </w:pPr>
            <w:r>
              <w:rPr>
                <w:rFonts w:hint="eastAsia" w:ascii="宋体" w:hAnsi="宋体" w:eastAsia="宋体"/>
                <w:color w:val="auto"/>
                <w:highlight w:val="none"/>
              </w:rPr>
              <w:t>招标代理机构：</w:t>
            </w:r>
            <w:r>
              <w:rPr>
                <w:rFonts w:hint="eastAsia" w:ascii="宋体" w:hAnsi="宋体" w:eastAsia="宋体"/>
                <w:color w:val="auto"/>
                <w:highlight w:val="none"/>
                <w:u w:val="single"/>
                <w:lang w:val="en-US" w:eastAsia="zh-CN"/>
              </w:rPr>
              <w:t xml:space="preserve"> 广州从城工程建设管理有限公司 </w:t>
            </w:r>
          </w:p>
          <w:p w14:paraId="200131AD">
            <w:pPr>
              <w:rPr>
                <w:rFonts w:hint="eastAsia" w:ascii="宋体" w:hAnsi="宋体" w:eastAsia="宋体"/>
                <w:color w:val="auto"/>
                <w:highlight w:val="none"/>
                <w:lang w:eastAsia="zh-CN"/>
              </w:rPr>
            </w:pPr>
            <w:r>
              <w:rPr>
                <w:rFonts w:hint="eastAsia" w:ascii="宋体" w:hAnsi="宋体" w:eastAsia="宋体"/>
                <w:color w:val="auto"/>
                <w:highlight w:val="none"/>
              </w:rPr>
              <w:t>设计单位：</w:t>
            </w:r>
            <w:r>
              <w:rPr>
                <w:rFonts w:hint="eastAsia" w:ascii="宋体" w:hAnsi="宋体" w:eastAsia="宋体"/>
                <w:color w:val="auto"/>
                <w:highlight w:val="none"/>
                <w:u w:val="single"/>
                <w:lang w:val="en-US" w:eastAsia="zh-CN"/>
              </w:rPr>
              <w:t>广州市林业和园林科学研究院</w:t>
            </w:r>
            <w:r>
              <w:rPr>
                <w:rFonts w:hint="eastAsia" w:ascii="宋体" w:hAnsi="宋体" w:eastAsia="宋体"/>
                <w:color w:val="auto"/>
                <w:highlight w:val="none"/>
                <w:lang w:val="en-US" w:eastAsia="zh-CN"/>
              </w:rPr>
              <w:t xml:space="preserve"> </w:t>
            </w:r>
          </w:p>
          <w:p w14:paraId="66A47A8B">
            <w:pPr>
              <w:rPr>
                <w:rFonts w:ascii="宋体" w:hAnsi="宋体" w:eastAsia="宋体"/>
                <w:color w:val="auto"/>
                <w:highlight w:val="none"/>
              </w:rPr>
            </w:pPr>
            <w:r>
              <w:rPr>
                <w:rFonts w:hint="eastAsia" w:ascii="宋体" w:hAnsi="宋体" w:eastAsia="宋体"/>
                <w:color w:val="auto"/>
                <w:highlight w:val="none"/>
              </w:rPr>
              <w:t>监理单位：</w:t>
            </w:r>
            <w:r>
              <w:rPr>
                <w:rFonts w:hint="eastAsia" w:ascii="宋体" w:hAnsi="宋体" w:eastAsia="宋体"/>
                <w:color w:val="auto"/>
                <w:highlight w:val="none"/>
                <w:u w:val="single"/>
              </w:rPr>
              <w:t xml:space="preserve">         </w:t>
            </w:r>
            <w:r>
              <w:rPr>
                <w:rFonts w:hint="eastAsia" w:ascii="宋体" w:hAnsi="宋体" w:eastAsia="宋体"/>
                <w:color w:val="auto"/>
                <w:highlight w:val="none"/>
                <w:u w:val="single"/>
                <w:lang w:val="en-US" w:eastAsia="zh-CN"/>
              </w:rPr>
              <w:t xml:space="preserve">  </w:t>
            </w:r>
            <w:r>
              <w:rPr>
                <w:rFonts w:hint="eastAsia" w:ascii="宋体" w:hAnsi="宋体" w:eastAsia="宋体"/>
                <w:color w:val="auto"/>
                <w:highlight w:val="none"/>
                <w:u w:val="single"/>
              </w:rPr>
              <w:t xml:space="preserve">  </w:t>
            </w:r>
            <w:r>
              <w:rPr>
                <w:rFonts w:hint="eastAsia" w:ascii="宋体" w:hAnsi="宋体" w:eastAsia="宋体"/>
                <w:color w:val="auto"/>
                <w:highlight w:val="none"/>
                <w:u w:val="single"/>
                <w:lang w:val="en-US" w:eastAsia="zh-CN"/>
              </w:rPr>
              <w:t>/</w:t>
            </w:r>
            <w:r>
              <w:rPr>
                <w:rFonts w:hint="eastAsia" w:ascii="宋体" w:hAnsi="宋体" w:eastAsia="宋体"/>
                <w:color w:val="auto"/>
                <w:highlight w:val="none"/>
                <w:u w:val="single"/>
              </w:rPr>
              <w:t xml:space="preserve">   </w:t>
            </w:r>
            <w:r>
              <w:rPr>
                <w:rFonts w:hint="eastAsia" w:ascii="宋体" w:hAnsi="宋体" w:eastAsia="宋体"/>
                <w:color w:val="auto"/>
                <w:highlight w:val="none"/>
                <w:u w:val="single"/>
                <w:lang w:val="en-US" w:eastAsia="zh-CN"/>
              </w:rPr>
              <w:t xml:space="preserve">    </w:t>
            </w:r>
            <w:r>
              <w:rPr>
                <w:rFonts w:hint="eastAsia" w:ascii="宋体" w:hAnsi="宋体" w:eastAsia="宋体"/>
                <w:color w:val="auto"/>
                <w:highlight w:val="none"/>
                <w:u w:val="single"/>
              </w:rPr>
              <w:t xml:space="preserve">     </w:t>
            </w:r>
          </w:p>
        </w:tc>
      </w:tr>
      <w:tr w14:paraId="3A3BCA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2F4F4EA5">
            <w:pPr>
              <w:rPr>
                <w:rFonts w:ascii="宋体" w:hAnsi="宋体" w:eastAsia="宋体"/>
                <w:color w:val="auto"/>
                <w:highlight w:val="none"/>
              </w:rPr>
            </w:pPr>
            <w:r>
              <w:rPr>
                <w:rFonts w:hint="eastAsia" w:ascii="宋体" w:hAnsi="宋体" w:eastAsia="宋体"/>
                <w:color w:val="auto"/>
                <w:highlight w:val="none"/>
              </w:rPr>
              <w:t>2</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70571DDC">
            <w:pPr>
              <w:rPr>
                <w:rFonts w:ascii="宋体" w:hAnsi="宋体" w:eastAsia="宋体"/>
                <w:color w:val="auto"/>
                <w:highlight w:val="none"/>
              </w:rPr>
            </w:pPr>
            <w:r>
              <w:rPr>
                <w:rFonts w:hint="eastAsia" w:ascii="宋体" w:hAnsi="宋体" w:eastAsia="宋体"/>
                <w:color w:val="auto"/>
                <w:highlight w:val="none"/>
              </w:rPr>
              <w:t>2.2</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22539ECE">
            <w:pPr>
              <w:rPr>
                <w:rFonts w:ascii="宋体" w:hAnsi="宋体" w:eastAsia="宋体"/>
                <w:color w:val="auto"/>
                <w:highlight w:val="none"/>
              </w:rPr>
            </w:pPr>
            <w:r>
              <w:rPr>
                <w:rFonts w:hint="eastAsia" w:ascii="宋体" w:hAnsi="宋体" w:eastAsia="宋体"/>
                <w:color w:val="auto"/>
                <w:highlight w:val="none"/>
              </w:rPr>
              <w:t>工程名称</w:t>
            </w:r>
          </w:p>
        </w:tc>
        <w:tc>
          <w:tcPr>
            <w:tcW w:w="7029" w:type="dxa"/>
            <w:tcBorders>
              <w:top w:val="single" w:color="auto" w:sz="4" w:space="0"/>
              <w:left w:val="single" w:color="auto" w:sz="4" w:space="0"/>
              <w:bottom w:val="single" w:color="auto" w:sz="4" w:space="0"/>
              <w:right w:val="double" w:color="auto" w:sz="4" w:space="0"/>
            </w:tcBorders>
            <w:noWrap w:val="0"/>
            <w:vAlign w:val="center"/>
          </w:tcPr>
          <w:p w14:paraId="00315E37">
            <w:pPr>
              <w:rPr>
                <w:rFonts w:ascii="宋体" w:hAnsi="宋体" w:eastAsia="宋体"/>
                <w:color w:val="auto"/>
                <w:highlight w:val="none"/>
                <w:u w:val="single"/>
              </w:rPr>
            </w:pPr>
            <w:r>
              <w:rPr>
                <w:rFonts w:hint="eastAsia" w:ascii="宋体" w:hAnsi="宋体" w:eastAsia="宋体" w:cs="宋体"/>
                <w:color w:val="auto"/>
                <w:szCs w:val="21"/>
                <w:highlight w:val="none"/>
                <w:u w:val="single"/>
                <w:lang w:val="en-US" w:eastAsia="zh-CN"/>
              </w:rPr>
              <w:t>从化区“十四五”生物防火林带改造项目2025年度建设</w:t>
            </w:r>
          </w:p>
        </w:tc>
      </w:tr>
      <w:tr w14:paraId="1A27BB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3C75AC69">
            <w:pPr>
              <w:rPr>
                <w:rFonts w:ascii="宋体" w:hAnsi="宋体" w:eastAsia="宋体"/>
                <w:color w:val="auto"/>
                <w:highlight w:val="none"/>
              </w:rPr>
            </w:pPr>
            <w:r>
              <w:rPr>
                <w:rFonts w:hint="eastAsia" w:ascii="宋体" w:hAnsi="宋体" w:eastAsia="宋体"/>
                <w:color w:val="auto"/>
                <w:highlight w:val="none"/>
              </w:rPr>
              <w:t>3</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409C77E7">
            <w:pPr>
              <w:rPr>
                <w:rFonts w:ascii="宋体" w:hAnsi="宋体" w:eastAsia="宋体"/>
                <w:color w:val="auto"/>
                <w:highlight w:val="none"/>
              </w:rPr>
            </w:pPr>
            <w:r>
              <w:rPr>
                <w:rFonts w:hint="eastAsia" w:ascii="宋体" w:hAnsi="宋体" w:eastAsia="宋体"/>
                <w:color w:val="auto"/>
                <w:highlight w:val="none"/>
              </w:rPr>
              <w:t>2.2</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611659E9">
            <w:pPr>
              <w:rPr>
                <w:rFonts w:ascii="宋体" w:hAnsi="宋体" w:eastAsia="宋体"/>
                <w:color w:val="auto"/>
                <w:highlight w:val="none"/>
              </w:rPr>
            </w:pPr>
            <w:r>
              <w:rPr>
                <w:rFonts w:hint="eastAsia" w:ascii="宋体" w:hAnsi="宋体" w:eastAsia="宋体"/>
                <w:color w:val="auto"/>
                <w:highlight w:val="none"/>
              </w:rPr>
              <w:t>建设地点</w:t>
            </w:r>
          </w:p>
        </w:tc>
        <w:tc>
          <w:tcPr>
            <w:tcW w:w="7029" w:type="dxa"/>
            <w:tcBorders>
              <w:top w:val="single" w:color="auto" w:sz="4" w:space="0"/>
              <w:left w:val="single" w:color="auto" w:sz="4" w:space="0"/>
              <w:bottom w:val="single" w:color="auto" w:sz="4" w:space="0"/>
              <w:right w:val="double" w:color="auto" w:sz="4" w:space="0"/>
            </w:tcBorders>
            <w:noWrap w:val="0"/>
            <w:vAlign w:val="center"/>
          </w:tcPr>
          <w:p w14:paraId="7675E020">
            <w:pPr>
              <w:rPr>
                <w:rFonts w:hint="default" w:ascii="宋体" w:hAnsi="宋体" w:eastAsia="宋体"/>
                <w:color w:val="auto"/>
                <w:highlight w:val="none"/>
                <w:lang w:val="en-US" w:eastAsia="zh-CN"/>
              </w:rPr>
            </w:pPr>
            <w:r>
              <w:rPr>
                <w:rFonts w:hint="eastAsia" w:ascii="宋体" w:hAnsi="宋体" w:eastAsia="宋体"/>
                <w:color w:val="auto"/>
                <w:highlight w:val="none"/>
                <w:u w:val="single"/>
              </w:rPr>
              <w:t>详见本工程招标公告。</w:t>
            </w:r>
          </w:p>
        </w:tc>
      </w:tr>
      <w:tr w14:paraId="699BAE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5B54DE8A">
            <w:pPr>
              <w:rPr>
                <w:rFonts w:ascii="宋体" w:hAnsi="宋体" w:eastAsia="宋体"/>
                <w:color w:val="auto"/>
                <w:highlight w:val="none"/>
              </w:rPr>
            </w:pPr>
            <w:r>
              <w:rPr>
                <w:rFonts w:hint="eastAsia" w:ascii="宋体" w:hAnsi="宋体" w:eastAsia="宋体"/>
                <w:color w:val="auto"/>
                <w:highlight w:val="none"/>
              </w:rPr>
              <w:t>4</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78572F7E">
            <w:pPr>
              <w:rPr>
                <w:rFonts w:ascii="宋体" w:hAnsi="宋体" w:eastAsia="宋体"/>
                <w:color w:val="auto"/>
                <w:highlight w:val="none"/>
              </w:rPr>
            </w:pPr>
            <w:r>
              <w:rPr>
                <w:rFonts w:hint="eastAsia" w:ascii="宋体" w:hAnsi="宋体" w:eastAsia="宋体"/>
                <w:color w:val="auto"/>
                <w:highlight w:val="none"/>
              </w:rPr>
              <w:t>2.2</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30472A62">
            <w:pPr>
              <w:rPr>
                <w:rFonts w:ascii="宋体" w:hAnsi="宋体" w:eastAsia="宋体"/>
                <w:color w:val="auto"/>
                <w:highlight w:val="none"/>
              </w:rPr>
            </w:pPr>
            <w:r>
              <w:rPr>
                <w:rFonts w:hint="eastAsia" w:ascii="宋体" w:hAnsi="宋体" w:eastAsia="宋体"/>
                <w:color w:val="auto"/>
                <w:highlight w:val="none"/>
              </w:rPr>
              <w:t>建设规模</w:t>
            </w:r>
          </w:p>
        </w:tc>
        <w:tc>
          <w:tcPr>
            <w:tcW w:w="7029" w:type="dxa"/>
            <w:tcBorders>
              <w:top w:val="single" w:color="auto" w:sz="4" w:space="0"/>
              <w:left w:val="single" w:color="auto" w:sz="4" w:space="0"/>
              <w:bottom w:val="single" w:color="auto" w:sz="4" w:space="0"/>
              <w:right w:val="double" w:color="auto" w:sz="4" w:space="0"/>
            </w:tcBorders>
            <w:noWrap w:val="0"/>
            <w:vAlign w:val="center"/>
          </w:tcPr>
          <w:p w14:paraId="22BD5487">
            <w:pPr>
              <w:snapToGrid w:val="0"/>
              <w:rPr>
                <w:rFonts w:ascii="宋体" w:hAnsi="宋体" w:eastAsia="宋体"/>
                <w:color w:val="auto"/>
                <w:highlight w:val="none"/>
              </w:rPr>
            </w:pPr>
            <w:r>
              <w:rPr>
                <w:rFonts w:hint="eastAsia" w:ascii="宋体" w:hAnsi="宋体" w:eastAsia="宋体"/>
                <w:color w:val="auto"/>
                <w:highlight w:val="none"/>
                <w:u w:val="single"/>
              </w:rPr>
              <w:t>详见本工程招标公告。</w:t>
            </w:r>
          </w:p>
        </w:tc>
      </w:tr>
      <w:tr w14:paraId="146723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0F5365BB">
            <w:pPr>
              <w:rPr>
                <w:rFonts w:ascii="宋体" w:hAnsi="宋体" w:eastAsia="宋体"/>
                <w:color w:val="auto"/>
                <w:highlight w:val="none"/>
              </w:rPr>
            </w:pPr>
            <w:r>
              <w:rPr>
                <w:rFonts w:hint="eastAsia" w:ascii="宋体" w:hAnsi="宋体" w:eastAsia="宋体"/>
                <w:color w:val="auto"/>
                <w:highlight w:val="none"/>
              </w:rPr>
              <w:t>5</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21904934">
            <w:pPr>
              <w:rPr>
                <w:rFonts w:ascii="宋体" w:hAnsi="宋体" w:eastAsia="宋体"/>
                <w:color w:val="auto"/>
                <w:highlight w:val="none"/>
              </w:rPr>
            </w:pPr>
            <w:r>
              <w:rPr>
                <w:rFonts w:hint="eastAsia" w:ascii="宋体" w:hAnsi="宋体" w:eastAsia="宋体"/>
                <w:color w:val="auto"/>
                <w:highlight w:val="none"/>
              </w:rPr>
              <w:t>2.2</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3668E706">
            <w:pPr>
              <w:rPr>
                <w:rFonts w:ascii="宋体" w:hAnsi="宋体" w:eastAsia="宋体"/>
                <w:color w:val="auto"/>
                <w:highlight w:val="none"/>
              </w:rPr>
            </w:pPr>
            <w:r>
              <w:rPr>
                <w:rFonts w:hint="eastAsia" w:ascii="宋体" w:hAnsi="宋体" w:eastAsia="宋体"/>
                <w:color w:val="auto"/>
                <w:highlight w:val="none"/>
              </w:rPr>
              <w:t>承包方式</w:t>
            </w:r>
          </w:p>
        </w:tc>
        <w:tc>
          <w:tcPr>
            <w:tcW w:w="7029" w:type="dxa"/>
            <w:tcBorders>
              <w:top w:val="single" w:color="auto" w:sz="4" w:space="0"/>
              <w:left w:val="single" w:color="auto" w:sz="4" w:space="0"/>
              <w:bottom w:val="single" w:color="auto" w:sz="4" w:space="0"/>
              <w:right w:val="double" w:color="auto" w:sz="4" w:space="0"/>
            </w:tcBorders>
            <w:noWrap w:val="0"/>
            <w:vAlign w:val="center"/>
          </w:tcPr>
          <w:p w14:paraId="7C8C8131">
            <w:pPr>
              <w:rPr>
                <w:rFonts w:ascii="宋体" w:hAnsi="宋体" w:eastAsia="宋体"/>
                <w:color w:val="auto"/>
                <w:highlight w:val="none"/>
              </w:rPr>
            </w:pPr>
            <w:r>
              <w:rPr>
                <w:rFonts w:hint="eastAsia" w:ascii="宋体" w:hAnsi="宋体" w:eastAsia="宋体"/>
                <w:color w:val="auto"/>
                <w:highlight w:val="none"/>
              </w:rPr>
              <w:t>包工、包料、包工期、包质量、包安全、包文明施工。</w:t>
            </w:r>
            <w:r>
              <w:rPr>
                <w:rFonts w:hint="eastAsia" w:ascii="宋体" w:hAnsi="宋体" w:eastAsia="宋体"/>
                <w:color w:val="auto"/>
                <w:highlight w:val="none"/>
                <w:u w:val="single"/>
              </w:rPr>
              <w:t>综合单价包干、项目措施费</w:t>
            </w:r>
            <w:r>
              <w:rPr>
                <w:rFonts w:hint="eastAsia" w:ascii="宋体" w:hAnsi="宋体" w:eastAsia="宋体"/>
                <w:color w:val="auto"/>
                <w:highlight w:val="none"/>
                <w:u w:val="single"/>
                <w:lang w:eastAsia="zh-CN"/>
              </w:rPr>
              <w:t>包干</w:t>
            </w:r>
            <w:r>
              <w:rPr>
                <w:rFonts w:hint="eastAsia" w:ascii="宋体" w:hAnsi="宋体" w:eastAsia="宋体"/>
                <w:color w:val="auto"/>
                <w:highlight w:val="none"/>
                <w:u w:val="single"/>
              </w:rPr>
              <w:t>。</w:t>
            </w:r>
          </w:p>
        </w:tc>
      </w:tr>
      <w:tr w14:paraId="449FB9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6D4DFFCB">
            <w:pPr>
              <w:rPr>
                <w:rFonts w:ascii="宋体" w:hAnsi="宋体" w:eastAsia="宋体"/>
                <w:color w:val="auto"/>
                <w:highlight w:val="none"/>
              </w:rPr>
            </w:pPr>
            <w:r>
              <w:rPr>
                <w:rFonts w:hint="eastAsia" w:ascii="宋体" w:hAnsi="宋体" w:eastAsia="宋体"/>
                <w:color w:val="auto"/>
                <w:highlight w:val="none"/>
              </w:rPr>
              <w:t>6</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3FC5D69E">
            <w:pPr>
              <w:rPr>
                <w:rFonts w:ascii="宋体" w:hAnsi="宋体" w:eastAsia="宋体"/>
                <w:color w:val="auto"/>
                <w:highlight w:val="none"/>
              </w:rPr>
            </w:pPr>
            <w:r>
              <w:rPr>
                <w:rFonts w:hint="eastAsia" w:ascii="宋体" w:hAnsi="宋体" w:eastAsia="宋体"/>
                <w:color w:val="auto"/>
                <w:highlight w:val="none"/>
              </w:rPr>
              <w:t>2.2</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651B8F01">
            <w:pPr>
              <w:rPr>
                <w:rFonts w:ascii="宋体" w:hAnsi="宋体" w:eastAsia="宋体"/>
                <w:color w:val="auto"/>
                <w:highlight w:val="none"/>
              </w:rPr>
            </w:pPr>
            <w:r>
              <w:rPr>
                <w:rFonts w:hint="eastAsia" w:ascii="宋体" w:hAnsi="宋体" w:eastAsia="宋体"/>
                <w:color w:val="auto"/>
                <w:highlight w:val="none"/>
              </w:rPr>
              <w:t>质量标准</w:t>
            </w:r>
          </w:p>
        </w:tc>
        <w:tc>
          <w:tcPr>
            <w:tcW w:w="7029" w:type="dxa"/>
            <w:tcBorders>
              <w:top w:val="single" w:color="auto" w:sz="4" w:space="0"/>
              <w:left w:val="single" w:color="auto" w:sz="4" w:space="0"/>
              <w:bottom w:val="single" w:color="auto" w:sz="4" w:space="0"/>
              <w:right w:val="double" w:color="auto" w:sz="4" w:space="0"/>
            </w:tcBorders>
            <w:noWrap w:val="0"/>
            <w:vAlign w:val="center"/>
          </w:tcPr>
          <w:p w14:paraId="62FE53D9">
            <w:pPr>
              <w:rPr>
                <w:rFonts w:ascii="宋体" w:hAnsi="宋体" w:eastAsia="宋体"/>
                <w:color w:val="auto"/>
                <w:highlight w:val="none"/>
              </w:rPr>
            </w:pPr>
            <w:r>
              <w:rPr>
                <w:rFonts w:hint="eastAsia" w:ascii="宋体" w:hAnsi="宋体" w:eastAsia="宋体"/>
                <w:color w:val="auto"/>
                <w:highlight w:val="none"/>
                <w:u w:val="single"/>
              </w:rPr>
              <w:t>合格。</w:t>
            </w:r>
          </w:p>
        </w:tc>
      </w:tr>
      <w:tr w14:paraId="0F5FD2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348ED3B7">
            <w:pPr>
              <w:rPr>
                <w:rFonts w:ascii="宋体" w:hAnsi="宋体" w:eastAsia="宋体"/>
                <w:color w:val="auto"/>
                <w:highlight w:val="none"/>
              </w:rPr>
            </w:pPr>
            <w:r>
              <w:rPr>
                <w:rFonts w:hint="eastAsia" w:ascii="宋体" w:hAnsi="宋体" w:eastAsia="宋体"/>
                <w:color w:val="auto"/>
                <w:highlight w:val="none"/>
              </w:rPr>
              <w:t>7</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2E95661C">
            <w:pPr>
              <w:rPr>
                <w:rFonts w:ascii="宋体" w:hAnsi="宋体" w:eastAsia="宋体"/>
                <w:color w:val="auto"/>
                <w:highlight w:val="none"/>
              </w:rPr>
            </w:pPr>
            <w:r>
              <w:rPr>
                <w:rFonts w:hint="eastAsia" w:ascii="宋体" w:hAnsi="宋体" w:eastAsia="宋体"/>
                <w:color w:val="auto"/>
                <w:highlight w:val="none"/>
              </w:rPr>
              <w:t>2.2</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11203753">
            <w:pPr>
              <w:rPr>
                <w:rFonts w:ascii="宋体" w:hAnsi="宋体" w:eastAsia="宋体"/>
                <w:color w:val="auto"/>
                <w:highlight w:val="none"/>
              </w:rPr>
            </w:pPr>
            <w:r>
              <w:rPr>
                <w:rFonts w:hint="eastAsia" w:ascii="宋体" w:hAnsi="宋体" w:eastAsia="宋体"/>
                <w:color w:val="auto"/>
                <w:highlight w:val="none"/>
              </w:rPr>
              <w:t>招标范围</w:t>
            </w:r>
          </w:p>
        </w:tc>
        <w:tc>
          <w:tcPr>
            <w:tcW w:w="7029" w:type="dxa"/>
            <w:tcBorders>
              <w:top w:val="single" w:color="auto" w:sz="4" w:space="0"/>
              <w:left w:val="single" w:color="auto" w:sz="4" w:space="0"/>
              <w:bottom w:val="single" w:color="auto" w:sz="4" w:space="0"/>
              <w:right w:val="double" w:color="auto" w:sz="4" w:space="0"/>
            </w:tcBorders>
            <w:noWrap w:val="0"/>
            <w:vAlign w:val="center"/>
          </w:tcPr>
          <w:p w14:paraId="6C1A064C">
            <w:pPr>
              <w:rPr>
                <w:rFonts w:ascii="宋体" w:hAnsi="宋体" w:eastAsia="宋体"/>
                <w:color w:val="auto"/>
                <w:highlight w:val="none"/>
              </w:rPr>
            </w:pPr>
            <w:r>
              <w:rPr>
                <w:rFonts w:hint="eastAsia" w:ascii="宋体" w:hAnsi="宋体" w:eastAsia="宋体"/>
                <w:color w:val="auto"/>
                <w:highlight w:val="none"/>
                <w:u w:val="single"/>
              </w:rPr>
              <w:t>详见本工程招标公告。</w:t>
            </w:r>
          </w:p>
        </w:tc>
      </w:tr>
      <w:tr w14:paraId="0B2D79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42181631">
            <w:pPr>
              <w:rPr>
                <w:rFonts w:ascii="宋体" w:hAnsi="宋体" w:eastAsia="宋体"/>
                <w:color w:val="auto"/>
                <w:highlight w:val="none"/>
              </w:rPr>
            </w:pPr>
            <w:r>
              <w:rPr>
                <w:rFonts w:hint="eastAsia" w:ascii="宋体" w:hAnsi="宋体" w:eastAsia="宋体"/>
                <w:color w:val="auto"/>
                <w:highlight w:val="none"/>
              </w:rPr>
              <w:t>8</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133214A3">
            <w:pPr>
              <w:rPr>
                <w:rFonts w:ascii="宋体" w:hAnsi="宋体" w:eastAsia="宋体"/>
                <w:color w:val="auto"/>
                <w:highlight w:val="none"/>
              </w:rPr>
            </w:pPr>
            <w:r>
              <w:rPr>
                <w:rFonts w:hint="eastAsia" w:ascii="宋体" w:hAnsi="宋体" w:eastAsia="宋体"/>
                <w:color w:val="auto"/>
                <w:highlight w:val="none"/>
              </w:rPr>
              <w:t>2.2</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75E7E4CC">
            <w:pPr>
              <w:rPr>
                <w:rFonts w:ascii="宋体" w:hAnsi="宋体" w:eastAsia="宋体"/>
                <w:color w:val="auto"/>
                <w:highlight w:val="none"/>
              </w:rPr>
            </w:pPr>
            <w:r>
              <w:rPr>
                <w:rFonts w:hint="eastAsia" w:ascii="宋体" w:hAnsi="宋体" w:eastAsia="宋体"/>
                <w:color w:val="auto"/>
                <w:highlight w:val="none"/>
              </w:rPr>
              <w:t>工期要求</w:t>
            </w:r>
          </w:p>
        </w:tc>
        <w:tc>
          <w:tcPr>
            <w:tcW w:w="7029" w:type="dxa"/>
            <w:tcBorders>
              <w:top w:val="single" w:color="auto" w:sz="4" w:space="0"/>
              <w:left w:val="single" w:color="auto" w:sz="4" w:space="0"/>
              <w:bottom w:val="single" w:color="auto" w:sz="4" w:space="0"/>
              <w:right w:val="double" w:color="auto" w:sz="4" w:space="0"/>
            </w:tcBorders>
            <w:noWrap w:val="0"/>
            <w:vAlign w:val="center"/>
          </w:tcPr>
          <w:p w14:paraId="43F008D3">
            <w:pPr>
              <w:rPr>
                <w:rFonts w:ascii="宋体" w:hAnsi="宋体" w:eastAsia="宋体"/>
                <w:color w:val="auto"/>
                <w:highlight w:val="none"/>
              </w:rPr>
            </w:pPr>
            <w:r>
              <w:rPr>
                <w:rFonts w:hint="eastAsia" w:ascii="宋体" w:hAnsi="宋体" w:eastAsia="宋体"/>
                <w:color w:val="auto"/>
                <w:highlight w:val="none"/>
                <w:u w:val="single"/>
              </w:rPr>
              <w:t xml:space="preserve"> </w:t>
            </w:r>
            <w:r>
              <w:rPr>
                <w:rFonts w:hint="eastAsia" w:ascii="宋体" w:hAnsi="宋体" w:eastAsia="宋体"/>
                <w:color w:val="auto"/>
                <w:highlight w:val="none"/>
                <w:u w:val="single"/>
                <w:lang w:val="en-US" w:eastAsia="zh-CN"/>
              </w:rPr>
              <w:t>2025</w:t>
            </w:r>
            <w:r>
              <w:rPr>
                <w:rFonts w:hint="eastAsia" w:ascii="宋体" w:hAnsi="宋体" w:eastAsia="宋体"/>
                <w:color w:val="auto"/>
                <w:highlight w:val="none"/>
                <w:u w:val="single"/>
              </w:rPr>
              <w:t xml:space="preserve"> </w:t>
            </w:r>
            <w:r>
              <w:rPr>
                <w:rFonts w:hint="eastAsia" w:ascii="宋体" w:hAnsi="宋体" w:eastAsia="宋体"/>
                <w:color w:val="auto"/>
                <w:highlight w:val="none"/>
              </w:rPr>
              <w:t>年</w:t>
            </w:r>
            <w:r>
              <w:rPr>
                <w:rFonts w:hint="eastAsia" w:ascii="宋体" w:hAnsi="宋体" w:eastAsia="宋体"/>
                <w:color w:val="auto"/>
                <w:highlight w:val="none"/>
                <w:u w:val="single"/>
              </w:rPr>
              <w:t xml:space="preserve"> </w:t>
            </w:r>
            <w:r>
              <w:rPr>
                <w:rFonts w:hint="eastAsia" w:ascii="宋体" w:hAnsi="宋体" w:eastAsia="宋体"/>
                <w:color w:val="auto"/>
                <w:highlight w:val="none"/>
                <w:u w:val="single"/>
                <w:lang w:val="en-US" w:eastAsia="zh-CN"/>
              </w:rPr>
              <w:t>10</w:t>
            </w:r>
            <w:r>
              <w:rPr>
                <w:rFonts w:hint="eastAsia" w:ascii="宋体" w:hAnsi="宋体" w:eastAsia="宋体"/>
                <w:color w:val="auto"/>
                <w:highlight w:val="none"/>
                <w:u w:val="single"/>
              </w:rPr>
              <w:t xml:space="preserve"> </w:t>
            </w:r>
            <w:r>
              <w:rPr>
                <w:rFonts w:hint="eastAsia" w:ascii="宋体" w:hAnsi="宋体" w:eastAsia="宋体"/>
                <w:color w:val="auto"/>
                <w:highlight w:val="none"/>
              </w:rPr>
              <w:t>月</w:t>
            </w:r>
            <w:r>
              <w:rPr>
                <w:rFonts w:hint="eastAsia" w:ascii="宋体" w:hAnsi="宋体" w:eastAsia="宋体"/>
                <w:color w:val="auto"/>
                <w:highlight w:val="none"/>
                <w:u w:val="single"/>
              </w:rPr>
              <w:t xml:space="preserve"> </w:t>
            </w:r>
            <w:r>
              <w:rPr>
                <w:rFonts w:hint="eastAsia" w:ascii="宋体" w:hAnsi="宋体" w:eastAsia="宋体"/>
                <w:color w:val="auto"/>
                <w:highlight w:val="none"/>
                <w:u w:val="single"/>
                <w:lang w:val="en-US" w:eastAsia="zh-CN"/>
              </w:rPr>
              <w:t>23</w:t>
            </w:r>
            <w:r>
              <w:rPr>
                <w:rFonts w:hint="eastAsia" w:ascii="宋体" w:hAnsi="宋体" w:eastAsia="宋体"/>
                <w:color w:val="auto"/>
                <w:highlight w:val="none"/>
              </w:rPr>
              <w:t>日计划开工，施工总工期：</w:t>
            </w:r>
            <w:r>
              <w:rPr>
                <w:rFonts w:hint="eastAsia" w:ascii="宋体" w:hAnsi="宋体" w:eastAsia="宋体"/>
                <w:color w:val="auto"/>
                <w:highlight w:val="none"/>
                <w:u w:val="single"/>
                <w:lang w:val="en-US" w:eastAsia="zh-CN"/>
              </w:rPr>
              <w:t>240</w:t>
            </w:r>
            <w:r>
              <w:rPr>
                <w:rFonts w:hint="eastAsia" w:ascii="宋体" w:hAnsi="宋体" w:eastAsia="宋体"/>
                <w:color w:val="auto"/>
                <w:highlight w:val="none"/>
              </w:rPr>
              <w:t>日历天。</w:t>
            </w:r>
            <w:r>
              <w:rPr>
                <w:rFonts w:hint="eastAsia" w:ascii="宋体" w:hAnsi="宋体" w:eastAsia="宋体"/>
                <w:color w:val="auto"/>
                <w:highlight w:val="none"/>
                <w:lang w:eastAsia="zh-CN"/>
              </w:rPr>
              <w:t>（</w:t>
            </w:r>
            <w:r>
              <w:rPr>
                <w:rFonts w:hint="eastAsia" w:ascii="宋体" w:hAnsi="宋体" w:eastAsia="宋体"/>
                <w:color w:val="auto"/>
                <w:highlight w:val="none"/>
              </w:rPr>
              <w:t>项目具体起止时间以开工报告时间为计算依据。</w:t>
            </w:r>
            <w:r>
              <w:rPr>
                <w:rFonts w:hint="eastAsia" w:ascii="宋体" w:hAnsi="宋体" w:eastAsia="宋体"/>
                <w:color w:val="auto"/>
                <w:highlight w:val="none"/>
                <w:lang w:eastAsia="zh-CN"/>
              </w:rPr>
              <w:t>）</w:t>
            </w:r>
            <w:r>
              <w:rPr>
                <w:rFonts w:hint="eastAsia" w:ascii="宋体" w:hAnsi="宋体" w:eastAsia="宋体"/>
                <w:color w:val="auto"/>
                <w:highlight w:val="none"/>
              </w:rPr>
              <w:t xml:space="preserve">                      </w:t>
            </w:r>
          </w:p>
        </w:tc>
      </w:tr>
      <w:tr w14:paraId="2F990D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35685D7F">
            <w:pPr>
              <w:rPr>
                <w:rFonts w:ascii="宋体" w:hAnsi="宋体" w:eastAsia="宋体"/>
                <w:color w:val="auto"/>
                <w:highlight w:val="none"/>
              </w:rPr>
            </w:pPr>
            <w:r>
              <w:rPr>
                <w:rFonts w:hint="eastAsia" w:ascii="宋体" w:hAnsi="宋体" w:eastAsia="宋体"/>
                <w:color w:val="auto"/>
                <w:highlight w:val="none"/>
              </w:rPr>
              <w:t>9</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7D204AFE">
            <w:pPr>
              <w:rPr>
                <w:rFonts w:ascii="宋体" w:hAnsi="宋体" w:eastAsia="宋体"/>
                <w:color w:val="auto"/>
                <w:highlight w:val="none"/>
              </w:rPr>
            </w:pPr>
            <w:r>
              <w:rPr>
                <w:rFonts w:hint="eastAsia" w:ascii="宋体" w:hAnsi="宋体" w:eastAsia="宋体"/>
                <w:color w:val="auto"/>
                <w:highlight w:val="none"/>
              </w:rPr>
              <w:t>3</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610868D5">
            <w:pPr>
              <w:rPr>
                <w:rFonts w:ascii="宋体" w:hAnsi="宋体" w:eastAsia="宋体"/>
                <w:color w:val="auto"/>
                <w:highlight w:val="none"/>
              </w:rPr>
            </w:pPr>
            <w:r>
              <w:rPr>
                <w:rFonts w:hint="eastAsia" w:ascii="宋体" w:hAnsi="宋体" w:eastAsia="宋体"/>
                <w:color w:val="auto"/>
                <w:highlight w:val="none"/>
              </w:rPr>
              <w:t>资金来源</w:t>
            </w:r>
          </w:p>
        </w:tc>
        <w:tc>
          <w:tcPr>
            <w:tcW w:w="7029" w:type="dxa"/>
            <w:tcBorders>
              <w:top w:val="single" w:color="auto" w:sz="4" w:space="0"/>
              <w:left w:val="single" w:color="auto" w:sz="4" w:space="0"/>
              <w:bottom w:val="single" w:color="auto" w:sz="4" w:space="0"/>
              <w:right w:val="double" w:color="auto" w:sz="4" w:space="0"/>
            </w:tcBorders>
            <w:noWrap w:val="0"/>
            <w:vAlign w:val="center"/>
          </w:tcPr>
          <w:p w14:paraId="42ECEA83">
            <w:pPr>
              <w:rPr>
                <w:rFonts w:ascii="宋体" w:hAnsi="宋体" w:eastAsia="宋体"/>
                <w:color w:val="auto"/>
                <w:highlight w:val="none"/>
              </w:rPr>
            </w:pPr>
            <w:r>
              <w:rPr>
                <w:rFonts w:hint="eastAsia" w:ascii="宋体" w:hAnsi="宋体" w:eastAsia="宋体"/>
                <w:color w:val="auto"/>
                <w:highlight w:val="none"/>
                <w:u w:val="single"/>
              </w:rPr>
              <w:t>财政资金</w:t>
            </w:r>
          </w:p>
        </w:tc>
      </w:tr>
      <w:tr w14:paraId="6CF521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039916A4">
            <w:pPr>
              <w:rPr>
                <w:rFonts w:ascii="宋体" w:hAnsi="宋体" w:eastAsia="宋体"/>
                <w:color w:val="auto"/>
                <w:highlight w:val="none"/>
              </w:rPr>
            </w:pPr>
            <w:r>
              <w:rPr>
                <w:rFonts w:hint="eastAsia" w:ascii="宋体" w:hAnsi="宋体" w:eastAsia="宋体"/>
                <w:color w:val="auto"/>
                <w:highlight w:val="none"/>
              </w:rPr>
              <w:t>10</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2F306CDC">
            <w:pPr>
              <w:rPr>
                <w:rFonts w:ascii="宋体" w:hAnsi="宋体" w:eastAsia="宋体"/>
                <w:color w:val="auto"/>
                <w:highlight w:val="none"/>
              </w:rPr>
            </w:pPr>
          </w:p>
        </w:tc>
        <w:tc>
          <w:tcPr>
            <w:tcW w:w="1341" w:type="dxa"/>
            <w:tcBorders>
              <w:top w:val="single" w:color="auto" w:sz="4" w:space="0"/>
              <w:left w:val="single" w:color="auto" w:sz="4" w:space="0"/>
              <w:bottom w:val="single" w:color="auto" w:sz="4" w:space="0"/>
              <w:right w:val="single" w:color="auto" w:sz="4" w:space="0"/>
            </w:tcBorders>
            <w:noWrap w:val="0"/>
            <w:vAlign w:val="center"/>
          </w:tcPr>
          <w:p w14:paraId="60D64471">
            <w:pPr>
              <w:rPr>
                <w:rFonts w:ascii="宋体" w:hAnsi="宋体" w:eastAsia="宋体"/>
                <w:color w:val="auto"/>
                <w:highlight w:val="none"/>
              </w:rPr>
            </w:pPr>
            <w:r>
              <w:rPr>
                <w:rFonts w:hint="eastAsia" w:ascii="宋体" w:hAnsi="宋体" w:eastAsia="宋体"/>
                <w:color w:val="auto"/>
                <w:highlight w:val="none"/>
              </w:rPr>
              <w:t>投标人资格条件</w:t>
            </w:r>
          </w:p>
        </w:tc>
        <w:tc>
          <w:tcPr>
            <w:tcW w:w="7029" w:type="dxa"/>
            <w:tcBorders>
              <w:top w:val="single" w:color="auto" w:sz="4" w:space="0"/>
              <w:left w:val="single" w:color="auto" w:sz="4" w:space="0"/>
              <w:bottom w:val="single" w:color="auto" w:sz="4" w:space="0"/>
              <w:right w:val="double" w:color="auto" w:sz="4" w:space="0"/>
            </w:tcBorders>
            <w:noWrap w:val="0"/>
            <w:vAlign w:val="center"/>
          </w:tcPr>
          <w:p w14:paraId="5FE1CB5A">
            <w:pPr>
              <w:rPr>
                <w:rFonts w:ascii="宋体" w:hAnsi="宋体" w:eastAsia="宋体"/>
                <w:color w:val="auto"/>
                <w:highlight w:val="none"/>
              </w:rPr>
            </w:pPr>
            <w:r>
              <w:rPr>
                <w:rFonts w:hint="eastAsia" w:ascii="宋体" w:hAnsi="宋体" w:eastAsia="宋体"/>
                <w:color w:val="auto"/>
                <w:highlight w:val="none"/>
              </w:rPr>
              <w:t>详见本工程招标公告。</w:t>
            </w:r>
          </w:p>
        </w:tc>
      </w:tr>
      <w:tr w14:paraId="0D72C9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1E7BAA52">
            <w:pPr>
              <w:rPr>
                <w:rFonts w:ascii="宋体" w:hAnsi="宋体" w:eastAsia="宋体"/>
                <w:color w:val="auto"/>
                <w:highlight w:val="none"/>
              </w:rPr>
            </w:pPr>
            <w:r>
              <w:rPr>
                <w:rFonts w:hint="eastAsia" w:ascii="宋体" w:hAnsi="宋体" w:eastAsia="宋体"/>
                <w:color w:val="auto"/>
                <w:highlight w:val="none"/>
              </w:rPr>
              <w:t>11</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15242780">
            <w:pPr>
              <w:rPr>
                <w:rFonts w:ascii="宋体" w:hAnsi="宋体" w:eastAsia="宋体"/>
                <w:color w:val="auto"/>
                <w:highlight w:val="none"/>
              </w:rPr>
            </w:pPr>
          </w:p>
        </w:tc>
        <w:tc>
          <w:tcPr>
            <w:tcW w:w="1341" w:type="dxa"/>
            <w:tcBorders>
              <w:top w:val="single" w:color="auto" w:sz="4" w:space="0"/>
              <w:left w:val="single" w:color="auto" w:sz="4" w:space="0"/>
              <w:bottom w:val="single" w:color="auto" w:sz="4" w:space="0"/>
              <w:right w:val="single" w:color="auto" w:sz="4" w:space="0"/>
            </w:tcBorders>
            <w:noWrap w:val="0"/>
            <w:vAlign w:val="center"/>
          </w:tcPr>
          <w:p w14:paraId="6B4EA320">
            <w:pPr>
              <w:rPr>
                <w:rFonts w:ascii="宋体" w:hAnsi="宋体" w:eastAsia="宋体"/>
                <w:color w:val="auto"/>
                <w:highlight w:val="none"/>
              </w:rPr>
            </w:pPr>
            <w:r>
              <w:rPr>
                <w:rFonts w:hint="eastAsia" w:ascii="宋体" w:hAnsi="宋体" w:eastAsia="宋体"/>
                <w:color w:val="auto"/>
                <w:highlight w:val="none"/>
              </w:rPr>
              <w:t>资格审查方式</w:t>
            </w:r>
          </w:p>
        </w:tc>
        <w:tc>
          <w:tcPr>
            <w:tcW w:w="7029" w:type="dxa"/>
            <w:tcBorders>
              <w:top w:val="single" w:color="auto" w:sz="4" w:space="0"/>
              <w:left w:val="single" w:color="auto" w:sz="4" w:space="0"/>
              <w:bottom w:val="single" w:color="auto" w:sz="4" w:space="0"/>
              <w:right w:val="double" w:color="auto" w:sz="4" w:space="0"/>
            </w:tcBorders>
            <w:noWrap w:val="0"/>
            <w:vAlign w:val="center"/>
          </w:tcPr>
          <w:p w14:paraId="1BFB68D9">
            <w:pPr>
              <w:rPr>
                <w:rFonts w:ascii="宋体" w:hAnsi="宋体" w:eastAsia="宋体"/>
                <w:color w:val="auto"/>
                <w:highlight w:val="none"/>
              </w:rPr>
            </w:pPr>
            <w:r>
              <w:rPr>
                <w:rFonts w:hint="eastAsia" w:ascii="宋体" w:hAnsi="宋体" w:eastAsia="宋体"/>
                <w:color w:val="auto"/>
                <w:highlight w:val="none"/>
              </w:rPr>
              <w:t>电子化资格后审。</w:t>
            </w:r>
          </w:p>
        </w:tc>
      </w:tr>
      <w:tr w14:paraId="2BE567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3363F335">
            <w:pPr>
              <w:rPr>
                <w:rFonts w:ascii="宋体" w:hAnsi="宋体" w:eastAsia="宋体"/>
                <w:color w:val="auto"/>
                <w:highlight w:val="none"/>
              </w:rPr>
            </w:pPr>
            <w:r>
              <w:rPr>
                <w:rFonts w:hint="eastAsia" w:ascii="宋体" w:hAnsi="宋体" w:eastAsia="宋体"/>
                <w:color w:val="auto"/>
                <w:highlight w:val="none"/>
              </w:rPr>
              <w:t>12</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3F3D74CD">
            <w:pPr>
              <w:rPr>
                <w:rFonts w:ascii="宋体" w:hAnsi="宋体" w:eastAsia="宋体"/>
                <w:color w:val="auto"/>
                <w:highlight w:val="none"/>
              </w:rPr>
            </w:pPr>
            <w:r>
              <w:rPr>
                <w:rFonts w:hint="eastAsia" w:ascii="宋体" w:hAnsi="宋体" w:eastAsia="宋体"/>
                <w:color w:val="auto"/>
                <w:highlight w:val="none"/>
              </w:rPr>
              <w:t>13.1</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380CFFB2">
            <w:pPr>
              <w:rPr>
                <w:rFonts w:ascii="宋体" w:hAnsi="宋体" w:eastAsia="宋体"/>
                <w:color w:val="auto"/>
                <w:highlight w:val="none"/>
              </w:rPr>
            </w:pPr>
            <w:r>
              <w:rPr>
                <w:rFonts w:hint="eastAsia" w:ascii="宋体" w:hAnsi="宋体" w:eastAsia="宋体"/>
                <w:color w:val="auto"/>
                <w:highlight w:val="none"/>
              </w:rPr>
              <w:t>报价以及单价和总价计算方式</w:t>
            </w:r>
          </w:p>
        </w:tc>
        <w:tc>
          <w:tcPr>
            <w:tcW w:w="7029" w:type="dxa"/>
            <w:tcBorders>
              <w:top w:val="single" w:color="auto" w:sz="4" w:space="0"/>
              <w:left w:val="single" w:color="auto" w:sz="4" w:space="0"/>
              <w:bottom w:val="single" w:color="auto" w:sz="4" w:space="0"/>
              <w:right w:val="double" w:color="auto" w:sz="4" w:space="0"/>
            </w:tcBorders>
            <w:noWrap w:val="0"/>
            <w:vAlign w:val="center"/>
          </w:tcPr>
          <w:p w14:paraId="75759E85">
            <w:pPr>
              <w:rPr>
                <w:rFonts w:ascii="宋体" w:hAnsi="宋体" w:eastAsia="宋体"/>
                <w:color w:val="auto"/>
                <w:highlight w:val="none"/>
              </w:rPr>
            </w:pPr>
            <w:r>
              <w:rPr>
                <w:rFonts w:hint="eastAsia" w:ascii="宋体" w:hAnsi="宋体" w:eastAsia="宋体"/>
                <w:color w:val="auto"/>
                <w:highlight w:val="none"/>
              </w:rPr>
              <w:t>工程量清单计价，按国家、省有关计价规范执行。</w:t>
            </w:r>
          </w:p>
        </w:tc>
      </w:tr>
      <w:tr w14:paraId="357706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1D8925F3">
            <w:pPr>
              <w:rPr>
                <w:rFonts w:ascii="宋体" w:hAnsi="宋体" w:eastAsia="宋体"/>
                <w:color w:val="auto"/>
                <w:highlight w:val="none"/>
              </w:rPr>
            </w:pPr>
            <w:r>
              <w:rPr>
                <w:rFonts w:hint="eastAsia" w:ascii="宋体" w:hAnsi="宋体" w:eastAsia="宋体"/>
                <w:color w:val="auto"/>
                <w:highlight w:val="none"/>
              </w:rPr>
              <w:t>13</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1387405D">
            <w:pPr>
              <w:rPr>
                <w:rFonts w:ascii="宋体" w:hAnsi="宋体" w:eastAsia="宋体"/>
                <w:color w:val="auto"/>
                <w:highlight w:val="none"/>
              </w:rPr>
            </w:pPr>
            <w:r>
              <w:rPr>
                <w:rFonts w:hint="eastAsia" w:ascii="宋体" w:hAnsi="宋体" w:eastAsia="宋体"/>
                <w:color w:val="auto"/>
                <w:highlight w:val="none"/>
              </w:rPr>
              <w:t>15.1</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78833845">
            <w:pPr>
              <w:rPr>
                <w:rFonts w:ascii="宋体" w:hAnsi="宋体" w:eastAsia="宋体"/>
                <w:color w:val="auto"/>
                <w:highlight w:val="none"/>
              </w:rPr>
            </w:pPr>
            <w:r>
              <w:rPr>
                <w:rFonts w:hint="eastAsia" w:ascii="宋体" w:hAnsi="宋体" w:eastAsia="宋体"/>
                <w:color w:val="auto"/>
                <w:highlight w:val="none"/>
              </w:rPr>
              <w:t>投标有效期</w:t>
            </w:r>
          </w:p>
        </w:tc>
        <w:tc>
          <w:tcPr>
            <w:tcW w:w="7029" w:type="dxa"/>
            <w:tcBorders>
              <w:top w:val="single" w:color="auto" w:sz="4" w:space="0"/>
              <w:left w:val="single" w:color="auto" w:sz="4" w:space="0"/>
              <w:bottom w:val="single" w:color="auto" w:sz="4" w:space="0"/>
              <w:right w:val="double" w:color="auto" w:sz="4" w:space="0"/>
            </w:tcBorders>
            <w:noWrap w:val="0"/>
            <w:vAlign w:val="center"/>
          </w:tcPr>
          <w:p w14:paraId="33D25326">
            <w:pPr>
              <w:rPr>
                <w:rFonts w:ascii="宋体" w:hAnsi="宋体" w:eastAsia="宋体"/>
                <w:color w:val="auto"/>
                <w:highlight w:val="none"/>
                <w:u w:val="single"/>
              </w:rPr>
            </w:pPr>
            <w:r>
              <w:rPr>
                <w:rFonts w:hint="eastAsia" w:ascii="宋体" w:hAnsi="宋体" w:eastAsia="宋体"/>
                <w:color w:val="auto"/>
                <w:highlight w:val="none"/>
                <w:u w:val="single"/>
                <w:lang w:val="en-US" w:eastAsia="zh-CN"/>
              </w:rPr>
              <w:t>90</w:t>
            </w:r>
            <w:r>
              <w:rPr>
                <w:rFonts w:hint="eastAsia" w:ascii="宋体" w:hAnsi="宋体" w:eastAsia="宋体"/>
                <w:color w:val="auto"/>
                <w:highlight w:val="none"/>
              </w:rPr>
              <w:t>日历天（从递交投标文件截止之日计起）</w:t>
            </w:r>
          </w:p>
        </w:tc>
      </w:tr>
      <w:tr w14:paraId="23AC22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22458084">
            <w:pPr>
              <w:rPr>
                <w:rFonts w:ascii="宋体" w:hAnsi="宋体" w:eastAsia="宋体"/>
                <w:color w:val="auto"/>
                <w:highlight w:val="none"/>
              </w:rPr>
            </w:pPr>
            <w:r>
              <w:rPr>
                <w:rFonts w:hint="eastAsia" w:ascii="宋体" w:hAnsi="宋体" w:eastAsia="宋体"/>
                <w:color w:val="auto"/>
                <w:highlight w:val="none"/>
              </w:rPr>
              <w:t>14</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48389346">
            <w:pPr>
              <w:rPr>
                <w:rFonts w:ascii="宋体" w:hAnsi="宋体" w:eastAsia="宋体"/>
                <w:color w:val="auto"/>
                <w:highlight w:val="none"/>
              </w:rPr>
            </w:pPr>
            <w:r>
              <w:rPr>
                <w:rFonts w:hint="eastAsia" w:ascii="宋体" w:hAnsi="宋体" w:eastAsia="宋体"/>
                <w:color w:val="auto"/>
                <w:highlight w:val="none"/>
              </w:rPr>
              <w:t>16.1</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18755ED6">
            <w:pPr>
              <w:rPr>
                <w:rFonts w:ascii="宋体" w:hAnsi="宋体" w:eastAsia="宋体"/>
                <w:color w:val="auto"/>
                <w:highlight w:val="none"/>
              </w:rPr>
            </w:pPr>
            <w:r>
              <w:rPr>
                <w:rFonts w:hint="eastAsia" w:ascii="宋体" w:hAnsi="宋体" w:eastAsia="宋体"/>
                <w:color w:val="auto"/>
                <w:highlight w:val="none"/>
              </w:rPr>
              <w:t>投标保证金</w:t>
            </w:r>
          </w:p>
        </w:tc>
        <w:tc>
          <w:tcPr>
            <w:tcW w:w="7029" w:type="dxa"/>
            <w:tcBorders>
              <w:top w:val="single" w:color="auto" w:sz="4" w:space="0"/>
              <w:left w:val="single" w:color="auto" w:sz="4" w:space="0"/>
              <w:bottom w:val="single" w:color="auto" w:sz="4" w:space="0"/>
              <w:right w:val="double" w:color="auto" w:sz="4" w:space="0"/>
            </w:tcBorders>
            <w:noWrap w:val="0"/>
            <w:vAlign w:val="center"/>
          </w:tcPr>
          <w:p w14:paraId="4A7B2471">
            <w:pPr>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方式一：不要求投标人递交投标保证金。</w:t>
            </w:r>
          </w:p>
          <w:p w14:paraId="3A8B131F">
            <w:pPr>
              <w:ind w:left="630" w:hanging="630" w:hangingChars="300"/>
              <w:rPr>
                <w:rFonts w:hint="eastAsia" w:ascii="宋体" w:hAnsi="宋体" w:eastAsia="宋体" w:cs="宋体"/>
                <w:strike/>
                <w:dstrike w:val="0"/>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strike/>
                <w:dstrike w:val="0"/>
                <w:color w:val="auto"/>
                <w:szCs w:val="21"/>
                <w:highlight w:val="none"/>
              </w:rPr>
              <w:t>方式二：要求投标人递交投标保证金，具体要求如下：</w:t>
            </w:r>
          </w:p>
          <w:p w14:paraId="02DA202A">
            <w:pPr>
              <w:ind w:left="630" w:hanging="630" w:hangingChars="300"/>
              <w:rPr>
                <w:rFonts w:hint="eastAsia" w:ascii="宋体" w:hAnsi="宋体" w:eastAsia="宋体" w:cs="宋体"/>
                <w:strike/>
                <w:dstrike w:val="0"/>
                <w:color w:val="auto"/>
                <w:szCs w:val="21"/>
                <w:highlight w:val="none"/>
              </w:rPr>
            </w:pPr>
            <w:r>
              <w:rPr>
                <w:rFonts w:hint="eastAsia" w:ascii="宋体" w:hAnsi="宋体" w:eastAsia="宋体" w:cs="宋体"/>
                <w:strike/>
                <w:dstrike w:val="0"/>
                <w:color w:val="auto"/>
                <w:szCs w:val="21"/>
                <w:highlight w:val="none"/>
              </w:rPr>
              <w:t>1.投标保证金数额：</w:t>
            </w:r>
            <w:r>
              <w:rPr>
                <w:rFonts w:hint="eastAsia" w:ascii="宋体" w:hAnsi="宋体" w:eastAsia="宋体" w:cs="宋体"/>
                <w:strike/>
                <w:dstrike w:val="0"/>
                <w:color w:val="auto"/>
                <w:szCs w:val="21"/>
                <w:highlight w:val="none"/>
                <w:u w:val="single"/>
              </w:rPr>
              <w:t xml:space="preserve">        </w:t>
            </w:r>
            <w:r>
              <w:rPr>
                <w:rFonts w:hint="eastAsia" w:ascii="宋体" w:hAnsi="宋体" w:eastAsia="宋体" w:cs="宋体"/>
                <w:strike/>
                <w:dstrike w:val="0"/>
                <w:color w:val="auto"/>
                <w:szCs w:val="21"/>
                <w:highlight w:val="none"/>
              </w:rPr>
              <w:t>万元。</w:t>
            </w:r>
          </w:p>
          <w:p w14:paraId="1F48845A">
            <w:pPr>
              <w:ind w:left="630" w:hanging="630" w:hangingChars="300"/>
              <w:rPr>
                <w:rFonts w:hint="eastAsia" w:ascii="宋体" w:hAnsi="宋体" w:eastAsia="宋体" w:cs="宋体"/>
                <w:strike/>
                <w:dstrike w:val="0"/>
                <w:color w:val="auto"/>
                <w:szCs w:val="21"/>
                <w:highlight w:val="none"/>
              </w:rPr>
            </w:pPr>
            <w:r>
              <w:rPr>
                <w:rFonts w:hint="eastAsia" w:ascii="宋体" w:hAnsi="宋体" w:eastAsia="宋体" w:cs="宋体"/>
                <w:strike/>
                <w:dstrike w:val="0"/>
                <w:color w:val="auto"/>
                <w:szCs w:val="21"/>
                <w:highlight w:val="none"/>
              </w:rPr>
              <w:t>2.投标保证金的形式：投标保证金可采用</w:t>
            </w:r>
            <w:r>
              <w:rPr>
                <w:rFonts w:hint="eastAsia" w:ascii="宋体" w:hAnsi="宋体" w:eastAsia="宋体" w:cs="宋体"/>
                <w:strike/>
                <w:dstrike w:val="0"/>
                <w:color w:val="auto"/>
                <w:szCs w:val="21"/>
                <w:highlight w:val="none"/>
                <w:u w:val="single"/>
              </w:rPr>
              <w:t>投标保函、转账、现金、支票</w:t>
            </w:r>
            <w:r>
              <w:rPr>
                <w:rFonts w:hint="eastAsia" w:ascii="宋体" w:hAnsi="宋体" w:eastAsia="宋体" w:cs="宋体"/>
                <w:strike/>
                <w:dstrike w:val="0"/>
                <w:color w:val="auto"/>
                <w:szCs w:val="21"/>
                <w:highlight w:val="none"/>
                <w:u w:val="single"/>
                <w:lang w:eastAsia="zh-CN"/>
              </w:rPr>
              <w:t>、</w:t>
            </w:r>
            <w:r>
              <w:rPr>
                <w:rFonts w:hint="eastAsia" w:ascii="宋体" w:hAnsi="宋体" w:eastAsia="宋体" w:cs="宋体"/>
                <w:strike/>
                <w:dstrike w:val="0"/>
                <w:color w:val="auto"/>
                <w:szCs w:val="21"/>
                <w:highlight w:val="none"/>
                <w:u w:val="single"/>
              </w:rPr>
              <w:t>汇票、投标保证保险</w:t>
            </w:r>
            <w:r>
              <w:rPr>
                <w:rFonts w:hint="eastAsia" w:ascii="宋体" w:hAnsi="宋体" w:eastAsia="宋体" w:cs="宋体"/>
                <w:strike/>
                <w:dstrike w:val="0"/>
                <w:color w:val="auto"/>
                <w:szCs w:val="21"/>
                <w:highlight w:val="none"/>
              </w:rPr>
              <w:t>形式，须在递交投标文件截止时间前完成缴纳。</w:t>
            </w:r>
          </w:p>
          <w:p w14:paraId="5577D845">
            <w:pPr>
              <w:ind w:left="630" w:hanging="630" w:hangingChars="300"/>
              <w:rPr>
                <w:rFonts w:hint="eastAsia" w:ascii="宋体" w:hAnsi="宋体" w:eastAsia="宋体" w:cs="宋体"/>
                <w:strike/>
                <w:dstrike w:val="0"/>
                <w:color w:val="auto"/>
                <w:szCs w:val="21"/>
                <w:highlight w:val="none"/>
              </w:rPr>
            </w:pPr>
            <w:r>
              <w:rPr>
                <w:rFonts w:hint="eastAsia" w:ascii="宋体" w:hAnsi="宋体" w:eastAsia="宋体" w:cs="宋体"/>
                <w:strike/>
                <w:dstrike w:val="0"/>
                <w:color w:val="auto"/>
                <w:szCs w:val="21"/>
                <w:highlight w:val="none"/>
              </w:rPr>
              <w:t>□方式三：</w:t>
            </w:r>
            <w:r>
              <w:rPr>
                <w:rFonts w:hint="eastAsia" w:ascii="宋体" w:hAnsi="宋体" w:eastAsia="宋体" w:cs="宋体"/>
                <w:strike/>
                <w:dstrike w:val="0"/>
                <w:color w:val="auto"/>
                <w:szCs w:val="21"/>
                <w:highlight w:val="none"/>
                <w:u w:val="single"/>
              </w:rPr>
              <w:t>招标人自定的其它方式（招标人不得限定投标保证金只能以现金形式提交）</w:t>
            </w:r>
            <w:r>
              <w:rPr>
                <w:rFonts w:hint="eastAsia" w:ascii="宋体" w:hAnsi="宋体" w:eastAsia="宋体" w:cs="宋体"/>
                <w:strike/>
                <w:dstrike w:val="0"/>
                <w:color w:val="auto"/>
                <w:szCs w:val="21"/>
                <w:highlight w:val="none"/>
              </w:rPr>
              <w:t>。</w:t>
            </w:r>
          </w:p>
          <w:p w14:paraId="39F95414">
            <w:pPr>
              <w:ind w:left="630" w:hanging="630" w:hangingChars="300"/>
              <w:rPr>
                <w:rFonts w:hint="eastAsia" w:ascii="宋体" w:hAnsi="宋体" w:eastAsia="宋体" w:cs="宋体"/>
                <w:color w:val="auto"/>
                <w:szCs w:val="21"/>
                <w:highlight w:val="none"/>
              </w:rPr>
            </w:pPr>
            <w:r>
              <w:rPr>
                <w:rFonts w:hint="eastAsia" w:ascii="宋体" w:hAnsi="宋体" w:eastAsia="宋体" w:cs="宋体"/>
                <w:strike/>
                <w:dstrike w:val="0"/>
                <w:color w:val="auto"/>
                <w:szCs w:val="21"/>
                <w:highlight w:val="none"/>
              </w:rPr>
              <w:t>注：招标人可对信用良好企业、中小企业免收投标保证金。</w:t>
            </w:r>
          </w:p>
        </w:tc>
      </w:tr>
      <w:tr w14:paraId="745DD2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43029EB4">
            <w:pPr>
              <w:rPr>
                <w:rFonts w:ascii="宋体" w:hAnsi="宋体" w:eastAsia="宋体"/>
                <w:color w:val="auto"/>
                <w:highlight w:val="none"/>
              </w:rPr>
            </w:pPr>
            <w:r>
              <w:rPr>
                <w:rFonts w:hint="eastAsia" w:ascii="宋体" w:hAnsi="宋体" w:eastAsia="宋体"/>
                <w:color w:val="auto"/>
                <w:highlight w:val="none"/>
              </w:rPr>
              <w:t>15</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2F37D339">
            <w:pPr>
              <w:rPr>
                <w:rFonts w:ascii="宋体" w:hAnsi="宋体" w:eastAsia="宋体"/>
                <w:color w:val="auto"/>
                <w:highlight w:val="none"/>
              </w:rPr>
            </w:pPr>
            <w:r>
              <w:rPr>
                <w:rFonts w:hint="eastAsia" w:ascii="宋体" w:hAnsi="宋体" w:eastAsia="宋体"/>
                <w:color w:val="auto"/>
                <w:highlight w:val="none"/>
              </w:rPr>
              <w:t>7.5</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00A3C99D">
            <w:pPr>
              <w:rPr>
                <w:rFonts w:ascii="宋体" w:hAnsi="宋体" w:eastAsia="宋体"/>
                <w:color w:val="auto"/>
                <w:highlight w:val="none"/>
              </w:rPr>
            </w:pPr>
            <w:r>
              <w:rPr>
                <w:rFonts w:hint="eastAsia" w:ascii="宋体" w:hAnsi="宋体" w:eastAsia="宋体"/>
                <w:color w:val="auto"/>
                <w:highlight w:val="none"/>
              </w:rPr>
              <w:t>领取招标文件及图纸</w:t>
            </w:r>
          </w:p>
        </w:tc>
        <w:tc>
          <w:tcPr>
            <w:tcW w:w="7029" w:type="dxa"/>
            <w:tcBorders>
              <w:top w:val="single" w:color="auto" w:sz="4" w:space="0"/>
              <w:left w:val="single" w:color="auto" w:sz="4" w:space="0"/>
              <w:bottom w:val="single" w:color="auto" w:sz="4" w:space="0"/>
              <w:right w:val="double" w:color="auto" w:sz="4" w:space="0"/>
            </w:tcBorders>
            <w:noWrap w:val="0"/>
            <w:vAlign w:val="center"/>
          </w:tcPr>
          <w:p w14:paraId="593A7B18">
            <w:pPr>
              <w:pStyle w:val="19"/>
              <w:rPr>
                <w:rFonts w:ascii="宋体" w:hAnsi="宋体" w:eastAsia="宋体"/>
                <w:color w:val="auto"/>
                <w:highlight w:val="none"/>
                <w:u w:val="single"/>
              </w:rPr>
            </w:pPr>
            <w:r>
              <w:rPr>
                <w:rFonts w:hint="eastAsia" w:ascii="宋体" w:hAnsi="宋体" w:eastAsia="宋体"/>
                <w:color w:val="auto"/>
                <w:highlight w:val="none"/>
              </w:rPr>
              <w:t>由投标人自行在广州公共资源交易网站下载。</w:t>
            </w:r>
          </w:p>
        </w:tc>
      </w:tr>
      <w:tr w14:paraId="629D5C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2D1BB053">
            <w:pPr>
              <w:rPr>
                <w:rFonts w:ascii="宋体" w:hAnsi="宋体" w:eastAsia="宋体"/>
                <w:color w:val="auto"/>
                <w:highlight w:val="none"/>
              </w:rPr>
            </w:pPr>
            <w:r>
              <w:rPr>
                <w:rFonts w:hint="eastAsia" w:ascii="宋体" w:hAnsi="宋体" w:eastAsia="宋体"/>
                <w:color w:val="auto"/>
                <w:highlight w:val="none"/>
              </w:rPr>
              <w:t>16</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14E413E6">
            <w:pPr>
              <w:rPr>
                <w:rFonts w:ascii="宋体" w:hAnsi="宋体" w:eastAsia="宋体"/>
                <w:color w:val="auto"/>
                <w:highlight w:val="none"/>
              </w:rPr>
            </w:pPr>
            <w:r>
              <w:rPr>
                <w:rFonts w:hint="eastAsia" w:ascii="宋体" w:hAnsi="宋体" w:eastAsia="宋体"/>
                <w:color w:val="auto"/>
                <w:highlight w:val="none"/>
              </w:rPr>
              <w:t>5.1</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71B2CEED">
            <w:pPr>
              <w:rPr>
                <w:rFonts w:ascii="宋体" w:hAnsi="宋体" w:eastAsia="宋体"/>
                <w:color w:val="auto"/>
                <w:highlight w:val="none"/>
              </w:rPr>
            </w:pPr>
            <w:r>
              <w:rPr>
                <w:rFonts w:hint="eastAsia" w:ascii="宋体" w:hAnsi="宋体" w:eastAsia="宋体"/>
                <w:color w:val="auto"/>
                <w:highlight w:val="none"/>
              </w:rPr>
              <w:t>踏勘现场</w:t>
            </w:r>
          </w:p>
        </w:tc>
        <w:tc>
          <w:tcPr>
            <w:tcW w:w="7029" w:type="dxa"/>
            <w:tcBorders>
              <w:top w:val="single" w:color="auto" w:sz="4" w:space="0"/>
              <w:left w:val="single" w:color="auto" w:sz="4" w:space="0"/>
              <w:bottom w:val="single" w:color="auto" w:sz="4" w:space="0"/>
              <w:right w:val="double" w:color="auto" w:sz="4" w:space="0"/>
            </w:tcBorders>
            <w:noWrap w:val="0"/>
            <w:vAlign w:val="center"/>
          </w:tcPr>
          <w:p w14:paraId="2F008992">
            <w:pPr>
              <w:rPr>
                <w:rFonts w:ascii="宋体" w:hAnsi="宋体" w:eastAsia="宋体"/>
                <w:color w:val="auto"/>
                <w:highlight w:val="none"/>
              </w:rPr>
            </w:pPr>
            <w:r>
              <w:rPr>
                <w:rFonts w:hint="eastAsia" w:ascii="宋体" w:hAnsi="宋体" w:eastAsia="宋体"/>
                <w:color w:val="auto"/>
                <w:highlight w:val="none"/>
              </w:rPr>
              <w:t>时间：</w:t>
            </w:r>
            <w:r>
              <w:rPr>
                <w:rFonts w:hint="eastAsia" w:ascii="宋体" w:hAnsi="宋体" w:eastAsia="宋体"/>
                <w:color w:val="auto"/>
                <w:highlight w:val="none"/>
                <w:u w:val="single"/>
              </w:rPr>
              <w:t>自招标公告发布之日</w:t>
            </w:r>
            <w:r>
              <w:rPr>
                <w:rFonts w:hint="eastAsia" w:ascii="宋体" w:hAnsi="宋体" w:eastAsia="宋体"/>
                <w:color w:val="auto"/>
                <w:highlight w:val="none"/>
              </w:rPr>
              <w:t>起具备现场踏勘条件；</w:t>
            </w:r>
          </w:p>
          <w:p w14:paraId="5CEA92D6">
            <w:pPr>
              <w:rPr>
                <w:rFonts w:ascii="宋体" w:hAnsi="宋体" w:eastAsia="宋体"/>
                <w:color w:val="auto"/>
                <w:highlight w:val="none"/>
              </w:rPr>
            </w:pPr>
            <w:r>
              <w:rPr>
                <w:rFonts w:hint="eastAsia" w:ascii="宋体" w:hAnsi="宋体" w:eastAsia="宋体"/>
                <w:color w:val="auto"/>
                <w:highlight w:val="none"/>
              </w:rPr>
              <w:t>方式：招标人不集中组织，由投标人自行踏勘；</w:t>
            </w:r>
          </w:p>
          <w:p w14:paraId="7E7EE877">
            <w:pPr>
              <w:pStyle w:val="19"/>
              <w:rPr>
                <w:rFonts w:ascii="宋体" w:hAnsi="宋体" w:eastAsia="宋体"/>
                <w:color w:val="auto"/>
                <w:highlight w:val="none"/>
              </w:rPr>
            </w:pPr>
            <w:r>
              <w:rPr>
                <w:rFonts w:hint="eastAsia" w:ascii="宋体" w:hAnsi="宋体" w:eastAsia="宋体"/>
                <w:color w:val="auto"/>
                <w:highlight w:val="none"/>
              </w:rPr>
              <w:t>现场详细地点：</w:t>
            </w:r>
            <w:r>
              <w:rPr>
                <w:rFonts w:hint="eastAsia" w:ascii="宋体" w:hAnsi="宋体" w:eastAsia="宋体"/>
                <w:color w:val="auto"/>
                <w:highlight w:val="none"/>
                <w:u w:val="single"/>
              </w:rPr>
              <w:t xml:space="preserve">项目地点 </w:t>
            </w:r>
          </w:p>
        </w:tc>
      </w:tr>
      <w:tr w14:paraId="238957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49E0CD6D">
            <w:pPr>
              <w:rPr>
                <w:rFonts w:ascii="宋体" w:hAnsi="宋体" w:eastAsia="宋体"/>
                <w:color w:val="auto"/>
                <w:highlight w:val="none"/>
              </w:rPr>
            </w:pPr>
            <w:r>
              <w:rPr>
                <w:rFonts w:hint="eastAsia" w:ascii="宋体" w:hAnsi="宋体" w:eastAsia="宋体"/>
                <w:color w:val="auto"/>
                <w:highlight w:val="none"/>
              </w:rPr>
              <w:t>17</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2E572699">
            <w:pPr>
              <w:rPr>
                <w:rFonts w:ascii="宋体" w:hAnsi="宋体" w:eastAsia="宋体"/>
                <w:color w:val="auto"/>
                <w:highlight w:val="none"/>
              </w:rPr>
            </w:pPr>
            <w:r>
              <w:rPr>
                <w:rFonts w:hint="eastAsia" w:ascii="宋体" w:hAnsi="宋体" w:eastAsia="宋体"/>
                <w:color w:val="auto"/>
                <w:highlight w:val="none"/>
              </w:rPr>
              <w:t>8.1</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1AF67D5F">
            <w:pPr>
              <w:rPr>
                <w:rFonts w:hint="eastAsia" w:ascii="宋体" w:hAnsi="宋体" w:eastAsia="宋体"/>
                <w:color w:val="auto"/>
                <w:highlight w:val="none"/>
              </w:rPr>
            </w:pPr>
            <w:r>
              <w:rPr>
                <w:rFonts w:hint="eastAsia" w:ascii="宋体" w:hAnsi="宋体" w:eastAsia="宋体"/>
                <w:color w:val="auto"/>
                <w:highlight w:val="none"/>
              </w:rPr>
              <w:t>招标答疑与澄清</w:t>
            </w:r>
          </w:p>
        </w:tc>
        <w:tc>
          <w:tcPr>
            <w:tcW w:w="7029" w:type="dxa"/>
            <w:tcBorders>
              <w:top w:val="single" w:color="auto" w:sz="4" w:space="0"/>
              <w:left w:val="single" w:color="auto" w:sz="4" w:space="0"/>
              <w:bottom w:val="single" w:color="auto" w:sz="4" w:space="0"/>
              <w:right w:val="double" w:color="auto" w:sz="4" w:space="0"/>
            </w:tcBorders>
            <w:noWrap w:val="0"/>
            <w:vAlign w:val="center"/>
          </w:tcPr>
          <w:p w14:paraId="36AE17E7">
            <w:pPr>
              <w:rPr>
                <w:rFonts w:ascii="宋体" w:hAnsi="宋体" w:eastAsia="宋体"/>
                <w:color w:val="auto"/>
                <w:highlight w:val="none"/>
              </w:rPr>
            </w:pPr>
            <w:r>
              <w:rPr>
                <w:rFonts w:hint="eastAsia" w:ascii="宋体" w:hAnsi="宋体" w:eastAsia="宋体"/>
                <w:color w:val="auto"/>
                <w:highlight w:val="none"/>
              </w:rPr>
              <w:t>1.方式：网上答疑</w:t>
            </w:r>
          </w:p>
          <w:p w14:paraId="1BB84352">
            <w:pPr>
              <w:rPr>
                <w:rFonts w:ascii="宋体" w:hAnsi="宋体" w:eastAsia="宋体"/>
                <w:color w:val="auto"/>
                <w:highlight w:val="none"/>
              </w:rPr>
            </w:pPr>
            <w:r>
              <w:rPr>
                <w:rFonts w:hint="eastAsia" w:ascii="宋体" w:hAnsi="宋体" w:eastAsia="宋体"/>
                <w:color w:val="auto"/>
                <w:highlight w:val="none"/>
              </w:rPr>
              <w:t>2.投标人提问期限：自招标公告发布之日起3天内</w:t>
            </w:r>
          </w:p>
          <w:p w14:paraId="3B42056E">
            <w:pPr>
              <w:rPr>
                <w:rFonts w:ascii="宋体" w:hAnsi="宋体" w:eastAsia="宋体"/>
                <w:color w:val="auto"/>
                <w:highlight w:val="none"/>
              </w:rPr>
            </w:pPr>
            <w:r>
              <w:rPr>
                <w:rFonts w:hint="eastAsia" w:ascii="宋体" w:hAnsi="宋体" w:eastAsia="宋体"/>
                <w:color w:val="auto"/>
                <w:highlight w:val="none"/>
              </w:rPr>
              <w:t>3.招标人澄清、修补或答疑期限：在递交投标文件截止日期前</w:t>
            </w:r>
            <w:r>
              <w:rPr>
                <w:rFonts w:hint="eastAsia" w:ascii="宋体" w:hAnsi="宋体" w:eastAsia="宋体"/>
                <w:color w:val="auto"/>
                <w:highlight w:val="none"/>
                <w:u w:val="single"/>
              </w:rPr>
              <w:t>15</w:t>
            </w:r>
            <w:r>
              <w:rPr>
                <w:rFonts w:hint="eastAsia" w:ascii="宋体" w:hAnsi="宋体" w:eastAsia="宋体"/>
                <w:color w:val="auto"/>
                <w:highlight w:val="none"/>
              </w:rPr>
              <w:t>日</w:t>
            </w:r>
          </w:p>
          <w:p w14:paraId="3CDE4518">
            <w:pPr>
              <w:rPr>
                <w:rFonts w:ascii="宋体" w:hAnsi="宋体" w:eastAsia="宋体"/>
                <w:color w:val="auto"/>
                <w:szCs w:val="21"/>
                <w:highlight w:val="none"/>
              </w:rPr>
            </w:pPr>
            <w:r>
              <w:rPr>
                <w:rFonts w:hint="eastAsia" w:ascii="宋体" w:hAnsi="宋体" w:eastAsia="宋体"/>
                <w:color w:val="auto"/>
                <w:highlight w:val="none"/>
              </w:rPr>
              <w:t>4.网上答疑的相关事项详见招标文件8.1款。</w:t>
            </w:r>
          </w:p>
        </w:tc>
      </w:tr>
      <w:tr w14:paraId="3B5B33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4BFE6900">
            <w:pPr>
              <w:rPr>
                <w:rFonts w:ascii="宋体" w:hAnsi="宋体" w:eastAsia="宋体"/>
                <w:color w:val="auto"/>
                <w:highlight w:val="none"/>
              </w:rPr>
            </w:pPr>
            <w:r>
              <w:rPr>
                <w:rFonts w:hint="eastAsia" w:ascii="宋体" w:hAnsi="宋体" w:eastAsia="宋体"/>
                <w:color w:val="auto"/>
                <w:highlight w:val="none"/>
              </w:rPr>
              <w:t>18</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4523E1C1">
            <w:pPr>
              <w:rPr>
                <w:rFonts w:ascii="宋体" w:hAnsi="宋体" w:eastAsia="宋体"/>
                <w:color w:val="auto"/>
                <w:highlight w:val="none"/>
              </w:rPr>
            </w:pPr>
            <w:r>
              <w:rPr>
                <w:rFonts w:hint="eastAsia" w:ascii="宋体" w:hAnsi="宋体" w:eastAsia="宋体"/>
                <w:color w:val="auto"/>
                <w:highlight w:val="none"/>
              </w:rPr>
              <w:t>11</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0BA88D8C">
            <w:pPr>
              <w:rPr>
                <w:rFonts w:ascii="宋体" w:hAnsi="宋体" w:eastAsia="宋体"/>
                <w:color w:val="auto"/>
                <w:highlight w:val="none"/>
              </w:rPr>
            </w:pPr>
            <w:r>
              <w:rPr>
                <w:rFonts w:hint="eastAsia" w:ascii="宋体" w:hAnsi="宋体" w:eastAsia="宋体"/>
                <w:color w:val="auto"/>
                <w:highlight w:val="none"/>
              </w:rPr>
              <w:t>投标文件的组成</w:t>
            </w:r>
          </w:p>
        </w:tc>
        <w:tc>
          <w:tcPr>
            <w:tcW w:w="7029" w:type="dxa"/>
            <w:tcBorders>
              <w:top w:val="single" w:color="auto" w:sz="4" w:space="0"/>
              <w:left w:val="single" w:color="auto" w:sz="4" w:space="0"/>
              <w:bottom w:val="single" w:color="auto" w:sz="4" w:space="0"/>
              <w:right w:val="double" w:color="auto" w:sz="4" w:space="0"/>
            </w:tcBorders>
            <w:noWrap w:val="0"/>
            <w:vAlign w:val="center"/>
          </w:tcPr>
          <w:p w14:paraId="42BB6B95">
            <w:pPr>
              <w:rPr>
                <w:rFonts w:ascii="宋体" w:hAnsi="宋体" w:eastAsia="宋体"/>
                <w:color w:val="auto"/>
                <w:highlight w:val="none"/>
              </w:rPr>
            </w:pPr>
            <w:r>
              <w:rPr>
                <w:rFonts w:hint="eastAsia" w:ascii="宋体" w:hAnsi="宋体" w:eastAsia="宋体"/>
                <w:color w:val="auto"/>
                <w:highlight w:val="none"/>
              </w:rPr>
              <w:t>投标文件由资格审查部分和技术经济部分两部分组成。</w:t>
            </w:r>
          </w:p>
        </w:tc>
      </w:tr>
      <w:tr w14:paraId="33146A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35AE965E">
            <w:pPr>
              <w:rPr>
                <w:rFonts w:ascii="宋体" w:hAnsi="宋体" w:eastAsia="宋体"/>
                <w:color w:val="auto"/>
                <w:highlight w:val="none"/>
              </w:rPr>
            </w:pPr>
            <w:r>
              <w:rPr>
                <w:rFonts w:hint="eastAsia" w:ascii="宋体" w:hAnsi="宋体" w:eastAsia="宋体"/>
                <w:color w:val="auto"/>
                <w:highlight w:val="none"/>
              </w:rPr>
              <w:t>19</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23942096">
            <w:pPr>
              <w:rPr>
                <w:rFonts w:ascii="宋体" w:hAnsi="宋体" w:eastAsia="宋体"/>
                <w:color w:val="auto"/>
                <w:highlight w:val="none"/>
              </w:rPr>
            </w:pPr>
            <w:r>
              <w:rPr>
                <w:rFonts w:hint="eastAsia" w:ascii="宋体" w:hAnsi="宋体" w:eastAsia="宋体"/>
                <w:color w:val="auto"/>
                <w:highlight w:val="none"/>
              </w:rPr>
              <w:t>17.1</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510F0847">
            <w:pPr>
              <w:rPr>
                <w:rFonts w:hint="eastAsia" w:ascii="宋体" w:hAnsi="宋体" w:eastAsia="宋体"/>
                <w:color w:val="auto"/>
                <w:highlight w:val="none"/>
              </w:rPr>
            </w:pPr>
            <w:r>
              <w:rPr>
                <w:rFonts w:hint="eastAsia" w:ascii="宋体" w:hAnsi="宋体" w:eastAsia="宋体"/>
                <w:color w:val="auto"/>
                <w:highlight w:val="none"/>
              </w:rPr>
              <w:t>投标文件编制要求</w:t>
            </w:r>
          </w:p>
        </w:tc>
        <w:tc>
          <w:tcPr>
            <w:tcW w:w="7029" w:type="dxa"/>
            <w:tcBorders>
              <w:top w:val="single" w:color="auto" w:sz="4" w:space="0"/>
              <w:left w:val="single" w:color="auto" w:sz="4" w:space="0"/>
              <w:bottom w:val="single" w:color="auto" w:sz="4" w:space="0"/>
              <w:right w:val="double" w:color="auto" w:sz="4" w:space="0"/>
            </w:tcBorders>
            <w:noWrap w:val="0"/>
            <w:vAlign w:val="center"/>
          </w:tcPr>
          <w:p w14:paraId="08F14934">
            <w:pPr>
              <w:rPr>
                <w:rFonts w:hint="eastAsia" w:ascii="宋体" w:hAnsi="宋体" w:eastAsia="宋体" w:cs="仿宋_GB2312"/>
                <w:color w:val="auto"/>
                <w:highlight w:val="none"/>
              </w:rPr>
            </w:pPr>
            <w:r>
              <w:rPr>
                <w:rFonts w:hint="eastAsia" w:ascii="宋体" w:hAnsi="宋体" w:eastAsia="宋体" w:cs="仿宋_GB2312"/>
                <w:color w:val="auto"/>
                <w:highlight w:val="none"/>
              </w:rPr>
              <w:t>投标文件为含电子签名及电子签章的加密电子投标文件</w:t>
            </w:r>
            <w:r>
              <w:rPr>
                <w:rFonts w:ascii="宋体" w:hAnsi="宋体" w:eastAsia="宋体" w:cs="仿宋_GB2312"/>
                <w:color w:val="auto"/>
                <w:highlight w:val="none"/>
              </w:rPr>
              <w:t>1</w:t>
            </w:r>
            <w:r>
              <w:rPr>
                <w:rFonts w:hint="eastAsia" w:ascii="宋体" w:hAnsi="宋体" w:eastAsia="宋体" w:cs="仿宋_GB2312"/>
                <w:color w:val="auto"/>
                <w:highlight w:val="none"/>
              </w:rPr>
              <w:t>套。</w:t>
            </w:r>
          </w:p>
          <w:p w14:paraId="5A53081D">
            <w:pPr>
              <w:rPr>
                <w:rFonts w:hint="eastAsia" w:ascii="宋体" w:hAnsi="宋体" w:eastAsia="宋体" w:cs="仿宋_GB2312"/>
                <w:color w:val="auto"/>
                <w:highlight w:val="none"/>
                <w:lang w:eastAsia="zh-CN"/>
              </w:rPr>
            </w:pPr>
            <w:r>
              <w:rPr>
                <w:rFonts w:hint="eastAsia" w:ascii="宋体" w:hAnsi="宋体" w:eastAsia="宋体" w:cs="仿宋_GB2312"/>
                <w:color w:val="auto"/>
                <w:highlight w:val="none"/>
              </w:rPr>
              <w:t>技术部分</w:t>
            </w:r>
            <w:r>
              <w:rPr>
                <w:rFonts w:hint="eastAsia" w:ascii="宋体" w:hAnsi="宋体" w:eastAsia="宋体" w:cs="仿宋_GB2312"/>
                <w:color w:val="auto"/>
                <w:highlight w:val="none"/>
                <w:lang w:eastAsia="zh-CN"/>
              </w:rPr>
              <w:t>（</w:t>
            </w:r>
            <w:r>
              <w:rPr>
                <w:rFonts w:hint="eastAsia" w:ascii="宋体" w:hAnsi="宋体" w:eastAsia="宋体" w:cs="仿宋_GB2312"/>
                <w:color w:val="auto"/>
                <w:highlight w:val="none"/>
              </w:rPr>
              <w:t>施工组织方案</w:t>
            </w:r>
            <w:r>
              <w:rPr>
                <w:rFonts w:hint="eastAsia" w:ascii="宋体" w:hAnsi="宋体" w:eastAsia="宋体" w:cs="仿宋_GB2312"/>
                <w:color w:val="auto"/>
                <w:highlight w:val="none"/>
                <w:lang w:eastAsia="zh-CN"/>
              </w:rPr>
              <w:t>）</w:t>
            </w:r>
            <w:r>
              <w:rPr>
                <w:rFonts w:hint="eastAsia" w:ascii="宋体" w:hAnsi="宋体" w:eastAsia="宋体" w:cs="仿宋_GB2312"/>
                <w:color w:val="auto"/>
                <w:highlight w:val="none"/>
              </w:rPr>
              <w:t>文件页数最多不超过</w:t>
            </w:r>
            <w:r>
              <w:rPr>
                <w:rFonts w:hint="eastAsia" w:ascii="宋体" w:hAnsi="宋体" w:eastAsia="宋体" w:cs="仿宋_GB2312"/>
                <w:color w:val="auto"/>
                <w:highlight w:val="none"/>
                <w:u w:val="single"/>
                <w:lang w:val="en-US" w:eastAsia="zh-CN"/>
              </w:rPr>
              <w:t>50</w:t>
            </w:r>
            <w:r>
              <w:rPr>
                <w:rFonts w:hint="eastAsia" w:ascii="宋体" w:hAnsi="宋体" w:eastAsia="宋体" w:cs="仿宋_GB2312"/>
                <w:color w:val="auto"/>
                <w:highlight w:val="none"/>
              </w:rPr>
              <w:t>页（</w:t>
            </w:r>
            <w:r>
              <w:rPr>
                <w:rFonts w:hint="eastAsia" w:ascii="宋体" w:hAnsi="宋体" w:eastAsia="宋体" w:cs="仿宋_GB2312"/>
                <w:color w:val="auto"/>
                <w:highlight w:val="none"/>
                <w:u w:val="single"/>
              </w:rPr>
              <w:t>50</w:t>
            </w:r>
            <w:r>
              <w:rPr>
                <w:rFonts w:hint="eastAsia" w:ascii="宋体" w:hAnsi="宋体" w:eastAsia="宋体" w:cs="仿宋_GB2312"/>
                <w:color w:val="auto"/>
                <w:highlight w:val="none"/>
              </w:rPr>
              <w:t>页，不包括封面及目录页）。</w:t>
            </w:r>
          </w:p>
        </w:tc>
      </w:tr>
      <w:tr w14:paraId="47ADB7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634E42AA">
            <w:pPr>
              <w:rPr>
                <w:rFonts w:ascii="宋体" w:hAnsi="宋体" w:eastAsia="宋体"/>
                <w:color w:val="auto"/>
                <w:highlight w:val="none"/>
              </w:rPr>
            </w:pPr>
            <w:r>
              <w:rPr>
                <w:rFonts w:hint="eastAsia" w:ascii="宋体" w:hAnsi="宋体" w:eastAsia="宋体"/>
                <w:color w:val="auto"/>
                <w:highlight w:val="none"/>
              </w:rPr>
              <w:t>20</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73C5181B">
            <w:pPr>
              <w:rPr>
                <w:rFonts w:ascii="宋体" w:hAnsi="宋体" w:eastAsia="宋体"/>
                <w:color w:val="auto"/>
                <w:highlight w:val="none"/>
              </w:rPr>
            </w:pPr>
            <w:r>
              <w:rPr>
                <w:rFonts w:hint="eastAsia" w:ascii="宋体" w:hAnsi="宋体" w:eastAsia="宋体"/>
                <w:color w:val="auto"/>
                <w:highlight w:val="none"/>
              </w:rPr>
              <w:t>19.1</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639D9013">
            <w:pPr>
              <w:rPr>
                <w:rFonts w:ascii="宋体" w:hAnsi="宋体" w:eastAsia="宋体"/>
                <w:color w:val="auto"/>
                <w:highlight w:val="none"/>
              </w:rPr>
            </w:pPr>
            <w:r>
              <w:rPr>
                <w:rFonts w:hint="eastAsia" w:ascii="宋体" w:hAnsi="宋体" w:eastAsia="宋体"/>
                <w:color w:val="auto"/>
                <w:highlight w:val="none"/>
              </w:rPr>
              <w:t>递交投标文件的时间和地点</w:t>
            </w:r>
          </w:p>
        </w:tc>
        <w:tc>
          <w:tcPr>
            <w:tcW w:w="7029" w:type="dxa"/>
            <w:tcBorders>
              <w:top w:val="single" w:color="auto" w:sz="4" w:space="0"/>
              <w:left w:val="single" w:color="auto" w:sz="4" w:space="0"/>
              <w:bottom w:val="single" w:color="auto" w:sz="4" w:space="0"/>
              <w:right w:val="double" w:color="auto" w:sz="4" w:space="0"/>
            </w:tcBorders>
            <w:noWrap w:val="0"/>
            <w:vAlign w:val="center"/>
          </w:tcPr>
          <w:p w14:paraId="08076DC2">
            <w:pPr>
              <w:rPr>
                <w:rFonts w:ascii="宋体" w:hAnsi="宋体" w:eastAsia="宋体"/>
                <w:color w:val="auto"/>
                <w:highlight w:val="none"/>
              </w:rPr>
            </w:pPr>
            <w:r>
              <w:rPr>
                <w:rFonts w:ascii="宋体" w:hAnsi="宋体" w:eastAsia="宋体" w:cs="仿宋_GB2312"/>
                <w:color w:val="auto"/>
                <w:highlight w:val="none"/>
              </w:rPr>
              <w:t>1.</w:t>
            </w:r>
            <w:r>
              <w:rPr>
                <w:rFonts w:hint="eastAsia" w:ascii="宋体" w:hAnsi="宋体" w:eastAsia="宋体" w:cs="仿宋_GB2312"/>
                <w:color w:val="auto"/>
                <w:highlight w:val="none"/>
              </w:rPr>
              <w:t>递交方式：网上递交投标文件。</w:t>
            </w:r>
          </w:p>
          <w:p w14:paraId="0908CD4F">
            <w:pPr>
              <w:rPr>
                <w:rFonts w:ascii="宋体" w:hAnsi="宋体" w:eastAsia="宋体"/>
                <w:color w:val="auto"/>
                <w:highlight w:val="none"/>
              </w:rPr>
            </w:pPr>
            <w:r>
              <w:rPr>
                <w:rFonts w:ascii="宋体" w:hAnsi="宋体" w:eastAsia="宋体" w:cs="仿宋_GB2312"/>
                <w:color w:val="auto"/>
                <w:highlight w:val="none"/>
              </w:rPr>
              <w:t>2.</w:t>
            </w:r>
            <w:r>
              <w:rPr>
                <w:rFonts w:hint="eastAsia" w:ascii="宋体" w:hAnsi="宋体" w:eastAsia="宋体" w:cs="仿宋_GB2312"/>
                <w:color w:val="auto"/>
                <w:highlight w:val="none"/>
              </w:rPr>
              <w:t>递交投标文件截止时间：</w:t>
            </w:r>
            <w:r>
              <w:rPr>
                <w:rFonts w:ascii="宋体" w:hAnsi="宋体" w:eastAsia="宋体" w:cs="仿宋_GB2312"/>
                <w:color w:val="auto"/>
                <w:highlight w:val="none"/>
                <w:u w:val="single"/>
              </w:rPr>
              <w:t xml:space="preserve">   </w:t>
            </w:r>
            <w:r>
              <w:rPr>
                <w:rFonts w:hint="eastAsia" w:ascii="宋体" w:hAnsi="宋体" w:eastAsia="宋体" w:cs="仿宋_GB2312"/>
                <w:color w:val="auto"/>
                <w:highlight w:val="none"/>
              </w:rPr>
              <w:t>年</w:t>
            </w:r>
            <w:r>
              <w:rPr>
                <w:rFonts w:ascii="宋体" w:hAnsi="宋体" w:eastAsia="宋体" w:cs="仿宋_GB2312"/>
                <w:color w:val="auto"/>
                <w:highlight w:val="none"/>
                <w:u w:val="single"/>
              </w:rPr>
              <w:t xml:space="preserve">  </w:t>
            </w:r>
            <w:r>
              <w:rPr>
                <w:rFonts w:hint="eastAsia" w:ascii="宋体" w:hAnsi="宋体" w:eastAsia="宋体" w:cs="仿宋_GB2312"/>
                <w:color w:val="auto"/>
                <w:highlight w:val="none"/>
              </w:rPr>
              <w:t>月</w:t>
            </w:r>
            <w:r>
              <w:rPr>
                <w:rFonts w:ascii="宋体" w:hAnsi="宋体" w:eastAsia="宋体" w:cs="仿宋_GB2312"/>
                <w:color w:val="auto"/>
                <w:highlight w:val="none"/>
                <w:u w:val="single"/>
              </w:rPr>
              <w:t xml:space="preserve">  </w:t>
            </w:r>
            <w:r>
              <w:rPr>
                <w:rFonts w:hint="eastAsia" w:ascii="宋体" w:hAnsi="宋体" w:eastAsia="宋体" w:cs="仿宋_GB2312"/>
                <w:color w:val="auto"/>
                <w:highlight w:val="none"/>
              </w:rPr>
              <w:t>日</w:t>
            </w:r>
            <w:r>
              <w:rPr>
                <w:rFonts w:ascii="宋体" w:hAnsi="宋体" w:eastAsia="宋体" w:cs="仿宋_GB2312"/>
                <w:color w:val="auto"/>
                <w:highlight w:val="none"/>
                <w:u w:val="single"/>
              </w:rPr>
              <w:t xml:space="preserve">   </w:t>
            </w:r>
            <w:r>
              <w:rPr>
                <w:rFonts w:hint="eastAsia" w:ascii="宋体" w:hAnsi="宋体" w:eastAsia="宋体" w:cs="仿宋_GB2312"/>
                <w:color w:val="auto"/>
                <w:highlight w:val="none"/>
              </w:rPr>
              <w:t>时</w:t>
            </w:r>
            <w:r>
              <w:rPr>
                <w:rFonts w:ascii="宋体" w:hAnsi="宋体" w:eastAsia="宋体" w:cs="仿宋_GB2312"/>
                <w:color w:val="auto"/>
                <w:highlight w:val="none"/>
                <w:u w:val="single"/>
              </w:rPr>
              <w:t xml:space="preserve">   </w:t>
            </w:r>
            <w:r>
              <w:rPr>
                <w:rFonts w:hint="eastAsia" w:ascii="宋体" w:hAnsi="宋体" w:eastAsia="宋体" w:cs="仿宋_GB2312"/>
                <w:color w:val="auto"/>
                <w:highlight w:val="none"/>
              </w:rPr>
              <w:t>分。</w:t>
            </w:r>
          </w:p>
          <w:p w14:paraId="615496AD">
            <w:pPr>
              <w:rPr>
                <w:rFonts w:ascii="宋体" w:hAnsi="宋体" w:eastAsia="宋体"/>
                <w:color w:val="auto"/>
                <w:highlight w:val="none"/>
              </w:rPr>
            </w:pPr>
            <w:r>
              <w:rPr>
                <w:rFonts w:ascii="宋体" w:hAnsi="宋体" w:eastAsia="宋体" w:cs="仿宋_GB2312"/>
                <w:color w:val="auto"/>
                <w:highlight w:val="none"/>
              </w:rPr>
              <w:t>2.</w:t>
            </w:r>
            <w:r>
              <w:rPr>
                <w:rFonts w:hint="eastAsia" w:ascii="宋体" w:hAnsi="宋体" w:eastAsia="宋体" w:cs="仿宋_GB2312"/>
                <w:color w:val="auto"/>
                <w:highlight w:val="none"/>
              </w:rPr>
              <w:t>地点：广州公共资源交易网站。</w:t>
            </w:r>
          </w:p>
          <w:p w14:paraId="10380C37">
            <w:pPr>
              <w:rPr>
                <w:rFonts w:ascii="宋体" w:hAnsi="宋体" w:eastAsia="宋体"/>
                <w:color w:val="auto"/>
                <w:highlight w:val="none"/>
                <w:u w:val="single"/>
              </w:rPr>
            </w:pPr>
            <w:r>
              <w:rPr>
                <w:rFonts w:ascii="宋体" w:hAnsi="宋体" w:eastAsia="宋体" w:cs="仿宋_GB2312"/>
                <w:color w:val="auto"/>
                <w:highlight w:val="none"/>
              </w:rPr>
              <w:t>3.</w:t>
            </w:r>
            <w:r>
              <w:rPr>
                <w:rFonts w:hint="eastAsia" w:ascii="宋体" w:hAnsi="宋体" w:eastAsia="宋体" w:cs="仿宋_GB2312"/>
                <w:color w:val="auto"/>
                <w:highlight w:val="none"/>
              </w:rPr>
              <w:t>上述时间及地点是否有改变，请密切留意招标答疑纪要的相关信息。</w:t>
            </w:r>
          </w:p>
        </w:tc>
      </w:tr>
      <w:tr w14:paraId="2D6ABF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5C443A02">
            <w:pPr>
              <w:rPr>
                <w:rFonts w:ascii="宋体" w:hAnsi="宋体" w:eastAsia="宋体"/>
                <w:color w:val="auto"/>
                <w:highlight w:val="none"/>
              </w:rPr>
            </w:pPr>
            <w:r>
              <w:rPr>
                <w:rFonts w:hint="eastAsia" w:ascii="宋体" w:hAnsi="宋体" w:eastAsia="宋体"/>
                <w:color w:val="auto"/>
                <w:highlight w:val="none"/>
              </w:rPr>
              <w:t>21</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624A2E8A">
            <w:pPr>
              <w:rPr>
                <w:rFonts w:ascii="宋体" w:hAnsi="宋体" w:eastAsia="宋体"/>
                <w:color w:val="auto"/>
                <w:highlight w:val="none"/>
              </w:rPr>
            </w:pPr>
            <w:r>
              <w:rPr>
                <w:rFonts w:hint="eastAsia" w:ascii="宋体" w:hAnsi="宋体" w:eastAsia="宋体"/>
                <w:color w:val="auto"/>
                <w:highlight w:val="none"/>
              </w:rPr>
              <w:t>24</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358E640A">
            <w:pPr>
              <w:rPr>
                <w:rFonts w:ascii="宋体" w:hAnsi="宋体" w:eastAsia="宋体"/>
                <w:color w:val="auto"/>
                <w:highlight w:val="none"/>
              </w:rPr>
            </w:pPr>
            <w:r>
              <w:rPr>
                <w:rFonts w:hint="eastAsia" w:ascii="宋体" w:hAnsi="宋体" w:eastAsia="宋体"/>
                <w:color w:val="auto"/>
                <w:highlight w:val="none"/>
              </w:rPr>
              <w:t>开标时间和地点</w:t>
            </w:r>
          </w:p>
        </w:tc>
        <w:tc>
          <w:tcPr>
            <w:tcW w:w="7029" w:type="dxa"/>
            <w:tcBorders>
              <w:top w:val="single" w:color="auto" w:sz="4" w:space="0"/>
              <w:left w:val="single" w:color="auto" w:sz="4" w:space="0"/>
              <w:bottom w:val="single" w:color="auto" w:sz="4" w:space="0"/>
              <w:right w:val="double" w:color="auto" w:sz="4" w:space="0"/>
            </w:tcBorders>
            <w:noWrap w:val="0"/>
            <w:vAlign w:val="center"/>
          </w:tcPr>
          <w:p w14:paraId="1B99188D">
            <w:pPr>
              <w:rPr>
                <w:rFonts w:ascii="宋体" w:hAnsi="宋体" w:eastAsia="宋体"/>
                <w:color w:val="auto"/>
                <w:highlight w:val="none"/>
              </w:rPr>
            </w:pPr>
            <w:r>
              <w:rPr>
                <w:rFonts w:hint="eastAsia" w:ascii="宋体" w:hAnsi="宋体" w:eastAsia="宋体"/>
                <w:color w:val="auto"/>
                <w:highlight w:val="none"/>
              </w:rPr>
              <w:t>1.开标时间：</w:t>
            </w:r>
            <w:r>
              <w:rPr>
                <w:rFonts w:hint="eastAsia" w:ascii="宋体" w:hAnsi="宋体" w:eastAsia="宋体"/>
                <w:color w:val="auto"/>
                <w:highlight w:val="none"/>
                <w:u w:val="single"/>
              </w:rPr>
              <w:t xml:space="preserve">  </w:t>
            </w:r>
            <w:r>
              <w:rPr>
                <w:rFonts w:hint="eastAsia" w:ascii="宋体" w:hAnsi="宋体" w:eastAsia="宋体"/>
                <w:color w:val="auto"/>
                <w:highlight w:val="none"/>
              </w:rPr>
              <w:t>年</w:t>
            </w:r>
            <w:r>
              <w:rPr>
                <w:rFonts w:hint="eastAsia" w:ascii="宋体" w:hAnsi="宋体" w:eastAsia="宋体"/>
                <w:color w:val="auto"/>
                <w:highlight w:val="none"/>
                <w:u w:val="single"/>
              </w:rPr>
              <w:t xml:space="preserve">  </w:t>
            </w:r>
            <w:r>
              <w:rPr>
                <w:rFonts w:hint="eastAsia" w:ascii="宋体" w:hAnsi="宋体" w:eastAsia="宋体"/>
                <w:color w:val="auto"/>
                <w:highlight w:val="none"/>
              </w:rPr>
              <w:t>月</w:t>
            </w:r>
            <w:r>
              <w:rPr>
                <w:rFonts w:hint="eastAsia" w:ascii="宋体" w:hAnsi="宋体" w:eastAsia="宋体"/>
                <w:color w:val="auto"/>
                <w:highlight w:val="none"/>
                <w:u w:val="single"/>
              </w:rPr>
              <w:t xml:space="preserve">  </w:t>
            </w:r>
            <w:r>
              <w:rPr>
                <w:rFonts w:hint="eastAsia" w:ascii="宋体" w:hAnsi="宋体" w:eastAsia="宋体"/>
                <w:color w:val="auto"/>
                <w:highlight w:val="none"/>
              </w:rPr>
              <w:t>日</w:t>
            </w:r>
            <w:r>
              <w:rPr>
                <w:rFonts w:hint="eastAsia" w:ascii="宋体" w:hAnsi="宋体" w:eastAsia="宋体"/>
                <w:color w:val="auto"/>
                <w:highlight w:val="none"/>
                <w:u w:val="single"/>
              </w:rPr>
              <w:t xml:space="preserve">   </w:t>
            </w:r>
            <w:r>
              <w:rPr>
                <w:rFonts w:hint="eastAsia" w:ascii="宋体" w:hAnsi="宋体" w:eastAsia="宋体"/>
                <w:color w:val="auto"/>
                <w:highlight w:val="none"/>
              </w:rPr>
              <w:t>时</w:t>
            </w:r>
            <w:r>
              <w:rPr>
                <w:rFonts w:hint="eastAsia" w:ascii="宋体" w:hAnsi="宋体" w:eastAsia="宋体"/>
                <w:color w:val="auto"/>
                <w:highlight w:val="none"/>
                <w:u w:val="single"/>
              </w:rPr>
              <w:t xml:space="preserve">  </w:t>
            </w:r>
            <w:r>
              <w:rPr>
                <w:rFonts w:hint="eastAsia" w:ascii="宋体" w:hAnsi="宋体" w:eastAsia="宋体"/>
                <w:color w:val="auto"/>
                <w:highlight w:val="none"/>
              </w:rPr>
              <w:t>分。</w:t>
            </w:r>
          </w:p>
          <w:p w14:paraId="1C518C90">
            <w:pPr>
              <w:rPr>
                <w:rFonts w:ascii="宋体" w:hAnsi="宋体" w:eastAsia="宋体"/>
                <w:color w:val="auto"/>
                <w:highlight w:val="none"/>
              </w:rPr>
            </w:pPr>
            <w:r>
              <w:rPr>
                <w:rFonts w:hint="eastAsia" w:ascii="宋体" w:hAnsi="宋体" w:eastAsia="宋体"/>
                <w:color w:val="auto"/>
                <w:highlight w:val="none"/>
              </w:rPr>
              <w:t>2.地点：</w:t>
            </w:r>
            <w:r>
              <w:rPr>
                <w:rFonts w:hint="eastAsia" w:ascii="宋体" w:hAnsi="宋体" w:eastAsia="宋体"/>
                <w:color w:val="auto"/>
                <w:highlight w:val="none"/>
                <w:u w:val="single"/>
              </w:rPr>
              <w:t>广州公共资源交易中心从化交易部</w:t>
            </w:r>
            <w:r>
              <w:rPr>
                <w:rFonts w:hint="eastAsia" w:ascii="宋体" w:hAnsi="宋体" w:eastAsia="宋体"/>
                <w:color w:val="auto"/>
                <w:highlight w:val="none"/>
                <w:u w:val="single"/>
                <w:lang w:val="en-US" w:eastAsia="zh-CN"/>
              </w:rPr>
              <w:t xml:space="preserve">   </w:t>
            </w:r>
            <w:r>
              <w:rPr>
                <w:rFonts w:hint="eastAsia" w:ascii="宋体" w:hAnsi="宋体" w:eastAsia="宋体"/>
                <w:color w:val="auto"/>
                <w:highlight w:val="none"/>
                <w:u w:val="single"/>
              </w:rPr>
              <w:t>开标室</w:t>
            </w:r>
            <w:r>
              <w:rPr>
                <w:rFonts w:hint="eastAsia" w:ascii="宋体" w:hAnsi="宋体" w:eastAsia="宋体"/>
                <w:color w:val="auto"/>
                <w:highlight w:val="none"/>
              </w:rPr>
              <w:t>。</w:t>
            </w:r>
          </w:p>
          <w:p w14:paraId="3652852F">
            <w:pPr>
              <w:rPr>
                <w:rFonts w:hint="eastAsia" w:ascii="宋体" w:hAnsi="宋体" w:eastAsia="宋体"/>
                <w:color w:val="auto"/>
                <w:highlight w:val="none"/>
              </w:rPr>
            </w:pPr>
            <w:r>
              <w:rPr>
                <w:rFonts w:hint="eastAsia" w:ascii="宋体" w:hAnsi="宋体" w:eastAsia="宋体"/>
                <w:color w:val="auto"/>
                <w:highlight w:val="none"/>
              </w:rPr>
              <w:t>3.递交投标文件截止时间与开标时间应为同一时间。</w:t>
            </w:r>
          </w:p>
          <w:p w14:paraId="31785663">
            <w:pPr>
              <w:rPr>
                <w:rFonts w:ascii="宋体" w:hAnsi="宋体" w:eastAsia="宋体"/>
                <w:color w:val="auto"/>
                <w:highlight w:val="none"/>
              </w:rPr>
            </w:pPr>
            <w:r>
              <w:rPr>
                <w:rFonts w:hint="eastAsia" w:ascii="宋体" w:hAnsi="宋体" w:eastAsia="宋体"/>
                <w:color w:val="auto"/>
                <w:highlight w:val="none"/>
              </w:rPr>
              <w:t>4.上述时间及地点是否有改变，请密切留意招标答疑纪要的相关信息。</w:t>
            </w:r>
          </w:p>
        </w:tc>
      </w:tr>
      <w:tr w14:paraId="147B01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6932C1C8">
            <w:pPr>
              <w:rPr>
                <w:rFonts w:ascii="宋体" w:hAnsi="宋体" w:eastAsia="宋体"/>
                <w:color w:val="auto"/>
                <w:highlight w:val="none"/>
              </w:rPr>
            </w:pPr>
            <w:r>
              <w:rPr>
                <w:rFonts w:hint="eastAsia" w:ascii="宋体" w:hAnsi="宋体" w:eastAsia="宋体"/>
                <w:color w:val="auto"/>
                <w:highlight w:val="none"/>
              </w:rPr>
              <w:t>22</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25F73921">
            <w:pPr>
              <w:rPr>
                <w:rFonts w:ascii="宋体" w:hAnsi="宋体" w:eastAsia="宋体"/>
                <w:color w:val="auto"/>
                <w:highlight w:val="none"/>
              </w:rPr>
            </w:pPr>
          </w:p>
        </w:tc>
        <w:tc>
          <w:tcPr>
            <w:tcW w:w="1341" w:type="dxa"/>
            <w:tcBorders>
              <w:top w:val="single" w:color="auto" w:sz="4" w:space="0"/>
              <w:left w:val="single" w:color="auto" w:sz="4" w:space="0"/>
              <w:bottom w:val="single" w:color="auto" w:sz="4" w:space="0"/>
              <w:right w:val="single" w:color="auto" w:sz="4" w:space="0"/>
            </w:tcBorders>
            <w:noWrap w:val="0"/>
            <w:vAlign w:val="center"/>
          </w:tcPr>
          <w:p w14:paraId="6BD0C1C3">
            <w:pPr>
              <w:rPr>
                <w:rFonts w:ascii="宋体" w:hAnsi="宋体" w:eastAsia="宋体"/>
                <w:color w:val="auto"/>
                <w:highlight w:val="none"/>
              </w:rPr>
            </w:pPr>
            <w:r>
              <w:rPr>
                <w:rFonts w:hint="eastAsia" w:ascii="宋体" w:hAnsi="宋体" w:eastAsia="宋体"/>
                <w:color w:val="auto"/>
                <w:highlight w:val="none"/>
              </w:rPr>
              <w:t>评标办法</w:t>
            </w:r>
          </w:p>
        </w:tc>
        <w:tc>
          <w:tcPr>
            <w:tcW w:w="7029" w:type="dxa"/>
            <w:tcBorders>
              <w:top w:val="single" w:color="auto" w:sz="4" w:space="0"/>
              <w:left w:val="single" w:color="auto" w:sz="4" w:space="0"/>
              <w:bottom w:val="single" w:color="auto" w:sz="4" w:space="0"/>
              <w:right w:val="double" w:color="auto" w:sz="4" w:space="0"/>
            </w:tcBorders>
            <w:noWrap w:val="0"/>
            <w:vAlign w:val="center"/>
          </w:tcPr>
          <w:p w14:paraId="710C7FB5">
            <w:pPr>
              <w:pStyle w:val="5"/>
              <w:spacing w:after="0"/>
              <w:ind w:firstLine="0"/>
              <w:rPr>
                <w:rFonts w:hint="eastAsia" w:ascii="宋体" w:hAnsi="宋体" w:eastAsia="宋体"/>
                <w:color w:val="auto"/>
                <w:highlight w:val="none"/>
              </w:rPr>
            </w:pPr>
            <w:r>
              <w:rPr>
                <w:rFonts w:hint="eastAsia" w:ascii="宋体" w:hAnsi="宋体" w:eastAsia="宋体"/>
                <w:color w:val="auto"/>
                <w:highlight w:val="none"/>
              </w:rPr>
              <w:sym w:font="Wingdings 2" w:char="0052"/>
            </w:r>
            <w:r>
              <w:rPr>
                <w:rFonts w:hint="eastAsia" w:ascii="宋体" w:hAnsi="宋体" w:eastAsia="宋体"/>
                <w:color w:val="auto"/>
                <w:highlight w:val="none"/>
              </w:rPr>
              <w:t xml:space="preserve">可选办法一 </w:t>
            </w:r>
            <w:r>
              <w:rPr>
                <w:rFonts w:hint="eastAsia" w:ascii="宋体" w:eastAsia="宋体"/>
                <w:color w:val="auto"/>
                <w:highlight w:val="none"/>
              </w:rPr>
              <w:t>综合评分法</w:t>
            </w:r>
          </w:p>
          <w:p w14:paraId="6FF8BAEC">
            <w:pPr>
              <w:pStyle w:val="5"/>
              <w:spacing w:after="0"/>
              <w:ind w:firstLine="0"/>
              <w:rPr>
                <w:rFonts w:ascii="宋体" w:hAnsi="宋体" w:eastAsia="宋体"/>
                <w:color w:val="auto"/>
                <w:sz w:val="24"/>
                <w:szCs w:val="24"/>
                <w:highlight w:val="none"/>
                <w:u w:val="single"/>
              </w:rPr>
            </w:pPr>
            <w:r>
              <w:rPr>
                <w:rFonts w:hint="eastAsia" w:ascii="宋体" w:hAnsi="宋体" w:eastAsia="宋体"/>
                <w:color w:val="auto"/>
                <w:highlight w:val="none"/>
              </w:rPr>
              <w:sym w:font="Wingdings 2" w:char="00A3"/>
            </w:r>
            <w:r>
              <w:rPr>
                <w:rFonts w:hint="eastAsia" w:ascii="宋体" w:hAnsi="宋体" w:eastAsia="宋体"/>
                <w:color w:val="auto"/>
                <w:highlight w:val="none"/>
              </w:rPr>
              <w:t>可选办法二</w:t>
            </w:r>
            <w:r>
              <w:rPr>
                <w:rFonts w:hint="eastAsia" w:ascii="宋体" w:eastAsia="宋体"/>
                <w:color w:val="auto"/>
                <w:highlight w:val="none"/>
              </w:rPr>
              <w:t xml:space="preserve"> 经评审的最低投标价法或者法律法规规定的其他评标方法</w:t>
            </w:r>
          </w:p>
        </w:tc>
      </w:tr>
      <w:tr w14:paraId="52F6A9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3D83B6CE">
            <w:pPr>
              <w:rPr>
                <w:rFonts w:ascii="宋体" w:hAnsi="宋体" w:eastAsia="宋体"/>
                <w:color w:val="auto"/>
                <w:highlight w:val="none"/>
              </w:rPr>
            </w:pPr>
            <w:r>
              <w:rPr>
                <w:rFonts w:hint="eastAsia" w:ascii="宋体" w:hAnsi="宋体" w:eastAsia="宋体"/>
                <w:color w:val="auto"/>
                <w:highlight w:val="none"/>
              </w:rPr>
              <w:t>23</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3DE7BEE0">
            <w:pPr>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41</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49364DE2">
            <w:pPr>
              <w:rPr>
                <w:rFonts w:hint="eastAsia" w:ascii="宋体" w:hAnsi="宋体" w:eastAsia="宋体"/>
                <w:color w:val="auto"/>
                <w:szCs w:val="22"/>
                <w:highlight w:val="none"/>
              </w:rPr>
            </w:pPr>
            <w:r>
              <w:rPr>
                <w:rFonts w:hint="eastAsia" w:ascii="宋体" w:hAnsi="宋体" w:eastAsia="宋体"/>
                <w:color w:val="auto"/>
                <w:szCs w:val="22"/>
                <w:highlight w:val="none"/>
              </w:rPr>
              <w:t>评标委员会推荐中标候选人的人数</w:t>
            </w:r>
          </w:p>
        </w:tc>
        <w:tc>
          <w:tcPr>
            <w:tcW w:w="7029" w:type="dxa"/>
            <w:tcBorders>
              <w:top w:val="single" w:color="auto" w:sz="4" w:space="0"/>
              <w:left w:val="single" w:color="auto" w:sz="4" w:space="0"/>
              <w:bottom w:val="single" w:color="auto" w:sz="4" w:space="0"/>
              <w:right w:val="double" w:color="auto" w:sz="4" w:space="0"/>
            </w:tcBorders>
            <w:noWrap w:val="0"/>
            <w:vAlign w:val="center"/>
          </w:tcPr>
          <w:p w14:paraId="51A6FDAC">
            <w:pPr>
              <w:rPr>
                <w:rFonts w:hint="eastAsia" w:ascii="宋体" w:hAnsi="宋体" w:eastAsia="宋体"/>
                <w:color w:val="auto"/>
                <w:szCs w:val="22"/>
                <w:highlight w:val="none"/>
              </w:rPr>
            </w:pPr>
            <w:r>
              <w:rPr>
                <w:rFonts w:hint="eastAsia" w:ascii="宋体" w:hAnsi="宋体" w:eastAsia="宋体"/>
                <w:color w:val="auto"/>
                <w:szCs w:val="22"/>
                <w:highlight w:val="none"/>
                <w:lang w:eastAsia="zh-CN"/>
              </w:rPr>
              <w:t>☑</w:t>
            </w:r>
            <w:r>
              <w:rPr>
                <w:rFonts w:hint="eastAsia" w:ascii="宋体" w:hAnsi="宋体" w:eastAsia="宋体"/>
                <w:color w:val="auto"/>
                <w:szCs w:val="22"/>
                <w:highlight w:val="none"/>
              </w:rPr>
              <w:t>不采用评定分离，中标候选人</w:t>
            </w:r>
            <w:r>
              <w:rPr>
                <w:rFonts w:hint="eastAsia" w:ascii="宋体" w:hAnsi="宋体" w:eastAsia="宋体"/>
                <w:color w:val="auto"/>
                <w:szCs w:val="22"/>
                <w:highlight w:val="none"/>
                <w:u w:val="single"/>
                <w:lang w:val="en-US" w:eastAsia="zh-CN"/>
              </w:rPr>
              <w:t>3</w:t>
            </w:r>
            <w:r>
              <w:rPr>
                <w:rFonts w:hint="eastAsia" w:ascii="宋体" w:hAnsi="宋体" w:eastAsia="宋体"/>
                <w:color w:val="auto"/>
                <w:szCs w:val="22"/>
                <w:highlight w:val="none"/>
              </w:rPr>
              <w:t>名（不超过3名）</w:t>
            </w:r>
          </w:p>
          <w:p w14:paraId="7C89ACE6">
            <w:pPr>
              <w:rPr>
                <w:rFonts w:hint="eastAsia" w:ascii="宋体" w:hAnsi="宋体" w:eastAsia="宋体"/>
                <w:color w:val="auto"/>
                <w:szCs w:val="22"/>
                <w:highlight w:val="none"/>
              </w:rPr>
            </w:pPr>
            <w:r>
              <w:rPr>
                <w:rFonts w:hint="eastAsia" w:ascii="宋体" w:hAnsi="宋体" w:eastAsia="宋体"/>
                <w:color w:val="auto"/>
                <w:szCs w:val="22"/>
                <w:highlight w:val="none"/>
              </w:rPr>
              <w:t>□采用评定分离，中标候选人</w:t>
            </w:r>
            <w:r>
              <w:rPr>
                <w:rFonts w:hint="eastAsia" w:ascii="宋体" w:hAnsi="宋体" w:eastAsia="宋体"/>
                <w:color w:val="auto"/>
                <w:szCs w:val="22"/>
                <w:highlight w:val="none"/>
                <w:u w:val="single"/>
              </w:rPr>
              <w:t xml:space="preserve">   </w:t>
            </w:r>
            <w:r>
              <w:rPr>
                <w:rFonts w:hint="eastAsia" w:ascii="宋体" w:hAnsi="宋体" w:eastAsia="宋体"/>
                <w:color w:val="auto"/>
                <w:szCs w:val="22"/>
                <w:highlight w:val="none"/>
              </w:rPr>
              <w:t>名（建议3-5名）</w:t>
            </w:r>
          </w:p>
        </w:tc>
      </w:tr>
      <w:tr w14:paraId="7B7B17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19BAEC50">
            <w:pPr>
              <w:rPr>
                <w:rFonts w:ascii="宋体" w:hAnsi="宋体" w:eastAsia="宋体"/>
                <w:color w:val="auto"/>
                <w:highlight w:val="none"/>
              </w:rPr>
            </w:pPr>
            <w:r>
              <w:rPr>
                <w:rFonts w:hint="eastAsia" w:ascii="宋体" w:hAnsi="宋体" w:eastAsia="宋体"/>
                <w:color w:val="auto"/>
                <w:highlight w:val="none"/>
              </w:rPr>
              <w:t>24</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7E77D7E8">
            <w:pPr>
              <w:rPr>
                <w:rFonts w:ascii="宋体" w:hAnsi="宋体" w:eastAsia="宋体"/>
                <w:color w:val="auto"/>
                <w:highlight w:val="none"/>
              </w:rPr>
            </w:pPr>
          </w:p>
        </w:tc>
        <w:tc>
          <w:tcPr>
            <w:tcW w:w="1341" w:type="dxa"/>
            <w:tcBorders>
              <w:top w:val="single" w:color="auto" w:sz="4" w:space="0"/>
              <w:left w:val="single" w:color="auto" w:sz="4" w:space="0"/>
              <w:bottom w:val="single" w:color="auto" w:sz="4" w:space="0"/>
              <w:right w:val="single" w:color="auto" w:sz="4" w:space="0"/>
            </w:tcBorders>
            <w:noWrap w:val="0"/>
            <w:vAlign w:val="center"/>
          </w:tcPr>
          <w:p w14:paraId="1159E9F0">
            <w:pPr>
              <w:rPr>
                <w:rFonts w:ascii="宋体" w:hAnsi="宋体" w:eastAsia="宋体"/>
                <w:color w:val="auto"/>
                <w:szCs w:val="21"/>
                <w:highlight w:val="none"/>
                <w:vertAlign w:val="superscript"/>
              </w:rPr>
            </w:pPr>
            <w:r>
              <w:rPr>
                <w:rFonts w:hint="eastAsia" w:ascii="宋体" w:hAnsi="宋体" w:eastAsia="宋体"/>
                <w:color w:val="auto"/>
                <w:highlight w:val="none"/>
              </w:rPr>
              <w:t>最高投标限价</w:t>
            </w:r>
          </w:p>
        </w:tc>
        <w:tc>
          <w:tcPr>
            <w:tcW w:w="7029" w:type="dxa"/>
            <w:tcBorders>
              <w:top w:val="single" w:color="auto" w:sz="4" w:space="0"/>
              <w:left w:val="single" w:color="auto" w:sz="4" w:space="0"/>
              <w:bottom w:val="single" w:color="auto" w:sz="4" w:space="0"/>
              <w:right w:val="double" w:color="auto" w:sz="4" w:space="0"/>
            </w:tcBorders>
            <w:noWrap w:val="0"/>
            <w:vAlign w:val="center"/>
          </w:tcPr>
          <w:p w14:paraId="67444E92">
            <w:pPr>
              <w:rPr>
                <w:rFonts w:ascii="宋体" w:hAnsi="宋体" w:eastAsia="宋体"/>
                <w:color w:val="auto"/>
                <w:szCs w:val="21"/>
                <w:highlight w:val="none"/>
              </w:rPr>
            </w:pPr>
            <w:r>
              <w:rPr>
                <w:rFonts w:hint="eastAsia" w:ascii="宋体" w:hAnsi="宋体" w:eastAsia="宋体"/>
                <w:color w:val="auto"/>
                <w:szCs w:val="21"/>
                <w:highlight w:val="none"/>
              </w:rPr>
              <w:t>本项目最高投标限价为人民币</w:t>
            </w:r>
            <w:r>
              <w:rPr>
                <w:rFonts w:hint="eastAsia" w:ascii="宋体" w:hAnsi="宋体" w:eastAsia="宋体"/>
                <w:b w:val="0"/>
                <w:bCs w:val="0"/>
                <w:color w:val="auto"/>
                <w:sz w:val="24"/>
                <w:szCs w:val="24"/>
                <w:highlight w:val="none"/>
                <w:u w:val="single"/>
              </w:rPr>
              <w:t>1869.798475</w:t>
            </w:r>
            <w:r>
              <w:rPr>
                <w:rFonts w:hint="eastAsia" w:ascii="宋体" w:hAnsi="宋体" w:eastAsia="宋体" w:cs="Times New Roman"/>
                <w:color w:val="auto"/>
                <w:sz w:val="21"/>
                <w:szCs w:val="21"/>
                <w:highlight w:val="none"/>
                <w:u w:val="none"/>
                <w:lang w:eastAsia="zh-CN"/>
              </w:rPr>
              <w:t>万元</w:t>
            </w:r>
            <w:r>
              <w:rPr>
                <w:rFonts w:hint="eastAsia" w:ascii="宋体" w:hAnsi="宋体" w:eastAsia="宋体" w:cs="Times New Roman"/>
                <w:color w:val="auto"/>
                <w:szCs w:val="21"/>
                <w:highlight w:val="none"/>
              </w:rPr>
              <w:t>。</w:t>
            </w:r>
          </w:p>
        </w:tc>
      </w:tr>
      <w:tr w14:paraId="0D7DE7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04EF27F9">
            <w:pPr>
              <w:rPr>
                <w:rFonts w:ascii="宋体" w:hAnsi="宋体" w:eastAsia="宋体"/>
                <w:color w:val="auto"/>
                <w:highlight w:val="none"/>
              </w:rPr>
            </w:pPr>
            <w:r>
              <w:rPr>
                <w:rFonts w:hint="eastAsia" w:ascii="宋体" w:hAnsi="宋体" w:eastAsia="宋体"/>
                <w:color w:val="auto"/>
                <w:highlight w:val="none"/>
              </w:rPr>
              <w:t>25</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70792BCA">
            <w:pPr>
              <w:rPr>
                <w:rFonts w:ascii="宋体" w:hAnsi="宋体" w:eastAsia="宋体"/>
                <w:color w:val="auto"/>
                <w:highlight w:val="none"/>
              </w:rPr>
            </w:pPr>
          </w:p>
        </w:tc>
        <w:tc>
          <w:tcPr>
            <w:tcW w:w="1341" w:type="dxa"/>
            <w:tcBorders>
              <w:top w:val="single" w:color="auto" w:sz="4" w:space="0"/>
              <w:left w:val="single" w:color="auto" w:sz="4" w:space="0"/>
              <w:bottom w:val="single" w:color="auto" w:sz="4" w:space="0"/>
              <w:right w:val="single" w:color="auto" w:sz="4" w:space="0"/>
            </w:tcBorders>
            <w:noWrap w:val="0"/>
            <w:vAlign w:val="center"/>
          </w:tcPr>
          <w:p w14:paraId="07D750E9">
            <w:pPr>
              <w:rPr>
                <w:rFonts w:hint="eastAsia" w:ascii="宋体" w:hAnsi="宋体" w:eastAsia="宋体"/>
                <w:color w:val="auto"/>
                <w:highlight w:val="none"/>
              </w:rPr>
            </w:pPr>
            <w:r>
              <w:rPr>
                <w:rFonts w:hint="eastAsia" w:ascii="宋体" w:hAnsi="宋体" w:eastAsia="宋体"/>
                <w:color w:val="auto"/>
                <w:highlight w:val="none"/>
              </w:rPr>
              <w:t>成本警示价（如有）</w:t>
            </w:r>
          </w:p>
        </w:tc>
        <w:tc>
          <w:tcPr>
            <w:tcW w:w="7029" w:type="dxa"/>
            <w:tcBorders>
              <w:top w:val="single" w:color="auto" w:sz="4" w:space="0"/>
              <w:left w:val="single" w:color="auto" w:sz="4" w:space="0"/>
              <w:bottom w:val="single" w:color="auto" w:sz="4" w:space="0"/>
              <w:right w:val="double" w:color="auto" w:sz="4" w:space="0"/>
            </w:tcBorders>
            <w:noWrap w:val="0"/>
            <w:vAlign w:val="center"/>
          </w:tcPr>
          <w:p w14:paraId="133B8E63">
            <w:pPr>
              <w:rPr>
                <w:rFonts w:hint="eastAsia" w:ascii="宋体" w:hAnsi="宋体" w:eastAsia="宋体"/>
                <w:color w:val="auto"/>
                <w:szCs w:val="21"/>
                <w:highlight w:val="none"/>
              </w:rPr>
            </w:pPr>
            <w:r>
              <w:rPr>
                <w:rFonts w:hint="eastAsia" w:ascii="宋体" w:hAnsi="宋体" w:eastAsia="宋体"/>
                <w:color w:val="auto"/>
                <w:szCs w:val="21"/>
                <w:highlight w:val="none"/>
              </w:rPr>
              <w:t>本项目成本警示价为人民币</w:t>
            </w:r>
            <w:r>
              <w:rPr>
                <w:rFonts w:hint="eastAsia" w:ascii="宋体" w:hAnsi="宋体" w:eastAsia="宋体"/>
                <w:color w:val="auto"/>
                <w:sz w:val="24"/>
                <w:szCs w:val="24"/>
                <w:highlight w:val="none"/>
                <w:u w:val="single"/>
                <w:lang w:eastAsia="zh-CN"/>
              </w:rPr>
              <w:t>1589.328704</w:t>
            </w:r>
            <w:r>
              <w:rPr>
                <w:rFonts w:hint="eastAsia" w:ascii="宋体" w:hAnsi="宋体" w:eastAsia="宋体"/>
                <w:color w:val="auto"/>
                <w:szCs w:val="21"/>
                <w:highlight w:val="none"/>
              </w:rPr>
              <w:t>万元。对低于该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7B19FDEF">
            <w:pPr>
              <w:rPr>
                <w:rFonts w:hint="eastAsia" w:ascii="宋体" w:hAnsi="宋体" w:eastAsia="宋体"/>
                <w:color w:val="auto"/>
                <w:szCs w:val="21"/>
                <w:highlight w:val="none"/>
              </w:rPr>
            </w:pPr>
            <w:r>
              <w:rPr>
                <w:rFonts w:hint="eastAsia" w:ascii="宋体" w:hAnsi="宋体" w:eastAsia="宋体"/>
                <w:color w:val="auto"/>
                <w:szCs w:val="21"/>
                <w:highlight w:val="none"/>
              </w:rPr>
              <w:t>注：为充分体现招标人意愿及落实项目业主负责制，成本警示价由招标人决定。成本警示价应经注册造价工程师审核。</w:t>
            </w:r>
          </w:p>
        </w:tc>
      </w:tr>
      <w:tr w14:paraId="50E78F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7C637614">
            <w:pPr>
              <w:rPr>
                <w:rFonts w:ascii="宋体" w:hAnsi="宋体" w:eastAsia="宋体"/>
                <w:color w:val="auto"/>
                <w:highlight w:val="none"/>
              </w:rPr>
            </w:pPr>
            <w:r>
              <w:rPr>
                <w:rFonts w:hint="eastAsia" w:ascii="宋体" w:hAnsi="宋体" w:eastAsia="宋体"/>
                <w:color w:val="auto"/>
                <w:highlight w:val="none"/>
              </w:rPr>
              <w:t>26</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3EB969B3">
            <w:pPr>
              <w:rPr>
                <w:rFonts w:ascii="宋体" w:hAnsi="宋体" w:eastAsia="宋体"/>
                <w:color w:val="auto"/>
                <w:highlight w:val="none"/>
              </w:rPr>
            </w:pPr>
          </w:p>
        </w:tc>
        <w:tc>
          <w:tcPr>
            <w:tcW w:w="1341" w:type="dxa"/>
            <w:tcBorders>
              <w:top w:val="single" w:color="auto" w:sz="4" w:space="0"/>
              <w:left w:val="single" w:color="auto" w:sz="4" w:space="0"/>
              <w:bottom w:val="single" w:color="auto" w:sz="4" w:space="0"/>
              <w:right w:val="single" w:color="auto" w:sz="4" w:space="0"/>
            </w:tcBorders>
            <w:noWrap w:val="0"/>
            <w:vAlign w:val="center"/>
          </w:tcPr>
          <w:p w14:paraId="009453C9">
            <w:pPr>
              <w:rPr>
                <w:rFonts w:hint="eastAsia" w:ascii="宋体" w:hAnsi="宋体" w:eastAsia="宋体"/>
                <w:color w:val="auto"/>
                <w:highlight w:val="none"/>
              </w:rPr>
            </w:pPr>
            <w:r>
              <w:rPr>
                <w:rFonts w:hint="eastAsia" w:ascii="宋体" w:hAnsi="宋体" w:eastAsia="宋体"/>
                <w:color w:val="auto"/>
                <w:highlight w:val="none"/>
              </w:rPr>
              <w:t>非竞争报价</w:t>
            </w:r>
          </w:p>
        </w:tc>
        <w:tc>
          <w:tcPr>
            <w:tcW w:w="7029" w:type="dxa"/>
            <w:tcBorders>
              <w:top w:val="single" w:color="auto" w:sz="4" w:space="0"/>
              <w:left w:val="single" w:color="auto" w:sz="4" w:space="0"/>
              <w:bottom w:val="single" w:color="auto" w:sz="4" w:space="0"/>
              <w:right w:val="double" w:color="auto" w:sz="4" w:space="0"/>
            </w:tcBorders>
            <w:noWrap w:val="0"/>
            <w:vAlign w:val="center"/>
          </w:tcPr>
          <w:p w14:paraId="4BF00FD9">
            <w:pPr>
              <w:rPr>
                <w:rFonts w:hint="eastAsia" w:ascii="宋体" w:hAnsi="宋体" w:eastAsia="宋体"/>
                <w:color w:val="auto"/>
                <w:szCs w:val="21"/>
                <w:highlight w:val="none"/>
              </w:rPr>
            </w:pPr>
            <w:r>
              <w:rPr>
                <w:rFonts w:hint="eastAsia" w:ascii="宋体" w:hAnsi="宋体" w:eastAsia="宋体"/>
                <w:color w:val="auto"/>
                <w:szCs w:val="21"/>
                <w:highlight w:val="none"/>
              </w:rPr>
              <w:t>本项目绿色施工安全防护措施费为</w:t>
            </w:r>
            <w:r>
              <w:rPr>
                <w:rFonts w:hint="eastAsia" w:ascii="宋体" w:hAnsi="宋体" w:eastAsia="宋体"/>
                <w:color w:val="auto"/>
                <w:szCs w:val="21"/>
                <w:highlight w:val="none"/>
                <w:u w:val="single"/>
              </w:rPr>
              <w:t>804240.67</w:t>
            </w:r>
            <w:r>
              <w:rPr>
                <w:rFonts w:hint="eastAsia" w:ascii="宋体" w:hAnsi="宋体" w:eastAsia="宋体"/>
                <w:color w:val="auto"/>
                <w:szCs w:val="21"/>
                <w:highlight w:val="none"/>
              </w:rPr>
              <w:t>元（未按招标文件规定的金额填写的，其投标文件将被评标委员会否决）。</w:t>
            </w:r>
          </w:p>
          <w:p w14:paraId="6AB422CA">
            <w:pPr>
              <w:rPr>
                <w:rFonts w:hint="eastAsia" w:ascii="宋体" w:hAnsi="宋体" w:eastAsia="宋体"/>
                <w:color w:val="auto"/>
                <w:szCs w:val="21"/>
                <w:highlight w:val="none"/>
              </w:rPr>
            </w:pPr>
            <w:r>
              <w:rPr>
                <w:rFonts w:hint="eastAsia" w:ascii="宋体" w:hAnsi="宋体" w:eastAsia="宋体"/>
                <w:color w:val="auto"/>
                <w:szCs w:val="21"/>
                <w:highlight w:val="none"/>
              </w:rPr>
              <w:t>本项目暂列金额为</w:t>
            </w:r>
            <w:r>
              <w:rPr>
                <w:rFonts w:hint="eastAsia" w:ascii="宋体" w:hAnsi="宋体" w:eastAsia="宋体"/>
                <w:color w:val="auto"/>
                <w:szCs w:val="21"/>
                <w:highlight w:val="none"/>
                <w:u w:val="single"/>
                <w:lang w:val="en-US" w:eastAsia="zh-CN"/>
              </w:rPr>
              <w:t>0</w:t>
            </w:r>
            <w:r>
              <w:rPr>
                <w:rFonts w:hint="eastAsia" w:ascii="宋体" w:hAnsi="宋体" w:eastAsia="宋体"/>
                <w:color w:val="auto"/>
                <w:szCs w:val="21"/>
                <w:highlight w:val="none"/>
              </w:rPr>
              <w:t>元，暂估价为</w:t>
            </w:r>
            <w:r>
              <w:rPr>
                <w:rFonts w:hint="eastAsia" w:ascii="宋体" w:hAnsi="宋体" w:eastAsia="宋体"/>
                <w:color w:val="auto"/>
                <w:szCs w:val="21"/>
                <w:highlight w:val="none"/>
                <w:u w:val="single"/>
                <w:lang w:val="en-US" w:eastAsia="zh-CN"/>
              </w:rPr>
              <w:t>0</w:t>
            </w:r>
            <w:r>
              <w:rPr>
                <w:rFonts w:hint="eastAsia" w:ascii="宋体" w:hAnsi="宋体" w:eastAsia="宋体"/>
                <w:color w:val="auto"/>
                <w:szCs w:val="21"/>
                <w:highlight w:val="none"/>
              </w:rPr>
              <w:t>元。（未按招标文件规定的金额填写的，由评标委员会按照招标文件规定的金额进行修正）。</w:t>
            </w:r>
          </w:p>
        </w:tc>
      </w:tr>
      <w:tr w14:paraId="3446BD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7294531F">
            <w:pPr>
              <w:rPr>
                <w:rFonts w:ascii="宋体" w:hAnsi="宋体" w:eastAsia="宋体"/>
                <w:color w:val="auto"/>
                <w:highlight w:val="none"/>
              </w:rPr>
            </w:pPr>
            <w:r>
              <w:rPr>
                <w:rFonts w:hint="eastAsia" w:ascii="宋体" w:hAnsi="宋体" w:eastAsia="宋体"/>
                <w:color w:val="auto"/>
                <w:highlight w:val="none"/>
              </w:rPr>
              <w:t>27</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7C22E66A">
            <w:pPr>
              <w:rPr>
                <w:rFonts w:hint="eastAsia" w:ascii="宋体" w:hAnsi="宋体" w:eastAsia="宋体"/>
                <w:color w:val="auto"/>
                <w:highlight w:val="none"/>
              </w:rPr>
            </w:pPr>
            <w:r>
              <w:rPr>
                <w:rFonts w:hint="eastAsia" w:ascii="宋体" w:hAnsi="宋体" w:eastAsia="宋体"/>
                <w:color w:val="auto"/>
                <w:highlight w:val="none"/>
              </w:rPr>
              <w:t>32</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31192E9A">
            <w:pPr>
              <w:rPr>
                <w:rFonts w:ascii="宋体" w:hAnsi="宋体" w:eastAsia="宋体"/>
                <w:color w:val="auto"/>
                <w:highlight w:val="none"/>
              </w:rPr>
            </w:pPr>
            <w:r>
              <w:rPr>
                <w:rFonts w:hint="eastAsia" w:ascii="宋体" w:hAnsi="宋体" w:eastAsia="宋体"/>
                <w:color w:val="auto"/>
                <w:highlight w:val="none"/>
              </w:rPr>
              <w:t>履约担保</w:t>
            </w:r>
          </w:p>
        </w:tc>
        <w:tc>
          <w:tcPr>
            <w:tcW w:w="7029" w:type="dxa"/>
            <w:tcBorders>
              <w:top w:val="single" w:color="auto" w:sz="4" w:space="0"/>
              <w:left w:val="single" w:color="auto" w:sz="4" w:space="0"/>
              <w:bottom w:val="single" w:color="auto" w:sz="4" w:space="0"/>
              <w:right w:val="double" w:color="auto" w:sz="4" w:space="0"/>
            </w:tcBorders>
            <w:noWrap w:val="0"/>
            <w:vAlign w:val="center"/>
          </w:tcPr>
          <w:p w14:paraId="01044700">
            <w:pPr>
              <w:ind w:left="840" w:hanging="840" w:hangingChars="400"/>
              <w:jc w:val="left"/>
              <w:rPr>
                <w:rFonts w:hint="eastAsia" w:ascii="宋体" w:hAnsi="宋体" w:eastAsia="宋体"/>
                <w:color w:val="auto"/>
                <w:highlight w:val="none"/>
              </w:rPr>
            </w:pPr>
            <w:r>
              <w:rPr>
                <w:rFonts w:ascii="宋体" w:hAnsi="宋体" w:eastAsia="宋体"/>
                <w:color w:val="auto"/>
                <w:highlight w:val="none"/>
              </w:rPr>
              <w:sym w:font="Wingdings 2" w:char="0052"/>
            </w:r>
            <w:r>
              <w:rPr>
                <w:rFonts w:hint="eastAsia" w:ascii="宋体" w:hAnsi="宋体" w:eastAsia="宋体"/>
                <w:color w:val="auto"/>
                <w:highlight w:val="none"/>
              </w:rPr>
              <w:t>要求。履约担保金额：</w:t>
            </w:r>
            <w:r>
              <w:rPr>
                <w:rFonts w:hint="eastAsia" w:ascii="宋体" w:hAnsi="宋体" w:eastAsia="宋体"/>
                <w:color w:val="auto"/>
                <w:highlight w:val="none"/>
                <w:u w:val="single"/>
              </w:rPr>
              <w:t>合同价的</w:t>
            </w:r>
            <w:r>
              <w:rPr>
                <w:rFonts w:hint="eastAsia" w:ascii="宋体" w:hAnsi="宋体" w:eastAsia="宋体"/>
                <w:color w:val="auto"/>
                <w:highlight w:val="none"/>
                <w:u w:val="single"/>
                <w:lang w:val="en-US" w:eastAsia="zh-CN"/>
              </w:rPr>
              <w:t>10</w:t>
            </w:r>
            <w:r>
              <w:rPr>
                <w:rFonts w:hint="eastAsia" w:ascii="宋体" w:hAnsi="宋体" w:eastAsia="宋体"/>
                <w:color w:val="auto"/>
                <w:highlight w:val="none"/>
                <w:u w:val="single"/>
              </w:rPr>
              <w:t>%</w:t>
            </w:r>
            <w:r>
              <w:rPr>
                <w:rFonts w:hint="eastAsia" w:ascii="宋体" w:hAnsi="宋体" w:eastAsia="宋体"/>
                <w:color w:val="auto"/>
                <w:highlight w:val="none"/>
              </w:rPr>
              <w:t>。履约担保形式：可采用</w:t>
            </w:r>
            <w:r>
              <w:rPr>
                <w:rFonts w:hint="eastAsia" w:ascii="宋体" w:hAnsi="宋体" w:eastAsia="宋体"/>
                <w:color w:val="auto"/>
                <w:highlight w:val="none"/>
                <w:u w:val="single"/>
              </w:rPr>
              <w:t>银行或担保公司保函、转账、现金、支票、汇票、履约保证保险</w:t>
            </w:r>
            <w:r>
              <w:rPr>
                <w:rFonts w:hint="eastAsia" w:ascii="宋体" w:hAnsi="宋体" w:eastAsia="宋体"/>
                <w:color w:val="auto"/>
                <w:highlight w:val="none"/>
              </w:rPr>
              <w:t>等形式（招标人不得限定只能以现金形式提交）。</w:t>
            </w:r>
          </w:p>
          <w:p w14:paraId="1DCAC6DC">
            <w:pPr>
              <w:ind w:left="840" w:hanging="840" w:hangingChars="400"/>
              <w:jc w:val="left"/>
              <w:rPr>
                <w:rFonts w:ascii="宋体" w:hAnsi="宋体" w:eastAsia="宋体"/>
                <w:color w:val="auto"/>
                <w:highlight w:val="none"/>
              </w:rPr>
            </w:pPr>
            <w:r>
              <w:rPr>
                <w:rFonts w:ascii="宋体" w:hAnsi="宋体" w:eastAsia="宋体"/>
                <w:color w:val="auto"/>
                <w:highlight w:val="none"/>
              </w:rPr>
              <w:sym w:font="Wingdings 2" w:char="00A3"/>
            </w:r>
            <w:r>
              <w:rPr>
                <w:rFonts w:hint="eastAsia" w:ascii="宋体" w:hAnsi="宋体" w:eastAsia="宋体"/>
                <w:color w:val="auto"/>
                <w:highlight w:val="none"/>
              </w:rPr>
              <w:t>不要求。</w:t>
            </w:r>
          </w:p>
        </w:tc>
      </w:tr>
      <w:tr w14:paraId="70D518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652604EC">
            <w:pPr>
              <w:rPr>
                <w:rFonts w:ascii="宋体" w:hAnsi="宋体" w:eastAsia="宋体"/>
                <w:color w:val="auto"/>
                <w:highlight w:val="none"/>
              </w:rPr>
            </w:pPr>
            <w:r>
              <w:rPr>
                <w:rFonts w:hint="eastAsia" w:ascii="宋体" w:hAnsi="宋体" w:eastAsia="宋体"/>
                <w:color w:val="auto"/>
                <w:highlight w:val="none"/>
              </w:rPr>
              <w:t>28</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6A20CB32">
            <w:pPr>
              <w:rPr>
                <w:rFonts w:ascii="宋体" w:hAnsi="宋体" w:eastAsia="宋体"/>
                <w:color w:val="auto"/>
                <w:highlight w:val="none"/>
              </w:rPr>
            </w:pPr>
          </w:p>
        </w:tc>
        <w:tc>
          <w:tcPr>
            <w:tcW w:w="1341" w:type="dxa"/>
            <w:tcBorders>
              <w:top w:val="single" w:color="auto" w:sz="4" w:space="0"/>
              <w:left w:val="single" w:color="auto" w:sz="4" w:space="0"/>
              <w:bottom w:val="single" w:color="auto" w:sz="4" w:space="0"/>
              <w:right w:val="single" w:color="auto" w:sz="4" w:space="0"/>
            </w:tcBorders>
            <w:noWrap w:val="0"/>
            <w:vAlign w:val="center"/>
          </w:tcPr>
          <w:p w14:paraId="67AD73E2">
            <w:pPr>
              <w:pStyle w:val="5"/>
              <w:spacing w:after="0"/>
              <w:ind w:firstLine="0"/>
              <w:rPr>
                <w:rFonts w:ascii="宋体" w:hAnsi="宋体" w:eastAsia="宋体"/>
                <w:color w:val="auto"/>
                <w:highlight w:val="none"/>
              </w:rPr>
            </w:pPr>
            <w:r>
              <w:rPr>
                <w:rFonts w:hint="eastAsia" w:ascii="宋体" w:hAnsi="宋体" w:eastAsia="宋体"/>
                <w:color w:val="auto"/>
                <w:highlight w:val="none"/>
              </w:rPr>
              <w:t>保修期</w:t>
            </w:r>
          </w:p>
        </w:tc>
        <w:tc>
          <w:tcPr>
            <w:tcW w:w="7029" w:type="dxa"/>
            <w:tcBorders>
              <w:top w:val="single" w:color="auto" w:sz="4" w:space="0"/>
              <w:left w:val="single" w:color="auto" w:sz="4" w:space="0"/>
              <w:bottom w:val="single" w:color="auto" w:sz="4" w:space="0"/>
              <w:right w:val="double" w:color="auto" w:sz="4" w:space="0"/>
            </w:tcBorders>
            <w:noWrap w:val="0"/>
            <w:vAlign w:val="center"/>
          </w:tcPr>
          <w:p w14:paraId="352BFBE2">
            <w:pPr>
              <w:rPr>
                <w:rFonts w:ascii="宋体" w:hAnsi="宋体" w:eastAsia="宋体"/>
                <w:color w:val="auto"/>
                <w:highlight w:val="none"/>
              </w:rPr>
            </w:pPr>
            <w:r>
              <w:rPr>
                <w:rFonts w:hint="eastAsia" w:ascii="宋体" w:hAnsi="宋体" w:eastAsia="宋体"/>
                <w:color w:val="auto"/>
                <w:highlight w:val="none"/>
              </w:rPr>
              <w:t>按照《建设工程质量管理条例》规定。</w:t>
            </w:r>
          </w:p>
        </w:tc>
      </w:tr>
      <w:tr w14:paraId="4EC664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710633E4">
            <w:pPr>
              <w:rPr>
                <w:rFonts w:hint="eastAsia" w:ascii="宋体" w:hAnsi="宋体" w:eastAsia="宋体"/>
                <w:color w:val="auto"/>
                <w:highlight w:val="none"/>
              </w:rPr>
            </w:pPr>
            <w:r>
              <w:rPr>
                <w:rFonts w:hint="eastAsia" w:ascii="宋体" w:hAnsi="宋体" w:eastAsia="宋体"/>
                <w:color w:val="auto"/>
                <w:highlight w:val="none"/>
                <w:lang w:val="en-US" w:eastAsia="zh-CN"/>
              </w:rPr>
              <w:t>29</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4D7BAD3F">
            <w:pPr>
              <w:rPr>
                <w:rFonts w:hint="eastAsia" w:ascii="宋体" w:hAnsi="宋体" w:eastAsia="宋体"/>
                <w:color w:val="auto"/>
                <w:highlight w:val="none"/>
                <w:lang w:val="en-US" w:eastAsia="zh-CN"/>
              </w:rPr>
            </w:pPr>
            <w:r>
              <w:rPr>
                <w:rFonts w:hint="eastAsia" w:ascii="宋体" w:hAnsi="宋体" w:eastAsia="宋体"/>
                <w:color w:val="auto"/>
                <w:highlight w:val="none"/>
              </w:rPr>
              <w:t>39.1</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71F49DCE">
            <w:pPr>
              <w:jc w:val="center"/>
              <w:rPr>
                <w:rFonts w:hint="eastAsia" w:ascii="宋体" w:hAnsi="宋体" w:eastAsia="宋体"/>
                <w:color w:val="auto"/>
                <w:highlight w:val="none"/>
              </w:rPr>
            </w:pPr>
            <w:r>
              <w:rPr>
                <w:rFonts w:hint="eastAsia" w:ascii="宋体" w:hAnsi="宋体" w:eastAsia="宋体"/>
                <w:color w:val="auto"/>
                <w:highlight w:val="none"/>
              </w:rPr>
              <w:t>评标委员会的组建</w:t>
            </w:r>
          </w:p>
        </w:tc>
        <w:tc>
          <w:tcPr>
            <w:tcW w:w="7029" w:type="dxa"/>
            <w:tcBorders>
              <w:top w:val="single" w:color="auto" w:sz="4" w:space="0"/>
              <w:left w:val="single" w:color="auto" w:sz="4" w:space="0"/>
              <w:bottom w:val="single" w:color="auto" w:sz="4" w:space="0"/>
              <w:right w:val="double" w:color="auto" w:sz="4" w:space="0"/>
            </w:tcBorders>
            <w:noWrap w:val="0"/>
            <w:vAlign w:val="center"/>
          </w:tcPr>
          <w:p w14:paraId="09662FEB">
            <w:pPr>
              <w:ind w:left="1050" w:leftChars="0" w:hanging="1050" w:hangingChars="500"/>
              <w:rPr>
                <w:rFonts w:hint="eastAsia" w:ascii="宋体" w:hAnsi="宋体" w:eastAsia="宋体"/>
                <w:color w:val="auto"/>
                <w:highlight w:val="none"/>
              </w:rPr>
            </w:pPr>
            <w:r>
              <w:rPr>
                <w:rFonts w:hint="eastAsia" w:ascii="宋体" w:hAnsi="宋体" w:eastAsia="宋体"/>
                <w:color w:val="auto"/>
                <w:highlight w:val="none"/>
              </w:rPr>
              <w:t>评标委员会</w:t>
            </w:r>
            <w:r>
              <w:rPr>
                <w:rFonts w:hint="eastAsia" w:ascii="宋体" w:hAnsi="宋体" w:eastAsia="宋体"/>
                <w:color w:val="auto"/>
                <w:highlight w:val="none"/>
                <w:lang w:eastAsia="zh-CN"/>
              </w:rPr>
              <w:t>由招标人依法组建。</w:t>
            </w:r>
            <w:r>
              <w:rPr>
                <w:rFonts w:hint="eastAsia" w:ascii="宋体" w:hAnsi="宋体" w:eastAsia="宋体"/>
                <w:color w:val="auto"/>
                <w:highlight w:val="none"/>
              </w:rPr>
              <w:t>评标专家从政府评标专家库随机抽取。</w:t>
            </w:r>
          </w:p>
        </w:tc>
      </w:tr>
      <w:tr w14:paraId="08C80F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5D2BF56F">
            <w:pPr>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30</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0DC743C7">
            <w:pPr>
              <w:rPr>
                <w:rFonts w:hint="default" w:ascii="宋体" w:hAnsi="宋体" w:eastAsia="宋体"/>
                <w:color w:val="auto"/>
                <w:highlight w:val="none"/>
                <w:lang w:val="en-US" w:eastAsia="zh-CN"/>
              </w:rPr>
            </w:pPr>
            <w:r>
              <w:rPr>
                <w:rFonts w:hint="eastAsia" w:ascii="宋体" w:hAnsi="宋体" w:eastAsia="宋体"/>
                <w:strike w:val="0"/>
                <w:dstrike w:val="0"/>
                <w:color w:val="auto"/>
                <w:highlight w:val="none"/>
                <w:lang w:val="en-US" w:eastAsia="zh-CN"/>
              </w:rPr>
              <w:t>46.6</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71DE4F89">
            <w:pPr>
              <w:rPr>
                <w:rFonts w:hint="eastAsia" w:ascii="宋体" w:hAnsi="宋体" w:eastAsia="宋体" w:cs="宋体"/>
                <w:color w:val="auto"/>
                <w:highlight w:val="none"/>
              </w:rPr>
            </w:pPr>
            <w:r>
              <w:rPr>
                <w:rFonts w:hint="eastAsia" w:ascii="宋体" w:hAnsi="宋体" w:eastAsia="宋体" w:cs="宋体"/>
                <w:strike w:val="0"/>
                <w:color w:val="auto"/>
                <w:highlight w:val="none"/>
              </w:rPr>
              <w:t>评标参考价的下浮率</w:t>
            </w:r>
          </w:p>
        </w:tc>
        <w:tc>
          <w:tcPr>
            <w:tcW w:w="7029" w:type="dxa"/>
            <w:tcBorders>
              <w:top w:val="single" w:color="auto" w:sz="4" w:space="0"/>
              <w:left w:val="single" w:color="auto" w:sz="4" w:space="0"/>
              <w:bottom w:val="single" w:color="auto" w:sz="4" w:space="0"/>
              <w:right w:val="double" w:color="auto" w:sz="4" w:space="0"/>
            </w:tcBorders>
            <w:noWrap w:val="0"/>
            <w:vAlign w:val="center"/>
          </w:tcPr>
          <w:p w14:paraId="1BB62C18">
            <w:pPr>
              <w:rPr>
                <w:rFonts w:hint="eastAsia" w:ascii="宋体" w:hAnsi="宋体" w:eastAsia="宋体" w:cs="宋体"/>
                <w:color w:val="auto"/>
                <w:highlight w:val="none"/>
              </w:rPr>
            </w:pPr>
            <w:r>
              <w:rPr>
                <w:rFonts w:hint="eastAsia" w:ascii="宋体" w:hAnsi="宋体" w:eastAsia="宋体" w:cs="宋体"/>
                <w:strike w:val="0"/>
                <w:color w:val="auto"/>
                <w:szCs w:val="21"/>
                <w:highlight w:val="none"/>
              </w:rPr>
              <w:t>计算评标参考价的下浮率X从0.5%、1%、1.5%、2%、2.5%、3%、3.5%中随机抽取。</w:t>
            </w:r>
          </w:p>
        </w:tc>
      </w:tr>
      <w:tr w14:paraId="6CBB3B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672F1250">
            <w:pPr>
              <w:rPr>
                <w:rFonts w:hint="eastAsia" w:ascii="宋体" w:hAnsi="宋体" w:eastAsia="宋体"/>
                <w:color w:val="auto"/>
                <w:highlight w:val="none"/>
              </w:rPr>
            </w:pPr>
            <w:r>
              <w:rPr>
                <w:rFonts w:hint="eastAsia" w:ascii="宋体" w:hAnsi="宋体" w:eastAsia="宋体"/>
                <w:color w:val="auto"/>
                <w:highlight w:val="none"/>
              </w:rPr>
              <w:t>3</w:t>
            </w:r>
            <w:r>
              <w:rPr>
                <w:rFonts w:hint="eastAsia" w:ascii="宋体" w:hAnsi="宋体" w:eastAsia="宋体"/>
                <w:color w:val="auto"/>
                <w:highlight w:val="none"/>
                <w:lang w:val="en-US" w:eastAsia="zh-CN"/>
              </w:rPr>
              <w:t>1</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2D70D12C">
            <w:pP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46.3、46.5</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5352A29F">
            <w:pPr>
              <w:jc w:val="left"/>
              <w:rPr>
                <w:rFonts w:hint="eastAsia" w:ascii="宋体" w:hAnsi="宋体" w:eastAsia="宋体"/>
                <w:color w:val="auto"/>
                <w:szCs w:val="21"/>
                <w:highlight w:val="none"/>
              </w:rPr>
            </w:pPr>
            <w:r>
              <w:rPr>
                <w:rFonts w:hint="eastAsia" w:ascii="宋体" w:hAnsi="宋体" w:eastAsia="宋体"/>
                <w:color w:val="auto"/>
                <w:szCs w:val="22"/>
                <w:highlight w:val="none"/>
              </w:rPr>
              <w:t>技术部分</w:t>
            </w:r>
            <w:r>
              <w:rPr>
                <w:rFonts w:hint="eastAsia" w:ascii="宋体" w:hAnsi="宋体" w:eastAsia="宋体"/>
                <w:color w:val="auto"/>
                <w:szCs w:val="22"/>
                <w:highlight w:val="none"/>
                <w:lang w:eastAsia="zh-CN"/>
              </w:rPr>
              <w:t>（</w:t>
            </w:r>
            <w:r>
              <w:rPr>
                <w:rFonts w:hint="eastAsia" w:ascii="宋体" w:hAnsi="宋体" w:eastAsia="宋体"/>
                <w:color w:val="auto"/>
                <w:szCs w:val="22"/>
                <w:highlight w:val="none"/>
              </w:rPr>
              <w:t>施工组织方案</w:t>
            </w:r>
            <w:r>
              <w:rPr>
                <w:rFonts w:hint="eastAsia" w:ascii="宋体" w:hAnsi="宋体" w:eastAsia="宋体"/>
                <w:color w:val="auto"/>
                <w:szCs w:val="22"/>
                <w:highlight w:val="none"/>
                <w:lang w:eastAsia="zh-CN"/>
              </w:rPr>
              <w:t>）</w:t>
            </w:r>
            <w:r>
              <w:rPr>
                <w:rFonts w:hint="eastAsia" w:ascii="宋体" w:hAnsi="宋体" w:eastAsia="宋体"/>
                <w:color w:val="auto"/>
                <w:szCs w:val="22"/>
                <w:highlight w:val="none"/>
              </w:rPr>
              <w:t>、技术部分</w:t>
            </w:r>
            <w:r>
              <w:rPr>
                <w:rFonts w:hint="eastAsia" w:ascii="宋体" w:hAnsi="宋体" w:eastAsia="宋体"/>
                <w:color w:val="auto"/>
                <w:szCs w:val="22"/>
                <w:highlight w:val="none"/>
                <w:lang w:eastAsia="zh-CN"/>
              </w:rPr>
              <w:t>（</w:t>
            </w:r>
            <w:r>
              <w:rPr>
                <w:rFonts w:hint="eastAsia" w:ascii="宋体" w:hAnsi="宋体" w:eastAsia="宋体"/>
                <w:color w:val="auto"/>
                <w:szCs w:val="22"/>
                <w:highlight w:val="none"/>
              </w:rPr>
              <w:t>项目实施能力</w:t>
            </w:r>
            <w:r>
              <w:rPr>
                <w:rFonts w:hint="eastAsia" w:ascii="宋体" w:hAnsi="宋体" w:eastAsia="宋体"/>
                <w:color w:val="auto"/>
                <w:szCs w:val="22"/>
                <w:highlight w:val="none"/>
                <w:lang w:eastAsia="zh-CN"/>
              </w:rPr>
              <w:t>）</w:t>
            </w:r>
            <w:r>
              <w:rPr>
                <w:rFonts w:hint="eastAsia" w:ascii="宋体" w:hAnsi="宋体" w:eastAsia="宋体"/>
                <w:color w:val="auto"/>
                <w:szCs w:val="22"/>
                <w:highlight w:val="none"/>
              </w:rPr>
              <w:t>评分汇总方式</w:t>
            </w:r>
          </w:p>
        </w:tc>
        <w:tc>
          <w:tcPr>
            <w:tcW w:w="7029" w:type="dxa"/>
            <w:tcBorders>
              <w:top w:val="single" w:color="auto" w:sz="4" w:space="0"/>
              <w:left w:val="single" w:color="auto" w:sz="4" w:space="0"/>
              <w:bottom w:val="single" w:color="auto" w:sz="4" w:space="0"/>
              <w:right w:val="double" w:color="auto" w:sz="4" w:space="0"/>
            </w:tcBorders>
            <w:noWrap w:val="0"/>
            <w:vAlign w:val="center"/>
          </w:tcPr>
          <w:p w14:paraId="12807758">
            <w:pPr>
              <w:ind w:left="840" w:hanging="840" w:hangingChars="4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sym w:font="Wingdings 2" w:char="0052"/>
            </w:r>
            <w:r>
              <w:rPr>
                <w:rFonts w:hint="eastAsia" w:ascii="宋体" w:hAnsi="宋体" w:eastAsia="宋体" w:cs="宋体"/>
                <w:color w:val="auto"/>
                <w:kern w:val="0"/>
                <w:szCs w:val="21"/>
                <w:highlight w:val="none"/>
              </w:rPr>
              <w:t>方式一：所有评委的分数汇总后去掉一个最高分和一个最低分，剩余分数的算术平均值为投标人的技术部分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施工组织方案</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、技术部分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项目实施能力</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最终得分。</w:t>
            </w:r>
          </w:p>
          <w:p w14:paraId="20AF43C9">
            <w:pPr>
              <w:ind w:left="840" w:leftChars="0" w:hanging="840" w:hangingChars="4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sym w:font="Wingdings 2" w:char="00A3"/>
            </w:r>
            <w:r>
              <w:rPr>
                <w:rFonts w:hint="eastAsia" w:ascii="宋体" w:hAnsi="宋体" w:eastAsia="宋体" w:cs="宋体"/>
                <w:color w:val="auto"/>
                <w:kern w:val="0"/>
                <w:szCs w:val="21"/>
                <w:highlight w:val="none"/>
              </w:rPr>
              <w:t>方式二：所有评委的分数汇总后的算术平均值为投标人的技术部分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施工组织方案</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、技术部分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项目实施能力</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最终得分。</w:t>
            </w:r>
          </w:p>
        </w:tc>
      </w:tr>
      <w:tr w14:paraId="40AEF1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0502CDC1">
            <w:pPr>
              <w:rPr>
                <w:rFonts w:hint="eastAsia" w:ascii="宋体" w:hAnsi="宋体" w:eastAsia="宋体"/>
                <w:color w:val="auto"/>
                <w:highlight w:val="none"/>
                <w:lang w:eastAsia="zh-CN"/>
              </w:rPr>
            </w:pPr>
            <w:r>
              <w:rPr>
                <w:rFonts w:hint="eastAsia" w:ascii="宋体" w:hAnsi="宋体" w:eastAsia="宋体"/>
                <w:color w:val="auto"/>
                <w:highlight w:val="none"/>
              </w:rPr>
              <w:t>3</w:t>
            </w:r>
            <w:r>
              <w:rPr>
                <w:rFonts w:hint="eastAsia" w:ascii="宋体" w:hAnsi="宋体" w:eastAsia="宋体"/>
                <w:color w:val="auto"/>
                <w:highlight w:val="none"/>
                <w:lang w:val="en-US" w:eastAsia="zh-CN"/>
              </w:rPr>
              <w:t>2</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3C755D2B">
            <w:pPr>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46.7</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5A44307B">
            <w:pPr>
              <w:jc w:val="center"/>
              <w:rPr>
                <w:rFonts w:hint="eastAsia" w:ascii="宋体" w:hAnsi="宋体" w:eastAsia="宋体"/>
                <w:color w:val="auto"/>
                <w:szCs w:val="21"/>
                <w:highlight w:val="none"/>
              </w:rPr>
            </w:pPr>
            <w:r>
              <w:rPr>
                <w:rFonts w:hint="eastAsia" w:ascii="宋体" w:hAnsi="宋体" w:eastAsia="宋体"/>
                <w:color w:val="auto"/>
                <w:szCs w:val="21"/>
                <w:highlight w:val="none"/>
              </w:rPr>
              <w:t>分值权重</w:t>
            </w:r>
          </w:p>
        </w:tc>
        <w:tc>
          <w:tcPr>
            <w:tcW w:w="7029" w:type="dxa"/>
            <w:tcBorders>
              <w:top w:val="single" w:color="auto" w:sz="4" w:space="0"/>
              <w:left w:val="single" w:color="auto" w:sz="4" w:space="0"/>
              <w:bottom w:val="single" w:color="auto" w:sz="4" w:space="0"/>
              <w:right w:val="double" w:color="auto" w:sz="4" w:space="0"/>
            </w:tcBorders>
            <w:noWrap w:val="0"/>
            <w:vAlign w:val="center"/>
          </w:tcPr>
          <w:p w14:paraId="327D758A">
            <w:pP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综合评分法：</w:t>
            </w:r>
          </w:p>
          <w:p w14:paraId="27DFBD90">
            <w:pP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rPr>
              <w:t>方式一：技术部分（施工组织方案）得分权重</w:t>
            </w:r>
            <w:r>
              <w:rPr>
                <w:rFonts w:hint="eastAsia" w:ascii="宋体" w:hAnsi="宋体" w:eastAsia="宋体" w:cs="宋体"/>
                <w:b w:val="0"/>
                <w:bCs w:val="0"/>
                <w:color w:val="auto"/>
                <w:kern w:val="0"/>
                <w:szCs w:val="21"/>
                <w:highlight w:val="none"/>
                <w:u w:val="single"/>
              </w:rPr>
              <w:t xml:space="preserve"> </w:t>
            </w:r>
            <w:r>
              <w:rPr>
                <w:rFonts w:hint="eastAsia" w:ascii="宋体" w:hAnsi="宋体" w:eastAsia="宋体" w:cs="宋体"/>
                <w:b w:val="0"/>
                <w:bCs w:val="0"/>
                <w:color w:val="auto"/>
                <w:kern w:val="0"/>
                <w:szCs w:val="21"/>
                <w:highlight w:val="none"/>
                <w:u w:val="single"/>
                <w:lang w:val="en-US" w:eastAsia="zh-CN"/>
              </w:rPr>
              <w:t>10</w:t>
            </w:r>
            <w:r>
              <w:rPr>
                <w:rFonts w:hint="eastAsia" w:ascii="宋体" w:hAnsi="宋体" w:eastAsia="宋体" w:cs="宋体"/>
                <w:b w:val="0"/>
                <w:bCs w:val="0"/>
                <w:color w:val="auto"/>
                <w:kern w:val="0"/>
                <w:szCs w:val="21"/>
                <w:highlight w:val="none"/>
                <w:u w:val="single"/>
              </w:rPr>
              <w:t xml:space="preserve">  </w:t>
            </w:r>
            <w:r>
              <w:rPr>
                <w:rFonts w:hint="eastAsia" w:ascii="宋体" w:hAnsi="宋体" w:eastAsia="宋体" w:cs="宋体"/>
                <w:b w:val="0"/>
                <w:bCs w:val="0"/>
                <w:color w:val="auto"/>
                <w:kern w:val="0"/>
                <w:szCs w:val="21"/>
                <w:highlight w:val="none"/>
              </w:rPr>
              <w:t>%，技术部分（项目实施能力）得分权重</w:t>
            </w:r>
            <w:r>
              <w:rPr>
                <w:rFonts w:hint="eastAsia" w:ascii="宋体" w:hAnsi="宋体" w:eastAsia="宋体" w:cs="宋体"/>
                <w:b w:val="0"/>
                <w:bCs w:val="0"/>
                <w:color w:val="auto"/>
                <w:kern w:val="0"/>
                <w:szCs w:val="21"/>
                <w:highlight w:val="none"/>
                <w:u w:val="single"/>
              </w:rPr>
              <w:t xml:space="preserve"> </w:t>
            </w:r>
            <w:r>
              <w:rPr>
                <w:rFonts w:hint="eastAsia" w:ascii="宋体" w:hAnsi="宋体" w:eastAsia="宋体" w:cs="宋体"/>
                <w:b w:val="0"/>
                <w:bCs w:val="0"/>
                <w:color w:val="auto"/>
                <w:kern w:val="0"/>
                <w:szCs w:val="21"/>
                <w:highlight w:val="none"/>
                <w:u w:val="single"/>
                <w:lang w:val="en-US" w:eastAsia="zh-CN"/>
              </w:rPr>
              <w:t>30</w:t>
            </w:r>
            <w:r>
              <w:rPr>
                <w:rFonts w:hint="eastAsia" w:ascii="宋体" w:hAnsi="宋体" w:eastAsia="宋体" w:cs="宋体"/>
                <w:b w:val="0"/>
                <w:bCs w:val="0"/>
                <w:color w:val="auto"/>
                <w:kern w:val="0"/>
                <w:szCs w:val="21"/>
                <w:highlight w:val="none"/>
                <w:u w:val="single"/>
              </w:rPr>
              <w:t xml:space="preserve"> </w:t>
            </w:r>
            <w:r>
              <w:rPr>
                <w:rFonts w:hint="eastAsia" w:ascii="宋体" w:hAnsi="宋体" w:eastAsia="宋体" w:cs="宋体"/>
                <w:b w:val="0"/>
                <w:bCs w:val="0"/>
                <w:color w:val="auto"/>
                <w:kern w:val="0"/>
                <w:szCs w:val="21"/>
                <w:highlight w:val="none"/>
              </w:rPr>
              <w:t>%，报价得分权重</w:t>
            </w:r>
            <w:r>
              <w:rPr>
                <w:rFonts w:hint="eastAsia" w:ascii="宋体" w:hAnsi="宋体" w:eastAsia="宋体" w:cs="宋体"/>
                <w:b w:val="0"/>
                <w:bCs w:val="0"/>
                <w:color w:val="auto"/>
                <w:kern w:val="0"/>
                <w:szCs w:val="21"/>
                <w:highlight w:val="none"/>
                <w:u w:val="single"/>
              </w:rPr>
              <w:t xml:space="preserve"> </w:t>
            </w:r>
            <w:r>
              <w:rPr>
                <w:rFonts w:hint="eastAsia" w:ascii="宋体" w:hAnsi="宋体" w:eastAsia="宋体" w:cs="宋体"/>
                <w:b w:val="0"/>
                <w:bCs w:val="0"/>
                <w:color w:val="auto"/>
                <w:kern w:val="0"/>
                <w:szCs w:val="21"/>
                <w:highlight w:val="none"/>
                <w:u w:val="single"/>
                <w:lang w:val="en-US" w:eastAsia="zh-CN"/>
              </w:rPr>
              <w:t>60</w:t>
            </w:r>
            <w:r>
              <w:rPr>
                <w:rFonts w:hint="eastAsia" w:ascii="宋体" w:hAnsi="宋体" w:eastAsia="宋体" w:cs="宋体"/>
                <w:b w:val="0"/>
                <w:bCs w:val="0"/>
                <w:color w:val="auto"/>
                <w:kern w:val="0"/>
                <w:szCs w:val="21"/>
                <w:highlight w:val="none"/>
                <w:u w:val="single"/>
              </w:rPr>
              <w:t xml:space="preserve"> </w:t>
            </w:r>
            <w:r>
              <w:rPr>
                <w:rFonts w:hint="eastAsia" w:ascii="宋体" w:hAnsi="宋体" w:eastAsia="宋体" w:cs="宋体"/>
                <w:b w:val="0"/>
                <w:bCs w:val="0"/>
                <w:color w:val="auto"/>
                <w:kern w:val="0"/>
                <w:szCs w:val="21"/>
                <w:highlight w:val="none"/>
              </w:rPr>
              <w:t>%。</w:t>
            </w:r>
          </w:p>
          <w:p w14:paraId="78C77576">
            <w:pP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rPr>
              <w:t>方式二：技术部分（施工组织方案）得分权重</w:t>
            </w:r>
            <w:r>
              <w:rPr>
                <w:rFonts w:hint="eastAsia" w:ascii="宋体" w:hAnsi="宋体" w:eastAsia="宋体" w:cs="宋体"/>
                <w:b w:val="0"/>
                <w:bCs w:val="0"/>
                <w:color w:val="auto"/>
                <w:kern w:val="0"/>
                <w:szCs w:val="21"/>
                <w:highlight w:val="none"/>
                <w:u w:val="single"/>
              </w:rPr>
              <w:t xml:space="preserve"> </w:t>
            </w:r>
            <w:r>
              <w:rPr>
                <w:rFonts w:hint="eastAsia" w:ascii="宋体" w:hAnsi="宋体" w:eastAsia="宋体" w:cs="宋体"/>
                <w:b w:val="0"/>
                <w:bCs w:val="0"/>
                <w:color w:val="auto"/>
                <w:kern w:val="0"/>
                <w:szCs w:val="21"/>
                <w:highlight w:val="none"/>
                <w:u w:val="single"/>
                <w:lang w:val="en-US" w:eastAsia="zh-CN"/>
              </w:rPr>
              <w:t xml:space="preserve"> </w:t>
            </w:r>
            <w:r>
              <w:rPr>
                <w:rFonts w:hint="eastAsia" w:ascii="宋体" w:hAnsi="宋体" w:eastAsia="宋体" w:cs="宋体"/>
                <w:b w:val="0"/>
                <w:bCs w:val="0"/>
                <w:color w:val="auto"/>
                <w:kern w:val="0"/>
                <w:szCs w:val="21"/>
                <w:highlight w:val="none"/>
              </w:rPr>
              <w:t>%，技术部分（项目实施能力）得分权重</w:t>
            </w:r>
            <w:r>
              <w:rPr>
                <w:rFonts w:hint="eastAsia" w:ascii="宋体" w:hAnsi="宋体" w:eastAsia="宋体" w:cs="宋体"/>
                <w:b w:val="0"/>
                <w:bCs w:val="0"/>
                <w:color w:val="auto"/>
                <w:kern w:val="0"/>
                <w:szCs w:val="21"/>
                <w:highlight w:val="none"/>
                <w:u w:val="single"/>
                <w:lang w:val="en-US" w:eastAsia="zh-CN"/>
              </w:rPr>
              <w:t xml:space="preserve">  </w:t>
            </w:r>
            <w:r>
              <w:rPr>
                <w:rFonts w:hint="eastAsia" w:ascii="宋体" w:hAnsi="宋体" w:eastAsia="宋体" w:cs="宋体"/>
                <w:b w:val="0"/>
                <w:bCs w:val="0"/>
                <w:color w:val="auto"/>
                <w:kern w:val="0"/>
                <w:szCs w:val="21"/>
                <w:highlight w:val="none"/>
              </w:rPr>
              <w:t>%，报价得分权重</w:t>
            </w:r>
            <w:r>
              <w:rPr>
                <w:rFonts w:hint="eastAsia" w:ascii="宋体" w:hAnsi="宋体" w:eastAsia="宋体" w:cs="宋体"/>
                <w:b w:val="0"/>
                <w:bCs w:val="0"/>
                <w:color w:val="auto"/>
                <w:kern w:val="0"/>
                <w:szCs w:val="21"/>
                <w:highlight w:val="none"/>
                <w:u w:val="single"/>
              </w:rPr>
              <w:t xml:space="preserve"> </w:t>
            </w:r>
            <w:r>
              <w:rPr>
                <w:rFonts w:hint="eastAsia" w:ascii="宋体" w:hAnsi="宋体" w:eastAsia="宋体" w:cs="宋体"/>
                <w:b w:val="0"/>
                <w:bCs w:val="0"/>
                <w:color w:val="auto"/>
                <w:kern w:val="0"/>
                <w:szCs w:val="21"/>
                <w:highlight w:val="none"/>
                <w:u w:val="single"/>
                <w:lang w:val="en-US" w:eastAsia="zh-CN"/>
              </w:rPr>
              <w:t xml:space="preserve"> </w:t>
            </w:r>
            <w:r>
              <w:rPr>
                <w:rFonts w:hint="eastAsia" w:ascii="宋体" w:hAnsi="宋体" w:eastAsia="宋体" w:cs="宋体"/>
                <w:b w:val="0"/>
                <w:bCs w:val="0"/>
                <w:color w:val="auto"/>
                <w:kern w:val="0"/>
                <w:szCs w:val="21"/>
                <w:highlight w:val="none"/>
                <w:u w:val="single"/>
              </w:rPr>
              <w:t xml:space="preserve"> </w:t>
            </w:r>
            <w:r>
              <w:rPr>
                <w:rFonts w:hint="eastAsia" w:ascii="宋体" w:hAnsi="宋体" w:eastAsia="宋体" w:cs="宋体"/>
                <w:b w:val="0"/>
                <w:bCs w:val="0"/>
                <w:color w:val="auto"/>
                <w:kern w:val="0"/>
                <w:szCs w:val="21"/>
                <w:highlight w:val="none"/>
              </w:rPr>
              <w:t>%，诚信综合评价得分权重</w:t>
            </w:r>
            <w:r>
              <w:rPr>
                <w:rFonts w:hint="eastAsia" w:ascii="宋体" w:hAnsi="宋体" w:eastAsia="宋体" w:cs="宋体"/>
                <w:b w:val="0"/>
                <w:bCs w:val="0"/>
                <w:color w:val="auto"/>
                <w:kern w:val="0"/>
                <w:szCs w:val="21"/>
                <w:highlight w:val="none"/>
                <w:u w:val="single"/>
                <w:lang w:val="en-US" w:eastAsia="zh-CN"/>
              </w:rPr>
              <w:t xml:space="preserve">  </w:t>
            </w:r>
            <w:r>
              <w:rPr>
                <w:rFonts w:hint="eastAsia" w:ascii="宋体" w:hAnsi="宋体" w:eastAsia="宋体" w:cs="宋体"/>
                <w:b w:val="0"/>
                <w:bCs w:val="0"/>
                <w:color w:val="auto"/>
                <w:kern w:val="0"/>
                <w:szCs w:val="21"/>
                <w:highlight w:val="none"/>
                <w:u w:val="single"/>
              </w:rPr>
              <w:t xml:space="preserve"> </w:t>
            </w:r>
            <w:r>
              <w:rPr>
                <w:rFonts w:hint="eastAsia" w:ascii="宋体" w:hAnsi="宋体" w:eastAsia="宋体" w:cs="宋体"/>
                <w:b w:val="0"/>
                <w:bCs w:val="0"/>
                <w:color w:val="auto"/>
                <w:kern w:val="0"/>
                <w:szCs w:val="21"/>
                <w:highlight w:val="none"/>
              </w:rPr>
              <w:t>%。</w:t>
            </w:r>
          </w:p>
          <w:p w14:paraId="6913923C">
            <w:pPr>
              <w:rPr>
                <w:rFonts w:ascii="宋体" w:hAnsi="宋体" w:eastAsia="宋体"/>
                <w:color w:val="auto"/>
                <w:szCs w:val="21"/>
                <w:highlight w:val="none"/>
              </w:rPr>
            </w:pPr>
            <w:r>
              <w:rPr>
                <w:rFonts w:hint="eastAsia" w:ascii="宋体" w:hAnsi="宋体" w:eastAsia="宋体" w:cs="宋体"/>
                <w:b w:val="0"/>
                <w:bCs w:val="0"/>
                <w:color w:val="auto"/>
                <w:kern w:val="0"/>
                <w:szCs w:val="21"/>
                <w:highlight w:val="none"/>
              </w:rPr>
              <w:t>注：复杂和大型工程，技术部分（施工组织方案）得分权重不少于10%，报价得分权重不少于60%，诚信综合评价得分权重占0%-5%</w:t>
            </w:r>
            <w:r>
              <w:rPr>
                <w:rFonts w:hint="eastAsia" w:ascii="宋体" w:hAnsi="宋体" w:eastAsia="宋体" w:cs="宋体"/>
                <w:b w:val="0"/>
                <w:bCs w:val="0"/>
                <w:color w:val="auto"/>
                <w:kern w:val="0"/>
                <w:szCs w:val="21"/>
                <w:highlight w:val="none"/>
                <w:u w:val="none"/>
              </w:rPr>
              <w:t>；其他工程，技术部分（施工组织方案）得分权重不少于5%，报价得分权重不少于80%，诚信综合评价得分权重占0-5%。</w:t>
            </w:r>
            <w:r>
              <w:rPr>
                <w:rFonts w:hint="eastAsia" w:ascii="宋体" w:hAnsi="宋体" w:eastAsia="宋体" w:cs="宋体"/>
                <w:b w:val="0"/>
                <w:bCs w:val="0"/>
                <w:color w:val="auto"/>
                <w:kern w:val="0"/>
                <w:szCs w:val="21"/>
                <w:highlight w:val="none"/>
              </w:rPr>
              <w:t>技术部分（项目实施能力）权重=100-技术部分（施工组织方案）得分权重-报价得分权重-诚信综合评价得分权重。</w:t>
            </w:r>
          </w:p>
        </w:tc>
      </w:tr>
      <w:tr w14:paraId="06AA15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259F99D6">
            <w:pPr>
              <w:rPr>
                <w:rFonts w:ascii="宋体" w:hAnsi="宋体" w:eastAsia="宋体"/>
                <w:color w:val="auto"/>
                <w:highlight w:val="none"/>
              </w:rPr>
            </w:pPr>
            <w:r>
              <w:rPr>
                <w:rFonts w:hint="eastAsia" w:ascii="宋体" w:hAnsi="宋体" w:eastAsia="宋体"/>
                <w:color w:val="auto"/>
                <w:highlight w:val="none"/>
              </w:rPr>
              <w:t>33</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1B201900">
            <w:pPr>
              <w:rPr>
                <w:rFonts w:hint="default" w:ascii="宋体" w:hAnsi="宋体" w:eastAsia="宋体"/>
                <w:strike/>
                <w:dstrike w:val="0"/>
                <w:color w:val="auto"/>
                <w:highlight w:val="none"/>
                <w:lang w:val="en-US" w:eastAsia="zh-CN"/>
              </w:rPr>
            </w:pPr>
            <w:r>
              <w:rPr>
                <w:rFonts w:hint="eastAsia" w:ascii="宋体" w:hAnsi="宋体" w:eastAsia="宋体"/>
                <w:strike/>
                <w:dstrike w:val="0"/>
                <w:color w:val="auto"/>
                <w:highlight w:val="none"/>
                <w:lang w:val="en-US" w:eastAsia="zh-CN"/>
              </w:rPr>
              <w:t>46.7</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4D5F398A">
            <w:pPr>
              <w:rPr>
                <w:rFonts w:ascii="宋体" w:hAnsi="宋体" w:eastAsia="宋体"/>
                <w:strike/>
                <w:dstrike w:val="0"/>
                <w:color w:val="auto"/>
                <w:highlight w:val="none"/>
              </w:rPr>
            </w:pPr>
            <w:r>
              <w:rPr>
                <w:rFonts w:hint="eastAsia" w:ascii="宋体" w:hAnsi="宋体" w:eastAsia="宋体"/>
                <w:strike/>
                <w:dstrike w:val="0"/>
                <w:color w:val="auto"/>
                <w:highlight w:val="none"/>
              </w:rPr>
              <w:t>企业诚信综合评价计分</w:t>
            </w:r>
          </w:p>
        </w:tc>
        <w:tc>
          <w:tcPr>
            <w:tcW w:w="7029" w:type="dxa"/>
            <w:tcBorders>
              <w:top w:val="single" w:color="auto" w:sz="4" w:space="0"/>
              <w:left w:val="single" w:color="auto" w:sz="4" w:space="0"/>
              <w:bottom w:val="single" w:color="auto" w:sz="4" w:space="0"/>
              <w:right w:val="double" w:color="auto" w:sz="4" w:space="0"/>
            </w:tcBorders>
            <w:noWrap w:val="0"/>
            <w:vAlign w:val="center"/>
          </w:tcPr>
          <w:p w14:paraId="13F6596F">
            <w:pPr>
              <w:rPr>
                <w:rFonts w:hint="eastAsia" w:ascii="宋体" w:hAnsi="宋体" w:eastAsia="宋体"/>
                <w:strike/>
                <w:dstrike w:val="0"/>
                <w:color w:val="auto"/>
                <w:highlight w:val="none"/>
              </w:rPr>
            </w:pPr>
            <w:r>
              <w:rPr>
                <w:rFonts w:hint="eastAsia" w:ascii="宋体" w:hAnsi="宋体" w:eastAsia="宋体"/>
                <w:strike/>
                <w:dstrike w:val="0"/>
                <w:color w:val="auto"/>
                <w:highlight w:val="none"/>
              </w:rPr>
              <w:t>本项目的企业诚信综合评价得分，</w:t>
            </w:r>
            <w:r>
              <w:rPr>
                <w:rFonts w:hint="eastAsia" w:ascii="宋体" w:hAnsi="宋体" w:eastAsia="宋体"/>
                <w:strike/>
                <w:dstrike w:val="0"/>
                <w:color w:val="auto"/>
                <w:highlight w:val="none"/>
                <w:u w:val="none"/>
              </w:rPr>
              <w:t>以开标当天广州公共资源交易信用平台公布的林业园林信用分（最新版）为准。</w:t>
            </w:r>
          </w:p>
          <w:p w14:paraId="04BFECA3">
            <w:pPr>
              <w:rPr>
                <w:rFonts w:hint="eastAsia" w:ascii="宋体" w:hAnsi="宋体" w:eastAsia="宋体"/>
                <w:strike/>
                <w:dstrike w:val="0"/>
                <w:color w:val="auto"/>
                <w:highlight w:val="none"/>
              </w:rPr>
            </w:pPr>
          </w:p>
          <w:p w14:paraId="73EF866C">
            <w:pPr>
              <w:rPr>
                <w:rFonts w:hint="eastAsia" w:ascii="宋体" w:hAnsi="宋体" w:eastAsia="宋体"/>
                <w:strike/>
                <w:dstrike w:val="0"/>
                <w:color w:val="auto"/>
                <w:highlight w:val="none"/>
              </w:rPr>
            </w:pPr>
            <w:r>
              <w:rPr>
                <w:rFonts w:hint="eastAsia" w:ascii="宋体" w:hAnsi="宋体" w:eastAsia="宋体"/>
                <w:strike/>
                <w:dstrike w:val="0"/>
                <w:color w:val="auto"/>
                <w:highlight w:val="none"/>
              </w:rPr>
              <w:t>[①同一专业组成联合体的投标人，其企业诚信综合评价排名得分以组成联合体各成员的企业诚信综合评价得分的算术平均值计算。</w:t>
            </w:r>
          </w:p>
          <w:p w14:paraId="61B0C636">
            <w:pPr>
              <w:rPr>
                <w:rFonts w:hint="eastAsia" w:ascii="宋体" w:hAnsi="宋体" w:eastAsia="宋体"/>
                <w:strike/>
                <w:dstrike w:val="0"/>
                <w:color w:val="auto"/>
                <w:highlight w:val="none"/>
              </w:rPr>
            </w:pPr>
            <w:r>
              <w:rPr>
                <w:rFonts w:hint="eastAsia" w:ascii="宋体" w:hAnsi="宋体" w:eastAsia="宋体"/>
                <w:strike/>
                <w:dstrike w:val="0"/>
                <w:color w:val="auto"/>
                <w:highlight w:val="none"/>
              </w:rPr>
              <w:t>②不同专业组成联合体的投标人，各投标人诚信综合评价分以最高投标限价中各专业工程的占比作为权重，将其各专业诚信综合评价分加权平均计算。</w:t>
            </w:r>
          </w:p>
          <w:p w14:paraId="498A7EEB">
            <w:pPr>
              <w:rPr>
                <w:rFonts w:hint="eastAsia" w:ascii="宋体" w:hAnsi="宋体" w:eastAsia="宋体"/>
                <w:strike/>
                <w:dstrike w:val="0"/>
                <w:color w:val="auto"/>
                <w:highlight w:val="none"/>
              </w:rPr>
            </w:pPr>
            <w:r>
              <w:rPr>
                <w:rFonts w:hint="eastAsia" w:ascii="宋体" w:hAnsi="宋体" w:eastAsia="宋体"/>
                <w:strike/>
                <w:dstrike w:val="0"/>
                <w:color w:val="auto"/>
                <w:highlight w:val="none"/>
              </w:rPr>
              <w:t>③</w:t>
            </w:r>
            <w:r>
              <w:rPr>
                <w:rFonts w:hint="eastAsia" w:ascii="宋体" w:hAnsi="宋体" w:eastAsia="宋体"/>
                <w:strike/>
                <w:dstrike w:val="0"/>
                <w:color w:val="auto"/>
                <w:highlight w:val="none"/>
                <w:u w:val="none"/>
              </w:rPr>
              <w:t>如未获广州公共资源交易信用平台林业园林信用分的，则该投标人得分为园林行业基准分，基准分值以广州公共资源交易信用信息评分相关规定为准。</w:t>
            </w:r>
            <w:r>
              <w:rPr>
                <w:rFonts w:hint="eastAsia" w:ascii="宋体" w:hAnsi="宋体" w:eastAsia="宋体"/>
                <w:strike/>
                <w:dstrike w:val="0"/>
                <w:color w:val="auto"/>
                <w:highlight w:val="none"/>
              </w:rPr>
              <w:t>]</w:t>
            </w:r>
          </w:p>
        </w:tc>
      </w:tr>
      <w:tr w14:paraId="0C40DA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5048C176">
            <w:pPr>
              <w:rPr>
                <w:rFonts w:ascii="宋体" w:hAnsi="宋体" w:eastAsia="宋体"/>
                <w:color w:val="auto"/>
                <w:highlight w:val="none"/>
              </w:rPr>
            </w:pPr>
            <w:r>
              <w:rPr>
                <w:rFonts w:hint="eastAsia" w:ascii="宋体" w:hAnsi="宋体" w:eastAsia="宋体"/>
                <w:color w:val="auto"/>
                <w:highlight w:val="none"/>
              </w:rPr>
              <w:t>34</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20399BD3">
            <w:pPr>
              <w:rPr>
                <w:rFonts w:ascii="宋体" w:hAnsi="宋体" w:eastAsia="宋体"/>
                <w:color w:val="auto"/>
                <w:highlight w:val="none"/>
              </w:rPr>
            </w:pPr>
            <w:r>
              <w:rPr>
                <w:rFonts w:hint="eastAsia" w:ascii="宋体" w:hAnsi="宋体" w:eastAsia="宋体"/>
                <w:color w:val="auto"/>
                <w:highlight w:val="none"/>
              </w:rPr>
              <w:t>13.4、13.5.2</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1FE7F51D">
            <w:pPr>
              <w:rPr>
                <w:rFonts w:ascii="宋体" w:hAnsi="宋体" w:eastAsia="宋体"/>
                <w:color w:val="auto"/>
                <w:highlight w:val="none"/>
              </w:rPr>
            </w:pPr>
            <w:r>
              <w:rPr>
                <w:rFonts w:hint="eastAsia" w:ascii="宋体" w:hAnsi="宋体" w:eastAsia="宋体"/>
                <w:color w:val="auto"/>
                <w:highlight w:val="none"/>
              </w:rPr>
              <w:t>合同价款的调整办法</w:t>
            </w:r>
          </w:p>
        </w:tc>
        <w:tc>
          <w:tcPr>
            <w:tcW w:w="7029" w:type="dxa"/>
            <w:tcBorders>
              <w:top w:val="single" w:color="auto" w:sz="4" w:space="0"/>
              <w:left w:val="single" w:color="auto" w:sz="4" w:space="0"/>
              <w:bottom w:val="single" w:color="auto" w:sz="4" w:space="0"/>
              <w:right w:val="double" w:color="auto" w:sz="4" w:space="0"/>
            </w:tcBorders>
            <w:noWrap w:val="0"/>
            <w:vAlign w:val="center"/>
          </w:tcPr>
          <w:p w14:paraId="4FA510E2">
            <w:pPr>
              <w:rPr>
                <w:rFonts w:ascii="宋体" w:hAnsi="宋体" w:eastAsia="宋体"/>
                <w:color w:val="auto"/>
                <w:highlight w:val="none"/>
                <w:u w:val="single"/>
              </w:rPr>
            </w:pPr>
            <w:r>
              <w:rPr>
                <w:rFonts w:hint="eastAsia" w:ascii="宋体" w:hAnsi="宋体" w:eastAsia="宋体"/>
                <w:color w:val="auto"/>
                <w:highlight w:val="none"/>
                <w:u w:val="single"/>
              </w:rPr>
              <w:t xml:space="preserve">按合同相关条款执行。 </w:t>
            </w:r>
          </w:p>
        </w:tc>
      </w:tr>
      <w:tr w14:paraId="275F53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78C8F6D7">
            <w:pPr>
              <w:rPr>
                <w:rFonts w:ascii="宋体" w:hAnsi="宋体" w:eastAsia="宋体"/>
                <w:color w:val="auto"/>
                <w:highlight w:val="none"/>
              </w:rPr>
            </w:pPr>
            <w:r>
              <w:rPr>
                <w:rFonts w:hint="eastAsia" w:ascii="宋体" w:hAnsi="宋体" w:eastAsia="宋体"/>
                <w:color w:val="auto"/>
                <w:highlight w:val="none"/>
              </w:rPr>
              <w:t>35</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0DC7C51A">
            <w:pPr>
              <w:rPr>
                <w:rFonts w:hint="eastAsia" w:ascii="宋体" w:hAnsi="宋体" w:eastAsia="宋体"/>
                <w:color w:val="auto"/>
                <w:highlight w:val="none"/>
              </w:rPr>
            </w:pPr>
          </w:p>
        </w:tc>
        <w:tc>
          <w:tcPr>
            <w:tcW w:w="1341" w:type="dxa"/>
            <w:tcBorders>
              <w:top w:val="single" w:color="auto" w:sz="4" w:space="0"/>
              <w:left w:val="single" w:color="auto" w:sz="4" w:space="0"/>
              <w:bottom w:val="single" w:color="auto" w:sz="4" w:space="0"/>
              <w:right w:val="single" w:color="auto" w:sz="4" w:space="0"/>
            </w:tcBorders>
            <w:noWrap w:val="0"/>
            <w:vAlign w:val="center"/>
          </w:tcPr>
          <w:p w14:paraId="3A31FB09">
            <w:pPr>
              <w:rPr>
                <w:rFonts w:hint="eastAsia" w:ascii="宋体" w:hAnsi="宋体" w:eastAsia="宋体"/>
                <w:color w:val="auto"/>
                <w:highlight w:val="none"/>
              </w:rPr>
            </w:pPr>
            <w:r>
              <w:rPr>
                <w:rFonts w:hint="eastAsia" w:ascii="宋体" w:hAnsi="宋体" w:eastAsia="宋体"/>
                <w:color w:val="auto"/>
                <w:highlight w:val="none"/>
              </w:rPr>
              <w:t>建设工程质量检测管理办法</w:t>
            </w:r>
          </w:p>
        </w:tc>
        <w:tc>
          <w:tcPr>
            <w:tcW w:w="7029" w:type="dxa"/>
            <w:tcBorders>
              <w:top w:val="single" w:color="auto" w:sz="4" w:space="0"/>
              <w:left w:val="single" w:color="auto" w:sz="4" w:space="0"/>
              <w:bottom w:val="single" w:color="auto" w:sz="4" w:space="0"/>
              <w:right w:val="double" w:color="auto" w:sz="4" w:space="0"/>
            </w:tcBorders>
            <w:noWrap w:val="0"/>
            <w:vAlign w:val="center"/>
          </w:tcPr>
          <w:p w14:paraId="5FB52539">
            <w:pPr>
              <w:rPr>
                <w:rFonts w:hint="eastAsia" w:ascii="宋体" w:hAnsi="宋体" w:eastAsia="宋体"/>
                <w:color w:val="auto"/>
                <w:highlight w:val="none"/>
                <w:u w:val="single"/>
              </w:rPr>
            </w:pPr>
            <w:r>
              <w:rPr>
                <w:rFonts w:hint="eastAsia" w:ascii="宋体" w:hAnsi="宋体" w:eastAsia="宋体"/>
                <w:color w:val="auto"/>
                <w:highlight w:val="none"/>
              </w:rPr>
              <w:t>根据《建设工程质量检测管理办法》（2022年建设部令第57号）第十六条规定，建设工程质量、安全检测业务应由建设单位依法委托，不列入本次招标范围。招标文件中与此条不一致的，以此条为准。</w:t>
            </w:r>
          </w:p>
        </w:tc>
      </w:tr>
      <w:tr w14:paraId="25DFB1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6E57C66F">
            <w:pPr>
              <w:rPr>
                <w:rFonts w:hint="eastAsia" w:ascii="宋体" w:hAnsi="宋体" w:eastAsia="宋体"/>
                <w:color w:val="auto"/>
                <w:highlight w:val="none"/>
              </w:rPr>
            </w:pPr>
            <w:r>
              <w:rPr>
                <w:rFonts w:hint="eastAsia" w:ascii="宋体" w:hAnsi="宋体" w:eastAsia="宋体"/>
                <w:color w:val="auto"/>
                <w:highlight w:val="none"/>
              </w:rPr>
              <w:t>36</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2343C2AB">
            <w:pPr>
              <w:rPr>
                <w:rFonts w:hint="eastAsia" w:ascii="宋体" w:hAnsi="宋体" w:eastAsia="宋体"/>
                <w:color w:val="auto"/>
                <w:highlight w:val="none"/>
              </w:rPr>
            </w:pPr>
            <w:r>
              <w:rPr>
                <w:rFonts w:hint="eastAsia" w:ascii="宋体" w:hAnsi="宋体" w:eastAsia="宋体"/>
                <w:color w:val="auto"/>
                <w:highlight w:val="none"/>
              </w:rPr>
              <w:t>36</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542FB472">
            <w:pPr>
              <w:rPr>
                <w:rFonts w:hint="eastAsia" w:ascii="宋体" w:hAnsi="宋体" w:eastAsia="宋体"/>
                <w:color w:val="auto"/>
                <w:highlight w:val="none"/>
                <w:lang w:eastAsia="zh-CN"/>
              </w:rPr>
            </w:pPr>
            <w:r>
              <w:rPr>
                <w:rFonts w:hint="eastAsia" w:ascii="宋体" w:hAnsi="宋体" w:eastAsia="宋体"/>
                <w:color w:val="auto"/>
                <w:highlight w:val="none"/>
                <w:lang w:eastAsia="zh-CN"/>
              </w:rPr>
              <w:t>其他</w:t>
            </w:r>
          </w:p>
        </w:tc>
        <w:tc>
          <w:tcPr>
            <w:tcW w:w="7029" w:type="dxa"/>
            <w:tcBorders>
              <w:top w:val="single" w:color="auto" w:sz="4" w:space="0"/>
              <w:left w:val="single" w:color="auto" w:sz="4" w:space="0"/>
              <w:bottom w:val="single" w:color="auto" w:sz="4" w:space="0"/>
              <w:right w:val="double" w:color="auto" w:sz="4" w:space="0"/>
            </w:tcBorders>
            <w:noWrap w:val="0"/>
            <w:vAlign w:val="center"/>
          </w:tcPr>
          <w:p w14:paraId="4D5017D4">
            <w:pPr>
              <w:rPr>
                <w:rFonts w:hint="eastAsia" w:ascii="宋体" w:hAnsi="宋体" w:eastAsia="宋体"/>
                <w:color w:val="auto"/>
                <w:highlight w:val="none"/>
              </w:rPr>
            </w:pPr>
          </w:p>
        </w:tc>
      </w:tr>
      <w:tr w14:paraId="2277D5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02AABB53">
            <w:pPr>
              <w:rPr>
                <w:rFonts w:ascii="宋体" w:hAnsi="宋体" w:eastAsia="宋体"/>
                <w:color w:val="auto"/>
                <w:highlight w:val="none"/>
              </w:rPr>
            </w:pPr>
          </w:p>
        </w:tc>
        <w:tc>
          <w:tcPr>
            <w:tcW w:w="941" w:type="dxa"/>
            <w:tcBorders>
              <w:top w:val="single" w:color="auto" w:sz="4" w:space="0"/>
              <w:left w:val="single" w:color="auto" w:sz="4" w:space="0"/>
              <w:bottom w:val="single" w:color="auto" w:sz="4" w:space="0"/>
              <w:right w:val="single" w:color="auto" w:sz="4" w:space="0"/>
            </w:tcBorders>
            <w:noWrap w:val="0"/>
            <w:vAlign w:val="center"/>
          </w:tcPr>
          <w:p w14:paraId="612EB672">
            <w:pPr>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36.1</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17D0B2BF">
            <w:pPr>
              <w:rPr>
                <w:rFonts w:hint="eastAsia" w:ascii="宋体" w:hAnsi="宋体" w:eastAsia="宋体" w:cs="宋体"/>
                <w:color w:val="auto"/>
                <w:highlight w:val="none"/>
                <w:u w:val="none"/>
                <w:lang w:eastAsia="zh-CN"/>
              </w:rPr>
            </w:pPr>
            <w:r>
              <w:rPr>
                <w:rFonts w:hint="eastAsia" w:ascii="宋体" w:hAnsi="宋体" w:eastAsia="宋体" w:cs="宋体"/>
                <w:color w:val="auto"/>
                <w:szCs w:val="21"/>
                <w:highlight w:val="none"/>
                <w:u w:val="none"/>
              </w:rPr>
              <w:t>中标公示后投标单位提交投标文件要求</w:t>
            </w:r>
          </w:p>
        </w:tc>
        <w:tc>
          <w:tcPr>
            <w:tcW w:w="7029" w:type="dxa"/>
            <w:tcBorders>
              <w:top w:val="single" w:color="auto" w:sz="4" w:space="0"/>
              <w:left w:val="single" w:color="auto" w:sz="4" w:space="0"/>
              <w:bottom w:val="single" w:color="auto" w:sz="4" w:space="0"/>
              <w:right w:val="double" w:color="auto" w:sz="4" w:space="0"/>
            </w:tcBorders>
            <w:noWrap w:val="0"/>
            <w:vAlign w:val="center"/>
          </w:tcPr>
          <w:p w14:paraId="17C7EA54">
            <w:pPr>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rPr>
              <w:t>中标通知书发放后五个工作日内，中标人须向招标人提交与在广州公共资源交易中心系统上传投标文件内容相同的并已盖章的纸质版投标文件一式四套（须编制目录及页码）及电子文件（电子光盘或U盘）</w:t>
            </w:r>
            <w:r>
              <w:rPr>
                <w:rFonts w:hint="eastAsia" w:ascii="宋体" w:hAnsi="宋体" w:eastAsia="宋体" w:cs="宋体"/>
                <w:color w:val="auto"/>
                <w:highlight w:val="none"/>
                <w:u w:val="none"/>
                <w:lang w:eastAsia="zh-CN"/>
              </w:rPr>
              <w:t>一</w:t>
            </w:r>
            <w:r>
              <w:rPr>
                <w:rFonts w:hint="eastAsia" w:ascii="宋体" w:hAnsi="宋体" w:eastAsia="宋体" w:cs="宋体"/>
                <w:color w:val="auto"/>
                <w:highlight w:val="none"/>
                <w:u w:val="none"/>
              </w:rPr>
              <w:t>份。</w:t>
            </w:r>
          </w:p>
        </w:tc>
      </w:tr>
      <w:tr w14:paraId="05FBE0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4AFD961B">
            <w:pPr>
              <w:rPr>
                <w:rFonts w:hint="eastAsia" w:ascii="宋体" w:hAnsi="宋体" w:eastAsia="宋体"/>
                <w:color w:val="auto"/>
                <w:highlight w:val="none"/>
              </w:rPr>
            </w:pPr>
          </w:p>
        </w:tc>
        <w:tc>
          <w:tcPr>
            <w:tcW w:w="941" w:type="dxa"/>
            <w:tcBorders>
              <w:top w:val="single" w:color="auto" w:sz="4" w:space="0"/>
              <w:left w:val="single" w:color="auto" w:sz="4" w:space="0"/>
              <w:bottom w:val="single" w:color="auto" w:sz="4" w:space="0"/>
              <w:right w:val="single" w:color="auto" w:sz="4" w:space="0"/>
            </w:tcBorders>
            <w:noWrap w:val="0"/>
            <w:vAlign w:val="center"/>
          </w:tcPr>
          <w:p w14:paraId="6D3FE205">
            <w:pPr>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36.2</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091A03C6">
            <w:pPr>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rPr>
              <w:t>电子招标投标解密失败及突发情况的补救</w:t>
            </w:r>
          </w:p>
        </w:tc>
        <w:tc>
          <w:tcPr>
            <w:tcW w:w="7029" w:type="dxa"/>
            <w:tcBorders>
              <w:top w:val="single" w:color="auto" w:sz="4" w:space="0"/>
              <w:left w:val="single" w:color="auto" w:sz="4" w:space="0"/>
              <w:bottom w:val="single" w:color="auto" w:sz="4" w:space="0"/>
              <w:right w:val="double" w:color="auto" w:sz="4" w:space="0"/>
            </w:tcBorders>
            <w:noWrap w:val="0"/>
            <w:vAlign w:val="center"/>
          </w:tcPr>
          <w:p w14:paraId="237C75EE">
            <w:pPr>
              <w:rPr>
                <w:rFonts w:hint="eastAsia" w:ascii="宋体" w:hAnsi="宋体" w:eastAsia="宋体" w:cs="宋体"/>
                <w:color w:val="auto"/>
                <w:highlight w:val="none"/>
                <w:u w:val="none"/>
              </w:rPr>
            </w:pPr>
            <w:r>
              <w:rPr>
                <w:rFonts w:hint="eastAsia" w:ascii="宋体" w:hAnsi="宋体" w:eastAsia="宋体" w:cs="宋体"/>
                <w:color w:val="auto"/>
                <w:highlight w:val="none"/>
                <w:u w:val="none"/>
              </w:rPr>
              <w:t>1、按照交易平台关于全流程电子化项目的相关指南进行操作。详见：《房屋建筑和市政基础设施工程全流程电子化项目专章》。</w:t>
            </w:r>
          </w:p>
          <w:p w14:paraId="22620718">
            <w:pPr>
              <w:rPr>
                <w:rFonts w:hint="eastAsia" w:ascii="宋体" w:hAnsi="宋体" w:eastAsia="宋体" w:cs="宋体"/>
                <w:color w:val="auto"/>
                <w:highlight w:val="none"/>
                <w:u w:val="none"/>
              </w:rPr>
            </w:pPr>
            <w:r>
              <w:rPr>
                <w:rFonts w:hint="eastAsia" w:ascii="宋体" w:hAnsi="宋体" w:eastAsia="宋体" w:cs="宋体"/>
                <w:color w:val="auto"/>
                <w:highlight w:val="none"/>
                <w:u w:val="none"/>
              </w:rPr>
              <w:t>2、提交投标文件光盘备用</w:t>
            </w:r>
          </w:p>
          <w:p w14:paraId="359B8A52">
            <w:pPr>
              <w:rPr>
                <w:rFonts w:hint="eastAsia" w:ascii="宋体" w:hAnsi="宋体" w:eastAsia="宋体" w:cs="宋体"/>
                <w:color w:val="auto"/>
                <w:highlight w:val="none"/>
                <w:u w:val="none"/>
              </w:rPr>
            </w:pPr>
            <w:r>
              <w:rPr>
                <w:rFonts w:hint="eastAsia" w:ascii="宋体" w:hAnsi="宋体" w:eastAsia="宋体" w:cs="宋体"/>
                <w:color w:val="auto"/>
                <w:highlight w:val="none"/>
                <w:u w:val="none"/>
              </w:rPr>
              <w:t>投标人可制作非加密的电子投标文件（PDF格式）刻入光盘（1份），在投标须知前附表第21项规定的时间、地点在递交投标文件截止时间前提交备用。电子投标文件刻入光盘（1份）包括“资格审查文件和技术部分（项目实施能力）、经济部分文件光盘”1个、“技术部分（施工组织方案）光盘”1个、“保密文件光盘”1个。刻录好的投标文件光盘分别密封在不透明的密封袋并作标记，其中“资格审查文件和技术部分（项目实施能力）、经济部分文件光盘”应在密封袋上写明（1）招标人名称；（2）“[工程名称][资格审查文件和技术部分（项目实施能力）、经济部分文件光盘]”字样；（3）投标人名称；并在封口处加盖投标人单位公章；“技术部分（施工组织方案）光盘”“保密文件光盘”应仅在密封袋上写明（1）招标人名称；（2）“[工程名称][技术部分（施工组织方案）光盘或保密文件光盘]”字样；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p w14:paraId="535AE840">
            <w:pPr>
              <w:rPr>
                <w:rFonts w:hint="eastAsia" w:ascii="宋体" w:hAnsi="宋体" w:eastAsia="宋体" w:cs="宋体"/>
                <w:color w:val="auto"/>
                <w:highlight w:val="none"/>
                <w:u w:val="none"/>
              </w:rPr>
            </w:pPr>
            <w:r>
              <w:rPr>
                <w:rFonts w:hint="eastAsia" w:ascii="宋体" w:hAnsi="宋体" w:eastAsia="宋体" w:cs="宋体"/>
                <w:color w:val="auto"/>
                <w:highlight w:val="none"/>
                <w:u w:val="none"/>
              </w:rPr>
              <w:t>3、补救方案</w:t>
            </w:r>
          </w:p>
          <w:p w14:paraId="741786FA">
            <w:pPr>
              <w:rPr>
                <w:rFonts w:hint="eastAsia" w:ascii="宋体" w:hAnsi="宋体" w:eastAsia="宋体" w:cs="宋体"/>
                <w:color w:val="auto"/>
                <w:highlight w:val="none"/>
                <w:u w:val="none"/>
              </w:rPr>
            </w:pPr>
            <w:r>
              <w:rPr>
                <w:rFonts w:hint="eastAsia" w:ascii="宋体" w:hAnsi="宋体" w:eastAsia="宋体" w:cs="宋体"/>
                <w:color w:val="auto"/>
                <w:highlight w:val="none"/>
                <w:u w:val="none"/>
              </w:rPr>
              <w:t>（1）投标文件解密失败的补救方案：</w:t>
            </w:r>
          </w:p>
          <w:p w14:paraId="0687716C">
            <w:pPr>
              <w:rPr>
                <w:rFonts w:hint="eastAsia" w:ascii="宋体" w:hAnsi="宋体" w:eastAsia="宋体" w:cs="宋体"/>
                <w:color w:val="auto"/>
                <w:highlight w:val="none"/>
                <w:u w:val="none"/>
              </w:rPr>
            </w:pPr>
            <w:r>
              <w:rPr>
                <w:rFonts w:hint="eastAsia" w:ascii="宋体" w:hAnsi="宋体" w:eastAsia="宋体" w:cs="宋体"/>
                <w:color w:val="auto"/>
                <w:highlight w:val="none"/>
                <w:u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3B5048AE">
            <w:pPr>
              <w:rPr>
                <w:rFonts w:hint="eastAsia" w:ascii="宋体" w:hAnsi="宋体" w:eastAsia="宋体" w:cs="宋体"/>
                <w:color w:val="auto"/>
                <w:highlight w:val="none"/>
                <w:u w:val="none"/>
              </w:rPr>
            </w:pPr>
            <w:r>
              <w:rPr>
                <w:rFonts w:hint="eastAsia" w:ascii="宋体" w:hAnsi="宋体" w:eastAsia="宋体" w:cs="宋体"/>
                <w:color w:val="auto"/>
                <w:highlight w:val="none"/>
                <w:u w:val="none"/>
              </w:rPr>
              <w:t>（2）评标时突发情况的补救方案</w:t>
            </w:r>
          </w:p>
          <w:p w14:paraId="71B4B409">
            <w:pPr>
              <w:rPr>
                <w:rFonts w:hint="eastAsia" w:ascii="宋体" w:hAnsi="宋体" w:eastAsia="宋体" w:cs="宋体"/>
                <w:color w:val="auto"/>
                <w:highlight w:val="none"/>
                <w:u w:val="none"/>
              </w:rPr>
            </w:pPr>
            <w:r>
              <w:rPr>
                <w:rFonts w:hint="eastAsia" w:ascii="宋体" w:hAnsi="宋体" w:eastAsia="宋体" w:cs="宋体"/>
                <w:color w:val="auto"/>
                <w:highlight w:val="none"/>
                <w:u w:val="none"/>
              </w:rPr>
              <w:t>若遇不可抗力发生（指网络瘫痪、服务器损坏、交易系统故障短期无法恢复等因素），由评标委员会开启投标人递交的全部投标文件光盘，并按光盘内容进行评审。</w:t>
            </w:r>
          </w:p>
          <w:p w14:paraId="3F146415">
            <w:pPr>
              <w:rPr>
                <w:rFonts w:hint="eastAsia" w:ascii="宋体" w:hAnsi="宋体" w:eastAsia="宋体" w:cs="宋体"/>
                <w:color w:val="auto"/>
                <w:highlight w:val="none"/>
                <w:u w:val="none"/>
              </w:rPr>
            </w:pPr>
            <w:r>
              <w:rPr>
                <w:rFonts w:hint="eastAsia" w:ascii="宋体" w:hAnsi="宋体" w:eastAsia="宋体" w:cs="宋体"/>
                <w:color w:val="auto"/>
                <w:highlight w:val="none"/>
                <w:u w:val="none"/>
              </w:rPr>
              <w:t>（3）除发生上述情况外，开标评标均以投标人通过交易平台网上递交的电子投标文件为准。</w:t>
            </w:r>
          </w:p>
        </w:tc>
      </w:tr>
      <w:tr w14:paraId="0FEB43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57" w:type="dxa"/>
            <w:tcBorders>
              <w:top w:val="single" w:color="auto" w:sz="4" w:space="0"/>
              <w:left w:val="double" w:color="auto" w:sz="4" w:space="0"/>
              <w:bottom w:val="double" w:color="auto" w:sz="4" w:space="0"/>
              <w:right w:val="single" w:color="auto" w:sz="4" w:space="0"/>
            </w:tcBorders>
            <w:noWrap w:val="0"/>
            <w:vAlign w:val="center"/>
          </w:tcPr>
          <w:p w14:paraId="308215C4">
            <w:pPr>
              <w:rPr>
                <w:rFonts w:hint="eastAsia" w:ascii="宋体" w:hAnsi="宋体" w:eastAsia="宋体"/>
                <w:color w:val="auto"/>
                <w:highlight w:val="none"/>
              </w:rPr>
            </w:pPr>
          </w:p>
        </w:tc>
        <w:tc>
          <w:tcPr>
            <w:tcW w:w="941" w:type="dxa"/>
            <w:tcBorders>
              <w:top w:val="single" w:color="auto" w:sz="4" w:space="0"/>
              <w:left w:val="single" w:color="auto" w:sz="4" w:space="0"/>
              <w:bottom w:val="double" w:color="auto" w:sz="4" w:space="0"/>
              <w:right w:val="single" w:color="auto" w:sz="4" w:space="0"/>
            </w:tcBorders>
            <w:noWrap w:val="0"/>
            <w:vAlign w:val="center"/>
          </w:tcPr>
          <w:p w14:paraId="46EE8C90">
            <w:pPr>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36.3</w:t>
            </w:r>
          </w:p>
        </w:tc>
        <w:tc>
          <w:tcPr>
            <w:tcW w:w="1341" w:type="dxa"/>
            <w:tcBorders>
              <w:top w:val="single" w:color="auto" w:sz="4" w:space="0"/>
              <w:left w:val="single" w:color="auto" w:sz="4" w:space="0"/>
              <w:bottom w:val="double" w:color="auto" w:sz="4" w:space="0"/>
              <w:right w:val="single" w:color="auto" w:sz="4" w:space="0"/>
            </w:tcBorders>
            <w:noWrap w:val="0"/>
            <w:vAlign w:val="center"/>
          </w:tcPr>
          <w:p w14:paraId="2F8EA3B0">
            <w:pPr>
              <w:spacing w:after="0"/>
              <w:jc w:val="left"/>
              <w:rPr>
                <w:rFonts w:hint="eastAsia" w:ascii="宋体" w:hAnsi="宋体" w:eastAsia="宋体"/>
                <w:color w:val="auto"/>
                <w:highlight w:val="none"/>
                <w:u w:val="none"/>
                <w:lang w:eastAsia="zh-CN"/>
              </w:rPr>
            </w:pPr>
            <w:r>
              <w:rPr>
                <w:rFonts w:hint="eastAsia" w:ascii="宋体" w:hAnsi="宋体" w:eastAsia="宋体" w:cs="宋体"/>
                <w:color w:val="auto"/>
                <w:highlight w:val="none"/>
                <w:u w:val="none"/>
              </w:rPr>
              <w:t>交易服务费与招标代理服务费</w:t>
            </w:r>
          </w:p>
        </w:tc>
        <w:tc>
          <w:tcPr>
            <w:tcW w:w="7029" w:type="dxa"/>
            <w:tcBorders>
              <w:top w:val="single" w:color="auto" w:sz="4" w:space="0"/>
              <w:left w:val="single" w:color="auto" w:sz="4" w:space="0"/>
              <w:bottom w:val="double" w:color="auto" w:sz="4" w:space="0"/>
              <w:right w:val="double" w:color="auto" w:sz="4" w:space="0"/>
            </w:tcBorders>
            <w:noWrap w:val="0"/>
            <w:vAlign w:val="center"/>
          </w:tcPr>
          <w:p w14:paraId="7CF80FF8">
            <w:pPr>
              <w:spacing w:after="0"/>
              <w:rPr>
                <w:rFonts w:hint="eastAsia" w:ascii="宋体" w:hAnsi="宋体" w:eastAsia="宋体" w:cs="宋体"/>
                <w:color w:val="auto"/>
                <w:highlight w:val="none"/>
                <w:u w:val="none"/>
              </w:rPr>
            </w:pPr>
            <w:r>
              <w:rPr>
                <w:rFonts w:hint="eastAsia" w:ascii="宋体" w:hAnsi="宋体" w:eastAsia="宋体" w:cs="宋体"/>
                <w:color w:val="auto"/>
                <w:highlight w:val="none"/>
                <w:u w:val="none"/>
              </w:rPr>
              <w:t>1、中标人按《广州市发展改革委转发省发展改革委关于规范公共资源交易服务收费及有关问题的通知》（穗发改〔2017〕811号）文件的规定，向广州交易集团有限公司（广州公共资源交易中心）代缴交易服务费，招标人不另行支付。</w:t>
            </w:r>
          </w:p>
          <w:p w14:paraId="009D75D6">
            <w:pPr>
              <w:spacing w:after="0"/>
              <w:rPr>
                <w:rFonts w:hint="eastAsia" w:ascii="宋体" w:hAnsi="宋体" w:eastAsia="宋体"/>
                <w:color w:val="auto"/>
                <w:highlight w:val="none"/>
                <w:u w:val="none"/>
              </w:rPr>
            </w:pPr>
            <w:r>
              <w:rPr>
                <w:rFonts w:hint="eastAsia" w:ascii="宋体" w:hAnsi="宋体" w:eastAsia="宋体" w:cs="宋体"/>
                <w:color w:val="auto"/>
                <w:highlight w:val="none"/>
                <w:u w:val="none"/>
              </w:rPr>
              <w:t>2、本招标项目由</w:t>
            </w:r>
            <w:r>
              <w:rPr>
                <w:rFonts w:hint="eastAsia" w:ascii="宋体" w:hAnsi="宋体" w:eastAsia="宋体" w:cs="宋体"/>
                <w:color w:val="auto"/>
                <w:highlight w:val="none"/>
                <w:u w:val="none"/>
                <w:lang w:val="en-US" w:eastAsia="zh-CN"/>
              </w:rPr>
              <w:t>招标人</w:t>
            </w:r>
            <w:r>
              <w:rPr>
                <w:rFonts w:hint="eastAsia" w:ascii="宋体" w:hAnsi="宋体" w:eastAsia="宋体" w:cs="宋体"/>
                <w:color w:val="auto"/>
                <w:highlight w:val="none"/>
                <w:u w:val="none"/>
              </w:rPr>
              <w:t>支付招标代理服务费用，在确定中标人后由</w:t>
            </w:r>
            <w:r>
              <w:rPr>
                <w:rFonts w:hint="eastAsia" w:ascii="宋体" w:hAnsi="宋体" w:eastAsia="宋体" w:cs="宋体"/>
                <w:color w:val="auto"/>
                <w:highlight w:val="none"/>
                <w:u w:val="none"/>
                <w:lang w:val="en-US" w:eastAsia="zh-CN"/>
              </w:rPr>
              <w:t>招标人</w:t>
            </w:r>
            <w:r>
              <w:rPr>
                <w:rFonts w:hint="eastAsia" w:ascii="宋体" w:hAnsi="宋体" w:eastAsia="宋体" w:cs="宋体"/>
                <w:color w:val="auto"/>
                <w:highlight w:val="none"/>
                <w:u w:val="none"/>
              </w:rPr>
              <w:t>支付招标服务费。</w:t>
            </w:r>
          </w:p>
        </w:tc>
      </w:tr>
    </w:tbl>
    <w:p w14:paraId="173C526D">
      <w:pPr>
        <w:spacing w:line="480" w:lineRule="auto"/>
        <w:ind w:firstLine="537" w:firstLineChars="224"/>
        <w:rPr>
          <w:rFonts w:ascii="宋体" w:hAnsi="宋体" w:eastAsia="宋体"/>
          <w:color w:val="auto"/>
          <w:sz w:val="24"/>
          <w:highlight w:val="none"/>
        </w:rPr>
      </w:pPr>
    </w:p>
    <w:p w14:paraId="11278209">
      <w:pPr>
        <w:pStyle w:val="8"/>
        <w:spacing w:before="120"/>
        <w:rPr>
          <w:rFonts w:ascii="宋体" w:eastAsia="宋体"/>
          <w:color w:val="auto"/>
          <w:highlight w:val="none"/>
        </w:rPr>
      </w:pPr>
      <w:bookmarkStart w:id="29" w:name="_二、投标须知修改表"/>
      <w:bookmarkEnd w:id="29"/>
      <w:r>
        <w:rPr>
          <w:rFonts w:hint="eastAsia" w:ascii="宋体" w:eastAsia="宋体"/>
          <w:color w:val="auto"/>
          <w:highlight w:val="none"/>
        </w:rPr>
        <w:br w:type="page"/>
      </w:r>
      <w:bookmarkStart w:id="30" w:name="_Toc29501"/>
      <w:bookmarkStart w:id="31" w:name="_Toc3078"/>
      <w:bookmarkStart w:id="32" w:name="_Toc262229161"/>
      <w:bookmarkStart w:id="33" w:name="_Toc24309"/>
      <w:bookmarkStart w:id="34" w:name="_Toc26978"/>
      <w:bookmarkStart w:id="35" w:name="_Toc18865"/>
      <w:bookmarkStart w:id="36" w:name="_Toc4195"/>
      <w:bookmarkStart w:id="37" w:name="_Toc26168"/>
      <w:bookmarkStart w:id="38" w:name="_Toc17014"/>
      <w:bookmarkStart w:id="39" w:name="_Toc28948"/>
      <w:bookmarkStart w:id="40" w:name="_Toc20294"/>
      <w:bookmarkStart w:id="41" w:name="_Toc8938"/>
      <w:r>
        <w:rPr>
          <w:rFonts w:hint="eastAsia" w:ascii="宋体" w:eastAsia="宋体"/>
          <w:color w:val="auto"/>
          <w:highlight w:val="none"/>
        </w:rPr>
        <w:t>二、投标须知修改表</w:t>
      </w:r>
      <w:bookmarkEnd w:id="30"/>
      <w:bookmarkEnd w:id="31"/>
      <w:bookmarkEnd w:id="32"/>
      <w:bookmarkEnd w:id="33"/>
      <w:bookmarkEnd w:id="34"/>
      <w:bookmarkEnd w:id="35"/>
      <w:bookmarkEnd w:id="36"/>
      <w:bookmarkEnd w:id="37"/>
      <w:bookmarkEnd w:id="38"/>
      <w:bookmarkEnd w:id="39"/>
      <w:bookmarkEnd w:id="40"/>
      <w:bookmarkEnd w:id="41"/>
    </w:p>
    <w:p w14:paraId="32DADC02">
      <w:pPr>
        <w:pStyle w:val="5"/>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声明：本投标须知使用GZYLZB202</w:t>
      </w:r>
      <w:r>
        <w:rPr>
          <w:rFonts w:hint="eastAsia" w:ascii="宋体" w:hAnsi="宋体" w:eastAsia="宋体"/>
          <w:b/>
          <w:color w:val="auto"/>
          <w:szCs w:val="21"/>
          <w:highlight w:val="none"/>
          <w:lang w:val="en-US" w:eastAsia="zh-CN"/>
        </w:rPr>
        <w:t>3</w:t>
      </w:r>
      <w:r>
        <w:rPr>
          <w:rFonts w:hint="eastAsia" w:ascii="宋体" w:hAnsi="宋体" w:eastAsia="宋体"/>
          <w:b/>
          <w:color w:val="auto"/>
          <w:szCs w:val="21"/>
          <w:highlight w:val="none"/>
        </w:rPr>
        <w:t>-1招标文件范本的投标须知通用条款，与该通用条款不同之处，均在本表中列明，修改之处均以下划线标明，并以现文为准，原文不再有效。没有在本表中列明的条款，以原文为准。本招标文件中不再转录投标须知通用条款，请投标人自行到广州市林业和园林局网站（网址：http://lyylj.gz.gov.cn/）下载查阅。</w:t>
      </w:r>
    </w:p>
    <w:p w14:paraId="19B56085">
      <w:pPr>
        <w:pStyle w:val="5"/>
        <w:spacing w:line="360" w:lineRule="auto"/>
        <w:ind w:firstLine="0"/>
        <w:rPr>
          <w:rFonts w:ascii="宋体" w:hAnsi="宋体" w:eastAsia="宋体"/>
          <w:b/>
          <w:color w:val="auto"/>
          <w:szCs w:val="21"/>
          <w:highlight w:val="none"/>
        </w:rPr>
      </w:pPr>
      <w:r>
        <w:rPr>
          <w:rFonts w:hint="eastAsia" w:ascii="宋体" w:hAnsi="宋体" w:eastAsia="宋体"/>
          <w:b/>
          <w:color w:val="auto"/>
          <w:szCs w:val="21"/>
          <w:highlight w:val="none"/>
          <w:lang w:val="en-US" w:eastAsia="zh-CN"/>
        </w:rPr>
        <w:t xml:space="preserve">   </w:t>
      </w:r>
    </w:p>
    <w:p w14:paraId="76A1562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5.1</w:t>
      </w:r>
      <w:r>
        <w:rPr>
          <w:rFonts w:hint="eastAsia" w:ascii="宋体" w:hAnsi="宋体" w:eastAsia="宋体"/>
          <w:b/>
          <w:color w:val="auto"/>
          <w:szCs w:val="21"/>
          <w:highlight w:val="none"/>
        </w:rPr>
        <w:t xml:space="preserve">             修改类型：修改</w:t>
      </w:r>
    </w:p>
    <w:p w14:paraId="2A9386C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lang w:val="en-US" w:eastAsia="zh-CN"/>
        </w:rPr>
        <w:t>5.1</w:t>
      </w:r>
      <w:r>
        <w:rPr>
          <w:rFonts w:hint="eastAsia" w:ascii="宋体" w:hAnsi="宋体" w:eastAsia="宋体"/>
          <w:b w:val="0"/>
          <w:bCs/>
          <w:color w:val="auto"/>
          <w:szCs w:val="21"/>
          <w:highlight w:val="none"/>
        </w:rPr>
        <w:t>投标人应按本投标须知前附表第16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46A43BAF">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color w:val="auto"/>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lang w:val="en-US" w:eastAsia="zh-CN"/>
        </w:rPr>
        <w:t>5.1</w:t>
      </w:r>
      <w:r>
        <w:rPr>
          <w:rFonts w:hint="eastAsia" w:ascii="宋体" w:hAnsi="宋体" w:eastAsia="宋体"/>
          <w:b w:val="0"/>
          <w:bCs/>
          <w:color w:val="auto"/>
          <w:szCs w:val="21"/>
          <w:highlight w:val="none"/>
        </w:rPr>
        <w:t>投标人应按本投标须知前附表第16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eastAsia="宋体"/>
          <w:b w:val="0"/>
          <w:bCs/>
          <w:color w:val="auto"/>
          <w:szCs w:val="21"/>
          <w:highlight w:val="none"/>
          <w:u w:val="single"/>
        </w:rPr>
        <w:t>投标人不进行踏勘的，视为已熟知现场条件，自行承担相关风险。</w:t>
      </w:r>
      <w:r>
        <w:rPr>
          <w:rFonts w:hint="eastAsia" w:ascii="宋体" w:hAnsi="宋体" w:eastAsia="宋体"/>
          <w:b w:val="0"/>
          <w:bCs/>
          <w:color w:val="auto"/>
          <w:szCs w:val="21"/>
          <w:highlight w:val="none"/>
        </w:rPr>
        <w:t>一旦中标，这种考察即被认为其结果已在中标文件中得到充分反映。</w:t>
      </w:r>
      <w:r>
        <w:rPr>
          <w:rFonts w:hint="eastAsia" w:ascii="宋体" w:hAnsi="宋体" w:eastAsia="宋体"/>
          <w:bCs/>
          <w:color w:val="auto"/>
          <w:szCs w:val="21"/>
          <w:highlight w:val="none"/>
          <w:u w:val="single"/>
        </w:rPr>
        <w:t>招标人不受理因投标人缺乏对现场条件的了解或掌握而提出的任何索赔。</w:t>
      </w:r>
      <w:r>
        <w:rPr>
          <w:rFonts w:hint="eastAsia" w:ascii="宋体" w:hAnsi="宋体" w:eastAsia="宋体"/>
          <w:b w:val="0"/>
          <w:bCs/>
          <w:color w:val="auto"/>
          <w:szCs w:val="21"/>
          <w:highlight w:val="none"/>
        </w:rPr>
        <w:t>考察现场的费用由投标人自己承担。</w:t>
      </w:r>
    </w:p>
    <w:p w14:paraId="703E9C3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7.5</w:t>
      </w:r>
      <w:r>
        <w:rPr>
          <w:rFonts w:hint="eastAsia" w:ascii="宋体" w:hAnsi="宋体" w:eastAsia="宋体"/>
          <w:b/>
          <w:color w:val="auto"/>
          <w:szCs w:val="21"/>
          <w:highlight w:val="none"/>
        </w:rPr>
        <w:t xml:space="preserve">             修改类型：修改</w:t>
      </w:r>
    </w:p>
    <w:p w14:paraId="01B32EE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7.5发布招标公告的同时，通过广州公共资源交易网站发布电子招标文件、施工图纸、最高投标限价、成本警示价（如有）。</w:t>
      </w:r>
    </w:p>
    <w:p w14:paraId="3CF65450">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color w:val="auto"/>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7.5发布招标公告的同时，通过</w:t>
      </w:r>
      <w:r>
        <w:rPr>
          <w:rFonts w:hint="eastAsia" w:ascii="宋体" w:hAnsi="宋体" w:eastAsia="宋体"/>
          <w:b w:val="0"/>
          <w:bCs/>
          <w:color w:val="auto"/>
          <w:szCs w:val="21"/>
          <w:highlight w:val="none"/>
          <w:u w:val="single"/>
        </w:rPr>
        <w:t>广州交易集团有限公司（广州公共资源交易中心）</w:t>
      </w:r>
      <w:r>
        <w:rPr>
          <w:rFonts w:hint="eastAsia" w:ascii="宋体" w:hAnsi="宋体" w:eastAsia="宋体"/>
          <w:b w:val="0"/>
          <w:bCs/>
          <w:color w:val="auto"/>
          <w:szCs w:val="21"/>
          <w:highlight w:val="none"/>
        </w:rPr>
        <w:t>网站发布电子招标文件、施工图纸、最高投标限价、成本警示价。</w:t>
      </w:r>
    </w:p>
    <w:p w14:paraId="7841C30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7.6</w:t>
      </w:r>
      <w:r>
        <w:rPr>
          <w:rFonts w:hint="eastAsia" w:ascii="宋体" w:hAnsi="宋体" w:eastAsia="宋体"/>
          <w:b/>
          <w:color w:val="auto"/>
          <w:szCs w:val="21"/>
          <w:highlight w:val="none"/>
        </w:rPr>
        <w:t xml:space="preserve">             修改类型：修改</w:t>
      </w:r>
    </w:p>
    <w:p w14:paraId="153C093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val="0"/>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7.6招标文件一经在广州公共资源交易网站发布，视作已发放给所有投标人。</w:t>
      </w:r>
    </w:p>
    <w:p w14:paraId="64B864B2">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color w:val="auto"/>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7.6招标文件一经在</w:t>
      </w:r>
      <w:r>
        <w:rPr>
          <w:rFonts w:hint="eastAsia" w:ascii="宋体" w:hAnsi="宋体" w:eastAsia="宋体"/>
          <w:b w:val="0"/>
          <w:bCs/>
          <w:color w:val="auto"/>
          <w:szCs w:val="21"/>
          <w:highlight w:val="none"/>
          <w:u w:val="single"/>
        </w:rPr>
        <w:t>广州交易集团有限公司（广州公共资源交易中心）</w:t>
      </w:r>
      <w:r>
        <w:rPr>
          <w:rFonts w:hint="eastAsia" w:ascii="宋体" w:hAnsi="宋体" w:eastAsia="宋体"/>
          <w:b w:val="0"/>
          <w:bCs/>
          <w:color w:val="auto"/>
          <w:szCs w:val="21"/>
          <w:highlight w:val="none"/>
        </w:rPr>
        <w:t>网站发布，视作已发放给所有投标人。</w:t>
      </w:r>
    </w:p>
    <w:p w14:paraId="392286B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8</w:t>
      </w:r>
      <w:r>
        <w:rPr>
          <w:rFonts w:hint="eastAsia" w:ascii="宋体" w:hAnsi="宋体" w:eastAsia="宋体"/>
          <w:b/>
          <w:color w:val="auto"/>
          <w:szCs w:val="21"/>
          <w:highlight w:val="none"/>
        </w:rPr>
        <w:t xml:space="preserve">             修改类型：修改</w:t>
      </w:r>
    </w:p>
    <w:p w14:paraId="4628683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color w:val="auto"/>
          <w:szCs w:val="21"/>
          <w:highlight w:val="none"/>
        </w:rPr>
      </w:pPr>
      <w:r>
        <w:rPr>
          <w:rFonts w:hint="eastAsia" w:ascii="宋体" w:hAnsi="宋体" w:eastAsia="宋体"/>
          <w:b/>
          <w:color w:val="auto"/>
          <w:szCs w:val="21"/>
          <w:highlight w:val="none"/>
        </w:rPr>
        <w:t>原文：8．招标答疑</w:t>
      </w:r>
    </w:p>
    <w:p w14:paraId="4F1340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8.1 招标答疑采用网上答疑方式。投标人若对招标文件（包括招标图纸、清单、最高投标限价）有疑问的，可在规定的时间内通过广州公共资源交易网站进入提问区域将问题提交给招标人或招标代理机构，提交问题时一律不得署名。</w:t>
      </w:r>
    </w:p>
    <w:p w14:paraId="23E3BF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网上答疑的具体操作详见交易平台发布的相关操作指引。</w:t>
      </w:r>
    </w:p>
    <w:p w14:paraId="03AD4D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8.2投标人应在招标公告发布之日起3天内对招标文件提出疑问。招标人应在递交投标文件截止时间15 日前解答投标人对招标文件提出的疑问，形成答疑纪要，并可在广州公共资源交易网站“招标答疑”专区发布。</w:t>
      </w:r>
    </w:p>
    <w:p w14:paraId="6F6FF3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8.3招标答疑纪要一经在广州公共资源交易网站发布，视作已发放给所有投标人。</w:t>
      </w:r>
    </w:p>
    <w:p w14:paraId="560A6B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8.4招标答疑纪要为招标文件的一部分。投标人可在广州公共资源交易网站浏览、下载招标答疑纪要。</w:t>
      </w:r>
    </w:p>
    <w:p w14:paraId="6AB1E1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b w:val="0"/>
          <w:bCs/>
          <w:color w:val="auto"/>
          <w:szCs w:val="21"/>
          <w:highlight w:val="none"/>
        </w:rPr>
      </w:pPr>
      <w:r>
        <w:rPr>
          <w:rFonts w:hint="eastAsia" w:ascii="宋体" w:hAnsi="宋体" w:eastAsia="宋体"/>
          <w:b w:val="0"/>
          <w:bCs/>
          <w:color w:val="auto"/>
          <w:szCs w:val="21"/>
          <w:highlight w:val="none"/>
        </w:rPr>
        <w:t>8.5若招标答疑纪要与招标文件有矛盾时，以广州公共资源交易网站最后发布的答疑纪要为准。</w:t>
      </w:r>
    </w:p>
    <w:p w14:paraId="34AD360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color w:val="auto"/>
          <w:szCs w:val="21"/>
          <w:highlight w:val="none"/>
        </w:rPr>
      </w:pPr>
      <w:r>
        <w:rPr>
          <w:rFonts w:hint="eastAsia" w:ascii="宋体" w:hAnsi="宋体" w:eastAsia="宋体"/>
          <w:b/>
          <w:color w:val="auto"/>
          <w:szCs w:val="21"/>
          <w:highlight w:val="none"/>
        </w:rPr>
        <w:t>现文：8．招标答疑</w:t>
      </w:r>
    </w:p>
    <w:p w14:paraId="36A4D1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8.1 招标答疑采用网上答疑方式。投标人若对招标文件（包括招标图纸、清单、最高投标限价）有疑问的，可在规定的时间内通过</w:t>
      </w:r>
      <w:r>
        <w:rPr>
          <w:rFonts w:hint="eastAsia" w:ascii="宋体" w:hAnsi="宋体" w:eastAsia="宋体"/>
          <w:b w:val="0"/>
          <w:bCs/>
          <w:color w:val="auto"/>
          <w:szCs w:val="21"/>
          <w:highlight w:val="none"/>
          <w:u w:val="single"/>
        </w:rPr>
        <w:t>广州交易集团有限公司（广州公共资源交易中心）</w:t>
      </w:r>
      <w:r>
        <w:rPr>
          <w:rFonts w:hint="eastAsia" w:ascii="宋体" w:hAnsi="宋体" w:eastAsia="宋体"/>
          <w:b w:val="0"/>
          <w:bCs/>
          <w:color w:val="auto"/>
          <w:szCs w:val="21"/>
          <w:highlight w:val="none"/>
        </w:rPr>
        <w:t>网站进入提问区域将问题提交给招标人或招标代理机构，提交问题时一律不得署名。</w:t>
      </w:r>
    </w:p>
    <w:p w14:paraId="0CF211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网上答疑的具体操作详见交易平台发布的相关操作指引。</w:t>
      </w:r>
    </w:p>
    <w:p w14:paraId="3E8EBF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8.2投标人应在招标公告发布之日起3天内对招标文件提出疑问。招标人应在递交投标文件截止时间15 日前解答投标人对招标文件提出的疑问，形成答疑纪要，并可在</w:t>
      </w:r>
      <w:r>
        <w:rPr>
          <w:rFonts w:hint="eastAsia" w:ascii="宋体" w:hAnsi="宋体" w:eastAsia="宋体"/>
          <w:b w:val="0"/>
          <w:bCs/>
          <w:color w:val="auto"/>
          <w:szCs w:val="21"/>
          <w:highlight w:val="none"/>
          <w:u w:val="single"/>
        </w:rPr>
        <w:t>广州交易集团有限公司（广州公共资源交易中心）</w:t>
      </w:r>
      <w:r>
        <w:rPr>
          <w:rFonts w:hint="eastAsia" w:ascii="宋体" w:hAnsi="宋体" w:eastAsia="宋体"/>
          <w:b w:val="0"/>
          <w:bCs/>
          <w:color w:val="auto"/>
          <w:szCs w:val="21"/>
          <w:highlight w:val="none"/>
        </w:rPr>
        <w:t>网站“</w:t>
      </w:r>
      <w:r>
        <w:rPr>
          <w:rFonts w:hint="eastAsia" w:ascii="宋体" w:hAnsi="宋体" w:eastAsia="宋体"/>
          <w:b w:val="0"/>
          <w:bCs/>
          <w:color w:val="auto"/>
          <w:szCs w:val="21"/>
          <w:highlight w:val="none"/>
          <w:u w:val="single"/>
        </w:rPr>
        <w:t>项目查询（日程安排、答疑纪要）</w:t>
      </w:r>
      <w:r>
        <w:rPr>
          <w:rFonts w:hint="eastAsia" w:ascii="宋体" w:hAnsi="宋体" w:eastAsia="宋体"/>
          <w:b w:val="0"/>
          <w:bCs/>
          <w:color w:val="auto"/>
          <w:szCs w:val="21"/>
          <w:highlight w:val="none"/>
        </w:rPr>
        <w:t>”专区发布。</w:t>
      </w:r>
    </w:p>
    <w:p w14:paraId="444D82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8.3招标答疑纪要一经在</w:t>
      </w:r>
      <w:r>
        <w:rPr>
          <w:rFonts w:hint="eastAsia" w:ascii="宋体" w:hAnsi="宋体" w:eastAsia="宋体"/>
          <w:b w:val="0"/>
          <w:bCs/>
          <w:color w:val="auto"/>
          <w:szCs w:val="21"/>
          <w:highlight w:val="none"/>
          <w:u w:val="single"/>
        </w:rPr>
        <w:t>广州交易集团有限公司（广州公共资源交易中心）</w:t>
      </w:r>
      <w:r>
        <w:rPr>
          <w:rFonts w:hint="eastAsia" w:ascii="宋体" w:hAnsi="宋体" w:eastAsia="宋体"/>
          <w:b w:val="0"/>
          <w:bCs/>
          <w:color w:val="auto"/>
          <w:szCs w:val="21"/>
          <w:highlight w:val="none"/>
        </w:rPr>
        <w:t>网站发布，视作已发放给所有投标人。</w:t>
      </w:r>
    </w:p>
    <w:p w14:paraId="747D72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8.4招标答疑纪要为招标文件的一部分。投标人可在</w:t>
      </w:r>
      <w:r>
        <w:rPr>
          <w:rFonts w:hint="eastAsia" w:ascii="宋体" w:hAnsi="宋体" w:eastAsia="宋体"/>
          <w:b w:val="0"/>
          <w:bCs/>
          <w:color w:val="auto"/>
          <w:szCs w:val="21"/>
          <w:highlight w:val="none"/>
          <w:u w:val="single"/>
        </w:rPr>
        <w:t>广州交易集团有限公司（广州公共资源交易中心）</w:t>
      </w:r>
      <w:r>
        <w:rPr>
          <w:rFonts w:hint="eastAsia" w:ascii="宋体" w:hAnsi="宋体" w:eastAsia="宋体"/>
          <w:b w:val="0"/>
          <w:bCs/>
          <w:color w:val="auto"/>
          <w:szCs w:val="21"/>
          <w:highlight w:val="none"/>
        </w:rPr>
        <w:t>网站浏览、下载招标答疑纪要。</w:t>
      </w:r>
    </w:p>
    <w:p w14:paraId="072422DC">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textAlignment w:val="auto"/>
        <w:rPr>
          <w:rFonts w:ascii="宋体" w:hAnsi="宋体" w:eastAsia="宋体"/>
          <w:color w:val="auto"/>
          <w:highlight w:val="none"/>
        </w:rPr>
      </w:pPr>
      <w:r>
        <w:rPr>
          <w:rFonts w:hint="eastAsia" w:ascii="宋体" w:hAnsi="宋体" w:eastAsia="宋体"/>
          <w:b w:val="0"/>
          <w:bCs/>
          <w:color w:val="auto"/>
          <w:szCs w:val="21"/>
          <w:highlight w:val="none"/>
        </w:rPr>
        <w:t>8.5若招标答疑纪要与招标文件有矛盾时，以</w:t>
      </w:r>
      <w:r>
        <w:rPr>
          <w:rFonts w:hint="eastAsia" w:ascii="宋体" w:hAnsi="宋体" w:eastAsia="宋体"/>
          <w:b w:val="0"/>
          <w:bCs/>
          <w:color w:val="auto"/>
          <w:szCs w:val="21"/>
          <w:highlight w:val="none"/>
          <w:u w:val="single"/>
        </w:rPr>
        <w:t>广州交易集团有限公司（广州公共资源交易中心）</w:t>
      </w:r>
      <w:r>
        <w:rPr>
          <w:rFonts w:hint="eastAsia" w:ascii="宋体" w:hAnsi="宋体" w:eastAsia="宋体"/>
          <w:b w:val="0"/>
          <w:bCs/>
          <w:color w:val="auto"/>
          <w:szCs w:val="21"/>
          <w:highlight w:val="none"/>
        </w:rPr>
        <w:t>网站最后发布的答疑纪要为准。</w:t>
      </w:r>
    </w:p>
    <w:p w14:paraId="0497676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9.2</w:t>
      </w:r>
      <w:r>
        <w:rPr>
          <w:rFonts w:hint="eastAsia" w:ascii="宋体" w:hAnsi="宋体" w:eastAsia="宋体"/>
          <w:b/>
          <w:color w:val="auto"/>
          <w:szCs w:val="21"/>
          <w:highlight w:val="none"/>
        </w:rPr>
        <w:t xml:space="preserve">             修改类型：修改</w:t>
      </w:r>
    </w:p>
    <w:p w14:paraId="71E1AE1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val="0"/>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9.2招标文件的澄清或修改在广州公共资源交易网站发布。招标文件的澄清或修改一经在广州公共资源交易网站发布，视作已发放给所有投标人。</w:t>
      </w:r>
    </w:p>
    <w:p w14:paraId="5D62C869">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color w:val="auto"/>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9.2招标文件的澄清或修改在</w:t>
      </w:r>
      <w:r>
        <w:rPr>
          <w:rFonts w:hint="eastAsia" w:ascii="宋体" w:hAnsi="宋体" w:eastAsia="宋体"/>
          <w:b w:val="0"/>
          <w:bCs/>
          <w:color w:val="auto"/>
          <w:szCs w:val="21"/>
          <w:highlight w:val="none"/>
          <w:u w:val="single"/>
        </w:rPr>
        <w:t>广州交易集团有限公司（广州公共资源交易中心）</w:t>
      </w:r>
      <w:r>
        <w:rPr>
          <w:rFonts w:hint="eastAsia" w:ascii="宋体" w:hAnsi="宋体" w:eastAsia="宋体"/>
          <w:b w:val="0"/>
          <w:bCs/>
          <w:color w:val="auto"/>
          <w:szCs w:val="21"/>
          <w:highlight w:val="none"/>
        </w:rPr>
        <w:t>网站发布。招标文件的澄清或修改一经在</w:t>
      </w:r>
      <w:r>
        <w:rPr>
          <w:rFonts w:hint="eastAsia" w:ascii="宋体" w:hAnsi="宋体" w:eastAsia="宋体"/>
          <w:b w:val="0"/>
          <w:bCs/>
          <w:color w:val="auto"/>
          <w:szCs w:val="21"/>
          <w:highlight w:val="none"/>
          <w:u w:val="single"/>
        </w:rPr>
        <w:t>广州交易集团有限公司（广州公共资源交易中心）</w:t>
      </w:r>
      <w:r>
        <w:rPr>
          <w:rFonts w:hint="eastAsia" w:ascii="宋体" w:hAnsi="宋体" w:eastAsia="宋体"/>
          <w:b w:val="0"/>
          <w:bCs/>
          <w:color w:val="auto"/>
          <w:szCs w:val="21"/>
          <w:highlight w:val="none"/>
        </w:rPr>
        <w:t>网站发布，视作已发放给所有投标人。</w:t>
      </w:r>
    </w:p>
    <w:p w14:paraId="380F060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9.4</w:t>
      </w:r>
      <w:r>
        <w:rPr>
          <w:rFonts w:hint="eastAsia" w:ascii="宋体" w:hAnsi="宋体" w:eastAsia="宋体"/>
          <w:b/>
          <w:color w:val="auto"/>
          <w:szCs w:val="21"/>
          <w:highlight w:val="none"/>
        </w:rPr>
        <w:t xml:space="preserve">             修改类型：修改</w:t>
      </w:r>
    </w:p>
    <w:p w14:paraId="59AA5D0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val="0"/>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9.4招标文件的澄清、修改均以广州公共资源交易网站发布的内容为准。当招标文件的澄清、修改在同一内容的表述不一致时，以广州公共资源交易网站最后发布的内容为准。</w:t>
      </w:r>
    </w:p>
    <w:p w14:paraId="4522D76D">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val="0"/>
          <w:bCs/>
          <w:color w:val="auto"/>
          <w:szCs w:val="21"/>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9.4招标文件的澄清、修改均以</w:t>
      </w:r>
      <w:r>
        <w:rPr>
          <w:rFonts w:hint="eastAsia" w:ascii="宋体" w:hAnsi="宋体" w:eastAsia="宋体"/>
          <w:b w:val="0"/>
          <w:bCs/>
          <w:color w:val="auto"/>
          <w:szCs w:val="21"/>
          <w:highlight w:val="none"/>
          <w:u w:val="single"/>
        </w:rPr>
        <w:t>广州交易集团有限公司（广州公共资源交易中心）</w:t>
      </w:r>
      <w:r>
        <w:rPr>
          <w:rFonts w:hint="eastAsia" w:ascii="宋体" w:hAnsi="宋体" w:eastAsia="宋体"/>
          <w:b w:val="0"/>
          <w:bCs/>
          <w:color w:val="auto"/>
          <w:szCs w:val="21"/>
          <w:highlight w:val="none"/>
        </w:rPr>
        <w:t>网站发布的内容为准。当招标文件的澄清、修改在同一内容的表述不一致时，以</w:t>
      </w:r>
      <w:r>
        <w:rPr>
          <w:rFonts w:hint="eastAsia" w:ascii="宋体" w:hAnsi="宋体" w:eastAsia="宋体"/>
          <w:b w:val="0"/>
          <w:bCs/>
          <w:color w:val="auto"/>
          <w:szCs w:val="21"/>
          <w:highlight w:val="none"/>
          <w:u w:val="single"/>
        </w:rPr>
        <w:t>广州交易集团有限公司（广州公共资源交易中心）</w:t>
      </w:r>
      <w:r>
        <w:rPr>
          <w:rFonts w:hint="eastAsia" w:ascii="宋体" w:hAnsi="宋体" w:eastAsia="宋体"/>
          <w:b w:val="0"/>
          <w:bCs/>
          <w:color w:val="auto"/>
          <w:szCs w:val="21"/>
          <w:highlight w:val="none"/>
        </w:rPr>
        <w:t>网站最后发布的内容为准。</w:t>
      </w:r>
    </w:p>
    <w:p w14:paraId="49D2780E">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11.2</w:t>
      </w:r>
      <w:r>
        <w:rPr>
          <w:rFonts w:hint="eastAsia" w:ascii="宋体" w:hAnsi="宋体" w:eastAsia="宋体"/>
          <w:b/>
          <w:color w:val="auto"/>
          <w:szCs w:val="21"/>
          <w:highlight w:val="none"/>
        </w:rPr>
        <w:t xml:space="preserve">             修改类型：修改</w:t>
      </w:r>
    </w:p>
    <w:p w14:paraId="6A42FAA2">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val="0"/>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11.2资格审查文件主要包括的内容：</w:t>
      </w:r>
    </w:p>
    <w:p w14:paraId="2A780B8D">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11.2.1法定代表人证明书，如投标文件为委托代理人签署应同时附上法定代表人证明书和法定代表人授权书；</w:t>
      </w:r>
    </w:p>
    <w:p w14:paraId="6B0070F9">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11.2.2工商行政管理部门核发的营业执照；</w:t>
      </w:r>
    </w:p>
    <w:p w14:paraId="44CB0F4E">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11.2.3项目负责人（按招标公告要求和网上投标登记时选择拟投标的项目负责人）；</w:t>
      </w:r>
    </w:p>
    <w:p w14:paraId="46BB09A9">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11.2.4用于资格审查的业绩（设置业绩要求时选择此项，投标人选择用于资格审查的业绩须用本企业的CA数字证书对生成的内容进行签章）；</w:t>
      </w:r>
    </w:p>
    <w:p w14:paraId="053970C9">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11.2.5专职安全人员须具有在有效期内的安全生产考核合格证书（C类），或能够提供广东省建筑施工企业管理人员安全生产考核信息系统安全生产管理人员证书信息的打印页（按网上投标登记时选择拟派专职安全员）；</w:t>
      </w:r>
    </w:p>
    <w:p w14:paraId="259EA760">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11.2.6投标人按照规定的格式及内容要求签署的《投标人声明》（格式见第四章）；</w:t>
      </w:r>
    </w:p>
    <w:p w14:paraId="1DE4A446">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11.2.7列明主办单位的联合体工作协议（采用联合体投标时需递交，投标人拟任本工程项目负责人应为联合体主办方企业信息登记中的在册人员，联合体工作协议应明确约定各方拟承担的工作和责任）；</w:t>
      </w:r>
    </w:p>
    <w:p w14:paraId="1C4A8D20">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11.2.8未被列入国家、省、市失信联合惩戒名单（具体名单以递交投标文件截止时间“信用广州”网站公布的“失信联合惩戒黑名单——国家下发”为准），或未因失信行为被本项目所在地行政主管部门作出限制参与工程建设项目投标的决定。</w:t>
      </w:r>
    </w:p>
    <w:p w14:paraId="13E85324">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420" w:firstLineChars="200"/>
        <w:textAlignment w:val="auto"/>
        <w:rPr>
          <w:rFonts w:ascii="宋体" w:hAnsi="宋体" w:eastAsia="宋体"/>
          <w:b/>
          <w:color w:val="auto"/>
          <w:szCs w:val="21"/>
          <w:highlight w:val="none"/>
        </w:rPr>
      </w:pPr>
      <w:r>
        <w:rPr>
          <w:rFonts w:hint="eastAsia" w:ascii="宋体" w:hAnsi="宋体" w:eastAsia="宋体"/>
          <w:b w:val="0"/>
          <w:bCs/>
          <w:color w:val="auto"/>
          <w:szCs w:val="21"/>
          <w:highlight w:val="none"/>
        </w:rPr>
        <w:t>注：资格审查内容的11.2.2至11.2.5项（除广东省建筑施工企业管理人员安全生产考核信息系统安全生产管理人员证书信息的打印页、《信息公开证明》打印页外）的资料取自投标人在广州公共资源交易平台企业库、城市园林绿化企业工程业绩库中的资料，广州公共资源交易平台企业库、城市园林绿化企业工程业绩库中该部分信息将被视为投标人递交的资格审查资料的一部分，资格审查文件不需另行提交。</w:t>
      </w:r>
    </w:p>
    <w:p w14:paraId="042837FE">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val="0"/>
          <w:bCs/>
          <w:color w:val="auto"/>
          <w:szCs w:val="21"/>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11.2资格审查文件主要包括的内容：</w:t>
      </w:r>
    </w:p>
    <w:p w14:paraId="63AA43AC">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11.2.1法定代表人证明书，如投标文件为委托代理人签署应同时附上法定代表人证明书和法定代表人授权书；</w:t>
      </w:r>
    </w:p>
    <w:p w14:paraId="2DCEC26E">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11.2.2工商行政管理部门核发的营业执照</w:t>
      </w:r>
      <w:r>
        <w:rPr>
          <w:rFonts w:hint="eastAsia" w:ascii="宋体" w:hAnsi="宋体" w:eastAsia="宋体"/>
          <w:b w:val="0"/>
          <w:bCs/>
          <w:color w:val="auto"/>
          <w:szCs w:val="21"/>
          <w:highlight w:val="none"/>
          <w:u w:val="single"/>
        </w:rPr>
        <w:t>或其他组织证明</w:t>
      </w:r>
      <w:r>
        <w:rPr>
          <w:rFonts w:hint="eastAsia" w:ascii="宋体" w:hAnsi="宋体" w:eastAsia="宋体"/>
          <w:b w:val="0"/>
          <w:bCs/>
          <w:color w:val="auto"/>
          <w:szCs w:val="21"/>
          <w:highlight w:val="none"/>
        </w:rPr>
        <w:t>；</w:t>
      </w:r>
    </w:p>
    <w:p w14:paraId="28002125">
      <w:pPr>
        <w:keepNext w:val="0"/>
        <w:keepLines w:val="0"/>
        <w:pageBreakBefore w:val="0"/>
        <w:pBdr>
          <w:bottom w:val="none" w:color="auto" w:sz="0" w:space="0"/>
        </w:pBdr>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11.2.3</w:t>
      </w:r>
      <w:r>
        <w:rPr>
          <w:rFonts w:hint="eastAsia" w:ascii="宋体" w:hAnsi="宋体" w:eastAsia="宋体"/>
          <w:color w:val="auto"/>
          <w:szCs w:val="21"/>
          <w:highlight w:val="none"/>
          <w:u w:val="single"/>
        </w:rPr>
        <w:t>企业造林绿化施工单位资质证书乙级或以上资质（证书在有效期内）；</w:t>
      </w:r>
    </w:p>
    <w:p w14:paraId="7E888E5E">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11.2.</w:t>
      </w:r>
      <w:r>
        <w:rPr>
          <w:rFonts w:hint="eastAsia" w:ascii="宋体" w:hAnsi="宋体" w:eastAsia="宋体"/>
          <w:b w:val="0"/>
          <w:bCs/>
          <w:color w:val="auto"/>
          <w:szCs w:val="21"/>
          <w:highlight w:val="none"/>
          <w:lang w:val="en-US" w:eastAsia="zh-CN"/>
        </w:rPr>
        <w:t>4</w:t>
      </w:r>
      <w:r>
        <w:rPr>
          <w:rFonts w:hint="eastAsia" w:ascii="宋体" w:hAnsi="宋体" w:eastAsia="宋体"/>
          <w:b w:val="0"/>
          <w:bCs/>
          <w:color w:val="auto"/>
          <w:szCs w:val="21"/>
          <w:highlight w:val="none"/>
        </w:rPr>
        <w:t>项目负责人（按招标公告要求和网上投标登记时选择拟投标的项目负责人）；</w:t>
      </w:r>
    </w:p>
    <w:p w14:paraId="20C55CB4">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u w:val="single"/>
        </w:rPr>
      </w:pPr>
      <w:r>
        <w:rPr>
          <w:rFonts w:hint="eastAsia" w:ascii="宋体" w:hAnsi="宋体" w:eastAsia="宋体"/>
          <w:b w:val="0"/>
          <w:bCs/>
          <w:color w:val="auto"/>
          <w:szCs w:val="21"/>
          <w:highlight w:val="none"/>
        </w:rPr>
        <w:t>11.2.</w:t>
      </w:r>
      <w:r>
        <w:rPr>
          <w:rFonts w:hint="eastAsia" w:ascii="宋体" w:hAnsi="宋体" w:eastAsia="宋体"/>
          <w:b w:val="0"/>
          <w:bCs/>
          <w:color w:val="auto"/>
          <w:szCs w:val="21"/>
          <w:highlight w:val="none"/>
          <w:lang w:val="en-US" w:eastAsia="zh-CN"/>
        </w:rPr>
        <w:t>5</w:t>
      </w:r>
      <w:r>
        <w:rPr>
          <w:rFonts w:hint="eastAsia" w:ascii="宋体" w:hAnsi="宋体" w:eastAsia="宋体"/>
          <w:b w:val="0"/>
          <w:bCs/>
          <w:color w:val="auto"/>
          <w:szCs w:val="21"/>
          <w:highlight w:val="none"/>
          <w:u w:val="none"/>
        </w:rPr>
        <w:t>用于资格审查的业绩</w:t>
      </w:r>
      <w:r>
        <w:rPr>
          <w:rFonts w:hint="eastAsia" w:ascii="宋体" w:hAnsi="宋体" w:eastAsia="宋体"/>
          <w:b w:val="0"/>
          <w:bCs/>
          <w:color w:val="auto"/>
          <w:szCs w:val="21"/>
          <w:highlight w:val="none"/>
          <w:u w:val="single"/>
        </w:rPr>
        <w:t>（投标人选择用于资格审查的业绩须用本企业的CA数字证书对生成的内容进行签章）；</w:t>
      </w:r>
    </w:p>
    <w:p w14:paraId="2BAE5A8E">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11.2.</w:t>
      </w:r>
      <w:r>
        <w:rPr>
          <w:rFonts w:hint="eastAsia" w:ascii="宋体" w:hAnsi="宋体" w:eastAsia="宋体"/>
          <w:b w:val="0"/>
          <w:bCs/>
          <w:color w:val="auto"/>
          <w:szCs w:val="21"/>
          <w:highlight w:val="none"/>
          <w:lang w:val="en-US" w:eastAsia="zh-CN"/>
        </w:rPr>
        <w:t>6</w:t>
      </w:r>
      <w:r>
        <w:rPr>
          <w:rFonts w:hint="eastAsia" w:ascii="宋体" w:hAnsi="宋体" w:eastAsia="宋体" w:cs="宋体"/>
          <w:color w:val="auto"/>
          <w:szCs w:val="21"/>
          <w:highlight w:val="none"/>
          <w:u w:val="single"/>
        </w:rPr>
        <w:t>专职安全员须具有在有效期内的</w:t>
      </w:r>
      <w:r>
        <w:rPr>
          <w:rFonts w:hint="eastAsia" w:ascii="宋体" w:hAnsi="宋体" w:eastAsia="宋体"/>
          <w:color w:val="auto"/>
          <w:szCs w:val="21"/>
          <w:highlight w:val="none"/>
          <w:u w:val="single"/>
        </w:rPr>
        <w:t>安全生产考核合格证（C类）或建筑施工企业专职安全生产管理人员安全生产考核合格证书（C3）</w:t>
      </w:r>
      <w:r>
        <w:rPr>
          <w:rFonts w:hint="eastAsia" w:ascii="宋体" w:hAnsi="宋体" w:eastAsia="宋体" w:cs="宋体"/>
          <w:color w:val="auto"/>
          <w:szCs w:val="21"/>
          <w:highlight w:val="none"/>
          <w:u w:val="single"/>
        </w:rPr>
        <w:t>（按网上投标登记时选择拟派专职安全员）</w:t>
      </w:r>
      <w:r>
        <w:rPr>
          <w:rFonts w:hint="eastAsia" w:ascii="宋体" w:hAnsi="宋体" w:eastAsia="宋体"/>
          <w:b w:val="0"/>
          <w:bCs/>
          <w:color w:val="auto"/>
          <w:szCs w:val="21"/>
          <w:highlight w:val="none"/>
          <w:u w:val="single"/>
        </w:rPr>
        <w:t>；</w:t>
      </w:r>
    </w:p>
    <w:p w14:paraId="04005E44">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11.2.</w:t>
      </w:r>
      <w:r>
        <w:rPr>
          <w:rFonts w:hint="eastAsia" w:ascii="宋体" w:hAnsi="宋体" w:eastAsia="宋体"/>
          <w:b w:val="0"/>
          <w:bCs/>
          <w:color w:val="auto"/>
          <w:szCs w:val="21"/>
          <w:highlight w:val="none"/>
          <w:lang w:val="en-US" w:eastAsia="zh-CN"/>
        </w:rPr>
        <w:t>7</w:t>
      </w:r>
      <w:r>
        <w:rPr>
          <w:rFonts w:hint="eastAsia" w:ascii="宋体" w:hAnsi="宋体" w:eastAsia="宋体"/>
          <w:b w:val="0"/>
          <w:bCs/>
          <w:color w:val="auto"/>
          <w:szCs w:val="21"/>
          <w:highlight w:val="none"/>
        </w:rPr>
        <w:t>投标人按照规定的格式及内容要求签署的《投标人声明》（格式见第四章）；</w:t>
      </w:r>
    </w:p>
    <w:p w14:paraId="66783018">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u w:val="single"/>
        </w:rPr>
      </w:pPr>
      <w:r>
        <w:rPr>
          <w:rFonts w:hint="eastAsia" w:ascii="宋体" w:hAnsi="宋体" w:eastAsia="宋体"/>
          <w:b w:val="0"/>
          <w:bCs/>
          <w:color w:val="auto"/>
          <w:szCs w:val="21"/>
          <w:highlight w:val="none"/>
        </w:rPr>
        <w:t>11.2.</w:t>
      </w:r>
      <w:r>
        <w:rPr>
          <w:rFonts w:hint="eastAsia" w:ascii="宋体" w:hAnsi="宋体" w:eastAsia="宋体"/>
          <w:b w:val="0"/>
          <w:bCs/>
          <w:color w:val="auto"/>
          <w:szCs w:val="21"/>
          <w:highlight w:val="none"/>
          <w:lang w:val="en-US" w:eastAsia="zh-CN"/>
        </w:rPr>
        <w:t>8</w:t>
      </w:r>
      <w:r>
        <w:rPr>
          <w:rFonts w:hint="eastAsia" w:ascii="宋体" w:hAnsi="宋体" w:eastAsia="宋体" w:cs="宋体"/>
          <w:color w:val="auto"/>
          <w:szCs w:val="21"/>
          <w:highlight w:val="none"/>
          <w:u w:val="single"/>
        </w:rPr>
        <w:t>关于联合体投标：本项目不接受联合体投标</w:t>
      </w:r>
      <w:r>
        <w:rPr>
          <w:rFonts w:hint="eastAsia" w:ascii="宋体" w:hAnsi="宋体" w:eastAsia="宋体"/>
          <w:b w:val="0"/>
          <w:bCs/>
          <w:color w:val="auto"/>
          <w:szCs w:val="21"/>
          <w:highlight w:val="none"/>
          <w:u w:val="none"/>
        </w:rPr>
        <w:t>；</w:t>
      </w:r>
    </w:p>
    <w:p w14:paraId="20B83BBC">
      <w:pPr>
        <w:keepNext w:val="0"/>
        <w:keepLines w:val="0"/>
        <w:pageBreakBefore w:val="0"/>
        <w:widowControl w:val="0"/>
        <w:pBdr>
          <w:bottom w:val="single" w:color="auto" w:sz="4" w:space="0"/>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u w:val="none"/>
        </w:rPr>
      </w:pPr>
      <w:r>
        <w:rPr>
          <w:rFonts w:hint="eastAsia" w:ascii="宋体" w:hAnsi="宋体" w:eastAsia="宋体"/>
          <w:b w:val="0"/>
          <w:bCs/>
          <w:color w:val="auto"/>
          <w:szCs w:val="21"/>
          <w:highlight w:val="none"/>
        </w:rPr>
        <w:t>11.2.</w:t>
      </w:r>
      <w:r>
        <w:rPr>
          <w:rFonts w:hint="eastAsia" w:ascii="宋体" w:hAnsi="宋体" w:eastAsia="宋体"/>
          <w:b w:val="0"/>
          <w:bCs/>
          <w:color w:val="auto"/>
          <w:szCs w:val="21"/>
          <w:highlight w:val="none"/>
          <w:lang w:val="en-US" w:eastAsia="zh-CN"/>
        </w:rPr>
        <w:t>9</w:t>
      </w:r>
      <w:r>
        <w:rPr>
          <w:rFonts w:hint="eastAsia" w:ascii="宋体" w:hAnsi="宋体" w:eastAsia="宋体"/>
          <w:b w:val="0"/>
          <w:bCs/>
          <w:color w:val="auto"/>
          <w:szCs w:val="21"/>
          <w:highlight w:val="none"/>
          <w:u w:val="single"/>
        </w:rPr>
        <w:t>不存在《全国失信惩戒措施基础清单》惩戒内容为“在一定期限内依法取消参加依法必须进行招标的项目的投标资格”的情形（以《投标人声明》进行评审）</w:t>
      </w:r>
      <w:r>
        <w:rPr>
          <w:rFonts w:hint="eastAsia" w:ascii="宋体" w:hAnsi="宋体" w:eastAsia="宋体"/>
          <w:b w:val="0"/>
          <w:bCs/>
          <w:color w:val="auto"/>
          <w:szCs w:val="21"/>
          <w:highlight w:val="none"/>
          <w:u w:val="none"/>
        </w:rPr>
        <w:t>。</w:t>
      </w:r>
    </w:p>
    <w:p w14:paraId="2E4035AE">
      <w:pPr>
        <w:keepNext w:val="0"/>
        <w:keepLines w:val="0"/>
        <w:pageBreakBefore w:val="0"/>
        <w:pBdr>
          <w:bottom w:val="single" w:color="auto" w:sz="4" w:space="0"/>
        </w:pBdr>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ascii="宋体" w:hAnsi="宋体" w:eastAsia="宋体"/>
          <w:b w:val="0"/>
          <w:bCs/>
          <w:color w:val="auto"/>
          <w:szCs w:val="21"/>
          <w:highlight w:val="none"/>
        </w:rPr>
        <w:t>注：</w:t>
      </w:r>
      <w:r>
        <w:rPr>
          <w:rFonts w:hint="eastAsia" w:ascii="宋体" w:hAnsi="宋体" w:eastAsia="宋体"/>
          <w:b w:val="0"/>
          <w:bCs/>
          <w:color w:val="auto"/>
          <w:szCs w:val="21"/>
          <w:highlight w:val="none"/>
          <w:u w:val="none"/>
        </w:rPr>
        <w:t>资格审查内容的11.2.2至11.2.</w:t>
      </w:r>
      <w:r>
        <w:rPr>
          <w:rFonts w:hint="eastAsia" w:ascii="宋体" w:hAnsi="宋体" w:eastAsia="宋体"/>
          <w:b w:val="0"/>
          <w:bCs/>
          <w:color w:val="auto"/>
          <w:szCs w:val="21"/>
          <w:highlight w:val="none"/>
          <w:u w:val="none"/>
          <w:lang w:val="en-US" w:eastAsia="zh-CN"/>
        </w:rPr>
        <w:t>6</w:t>
      </w:r>
      <w:r>
        <w:rPr>
          <w:rFonts w:hint="eastAsia" w:ascii="宋体" w:hAnsi="宋体" w:eastAsia="宋体"/>
          <w:b w:val="0"/>
          <w:bCs/>
          <w:color w:val="auto"/>
          <w:szCs w:val="21"/>
          <w:highlight w:val="none"/>
          <w:u w:val="none"/>
        </w:rPr>
        <w:t>项的资料取自投标人在广州公共资源交易平台企业库、城市园林绿化企业工程业绩库中的资料</w:t>
      </w:r>
      <w:r>
        <w:rPr>
          <w:rFonts w:hint="eastAsia" w:ascii="宋体" w:hAnsi="宋体" w:eastAsia="宋体"/>
          <w:b w:val="0"/>
          <w:bCs/>
          <w:color w:val="auto"/>
          <w:szCs w:val="21"/>
          <w:highlight w:val="none"/>
        </w:rPr>
        <w:t>，广州公共资源交易平台企业库、城市园林绿化企业工程业绩库中该部分信息将被视为投标人递交的资格审查资料的一部分，资格审查文件不需另行提交。</w:t>
      </w:r>
    </w:p>
    <w:p w14:paraId="36908528">
      <w:pPr>
        <w:spacing w:line="480" w:lineRule="auto"/>
        <w:ind w:firstLine="472" w:firstLineChars="224"/>
        <w:rPr>
          <w:rFonts w:ascii="宋体" w:hAnsi="宋体" w:eastAsia="宋体"/>
          <w:b/>
          <w:color w:val="auto"/>
          <w:szCs w:val="21"/>
          <w:highlight w:val="none"/>
        </w:rPr>
      </w:pPr>
      <w:r>
        <w:rPr>
          <w:rFonts w:hint="eastAsia" w:ascii="宋体" w:hAnsi="宋体" w:eastAsia="宋体"/>
          <w:b/>
          <w:color w:val="auto"/>
          <w:szCs w:val="21"/>
          <w:highlight w:val="none"/>
        </w:rPr>
        <w:t>条款号：11.3             修改类型：修改</w:t>
      </w:r>
    </w:p>
    <w:p w14:paraId="7F22A4E6">
      <w:pPr>
        <w:spacing w:line="360" w:lineRule="auto"/>
        <w:ind w:firstLine="422" w:firstLineChars="200"/>
        <w:rPr>
          <w:rFonts w:ascii="宋体" w:hAnsi="宋体" w:eastAsia="宋体"/>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Cs/>
          <w:color w:val="auto"/>
          <w:szCs w:val="21"/>
          <w:highlight w:val="none"/>
        </w:rPr>
        <w:t>11.3技术部分（施工组织方案）文件（办法二可选）：</w:t>
      </w:r>
    </w:p>
    <w:p w14:paraId="57D1D4D8">
      <w:pPr>
        <w:spacing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技术部分（施工组织方案）文件评审采用“暗标形式”，文件中不得出现名称、印章、商标、投标金额等记认符号（或使人辨认出投标人或其专业技术人员的身份）或出现涉及人员姓名、简历等暴露投标人身份的内容。技术部分（施工组织方案）文件投标文件应包含但不限于一下内容：</w:t>
      </w:r>
    </w:p>
    <w:p w14:paraId="18507C09">
      <w:pPr>
        <w:numPr>
          <w:ilvl w:val="0"/>
          <w:numId w:val="1"/>
        </w:numPr>
        <w:spacing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技术部分（施工组织方案）文件以A4（210mm*297mm）规格编排；</w:t>
      </w:r>
    </w:p>
    <w:p w14:paraId="12F1176D">
      <w:pPr>
        <w:numPr>
          <w:ilvl w:val="0"/>
          <w:numId w:val="1"/>
        </w:numPr>
        <w:spacing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技术部分（施工组织方案）文件页数最多不超过</w:t>
      </w:r>
      <w:r>
        <w:rPr>
          <w:rFonts w:hint="eastAsia" w:ascii="宋体" w:hAnsi="宋体" w:eastAsia="宋体"/>
          <w:bCs/>
          <w:color w:val="auto"/>
          <w:szCs w:val="21"/>
          <w:highlight w:val="none"/>
          <w:u w:val="single"/>
        </w:rPr>
        <w:t xml:space="preserve">   </w:t>
      </w:r>
      <w:r>
        <w:rPr>
          <w:rFonts w:hint="eastAsia" w:ascii="宋体" w:hAnsi="宋体" w:eastAsia="宋体"/>
          <w:bCs/>
          <w:color w:val="auto"/>
          <w:szCs w:val="21"/>
          <w:highlight w:val="none"/>
        </w:rPr>
        <w:t>页（</w:t>
      </w:r>
      <w:r>
        <w:rPr>
          <w:rFonts w:hint="eastAsia" w:ascii="宋体" w:hAnsi="宋体" w:eastAsia="宋体"/>
          <w:bCs/>
          <w:color w:val="auto"/>
          <w:szCs w:val="21"/>
          <w:highlight w:val="none"/>
          <w:u w:val="single"/>
        </w:rPr>
        <w:t>50</w:t>
      </w:r>
      <w:r>
        <w:rPr>
          <w:rFonts w:hint="eastAsia" w:ascii="宋体" w:hAnsi="宋体" w:eastAsia="宋体"/>
          <w:bCs/>
          <w:color w:val="auto"/>
          <w:szCs w:val="21"/>
          <w:highlight w:val="none"/>
        </w:rPr>
        <w:t>页，不包括封面及目录页）；</w:t>
      </w:r>
    </w:p>
    <w:p w14:paraId="10A56E6C">
      <w:pPr>
        <w:numPr>
          <w:ilvl w:val="0"/>
          <w:numId w:val="1"/>
        </w:numPr>
        <w:spacing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技术部分（施工组织方案）文件正文内容：</w:t>
      </w:r>
    </w:p>
    <w:p w14:paraId="57F23696">
      <w:pPr>
        <w:spacing w:line="360" w:lineRule="auto"/>
        <w:ind w:left="420" w:leftChars="200"/>
        <w:rPr>
          <w:rFonts w:ascii="宋体" w:hAnsi="宋体" w:eastAsia="宋体"/>
          <w:bCs/>
          <w:color w:val="auto"/>
          <w:szCs w:val="21"/>
          <w:highlight w:val="none"/>
        </w:rPr>
      </w:pPr>
      <w:r>
        <w:rPr>
          <w:rFonts w:hint="eastAsia" w:ascii="宋体" w:hAnsi="宋体" w:eastAsia="宋体"/>
          <w:bCs/>
          <w:color w:val="auto"/>
          <w:szCs w:val="21"/>
          <w:highlight w:val="none"/>
        </w:rPr>
        <w:t xml:space="preserve">  ①封面：写明项目名称、编制年月；</w:t>
      </w:r>
    </w:p>
    <w:p w14:paraId="6D427993">
      <w:pPr>
        <w:spacing w:line="360" w:lineRule="auto"/>
        <w:ind w:left="420" w:leftChars="200"/>
        <w:rPr>
          <w:rFonts w:ascii="宋体" w:hAnsi="宋体" w:eastAsia="宋体"/>
          <w:bCs/>
          <w:color w:val="auto"/>
          <w:szCs w:val="21"/>
          <w:highlight w:val="none"/>
        </w:rPr>
      </w:pPr>
      <w:r>
        <w:rPr>
          <w:rFonts w:hint="eastAsia" w:ascii="宋体" w:hAnsi="宋体" w:eastAsia="宋体"/>
          <w:bCs/>
          <w:color w:val="auto"/>
          <w:szCs w:val="21"/>
          <w:highlight w:val="none"/>
        </w:rPr>
        <w:t xml:space="preserve">  ②目录；</w:t>
      </w:r>
    </w:p>
    <w:p w14:paraId="40872FFF">
      <w:pPr>
        <w:spacing w:line="360" w:lineRule="auto"/>
        <w:ind w:left="420" w:leftChars="200"/>
        <w:rPr>
          <w:rFonts w:ascii="宋体" w:hAnsi="宋体" w:eastAsia="宋体"/>
          <w:bCs/>
          <w:color w:val="auto"/>
          <w:szCs w:val="21"/>
          <w:highlight w:val="none"/>
        </w:rPr>
      </w:pPr>
      <w:r>
        <w:rPr>
          <w:rFonts w:hint="eastAsia" w:ascii="宋体" w:hAnsi="宋体" w:eastAsia="宋体"/>
          <w:bCs/>
          <w:color w:val="auto"/>
          <w:szCs w:val="21"/>
          <w:highlight w:val="none"/>
        </w:rPr>
        <w:t xml:space="preserve">  ③概况；</w:t>
      </w:r>
    </w:p>
    <w:p w14:paraId="757D73A6">
      <w:pPr>
        <w:spacing w:line="360" w:lineRule="auto"/>
        <w:ind w:left="420" w:leftChars="200"/>
        <w:rPr>
          <w:rFonts w:ascii="宋体" w:hAnsi="宋体" w:eastAsia="宋体"/>
          <w:bCs/>
          <w:color w:val="auto"/>
          <w:szCs w:val="21"/>
          <w:highlight w:val="none"/>
        </w:rPr>
      </w:pPr>
      <w:r>
        <w:rPr>
          <w:rFonts w:hint="eastAsia" w:ascii="宋体" w:hAnsi="宋体" w:eastAsia="宋体"/>
          <w:bCs/>
          <w:color w:val="auto"/>
          <w:szCs w:val="21"/>
          <w:highlight w:val="none"/>
        </w:rPr>
        <w:t xml:space="preserve">  ④工作目标与组织架构；</w:t>
      </w:r>
    </w:p>
    <w:p w14:paraId="417B9C4D">
      <w:pPr>
        <w:spacing w:line="360" w:lineRule="auto"/>
        <w:ind w:left="420" w:leftChars="200"/>
        <w:rPr>
          <w:rFonts w:ascii="宋体" w:hAnsi="宋体" w:eastAsia="宋体"/>
          <w:bCs/>
          <w:color w:val="auto"/>
          <w:szCs w:val="21"/>
          <w:highlight w:val="none"/>
        </w:rPr>
      </w:pPr>
      <w:r>
        <w:rPr>
          <w:rFonts w:hint="eastAsia" w:ascii="宋体" w:hAnsi="宋体" w:eastAsia="宋体"/>
          <w:bCs/>
          <w:color w:val="auto"/>
          <w:szCs w:val="21"/>
          <w:highlight w:val="none"/>
        </w:rPr>
        <w:t xml:space="preserve">  ⑤现状调研与分析；</w:t>
      </w:r>
    </w:p>
    <w:p w14:paraId="075A83D1">
      <w:pPr>
        <w:spacing w:line="360" w:lineRule="auto"/>
        <w:ind w:left="420" w:leftChars="200"/>
        <w:rPr>
          <w:rFonts w:ascii="宋体" w:hAnsi="宋体" w:eastAsia="宋体"/>
          <w:bCs/>
          <w:color w:val="auto"/>
          <w:szCs w:val="21"/>
          <w:highlight w:val="none"/>
        </w:rPr>
      </w:pPr>
      <w:r>
        <w:rPr>
          <w:rFonts w:hint="eastAsia" w:ascii="宋体" w:hAnsi="宋体" w:eastAsia="宋体"/>
          <w:bCs/>
          <w:color w:val="auto"/>
          <w:szCs w:val="21"/>
          <w:highlight w:val="none"/>
        </w:rPr>
        <w:t xml:space="preserve">  ⑥实施方案；</w:t>
      </w:r>
    </w:p>
    <w:p w14:paraId="58410871">
      <w:pPr>
        <w:spacing w:line="360" w:lineRule="auto"/>
        <w:ind w:left="420" w:leftChars="200"/>
        <w:rPr>
          <w:rFonts w:ascii="宋体" w:hAnsi="宋体" w:eastAsia="宋体"/>
          <w:bCs/>
          <w:color w:val="auto"/>
          <w:szCs w:val="21"/>
          <w:highlight w:val="none"/>
        </w:rPr>
      </w:pPr>
      <w:r>
        <w:rPr>
          <w:rFonts w:hint="eastAsia" w:ascii="宋体" w:hAnsi="宋体" w:eastAsia="宋体"/>
          <w:bCs/>
          <w:color w:val="auto"/>
          <w:szCs w:val="21"/>
          <w:highlight w:val="none"/>
        </w:rPr>
        <w:t xml:space="preserve">  ⑦投资及风险控制；</w:t>
      </w:r>
    </w:p>
    <w:p w14:paraId="429A0DDA">
      <w:pPr>
        <w:spacing w:line="360" w:lineRule="auto"/>
        <w:ind w:left="420" w:leftChars="200"/>
        <w:rPr>
          <w:rFonts w:ascii="宋体" w:hAnsi="宋体" w:eastAsia="宋体"/>
          <w:b/>
          <w:color w:val="auto"/>
          <w:szCs w:val="21"/>
          <w:highlight w:val="none"/>
        </w:rPr>
      </w:pPr>
      <w:r>
        <w:rPr>
          <w:rFonts w:hint="eastAsia" w:ascii="宋体" w:hAnsi="宋体" w:eastAsia="宋体"/>
          <w:bCs/>
          <w:color w:val="auto"/>
          <w:szCs w:val="21"/>
          <w:highlight w:val="none"/>
        </w:rPr>
        <w:t xml:space="preserve">  ⑧投标人认为有必要提供的其他资料</w:t>
      </w:r>
    </w:p>
    <w:p w14:paraId="09740C84">
      <w:pPr>
        <w:spacing w:line="360" w:lineRule="auto"/>
        <w:ind w:firstLine="422" w:firstLineChars="200"/>
        <w:rPr>
          <w:rFonts w:ascii="宋体" w:hAnsi="宋体" w:eastAsia="宋体" w:cs="宋体"/>
          <w:bCs/>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bCs/>
          <w:color w:val="auto"/>
          <w:szCs w:val="21"/>
          <w:highlight w:val="none"/>
        </w:rPr>
        <w:t>11.3</w:t>
      </w:r>
      <w:r>
        <w:rPr>
          <w:rFonts w:hint="eastAsia" w:ascii="宋体" w:hAnsi="宋体" w:eastAsia="宋体" w:cs="宋体"/>
          <w:bCs/>
          <w:color w:val="auto"/>
          <w:szCs w:val="21"/>
          <w:highlight w:val="none"/>
          <w:u w:val="single"/>
        </w:rPr>
        <w:t>技术部分（施工组织方案）文件</w:t>
      </w:r>
      <w:r>
        <w:rPr>
          <w:rFonts w:hint="eastAsia" w:ascii="宋体" w:hAnsi="宋体" w:eastAsia="宋体" w:cs="宋体"/>
          <w:bCs/>
          <w:color w:val="auto"/>
          <w:szCs w:val="21"/>
          <w:highlight w:val="none"/>
        </w:rPr>
        <w:t>：</w:t>
      </w:r>
    </w:p>
    <w:p w14:paraId="22B44907">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技术部分（施工组织方案）文件评审采用“暗标形式”，文件中不得出现名称、印章、商标、投标金额等记认符号（或使人辨认出投标人或其专业技术人员的身份）或出现涉及人员姓名、简历等暴露投标人身份的内容。技术部分（施工组织方案）文件投标文件应包含但不限于</w:t>
      </w:r>
      <w:r>
        <w:rPr>
          <w:rFonts w:hint="eastAsia" w:ascii="宋体" w:hAnsi="宋体" w:eastAsia="宋体" w:cs="宋体"/>
          <w:bCs/>
          <w:color w:val="auto"/>
          <w:szCs w:val="21"/>
          <w:highlight w:val="none"/>
          <w:u w:val="single"/>
        </w:rPr>
        <w:t>以</w:t>
      </w:r>
      <w:r>
        <w:rPr>
          <w:rFonts w:hint="eastAsia" w:ascii="宋体" w:hAnsi="宋体" w:eastAsia="宋体" w:cs="宋体"/>
          <w:bCs/>
          <w:color w:val="auto"/>
          <w:szCs w:val="21"/>
          <w:highlight w:val="none"/>
        </w:rPr>
        <w:t>下内容：</w:t>
      </w:r>
    </w:p>
    <w:p w14:paraId="193A8504">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（1）技术部分（施工组织方案）文件以A4（210mm*297mm）规格编排；</w:t>
      </w:r>
    </w:p>
    <w:p w14:paraId="6CDA89E8">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（2）技术部分（施工组织方案）文件页数最多不超过</w:t>
      </w:r>
      <w:r>
        <w:rPr>
          <w:rFonts w:hint="eastAsia" w:ascii="宋体" w:hAnsi="宋体" w:eastAsia="宋体" w:cs="宋体"/>
          <w:bCs/>
          <w:color w:val="auto"/>
          <w:szCs w:val="21"/>
          <w:highlight w:val="none"/>
          <w:u w:val="single"/>
        </w:rPr>
        <w:t>50</w:t>
      </w:r>
      <w:r>
        <w:rPr>
          <w:rFonts w:hint="eastAsia" w:ascii="宋体" w:hAnsi="宋体" w:eastAsia="宋体" w:cs="宋体"/>
          <w:bCs/>
          <w:color w:val="auto"/>
          <w:szCs w:val="21"/>
          <w:highlight w:val="none"/>
        </w:rPr>
        <w:t>页（</w:t>
      </w:r>
      <w:r>
        <w:rPr>
          <w:rFonts w:hint="eastAsia" w:ascii="宋体" w:hAnsi="宋体" w:eastAsia="宋体" w:cs="宋体"/>
          <w:bCs/>
          <w:color w:val="auto"/>
          <w:szCs w:val="21"/>
          <w:highlight w:val="none"/>
          <w:u w:val="single"/>
        </w:rPr>
        <w:t>50</w:t>
      </w:r>
      <w:r>
        <w:rPr>
          <w:rFonts w:hint="eastAsia" w:ascii="宋体" w:hAnsi="宋体" w:eastAsia="宋体" w:cs="宋体"/>
          <w:bCs/>
          <w:color w:val="auto"/>
          <w:szCs w:val="21"/>
          <w:highlight w:val="none"/>
        </w:rPr>
        <w:t>页，不包括封面及目录页）；</w:t>
      </w:r>
    </w:p>
    <w:p w14:paraId="3196B5CA">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（3）技术部分（施工组织方案）文件正文内容：</w:t>
      </w:r>
    </w:p>
    <w:p w14:paraId="3EF1C0ED">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①封面：写明项目名称、编制年月；</w:t>
      </w:r>
    </w:p>
    <w:p w14:paraId="246A9D70">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②目录；</w:t>
      </w:r>
    </w:p>
    <w:p w14:paraId="655561FC">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③概况；</w:t>
      </w:r>
    </w:p>
    <w:p w14:paraId="36DC309B">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④工作目标与组织架构；</w:t>
      </w:r>
    </w:p>
    <w:p w14:paraId="5D211141">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⑤现状调研与分析；</w:t>
      </w:r>
    </w:p>
    <w:p w14:paraId="7B2F5295">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⑥实施方案；</w:t>
      </w:r>
    </w:p>
    <w:p w14:paraId="2F47AC68">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⑦投资及风险控制；</w:t>
      </w:r>
    </w:p>
    <w:p w14:paraId="77B4B498">
      <w:pPr>
        <w:pBdr>
          <w:bottom w:val="single" w:color="auto" w:sz="6" w:space="1"/>
        </w:pBd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⑧投标人认为有必要提供的其他资料</w:t>
      </w:r>
      <w:r>
        <w:rPr>
          <w:rFonts w:hint="eastAsia" w:ascii="宋体" w:hAnsi="宋体" w:eastAsia="宋体" w:cs="宋体"/>
          <w:bCs/>
          <w:color w:val="auto"/>
          <w:szCs w:val="21"/>
          <w:highlight w:val="none"/>
          <w:u w:val="none"/>
        </w:rPr>
        <w:t>。</w:t>
      </w:r>
    </w:p>
    <w:p w14:paraId="10652A39">
      <w:pPr>
        <w:spacing w:line="480" w:lineRule="auto"/>
        <w:ind w:firstLine="472" w:firstLineChars="224"/>
        <w:rPr>
          <w:rFonts w:ascii="宋体" w:hAnsi="宋体" w:eastAsia="宋体"/>
          <w:b/>
          <w:color w:val="auto"/>
          <w:szCs w:val="21"/>
          <w:highlight w:val="none"/>
        </w:rPr>
      </w:pPr>
      <w:r>
        <w:rPr>
          <w:rFonts w:hint="eastAsia" w:ascii="宋体" w:hAnsi="宋体" w:eastAsia="宋体"/>
          <w:b/>
          <w:color w:val="auto"/>
          <w:szCs w:val="21"/>
          <w:highlight w:val="none"/>
        </w:rPr>
        <w:t>条款号：11.4.5             修改类型：修改</w:t>
      </w:r>
    </w:p>
    <w:p w14:paraId="5645C391">
      <w:pPr>
        <w:spacing w:line="360" w:lineRule="auto"/>
        <w:ind w:firstLine="422" w:firstLineChars="200"/>
        <w:rPr>
          <w:rFonts w:ascii="宋体" w:hAnsi="宋体" w:eastAsia="宋体"/>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Cs/>
          <w:color w:val="auto"/>
          <w:szCs w:val="21"/>
          <w:highlight w:val="none"/>
        </w:rPr>
        <w:t>11.4.5项目管理机构能力（办法二可选）；</w:t>
      </w:r>
    </w:p>
    <w:p w14:paraId="18CCCF1B">
      <w:pPr>
        <w:spacing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（1）投标人应列出本工程的施工组织机构构成和画出机构框架图及其负责人；</w:t>
      </w:r>
    </w:p>
    <w:p w14:paraId="7CEE4E1B">
      <w:pPr>
        <w:spacing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（2）投标人应详细列出本工程组织机构中主要成员的名单、简历资料、职务职称和在本项目中拟担任的职务等资料，并附上有关证明材料复印件；</w:t>
      </w:r>
    </w:p>
    <w:p w14:paraId="3A82DF75">
      <w:pPr>
        <w:spacing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（3）项目负责人能力、企业技术力量配备情况</w:t>
      </w:r>
    </w:p>
    <w:p w14:paraId="26E818C7">
      <w:pPr>
        <w:pStyle w:val="5"/>
        <w:spacing w:after="0" w:line="360" w:lineRule="auto"/>
        <w:ind w:firstLineChars="200"/>
        <w:rPr>
          <w:rFonts w:ascii="宋体" w:hAnsi="宋体" w:eastAsia="宋体"/>
          <w:b/>
          <w:color w:val="auto"/>
          <w:szCs w:val="21"/>
          <w:highlight w:val="none"/>
        </w:rPr>
      </w:pPr>
      <w:r>
        <w:rPr>
          <w:rFonts w:hint="eastAsia" w:ascii="宋体" w:hAnsi="宋体" w:eastAsia="宋体"/>
          <w:bCs/>
          <w:color w:val="auto"/>
          <w:szCs w:val="21"/>
          <w:highlight w:val="none"/>
        </w:rPr>
        <w:t>（4）其他辅助说明资料。</w:t>
      </w:r>
    </w:p>
    <w:p w14:paraId="59DCE0F6">
      <w:pPr>
        <w:spacing w:line="360" w:lineRule="auto"/>
        <w:ind w:firstLine="422" w:firstLineChars="200"/>
        <w:rPr>
          <w:rFonts w:ascii="宋体" w:hAnsi="宋体" w:eastAsia="宋体" w:cs="宋体"/>
          <w:bCs/>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bCs/>
          <w:color w:val="auto"/>
          <w:szCs w:val="21"/>
          <w:highlight w:val="none"/>
        </w:rPr>
        <w:t>11.4.5</w:t>
      </w:r>
      <w:r>
        <w:rPr>
          <w:rFonts w:hint="eastAsia" w:ascii="宋体" w:hAnsi="宋体" w:eastAsia="宋体" w:cs="宋体"/>
          <w:bCs/>
          <w:color w:val="auto"/>
          <w:szCs w:val="21"/>
          <w:highlight w:val="none"/>
          <w:u w:val="single"/>
        </w:rPr>
        <w:t>项目管理机构能力；</w:t>
      </w:r>
    </w:p>
    <w:p w14:paraId="7BA00F7C">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（1）投标人应列出本工程的施工组织机构构成和画出机构框架图及其负责人；</w:t>
      </w:r>
    </w:p>
    <w:p w14:paraId="6CA0DB7C">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（2）投标人应详细列出本工程组织机构中主要成员的名单、简历资料、职务职称和在本项目中拟担任的职务等资料，并附上有关证明材料</w:t>
      </w:r>
      <w:r>
        <w:rPr>
          <w:rFonts w:hint="eastAsia" w:ascii="宋体" w:hAnsi="宋体" w:eastAsia="宋体" w:cs="宋体"/>
          <w:bCs/>
          <w:color w:val="auto"/>
          <w:szCs w:val="21"/>
          <w:highlight w:val="none"/>
          <w:u w:val="single"/>
        </w:rPr>
        <w:t>扫描件（格式见第四章附件1</w:t>
      </w:r>
      <w:r>
        <w:rPr>
          <w:rFonts w:hint="eastAsia" w:ascii="宋体" w:hAnsi="宋体" w:eastAsia="宋体" w:cs="宋体"/>
          <w:bCs/>
          <w:color w:val="auto"/>
          <w:szCs w:val="21"/>
          <w:highlight w:val="none"/>
          <w:u w:val="single"/>
          <w:lang w:val="en-US" w:eastAsia="zh-CN"/>
        </w:rPr>
        <w:t>7</w:t>
      </w:r>
      <w:r>
        <w:rPr>
          <w:rFonts w:hint="eastAsia" w:ascii="宋体" w:hAnsi="宋体" w:eastAsia="宋体" w:cs="宋体"/>
          <w:bCs/>
          <w:color w:val="auto"/>
          <w:szCs w:val="21"/>
          <w:highlight w:val="none"/>
          <w:u w:val="single"/>
        </w:rPr>
        <w:t>《主要人员简历表》）</w:t>
      </w:r>
      <w:r>
        <w:rPr>
          <w:rFonts w:hint="eastAsia" w:ascii="宋体" w:hAnsi="宋体" w:eastAsia="宋体" w:cs="宋体"/>
          <w:bCs/>
          <w:color w:val="auto"/>
          <w:szCs w:val="21"/>
          <w:highlight w:val="none"/>
        </w:rPr>
        <w:t>；</w:t>
      </w:r>
    </w:p>
    <w:p w14:paraId="083DCE29">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（3）项目负责人能力、企业技术力量配备情况</w:t>
      </w:r>
      <w:r>
        <w:rPr>
          <w:rFonts w:hint="eastAsia" w:ascii="宋体" w:hAnsi="宋体" w:eastAsia="宋体" w:cs="宋体"/>
          <w:bCs/>
          <w:color w:val="auto"/>
          <w:szCs w:val="21"/>
          <w:highlight w:val="none"/>
          <w:u w:val="none"/>
        </w:rPr>
        <w:t>；</w:t>
      </w:r>
    </w:p>
    <w:p w14:paraId="42187245">
      <w:pPr>
        <w:pBdr>
          <w:bottom w:val="single" w:color="auto" w:sz="6" w:space="1"/>
        </w:pBd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（4）其他辅助说明资料。</w:t>
      </w:r>
    </w:p>
    <w:p w14:paraId="23FDD148">
      <w:pPr>
        <w:spacing w:line="480" w:lineRule="auto"/>
        <w:ind w:firstLine="472" w:firstLineChars="224"/>
        <w:rPr>
          <w:rFonts w:ascii="宋体" w:hAnsi="宋体" w:eastAsia="宋体"/>
          <w:b/>
          <w:color w:val="auto"/>
          <w:szCs w:val="21"/>
          <w:highlight w:val="none"/>
        </w:rPr>
      </w:pPr>
      <w:r>
        <w:rPr>
          <w:rFonts w:hint="eastAsia" w:ascii="宋体" w:hAnsi="宋体" w:eastAsia="宋体"/>
          <w:b/>
          <w:color w:val="auto"/>
          <w:szCs w:val="21"/>
          <w:highlight w:val="none"/>
        </w:rPr>
        <w:t>条款号：11.4.7           修改类型：修改</w:t>
      </w:r>
    </w:p>
    <w:p w14:paraId="3B3E1CEB">
      <w:pPr>
        <w:pStyle w:val="5"/>
        <w:spacing w:after="0"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11.4.7 企业施工经验（投标人选择用于评标的业绩须用本企业的CA数字证书对生成的内容进行签章。业绩资料取自投标人在</w:t>
      </w:r>
      <w:r>
        <w:rPr>
          <w:rFonts w:hint="eastAsia" w:ascii="宋体" w:hAnsi="宋体" w:eastAsia="宋体" w:cs="宋体"/>
          <w:color w:val="auto"/>
          <w:szCs w:val="21"/>
          <w:highlight w:val="none"/>
        </w:rPr>
        <w:t>广州公共资源交易平台城市园林绿化企业工程业绩库中的资料，</w:t>
      </w:r>
      <w:r>
        <w:rPr>
          <w:rFonts w:hint="eastAsia" w:ascii="宋体" w:hAnsi="宋体" w:eastAsia="宋体" w:cs="宋体"/>
          <w:bCs/>
          <w:color w:val="auto"/>
          <w:szCs w:val="21"/>
          <w:highlight w:val="none"/>
        </w:rPr>
        <w:t>在</w:t>
      </w:r>
      <w:r>
        <w:rPr>
          <w:rFonts w:hint="eastAsia" w:ascii="宋体" w:hAnsi="宋体" w:eastAsia="宋体" w:cs="宋体"/>
          <w:color w:val="auto"/>
          <w:szCs w:val="21"/>
          <w:highlight w:val="none"/>
        </w:rPr>
        <w:t>广州公共资源交易平台城市园林绿化企业工程业绩库记录的该部分资料将被视为投标人递交的投标资料的一部分，投标资料不需另行提交。）</w:t>
      </w:r>
    </w:p>
    <w:p w14:paraId="2F5A6D70">
      <w:pPr>
        <w:pBdr>
          <w:bottom w:val="single" w:color="auto" w:sz="6" w:space="1"/>
        </w:pBdr>
        <w:spacing w:line="360" w:lineRule="auto"/>
        <w:ind w:firstLine="422" w:firstLineChars="200"/>
        <w:rPr>
          <w:rFonts w:ascii="宋体" w:hAnsi="宋体" w:eastAsia="宋体" w:cs="宋体"/>
          <w:bCs/>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bCs/>
          <w:color w:val="auto"/>
          <w:szCs w:val="21"/>
          <w:highlight w:val="none"/>
        </w:rPr>
        <w:t>企业施工经验（投标人选择用于评标的业绩须用本企业的CA数字证书对生成的内容进行签章。业绩资料（</w:t>
      </w:r>
      <w:r>
        <w:rPr>
          <w:rFonts w:hint="eastAsia" w:ascii="宋体" w:hAnsi="宋体" w:eastAsia="宋体"/>
          <w:color w:val="auto"/>
          <w:szCs w:val="21"/>
          <w:highlight w:val="none"/>
          <w:u w:val="single"/>
        </w:rPr>
        <w:t>除造林绿化施工业绩外</w:t>
      </w:r>
      <w:r>
        <w:rPr>
          <w:rFonts w:hint="eastAsia" w:ascii="宋体" w:hAnsi="宋体" w:eastAsia="宋体"/>
          <w:bCs/>
          <w:color w:val="auto"/>
          <w:szCs w:val="21"/>
          <w:highlight w:val="none"/>
        </w:rPr>
        <w:t>）取自投标人在</w:t>
      </w:r>
      <w:r>
        <w:rPr>
          <w:rFonts w:hint="eastAsia" w:ascii="宋体" w:hAnsi="宋体" w:eastAsia="宋体"/>
          <w:color w:val="auto"/>
          <w:szCs w:val="21"/>
          <w:highlight w:val="none"/>
        </w:rPr>
        <w:t>广州公共资源交易平台城市园林绿化企业工程业绩库中的资料，</w:t>
      </w:r>
      <w:r>
        <w:rPr>
          <w:rFonts w:hint="eastAsia" w:ascii="宋体" w:hAnsi="宋体" w:eastAsia="宋体"/>
          <w:bCs/>
          <w:color w:val="auto"/>
          <w:szCs w:val="21"/>
          <w:highlight w:val="none"/>
        </w:rPr>
        <w:t>在</w:t>
      </w:r>
      <w:r>
        <w:rPr>
          <w:rFonts w:hint="eastAsia" w:ascii="宋体" w:hAnsi="宋体" w:eastAsia="宋体"/>
          <w:color w:val="auto"/>
          <w:szCs w:val="21"/>
          <w:highlight w:val="none"/>
        </w:rPr>
        <w:t>广州公共资源交易平台城市园林绿化企业工程业绩库记录的该部分资料将被视为投标人递交的投标资料的一部分，投标资料不需另行提交</w:t>
      </w:r>
      <w:r>
        <w:rPr>
          <w:rFonts w:hint="eastAsia" w:ascii="宋体" w:hAnsi="宋体" w:eastAsia="宋体" w:cs="宋体"/>
          <w:bCs/>
          <w:color w:val="auto"/>
          <w:szCs w:val="21"/>
          <w:highlight w:val="none"/>
        </w:rPr>
        <w:t>。</w:t>
      </w:r>
    </w:p>
    <w:p w14:paraId="48E9E67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11.8</w:t>
      </w:r>
      <w:r>
        <w:rPr>
          <w:rFonts w:hint="eastAsia" w:ascii="宋体" w:hAnsi="宋体" w:eastAsia="宋体"/>
          <w:b/>
          <w:color w:val="auto"/>
          <w:szCs w:val="21"/>
          <w:highlight w:val="none"/>
        </w:rPr>
        <w:t xml:space="preserve">             修改类型：修改</w:t>
      </w:r>
    </w:p>
    <w:p w14:paraId="51BD8CD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val="0"/>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11.</w:t>
      </w:r>
      <w:r>
        <w:rPr>
          <w:rFonts w:hint="eastAsia" w:ascii="宋体" w:hAnsi="宋体" w:eastAsia="宋体"/>
          <w:b w:val="0"/>
          <w:bCs/>
          <w:color w:val="auto"/>
          <w:szCs w:val="21"/>
          <w:highlight w:val="none"/>
          <w:lang w:val="en-US" w:eastAsia="zh-CN"/>
        </w:rPr>
        <w:t>8</w:t>
      </w:r>
      <w:r>
        <w:rPr>
          <w:rFonts w:hint="eastAsia" w:ascii="宋体" w:hAnsi="宋体" w:eastAsia="宋体"/>
          <w:b w:val="0"/>
          <w:bCs/>
          <w:color w:val="auto"/>
          <w:szCs w:val="21"/>
          <w:highlight w:val="none"/>
        </w:rPr>
        <w:t>投标人应使用依法设立的电子认证服务机构签发的电子签名认证证书对电子投标文件进行电子签名及电子签章。该电子签名及电子签章与手写签名或者盖章具有同等的法律效力。</w:t>
      </w:r>
    </w:p>
    <w:p w14:paraId="75CC0488">
      <w:pPr>
        <w:pBdr>
          <w:bottom w:val="single" w:color="auto" w:sz="6" w:space="1"/>
        </w:pBdr>
        <w:spacing w:line="360" w:lineRule="auto"/>
        <w:ind w:firstLine="472" w:firstLineChars="224"/>
        <w:rPr>
          <w:rFonts w:ascii="宋体" w:hAnsi="宋体" w:eastAsia="宋体"/>
          <w:b/>
          <w:color w:val="auto"/>
          <w:szCs w:val="21"/>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u w:val="none"/>
        </w:rPr>
        <w:t>11.</w:t>
      </w:r>
      <w:r>
        <w:rPr>
          <w:rFonts w:hint="eastAsia" w:ascii="宋体" w:hAnsi="宋体" w:eastAsia="宋体"/>
          <w:b w:val="0"/>
          <w:bCs/>
          <w:color w:val="auto"/>
          <w:szCs w:val="21"/>
          <w:highlight w:val="none"/>
          <w:u w:val="none"/>
          <w:lang w:val="en-US" w:eastAsia="zh-CN"/>
        </w:rPr>
        <w:t>8</w:t>
      </w:r>
      <w:r>
        <w:rPr>
          <w:rFonts w:hint="eastAsia" w:ascii="宋体" w:hAnsi="宋体" w:eastAsia="宋体"/>
          <w:b w:val="0"/>
          <w:bCs/>
          <w:color w:val="auto"/>
          <w:szCs w:val="21"/>
          <w:highlight w:val="none"/>
          <w:u w:val="none"/>
        </w:rPr>
        <w:t>投标人应使用依法设立的电子认证服务机构签发的电子签名认证证书对电子投标文件进行电子签名及电子签章。该电子签名及电子签章与手写签名或者盖章具有同等的法律效力。</w:t>
      </w:r>
      <w:r>
        <w:rPr>
          <w:rFonts w:hint="eastAsia" w:ascii="宋体" w:hAnsi="宋体" w:eastAsia="宋体"/>
          <w:b w:val="0"/>
          <w:bCs/>
          <w:color w:val="auto"/>
          <w:szCs w:val="21"/>
          <w:highlight w:val="none"/>
          <w:u w:val="single"/>
        </w:rPr>
        <w:t>投标文件中需个人签字或盖章的，应加盖个人电子印章或在线下完成后扫描上传。</w:t>
      </w:r>
    </w:p>
    <w:p w14:paraId="5DF3CEA6">
      <w:pPr>
        <w:spacing w:line="360" w:lineRule="auto"/>
        <w:ind w:firstLine="472" w:firstLineChars="224"/>
        <w:rPr>
          <w:rFonts w:ascii="宋体" w:hAnsi="宋体" w:eastAsia="宋体"/>
          <w:b/>
          <w:color w:val="auto"/>
          <w:szCs w:val="21"/>
          <w:highlight w:val="none"/>
        </w:rPr>
      </w:pPr>
      <w:r>
        <w:rPr>
          <w:rFonts w:hint="eastAsia" w:ascii="宋体" w:hAnsi="宋体" w:eastAsia="宋体"/>
          <w:b/>
          <w:color w:val="auto"/>
          <w:szCs w:val="21"/>
          <w:highlight w:val="none"/>
        </w:rPr>
        <w:t xml:space="preserve">条款号：  </w:t>
      </w:r>
      <w:r>
        <w:rPr>
          <w:rFonts w:hint="eastAsia" w:ascii="宋体" w:hAnsi="宋体" w:eastAsia="宋体"/>
          <w:b/>
          <w:color w:val="auto"/>
          <w:szCs w:val="21"/>
          <w:highlight w:val="none"/>
          <w:lang w:val="en-US" w:eastAsia="zh-CN"/>
        </w:rPr>
        <w:t>13.4</w:t>
      </w:r>
      <w:r>
        <w:rPr>
          <w:rFonts w:hint="eastAsia" w:ascii="宋体" w:hAnsi="宋体" w:eastAsia="宋体"/>
          <w:b/>
          <w:color w:val="auto"/>
          <w:szCs w:val="21"/>
          <w:highlight w:val="none"/>
        </w:rPr>
        <w:t xml:space="preserve">           修改类型：修改</w:t>
      </w:r>
    </w:p>
    <w:p w14:paraId="749126BD">
      <w:pPr>
        <w:spacing w:line="360" w:lineRule="auto"/>
        <w:ind w:firstLine="472" w:firstLineChars="224"/>
        <w:rPr>
          <w:rFonts w:hint="eastAsia" w:ascii="宋体" w:hAnsi="宋体" w:eastAsia="宋体"/>
          <w:b w:val="0"/>
          <w:bCs/>
          <w:color w:val="auto"/>
          <w:szCs w:val="21"/>
          <w:highlight w:val="none"/>
          <w:u w:val="none"/>
          <w:lang w:val="en-US" w:eastAsia="zh-CN"/>
        </w:rPr>
      </w:pPr>
      <w:r>
        <w:rPr>
          <w:rFonts w:hint="eastAsia" w:ascii="宋体" w:hAnsi="宋体" w:eastAsia="宋体"/>
          <w:b/>
          <w:color w:val="auto"/>
          <w:szCs w:val="21"/>
          <w:highlight w:val="none"/>
        </w:rPr>
        <w:t>原文：</w:t>
      </w:r>
      <w:r>
        <w:rPr>
          <w:rFonts w:hint="eastAsia" w:ascii="宋体" w:hAnsi="宋体" w:eastAsia="宋体"/>
          <w:b/>
          <w:color w:val="auto"/>
          <w:szCs w:val="21"/>
          <w:highlight w:val="none"/>
          <w:lang w:val="en-US" w:eastAsia="zh-CN"/>
        </w:rPr>
        <w:t>13.4</w:t>
      </w:r>
      <w:r>
        <w:rPr>
          <w:rFonts w:hint="eastAsia" w:ascii="宋体" w:hAnsi="宋体" w:eastAsia="宋体"/>
          <w:b w:val="0"/>
          <w:bCs/>
          <w:color w:val="auto"/>
          <w:szCs w:val="21"/>
          <w:highlight w:val="none"/>
          <w:u w:val="none"/>
        </w:rPr>
        <w:t>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w:t>
      </w:r>
      <w:r>
        <w:rPr>
          <w:rFonts w:hint="eastAsia" w:ascii="宋体" w:hAnsi="宋体" w:eastAsia="宋体"/>
          <w:b w:val="0"/>
          <w:bCs/>
          <w:color w:val="auto"/>
          <w:szCs w:val="21"/>
          <w:highlight w:val="none"/>
          <w:u w:val="none"/>
          <w:lang w:eastAsia="zh-CN"/>
        </w:rPr>
        <w:t>。</w:t>
      </w:r>
    </w:p>
    <w:p w14:paraId="1AB59E83">
      <w:pPr>
        <w:pBdr>
          <w:bottom w:val="single" w:color="auto" w:sz="6" w:space="1"/>
        </w:pBdr>
        <w:spacing w:line="360" w:lineRule="auto"/>
        <w:ind w:firstLine="422" w:firstLineChars="200"/>
        <w:rPr>
          <w:rFonts w:hint="eastAsia" w:ascii="宋体" w:hAnsi="宋体" w:eastAsia="宋体" w:cs="Times New Roman"/>
          <w:bCs/>
          <w:color w:val="auto"/>
          <w:szCs w:val="21"/>
          <w:highlight w:val="none"/>
        </w:rPr>
      </w:pPr>
      <w:r>
        <w:rPr>
          <w:rFonts w:hint="eastAsia" w:ascii="宋体" w:hAnsi="宋体" w:eastAsia="宋体"/>
          <w:b/>
          <w:color w:val="auto"/>
          <w:szCs w:val="21"/>
          <w:highlight w:val="none"/>
        </w:rPr>
        <w:t>现文：13.4</w:t>
      </w:r>
      <w:r>
        <w:rPr>
          <w:rFonts w:hint="eastAsia" w:ascii="宋体" w:hAnsi="宋体" w:eastAsia="宋体" w:cs="Times New Roman"/>
          <w:b w:val="0"/>
          <w:bCs/>
          <w:color w:val="auto"/>
          <w:szCs w:val="21"/>
          <w:highlight w:val="none"/>
        </w:rPr>
        <w:t>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w:t>
      </w:r>
      <w:r>
        <w:rPr>
          <w:rFonts w:hint="eastAsia" w:ascii="宋体" w:hAnsi="宋体" w:eastAsia="宋体" w:cs="Times New Roman"/>
          <w:b w:val="0"/>
          <w:bCs/>
          <w:color w:val="auto"/>
          <w:szCs w:val="21"/>
          <w:highlight w:val="none"/>
          <w:u w:val="single"/>
        </w:rPr>
        <w:t>（措施费合同另有约定的，按合同约定）</w:t>
      </w:r>
      <w:r>
        <w:rPr>
          <w:rFonts w:hint="eastAsia" w:ascii="宋体" w:hAnsi="宋体" w:eastAsia="宋体" w:cs="Times New Roman"/>
          <w:b w:val="0"/>
          <w:bCs/>
          <w:color w:val="auto"/>
          <w:szCs w:val="21"/>
          <w:highlight w:val="none"/>
        </w:rPr>
        <w:t>。</w:t>
      </w:r>
    </w:p>
    <w:p w14:paraId="4CB17220">
      <w:pPr>
        <w:pStyle w:val="5"/>
        <w:spacing w:line="360" w:lineRule="auto"/>
        <w:ind w:firstLine="0"/>
        <w:rPr>
          <w:rFonts w:hint="eastAsia" w:ascii="宋体" w:hAnsi="宋体" w:eastAsia="宋体"/>
          <w:b/>
          <w:color w:val="auto"/>
          <w:szCs w:val="21"/>
          <w:highlight w:val="none"/>
          <w:lang w:val="en-US" w:eastAsia="zh-CN"/>
        </w:rPr>
      </w:pPr>
      <w:r>
        <w:rPr>
          <w:rFonts w:hint="eastAsia" w:ascii="宋体" w:hAnsi="宋体" w:eastAsia="宋体"/>
          <w:b/>
          <w:color w:val="auto"/>
          <w:szCs w:val="21"/>
          <w:highlight w:val="none"/>
          <w:lang w:val="en-US" w:eastAsia="zh-CN"/>
        </w:rPr>
        <w:t xml:space="preserve"> 条款号： 13.6.4          修改类型：修改</w:t>
      </w:r>
    </w:p>
    <w:p w14:paraId="1779356A">
      <w:pPr>
        <w:pStyle w:val="5"/>
        <w:spacing w:line="360" w:lineRule="auto"/>
        <w:ind w:firstLine="0"/>
        <w:rPr>
          <w:rFonts w:hint="eastAsia" w:ascii="宋体" w:hAnsi="宋体" w:eastAsia="宋体"/>
          <w:b/>
          <w:color w:val="auto"/>
          <w:szCs w:val="21"/>
          <w:highlight w:val="none"/>
          <w:lang w:val="en-US" w:eastAsia="zh-CN"/>
        </w:rPr>
      </w:pPr>
      <w:r>
        <w:rPr>
          <w:rFonts w:hint="eastAsia" w:ascii="宋体" w:hAnsi="宋体" w:eastAsia="宋体"/>
          <w:b/>
          <w:color w:val="auto"/>
          <w:szCs w:val="21"/>
          <w:highlight w:val="none"/>
          <w:lang w:val="en-US" w:eastAsia="zh-CN"/>
        </w:rPr>
        <w:t xml:space="preserve">原文： </w:t>
      </w:r>
      <w:r>
        <w:rPr>
          <w:rFonts w:hint="eastAsia" w:ascii="宋体" w:hAnsi="宋体" w:eastAsia="宋体"/>
          <w:b/>
          <w:color w:val="auto"/>
          <w:szCs w:val="21"/>
          <w:highlight w:val="none"/>
        </w:rPr>
        <w:t>13.6.4</w:t>
      </w:r>
      <w:r>
        <w:rPr>
          <w:rFonts w:hint="eastAsia" w:ascii="宋体" w:hAnsi="宋体" w:eastAsia="宋体"/>
          <w:b w:val="0"/>
          <w:bCs/>
          <w:color w:val="auto"/>
          <w:szCs w:val="21"/>
          <w:highlight w:val="none"/>
        </w:rPr>
        <w:t>在工程实施中，暂列金额、暂估价所包含的工作范围和图纸、标准深化固定后，按照工程专业、设备、材料类别等分类汇总的金额，未达到法定招标范围标准也不适用政府采购规定，经发包人同意，承包人有法定的承包资格的，承包人无法定的承包资格但有法定的分包权的，由承包人分包，招标人同承包人结算的价格按本投标须知13.5款规定确定。</w:t>
      </w:r>
    </w:p>
    <w:p w14:paraId="0CA39B64">
      <w:pPr>
        <w:pBdr>
          <w:bottom w:val="single" w:color="auto" w:sz="6" w:space="1"/>
        </w:pBdr>
        <w:spacing w:line="360" w:lineRule="auto"/>
        <w:rPr>
          <w:rFonts w:hint="eastAsia" w:ascii="宋体" w:hAnsi="宋体" w:eastAsia="宋体"/>
          <w:b/>
          <w:color w:val="auto"/>
          <w:szCs w:val="21"/>
          <w:highlight w:val="none"/>
          <w:lang w:val="en-US" w:eastAsia="zh-CN"/>
        </w:rPr>
      </w:pPr>
      <w:r>
        <w:rPr>
          <w:rFonts w:hint="eastAsia" w:ascii="宋体" w:hAnsi="宋体" w:eastAsia="宋体" w:cs="Times New Roman"/>
          <w:b/>
          <w:bCs w:val="0"/>
          <w:color w:val="auto"/>
          <w:szCs w:val="21"/>
          <w:highlight w:val="none"/>
          <w:u w:val="none"/>
          <w:lang w:eastAsia="zh-CN"/>
        </w:rPr>
        <w:t>现文：</w:t>
      </w:r>
      <w:r>
        <w:rPr>
          <w:rFonts w:hint="eastAsia" w:ascii="宋体" w:hAnsi="宋体" w:eastAsia="宋体" w:cs="Times New Roman"/>
          <w:b w:val="0"/>
          <w:bCs/>
          <w:color w:val="auto"/>
          <w:szCs w:val="21"/>
          <w:highlight w:val="none"/>
          <w:u w:val="none"/>
          <w:lang w:eastAsia="zh-CN"/>
        </w:rPr>
        <w:t>在工程实施中，暂列金额、暂估价所包含的工作范围和图纸、标准深化固定后，按照工程专业、设备、材料类别等分类汇总的金额，未达到法定招标范围标准也不适用政府采购规定，经发包人同意，承包人有法定的承包资格的，</w:t>
      </w:r>
      <w:r>
        <w:rPr>
          <w:rFonts w:hint="eastAsia" w:ascii="宋体" w:hAnsi="宋体" w:eastAsia="宋体" w:cs="Times New Roman"/>
          <w:b w:val="0"/>
          <w:bCs/>
          <w:color w:val="auto"/>
          <w:szCs w:val="21"/>
          <w:highlight w:val="none"/>
          <w:u w:val="single"/>
          <w:lang w:eastAsia="zh-CN"/>
        </w:rPr>
        <w:t>由承包人承包</w:t>
      </w:r>
      <w:r>
        <w:rPr>
          <w:rFonts w:hint="eastAsia" w:ascii="宋体" w:hAnsi="宋体" w:eastAsia="宋体" w:cs="Times New Roman"/>
          <w:b w:val="0"/>
          <w:bCs/>
          <w:color w:val="auto"/>
          <w:szCs w:val="21"/>
          <w:highlight w:val="none"/>
          <w:u w:val="none"/>
          <w:lang w:eastAsia="zh-CN"/>
        </w:rPr>
        <w:t>，承包人无法定的承包资格但有法定的分包权的，由承包人分包，招标人同承包人结算的价格按本投标须知13.5款规定确定。</w:t>
      </w:r>
    </w:p>
    <w:p w14:paraId="1CBA923D">
      <w:pPr>
        <w:pStyle w:val="5"/>
        <w:spacing w:line="360" w:lineRule="auto"/>
        <w:ind w:firstLine="0"/>
        <w:rPr>
          <w:rFonts w:hint="eastAsia" w:ascii="宋体" w:hAnsi="宋体" w:eastAsia="宋体"/>
          <w:b/>
          <w:color w:val="auto"/>
          <w:szCs w:val="21"/>
          <w:highlight w:val="none"/>
          <w:lang w:val="en-US" w:eastAsia="zh-CN"/>
        </w:rPr>
      </w:pPr>
      <w:r>
        <w:rPr>
          <w:rFonts w:hint="eastAsia" w:ascii="宋体" w:hAnsi="宋体" w:eastAsia="宋体"/>
          <w:b/>
          <w:color w:val="auto"/>
          <w:szCs w:val="21"/>
          <w:highlight w:val="none"/>
          <w:lang w:val="en-US" w:eastAsia="zh-CN"/>
        </w:rPr>
        <w:t>条款号：13.9            修改类型：增加</w:t>
      </w:r>
    </w:p>
    <w:p w14:paraId="06D2358E">
      <w:pPr>
        <w:pBdr>
          <w:bottom w:val="single" w:color="auto" w:sz="6" w:space="1"/>
        </w:pBdr>
        <w:spacing w:line="360" w:lineRule="auto"/>
        <w:rPr>
          <w:rFonts w:hint="eastAsia" w:ascii="宋体" w:hAnsi="宋体" w:eastAsia="宋体"/>
          <w:b/>
          <w:color w:val="auto"/>
          <w:szCs w:val="21"/>
          <w:highlight w:val="none"/>
          <w:lang w:val="en-US" w:eastAsia="zh-CN"/>
        </w:rPr>
      </w:pPr>
      <w:r>
        <w:rPr>
          <w:rFonts w:hint="eastAsia" w:ascii="宋体" w:hAnsi="宋体" w:eastAsia="宋体"/>
          <w:b/>
          <w:color w:val="auto"/>
          <w:szCs w:val="21"/>
          <w:highlight w:val="none"/>
          <w:lang w:val="en-US" w:eastAsia="zh-CN"/>
        </w:rPr>
        <w:t>现文：13.9</w:t>
      </w:r>
      <w:r>
        <w:rPr>
          <w:rFonts w:hint="eastAsia" w:ascii="宋体" w:hAnsi="宋体" w:eastAsia="宋体"/>
          <w:b w:val="0"/>
          <w:bCs/>
          <w:color w:val="auto"/>
          <w:szCs w:val="21"/>
          <w:highlight w:val="none"/>
          <w:lang w:val="en-US" w:eastAsia="zh-CN"/>
        </w:rPr>
        <w:t>在工程实施过程中，承包人须服从发包人对项目的管理要求，并接受发包人提出的变更指令，投标人应当充分考虑此情况发生所产生的风险费用，并将其纳入招标人提供的工程量清单中的适当项目报价中。</w:t>
      </w:r>
    </w:p>
    <w:p w14:paraId="54CA9D5A">
      <w:pPr>
        <w:pStyle w:val="5"/>
        <w:spacing w:line="360" w:lineRule="auto"/>
        <w:ind w:firstLine="0"/>
        <w:rPr>
          <w:rFonts w:hint="eastAsia" w:ascii="宋体" w:hAnsi="宋体" w:eastAsia="宋体"/>
          <w:b/>
          <w:color w:val="auto"/>
          <w:szCs w:val="21"/>
          <w:highlight w:val="none"/>
          <w:lang w:val="en-US" w:eastAsia="zh-CN"/>
        </w:rPr>
      </w:pPr>
      <w:r>
        <w:rPr>
          <w:rFonts w:hint="eastAsia" w:ascii="宋体" w:hAnsi="宋体" w:eastAsia="宋体"/>
          <w:b/>
          <w:color w:val="auto"/>
          <w:szCs w:val="21"/>
          <w:highlight w:val="none"/>
          <w:lang w:val="en-US" w:eastAsia="zh-CN"/>
        </w:rPr>
        <w:t>条款号：15.2             修改类型：修改</w:t>
      </w:r>
    </w:p>
    <w:p w14:paraId="57F4416F">
      <w:pPr>
        <w:pStyle w:val="5"/>
        <w:spacing w:line="360" w:lineRule="auto"/>
        <w:ind w:firstLine="0"/>
        <w:rPr>
          <w:rFonts w:hint="eastAsia" w:ascii="宋体" w:hAnsi="宋体" w:eastAsia="宋体"/>
          <w:b w:val="0"/>
          <w:bCs/>
          <w:color w:val="auto"/>
          <w:szCs w:val="21"/>
          <w:highlight w:val="none"/>
          <w:lang w:val="en-US" w:eastAsia="zh-CN"/>
        </w:rPr>
      </w:pPr>
      <w:r>
        <w:rPr>
          <w:rFonts w:hint="eastAsia" w:ascii="宋体" w:hAnsi="宋体" w:eastAsia="宋体"/>
          <w:b/>
          <w:color w:val="auto"/>
          <w:szCs w:val="21"/>
          <w:highlight w:val="none"/>
          <w:lang w:val="en-US" w:eastAsia="zh-CN"/>
        </w:rPr>
        <w:t xml:space="preserve">原文：15.2 </w:t>
      </w:r>
      <w:r>
        <w:rPr>
          <w:rFonts w:hint="eastAsia" w:ascii="宋体" w:hAnsi="宋体" w:eastAsia="宋体"/>
          <w:b w:val="0"/>
          <w:bCs/>
          <w:color w:val="auto"/>
          <w:szCs w:val="21"/>
          <w:highlight w:val="none"/>
          <w:lang w:val="en-US" w:eastAsia="zh-CN"/>
        </w:rPr>
        <w:t>在特殊情况下，招标人在原定投标有效期内，可以根据需要以书面形式向投标人提出延长投标有效期的要求，对此要求投标人须以书面形式予以答复。投标人可以拒绝招标人这种要求，而投标保证金应当予以退还。同意延长投标有效期的投标人既不能要求也不允许修改其投标文件，但需要相应的延长投标保证金的有效期，在延长的投标有效期内，本须知第16条关于投标保证金的退还与否的规定仍然适用。</w:t>
      </w:r>
    </w:p>
    <w:p w14:paraId="3BF9BBFC">
      <w:pPr>
        <w:pBdr>
          <w:bottom w:val="single" w:color="auto" w:sz="6" w:space="1"/>
        </w:pBdr>
        <w:spacing w:line="360" w:lineRule="auto"/>
        <w:rPr>
          <w:rFonts w:hint="eastAsia" w:ascii="宋体" w:hAnsi="宋体" w:eastAsia="宋体"/>
          <w:b/>
          <w:color w:val="auto"/>
          <w:szCs w:val="21"/>
          <w:highlight w:val="none"/>
          <w:u w:val="single"/>
          <w:lang w:val="en-US" w:eastAsia="zh-CN"/>
        </w:rPr>
      </w:pPr>
      <w:r>
        <w:rPr>
          <w:rFonts w:hint="eastAsia" w:ascii="宋体" w:hAnsi="宋体" w:eastAsia="宋体"/>
          <w:b/>
          <w:color w:val="auto"/>
          <w:szCs w:val="21"/>
          <w:highlight w:val="none"/>
          <w:lang w:val="en-US" w:eastAsia="zh-CN"/>
        </w:rPr>
        <w:t xml:space="preserve">现文：15.2 </w:t>
      </w:r>
      <w:r>
        <w:rPr>
          <w:rFonts w:hint="eastAsia" w:ascii="宋体" w:hAnsi="宋体" w:eastAsia="宋体"/>
          <w:b w:val="0"/>
          <w:bCs/>
          <w:color w:val="auto"/>
          <w:szCs w:val="21"/>
          <w:highlight w:val="none"/>
          <w:lang w:val="en-US" w:eastAsia="zh-CN"/>
        </w:rPr>
        <w:t>在特殊情况下，招标人在原定投标有效期内，可以根据需要以书面形式向投标人提出延长投标有效期的要求，对此要求投标人须以书面形式予以答复。</w:t>
      </w:r>
      <w:r>
        <w:rPr>
          <w:rFonts w:hint="eastAsia" w:ascii="宋体" w:hAnsi="宋体" w:eastAsia="宋体"/>
          <w:b w:val="0"/>
          <w:bCs/>
          <w:color w:val="auto"/>
          <w:szCs w:val="21"/>
          <w:highlight w:val="none"/>
          <w:u w:val="single"/>
          <w:lang w:val="en-US" w:eastAsia="zh-CN"/>
        </w:rPr>
        <w:t>投标人可以拒绝招标人这种要求。同意延长投标有效期的投标人既不能要求也不允许修改其投标文件。</w:t>
      </w:r>
    </w:p>
    <w:p w14:paraId="48D54B4A">
      <w:pPr>
        <w:pStyle w:val="5"/>
        <w:spacing w:line="360" w:lineRule="auto"/>
        <w:ind w:firstLine="0"/>
        <w:rPr>
          <w:rFonts w:ascii="宋体" w:hAnsi="宋体" w:eastAsia="宋体"/>
          <w:b/>
          <w:color w:val="auto"/>
          <w:szCs w:val="21"/>
          <w:highlight w:val="none"/>
        </w:rPr>
      </w:pPr>
      <w:r>
        <w:rPr>
          <w:rFonts w:hint="eastAsia" w:ascii="宋体" w:hAnsi="宋体" w:eastAsia="宋体"/>
          <w:b/>
          <w:color w:val="auto"/>
          <w:szCs w:val="21"/>
          <w:highlight w:val="none"/>
          <w:lang w:val="en-US" w:eastAsia="zh-CN"/>
        </w:rPr>
        <w:t xml:space="preserve"> </w:t>
      </w: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16</w:t>
      </w:r>
      <w:r>
        <w:rPr>
          <w:rFonts w:hint="eastAsia" w:ascii="宋体" w:hAnsi="宋体" w:eastAsia="宋体"/>
          <w:b/>
          <w:color w:val="auto"/>
          <w:szCs w:val="21"/>
          <w:highlight w:val="none"/>
        </w:rPr>
        <w:t xml:space="preserve">             修改类型：修改</w:t>
      </w:r>
    </w:p>
    <w:p w14:paraId="7FF80DA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val="0"/>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16．投标保证金</w:t>
      </w:r>
    </w:p>
    <w:p w14:paraId="343EBE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16.1投标人应按投标须知前附表第14项所述金额和时间递交投标保证金。招标人可委托广州交易集团有限公司（广州公共资源交易中心）具体实施保证金的收取和退还工作，并按照《广东省实施&lt;中华人民共和国招标投标法&gt;办法》第二十五条规定，按期退回投标保证金。</w:t>
      </w:r>
    </w:p>
    <w:p w14:paraId="397C8B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16.2所有投标保证金必须由投标人的银行基本账户转出。</w:t>
      </w:r>
    </w:p>
    <w:p w14:paraId="4098C5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16.3如采用转帐、现金、支票、汇票形式提交的，可委托广州交易集团有限公司（广州公共资源交易中心）代收投标保证金，其缴纳情况以广州公共资源交易平台数据库记录的信息为准。</w:t>
      </w:r>
    </w:p>
    <w:p w14:paraId="219F65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16.4缴费的操作详见广州公共资源交易网站公布的操作指引。</w:t>
      </w:r>
    </w:p>
    <w:p w14:paraId="5798E3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16.5 投标人未按要求递交投标保证金的，其投标文件将被否决。如采用保函或保险等形式提交的，保函需开具给招标人，保函有效期不少于投标有效期。保证保险需开具给招标人（受益人必须是招标人），保证保险有效期不少于投标有效期。如采用投标保函或投标保证保险的形式提交投标保证金的，在开标前不强制要求投标人提交纸质原件，由中标候选人在中标候选人公示前提交并在网上公示，投标人应在投标文件中提交投标保函或投标保证保险扫描件并加盖投标人电子印章。</w:t>
      </w:r>
    </w:p>
    <w:p w14:paraId="64C668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16.6如有下列情况之一的，招标人将不予退还投标保证金：</w:t>
      </w:r>
    </w:p>
    <w:p w14:paraId="276F77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16.6.1投标人在投标有效期内撤销投标文件；</w:t>
      </w:r>
    </w:p>
    <w:p w14:paraId="4A8B68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16.6.2中标人未在规定期限内按要求提交履约担保；</w:t>
      </w:r>
    </w:p>
    <w:p w14:paraId="41C725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b w:val="0"/>
          <w:bCs/>
          <w:color w:val="auto"/>
          <w:szCs w:val="21"/>
          <w:highlight w:val="none"/>
        </w:rPr>
      </w:pPr>
      <w:r>
        <w:rPr>
          <w:rFonts w:hint="eastAsia" w:ascii="宋体" w:hAnsi="宋体" w:eastAsia="宋体"/>
          <w:b w:val="0"/>
          <w:bCs/>
          <w:color w:val="auto"/>
          <w:szCs w:val="21"/>
          <w:highlight w:val="none"/>
        </w:rPr>
        <w:t>16.6.3中标人未在规定期限内签订合同。</w:t>
      </w:r>
    </w:p>
    <w:p w14:paraId="5F8519C5">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val="0"/>
          <w:bCs/>
          <w:color w:val="auto"/>
          <w:szCs w:val="21"/>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16．投标保证金</w:t>
      </w:r>
    </w:p>
    <w:p w14:paraId="729358D9">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textAlignment w:val="auto"/>
        <w:rPr>
          <w:rFonts w:ascii="宋体" w:hAnsi="宋体" w:eastAsia="宋体"/>
          <w:b w:val="0"/>
          <w:bCs/>
          <w:color w:val="auto"/>
          <w:highlight w:val="none"/>
          <w:u w:val="single"/>
        </w:rPr>
      </w:pPr>
      <w:r>
        <w:rPr>
          <w:rFonts w:hint="eastAsia" w:ascii="宋体" w:hAnsi="宋体" w:eastAsia="宋体"/>
          <w:b w:val="0"/>
          <w:bCs/>
          <w:color w:val="auto"/>
          <w:szCs w:val="21"/>
          <w:highlight w:val="none"/>
          <w:u w:val="single"/>
        </w:rPr>
        <w:t>16.1本项目不要求投标人递交投标保证金。</w:t>
      </w:r>
    </w:p>
    <w:p w14:paraId="101C5C7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color w:val="auto"/>
          <w:szCs w:val="21"/>
          <w:highlight w:val="none"/>
          <w:lang w:eastAsia="zh-CN"/>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19.3.5</w:t>
      </w:r>
      <w:r>
        <w:rPr>
          <w:rFonts w:hint="eastAsia" w:ascii="宋体" w:hAnsi="宋体" w:eastAsia="宋体"/>
          <w:b/>
          <w:color w:val="auto"/>
          <w:szCs w:val="21"/>
          <w:highlight w:val="none"/>
        </w:rPr>
        <w:t xml:space="preserve">             修改类型：</w:t>
      </w:r>
      <w:r>
        <w:rPr>
          <w:rFonts w:hint="eastAsia" w:ascii="宋体" w:hAnsi="宋体" w:eastAsia="宋体"/>
          <w:b/>
          <w:color w:val="auto"/>
          <w:szCs w:val="21"/>
          <w:highlight w:val="none"/>
          <w:lang w:eastAsia="zh-CN"/>
        </w:rPr>
        <w:t>删除</w:t>
      </w:r>
    </w:p>
    <w:p w14:paraId="078F7C75">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color w:val="auto"/>
          <w:highlight w:val="none"/>
        </w:rPr>
      </w:pPr>
      <w:r>
        <w:rPr>
          <w:rFonts w:hint="eastAsia" w:ascii="宋体" w:hAnsi="宋体" w:eastAsia="宋体"/>
          <w:b/>
          <w:color w:val="auto"/>
          <w:szCs w:val="21"/>
          <w:highlight w:val="none"/>
          <w:lang w:eastAsia="zh-CN"/>
        </w:rPr>
        <w:t>原</w:t>
      </w:r>
      <w:r>
        <w:rPr>
          <w:rFonts w:hint="eastAsia" w:ascii="宋体" w:hAnsi="宋体" w:eastAsia="宋体"/>
          <w:b/>
          <w:color w:val="auto"/>
          <w:szCs w:val="21"/>
          <w:highlight w:val="none"/>
        </w:rPr>
        <w:t>文：</w:t>
      </w:r>
      <w:r>
        <w:rPr>
          <w:rFonts w:hint="eastAsia" w:ascii="宋体" w:hAnsi="宋体" w:eastAsia="宋体"/>
          <w:b w:val="0"/>
          <w:bCs/>
          <w:color w:val="auto"/>
          <w:szCs w:val="21"/>
          <w:highlight w:val="none"/>
        </w:rPr>
        <w:t>19.3.5 投标人未按要求递交投标保证金的（如设置投标保证金的）。</w:t>
      </w:r>
    </w:p>
    <w:p w14:paraId="22D1D46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20.3</w:t>
      </w:r>
      <w:r>
        <w:rPr>
          <w:rFonts w:hint="eastAsia" w:ascii="宋体" w:hAnsi="宋体" w:eastAsia="宋体"/>
          <w:b/>
          <w:color w:val="auto"/>
          <w:szCs w:val="21"/>
          <w:highlight w:val="none"/>
        </w:rPr>
        <w:t xml:space="preserve">             修改类型：修改</w:t>
      </w:r>
    </w:p>
    <w:p w14:paraId="63454EF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20.3 到递交投标文件截止时间止，若递交投标文件的投标人不足3家，招标人将依法重新组织招标（当N个标段同时招标且不允许兼中时，若递交投标文件单位不足N+2家，招标人将依法重新组织招标）。</w:t>
      </w:r>
    </w:p>
    <w:p w14:paraId="0518AC0E">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olor w:val="auto"/>
          <w:highlight w:val="none"/>
          <w:lang w:eastAsia="zh-CN"/>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20.3 到递交投标文件截止时间止，若递交投标文件的投标人不足</w:t>
      </w:r>
      <w:r>
        <w:rPr>
          <w:rFonts w:hint="eastAsia" w:ascii="宋体" w:hAnsi="宋体" w:eastAsia="宋体"/>
          <w:b w:val="0"/>
          <w:bCs/>
          <w:color w:val="auto"/>
          <w:szCs w:val="21"/>
          <w:highlight w:val="none"/>
          <w:u w:val="none"/>
          <w:lang w:val="en-US" w:eastAsia="zh-CN"/>
        </w:rPr>
        <w:t>3</w:t>
      </w:r>
      <w:r>
        <w:rPr>
          <w:rFonts w:hint="eastAsia" w:ascii="宋体" w:hAnsi="宋体" w:eastAsia="宋体"/>
          <w:b w:val="0"/>
          <w:bCs/>
          <w:color w:val="auto"/>
          <w:szCs w:val="21"/>
          <w:highlight w:val="none"/>
        </w:rPr>
        <w:t>家，招标人将依法重新组织招标</w:t>
      </w:r>
      <w:r>
        <w:rPr>
          <w:rFonts w:hint="eastAsia" w:ascii="宋体" w:hAnsi="宋体" w:eastAsia="宋体"/>
          <w:b w:val="0"/>
          <w:bCs/>
          <w:color w:val="auto"/>
          <w:szCs w:val="21"/>
          <w:highlight w:val="none"/>
          <w:lang w:eastAsia="zh-CN"/>
        </w:rPr>
        <w:t>。</w:t>
      </w:r>
    </w:p>
    <w:p w14:paraId="1D51C201">
      <w:pPr>
        <w:spacing w:line="360" w:lineRule="auto"/>
        <w:rPr>
          <w:rFonts w:hint="eastAsia" w:ascii="宋体" w:hAnsi="宋体" w:eastAsia="宋体"/>
          <w:b/>
          <w:bCs w:val="0"/>
          <w:color w:val="auto"/>
          <w:szCs w:val="21"/>
          <w:highlight w:val="none"/>
        </w:rPr>
      </w:pPr>
    </w:p>
    <w:p w14:paraId="2A75A494">
      <w:pPr>
        <w:pBdr>
          <w:bottom w:val="single" w:color="auto" w:sz="4" w:space="0"/>
        </w:pBdr>
        <w:spacing w:line="360" w:lineRule="auto"/>
        <w:ind w:firstLine="422" w:firstLineChars="200"/>
        <w:rPr>
          <w:rFonts w:hint="eastAsia" w:ascii="宋体" w:hAnsi="宋体" w:eastAsia="宋体"/>
          <w:b/>
          <w:bCs w:val="0"/>
          <w:color w:val="auto"/>
          <w:szCs w:val="21"/>
          <w:highlight w:val="none"/>
        </w:rPr>
      </w:pPr>
      <w:r>
        <w:rPr>
          <w:rFonts w:hint="eastAsia" w:ascii="宋体" w:hAnsi="宋体" w:eastAsia="宋体"/>
          <w:b/>
          <w:bCs w:val="0"/>
          <w:color w:val="auto"/>
          <w:szCs w:val="21"/>
          <w:highlight w:val="none"/>
        </w:rPr>
        <w:t>条款号：2</w:t>
      </w:r>
      <w:r>
        <w:rPr>
          <w:rFonts w:hint="eastAsia" w:ascii="宋体" w:hAnsi="宋体" w:eastAsia="宋体"/>
          <w:b/>
          <w:bCs w:val="0"/>
          <w:color w:val="auto"/>
          <w:szCs w:val="21"/>
          <w:highlight w:val="none"/>
          <w:lang w:val="en-US" w:eastAsia="zh-CN"/>
        </w:rPr>
        <w:t>2.4</w:t>
      </w:r>
      <w:r>
        <w:rPr>
          <w:rFonts w:hint="eastAsia" w:ascii="宋体" w:hAnsi="宋体" w:eastAsia="宋体"/>
          <w:b/>
          <w:bCs w:val="0"/>
          <w:color w:val="auto"/>
          <w:szCs w:val="21"/>
          <w:highlight w:val="none"/>
        </w:rPr>
        <w:t xml:space="preserve">             修改类型：修改</w:t>
      </w:r>
    </w:p>
    <w:p w14:paraId="0C42F06A">
      <w:pPr>
        <w:pBdr>
          <w:bottom w:val="single" w:color="auto" w:sz="4" w:space="0"/>
        </w:pBdr>
        <w:spacing w:line="360" w:lineRule="auto"/>
        <w:ind w:firstLine="422" w:firstLineChars="200"/>
        <w:rPr>
          <w:rFonts w:hint="eastAsia" w:ascii="宋体" w:hAnsi="宋体" w:eastAsia="宋体"/>
          <w:b w:val="0"/>
          <w:bCs/>
          <w:color w:val="auto"/>
          <w:szCs w:val="21"/>
          <w:highlight w:val="none"/>
        </w:rPr>
      </w:pPr>
      <w:r>
        <w:rPr>
          <w:rFonts w:hint="eastAsia" w:ascii="宋体" w:hAnsi="宋体" w:eastAsia="宋体"/>
          <w:b/>
          <w:bCs w:val="0"/>
          <w:color w:val="auto"/>
          <w:szCs w:val="21"/>
          <w:highlight w:val="none"/>
        </w:rPr>
        <w:t>原文</w:t>
      </w:r>
      <w:r>
        <w:rPr>
          <w:rFonts w:hint="eastAsia" w:ascii="宋体" w:hAnsi="宋体" w:eastAsia="宋体"/>
          <w:bCs/>
          <w:color w:val="auto"/>
          <w:szCs w:val="21"/>
          <w:highlight w:val="none"/>
        </w:rPr>
        <w:t>：</w:t>
      </w:r>
      <w:r>
        <w:rPr>
          <w:rFonts w:hint="eastAsia" w:ascii="宋体" w:hAnsi="宋体" w:eastAsia="宋体"/>
          <w:b/>
          <w:bCs w:val="0"/>
          <w:color w:val="auto"/>
          <w:szCs w:val="21"/>
          <w:highlight w:val="none"/>
          <w:lang w:val="en-US" w:eastAsia="zh-CN"/>
        </w:rPr>
        <w:t>22.4</w:t>
      </w:r>
      <w:r>
        <w:rPr>
          <w:rFonts w:hint="eastAsia" w:ascii="宋体" w:hAnsi="宋体" w:eastAsia="宋体"/>
          <w:bCs/>
          <w:color w:val="auto"/>
          <w:szCs w:val="21"/>
          <w:highlight w:val="none"/>
        </w:rPr>
        <w:t>在递交投标文件截止时间后，投标人在投标文件格式中规定的有效期终止日前，投标人不能撤回投标文件，否则其投标保证金将不予退还，且招标人有权就其撤回行为报告政府主管部门载入不良信用记录。</w:t>
      </w:r>
    </w:p>
    <w:p w14:paraId="52D26FD5">
      <w:pPr>
        <w:keepNext w:val="0"/>
        <w:keepLines w:val="0"/>
        <w:pageBreakBefore w:val="0"/>
        <w:widowControl w:val="0"/>
        <w:pBdr>
          <w:bottom w:val="single" w:color="auto" w:sz="4" w:space="0"/>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olor w:val="auto"/>
          <w:highlight w:val="none"/>
          <w:lang w:eastAsia="zh-CN"/>
        </w:rPr>
      </w:pPr>
      <w:r>
        <w:rPr>
          <w:rFonts w:hint="eastAsia" w:ascii="宋体" w:hAnsi="宋体" w:eastAsia="宋体"/>
          <w:b/>
          <w:color w:val="auto"/>
          <w:szCs w:val="21"/>
          <w:highlight w:val="none"/>
        </w:rPr>
        <w:t>22.4</w:t>
      </w:r>
      <w:r>
        <w:rPr>
          <w:rFonts w:hint="eastAsia" w:ascii="宋体" w:hAnsi="宋体" w:eastAsia="宋体"/>
          <w:b w:val="0"/>
          <w:bCs/>
          <w:color w:val="auto"/>
          <w:szCs w:val="21"/>
          <w:highlight w:val="none"/>
        </w:rPr>
        <w:t>在递交投标文件截止时间后，投标人在投标文件格式中规定的有效期终止日前，投标人不能撤回投标文件，否则招标人有权就其撤回行为报告政府主管部门载入不良信用记录。</w:t>
      </w:r>
    </w:p>
    <w:p w14:paraId="2B8B2C3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30.1</w:t>
      </w:r>
      <w:r>
        <w:rPr>
          <w:rFonts w:hint="eastAsia" w:ascii="宋体" w:hAnsi="宋体" w:eastAsia="宋体"/>
          <w:b/>
          <w:color w:val="auto"/>
          <w:szCs w:val="21"/>
          <w:highlight w:val="none"/>
        </w:rPr>
        <w:t xml:space="preserve">             修改类型：修改</w:t>
      </w:r>
    </w:p>
    <w:p w14:paraId="3D03584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30.1定标后，招标人将就规定的内容在广州公共资源交易网站公示3日。</w:t>
      </w:r>
    </w:p>
    <w:p w14:paraId="42E1B314">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olor w:val="auto"/>
          <w:highlight w:val="none"/>
          <w:lang w:eastAsia="zh-CN"/>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30.1定标后，招标人将就规定的内容在</w:t>
      </w:r>
      <w:r>
        <w:rPr>
          <w:rFonts w:hint="eastAsia" w:ascii="宋体" w:hAnsi="宋体" w:eastAsia="宋体"/>
          <w:b w:val="0"/>
          <w:bCs/>
          <w:color w:val="auto"/>
          <w:szCs w:val="21"/>
          <w:highlight w:val="none"/>
          <w:u w:val="single"/>
        </w:rPr>
        <w:t>广东省招标投标监管网和广州交易集团有限公司（广州公共资源交易中心）</w:t>
      </w:r>
      <w:r>
        <w:rPr>
          <w:rFonts w:hint="eastAsia" w:ascii="宋体" w:hAnsi="宋体" w:eastAsia="宋体"/>
          <w:b w:val="0"/>
          <w:bCs/>
          <w:color w:val="auto"/>
          <w:szCs w:val="21"/>
          <w:highlight w:val="none"/>
        </w:rPr>
        <w:t>网站公示3日。</w:t>
      </w:r>
    </w:p>
    <w:p w14:paraId="6BA3054F">
      <w:pPr>
        <w:spacing w:line="360" w:lineRule="auto"/>
        <w:ind w:firstLine="422" w:firstLineChars="200"/>
        <w:rPr>
          <w:rFonts w:hint="eastAsia" w:ascii="宋体" w:hAnsi="宋体" w:eastAsia="宋体"/>
          <w:color w:val="auto"/>
          <w:sz w:val="24"/>
          <w:highlight w:val="none"/>
          <w:lang w:eastAsia="zh-CN"/>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31.2</w:t>
      </w:r>
      <w:r>
        <w:rPr>
          <w:rFonts w:hint="eastAsia" w:ascii="宋体" w:hAnsi="宋体" w:eastAsia="宋体"/>
          <w:b/>
          <w:color w:val="auto"/>
          <w:szCs w:val="21"/>
          <w:highlight w:val="none"/>
        </w:rPr>
        <w:t xml:space="preserve">            修改类型：修改</w:t>
      </w:r>
    </w:p>
    <w:p w14:paraId="6F328EEE">
      <w:pPr>
        <w:spacing w:line="360" w:lineRule="auto"/>
        <w:ind w:firstLine="422" w:firstLineChars="200"/>
        <w:rPr>
          <w:rFonts w:hint="default" w:ascii="宋体" w:hAnsi="宋体" w:eastAsia="宋体"/>
          <w:color w:val="auto"/>
          <w:sz w:val="21"/>
          <w:szCs w:val="21"/>
          <w:highlight w:val="none"/>
          <w:lang w:val="en-US" w:eastAsia="zh-CN"/>
        </w:rPr>
      </w:pPr>
      <w:r>
        <w:rPr>
          <w:rFonts w:hint="eastAsia" w:ascii="宋体" w:hAnsi="宋体" w:eastAsia="宋体"/>
          <w:b/>
          <w:bCs/>
          <w:color w:val="auto"/>
          <w:sz w:val="21"/>
          <w:szCs w:val="21"/>
          <w:highlight w:val="none"/>
          <w:lang w:eastAsia="zh-CN"/>
        </w:rPr>
        <w:t>原文</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31.2</w:t>
      </w:r>
      <w:r>
        <w:rPr>
          <w:rFonts w:hint="eastAsia" w:ascii="宋体" w:hAnsi="宋体" w:eastAsia="宋体"/>
          <w:color w:val="auto"/>
          <w:sz w:val="21"/>
          <w:szCs w:val="21"/>
          <w:highlight w:val="none"/>
        </w:rPr>
        <w:t>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877D60A">
      <w:pPr>
        <w:spacing w:line="360" w:lineRule="auto"/>
        <w:ind w:firstLine="422" w:firstLineChars="200"/>
        <w:rPr>
          <w:rFonts w:ascii="宋体" w:hAnsi="宋体" w:eastAsia="宋体"/>
          <w:color w:val="auto"/>
          <w:sz w:val="21"/>
          <w:szCs w:val="21"/>
          <w:highlight w:val="none"/>
        </w:rPr>
      </w:pPr>
      <w:r>
        <w:rPr>
          <w:rFonts w:hint="eastAsia" w:ascii="宋体" w:hAnsi="宋体" w:eastAsia="宋体"/>
          <w:b/>
          <w:bCs/>
          <w:color w:val="auto"/>
          <w:sz w:val="21"/>
          <w:szCs w:val="21"/>
          <w:highlight w:val="none"/>
          <w:lang w:eastAsia="zh-CN"/>
        </w:rPr>
        <w:t>现文</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31.2中标通知书发出之日起30日后，中标人未按上款的规定与招标人订立合同，招标人将解除中标通知书，</w:t>
      </w:r>
      <w:r>
        <w:rPr>
          <w:rFonts w:hint="eastAsia" w:ascii="宋体" w:hAnsi="宋体" w:eastAsia="宋体"/>
          <w:b w:val="0"/>
          <w:bCs/>
          <w:color w:val="auto"/>
          <w:sz w:val="21"/>
          <w:szCs w:val="21"/>
          <w:highlight w:val="none"/>
          <w:u w:val="single"/>
        </w:rPr>
        <w:t>原中标人依法承担相应法律责任。原中标人给招标人造成损失的，还应当予以赔偿。</w:t>
      </w:r>
      <w:r>
        <w:rPr>
          <w:rFonts w:hint="eastAsia" w:ascii="宋体" w:hAnsi="宋体" w:eastAsia="宋体"/>
          <w:color w:val="auto"/>
          <w:sz w:val="21"/>
          <w:szCs w:val="21"/>
          <w:highlight w:val="none"/>
        </w:rPr>
        <w:t>原中标人有异议的，可以向人民法院起诉。</w:t>
      </w:r>
    </w:p>
    <w:p w14:paraId="3BA66521">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olor w:val="auto"/>
          <w:highlight w:val="none"/>
          <w:lang w:eastAsia="zh-CN"/>
        </w:rPr>
      </w:pPr>
    </w:p>
    <w:p w14:paraId="3641E16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32.2</w:t>
      </w:r>
      <w:r>
        <w:rPr>
          <w:rFonts w:hint="eastAsia" w:ascii="宋体" w:hAnsi="宋体" w:eastAsia="宋体"/>
          <w:b/>
          <w:color w:val="auto"/>
          <w:szCs w:val="21"/>
          <w:highlight w:val="none"/>
        </w:rPr>
        <w:t xml:space="preserve">             修改类型：修改</w:t>
      </w:r>
    </w:p>
    <w:p w14:paraId="74EEBCE6">
      <w:pPr>
        <w:snapToGrid w:val="0"/>
        <w:spacing w:line="360" w:lineRule="auto"/>
        <w:ind w:firstLine="422" w:firstLineChars="200"/>
        <w:rPr>
          <w:rFonts w:ascii="宋体" w:hAnsi="宋体" w:eastAsia="宋体"/>
          <w:color w:val="auto"/>
          <w:sz w:val="24"/>
          <w:highlight w:val="none"/>
        </w:rPr>
      </w:pPr>
      <w:r>
        <w:rPr>
          <w:rFonts w:hint="eastAsia" w:hAnsi="宋体" w:eastAsia="宋体"/>
          <w:b/>
          <w:bCs w:val="0"/>
          <w:color w:val="auto"/>
          <w:szCs w:val="21"/>
          <w:highlight w:val="none"/>
          <w:lang w:eastAsia="zh-CN"/>
        </w:rPr>
        <w:t>原文</w:t>
      </w:r>
      <w:r>
        <w:rPr>
          <w:rFonts w:hint="eastAsia" w:hAnsi="宋体" w:eastAsia="宋体"/>
          <w:b w:val="0"/>
          <w:bCs/>
          <w:color w:val="auto"/>
          <w:szCs w:val="21"/>
          <w:highlight w:val="none"/>
          <w:lang w:eastAsia="zh-CN"/>
        </w:rPr>
        <w:t>：</w:t>
      </w:r>
      <w:r>
        <w:rPr>
          <w:rFonts w:hint="eastAsia" w:ascii="宋体" w:hAnsi="宋体" w:eastAsia="宋体" w:cs="Times New Roman"/>
          <w:bCs/>
          <w:color w:val="auto"/>
          <w:sz w:val="21"/>
          <w:szCs w:val="21"/>
          <w:highlight w:val="none"/>
        </w:rPr>
        <w:t>32.2中标通知书发出之日起15日后，中标人未按上款的规定递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1E99E806">
      <w:pPr>
        <w:pBdr>
          <w:bottom w:val="single" w:color="auto" w:sz="6" w:space="1"/>
        </w:pBdr>
        <w:spacing w:line="360" w:lineRule="auto"/>
        <w:ind w:firstLine="422" w:firstLineChars="200"/>
        <w:rPr>
          <w:rFonts w:ascii="宋体" w:hAnsi="宋体" w:eastAsia="宋体"/>
          <w:color w:val="auto"/>
          <w:highlight w:val="none"/>
        </w:rPr>
      </w:pPr>
      <w:r>
        <w:rPr>
          <w:rFonts w:hint="eastAsia" w:hAnsi="宋体" w:eastAsia="宋体"/>
          <w:b/>
          <w:bCs w:val="0"/>
          <w:color w:val="auto"/>
          <w:szCs w:val="21"/>
          <w:highlight w:val="none"/>
          <w:lang w:eastAsia="zh-CN"/>
        </w:rPr>
        <w:t>现文</w:t>
      </w:r>
      <w:r>
        <w:rPr>
          <w:rFonts w:hint="eastAsia" w:hAnsi="宋体" w:eastAsia="宋体"/>
          <w:b w:val="0"/>
          <w:bCs/>
          <w:color w:val="auto"/>
          <w:szCs w:val="21"/>
          <w:highlight w:val="none"/>
          <w:lang w:eastAsia="zh-CN"/>
        </w:rPr>
        <w:t>：</w:t>
      </w:r>
      <w:r>
        <w:rPr>
          <w:rFonts w:hint="eastAsia" w:ascii="宋体" w:hAnsi="宋体" w:eastAsia="宋体"/>
          <w:b w:val="0"/>
          <w:bCs/>
          <w:color w:val="auto"/>
          <w:szCs w:val="21"/>
          <w:highlight w:val="none"/>
        </w:rPr>
        <w:t>32.2中标通知书发出之日起15日后，中标人未按上款的规定递交履约担保，招标人将解除中标通知书，原中标人依法承担相应法律责任。原中标人给招标人造成损失的，还应当予以赔偿。原中标人有异议的，可以向人民法院起诉。</w:t>
      </w:r>
    </w:p>
    <w:p w14:paraId="25DFBBF3">
      <w:pPr>
        <w:spacing w:line="360" w:lineRule="auto"/>
        <w:rPr>
          <w:rFonts w:hint="eastAsia"/>
          <w:color w:val="auto"/>
          <w:highlight w:val="none"/>
        </w:rPr>
      </w:pPr>
    </w:p>
    <w:p w14:paraId="2CE032E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34</w:t>
      </w:r>
      <w:r>
        <w:rPr>
          <w:rFonts w:hint="eastAsia" w:ascii="宋体" w:hAnsi="宋体" w:eastAsia="宋体"/>
          <w:b/>
          <w:color w:val="auto"/>
          <w:szCs w:val="21"/>
          <w:highlight w:val="none"/>
        </w:rPr>
        <w:t xml:space="preserve">             修改类型：修改</w:t>
      </w:r>
    </w:p>
    <w:p w14:paraId="1524AF9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val="0"/>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34．其它费用</w:t>
      </w:r>
    </w:p>
    <w:p w14:paraId="1BD816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b/>
          <w:color w:val="auto"/>
          <w:szCs w:val="21"/>
          <w:highlight w:val="none"/>
        </w:rPr>
      </w:pPr>
      <w:r>
        <w:rPr>
          <w:rFonts w:hint="eastAsia" w:ascii="宋体" w:hAnsi="宋体" w:eastAsia="宋体"/>
          <w:b w:val="0"/>
          <w:bCs/>
          <w:color w:val="auto"/>
          <w:szCs w:val="21"/>
          <w:highlight w:val="none"/>
        </w:rPr>
        <w:t>公共资源交易服务费应根据政府有关规定支付。</w:t>
      </w:r>
    </w:p>
    <w:p w14:paraId="67B33861">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val="0"/>
          <w:bCs/>
          <w:color w:val="auto"/>
          <w:szCs w:val="21"/>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34．其它费用</w:t>
      </w:r>
    </w:p>
    <w:p w14:paraId="7455A561">
      <w:pPr>
        <w:pBdr>
          <w:bottom w:val="single" w:color="auto" w:sz="6" w:space="1"/>
        </w:pBdr>
        <w:spacing w:line="360" w:lineRule="auto"/>
        <w:ind w:firstLine="420" w:firstLineChars="200"/>
        <w:rPr>
          <w:rFonts w:ascii="宋体" w:hAnsi="宋体" w:eastAsia="宋体"/>
          <w:color w:val="auto"/>
          <w:highlight w:val="none"/>
        </w:rPr>
      </w:pPr>
      <w:r>
        <w:rPr>
          <w:rFonts w:hint="eastAsia" w:ascii="宋体" w:hAnsi="宋体" w:eastAsia="宋体"/>
          <w:b w:val="0"/>
          <w:bCs/>
          <w:color w:val="auto"/>
          <w:szCs w:val="21"/>
          <w:highlight w:val="none"/>
          <w:u w:val="single"/>
        </w:rPr>
        <w:t>公共资源交易服务费：中标人应向广州公共资源交易中心交纳公共资源交易服务费，该费用包含在投标价中，招标人不另行支付。收费标准及缴纳方式见广州公共资源交易中心相关操作指引。</w:t>
      </w:r>
    </w:p>
    <w:p w14:paraId="793822B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35.3</w:t>
      </w:r>
      <w:r>
        <w:rPr>
          <w:rFonts w:hint="eastAsia" w:ascii="宋体" w:hAnsi="宋体" w:eastAsia="宋体"/>
          <w:b/>
          <w:color w:val="auto"/>
          <w:szCs w:val="21"/>
          <w:highlight w:val="none"/>
        </w:rPr>
        <w:t xml:space="preserve">             修改类型：修改</w:t>
      </w:r>
    </w:p>
    <w:p w14:paraId="012479A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投标人如在本项目中存在串通投标、弄虚作假、行贿情形的，中标无效，该投标人将被招标人列入黑名单并限制其投标。行政监督机构将对其违法行为进行行政处罚并通报。</w:t>
      </w:r>
    </w:p>
    <w:p w14:paraId="3B1FF525">
      <w:pPr>
        <w:pBdr>
          <w:bottom w:val="single" w:color="auto" w:sz="6" w:space="1"/>
        </w:pBdr>
        <w:spacing w:line="360" w:lineRule="auto"/>
        <w:ind w:firstLine="422" w:firstLineChars="200"/>
        <w:rPr>
          <w:rFonts w:ascii="宋体" w:hAnsi="宋体" w:eastAsia="宋体"/>
          <w:color w:val="auto"/>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投标人如在本项目中存在串通投标、弄虚作假</w:t>
      </w:r>
      <w:r>
        <w:rPr>
          <w:rFonts w:hint="eastAsia" w:ascii="宋体" w:hAnsi="宋体" w:eastAsia="宋体"/>
          <w:b w:val="0"/>
          <w:bCs/>
          <w:color w:val="auto"/>
          <w:szCs w:val="21"/>
          <w:highlight w:val="none"/>
          <w:u w:val="single"/>
        </w:rPr>
        <w:t>骗取中标</w:t>
      </w:r>
      <w:r>
        <w:rPr>
          <w:rFonts w:hint="eastAsia" w:ascii="宋体" w:hAnsi="宋体" w:eastAsia="宋体"/>
          <w:b w:val="0"/>
          <w:bCs/>
          <w:color w:val="auto"/>
          <w:szCs w:val="21"/>
          <w:highlight w:val="none"/>
        </w:rPr>
        <w:t>、行贿情形的，中标无效，该投标人将被招标人列入黑名单并限制其投标。行政监督机构将对其违法行为进行行政处罚并通报。</w:t>
      </w:r>
    </w:p>
    <w:p w14:paraId="5D4C26D0">
      <w:pPr>
        <w:pStyle w:val="2"/>
        <w:spacing w:line="360" w:lineRule="auto"/>
        <w:rPr>
          <w:rFonts w:hint="default"/>
          <w:color w:val="auto"/>
          <w:highlight w:val="none"/>
          <w:lang w:val="en-US" w:eastAsia="zh-CN"/>
        </w:rPr>
      </w:pPr>
    </w:p>
    <w:p w14:paraId="3F957DA1">
      <w:pPr>
        <w:spacing w:line="360" w:lineRule="auto"/>
        <w:rPr>
          <w:rFonts w:hint="eastAsia" w:ascii="宋体" w:hAnsi="宋体" w:eastAsia="宋体"/>
          <w:b/>
          <w:color w:val="auto"/>
          <w:szCs w:val="21"/>
          <w:highlight w:val="none"/>
        </w:rPr>
      </w:pPr>
    </w:p>
    <w:p w14:paraId="527C3D94">
      <w:pPr>
        <w:spacing w:line="360" w:lineRule="auto"/>
        <w:rPr>
          <w:rFonts w:ascii="宋体" w:hAnsi="宋体" w:eastAsia="宋体"/>
          <w:b/>
          <w:color w:val="auto"/>
          <w:szCs w:val="21"/>
          <w:highlight w:val="none"/>
        </w:rPr>
      </w:pPr>
      <w:r>
        <w:rPr>
          <w:rFonts w:hint="eastAsia" w:ascii="宋体" w:hAnsi="宋体" w:eastAsia="宋体"/>
          <w:b/>
          <w:color w:val="auto"/>
          <w:szCs w:val="21"/>
          <w:highlight w:val="none"/>
        </w:rPr>
        <w:t>注：以上修改，仅限于本范本中有可供选择条款的情形。</w:t>
      </w:r>
    </w:p>
    <w:p w14:paraId="45E5F1BB">
      <w:pPr>
        <w:spacing w:line="360" w:lineRule="auto"/>
        <w:rPr>
          <w:rFonts w:ascii="宋体" w:hAnsi="宋体" w:eastAsia="宋体"/>
          <w:color w:val="auto"/>
          <w:highlight w:val="none"/>
        </w:rPr>
      </w:pPr>
      <w:r>
        <w:rPr>
          <w:rFonts w:hint="eastAsia" w:ascii="宋体" w:hAnsi="宋体" w:eastAsia="宋体"/>
          <w:b/>
          <w:color w:val="auto"/>
          <w:szCs w:val="21"/>
          <w:highlight w:val="none"/>
        </w:rPr>
        <w:t>（以下无正文）</w:t>
      </w:r>
    </w:p>
    <w:p w14:paraId="2561B233">
      <w:pPr>
        <w:pStyle w:val="8"/>
        <w:spacing w:before="120"/>
        <w:rPr>
          <w:rFonts w:ascii="宋体" w:eastAsia="宋体"/>
          <w:color w:val="auto"/>
          <w:highlight w:val="none"/>
        </w:rPr>
      </w:pPr>
      <w:bookmarkStart w:id="42" w:name="_三、投标须知通用条款"/>
      <w:bookmarkEnd w:id="42"/>
      <w:bookmarkStart w:id="43" w:name="_Toc85505511"/>
      <w:bookmarkStart w:id="44" w:name="_Toc101777611"/>
      <w:bookmarkStart w:id="45" w:name="_Toc21149"/>
      <w:bookmarkStart w:id="46" w:name="_Toc29024"/>
      <w:bookmarkStart w:id="47" w:name="_Toc17692"/>
      <w:bookmarkStart w:id="48" w:name="_Toc262229162"/>
      <w:bookmarkStart w:id="49" w:name="_Toc13975"/>
      <w:bookmarkStart w:id="50" w:name="_Toc28733"/>
      <w:bookmarkStart w:id="51" w:name="_Toc7099"/>
      <w:bookmarkStart w:id="52" w:name="_Toc5742"/>
      <w:bookmarkStart w:id="53" w:name="_Toc10964"/>
      <w:bookmarkStart w:id="54" w:name="_Toc19456"/>
      <w:bookmarkStart w:id="55" w:name="_Toc6168"/>
      <w:bookmarkStart w:id="56" w:name="_Toc822"/>
      <w:r>
        <w:rPr>
          <w:rFonts w:hint="eastAsia" w:ascii="宋体" w:eastAsia="宋体"/>
          <w:color w:val="auto"/>
          <w:highlight w:val="none"/>
        </w:rPr>
        <w:t>三、投标须知</w:t>
      </w:r>
      <w:bookmarkEnd w:id="43"/>
      <w:bookmarkEnd w:id="44"/>
      <w:r>
        <w:rPr>
          <w:rFonts w:hint="eastAsia" w:ascii="宋体" w:eastAsia="宋体"/>
          <w:color w:val="auto"/>
          <w:highlight w:val="none"/>
        </w:rPr>
        <w:t>通用条款</w:t>
      </w:r>
      <w:bookmarkEnd w:id="45"/>
      <w:bookmarkEnd w:id="46"/>
      <w:bookmarkEnd w:id="47"/>
      <w:bookmarkEnd w:id="48"/>
      <w:bookmarkEnd w:id="49"/>
      <w:bookmarkEnd w:id="50"/>
      <w:bookmarkEnd w:id="51"/>
      <w:bookmarkEnd w:id="52"/>
      <w:bookmarkEnd w:id="53"/>
      <w:bookmarkEnd w:id="54"/>
      <w:bookmarkEnd w:id="55"/>
      <w:bookmarkEnd w:id="56"/>
    </w:p>
    <w:p w14:paraId="384099A5">
      <w:pPr>
        <w:pStyle w:val="8"/>
        <w:spacing w:before="120"/>
        <w:rPr>
          <w:rFonts w:ascii="宋体" w:eastAsia="宋体"/>
          <w:color w:val="auto"/>
          <w:highlight w:val="none"/>
        </w:rPr>
      </w:pPr>
      <w:bookmarkStart w:id="57" w:name="_（一）总则_1"/>
      <w:bookmarkEnd w:id="57"/>
      <w:bookmarkStart w:id="58" w:name="_Toc32388"/>
      <w:bookmarkStart w:id="59" w:name="_Toc101777612"/>
      <w:bookmarkStart w:id="60" w:name="_Toc25962"/>
      <w:bookmarkStart w:id="61" w:name="_Toc4636"/>
      <w:bookmarkStart w:id="62" w:name="_Toc8004"/>
      <w:bookmarkStart w:id="63" w:name="_Toc30352"/>
      <w:bookmarkStart w:id="64" w:name="_Toc28561"/>
      <w:bookmarkStart w:id="65" w:name="_Toc24274"/>
      <w:bookmarkStart w:id="66" w:name="_Toc375"/>
      <w:bookmarkStart w:id="67" w:name="_Toc3129"/>
      <w:bookmarkStart w:id="68" w:name="_Toc262229163"/>
      <w:bookmarkStart w:id="69" w:name="_Toc8857"/>
      <w:bookmarkStart w:id="70" w:name="_Toc85505512"/>
      <w:bookmarkStart w:id="71" w:name="_Toc7137"/>
      <w:r>
        <w:rPr>
          <w:rFonts w:hint="eastAsia" w:ascii="宋体" w:eastAsia="宋体"/>
          <w:color w:val="auto"/>
          <w:highlight w:val="none"/>
        </w:rPr>
        <w:t>（一）总则</w:t>
      </w:r>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5C5574B3">
      <w:pPr>
        <w:pStyle w:val="5"/>
        <w:spacing w:after="0" w:line="36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1.定义</w:t>
      </w:r>
    </w:p>
    <w:p w14:paraId="21F56192">
      <w:pPr>
        <w:pStyle w:val="5"/>
        <w:spacing w:after="0" w:line="360" w:lineRule="auto"/>
        <w:ind w:firstLine="480" w:firstLineChars="200"/>
        <w:rPr>
          <w:rFonts w:ascii="宋体" w:hAnsi="宋体" w:eastAsia="宋体"/>
          <w:b/>
          <w:bCs/>
          <w:color w:val="auto"/>
          <w:sz w:val="24"/>
          <w:highlight w:val="none"/>
        </w:rPr>
      </w:pPr>
      <w:r>
        <w:rPr>
          <w:rFonts w:hint="eastAsia" w:ascii="宋体" w:hAnsi="宋体" w:eastAsia="宋体"/>
          <w:color w:val="auto"/>
          <w:sz w:val="24"/>
          <w:highlight w:val="none"/>
        </w:rPr>
        <w:t>本招标文件使用的下列词语具有如下规定的意义：</w:t>
      </w:r>
    </w:p>
    <w:p w14:paraId="5B16A2AA">
      <w:pPr>
        <w:pStyle w:val="5"/>
        <w:spacing w:after="0" w:line="360" w:lineRule="auto"/>
        <w:ind w:firstLine="480" w:firstLineChars="200"/>
        <w:rPr>
          <w:rFonts w:ascii="宋体" w:hAnsi="宋体" w:eastAsia="宋体"/>
          <w:b/>
          <w:bCs/>
          <w:color w:val="auto"/>
          <w:sz w:val="24"/>
          <w:highlight w:val="none"/>
          <w:u w:val="single"/>
        </w:rPr>
      </w:pPr>
      <w:r>
        <w:rPr>
          <w:rFonts w:hint="eastAsia" w:ascii="宋体" w:hAnsi="宋体" w:eastAsia="宋体"/>
          <w:color w:val="auto"/>
          <w:sz w:val="24"/>
          <w:highlight w:val="none"/>
        </w:rPr>
        <w:t>（1）“招标人”（即发包人）、“项目建设管理单位”（或称“项目代建单位”）、“招标代理机构”、“设计单位”、“监理单位”均已在投标须知前附表中列明。</w:t>
      </w:r>
    </w:p>
    <w:p w14:paraId="3EBC1408">
      <w:pPr>
        <w:pStyle w:val="5"/>
        <w:spacing w:after="0"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rPr>
        <w:t xml:space="preserve">（2）“投标人”指向招标人递交投标文件的当事人。   </w:t>
      </w:r>
    </w:p>
    <w:p w14:paraId="03961E37">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（3）“承包人”指其投标被招标人接受并与其签订承包合同的当事人。</w:t>
      </w:r>
    </w:p>
    <w:p w14:paraId="743CC0DE">
      <w:pPr>
        <w:pStyle w:val="5"/>
        <w:spacing w:after="0"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rPr>
        <w:t>（4）“招标文件”指由招标代理机构发出的本文件（包括全部章节、附件）及招标答疑会会议纪要和</w:t>
      </w:r>
      <w:r>
        <w:rPr>
          <w:rFonts w:hint="eastAsia" w:ascii="宋体" w:hAnsi="宋体" w:eastAsia="宋体"/>
          <w:bCs/>
          <w:color w:val="auto"/>
          <w:sz w:val="24"/>
          <w:highlight w:val="none"/>
        </w:rPr>
        <w:t>招标文件的澄清与修改</w:t>
      </w:r>
      <w:r>
        <w:rPr>
          <w:rFonts w:hint="eastAsia" w:ascii="宋体" w:hAnsi="宋体" w:eastAsia="宋体"/>
          <w:color w:val="auto"/>
          <w:sz w:val="24"/>
          <w:highlight w:val="none"/>
        </w:rPr>
        <w:t>文件。</w:t>
      </w:r>
    </w:p>
    <w:p w14:paraId="20F4FEA7">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（5）“投标文件”指投标人根据本项目招标文件向招标人递交的全部文件。</w:t>
      </w:r>
    </w:p>
    <w:p w14:paraId="6FB28BC1">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（6）“书面文件”指打字或印刷的文件，包括电传、电报和传真。</w:t>
      </w:r>
    </w:p>
    <w:p w14:paraId="290294DE">
      <w:pPr>
        <w:pStyle w:val="5"/>
        <w:spacing w:after="0" w:line="360" w:lineRule="auto"/>
        <w:ind w:firstLine="480" w:firstLineChars="200"/>
        <w:rPr>
          <w:rFonts w:ascii="宋体" w:hAnsi="宋体" w:eastAsia="宋体"/>
          <w:b/>
          <w:color w:val="auto"/>
          <w:sz w:val="24"/>
          <w:szCs w:val="24"/>
          <w:highlight w:val="none"/>
        </w:rPr>
      </w:pPr>
      <w:r>
        <w:rPr>
          <w:rFonts w:hint="eastAsia" w:ascii="宋体" w:hAnsi="宋体" w:eastAsia="宋体"/>
          <w:color w:val="auto"/>
          <w:sz w:val="24"/>
          <w:highlight w:val="none"/>
        </w:rPr>
        <w:t>（7）“电子文件</w:t>
      </w:r>
      <w:r>
        <w:rPr>
          <w:rFonts w:hint="eastAsia" w:ascii="宋体" w:hAnsi="宋体" w:eastAsia="宋体"/>
          <w:color w:val="auto"/>
          <w:sz w:val="24"/>
          <w:szCs w:val="24"/>
          <w:highlight w:val="none"/>
        </w:rPr>
        <w:t>”</w:t>
      </w:r>
      <w:r>
        <w:rPr>
          <w:rFonts w:hint="eastAsia" w:ascii="宋体" w:hAnsi="宋体" w:eastAsia="宋体"/>
          <w:b/>
          <w:color w:val="auto"/>
          <w:sz w:val="24"/>
          <w:szCs w:val="24"/>
          <w:highlight w:val="none"/>
        </w:rPr>
        <w:t xml:space="preserve"> </w:t>
      </w:r>
      <w:r>
        <w:rPr>
          <w:rFonts w:hint="eastAsia" w:ascii="宋体" w:hAnsi="宋体" w:eastAsia="宋体"/>
          <w:color w:val="auto"/>
          <w:sz w:val="24"/>
          <w:szCs w:val="24"/>
          <w:highlight w:val="none"/>
        </w:rPr>
        <w:t>指数字、文字、图形等以数码形式存储于磁带、磁盘、光盘等载体，依赖计算机等数字设备阅读、处理，并可在通信网络上传送的文件。</w:t>
      </w:r>
    </w:p>
    <w:p w14:paraId="3EC66733">
      <w:pPr>
        <w:spacing w:line="360" w:lineRule="auto"/>
        <w:ind w:firstLine="482" w:firstLineChars="200"/>
        <w:rPr>
          <w:rFonts w:ascii="宋体" w:hAnsi="宋体" w:eastAsia="宋体"/>
          <w:b/>
          <w:color w:val="auto"/>
          <w:sz w:val="24"/>
          <w:highlight w:val="none"/>
        </w:rPr>
      </w:pPr>
      <w:r>
        <w:rPr>
          <w:rFonts w:hint="eastAsia" w:ascii="宋体" w:hAnsi="宋体" w:eastAsia="宋体"/>
          <w:b/>
          <w:color w:val="auto"/>
          <w:sz w:val="24"/>
          <w:highlight w:val="none"/>
        </w:rPr>
        <w:t>2.招标说明</w:t>
      </w:r>
    </w:p>
    <w:p w14:paraId="4B92ED26">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2.1本招标工程项目按照《中华人民共和国招标投标法》等有关法律、行政法规、规章和规范性文件，通过招标方式选定承包人。</w:t>
      </w:r>
    </w:p>
    <w:p w14:paraId="27840CAE">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2.2工程名称、建设地点、建设规模、承包方式、质量标准、招标范围、工期要求等均在投标须知前附表中列明。</w:t>
      </w:r>
    </w:p>
    <w:p w14:paraId="3B986A2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2.3设计说明：详见招标图纸。</w:t>
      </w:r>
    </w:p>
    <w:p w14:paraId="671AD4DA">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2.4工程施工特点：详见招标图纸。</w:t>
      </w:r>
    </w:p>
    <w:p w14:paraId="59A058B9">
      <w:pPr>
        <w:tabs>
          <w:tab w:val="left" w:pos="105"/>
        </w:tabs>
        <w:spacing w:line="360" w:lineRule="auto"/>
        <w:ind w:firstLine="482" w:firstLineChars="200"/>
        <w:rPr>
          <w:rFonts w:ascii="宋体" w:hAnsi="宋体" w:eastAsia="宋体"/>
          <w:b/>
          <w:color w:val="auto"/>
          <w:sz w:val="24"/>
          <w:highlight w:val="none"/>
        </w:rPr>
      </w:pPr>
      <w:r>
        <w:rPr>
          <w:rFonts w:hint="eastAsia" w:ascii="宋体" w:hAnsi="宋体" w:eastAsia="宋体"/>
          <w:b/>
          <w:color w:val="auto"/>
          <w:sz w:val="24"/>
          <w:highlight w:val="none"/>
        </w:rPr>
        <w:t>3．资金来源</w:t>
      </w:r>
    </w:p>
    <w:p w14:paraId="1B97159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本招标工程项目资金来源见投标须知前附表第9项。</w:t>
      </w:r>
    </w:p>
    <w:p w14:paraId="47D5F300">
      <w:pPr>
        <w:tabs>
          <w:tab w:val="left" w:pos="105"/>
        </w:tabs>
        <w:spacing w:line="360" w:lineRule="auto"/>
        <w:ind w:firstLine="482" w:firstLineChars="200"/>
        <w:rPr>
          <w:rFonts w:ascii="宋体" w:hAnsi="宋体" w:eastAsia="宋体"/>
          <w:b/>
          <w:color w:val="auto"/>
          <w:sz w:val="24"/>
          <w:highlight w:val="none"/>
        </w:rPr>
      </w:pPr>
      <w:r>
        <w:rPr>
          <w:rFonts w:hint="eastAsia" w:ascii="宋体" w:hAnsi="宋体" w:eastAsia="宋体"/>
          <w:b/>
          <w:color w:val="auto"/>
          <w:sz w:val="24"/>
          <w:highlight w:val="none"/>
        </w:rPr>
        <w:t>4．投标人资格条件</w:t>
      </w:r>
    </w:p>
    <w:p w14:paraId="6CA7F9EC">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详见本项目招标公告。</w:t>
      </w:r>
    </w:p>
    <w:p w14:paraId="7C228FDD">
      <w:pPr>
        <w:tabs>
          <w:tab w:val="left" w:pos="105"/>
        </w:tabs>
        <w:spacing w:line="360" w:lineRule="auto"/>
        <w:ind w:firstLine="482" w:firstLineChars="200"/>
        <w:rPr>
          <w:rFonts w:ascii="宋体" w:hAnsi="宋体" w:eastAsia="宋体"/>
          <w:b/>
          <w:color w:val="auto"/>
          <w:sz w:val="24"/>
          <w:highlight w:val="none"/>
        </w:rPr>
      </w:pPr>
      <w:r>
        <w:rPr>
          <w:rFonts w:hint="eastAsia" w:ascii="宋体" w:hAnsi="宋体" w:eastAsia="宋体"/>
          <w:b/>
          <w:color w:val="auto"/>
          <w:sz w:val="24"/>
          <w:highlight w:val="none"/>
        </w:rPr>
        <w:t>5．踏勘现场</w:t>
      </w:r>
    </w:p>
    <w:p w14:paraId="381C6F9A">
      <w:pPr>
        <w:spacing w:line="360" w:lineRule="auto"/>
        <w:ind w:firstLine="480" w:firstLineChars="200"/>
        <w:rPr>
          <w:rFonts w:ascii="宋体" w:hAnsi="宋体" w:eastAsia="宋体"/>
          <w:bCs/>
          <w:color w:val="auto"/>
          <w:sz w:val="24"/>
          <w:highlight w:val="none"/>
          <w:u w:val="single"/>
        </w:rPr>
      </w:pPr>
      <w:r>
        <w:rPr>
          <w:rFonts w:hint="eastAsia" w:ascii="宋体" w:hAnsi="宋体" w:eastAsia="宋体"/>
          <w:bCs/>
          <w:color w:val="auto"/>
          <w:sz w:val="24"/>
          <w:highlight w:val="none"/>
        </w:rPr>
        <w:t>5.1 投标人应按本投标须知前附表第16项所述时间和要求对工程现场及周围环境进行踏勘，</w:t>
      </w:r>
      <w:r>
        <w:rPr>
          <w:rFonts w:hint="eastAsia" w:ascii="宋体" w:hAnsi="宋体" w:eastAsia="宋体"/>
          <w:color w:val="auto"/>
          <w:sz w:val="24"/>
          <w:highlight w:val="none"/>
        </w:rPr>
        <w:t>投标人应充分重视和仔细地进行这种考察，</w:t>
      </w:r>
      <w:r>
        <w:rPr>
          <w:rFonts w:hint="eastAsia" w:ascii="宋体" w:hAnsi="宋体" w:eastAsia="宋体"/>
          <w:bCs/>
          <w:color w:val="auto"/>
          <w:sz w:val="24"/>
          <w:highlight w:val="none"/>
        </w:rPr>
        <w:t>以便投标人获取</w:t>
      </w:r>
      <w:r>
        <w:rPr>
          <w:rFonts w:hint="eastAsia" w:ascii="宋体" w:hAnsi="宋体" w:eastAsia="宋体"/>
          <w:color w:val="auto"/>
          <w:sz w:val="24"/>
          <w:highlight w:val="none"/>
        </w:rPr>
        <w:t>那些须投标人自己负责的</w:t>
      </w:r>
      <w:r>
        <w:rPr>
          <w:rFonts w:hint="eastAsia" w:ascii="宋体" w:hAnsi="宋体" w:eastAsia="宋体"/>
          <w:bCs/>
          <w:color w:val="auto"/>
          <w:sz w:val="24"/>
          <w:highlight w:val="none"/>
        </w:rPr>
        <w:t>有关编制投标文件和签署合同所涉及现场所有的资料。</w:t>
      </w:r>
      <w:r>
        <w:rPr>
          <w:rFonts w:hint="eastAsia" w:ascii="宋体" w:hAnsi="宋体" w:eastAsia="宋体"/>
          <w:color w:val="auto"/>
          <w:sz w:val="24"/>
          <w:highlight w:val="none"/>
        </w:rPr>
        <w:t>一旦中标，这种考察即被认为其结果已在中标文件中得到充分反映。考察现场的费用由投标人自己承担。</w:t>
      </w:r>
    </w:p>
    <w:p w14:paraId="4A61256C">
      <w:pPr>
        <w:tabs>
          <w:tab w:val="left" w:pos="105"/>
        </w:tabs>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5.2 招标人向投标人提供的有关现场的数据和资料，是招标人现有的能被投标人利用的资料，招标人对投标人做出的任何推论、理解和结论均不负责任。</w:t>
      </w:r>
    </w:p>
    <w:p w14:paraId="03050D0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5.3 经招标人允许，投标人可为踏勘目的进入招标人的项目现场。</w:t>
      </w:r>
      <w:r>
        <w:rPr>
          <w:rFonts w:hint="eastAsia" w:ascii="宋体" w:hAnsi="宋体" w:eastAsia="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eastAsia="宋体"/>
          <w:bCs/>
          <w:color w:val="auto"/>
          <w:sz w:val="24"/>
          <w:highlight w:val="none"/>
        </w:rPr>
        <w:t>投标人不得因此使招标人承担有关的责任和蒙受损失。</w:t>
      </w:r>
    </w:p>
    <w:p w14:paraId="7460DEAE">
      <w:pPr>
        <w:tabs>
          <w:tab w:val="left" w:pos="105"/>
        </w:tabs>
        <w:spacing w:line="360" w:lineRule="auto"/>
        <w:ind w:firstLine="482" w:firstLineChars="200"/>
        <w:rPr>
          <w:rFonts w:ascii="宋体" w:hAnsi="宋体" w:eastAsia="宋体"/>
          <w:b/>
          <w:color w:val="auto"/>
          <w:sz w:val="24"/>
          <w:highlight w:val="none"/>
        </w:rPr>
      </w:pPr>
      <w:r>
        <w:rPr>
          <w:rFonts w:hint="eastAsia" w:ascii="宋体" w:hAnsi="宋体" w:eastAsia="宋体"/>
          <w:b/>
          <w:color w:val="auto"/>
          <w:sz w:val="24"/>
          <w:highlight w:val="none"/>
        </w:rPr>
        <w:t>6．投标费用</w:t>
      </w:r>
    </w:p>
    <w:p w14:paraId="79176237">
      <w:pPr>
        <w:tabs>
          <w:tab w:val="left" w:pos="105"/>
        </w:tabs>
        <w:spacing w:line="360" w:lineRule="auto"/>
        <w:ind w:firstLine="480" w:firstLineChars="200"/>
        <w:rPr>
          <w:rFonts w:ascii="宋体" w:hAnsi="宋体" w:eastAsia="宋体"/>
          <w:bCs/>
          <w:color w:val="auto"/>
          <w:sz w:val="24"/>
          <w:highlight w:val="none"/>
        </w:rPr>
      </w:pPr>
      <w:r>
        <w:rPr>
          <w:rFonts w:hint="eastAsia" w:ascii="宋体" w:hAnsi="宋体" w:eastAsia="宋体"/>
          <w:color w:val="auto"/>
          <w:sz w:val="24"/>
          <w:highlight w:val="none"/>
        </w:rPr>
        <w:t>不论投标结果如何，投标人应承担</w:t>
      </w:r>
      <w:r>
        <w:rPr>
          <w:rFonts w:hint="eastAsia" w:ascii="宋体" w:hAnsi="宋体" w:eastAsia="宋体"/>
          <w:bCs/>
          <w:color w:val="auto"/>
          <w:sz w:val="24"/>
          <w:highlight w:val="none"/>
        </w:rPr>
        <w:t>自身</w:t>
      </w:r>
      <w:r>
        <w:rPr>
          <w:rFonts w:hint="eastAsia" w:ascii="宋体" w:hAnsi="宋体" w:eastAsia="宋体"/>
          <w:color w:val="auto"/>
          <w:sz w:val="24"/>
          <w:highlight w:val="none"/>
        </w:rPr>
        <w:t>因投标文件编制、递交及其他</w:t>
      </w:r>
      <w:r>
        <w:rPr>
          <w:rFonts w:hint="eastAsia" w:ascii="宋体" w:hAnsi="宋体" w:eastAsia="宋体"/>
          <w:bCs/>
          <w:color w:val="auto"/>
          <w:sz w:val="24"/>
          <w:highlight w:val="none"/>
        </w:rPr>
        <w:t>参加本招标活动</w:t>
      </w:r>
      <w:r>
        <w:rPr>
          <w:rFonts w:hint="eastAsia" w:ascii="宋体" w:hAnsi="宋体" w:eastAsia="宋体"/>
          <w:color w:val="auto"/>
          <w:sz w:val="24"/>
          <w:highlight w:val="none"/>
        </w:rPr>
        <w:t>所涉及的一切费用，招标人对上述费用不负任何责任。</w:t>
      </w:r>
    </w:p>
    <w:p w14:paraId="0FB4C0B7">
      <w:pPr>
        <w:pStyle w:val="8"/>
        <w:spacing w:before="120"/>
        <w:rPr>
          <w:rFonts w:ascii="宋体" w:eastAsia="宋体"/>
          <w:color w:val="auto"/>
          <w:highlight w:val="none"/>
        </w:rPr>
      </w:pPr>
      <w:bookmarkStart w:id="72" w:name="_（二）招标文件"/>
      <w:bookmarkEnd w:id="72"/>
      <w:bookmarkStart w:id="73" w:name="_Toc30798"/>
      <w:bookmarkStart w:id="74" w:name="_Toc101777613"/>
      <w:bookmarkStart w:id="75" w:name="_Toc29517"/>
      <w:bookmarkStart w:id="76" w:name="_Toc21482"/>
      <w:bookmarkStart w:id="77" w:name="_Toc2431"/>
      <w:bookmarkStart w:id="78" w:name="_Toc18392"/>
      <w:bookmarkStart w:id="79" w:name="_Toc7675"/>
      <w:bookmarkStart w:id="80" w:name="_Toc31753"/>
      <w:bookmarkStart w:id="81" w:name="_Toc262229164"/>
      <w:bookmarkStart w:id="82" w:name="_Toc15387"/>
      <w:bookmarkStart w:id="83" w:name="_Toc3488"/>
      <w:bookmarkStart w:id="84" w:name="_Toc32311"/>
      <w:bookmarkStart w:id="85" w:name="_Toc18139"/>
      <w:r>
        <w:rPr>
          <w:rFonts w:hint="eastAsia" w:ascii="宋体" w:eastAsia="宋体"/>
          <w:color w:val="auto"/>
          <w:highlight w:val="none"/>
        </w:rPr>
        <w:t>（二）招标文件</w:t>
      </w:r>
      <w:bookmarkEnd w:id="73"/>
      <w:bookmarkEnd w:id="74"/>
      <w:bookmarkEnd w:id="75"/>
      <w:bookmarkEnd w:id="76"/>
      <w:bookmarkEnd w:id="77"/>
      <w:bookmarkEnd w:id="78"/>
      <w:bookmarkEnd w:id="79"/>
      <w:bookmarkEnd w:id="80"/>
      <w:bookmarkEnd w:id="81"/>
      <w:bookmarkEnd w:id="82"/>
      <w:bookmarkEnd w:id="83"/>
      <w:bookmarkEnd w:id="84"/>
      <w:bookmarkEnd w:id="85"/>
    </w:p>
    <w:p w14:paraId="1B09DAB7">
      <w:pPr>
        <w:tabs>
          <w:tab w:val="left" w:pos="105"/>
        </w:tabs>
        <w:spacing w:line="360" w:lineRule="auto"/>
        <w:ind w:firstLine="482" w:firstLineChars="200"/>
        <w:rPr>
          <w:rFonts w:ascii="宋体" w:hAnsi="宋体" w:eastAsia="宋体"/>
          <w:b/>
          <w:color w:val="auto"/>
          <w:sz w:val="24"/>
          <w:highlight w:val="none"/>
        </w:rPr>
      </w:pPr>
      <w:r>
        <w:rPr>
          <w:rFonts w:hint="eastAsia" w:ascii="宋体" w:hAnsi="宋体" w:eastAsia="宋体"/>
          <w:b/>
          <w:color w:val="auto"/>
          <w:sz w:val="24"/>
          <w:highlight w:val="none"/>
        </w:rPr>
        <w:t>7.招标文件的组成</w:t>
      </w:r>
    </w:p>
    <w:p w14:paraId="6739C057">
      <w:pPr>
        <w:spacing w:line="360" w:lineRule="auto"/>
        <w:ind w:firstLine="480" w:firstLineChars="200"/>
        <w:rPr>
          <w:rFonts w:ascii="宋体" w:hAnsi="宋体" w:eastAsia="宋体"/>
          <w:color w:val="auto"/>
          <w:sz w:val="24"/>
          <w:highlight w:val="none"/>
        </w:rPr>
      </w:pPr>
      <w:r>
        <w:rPr>
          <w:rFonts w:hint="eastAsia" w:ascii="宋体" w:hAnsi="宋体" w:eastAsia="宋体"/>
          <w:bCs/>
          <w:color w:val="auto"/>
          <w:sz w:val="24"/>
          <w:highlight w:val="none"/>
        </w:rPr>
        <w:t>7.1</w:t>
      </w:r>
      <w:r>
        <w:rPr>
          <w:rFonts w:hint="eastAsia" w:ascii="宋体" w:hAnsi="宋体" w:eastAsia="宋体"/>
          <w:color w:val="auto"/>
          <w:sz w:val="24"/>
          <w:highlight w:val="none"/>
        </w:rPr>
        <w:t>本招标文件包括下列文件，以及所有按本须知第8条发出的招标答疑会会议纪要和按本须知第9条发出的澄清或修改：</w:t>
      </w:r>
    </w:p>
    <w:p w14:paraId="245CAE4E">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bCs/>
          <w:color w:val="auto"/>
          <w:sz w:val="24"/>
          <w:highlight w:val="none"/>
        </w:rPr>
        <w:t xml:space="preserve">第一章  </w:t>
      </w:r>
      <w:r>
        <w:rPr>
          <w:rFonts w:hint="eastAsia" w:ascii="宋体" w:hAnsi="宋体" w:eastAsia="宋体"/>
          <w:color w:val="auto"/>
          <w:sz w:val="24"/>
          <w:highlight w:val="none"/>
        </w:rPr>
        <w:t>投标须知</w:t>
      </w:r>
    </w:p>
    <w:p w14:paraId="6D0BDBE8">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bCs/>
          <w:color w:val="auto"/>
          <w:sz w:val="24"/>
          <w:highlight w:val="none"/>
        </w:rPr>
        <w:t xml:space="preserve">第二章  </w:t>
      </w:r>
      <w:r>
        <w:rPr>
          <w:rFonts w:hint="eastAsia" w:ascii="宋体" w:hAnsi="宋体" w:eastAsia="宋体"/>
          <w:color w:val="auto"/>
          <w:sz w:val="24"/>
          <w:highlight w:val="none"/>
        </w:rPr>
        <w:t>开标、评标及定标办法</w:t>
      </w:r>
    </w:p>
    <w:p w14:paraId="3F55198D">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第三章  合同条款（另册）</w:t>
      </w:r>
    </w:p>
    <w:p w14:paraId="4A67DBC2">
      <w:pPr>
        <w:pStyle w:val="5"/>
        <w:spacing w:after="0" w:line="360" w:lineRule="auto"/>
        <w:ind w:firstLine="480" w:firstLineChars="200"/>
        <w:rPr>
          <w:rFonts w:ascii="宋体" w:hAnsi="宋体" w:eastAsia="宋体"/>
          <w:b/>
          <w:color w:val="auto"/>
          <w:sz w:val="24"/>
          <w:highlight w:val="none"/>
        </w:rPr>
      </w:pPr>
      <w:r>
        <w:rPr>
          <w:rFonts w:hint="eastAsia" w:ascii="宋体" w:hAnsi="宋体" w:eastAsia="宋体"/>
          <w:bCs/>
          <w:color w:val="auto"/>
          <w:sz w:val="24"/>
          <w:highlight w:val="none"/>
        </w:rPr>
        <w:t xml:space="preserve">第四章  </w:t>
      </w:r>
      <w:r>
        <w:rPr>
          <w:rFonts w:hint="eastAsia" w:ascii="宋体" w:hAnsi="宋体" w:eastAsia="宋体"/>
          <w:color w:val="auto"/>
          <w:sz w:val="24"/>
          <w:highlight w:val="none"/>
        </w:rPr>
        <w:t>投标文件格式</w:t>
      </w:r>
    </w:p>
    <w:p w14:paraId="50CC8D0B">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bCs/>
          <w:color w:val="auto"/>
          <w:sz w:val="24"/>
          <w:highlight w:val="none"/>
        </w:rPr>
        <w:t xml:space="preserve">第五章  </w:t>
      </w:r>
      <w:r>
        <w:rPr>
          <w:rFonts w:hint="eastAsia" w:ascii="宋体" w:hAnsi="宋体" w:eastAsia="宋体"/>
          <w:color w:val="auto"/>
          <w:sz w:val="24"/>
          <w:highlight w:val="none"/>
        </w:rPr>
        <w:t>技术条件（工程建设标准）（另册）</w:t>
      </w:r>
    </w:p>
    <w:p w14:paraId="6EE74C80">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bCs/>
          <w:color w:val="auto"/>
          <w:sz w:val="24"/>
          <w:highlight w:val="none"/>
        </w:rPr>
        <w:t xml:space="preserve">第六章  </w:t>
      </w:r>
      <w:r>
        <w:rPr>
          <w:rFonts w:hint="eastAsia" w:ascii="宋体" w:hAnsi="宋体" w:eastAsia="宋体"/>
          <w:color w:val="auto"/>
          <w:sz w:val="24"/>
          <w:highlight w:val="none"/>
        </w:rPr>
        <w:t>图纸及勘察资料（另册）</w:t>
      </w:r>
    </w:p>
    <w:p w14:paraId="7D4C99F2">
      <w:pPr>
        <w:pStyle w:val="5"/>
        <w:spacing w:after="0" w:line="360" w:lineRule="auto"/>
        <w:ind w:firstLine="480" w:firstLineChars="200"/>
        <w:rPr>
          <w:rFonts w:hint="eastAsia" w:ascii="宋体" w:hAnsi="宋体" w:eastAsia="宋体"/>
          <w:color w:val="auto"/>
          <w:sz w:val="24"/>
          <w:highlight w:val="none"/>
        </w:rPr>
      </w:pPr>
      <w:r>
        <w:rPr>
          <w:rFonts w:hint="eastAsia" w:ascii="宋体" w:hAnsi="宋体" w:eastAsia="宋体"/>
          <w:bCs/>
          <w:color w:val="auto"/>
          <w:sz w:val="24"/>
          <w:highlight w:val="none"/>
        </w:rPr>
        <w:t xml:space="preserve">第七章  </w:t>
      </w:r>
      <w:r>
        <w:rPr>
          <w:rFonts w:hint="eastAsia" w:ascii="宋体" w:hAnsi="宋体" w:eastAsia="宋体"/>
          <w:color w:val="auto"/>
          <w:sz w:val="24"/>
          <w:highlight w:val="none"/>
        </w:rPr>
        <w:t>工程量清单（另册）</w:t>
      </w:r>
    </w:p>
    <w:p w14:paraId="31E641D7">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第八章  最高投标限价（另册）</w:t>
      </w:r>
    </w:p>
    <w:p w14:paraId="41F08457">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7.2 投标人获取招标文件后，应仔细检查招标文件的所有内容，认真审阅招标文件中所有的事项、格式、条款和规范要求等，若投标人的投标文件没有按招标文件要求递交全部资料，或投标文件实质上没有响应招标文件的要求，招标人将按评标办法的规定予以拒绝，并且不允许投标人通过修改或撤消其不符合要求的差异或保留使之成为具有响应性的投标文件。</w:t>
      </w:r>
    </w:p>
    <w:p w14:paraId="2ADC0CEF">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7.3 投标人一旦中标，招标文件的内容对招标人和中标人双方均有约束力。</w:t>
      </w:r>
    </w:p>
    <w:p w14:paraId="2FF87BB1">
      <w:pPr>
        <w:pStyle w:val="5"/>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7.4</w:t>
      </w:r>
      <w:r>
        <w:rPr>
          <w:rFonts w:hint="eastAsia" w:ascii="宋体" w:hAnsi="宋体" w:eastAsia="宋体" w:cs="仿宋_GB2312"/>
          <w:color w:val="auto"/>
          <w:sz w:val="24"/>
          <w:szCs w:val="24"/>
          <w:highlight w:val="none"/>
        </w:rPr>
        <w:t>招标人（或委托招标代理机构）使用广东省内依法设立的电子认证服务机构签发的电子签名认证证书对电子招标文件进行电子签名及电子签章。该电子签名及电子签章对招标人手写签名或者盖章同等的法律效力。</w:t>
      </w:r>
    </w:p>
    <w:p w14:paraId="4338A3DF">
      <w:pPr>
        <w:pStyle w:val="5"/>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7.5发布招标公告的同时，通过广州</w:t>
      </w:r>
      <w:r>
        <w:rPr>
          <w:rFonts w:hint="eastAsia" w:ascii="宋体" w:hAnsi="宋体" w:eastAsia="宋体" w:cs="仿宋_GB2312"/>
          <w:color w:val="auto"/>
          <w:sz w:val="24"/>
          <w:szCs w:val="24"/>
          <w:highlight w:val="none"/>
        </w:rPr>
        <w:t>公共资源交易网站发布电子招标文件、施工图纸、最高投标限价、成本警示价（如有）。</w:t>
      </w:r>
    </w:p>
    <w:p w14:paraId="181C52BB">
      <w:pPr>
        <w:pStyle w:val="5"/>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7.6招标文件一经在广州公共资源交易网站发布，视作已</w:t>
      </w:r>
      <w:r>
        <w:rPr>
          <w:rFonts w:hint="eastAsia" w:ascii="宋体" w:hAnsi="宋体" w:eastAsia="宋体"/>
          <w:color w:val="auto"/>
          <w:sz w:val="24"/>
          <w:highlight w:val="none"/>
        </w:rPr>
        <w:t>发放给所有投标人。</w:t>
      </w:r>
    </w:p>
    <w:p w14:paraId="597FE9BD">
      <w:pPr>
        <w:pStyle w:val="5"/>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7.7投标人获取电子招标文件后，应仔细检查电子招标文件的合法有效性。合法有效的电子招标文件应具有招标人（或招标代理机构）的电子签名</w:t>
      </w:r>
      <w:r>
        <w:rPr>
          <w:rFonts w:hint="eastAsia" w:ascii="宋体" w:hAnsi="宋体" w:eastAsia="宋体" w:cs="仿宋_GB2312"/>
          <w:color w:val="auto"/>
          <w:sz w:val="24"/>
          <w:szCs w:val="24"/>
          <w:highlight w:val="none"/>
        </w:rPr>
        <w:t>及电子签章</w:t>
      </w:r>
      <w:r>
        <w:rPr>
          <w:rFonts w:hint="eastAsia" w:ascii="宋体" w:hAnsi="宋体" w:eastAsia="宋体"/>
          <w:color w:val="auto"/>
          <w:sz w:val="24"/>
          <w:szCs w:val="24"/>
          <w:highlight w:val="none"/>
        </w:rPr>
        <w:t>。</w:t>
      </w:r>
    </w:p>
    <w:p w14:paraId="14BAAC62">
      <w:pPr>
        <w:pStyle w:val="5"/>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7.8招标人应在招标文件第四章中明确编制投标文件主要内容的格式要求。</w:t>
      </w:r>
    </w:p>
    <w:p w14:paraId="3C8FDF3F">
      <w:pPr>
        <w:widowControl/>
        <w:snapToGrid w:val="0"/>
        <w:spacing w:line="360" w:lineRule="auto"/>
        <w:ind w:firstLine="482" w:firstLineChars="200"/>
        <w:jc w:val="left"/>
        <w:rPr>
          <w:rFonts w:ascii="宋体" w:hAnsi="宋体" w:eastAsia="宋体"/>
          <w:color w:val="auto"/>
          <w:sz w:val="24"/>
          <w:highlight w:val="none"/>
        </w:rPr>
      </w:pPr>
      <w:r>
        <w:rPr>
          <w:rFonts w:hint="eastAsia" w:ascii="宋体" w:hAnsi="宋体" w:eastAsia="宋体"/>
          <w:b/>
          <w:bCs/>
          <w:color w:val="auto"/>
          <w:sz w:val="24"/>
          <w:highlight w:val="none"/>
        </w:rPr>
        <w:t>8．招标答疑</w:t>
      </w:r>
    </w:p>
    <w:p w14:paraId="6F47CEED">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szCs w:val="21"/>
          <w:highlight w:val="none"/>
        </w:rPr>
        <w:t>8.1</w:t>
      </w:r>
      <w:r>
        <w:rPr>
          <w:rFonts w:hint="eastAsia" w:ascii="宋体" w:hAnsi="宋体" w:eastAsia="宋体"/>
          <w:color w:val="auto"/>
          <w:sz w:val="24"/>
          <w:highlight w:val="none"/>
        </w:rPr>
        <w:t xml:space="preserve"> 招标答疑采用网上答疑方式。投标人若对招标文件（包括招标图纸、清单、最高投标限价）有疑问的，可在规定的时间内通过</w:t>
      </w:r>
      <w:r>
        <w:rPr>
          <w:rFonts w:hint="eastAsia" w:ascii="宋体" w:hAnsi="宋体" w:eastAsia="宋体"/>
          <w:color w:val="auto"/>
          <w:sz w:val="24"/>
          <w:highlight w:val="none"/>
          <w:lang w:eastAsia="zh-CN"/>
        </w:rPr>
        <w:t>广州公共资源交易</w:t>
      </w:r>
      <w:r>
        <w:rPr>
          <w:rFonts w:hint="eastAsia" w:ascii="宋体" w:hAnsi="宋体" w:eastAsia="宋体"/>
          <w:color w:val="auto"/>
          <w:sz w:val="24"/>
          <w:highlight w:val="none"/>
        </w:rPr>
        <w:t>网站进入提问区域将问题提交给招标人或招标代理机构，提交问题时一律不得署名。</w:t>
      </w:r>
    </w:p>
    <w:p w14:paraId="3E84EF5F">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网上答疑的具体操作详见交易平台发布的相关操作指引。</w:t>
      </w:r>
    </w:p>
    <w:p w14:paraId="5BD851F2">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8.2投标人应在招标公告发布之日起3天内对招标文件提出疑问。招标人应在递交投标文件截止时间15 日前解答投标人对招标文件提出的疑问，形成答疑纪要，并可在</w:t>
      </w:r>
      <w:r>
        <w:rPr>
          <w:rFonts w:hint="eastAsia" w:ascii="宋体" w:hAnsi="宋体" w:eastAsia="宋体"/>
          <w:color w:val="auto"/>
          <w:sz w:val="24"/>
          <w:highlight w:val="none"/>
          <w:lang w:eastAsia="zh-CN"/>
        </w:rPr>
        <w:t>广州公共资源交易</w:t>
      </w:r>
      <w:r>
        <w:rPr>
          <w:rFonts w:hint="eastAsia" w:ascii="宋体" w:hAnsi="宋体" w:eastAsia="宋体"/>
          <w:color w:val="auto"/>
          <w:sz w:val="24"/>
          <w:highlight w:val="none"/>
        </w:rPr>
        <w:t>网站“招标答疑”专区发布。</w:t>
      </w:r>
    </w:p>
    <w:p w14:paraId="209BF0DB">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szCs w:val="24"/>
          <w:highlight w:val="none"/>
        </w:rPr>
        <w:t>8.3</w:t>
      </w:r>
      <w:r>
        <w:rPr>
          <w:rFonts w:hint="eastAsia" w:ascii="宋体" w:hAnsi="宋体" w:eastAsia="宋体"/>
          <w:color w:val="auto"/>
          <w:sz w:val="24"/>
          <w:highlight w:val="none"/>
        </w:rPr>
        <w:t>招标答疑纪要一经在</w:t>
      </w:r>
      <w:r>
        <w:rPr>
          <w:rFonts w:hint="eastAsia" w:ascii="宋体" w:hAnsi="宋体" w:eastAsia="宋体"/>
          <w:color w:val="auto"/>
          <w:sz w:val="24"/>
          <w:highlight w:val="none"/>
          <w:lang w:eastAsia="zh-CN"/>
        </w:rPr>
        <w:t>广州公共资源交易</w:t>
      </w:r>
      <w:r>
        <w:rPr>
          <w:rFonts w:hint="eastAsia" w:ascii="宋体" w:hAnsi="宋体" w:eastAsia="宋体"/>
          <w:color w:val="auto"/>
          <w:sz w:val="24"/>
          <w:highlight w:val="none"/>
        </w:rPr>
        <w:t>网站发布，视作已发放给所有投标人。</w:t>
      </w:r>
    </w:p>
    <w:p w14:paraId="10995606">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8.4招标答疑纪要为招标文件的一部分。</w:t>
      </w:r>
      <w:r>
        <w:rPr>
          <w:rFonts w:hint="eastAsia" w:ascii="宋体" w:hAnsi="宋体" w:eastAsia="宋体"/>
          <w:color w:val="auto"/>
          <w:sz w:val="24"/>
          <w:szCs w:val="24"/>
          <w:highlight w:val="none"/>
        </w:rPr>
        <w:t>投标人可在</w:t>
      </w:r>
      <w:r>
        <w:rPr>
          <w:rFonts w:hint="eastAsia" w:ascii="宋体" w:hAnsi="宋体" w:eastAsia="宋体"/>
          <w:color w:val="auto"/>
          <w:sz w:val="24"/>
          <w:szCs w:val="24"/>
          <w:highlight w:val="none"/>
          <w:lang w:eastAsia="zh-CN"/>
        </w:rPr>
        <w:t>广州公共资源交易</w:t>
      </w:r>
      <w:r>
        <w:rPr>
          <w:rFonts w:hint="eastAsia" w:ascii="宋体" w:hAnsi="宋体" w:eastAsia="宋体"/>
          <w:color w:val="auto"/>
          <w:sz w:val="24"/>
          <w:szCs w:val="24"/>
          <w:highlight w:val="none"/>
        </w:rPr>
        <w:t>网站浏览、下载招标答疑纪要。</w:t>
      </w:r>
    </w:p>
    <w:p w14:paraId="7435CD90">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8.5若招标答疑纪要与招标文件有矛盾时，以</w:t>
      </w:r>
      <w:r>
        <w:rPr>
          <w:rFonts w:hint="eastAsia" w:ascii="宋体" w:hAnsi="宋体" w:eastAsia="宋体"/>
          <w:color w:val="auto"/>
          <w:sz w:val="24"/>
          <w:szCs w:val="24"/>
          <w:highlight w:val="none"/>
          <w:lang w:eastAsia="zh-CN"/>
        </w:rPr>
        <w:t>广州公共资源交易</w:t>
      </w:r>
      <w:r>
        <w:rPr>
          <w:rFonts w:hint="eastAsia" w:ascii="宋体" w:hAnsi="宋体" w:eastAsia="宋体"/>
          <w:color w:val="auto"/>
          <w:sz w:val="24"/>
          <w:szCs w:val="24"/>
          <w:highlight w:val="none"/>
        </w:rPr>
        <w:t>网站</w:t>
      </w:r>
      <w:r>
        <w:rPr>
          <w:rFonts w:hint="eastAsia" w:ascii="宋体" w:hAnsi="宋体" w:eastAsia="宋体"/>
          <w:color w:val="auto"/>
          <w:sz w:val="24"/>
          <w:highlight w:val="none"/>
        </w:rPr>
        <w:t>最后发布的答疑纪要为准。</w:t>
      </w:r>
    </w:p>
    <w:p w14:paraId="27E444B8">
      <w:pPr>
        <w:pStyle w:val="5"/>
        <w:spacing w:after="0"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9.招标文件的澄清与修改</w:t>
      </w:r>
    </w:p>
    <w:p w14:paraId="7CD94908">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9.1招标文件发出后，在递交投标文件截止时间15日前，招标人可对招标文件进行必要的澄清或修改。</w:t>
      </w:r>
    </w:p>
    <w:p w14:paraId="6E86DE20">
      <w:pPr>
        <w:pStyle w:val="5"/>
        <w:spacing w:before="50" w:after="5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9.2招标文件的澄清或修改在</w:t>
      </w:r>
      <w:r>
        <w:rPr>
          <w:rFonts w:hint="eastAsia" w:ascii="宋体" w:hAnsi="宋体" w:eastAsia="宋体"/>
          <w:color w:val="auto"/>
          <w:sz w:val="24"/>
          <w:highlight w:val="none"/>
          <w:lang w:eastAsia="zh-CN"/>
        </w:rPr>
        <w:t>广州公共资源交易</w:t>
      </w:r>
      <w:r>
        <w:rPr>
          <w:rFonts w:hint="eastAsia" w:ascii="宋体" w:hAnsi="宋体" w:eastAsia="宋体"/>
          <w:color w:val="auto"/>
          <w:sz w:val="24"/>
          <w:highlight w:val="none"/>
        </w:rPr>
        <w:t>网站发布。招标文件的澄清或修改一经在</w:t>
      </w:r>
      <w:r>
        <w:rPr>
          <w:rFonts w:hint="eastAsia" w:ascii="宋体" w:hAnsi="宋体" w:eastAsia="宋体"/>
          <w:color w:val="auto"/>
          <w:sz w:val="24"/>
          <w:highlight w:val="none"/>
          <w:lang w:eastAsia="zh-CN"/>
        </w:rPr>
        <w:t>广州公共资源交易</w:t>
      </w:r>
      <w:r>
        <w:rPr>
          <w:rFonts w:hint="eastAsia" w:ascii="宋体" w:hAnsi="宋体" w:eastAsia="宋体"/>
          <w:color w:val="auto"/>
          <w:sz w:val="24"/>
          <w:highlight w:val="none"/>
        </w:rPr>
        <w:t>网站发布，视作已发放给所有投标人。</w:t>
      </w:r>
    </w:p>
    <w:p w14:paraId="33CF4D5A">
      <w:pPr>
        <w:pStyle w:val="5"/>
        <w:spacing w:before="50" w:after="5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9.3招标文件的澄清、修改作为招标文件的组成部分，具有约束作用。</w:t>
      </w:r>
    </w:p>
    <w:p w14:paraId="742A95D6">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9.4招标文件的澄清、修改均以</w:t>
      </w:r>
      <w:r>
        <w:rPr>
          <w:rFonts w:hint="eastAsia" w:ascii="宋体" w:hAnsi="宋体" w:eastAsia="宋体"/>
          <w:color w:val="auto"/>
          <w:sz w:val="24"/>
          <w:szCs w:val="24"/>
          <w:highlight w:val="none"/>
          <w:lang w:eastAsia="zh-CN"/>
        </w:rPr>
        <w:t>广州公共资源交易</w:t>
      </w:r>
      <w:r>
        <w:rPr>
          <w:rFonts w:hint="eastAsia" w:ascii="宋体" w:hAnsi="宋体" w:eastAsia="宋体"/>
          <w:color w:val="auto"/>
          <w:sz w:val="24"/>
          <w:szCs w:val="24"/>
          <w:highlight w:val="none"/>
        </w:rPr>
        <w:t>网站发布</w:t>
      </w:r>
      <w:r>
        <w:rPr>
          <w:rFonts w:hint="eastAsia" w:ascii="宋体" w:hAnsi="宋体" w:eastAsia="宋体"/>
          <w:color w:val="auto"/>
          <w:sz w:val="24"/>
          <w:highlight w:val="none"/>
        </w:rPr>
        <w:t>的内容为准。当招标文件的澄清、修改在同一内容的表述不一致时，以</w:t>
      </w:r>
      <w:r>
        <w:rPr>
          <w:rFonts w:hint="eastAsia" w:ascii="宋体" w:hAnsi="宋体" w:eastAsia="宋体"/>
          <w:color w:val="auto"/>
          <w:sz w:val="24"/>
          <w:szCs w:val="24"/>
          <w:highlight w:val="none"/>
          <w:lang w:eastAsia="zh-CN"/>
        </w:rPr>
        <w:t>广州公共资源交易</w:t>
      </w:r>
      <w:r>
        <w:rPr>
          <w:rFonts w:hint="eastAsia" w:ascii="宋体" w:hAnsi="宋体" w:eastAsia="宋体"/>
          <w:color w:val="auto"/>
          <w:sz w:val="24"/>
          <w:szCs w:val="24"/>
          <w:highlight w:val="none"/>
        </w:rPr>
        <w:t>网站</w:t>
      </w:r>
      <w:r>
        <w:rPr>
          <w:rFonts w:hint="eastAsia" w:ascii="宋体" w:hAnsi="宋体" w:eastAsia="宋体"/>
          <w:color w:val="auto"/>
          <w:sz w:val="24"/>
          <w:highlight w:val="none"/>
        </w:rPr>
        <w:t>最后发布的内容为准。</w:t>
      </w:r>
    </w:p>
    <w:p w14:paraId="56E57444">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9.5为使投标人在编制投标文件时有充分的时间对招标文件的澄清或修改等内容考虑进去，招标人将酌情延长递交投标文件的截止时间，具体时间将在招标文件的澄清或修改中予以明确。若澄清或修改中没有明确延长时间，即表示投标时间不延长。</w:t>
      </w:r>
    </w:p>
    <w:p w14:paraId="104232FC">
      <w:pPr>
        <w:pStyle w:val="8"/>
        <w:spacing w:before="120"/>
        <w:rPr>
          <w:rFonts w:ascii="宋体" w:eastAsia="宋体"/>
          <w:color w:val="auto"/>
          <w:highlight w:val="none"/>
        </w:rPr>
      </w:pPr>
      <w:bookmarkStart w:id="86" w:name="_（三）投标文件的编制"/>
      <w:bookmarkEnd w:id="86"/>
      <w:bookmarkStart w:id="87" w:name="_Toc13948"/>
      <w:bookmarkStart w:id="88" w:name="_Toc13014"/>
      <w:bookmarkStart w:id="89" w:name="_Toc8016"/>
      <w:bookmarkStart w:id="90" w:name="_Toc32165"/>
      <w:bookmarkStart w:id="91" w:name="_Toc391"/>
      <w:bookmarkStart w:id="92" w:name="_Toc262229165"/>
      <w:bookmarkStart w:id="93" w:name="_Toc16402"/>
      <w:bookmarkStart w:id="94" w:name="_Toc11866"/>
      <w:bookmarkStart w:id="95" w:name="_Toc26506"/>
      <w:bookmarkStart w:id="96" w:name="_Toc18637"/>
      <w:bookmarkStart w:id="97" w:name="_Toc101777614"/>
      <w:bookmarkStart w:id="98" w:name="_Toc30725"/>
      <w:bookmarkStart w:id="99" w:name="_Toc28754"/>
      <w:r>
        <w:rPr>
          <w:rFonts w:hint="eastAsia" w:ascii="宋体" w:eastAsia="宋体"/>
          <w:color w:val="auto"/>
          <w:highlight w:val="none"/>
        </w:rPr>
        <w:t>（三）投标文件的编制</w:t>
      </w:r>
      <w:bookmarkEnd w:id="87"/>
      <w:bookmarkEnd w:id="88"/>
      <w:bookmarkEnd w:id="89"/>
      <w:bookmarkEnd w:id="90"/>
      <w:bookmarkEnd w:id="91"/>
      <w:bookmarkEnd w:id="92"/>
      <w:bookmarkEnd w:id="93"/>
      <w:bookmarkEnd w:id="94"/>
      <w:bookmarkEnd w:id="95"/>
      <w:bookmarkEnd w:id="96"/>
      <w:bookmarkEnd w:id="97"/>
      <w:bookmarkEnd w:id="98"/>
      <w:bookmarkEnd w:id="99"/>
    </w:p>
    <w:p w14:paraId="16535FDE">
      <w:pPr>
        <w:pStyle w:val="5"/>
        <w:spacing w:after="0"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10．投标文件的语言及度量衡单位</w:t>
      </w:r>
    </w:p>
    <w:p w14:paraId="3C8EE8C8">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10.1 投标文件和与投标有关的所有文件均应使用中文。</w:t>
      </w:r>
    </w:p>
    <w:p w14:paraId="21B3EE73">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10.2 除工程规范另有规定外，投标文件使用的度量衡单位，均采用中华人民共和国法定计量单位。</w:t>
      </w:r>
    </w:p>
    <w:p w14:paraId="72A7EE17">
      <w:pPr>
        <w:pStyle w:val="5"/>
        <w:spacing w:after="0"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11．投标文件的组成</w:t>
      </w:r>
    </w:p>
    <w:p w14:paraId="1758CD67">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11.1投标文件由资格审查部分和技术经济部分两部分组成。</w:t>
      </w:r>
    </w:p>
    <w:p w14:paraId="199701E7">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11.2资格审查文件主要包括的内容：</w:t>
      </w:r>
    </w:p>
    <w:p w14:paraId="0C001250">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11.2.1法定代表人证明书，如投标文件为委托代理人签署应同时附上法定代表人证明书和法定代表人授权书；</w:t>
      </w:r>
    </w:p>
    <w:p w14:paraId="1E6BFB70">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11.2.2</w:t>
      </w:r>
      <w:r>
        <w:rPr>
          <w:rFonts w:hint="eastAsia" w:ascii="宋体" w:hAnsi="宋体" w:eastAsia="宋体"/>
          <w:color w:val="auto"/>
          <w:sz w:val="24"/>
          <w:szCs w:val="24"/>
          <w:highlight w:val="none"/>
        </w:rPr>
        <w:t>工商行政管理部门核发的</w:t>
      </w:r>
      <w:r>
        <w:rPr>
          <w:rFonts w:hint="eastAsia" w:ascii="宋体" w:hAnsi="宋体" w:eastAsia="宋体"/>
          <w:bCs/>
          <w:color w:val="auto"/>
          <w:sz w:val="24"/>
          <w:szCs w:val="24"/>
          <w:highlight w:val="none"/>
        </w:rPr>
        <w:t>营业执照；</w:t>
      </w:r>
    </w:p>
    <w:p w14:paraId="3CDD283D">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11.2.3项目负责人（按招标公告要求和网上投标登记时选择拟投标的项目负责人）</w:t>
      </w:r>
      <w:r>
        <w:rPr>
          <w:rFonts w:hint="eastAsia" w:ascii="宋体" w:hAnsi="宋体" w:eastAsia="宋体"/>
          <w:color w:val="auto"/>
          <w:kern w:val="0"/>
          <w:sz w:val="24"/>
          <w:szCs w:val="24"/>
          <w:highlight w:val="none"/>
        </w:rPr>
        <w:t>；</w:t>
      </w:r>
    </w:p>
    <w:p w14:paraId="113630B8">
      <w:pPr>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11.2.4用于资格审查的业绩（设置业绩要求时选择此项，投标人选择用于资格审查的业绩须用本企业的CA数字证书对生成的内容进行签章）；</w:t>
      </w:r>
    </w:p>
    <w:p w14:paraId="01C6DBA0">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11.2.5</w:t>
      </w:r>
      <w:r>
        <w:rPr>
          <w:rFonts w:hint="eastAsia" w:ascii="宋体" w:hAnsi="宋体" w:eastAsia="宋体"/>
          <w:color w:val="auto"/>
          <w:sz w:val="24"/>
          <w:szCs w:val="24"/>
          <w:highlight w:val="none"/>
        </w:rPr>
        <w:t>专职安全人员须具有在有效期内的安全生产考核合格证书（C类），或能够提供广东省建筑施工企业管理人员安全生产考核信息系统安全生产管理人员证书信息的打印页</w:t>
      </w:r>
      <w:r>
        <w:rPr>
          <w:rFonts w:hint="eastAsia" w:ascii="宋体" w:hAnsi="宋体" w:eastAsia="宋体"/>
          <w:bCs/>
          <w:color w:val="auto"/>
          <w:sz w:val="24"/>
          <w:szCs w:val="24"/>
          <w:highlight w:val="none"/>
        </w:rPr>
        <w:t>（按网上投标登记时选择拟派专职安全员）；</w:t>
      </w:r>
    </w:p>
    <w:p w14:paraId="2CEA10F3">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bCs/>
          <w:color w:val="auto"/>
          <w:sz w:val="24"/>
          <w:szCs w:val="24"/>
          <w:highlight w:val="none"/>
        </w:rPr>
        <w:t>11.2.6</w:t>
      </w:r>
      <w:r>
        <w:rPr>
          <w:rFonts w:hint="eastAsia" w:ascii="宋体" w:hAnsi="宋体" w:eastAsia="宋体"/>
          <w:color w:val="auto"/>
          <w:sz w:val="24"/>
          <w:szCs w:val="24"/>
          <w:highlight w:val="none"/>
        </w:rPr>
        <w:t>投标人按照规定的格式及内容要求签署的《投标人声明》（格式见第四章）；</w:t>
      </w:r>
    </w:p>
    <w:p w14:paraId="0E9F24C6">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11.2.7列明主办单位的联合体工作协议（采用联合体投标时需递交，投标人拟任本工程项目负责人应为联合体主办方企业信息登记中的在册人员，联合体工作协议应明确约定各方拟承担的工作和责任）；</w:t>
      </w:r>
    </w:p>
    <w:p w14:paraId="6B961F8B">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11.2.8未被列入国家、省、市失信联合惩戒名单（具体名单以递交投标文件截止时间“信用广州”网站公布的“失信联合惩戒黑名单——国家下发”为准），或未因失信行为被本项目所在地行政主管部门作出限制参与工程建设项目投标的决定。</w:t>
      </w:r>
    </w:p>
    <w:p w14:paraId="5B055DCB">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注：资格审查内容的11.2.2至11.2.5项</w:t>
      </w:r>
      <w:r>
        <w:rPr>
          <w:rFonts w:hint="eastAsia" w:ascii="宋体" w:hAnsi="宋体" w:eastAsia="宋体"/>
          <w:color w:val="auto"/>
          <w:sz w:val="24"/>
          <w:szCs w:val="24"/>
          <w:highlight w:val="none"/>
        </w:rPr>
        <w:t>（除广东省建筑施工企业管理人员安全生产考核信息系统安全生产管理人员证书信息的打印页、《信息公开证明》打印页外）的资料取自</w:t>
      </w:r>
      <w:r>
        <w:rPr>
          <w:rFonts w:hint="eastAsia" w:ascii="宋体" w:hAnsi="宋体" w:eastAsia="宋体"/>
          <w:color w:val="auto"/>
          <w:sz w:val="24"/>
          <w:szCs w:val="24"/>
          <w:highlight w:val="none"/>
          <w:lang w:eastAsia="zh-CN"/>
        </w:rPr>
        <w:t>投标人</w:t>
      </w:r>
      <w:r>
        <w:rPr>
          <w:rFonts w:hint="eastAsia" w:ascii="宋体" w:hAnsi="宋体" w:eastAsia="宋体"/>
          <w:color w:val="auto"/>
          <w:sz w:val="24"/>
          <w:szCs w:val="24"/>
          <w:highlight w:val="none"/>
        </w:rPr>
        <w:t>在</w:t>
      </w:r>
      <w:r>
        <w:rPr>
          <w:rFonts w:hint="eastAsia" w:ascii="宋体" w:hAnsi="宋体" w:eastAsia="宋体"/>
          <w:color w:val="auto"/>
          <w:sz w:val="24"/>
          <w:szCs w:val="24"/>
          <w:highlight w:val="none"/>
          <w:lang w:eastAsia="zh-CN"/>
        </w:rPr>
        <w:t>广州公共资源交易平台</w:t>
      </w:r>
      <w:r>
        <w:rPr>
          <w:rFonts w:hint="eastAsia" w:ascii="宋体" w:hAnsi="宋体" w:eastAsia="宋体"/>
          <w:color w:val="auto"/>
          <w:sz w:val="24"/>
          <w:szCs w:val="24"/>
          <w:highlight w:val="none"/>
        </w:rPr>
        <w:t>企业库、城市园林绿化企业工程业绩库中的资料，</w:t>
      </w:r>
      <w:r>
        <w:rPr>
          <w:rFonts w:hint="eastAsia" w:ascii="宋体" w:hAnsi="宋体" w:eastAsia="宋体"/>
          <w:color w:val="auto"/>
          <w:sz w:val="24"/>
          <w:szCs w:val="24"/>
          <w:highlight w:val="none"/>
          <w:lang w:eastAsia="zh-CN"/>
        </w:rPr>
        <w:t>广州公共资源交易平台</w:t>
      </w:r>
      <w:r>
        <w:rPr>
          <w:rFonts w:hint="eastAsia" w:ascii="宋体" w:hAnsi="宋体" w:eastAsia="宋体"/>
          <w:color w:val="auto"/>
          <w:sz w:val="24"/>
          <w:szCs w:val="24"/>
          <w:highlight w:val="none"/>
        </w:rPr>
        <w:t>企业库、城市园林绿化企业工程业绩库中该部分信息将被视为</w:t>
      </w:r>
      <w:r>
        <w:rPr>
          <w:rFonts w:hint="eastAsia" w:ascii="宋体" w:hAnsi="宋体" w:eastAsia="宋体"/>
          <w:color w:val="auto"/>
          <w:sz w:val="24"/>
          <w:szCs w:val="24"/>
          <w:highlight w:val="none"/>
          <w:lang w:eastAsia="zh-CN"/>
        </w:rPr>
        <w:t>投标人</w:t>
      </w:r>
      <w:r>
        <w:rPr>
          <w:rFonts w:hint="eastAsia" w:ascii="宋体" w:hAnsi="宋体" w:eastAsia="宋体"/>
          <w:color w:val="auto"/>
          <w:sz w:val="24"/>
          <w:szCs w:val="24"/>
          <w:highlight w:val="none"/>
        </w:rPr>
        <w:t>递交的资格审查资料的一部分，</w:t>
      </w:r>
      <w:r>
        <w:rPr>
          <w:rFonts w:hint="eastAsia" w:ascii="宋体" w:hAnsi="宋体" w:eastAsia="宋体"/>
          <w:bCs/>
          <w:color w:val="auto"/>
          <w:sz w:val="24"/>
          <w:szCs w:val="24"/>
          <w:highlight w:val="none"/>
        </w:rPr>
        <w:t>资格审查文件不需另行提交。</w:t>
      </w:r>
    </w:p>
    <w:p w14:paraId="2CA8A864">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11.3技术部分</w:t>
      </w:r>
      <w:r>
        <w:rPr>
          <w:rFonts w:hint="eastAsia" w:ascii="宋体" w:hAnsi="宋体" w:eastAsia="宋体"/>
          <w:bCs/>
          <w:color w:val="auto"/>
          <w:sz w:val="24"/>
          <w:szCs w:val="24"/>
          <w:highlight w:val="none"/>
          <w:lang w:eastAsia="zh-CN"/>
        </w:rPr>
        <w:t>（</w:t>
      </w:r>
      <w:r>
        <w:rPr>
          <w:rFonts w:hint="eastAsia" w:ascii="宋体" w:hAnsi="宋体" w:eastAsia="宋体"/>
          <w:bCs/>
          <w:color w:val="auto"/>
          <w:sz w:val="24"/>
          <w:szCs w:val="24"/>
          <w:highlight w:val="none"/>
        </w:rPr>
        <w:t>施工组织方案</w:t>
      </w:r>
      <w:r>
        <w:rPr>
          <w:rFonts w:hint="eastAsia" w:ascii="宋体" w:hAnsi="宋体" w:eastAsia="宋体"/>
          <w:bCs/>
          <w:color w:val="auto"/>
          <w:sz w:val="24"/>
          <w:szCs w:val="24"/>
          <w:highlight w:val="none"/>
          <w:lang w:eastAsia="zh-CN"/>
        </w:rPr>
        <w:t>）</w:t>
      </w:r>
      <w:r>
        <w:rPr>
          <w:rFonts w:hint="eastAsia" w:ascii="宋体" w:hAnsi="宋体" w:eastAsia="宋体"/>
          <w:bCs/>
          <w:color w:val="auto"/>
          <w:sz w:val="24"/>
          <w:szCs w:val="24"/>
          <w:highlight w:val="none"/>
        </w:rPr>
        <w:t>文件（办法二可选）：</w:t>
      </w:r>
    </w:p>
    <w:p w14:paraId="4B2272F8">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技术部分</w:t>
      </w:r>
      <w:r>
        <w:rPr>
          <w:rFonts w:hint="eastAsia" w:ascii="宋体" w:hAnsi="宋体" w:eastAsia="宋体"/>
          <w:bCs/>
          <w:color w:val="auto"/>
          <w:sz w:val="24"/>
          <w:szCs w:val="24"/>
          <w:highlight w:val="none"/>
          <w:lang w:eastAsia="zh-CN"/>
        </w:rPr>
        <w:t>（</w:t>
      </w:r>
      <w:r>
        <w:rPr>
          <w:rFonts w:hint="eastAsia" w:ascii="宋体" w:hAnsi="宋体" w:eastAsia="宋体"/>
          <w:bCs/>
          <w:color w:val="auto"/>
          <w:sz w:val="24"/>
          <w:szCs w:val="24"/>
          <w:highlight w:val="none"/>
        </w:rPr>
        <w:t>施工组织方案</w:t>
      </w:r>
      <w:r>
        <w:rPr>
          <w:rFonts w:hint="eastAsia" w:ascii="宋体" w:hAnsi="宋体" w:eastAsia="宋体"/>
          <w:bCs/>
          <w:color w:val="auto"/>
          <w:sz w:val="24"/>
          <w:szCs w:val="24"/>
          <w:highlight w:val="none"/>
          <w:lang w:eastAsia="zh-CN"/>
        </w:rPr>
        <w:t>）</w:t>
      </w:r>
      <w:r>
        <w:rPr>
          <w:rFonts w:hint="eastAsia" w:ascii="宋体" w:hAnsi="宋体" w:eastAsia="宋体"/>
          <w:bCs/>
          <w:color w:val="auto"/>
          <w:sz w:val="24"/>
          <w:szCs w:val="24"/>
          <w:highlight w:val="none"/>
        </w:rPr>
        <w:t>文件评审采用“暗标形式”，文件中不得出现名称、印章、商标、投标金额等记认符号（或使人辨认出投标人或其专业技术人员的身份）或出现涉及人员姓名、简历等暴露投标人身份的内容。技术部分</w:t>
      </w:r>
      <w:r>
        <w:rPr>
          <w:rFonts w:hint="eastAsia" w:ascii="宋体" w:hAnsi="宋体" w:eastAsia="宋体"/>
          <w:bCs/>
          <w:color w:val="auto"/>
          <w:sz w:val="24"/>
          <w:szCs w:val="24"/>
          <w:highlight w:val="none"/>
          <w:lang w:eastAsia="zh-CN"/>
        </w:rPr>
        <w:t>（</w:t>
      </w:r>
      <w:r>
        <w:rPr>
          <w:rFonts w:hint="eastAsia" w:ascii="宋体" w:hAnsi="宋体" w:eastAsia="宋体"/>
          <w:bCs/>
          <w:color w:val="auto"/>
          <w:sz w:val="24"/>
          <w:szCs w:val="24"/>
          <w:highlight w:val="none"/>
        </w:rPr>
        <w:t>施工组织方案</w:t>
      </w:r>
      <w:r>
        <w:rPr>
          <w:rFonts w:hint="eastAsia" w:ascii="宋体" w:hAnsi="宋体" w:eastAsia="宋体"/>
          <w:bCs/>
          <w:color w:val="auto"/>
          <w:sz w:val="24"/>
          <w:szCs w:val="24"/>
          <w:highlight w:val="none"/>
          <w:lang w:eastAsia="zh-CN"/>
        </w:rPr>
        <w:t>）</w:t>
      </w:r>
      <w:r>
        <w:rPr>
          <w:rFonts w:hint="eastAsia" w:ascii="宋体" w:hAnsi="宋体" w:eastAsia="宋体"/>
          <w:bCs/>
          <w:color w:val="auto"/>
          <w:sz w:val="24"/>
          <w:szCs w:val="24"/>
          <w:highlight w:val="none"/>
        </w:rPr>
        <w:t>文件投标文件应包含但不限于一下内容：</w:t>
      </w:r>
    </w:p>
    <w:p w14:paraId="2F201931">
      <w:pPr>
        <w:spacing w:line="360" w:lineRule="auto"/>
        <w:ind w:left="420" w:left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w:t>
      </w:r>
      <w:r>
        <w:rPr>
          <w:rFonts w:hint="eastAsia" w:ascii="宋体" w:hAnsi="宋体" w:eastAsia="宋体"/>
          <w:bCs/>
          <w:color w:val="auto"/>
          <w:sz w:val="24"/>
          <w:szCs w:val="24"/>
          <w:highlight w:val="none"/>
          <w:lang w:val="en-US" w:eastAsia="zh-CN"/>
        </w:rPr>
        <w:t>1</w:t>
      </w:r>
      <w:r>
        <w:rPr>
          <w:rFonts w:hint="eastAsia" w:ascii="宋体" w:hAnsi="宋体" w:eastAsia="宋体"/>
          <w:bCs/>
          <w:color w:val="auto"/>
          <w:sz w:val="24"/>
          <w:szCs w:val="24"/>
          <w:highlight w:val="none"/>
        </w:rPr>
        <w:t>）技术部分（施工组织方案）文件以A4（210mm*297mm）规格编排；</w:t>
      </w:r>
    </w:p>
    <w:p w14:paraId="69A11133">
      <w:pPr>
        <w:spacing w:line="360" w:lineRule="auto"/>
        <w:ind w:left="420" w:left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w:t>
      </w:r>
      <w:r>
        <w:rPr>
          <w:rFonts w:hint="eastAsia" w:ascii="宋体" w:hAnsi="宋体" w:eastAsia="宋体"/>
          <w:bCs/>
          <w:color w:val="auto"/>
          <w:sz w:val="24"/>
          <w:szCs w:val="24"/>
          <w:highlight w:val="none"/>
          <w:lang w:val="en-US" w:eastAsia="zh-CN"/>
        </w:rPr>
        <w:t>2</w:t>
      </w:r>
      <w:r>
        <w:rPr>
          <w:rFonts w:hint="eastAsia" w:ascii="宋体" w:hAnsi="宋体" w:eastAsia="宋体"/>
          <w:bCs/>
          <w:color w:val="auto"/>
          <w:sz w:val="24"/>
          <w:szCs w:val="24"/>
          <w:highlight w:val="none"/>
        </w:rPr>
        <w:t>）技术部分（施工组织方案）文件页数最多不超过   页（50页，不包括封面及目录页）；</w:t>
      </w:r>
    </w:p>
    <w:p w14:paraId="1BBF9537">
      <w:pPr>
        <w:spacing w:line="360" w:lineRule="auto"/>
        <w:ind w:left="420" w:left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w:t>
      </w:r>
      <w:r>
        <w:rPr>
          <w:rFonts w:hint="eastAsia" w:ascii="宋体" w:hAnsi="宋体" w:eastAsia="宋体"/>
          <w:bCs/>
          <w:color w:val="auto"/>
          <w:sz w:val="24"/>
          <w:szCs w:val="24"/>
          <w:highlight w:val="none"/>
          <w:lang w:val="en-US" w:eastAsia="zh-CN"/>
        </w:rPr>
        <w:t>3</w:t>
      </w:r>
      <w:r>
        <w:rPr>
          <w:rFonts w:hint="eastAsia" w:ascii="宋体" w:hAnsi="宋体" w:eastAsia="宋体"/>
          <w:bCs/>
          <w:color w:val="auto"/>
          <w:sz w:val="24"/>
          <w:szCs w:val="24"/>
          <w:highlight w:val="none"/>
        </w:rPr>
        <w:t>）技术部分（施工组织方案）文件正文内容：</w:t>
      </w:r>
    </w:p>
    <w:p w14:paraId="621E1448">
      <w:pPr>
        <w:spacing w:line="360" w:lineRule="auto"/>
        <w:ind w:left="420" w:left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 xml:space="preserve">  ①封面：写明项目名称、编制年月；</w:t>
      </w:r>
    </w:p>
    <w:p w14:paraId="5F650B71">
      <w:pPr>
        <w:spacing w:line="360" w:lineRule="auto"/>
        <w:ind w:left="420" w:left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 xml:space="preserve">  ②目录；</w:t>
      </w:r>
    </w:p>
    <w:p w14:paraId="1AC7C544">
      <w:pPr>
        <w:spacing w:line="360" w:lineRule="auto"/>
        <w:ind w:left="420" w:left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 xml:space="preserve">  ③概况；</w:t>
      </w:r>
    </w:p>
    <w:p w14:paraId="0FED0A6A">
      <w:pPr>
        <w:spacing w:line="360" w:lineRule="auto"/>
        <w:ind w:left="420" w:left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 xml:space="preserve">  ④工作目标与组织架构；</w:t>
      </w:r>
    </w:p>
    <w:p w14:paraId="2E8D6332">
      <w:pPr>
        <w:spacing w:line="360" w:lineRule="auto"/>
        <w:ind w:left="420" w:left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 xml:space="preserve">  ⑤现状调研与分析；</w:t>
      </w:r>
    </w:p>
    <w:p w14:paraId="6D942AF6">
      <w:pPr>
        <w:spacing w:line="360" w:lineRule="auto"/>
        <w:ind w:left="420" w:left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 xml:space="preserve">  ⑥实施方案；</w:t>
      </w:r>
    </w:p>
    <w:p w14:paraId="5C4B4B80">
      <w:pPr>
        <w:spacing w:line="360" w:lineRule="auto"/>
        <w:ind w:left="420" w:left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 xml:space="preserve">  ⑦投资及风险控制；</w:t>
      </w:r>
    </w:p>
    <w:p w14:paraId="7AC14017">
      <w:pPr>
        <w:spacing w:line="360" w:lineRule="auto"/>
        <w:ind w:left="420" w:left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 xml:space="preserve">  ⑧投标人认为有必要提供的其他资料</w:t>
      </w:r>
    </w:p>
    <w:p w14:paraId="2A194A14">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11.4</w:t>
      </w:r>
      <w:r>
        <w:rPr>
          <w:rFonts w:hint="eastAsia" w:ascii="宋体" w:hAnsi="宋体" w:eastAsia="宋体"/>
          <w:color w:val="auto"/>
          <w:sz w:val="24"/>
          <w:szCs w:val="24"/>
          <w:highlight w:val="none"/>
          <w:lang w:eastAsia="zh-CN"/>
        </w:rPr>
        <w:t>技术部分（项目实施能力）</w:t>
      </w:r>
      <w:r>
        <w:rPr>
          <w:rFonts w:hint="eastAsia" w:ascii="宋体" w:hAnsi="宋体" w:eastAsia="宋体"/>
          <w:color w:val="auto"/>
          <w:sz w:val="24"/>
          <w:szCs w:val="24"/>
          <w:highlight w:val="none"/>
        </w:rPr>
        <w:t>主要包括的内容：</w:t>
      </w:r>
    </w:p>
    <w:p w14:paraId="02C80EEC">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11.4.1《投标函》（格式见第四章）；</w:t>
      </w:r>
    </w:p>
    <w:p w14:paraId="6AD1D7C5">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11.4.2《广州园林绿化工程施工招标投标书》（格式见第四章）；</w:t>
      </w:r>
    </w:p>
    <w:p w14:paraId="2361D2B1">
      <w:pPr>
        <w:spacing w:line="360" w:lineRule="auto"/>
        <w:ind w:right="-290" w:rightChars="-138"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11.4.3《响应招标文件所附施工组织设计要点的承诺书》（格式见第四章）；</w:t>
      </w:r>
    </w:p>
    <w:p w14:paraId="78C762EA">
      <w:pPr>
        <w:spacing w:line="360" w:lineRule="auto"/>
        <w:ind w:right="-290" w:rightChars="-138"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11.4.4《对投标文件编制的承诺》（格式见第四章）；</w:t>
      </w:r>
    </w:p>
    <w:p w14:paraId="12EFF804">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11.4.5项目管理机构能力（办法二可选）；</w:t>
      </w:r>
    </w:p>
    <w:p w14:paraId="664C914D">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（1）投标人应列出本工程的施工组织机构构成和画出机构框架图及其负责人；</w:t>
      </w:r>
    </w:p>
    <w:p w14:paraId="1101DB0B">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（2）投标人应详细列出本工程组织机构中主要成员的名单、简历资料、职务职称和在本项目中拟担任的职务等资料，并附上有关证明材料复印件；</w:t>
      </w:r>
    </w:p>
    <w:p w14:paraId="0098884C">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（3）项目负责人能力、企业技术力量配备情况</w:t>
      </w:r>
    </w:p>
    <w:p w14:paraId="3B7DE32B">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（4）其他辅助说明资料。</w:t>
      </w:r>
    </w:p>
    <w:p w14:paraId="6FA3592C">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11.4.6机械设备投入情况（办法二可选）；</w:t>
      </w:r>
    </w:p>
    <w:p w14:paraId="2DA22100">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（1）机械设备为自有或租赁的说明；</w:t>
      </w:r>
    </w:p>
    <w:p w14:paraId="27B37DF9">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（2）若机械设备为租赁，租赁期应满足本工程工期要求，并承诺其租赁不属于重复租赁。</w:t>
      </w:r>
    </w:p>
    <w:p w14:paraId="3AC8A81E">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11.4.7企业施工经验（投标人选择用于评标的业绩须用本企业的CA数字证书对生成的内容进行签章。业绩资料取自投标人在</w:t>
      </w:r>
      <w:r>
        <w:rPr>
          <w:rFonts w:hint="eastAsia" w:ascii="宋体" w:hAnsi="宋体" w:eastAsia="宋体"/>
          <w:color w:val="auto"/>
          <w:sz w:val="24"/>
          <w:szCs w:val="24"/>
          <w:highlight w:val="none"/>
        </w:rPr>
        <w:t>广州公共资源交易</w:t>
      </w:r>
      <w:r>
        <w:rPr>
          <w:rFonts w:hint="eastAsia" w:ascii="宋体" w:hAnsi="宋体" w:eastAsia="宋体"/>
          <w:color w:val="auto"/>
          <w:sz w:val="24"/>
          <w:szCs w:val="24"/>
          <w:highlight w:val="none"/>
          <w:lang w:eastAsia="zh-CN"/>
        </w:rPr>
        <w:t>平台</w:t>
      </w:r>
      <w:r>
        <w:rPr>
          <w:rFonts w:hint="eastAsia" w:ascii="宋体" w:hAnsi="宋体" w:eastAsia="宋体"/>
          <w:color w:val="auto"/>
          <w:sz w:val="24"/>
          <w:szCs w:val="24"/>
          <w:highlight w:val="none"/>
        </w:rPr>
        <w:t>城市园林绿化企业工程业绩库中的资料，</w:t>
      </w:r>
      <w:r>
        <w:rPr>
          <w:rFonts w:hint="eastAsia" w:ascii="宋体" w:hAnsi="宋体" w:eastAsia="宋体"/>
          <w:bCs/>
          <w:color w:val="auto"/>
          <w:sz w:val="24"/>
          <w:szCs w:val="24"/>
          <w:highlight w:val="none"/>
        </w:rPr>
        <w:t>在</w:t>
      </w:r>
      <w:r>
        <w:rPr>
          <w:rFonts w:hint="eastAsia" w:ascii="宋体" w:hAnsi="宋体" w:eastAsia="宋体"/>
          <w:color w:val="auto"/>
          <w:sz w:val="24"/>
          <w:szCs w:val="24"/>
          <w:highlight w:val="none"/>
        </w:rPr>
        <w:t>广州公共资源交易</w:t>
      </w:r>
      <w:r>
        <w:rPr>
          <w:rFonts w:hint="eastAsia" w:ascii="宋体" w:hAnsi="宋体" w:eastAsia="宋体"/>
          <w:color w:val="auto"/>
          <w:sz w:val="24"/>
          <w:szCs w:val="24"/>
          <w:highlight w:val="none"/>
          <w:lang w:eastAsia="zh-CN"/>
        </w:rPr>
        <w:t>平台</w:t>
      </w:r>
      <w:r>
        <w:rPr>
          <w:rFonts w:hint="eastAsia" w:ascii="宋体" w:hAnsi="宋体" w:eastAsia="宋体"/>
          <w:color w:val="auto"/>
          <w:sz w:val="24"/>
          <w:szCs w:val="24"/>
          <w:highlight w:val="none"/>
        </w:rPr>
        <w:t>城市园林绿化企业工程业绩库记录的该部分资料将被视为投标人递交的投标资料的一部分，投标资料不需另行提交。</w:t>
      </w:r>
      <w:r>
        <w:rPr>
          <w:rFonts w:hint="eastAsia" w:ascii="宋体" w:hAnsi="宋体" w:eastAsia="宋体"/>
          <w:bCs/>
          <w:color w:val="auto"/>
          <w:sz w:val="24"/>
          <w:szCs w:val="24"/>
          <w:highlight w:val="none"/>
        </w:rPr>
        <w:t>）</w:t>
      </w:r>
    </w:p>
    <w:p w14:paraId="101BA152">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11.4.8其他评审内容（办法二可选）；</w:t>
      </w:r>
    </w:p>
    <w:p w14:paraId="39487682">
      <w:pPr>
        <w:tabs>
          <w:tab w:val="left" w:pos="1125"/>
        </w:tabs>
        <w:spacing w:line="360" w:lineRule="auto"/>
        <w:ind w:firstLine="480" w:firstLineChars="200"/>
        <w:rPr>
          <w:rFonts w:ascii="宋体" w:hAnsi="宋体" w:eastAsia="宋体"/>
          <w:color w:val="auto"/>
          <w:sz w:val="24"/>
          <w:szCs w:val="24"/>
          <w:highlight w:val="none"/>
        </w:rPr>
      </w:pPr>
      <w:r>
        <w:rPr>
          <w:rFonts w:hint="eastAsia" w:ascii="宋体" w:hAnsi="宋体" w:eastAsia="宋体"/>
          <w:bCs/>
          <w:color w:val="auto"/>
          <w:sz w:val="24"/>
          <w:szCs w:val="24"/>
          <w:highlight w:val="none"/>
        </w:rPr>
        <w:t>11.4.11经济部分</w:t>
      </w:r>
      <w:r>
        <w:rPr>
          <w:rFonts w:hint="eastAsia" w:ascii="宋体" w:hAnsi="宋体" w:eastAsia="宋体"/>
          <w:color w:val="auto"/>
          <w:sz w:val="24"/>
          <w:szCs w:val="24"/>
          <w:highlight w:val="none"/>
        </w:rPr>
        <w:t>文件包括</w:t>
      </w:r>
      <w:r>
        <w:rPr>
          <w:rFonts w:hint="eastAsia" w:ascii="宋体" w:hAnsi="宋体" w:eastAsia="宋体"/>
          <w:color w:val="auto"/>
          <w:sz w:val="24"/>
          <w:highlight w:val="none"/>
        </w:rPr>
        <w:t>：</w:t>
      </w:r>
    </w:p>
    <w:p w14:paraId="5A71E200">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p>
    <w:p w14:paraId="0CEA2059">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11.4.12若投标人的投标报价低于工程成本警戒价的，投标人还须提供详细的施工组织设计、单价、措施性费用、单价分析表、主要材料价格表、投标人成本分析供评标委员会评审；</w:t>
      </w:r>
    </w:p>
    <w:p w14:paraId="413FE774">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11.4.13招标文件要求的其他内容。</w:t>
      </w:r>
    </w:p>
    <w:p w14:paraId="71F59A0F">
      <w:pPr>
        <w:tabs>
          <w:tab w:val="left" w:pos="1125"/>
        </w:tabs>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11.5工程量清单的组成、编制、计价、格式、项目编码、项目名称、工程内容、计量单位和工程量计算规则按照招标人给出的工程量清单及国家、省有关计价规范执行。</w:t>
      </w:r>
    </w:p>
    <w:p w14:paraId="1114AC6B">
      <w:pPr>
        <w:pStyle w:val="5"/>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11.6投标人应使用符合《广东省工程造价文件数据交换标准（电子评标部分） 交易中心实施细则》的计价软件制作工程量清单报价表和单价分析表（如本招标文件要求单价分析表）。</w:t>
      </w:r>
    </w:p>
    <w:p w14:paraId="3A38FF11">
      <w:pPr>
        <w:spacing w:line="360" w:lineRule="auto"/>
        <w:ind w:firstLine="470" w:firstLineChars="196"/>
        <w:rPr>
          <w:rFonts w:ascii="宋体" w:hAnsi="宋体" w:eastAsia="宋体"/>
          <w:color w:val="auto"/>
          <w:sz w:val="24"/>
          <w:szCs w:val="24"/>
          <w:highlight w:val="none"/>
        </w:rPr>
      </w:pPr>
      <w:r>
        <w:rPr>
          <w:rFonts w:hint="eastAsia" w:ascii="宋体" w:hAnsi="宋体" w:eastAsia="宋体"/>
          <w:color w:val="auto"/>
          <w:sz w:val="24"/>
          <w:szCs w:val="24"/>
          <w:highlight w:val="none"/>
        </w:rPr>
        <w:t>11.7投标人应使用广州公共资源交易</w:t>
      </w:r>
      <w:r>
        <w:rPr>
          <w:rFonts w:hint="eastAsia" w:ascii="宋体" w:hAnsi="宋体" w:eastAsia="宋体"/>
          <w:color w:val="auto"/>
          <w:sz w:val="24"/>
          <w:szCs w:val="24"/>
          <w:highlight w:val="none"/>
          <w:lang w:eastAsia="zh-CN"/>
        </w:rPr>
        <w:t>平台</w:t>
      </w:r>
      <w:r>
        <w:rPr>
          <w:rFonts w:hint="eastAsia" w:ascii="宋体" w:hAnsi="宋体" w:eastAsia="宋体"/>
          <w:color w:val="auto"/>
          <w:sz w:val="24"/>
          <w:szCs w:val="24"/>
          <w:highlight w:val="none"/>
        </w:rPr>
        <w:t>的投标文件管理软件进行投标文件的合成、电子签名</w:t>
      </w:r>
      <w:r>
        <w:rPr>
          <w:rFonts w:hint="eastAsia" w:ascii="宋体" w:hAnsi="宋体" w:eastAsia="宋体" w:cs="仿宋_GB2312"/>
          <w:color w:val="auto"/>
          <w:sz w:val="24"/>
          <w:szCs w:val="24"/>
          <w:highlight w:val="none"/>
        </w:rPr>
        <w:t>、电子签章及加密打包工作，所有电子投标文件不能进行压缩处理。电子投标文件统一采用网络上传的形式，投标人需登录</w:t>
      </w:r>
      <w:r>
        <w:rPr>
          <w:rFonts w:hint="eastAsia" w:ascii="宋体" w:hAnsi="宋体" w:eastAsia="宋体" w:cs="仿宋_GB2312"/>
          <w:color w:val="auto"/>
          <w:sz w:val="24"/>
          <w:szCs w:val="24"/>
          <w:highlight w:val="none"/>
          <w:lang w:eastAsia="zh-CN"/>
        </w:rPr>
        <w:t>广州公共资源交易</w:t>
      </w:r>
      <w:r>
        <w:rPr>
          <w:rFonts w:hint="eastAsia" w:ascii="宋体" w:hAnsi="宋体" w:eastAsia="宋体" w:cs="仿宋_GB2312"/>
          <w:color w:val="auto"/>
          <w:sz w:val="24"/>
          <w:szCs w:val="24"/>
          <w:highlight w:val="none"/>
        </w:rPr>
        <w:t>网站投标人服务区在递交投标文件截止时间前完整上传至广州公共资源交易</w:t>
      </w:r>
      <w:r>
        <w:rPr>
          <w:rFonts w:hint="eastAsia" w:ascii="宋体" w:hAnsi="宋体" w:eastAsia="宋体" w:cs="仿宋_GB2312"/>
          <w:color w:val="auto"/>
          <w:sz w:val="24"/>
          <w:szCs w:val="24"/>
          <w:highlight w:val="none"/>
          <w:lang w:eastAsia="zh-CN"/>
        </w:rPr>
        <w:t>平台</w:t>
      </w:r>
      <w:r>
        <w:rPr>
          <w:rFonts w:hint="eastAsia" w:ascii="宋体" w:hAnsi="宋体" w:eastAsia="宋体" w:cs="仿宋_GB2312"/>
          <w:color w:val="auto"/>
          <w:sz w:val="24"/>
          <w:szCs w:val="24"/>
          <w:highlight w:val="none"/>
        </w:rPr>
        <w:t>的信息系统。</w:t>
      </w:r>
    </w:p>
    <w:p w14:paraId="7691427A">
      <w:pPr>
        <w:pStyle w:val="5"/>
        <w:spacing w:after="0" w:line="360" w:lineRule="auto"/>
        <w:ind w:firstLine="480" w:firstLineChars="200"/>
        <w:rPr>
          <w:rFonts w:ascii="宋体" w:hAnsi="宋体" w:eastAsia="宋体"/>
          <w:bCs/>
          <w:color w:val="auto"/>
          <w:sz w:val="24"/>
          <w:szCs w:val="24"/>
          <w:highlight w:val="none"/>
        </w:rPr>
      </w:pPr>
      <w:r>
        <w:rPr>
          <w:rFonts w:hint="eastAsia" w:ascii="宋体" w:hAnsi="宋体" w:eastAsia="宋体"/>
          <w:color w:val="auto"/>
          <w:sz w:val="24"/>
          <w:szCs w:val="24"/>
          <w:highlight w:val="none"/>
        </w:rPr>
        <w:t>11.8</w:t>
      </w:r>
      <w:r>
        <w:rPr>
          <w:rFonts w:hint="eastAsia" w:ascii="宋体" w:hAnsi="宋体" w:eastAsia="宋体"/>
          <w:bCs/>
          <w:color w:val="auto"/>
          <w:sz w:val="24"/>
          <w:szCs w:val="24"/>
          <w:highlight w:val="none"/>
        </w:rPr>
        <w:t>投标人应使用依法设立的电子认证服务机构签发的电子签名认证证书对电子投标文件进行电子签名</w:t>
      </w:r>
      <w:r>
        <w:rPr>
          <w:rFonts w:hint="eastAsia" w:ascii="宋体" w:hAnsi="宋体" w:eastAsia="宋体" w:cs="仿宋_GB2312"/>
          <w:color w:val="auto"/>
          <w:sz w:val="24"/>
          <w:szCs w:val="24"/>
          <w:highlight w:val="none"/>
        </w:rPr>
        <w:t>及电子签章</w:t>
      </w:r>
      <w:r>
        <w:rPr>
          <w:rFonts w:hint="eastAsia" w:ascii="宋体" w:hAnsi="宋体" w:eastAsia="宋体"/>
          <w:bCs/>
          <w:color w:val="auto"/>
          <w:sz w:val="24"/>
          <w:szCs w:val="24"/>
          <w:highlight w:val="none"/>
        </w:rPr>
        <w:t>。该电子签名</w:t>
      </w:r>
      <w:r>
        <w:rPr>
          <w:rFonts w:hint="eastAsia" w:ascii="宋体" w:hAnsi="宋体" w:eastAsia="宋体" w:cs="仿宋_GB2312"/>
          <w:color w:val="auto"/>
          <w:sz w:val="24"/>
          <w:szCs w:val="24"/>
          <w:highlight w:val="none"/>
        </w:rPr>
        <w:t>及电子签章</w:t>
      </w:r>
      <w:r>
        <w:rPr>
          <w:rFonts w:hint="eastAsia" w:ascii="宋体" w:hAnsi="宋体" w:eastAsia="宋体"/>
          <w:bCs/>
          <w:color w:val="auto"/>
          <w:sz w:val="24"/>
          <w:szCs w:val="24"/>
          <w:highlight w:val="none"/>
        </w:rPr>
        <w:t>与手写签名或者盖章具有同等的法律效力。</w:t>
      </w:r>
    </w:p>
    <w:p w14:paraId="27E08157">
      <w:pPr>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11.9除工程量清单报价表相关的内容、《广州园林绿化工程施工招标投标书》外，投标文件的其他内容均以电子文件（纸质原件的扫描件）编制，其格式要求详见第四章投标文件格式说明。</w:t>
      </w:r>
    </w:p>
    <w:p w14:paraId="6E126C67">
      <w:pPr>
        <w:pStyle w:val="5"/>
        <w:spacing w:after="0"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11.10投标文件应按上述的编排要求编制。如因不按上述编排要求编制而所引起系统无法检索、读取相关信息时，其后果由投标人承担。</w:t>
      </w:r>
    </w:p>
    <w:p w14:paraId="6D694F94">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12．投标文件格式</w:t>
      </w:r>
    </w:p>
    <w:p w14:paraId="35AC72BE">
      <w:pPr>
        <w:pStyle w:val="5"/>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highlight w:val="none"/>
        </w:rPr>
        <w:t>12.1投标人递交的投标文件应当使用招标文件所规定的投标文件全部格式。</w:t>
      </w:r>
    </w:p>
    <w:p w14:paraId="18B65F8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12.2投标人应仔细阅读第四章投标文件格式的相关规定和要求。如电子投标文件未按规定的格式填写，或主要内容不全，或关键字迹模糊、无法辨认造成无法满足评标需要的，经评标委员会审查否决其投标。</w:t>
      </w:r>
    </w:p>
    <w:p w14:paraId="10AE1D21">
      <w:pPr>
        <w:pStyle w:val="5"/>
        <w:spacing w:after="0"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13．投标报价及造价承包和变更结算方式</w:t>
      </w:r>
    </w:p>
    <w:p w14:paraId="67CEBBC9">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13.1 本工程的投标报价采用投标须知前附表第12项所规定的方式。投标文件中的大写金额和小写金额不一致的，以大写金额为准。投标报价（含单价及总价）精确到“分”。</w:t>
      </w:r>
    </w:p>
    <w:p w14:paraId="45DA24ED">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13.2招标人按照招标图纸制定工程量清单，该清单载于本招标文件第七章中，投标人按照招标人提供的工程量清单中列出的工程项目和工程量填报单价和合价。每一项目只允许有一个报价。任何有选择的报价将不予接受。投标人未填报单价或合价的工程项目，视为完成该工程项目所需费用已包含在其它有价款的竞争性报价内，在实施后，招标人将不予支付。</w:t>
      </w:r>
    </w:p>
    <w:p w14:paraId="5AE64C89">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w:t>
      </w:r>
      <w:r>
        <w:rPr>
          <w:rFonts w:hint="eastAsia" w:ascii="宋体" w:hAnsi="宋体" w:eastAsia="宋体"/>
          <w:color w:val="auto"/>
          <w:sz w:val="24"/>
          <w:szCs w:val="24"/>
          <w:highlight w:val="none"/>
        </w:rPr>
        <w:t>有关规费、暂列金额、暂估价等非竞争性项目明列了单价或合价金额的，投标人应按照明列的单价或合价金额报价，未按照规定金额报价的，由评标委员会按照招标文件规定的金额进行修正。</w:t>
      </w:r>
    </w:p>
    <w:p w14:paraId="5AC85405">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13.4</w:t>
      </w:r>
      <w:r>
        <w:rPr>
          <w:rFonts w:hint="eastAsia" w:ascii="宋体" w:hAnsi="宋体" w:eastAsia="宋体"/>
          <w:color w:val="auto"/>
          <w:sz w:val="24"/>
          <w:szCs w:val="24"/>
          <w:highlight w:val="none"/>
        </w:rPr>
        <w:t>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w:t>
      </w:r>
    </w:p>
    <w:p w14:paraId="08D5D5AE">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13.5 变更结算方式按招标文件及施工合同相关规定执行。</w:t>
      </w:r>
    </w:p>
    <w:p w14:paraId="6C81D258">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13.6</w:t>
      </w:r>
      <w:r>
        <w:rPr>
          <w:rFonts w:hint="eastAsia" w:ascii="宋体" w:hAnsi="宋体" w:eastAsia="宋体"/>
          <w:color w:val="auto"/>
          <w:sz w:val="24"/>
          <w:szCs w:val="24"/>
          <w:highlight w:val="none"/>
        </w:rPr>
        <w:t>暂列金额、暂估价</w:t>
      </w:r>
    </w:p>
    <w:p w14:paraId="1433D1EB">
      <w:pPr>
        <w:pStyle w:val="5"/>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highlight w:val="none"/>
        </w:rPr>
        <w:t>13.6.1</w:t>
      </w:r>
      <w:r>
        <w:rPr>
          <w:rFonts w:hint="eastAsia" w:ascii="宋体" w:hAnsi="宋体" w:eastAsia="宋体"/>
          <w:color w:val="auto"/>
          <w:sz w:val="24"/>
          <w:szCs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21F35719">
      <w:pPr>
        <w:pStyle w:val="5"/>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暂估价是指招标人在工程量清单中提供的用于支付必然发生但暂时不能确定价格的材料的单价以及专业工程的金额。</w:t>
      </w:r>
    </w:p>
    <w:p w14:paraId="7FAF0B9C">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1B39AE0A">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1932DECC">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13A2350D">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353C2A2A">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25568100">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13.7投标人可先到工地踏勘以充分了解工地位置、情况、道路、储存空间、装卸限制及任何其他足以影响承包价的情况，任何因忽视或误解工地情况而导致的索赔或工期延长申请将不被批准。</w:t>
      </w:r>
    </w:p>
    <w:p w14:paraId="13DF3660">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13.8属于投标人自行采购的主要材料、设备，招标人可以在招标文件中提出材料、设备的技术标准或者质量要求。如果必须引用某一生产供应者的技术标准才能准确或者清楚地说明技术标准时，可以引用不少于3个同等档次品牌或者生产供应商供投标人报价时选择，引用品牌或者生产供应商名称前应当加上“参照或相当于”的字样，引用的货物品牌或者生产公供应商在市场上应当具有可选择性。投标人在投标文件中应明确所选用主要材料、设备的品牌、厂家以及质量等级，并且应当符合招标文件的要求。</w:t>
      </w:r>
    </w:p>
    <w:p w14:paraId="39FAB700">
      <w:pPr>
        <w:pStyle w:val="5"/>
        <w:spacing w:after="0"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14．投标货币</w:t>
      </w:r>
    </w:p>
    <w:p w14:paraId="11CD2567">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本工程投标报价采用的币种为人民币。</w:t>
      </w:r>
    </w:p>
    <w:p w14:paraId="01BA1B8C">
      <w:pPr>
        <w:pStyle w:val="5"/>
        <w:spacing w:after="0"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highlight w:val="none"/>
        </w:rPr>
        <w:t>15．投标有效期</w:t>
      </w:r>
    </w:p>
    <w:p w14:paraId="008858DB">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15.1 投标有效期见投标须知前附表第13项所规定的期限，在此期限内，凡符合本招标文件要求的投标文件均保持有效。</w:t>
      </w:r>
    </w:p>
    <w:p w14:paraId="0F277273">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15.2 在特殊情况下，招标人在原定投标有效期内，可以根据需要以书面形式向投标人提出延长投标有效期的要求，对此要求投标人须以书面形式予以答复。投标人可以拒绝招标人这种要求，而投标保证金应当予以退还。同意延长投标有效期的投标人既不能要求也不允许修改其投标文件，但需要相应的延长投标保证金的有效期，在延长的投标有效期内，本须知第16条关于投标保证金的退还与否的规定仍然适用。</w:t>
      </w:r>
    </w:p>
    <w:p w14:paraId="21262B5D">
      <w:pPr>
        <w:pStyle w:val="5"/>
        <w:spacing w:after="0"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16．投标保证金</w:t>
      </w:r>
    </w:p>
    <w:p w14:paraId="5E10113D">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16.1投标人应按投标须知前附表第14项所述金额和时间递交</w:t>
      </w:r>
      <w:r>
        <w:rPr>
          <w:rFonts w:hint="eastAsia" w:ascii="宋体" w:hAnsi="宋体" w:eastAsia="宋体"/>
          <w:bCs/>
          <w:color w:val="auto"/>
          <w:sz w:val="24"/>
          <w:highlight w:val="none"/>
        </w:rPr>
        <w:t>投标保证金</w:t>
      </w:r>
      <w:r>
        <w:rPr>
          <w:rFonts w:hint="eastAsia" w:ascii="宋体" w:hAnsi="宋体" w:eastAsia="宋体"/>
          <w:color w:val="auto"/>
          <w:sz w:val="24"/>
          <w:highlight w:val="none"/>
        </w:rPr>
        <w:t>。招标人可委托广州交易集团有限公司（广州公共资源交易中心）具体实施保证金的收取和退还工作</w:t>
      </w:r>
      <w:r>
        <w:rPr>
          <w:rFonts w:hint="eastAsia" w:ascii="宋体" w:hAnsi="宋体" w:eastAsia="宋体"/>
          <w:color w:val="auto"/>
          <w:sz w:val="24"/>
          <w:szCs w:val="24"/>
          <w:highlight w:val="none"/>
        </w:rPr>
        <w:t>，并按照《广</w:t>
      </w:r>
      <w:r>
        <w:rPr>
          <w:rFonts w:hint="eastAsia" w:ascii="宋体" w:hAnsi="宋体" w:eastAsia="宋体"/>
          <w:color w:val="auto"/>
          <w:sz w:val="24"/>
          <w:szCs w:val="24"/>
          <w:highlight w:val="none"/>
          <w:lang w:eastAsia="zh-CN"/>
        </w:rPr>
        <w:t>东</w:t>
      </w:r>
      <w:r>
        <w:rPr>
          <w:rFonts w:hint="eastAsia" w:ascii="宋体" w:hAnsi="宋体" w:eastAsia="宋体"/>
          <w:color w:val="auto"/>
          <w:sz w:val="24"/>
          <w:szCs w:val="24"/>
          <w:highlight w:val="none"/>
        </w:rPr>
        <w:t>省实施&lt;中华人民共和国招标投标法&gt;办法》第二十五条规定，按期退回投标保证金。</w:t>
      </w:r>
    </w:p>
    <w:p w14:paraId="3997CD42">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16.2所有投标保证金必须由投标人的银行基本账户转出。</w:t>
      </w:r>
    </w:p>
    <w:p w14:paraId="02269977">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16.3</w:t>
      </w:r>
      <w:r>
        <w:rPr>
          <w:rFonts w:hint="eastAsia" w:ascii="宋体" w:hAnsi="宋体" w:eastAsia="宋体" w:cs="宋体"/>
          <w:color w:val="auto"/>
          <w:sz w:val="24"/>
          <w:szCs w:val="24"/>
          <w:highlight w:val="none"/>
        </w:rPr>
        <w:t>如采用转帐、现金、支票、汇票形式提交的，</w:t>
      </w:r>
      <w:r>
        <w:rPr>
          <w:rFonts w:hint="eastAsia" w:ascii="宋体" w:hAnsi="宋体" w:eastAsia="宋体"/>
          <w:color w:val="auto"/>
          <w:sz w:val="24"/>
          <w:szCs w:val="24"/>
          <w:highlight w:val="none"/>
        </w:rPr>
        <w:t>可委托广州交易集团有限公司（广州公共资源交易中心）代收投标保证金，其缴纳情况以广州公共资源交易</w:t>
      </w:r>
      <w:r>
        <w:rPr>
          <w:rFonts w:hint="eastAsia" w:ascii="宋体" w:hAnsi="宋体" w:eastAsia="宋体"/>
          <w:color w:val="auto"/>
          <w:sz w:val="24"/>
          <w:szCs w:val="24"/>
          <w:highlight w:val="none"/>
          <w:lang w:eastAsia="zh-CN"/>
        </w:rPr>
        <w:t>平台</w:t>
      </w:r>
      <w:r>
        <w:rPr>
          <w:rFonts w:hint="eastAsia" w:ascii="宋体" w:hAnsi="宋体" w:eastAsia="宋体"/>
          <w:color w:val="auto"/>
          <w:sz w:val="24"/>
          <w:szCs w:val="24"/>
          <w:highlight w:val="none"/>
        </w:rPr>
        <w:t>数据库记录的信息为准。</w:t>
      </w:r>
    </w:p>
    <w:p w14:paraId="00123051">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16.4缴费的操作详见广州公共资源交易</w:t>
      </w:r>
      <w:r>
        <w:rPr>
          <w:rFonts w:hint="eastAsia" w:ascii="宋体" w:hAnsi="宋体" w:eastAsia="宋体"/>
          <w:color w:val="auto"/>
          <w:sz w:val="24"/>
          <w:szCs w:val="24"/>
          <w:highlight w:val="none"/>
          <w:lang w:eastAsia="zh-CN"/>
        </w:rPr>
        <w:t>网站</w:t>
      </w:r>
      <w:r>
        <w:rPr>
          <w:rFonts w:hint="eastAsia" w:ascii="宋体" w:hAnsi="宋体" w:eastAsia="宋体"/>
          <w:color w:val="auto"/>
          <w:sz w:val="24"/>
          <w:szCs w:val="24"/>
          <w:highlight w:val="none"/>
        </w:rPr>
        <w:t>公布的操作指引。</w:t>
      </w:r>
    </w:p>
    <w:p w14:paraId="2EF50911">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16.5 投标人未按要求递交投标保证金的，其投标文件将被否决。如采用保函或保险等形式提交的，保函需开具给招标人，保函有效期不少于投标有效期。保证保险需开具给招标人（受益人必须是招标人），保证保险有效期不少于投标有效期。如采用投标保函或投标保证保险的形式提交投标保证金的，在开标前不强制要求投标人提交纸质原件，由中标候选人在中标候选人公示前提交并在网上公示，投标人应在投标文件中提交投标保函或投标保证保险扫描件并加盖投标人电子印章。</w:t>
      </w:r>
    </w:p>
    <w:p w14:paraId="33AD91A9">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16.6如有下列情况之一的，招标人将不予退还投标保证金：</w:t>
      </w:r>
    </w:p>
    <w:p w14:paraId="259B1FA4">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16.6.1投标人在投标有效期内撤销投标文件；</w:t>
      </w:r>
    </w:p>
    <w:p w14:paraId="2E017CB5">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16.6.2中标人未在规定期限内按要求提交履约担保；</w:t>
      </w:r>
    </w:p>
    <w:p w14:paraId="229C659D">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16.6.3中标人未在规定期限内签订合同。</w:t>
      </w:r>
    </w:p>
    <w:p w14:paraId="2CE000CE">
      <w:pPr>
        <w:pStyle w:val="5"/>
        <w:spacing w:after="0" w:line="360" w:lineRule="auto"/>
        <w:ind w:firstLine="477" w:firstLineChars="198"/>
        <w:rPr>
          <w:rFonts w:ascii="宋体" w:hAnsi="宋体" w:eastAsia="宋体"/>
          <w:b/>
          <w:bCs/>
          <w:color w:val="auto"/>
          <w:sz w:val="24"/>
          <w:highlight w:val="none"/>
        </w:rPr>
      </w:pPr>
      <w:r>
        <w:rPr>
          <w:rFonts w:hint="eastAsia" w:ascii="宋体" w:hAnsi="宋体" w:eastAsia="宋体"/>
          <w:b/>
          <w:bCs/>
          <w:color w:val="auto"/>
          <w:sz w:val="24"/>
          <w:highlight w:val="none"/>
        </w:rPr>
        <w:t>17.投标文件的份数和签署</w:t>
      </w:r>
    </w:p>
    <w:p w14:paraId="6D14A87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szCs w:val="21"/>
          <w:highlight w:val="none"/>
        </w:rPr>
        <w:t>17.1</w:t>
      </w:r>
      <w:r>
        <w:rPr>
          <w:rFonts w:hint="eastAsia" w:ascii="宋体" w:hAnsi="宋体" w:eastAsia="宋体"/>
          <w:color w:val="auto"/>
          <w:sz w:val="24"/>
          <w:highlight w:val="none"/>
        </w:rPr>
        <w:t>投标人应按投标须知前附表第19项规定的份数递交投标文件。</w:t>
      </w:r>
    </w:p>
    <w:p w14:paraId="50ECEC96">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szCs w:val="24"/>
          <w:highlight w:val="none"/>
        </w:rPr>
        <w:t>17.2</w:t>
      </w:r>
      <w:r>
        <w:rPr>
          <w:rFonts w:hint="eastAsia" w:ascii="宋体" w:hAnsi="宋体" w:eastAsia="宋体"/>
          <w:color w:val="auto"/>
          <w:sz w:val="24"/>
          <w:highlight w:val="none"/>
        </w:rPr>
        <w:t>除投标人对错误处须修改外，全套投标文件应无涂改或增删，如有修改，修改处应由投标人加盖投标人的印章或由投标文件签字人签字或盖章。</w:t>
      </w:r>
    </w:p>
    <w:p w14:paraId="38CC1D58">
      <w:pPr>
        <w:pStyle w:val="8"/>
        <w:spacing w:before="120"/>
        <w:rPr>
          <w:rFonts w:ascii="宋体" w:eastAsia="宋体"/>
          <w:color w:val="auto"/>
          <w:highlight w:val="none"/>
        </w:rPr>
      </w:pPr>
      <w:bookmarkStart w:id="100" w:name="_（四）投标文件的递交"/>
      <w:bookmarkEnd w:id="100"/>
      <w:bookmarkStart w:id="101" w:name="_Toc3456"/>
      <w:bookmarkStart w:id="102" w:name="_Toc21692"/>
      <w:bookmarkStart w:id="103" w:name="_Toc262229166"/>
      <w:bookmarkStart w:id="104" w:name="_Toc27126"/>
      <w:bookmarkStart w:id="105" w:name="_Toc25746"/>
      <w:bookmarkStart w:id="106" w:name="_Toc101777615"/>
      <w:bookmarkStart w:id="107" w:name="_Toc15014"/>
      <w:bookmarkStart w:id="108" w:name="_Toc21898"/>
      <w:bookmarkStart w:id="109" w:name="_Toc6500"/>
      <w:bookmarkStart w:id="110" w:name="_Toc17041"/>
      <w:bookmarkStart w:id="111" w:name="_Toc6908"/>
      <w:bookmarkStart w:id="112" w:name="_Toc2267"/>
      <w:bookmarkStart w:id="113" w:name="_Toc15301"/>
      <w:r>
        <w:rPr>
          <w:rFonts w:hint="eastAsia" w:ascii="宋体" w:eastAsia="宋体"/>
          <w:color w:val="auto"/>
          <w:highlight w:val="none"/>
        </w:rPr>
        <w:t>（四）投标文件的递交</w:t>
      </w:r>
      <w:bookmarkEnd w:id="101"/>
      <w:bookmarkEnd w:id="102"/>
      <w:bookmarkEnd w:id="103"/>
      <w:bookmarkEnd w:id="104"/>
      <w:bookmarkEnd w:id="105"/>
      <w:bookmarkEnd w:id="106"/>
      <w:bookmarkEnd w:id="107"/>
      <w:bookmarkEnd w:id="108"/>
      <w:bookmarkEnd w:id="109"/>
      <w:bookmarkEnd w:id="110"/>
      <w:bookmarkEnd w:id="111"/>
      <w:bookmarkEnd w:id="112"/>
      <w:bookmarkEnd w:id="113"/>
    </w:p>
    <w:p w14:paraId="4D970792">
      <w:pPr>
        <w:pStyle w:val="5"/>
        <w:spacing w:after="0"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18．</w:t>
      </w:r>
      <w:r>
        <w:rPr>
          <w:rFonts w:hint="eastAsia" w:ascii="宋体" w:hAnsi="宋体" w:eastAsia="宋体"/>
          <w:b/>
          <w:color w:val="auto"/>
          <w:sz w:val="24"/>
          <w:szCs w:val="24"/>
          <w:highlight w:val="none"/>
        </w:rPr>
        <w:t>投标文件的密封</w:t>
      </w:r>
    </w:p>
    <w:p w14:paraId="41FA2FE6">
      <w:pPr>
        <w:spacing w:line="360" w:lineRule="auto"/>
        <w:ind w:firstLine="480" w:firstLineChars="200"/>
        <w:rPr>
          <w:rFonts w:ascii="宋体" w:hAnsi="宋体" w:eastAsia="宋体"/>
          <w:color w:val="auto"/>
          <w:sz w:val="24"/>
          <w:szCs w:val="21"/>
          <w:highlight w:val="none"/>
        </w:rPr>
      </w:pPr>
      <w:r>
        <w:rPr>
          <w:rFonts w:hint="eastAsia" w:ascii="宋体" w:hAnsi="宋体" w:eastAsia="宋体"/>
          <w:color w:val="auto"/>
          <w:sz w:val="24"/>
          <w:szCs w:val="21"/>
          <w:highlight w:val="none"/>
        </w:rPr>
        <w:t>18.1 投标文件的密封要求：投标人应使用广州公共资源交易服务系统提供的软件制作电子投标文件并进行电子签名、电子签章及加密打包。不得修改所生成电子投标文件的文件格式。</w:t>
      </w:r>
    </w:p>
    <w:p w14:paraId="4E3FCE18">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1"/>
          <w:highlight w:val="none"/>
        </w:rPr>
        <w:t>18.2投标文件的电子签名和电子签章要求： 电子投标文件必须包含完整的投标人电子签名及电子签章。</w:t>
      </w:r>
    </w:p>
    <w:p w14:paraId="5D497351">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19．投标文件的递交和接收</w:t>
      </w:r>
    </w:p>
    <w:p w14:paraId="5EAD5EF2">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19.1 投标人代表应按投标须知前附表第20项所规定的时间和地点向招标人递交投标文件。</w:t>
      </w:r>
    </w:p>
    <w:p w14:paraId="74EC7010">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19.2投标人使用制作该投标文件的机构业务数字证书递交投标文件。</w:t>
      </w:r>
    </w:p>
    <w:p w14:paraId="5B496234">
      <w:pPr>
        <w:spacing w:line="360" w:lineRule="auto"/>
        <w:ind w:firstLine="523" w:firstLineChars="218"/>
        <w:rPr>
          <w:rFonts w:ascii="宋体" w:hAnsi="宋体" w:eastAsia="宋体"/>
          <w:color w:val="auto"/>
          <w:sz w:val="24"/>
          <w:szCs w:val="24"/>
          <w:highlight w:val="none"/>
        </w:rPr>
      </w:pPr>
      <w:r>
        <w:rPr>
          <w:rFonts w:hint="eastAsia" w:ascii="宋体" w:hAnsi="宋体" w:eastAsia="宋体"/>
          <w:color w:val="auto"/>
          <w:sz w:val="24"/>
          <w:highlight w:val="none"/>
        </w:rPr>
        <w:t>19.3</w:t>
      </w:r>
      <w:r>
        <w:rPr>
          <w:rFonts w:hint="eastAsia" w:ascii="宋体" w:hAnsi="宋体" w:eastAsia="宋体"/>
          <w:color w:val="auto"/>
          <w:sz w:val="24"/>
          <w:szCs w:val="24"/>
          <w:highlight w:val="none"/>
        </w:rPr>
        <w:t>若出现以下情况之一的，招标人将拒绝接收投标文件：</w:t>
      </w:r>
    </w:p>
    <w:p w14:paraId="2FAAAF66">
      <w:pPr>
        <w:spacing w:line="360" w:lineRule="auto"/>
        <w:ind w:firstLine="523" w:firstLineChars="218"/>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19.3.1投标文件未在递交投标文件截止时间前完整上传并保存在广州公共资源交易电子评标系统且取得回执的； </w:t>
      </w:r>
    </w:p>
    <w:p w14:paraId="43E09244">
      <w:pPr>
        <w:spacing w:line="360" w:lineRule="auto"/>
        <w:ind w:firstLine="523" w:firstLineChars="218"/>
        <w:rPr>
          <w:rFonts w:ascii="宋体" w:hAnsi="宋体" w:eastAsia="宋体"/>
          <w:color w:val="auto"/>
          <w:sz w:val="24"/>
          <w:szCs w:val="24"/>
          <w:highlight w:val="none"/>
        </w:rPr>
      </w:pPr>
      <w:r>
        <w:rPr>
          <w:rFonts w:hint="eastAsia" w:ascii="宋体" w:hAnsi="宋体" w:eastAsia="宋体"/>
          <w:color w:val="auto"/>
          <w:sz w:val="24"/>
          <w:szCs w:val="24"/>
          <w:highlight w:val="none"/>
        </w:rPr>
        <w:t>19.3.2投标文件未按招标文件要求进行电子签名和电子签章，并进行加密的；</w:t>
      </w:r>
    </w:p>
    <w:p w14:paraId="2F49CA01">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19.3.3 投标文件中投标人电子签名或电子签章不完整的；</w:t>
      </w:r>
    </w:p>
    <w:p w14:paraId="5468040F">
      <w:pPr>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19.3.4 投标文件损坏或格式不正确的；</w:t>
      </w:r>
    </w:p>
    <w:p w14:paraId="60CDEDE1">
      <w:pPr>
        <w:spacing w:line="360" w:lineRule="auto"/>
        <w:ind w:firstLine="523" w:firstLineChars="218"/>
        <w:rPr>
          <w:rFonts w:ascii="宋体" w:hAnsi="宋体" w:eastAsia="宋体"/>
          <w:color w:val="auto"/>
          <w:sz w:val="24"/>
          <w:szCs w:val="24"/>
          <w:highlight w:val="none"/>
        </w:rPr>
      </w:pPr>
      <w:r>
        <w:rPr>
          <w:rFonts w:hint="eastAsia" w:ascii="宋体" w:hAnsi="宋体" w:eastAsia="宋体"/>
          <w:color w:val="auto"/>
          <w:sz w:val="24"/>
          <w:szCs w:val="24"/>
          <w:highlight w:val="none"/>
        </w:rPr>
        <w:t>19.3.5 投标人未按要求递交投标保证金的（如设置投标保证金的）。</w:t>
      </w:r>
    </w:p>
    <w:p w14:paraId="3388251F">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highlight w:val="none"/>
        </w:rPr>
        <w:t xml:space="preserve">19.4 </w:t>
      </w:r>
      <w:r>
        <w:rPr>
          <w:rFonts w:hint="eastAsia" w:ascii="宋体" w:hAnsi="宋体" w:eastAsia="宋体"/>
          <w:color w:val="auto"/>
          <w:sz w:val="24"/>
          <w:szCs w:val="24"/>
          <w:highlight w:val="none"/>
        </w:rPr>
        <w:t>递交投标文件截止时间前，招标人拒绝接收符合条件的投标文件，投标人可向招标监督机构投诉。</w:t>
      </w:r>
    </w:p>
    <w:p w14:paraId="5F57C1B2">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20．递交投标文件的截止时间</w:t>
      </w:r>
    </w:p>
    <w:p w14:paraId="6132CC47">
      <w:pPr>
        <w:spacing w:line="360" w:lineRule="auto"/>
        <w:ind w:firstLine="480" w:firstLineChars="200"/>
        <w:rPr>
          <w:rFonts w:ascii="宋体" w:hAnsi="宋体" w:eastAsia="宋体"/>
          <w:b/>
          <w:bCs/>
          <w:color w:val="auto"/>
          <w:sz w:val="24"/>
          <w:highlight w:val="none"/>
        </w:rPr>
      </w:pPr>
      <w:r>
        <w:rPr>
          <w:rFonts w:hint="eastAsia" w:ascii="宋体" w:hAnsi="宋体" w:eastAsia="宋体"/>
          <w:color w:val="auto"/>
          <w:sz w:val="24"/>
          <w:highlight w:val="none"/>
        </w:rPr>
        <w:t>20.1投标人应在投标须知前附表第 20 项所述的时间前递交投标文件。截止时间以广州公共资源交易信息系统服务器从中国科学院国家授时中心取得的北京时间为准。</w:t>
      </w:r>
    </w:p>
    <w:p w14:paraId="6BF09748">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20.2招标人可按本须知第9条规定以招标文件修改的方式，酌情延长递交投标文件的截止时间。在此情况下，投标人的所有权利和义务以及投标人受制约的截止时间，均以延长后递交投标文件截止时间为准。</w:t>
      </w:r>
    </w:p>
    <w:p w14:paraId="19903414">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20.3 到递交投标文件截止时间止，</w:t>
      </w:r>
      <w:r>
        <w:rPr>
          <w:rFonts w:hint="eastAsia" w:ascii="宋体" w:hAnsi="宋体" w:eastAsia="宋体"/>
          <w:color w:val="auto"/>
          <w:sz w:val="24"/>
          <w:szCs w:val="24"/>
          <w:highlight w:val="none"/>
        </w:rPr>
        <w:t>若递交投标文件的投标人不足3家，招标人将依法重新组织招标</w:t>
      </w:r>
      <w:r>
        <w:rPr>
          <w:rFonts w:hint="eastAsia" w:ascii="宋体" w:hAnsi="宋体" w:eastAsia="宋体"/>
          <w:color w:val="auto"/>
          <w:sz w:val="24"/>
          <w:highlight w:val="none"/>
        </w:rPr>
        <w:t>（</w:t>
      </w:r>
      <w:r>
        <w:rPr>
          <w:rFonts w:hint="eastAsia" w:ascii="宋体" w:hAnsi="宋体" w:eastAsia="宋体"/>
          <w:color w:val="auto"/>
          <w:sz w:val="24"/>
          <w:szCs w:val="24"/>
          <w:highlight w:val="none"/>
        </w:rPr>
        <w:t>当N个标段同时招标且不允许兼中时，若递交投标文件单位不足N+2家，招标人将依法重新组织招标</w:t>
      </w:r>
      <w:r>
        <w:rPr>
          <w:rFonts w:hint="eastAsia" w:ascii="宋体" w:hAnsi="宋体" w:eastAsia="宋体"/>
          <w:color w:val="auto"/>
          <w:sz w:val="24"/>
          <w:highlight w:val="none"/>
        </w:rPr>
        <w:t>）。</w:t>
      </w:r>
    </w:p>
    <w:p w14:paraId="726CDA6A">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21．迟交的投标文件</w:t>
      </w:r>
    </w:p>
    <w:p w14:paraId="33FDDED9">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递交投标文件截止时间到达后，电子评标系统将不允许投标人上传投标文件。</w:t>
      </w:r>
    </w:p>
    <w:p w14:paraId="05527598">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22．投标文件的补充、修改与撤回</w:t>
      </w:r>
    </w:p>
    <w:p w14:paraId="66C4C806">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22.1投标人在递交投标文件截止时间前，可以撤回或替换已递交的投标文件。</w:t>
      </w:r>
    </w:p>
    <w:p w14:paraId="78B87FFA">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22.3 在递交投标文件截止时间后，投标人不得补充、修改和更换投标文件。</w:t>
      </w:r>
    </w:p>
    <w:p w14:paraId="4BE2AA14">
      <w:pPr>
        <w:snapToGrid w:val="0"/>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22.4在递交投标文件截止时间后，投标人在投标文件格式中规定的有效期终止日前，投标人不能撤回投标文件，否则其投标保证金将不予退还，且招标人有权就其撤回行为报告政府主管部门载入不良信用记录。</w:t>
      </w:r>
    </w:p>
    <w:p w14:paraId="108AA6E5">
      <w:pPr>
        <w:snapToGrid w:val="0"/>
        <w:spacing w:line="360" w:lineRule="auto"/>
        <w:ind w:firstLine="482" w:firstLineChars="200"/>
        <w:rPr>
          <w:rFonts w:ascii="宋体" w:hAnsi="宋体" w:eastAsia="宋体"/>
          <w:b/>
          <w:color w:val="auto"/>
          <w:sz w:val="24"/>
          <w:highlight w:val="none"/>
        </w:rPr>
      </w:pPr>
      <w:r>
        <w:rPr>
          <w:rFonts w:hint="eastAsia" w:ascii="宋体" w:hAnsi="宋体" w:eastAsia="宋体"/>
          <w:b/>
          <w:color w:val="auto"/>
          <w:sz w:val="24"/>
          <w:highlight w:val="none"/>
        </w:rPr>
        <w:t>23.投标信息录入</w:t>
      </w:r>
    </w:p>
    <w:p w14:paraId="0F6DBB78">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投标人应在上传电子投标文件前将投标人的相关信息在广州公共资源交易服务系统中录入完毕。</w:t>
      </w:r>
    </w:p>
    <w:p w14:paraId="2DA721D1">
      <w:pPr>
        <w:pStyle w:val="8"/>
        <w:spacing w:before="120"/>
        <w:rPr>
          <w:rFonts w:ascii="宋体" w:eastAsia="宋体"/>
          <w:color w:val="auto"/>
          <w:highlight w:val="none"/>
        </w:rPr>
      </w:pPr>
      <w:bookmarkStart w:id="114" w:name="_（五）开标、评标、定标及合同签订"/>
      <w:bookmarkEnd w:id="114"/>
      <w:bookmarkStart w:id="115" w:name="_Toc101777616"/>
      <w:bookmarkStart w:id="116" w:name="_Toc17522"/>
      <w:bookmarkStart w:id="117" w:name="_Toc30113"/>
      <w:bookmarkStart w:id="118" w:name="_Toc2110"/>
      <w:bookmarkStart w:id="119" w:name="_Toc29261"/>
      <w:bookmarkStart w:id="120" w:name="_Toc26175"/>
      <w:bookmarkStart w:id="121" w:name="_Toc1042"/>
      <w:bookmarkStart w:id="122" w:name="_Toc6653"/>
      <w:bookmarkStart w:id="123" w:name="_Toc262229167"/>
      <w:bookmarkStart w:id="124" w:name="_Toc9203"/>
      <w:bookmarkStart w:id="125" w:name="_Toc3934"/>
      <w:bookmarkStart w:id="126" w:name="_Toc14972"/>
      <w:bookmarkStart w:id="127" w:name="_Toc13863"/>
      <w:r>
        <w:rPr>
          <w:rFonts w:hint="eastAsia" w:ascii="宋体" w:eastAsia="宋体"/>
          <w:color w:val="auto"/>
          <w:highlight w:val="none"/>
        </w:rPr>
        <w:t>（五）开标</w:t>
      </w:r>
      <w:bookmarkEnd w:id="115"/>
      <w:r>
        <w:rPr>
          <w:rFonts w:hint="eastAsia" w:ascii="宋体" w:eastAsia="宋体"/>
          <w:color w:val="auto"/>
          <w:highlight w:val="none"/>
        </w:rPr>
        <w:t>、评标、定标及合同签订</w:t>
      </w:r>
      <w:bookmarkEnd w:id="116"/>
      <w:bookmarkEnd w:id="117"/>
      <w:bookmarkEnd w:id="118"/>
      <w:bookmarkEnd w:id="119"/>
      <w:bookmarkEnd w:id="120"/>
      <w:bookmarkEnd w:id="121"/>
      <w:bookmarkEnd w:id="122"/>
      <w:bookmarkEnd w:id="123"/>
      <w:bookmarkEnd w:id="124"/>
      <w:bookmarkEnd w:id="125"/>
      <w:bookmarkEnd w:id="126"/>
      <w:bookmarkEnd w:id="127"/>
    </w:p>
    <w:p w14:paraId="7E58F51A">
      <w:pPr>
        <w:spacing w:line="360" w:lineRule="auto"/>
        <w:ind w:firstLine="482" w:firstLineChars="200"/>
        <w:rPr>
          <w:rFonts w:ascii="宋体" w:hAnsi="宋体" w:eastAsia="宋体"/>
          <w:b/>
          <w:bCs/>
          <w:color w:val="auto"/>
          <w:sz w:val="24"/>
          <w:highlight w:val="none"/>
        </w:rPr>
      </w:pPr>
      <w:bookmarkStart w:id="128" w:name="_Toc101777617"/>
      <w:r>
        <w:rPr>
          <w:rFonts w:hint="eastAsia" w:ascii="宋体" w:hAnsi="宋体" w:eastAsia="宋体"/>
          <w:b/>
          <w:bCs/>
          <w:color w:val="auto"/>
          <w:sz w:val="24"/>
          <w:highlight w:val="none"/>
        </w:rPr>
        <w:t>24.开标</w:t>
      </w:r>
    </w:p>
    <w:p w14:paraId="45D3DFED">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详见第二章开标、评标及定标办法。</w:t>
      </w:r>
    </w:p>
    <w:bookmarkEnd w:id="128"/>
    <w:p w14:paraId="13E1A9DE">
      <w:pPr>
        <w:spacing w:line="360" w:lineRule="auto"/>
        <w:ind w:firstLine="482" w:firstLineChars="200"/>
        <w:rPr>
          <w:rFonts w:ascii="宋体" w:hAnsi="宋体" w:eastAsia="宋体"/>
          <w:b/>
          <w:color w:val="auto"/>
          <w:sz w:val="24"/>
          <w:highlight w:val="none"/>
        </w:rPr>
      </w:pPr>
      <w:r>
        <w:rPr>
          <w:rFonts w:hint="eastAsia" w:ascii="宋体" w:hAnsi="宋体" w:eastAsia="宋体"/>
          <w:b/>
          <w:color w:val="auto"/>
          <w:sz w:val="24"/>
          <w:highlight w:val="none"/>
        </w:rPr>
        <w:t>25.投标人对投标文件的解密</w:t>
      </w:r>
    </w:p>
    <w:p w14:paraId="7426A1C7">
      <w:pPr>
        <w:spacing w:line="360" w:lineRule="auto"/>
        <w:ind w:firstLine="480" w:firstLineChars="200"/>
        <w:rPr>
          <w:rFonts w:ascii="宋体" w:hAnsi="宋体" w:eastAsia="宋体"/>
          <w:color w:val="auto"/>
          <w:sz w:val="24"/>
          <w:highlight w:val="none"/>
        </w:rPr>
      </w:pPr>
      <w:r>
        <w:rPr>
          <w:rFonts w:hint="eastAsia" w:ascii="宋体" w:hAnsi="宋体" w:eastAsia="宋体" w:cs="仿宋_GB2312"/>
          <w:color w:val="auto"/>
          <w:sz w:val="24"/>
          <w:szCs w:val="24"/>
          <w:highlight w:val="none"/>
        </w:rPr>
        <w:t>25.1递交投标文件截止时间到达后的1小时内为投标人对其电子投标文件的解密时间，投标人须在规定的解密时间内使用</w:t>
      </w:r>
      <w:r>
        <w:rPr>
          <w:rFonts w:hint="eastAsia" w:ascii="宋体" w:hAnsi="宋体" w:eastAsia="宋体"/>
          <w:color w:val="auto"/>
          <w:sz w:val="24"/>
          <w:szCs w:val="24"/>
          <w:highlight w:val="none"/>
        </w:rPr>
        <w:t>制作该投标文件的机构业务数字证书</w:t>
      </w:r>
      <w:r>
        <w:rPr>
          <w:rFonts w:hint="eastAsia" w:ascii="宋体" w:hAnsi="宋体" w:eastAsia="宋体" w:cs="仿宋_GB2312"/>
          <w:color w:val="auto"/>
          <w:sz w:val="24"/>
          <w:szCs w:val="24"/>
          <w:highlight w:val="none"/>
        </w:rPr>
        <w:t>对投标文件进行解密，逾期未解密的投标文件将被否决</w:t>
      </w:r>
      <w:r>
        <w:rPr>
          <w:rFonts w:hint="eastAsia" w:ascii="宋体" w:hAnsi="宋体" w:eastAsia="宋体"/>
          <w:color w:val="auto"/>
          <w:sz w:val="24"/>
          <w:szCs w:val="24"/>
          <w:highlight w:val="none"/>
        </w:rPr>
        <w:t>。</w:t>
      </w:r>
    </w:p>
    <w:p w14:paraId="4FAEED65">
      <w:pPr>
        <w:spacing w:line="360" w:lineRule="auto"/>
        <w:ind w:firstLine="480" w:firstLineChars="2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25.2因投标人原因造成投标文件未解密的，视为撤销其投标文件。</w:t>
      </w:r>
    </w:p>
    <w:p w14:paraId="3A3A1620">
      <w:pPr>
        <w:spacing w:line="360" w:lineRule="auto"/>
        <w:ind w:firstLine="482" w:firstLineChars="200"/>
        <w:rPr>
          <w:rFonts w:hint="eastAsia" w:ascii="宋体" w:hAnsi="宋体" w:eastAsia="宋体"/>
          <w:b/>
          <w:color w:val="auto"/>
          <w:sz w:val="24"/>
          <w:highlight w:val="none"/>
        </w:rPr>
      </w:pPr>
      <w:r>
        <w:rPr>
          <w:rFonts w:hint="eastAsia" w:ascii="宋体" w:hAnsi="宋体" w:eastAsia="宋体"/>
          <w:b/>
          <w:bCs/>
          <w:color w:val="auto"/>
          <w:sz w:val="24"/>
          <w:highlight w:val="none"/>
        </w:rPr>
        <w:t>26．招标人</w:t>
      </w:r>
      <w:r>
        <w:rPr>
          <w:rFonts w:hint="eastAsia" w:ascii="宋体" w:hAnsi="宋体" w:eastAsia="宋体"/>
          <w:b/>
          <w:color w:val="auto"/>
          <w:sz w:val="24"/>
          <w:highlight w:val="none"/>
        </w:rPr>
        <w:t>对投标文件的解密</w:t>
      </w:r>
    </w:p>
    <w:p w14:paraId="57B0864F">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s="仿宋_GB2312"/>
          <w:color w:val="auto"/>
          <w:sz w:val="24"/>
          <w:szCs w:val="24"/>
          <w:highlight w:val="none"/>
        </w:rPr>
        <w:t>投标人对投标文件的解密时间截止后，</w:t>
      </w:r>
      <w:r>
        <w:rPr>
          <w:rFonts w:hint="eastAsia" w:ascii="宋体" w:hAnsi="宋体" w:eastAsia="宋体"/>
          <w:color w:val="auto"/>
          <w:sz w:val="24"/>
          <w:szCs w:val="24"/>
          <w:highlight w:val="none"/>
        </w:rPr>
        <w:t>招标人或招标代理机构</w:t>
      </w:r>
      <w:r>
        <w:rPr>
          <w:rFonts w:hint="eastAsia" w:ascii="宋体" w:hAnsi="宋体" w:eastAsia="宋体" w:cs="仿宋_GB2312"/>
          <w:color w:val="auto"/>
          <w:sz w:val="24"/>
          <w:szCs w:val="24"/>
          <w:highlight w:val="none"/>
        </w:rPr>
        <w:t>使用</w:t>
      </w:r>
      <w:r>
        <w:rPr>
          <w:rFonts w:hint="eastAsia" w:ascii="宋体" w:hAnsi="宋体" w:eastAsia="宋体"/>
          <w:color w:val="auto"/>
          <w:sz w:val="24"/>
          <w:szCs w:val="24"/>
          <w:highlight w:val="none"/>
        </w:rPr>
        <w:t>制作该招标文件的机构业务数字证书对所有投标人电子投标文件进行招标人解密。</w:t>
      </w:r>
    </w:p>
    <w:p w14:paraId="43FE3060">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27.评标过程的保密</w:t>
      </w:r>
    </w:p>
    <w:p w14:paraId="25C29682">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27.1 开标后，直至中标候选人公示为止，凡属于对投标文件的审查、澄清、评价和比较有关的资料、中标候选人的推荐情况及与评标有关的其他任何情况均严格保密。</w:t>
      </w:r>
    </w:p>
    <w:p w14:paraId="6F3D53E5">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27.2 在投标文件的评审和比较、中标候选人推荐以及授予合同的过程中，投标人向招标人和评标委员会施加不公正影响的任何行为，都将会导致其投标被拒绝。</w:t>
      </w:r>
    </w:p>
    <w:p w14:paraId="26AEA7DA">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28．投标文件的澄清，计算错误的修正</w:t>
      </w:r>
    </w:p>
    <w:p w14:paraId="64C2217C">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详见招标文件第二章开标、评标及定标办法。</w:t>
      </w:r>
    </w:p>
    <w:p w14:paraId="2A49DCB1">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29．投标文件的评审、比较和否决</w:t>
      </w:r>
    </w:p>
    <w:p w14:paraId="0D1ECFFD">
      <w:pPr>
        <w:spacing w:line="360" w:lineRule="auto"/>
        <w:ind w:firstLine="480" w:firstLineChars="200"/>
        <w:rPr>
          <w:rFonts w:ascii="宋体" w:hAnsi="宋体" w:eastAsia="宋体"/>
          <w:bCs/>
          <w:color w:val="auto"/>
          <w:sz w:val="24"/>
          <w:szCs w:val="24"/>
          <w:highlight w:val="none"/>
        </w:rPr>
      </w:pPr>
      <w:r>
        <w:rPr>
          <w:rFonts w:hint="eastAsia" w:ascii="宋体" w:hAnsi="宋体" w:eastAsia="宋体"/>
          <w:color w:val="auto"/>
          <w:sz w:val="24"/>
          <w:highlight w:val="none"/>
        </w:rPr>
        <w:t>详见招标文件第二章开标、评标及定标办法。</w:t>
      </w:r>
      <w:r>
        <w:rPr>
          <w:rFonts w:hint="eastAsia" w:ascii="宋体" w:hAnsi="宋体" w:eastAsia="宋体"/>
          <w:color w:val="auto"/>
          <w:sz w:val="24"/>
          <w:szCs w:val="24"/>
          <w:highlight w:val="none"/>
        </w:rPr>
        <w:t>经评标委员会评审，资格审查合格的投标人或通过否决性条款审查的投标人少于3个的，招标人将依法重新招标。</w:t>
      </w:r>
    </w:p>
    <w:p w14:paraId="33A507AF">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30．中标通知书</w:t>
      </w:r>
    </w:p>
    <w:p w14:paraId="645622D2">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30.1定标后，招标人将就规定的内容在广州公共资源交易</w:t>
      </w:r>
      <w:r>
        <w:rPr>
          <w:rFonts w:hint="eastAsia" w:ascii="宋体" w:hAnsi="宋体" w:eastAsia="宋体"/>
          <w:color w:val="auto"/>
          <w:sz w:val="24"/>
          <w:highlight w:val="none"/>
          <w:lang w:eastAsia="zh-CN"/>
        </w:rPr>
        <w:t>网站</w:t>
      </w:r>
      <w:r>
        <w:rPr>
          <w:rFonts w:hint="eastAsia" w:ascii="宋体" w:hAnsi="宋体" w:eastAsia="宋体"/>
          <w:color w:val="auto"/>
          <w:sz w:val="24"/>
          <w:highlight w:val="none"/>
        </w:rPr>
        <w:t>公示3日。</w:t>
      </w:r>
    </w:p>
    <w:p w14:paraId="53707B32">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30.2在中标人确定后，招标人应当向中标人发出中标通知书，并同时将中标结果通知所有未中标的投标人。</w:t>
      </w:r>
    </w:p>
    <w:p w14:paraId="267E7AB3">
      <w:pPr>
        <w:spacing w:line="360" w:lineRule="auto"/>
        <w:ind w:firstLine="480" w:firstLineChars="200"/>
        <w:rPr>
          <w:rFonts w:ascii="宋体" w:hAnsi="宋体" w:eastAsia="宋体"/>
          <w:color w:val="auto"/>
          <w:sz w:val="24"/>
          <w:highlight w:val="none"/>
          <w:bdr w:val="single" w:color="auto" w:sz="4" w:space="0"/>
        </w:rPr>
      </w:pPr>
      <w:r>
        <w:rPr>
          <w:rFonts w:hint="eastAsia" w:ascii="宋体" w:hAnsi="宋体" w:eastAsia="宋体"/>
          <w:color w:val="auto"/>
          <w:sz w:val="24"/>
          <w:highlight w:val="none"/>
        </w:rPr>
        <w:t>30.3中标人必须在收到中标通知书后24小时之内以书面形式回复招标人，确认收到。</w:t>
      </w:r>
    </w:p>
    <w:p w14:paraId="51270FD0">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31．合同协议书的签订</w:t>
      </w:r>
    </w:p>
    <w:p w14:paraId="7133E9F4">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31.1 招标人与中标人将于中标通知书发出之日起30日内，按照招标文件和中标人的投标文件商定和签订合同，招标人和中标人不得再行订立背离合同实质性内容的其他协议。</w:t>
      </w:r>
    </w:p>
    <w:p w14:paraId="139DC75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31.2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505E590">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31.3未经招标人同意，中标人在投标过程中使用的银行名称及</w:t>
      </w:r>
      <w:r>
        <w:rPr>
          <w:rFonts w:hint="eastAsia" w:ascii="宋体" w:hAnsi="宋体" w:eastAsia="宋体"/>
          <w:color w:val="auto"/>
          <w:sz w:val="24"/>
          <w:highlight w:val="none"/>
          <w:lang w:eastAsia="zh-CN"/>
        </w:rPr>
        <w:t>账号</w:t>
      </w:r>
      <w:r>
        <w:rPr>
          <w:rFonts w:hint="eastAsia" w:ascii="宋体" w:hAnsi="宋体" w:eastAsia="宋体"/>
          <w:color w:val="auto"/>
          <w:sz w:val="24"/>
          <w:highlight w:val="none"/>
        </w:rPr>
        <w:t>至完成竣工结算不得变更，否则招标人有权停止工程款项的</w:t>
      </w:r>
      <w:r>
        <w:rPr>
          <w:rFonts w:hint="eastAsia" w:ascii="宋体" w:hAnsi="宋体" w:eastAsia="宋体"/>
          <w:color w:val="auto"/>
          <w:sz w:val="24"/>
          <w:highlight w:val="none"/>
          <w:lang w:eastAsia="zh-CN"/>
        </w:rPr>
        <w:t>拨付</w:t>
      </w:r>
      <w:r>
        <w:rPr>
          <w:rFonts w:hint="eastAsia" w:ascii="宋体" w:hAnsi="宋体" w:eastAsia="宋体"/>
          <w:color w:val="auto"/>
          <w:sz w:val="24"/>
          <w:highlight w:val="none"/>
        </w:rPr>
        <w:t>及至解除合同，由此造成的一切责任由中标人承担。</w:t>
      </w:r>
    </w:p>
    <w:p w14:paraId="67FE2C7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31.4招标人支付工程款时，中标人应提供工程所在地发票。</w:t>
      </w:r>
    </w:p>
    <w:p w14:paraId="7A0AA135">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32．履约担保</w:t>
      </w:r>
    </w:p>
    <w:p w14:paraId="36724993">
      <w:pPr>
        <w:snapToGrid w:val="0"/>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32.1 在收到中标通知书后的15日内，中标人应按本须知前附表第27项的规定向招标人递交履约担保；如果中标人的履约担保是以金融机构保函或保证保险的形式提供，则该金融机构或保险公司的注册地址须是在中国大陆境内。金融机构保函或保证保险均需开具给招标人（受益人必须是招标人）。</w:t>
      </w:r>
    </w:p>
    <w:p w14:paraId="7CE9144E">
      <w:pPr>
        <w:snapToGrid w:val="0"/>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32.2中标通知书发出之日起15日后，中标人未按上款的规定递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5ED1D74">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33．合同生效</w:t>
      </w:r>
    </w:p>
    <w:p w14:paraId="21B7A2FF">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在合同双方全权代表在合同协议书上签字，并分别加盖双方单位的公章后，合同正式生效。</w:t>
      </w:r>
    </w:p>
    <w:p w14:paraId="18D41C07">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34．其它费用</w:t>
      </w:r>
    </w:p>
    <w:p w14:paraId="27BE7808">
      <w:pPr>
        <w:spacing w:line="360" w:lineRule="auto"/>
        <w:ind w:firstLine="480" w:firstLineChars="200"/>
        <w:rPr>
          <w:rFonts w:hint="eastAsia" w:ascii="宋体" w:hAnsi="宋体" w:eastAsia="宋体"/>
          <w:b/>
          <w:bCs/>
          <w:color w:val="auto"/>
          <w:sz w:val="24"/>
          <w:highlight w:val="none"/>
        </w:rPr>
      </w:pPr>
      <w:r>
        <w:rPr>
          <w:rFonts w:hint="eastAsia" w:ascii="宋体" w:hAnsi="宋体" w:eastAsia="宋体"/>
          <w:color w:val="auto"/>
          <w:sz w:val="24"/>
          <w:highlight w:val="none"/>
        </w:rPr>
        <w:t>公共资源交易服务费应根据政府有关规定支付。</w:t>
      </w:r>
    </w:p>
    <w:p w14:paraId="594A6F39">
      <w:pPr>
        <w:pStyle w:val="5"/>
        <w:spacing w:after="0"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35．腐败与敲诈行为</w:t>
      </w:r>
    </w:p>
    <w:p w14:paraId="5573A2DA">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在招标和合同实施期间，业主要求投标人和承包人遵守最高的道德标准。</w:t>
      </w:r>
    </w:p>
    <w:p w14:paraId="37652851">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35.1对本条款的规定，特定义如下词汇：</w:t>
      </w:r>
    </w:p>
    <w:p w14:paraId="4DDD8FAB">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（1）“腐败行为”是指在招标或合同执行期间，通过提供、给予、接受或索要任何有价值的东西，从而影响招标人有关人员工作的行为；</w:t>
      </w:r>
    </w:p>
    <w:p w14:paraId="0145136B">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欺诈行为”是指通过提供伪证影响招标或合同执行，从而损害招标人利益的行为；也包括投标人之间串通（在递交投标书之前或之后），人为地使招标过程失去竞争性，从而使业主无法从公开的自由竞争中获得利益的行为。</w:t>
      </w:r>
    </w:p>
    <w:p w14:paraId="2E8281E0">
      <w:pPr>
        <w:pStyle w:val="5"/>
        <w:spacing w:after="0"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35.2如果投标人被认定在本招标的竞争中有腐败或欺诈行为，则会被取消投标资格。</w:t>
      </w:r>
    </w:p>
    <w:p w14:paraId="5B840AAA">
      <w:pPr>
        <w:pStyle w:val="5"/>
        <w:spacing w:after="0"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35.3投标人如在本项目中存在串通投标、弄虚作假、行贿情形的，中标无效，该投标人将被招标人列入黑名单并限制其投标。行政监督机构将对其违法行为进行行政处罚并通报。</w:t>
      </w:r>
    </w:p>
    <w:p w14:paraId="612E0CDD">
      <w:pPr>
        <w:pStyle w:val="5"/>
        <w:spacing w:after="0" w:line="360" w:lineRule="auto"/>
        <w:ind w:firstLine="482" w:firstLineChars="200"/>
        <w:rPr>
          <w:rFonts w:hint="eastAsia" w:ascii="宋体" w:eastAsia="宋体"/>
          <w:b/>
          <w:color w:val="auto"/>
          <w:sz w:val="24"/>
          <w:highlight w:val="none"/>
        </w:rPr>
      </w:pPr>
      <w:r>
        <w:rPr>
          <w:rFonts w:hint="eastAsia" w:ascii="宋体" w:eastAsia="宋体"/>
          <w:b/>
          <w:color w:val="auto"/>
          <w:sz w:val="24"/>
          <w:highlight w:val="none"/>
        </w:rPr>
        <w:t>36.其他</w:t>
      </w:r>
    </w:p>
    <w:p w14:paraId="37248D99">
      <w:pPr>
        <w:pStyle w:val="5"/>
        <w:spacing w:after="0" w:line="360" w:lineRule="auto"/>
        <w:ind w:firstLine="480" w:firstLineChars="200"/>
        <w:rPr>
          <w:rFonts w:hint="eastAsia" w:ascii="宋体" w:hAnsi="宋体" w:eastAsia="宋体"/>
          <w:color w:val="auto"/>
          <w:sz w:val="24"/>
          <w:highlight w:val="none"/>
        </w:rPr>
      </w:pPr>
      <w:r>
        <w:rPr>
          <w:rFonts w:hint="eastAsia" w:ascii="宋体" w:eastAsia="宋体"/>
          <w:color w:val="auto"/>
          <w:sz w:val="24"/>
          <w:highlight w:val="none"/>
        </w:rPr>
        <w:t>其他投标人须知事项，见投标须知前附表第36项。</w:t>
      </w:r>
    </w:p>
    <w:p w14:paraId="74D2B7BF">
      <w:pPr>
        <w:pStyle w:val="7"/>
        <w:rPr>
          <w:rFonts w:ascii="宋体" w:eastAsia="宋体"/>
          <w:b w:val="0"/>
          <w:color w:val="auto"/>
          <w:highlight w:val="none"/>
        </w:rPr>
      </w:pPr>
      <w:bookmarkStart w:id="129" w:name="_第二章__开标、评标及定标办法"/>
      <w:bookmarkEnd w:id="129"/>
      <w:r>
        <w:rPr>
          <w:rFonts w:hint="eastAsia" w:ascii="宋体" w:eastAsia="宋体"/>
          <w:color w:val="auto"/>
          <w:highlight w:val="none"/>
        </w:rPr>
        <w:br w:type="page"/>
      </w:r>
      <w:bookmarkStart w:id="130" w:name="_Toc19123"/>
      <w:bookmarkStart w:id="131" w:name="_Toc21220"/>
      <w:bookmarkStart w:id="132" w:name="_Toc9777"/>
      <w:bookmarkStart w:id="133" w:name="_Toc11805"/>
      <w:bookmarkStart w:id="134" w:name="_Toc613"/>
      <w:bookmarkStart w:id="135" w:name="_Toc27137"/>
      <w:bookmarkStart w:id="136" w:name="_Toc262229168"/>
      <w:bookmarkStart w:id="137" w:name="_Toc20599"/>
      <w:bookmarkStart w:id="138" w:name="_Toc4405"/>
      <w:bookmarkStart w:id="139" w:name="_Toc12712"/>
      <w:bookmarkStart w:id="140" w:name="_Toc2099"/>
      <w:bookmarkStart w:id="141" w:name="_Toc13102"/>
      <w:bookmarkStart w:id="142" w:name="_Toc155150492"/>
      <w:bookmarkStart w:id="143" w:name="_Toc155150494"/>
      <w:r>
        <w:rPr>
          <w:rFonts w:hint="eastAsia" w:ascii="宋体" w:eastAsia="宋体"/>
          <w:b w:val="0"/>
          <w:color w:val="auto"/>
          <w:highlight w:val="none"/>
        </w:rPr>
        <w:t>第二章  开标、评标及定标办法</w:t>
      </w:r>
      <w:bookmarkEnd w:id="130"/>
      <w:bookmarkEnd w:id="131"/>
      <w:bookmarkEnd w:id="132"/>
      <w:bookmarkEnd w:id="133"/>
      <w:bookmarkEnd w:id="134"/>
      <w:bookmarkEnd w:id="135"/>
      <w:bookmarkEnd w:id="136"/>
      <w:bookmarkEnd w:id="137"/>
      <w:bookmarkEnd w:id="138"/>
      <w:bookmarkEnd w:id="139"/>
      <w:bookmarkEnd w:id="140"/>
      <w:bookmarkEnd w:id="141"/>
      <w:bookmarkEnd w:id="142"/>
    </w:p>
    <w:p w14:paraId="1D0C0E89">
      <w:pPr>
        <w:pStyle w:val="8"/>
        <w:spacing w:before="120"/>
        <w:rPr>
          <w:rFonts w:ascii="宋体" w:eastAsia="宋体"/>
          <w:color w:val="auto"/>
          <w:highlight w:val="none"/>
        </w:rPr>
      </w:pPr>
      <w:bookmarkStart w:id="144" w:name="_一、开标、评标及定标办法修改表"/>
      <w:bookmarkEnd w:id="144"/>
      <w:bookmarkStart w:id="145" w:name="_Toc22769"/>
      <w:bookmarkStart w:id="146" w:name="_Toc31530"/>
      <w:bookmarkStart w:id="147" w:name="_Toc26366"/>
      <w:bookmarkStart w:id="148" w:name="_Toc24406"/>
      <w:bookmarkStart w:id="149" w:name="_Toc26062"/>
      <w:bookmarkStart w:id="150" w:name="_Toc26300"/>
      <w:bookmarkStart w:id="151" w:name="_Toc25798"/>
      <w:bookmarkStart w:id="152" w:name="_Toc5930"/>
      <w:bookmarkStart w:id="153" w:name="_Toc5823"/>
      <w:bookmarkStart w:id="154" w:name="_Toc155150493"/>
      <w:bookmarkStart w:id="155" w:name="_Toc262229169"/>
      <w:bookmarkStart w:id="156" w:name="_Toc4196"/>
      <w:bookmarkStart w:id="157" w:name="_Toc22676"/>
      <w:r>
        <w:rPr>
          <w:rFonts w:hint="eastAsia" w:ascii="宋体" w:eastAsia="宋体"/>
          <w:color w:val="auto"/>
          <w:highlight w:val="none"/>
        </w:rPr>
        <w:t>一、开标、评标及定标办法修改表</w:t>
      </w:r>
      <w:bookmarkEnd w:id="145"/>
      <w:bookmarkEnd w:id="146"/>
      <w:bookmarkEnd w:id="147"/>
      <w:bookmarkEnd w:id="148"/>
      <w:bookmarkEnd w:id="149"/>
      <w:bookmarkEnd w:id="150"/>
      <w:bookmarkEnd w:id="151"/>
      <w:bookmarkEnd w:id="152"/>
      <w:bookmarkEnd w:id="153"/>
      <w:bookmarkEnd w:id="154"/>
      <w:bookmarkEnd w:id="155"/>
      <w:bookmarkEnd w:id="156"/>
      <w:bookmarkEnd w:id="157"/>
    </w:p>
    <w:p w14:paraId="664EC677">
      <w:pPr>
        <w:pStyle w:val="5"/>
        <w:spacing w:after="0" w:line="360" w:lineRule="auto"/>
        <w:ind w:firstLine="0"/>
        <w:rPr>
          <w:rFonts w:ascii="宋体" w:hAnsi="宋体" w:eastAsia="宋体"/>
          <w:b/>
          <w:color w:val="auto"/>
          <w:szCs w:val="21"/>
          <w:highlight w:val="none"/>
        </w:rPr>
      </w:pPr>
      <w:r>
        <w:rPr>
          <w:rFonts w:hint="eastAsia" w:ascii="宋体" w:hAnsi="宋体" w:eastAsia="宋体"/>
          <w:b/>
          <w:color w:val="auto"/>
          <w:szCs w:val="21"/>
          <w:highlight w:val="none"/>
        </w:rPr>
        <w:t>声明：本</w:t>
      </w:r>
      <w:r>
        <w:rPr>
          <w:rFonts w:hint="eastAsia" w:ascii="宋体" w:hAnsi="宋体" w:eastAsia="宋体"/>
          <w:b/>
          <w:color w:val="auto"/>
          <w:highlight w:val="none"/>
        </w:rPr>
        <w:t>开标、评标及定标办法使用GZYLZB202</w:t>
      </w:r>
      <w:r>
        <w:rPr>
          <w:rFonts w:hint="eastAsia" w:ascii="宋体" w:hAnsi="宋体" w:eastAsia="宋体"/>
          <w:b/>
          <w:color w:val="auto"/>
          <w:highlight w:val="none"/>
          <w:lang w:val="en-US" w:eastAsia="zh-CN"/>
        </w:rPr>
        <w:t>3</w:t>
      </w:r>
      <w:r>
        <w:rPr>
          <w:rFonts w:hint="eastAsia" w:ascii="宋体" w:hAnsi="宋体" w:eastAsia="宋体"/>
          <w:b/>
          <w:color w:val="auto"/>
          <w:highlight w:val="none"/>
        </w:rPr>
        <w:t>-1招标文件范本的开标、评标及定标办法</w:t>
      </w:r>
      <w:r>
        <w:rPr>
          <w:rFonts w:hint="eastAsia" w:ascii="宋体" w:hAnsi="宋体" w:eastAsia="宋体"/>
          <w:b/>
          <w:color w:val="auto"/>
          <w:szCs w:val="21"/>
          <w:highlight w:val="none"/>
        </w:rPr>
        <w:t>通用条款，与该通用条款不同之处，均在本表中列明，修改之处均以下划线标明，并以现文为准，原文不再有效。没有在本表中列明的条款，以原文为准。本招标文件中不再转录</w:t>
      </w:r>
      <w:r>
        <w:rPr>
          <w:rFonts w:hint="eastAsia" w:ascii="宋体" w:hAnsi="宋体" w:eastAsia="宋体"/>
          <w:b/>
          <w:color w:val="auto"/>
          <w:highlight w:val="none"/>
        </w:rPr>
        <w:t>开标、评标及定标办法</w:t>
      </w:r>
      <w:r>
        <w:rPr>
          <w:rFonts w:hint="eastAsia" w:ascii="宋体" w:hAnsi="宋体" w:eastAsia="宋体"/>
          <w:b/>
          <w:color w:val="auto"/>
          <w:szCs w:val="21"/>
          <w:highlight w:val="none"/>
        </w:rPr>
        <w:t>通用条款，请投标人自行到广州市林业和园林局网站（网址：http://lyylj.gz.gov.cn/）下载查阅。</w:t>
      </w:r>
    </w:p>
    <w:p w14:paraId="7F0DAB3C">
      <w:pPr>
        <w:pBdr>
          <w:top w:val="none" w:color="auto" w:sz="0" w:space="0"/>
          <w:left w:val="none" w:color="auto" w:sz="0" w:space="0"/>
          <w:bottom w:val="none" w:color="auto" w:sz="0" w:space="1"/>
          <w:right w:val="none" w:color="auto" w:sz="0" w:space="0"/>
          <w:between w:val="none" w:color="auto" w:sz="0" w:space="0"/>
        </w:pBdr>
        <w:spacing w:line="360" w:lineRule="auto"/>
        <w:ind w:firstLine="0" w:firstLineChars="0"/>
        <w:rPr>
          <w:rFonts w:hint="eastAsia"/>
          <w:color w:val="auto"/>
          <w:highlight w:val="none"/>
        </w:rPr>
      </w:pPr>
    </w:p>
    <w:p w14:paraId="4DEB5C89">
      <w:pPr>
        <w:pStyle w:val="2"/>
        <w:spacing w:line="360" w:lineRule="auto"/>
        <w:rPr>
          <w:color w:val="auto"/>
          <w:highlight w:val="none"/>
        </w:rPr>
      </w:pPr>
    </w:p>
    <w:p w14:paraId="2F24EAB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color w:val="auto"/>
          <w:szCs w:val="21"/>
          <w:highlight w:val="none"/>
          <w:lang w:eastAsia="zh-CN"/>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38.3.3</w:t>
      </w:r>
      <w:r>
        <w:rPr>
          <w:rFonts w:hint="eastAsia" w:ascii="宋体" w:hAnsi="宋体" w:eastAsia="宋体"/>
          <w:b/>
          <w:color w:val="auto"/>
          <w:szCs w:val="21"/>
          <w:highlight w:val="none"/>
        </w:rPr>
        <w:t xml:space="preserve">             修改类型：</w:t>
      </w:r>
      <w:r>
        <w:rPr>
          <w:rFonts w:hint="eastAsia" w:ascii="宋体" w:hAnsi="宋体" w:eastAsia="宋体"/>
          <w:b/>
          <w:color w:val="auto"/>
          <w:szCs w:val="21"/>
          <w:highlight w:val="none"/>
          <w:lang w:eastAsia="zh-CN"/>
        </w:rPr>
        <w:t>删除</w:t>
      </w:r>
    </w:p>
    <w:p w14:paraId="47C85B1E">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lang w:eastAsia="zh-CN"/>
        </w:rPr>
        <w:t>原</w:t>
      </w:r>
      <w:r>
        <w:rPr>
          <w:rFonts w:hint="eastAsia" w:ascii="宋体" w:hAnsi="宋体" w:eastAsia="宋体"/>
          <w:b/>
          <w:color w:val="auto"/>
          <w:szCs w:val="21"/>
          <w:highlight w:val="none"/>
        </w:rPr>
        <w:t>文：</w:t>
      </w:r>
      <w:r>
        <w:rPr>
          <w:rFonts w:hint="eastAsia" w:ascii="宋体" w:hAnsi="宋体" w:eastAsia="宋体"/>
          <w:b w:val="0"/>
          <w:bCs/>
          <w:color w:val="auto"/>
          <w:szCs w:val="21"/>
          <w:highlight w:val="none"/>
          <w:u w:val="none"/>
        </w:rPr>
        <w:t>38.3.3投标人未按要求递交投标保证金的；</w:t>
      </w:r>
    </w:p>
    <w:p w14:paraId="5E52E45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38.4</w:t>
      </w:r>
      <w:r>
        <w:rPr>
          <w:rFonts w:hint="eastAsia" w:ascii="宋体" w:hAnsi="宋体" w:eastAsia="宋体"/>
          <w:b/>
          <w:color w:val="auto"/>
          <w:szCs w:val="21"/>
          <w:highlight w:val="none"/>
        </w:rPr>
        <w:t xml:space="preserve">             修改类型：修改</w:t>
      </w:r>
    </w:p>
    <w:p w14:paraId="289A3FE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val="0"/>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38.4若递交投标文件的投标人不足3个，则重新组织招标（当N个标段同时招标且不允许兼中时，若递交投标文件单位不足N+2个，则重新组织招标）。</w:t>
      </w:r>
    </w:p>
    <w:p w14:paraId="116F1531">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b w:val="0"/>
          <w:bCs/>
          <w:color w:val="auto"/>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38.4若递交投标文件的投标人不足</w:t>
      </w:r>
      <w:r>
        <w:rPr>
          <w:rFonts w:hint="eastAsia" w:ascii="宋体" w:hAnsi="宋体" w:eastAsia="宋体"/>
          <w:b w:val="0"/>
          <w:bCs/>
          <w:color w:val="auto"/>
          <w:szCs w:val="21"/>
          <w:highlight w:val="none"/>
          <w:lang w:val="en-US" w:eastAsia="zh-CN"/>
        </w:rPr>
        <w:t>3</w:t>
      </w:r>
      <w:r>
        <w:rPr>
          <w:rFonts w:hint="eastAsia" w:ascii="宋体" w:hAnsi="宋体" w:eastAsia="宋体"/>
          <w:b w:val="0"/>
          <w:bCs/>
          <w:color w:val="auto"/>
          <w:szCs w:val="21"/>
          <w:highlight w:val="none"/>
        </w:rPr>
        <w:t>个，则重新组织招标</w:t>
      </w:r>
      <w:r>
        <w:rPr>
          <w:rFonts w:hint="eastAsia" w:ascii="宋体" w:hAnsi="宋体" w:eastAsia="宋体"/>
          <w:b w:val="0"/>
          <w:bCs/>
          <w:color w:val="auto"/>
          <w:szCs w:val="21"/>
          <w:highlight w:val="none"/>
          <w:u w:val="none"/>
        </w:rPr>
        <w:t>。</w:t>
      </w:r>
    </w:p>
    <w:p w14:paraId="1AE9833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41.1</w:t>
      </w:r>
      <w:r>
        <w:rPr>
          <w:rFonts w:hint="eastAsia" w:ascii="宋体" w:hAnsi="宋体" w:eastAsia="宋体"/>
          <w:b/>
          <w:color w:val="auto"/>
          <w:szCs w:val="21"/>
          <w:highlight w:val="none"/>
        </w:rPr>
        <w:t xml:space="preserve">             修改类型：修改</w:t>
      </w:r>
    </w:p>
    <w:p w14:paraId="613EFE4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val="0"/>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41.1不采用评定分离的，评标委员会推荐中标候选人</w:t>
      </w:r>
      <w:r>
        <w:rPr>
          <w:rFonts w:hint="eastAsia" w:ascii="宋体" w:hAnsi="宋体" w:eastAsia="宋体"/>
          <w:b w:val="0"/>
          <w:bCs/>
          <w:color w:val="auto"/>
          <w:szCs w:val="21"/>
          <w:highlight w:val="none"/>
          <w:u w:val="single"/>
        </w:rPr>
        <w:t xml:space="preserve">   </w:t>
      </w:r>
      <w:r>
        <w:rPr>
          <w:rFonts w:hint="eastAsia" w:ascii="宋体" w:hAnsi="宋体" w:eastAsia="宋体"/>
          <w:b w:val="0"/>
          <w:bCs/>
          <w:color w:val="auto"/>
          <w:szCs w:val="21"/>
          <w:highlight w:val="none"/>
        </w:rPr>
        <w:t>名（不多于3名）。</w:t>
      </w:r>
    </w:p>
    <w:p w14:paraId="41CF42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b w:val="0"/>
          <w:bCs/>
          <w:color w:val="auto"/>
          <w:szCs w:val="21"/>
          <w:highlight w:val="none"/>
        </w:rPr>
      </w:pPr>
      <w:r>
        <w:rPr>
          <w:rFonts w:hint="eastAsia" w:ascii="宋体" w:hAnsi="宋体" w:eastAsia="宋体"/>
          <w:b w:val="0"/>
          <w:bCs/>
          <w:color w:val="auto"/>
          <w:szCs w:val="21"/>
          <w:highlight w:val="none"/>
        </w:rPr>
        <w:t>评标委员会向招标人推荐按综合得分高低排序的中标候选人。招标人在评标委员会推荐的中标候选人中确定中标人。依法必须招标的项目，招标人应当确定排名第一的中标候选人为中标人。</w:t>
      </w:r>
    </w:p>
    <w:p w14:paraId="72B31AA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val="0"/>
          <w:bCs/>
          <w:color w:val="auto"/>
          <w:szCs w:val="21"/>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41.1不采用评定分离的，评标委员会推荐中标候选人</w:t>
      </w:r>
      <w:r>
        <w:rPr>
          <w:rFonts w:hint="eastAsia" w:ascii="宋体" w:hAnsi="宋体" w:eastAsia="宋体"/>
          <w:b w:val="0"/>
          <w:bCs/>
          <w:color w:val="auto"/>
          <w:szCs w:val="21"/>
          <w:highlight w:val="none"/>
          <w:u w:val="single"/>
        </w:rPr>
        <w:t xml:space="preserve"> </w:t>
      </w:r>
      <w:r>
        <w:rPr>
          <w:rFonts w:hint="eastAsia" w:ascii="宋体" w:hAnsi="宋体" w:eastAsia="宋体"/>
          <w:b w:val="0"/>
          <w:bCs/>
          <w:color w:val="auto"/>
          <w:szCs w:val="21"/>
          <w:highlight w:val="none"/>
          <w:u w:val="single"/>
          <w:lang w:val="en-US" w:eastAsia="zh-CN"/>
        </w:rPr>
        <w:t>3</w:t>
      </w:r>
      <w:r>
        <w:rPr>
          <w:rFonts w:hint="eastAsia" w:ascii="宋体" w:hAnsi="宋体" w:eastAsia="宋体"/>
          <w:b w:val="0"/>
          <w:bCs/>
          <w:color w:val="auto"/>
          <w:szCs w:val="21"/>
          <w:highlight w:val="none"/>
          <w:u w:val="single"/>
        </w:rPr>
        <w:t xml:space="preserve"> </w:t>
      </w:r>
      <w:r>
        <w:rPr>
          <w:rFonts w:hint="eastAsia" w:ascii="宋体" w:hAnsi="宋体" w:eastAsia="宋体"/>
          <w:b w:val="0"/>
          <w:bCs/>
          <w:color w:val="auto"/>
          <w:szCs w:val="21"/>
          <w:highlight w:val="none"/>
        </w:rPr>
        <w:t>名（不多于3名）。</w:t>
      </w:r>
    </w:p>
    <w:p w14:paraId="7DFBA873">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textAlignment w:val="auto"/>
        <w:rPr>
          <w:rFonts w:ascii="宋体" w:hAnsi="宋体" w:eastAsia="宋体"/>
          <w:color w:val="auto"/>
          <w:highlight w:val="none"/>
        </w:rPr>
      </w:pPr>
      <w:r>
        <w:rPr>
          <w:rFonts w:hint="eastAsia" w:ascii="宋体" w:hAnsi="宋体" w:eastAsia="宋体"/>
          <w:b w:val="0"/>
          <w:bCs/>
          <w:color w:val="auto"/>
          <w:szCs w:val="21"/>
          <w:highlight w:val="none"/>
        </w:rPr>
        <w:t>评标委员会向招标人推荐按综合得分高低排序的中标候选人。招标人在评标委员会推荐的中标候选人中确定中标人。依法必须招标的项目，招标人应当确定排名第一的中标候选人为中标人。</w:t>
      </w:r>
    </w:p>
    <w:p w14:paraId="02B9C98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color w:val="auto"/>
          <w:szCs w:val="21"/>
          <w:highlight w:val="none"/>
          <w:lang w:eastAsia="zh-CN"/>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41.2</w:t>
      </w:r>
      <w:r>
        <w:rPr>
          <w:rFonts w:hint="eastAsia" w:ascii="宋体" w:hAnsi="宋体" w:eastAsia="宋体"/>
          <w:b/>
          <w:color w:val="auto"/>
          <w:szCs w:val="21"/>
          <w:highlight w:val="none"/>
        </w:rPr>
        <w:t xml:space="preserve">             修改类型：</w:t>
      </w:r>
      <w:r>
        <w:rPr>
          <w:rFonts w:hint="eastAsia" w:ascii="宋体" w:hAnsi="宋体" w:eastAsia="宋体"/>
          <w:b/>
          <w:color w:val="auto"/>
          <w:szCs w:val="21"/>
          <w:highlight w:val="none"/>
          <w:lang w:eastAsia="zh-CN"/>
        </w:rPr>
        <w:t>删除</w:t>
      </w:r>
    </w:p>
    <w:p w14:paraId="427A1AF9">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val="0"/>
          <w:bCs/>
          <w:color w:val="auto"/>
          <w:szCs w:val="21"/>
          <w:highlight w:val="none"/>
        </w:rPr>
      </w:pPr>
      <w:r>
        <w:rPr>
          <w:rFonts w:hint="eastAsia" w:ascii="宋体" w:hAnsi="宋体" w:eastAsia="宋体"/>
          <w:b/>
          <w:color w:val="auto"/>
          <w:szCs w:val="21"/>
          <w:highlight w:val="none"/>
          <w:lang w:eastAsia="zh-CN"/>
        </w:rPr>
        <w:t>原</w:t>
      </w:r>
      <w:r>
        <w:rPr>
          <w:rFonts w:hint="eastAsia" w:ascii="宋体" w:hAnsi="宋体" w:eastAsia="宋体"/>
          <w:b/>
          <w:color w:val="auto"/>
          <w:szCs w:val="21"/>
          <w:highlight w:val="none"/>
        </w:rPr>
        <w:t>文：</w:t>
      </w:r>
      <w:r>
        <w:rPr>
          <w:rFonts w:hint="eastAsia" w:ascii="宋体" w:hAnsi="宋体" w:eastAsia="宋体"/>
          <w:b w:val="0"/>
          <w:bCs/>
          <w:color w:val="auto"/>
          <w:szCs w:val="21"/>
          <w:highlight w:val="none"/>
        </w:rPr>
        <w:t>41.2采用评定分离的，评标委员会推荐中标候选人</w:t>
      </w:r>
      <w:r>
        <w:rPr>
          <w:rFonts w:hint="eastAsia" w:ascii="宋体" w:hAnsi="宋体" w:eastAsia="宋体"/>
          <w:b w:val="0"/>
          <w:bCs/>
          <w:color w:val="auto"/>
          <w:szCs w:val="21"/>
          <w:highlight w:val="none"/>
          <w:u w:val="single"/>
        </w:rPr>
        <w:t xml:space="preserve">   </w:t>
      </w:r>
      <w:r>
        <w:rPr>
          <w:rFonts w:hint="eastAsia" w:ascii="宋体" w:hAnsi="宋体" w:eastAsia="宋体"/>
          <w:b w:val="0"/>
          <w:bCs/>
          <w:color w:val="auto"/>
          <w:szCs w:val="21"/>
          <w:highlight w:val="none"/>
        </w:rPr>
        <w:t>名（3-5名）。</w:t>
      </w:r>
    </w:p>
    <w:p w14:paraId="1B7D54B5">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textAlignment w:val="auto"/>
        <w:rPr>
          <w:rFonts w:ascii="宋体" w:hAnsi="宋体" w:eastAsia="宋体"/>
          <w:b w:val="0"/>
          <w:bCs/>
          <w:color w:val="auto"/>
          <w:highlight w:val="none"/>
        </w:rPr>
      </w:pPr>
      <w:r>
        <w:rPr>
          <w:rFonts w:hint="eastAsia" w:ascii="宋体" w:hAnsi="宋体" w:eastAsia="宋体"/>
          <w:b w:val="0"/>
          <w:bCs/>
          <w:color w:val="auto"/>
          <w:szCs w:val="21"/>
          <w:highlight w:val="none"/>
        </w:rPr>
        <w:t>评标委员会向招标人推荐不排序的中标候选人。定标委员会在中标候选人中按照定标办法（详见附件一）确定中标人。</w:t>
      </w:r>
    </w:p>
    <w:p w14:paraId="72CD5D6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41.4</w:t>
      </w:r>
      <w:r>
        <w:rPr>
          <w:rFonts w:hint="eastAsia" w:ascii="宋体" w:hAnsi="宋体" w:eastAsia="宋体"/>
          <w:b/>
          <w:color w:val="auto"/>
          <w:szCs w:val="21"/>
          <w:highlight w:val="none"/>
        </w:rPr>
        <w:t xml:space="preserve">             修改类型：修改</w:t>
      </w:r>
    </w:p>
    <w:p w14:paraId="5CED08B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val="0"/>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41.4招标人应当自确定中标人之日起十五日内，向招标管理机构提交招标投标情况的书面报告。采用评定分离的，招标人应当提交定标报告。定标报告应包括定标委员会的产生过程、定标委员会成员名单、定标程序、定标会议过程及定标结果等内容。</w:t>
      </w:r>
    </w:p>
    <w:p w14:paraId="2AEF95BF">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color w:val="auto"/>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41.4招标人应当自确定中标人之日起十五日内，向招标管理机构提交招标投标情况的书面报告。</w:t>
      </w:r>
    </w:p>
    <w:p w14:paraId="1857E9E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color w:val="auto"/>
          <w:szCs w:val="21"/>
          <w:highlight w:val="none"/>
          <w:lang w:eastAsia="zh-CN"/>
        </w:rPr>
      </w:pPr>
      <w:r>
        <w:rPr>
          <w:rFonts w:hint="eastAsia" w:ascii="宋体" w:hAnsi="宋体" w:eastAsia="宋体"/>
          <w:b/>
          <w:color w:val="auto"/>
          <w:szCs w:val="21"/>
          <w:highlight w:val="none"/>
        </w:rPr>
        <w:t>条款号：可选办法二             修改类型：</w:t>
      </w:r>
      <w:r>
        <w:rPr>
          <w:rFonts w:hint="eastAsia" w:ascii="宋体" w:hAnsi="宋体" w:eastAsia="宋体"/>
          <w:b/>
          <w:color w:val="auto"/>
          <w:szCs w:val="21"/>
          <w:highlight w:val="none"/>
          <w:lang w:eastAsia="zh-CN"/>
        </w:rPr>
        <w:t>删除</w:t>
      </w:r>
    </w:p>
    <w:p w14:paraId="2DA47D3F">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b w:val="0"/>
          <w:bCs/>
          <w:color w:val="auto"/>
          <w:highlight w:val="none"/>
        </w:rPr>
      </w:pPr>
      <w:r>
        <w:rPr>
          <w:rFonts w:hint="eastAsia" w:ascii="宋体" w:hAnsi="宋体" w:eastAsia="宋体"/>
          <w:b/>
          <w:color w:val="auto"/>
          <w:szCs w:val="21"/>
          <w:highlight w:val="none"/>
          <w:lang w:eastAsia="zh-CN"/>
        </w:rPr>
        <w:t>原</w:t>
      </w:r>
      <w:r>
        <w:rPr>
          <w:rFonts w:hint="eastAsia" w:ascii="宋体" w:hAnsi="宋体" w:eastAsia="宋体"/>
          <w:b/>
          <w:color w:val="auto"/>
          <w:szCs w:val="21"/>
          <w:highlight w:val="none"/>
        </w:rPr>
        <w:t>文：</w:t>
      </w:r>
      <w:r>
        <w:rPr>
          <w:rFonts w:hint="eastAsia" w:ascii="宋体" w:hAnsi="宋体" w:eastAsia="宋体"/>
          <w:b w:val="0"/>
          <w:bCs/>
          <w:color w:val="auto"/>
          <w:szCs w:val="21"/>
          <w:highlight w:val="none"/>
        </w:rPr>
        <w:t>可选办法二经评审的最低投标价法或者法律法规规定的其他评标方法（由招标人自行拟定）</w:t>
      </w:r>
    </w:p>
    <w:p w14:paraId="0622A1A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条款号：42.13            修改类型：修改</w:t>
      </w:r>
    </w:p>
    <w:p w14:paraId="1B0C3793">
      <w:pPr>
        <w:pStyle w:val="5"/>
        <w:tabs>
          <w:tab w:val="left" w:pos="7380"/>
        </w:tabs>
        <w:spacing w:after="0" w:line="360" w:lineRule="auto"/>
        <w:ind w:firstLine="525"/>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42.13按照“综合得分=技术部分（施工组织方案）得分×技术部分（施工组织方案）得分权重+技术部分（项目实施能力）得分×技术部分（项目实施能力）得分权重+报价得分×报价得分权重+诚信综合评价排名得分×诚信综合评价排名得分权重”的公式，计算各有效投标文件的综合得分，并按照综合得分高低排序。</w:t>
      </w:r>
    </w:p>
    <w:p w14:paraId="7A8E1742">
      <w:pPr>
        <w:pBdr>
          <w:bottom w:val="single" w:color="auto" w:sz="6" w:space="1"/>
        </w:pBd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Cs/>
          <w:color w:val="auto"/>
          <w:szCs w:val="21"/>
          <w:highlight w:val="none"/>
        </w:rPr>
        <w:t>42.13按照“</w:t>
      </w:r>
      <w:r>
        <w:rPr>
          <w:rFonts w:hint="eastAsia" w:ascii="宋体" w:hAnsi="宋体" w:eastAsia="宋体" w:cs="宋体"/>
          <w:bCs/>
          <w:color w:val="auto"/>
          <w:szCs w:val="21"/>
          <w:highlight w:val="none"/>
          <w:u w:val="single"/>
        </w:rPr>
        <w:t>综合得分=技术部分（施工组织方案）得分×技术部分（施工组织方案）得分权重+技术部分（项目实施能力）得分×技术部分（项目实施能力）得分权重+报价得分×报价得分权重</w:t>
      </w:r>
      <w:r>
        <w:rPr>
          <w:rFonts w:hint="eastAsia" w:ascii="宋体" w:hAnsi="宋体" w:eastAsia="宋体" w:cs="宋体"/>
          <w:bCs/>
          <w:color w:val="auto"/>
          <w:szCs w:val="21"/>
          <w:highlight w:val="none"/>
        </w:rPr>
        <w:t>”的公式，计算各有效投标文件的综合得分，并按照综合得分高低排序。</w:t>
      </w:r>
    </w:p>
    <w:p w14:paraId="471D9AA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color w:val="auto"/>
          <w:szCs w:val="21"/>
          <w:highlight w:val="none"/>
          <w:lang w:eastAsia="zh-CN"/>
        </w:rPr>
      </w:pPr>
      <w:r>
        <w:rPr>
          <w:rFonts w:hint="eastAsia" w:ascii="宋体" w:hAnsi="宋体" w:eastAsia="宋体"/>
          <w:b/>
          <w:color w:val="auto"/>
          <w:szCs w:val="21"/>
          <w:highlight w:val="none"/>
        </w:rPr>
        <w:t>条款号：42.4.3             修改类型：</w:t>
      </w:r>
      <w:r>
        <w:rPr>
          <w:rFonts w:hint="eastAsia" w:ascii="宋体" w:hAnsi="宋体" w:eastAsia="宋体"/>
          <w:b/>
          <w:color w:val="auto"/>
          <w:szCs w:val="21"/>
          <w:highlight w:val="none"/>
          <w:lang w:eastAsia="zh-CN"/>
        </w:rPr>
        <w:t>删除</w:t>
      </w:r>
    </w:p>
    <w:p w14:paraId="1492C4F5">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b w:val="0"/>
          <w:bCs/>
          <w:color w:val="auto"/>
          <w:highlight w:val="none"/>
        </w:rPr>
      </w:pPr>
      <w:r>
        <w:rPr>
          <w:rFonts w:hint="eastAsia" w:ascii="宋体" w:hAnsi="宋体" w:eastAsia="宋体"/>
          <w:b/>
          <w:color w:val="auto"/>
          <w:szCs w:val="21"/>
          <w:highlight w:val="none"/>
          <w:lang w:eastAsia="zh-CN"/>
        </w:rPr>
        <w:t>原</w:t>
      </w:r>
      <w:r>
        <w:rPr>
          <w:rFonts w:hint="eastAsia" w:ascii="宋体" w:hAnsi="宋体" w:eastAsia="宋体"/>
          <w:b/>
          <w:color w:val="auto"/>
          <w:szCs w:val="21"/>
          <w:highlight w:val="none"/>
        </w:rPr>
        <w:t>文：</w:t>
      </w:r>
      <w:r>
        <w:rPr>
          <w:rFonts w:hint="eastAsia" w:ascii="宋体" w:hAnsi="宋体" w:eastAsia="宋体"/>
          <w:b w:val="0"/>
          <w:bCs/>
          <w:color w:val="auto"/>
          <w:szCs w:val="21"/>
          <w:highlight w:val="none"/>
        </w:rPr>
        <w:t>42.4.3投标人未按要求递交投标保证金的；</w:t>
      </w:r>
    </w:p>
    <w:p w14:paraId="09D0102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42.5</w:t>
      </w:r>
      <w:r>
        <w:rPr>
          <w:rFonts w:hint="eastAsia" w:ascii="宋体" w:hAnsi="宋体" w:eastAsia="宋体"/>
          <w:b/>
          <w:color w:val="auto"/>
          <w:szCs w:val="21"/>
          <w:highlight w:val="none"/>
        </w:rPr>
        <w:t xml:space="preserve">             修改类型：修改</w:t>
      </w:r>
    </w:p>
    <w:p w14:paraId="0E1B9BA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val="0"/>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42.5招标人使用制作该招标文件的机构业务数字证书对已完成投标人解密的电子投标文件进行招标人解密。</w:t>
      </w:r>
    </w:p>
    <w:p w14:paraId="09BFF3D3">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color w:val="auto"/>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42.5招标人</w:t>
      </w:r>
      <w:r>
        <w:rPr>
          <w:rFonts w:hint="eastAsia" w:ascii="宋体" w:hAnsi="宋体" w:eastAsia="宋体"/>
          <w:b w:val="0"/>
          <w:bCs/>
          <w:color w:val="auto"/>
          <w:szCs w:val="21"/>
          <w:highlight w:val="none"/>
          <w:u w:val="single"/>
        </w:rPr>
        <w:t>（或招标代理机构）</w:t>
      </w:r>
      <w:r>
        <w:rPr>
          <w:rFonts w:hint="eastAsia" w:ascii="宋体" w:hAnsi="宋体" w:eastAsia="宋体"/>
          <w:b w:val="0"/>
          <w:bCs/>
          <w:color w:val="auto"/>
          <w:szCs w:val="21"/>
          <w:highlight w:val="none"/>
        </w:rPr>
        <w:t>使用制作该招标文件的机构业务数字证书对已完成投标人解密的电子投标文件进行招标人解密。</w:t>
      </w:r>
    </w:p>
    <w:p w14:paraId="1BD5FD5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43.2</w:t>
      </w:r>
      <w:r>
        <w:rPr>
          <w:rFonts w:hint="eastAsia" w:ascii="宋体" w:hAnsi="宋体" w:eastAsia="宋体"/>
          <w:b/>
          <w:color w:val="auto"/>
          <w:szCs w:val="21"/>
          <w:highlight w:val="none"/>
        </w:rPr>
        <w:t xml:space="preserve">             修改类型：修改</w:t>
      </w:r>
    </w:p>
    <w:p w14:paraId="6194EE6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val="0"/>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43.2由招标人或其推选的代表检查投标文件的投标人解密情况，也可以由招标人委托的公证机构检查并公证，之后由招标人对全部投标文件进行解密。</w:t>
      </w:r>
    </w:p>
    <w:p w14:paraId="5A59783E">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color w:val="auto"/>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43.2由招标人或其推选的代表检查投标文件的投标人解密情况，也可以由招标人委托的公证机构检查并公证，之后由招标人</w:t>
      </w:r>
      <w:r>
        <w:rPr>
          <w:rFonts w:hint="eastAsia" w:ascii="宋体" w:hAnsi="宋体" w:eastAsia="宋体"/>
          <w:b w:val="0"/>
          <w:bCs/>
          <w:color w:val="auto"/>
          <w:szCs w:val="21"/>
          <w:highlight w:val="none"/>
          <w:u w:val="single"/>
        </w:rPr>
        <w:t>（或招标代理机构）</w:t>
      </w:r>
      <w:r>
        <w:rPr>
          <w:rFonts w:hint="eastAsia" w:ascii="宋体" w:hAnsi="宋体" w:eastAsia="宋体"/>
          <w:b w:val="0"/>
          <w:bCs/>
          <w:color w:val="auto"/>
          <w:szCs w:val="21"/>
          <w:highlight w:val="none"/>
        </w:rPr>
        <w:t>对全部投标文件进行解密。</w:t>
      </w:r>
    </w:p>
    <w:p w14:paraId="2FBDBE1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43.3.2</w:t>
      </w:r>
      <w:r>
        <w:rPr>
          <w:rFonts w:hint="eastAsia" w:ascii="宋体" w:hAnsi="宋体" w:eastAsia="宋体"/>
          <w:b/>
          <w:color w:val="auto"/>
          <w:szCs w:val="21"/>
          <w:highlight w:val="none"/>
        </w:rPr>
        <w:t xml:space="preserve">             修改类型：修改</w:t>
      </w:r>
    </w:p>
    <w:p w14:paraId="6F6CAB7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val="0"/>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43.3.2投标人自行决定是否参加开标会。若投标人对开标过程有异议，应在开标现场提出，投标人代表提出异议时须出示本人身份证原件。招标人应当当场作出答复，并制作记录。</w:t>
      </w:r>
    </w:p>
    <w:p w14:paraId="369339D3">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color w:val="auto"/>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43.3.2投标人自行决定是否参加开标会。</w:t>
      </w:r>
      <w:r>
        <w:rPr>
          <w:rFonts w:hint="eastAsia" w:ascii="宋体" w:hAnsi="宋体" w:eastAsia="宋体"/>
          <w:b w:val="0"/>
          <w:bCs/>
          <w:color w:val="auto"/>
          <w:szCs w:val="21"/>
          <w:highlight w:val="none"/>
          <w:u w:val="single"/>
        </w:rPr>
        <w:t>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7AC0949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43.4</w:t>
      </w:r>
      <w:r>
        <w:rPr>
          <w:rFonts w:hint="eastAsia" w:ascii="宋体" w:hAnsi="宋体" w:eastAsia="宋体"/>
          <w:b/>
          <w:color w:val="auto"/>
          <w:szCs w:val="21"/>
          <w:highlight w:val="none"/>
        </w:rPr>
        <w:t xml:space="preserve">             修改类型：修改</w:t>
      </w:r>
    </w:p>
    <w:p w14:paraId="1346A74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43.4 开标前，首先由招标人或招标代理机构按 42.3 规定,现场随机抽取确定该工程计算评标参考价的下浮率 X。招标人或招标代理机构在开标时，公布以下所有内容：a、投标人名称；b、电子投标文件解密情况；c、电子投标文件的递交情况；d、法定代表人证明及授权委托；e、投标保证金；f、投标报价；g、人工费；h、绿色施工安全防护措施费；i、工期；j、质量标准；k、施工组织设计承诺书；l、项目负责人；m、专职安全员。</w:t>
      </w:r>
    </w:p>
    <w:p w14:paraId="5D221A0B">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color w:val="auto"/>
          <w:highlight w:val="none"/>
          <w:u w:val="singl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43.4 开标前，首先由招标人或招标代理机构按 42.3 规定,现场随机抽取确定该工程计算评标参考价的下浮率 X</w:t>
      </w:r>
      <w:r>
        <w:rPr>
          <w:rFonts w:hint="eastAsia" w:ascii="宋体" w:hAnsi="宋体" w:eastAsia="宋体"/>
          <w:b w:val="0"/>
          <w:bCs/>
          <w:color w:val="auto"/>
          <w:szCs w:val="21"/>
          <w:highlight w:val="none"/>
          <w:lang w:eastAsia="zh-CN"/>
        </w:rPr>
        <w:t>。</w:t>
      </w:r>
      <w:r>
        <w:rPr>
          <w:rFonts w:hint="eastAsia" w:ascii="宋体" w:hAnsi="宋体" w:eastAsia="宋体"/>
          <w:b w:val="0"/>
          <w:bCs/>
          <w:color w:val="auto"/>
          <w:szCs w:val="21"/>
          <w:highlight w:val="none"/>
        </w:rPr>
        <w:t>招标人或招标代理机构在开标时，公布以下所有内容：a、投标人名称；b、电子投标文件解密情况；c、电子投标文件的递交情况；d、法定代表人证明及授权委托；</w:t>
      </w:r>
      <w:r>
        <w:rPr>
          <w:rFonts w:hint="eastAsia" w:ascii="宋体" w:hAnsi="宋体" w:eastAsia="宋体"/>
          <w:b w:val="0"/>
          <w:bCs/>
          <w:color w:val="auto"/>
          <w:szCs w:val="21"/>
          <w:highlight w:val="none"/>
          <w:u w:val="single"/>
        </w:rPr>
        <w:t>e、投标报价；f、人工费；g、绿色施工安全防护措施费；h、工期；i、质量标准；j、施工组织设计承诺书；k、项目负责人；l、专职安全员。</w:t>
      </w:r>
    </w:p>
    <w:p w14:paraId="3E0A3FF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条款号：45.2             修改类型：修改</w:t>
      </w:r>
    </w:p>
    <w:p w14:paraId="45F0739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45.2《资格审查表》中序号2-5项（除广东省建筑施工企业管理人员安全生产考核信息系统安全生产管理人员证书信息的打印页、《信息公开证明》打印页外）评审内容的信息取自投标人在广州公共资源交易平台企业库、城市园林绿化企业工程业绩库中的资料。评标委员会对该部分内容的审查，以开标当天中午12时在广州公共资源交易平台企业库、城市园林绿化企业工程业绩库中的资料为依据。</w:t>
      </w:r>
    </w:p>
    <w:p w14:paraId="176F96EA">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color w:val="auto"/>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45.2</w:t>
      </w:r>
      <w:r>
        <w:rPr>
          <w:rFonts w:hint="eastAsia" w:ascii="宋体" w:hAnsi="宋体" w:eastAsia="宋体" w:cs="宋体"/>
          <w:bCs/>
          <w:color w:val="auto"/>
          <w:szCs w:val="21"/>
          <w:highlight w:val="none"/>
        </w:rPr>
        <w:t>《资格审查表》中序号2-5项（除广东省建筑施工企业管理人员安全生产考核信息系统安全生产管理人员证书信息的打印页、《信息公开证明》打印页、</w:t>
      </w:r>
      <w:r>
        <w:rPr>
          <w:rFonts w:hint="eastAsia" w:ascii="宋体" w:hAnsi="宋体" w:eastAsia="宋体" w:cs="宋体"/>
          <w:bCs/>
          <w:color w:val="auto"/>
          <w:szCs w:val="21"/>
          <w:highlight w:val="none"/>
          <w:u w:val="single"/>
        </w:rPr>
        <w:t>造林绿化施工业绩</w:t>
      </w:r>
      <w:r>
        <w:rPr>
          <w:rFonts w:hint="eastAsia" w:ascii="宋体" w:hAnsi="宋体" w:eastAsia="宋体" w:cs="宋体"/>
          <w:bCs/>
          <w:color w:val="auto"/>
          <w:szCs w:val="21"/>
          <w:highlight w:val="none"/>
        </w:rPr>
        <w:t>外）评审内容的信息取自投标人在广州公共资源交易平台企业库、城市园林绿化企业工程业绩库中的资料。评标委员会对该部分内容的审查，以</w:t>
      </w:r>
      <w:r>
        <w:rPr>
          <w:rFonts w:hint="eastAsia" w:ascii="宋体" w:hAnsi="宋体" w:eastAsia="宋体" w:cs="宋体"/>
          <w:bCs/>
          <w:color w:val="auto"/>
          <w:szCs w:val="21"/>
          <w:highlight w:val="none"/>
          <w:u w:val="single"/>
        </w:rPr>
        <w:t>递交投标文件截止</w:t>
      </w:r>
      <w:r>
        <w:rPr>
          <w:rFonts w:hint="eastAsia" w:ascii="宋体" w:hAnsi="宋体" w:eastAsia="宋体" w:cs="宋体"/>
          <w:bCs/>
          <w:color w:val="auto"/>
          <w:szCs w:val="21"/>
          <w:highlight w:val="none"/>
        </w:rPr>
        <w:t>时在广州公共资源交易平台企业库、城市园林绿化企业工程业绩库中的资料为依据</w:t>
      </w:r>
      <w:r>
        <w:rPr>
          <w:rFonts w:hint="eastAsia" w:ascii="宋体" w:hAnsi="宋体" w:eastAsia="宋体" w:cs="宋体"/>
          <w:b w:val="0"/>
          <w:bCs/>
          <w:color w:val="auto"/>
          <w:szCs w:val="21"/>
          <w:highlight w:val="none"/>
        </w:rPr>
        <w:t>。</w:t>
      </w:r>
    </w:p>
    <w:p w14:paraId="24601B8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46.1.8</w:t>
      </w:r>
      <w:r>
        <w:rPr>
          <w:rFonts w:hint="eastAsia" w:ascii="宋体" w:hAnsi="宋体" w:eastAsia="宋体"/>
          <w:b/>
          <w:color w:val="auto"/>
          <w:szCs w:val="21"/>
          <w:highlight w:val="none"/>
        </w:rPr>
        <w:t xml:space="preserve">             修改类型：修改</w:t>
      </w:r>
    </w:p>
    <w:p w14:paraId="78A2B98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val="0"/>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46.1.1.8按上述修正错误的原则及方法调整或修正投标文件的投标报价，调整后的投标报价对投标人起约束作用。如果投标人不接受修正后的报价，则取消其投标资格，并且其投标保证金也将不予退还。以上修正不影响修正前按步骤确定的投标人排序。</w:t>
      </w:r>
    </w:p>
    <w:p w14:paraId="1B36C108">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b w:val="0"/>
          <w:bCs/>
          <w:color w:val="auto"/>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46.1.1.8按上述修正错误的原则及方法调整或修正投标文件的投标报价，调整后的投标报价对投标人起约束作用。如果投标人不接受修正后的报价，</w:t>
      </w:r>
      <w:r>
        <w:rPr>
          <w:rFonts w:hint="eastAsia" w:ascii="宋体" w:hAnsi="宋体" w:eastAsia="宋体"/>
          <w:b w:val="0"/>
          <w:bCs/>
          <w:color w:val="auto"/>
          <w:szCs w:val="21"/>
          <w:highlight w:val="none"/>
          <w:u w:val="single"/>
        </w:rPr>
        <w:t>则取消其投标资格。</w:t>
      </w:r>
      <w:r>
        <w:rPr>
          <w:rFonts w:hint="eastAsia" w:ascii="宋体" w:hAnsi="宋体" w:eastAsia="宋体"/>
          <w:b w:val="0"/>
          <w:bCs/>
          <w:color w:val="auto"/>
          <w:szCs w:val="21"/>
          <w:highlight w:val="none"/>
        </w:rPr>
        <w:t>以上修正不影响修正前按步骤确定的投标人排序。</w:t>
      </w:r>
    </w:p>
    <w:p w14:paraId="59804359">
      <w:pPr>
        <w:spacing w:line="360" w:lineRule="auto"/>
        <w:rPr>
          <w:rFonts w:hint="eastAsia" w:ascii="宋体" w:hAnsi="宋体" w:eastAsia="宋体"/>
          <w:b/>
          <w:color w:val="auto"/>
          <w:szCs w:val="21"/>
          <w:highlight w:val="none"/>
        </w:rPr>
      </w:pPr>
    </w:p>
    <w:p w14:paraId="2C6D1B7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条款号：46.7.1             修改类型：修改</w:t>
      </w:r>
    </w:p>
    <w:p w14:paraId="515F4E2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46.7.1权重分配：技术部分（施工组织方案）得分权重</w:t>
      </w:r>
      <w:r>
        <w:rPr>
          <w:rFonts w:hint="eastAsia" w:ascii="宋体" w:hAnsi="宋体" w:eastAsia="宋体"/>
          <w:b w:val="0"/>
          <w:bCs/>
          <w:color w:val="auto"/>
          <w:szCs w:val="21"/>
          <w:highlight w:val="none"/>
          <w:u w:val="single"/>
        </w:rPr>
        <w:t xml:space="preserve">   </w:t>
      </w:r>
      <w:r>
        <w:rPr>
          <w:rFonts w:hint="eastAsia" w:ascii="宋体" w:hAnsi="宋体" w:eastAsia="宋体"/>
          <w:b w:val="0"/>
          <w:bCs/>
          <w:color w:val="auto"/>
          <w:szCs w:val="21"/>
          <w:highlight w:val="none"/>
        </w:rPr>
        <w:t>%，技术部分（项目实施能力）得分权重</w:t>
      </w:r>
      <w:r>
        <w:rPr>
          <w:rFonts w:hint="eastAsia" w:ascii="宋体" w:hAnsi="宋体" w:eastAsia="宋体"/>
          <w:b w:val="0"/>
          <w:bCs/>
          <w:color w:val="auto"/>
          <w:szCs w:val="21"/>
          <w:highlight w:val="none"/>
          <w:u w:val="single"/>
        </w:rPr>
        <w:t xml:space="preserve">   </w:t>
      </w:r>
      <w:r>
        <w:rPr>
          <w:rFonts w:hint="eastAsia" w:ascii="宋体" w:hAnsi="宋体" w:eastAsia="宋体"/>
          <w:b w:val="0"/>
          <w:bCs/>
          <w:color w:val="auto"/>
          <w:szCs w:val="21"/>
          <w:highlight w:val="none"/>
        </w:rPr>
        <w:t>%，报价</w:t>
      </w:r>
      <w:r>
        <w:rPr>
          <w:rFonts w:hint="eastAsia" w:ascii="宋体" w:hAnsi="宋体" w:eastAsia="宋体" w:cs="宋体"/>
          <w:b w:val="0"/>
          <w:bCs/>
          <w:color w:val="auto"/>
          <w:szCs w:val="21"/>
          <w:highlight w:val="none"/>
        </w:rPr>
        <w:t>得分权重</w:t>
      </w:r>
      <w:r>
        <w:rPr>
          <w:rFonts w:hint="eastAsia" w:ascii="宋体" w:hAnsi="宋体" w:eastAsia="宋体" w:cs="宋体"/>
          <w:b w:val="0"/>
          <w:bCs/>
          <w:color w:val="auto"/>
          <w:szCs w:val="21"/>
          <w:highlight w:val="none"/>
          <w:u w:val="single"/>
        </w:rPr>
        <w:t xml:space="preserve">   </w:t>
      </w:r>
      <w:r>
        <w:rPr>
          <w:rFonts w:hint="eastAsia" w:ascii="宋体" w:hAnsi="宋体" w:eastAsia="宋体" w:cs="宋体"/>
          <w:b w:val="0"/>
          <w:bCs/>
          <w:color w:val="auto"/>
          <w:szCs w:val="21"/>
          <w:highlight w:val="none"/>
        </w:rPr>
        <w:t>%，诚信综合评价得分权重</w:t>
      </w:r>
      <w:r>
        <w:rPr>
          <w:rFonts w:hint="eastAsia" w:ascii="宋体" w:hAnsi="宋体" w:eastAsia="宋体" w:cs="宋体"/>
          <w:b w:val="0"/>
          <w:bCs/>
          <w:color w:val="auto"/>
          <w:szCs w:val="21"/>
          <w:highlight w:val="none"/>
          <w:u w:val="single"/>
        </w:rPr>
        <w:t xml:space="preserve">   </w:t>
      </w:r>
      <w:r>
        <w:rPr>
          <w:rFonts w:hint="eastAsia" w:ascii="宋体" w:hAnsi="宋体" w:eastAsia="宋体" w:cs="宋体"/>
          <w:b w:val="0"/>
          <w:bCs/>
          <w:color w:val="auto"/>
          <w:szCs w:val="21"/>
          <w:highlight w:val="none"/>
        </w:rPr>
        <w:t>%。</w:t>
      </w:r>
    </w:p>
    <w:p w14:paraId="31A03049">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highlight w:val="none"/>
        </w:rPr>
      </w:pPr>
      <w:r>
        <w:rPr>
          <w:rFonts w:hint="eastAsia" w:ascii="宋体" w:hAnsi="宋体" w:eastAsia="宋体" w:cs="宋体"/>
          <w:b/>
          <w:color w:val="auto"/>
          <w:szCs w:val="21"/>
          <w:highlight w:val="none"/>
        </w:rPr>
        <w:t>现文：</w:t>
      </w:r>
      <w:r>
        <w:rPr>
          <w:rFonts w:hint="eastAsia" w:ascii="宋体" w:hAnsi="宋体" w:eastAsia="宋体" w:cs="宋体"/>
          <w:b w:val="0"/>
          <w:bCs/>
          <w:color w:val="auto"/>
          <w:szCs w:val="21"/>
          <w:highlight w:val="none"/>
        </w:rPr>
        <w:t>46.7.1</w:t>
      </w:r>
      <w:r>
        <w:rPr>
          <w:rFonts w:hint="eastAsia" w:ascii="宋体" w:hAnsi="宋体" w:eastAsia="宋体" w:cs="宋体"/>
          <w:color w:val="auto"/>
          <w:szCs w:val="21"/>
          <w:highlight w:val="none"/>
        </w:rPr>
        <w:t>权重分配：技术部分（施工组织方案）得分权重</w:t>
      </w:r>
      <w:r>
        <w:rPr>
          <w:rFonts w:hint="eastAsia" w:ascii="宋体" w:hAnsi="宋体" w:eastAsia="宋体" w:cs="宋体"/>
          <w:color w:val="auto"/>
          <w:szCs w:val="21"/>
          <w:highlight w:val="none"/>
          <w:u w:val="single"/>
        </w:rPr>
        <w:t>10</w:t>
      </w:r>
      <w:r>
        <w:rPr>
          <w:rFonts w:hint="eastAsia" w:ascii="宋体" w:hAnsi="宋体" w:eastAsia="宋体" w:cs="宋体"/>
          <w:color w:val="auto"/>
          <w:szCs w:val="21"/>
          <w:highlight w:val="none"/>
        </w:rPr>
        <w:t>%，技术部分（项目实施能力）得分权重</w:t>
      </w:r>
      <w:r>
        <w:rPr>
          <w:rFonts w:hint="eastAsia" w:ascii="宋体" w:hAnsi="宋体" w:eastAsia="宋体" w:cs="宋体"/>
          <w:color w:val="auto"/>
          <w:szCs w:val="21"/>
          <w:highlight w:val="none"/>
          <w:u w:val="single"/>
        </w:rPr>
        <w:t>30</w:t>
      </w:r>
      <w:r>
        <w:rPr>
          <w:rFonts w:hint="eastAsia" w:ascii="宋体" w:hAnsi="宋体" w:eastAsia="宋体" w:cs="宋体"/>
          <w:color w:val="auto"/>
          <w:szCs w:val="21"/>
          <w:highlight w:val="none"/>
        </w:rPr>
        <w:t>%，报价得分权重</w:t>
      </w:r>
      <w:r>
        <w:rPr>
          <w:rFonts w:hint="eastAsia" w:ascii="宋体" w:hAnsi="宋体" w:eastAsia="宋体" w:cs="宋体"/>
          <w:color w:val="auto"/>
          <w:szCs w:val="21"/>
          <w:highlight w:val="none"/>
          <w:u w:val="single"/>
        </w:rPr>
        <w:t>60</w:t>
      </w:r>
      <w:r>
        <w:rPr>
          <w:rFonts w:hint="eastAsia" w:ascii="宋体" w:hAnsi="宋体" w:eastAsia="宋体" w:cs="宋体"/>
          <w:color w:val="auto"/>
          <w:szCs w:val="21"/>
          <w:highlight w:val="none"/>
        </w:rPr>
        <w:t>%</w:t>
      </w:r>
      <w:r>
        <w:rPr>
          <w:rFonts w:hint="eastAsia" w:ascii="宋体" w:hAnsi="宋体" w:eastAsia="宋体" w:cs="宋体"/>
          <w:b w:val="0"/>
          <w:bCs/>
          <w:color w:val="auto"/>
          <w:szCs w:val="21"/>
          <w:highlight w:val="none"/>
        </w:rPr>
        <w:t>。</w:t>
      </w:r>
    </w:p>
    <w:p w14:paraId="1A21F061">
      <w:pPr>
        <w:spacing w:line="48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条款号：46.7.2            修改类型：修改</w:t>
      </w:r>
    </w:p>
    <w:p w14:paraId="2EDF2897">
      <w:pPr>
        <w:spacing w:line="360" w:lineRule="auto"/>
        <w:ind w:firstLine="460" w:firstLineChars="218"/>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46.7.2投标人综合得分=技术部分（施工组织方案）得分×技术部分（施工组织方案）得分权重+技术部分（项目实施能力）得分×技术部分（项目实施能力）得分权重+报价得分×报价得分权重+诚信综合评价排名得分×诚信综合评价排名得分权重。投标人综合得分满分为100分。</w:t>
      </w:r>
    </w:p>
    <w:p w14:paraId="64BA2F01">
      <w:pPr>
        <w:pBdr>
          <w:bottom w:val="single" w:color="auto" w:sz="6" w:space="1"/>
        </w:pBd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46.7.2投标人</w:t>
      </w:r>
      <w:r>
        <w:rPr>
          <w:rFonts w:hint="eastAsia" w:ascii="宋体" w:hAnsi="宋体" w:eastAsia="宋体" w:cs="宋体"/>
          <w:color w:val="auto"/>
          <w:szCs w:val="21"/>
          <w:highlight w:val="none"/>
          <w:u w:val="single"/>
        </w:rPr>
        <w:t>综合得分=技术部分（施工组织方案）得分×技术部分（施工组织方案）得分权重+技术部分（项目实施能力）得分×技术部分（项目实施能力）得分权重+报价得分×报价得分权重</w:t>
      </w:r>
      <w:r>
        <w:rPr>
          <w:rFonts w:hint="eastAsia" w:ascii="宋体" w:hAnsi="宋体" w:eastAsia="宋体" w:cs="宋体"/>
          <w:color w:val="auto"/>
          <w:szCs w:val="21"/>
          <w:highlight w:val="none"/>
        </w:rPr>
        <w:t>。投标人综合得分满分为100分。</w:t>
      </w:r>
    </w:p>
    <w:p w14:paraId="5E687CE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46.10</w:t>
      </w:r>
      <w:r>
        <w:rPr>
          <w:rFonts w:hint="eastAsia" w:ascii="宋体" w:hAnsi="宋体" w:eastAsia="宋体"/>
          <w:b/>
          <w:color w:val="auto"/>
          <w:szCs w:val="21"/>
          <w:highlight w:val="none"/>
        </w:rPr>
        <w:t xml:space="preserve">             修改类型：修改</w:t>
      </w:r>
    </w:p>
    <w:p w14:paraId="5A59CCD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46.10资格审查合格的投标人或通过否决定性条款审查的投标人少于3个的，应修正招标方案，重新招标（当N个标段同时招标且不允许兼中时，资格审查合格的投标人或有效投标人少于N+2个的，应修正招标方案，重新招标）。</w:t>
      </w:r>
    </w:p>
    <w:p w14:paraId="3FEB962A">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color w:val="auto"/>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46.10资格审查合格的投标人或通过否决定性条款审查的投标人少于</w:t>
      </w:r>
      <w:r>
        <w:rPr>
          <w:rFonts w:hint="eastAsia" w:ascii="宋体" w:hAnsi="宋体" w:eastAsia="宋体"/>
          <w:b w:val="0"/>
          <w:bCs/>
          <w:color w:val="auto"/>
          <w:szCs w:val="21"/>
          <w:highlight w:val="none"/>
          <w:u w:val="none"/>
          <w:lang w:val="en-US" w:eastAsia="zh-CN"/>
        </w:rPr>
        <w:t>3</w:t>
      </w:r>
      <w:r>
        <w:rPr>
          <w:rFonts w:hint="eastAsia" w:ascii="宋体" w:hAnsi="宋体" w:eastAsia="宋体"/>
          <w:b w:val="0"/>
          <w:bCs/>
          <w:color w:val="auto"/>
          <w:szCs w:val="21"/>
          <w:highlight w:val="none"/>
        </w:rPr>
        <w:t>个的，应修正招标方案，重新招标</w:t>
      </w:r>
      <w:r>
        <w:rPr>
          <w:rFonts w:hint="eastAsia" w:ascii="宋体" w:hAnsi="宋体" w:eastAsia="宋体"/>
          <w:b w:val="0"/>
          <w:bCs/>
          <w:color w:val="auto"/>
          <w:szCs w:val="21"/>
          <w:highlight w:val="none"/>
          <w:u w:val="none"/>
        </w:rPr>
        <w:t>。</w:t>
      </w:r>
    </w:p>
    <w:p w14:paraId="29CC4EB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eastAsia="zh-CN"/>
        </w:rPr>
        <w:t>附件</w:t>
      </w:r>
      <w:r>
        <w:rPr>
          <w:rFonts w:hint="eastAsia" w:ascii="宋体" w:hAnsi="宋体" w:eastAsia="宋体"/>
          <w:b/>
          <w:color w:val="auto"/>
          <w:szCs w:val="21"/>
          <w:highlight w:val="none"/>
          <w:lang w:val="en-US" w:eastAsia="zh-CN"/>
        </w:rPr>
        <w:t>1</w:t>
      </w:r>
      <w:r>
        <w:rPr>
          <w:rFonts w:hint="eastAsia" w:ascii="宋体" w:hAnsi="宋体" w:eastAsia="宋体"/>
          <w:b/>
          <w:color w:val="auto"/>
          <w:szCs w:val="21"/>
          <w:highlight w:val="none"/>
        </w:rPr>
        <w:t xml:space="preserve">             修改类型：修改</w:t>
      </w:r>
    </w:p>
    <w:p w14:paraId="561F2B1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val="0"/>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详见GZYLZB2023-1招标文件范本 第二章 附件1《开标记录表》。</w:t>
      </w:r>
    </w:p>
    <w:p w14:paraId="5ACCA75B">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b w:val="0"/>
          <w:bCs/>
          <w:color w:val="auto"/>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详见附件1《开标记录表》。</w:t>
      </w:r>
    </w:p>
    <w:p w14:paraId="46F4BED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条款号：附件2             修改类型：修改</w:t>
      </w:r>
    </w:p>
    <w:p w14:paraId="6690B99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详见GZYLZB2023-1招标文件范本 第二章 附件2《资格审查表》。</w:t>
      </w:r>
    </w:p>
    <w:p w14:paraId="6922E0CD">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详见附件2《资格审查表》。</w:t>
      </w:r>
    </w:p>
    <w:p w14:paraId="6776143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条款号：附件5             修改类型：修改</w:t>
      </w:r>
    </w:p>
    <w:p w14:paraId="0E8F694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详见GZYLZB2023-1招标文件范本 第二章 附件5《投标文件否决性条款审查表》。</w:t>
      </w:r>
    </w:p>
    <w:p w14:paraId="636C4BC2">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详见附件5《投标文件否决性条款审查表》。</w:t>
      </w:r>
    </w:p>
    <w:p w14:paraId="75F6261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条款号：附件</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rPr>
        <w:t xml:space="preserve">             修改类型：修改</w:t>
      </w:r>
    </w:p>
    <w:p w14:paraId="66B3CDE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详见GZYLZB2023-1招标文件范本 第二章 附件</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《投标人串通投标评审表》。</w:t>
      </w:r>
    </w:p>
    <w:p w14:paraId="48FCA019">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详见附件</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《投标人串通投标评审表》。</w:t>
      </w:r>
    </w:p>
    <w:p w14:paraId="58BB961F">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2"/>
        <w:rPr>
          <w:rFonts w:hint="eastAsia" w:ascii="宋体" w:hAnsi="宋体" w:eastAsia="宋体"/>
          <w:b w:val="0"/>
          <w:bCs/>
          <w:color w:val="auto"/>
          <w:sz w:val="21"/>
          <w:szCs w:val="21"/>
          <w:highlight w:val="none"/>
          <w:lang w:eastAsia="zh-CN"/>
        </w:rPr>
      </w:pPr>
      <w:r>
        <w:rPr>
          <w:rFonts w:hint="eastAsia" w:ascii="宋体" w:hAnsi="宋体" w:eastAsia="宋体"/>
          <w:b/>
          <w:color w:val="auto"/>
          <w:szCs w:val="21"/>
          <w:highlight w:val="none"/>
          <w:lang w:val="en-US" w:eastAsia="zh-CN"/>
        </w:rPr>
        <w:t xml:space="preserve">   </w:t>
      </w:r>
      <w:r>
        <w:rPr>
          <w:rFonts w:hint="eastAsia" w:ascii="宋体" w:hAnsi="宋体" w:eastAsia="宋体"/>
          <w:b/>
          <w:color w:val="auto"/>
          <w:sz w:val="21"/>
          <w:szCs w:val="21"/>
          <w:highlight w:val="none"/>
          <w:lang w:val="en-US" w:eastAsia="zh-CN"/>
        </w:rPr>
        <w:t xml:space="preserve">  </w:t>
      </w:r>
      <w:bookmarkStart w:id="158" w:name="_Toc17493"/>
      <w:r>
        <w:rPr>
          <w:rFonts w:hint="eastAsia" w:ascii="宋体" w:hAnsi="宋体" w:eastAsia="宋体"/>
          <w:b/>
          <w:color w:val="auto"/>
          <w:sz w:val="21"/>
          <w:szCs w:val="21"/>
          <w:highlight w:val="none"/>
          <w:lang w:val="en-US" w:eastAsia="zh-CN"/>
        </w:rPr>
        <w:t>条款号：</w:t>
      </w:r>
      <w:r>
        <w:rPr>
          <w:rFonts w:hint="eastAsia" w:ascii="宋体" w:hAnsi="宋体" w:eastAsia="宋体" w:cs="宋体"/>
          <w:strike w:val="0"/>
          <w:color w:val="auto"/>
          <w:sz w:val="21"/>
          <w:szCs w:val="21"/>
          <w:highlight w:val="none"/>
        </w:rPr>
        <w:t>附件</w:t>
      </w:r>
      <w:r>
        <w:rPr>
          <w:rFonts w:hint="eastAsia" w:ascii="宋体" w:hAnsi="宋体" w:eastAsia="宋体" w:cs="宋体"/>
          <w:strike w:val="0"/>
          <w:color w:val="auto"/>
          <w:sz w:val="21"/>
          <w:szCs w:val="21"/>
          <w:highlight w:val="none"/>
          <w:lang w:val="en-US" w:eastAsia="zh-CN"/>
        </w:rPr>
        <w:t>12</w:t>
      </w:r>
      <w:r>
        <w:rPr>
          <w:rFonts w:hint="eastAsia" w:ascii="宋体" w:hAnsi="宋体" w:eastAsia="宋体" w:cs="宋体"/>
          <w:strike w:val="0"/>
          <w:color w:val="auto"/>
          <w:sz w:val="21"/>
          <w:szCs w:val="21"/>
          <w:highlight w:val="none"/>
        </w:rPr>
        <w:t xml:space="preserve"> </w:t>
      </w:r>
      <w:r>
        <w:rPr>
          <w:rFonts w:hint="eastAsia" w:ascii="宋体" w:hAnsi="宋体" w:eastAsia="宋体" w:cs="宋体"/>
          <w:strike w:val="0"/>
          <w:color w:val="auto"/>
          <w:sz w:val="21"/>
          <w:szCs w:val="21"/>
          <w:highlight w:val="none"/>
          <w:lang w:val="en-US" w:eastAsia="zh-CN"/>
        </w:rPr>
        <w:t xml:space="preserve">       </w:t>
      </w:r>
      <w:r>
        <w:rPr>
          <w:rFonts w:hint="eastAsia" w:ascii="宋体" w:hAnsi="宋体" w:eastAsia="宋体" w:cs="宋体"/>
          <w:b/>
          <w:color w:val="auto"/>
          <w:sz w:val="21"/>
          <w:szCs w:val="21"/>
          <w:highlight w:val="none"/>
        </w:rPr>
        <w:t xml:space="preserve">    修改类型：</w:t>
      </w:r>
      <w:r>
        <w:rPr>
          <w:rFonts w:hint="eastAsia" w:ascii="宋体" w:hAnsi="宋体" w:eastAsia="宋体" w:cs="宋体"/>
          <w:b/>
          <w:color w:val="auto"/>
          <w:sz w:val="21"/>
          <w:szCs w:val="21"/>
          <w:highlight w:val="none"/>
          <w:lang w:eastAsia="zh-CN"/>
        </w:rPr>
        <w:t>删除</w:t>
      </w:r>
      <w:bookmarkEnd w:id="158"/>
    </w:p>
    <w:p w14:paraId="3BD0EC64">
      <w:pPr>
        <w:pBdr>
          <w:bottom w:val="single" w:color="auto" w:sz="6" w:space="1"/>
        </w:pBdr>
        <w:spacing w:line="360" w:lineRule="auto"/>
        <w:ind w:firstLine="422" w:firstLineChars="200"/>
        <w:outlineLvl w:val="9"/>
        <w:rPr>
          <w:rFonts w:hint="eastAsia" w:ascii="宋体" w:hAnsi="宋体" w:eastAsia="宋体" w:cs="宋体"/>
          <w:b/>
          <w:color w:val="auto"/>
          <w:sz w:val="21"/>
          <w:szCs w:val="21"/>
          <w:highlight w:val="none"/>
          <w:lang w:eastAsia="zh-CN"/>
        </w:rPr>
      </w:pPr>
      <w:r>
        <w:rPr>
          <w:rFonts w:hint="eastAsia" w:ascii="宋体" w:hAnsi="宋体" w:eastAsia="宋体"/>
          <w:b/>
          <w:bCs w:val="0"/>
          <w:color w:val="auto"/>
          <w:sz w:val="21"/>
          <w:szCs w:val="21"/>
          <w:highlight w:val="none"/>
          <w:lang w:eastAsia="zh-CN"/>
        </w:rPr>
        <w:t>原文：</w:t>
      </w:r>
      <w:r>
        <w:rPr>
          <w:rFonts w:hint="eastAsia" w:ascii="宋体" w:hAnsi="宋体" w:eastAsia="宋体" w:cs="宋体"/>
          <w:strike w:val="0"/>
          <w:color w:val="auto"/>
          <w:sz w:val="21"/>
          <w:szCs w:val="21"/>
          <w:highlight w:val="none"/>
        </w:rPr>
        <w:t>定标委员会组建办法及定标方法</w:t>
      </w:r>
    </w:p>
    <w:p w14:paraId="6BCC0702">
      <w:pPr>
        <w:spacing w:line="360" w:lineRule="auto"/>
        <w:ind w:firstLine="422" w:firstLineChars="200"/>
        <w:outlineLvl w:val="2"/>
        <w:rPr>
          <w:rFonts w:hint="eastAsia" w:ascii="宋体" w:hAnsi="宋体" w:eastAsia="宋体" w:cs="宋体"/>
          <w:b/>
          <w:color w:val="auto"/>
          <w:sz w:val="21"/>
          <w:szCs w:val="21"/>
          <w:highlight w:val="none"/>
          <w:lang w:eastAsia="zh-CN"/>
        </w:rPr>
      </w:pPr>
      <w:bookmarkStart w:id="159" w:name="_Toc19482"/>
      <w:bookmarkStart w:id="160" w:name="_Toc28301"/>
      <w:r>
        <w:rPr>
          <w:rFonts w:hint="eastAsia" w:ascii="宋体" w:hAnsi="宋体" w:eastAsia="宋体" w:cs="宋体"/>
          <w:b/>
          <w:color w:val="auto"/>
          <w:sz w:val="21"/>
          <w:szCs w:val="21"/>
          <w:highlight w:val="none"/>
          <w:lang w:eastAsia="zh-CN"/>
        </w:rPr>
        <w:t>条款号：</w:t>
      </w:r>
      <w:r>
        <w:rPr>
          <w:rFonts w:hint="eastAsia" w:ascii="宋体" w:hAnsi="宋体" w:eastAsia="宋体"/>
          <w:strike w:val="0"/>
          <w:color w:val="auto"/>
          <w:sz w:val="21"/>
          <w:szCs w:val="21"/>
          <w:highlight w:val="none"/>
        </w:rPr>
        <w:t>附件</w:t>
      </w:r>
      <w:r>
        <w:rPr>
          <w:rFonts w:hint="eastAsia" w:ascii="宋体" w:hAnsi="宋体" w:eastAsia="宋体"/>
          <w:strike w:val="0"/>
          <w:color w:val="auto"/>
          <w:sz w:val="21"/>
          <w:szCs w:val="21"/>
          <w:highlight w:val="none"/>
          <w:lang w:val="en-US" w:eastAsia="zh-CN"/>
        </w:rPr>
        <w:t>16</w:t>
      </w:r>
      <w:r>
        <w:rPr>
          <w:rFonts w:hint="eastAsia" w:ascii="宋体" w:hAnsi="宋体" w:eastAsia="宋体"/>
          <w:strike w:val="0"/>
          <w:color w:val="auto"/>
          <w:sz w:val="21"/>
          <w:szCs w:val="21"/>
          <w:highlight w:val="none"/>
        </w:rPr>
        <w:t xml:space="preserve"> </w:t>
      </w:r>
      <w:r>
        <w:rPr>
          <w:rFonts w:hint="eastAsia" w:ascii="宋体" w:hAnsi="宋体" w:eastAsia="宋体"/>
          <w:strike w:val="0"/>
          <w:color w:val="auto"/>
          <w:sz w:val="21"/>
          <w:szCs w:val="21"/>
          <w:highlight w:val="none"/>
          <w:lang w:val="en-US" w:eastAsia="zh-CN"/>
        </w:rPr>
        <w:t xml:space="preserve">    </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修改类型：</w:t>
      </w:r>
      <w:r>
        <w:rPr>
          <w:rFonts w:hint="eastAsia" w:ascii="宋体" w:hAnsi="宋体" w:eastAsia="宋体" w:cs="宋体"/>
          <w:b/>
          <w:color w:val="auto"/>
          <w:sz w:val="21"/>
          <w:szCs w:val="21"/>
          <w:highlight w:val="none"/>
          <w:lang w:eastAsia="zh-CN"/>
        </w:rPr>
        <w:t>删除</w:t>
      </w:r>
      <w:bookmarkEnd w:id="159"/>
    </w:p>
    <w:p w14:paraId="1B92DC92">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b w:val="0"/>
          <w:bCs/>
          <w:color w:val="auto"/>
          <w:sz w:val="21"/>
          <w:szCs w:val="21"/>
          <w:highlight w:val="none"/>
        </w:rPr>
      </w:pPr>
      <w:r>
        <w:rPr>
          <w:rFonts w:hint="eastAsia" w:ascii="宋体" w:hAnsi="宋体" w:eastAsia="宋体"/>
          <w:b/>
          <w:bCs w:val="0"/>
          <w:color w:val="auto"/>
          <w:sz w:val="21"/>
          <w:szCs w:val="21"/>
          <w:highlight w:val="none"/>
          <w:lang w:eastAsia="zh-CN"/>
        </w:rPr>
        <w:t>原文：</w:t>
      </w:r>
      <w:r>
        <w:rPr>
          <w:rFonts w:hint="eastAsia" w:ascii="宋体" w:hAnsi="宋体" w:eastAsia="宋体"/>
          <w:strike w:val="0"/>
          <w:color w:val="auto"/>
          <w:sz w:val="21"/>
          <w:szCs w:val="21"/>
          <w:highlight w:val="none"/>
        </w:rPr>
        <w:t>联合体投标协议</w:t>
      </w:r>
    </w:p>
    <w:p w14:paraId="51DC3681">
      <w:pPr>
        <w:spacing w:line="360" w:lineRule="auto"/>
        <w:ind w:firstLine="422" w:firstLineChars="200"/>
        <w:outlineLvl w:val="2"/>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条款号：</w:t>
      </w:r>
      <w:r>
        <w:rPr>
          <w:rFonts w:hint="eastAsia" w:ascii="宋体" w:hAnsi="宋体" w:eastAsia="宋体"/>
          <w:strike w:val="0"/>
          <w:color w:val="auto"/>
          <w:sz w:val="21"/>
          <w:szCs w:val="21"/>
          <w:highlight w:val="none"/>
        </w:rPr>
        <w:t>附件</w:t>
      </w:r>
      <w:r>
        <w:rPr>
          <w:rFonts w:hint="eastAsia" w:ascii="宋体" w:hAnsi="宋体" w:eastAsia="宋体"/>
          <w:strike w:val="0"/>
          <w:color w:val="auto"/>
          <w:sz w:val="21"/>
          <w:szCs w:val="21"/>
          <w:highlight w:val="none"/>
          <w:lang w:val="en-US" w:eastAsia="zh-CN"/>
        </w:rPr>
        <w:t>17</w:t>
      </w:r>
      <w:r>
        <w:rPr>
          <w:rFonts w:hint="eastAsia" w:ascii="宋体" w:hAnsi="宋体" w:eastAsia="宋体"/>
          <w:strike w:val="0"/>
          <w:color w:val="auto"/>
          <w:sz w:val="21"/>
          <w:szCs w:val="21"/>
          <w:highlight w:val="none"/>
        </w:rPr>
        <w:t xml:space="preserve"> </w:t>
      </w:r>
      <w:r>
        <w:rPr>
          <w:rFonts w:hint="eastAsia" w:ascii="宋体" w:hAnsi="宋体" w:eastAsia="宋体"/>
          <w:strike w:val="0"/>
          <w:color w:val="auto"/>
          <w:sz w:val="21"/>
          <w:szCs w:val="21"/>
          <w:highlight w:val="none"/>
          <w:lang w:val="en-US" w:eastAsia="zh-CN"/>
        </w:rPr>
        <w:t xml:space="preserve">    </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修改类型：</w:t>
      </w:r>
      <w:r>
        <w:rPr>
          <w:rFonts w:hint="eastAsia" w:ascii="宋体" w:hAnsi="宋体" w:eastAsia="宋体" w:cs="宋体"/>
          <w:b/>
          <w:color w:val="auto"/>
          <w:sz w:val="21"/>
          <w:szCs w:val="21"/>
          <w:highlight w:val="none"/>
          <w:lang w:val="en-US" w:eastAsia="zh-CN"/>
        </w:rPr>
        <w:t>增加</w:t>
      </w:r>
      <w:bookmarkEnd w:id="160"/>
    </w:p>
    <w:p w14:paraId="7134AA4C">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b w:val="0"/>
          <w:bCs/>
          <w:color w:val="auto"/>
          <w:sz w:val="21"/>
          <w:szCs w:val="21"/>
          <w:highlight w:val="none"/>
        </w:rPr>
      </w:pPr>
      <w:r>
        <w:rPr>
          <w:rFonts w:hint="eastAsia" w:ascii="宋体" w:hAnsi="宋体" w:eastAsia="宋体"/>
          <w:b/>
          <w:bCs w:val="0"/>
          <w:color w:val="auto"/>
          <w:sz w:val="21"/>
          <w:szCs w:val="21"/>
          <w:highlight w:val="none"/>
          <w:lang w:eastAsia="zh-CN"/>
        </w:rPr>
        <w:t>原文：</w:t>
      </w:r>
      <w:r>
        <w:rPr>
          <w:rFonts w:hint="eastAsia" w:ascii="宋体" w:hAnsi="宋体" w:eastAsia="宋体" w:cs="Times New Roman"/>
          <w:bCs/>
          <w:color w:val="auto"/>
          <w:sz w:val="21"/>
          <w:szCs w:val="21"/>
          <w:highlight w:val="none"/>
        </w:rPr>
        <w:t>主要人员简历表</w:t>
      </w:r>
    </w:p>
    <w:p w14:paraId="7AB848A5">
      <w:pPr>
        <w:spacing w:line="360" w:lineRule="auto"/>
        <w:ind w:firstLine="480" w:firstLineChars="200"/>
        <w:outlineLvl w:val="2"/>
        <w:rPr>
          <w:rFonts w:hint="default" w:ascii="宋体" w:hAnsi="宋体" w:eastAsia="宋体"/>
          <w:strike w:val="0"/>
          <w:color w:val="auto"/>
          <w:sz w:val="24"/>
          <w:szCs w:val="24"/>
          <w:highlight w:val="none"/>
          <w:lang w:val="en-US" w:eastAsia="zh-CN"/>
        </w:rPr>
      </w:pPr>
    </w:p>
    <w:p w14:paraId="213B6725">
      <w:pPr>
        <w:spacing w:line="360" w:lineRule="auto"/>
        <w:rPr>
          <w:rFonts w:hint="default" w:ascii="宋体" w:hAnsi="宋体" w:eastAsia="宋体"/>
          <w:b/>
          <w:color w:val="auto"/>
          <w:szCs w:val="21"/>
          <w:highlight w:val="none"/>
          <w:lang w:val="en-US" w:eastAsia="zh-CN"/>
        </w:rPr>
      </w:pPr>
    </w:p>
    <w:p w14:paraId="01E55DF0">
      <w:pPr>
        <w:spacing w:line="360" w:lineRule="auto"/>
        <w:rPr>
          <w:rFonts w:ascii="宋体" w:hAnsi="宋体" w:eastAsia="宋体"/>
          <w:b/>
          <w:color w:val="auto"/>
          <w:szCs w:val="21"/>
          <w:highlight w:val="none"/>
        </w:rPr>
      </w:pPr>
      <w:r>
        <w:rPr>
          <w:rFonts w:hint="eastAsia" w:ascii="宋体" w:hAnsi="宋体" w:eastAsia="宋体"/>
          <w:b/>
          <w:color w:val="auto"/>
          <w:szCs w:val="21"/>
          <w:highlight w:val="none"/>
        </w:rPr>
        <w:t>注：以上修改，仅限于本范本中有可供选择条款的情形。</w:t>
      </w:r>
    </w:p>
    <w:p w14:paraId="0E2D0CB7">
      <w:pPr>
        <w:spacing w:line="360" w:lineRule="auto"/>
        <w:rPr>
          <w:rFonts w:ascii="宋体" w:hAnsi="宋体" w:eastAsia="宋体"/>
          <w:color w:val="auto"/>
          <w:highlight w:val="none"/>
        </w:rPr>
      </w:pPr>
      <w:r>
        <w:rPr>
          <w:rFonts w:hint="eastAsia" w:ascii="宋体" w:hAnsi="宋体" w:eastAsia="宋体"/>
          <w:b/>
          <w:color w:val="auto"/>
          <w:szCs w:val="21"/>
          <w:highlight w:val="none"/>
        </w:rPr>
        <w:t>（以下无正文）</w:t>
      </w:r>
    </w:p>
    <w:p w14:paraId="728E6FAE">
      <w:pPr>
        <w:pStyle w:val="8"/>
        <w:spacing w:before="120"/>
        <w:rPr>
          <w:rFonts w:ascii="宋体" w:eastAsia="宋体"/>
          <w:color w:val="auto"/>
          <w:highlight w:val="none"/>
        </w:rPr>
      </w:pPr>
      <w:bookmarkStart w:id="161" w:name="_二、采用资格后审方式施工招标项目开标、评标及定标办法"/>
      <w:bookmarkEnd w:id="161"/>
      <w:r>
        <w:rPr>
          <w:rFonts w:hint="eastAsia" w:ascii="宋体" w:eastAsia="宋体"/>
          <w:color w:val="auto"/>
          <w:highlight w:val="none"/>
        </w:rPr>
        <w:br w:type="page"/>
      </w:r>
      <w:bookmarkStart w:id="162" w:name="_Toc2089"/>
      <w:bookmarkStart w:id="163" w:name="_Toc18340"/>
      <w:bookmarkStart w:id="164" w:name="_Toc13326"/>
      <w:bookmarkStart w:id="165" w:name="_Toc15494"/>
      <w:bookmarkStart w:id="166" w:name="_Toc18315"/>
      <w:bookmarkStart w:id="167" w:name="_Toc10902"/>
      <w:bookmarkStart w:id="168" w:name="_Toc12863"/>
      <w:bookmarkStart w:id="169" w:name="_Toc30222"/>
      <w:bookmarkStart w:id="170" w:name="_Toc262229170"/>
      <w:bookmarkStart w:id="171" w:name="_Toc3696"/>
      <w:bookmarkStart w:id="172" w:name="_Toc26348"/>
      <w:bookmarkStart w:id="173" w:name="_Toc22071"/>
      <w:r>
        <w:rPr>
          <w:rFonts w:hint="eastAsia" w:ascii="宋体" w:eastAsia="宋体"/>
          <w:color w:val="auto"/>
          <w:highlight w:val="none"/>
        </w:rPr>
        <w:t>二、开标、评标及定标办法</w:t>
      </w:r>
      <w:bookmarkEnd w:id="162"/>
      <w:bookmarkEnd w:id="163"/>
      <w:bookmarkEnd w:id="164"/>
      <w:bookmarkEnd w:id="165"/>
      <w:bookmarkEnd w:id="166"/>
      <w:bookmarkEnd w:id="167"/>
      <w:bookmarkEnd w:id="168"/>
      <w:bookmarkEnd w:id="169"/>
      <w:bookmarkEnd w:id="170"/>
      <w:bookmarkEnd w:id="171"/>
      <w:bookmarkEnd w:id="172"/>
      <w:bookmarkEnd w:id="173"/>
    </w:p>
    <w:p w14:paraId="5C3335E1">
      <w:pPr>
        <w:pStyle w:val="8"/>
        <w:spacing w:before="120"/>
        <w:rPr>
          <w:rFonts w:ascii="宋体" w:eastAsia="宋体"/>
          <w:color w:val="auto"/>
          <w:highlight w:val="none"/>
        </w:rPr>
      </w:pPr>
      <w:bookmarkStart w:id="174" w:name="_（一）总则"/>
      <w:bookmarkEnd w:id="174"/>
      <w:bookmarkStart w:id="175" w:name="_Toc17382"/>
      <w:bookmarkStart w:id="176" w:name="_Toc30944"/>
      <w:bookmarkStart w:id="177" w:name="_Toc1693"/>
      <w:bookmarkStart w:id="178" w:name="_Toc17185"/>
      <w:bookmarkStart w:id="179" w:name="_Toc28300"/>
      <w:bookmarkStart w:id="180" w:name="_Toc25480"/>
      <w:bookmarkStart w:id="181" w:name="_Toc29178"/>
      <w:bookmarkStart w:id="182" w:name="_Toc28306"/>
      <w:bookmarkStart w:id="183" w:name="_Toc262229171"/>
      <w:bookmarkStart w:id="184" w:name="_Toc30249"/>
      <w:bookmarkStart w:id="185" w:name="_Toc21769"/>
      <w:bookmarkStart w:id="186" w:name="_Toc9542"/>
      <w:r>
        <w:rPr>
          <w:rFonts w:hint="eastAsia" w:ascii="宋体" w:eastAsia="宋体"/>
          <w:color w:val="auto"/>
          <w:highlight w:val="none"/>
        </w:rPr>
        <w:t>（一）总则</w:t>
      </w:r>
      <w:bookmarkEnd w:id="175"/>
      <w:bookmarkEnd w:id="176"/>
      <w:bookmarkEnd w:id="177"/>
      <w:bookmarkEnd w:id="178"/>
      <w:bookmarkEnd w:id="179"/>
      <w:bookmarkEnd w:id="180"/>
      <w:bookmarkEnd w:id="181"/>
      <w:bookmarkEnd w:id="182"/>
      <w:bookmarkEnd w:id="183"/>
      <w:bookmarkEnd w:id="184"/>
      <w:bookmarkEnd w:id="185"/>
      <w:bookmarkEnd w:id="186"/>
    </w:p>
    <w:p w14:paraId="10F8910F">
      <w:pPr>
        <w:ind w:firstLine="3896" w:firstLineChars="1617"/>
        <w:rPr>
          <w:rFonts w:ascii="宋体" w:hAnsi="宋体" w:eastAsia="宋体"/>
          <w:b/>
          <w:color w:val="auto"/>
          <w:sz w:val="24"/>
          <w:szCs w:val="24"/>
          <w:highlight w:val="none"/>
        </w:rPr>
      </w:pPr>
    </w:p>
    <w:p w14:paraId="65936A35">
      <w:pPr>
        <w:tabs>
          <w:tab w:val="left" w:pos="1620"/>
        </w:tabs>
        <w:snapToGrid w:val="0"/>
        <w:spacing w:line="36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highlight w:val="none"/>
        </w:rPr>
        <w:t>37.开标、评标及定标所依据的规则</w:t>
      </w:r>
    </w:p>
    <w:p w14:paraId="21C56D7D">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37.1《中华人民共和国招标投标法》；</w:t>
      </w:r>
    </w:p>
    <w:p w14:paraId="1496D864">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37.2《中华人民共和国招标投标法实施条例》；</w:t>
      </w:r>
    </w:p>
    <w:p w14:paraId="702F5A99">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37.3《广东省实施〈中华人民共和国招标投标法〉办法》；</w:t>
      </w:r>
    </w:p>
    <w:p w14:paraId="22DFFCE9">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37.4国家发改委等九部委2013年第23号令；</w:t>
      </w:r>
    </w:p>
    <w:p w14:paraId="1F120696">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37.5《广州市工程建设项目招标投标管理办法》；</w:t>
      </w:r>
    </w:p>
    <w:p w14:paraId="1A569365">
      <w:pPr>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37.6《广东省加强建设工程招标投标监督管理的若干规定》；</w:t>
      </w:r>
    </w:p>
    <w:p w14:paraId="64221DD6">
      <w:pPr>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37.7《广州市林业和园林局关于明确广州市园林绿化工程项目招标投标有关问题的通知》</w:t>
      </w:r>
    </w:p>
    <w:p w14:paraId="3A872180">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37.8本项目招标文件。</w:t>
      </w:r>
    </w:p>
    <w:p w14:paraId="2E51D26C">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38.开标</w:t>
      </w:r>
    </w:p>
    <w:p w14:paraId="49907F80">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38.1招标人按投标须知前附表第21项所规定的时间和地点公开开标，并邀请所有投标人参加。递交投标文件截止时间后，开标时间因故推迟的，相关评标信息仍以原定的开标时间的信息为准。</w:t>
      </w:r>
    </w:p>
    <w:p w14:paraId="6320E8FA">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38.2投标人、招标人分别按投标须知第25条、第26条规定对投标文件进行解密。</w:t>
      </w:r>
    </w:p>
    <w:p w14:paraId="3124311F">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38.3开标时，出现下列情形之一的投标人，不参与电脑随机排序、资格审查和评标，其投标文件作无效处理：</w:t>
      </w:r>
    </w:p>
    <w:p w14:paraId="76C88F73">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38.3.1未成功递交或因投标人原因未成功导入投标文件的；</w:t>
      </w:r>
    </w:p>
    <w:p w14:paraId="7492DF64">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38.3.2因投标人原因造成投标文件未解密的；</w:t>
      </w:r>
    </w:p>
    <w:p w14:paraId="2612D4F3">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38.3.3投标人未按要求递交投标保证金的；</w:t>
      </w:r>
    </w:p>
    <w:p w14:paraId="42E54042">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38.3.4两个（含两个）以上的投标人加密打包投标文件电脑机器特征码一致的；</w:t>
      </w:r>
    </w:p>
    <w:p w14:paraId="646AA36A">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38.3.5项目负责人和</w:t>
      </w:r>
      <w:r>
        <w:rPr>
          <w:rFonts w:hint="eastAsia" w:ascii="宋体" w:hAnsi="宋体" w:eastAsia="宋体"/>
          <w:color w:val="auto"/>
          <w:sz w:val="24"/>
          <w:szCs w:val="24"/>
          <w:highlight w:val="none"/>
          <w:lang w:eastAsia="zh-CN"/>
        </w:rPr>
        <w:t>专职</w:t>
      </w:r>
      <w:r>
        <w:rPr>
          <w:rFonts w:hint="eastAsia" w:ascii="宋体" w:hAnsi="宋体" w:eastAsia="宋体"/>
          <w:color w:val="auto"/>
          <w:sz w:val="24"/>
          <w:szCs w:val="24"/>
          <w:highlight w:val="none"/>
        </w:rPr>
        <w:t>安全员为同一人的。</w:t>
      </w:r>
    </w:p>
    <w:p w14:paraId="4BA18465">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38.4若递交投标文件的投标人不足3个，则重新组织招标（当N个标段同时招标且不允许兼中时，若递交投标文件单位不足N+2个，则重新组织招标）。</w:t>
      </w:r>
    </w:p>
    <w:p w14:paraId="0763E7CE">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39.评标</w:t>
      </w:r>
    </w:p>
    <w:p w14:paraId="72EBB525">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39.1评标由招标人依法组建的评标委员会负责。评标委员会由招标人的代表和有关技术、经济等方面的专家组成，成员人数为五人以上单数。招标人代表不得担任评标委员会负责人，不得接受评标报酬，评标过程中不得以任何方式影响其他评标专家独立评标。技术、经济等方面的专家须从政府设立的建设工程评标专家库中随机抽取确定，不得少于成员总数的三份之二。</w:t>
      </w:r>
    </w:p>
    <w:p w14:paraId="6E15AE2B">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39.2评标委员会的职责及守则：</w:t>
      </w:r>
    </w:p>
    <w:p w14:paraId="14B27FFD">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39.2.1根据评标细则，对标书进行认真评审，完成评审报告；</w:t>
      </w:r>
    </w:p>
    <w:p w14:paraId="4262EA7F">
      <w:pPr>
        <w:tabs>
          <w:tab w:val="left" w:pos="1620"/>
        </w:tabs>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39.2.2向招标人报告评审意见，推荐合格的中标候选人。</w:t>
      </w:r>
    </w:p>
    <w:p w14:paraId="1458AA01">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bCs/>
          <w:color w:val="auto"/>
          <w:sz w:val="24"/>
          <w:szCs w:val="24"/>
          <w:highlight w:val="none"/>
        </w:rPr>
        <w:t>39.2.3</w:t>
      </w:r>
      <w:r>
        <w:rPr>
          <w:rFonts w:hint="eastAsia" w:ascii="宋体" w:hAnsi="宋体" w:eastAsia="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4BF6DA5B">
      <w:pPr>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39.2.4全体参与评标人员：</w:t>
      </w:r>
    </w:p>
    <w:p w14:paraId="1A2DC60D">
      <w:pPr>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39.2.4.1 必须遵守评标纪律、不得泄密；</w:t>
      </w:r>
    </w:p>
    <w:p w14:paraId="0CA993EE">
      <w:pPr>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39.2.4.2 必须公正、不得循私；</w:t>
      </w:r>
    </w:p>
    <w:p w14:paraId="25BBBA97">
      <w:pPr>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39.2.4.3 必须科学、不得草率；</w:t>
      </w:r>
    </w:p>
    <w:p w14:paraId="413027C2">
      <w:pPr>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39.2.4.4 必须客观、不得带有成见；</w:t>
      </w:r>
    </w:p>
    <w:p w14:paraId="7C46AA71">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bCs/>
          <w:color w:val="auto"/>
          <w:sz w:val="24"/>
          <w:szCs w:val="24"/>
          <w:highlight w:val="none"/>
        </w:rPr>
        <w:t>39.2.4.5 必须平等、不得强加于人</w:t>
      </w:r>
      <w:r>
        <w:rPr>
          <w:rFonts w:hint="eastAsia" w:ascii="宋体" w:hAnsi="宋体" w:eastAsia="宋体"/>
          <w:color w:val="auto"/>
          <w:sz w:val="24"/>
          <w:szCs w:val="24"/>
          <w:highlight w:val="none"/>
        </w:rPr>
        <w:t>；</w:t>
      </w:r>
    </w:p>
    <w:p w14:paraId="6E2CD087">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39.2.4.6 必须严谨、不得随意马虎。</w:t>
      </w:r>
    </w:p>
    <w:p w14:paraId="1D98E720">
      <w:pPr>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olor w:val="auto"/>
          <w:sz w:val="24"/>
          <w:szCs w:val="24"/>
          <w:highlight w:val="none"/>
        </w:rPr>
        <w:t>39.3 评标结束后，</w:t>
      </w:r>
      <w:r>
        <w:rPr>
          <w:rFonts w:hint="eastAsia" w:ascii="宋体" w:hAnsi="宋体" w:eastAsia="宋体"/>
          <w:bCs/>
          <w:color w:val="auto"/>
          <w:sz w:val="24"/>
          <w:szCs w:val="24"/>
          <w:highlight w:val="none"/>
        </w:rPr>
        <w:t>评标委员会递交评标报告并依法推荐中标候选人。</w:t>
      </w:r>
    </w:p>
    <w:p w14:paraId="65E192C9">
      <w:pPr>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如存在投标人串通投标行为的，评标委员会应将相关投标人存在的具体情形、评审认定过程及评审依据详细记录在评标报告中，作为评标报告的组成部分。投标人有关澄清文件的原件封存广州交易集团有限公司（广州公共资源交易中心）备查，复印件在评标结束当日工作时间内（评标结束时处于非工作时间的，应于下个一工作日12:00时前）由招标人或招标代理机构转交该项目招标监管机构查处。</w:t>
      </w:r>
    </w:p>
    <w:p w14:paraId="2D70E574">
      <w:pPr>
        <w:snapToGrid w:val="0"/>
        <w:spacing w:line="360" w:lineRule="auto"/>
        <w:ind w:firstLine="482" w:firstLineChars="200"/>
        <w:rPr>
          <w:rFonts w:ascii="宋体" w:hAnsi="宋体" w:eastAsia="宋体"/>
          <w:b/>
          <w:color w:val="auto"/>
          <w:sz w:val="24"/>
          <w:szCs w:val="24"/>
          <w:highlight w:val="none"/>
        </w:rPr>
      </w:pPr>
      <w:r>
        <w:rPr>
          <w:rFonts w:hint="eastAsia" w:ascii="宋体" w:hAnsi="宋体" w:eastAsia="宋体"/>
          <w:b/>
          <w:color w:val="auto"/>
          <w:sz w:val="24"/>
          <w:szCs w:val="24"/>
          <w:highlight w:val="none"/>
        </w:rPr>
        <w:t>40．投标文件的澄清</w:t>
      </w:r>
    </w:p>
    <w:p w14:paraId="02491095">
      <w:pPr>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40.1投标文件属于《投标人串通投标评审表》所列情形之一的，评标委员会应要求涉及相应情形的投标企业在接到通知后2小时内到达指定地点作出书面澄清。</w:t>
      </w:r>
    </w:p>
    <w:p w14:paraId="19AB822C">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40.2对于</w:t>
      </w:r>
      <w:r>
        <w:rPr>
          <w:rFonts w:hint="eastAsia" w:ascii="宋体" w:hAnsi="宋体" w:eastAsia="宋体"/>
          <w:color w:val="auto"/>
          <w:sz w:val="24"/>
          <w:szCs w:val="24"/>
          <w:highlight w:val="none"/>
          <w:lang w:val="en-US" w:eastAsia="zh-CN"/>
        </w:rPr>
        <w:t>40</w:t>
      </w:r>
      <w:r>
        <w:rPr>
          <w:rFonts w:hint="eastAsia" w:ascii="宋体" w:hAnsi="宋体" w:eastAsia="宋体"/>
          <w:color w:val="auto"/>
          <w:sz w:val="24"/>
          <w:szCs w:val="24"/>
          <w:highlight w:val="none"/>
        </w:rPr>
        <w:t>.1以外的其他情况，为有助于投标文件的审查、评价和比较，评标期间，经评标委员会或评标委员会专业评审组中2人以上（含2人）成员以书面形式提出动议，评标委员会或评标委员会专业评审组应当书面发出澄清通知，要求投标人对投标文件含义不明确的内容作出澄清。</w:t>
      </w:r>
    </w:p>
    <w:p w14:paraId="56E3B82E">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40.3投标人应以书面形式进行澄清，</w:t>
      </w:r>
      <w:r>
        <w:rPr>
          <w:rFonts w:hint="eastAsia" w:ascii="宋体" w:hAnsi="宋体" w:eastAsia="宋体"/>
          <w:bCs/>
          <w:color w:val="auto"/>
          <w:sz w:val="24"/>
          <w:highlight w:val="none"/>
        </w:rPr>
        <w:t>澄清和说明内容属于投标文件的组成部分，</w:t>
      </w:r>
      <w:r>
        <w:rPr>
          <w:rFonts w:hint="eastAsia" w:ascii="宋体" w:hAnsi="宋体" w:eastAsia="宋体"/>
          <w:color w:val="auto"/>
          <w:sz w:val="24"/>
          <w:szCs w:val="24"/>
          <w:highlight w:val="none"/>
        </w:rPr>
        <w:t>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781663AC">
      <w:pPr>
        <w:spacing w:line="360" w:lineRule="auto"/>
        <w:ind w:firstLine="480" w:firstLineChars="200"/>
        <w:rPr>
          <w:rFonts w:ascii="宋体" w:hAnsi="宋体" w:eastAsia="宋体"/>
          <w:bCs/>
          <w:color w:val="auto"/>
          <w:sz w:val="24"/>
          <w:highlight w:val="none"/>
        </w:rPr>
      </w:pPr>
      <w:r>
        <w:rPr>
          <w:rFonts w:hint="eastAsia" w:ascii="宋体" w:hAnsi="宋体" w:eastAsia="宋体"/>
          <w:color w:val="auto"/>
          <w:sz w:val="24"/>
          <w:szCs w:val="24"/>
          <w:highlight w:val="none"/>
        </w:rPr>
        <w:t>40.4评标委员会或评标委员会专业评审组成员均应当阅读投标人的澄清，但应独立参考澄清对投标文件进行评审，</w:t>
      </w:r>
      <w:r>
        <w:rPr>
          <w:rFonts w:hint="eastAsia" w:ascii="宋体" w:hAnsi="宋体" w:eastAsia="宋体"/>
          <w:bCs/>
          <w:color w:val="auto"/>
          <w:sz w:val="24"/>
          <w:highlight w:val="none"/>
        </w:rPr>
        <w:t>整个澄清的过程不得存在排斥潜在投标人的现象。</w:t>
      </w:r>
    </w:p>
    <w:p w14:paraId="0078A935">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40.5如果投标文件实质上不响应招标文件的各项要求，评标委员会将按照否决性条款审查标准予以拒绝，不接受投标人通过修改或撤销其不符合要求的差异或保留，使之成为具有响应性的投标。</w:t>
      </w:r>
    </w:p>
    <w:p w14:paraId="3AB7993D">
      <w:pPr>
        <w:tabs>
          <w:tab w:val="left" w:pos="1890"/>
        </w:tabs>
        <w:snapToGrid w:val="0"/>
        <w:spacing w:line="360" w:lineRule="auto"/>
        <w:ind w:firstLine="482" w:firstLineChars="200"/>
        <w:rPr>
          <w:rFonts w:ascii="宋体" w:hAnsi="宋体" w:eastAsia="宋体"/>
          <w:b/>
          <w:color w:val="auto"/>
          <w:sz w:val="24"/>
          <w:szCs w:val="24"/>
          <w:highlight w:val="none"/>
        </w:rPr>
      </w:pPr>
      <w:r>
        <w:rPr>
          <w:rFonts w:hint="eastAsia" w:ascii="宋体" w:hAnsi="宋体" w:eastAsia="宋体"/>
          <w:b/>
          <w:color w:val="auto"/>
          <w:sz w:val="24"/>
          <w:szCs w:val="24"/>
          <w:highlight w:val="none"/>
        </w:rPr>
        <w:t>41．定标</w:t>
      </w:r>
    </w:p>
    <w:p w14:paraId="74AF4783">
      <w:pPr>
        <w:tabs>
          <w:tab w:val="left" w:pos="1890"/>
        </w:tabs>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41.1不采用评定分离的，评标委员会推荐中标候选人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名（不多于3名）。</w:t>
      </w:r>
    </w:p>
    <w:p w14:paraId="68772B94">
      <w:pPr>
        <w:tabs>
          <w:tab w:val="left" w:pos="1890"/>
        </w:tabs>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评标委员会向招标人推荐按综合得分高低排序的中标候选人。招标人在评标委员会推荐的中标候选人中确定中标人。依法必须招标的项目，招标人应当确定排名第一的中标候选人为中标人。</w:t>
      </w:r>
    </w:p>
    <w:p w14:paraId="1998664C">
      <w:pPr>
        <w:tabs>
          <w:tab w:val="left" w:pos="1890"/>
        </w:tabs>
        <w:snapToGrid w:val="0"/>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41.2采用评定分离的，评标委员会推荐中标候选人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名（3-5名）。</w:t>
      </w:r>
    </w:p>
    <w:p w14:paraId="78774BF7">
      <w:pPr>
        <w:tabs>
          <w:tab w:val="left" w:pos="1890"/>
        </w:tabs>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评标委员会向招标人推荐不排序的中标候选人。定标委员会在中标候选人中按照定标办法（详见附件一）确定中标人。</w:t>
      </w:r>
    </w:p>
    <w:p w14:paraId="159AE8D5">
      <w:pPr>
        <w:tabs>
          <w:tab w:val="left" w:pos="1890"/>
        </w:tabs>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41.3中标人确定后，招标人（招标代理机构）通过广州公共资源交易</w:t>
      </w:r>
      <w:r>
        <w:rPr>
          <w:rFonts w:hint="eastAsia" w:ascii="宋体" w:hAnsi="宋体" w:eastAsia="宋体"/>
          <w:color w:val="auto"/>
          <w:sz w:val="24"/>
          <w:szCs w:val="24"/>
          <w:highlight w:val="none"/>
          <w:lang w:eastAsia="zh-CN"/>
        </w:rPr>
        <w:t>网站</w:t>
      </w:r>
      <w:r>
        <w:rPr>
          <w:rFonts w:hint="eastAsia" w:ascii="宋体" w:hAnsi="宋体" w:eastAsia="宋体"/>
          <w:color w:val="auto"/>
          <w:sz w:val="24"/>
          <w:szCs w:val="24"/>
          <w:highlight w:val="none"/>
        </w:rPr>
        <w:t>和广东省招标投标监管网公示中标结果，向中标人发出中标通知书，并同时将中标结果通知所有未中标的投标人。投标人或其他利害关系人对评标结果有异议的，应当在中标候选人公示期间通过电子交易平台或书面方式提出。通过电子交易平台提出异议的，招标人线上作出答复。作出答复前，应当暂停招标投标活动。</w:t>
      </w:r>
    </w:p>
    <w:p w14:paraId="5EF03C7A">
      <w:pPr>
        <w:tabs>
          <w:tab w:val="left" w:pos="1890"/>
        </w:tabs>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41.4招标人应当自确定中标人之日起十五日内，向招标管理机构提交招标投标情况的书面报告。采用评定分离的，招标人应当提交定标报告。定标报告应包括定标委员会的产生过程、定标委员会成员名单、定标程序、定标会议过程及定标结果等内容。</w:t>
      </w:r>
    </w:p>
    <w:p w14:paraId="73ED95FD">
      <w:pPr>
        <w:tabs>
          <w:tab w:val="left" w:pos="1890"/>
        </w:tabs>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41.5如出现中标人放弃中标、因不可抗力不能履行合同、不按照招标文件要求提交履约担保，或者被查实存在影响中标结果的违法行为等情形，不符合中标条件的，招标人可按照条款41.1的定标方式重新确定中标人，也可以重新招标。</w:t>
      </w:r>
    </w:p>
    <w:p w14:paraId="55DD03CC">
      <w:pPr>
        <w:tabs>
          <w:tab w:val="left" w:pos="1890"/>
        </w:tabs>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41.6如重新确定的中标人出现上述情形，招标人可直接确认最后一名中标候选人为中标人。如所有中标候选人均出现本款所列情形的，本项目招标失败，招标人依法重新招标。</w:t>
      </w:r>
    </w:p>
    <w:p w14:paraId="401CC32A">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41.7投标人如在本项目中存在串通投标、弄虚作假、行贿情形且在评标过程中未被发现的，其投标不改变本项目评标结果排序。招标人按照《中华人民共和国招标投标法实施条例》第五十五条的规定确定中标人或重新招标。</w:t>
      </w:r>
    </w:p>
    <w:bookmarkEnd w:id="143"/>
    <w:p w14:paraId="5A01AB75">
      <w:pPr>
        <w:pStyle w:val="8"/>
        <w:spacing w:before="120"/>
        <w:rPr>
          <w:rFonts w:hint="eastAsia" w:ascii="宋体" w:eastAsia="宋体"/>
          <w:color w:val="auto"/>
          <w:highlight w:val="none"/>
        </w:rPr>
      </w:pPr>
      <w:bookmarkStart w:id="187" w:name="_（二）开标评标办法程序和细则"/>
      <w:bookmarkEnd w:id="187"/>
      <w:bookmarkStart w:id="188" w:name="_Toc155150496"/>
      <w:r>
        <w:rPr>
          <w:rFonts w:ascii="宋体" w:eastAsia="宋体"/>
          <w:color w:val="auto"/>
          <w:szCs w:val="32"/>
          <w:highlight w:val="none"/>
        </w:rPr>
        <w:br w:type="page"/>
      </w:r>
      <w:bookmarkEnd w:id="188"/>
      <w:bookmarkStart w:id="189" w:name="_Toc18319"/>
      <w:bookmarkStart w:id="190" w:name="_Toc23684"/>
      <w:bookmarkStart w:id="191" w:name="_Toc27974"/>
      <w:bookmarkStart w:id="192" w:name="_Toc11750"/>
      <w:bookmarkStart w:id="193" w:name="_Toc10617"/>
      <w:bookmarkStart w:id="194" w:name="_Toc11602"/>
      <w:bookmarkStart w:id="195" w:name="_Toc21959"/>
      <w:bookmarkStart w:id="196" w:name="_Toc8949"/>
      <w:bookmarkStart w:id="197" w:name="_Toc12988"/>
      <w:bookmarkStart w:id="198" w:name="_Toc28160"/>
      <w:bookmarkStart w:id="199" w:name="_Toc262229172"/>
      <w:bookmarkStart w:id="200" w:name="_Toc30933"/>
      <w:r>
        <w:rPr>
          <w:rFonts w:hint="eastAsia" w:ascii="宋体" w:eastAsia="宋体"/>
          <w:color w:val="auto"/>
          <w:highlight w:val="none"/>
        </w:rPr>
        <w:t>（二）开标评标办法程序和细则</w:t>
      </w:r>
      <w:bookmarkEnd w:id="189"/>
      <w:bookmarkEnd w:id="190"/>
      <w:bookmarkEnd w:id="191"/>
      <w:bookmarkEnd w:id="192"/>
      <w:bookmarkEnd w:id="193"/>
      <w:bookmarkEnd w:id="194"/>
      <w:bookmarkEnd w:id="195"/>
      <w:bookmarkEnd w:id="196"/>
      <w:bookmarkEnd w:id="197"/>
      <w:bookmarkEnd w:id="198"/>
      <w:bookmarkEnd w:id="199"/>
      <w:bookmarkEnd w:id="200"/>
    </w:p>
    <w:p w14:paraId="03A42600">
      <w:pPr>
        <w:pStyle w:val="9"/>
        <w:ind w:firstLine="0"/>
        <w:rPr>
          <w:rFonts w:hint="eastAsia" w:ascii="宋体" w:hAnsi="宋体" w:eastAsia="宋体"/>
          <w:b/>
          <w:color w:val="auto"/>
          <w:highlight w:val="none"/>
        </w:rPr>
      </w:pPr>
    </w:p>
    <w:p w14:paraId="084B59B6">
      <w:pPr>
        <w:pStyle w:val="8"/>
        <w:spacing w:before="120"/>
        <w:rPr>
          <w:rFonts w:hint="eastAsia" w:ascii="宋体" w:eastAsia="宋体"/>
          <w:color w:val="auto"/>
          <w:highlight w:val="none"/>
        </w:rPr>
      </w:pPr>
      <w:bookmarkStart w:id="201" w:name="_可选办法一_两阶段评标法"/>
      <w:bookmarkEnd w:id="201"/>
      <w:bookmarkStart w:id="202" w:name="_Toc17523"/>
      <w:bookmarkStart w:id="203" w:name="_Toc28079"/>
      <w:bookmarkStart w:id="204" w:name="_Toc15363"/>
      <w:bookmarkStart w:id="205" w:name="_Toc25241"/>
      <w:bookmarkStart w:id="206" w:name="_Toc22790"/>
      <w:bookmarkStart w:id="207" w:name="_Toc13028"/>
      <w:bookmarkStart w:id="208" w:name="_Toc1837"/>
      <w:bookmarkStart w:id="209" w:name="_Toc2625"/>
      <w:bookmarkStart w:id="210" w:name="_Toc15208"/>
      <w:bookmarkStart w:id="211" w:name="_Toc9756"/>
      <w:bookmarkStart w:id="212" w:name="_Toc31408"/>
      <w:r>
        <w:rPr>
          <w:rFonts w:hint="eastAsia" w:ascii="宋体" w:eastAsia="宋体"/>
          <w:color w:val="auto"/>
          <w:highlight w:val="none"/>
        </w:rPr>
        <w:t xml:space="preserve">可选办法一 </w:t>
      </w:r>
      <w:bookmarkEnd w:id="202"/>
      <w:bookmarkEnd w:id="203"/>
      <w:bookmarkEnd w:id="204"/>
      <w:bookmarkEnd w:id="205"/>
      <w:bookmarkEnd w:id="206"/>
      <w:bookmarkEnd w:id="207"/>
      <w:bookmarkEnd w:id="208"/>
      <w:bookmarkEnd w:id="209"/>
      <w:bookmarkEnd w:id="210"/>
      <w:bookmarkEnd w:id="211"/>
      <w:bookmarkStart w:id="213" w:name="_Toc3304"/>
      <w:bookmarkStart w:id="214" w:name="_Toc22091"/>
      <w:bookmarkStart w:id="215" w:name="_Toc19120"/>
      <w:bookmarkStart w:id="216" w:name="_Toc25194"/>
      <w:bookmarkStart w:id="217" w:name="_Toc28397"/>
      <w:bookmarkStart w:id="218" w:name="_Toc278"/>
      <w:bookmarkStart w:id="219" w:name="_Toc23249"/>
      <w:bookmarkStart w:id="220" w:name="_Toc22847"/>
      <w:bookmarkStart w:id="221" w:name="_Toc26575"/>
      <w:bookmarkStart w:id="222" w:name="_Toc16088"/>
      <w:r>
        <w:rPr>
          <w:rFonts w:hint="eastAsia" w:ascii="宋体" w:eastAsia="宋体"/>
          <w:color w:val="auto"/>
          <w:highlight w:val="none"/>
        </w:rPr>
        <w:t xml:space="preserve"> 综合评分法</w:t>
      </w:r>
      <w:bookmarkEnd w:id="212"/>
      <w:bookmarkEnd w:id="213"/>
      <w:bookmarkEnd w:id="214"/>
      <w:bookmarkEnd w:id="215"/>
      <w:bookmarkEnd w:id="216"/>
      <w:bookmarkEnd w:id="217"/>
      <w:bookmarkEnd w:id="218"/>
      <w:bookmarkEnd w:id="219"/>
      <w:bookmarkEnd w:id="220"/>
      <w:bookmarkEnd w:id="221"/>
      <w:bookmarkEnd w:id="222"/>
    </w:p>
    <w:p w14:paraId="1D3D9ACD">
      <w:pPr>
        <w:snapToGrid w:val="0"/>
        <w:spacing w:line="360" w:lineRule="auto"/>
        <w:ind w:firstLine="525" w:firstLineChars="218"/>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42.开标和评标程序</w:t>
      </w:r>
    </w:p>
    <w:p w14:paraId="5E67D4A9">
      <w:pPr>
        <w:pStyle w:val="5"/>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42.1投标人在递交投标文件截止时间到达后的1小时内，使用制作该投标文件的机构业务数字证书对其投标文件进行解密。</w:t>
      </w:r>
    </w:p>
    <w:p w14:paraId="6FE13E50">
      <w:pPr>
        <w:pStyle w:val="5"/>
        <w:tabs>
          <w:tab w:val="left" w:pos="7380"/>
        </w:tabs>
        <w:spacing w:after="0" w:line="360" w:lineRule="auto"/>
        <w:ind w:firstLine="523" w:firstLineChars="218"/>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42.2公布投标人名单，将显示出所有投标人信息及投标人投标文件递交情况以及解密情况。</w:t>
      </w:r>
    </w:p>
    <w:p w14:paraId="2D0AE7CE">
      <w:pPr>
        <w:pStyle w:val="5"/>
        <w:tabs>
          <w:tab w:val="left" w:pos="7380"/>
        </w:tabs>
        <w:spacing w:after="0" w:line="360" w:lineRule="auto"/>
        <w:ind w:firstLine="523" w:firstLineChars="218"/>
        <w:rPr>
          <w:rFonts w:ascii="宋体" w:hAnsi="宋体" w:eastAsia="宋体"/>
          <w:color w:val="auto"/>
          <w:sz w:val="24"/>
          <w:szCs w:val="24"/>
          <w:highlight w:val="none"/>
          <w:u w:val="thick"/>
        </w:rPr>
      </w:pPr>
      <w:r>
        <w:rPr>
          <w:rFonts w:hint="eastAsia" w:ascii="宋体" w:hAnsi="宋体" w:eastAsia="宋体"/>
          <w:color w:val="auto"/>
          <w:sz w:val="24"/>
          <w:szCs w:val="24"/>
          <w:highlight w:val="none"/>
        </w:rPr>
        <w:t>42.3随机抽取确定该工程计算评标参考价的下浮率X，从0.5%、1%、1.5%、2%、2.5%、3%、3.5%中抽取其中之一。</w:t>
      </w:r>
    </w:p>
    <w:p w14:paraId="5ACCCDBB">
      <w:pPr>
        <w:snapToGrid w:val="0"/>
        <w:spacing w:line="360" w:lineRule="auto"/>
        <w:ind w:firstLine="523" w:firstLineChars="218"/>
        <w:rPr>
          <w:rFonts w:hint="eastAsia" w:ascii="宋体" w:hAnsi="宋体" w:eastAsia="宋体" w:cs="仿宋_GB2312"/>
          <w:color w:val="auto"/>
          <w:sz w:val="24"/>
          <w:szCs w:val="24"/>
          <w:highlight w:val="none"/>
        </w:rPr>
      </w:pPr>
      <w:r>
        <w:rPr>
          <w:rFonts w:hint="eastAsia" w:ascii="宋体" w:hAnsi="宋体" w:eastAsia="宋体"/>
          <w:color w:val="auto"/>
          <w:sz w:val="24"/>
          <w:szCs w:val="24"/>
          <w:highlight w:val="none"/>
        </w:rPr>
        <w:t>42.4</w:t>
      </w:r>
      <w:r>
        <w:rPr>
          <w:rFonts w:hint="eastAsia" w:ascii="宋体" w:hAnsi="宋体" w:eastAsia="宋体" w:cs="仿宋_GB2312"/>
          <w:color w:val="auto"/>
          <w:sz w:val="24"/>
          <w:szCs w:val="24"/>
          <w:highlight w:val="none"/>
        </w:rPr>
        <w:t>开标时，出现下列情形之一的投标人，不参与资格审查和评标，</w:t>
      </w:r>
      <w:r>
        <w:rPr>
          <w:rFonts w:hint="eastAsia" w:ascii="宋体" w:hAnsi="宋体" w:eastAsia="宋体"/>
          <w:color w:val="auto"/>
          <w:sz w:val="24"/>
          <w:szCs w:val="24"/>
          <w:highlight w:val="none"/>
        </w:rPr>
        <w:t>其投标文件作无效处理</w:t>
      </w:r>
      <w:r>
        <w:rPr>
          <w:rFonts w:hint="eastAsia" w:ascii="宋体" w:hAnsi="宋体" w:eastAsia="宋体" w:cs="仿宋_GB2312"/>
          <w:color w:val="auto"/>
          <w:sz w:val="24"/>
          <w:szCs w:val="24"/>
          <w:highlight w:val="none"/>
        </w:rPr>
        <w:t>：</w:t>
      </w:r>
    </w:p>
    <w:p w14:paraId="216CD053">
      <w:pPr>
        <w:snapToGrid w:val="0"/>
        <w:spacing w:line="360" w:lineRule="auto"/>
        <w:ind w:firstLine="523" w:firstLineChars="218"/>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42.4.1未成功递交或因投标人原因未成功导入投标文件的；</w:t>
      </w:r>
    </w:p>
    <w:p w14:paraId="67DD65A9">
      <w:pPr>
        <w:snapToGrid w:val="0"/>
        <w:spacing w:line="360" w:lineRule="auto"/>
        <w:ind w:firstLine="523" w:firstLineChars="218"/>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42.4.2因投标人原因造成投标文件未解密的；</w:t>
      </w:r>
    </w:p>
    <w:p w14:paraId="5F2FBECC">
      <w:pPr>
        <w:snapToGrid w:val="0"/>
        <w:spacing w:line="360" w:lineRule="auto"/>
        <w:ind w:firstLine="523" w:firstLineChars="218"/>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42.4.3</w:t>
      </w:r>
      <w:r>
        <w:rPr>
          <w:rFonts w:hint="eastAsia" w:ascii="宋体" w:hAnsi="宋体" w:eastAsia="宋体"/>
          <w:color w:val="auto"/>
          <w:sz w:val="24"/>
          <w:szCs w:val="24"/>
          <w:highlight w:val="none"/>
        </w:rPr>
        <w:t>投标人未按要求递交投标保证金的</w:t>
      </w:r>
      <w:r>
        <w:rPr>
          <w:rFonts w:hint="eastAsia" w:ascii="宋体" w:hAnsi="宋体" w:eastAsia="宋体" w:cs="仿宋_GB2312"/>
          <w:color w:val="auto"/>
          <w:sz w:val="24"/>
          <w:szCs w:val="24"/>
          <w:highlight w:val="none"/>
        </w:rPr>
        <w:t>；</w:t>
      </w:r>
    </w:p>
    <w:p w14:paraId="7A959011">
      <w:pPr>
        <w:snapToGrid w:val="0"/>
        <w:spacing w:line="360" w:lineRule="auto"/>
        <w:ind w:firstLine="523" w:firstLineChars="218"/>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42.4.4两个（含两个）以上的投标人制作投标文件电脑机器特征码一致的；</w:t>
      </w:r>
    </w:p>
    <w:p w14:paraId="6B436258">
      <w:pPr>
        <w:snapToGrid w:val="0"/>
        <w:spacing w:line="360" w:lineRule="auto"/>
        <w:ind w:firstLine="523" w:firstLineChars="218"/>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42.4.5项目负责人和</w:t>
      </w:r>
      <w:r>
        <w:rPr>
          <w:rFonts w:hint="eastAsia" w:ascii="宋体" w:hAnsi="宋体" w:eastAsia="宋体" w:cs="仿宋_GB2312"/>
          <w:color w:val="auto"/>
          <w:sz w:val="24"/>
          <w:szCs w:val="24"/>
          <w:highlight w:val="none"/>
          <w:lang w:eastAsia="zh-CN"/>
        </w:rPr>
        <w:t>专职</w:t>
      </w:r>
      <w:r>
        <w:rPr>
          <w:rFonts w:hint="eastAsia" w:ascii="宋体" w:hAnsi="宋体" w:eastAsia="宋体" w:cs="仿宋_GB2312"/>
          <w:color w:val="auto"/>
          <w:sz w:val="24"/>
          <w:szCs w:val="24"/>
          <w:highlight w:val="none"/>
        </w:rPr>
        <w:t>安全员为同一人的。</w:t>
      </w:r>
    </w:p>
    <w:p w14:paraId="6DE37272">
      <w:pP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s="仿宋_GB2312"/>
          <w:color w:val="auto"/>
          <w:sz w:val="24"/>
          <w:szCs w:val="24"/>
          <w:highlight w:val="none"/>
        </w:rPr>
        <w:t>42.5招标人使用</w:t>
      </w:r>
      <w:r>
        <w:rPr>
          <w:rFonts w:hint="eastAsia" w:ascii="宋体" w:hAnsi="宋体" w:eastAsia="宋体"/>
          <w:color w:val="auto"/>
          <w:sz w:val="24"/>
          <w:szCs w:val="24"/>
          <w:highlight w:val="none"/>
        </w:rPr>
        <w:t>制作该招标文件的机构业务数字证书</w:t>
      </w:r>
      <w:r>
        <w:rPr>
          <w:rFonts w:hint="eastAsia" w:ascii="宋体" w:hAnsi="宋体" w:eastAsia="宋体" w:cs="仿宋_GB2312"/>
          <w:color w:val="auto"/>
          <w:sz w:val="24"/>
          <w:szCs w:val="24"/>
          <w:highlight w:val="none"/>
        </w:rPr>
        <w:t>对已完成投标人解密的电子投标文件进行招标人解密。</w:t>
      </w:r>
    </w:p>
    <w:p w14:paraId="47F3F6C2">
      <w:pP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42.6将所有解密成功的电子投标文件导入系统并公开开标。</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文件开标时不得开启，在评标时由评标系统随机编号后开启，交由评标委员会进行评审。</w:t>
      </w:r>
    </w:p>
    <w:p w14:paraId="2EF2FE1C">
      <w:pPr>
        <w:pStyle w:val="5"/>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42.7由评标委员会对所有已公开开标的投标人进行资格审查。</w:t>
      </w:r>
    </w:p>
    <w:p w14:paraId="272FF9F7">
      <w:pPr>
        <w:pStyle w:val="5"/>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42.8投标文件否决性条款审查（含投标报价算术复核）。</w:t>
      </w:r>
    </w:p>
    <w:p w14:paraId="46335614">
      <w:pPr>
        <w:pStyle w:val="5"/>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42.9对通过否决性条款审查的投标文件进行</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文件审查评分（暗标）。</w:t>
      </w:r>
    </w:p>
    <w:p w14:paraId="339BE172">
      <w:pPr>
        <w:pStyle w:val="5"/>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42.10揭晓</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文件评审结果。</w:t>
      </w:r>
    </w:p>
    <w:p w14:paraId="3B143037">
      <w:pPr>
        <w:pStyle w:val="5"/>
        <w:tabs>
          <w:tab w:val="left" w:pos="7380"/>
        </w:tabs>
        <w:spacing w:after="0" w:line="360" w:lineRule="auto"/>
        <w:ind w:firstLine="523" w:firstLineChars="218"/>
        <w:rPr>
          <w:rFonts w:ascii="宋体" w:hAnsi="宋体" w:eastAsia="宋体"/>
          <w:color w:val="auto"/>
          <w:sz w:val="24"/>
          <w:szCs w:val="24"/>
          <w:highlight w:val="none"/>
        </w:rPr>
      </w:pPr>
      <w:r>
        <w:rPr>
          <w:rFonts w:hint="eastAsia" w:ascii="宋体" w:hAnsi="宋体" w:eastAsia="宋体"/>
          <w:color w:val="auto"/>
          <w:sz w:val="24"/>
          <w:szCs w:val="24"/>
          <w:highlight w:val="none"/>
        </w:rPr>
        <w:t>42.11对通过否决性条款审查的投标文件进行技术部分</w:t>
      </w:r>
      <w:r>
        <w:rPr>
          <w:rFonts w:hint="eastAsia" w:ascii="宋体" w:hAnsi="宋体" w:eastAsia="宋体"/>
          <w:color w:val="auto"/>
          <w:sz w:val="24"/>
          <w:szCs w:val="24"/>
          <w:highlight w:val="none"/>
          <w:lang w:eastAsia="zh-CN"/>
        </w:rPr>
        <w:t>技术部分（项目实施能力）</w:t>
      </w:r>
      <w:r>
        <w:rPr>
          <w:rFonts w:hint="eastAsia" w:ascii="宋体" w:hAnsi="宋体" w:eastAsia="宋体"/>
          <w:color w:val="auto"/>
          <w:sz w:val="24"/>
          <w:szCs w:val="24"/>
          <w:highlight w:val="none"/>
        </w:rPr>
        <w:t>文件审查评分。</w:t>
      </w:r>
    </w:p>
    <w:p w14:paraId="149DE72E">
      <w:pPr>
        <w:pStyle w:val="5"/>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42.12对通过否决性条款审查的投标文件的投标报价进行评分。</w:t>
      </w:r>
    </w:p>
    <w:p w14:paraId="3643B232">
      <w:pPr>
        <w:pStyle w:val="5"/>
        <w:tabs>
          <w:tab w:val="left" w:pos="7380"/>
        </w:tabs>
        <w:spacing w:after="0" w:line="360" w:lineRule="auto"/>
        <w:ind w:firstLine="523" w:firstLineChars="218"/>
        <w:rPr>
          <w:rFonts w:ascii="宋体" w:hAnsi="宋体" w:eastAsia="宋体"/>
          <w:color w:val="auto"/>
          <w:sz w:val="24"/>
          <w:szCs w:val="24"/>
          <w:highlight w:val="none"/>
        </w:rPr>
      </w:pPr>
      <w:r>
        <w:rPr>
          <w:rFonts w:hint="eastAsia" w:ascii="宋体" w:hAnsi="宋体" w:eastAsia="宋体"/>
          <w:color w:val="auto"/>
          <w:sz w:val="24"/>
          <w:szCs w:val="24"/>
          <w:highlight w:val="none"/>
        </w:rPr>
        <w:t>42.13按照“综合得分=</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得分×</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得分权重+</w:t>
      </w:r>
      <w:r>
        <w:rPr>
          <w:rFonts w:hint="eastAsia" w:ascii="宋体" w:hAnsi="宋体" w:eastAsia="宋体"/>
          <w:color w:val="auto"/>
          <w:sz w:val="24"/>
          <w:szCs w:val="24"/>
          <w:highlight w:val="none"/>
          <w:lang w:eastAsia="zh-CN"/>
        </w:rPr>
        <w:t>技术部分（项目实施能力）</w:t>
      </w:r>
      <w:r>
        <w:rPr>
          <w:rFonts w:hint="eastAsia" w:ascii="宋体" w:hAnsi="宋体" w:eastAsia="宋体"/>
          <w:color w:val="auto"/>
          <w:sz w:val="24"/>
          <w:szCs w:val="24"/>
          <w:highlight w:val="none"/>
        </w:rPr>
        <w:t>得分×</w:t>
      </w:r>
      <w:r>
        <w:rPr>
          <w:rFonts w:hint="eastAsia" w:ascii="宋体" w:hAnsi="宋体" w:eastAsia="宋体"/>
          <w:color w:val="auto"/>
          <w:sz w:val="24"/>
          <w:szCs w:val="24"/>
          <w:highlight w:val="none"/>
          <w:lang w:eastAsia="zh-CN"/>
        </w:rPr>
        <w:t>技术部分（项目实施能力）</w:t>
      </w:r>
      <w:r>
        <w:rPr>
          <w:rFonts w:hint="eastAsia" w:ascii="宋体" w:hAnsi="宋体" w:eastAsia="宋体"/>
          <w:color w:val="auto"/>
          <w:sz w:val="24"/>
          <w:szCs w:val="24"/>
          <w:highlight w:val="none"/>
        </w:rPr>
        <w:t>得分权重+报价得分×报价得分权重+诚信综合评价排名得分×诚信综合评价排名得分权重”的公式，计算各有效投标文件的综合得分，并按照综合得分高低排序。</w:t>
      </w:r>
    </w:p>
    <w:p w14:paraId="72F18119">
      <w:pPr>
        <w:pStyle w:val="5"/>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42.14评标委员会向招标人推荐中标候选人名单，并递交资格审查报告及评标报告。</w:t>
      </w:r>
    </w:p>
    <w:p w14:paraId="78F15674">
      <w:pPr>
        <w:snapToGrid w:val="0"/>
        <w:spacing w:line="360" w:lineRule="auto"/>
        <w:ind w:firstLine="525" w:firstLineChars="218"/>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43.开标细则</w:t>
      </w:r>
    </w:p>
    <w:p w14:paraId="73EF01D9">
      <w:pP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43.1开标由招标人或其委托的招标代理机构主持；</w:t>
      </w:r>
    </w:p>
    <w:p w14:paraId="0A2CEFAB">
      <w:pPr>
        <w:pStyle w:val="5"/>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43.2由招标人或其推选的代表检查投标文件的投标人解密情况，也可以由招标人委托的公证机构检查并公证，之后由招标人对全部投标文件进行解密。</w:t>
      </w:r>
    </w:p>
    <w:p w14:paraId="1EFAD374">
      <w:pP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43.3细则</w:t>
      </w:r>
    </w:p>
    <w:p w14:paraId="27BA2064">
      <w:pP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43.3.1递交投标文件截止时间前，各投标人将投标文件完整上传并保存在广州公共资源交易电子评标系统。</w:t>
      </w:r>
    </w:p>
    <w:p w14:paraId="67D737FB">
      <w:pPr>
        <w:pStyle w:val="5"/>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kern w:val="44"/>
          <w:sz w:val="24"/>
          <w:szCs w:val="24"/>
          <w:highlight w:val="none"/>
        </w:rPr>
        <w:t>43.3.2投标人自行决定是否参加开标会。</w:t>
      </w:r>
      <w:r>
        <w:rPr>
          <w:rFonts w:hint="eastAsia" w:ascii="宋体" w:hAnsi="宋体" w:eastAsia="宋体"/>
          <w:color w:val="auto"/>
          <w:sz w:val="24"/>
          <w:szCs w:val="24"/>
          <w:highlight w:val="none"/>
        </w:rPr>
        <w:t>若投标人对开标过程有异议，应在开标现场提出，投标人代表提出异议时须出示本人身份证原件。招标人应当当场作出答复，并制作记录。</w:t>
      </w:r>
    </w:p>
    <w:p w14:paraId="0ABAF285">
      <w:pPr>
        <w:pStyle w:val="5"/>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kern w:val="44"/>
          <w:sz w:val="24"/>
          <w:szCs w:val="24"/>
          <w:highlight w:val="none"/>
        </w:rPr>
        <w:t>43.4 开标前，首先由招标人或招标代理机构按 42.3 规定,现场随机抽取确定该工程计算评标参考价的下浮率 X。招标人或招标代理机构在开标时，公布以下所有内容：a、投标人名称；b、电子投标文件解密情况；c、电子投标文件的递交情况；d、法定代表人证明及授权委托；e、投标保证金；f、投标报价；g、人工费；h、绿色施工安全防护措施费；i、工期；j、质量标准；k、施工组织设计承诺书；l、项目负责人；m、专职安全员</w:t>
      </w:r>
      <w:r>
        <w:rPr>
          <w:rFonts w:hint="eastAsia" w:ascii="宋体" w:hAnsi="宋体" w:eastAsia="宋体"/>
          <w:color w:val="auto"/>
          <w:sz w:val="24"/>
          <w:szCs w:val="24"/>
          <w:highlight w:val="none"/>
        </w:rPr>
        <w:t>。</w:t>
      </w:r>
    </w:p>
    <w:p w14:paraId="0D09BD69">
      <w:pPr>
        <w:pStyle w:val="5"/>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43.5 投标报价以数字和文字两种方式表述的，应宣读文字表述的投标报价。</w:t>
      </w:r>
    </w:p>
    <w:p w14:paraId="4B4AE56A">
      <w:pPr>
        <w:pStyle w:val="5"/>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43.6招标人对开标过程进行记录，并存档备查。</w:t>
      </w:r>
    </w:p>
    <w:p w14:paraId="20165866">
      <w:pPr>
        <w:pStyle w:val="5"/>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43.7招标人将上述符合要求的投标文件，送至评标委员会进行评审。</w:t>
      </w:r>
    </w:p>
    <w:p w14:paraId="187DCBF7">
      <w:pPr>
        <w:pStyle w:val="5"/>
        <w:tabs>
          <w:tab w:val="left" w:pos="7380"/>
        </w:tabs>
        <w:spacing w:after="0" w:line="360" w:lineRule="auto"/>
        <w:ind w:firstLine="525" w:firstLineChars="218"/>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44.资格审查及评标细则</w:t>
      </w:r>
    </w:p>
    <w:p w14:paraId="24AC2E38">
      <w:pPr>
        <w:pStyle w:val="5"/>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44.1资格审查及评标均由招标人依法组建的评标委员会负责。</w:t>
      </w:r>
    </w:p>
    <w:p w14:paraId="1BB4218E">
      <w:pPr>
        <w:pStyle w:val="5"/>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44.2评标委员会的组成：资格审查及投标文件的评审由评标委员会负责。</w:t>
      </w:r>
    </w:p>
    <w:p w14:paraId="2BD7944D">
      <w:pPr>
        <w:pStyle w:val="5"/>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44.3资格审查、否决性条款审查</w:t>
      </w:r>
    </w:p>
    <w:p w14:paraId="71BF844E">
      <w:pPr>
        <w:pStyle w:val="5"/>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44.3.1评标委员会按资格审查的标准对所有递交投标文件的投标人进行审查，如资格审查合格的投标人不足3个时，应重新招标。</w:t>
      </w:r>
    </w:p>
    <w:p w14:paraId="009B9964">
      <w:pPr>
        <w:pStyle w:val="5"/>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44.3.2如通过否决性条款审查的投标人少于3个时，应重新招标。</w:t>
      </w:r>
    </w:p>
    <w:p w14:paraId="521EE419">
      <w:pPr>
        <w:pStyle w:val="5"/>
        <w:tabs>
          <w:tab w:val="left" w:pos="7380"/>
        </w:tabs>
        <w:spacing w:after="0" w:line="360" w:lineRule="auto"/>
        <w:ind w:firstLine="525" w:firstLineChars="218"/>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45.投标人资格审查</w:t>
      </w:r>
    </w:p>
    <w:p w14:paraId="3651C320">
      <w:pPr>
        <w:pStyle w:val="5"/>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45.1资格审查采用电子化审查方式进行，评标委员会利用计算机系统对投标人递交的资格审查文件进行独立评审。</w:t>
      </w:r>
    </w:p>
    <w:p w14:paraId="3CF2BDDC">
      <w:pPr>
        <w:pStyle w:val="5"/>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45.2《资格审查表》中序号2-5项（除广东省建筑施工企业管理人员安全生产考核信息系统安全生产管理人员证书信息的打印页、《信息公开证明》打印页外）评审内容的信息取自投标人在广州公共资源交易</w:t>
      </w:r>
      <w:r>
        <w:rPr>
          <w:rFonts w:hint="eastAsia" w:ascii="宋体" w:hAnsi="宋体" w:eastAsia="宋体"/>
          <w:color w:val="auto"/>
          <w:sz w:val="24"/>
          <w:szCs w:val="24"/>
          <w:highlight w:val="none"/>
          <w:lang w:eastAsia="zh-CN"/>
        </w:rPr>
        <w:t>平台</w:t>
      </w:r>
      <w:r>
        <w:rPr>
          <w:rFonts w:hint="eastAsia" w:ascii="宋体" w:hAnsi="宋体" w:eastAsia="宋体"/>
          <w:color w:val="auto"/>
          <w:sz w:val="24"/>
          <w:szCs w:val="24"/>
          <w:highlight w:val="none"/>
        </w:rPr>
        <w:t>企业库、城市园林绿化企业工程业绩库中的资料。评标委员会对该部分内容的审查，以开标当天中午12时在广州公共资源交易</w:t>
      </w:r>
      <w:r>
        <w:rPr>
          <w:rFonts w:hint="eastAsia" w:ascii="宋体" w:hAnsi="宋体" w:eastAsia="宋体"/>
          <w:color w:val="auto"/>
          <w:sz w:val="24"/>
          <w:szCs w:val="24"/>
          <w:highlight w:val="none"/>
          <w:lang w:eastAsia="zh-CN"/>
        </w:rPr>
        <w:t>平台</w:t>
      </w:r>
      <w:r>
        <w:rPr>
          <w:rFonts w:hint="eastAsia" w:ascii="宋体" w:hAnsi="宋体" w:eastAsia="宋体"/>
          <w:color w:val="auto"/>
          <w:sz w:val="24"/>
          <w:szCs w:val="24"/>
          <w:highlight w:val="none"/>
        </w:rPr>
        <w:t>企业库、城市园林绿化企业工程业绩库中的资料为依据。</w:t>
      </w:r>
    </w:p>
    <w:p w14:paraId="0FF7DBF8">
      <w:pPr>
        <w:pStyle w:val="5"/>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45.3资格审查文件中全部符合《资格审查表》中情形的，为资格审查合格。否则为资格审查不合格，经评标委员会认定后，其投标文件不进入下一轮评审。如评标委员会成员的评审意见不一致时，可公开要求投标人进行澄清，并记录及由评标委员会、作出澄清的投标人签字确认，以评标委员会过半数成员的意见作为评标委员会对该情形的认定结论。</w:t>
      </w:r>
    </w:p>
    <w:p w14:paraId="7840B698">
      <w:pPr>
        <w:pStyle w:val="5"/>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45.4汇总资格审查情况，编写资格审查报告。</w:t>
      </w:r>
    </w:p>
    <w:p w14:paraId="3237A54B">
      <w:pPr>
        <w:pStyle w:val="5"/>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45.5资格审查不合格及存在42.4条款情形的投标文件不参加评标，不参与评标参考价的计算。</w:t>
      </w:r>
    </w:p>
    <w:p w14:paraId="5AA041C8">
      <w:pPr>
        <w:pStyle w:val="5"/>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45.6资格审查时，投标企业名称已经工商变更的，但企业及个人的资料未完成企业名称变更，仍然承认其有效；投标企业未及时办理变更手续的，招标人或招标代理机构应通报发证部门。</w:t>
      </w:r>
    </w:p>
    <w:p w14:paraId="49F60089">
      <w:pPr>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特别声明：资审合格后，投标人的资格发生变化而不满足投标人资格条件，在发出中标通知书前，资格问题仍未解决的，招标人将取消其中标资格。</w:t>
      </w:r>
    </w:p>
    <w:p w14:paraId="3AA4502E">
      <w:pPr>
        <w:spacing w:line="360" w:lineRule="auto"/>
        <w:ind w:firstLine="525" w:firstLineChars="218"/>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46.评标细则</w:t>
      </w:r>
    </w:p>
    <w:p w14:paraId="34820422">
      <w:pPr>
        <w:pStyle w:val="5"/>
        <w:tabs>
          <w:tab w:val="left" w:pos="7380"/>
        </w:tabs>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46.1投标文件否决性条款审查</w:t>
      </w:r>
    </w:p>
    <w:p w14:paraId="124802C5">
      <w:pPr>
        <w:pStyle w:val="5"/>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46.1.1投标报价算术复核。评标委员会将对进行否决性条款审查的投标文件投标报价按照就低不就高的原则进行算术复核，具体标准如下：</w:t>
      </w:r>
    </w:p>
    <w:p w14:paraId="314819FF">
      <w:pPr>
        <w:pStyle w:val="5"/>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46.1.1.1数字表述的金额和用文字表述的金额不一致时，应以文字表述的金额为准。</w:t>
      </w:r>
    </w:p>
    <w:p w14:paraId="4722D64E">
      <w:pPr>
        <w:pStyle w:val="5"/>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46.1.1.2经算术复核的投标人报价与其投标报价不一致时，按就低不就高原则确定其最终报价。</w:t>
      </w:r>
    </w:p>
    <w:p w14:paraId="04C88744">
      <w:pPr>
        <w:pStyle w:val="5"/>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46.1.1.3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568035AC">
      <w:pPr>
        <w:pStyle w:val="5"/>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46.1.1.4当合价、金额累加错误时，按就低不就高原则，如果累加修正值小于原累加值，则按累加修正值；如果累加修正值大于原累加值，则按原累加值。</w:t>
      </w:r>
    </w:p>
    <w:p w14:paraId="236ECEB1">
      <w:pPr>
        <w:pStyle w:val="5"/>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46.1.1.5如果投标人的有关规费、所有暂列金额、暂估价等未按招标文件规定的金额填写的，由评标委员会按照招标文件规定的金额进行修正。</w:t>
      </w:r>
    </w:p>
    <w:p w14:paraId="75151D16">
      <w:pPr>
        <w:pStyle w:val="5"/>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46.1.1.6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77975EB9">
      <w:pPr>
        <w:pStyle w:val="5"/>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46.1.1.7按就低不就高原则，当修正后报价小于原报价，总价按修正后报价；当修正后报价大于原报价，总价按原报价，并在签订合同时载明在结算价中扣除修正报价与原报价的差额。</w:t>
      </w:r>
    </w:p>
    <w:p w14:paraId="1B8D60AF">
      <w:pPr>
        <w:pStyle w:val="5"/>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46.1.1.8按上述修正错误的原则及方法调整或修正投标文件的投标报价，调整后的投标报价对投标人起约束作用。如果投标人不接受修正后的报价，则取消其投标资格，并且其投标保证金也将不予退还。以上修正不影响修正前按步骤确定的投标人排序。</w:t>
      </w:r>
    </w:p>
    <w:p w14:paraId="11F7E82D">
      <w:pPr>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46.1.2在评标过程中，评标委员会发现投标人的报价明显低于其他投标报价或者在设有成本警示价时明显低于成本警示价，使得其投标报价可能低于其个别成本的，应当要求该投标人作出书面说明并提供相关证明材料。投标人不能合理说明或者不能提供相关证明材料的，由评标委员会认定该投标人低于成本报价竞标，应当否决其投标。</w:t>
      </w:r>
    </w:p>
    <w:p w14:paraId="3E2C4934">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46.1.3对资格审查合格的投标人进行否决性条款审查，包括串通投标情形的核查、澄清及认定（如有）。投标文件中出现《投标文件否决性条款审查表》中任何一种情形的，评标委员会应否决其投标。如评标委员会成员的评审意见不一致时，以评标委员会过半数成员的意见作为评标委员会对该情形的认定结论。</w:t>
      </w:r>
    </w:p>
    <w:p w14:paraId="5C755E36">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如投标文件评审过程中，投标文件属于串通投标情形之一的（见《投标人串通投标评审表》），</w:t>
      </w:r>
      <w:r>
        <w:rPr>
          <w:rFonts w:ascii="宋体" w:hAnsi="宋体" w:eastAsia="宋体"/>
          <w:color w:val="auto"/>
          <w:sz w:val="24"/>
          <w:szCs w:val="24"/>
          <w:highlight w:val="none"/>
        </w:rPr>
        <w:t>评标委员会</w:t>
      </w:r>
      <w:r>
        <w:rPr>
          <w:rFonts w:hint="eastAsia" w:ascii="宋体" w:hAnsi="宋体" w:eastAsia="宋体"/>
          <w:color w:val="auto"/>
          <w:sz w:val="24"/>
          <w:szCs w:val="24"/>
          <w:highlight w:val="none"/>
        </w:rPr>
        <w:t>应参考投标人的澄清，按招标文件评标办法中《投标人串通投标评审表》的规定进行评审。</w:t>
      </w:r>
    </w:p>
    <w:p w14:paraId="2999D4EB">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46.2</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否决性审查：对投标文件否决性条款审查合格的投标人进行</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否决性审查。投标文件中出现《</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文件否决性条款审查表》中任何一种情形的，评标委员会应否决其投标。如评标委员会成员的评审意见不一致时，以评标委员会过半数成员的意见作为评标委员会对该情形的认定结论。</w:t>
      </w:r>
    </w:p>
    <w:p w14:paraId="3BAAB102">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46.3</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审查评分：评标委员会按照《</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审查评分表》的标准，对通过否决性条款审查的投标文件进行</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审查，评出</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得分。</w:t>
      </w:r>
    </w:p>
    <w:p w14:paraId="6AA8292C">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46.4在评标委员会全体成员均完成暗标评审和汇总后，由评标委员会确定投标人与暗标编号的对应关系，并在</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标号确认表上签字确认。</w:t>
      </w:r>
    </w:p>
    <w:p w14:paraId="514E9D58">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46.5</w:t>
      </w:r>
      <w:r>
        <w:rPr>
          <w:rFonts w:hint="eastAsia" w:ascii="宋体" w:hAnsi="宋体" w:eastAsia="宋体"/>
          <w:color w:val="auto"/>
          <w:sz w:val="24"/>
          <w:szCs w:val="24"/>
          <w:highlight w:val="none"/>
          <w:lang w:eastAsia="zh-CN"/>
        </w:rPr>
        <w:t>技术部分（项目实施能力）</w:t>
      </w:r>
      <w:r>
        <w:rPr>
          <w:rFonts w:hint="eastAsia" w:ascii="宋体" w:hAnsi="宋体" w:eastAsia="宋体"/>
          <w:color w:val="auto"/>
          <w:sz w:val="24"/>
          <w:szCs w:val="24"/>
          <w:highlight w:val="none"/>
        </w:rPr>
        <w:t>审查评分：评标委员会按照《</w:t>
      </w:r>
      <w:r>
        <w:rPr>
          <w:rFonts w:hint="eastAsia" w:ascii="宋体" w:hAnsi="宋体" w:eastAsia="宋体"/>
          <w:color w:val="auto"/>
          <w:sz w:val="24"/>
          <w:szCs w:val="24"/>
          <w:highlight w:val="none"/>
          <w:lang w:eastAsia="zh-CN"/>
        </w:rPr>
        <w:t>技术部分（项目实施能力）</w:t>
      </w:r>
      <w:r>
        <w:rPr>
          <w:rFonts w:hint="eastAsia" w:ascii="宋体" w:hAnsi="宋体" w:eastAsia="宋体"/>
          <w:color w:val="auto"/>
          <w:sz w:val="24"/>
          <w:szCs w:val="24"/>
          <w:highlight w:val="none"/>
        </w:rPr>
        <w:t>审查评分表》的标准，对通过否决性条款审查的投标文件进行详细审查，评出</w:t>
      </w:r>
      <w:r>
        <w:rPr>
          <w:rFonts w:hint="eastAsia" w:ascii="宋体" w:hAnsi="宋体" w:eastAsia="宋体"/>
          <w:color w:val="auto"/>
          <w:sz w:val="24"/>
          <w:szCs w:val="24"/>
          <w:highlight w:val="none"/>
          <w:lang w:eastAsia="zh-CN"/>
        </w:rPr>
        <w:t>技术部分（项目实施能力）</w:t>
      </w:r>
      <w:r>
        <w:rPr>
          <w:rFonts w:hint="eastAsia" w:ascii="宋体" w:hAnsi="宋体" w:eastAsia="宋体"/>
          <w:color w:val="auto"/>
          <w:sz w:val="24"/>
          <w:szCs w:val="24"/>
          <w:highlight w:val="none"/>
        </w:rPr>
        <w:t>得分。</w:t>
      </w:r>
    </w:p>
    <w:p w14:paraId="6F6F8742">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46.6对通过否决性条款审查的投标人的投标报价进行评分</w:t>
      </w:r>
    </w:p>
    <w:p w14:paraId="0FB04B10">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46.6.1以通过否决性条款审查的投标人中，随机抽取一半数量（四舍五入取整数）的投标报价，取其算术平均值下浮X作为评标参考价。（例：通过否决性条款审查的投标人的报价为3家，随机抽取2家投标人报价的算术平均值下浮X作为评标参考价。）</w:t>
      </w:r>
    </w:p>
    <w:p w14:paraId="4AF79D45">
      <w:pP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46.6.2当报价等于评标参考价时得100分，报价每高于评标参考价1%，扣1.5分，每低于评标参考价1%，扣1分，扣至0分为止，得出报价得分，得分按四舍五入的原则保留两位小数。</w:t>
      </w:r>
    </w:p>
    <w:p w14:paraId="63C3772D">
      <w:pPr>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46.7计算通过否决性条款审查的投标人综合得分</w:t>
      </w:r>
    </w:p>
    <w:p w14:paraId="0555A207">
      <w:pPr>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46.7.1权重分配：技术部分（施工组织方案）得分权重</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%，技术部分（项目实施能力）得分权重</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%，报价得分权重</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%，诚信综合评价得分权重</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0B626CFA">
      <w:pPr>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复杂和大型工程，技术部分（施工组织方案）得分权重不少于10%，报价得分权重不少于60%，诚信综合评价得分权重占0%-5%；其他工程，技术部分（施工组织方案）得分权重不少于5%，报价得分权重不少于80%，诚信综合评价得分权重占0-</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%。技术部分（项目实施能力）权重=100-技术部分（施工组织方案）得分权重-报价得分权重-诚信综合评价得分权重。企业诚信综合评价得分，以开标当天广州公共资源交易网站上公布的得分为准。</w:t>
      </w:r>
    </w:p>
    <w:p w14:paraId="242EE21D">
      <w:pPr>
        <w:spacing w:line="360" w:lineRule="auto"/>
        <w:ind w:firstLine="523" w:firstLineChars="218"/>
        <w:rPr>
          <w:rFonts w:ascii="宋体" w:hAnsi="宋体" w:eastAsia="宋体"/>
          <w:color w:val="auto"/>
          <w:sz w:val="24"/>
          <w:szCs w:val="24"/>
          <w:highlight w:val="none"/>
        </w:rPr>
      </w:pPr>
      <w:r>
        <w:rPr>
          <w:rFonts w:hint="eastAsia" w:ascii="宋体" w:hAnsi="宋体" w:eastAsia="宋体"/>
          <w:color w:val="auto"/>
          <w:sz w:val="24"/>
          <w:szCs w:val="24"/>
          <w:highlight w:val="none"/>
        </w:rPr>
        <w:t>46.7.2投标人综合得分=</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得分×</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得分权重+</w:t>
      </w:r>
      <w:r>
        <w:rPr>
          <w:rFonts w:hint="eastAsia" w:ascii="宋体" w:hAnsi="宋体" w:eastAsia="宋体"/>
          <w:color w:val="auto"/>
          <w:sz w:val="24"/>
          <w:szCs w:val="24"/>
          <w:highlight w:val="none"/>
          <w:lang w:eastAsia="zh-CN"/>
        </w:rPr>
        <w:t>技术部分（项目实施能力）</w:t>
      </w:r>
      <w:r>
        <w:rPr>
          <w:rFonts w:hint="eastAsia" w:ascii="宋体" w:hAnsi="宋体" w:eastAsia="宋体"/>
          <w:color w:val="auto"/>
          <w:sz w:val="24"/>
          <w:szCs w:val="24"/>
          <w:highlight w:val="none"/>
        </w:rPr>
        <w:t>得分×</w:t>
      </w:r>
      <w:r>
        <w:rPr>
          <w:rFonts w:hint="eastAsia" w:ascii="宋体" w:hAnsi="宋体" w:eastAsia="宋体"/>
          <w:color w:val="auto"/>
          <w:sz w:val="24"/>
          <w:szCs w:val="24"/>
          <w:highlight w:val="none"/>
          <w:lang w:eastAsia="zh-CN"/>
        </w:rPr>
        <w:t>技术部分（项目实施能力）</w:t>
      </w:r>
      <w:r>
        <w:rPr>
          <w:rFonts w:hint="eastAsia" w:ascii="宋体" w:hAnsi="宋体" w:eastAsia="宋体"/>
          <w:color w:val="auto"/>
          <w:sz w:val="24"/>
          <w:szCs w:val="24"/>
          <w:highlight w:val="none"/>
        </w:rPr>
        <w:t>得分权重+报价得分×报价得分权重+诚信综合评价排名得分×诚信综合评价排名得分权重。投标人综合得分满分为100分。</w:t>
      </w:r>
    </w:p>
    <w:p w14:paraId="241828E1">
      <w:pP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46.8评标委员会按照各有效投标人的综合得分从高到低排列先后次序。综合得分相同的，以诚信综合评价排名靠前的排前；如仍存在相同情况，则对具有相同情况的投标人，按中标候选人数量规定，由评标委员会采用记名投票方式，确定中标候选人的排序。</w:t>
      </w:r>
    </w:p>
    <w:p w14:paraId="015F339D">
      <w:pPr>
        <w:pStyle w:val="5"/>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46.9评标结束后，评标委员会按照第41条要求向招标人推荐中标候选人，并编制评标报告。评标报告由评标委员会全体签名，对评标结论有异议的评标委员会成员可以书面阐述其不同意见和理由。评标委员会在评标报告提交后随即解散，评标过程中使用的文件、表格以及其他资料应当及时归还招标人（或招标代理）。</w:t>
      </w:r>
    </w:p>
    <w:p w14:paraId="247EA872">
      <w:pP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46.10资格审查合格的</w:t>
      </w:r>
      <w:r>
        <w:rPr>
          <w:rFonts w:hint="eastAsia" w:ascii="宋体" w:hAnsi="宋体" w:eastAsia="宋体"/>
          <w:color w:val="auto"/>
          <w:sz w:val="24"/>
          <w:szCs w:val="24"/>
          <w:highlight w:val="none"/>
          <w:lang w:eastAsia="zh-CN"/>
        </w:rPr>
        <w:t>投标人</w:t>
      </w:r>
      <w:r>
        <w:rPr>
          <w:rFonts w:hint="eastAsia" w:ascii="宋体" w:hAnsi="宋体" w:eastAsia="宋体"/>
          <w:color w:val="auto"/>
          <w:sz w:val="24"/>
          <w:szCs w:val="24"/>
          <w:highlight w:val="none"/>
        </w:rPr>
        <w:t>或通过否决定性条款审查的投标人少于3个的，应修正招标方案，重新招标（当N个标段同时招标且不允许兼中时，资格审查合格的</w:t>
      </w:r>
      <w:r>
        <w:rPr>
          <w:rFonts w:hint="eastAsia" w:ascii="宋体" w:hAnsi="宋体" w:eastAsia="宋体"/>
          <w:color w:val="auto"/>
          <w:sz w:val="24"/>
          <w:szCs w:val="24"/>
          <w:highlight w:val="none"/>
          <w:lang w:eastAsia="zh-CN"/>
        </w:rPr>
        <w:t>投标人</w:t>
      </w:r>
      <w:r>
        <w:rPr>
          <w:rFonts w:hint="eastAsia" w:ascii="宋体" w:hAnsi="宋体" w:eastAsia="宋体"/>
          <w:color w:val="auto"/>
          <w:sz w:val="24"/>
          <w:szCs w:val="24"/>
          <w:highlight w:val="none"/>
        </w:rPr>
        <w:t>或有效投标人少于N+2个的，应修正招标方案，重新招标）。</w:t>
      </w:r>
    </w:p>
    <w:p w14:paraId="5F389624">
      <w:pPr>
        <w:spacing w:line="360" w:lineRule="auto"/>
        <w:ind w:firstLine="523" w:firstLineChars="218"/>
        <w:rPr>
          <w:rFonts w:hint="eastAsia" w:ascii="宋体" w:hAnsi="宋体" w:eastAsia="宋体"/>
          <w:color w:val="auto"/>
          <w:sz w:val="24"/>
          <w:szCs w:val="24"/>
          <w:highlight w:val="none"/>
        </w:rPr>
      </w:pPr>
    </w:p>
    <w:p w14:paraId="567FFA47">
      <w:pPr>
        <w:spacing w:line="360" w:lineRule="auto"/>
        <w:ind w:firstLine="523" w:firstLineChars="218"/>
        <w:rPr>
          <w:rFonts w:hint="eastAsia" w:ascii="宋体" w:hAnsi="宋体" w:eastAsia="宋体"/>
          <w:color w:val="auto"/>
          <w:sz w:val="24"/>
          <w:szCs w:val="24"/>
          <w:highlight w:val="none"/>
        </w:rPr>
      </w:pPr>
    </w:p>
    <w:p w14:paraId="7D39CC10">
      <w:pPr>
        <w:spacing w:line="360" w:lineRule="auto"/>
        <w:ind w:firstLine="523" w:firstLineChars="218"/>
        <w:rPr>
          <w:rFonts w:hint="eastAsia" w:ascii="宋体" w:hAnsi="宋体" w:eastAsia="宋体"/>
          <w:color w:val="auto"/>
          <w:sz w:val="24"/>
          <w:szCs w:val="24"/>
          <w:highlight w:val="none"/>
        </w:rPr>
      </w:pPr>
    </w:p>
    <w:p w14:paraId="58E34EB7">
      <w:pPr>
        <w:spacing w:line="360" w:lineRule="auto"/>
        <w:ind w:firstLine="523" w:firstLineChars="218"/>
        <w:rPr>
          <w:rFonts w:hint="eastAsia" w:ascii="宋体" w:hAnsi="宋体" w:eastAsia="宋体"/>
          <w:color w:val="auto"/>
          <w:sz w:val="24"/>
          <w:szCs w:val="24"/>
          <w:highlight w:val="none"/>
        </w:rPr>
      </w:pPr>
    </w:p>
    <w:p w14:paraId="3C493555">
      <w:pPr>
        <w:spacing w:line="360" w:lineRule="auto"/>
        <w:ind w:firstLine="523" w:firstLineChars="218"/>
        <w:rPr>
          <w:rFonts w:hint="eastAsia" w:ascii="宋体" w:hAnsi="宋体" w:eastAsia="宋体"/>
          <w:color w:val="auto"/>
          <w:sz w:val="24"/>
          <w:szCs w:val="24"/>
          <w:highlight w:val="none"/>
        </w:rPr>
      </w:pPr>
    </w:p>
    <w:p w14:paraId="34A24B2E">
      <w:pPr>
        <w:spacing w:line="360" w:lineRule="auto"/>
        <w:ind w:firstLine="523" w:firstLineChars="218"/>
        <w:rPr>
          <w:rFonts w:hint="eastAsia" w:ascii="宋体" w:hAnsi="宋体" w:eastAsia="宋体"/>
          <w:color w:val="auto"/>
          <w:sz w:val="24"/>
          <w:szCs w:val="24"/>
          <w:highlight w:val="none"/>
        </w:rPr>
      </w:pPr>
    </w:p>
    <w:p w14:paraId="6980A5EE">
      <w:pPr>
        <w:spacing w:line="360" w:lineRule="auto"/>
        <w:ind w:firstLine="523" w:firstLineChars="218"/>
        <w:rPr>
          <w:rFonts w:hint="eastAsia" w:ascii="宋体" w:hAnsi="宋体" w:eastAsia="宋体"/>
          <w:color w:val="auto"/>
          <w:sz w:val="24"/>
          <w:szCs w:val="24"/>
          <w:highlight w:val="none"/>
        </w:rPr>
      </w:pPr>
    </w:p>
    <w:p w14:paraId="62ECF562">
      <w:pPr>
        <w:spacing w:line="360" w:lineRule="auto"/>
        <w:ind w:firstLine="523" w:firstLineChars="218"/>
        <w:rPr>
          <w:rFonts w:hint="eastAsia" w:ascii="宋体" w:hAnsi="宋体" w:eastAsia="宋体"/>
          <w:color w:val="auto"/>
          <w:sz w:val="24"/>
          <w:szCs w:val="24"/>
          <w:highlight w:val="none"/>
        </w:rPr>
      </w:pPr>
    </w:p>
    <w:p w14:paraId="57EAAF69">
      <w:pPr>
        <w:spacing w:line="360" w:lineRule="auto"/>
        <w:ind w:firstLine="523" w:firstLineChars="218"/>
        <w:rPr>
          <w:rFonts w:hint="eastAsia" w:ascii="宋体" w:hAnsi="宋体" w:eastAsia="宋体"/>
          <w:color w:val="auto"/>
          <w:sz w:val="24"/>
          <w:szCs w:val="24"/>
          <w:highlight w:val="none"/>
        </w:rPr>
      </w:pPr>
    </w:p>
    <w:p w14:paraId="6A4E5F84">
      <w:pPr>
        <w:spacing w:line="360" w:lineRule="auto"/>
        <w:ind w:firstLine="523" w:firstLineChars="218"/>
        <w:rPr>
          <w:rFonts w:hint="eastAsia" w:ascii="宋体" w:hAnsi="宋体" w:eastAsia="宋体"/>
          <w:color w:val="auto"/>
          <w:sz w:val="24"/>
          <w:szCs w:val="24"/>
          <w:highlight w:val="none"/>
        </w:rPr>
      </w:pPr>
    </w:p>
    <w:p w14:paraId="7EF9C0BF">
      <w:pPr>
        <w:spacing w:line="360" w:lineRule="auto"/>
        <w:ind w:firstLine="523" w:firstLineChars="218"/>
        <w:rPr>
          <w:rFonts w:hint="eastAsia" w:ascii="宋体" w:hAnsi="宋体" w:eastAsia="宋体"/>
          <w:color w:val="auto"/>
          <w:sz w:val="24"/>
          <w:szCs w:val="24"/>
          <w:highlight w:val="none"/>
        </w:rPr>
      </w:pPr>
    </w:p>
    <w:p w14:paraId="2CC1A763">
      <w:pPr>
        <w:spacing w:line="360" w:lineRule="auto"/>
        <w:ind w:firstLine="523" w:firstLineChars="218"/>
        <w:rPr>
          <w:rFonts w:hint="eastAsia" w:ascii="宋体" w:hAnsi="宋体" w:eastAsia="宋体"/>
          <w:color w:val="auto"/>
          <w:sz w:val="24"/>
          <w:szCs w:val="24"/>
          <w:highlight w:val="none"/>
        </w:rPr>
      </w:pPr>
    </w:p>
    <w:p w14:paraId="001D8625">
      <w:pPr>
        <w:spacing w:line="360" w:lineRule="auto"/>
        <w:ind w:firstLine="523" w:firstLineChars="218"/>
        <w:rPr>
          <w:rFonts w:hint="eastAsia" w:ascii="宋体" w:hAnsi="宋体" w:eastAsia="宋体"/>
          <w:color w:val="auto"/>
          <w:sz w:val="24"/>
          <w:szCs w:val="24"/>
          <w:highlight w:val="none"/>
        </w:rPr>
      </w:pPr>
    </w:p>
    <w:p w14:paraId="7DC4CDA6">
      <w:pPr>
        <w:spacing w:line="360" w:lineRule="auto"/>
        <w:ind w:firstLine="523" w:firstLineChars="218"/>
        <w:rPr>
          <w:rFonts w:hint="eastAsia" w:ascii="宋体" w:hAnsi="宋体" w:eastAsia="宋体"/>
          <w:color w:val="auto"/>
          <w:sz w:val="24"/>
          <w:szCs w:val="24"/>
          <w:highlight w:val="none"/>
        </w:rPr>
      </w:pPr>
    </w:p>
    <w:p w14:paraId="77285E04">
      <w:pPr>
        <w:spacing w:line="360" w:lineRule="auto"/>
        <w:ind w:firstLine="523" w:firstLineChars="218"/>
        <w:rPr>
          <w:rFonts w:hint="eastAsia" w:ascii="宋体" w:hAnsi="宋体" w:eastAsia="宋体"/>
          <w:color w:val="auto"/>
          <w:sz w:val="24"/>
          <w:szCs w:val="24"/>
          <w:highlight w:val="none"/>
        </w:rPr>
      </w:pPr>
    </w:p>
    <w:p w14:paraId="43A2F738">
      <w:pPr>
        <w:spacing w:line="360" w:lineRule="auto"/>
        <w:ind w:firstLine="523" w:firstLineChars="218"/>
        <w:rPr>
          <w:rFonts w:hint="eastAsia" w:ascii="宋体" w:hAnsi="宋体" w:eastAsia="宋体"/>
          <w:color w:val="auto"/>
          <w:sz w:val="24"/>
          <w:szCs w:val="24"/>
          <w:highlight w:val="none"/>
        </w:rPr>
      </w:pPr>
    </w:p>
    <w:p w14:paraId="5499DBC1">
      <w:pPr>
        <w:spacing w:line="360" w:lineRule="auto"/>
        <w:ind w:firstLine="523" w:firstLineChars="218"/>
        <w:rPr>
          <w:rFonts w:hint="eastAsia" w:ascii="宋体" w:hAnsi="宋体" w:eastAsia="宋体"/>
          <w:color w:val="auto"/>
          <w:sz w:val="24"/>
          <w:szCs w:val="24"/>
          <w:highlight w:val="none"/>
        </w:rPr>
      </w:pPr>
    </w:p>
    <w:p w14:paraId="02666050">
      <w:pPr>
        <w:pStyle w:val="8"/>
        <w:spacing w:before="120"/>
        <w:rPr>
          <w:rFonts w:hint="eastAsia" w:ascii="宋体" w:eastAsia="宋体"/>
          <w:strike/>
          <w:dstrike w:val="0"/>
          <w:color w:val="auto"/>
          <w:highlight w:val="none"/>
        </w:rPr>
      </w:pPr>
      <w:bookmarkStart w:id="223" w:name="_Toc18710"/>
      <w:bookmarkStart w:id="224" w:name="_Toc664"/>
      <w:bookmarkStart w:id="225" w:name="_Toc17900"/>
      <w:r>
        <w:rPr>
          <w:rFonts w:hint="eastAsia" w:ascii="宋体" w:eastAsia="宋体"/>
          <w:strike/>
          <w:dstrike w:val="0"/>
          <w:color w:val="auto"/>
          <w:highlight w:val="none"/>
        </w:rPr>
        <w:t>可选办法</w:t>
      </w:r>
      <w:r>
        <w:rPr>
          <w:rFonts w:hint="eastAsia" w:ascii="宋体" w:eastAsia="宋体"/>
          <w:strike/>
          <w:dstrike w:val="0"/>
          <w:color w:val="auto"/>
          <w:highlight w:val="none"/>
          <w:lang w:eastAsia="zh-CN"/>
        </w:rPr>
        <w:t>二</w:t>
      </w:r>
      <w:r>
        <w:rPr>
          <w:rFonts w:hint="eastAsia" w:ascii="宋体" w:eastAsia="宋体"/>
          <w:strike/>
          <w:dstrike w:val="0"/>
          <w:color w:val="auto"/>
          <w:highlight w:val="none"/>
        </w:rPr>
        <w:t xml:space="preserve">  经评审的最低投标价法或者法律法规规定的其他评标方法</w:t>
      </w:r>
      <w:bookmarkEnd w:id="223"/>
      <w:bookmarkEnd w:id="224"/>
      <w:bookmarkEnd w:id="225"/>
    </w:p>
    <w:p w14:paraId="5B8A9D03">
      <w:pPr>
        <w:spacing w:line="360" w:lineRule="auto"/>
        <w:ind w:firstLine="523" w:firstLineChars="218"/>
        <w:jc w:val="center"/>
        <w:rPr>
          <w:rFonts w:hint="eastAsia" w:ascii="宋体" w:eastAsia="宋体"/>
          <w:strike/>
          <w:dstrike w:val="0"/>
          <w:color w:val="auto"/>
          <w:sz w:val="24"/>
          <w:szCs w:val="24"/>
          <w:highlight w:val="none"/>
          <w:lang w:eastAsia="zh-CN"/>
        </w:rPr>
        <w:sectPr>
          <w:headerReference r:id="rId4" w:type="default"/>
          <w:footerReference r:id="rId5" w:type="default"/>
          <w:endnotePr>
            <w:numFmt w:val="decimal"/>
          </w:endnotePr>
          <w:pgSz w:w="11850" w:h="16783"/>
          <w:pgMar w:top="1440" w:right="1418" w:bottom="1440" w:left="1418" w:header="851" w:footer="907" w:gutter="0"/>
          <w:pgNumType w:fmt="decimal" w:start="1"/>
          <w:cols w:space="720" w:num="1"/>
        </w:sectPr>
      </w:pPr>
      <w:r>
        <w:rPr>
          <w:rFonts w:hint="eastAsia" w:ascii="宋体" w:eastAsia="宋体"/>
          <w:strike/>
          <w:dstrike w:val="0"/>
          <w:color w:val="auto"/>
          <w:sz w:val="24"/>
          <w:szCs w:val="24"/>
          <w:highlight w:val="none"/>
          <w:lang w:eastAsia="zh-CN"/>
        </w:rPr>
        <w:t>（由招标人自行拟定）</w:t>
      </w:r>
    </w:p>
    <w:p w14:paraId="390A6D4F">
      <w:pPr>
        <w:spacing w:line="360" w:lineRule="auto"/>
        <w:outlineLvl w:val="2"/>
        <w:rPr>
          <w:rFonts w:ascii="宋体" w:hAnsi="宋体" w:eastAsia="宋体"/>
          <w:color w:val="auto"/>
          <w:sz w:val="24"/>
          <w:szCs w:val="24"/>
          <w:highlight w:val="none"/>
        </w:rPr>
      </w:pPr>
      <w:bookmarkStart w:id="226" w:name="_Toc23636"/>
      <w:bookmarkStart w:id="227" w:name="_Toc18676"/>
      <w:bookmarkStart w:id="228" w:name="_Toc10355"/>
      <w:bookmarkStart w:id="229" w:name="_Toc1527"/>
      <w:r>
        <w:rPr>
          <w:rFonts w:hint="eastAsia" w:ascii="宋体" w:hAnsi="宋体" w:eastAsia="宋体"/>
          <w:color w:val="auto"/>
          <w:sz w:val="24"/>
          <w:szCs w:val="24"/>
          <w:highlight w:val="none"/>
        </w:rPr>
        <w:t>附件1</w:t>
      </w:r>
      <w:bookmarkEnd w:id="226"/>
      <w:bookmarkEnd w:id="227"/>
      <w:bookmarkEnd w:id="228"/>
      <w:bookmarkEnd w:id="229"/>
    </w:p>
    <w:p w14:paraId="364DE198">
      <w:pPr>
        <w:ind w:right="-437" w:rightChars="-208"/>
        <w:jc w:val="center"/>
        <w:rPr>
          <w:rFonts w:hint="eastAsia" w:ascii="宋体" w:hAnsi="宋体" w:eastAsia="宋体"/>
          <w:b/>
          <w:color w:val="auto"/>
          <w:sz w:val="32"/>
          <w:szCs w:val="32"/>
          <w:highlight w:val="none"/>
        </w:rPr>
      </w:pPr>
      <w:r>
        <w:rPr>
          <w:rFonts w:hint="eastAsia" w:ascii="宋体" w:hAnsi="宋体" w:eastAsia="宋体"/>
          <w:b/>
          <w:color w:val="auto"/>
          <w:sz w:val="32"/>
          <w:szCs w:val="32"/>
          <w:highlight w:val="none"/>
        </w:rPr>
        <w:t>开标记录表</w:t>
      </w:r>
    </w:p>
    <w:p w14:paraId="5B6507D3">
      <w:pPr>
        <w:jc w:val="center"/>
        <w:rPr>
          <w:rFonts w:hint="eastAsia" w:ascii="宋体" w:hAnsi="宋体" w:eastAsia="宋体"/>
          <w:b/>
          <w:color w:val="auto"/>
          <w:szCs w:val="21"/>
          <w:highlight w:val="none"/>
        </w:rPr>
      </w:pPr>
    </w:p>
    <w:p w14:paraId="3A11F295">
      <w:pPr>
        <w:rPr>
          <w:rFonts w:hint="eastAsia" w:ascii="宋体" w:hAnsi="宋体" w:eastAsia="宋体"/>
          <w:color w:val="auto"/>
          <w:szCs w:val="21"/>
          <w:highlight w:val="none"/>
        </w:rPr>
      </w:pPr>
      <w:r>
        <w:rPr>
          <w:rFonts w:hint="eastAsia" w:ascii="宋体" w:hAnsi="宋体" w:eastAsia="宋体"/>
          <w:color w:val="auto"/>
          <w:szCs w:val="21"/>
          <w:highlight w:val="none"/>
        </w:rPr>
        <w:t>开标地点：                                                                        开标时间：   年   月   日   时   分</w:t>
      </w:r>
    </w:p>
    <w:p w14:paraId="1361A3CF">
      <w:pPr>
        <w:spacing w:line="360" w:lineRule="auto"/>
        <w:rPr>
          <w:rFonts w:hint="eastAsia" w:ascii="宋体" w:hAnsi="宋体" w:eastAsia="宋体"/>
          <w:color w:val="auto"/>
          <w:szCs w:val="21"/>
          <w:highlight w:val="none"/>
        </w:rPr>
      </w:pPr>
      <w:r>
        <w:rPr>
          <w:rFonts w:hint="eastAsia" w:ascii="宋体" w:hAnsi="宋体" w:eastAsia="宋体"/>
          <w:strike w:val="0"/>
          <w:color w:val="auto"/>
          <w:szCs w:val="21"/>
          <w:highlight w:val="none"/>
        </w:rPr>
        <w:t xml:space="preserve">评标参考价下浮点数：   % </w:t>
      </w:r>
      <w:r>
        <w:rPr>
          <w:rFonts w:hint="eastAsia" w:ascii="宋体" w:hAnsi="宋体" w:eastAsia="宋体"/>
          <w:color w:val="auto"/>
          <w:szCs w:val="21"/>
          <w:highlight w:val="none"/>
        </w:rPr>
        <w:t xml:space="preserve">                                                         最高投标限价：          （元）</w:t>
      </w:r>
    </w:p>
    <w:p w14:paraId="04A6DF48">
      <w:pPr>
        <w:spacing w:line="360" w:lineRule="auto"/>
        <w:rPr>
          <w:rFonts w:hint="eastAsia" w:ascii="宋体" w:hAnsi="宋体" w:eastAsia="宋体"/>
          <w:color w:val="auto"/>
          <w:szCs w:val="21"/>
          <w:highlight w:val="none"/>
        </w:rPr>
      </w:pPr>
    </w:p>
    <w:tbl>
      <w:tblPr>
        <w:tblStyle w:val="29"/>
        <w:tblW w:w="14904" w:type="dxa"/>
        <w:tblInd w:w="0" w:type="dxa"/>
        <w:tblLayout w:type="fixed"/>
        <w:tblCellMar>
          <w:top w:w="0" w:type="dxa"/>
          <w:left w:w="0" w:type="dxa"/>
          <w:bottom w:w="0" w:type="dxa"/>
          <w:right w:w="0" w:type="dxa"/>
        </w:tblCellMar>
      </w:tblPr>
      <w:tblGrid>
        <w:gridCol w:w="706"/>
        <w:gridCol w:w="803"/>
        <w:gridCol w:w="1101"/>
        <w:gridCol w:w="870"/>
        <w:gridCol w:w="870"/>
        <w:gridCol w:w="769"/>
        <w:gridCol w:w="803"/>
        <w:gridCol w:w="627"/>
        <w:gridCol w:w="611"/>
        <w:gridCol w:w="767"/>
        <w:gridCol w:w="855"/>
        <w:gridCol w:w="1116"/>
        <w:gridCol w:w="768"/>
        <w:gridCol w:w="785"/>
        <w:gridCol w:w="942"/>
        <w:gridCol w:w="784"/>
        <w:gridCol w:w="768"/>
        <w:gridCol w:w="959"/>
      </w:tblGrid>
      <w:tr w14:paraId="5E6C05D3">
        <w:tblPrEx>
          <w:tblCellMar>
            <w:top w:w="0" w:type="dxa"/>
            <w:left w:w="0" w:type="dxa"/>
            <w:bottom w:w="0" w:type="dxa"/>
            <w:right w:w="0" w:type="dxa"/>
          </w:tblCellMar>
        </w:tblPrEx>
        <w:trPr>
          <w:trHeight w:val="780" w:hRule="atLeast"/>
        </w:trPr>
        <w:tc>
          <w:tcPr>
            <w:tcW w:w="70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4699B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80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80818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投标人名称</w:t>
            </w:r>
          </w:p>
        </w:tc>
        <w:tc>
          <w:tcPr>
            <w:tcW w:w="11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B9FFB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投标文件是否解密</w:t>
            </w:r>
          </w:p>
        </w:tc>
        <w:tc>
          <w:tcPr>
            <w:tcW w:w="8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0E87C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电子标书递交是否成功</w:t>
            </w:r>
          </w:p>
        </w:tc>
        <w:tc>
          <w:tcPr>
            <w:tcW w:w="8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281DA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法定代表人证明书及授权委托书</w:t>
            </w:r>
          </w:p>
        </w:tc>
        <w:tc>
          <w:tcPr>
            <w:tcW w:w="7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EDF9E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项目负责人</w:t>
            </w:r>
          </w:p>
        </w:tc>
        <w:tc>
          <w:tcPr>
            <w:tcW w:w="80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D584D2">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专职安全员</w:t>
            </w:r>
          </w:p>
        </w:tc>
        <w:tc>
          <w:tcPr>
            <w:tcW w:w="123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871438">
            <w:pPr>
              <w:keepNext w:val="0"/>
              <w:keepLines w:val="0"/>
              <w:widowControl/>
              <w:suppressLineNumbers w:val="0"/>
              <w:jc w:val="center"/>
              <w:textAlignment w:val="center"/>
              <w:rPr>
                <w:rFonts w:hint="eastAsia" w:ascii="宋体" w:hAnsi="宋体" w:eastAsia="宋体" w:cs="宋体"/>
                <w:i w:val="0"/>
                <w:strike/>
                <w:dstrike w:val="0"/>
                <w:color w:val="auto"/>
                <w:sz w:val="21"/>
                <w:szCs w:val="21"/>
                <w:highlight w:val="none"/>
                <w:u w:val="none"/>
              </w:rPr>
            </w:pPr>
            <w:r>
              <w:rPr>
                <w:rFonts w:hint="eastAsia" w:ascii="宋体" w:hAnsi="宋体" w:eastAsia="宋体" w:cs="宋体"/>
                <w:i w:val="0"/>
                <w:strike/>
                <w:dstrike w:val="0"/>
                <w:color w:val="auto"/>
                <w:kern w:val="0"/>
                <w:sz w:val="21"/>
                <w:szCs w:val="21"/>
                <w:highlight w:val="none"/>
                <w:u w:val="none"/>
                <w:lang w:val="en-US" w:eastAsia="zh-CN" w:bidi="ar"/>
              </w:rPr>
              <w:t>投标保证金（元）</w:t>
            </w:r>
          </w:p>
        </w:tc>
        <w:tc>
          <w:tcPr>
            <w:tcW w:w="7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2604A1">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投标总报价（元）</w:t>
            </w:r>
          </w:p>
        </w:tc>
        <w:tc>
          <w:tcPr>
            <w:tcW w:w="8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7A77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其中：人工费（元）</w:t>
            </w:r>
          </w:p>
        </w:tc>
        <w:tc>
          <w:tcPr>
            <w:tcW w:w="11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3F847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其中：绿色施工安全防护措施费（元）</w:t>
            </w:r>
          </w:p>
        </w:tc>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44A38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总工期</w:t>
            </w:r>
          </w:p>
        </w:tc>
        <w:tc>
          <w:tcPr>
            <w:tcW w:w="7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37E49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工程质量标准</w:t>
            </w:r>
          </w:p>
        </w:tc>
        <w:tc>
          <w:tcPr>
            <w:tcW w:w="9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407F6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施工组织设计承诺书</w:t>
            </w:r>
          </w:p>
        </w:tc>
        <w:tc>
          <w:tcPr>
            <w:tcW w:w="78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EEFC7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是否有效投标</w:t>
            </w:r>
          </w:p>
        </w:tc>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4F252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无效原因</w:t>
            </w:r>
          </w:p>
        </w:tc>
        <w:tc>
          <w:tcPr>
            <w:tcW w:w="95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EC605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投标人签名确认</w:t>
            </w:r>
          </w:p>
        </w:tc>
      </w:tr>
      <w:tr w14:paraId="757D586A">
        <w:tblPrEx>
          <w:tblCellMar>
            <w:top w:w="0" w:type="dxa"/>
            <w:left w:w="0" w:type="dxa"/>
            <w:bottom w:w="0" w:type="dxa"/>
            <w:right w:w="0" w:type="dxa"/>
          </w:tblCellMar>
        </w:tblPrEx>
        <w:trPr>
          <w:trHeight w:val="1020" w:hRule="atLeast"/>
        </w:trPr>
        <w:tc>
          <w:tcPr>
            <w:tcW w:w="7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A6A415">
            <w:pPr>
              <w:jc w:val="center"/>
              <w:rPr>
                <w:rFonts w:hint="eastAsia" w:ascii="宋体" w:hAnsi="宋体" w:eastAsia="宋体" w:cs="宋体"/>
                <w:i w:val="0"/>
                <w:color w:val="auto"/>
                <w:sz w:val="21"/>
                <w:szCs w:val="21"/>
                <w:highlight w:val="none"/>
                <w:u w:val="none"/>
              </w:rPr>
            </w:pPr>
          </w:p>
        </w:tc>
        <w:tc>
          <w:tcPr>
            <w:tcW w:w="8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7C5804">
            <w:pPr>
              <w:jc w:val="center"/>
              <w:rPr>
                <w:rFonts w:hint="eastAsia" w:ascii="宋体" w:hAnsi="宋体" w:eastAsia="宋体" w:cs="宋体"/>
                <w:i w:val="0"/>
                <w:color w:val="auto"/>
                <w:sz w:val="21"/>
                <w:szCs w:val="21"/>
                <w:highlight w:val="none"/>
                <w:u w:val="none"/>
              </w:rPr>
            </w:pPr>
          </w:p>
        </w:tc>
        <w:tc>
          <w:tcPr>
            <w:tcW w:w="11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10D8D4">
            <w:pPr>
              <w:jc w:val="center"/>
              <w:rPr>
                <w:rFonts w:hint="eastAsia" w:ascii="宋体" w:hAnsi="宋体" w:eastAsia="宋体" w:cs="宋体"/>
                <w:i w:val="0"/>
                <w:color w:val="auto"/>
                <w:sz w:val="21"/>
                <w:szCs w:val="21"/>
                <w:highlight w:val="none"/>
                <w:u w:val="none"/>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DDFA32">
            <w:pPr>
              <w:jc w:val="center"/>
              <w:rPr>
                <w:rFonts w:hint="eastAsia" w:ascii="宋体" w:hAnsi="宋体" w:eastAsia="宋体" w:cs="宋体"/>
                <w:i w:val="0"/>
                <w:color w:val="auto"/>
                <w:sz w:val="21"/>
                <w:szCs w:val="21"/>
                <w:highlight w:val="none"/>
                <w:u w:val="none"/>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D45754">
            <w:pPr>
              <w:jc w:val="center"/>
              <w:rPr>
                <w:rFonts w:hint="eastAsia" w:ascii="宋体" w:hAnsi="宋体" w:eastAsia="宋体" w:cs="宋体"/>
                <w:i w:val="0"/>
                <w:color w:val="auto"/>
                <w:sz w:val="21"/>
                <w:szCs w:val="21"/>
                <w:highlight w:val="none"/>
                <w:u w:val="none"/>
              </w:rPr>
            </w:pPr>
          </w:p>
        </w:tc>
        <w:tc>
          <w:tcPr>
            <w:tcW w:w="7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C03D75">
            <w:pPr>
              <w:jc w:val="center"/>
              <w:rPr>
                <w:rFonts w:hint="eastAsia" w:ascii="宋体" w:hAnsi="宋体" w:eastAsia="宋体" w:cs="宋体"/>
                <w:i w:val="0"/>
                <w:color w:val="auto"/>
                <w:sz w:val="21"/>
                <w:szCs w:val="21"/>
                <w:highlight w:val="none"/>
                <w:u w:val="none"/>
              </w:rPr>
            </w:pPr>
          </w:p>
        </w:tc>
        <w:tc>
          <w:tcPr>
            <w:tcW w:w="8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B3C00C">
            <w:pPr>
              <w:jc w:val="center"/>
              <w:rPr>
                <w:rFonts w:hint="eastAsia" w:ascii="宋体" w:hAnsi="宋体" w:eastAsia="宋体" w:cs="宋体"/>
                <w:i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ED7C0C">
            <w:pPr>
              <w:keepNext w:val="0"/>
              <w:keepLines w:val="0"/>
              <w:widowControl/>
              <w:suppressLineNumbers w:val="0"/>
              <w:jc w:val="center"/>
              <w:textAlignment w:val="center"/>
              <w:rPr>
                <w:rFonts w:hint="eastAsia" w:ascii="宋体" w:hAnsi="宋体" w:eastAsia="宋体" w:cs="宋体"/>
                <w:i w:val="0"/>
                <w:strike/>
                <w:dstrike w:val="0"/>
                <w:color w:val="auto"/>
                <w:sz w:val="21"/>
                <w:szCs w:val="21"/>
                <w:highlight w:val="none"/>
                <w:u w:val="none"/>
              </w:rPr>
            </w:pPr>
            <w:r>
              <w:rPr>
                <w:rFonts w:hint="eastAsia" w:ascii="宋体" w:hAnsi="宋体" w:eastAsia="宋体" w:cs="宋体"/>
                <w:i w:val="0"/>
                <w:strike/>
                <w:dstrike w:val="0"/>
                <w:color w:val="auto"/>
                <w:kern w:val="0"/>
                <w:sz w:val="21"/>
                <w:szCs w:val="21"/>
                <w:highlight w:val="none"/>
                <w:u w:val="none"/>
                <w:lang w:val="en-US" w:eastAsia="zh-CN" w:bidi="ar"/>
              </w:rPr>
              <w:t>缴纳方式</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ECF0AC">
            <w:pPr>
              <w:keepNext w:val="0"/>
              <w:keepLines w:val="0"/>
              <w:widowControl/>
              <w:suppressLineNumbers w:val="0"/>
              <w:jc w:val="center"/>
              <w:textAlignment w:val="center"/>
              <w:rPr>
                <w:rFonts w:hint="eastAsia" w:ascii="宋体" w:hAnsi="宋体" w:eastAsia="宋体" w:cs="宋体"/>
                <w:i w:val="0"/>
                <w:strike/>
                <w:dstrike w:val="0"/>
                <w:color w:val="auto"/>
                <w:sz w:val="21"/>
                <w:szCs w:val="21"/>
                <w:highlight w:val="none"/>
                <w:u w:val="none"/>
              </w:rPr>
            </w:pPr>
            <w:r>
              <w:rPr>
                <w:rFonts w:hint="eastAsia" w:ascii="宋体" w:hAnsi="宋体" w:eastAsia="宋体" w:cs="宋体"/>
                <w:i w:val="0"/>
                <w:strike/>
                <w:dstrike w:val="0"/>
                <w:color w:val="auto"/>
                <w:kern w:val="0"/>
                <w:sz w:val="21"/>
                <w:szCs w:val="21"/>
                <w:highlight w:val="none"/>
                <w:u w:val="none"/>
                <w:lang w:val="en-US" w:eastAsia="zh-CN" w:bidi="ar"/>
              </w:rPr>
              <w:t>金额</w:t>
            </w:r>
          </w:p>
        </w:tc>
        <w:tc>
          <w:tcPr>
            <w:tcW w:w="7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2C92B2">
            <w:pPr>
              <w:jc w:val="center"/>
              <w:rPr>
                <w:rFonts w:hint="eastAsia" w:ascii="宋体" w:hAnsi="宋体" w:eastAsia="宋体" w:cs="宋体"/>
                <w:i w:val="0"/>
                <w:color w:val="auto"/>
                <w:sz w:val="21"/>
                <w:szCs w:val="21"/>
                <w:highlight w:val="none"/>
                <w:u w:val="none"/>
              </w:rPr>
            </w:pPr>
          </w:p>
        </w:tc>
        <w:tc>
          <w:tcPr>
            <w:tcW w:w="8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39848E">
            <w:pPr>
              <w:jc w:val="center"/>
              <w:rPr>
                <w:rFonts w:hint="eastAsia" w:ascii="宋体" w:hAnsi="宋体" w:eastAsia="宋体" w:cs="宋体"/>
                <w:i w:val="0"/>
                <w:color w:val="auto"/>
                <w:sz w:val="21"/>
                <w:szCs w:val="21"/>
                <w:highlight w:val="none"/>
                <w:u w:val="none"/>
              </w:rPr>
            </w:pPr>
          </w:p>
        </w:tc>
        <w:tc>
          <w:tcPr>
            <w:tcW w:w="11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EE2217">
            <w:pPr>
              <w:jc w:val="center"/>
              <w:rPr>
                <w:rFonts w:hint="eastAsia" w:ascii="宋体" w:hAnsi="宋体" w:eastAsia="宋体" w:cs="宋体"/>
                <w:i w:val="0"/>
                <w:color w:val="auto"/>
                <w:sz w:val="21"/>
                <w:szCs w:val="21"/>
                <w:highlight w:val="none"/>
                <w:u w:val="none"/>
              </w:rPr>
            </w:pP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E0E740">
            <w:pPr>
              <w:jc w:val="center"/>
              <w:rPr>
                <w:rFonts w:hint="eastAsia" w:ascii="宋体" w:hAnsi="宋体" w:eastAsia="宋体" w:cs="宋体"/>
                <w:i w:val="0"/>
                <w:color w:val="auto"/>
                <w:sz w:val="21"/>
                <w:szCs w:val="21"/>
                <w:highlight w:val="none"/>
                <w:u w:val="none"/>
              </w:rPr>
            </w:pPr>
          </w:p>
        </w:tc>
        <w:tc>
          <w:tcPr>
            <w:tcW w:w="7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5D195A">
            <w:pPr>
              <w:jc w:val="center"/>
              <w:rPr>
                <w:rFonts w:hint="eastAsia" w:ascii="宋体" w:hAnsi="宋体" w:eastAsia="宋体" w:cs="宋体"/>
                <w:i w:val="0"/>
                <w:color w:val="auto"/>
                <w:sz w:val="21"/>
                <w:szCs w:val="21"/>
                <w:highlight w:val="none"/>
                <w:u w:val="none"/>
              </w:rPr>
            </w:pPr>
          </w:p>
        </w:tc>
        <w:tc>
          <w:tcPr>
            <w:tcW w:w="9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BAFBA8">
            <w:pPr>
              <w:jc w:val="center"/>
              <w:rPr>
                <w:rFonts w:hint="eastAsia" w:ascii="宋体" w:hAnsi="宋体" w:eastAsia="宋体" w:cs="宋体"/>
                <w:i w:val="0"/>
                <w:color w:val="auto"/>
                <w:sz w:val="21"/>
                <w:szCs w:val="21"/>
                <w:highlight w:val="none"/>
                <w:u w:val="none"/>
              </w:rPr>
            </w:pPr>
          </w:p>
        </w:tc>
        <w:tc>
          <w:tcPr>
            <w:tcW w:w="7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7D9319">
            <w:pPr>
              <w:jc w:val="center"/>
              <w:rPr>
                <w:rFonts w:hint="eastAsia" w:ascii="宋体" w:hAnsi="宋体" w:eastAsia="宋体" w:cs="宋体"/>
                <w:i w:val="0"/>
                <w:color w:val="auto"/>
                <w:sz w:val="21"/>
                <w:szCs w:val="21"/>
                <w:highlight w:val="none"/>
                <w:u w:val="none"/>
              </w:rPr>
            </w:pP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31A8CA">
            <w:pPr>
              <w:jc w:val="center"/>
              <w:rPr>
                <w:rFonts w:hint="eastAsia" w:ascii="宋体" w:hAnsi="宋体" w:eastAsia="宋体" w:cs="宋体"/>
                <w:i w:val="0"/>
                <w:color w:val="auto"/>
                <w:sz w:val="21"/>
                <w:szCs w:val="21"/>
                <w:highlight w:val="none"/>
                <w:u w:val="none"/>
              </w:rPr>
            </w:pPr>
          </w:p>
        </w:tc>
        <w:tc>
          <w:tcPr>
            <w:tcW w:w="9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66ACD8">
            <w:pPr>
              <w:jc w:val="center"/>
              <w:rPr>
                <w:rFonts w:hint="eastAsia" w:ascii="宋体" w:hAnsi="宋体" w:eastAsia="宋体" w:cs="宋体"/>
                <w:i w:val="0"/>
                <w:color w:val="auto"/>
                <w:sz w:val="21"/>
                <w:szCs w:val="21"/>
                <w:highlight w:val="none"/>
                <w:u w:val="none"/>
              </w:rPr>
            </w:pPr>
          </w:p>
        </w:tc>
      </w:tr>
      <w:tr w14:paraId="3664944B">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6B0121">
            <w:pPr>
              <w:jc w:val="center"/>
              <w:rPr>
                <w:rFonts w:hint="eastAsia" w:ascii="宋体" w:hAnsi="宋体" w:eastAsia="宋体" w:cs="宋体"/>
                <w:i w:val="0"/>
                <w:color w:val="auto"/>
                <w:sz w:val="21"/>
                <w:szCs w:val="21"/>
                <w:highlight w:val="none"/>
                <w:u w:val="none"/>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CCFD1">
            <w:pPr>
              <w:jc w:val="center"/>
              <w:rPr>
                <w:rFonts w:hint="eastAsia" w:ascii="宋体" w:hAnsi="宋体" w:eastAsia="宋体" w:cs="宋体"/>
                <w:i w:val="0"/>
                <w:color w:val="auto"/>
                <w:sz w:val="21"/>
                <w:szCs w:val="21"/>
                <w:highlight w:val="none"/>
                <w:u w:val="none"/>
              </w:rPr>
            </w:pP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F63D10">
            <w:pPr>
              <w:jc w:val="center"/>
              <w:rPr>
                <w:rFonts w:hint="eastAsia" w:ascii="宋体" w:hAnsi="宋体" w:eastAsia="宋体" w:cs="宋体"/>
                <w:i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72261D">
            <w:pPr>
              <w:jc w:val="center"/>
              <w:rPr>
                <w:rFonts w:hint="eastAsia" w:ascii="宋体" w:hAnsi="宋体" w:eastAsia="宋体" w:cs="宋体"/>
                <w:i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B0B29">
            <w:pPr>
              <w:jc w:val="center"/>
              <w:rPr>
                <w:rFonts w:hint="eastAsia" w:ascii="宋体" w:hAnsi="宋体" w:eastAsia="宋体" w:cs="宋体"/>
                <w:i w:val="0"/>
                <w:color w:val="auto"/>
                <w:sz w:val="21"/>
                <w:szCs w:val="21"/>
                <w:highlight w:val="none"/>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8FDE14">
            <w:pPr>
              <w:jc w:val="center"/>
              <w:rPr>
                <w:rFonts w:hint="eastAsia" w:ascii="宋体" w:hAnsi="宋体" w:eastAsia="宋体" w:cs="宋体"/>
                <w:i w:val="0"/>
                <w:color w:val="auto"/>
                <w:sz w:val="21"/>
                <w:szCs w:val="21"/>
                <w:highlight w:val="none"/>
                <w:u w:val="none"/>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99FD51">
            <w:pPr>
              <w:jc w:val="center"/>
              <w:rPr>
                <w:rFonts w:hint="eastAsia" w:ascii="宋体" w:hAnsi="宋体" w:eastAsia="宋体" w:cs="宋体"/>
                <w:i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F8CD9A">
            <w:pPr>
              <w:jc w:val="center"/>
              <w:rPr>
                <w:rFonts w:hint="eastAsia" w:ascii="宋体" w:hAnsi="宋体" w:eastAsia="宋体" w:cs="宋体"/>
                <w:i w:val="0"/>
                <w:color w:val="auto"/>
                <w:sz w:val="24"/>
                <w:szCs w:val="24"/>
                <w:highlight w:val="none"/>
                <w:u w:val="none"/>
              </w:rPr>
            </w:pP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A9F674">
            <w:pPr>
              <w:jc w:val="center"/>
              <w:rPr>
                <w:rFonts w:hint="eastAsia" w:ascii="宋体" w:hAnsi="宋体" w:eastAsia="宋体" w:cs="宋体"/>
                <w:i w:val="0"/>
                <w:color w:val="auto"/>
                <w:sz w:val="24"/>
                <w:szCs w:val="24"/>
                <w:highlight w:val="none"/>
                <w:u w:val="none"/>
              </w:rPr>
            </w:pP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8C85BA">
            <w:pPr>
              <w:jc w:val="center"/>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BE2FD3">
            <w:pPr>
              <w:jc w:val="center"/>
              <w:rPr>
                <w:rFonts w:hint="eastAsia" w:ascii="宋体" w:hAnsi="宋体" w:eastAsia="宋体" w:cs="宋体"/>
                <w:i w:val="0"/>
                <w:color w:val="auto"/>
                <w:sz w:val="21"/>
                <w:szCs w:val="21"/>
                <w:highlight w:val="none"/>
                <w:u w:val="none"/>
              </w:rPr>
            </w:pPr>
          </w:p>
        </w:tc>
        <w:tc>
          <w:tcPr>
            <w:tcW w:w="1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A3D860">
            <w:pPr>
              <w:jc w:val="center"/>
              <w:rPr>
                <w:rFonts w:hint="eastAsia" w:ascii="宋体" w:hAnsi="宋体" w:eastAsia="宋体" w:cs="宋体"/>
                <w:i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6E175D">
            <w:pPr>
              <w:jc w:val="center"/>
              <w:rPr>
                <w:rFonts w:hint="eastAsia" w:ascii="宋体" w:hAnsi="宋体" w:eastAsia="宋体" w:cs="宋体"/>
                <w:i w:val="0"/>
                <w:color w:val="auto"/>
                <w:sz w:val="21"/>
                <w:szCs w:val="21"/>
                <w:highlight w:val="none"/>
                <w:u w:val="none"/>
              </w:rPr>
            </w:pPr>
          </w:p>
        </w:tc>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FF9B3">
            <w:pPr>
              <w:jc w:val="center"/>
              <w:rPr>
                <w:rFonts w:hint="eastAsia" w:ascii="宋体" w:hAnsi="宋体" w:eastAsia="宋体" w:cs="宋体"/>
                <w:i w:val="0"/>
                <w:color w:val="auto"/>
                <w:sz w:val="21"/>
                <w:szCs w:val="21"/>
                <w:highlight w:val="none"/>
                <w:u w:val="none"/>
              </w:rPr>
            </w:pPr>
          </w:p>
        </w:tc>
        <w:tc>
          <w:tcPr>
            <w:tcW w:w="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199C13">
            <w:pPr>
              <w:jc w:val="center"/>
              <w:rPr>
                <w:rFonts w:hint="eastAsia" w:ascii="宋体" w:hAnsi="宋体" w:eastAsia="宋体" w:cs="宋体"/>
                <w:i w:val="0"/>
                <w:color w:val="auto"/>
                <w:sz w:val="21"/>
                <w:szCs w:val="21"/>
                <w:highlight w:val="none"/>
                <w:u w:val="none"/>
              </w:rPr>
            </w:pPr>
          </w:p>
        </w:tc>
        <w:tc>
          <w:tcPr>
            <w:tcW w:w="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2A7CBC">
            <w:pPr>
              <w:jc w:val="center"/>
              <w:rPr>
                <w:rFonts w:hint="eastAsia" w:ascii="宋体" w:hAnsi="宋体" w:eastAsia="宋体" w:cs="宋体"/>
                <w:i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9C5DCC">
            <w:pPr>
              <w:jc w:val="center"/>
              <w:rPr>
                <w:rFonts w:hint="eastAsia" w:ascii="宋体" w:hAnsi="宋体" w:eastAsia="宋体" w:cs="宋体"/>
                <w:i w:val="0"/>
                <w:color w:val="auto"/>
                <w:sz w:val="21"/>
                <w:szCs w:val="21"/>
                <w:highlight w:val="none"/>
                <w:u w:val="none"/>
              </w:rPr>
            </w:pPr>
          </w:p>
        </w:tc>
        <w:tc>
          <w:tcPr>
            <w:tcW w:w="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E3A7AD">
            <w:pPr>
              <w:jc w:val="center"/>
              <w:rPr>
                <w:rFonts w:hint="eastAsia" w:ascii="宋体" w:hAnsi="宋体" w:eastAsia="宋体" w:cs="宋体"/>
                <w:i w:val="0"/>
                <w:color w:val="auto"/>
                <w:sz w:val="21"/>
                <w:szCs w:val="21"/>
                <w:highlight w:val="none"/>
                <w:u w:val="none"/>
              </w:rPr>
            </w:pPr>
          </w:p>
        </w:tc>
      </w:tr>
      <w:tr w14:paraId="4F81BACE">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FA9E4">
            <w:pPr>
              <w:jc w:val="center"/>
              <w:rPr>
                <w:rFonts w:hint="eastAsia" w:ascii="宋体" w:hAnsi="宋体" w:eastAsia="宋体" w:cs="宋体"/>
                <w:i w:val="0"/>
                <w:color w:val="auto"/>
                <w:sz w:val="21"/>
                <w:szCs w:val="21"/>
                <w:highlight w:val="none"/>
                <w:u w:val="none"/>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B6CBBF">
            <w:pPr>
              <w:jc w:val="center"/>
              <w:rPr>
                <w:rFonts w:hint="eastAsia" w:ascii="宋体" w:hAnsi="宋体" w:eastAsia="宋体" w:cs="宋体"/>
                <w:i w:val="0"/>
                <w:color w:val="auto"/>
                <w:sz w:val="21"/>
                <w:szCs w:val="21"/>
                <w:highlight w:val="none"/>
                <w:u w:val="none"/>
              </w:rPr>
            </w:pP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F050B5">
            <w:pPr>
              <w:jc w:val="center"/>
              <w:rPr>
                <w:rFonts w:hint="eastAsia" w:ascii="宋体" w:hAnsi="宋体" w:eastAsia="宋体" w:cs="宋体"/>
                <w:i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5D08D">
            <w:pPr>
              <w:jc w:val="center"/>
              <w:rPr>
                <w:rFonts w:hint="eastAsia" w:ascii="宋体" w:hAnsi="宋体" w:eastAsia="宋体" w:cs="宋体"/>
                <w:i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E6C2D">
            <w:pPr>
              <w:jc w:val="center"/>
              <w:rPr>
                <w:rFonts w:hint="eastAsia" w:ascii="宋体" w:hAnsi="宋体" w:eastAsia="宋体" w:cs="宋体"/>
                <w:i w:val="0"/>
                <w:color w:val="auto"/>
                <w:sz w:val="21"/>
                <w:szCs w:val="21"/>
                <w:highlight w:val="none"/>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6B5A7F">
            <w:pPr>
              <w:jc w:val="center"/>
              <w:rPr>
                <w:rFonts w:hint="eastAsia" w:ascii="宋体" w:hAnsi="宋体" w:eastAsia="宋体" w:cs="宋体"/>
                <w:i w:val="0"/>
                <w:color w:val="auto"/>
                <w:sz w:val="21"/>
                <w:szCs w:val="21"/>
                <w:highlight w:val="none"/>
                <w:u w:val="none"/>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082CFF">
            <w:pPr>
              <w:jc w:val="center"/>
              <w:rPr>
                <w:rFonts w:hint="eastAsia" w:ascii="宋体" w:hAnsi="宋体" w:eastAsia="宋体" w:cs="宋体"/>
                <w:i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035651">
            <w:pPr>
              <w:jc w:val="center"/>
              <w:rPr>
                <w:rFonts w:hint="eastAsia" w:ascii="宋体" w:hAnsi="宋体" w:eastAsia="宋体" w:cs="宋体"/>
                <w:i w:val="0"/>
                <w:color w:val="auto"/>
                <w:sz w:val="21"/>
                <w:szCs w:val="21"/>
                <w:highlight w:val="none"/>
                <w:u w:val="none"/>
              </w:rPr>
            </w:pP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AC1715">
            <w:pPr>
              <w:jc w:val="center"/>
              <w:rPr>
                <w:rFonts w:hint="eastAsia" w:ascii="宋体" w:hAnsi="宋体" w:eastAsia="宋体" w:cs="宋体"/>
                <w:i w:val="0"/>
                <w:color w:val="auto"/>
                <w:sz w:val="21"/>
                <w:szCs w:val="21"/>
                <w:highlight w:val="none"/>
                <w:u w:val="none"/>
              </w:rPr>
            </w:pP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BD6AA0">
            <w:pPr>
              <w:jc w:val="center"/>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D90AB2">
            <w:pPr>
              <w:jc w:val="center"/>
              <w:rPr>
                <w:rFonts w:hint="eastAsia" w:ascii="宋体" w:hAnsi="宋体" w:eastAsia="宋体" w:cs="宋体"/>
                <w:i w:val="0"/>
                <w:color w:val="auto"/>
                <w:sz w:val="21"/>
                <w:szCs w:val="21"/>
                <w:highlight w:val="none"/>
                <w:u w:val="none"/>
              </w:rPr>
            </w:pPr>
          </w:p>
        </w:tc>
        <w:tc>
          <w:tcPr>
            <w:tcW w:w="1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FF28D2">
            <w:pPr>
              <w:jc w:val="center"/>
              <w:rPr>
                <w:rFonts w:hint="eastAsia" w:ascii="宋体" w:hAnsi="宋体" w:eastAsia="宋体" w:cs="宋体"/>
                <w:i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0DA72">
            <w:pPr>
              <w:jc w:val="center"/>
              <w:rPr>
                <w:rFonts w:hint="eastAsia" w:ascii="宋体" w:hAnsi="宋体" w:eastAsia="宋体" w:cs="宋体"/>
                <w:i w:val="0"/>
                <w:color w:val="auto"/>
                <w:sz w:val="21"/>
                <w:szCs w:val="21"/>
                <w:highlight w:val="none"/>
                <w:u w:val="none"/>
              </w:rPr>
            </w:pPr>
          </w:p>
        </w:tc>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C8A660">
            <w:pPr>
              <w:jc w:val="center"/>
              <w:rPr>
                <w:rFonts w:hint="eastAsia" w:ascii="宋体" w:hAnsi="宋体" w:eastAsia="宋体" w:cs="宋体"/>
                <w:i w:val="0"/>
                <w:color w:val="auto"/>
                <w:sz w:val="21"/>
                <w:szCs w:val="21"/>
                <w:highlight w:val="none"/>
                <w:u w:val="none"/>
              </w:rPr>
            </w:pPr>
          </w:p>
        </w:tc>
        <w:tc>
          <w:tcPr>
            <w:tcW w:w="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F460C5">
            <w:pPr>
              <w:jc w:val="center"/>
              <w:rPr>
                <w:rFonts w:hint="eastAsia" w:ascii="宋体" w:hAnsi="宋体" w:eastAsia="宋体" w:cs="宋体"/>
                <w:i w:val="0"/>
                <w:color w:val="auto"/>
                <w:sz w:val="21"/>
                <w:szCs w:val="21"/>
                <w:highlight w:val="none"/>
                <w:u w:val="none"/>
              </w:rPr>
            </w:pPr>
          </w:p>
        </w:tc>
        <w:tc>
          <w:tcPr>
            <w:tcW w:w="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35648D">
            <w:pPr>
              <w:jc w:val="center"/>
              <w:rPr>
                <w:rFonts w:hint="eastAsia" w:ascii="宋体" w:hAnsi="宋体" w:eastAsia="宋体" w:cs="宋体"/>
                <w:i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6D13C1">
            <w:pPr>
              <w:jc w:val="center"/>
              <w:rPr>
                <w:rFonts w:hint="eastAsia" w:ascii="宋体" w:hAnsi="宋体" w:eastAsia="宋体" w:cs="宋体"/>
                <w:i w:val="0"/>
                <w:color w:val="auto"/>
                <w:sz w:val="21"/>
                <w:szCs w:val="21"/>
                <w:highlight w:val="none"/>
                <w:u w:val="none"/>
              </w:rPr>
            </w:pPr>
          </w:p>
        </w:tc>
        <w:tc>
          <w:tcPr>
            <w:tcW w:w="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FFFDED">
            <w:pPr>
              <w:jc w:val="center"/>
              <w:rPr>
                <w:rFonts w:hint="eastAsia" w:ascii="宋体" w:hAnsi="宋体" w:eastAsia="宋体" w:cs="宋体"/>
                <w:i w:val="0"/>
                <w:color w:val="auto"/>
                <w:sz w:val="21"/>
                <w:szCs w:val="21"/>
                <w:highlight w:val="none"/>
                <w:u w:val="none"/>
              </w:rPr>
            </w:pPr>
          </w:p>
        </w:tc>
      </w:tr>
      <w:tr w14:paraId="26DA7B13">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141F6B">
            <w:pPr>
              <w:jc w:val="center"/>
              <w:rPr>
                <w:rFonts w:hint="eastAsia" w:ascii="宋体" w:hAnsi="宋体" w:eastAsia="宋体" w:cs="宋体"/>
                <w:i w:val="0"/>
                <w:color w:val="auto"/>
                <w:sz w:val="21"/>
                <w:szCs w:val="21"/>
                <w:highlight w:val="none"/>
                <w:u w:val="none"/>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234019">
            <w:pPr>
              <w:jc w:val="center"/>
              <w:rPr>
                <w:rFonts w:hint="eastAsia" w:ascii="宋体" w:hAnsi="宋体" w:eastAsia="宋体" w:cs="宋体"/>
                <w:i w:val="0"/>
                <w:color w:val="auto"/>
                <w:sz w:val="21"/>
                <w:szCs w:val="21"/>
                <w:highlight w:val="none"/>
                <w:u w:val="none"/>
              </w:rPr>
            </w:pP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C4FC90">
            <w:pPr>
              <w:jc w:val="center"/>
              <w:rPr>
                <w:rFonts w:hint="eastAsia" w:ascii="宋体" w:hAnsi="宋体" w:eastAsia="宋体" w:cs="宋体"/>
                <w:i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B9D371">
            <w:pPr>
              <w:jc w:val="center"/>
              <w:rPr>
                <w:rFonts w:hint="eastAsia" w:ascii="宋体" w:hAnsi="宋体" w:eastAsia="宋体" w:cs="宋体"/>
                <w:i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3DAA54">
            <w:pPr>
              <w:jc w:val="center"/>
              <w:rPr>
                <w:rFonts w:hint="eastAsia" w:ascii="宋体" w:hAnsi="宋体" w:eastAsia="宋体" w:cs="宋体"/>
                <w:i w:val="0"/>
                <w:color w:val="auto"/>
                <w:sz w:val="21"/>
                <w:szCs w:val="21"/>
                <w:highlight w:val="none"/>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44738F">
            <w:pPr>
              <w:jc w:val="center"/>
              <w:rPr>
                <w:rFonts w:hint="eastAsia" w:ascii="宋体" w:hAnsi="宋体" w:eastAsia="宋体" w:cs="宋体"/>
                <w:i w:val="0"/>
                <w:color w:val="auto"/>
                <w:sz w:val="21"/>
                <w:szCs w:val="21"/>
                <w:highlight w:val="none"/>
                <w:u w:val="none"/>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AE82C7">
            <w:pPr>
              <w:jc w:val="center"/>
              <w:rPr>
                <w:rFonts w:hint="eastAsia" w:ascii="宋体" w:hAnsi="宋体" w:eastAsia="宋体" w:cs="宋体"/>
                <w:i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150B8">
            <w:pPr>
              <w:jc w:val="center"/>
              <w:rPr>
                <w:rFonts w:hint="eastAsia" w:ascii="宋体" w:hAnsi="宋体" w:eastAsia="宋体" w:cs="宋体"/>
                <w:i w:val="0"/>
                <w:color w:val="auto"/>
                <w:sz w:val="21"/>
                <w:szCs w:val="21"/>
                <w:highlight w:val="none"/>
                <w:u w:val="none"/>
              </w:rPr>
            </w:pP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C9AF6A">
            <w:pPr>
              <w:jc w:val="center"/>
              <w:rPr>
                <w:rFonts w:hint="eastAsia" w:ascii="宋体" w:hAnsi="宋体" w:eastAsia="宋体" w:cs="宋体"/>
                <w:i w:val="0"/>
                <w:color w:val="auto"/>
                <w:sz w:val="21"/>
                <w:szCs w:val="21"/>
                <w:highlight w:val="none"/>
                <w:u w:val="none"/>
              </w:rPr>
            </w:pP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C391E3">
            <w:pPr>
              <w:jc w:val="center"/>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795D4B">
            <w:pPr>
              <w:jc w:val="center"/>
              <w:rPr>
                <w:rFonts w:hint="eastAsia" w:ascii="宋体" w:hAnsi="宋体" w:eastAsia="宋体" w:cs="宋体"/>
                <w:i w:val="0"/>
                <w:color w:val="auto"/>
                <w:sz w:val="21"/>
                <w:szCs w:val="21"/>
                <w:highlight w:val="none"/>
                <w:u w:val="none"/>
              </w:rPr>
            </w:pPr>
          </w:p>
        </w:tc>
        <w:tc>
          <w:tcPr>
            <w:tcW w:w="1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C9A51F">
            <w:pPr>
              <w:jc w:val="center"/>
              <w:rPr>
                <w:rFonts w:hint="eastAsia" w:ascii="宋体" w:hAnsi="宋体" w:eastAsia="宋体" w:cs="宋体"/>
                <w:i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D8BADE">
            <w:pPr>
              <w:jc w:val="center"/>
              <w:rPr>
                <w:rFonts w:hint="eastAsia" w:ascii="宋体" w:hAnsi="宋体" w:eastAsia="宋体" w:cs="宋体"/>
                <w:i w:val="0"/>
                <w:color w:val="auto"/>
                <w:sz w:val="21"/>
                <w:szCs w:val="21"/>
                <w:highlight w:val="none"/>
                <w:u w:val="none"/>
              </w:rPr>
            </w:pPr>
          </w:p>
        </w:tc>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3DBB7">
            <w:pPr>
              <w:jc w:val="center"/>
              <w:rPr>
                <w:rFonts w:hint="eastAsia" w:ascii="宋体" w:hAnsi="宋体" w:eastAsia="宋体" w:cs="宋体"/>
                <w:i w:val="0"/>
                <w:color w:val="auto"/>
                <w:sz w:val="21"/>
                <w:szCs w:val="21"/>
                <w:highlight w:val="none"/>
                <w:u w:val="none"/>
              </w:rPr>
            </w:pPr>
          </w:p>
        </w:tc>
        <w:tc>
          <w:tcPr>
            <w:tcW w:w="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D5CD26">
            <w:pPr>
              <w:jc w:val="center"/>
              <w:rPr>
                <w:rFonts w:hint="eastAsia" w:ascii="宋体" w:hAnsi="宋体" w:eastAsia="宋体" w:cs="宋体"/>
                <w:i w:val="0"/>
                <w:color w:val="auto"/>
                <w:sz w:val="21"/>
                <w:szCs w:val="21"/>
                <w:highlight w:val="none"/>
                <w:u w:val="none"/>
              </w:rPr>
            </w:pPr>
          </w:p>
        </w:tc>
        <w:tc>
          <w:tcPr>
            <w:tcW w:w="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0D8BDC">
            <w:pPr>
              <w:jc w:val="center"/>
              <w:rPr>
                <w:rFonts w:hint="eastAsia" w:ascii="宋体" w:hAnsi="宋体" w:eastAsia="宋体" w:cs="宋体"/>
                <w:i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1CFF8">
            <w:pPr>
              <w:jc w:val="center"/>
              <w:rPr>
                <w:rFonts w:hint="eastAsia" w:ascii="宋体" w:hAnsi="宋体" w:eastAsia="宋体" w:cs="宋体"/>
                <w:i w:val="0"/>
                <w:color w:val="auto"/>
                <w:sz w:val="21"/>
                <w:szCs w:val="21"/>
                <w:highlight w:val="none"/>
                <w:u w:val="none"/>
              </w:rPr>
            </w:pPr>
          </w:p>
        </w:tc>
        <w:tc>
          <w:tcPr>
            <w:tcW w:w="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B2C29">
            <w:pPr>
              <w:jc w:val="center"/>
              <w:rPr>
                <w:rFonts w:hint="eastAsia" w:ascii="宋体" w:hAnsi="宋体" w:eastAsia="宋体" w:cs="宋体"/>
                <w:i w:val="0"/>
                <w:color w:val="auto"/>
                <w:sz w:val="21"/>
                <w:szCs w:val="21"/>
                <w:highlight w:val="none"/>
                <w:u w:val="none"/>
              </w:rPr>
            </w:pPr>
          </w:p>
        </w:tc>
      </w:tr>
      <w:tr w14:paraId="440165D2">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D0CA6">
            <w:pPr>
              <w:jc w:val="center"/>
              <w:rPr>
                <w:rFonts w:hint="eastAsia" w:ascii="宋体" w:hAnsi="宋体" w:eastAsia="宋体" w:cs="宋体"/>
                <w:i w:val="0"/>
                <w:color w:val="auto"/>
                <w:sz w:val="21"/>
                <w:szCs w:val="21"/>
                <w:highlight w:val="none"/>
                <w:u w:val="none"/>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DDAB28">
            <w:pPr>
              <w:jc w:val="center"/>
              <w:rPr>
                <w:rFonts w:hint="eastAsia" w:ascii="宋体" w:hAnsi="宋体" w:eastAsia="宋体" w:cs="宋体"/>
                <w:i w:val="0"/>
                <w:color w:val="auto"/>
                <w:sz w:val="21"/>
                <w:szCs w:val="21"/>
                <w:highlight w:val="none"/>
                <w:u w:val="none"/>
              </w:rPr>
            </w:pP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336B2B">
            <w:pPr>
              <w:jc w:val="center"/>
              <w:rPr>
                <w:rFonts w:hint="eastAsia" w:ascii="宋体" w:hAnsi="宋体" w:eastAsia="宋体" w:cs="宋体"/>
                <w:i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003686">
            <w:pPr>
              <w:jc w:val="center"/>
              <w:rPr>
                <w:rFonts w:hint="eastAsia" w:ascii="宋体" w:hAnsi="宋体" w:eastAsia="宋体" w:cs="宋体"/>
                <w:i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7617F">
            <w:pPr>
              <w:jc w:val="center"/>
              <w:rPr>
                <w:rFonts w:hint="eastAsia" w:ascii="宋体" w:hAnsi="宋体" w:eastAsia="宋体" w:cs="宋体"/>
                <w:i w:val="0"/>
                <w:color w:val="auto"/>
                <w:sz w:val="21"/>
                <w:szCs w:val="21"/>
                <w:highlight w:val="none"/>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32A3E3">
            <w:pPr>
              <w:jc w:val="center"/>
              <w:rPr>
                <w:rFonts w:hint="eastAsia" w:ascii="宋体" w:hAnsi="宋体" w:eastAsia="宋体" w:cs="宋体"/>
                <w:i w:val="0"/>
                <w:color w:val="auto"/>
                <w:sz w:val="21"/>
                <w:szCs w:val="21"/>
                <w:highlight w:val="none"/>
                <w:u w:val="none"/>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C4A6A2">
            <w:pPr>
              <w:jc w:val="center"/>
              <w:rPr>
                <w:rFonts w:hint="eastAsia" w:ascii="宋体" w:hAnsi="宋体" w:eastAsia="宋体" w:cs="宋体"/>
                <w:i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4A117">
            <w:pPr>
              <w:jc w:val="center"/>
              <w:rPr>
                <w:rFonts w:hint="eastAsia" w:ascii="宋体" w:hAnsi="宋体" w:eastAsia="宋体" w:cs="宋体"/>
                <w:i w:val="0"/>
                <w:color w:val="auto"/>
                <w:sz w:val="21"/>
                <w:szCs w:val="21"/>
                <w:highlight w:val="none"/>
                <w:u w:val="none"/>
              </w:rPr>
            </w:pP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BFFCEC">
            <w:pPr>
              <w:jc w:val="center"/>
              <w:rPr>
                <w:rFonts w:hint="eastAsia" w:ascii="宋体" w:hAnsi="宋体" w:eastAsia="宋体" w:cs="宋体"/>
                <w:i w:val="0"/>
                <w:color w:val="auto"/>
                <w:sz w:val="21"/>
                <w:szCs w:val="21"/>
                <w:highlight w:val="none"/>
                <w:u w:val="none"/>
              </w:rPr>
            </w:pP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62A762">
            <w:pPr>
              <w:jc w:val="center"/>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9A0B03">
            <w:pPr>
              <w:jc w:val="center"/>
              <w:rPr>
                <w:rFonts w:hint="eastAsia" w:ascii="宋体" w:hAnsi="宋体" w:eastAsia="宋体" w:cs="宋体"/>
                <w:i w:val="0"/>
                <w:color w:val="auto"/>
                <w:sz w:val="21"/>
                <w:szCs w:val="21"/>
                <w:highlight w:val="none"/>
                <w:u w:val="none"/>
              </w:rPr>
            </w:pPr>
          </w:p>
        </w:tc>
        <w:tc>
          <w:tcPr>
            <w:tcW w:w="1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F5CEEC">
            <w:pPr>
              <w:jc w:val="center"/>
              <w:rPr>
                <w:rFonts w:hint="eastAsia" w:ascii="宋体" w:hAnsi="宋体" w:eastAsia="宋体" w:cs="宋体"/>
                <w:i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C940A3">
            <w:pPr>
              <w:jc w:val="center"/>
              <w:rPr>
                <w:rFonts w:hint="eastAsia" w:ascii="宋体" w:hAnsi="宋体" w:eastAsia="宋体" w:cs="宋体"/>
                <w:i w:val="0"/>
                <w:color w:val="auto"/>
                <w:sz w:val="21"/>
                <w:szCs w:val="21"/>
                <w:highlight w:val="none"/>
                <w:u w:val="none"/>
              </w:rPr>
            </w:pPr>
          </w:p>
        </w:tc>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EC426B">
            <w:pPr>
              <w:jc w:val="center"/>
              <w:rPr>
                <w:rFonts w:hint="eastAsia" w:ascii="宋体" w:hAnsi="宋体" w:eastAsia="宋体" w:cs="宋体"/>
                <w:i w:val="0"/>
                <w:color w:val="auto"/>
                <w:sz w:val="21"/>
                <w:szCs w:val="21"/>
                <w:highlight w:val="none"/>
                <w:u w:val="none"/>
              </w:rPr>
            </w:pPr>
          </w:p>
        </w:tc>
        <w:tc>
          <w:tcPr>
            <w:tcW w:w="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03EEAD">
            <w:pPr>
              <w:jc w:val="center"/>
              <w:rPr>
                <w:rFonts w:hint="eastAsia" w:ascii="宋体" w:hAnsi="宋体" w:eastAsia="宋体" w:cs="宋体"/>
                <w:i w:val="0"/>
                <w:color w:val="auto"/>
                <w:sz w:val="21"/>
                <w:szCs w:val="21"/>
                <w:highlight w:val="none"/>
                <w:u w:val="none"/>
              </w:rPr>
            </w:pPr>
          </w:p>
        </w:tc>
        <w:tc>
          <w:tcPr>
            <w:tcW w:w="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C0B444">
            <w:pPr>
              <w:jc w:val="center"/>
              <w:rPr>
                <w:rFonts w:hint="eastAsia" w:ascii="宋体" w:hAnsi="宋体" w:eastAsia="宋体" w:cs="宋体"/>
                <w:i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63D42D">
            <w:pPr>
              <w:jc w:val="center"/>
              <w:rPr>
                <w:rFonts w:hint="eastAsia" w:ascii="宋体" w:hAnsi="宋体" w:eastAsia="宋体" w:cs="宋体"/>
                <w:i w:val="0"/>
                <w:color w:val="auto"/>
                <w:sz w:val="21"/>
                <w:szCs w:val="21"/>
                <w:highlight w:val="none"/>
                <w:u w:val="none"/>
              </w:rPr>
            </w:pPr>
          </w:p>
        </w:tc>
        <w:tc>
          <w:tcPr>
            <w:tcW w:w="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F51513">
            <w:pPr>
              <w:jc w:val="center"/>
              <w:rPr>
                <w:rFonts w:hint="eastAsia" w:ascii="宋体" w:hAnsi="宋体" w:eastAsia="宋体" w:cs="宋体"/>
                <w:i w:val="0"/>
                <w:color w:val="auto"/>
                <w:sz w:val="21"/>
                <w:szCs w:val="21"/>
                <w:highlight w:val="none"/>
                <w:u w:val="none"/>
              </w:rPr>
            </w:pPr>
          </w:p>
        </w:tc>
      </w:tr>
      <w:tr w14:paraId="672F9371">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AED4D5">
            <w:pPr>
              <w:jc w:val="center"/>
              <w:rPr>
                <w:rFonts w:hint="eastAsia" w:ascii="宋体" w:hAnsi="宋体" w:eastAsia="宋体" w:cs="宋体"/>
                <w:i w:val="0"/>
                <w:color w:val="auto"/>
                <w:sz w:val="21"/>
                <w:szCs w:val="21"/>
                <w:highlight w:val="none"/>
                <w:u w:val="none"/>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1ADC8E">
            <w:pPr>
              <w:jc w:val="center"/>
              <w:rPr>
                <w:rFonts w:hint="eastAsia" w:ascii="宋体" w:hAnsi="宋体" w:eastAsia="宋体" w:cs="宋体"/>
                <w:i w:val="0"/>
                <w:color w:val="auto"/>
                <w:sz w:val="21"/>
                <w:szCs w:val="21"/>
                <w:highlight w:val="none"/>
                <w:u w:val="none"/>
              </w:rPr>
            </w:pP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623EF1">
            <w:pPr>
              <w:jc w:val="center"/>
              <w:rPr>
                <w:rFonts w:hint="eastAsia" w:ascii="宋体" w:hAnsi="宋体" w:eastAsia="宋体" w:cs="宋体"/>
                <w:i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842DB0">
            <w:pPr>
              <w:jc w:val="center"/>
              <w:rPr>
                <w:rFonts w:hint="eastAsia" w:ascii="宋体" w:hAnsi="宋体" w:eastAsia="宋体" w:cs="宋体"/>
                <w:i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F13DEF">
            <w:pPr>
              <w:jc w:val="center"/>
              <w:rPr>
                <w:rFonts w:hint="eastAsia" w:ascii="宋体" w:hAnsi="宋体" w:eastAsia="宋体" w:cs="宋体"/>
                <w:i w:val="0"/>
                <w:color w:val="auto"/>
                <w:sz w:val="21"/>
                <w:szCs w:val="21"/>
                <w:highlight w:val="none"/>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AD7110">
            <w:pPr>
              <w:jc w:val="center"/>
              <w:rPr>
                <w:rFonts w:hint="eastAsia" w:ascii="宋体" w:hAnsi="宋体" w:eastAsia="宋体" w:cs="宋体"/>
                <w:i w:val="0"/>
                <w:color w:val="auto"/>
                <w:sz w:val="21"/>
                <w:szCs w:val="21"/>
                <w:highlight w:val="none"/>
                <w:u w:val="none"/>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ADF362">
            <w:pPr>
              <w:jc w:val="center"/>
              <w:rPr>
                <w:rFonts w:hint="eastAsia" w:ascii="宋体" w:hAnsi="宋体" w:eastAsia="宋体" w:cs="宋体"/>
                <w:i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BC51BC">
            <w:pPr>
              <w:jc w:val="center"/>
              <w:rPr>
                <w:rFonts w:hint="eastAsia" w:ascii="宋体" w:hAnsi="宋体" w:eastAsia="宋体" w:cs="宋体"/>
                <w:i w:val="0"/>
                <w:color w:val="auto"/>
                <w:sz w:val="21"/>
                <w:szCs w:val="21"/>
                <w:highlight w:val="none"/>
                <w:u w:val="none"/>
              </w:rPr>
            </w:pP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5AAD2E">
            <w:pPr>
              <w:jc w:val="center"/>
              <w:rPr>
                <w:rFonts w:hint="eastAsia" w:ascii="宋体" w:hAnsi="宋体" w:eastAsia="宋体" w:cs="宋体"/>
                <w:i w:val="0"/>
                <w:color w:val="auto"/>
                <w:sz w:val="21"/>
                <w:szCs w:val="21"/>
                <w:highlight w:val="none"/>
                <w:u w:val="none"/>
              </w:rPr>
            </w:pP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92C5AD">
            <w:pPr>
              <w:jc w:val="center"/>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3BC901">
            <w:pPr>
              <w:jc w:val="center"/>
              <w:rPr>
                <w:rFonts w:hint="eastAsia" w:ascii="宋体" w:hAnsi="宋体" w:eastAsia="宋体" w:cs="宋体"/>
                <w:i w:val="0"/>
                <w:color w:val="auto"/>
                <w:sz w:val="21"/>
                <w:szCs w:val="21"/>
                <w:highlight w:val="none"/>
                <w:u w:val="none"/>
              </w:rPr>
            </w:pPr>
          </w:p>
        </w:tc>
        <w:tc>
          <w:tcPr>
            <w:tcW w:w="1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BF7265">
            <w:pPr>
              <w:jc w:val="center"/>
              <w:rPr>
                <w:rFonts w:hint="eastAsia" w:ascii="宋体" w:hAnsi="宋体" w:eastAsia="宋体" w:cs="宋体"/>
                <w:i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8DDF45">
            <w:pPr>
              <w:jc w:val="center"/>
              <w:rPr>
                <w:rFonts w:hint="eastAsia" w:ascii="宋体" w:hAnsi="宋体" w:eastAsia="宋体" w:cs="宋体"/>
                <w:i w:val="0"/>
                <w:color w:val="auto"/>
                <w:sz w:val="21"/>
                <w:szCs w:val="21"/>
                <w:highlight w:val="none"/>
                <w:u w:val="none"/>
              </w:rPr>
            </w:pPr>
          </w:p>
        </w:tc>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B134A1">
            <w:pPr>
              <w:jc w:val="center"/>
              <w:rPr>
                <w:rFonts w:hint="eastAsia" w:ascii="宋体" w:hAnsi="宋体" w:eastAsia="宋体" w:cs="宋体"/>
                <w:i w:val="0"/>
                <w:color w:val="auto"/>
                <w:sz w:val="21"/>
                <w:szCs w:val="21"/>
                <w:highlight w:val="none"/>
                <w:u w:val="none"/>
              </w:rPr>
            </w:pPr>
          </w:p>
        </w:tc>
        <w:tc>
          <w:tcPr>
            <w:tcW w:w="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A46533">
            <w:pPr>
              <w:jc w:val="center"/>
              <w:rPr>
                <w:rFonts w:hint="eastAsia" w:ascii="宋体" w:hAnsi="宋体" w:eastAsia="宋体" w:cs="宋体"/>
                <w:i w:val="0"/>
                <w:color w:val="auto"/>
                <w:sz w:val="21"/>
                <w:szCs w:val="21"/>
                <w:highlight w:val="none"/>
                <w:u w:val="none"/>
              </w:rPr>
            </w:pPr>
          </w:p>
        </w:tc>
        <w:tc>
          <w:tcPr>
            <w:tcW w:w="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EA23D6">
            <w:pPr>
              <w:jc w:val="center"/>
              <w:rPr>
                <w:rFonts w:hint="eastAsia" w:ascii="宋体" w:hAnsi="宋体" w:eastAsia="宋体" w:cs="宋体"/>
                <w:i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BB5474">
            <w:pPr>
              <w:jc w:val="center"/>
              <w:rPr>
                <w:rFonts w:hint="eastAsia" w:ascii="宋体" w:hAnsi="宋体" w:eastAsia="宋体" w:cs="宋体"/>
                <w:i w:val="0"/>
                <w:color w:val="auto"/>
                <w:sz w:val="21"/>
                <w:szCs w:val="21"/>
                <w:highlight w:val="none"/>
                <w:u w:val="none"/>
              </w:rPr>
            </w:pPr>
          </w:p>
        </w:tc>
        <w:tc>
          <w:tcPr>
            <w:tcW w:w="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4F7B51">
            <w:pPr>
              <w:jc w:val="center"/>
              <w:rPr>
                <w:rFonts w:hint="eastAsia" w:ascii="宋体" w:hAnsi="宋体" w:eastAsia="宋体" w:cs="宋体"/>
                <w:i w:val="0"/>
                <w:color w:val="auto"/>
                <w:sz w:val="21"/>
                <w:szCs w:val="21"/>
                <w:highlight w:val="none"/>
                <w:u w:val="none"/>
              </w:rPr>
            </w:pPr>
          </w:p>
        </w:tc>
      </w:tr>
    </w:tbl>
    <w:p w14:paraId="41A5C5A5">
      <w:pPr>
        <w:rPr>
          <w:rFonts w:hint="eastAsia" w:ascii="宋体" w:hAnsi="宋体" w:eastAsia="宋体"/>
          <w:color w:val="auto"/>
          <w:szCs w:val="21"/>
          <w:highlight w:val="none"/>
        </w:rPr>
      </w:pPr>
    </w:p>
    <w:p w14:paraId="13F7546F">
      <w:pPr>
        <w:rPr>
          <w:rFonts w:hint="eastAsia" w:ascii="宋体" w:hAnsi="宋体" w:eastAsia="宋体"/>
          <w:color w:val="auto"/>
          <w:szCs w:val="21"/>
          <w:highlight w:val="none"/>
        </w:rPr>
      </w:pPr>
      <w:r>
        <w:rPr>
          <w:rFonts w:hint="eastAsia" w:ascii="宋体" w:hAnsi="宋体" w:eastAsia="宋体"/>
          <w:color w:val="auto"/>
          <w:szCs w:val="21"/>
          <w:highlight w:val="none"/>
        </w:rPr>
        <w:t>注：本表部分信息源自《广州园林绿化工程施工招标投标书》。</w:t>
      </w:r>
    </w:p>
    <w:p w14:paraId="296DD8E5">
      <w:pPr>
        <w:rPr>
          <w:rFonts w:hint="eastAsia" w:ascii="宋体" w:hAnsi="宋体" w:eastAsia="宋体"/>
          <w:color w:val="auto"/>
          <w:sz w:val="24"/>
          <w:highlight w:val="none"/>
        </w:rPr>
      </w:pPr>
    </w:p>
    <w:p w14:paraId="69A75E9A">
      <w:pPr>
        <w:rPr>
          <w:rFonts w:hint="eastAsia" w:ascii="宋体" w:hAnsi="宋体" w:eastAsia="宋体"/>
          <w:color w:val="auto"/>
          <w:sz w:val="24"/>
          <w:highlight w:val="none"/>
        </w:rPr>
      </w:pPr>
    </w:p>
    <w:p w14:paraId="54D0C47C">
      <w:pPr>
        <w:rPr>
          <w:rFonts w:hint="eastAsia" w:ascii="宋体" w:hAnsi="宋体" w:eastAsia="宋体"/>
          <w:color w:val="auto"/>
          <w:szCs w:val="21"/>
          <w:highlight w:val="none"/>
        </w:rPr>
      </w:pPr>
      <w:r>
        <w:rPr>
          <w:rFonts w:hint="eastAsia" w:ascii="宋体" w:hAnsi="宋体" w:eastAsia="宋体"/>
          <w:color w:val="auto"/>
          <w:szCs w:val="21"/>
          <w:highlight w:val="none"/>
        </w:rPr>
        <w:t xml:space="preserve">招标人代表：                                                       招标代理机构代表： </w:t>
      </w:r>
    </w:p>
    <w:p w14:paraId="62F5B8A5">
      <w:pPr>
        <w:pStyle w:val="5"/>
        <w:tabs>
          <w:tab w:val="left" w:pos="7380"/>
        </w:tabs>
        <w:spacing w:after="0" w:line="360" w:lineRule="auto"/>
        <w:ind w:firstLine="0"/>
        <w:rPr>
          <w:rFonts w:hint="eastAsia" w:ascii="宋体" w:hAnsi="宋体" w:eastAsia="宋体"/>
          <w:color w:val="auto"/>
          <w:szCs w:val="21"/>
          <w:highlight w:val="none"/>
        </w:rPr>
      </w:pPr>
    </w:p>
    <w:p w14:paraId="632DA159">
      <w:pPr>
        <w:pStyle w:val="5"/>
        <w:tabs>
          <w:tab w:val="left" w:pos="7380"/>
        </w:tabs>
        <w:spacing w:after="0" w:line="360" w:lineRule="auto"/>
        <w:ind w:firstLine="0"/>
        <w:rPr>
          <w:rFonts w:hint="eastAsia" w:ascii="宋体" w:hAnsi="宋体" w:eastAsia="宋体"/>
          <w:color w:val="auto"/>
          <w:szCs w:val="21"/>
          <w:highlight w:val="none"/>
        </w:rPr>
      </w:pPr>
    </w:p>
    <w:p w14:paraId="7BF4ADAD">
      <w:pPr>
        <w:pStyle w:val="5"/>
        <w:tabs>
          <w:tab w:val="left" w:pos="7380"/>
        </w:tabs>
        <w:spacing w:after="0" w:line="360" w:lineRule="auto"/>
        <w:ind w:firstLine="0"/>
        <w:rPr>
          <w:rFonts w:hint="eastAsia" w:ascii="宋体" w:hAnsi="宋体" w:eastAsia="宋体"/>
          <w:color w:val="auto"/>
          <w:szCs w:val="21"/>
          <w:highlight w:val="none"/>
        </w:rPr>
      </w:pPr>
    </w:p>
    <w:p w14:paraId="74614700">
      <w:pPr>
        <w:pStyle w:val="5"/>
        <w:tabs>
          <w:tab w:val="left" w:pos="7380"/>
        </w:tabs>
        <w:spacing w:after="0" w:line="360" w:lineRule="auto"/>
        <w:ind w:firstLine="0"/>
        <w:rPr>
          <w:rFonts w:hint="eastAsia" w:ascii="宋体" w:hAnsi="宋体" w:eastAsia="宋体"/>
          <w:color w:val="auto"/>
          <w:szCs w:val="21"/>
          <w:highlight w:val="none"/>
        </w:rPr>
      </w:pPr>
    </w:p>
    <w:p w14:paraId="6A587A58">
      <w:pPr>
        <w:pStyle w:val="5"/>
        <w:tabs>
          <w:tab w:val="left" w:pos="7380"/>
        </w:tabs>
        <w:spacing w:after="0" w:line="360" w:lineRule="auto"/>
        <w:ind w:firstLine="0"/>
        <w:rPr>
          <w:rFonts w:hint="eastAsia" w:ascii="宋体" w:hAnsi="宋体" w:eastAsia="宋体"/>
          <w:color w:val="auto"/>
          <w:szCs w:val="21"/>
          <w:highlight w:val="none"/>
        </w:rPr>
      </w:pPr>
    </w:p>
    <w:p w14:paraId="1927A27C">
      <w:pPr>
        <w:spacing w:line="360" w:lineRule="auto"/>
        <w:outlineLvl w:val="2"/>
        <w:rPr>
          <w:rFonts w:hint="eastAsia" w:ascii="宋体" w:hAnsi="宋体" w:eastAsia="宋体"/>
          <w:color w:val="auto"/>
          <w:sz w:val="24"/>
          <w:szCs w:val="24"/>
          <w:highlight w:val="none"/>
        </w:rPr>
      </w:pPr>
      <w:bookmarkStart w:id="230" w:name="_Toc18570"/>
      <w:bookmarkStart w:id="231" w:name="_Toc25303"/>
      <w:bookmarkStart w:id="232" w:name="_Toc24036"/>
    </w:p>
    <w:p w14:paraId="47143B5D">
      <w:pPr>
        <w:spacing w:line="360" w:lineRule="auto"/>
        <w:outlineLvl w:val="2"/>
        <w:rPr>
          <w:rFonts w:ascii="宋体" w:hAnsi="宋体" w:eastAsia="宋体"/>
          <w:color w:val="auto"/>
          <w:sz w:val="24"/>
          <w:szCs w:val="24"/>
          <w:highlight w:val="none"/>
        </w:rPr>
      </w:pPr>
      <w:bookmarkStart w:id="233" w:name="_Toc377"/>
      <w:r>
        <w:rPr>
          <w:rFonts w:hint="eastAsia" w:ascii="宋体" w:hAnsi="宋体" w:eastAsia="宋体"/>
          <w:color w:val="auto"/>
          <w:sz w:val="24"/>
          <w:szCs w:val="24"/>
          <w:highlight w:val="none"/>
        </w:rPr>
        <w:t>附件2</w:t>
      </w:r>
      <w:bookmarkEnd w:id="230"/>
      <w:bookmarkEnd w:id="231"/>
      <w:bookmarkEnd w:id="232"/>
      <w:bookmarkEnd w:id="233"/>
    </w:p>
    <w:p w14:paraId="15B9097F">
      <w:pPr>
        <w:spacing w:line="360" w:lineRule="auto"/>
        <w:jc w:val="center"/>
        <w:rPr>
          <w:rFonts w:hint="eastAsia" w:ascii="宋体" w:hAnsi="宋体" w:eastAsia="宋体"/>
          <w:b/>
          <w:color w:val="auto"/>
          <w:sz w:val="30"/>
          <w:szCs w:val="30"/>
          <w:highlight w:val="none"/>
        </w:rPr>
      </w:pPr>
      <w:r>
        <w:rPr>
          <w:rFonts w:hint="eastAsia" w:ascii="宋体" w:hAnsi="宋体" w:eastAsia="宋体"/>
          <w:b/>
          <w:color w:val="auto"/>
          <w:sz w:val="30"/>
          <w:szCs w:val="30"/>
          <w:highlight w:val="none"/>
        </w:rPr>
        <w:t>资格审查表</w:t>
      </w:r>
    </w:p>
    <w:p w14:paraId="06CD5994">
      <w:pPr>
        <w:spacing w:line="360" w:lineRule="auto"/>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工程名称：</w:t>
      </w:r>
    </w:p>
    <w:tbl>
      <w:tblPr>
        <w:tblStyle w:val="29"/>
        <w:tblW w:w="13834" w:type="dxa"/>
        <w:tblInd w:w="-72" w:type="dxa"/>
        <w:tblLayout w:type="fixed"/>
        <w:tblCellMar>
          <w:top w:w="0" w:type="dxa"/>
          <w:left w:w="108" w:type="dxa"/>
          <w:bottom w:w="0" w:type="dxa"/>
          <w:right w:w="108" w:type="dxa"/>
        </w:tblCellMar>
      </w:tblPr>
      <w:tblGrid>
        <w:gridCol w:w="540"/>
        <w:gridCol w:w="8127"/>
        <w:gridCol w:w="1217"/>
        <w:gridCol w:w="1070"/>
        <w:gridCol w:w="1440"/>
        <w:gridCol w:w="1440"/>
      </w:tblGrid>
      <w:tr w14:paraId="334808B4">
        <w:tblPrEx>
          <w:tblCellMar>
            <w:top w:w="0" w:type="dxa"/>
            <w:left w:w="108" w:type="dxa"/>
            <w:bottom w:w="0" w:type="dxa"/>
            <w:right w:w="108" w:type="dxa"/>
          </w:tblCellMar>
        </w:tblPrEx>
        <w:trPr>
          <w:trHeight w:val="679"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2067F6DA">
            <w:pPr>
              <w:jc w:val="center"/>
              <w:rPr>
                <w:rFonts w:ascii="宋体" w:hAnsi="宋体" w:eastAsia="宋体"/>
                <w:b/>
                <w:color w:val="auto"/>
                <w:szCs w:val="21"/>
                <w:highlight w:val="none"/>
              </w:rPr>
            </w:pPr>
            <w:r>
              <w:rPr>
                <w:rFonts w:hint="eastAsia" w:ascii="宋体" w:hAnsi="宋体" w:eastAsia="宋体"/>
                <w:b/>
                <w:color w:val="auto"/>
                <w:szCs w:val="21"/>
                <w:highlight w:val="none"/>
              </w:rPr>
              <w:t>序号</w:t>
            </w:r>
          </w:p>
        </w:tc>
        <w:tc>
          <w:tcPr>
            <w:tcW w:w="8127"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547FE140">
            <w:pPr>
              <w:rPr>
                <w:rFonts w:hint="eastAsia" w:ascii="宋体" w:hAnsi="宋体" w:eastAsia="宋体"/>
                <w:b/>
                <w:color w:val="auto"/>
                <w:szCs w:val="21"/>
                <w:highlight w:val="none"/>
              </w:rPr>
            </w:pPr>
            <w:r>
              <w:rPr>
                <w:rFonts w:hint="eastAsia" w:ascii="宋体" w:hAnsi="宋体" w:eastAsia="宋体"/>
                <w:b/>
                <w:color w:val="auto"/>
                <w:szCs w:val="21"/>
                <w:highlight w:val="none"/>
              </w:rPr>
              <w:t xml:space="preserve">                                            投标人</w:t>
            </w:r>
          </w:p>
          <w:p w14:paraId="56839FFB">
            <w:pPr>
              <w:ind w:firstLine="211" w:firstLineChars="100"/>
              <w:rPr>
                <w:rFonts w:ascii="宋体" w:hAnsi="宋体" w:eastAsia="宋体"/>
                <w:b/>
                <w:color w:val="auto"/>
                <w:szCs w:val="21"/>
                <w:highlight w:val="none"/>
              </w:rPr>
            </w:pPr>
            <w:r>
              <w:rPr>
                <w:rFonts w:hint="eastAsia" w:ascii="宋体" w:hAnsi="宋体" w:eastAsia="宋体"/>
                <w:b/>
                <w:color w:val="auto"/>
                <w:szCs w:val="21"/>
                <w:highlight w:val="none"/>
              </w:rPr>
              <w:t>评审内容</w:t>
            </w:r>
          </w:p>
        </w:tc>
        <w:tc>
          <w:tcPr>
            <w:tcW w:w="1217" w:type="dxa"/>
            <w:tcBorders>
              <w:top w:val="single" w:color="auto" w:sz="4" w:space="0"/>
              <w:left w:val="single" w:color="auto" w:sz="4" w:space="0"/>
              <w:bottom w:val="single" w:color="auto" w:sz="4" w:space="0"/>
              <w:right w:val="single" w:color="auto" w:sz="4" w:space="0"/>
            </w:tcBorders>
            <w:noWrap w:val="0"/>
            <w:vAlign w:val="top"/>
          </w:tcPr>
          <w:p w14:paraId="0CEB9F15">
            <w:pPr>
              <w:rPr>
                <w:rFonts w:ascii="宋体" w:hAnsi="宋体" w:eastAsia="宋体"/>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5E01E451">
            <w:pPr>
              <w:rPr>
                <w:rFonts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A7A272D">
            <w:pPr>
              <w:rPr>
                <w:rFonts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8754611">
            <w:pPr>
              <w:rPr>
                <w:rFonts w:ascii="宋体" w:hAnsi="宋体" w:eastAsia="宋体"/>
                <w:color w:val="auto"/>
                <w:szCs w:val="21"/>
                <w:highlight w:val="none"/>
              </w:rPr>
            </w:pPr>
          </w:p>
        </w:tc>
      </w:tr>
      <w:tr w14:paraId="50C8625E">
        <w:tblPrEx>
          <w:tblCellMar>
            <w:top w:w="0" w:type="dxa"/>
            <w:left w:w="108" w:type="dxa"/>
            <w:bottom w:w="0" w:type="dxa"/>
            <w:right w:w="108" w:type="dxa"/>
          </w:tblCellMar>
        </w:tblPrEx>
        <w:trPr>
          <w:trHeight w:val="570"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51236D64">
            <w:pPr>
              <w:jc w:val="center"/>
              <w:rPr>
                <w:rFonts w:hint="eastAsia" w:ascii="宋体" w:hAnsi="宋体" w:eastAsia="宋体"/>
                <w:color w:val="auto"/>
                <w:szCs w:val="21"/>
                <w:highlight w:val="none"/>
              </w:rPr>
            </w:pPr>
            <w:r>
              <w:rPr>
                <w:rFonts w:hint="eastAsia" w:ascii="宋体" w:hAnsi="宋体" w:eastAsia="宋体"/>
                <w:color w:val="auto"/>
                <w:szCs w:val="21"/>
                <w:highlight w:val="none"/>
              </w:rPr>
              <w:t>1</w:t>
            </w:r>
          </w:p>
        </w:tc>
        <w:tc>
          <w:tcPr>
            <w:tcW w:w="8127" w:type="dxa"/>
            <w:tcBorders>
              <w:top w:val="single" w:color="auto" w:sz="4" w:space="0"/>
              <w:left w:val="single" w:color="auto" w:sz="4" w:space="0"/>
              <w:bottom w:val="single" w:color="auto" w:sz="4" w:space="0"/>
              <w:right w:val="single" w:color="auto" w:sz="4" w:space="0"/>
            </w:tcBorders>
            <w:noWrap w:val="0"/>
            <w:vAlign w:val="center"/>
          </w:tcPr>
          <w:p w14:paraId="42E31308">
            <w:pPr>
              <w:spacing w:line="240" w:lineRule="exact"/>
              <w:rPr>
                <w:rFonts w:hint="eastAsia" w:ascii="宋体" w:hAnsi="宋体" w:eastAsia="宋体"/>
                <w:color w:val="auto"/>
                <w:szCs w:val="21"/>
                <w:highlight w:val="none"/>
              </w:rPr>
            </w:pPr>
            <w:r>
              <w:rPr>
                <w:rFonts w:hint="eastAsia" w:ascii="宋体" w:hAnsi="宋体" w:eastAsia="宋体"/>
                <w:color w:val="auto"/>
                <w:szCs w:val="21"/>
                <w:highlight w:val="none"/>
              </w:rPr>
              <w:t>投标文件中有法定代表人证明书，如投标文件为委托代理人签署应同时附上法定代表人证明书和法定代表人授权书。</w:t>
            </w:r>
          </w:p>
        </w:tc>
        <w:tc>
          <w:tcPr>
            <w:tcW w:w="1217" w:type="dxa"/>
            <w:tcBorders>
              <w:top w:val="single" w:color="auto" w:sz="4" w:space="0"/>
              <w:left w:val="single" w:color="auto" w:sz="4" w:space="0"/>
              <w:bottom w:val="single" w:color="auto" w:sz="4" w:space="0"/>
              <w:right w:val="single" w:color="auto" w:sz="4" w:space="0"/>
            </w:tcBorders>
            <w:noWrap w:val="0"/>
            <w:vAlign w:val="top"/>
          </w:tcPr>
          <w:p w14:paraId="1E28D3FA">
            <w:pPr>
              <w:rPr>
                <w:rFonts w:ascii="宋体" w:hAnsi="宋体" w:eastAsia="宋体"/>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0D96F91D">
            <w:pPr>
              <w:rPr>
                <w:rFonts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4F7F56E">
            <w:pPr>
              <w:rPr>
                <w:rFonts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822E7C4">
            <w:pPr>
              <w:rPr>
                <w:rFonts w:ascii="宋体" w:hAnsi="宋体" w:eastAsia="宋体"/>
                <w:color w:val="auto"/>
                <w:szCs w:val="21"/>
                <w:highlight w:val="none"/>
              </w:rPr>
            </w:pPr>
          </w:p>
        </w:tc>
      </w:tr>
      <w:tr w14:paraId="1C4BF48F">
        <w:tblPrEx>
          <w:tblCellMar>
            <w:top w:w="0" w:type="dxa"/>
            <w:left w:w="108" w:type="dxa"/>
            <w:bottom w:w="0" w:type="dxa"/>
            <w:right w:w="108" w:type="dxa"/>
          </w:tblCellMar>
        </w:tblPrEx>
        <w:trPr>
          <w:trHeight w:val="411"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6B7EC097">
            <w:pPr>
              <w:jc w:val="center"/>
              <w:rPr>
                <w:rFonts w:hint="eastAsia" w:ascii="宋体" w:hAnsi="宋体" w:eastAsia="宋体"/>
                <w:color w:val="auto"/>
                <w:szCs w:val="21"/>
                <w:highlight w:val="none"/>
              </w:rPr>
            </w:pPr>
            <w:r>
              <w:rPr>
                <w:rFonts w:hint="eastAsia" w:ascii="宋体" w:hAnsi="宋体" w:eastAsia="宋体"/>
                <w:color w:val="auto"/>
                <w:szCs w:val="21"/>
                <w:highlight w:val="none"/>
              </w:rPr>
              <w:t>2</w:t>
            </w:r>
          </w:p>
        </w:tc>
        <w:tc>
          <w:tcPr>
            <w:tcW w:w="8127" w:type="dxa"/>
            <w:tcBorders>
              <w:top w:val="single" w:color="auto" w:sz="4" w:space="0"/>
              <w:left w:val="single" w:color="auto" w:sz="4" w:space="0"/>
              <w:bottom w:val="single" w:color="auto" w:sz="4" w:space="0"/>
              <w:right w:val="single" w:color="auto" w:sz="4" w:space="0"/>
            </w:tcBorders>
            <w:noWrap w:val="0"/>
            <w:vAlign w:val="center"/>
          </w:tcPr>
          <w:p w14:paraId="71CC7C0D">
            <w:pPr>
              <w:spacing w:line="240" w:lineRule="exact"/>
              <w:rPr>
                <w:rFonts w:ascii="宋体" w:hAnsi="宋体" w:eastAsia="宋体"/>
                <w:color w:val="auto"/>
                <w:szCs w:val="21"/>
                <w:highlight w:val="none"/>
              </w:rPr>
            </w:pPr>
            <w:r>
              <w:rPr>
                <w:rFonts w:hint="eastAsia" w:ascii="宋体" w:hAnsi="宋体" w:eastAsia="宋体"/>
                <w:color w:val="auto"/>
                <w:szCs w:val="21"/>
                <w:highlight w:val="none"/>
              </w:rPr>
              <w:t>投标人持有工商行政管理部门核发的营业执照满足公告要求。</w:t>
            </w:r>
          </w:p>
        </w:tc>
        <w:tc>
          <w:tcPr>
            <w:tcW w:w="1217" w:type="dxa"/>
            <w:tcBorders>
              <w:top w:val="single" w:color="auto" w:sz="4" w:space="0"/>
              <w:left w:val="single" w:color="auto" w:sz="4" w:space="0"/>
              <w:bottom w:val="single" w:color="auto" w:sz="4" w:space="0"/>
              <w:right w:val="single" w:color="auto" w:sz="4" w:space="0"/>
            </w:tcBorders>
            <w:noWrap w:val="0"/>
            <w:vAlign w:val="top"/>
          </w:tcPr>
          <w:p w14:paraId="2E0494A6">
            <w:pPr>
              <w:rPr>
                <w:rFonts w:ascii="宋体" w:hAnsi="宋体" w:eastAsia="宋体"/>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3EF7A10C">
            <w:pPr>
              <w:rPr>
                <w:rFonts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28ACB34">
            <w:pPr>
              <w:rPr>
                <w:rFonts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2274E6A3">
            <w:pPr>
              <w:rPr>
                <w:rFonts w:ascii="宋体" w:hAnsi="宋体" w:eastAsia="宋体"/>
                <w:color w:val="auto"/>
                <w:szCs w:val="21"/>
                <w:highlight w:val="none"/>
              </w:rPr>
            </w:pPr>
          </w:p>
        </w:tc>
      </w:tr>
      <w:tr w14:paraId="722E451C">
        <w:tblPrEx>
          <w:tblCellMar>
            <w:top w:w="0" w:type="dxa"/>
            <w:left w:w="108" w:type="dxa"/>
            <w:bottom w:w="0" w:type="dxa"/>
            <w:right w:w="108" w:type="dxa"/>
          </w:tblCellMar>
        </w:tblPrEx>
        <w:trPr>
          <w:trHeight w:val="411"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3F903D6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8127" w:type="dxa"/>
            <w:tcBorders>
              <w:top w:val="single" w:color="auto" w:sz="4" w:space="0"/>
              <w:left w:val="single" w:color="auto" w:sz="4" w:space="0"/>
              <w:bottom w:val="single" w:color="auto" w:sz="4" w:space="0"/>
              <w:right w:val="single" w:color="auto" w:sz="4" w:space="0"/>
            </w:tcBorders>
            <w:noWrap w:val="0"/>
            <w:vAlign w:val="center"/>
          </w:tcPr>
          <w:p w14:paraId="4C31A454">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投标人持有企业资质证书满足公告要求。</w:t>
            </w:r>
          </w:p>
        </w:tc>
        <w:tc>
          <w:tcPr>
            <w:tcW w:w="1217" w:type="dxa"/>
            <w:tcBorders>
              <w:top w:val="single" w:color="auto" w:sz="4" w:space="0"/>
              <w:left w:val="single" w:color="auto" w:sz="4" w:space="0"/>
              <w:bottom w:val="single" w:color="auto" w:sz="4" w:space="0"/>
              <w:right w:val="single" w:color="auto" w:sz="4" w:space="0"/>
            </w:tcBorders>
            <w:noWrap w:val="0"/>
            <w:vAlign w:val="top"/>
          </w:tcPr>
          <w:p w14:paraId="2C68FEE8">
            <w:pPr>
              <w:rPr>
                <w:rFonts w:ascii="宋体" w:hAnsi="宋体" w:eastAsia="宋体"/>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069D22F6">
            <w:pPr>
              <w:rPr>
                <w:rFonts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A0AA832">
            <w:pPr>
              <w:rPr>
                <w:rFonts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E88A504">
            <w:pPr>
              <w:rPr>
                <w:rFonts w:ascii="宋体" w:hAnsi="宋体" w:eastAsia="宋体"/>
                <w:color w:val="auto"/>
                <w:szCs w:val="21"/>
                <w:highlight w:val="none"/>
              </w:rPr>
            </w:pPr>
          </w:p>
        </w:tc>
      </w:tr>
      <w:tr w14:paraId="7379841C">
        <w:tblPrEx>
          <w:tblCellMar>
            <w:top w:w="0" w:type="dxa"/>
            <w:left w:w="108" w:type="dxa"/>
            <w:bottom w:w="0" w:type="dxa"/>
            <w:right w:w="108" w:type="dxa"/>
          </w:tblCellMar>
        </w:tblPrEx>
        <w:trPr>
          <w:trHeight w:val="45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12B65D2B">
            <w:pPr>
              <w:jc w:val="center"/>
              <w:rPr>
                <w:rFonts w:hint="eastAsia" w:ascii="宋体" w:hAnsi="宋体" w:eastAsia="宋体"/>
                <w:color w:val="auto"/>
                <w:szCs w:val="21"/>
                <w:highlight w:val="none"/>
              </w:rPr>
            </w:pPr>
            <w:r>
              <w:rPr>
                <w:rFonts w:hint="eastAsia" w:ascii="宋体" w:hAnsi="宋体" w:eastAsia="宋体"/>
                <w:color w:val="auto"/>
                <w:szCs w:val="21"/>
                <w:highlight w:val="none"/>
              </w:rPr>
              <w:t>4</w:t>
            </w:r>
          </w:p>
        </w:tc>
        <w:tc>
          <w:tcPr>
            <w:tcW w:w="8127" w:type="dxa"/>
            <w:tcBorders>
              <w:top w:val="single" w:color="auto" w:sz="4" w:space="0"/>
              <w:left w:val="single" w:color="auto" w:sz="4" w:space="0"/>
              <w:bottom w:val="single" w:color="auto" w:sz="4" w:space="0"/>
              <w:right w:val="single" w:color="auto" w:sz="4" w:space="0"/>
            </w:tcBorders>
            <w:noWrap w:val="0"/>
            <w:vAlign w:val="center"/>
          </w:tcPr>
          <w:p w14:paraId="5BAC4ED6">
            <w:pPr>
              <w:spacing w:line="240" w:lineRule="exact"/>
              <w:rPr>
                <w:rFonts w:hint="eastAsia" w:ascii="宋体" w:hAnsi="宋体" w:eastAsia="宋体"/>
                <w:color w:val="auto"/>
                <w:szCs w:val="21"/>
                <w:highlight w:val="none"/>
              </w:rPr>
            </w:pPr>
            <w:r>
              <w:rPr>
                <w:rFonts w:hint="eastAsia" w:ascii="宋体" w:hAnsi="宋体" w:eastAsia="宋体"/>
                <w:color w:val="auto"/>
                <w:szCs w:val="21"/>
                <w:highlight w:val="none"/>
              </w:rPr>
              <w:t>投标人拟担任本工程项目负责人的专业和资格满足公告要求。</w:t>
            </w:r>
          </w:p>
        </w:tc>
        <w:tc>
          <w:tcPr>
            <w:tcW w:w="1217" w:type="dxa"/>
            <w:tcBorders>
              <w:top w:val="single" w:color="auto" w:sz="4" w:space="0"/>
              <w:left w:val="single" w:color="auto" w:sz="4" w:space="0"/>
              <w:bottom w:val="single" w:color="auto" w:sz="4" w:space="0"/>
              <w:right w:val="single" w:color="auto" w:sz="4" w:space="0"/>
            </w:tcBorders>
            <w:noWrap w:val="0"/>
            <w:vAlign w:val="top"/>
          </w:tcPr>
          <w:p w14:paraId="6763878F">
            <w:pPr>
              <w:rPr>
                <w:rFonts w:ascii="宋体" w:hAnsi="宋体" w:eastAsia="宋体"/>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6E5CF5EB">
            <w:pPr>
              <w:rPr>
                <w:rFonts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8CC74A0">
            <w:pPr>
              <w:rPr>
                <w:rFonts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2DF7585A">
            <w:pPr>
              <w:rPr>
                <w:rFonts w:ascii="宋体" w:hAnsi="宋体" w:eastAsia="宋体"/>
                <w:color w:val="auto"/>
                <w:szCs w:val="21"/>
                <w:highlight w:val="none"/>
              </w:rPr>
            </w:pPr>
          </w:p>
        </w:tc>
      </w:tr>
      <w:tr w14:paraId="3C9C1D59">
        <w:tblPrEx>
          <w:tblCellMar>
            <w:top w:w="0" w:type="dxa"/>
            <w:left w:w="108" w:type="dxa"/>
            <w:bottom w:w="0" w:type="dxa"/>
            <w:right w:w="108" w:type="dxa"/>
          </w:tblCellMar>
        </w:tblPrEx>
        <w:trPr>
          <w:trHeight w:val="501"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4B893F05">
            <w:pPr>
              <w:jc w:val="center"/>
              <w:rPr>
                <w:rFonts w:ascii="宋体" w:hAnsi="宋体" w:eastAsia="宋体"/>
                <w:color w:val="auto"/>
                <w:szCs w:val="21"/>
                <w:highlight w:val="none"/>
              </w:rPr>
            </w:pPr>
            <w:r>
              <w:rPr>
                <w:rFonts w:hint="eastAsia" w:ascii="宋体" w:hAnsi="宋体" w:eastAsia="宋体"/>
                <w:color w:val="auto"/>
                <w:szCs w:val="21"/>
                <w:highlight w:val="none"/>
              </w:rPr>
              <w:t>5</w:t>
            </w:r>
          </w:p>
        </w:tc>
        <w:tc>
          <w:tcPr>
            <w:tcW w:w="8127" w:type="dxa"/>
            <w:tcBorders>
              <w:top w:val="single" w:color="auto" w:sz="4" w:space="0"/>
              <w:left w:val="single" w:color="auto" w:sz="4" w:space="0"/>
              <w:bottom w:val="single" w:color="auto" w:sz="4" w:space="0"/>
              <w:right w:val="single" w:color="auto" w:sz="4" w:space="0"/>
            </w:tcBorders>
            <w:noWrap w:val="0"/>
            <w:vAlign w:val="center"/>
          </w:tcPr>
          <w:p w14:paraId="33DD803A">
            <w:pPr>
              <w:spacing w:line="240" w:lineRule="exact"/>
              <w:rPr>
                <w:rFonts w:ascii="宋体" w:hAnsi="宋体" w:eastAsia="宋体"/>
                <w:color w:val="auto"/>
                <w:szCs w:val="21"/>
                <w:highlight w:val="none"/>
              </w:rPr>
            </w:pPr>
            <w:r>
              <w:rPr>
                <w:rFonts w:hint="eastAsia" w:ascii="宋体" w:hAnsi="宋体" w:eastAsia="宋体"/>
                <w:color w:val="auto"/>
                <w:szCs w:val="21"/>
                <w:highlight w:val="none"/>
              </w:rPr>
              <w:t>投标人完成过质量合格的类似工程业绩及其资料满足公告要求。</w:t>
            </w:r>
          </w:p>
        </w:tc>
        <w:tc>
          <w:tcPr>
            <w:tcW w:w="1217" w:type="dxa"/>
            <w:tcBorders>
              <w:top w:val="single" w:color="auto" w:sz="4" w:space="0"/>
              <w:left w:val="single" w:color="auto" w:sz="4" w:space="0"/>
              <w:bottom w:val="single" w:color="auto" w:sz="4" w:space="0"/>
              <w:right w:val="single" w:color="auto" w:sz="4" w:space="0"/>
            </w:tcBorders>
            <w:noWrap w:val="0"/>
            <w:vAlign w:val="top"/>
          </w:tcPr>
          <w:p w14:paraId="2FEDF606">
            <w:pPr>
              <w:rPr>
                <w:rFonts w:ascii="宋体" w:hAnsi="宋体" w:eastAsia="宋体"/>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4F35EF9F">
            <w:pPr>
              <w:rPr>
                <w:rFonts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3222FFE">
            <w:pPr>
              <w:rPr>
                <w:rFonts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278D6CC">
            <w:pPr>
              <w:rPr>
                <w:rFonts w:ascii="宋体" w:hAnsi="宋体" w:eastAsia="宋体"/>
                <w:color w:val="auto"/>
                <w:szCs w:val="21"/>
                <w:highlight w:val="none"/>
              </w:rPr>
            </w:pPr>
          </w:p>
        </w:tc>
      </w:tr>
      <w:tr w14:paraId="673A76E1">
        <w:tblPrEx>
          <w:tblCellMar>
            <w:top w:w="0" w:type="dxa"/>
            <w:left w:w="108" w:type="dxa"/>
            <w:bottom w:w="0" w:type="dxa"/>
            <w:right w:w="108" w:type="dxa"/>
          </w:tblCellMar>
        </w:tblPrEx>
        <w:trPr>
          <w:trHeight w:val="570"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49ADC22A">
            <w:pPr>
              <w:jc w:val="center"/>
              <w:rPr>
                <w:rFonts w:hint="eastAsia" w:ascii="宋体" w:hAnsi="宋体" w:eastAsia="宋体"/>
                <w:color w:val="auto"/>
                <w:szCs w:val="21"/>
                <w:highlight w:val="none"/>
              </w:rPr>
            </w:pPr>
            <w:r>
              <w:rPr>
                <w:rFonts w:hint="eastAsia" w:ascii="宋体" w:hAnsi="宋体" w:eastAsia="宋体"/>
                <w:color w:val="auto"/>
                <w:szCs w:val="21"/>
                <w:highlight w:val="none"/>
              </w:rPr>
              <w:t>6</w:t>
            </w:r>
          </w:p>
        </w:tc>
        <w:tc>
          <w:tcPr>
            <w:tcW w:w="8127" w:type="dxa"/>
            <w:tcBorders>
              <w:top w:val="single" w:color="auto" w:sz="4" w:space="0"/>
              <w:left w:val="single" w:color="auto" w:sz="4" w:space="0"/>
              <w:bottom w:val="single" w:color="auto" w:sz="4" w:space="0"/>
              <w:right w:val="single" w:color="auto" w:sz="4" w:space="0"/>
            </w:tcBorders>
            <w:noWrap w:val="0"/>
            <w:vAlign w:val="center"/>
          </w:tcPr>
          <w:p w14:paraId="76284B09">
            <w:pPr>
              <w:rPr>
                <w:rFonts w:hint="eastAsia" w:ascii="宋体" w:hAnsi="宋体" w:eastAsia="宋体"/>
                <w:color w:val="auto"/>
                <w:szCs w:val="21"/>
                <w:highlight w:val="none"/>
              </w:rPr>
            </w:pPr>
            <w:r>
              <w:rPr>
                <w:rFonts w:hint="eastAsia" w:ascii="宋体" w:hAnsi="宋体" w:eastAsia="宋体"/>
                <w:color w:val="auto"/>
                <w:szCs w:val="21"/>
                <w:highlight w:val="none"/>
              </w:rPr>
              <w:t>专职安全员须具有</w:t>
            </w:r>
            <w:r>
              <w:rPr>
                <w:rFonts w:hint="eastAsia" w:ascii="宋体" w:hAnsi="宋体" w:eastAsia="宋体"/>
                <w:color w:val="auto"/>
                <w:szCs w:val="21"/>
                <w:highlight w:val="none"/>
                <w:u w:val="single"/>
                <w:lang w:eastAsia="zh-CN"/>
              </w:rPr>
              <w:t>在有效期内的</w:t>
            </w:r>
            <w:r>
              <w:rPr>
                <w:rFonts w:hint="eastAsia" w:ascii="宋体" w:hAnsi="宋体" w:eastAsia="宋体"/>
                <w:color w:val="auto"/>
                <w:szCs w:val="21"/>
                <w:highlight w:val="none"/>
              </w:rPr>
              <w:t>安全生产考核合格证（C类）或建筑施工企业专职安全生产管理人员安全生产考核合格证书（C3）。</w:t>
            </w:r>
          </w:p>
        </w:tc>
        <w:tc>
          <w:tcPr>
            <w:tcW w:w="1217" w:type="dxa"/>
            <w:tcBorders>
              <w:top w:val="single" w:color="auto" w:sz="4" w:space="0"/>
              <w:left w:val="single" w:color="auto" w:sz="4" w:space="0"/>
              <w:bottom w:val="single" w:color="auto" w:sz="4" w:space="0"/>
              <w:right w:val="single" w:color="auto" w:sz="4" w:space="0"/>
            </w:tcBorders>
            <w:noWrap w:val="0"/>
            <w:vAlign w:val="top"/>
          </w:tcPr>
          <w:p w14:paraId="23C451F1">
            <w:pPr>
              <w:rPr>
                <w:rFonts w:ascii="宋体" w:hAnsi="宋体" w:eastAsia="宋体"/>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19808C78">
            <w:pPr>
              <w:rPr>
                <w:rFonts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0A2F31C">
            <w:pPr>
              <w:rPr>
                <w:rFonts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2F8636EB">
            <w:pPr>
              <w:rPr>
                <w:rFonts w:ascii="宋体" w:hAnsi="宋体" w:eastAsia="宋体"/>
                <w:color w:val="auto"/>
                <w:szCs w:val="21"/>
                <w:highlight w:val="none"/>
              </w:rPr>
            </w:pPr>
          </w:p>
        </w:tc>
      </w:tr>
      <w:tr w14:paraId="15EFB48D">
        <w:tblPrEx>
          <w:tblCellMar>
            <w:top w:w="0" w:type="dxa"/>
            <w:left w:w="108" w:type="dxa"/>
            <w:bottom w:w="0" w:type="dxa"/>
            <w:right w:w="108" w:type="dxa"/>
          </w:tblCellMar>
        </w:tblPrEx>
        <w:trPr>
          <w:trHeight w:val="3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7F2FD622">
            <w:pPr>
              <w:jc w:val="center"/>
              <w:rPr>
                <w:rFonts w:ascii="宋体" w:hAnsi="宋体" w:eastAsia="宋体"/>
                <w:color w:val="auto"/>
                <w:szCs w:val="21"/>
                <w:highlight w:val="none"/>
              </w:rPr>
            </w:pPr>
            <w:r>
              <w:rPr>
                <w:rFonts w:hint="eastAsia" w:ascii="宋体" w:hAnsi="宋体" w:eastAsia="宋体"/>
                <w:color w:val="auto"/>
                <w:szCs w:val="21"/>
                <w:highlight w:val="none"/>
              </w:rPr>
              <w:t>7</w:t>
            </w:r>
          </w:p>
        </w:tc>
        <w:tc>
          <w:tcPr>
            <w:tcW w:w="8127" w:type="dxa"/>
            <w:tcBorders>
              <w:top w:val="single" w:color="auto" w:sz="4" w:space="0"/>
              <w:left w:val="single" w:color="auto" w:sz="4" w:space="0"/>
              <w:bottom w:val="single" w:color="auto" w:sz="4" w:space="0"/>
              <w:right w:val="single" w:color="auto" w:sz="4" w:space="0"/>
            </w:tcBorders>
            <w:noWrap w:val="0"/>
            <w:vAlign w:val="center"/>
          </w:tcPr>
          <w:p w14:paraId="4CEAD3F1">
            <w:pPr>
              <w:rPr>
                <w:rFonts w:hint="eastAsia" w:ascii="宋体" w:hAnsi="宋体" w:eastAsia="宋体"/>
                <w:color w:val="auto"/>
                <w:szCs w:val="21"/>
                <w:highlight w:val="none"/>
              </w:rPr>
            </w:pPr>
            <w:r>
              <w:rPr>
                <w:rFonts w:hint="eastAsia" w:ascii="宋体" w:hAnsi="宋体" w:eastAsia="宋体"/>
                <w:color w:val="auto"/>
                <w:szCs w:val="21"/>
                <w:highlight w:val="none"/>
              </w:rPr>
              <w:t>投标人按规定的格式及内容要求签署《投标人声明》。</w:t>
            </w:r>
          </w:p>
        </w:tc>
        <w:tc>
          <w:tcPr>
            <w:tcW w:w="1217" w:type="dxa"/>
            <w:tcBorders>
              <w:top w:val="single" w:color="auto" w:sz="4" w:space="0"/>
              <w:left w:val="single" w:color="auto" w:sz="4" w:space="0"/>
              <w:bottom w:val="single" w:color="auto" w:sz="4" w:space="0"/>
              <w:right w:val="single" w:color="auto" w:sz="4" w:space="0"/>
            </w:tcBorders>
            <w:noWrap w:val="0"/>
            <w:vAlign w:val="top"/>
          </w:tcPr>
          <w:p w14:paraId="5892E1D8">
            <w:pPr>
              <w:rPr>
                <w:rFonts w:ascii="宋体" w:hAnsi="宋体" w:eastAsia="宋体"/>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50BD5201">
            <w:pPr>
              <w:rPr>
                <w:rFonts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2EC191C">
            <w:pPr>
              <w:rPr>
                <w:rFonts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9112D08">
            <w:pPr>
              <w:rPr>
                <w:rFonts w:ascii="宋体" w:hAnsi="宋体" w:eastAsia="宋体"/>
                <w:color w:val="auto"/>
                <w:szCs w:val="21"/>
                <w:highlight w:val="none"/>
              </w:rPr>
            </w:pPr>
          </w:p>
        </w:tc>
      </w:tr>
      <w:tr w14:paraId="5060B57C">
        <w:tblPrEx>
          <w:tblCellMar>
            <w:top w:w="0" w:type="dxa"/>
            <w:left w:w="108" w:type="dxa"/>
            <w:bottom w:w="0" w:type="dxa"/>
            <w:right w:w="108" w:type="dxa"/>
          </w:tblCellMar>
        </w:tblPrEx>
        <w:trPr>
          <w:trHeight w:val="33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380858C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p>
        </w:tc>
        <w:tc>
          <w:tcPr>
            <w:tcW w:w="8127" w:type="dxa"/>
            <w:tcBorders>
              <w:top w:val="single" w:color="auto" w:sz="4" w:space="0"/>
              <w:left w:val="single" w:color="auto" w:sz="4" w:space="0"/>
              <w:bottom w:val="single" w:color="auto" w:sz="4" w:space="0"/>
              <w:right w:val="single" w:color="auto" w:sz="4" w:space="0"/>
            </w:tcBorders>
            <w:noWrap w:val="0"/>
            <w:vAlign w:val="center"/>
          </w:tcPr>
          <w:p w14:paraId="606608C7">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关于联合体投标：本次招标不接受联合体投标。</w:t>
            </w:r>
          </w:p>
        </w:tc>
        <w:tc>
          <w:tcPr>
            <w:tcW w:w="1217" w:type="dxa"/>
            <w:tcBorders>
              <w:top w:val="single" w:color="auto" w:sz="4" w:space="0"/>
              <w:left w:val="single" w:color="auto" w:sz="4" w:space="0"/>
              <w:bottom w:val="single" w:color="auto" w:sz="4" w:space="0"/>
              <w:right w:val="single" w:color="auto" w:sz="4" w:space="0"/>
            </w:tcBorders>
            <w:noWrap w:val="0"/>
            <w:vAlign w:val="top"/>
          </w:tcPr>
          <w:p w14:paraId="063B9517">
            <w:pPr>
              <w:rPr>
                <w:rFonts w:ascii="宋体" w:hAnsi="宋体" w:eastAsia="宋体"/>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2FD3A26A">
            <w:pPr>
              <w:rPr>
                <w:rFonts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5A9E892">
            <w:pPr>
              <w:rPr>
                <w:rFonts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0F50DA6">
            <w:pPr>
              <w:rPr>
                <w:rFonts w:ascii="宋体" w:hAnsi="宋体" w:eastAsia="宋体"/>
                <w:color w:val="auto"/>
                <w:szCs w:val="21"/>
                <w:highlight w:val="none"/>
              </w:rPr>
            </w:pPr>
          </w:p>
        </w:tc>
      </w:tr>
      <w:tr w14:paraId="18650769">
        <w:tblPrEx>
          <w:tblCellMar>
            <w:top w:w="0" w:type="dxa"/>
            <w:left w:w="108" w:type="dxa"/>
            <w:bottom w:w="0" w:type="dxa"/>
            <w:right w:w="108" w:type="dxa"/>
          </w:tblCellMar>
        </w:tblPrEx>
        <w:trPr>
          <w:trHeight w:val="66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4642DB33">
            <w:pPr>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9</w:t>
            </w:r>
          </w:p>
        </w:tc>
        <w:tc>
          <w:tcPr>
            <w:tcW w:w="8127" w:type="dxa"/>
            <w:tcBorders>
              <w:top w:val="single" w:color="auto" w:sz="4" w:space="0"/>
              <w:left w:val="single" w:color="auto" w:sz="4" w:space="0"/>
              <w:bottom w:val="single" w:color="auto" w:sz="4" w:space="0"/>
              <w:right w:val="single" w:color="auto" w:sz="4" w:space="0"/>
            </w:tcBorders>
            <w:noWrap w:val="0"/>
            <w:vAlign w:val="center"/>
          </w:tcPr>
          <w:p w14:paraId="134A9673">
            <w:pPr>
              <w:rPr>
                <w:rFonts w:hint="eastAsia" w:ascii="宋体" w:hAnsi="宋体" w:eastAsia="宋体"/>
                <w:color w:val="auto"/>
                <w:szCs w:val="21"/>
                <w:highlight w:val="none"/>
              </w:rPr>
            </w:pPr>
            <w:r>
              <w:rPr>
                <w:rFonts w:hint="eastAsia" w:ascii="宋体" w:hAnsi="宋体" w:eastAsia="宋体"/>
                <w:color w:val="auto"/>
                <w:szCs w:val="21"/>
                <w:highlight w:val="none"/>
              </w:rPr>
              <w:t>不存在《全国失信惩戒措施基础清单》惩戒内容为“在一定期限内依法取消参加依法必须进行招标的项目的投标资格”的情形</w:t>
            </w:r>
            <w:r>
              <w:rPr>
                <w:rFonts w:hint="eastAsia" w:ascii="宋体" w:hAnsi="宋体" w:eastAsia="宋体"/>
                <w:color w:val="auto"/>
                <w:szCs w:val="21"/>
                <w:highlight w:val="none"/>
                <w:u w:val="single"/>
              </w:rPr>
              <w:t>（以《投标人声明》进行评审）</w:t>
            </w:r>
            <w:r>
              <w:rPr>
                <w:rFonts w:hint="eastAsia" w:ascii="宋体" w:hAnsi="宋体" w:eastAsia="宋体"/>
                <w:color w:val="auto"/>
                <w:szCs w:val="21"/>
                <w:highlight w:val="none"/>
              </w:rPr>
              <w:t>。</w:t>
            </w:r>
          </w:p>
        </w:tc>
        <w:tc>
          <w:tcPr>
            <w:tcW w:w="1217" w:type="dxa"/>
            <w:tcBorders>
              <w:top w:val="single" w:color="auto" w:sz="4" w:space="0"/>
              <w:left w:val="single" w:color="auto" w:sz="4" w:space="0"/>
              <w:bottom w:val="single" w:color="auto" w:sz="4" w:space="0"/>
              <w:right w:val="single" w:color="auto" w:sz="4" w:space="0"/>
            </w:tcBorders>
            <w:noWrap w:val="0"/>
            <w:vAlign w:val="top"/>
          </w:tcPr>
          <w:p w14:paraId="0DF6693A">
            <w:pPr>
              <w:rPr>
                <w:rFonts w:ascii="宋体" w:hAnsi="宋体" w:eastAsia="宋体"/>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1387AA16">
            <w:pPr>
              <w:rPr>
                <w:rFonts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A4D787C">
            <w:pPr>
              <w:rPr>
                <w:rFonts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FDE830E">
            <w:pPr>
              <w:rPr>
                <w:rFonts w:ascii="宋体" w:hAnsi="宋体" w:eastAsia="宋体"/>
                <w:color w:val="auto"/>
                <w:szCs w:val="21"/>
                <w:highlight w:val="none"/>
              </w:rPr>
            </w:pPr>
          </w:p>
        </w:tc>
      </w:tr>
      <w:tr w14:paraId="7C3F1C8D">
        <w:tblPrEx>
          <w:tblCellMar>
            <w:top w:w="0" w:type="dxa"/>
            <w:left w:w="108" w:type="dxa"/>
            <w:bottom w:w="0" w:type="dxa"/>
            <w:right w:w="108" w:type="dxa"/>
          </w:tblCellMar>
        </w:tblPrEx>
        <w:trPr>
          <w:trHeight w:val="762"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1AE3AC30">
            <w:pPr>
              <w:jc w:val="center"/>
              <w:rPr>
                <w:rFonts w:hint="default" w:ascii="宋体" w:hAnsi="宋体" w:eastAsia="宋体"/>
                <w:color w:val="auto"/>
                <w:szCs w:val="21"/>
                <w:highlight w:val="none"/>
                <w:lang w:val="en-US" w:eastAsia="zh-CN"/>
              </w:rPr>
            </w:pPr>
            <w:r>
              <w:rPr>
                <w:rFonts w:hint="eastAsia" w:ascii="宋体" w:hAnsi="宋体" w:eastAsia="宋体"/>
                <w:strike/>
                <w:color w:val="auto"/>
                <w:szCs w:val="21"/>
                <w:highlight w:val="none"/>
                <w:lang w:val="en-US" w:eastAsia="zh-CN"/>
              </w:rPr>
              <w:t>10</w:t>
            </w:r>
          </w:p>
        </w:tc>
        <w:tc>
          <w:tcPr>
            <w:tcW w:w="8127" w:type="dxa"/>
            <w:tcBorders>
              <w:top w:val="single" w:color="auto" w:sz="4" w:space="0"/>
              <w:left w:val="single" w:color="auto" w:sz="4" w:space="0"/>
              <w:bottom w:val="single" w:color="auto" w:sz="4" w:space="0"/>
              <w:right w:val="single" w:color="auto" w:sz="4" w:space="0"/>
            </w:tcBorders>
            <w:noWrap w:val="0"/>
            <w:vAlign w:val="center"/>
          </w:tcPr>
          <w:p w14:paraId="289FD2D5">
            <w:pPr>
              <w:rPr>
                <w:rFonts w:hint="eastAsia" w:ascii="宋体" w:hAnsi="宋体" w:eastAsia="宋体"/>
                <w:color w:val="auto"/>
                <w:szCs w:val="21"/>
                <w:highlight w:val="none"/>
              </w:rPr>
            </w:pPr>
            <w:r>
              <w:rPr>
                <w:rFonts w:hint="eastAsia" w:ascii="宋体" w:hAnsi="宋体" w:eastAsia="宋体"/>
                <w:strike/>
                <w:color w:val="auto"/>
                <w:szCs w:val="21"/>
                <w:highlight w:val="none"/>
              </w:rPr>
              <w:t>未在以往工程中因不诚信行为或不充分履约行为被本项目招标人书面拒绝投标的。（如有，提供具体名单；如无，则删除。）</w:t>
            </w:r>
          </w:p>
        </w:tc>
        <w:tc>
          <w:tcPr>
            <w:tcW w:w="1217" w:type="dxa"/>
            <w:tcBorders>
              <w:top w:val="single" w:color="auto" w:sz="4" w:space="0"/>
              <w:left w:val="single" w:color="auto" w:sz="4" w:space="0"/>
              <w:bottom w:val="single" w:color="auto" w:sz="4" w:space="0"/>
              <w:right w:val="single" w:color="auto" w:sz="4" w:space="0"/>
            </w:tcBorders>
            <w:noWrap w:val="0"/>
            <w:vAlign w:val="top"/>
          </w:tcPr>
          <w:p w14:paraId="2DA96B1E">
            <w:pPr>
              <w:rPr>
                <w:rFonts w:ascii="宋体" w:hAnsi="宋体" w:eastAsia="宋体"/>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70385FCB">
            <w:pPr>
              <w:rPr>
                <w:rFonts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569705C">
            <w:pPr>
              <w:rPr>
                <w:rFonts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5B6CEB5">
            <w:pPr>
              <w:rPr>
                <w:rFonts w:ascii="宋体" w:hAnsi="宋体" w:eastAsia="宋体"/>
                <w:color w:val="auto"/>
                <w:szCs w:val="21"/>
                <w:highlight w:val="none"/>
              </w:rPr>
            </w:pPr>
          </w:p>
        </w:tc>
      </w:tr>
    </w:tbl>
    <w:p w14:paraId="2DB447DE">
      <w:pPr>
        <w:ind w:left="630" w:hanging="630" w:hangingChars="300"/>
        <w:rPr>
          <w:rFonts w:ascii="宋体" w:hAnsi="宋体" w:eastAsia="宋体"/>
          <w:color w:val="auto"/>
          <w:szCs w:val="21"/>
          <w:highlight w:val="none"/>
        </w:rPr>
      </w:pPr>
      <w:r>
        <w:rPr>
          <w:rFonts w:hint="eastAsia" w:ascii="宋体" w:hAnsi="宋体" w:eastAsia="宋体"/>
          <w:color w:val="auto"/>
          <w:szCs w:val="21"/>
          <w:highlight w:val="none"/>
        </w:rPr>
        <w:t>注：1.本表评审内容的信息取自</w:t>
      </w:r>
      <w:r>
        <w:rPr>
          <w:rFonts w:hint="eastAsia" w:ascii="宋体" w:hAnsi="宋体" w:eastAsia="宋体"/>
          <w:color w:val="auto"/>
          <w:szCs w:val="21"/>
          <w:highlight w:val="none"/>
          <w:lang w:eastAsia="zh-CN"/>
        </w:rPr>
        <w:t>投标人</w:t>
      </w:r>
      <w:r>
        <w:rPr>
          <w:rFonts w:hint="eastAsia" w:ascii="宋体" w:hAnsi="宋体" w:eastAsia="宋体"/>
          <w:color w:val="auto"/>
          <w:szCs w:val="21"/>
          <w:highlight w:val="none"/>
        </w:rPr>
        <w:t>在广州公共资源交易</w:t>
      </w:r>
      <w:r>
        <w:rPr>
          <w:rFonts w:hint="eastAsia" w:ascii="宋体" w:hAnsi="宋体" w:eastAsia="宋体"/>
          <w:color w:val="auto"/>
          <w:szCs w:val="21"/>
          <w:highlight w:val="none"/>
          <w:lang w:eastAsia="zh-CN"/>
        </w:rPr>
        <w:t>平台</w:t>
      </w:r>
      <w:r>
        <w:rPr>
          <w:rFonts w:hint="eastAsia" w:ascii="宋体" w:hAnsi="宋体" w:eastAsia="宋体"/>
          <w:color w:val="auto"/>
          <w:szCs w:val="21"/>
          <w:highlight w:val="none"/>
        </w:rPr>
        <w:t>企业库、园林绿化企业工程业绩库登记的信息，</w:t>
      </w:r>
      <w:r>
        <w:rPr>
          <w:rFonts w:hint="eastAsia" w:ascii="宋体" w:hAnsi="宋体" w:eastAsia="宋体"/>
          <w:color w:val="auto"/>
          <w:szCs w:val="21"/>
          <w:highlight w:val="none"/>
          <w:lang w:eastAsia="zh-CN"/>
        </w:rPr>
        <w:t>投标人</w:t>
      </w:r>
      <w:r>
        <w:rPr>
          <w:rFonts w:hint="eastAsia" w:ascii="宋体" w:hAnsi="宋体" w:eastAsia="宋体"/>
          <w:color w:val="auto"/>
          <w:szCs w:val="21"/>
          <w:highlight w:val="none"/>
        </w:rPr>
        <w:t>在广州公共资源交易</w:t>
      </w:r>
      <w:r>
        <w:rPr>
          <w:rFonts w:hint="eastAsia" w:ascii="宋体" w:hAnsi="宋体" w:eastAsia="宋体"/>
          <w:color w:val="auto"/>
          <w:szCs w:val="21"/>
          <w:highlight w:val="none"/>
          <w:lang w:eastAsia="zh-CN"/>
        </w:rPr>
        <w:t>平台</w:t>
      </w:r>
      <w:r>
        <w:rPr>
          <w:rFonts w:hint="eastAsia" w:ascii="宋体" w:hAnsi="宋体" w:eastAsia="宋体"/>
          <w:color w:val="auto"/>
          <w:szCs w:val="21"/>
          <w:highlight w:val="none"/>
        </w:rPr>
        <w:t>企业库、园林绿化企业工程业绩库登记的信息将视为其递交资格审查文件的一部分。评标委员会对该部分内容的审查，以开标当天中午12时在广州公共资源交易</w:t>
      </w:r>
      <w:r>
        <w:rPr>
          <w:rFonts w:hint="eastAsia" w:ascii="宋体" w:hAnsi="宋体" w:eastAsia="宋体"/>
          <w:color w:val="auto"/>
          <w:szCs w:val="21"/>
          <w:highlight w:val="none"/>
          <w:lang w:eastAsia="zh-CN"/>
        </w:rPr>
        <w:t>平台</w:t>
      </w:r>
      <w:r>
        <w:rPr>
          <w:rFonts w:hint="eastAsia" w:ascii="宋体" w:hAnsi="宋体" w:eastAsia="宋体"/>
          <w:color w:val="auto"/>
          <w:szCs w:val="21"/>
          <w:highlight w:val="none"/>
        </w:rPr>
        <w:t>企业库、园林绿化企业工程业绩库记录的信息为依据。</w:t>
      </w:r>
    </w:p>
    <w:p w14:paraId="25D3F002">
      <w:pPr>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2.使用GZYLZB202</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-1招标文件范本，与范本内容不同之处均以下划线标明。</w:t>
      </w:r>
    </w:p>
    <w:p w14:paraId="3BA643E9">
      <w:pPr>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3.凡不满足《资格审查表》中任何一项情形，结论均为无效，否则视为有效。</w:t>
      </w:r>
    </w:p>
    <w:p w14:paraId="39DD8ED2">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4.如对本表中某种情形的评审意见不一致时，以评标委员会过半数成员的意见作为评标委员会对该情形的认定结论。</w:t>
      </w:r>
    </w:p>
    <w:p w14:paraId="30E7128F">
      <w:pPr>
        <w:pStyle w:val="5"/>
        <w:tabs>
          <w:tab w:val="left" w:pos="7380"/>
        </w:tabs>
        <w:spacing w:after="0" w:line="360" w:lineRule="auto"/>
        <w:ind w:firstLine="0"/>
        <w:rPr>
          <w:rFonts w:hint="eastAsia" w:ascii="宋体" w:hAnsi="宋体" w:eastAsia="宋体"/>
          <w:b/>
          <w:color w:val="auto"/>
          <w:szCs w:val="21"/>
          <w:highlight w:val="none"/>
        </w:rPr>
      </w:pPr>
      <w:r>
        <w:rPr>
          <w:rFonts w:hint="eastAsia" w:ascii="宋体" w:hAnsi="宋体" w:eastAsia="宋体"/>
          <w:b/>
          <w:color w:val="auto"/>
          <w:szCs w:val="21"/>
          <w:highlight w:val="none"/>
        </w:rPr>
        <w:t xml:space="preserve">评委签名：  </w:t>
      </w:r>
      <w:r>
        <w:rPr>
          <w:rFonts w:hint="eastAsia" w:ascii="宋体" w:hAnsi="宋体" w:eastAsia="宋体"/>
          <w:color w:val="auto"/>
          <w:szCs w:val="21"/>
          <w:highlight w:val="none"/>
        </w:rPr>
        <w:t xml:space="preserve">                                                                                         </w:t>
      </w:r>
      <w:r>
        <w:rPr>
          <w:rFonts w:hint="eastAsia" w:ascii="宋体" w:hAnsi="宋体" w:eastAsia="宋体"/>
          <w:b/>
          <w:color w:val="auto"/>
          <w:szCs w:val="21"/>
          <w:highlight w:val="none"/>
        </w:rPr>
        <w:t>日期：</w:t>
      </w:r>
    </w:p>
    <w:p w14:paraId="3B7DCA48">
      <w:pPr>
        <w:pStyle w:val="5"/>
        <w:tabs>
          <w:tab w:val="left" w:pos="7380"/>
        </w:tabs>
        <w:spacing w:after="0" w:line="360" w:lineRule="auto"/>
        <w:ind w:firstLine="0"/>
        <w:rPr>
          <w:rFonts w:hint="eastAsia" w:ascii="宋体" w:hAnsi="宋体" w:eastAsia="宋体"/>
          <w:b/>
          <w:color w:val="auto"/>
          <w:szCs w:val="21"/>
          <w:highlight w:val="none"/>
        </w:rPr>
      </w:pPr>
      <w:r>
        <w:rPr>
          <w:rFonts w:hint="eastAsia" w:ascii="宋体" w:hAnsi="宋体" w:eastAsia="宋体"/>
          <w:b/>
          <w:color w:val="auto"/>
          <w:szCs w:val="21"/>
          <w:highlight w:val="none"/>
        </w:rPr>
        <w:br w:type="page"/>
      </w:r>
    </w:p>
    <w:p w14:paraId="04384A0F">
      <w:pPr>
        <w:spacing w:line="360" w:lineRule="auto"/>
        <w:outlineLvl w:val="2"/>
        <w:rPr>
          <w:rFonts w:ascii="宋体" w:hAnsi="宋体" w:eastAsia="宋体"/>
          <w:bCs/>
          <w:color w:val="auto"/>
          <w:sz w:val="24"/>
          <w:szCs w:val="24"/>
          <w:highlight w:val="none"/>
        </w:rPr>
      </w:pPr>
      <w:bookmarkStart w:id="234" w:name="_Toc22622"/>
      <w:bookmarkStart w:id="235" w:name="_Toc20013"/>
      <w:bookmarkStart w:id="236" w:name="_Toc30697"/>
      <w:bookmarkStart w:id="237" w:name="_Toc9953"/>
      <w:r>
        <w:rPr>
          <w:rFonts w:hint="eastAsia" w:ascii="宋体" w:hAnsi="宋体" w:eastAsia="宋体"/>
          <w:bCs/>
          <w:color w:val="auto"/>
          <w:sz w:val="24"/>
          <w:szCs w:val="24"/>
          <w:highlight w:val="none"/>
        </w:rPr>
        <w:t>附件3</w:t>
      </w:r>
      <w:bookmarkEnd w:id="234"/>
      <w:bookmarkEnd w:id="235"/>
      <w:bookmarkEnd w:id="236"/>
      <w:bookmarkEnd w:id="237"/>
    </w:p>
    <w:p w14:paraId="12EFF201">
      <w:pPr>
        <w:spacing w:line="360" w:lineRule="auto"/>
        <w:jc w:val="center"/>
        <w:rPr>
          <w:rFonts w:hint="eastAsia" w:ascii="宋体" w:hAnsi="宋体" w:eastAsia="宋体"/>
          <w:b/>
          <w:color w:val="auto"/>
          <w:sz w:val="24"/>
          <w:highlight w:val="none"/>
        </w:rPr>
      </w:pPr>
      <w:r>
        <w:rPr>
          <w:rFonts w:hint="eastAsia" w:ascii="宋体" w:hAnsi="宋体" w:eastAsia="宋体" w:cs="宋体"/>
          <w:b/>
          <w:bCs/>
          <w:color w:val="auto"/>
          <w:kern w:val="0"/>
          <w:sz w:val="32"/>
          <w:szCs w:val="32"/>
          <w:highlight w:val="none"/>
        </w:rPr>
        <w:t>算术复核表</w:t>
      </w:r>
    </w:p>
    <w:p w14:paraId="60D3C4CE">
      <w:pPr>
        <w:widowControl/>
        <w:jc w:val="left"/>
        <w:rPr>
          <w:rFonts w:hint="eastAsia" w:ascii="宋体" w:hAnsi="宋体" w:eastAsia="宋体" w:cs="宋体"/>
          <w:b/>
          <w:bCs/>
          <w:color w:val="auto"/>
          <w:kern w:val="0"/>
          <w:sz w:val="24"/>
          <w:szCs w:val="24"/>
          <w:highlight w:val="none"/>
        </w:rPr>
      </w:pPr>
    </w:p>
    <w:p w14:paraId="4332AE0C">
      <w:pPr>
        <w:widowControl/>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工程名称：                                           投标人:                                               单位：元</w:t>
      </w:r>
    </w:p>
    <w:tbl>
      <w:tblPr>
        <w:tblStyle w:val="29"/>
        <w:tblW w:w="14610" w:type="dxa"/>
        <w:tblInd w:w="93" w:type="dxa"/>
        <w:tblLayout w:type="fixed"/>
        <w:tblCellMar>
          <w:top w:w="0" w:type="dxa"/>
          <w:left w:w="108" w:type="dxa"/>
          <w:bottom w:w="0" w:type="dxa"/>
          <w:right w:w="108" w:type="dxa"/>
        </w:tblCellMar>
      </w:tblPr>
      <w:tblGrid>
        <w:gridCol w:w="645"/>
        <w:gridCol w:w="4488"/>
        <w:gridCol w:w="1602"/>
        <w:gridCol w:w="1575"/>
        <w:gridCol w:w="1575"/>
        <w:gridCol w:w="1680"/>
        <w:gridCol w:w="3045"/>
      </w:tblGrid>
      <w:tr w14:paraId="315BCEB6">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173FF27E">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编号</w:t>
            </w:r>
          </w:p>
        </w:tc>
        <w:tc>
          <w:tcPr>
            <w:tcW w:w="4488" w:type="dxa"/>
            <w:tcBorders>
              <w:top w:val="single" w:color="auto" w:sz="4" w:space="0"/>
              <w:left w:val="nil"/>
              <w:bottom w:val="single" w:color="auto" w:sz="4" w:space="0"/>
              <w:right w:val="single" w:color="auto" w:sz="4" w:space="0"/>
            </w:tcBorders>
            <w:noWrap w:val="0"/>
            <w:vAlign w:val="center"/>
          </w:tcPr>
          <w:p w14:paraId="49A1CAF1">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算术复核项目</w:t>
            </w:r>
          </w:p>
        </w:tc>
        <w:tc>
          <w:tcPr>
            <w:tcW w:w="1602" w:type="dxa"/>
            <w:tcBorders>
              <w:top w:val="single" w:color="auto" w:sz="4" w:space="0"/>
              <w:left w:val="nil"/>
              <w:bottom w:val="single" w:color="auto" w:sz="4" w:space="0"/>
              <w:right w:val="single" w:color="auto" w:sz="4" w:space="0"/>
            </w:tcBorders>
            <w:noWrap w:val="0"/>
            <w:vAlign w:val="center"/>
          </w:tcPr>
          <w:p w14:paraId="5DECE001">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修正前投标</w:t>
            </w:r>
          </w:p>
          <w:p w14:paraId="21F6433C">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报价A</w:t>
            </w:r>
          </w:p>
        </w:tc>
        <w:tc>
          <w:tcPr>
            <w:tcW w:w="1575" w:type="dxa"/>
            <w:tcBorders>
              <w:top w:val="single" w:color="auto" w:sz="4" w:space="0"/>
              <w:left w:val="nil"/>
              <w:bottom w:val="single" w:color="auto" w:sz="4" w:space="0"/>
              <w:right w:val="single" w:color="auto" w:sz="4" w:space="0"/>
            </w:tcBorders>
            <w:noWrap w:val="0"/>
            <w:vAlign w:val="center"/>
          </w:tcPr>
          <w:p w14:paraId="3EA60390">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修正后投标</w:t>
            </w:r>
          </w:p>
          <w:p w14:paraId="51086A9E">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报价B</w:t>
            </w:r>
          </w:p>
        </w:tc>
        <w:tc>
          <w:tcPr>
            <w:tcW w:w="1575" w:type="dxa"/>
            <w:tcBorders>
              <w:top w:val="single" w:color="auto" w:sz="4" w:space="0"/>
              <w:left w:val="nil"/>
              <w:bottom w:val="single" w:color="auto" w:sz="4" w:space="0"/>
              <w:right w:val="single" w:color="auto" w:sz="4" w:space="0"/>
            </w:tcBorders>
            <w:noWrap w:val="0"/>
            <w:vAlign w:val="center"/>
          </w:tcPr>
          <w:p w14:paraId="0A081F61">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修正率</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r=|A-B|/A*100%</w:t>
            </w:r>
          </w:p>
        </w:tc>
        <w:tc>
          <w:tcPr>
            <w:tcW w:w="1680" w:type="dxa"/>
            <w:tcBorders>
              <w:top w:val="single" w:color="auto" w:sz="4" w:space="0"/>
              <w:left w:val="nil"/>
              <w:bottom w:val="single" w:color="auto" w:sz="4" w:space="0"/>
              <w:right w:val="single" w:color="auto" w:sz="4" w:space="0"/>
            </w:tcBorders>
            <w:noWrap w:val="0"/>
            <w:vAlign w:val="center"/>
          </w:tcPr>
          <w:p w14:paraId="5EF6C7BB">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经评审的最终投标报价</w:t>
            </w:r>
          </w:p>
        </w:tc>
        <w:tc>
          <w:tcPr>
            <w:tcW w:w="3045" w:type="dxa"/>
            <w:tcBorders>
              <w:top w:val="single" w:color="auto" w:sz="4" w:space="0"/>
              <w:left w:val="nil"/>
              <w:bottom w:val="single" w:color="auto" w:sz="4" w:space="0"/>
              <w:right w:val="single" w:color="auto" w:sz="4" w:space="0"/>
            </w:tcBorders>
            <w:noWrap w:val="0"/>
            <w:vAlign w:val="center"/>
          </w:tcPr>
          <w:p w14:paraId="4576BC78">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当B&gt;A时，修正后报价与原报价的差额；当B≤A,R=0</w:t>
            </w:r>
          </w:p>
        </w:tc>
      </w:tr>
      <w:tr w14:paraId="693D334B">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108D6955">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w:t>
            </w:r>
          </w:p>
        </w:tc>
        <w:tc>
          <w:tcPr>
            <w:tcW w:w="4488" w:type="dxa"/>
            <w:tcBorders>
              <w:top w:val="nil"/>
              <w:left w:val="nil"/>
              <w:bottom w:val="single" w:color="auto" w:sz="4" w:space="0"/>
              <w:right w:val="single" w:color="auto" w:sz="4" w:space="0"/>
            </w:tcBorders>
            <w:noWrap w:val="0"/>
            <w:vAlign w:val="center"/>
          </w:tcPr>
          <w:p w14:paraId="1D84D507">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[单位工程1]</w:t>
            </w:r>
          </w:p>
        </w:tc>
        <w:tc>
          <w:tcPr>
            <w:tcW w:w="1602" w:type="dxa"/>
            <w:tcBorders>
              <w:top w:val="nil"/>
              <w:left w:val="nil"/>
              <w:bottom w:val="single" w:color="auto" w:sz="4" w:space="0"/>
              <w:right w:val="single" w:color="auto" w:sz="4" w:space="0"/>
            </w:tcBorders>
            <w:noWrap w:val="0"/>
            <w:vAlign w:val="center"/>
          </w:tcPr>
          <w:p w14:paraId="0141015B">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6ADB9B89">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50A7621D">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680" w:type="dxa"/>
            <w:tcBorders>
              <w:top w:val="nil"/>
              <w:left w:val="nil"/>
              <w:bottom w:val="single" w:color="auto" w:sz="4" w:space="0"/>
              <w:right w:val="single" w:color="auto" w:sz="4" w:space="0"/>
            </w:tcBorders>
            <w:noWrap w:val="0"/>
            <w:vAlign w:val="center"/>
          </w:tcPr>
          <w:p w14:paraId="17BD4E10">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045" w:type="dxa"/>
            <w:tcBorders>
              <w:top w:val="single" w:color="auto" w:sz="4" w:space="0"/>
              <w:left w:val="nil"/>
              <w:bottom w:val="single" w:color="auto" w:sz="4" w:space="0"/>
              <w:right w:val="single" w:color="auto" w:sz="4" w:space="0"/>
            </w:tcBorders>
            <w:noWrap w:val="0"/>
            <w:vAlign w:val="center"/>
          </w:tcPr>
          <w:p w14:paraId="0CAD87DC">
            <w:pPr>
              <w:widowControl/>
              <w:jc w:val="left"/>
              <w:rPr>
                <w:rFonts w:ascii="宋体" w:hAnsi="宋体" w:eastAsia="宋体" w:cs="宋体"/>
                <w:color w:val="auto"/>
                <w:kern w:val="0"/>
                <w:sz w:val="24"/>
                <w:szCs w:val="24"/>
                <w:highlight w:val="none"/>
              </w:rPr>
            </w:pPr>
          </w:p>
        </w:tc>
      </w:tr>
      <w:tr w14:paraId="3FA54E81">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03700F6D">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p>
        </w:tc>
        <w:tc>
          <w:tcPr>
            <w:tcW w:w="4488" w:type="dxa"/>
            <w:tcBorders>
              <w:top w:val="nil"/>
              <w:left w:val="nil"/>
              <w:bottom w:val="single" w:color="auto" w:sz="4" w:space="0"/>
              <w:right w:val="single" w:color="auto" w:sz="4" w:space="0"/>
            </w:tcBorders>
            <w:noWrap w:val="0"/>
            <w:vAlign w:val="center"/>
          </w:tcPr>
          <w:p w14:paraId="3AEBE795">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[单位工程2]</w:t>
            </w:r>
          </w:p>
        </w:tc>
        <w:tc>
          <w:tcPr>
            <w:tcW w:w="1602" w:type="dxa"/>
            <w:tcBorders>
              <w:top w:val="nil"/>
              <w:left w:val="nil"/>
              <w:bottom w:val="single" w:color="auto" w:sz="4" w:space="0"/>
              <w:right w:val="single" w:color="auto" w:sz="4" w:space="0"/>
            </w:tcBorders>
            <w:noWrap w:val="0"/>
            <w:vAlign w:val="center"/>
          </w:tcPr>
          <w:p w14:paraId="5AAC1549">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47BD09EB">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7A468D04">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680" w:type="dxa"/>
            <w:tcBorders>
              <w:top w:val="nil"/>
              <w:left w:val="nil"/>
              <w:bottom w:val="single" w:color="auto" w:sz="4" w:space="0"/>
              <w:right w:val="single" w:color="auto" w:sz="4" w:space="0"/>
            </w:tcBorders>
            <w:noWrap w:val="0"/>
            <w:vAlign w:val="center"/>
          </w:tcPr>
          <w:p w14:paraId="16D76FEB">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045" w:type="dxa"/>
            <w:tcBorders>
              <w:top w:val="single" w:color="auto" w:sz="4" w:space="0"/>
              <w:left w:val="nil"/>
              <w:bottom w:val="single" w:color="auto" w:sz="4" w:space="0"/>
              <w:right w:val="single" w:color="auto" w:sz="4" w:space="0"/>
            </w:tcBorders>
            <w:noWrap w:val="0"/>
            <w:vAlign w:val="center"/>
          </w:tcPr>
          <w:p w14:paraId="0321B6F7">
            <w:pPr>
              <w:jc w:val="left"/>
              <w:rPr>
                <w:rFonts w:ascii="宋体" w:hAnsi="宋体" w:eastAsia="宋体" w:cs="宋体"/>
                <w:color w:val="auto"/>
                <w:kern w:val="0"/>
                <w:sz w:val="24"/>
                <w:szCs w:val="24"/>
                <w:highlight w:val="none"/>
              </w:rPr>
            </w:pPr>
          </w:p>
        </w:tc>
      </w:tr>
      <w:tr w14:paraId="05858CCA">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601D7F35">
            <w:pPr>
              <w:widowControl/>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0B8F68D2">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602" w:type="dxa"/>
            <w:tcBorders>
              <w:top w:val="nil"/>
              <w:left w:val="nil"/>
              <w:bottom w:val="single" w:color="auto" w:sz="4" w:space="0"/>
              <w:right w:val="single" w:color="auto" w:sz="4" w:space="0"/>
            </w:tcBorders>
            <w:noWrap w:val="0"/>
            <w:vAlign w:val="center"/>
          </w:tcPr>
          <w:p w14:paraId="0270C4AC">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5EE88569">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6F1D211A">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680" w:type="dxa"/>
            <w:tcBorders>
              <w:top w:val="nil"/>
              <w:left w:val="nil"/>
              <w:bottom w:val="single" w:color="auto" w:sz="4" w:space="0"/>
              <w:right w:val="single" w:color="auto" w:sz="4" w:space="0"/>
            </w:tcBorders>
            <w:noWrap w:val="0"/>
            <w:vAlign w:val="center"/>
          </w:tcPr>
          <w:p w14:paraId="67D3E8F6">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045" w:type="dxa"/>
            <w:tcBorders>
              <w:top w:val="single" w:color="auto" w:sz="4" w:space="0"/>
              <w:left w:val="nil"/>
              <w:bottom w:val="single" w:color="auto" w:sz="4" w:space="0"/>
              <w:right w:val="single" w:color="auto" w:sz="4" w:space="0"/>
            </w:tcBorders>
            <w:noWrap w:val="0"/>
            <w:vAlign w:val="center"/>
          </w:tcPr>
          <w:p w14:paraId="49853745">
            <w:pPr>
              <w:jc w:val="left"/>
              <w:rPr>
                <w:rFonts w:ascii="宋体" w:hAnsi="宋体" w:eastAsia="宋体" w:cs="宋体"/>
                <w:color w:val="auto"/>
                <w:kern w:val="0"/>
                <w:sz w:val="24"/>
                <w:szCs w:val="24"/>
                <w:highlight w:val="none"/>
              </w:rPr>
            </w:pPr>
          </w:p>
        </w:tc>
      </w:tr>
      <w:tr w14:paraId="4E770438">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17277B1F">
            <w:pPr>
              <w:widowControl/>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00359629">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602" w:type="dxa"/>
            <w:tcBorders>
              <w:top w:val="nil"/>
              <w:left w:val="nil"/>
              <w:bottom w:val="single" w:color="auto" w:sz="4" w:space="0"/>
              <w:right w:val="single" w:color="auto" w:sz="4" w:space="0"/>
            </w:tcBorders>
            <w:noWrap w:val="0"/>
            <w:vAlign w:val="center"/>
          </w:tcPr>
          <w:p w14:paraId="2AA3E57F">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32B7871A">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561CD72B">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680" w:type="dxa"/>
            <w:tcBorders>
              <w:top w:val="nil"/>
              <w:left w:val="nil"/>
              <w:bottom w:val="single" w:color="auto" w:sz="4" w:space="0"/>
              <w:right w:val="single" w:color="auto" w:sz="4" w:space="0"/>
            </w:tcBorders>
            <w:noWrap w:val="0"/>
            <w:vAlign w:val="center"/>
          </w:tcPr>
          <w:p w14:paraId="172684C9">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045" w:type="dxa"/>
            <w:tcBorders>
              <w:top w:val="single" w:color="auto" w:sz="4" w:space="0"/>
              <w:left w:val="nil"/>
              <w:bottom w:val="single" w:color="auto" w:sz="4" w:space="0"/>
              <w:right w:val="single" w:color="auto" w:sz="4" w:space="0"/>
            </w:tcBorders>
            <w:noWrap w:val="0"/>
            <w:vAlign w:val="center"/>
          </w:tcPr>
          <w:p w14:paraId="3B764448">
            <w:pPr>
              <w:jc w:val="left"/>
              <w:rPr>
                <w:rFonts w:ascii="宋体" w:hAnsi="宋体" w:eastAsia="宋体" w:cs="宋体"/>
                <w:color w:val="auto"/>
                <w:kern w:val="0"/>
                <w:sz w:val="24"/>
                <w:szCs w:val="24"/>
                <w:highlight w:val="none"/>
              </w:rPr>
            </w:pPr>
          </w:p>
        </w:tc>
      </w:tr>
      <w:tr w14:paraId="7D472482">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36F199A3">
            <w:pPr>
              <w:widowControl/>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5870C1EE">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602" w:type="dxa"/>
            <w:tcBorders>
              <w:top w:val="nil"/>
              <w:left w:val="nil"/>
              <w:bottom w:val="single" w:color="auto" w:sz="4" w:space="0"/>
              <w:right w:val="single" w:color="auto" w:sz="4" w:space="0"/>
            </w:tcBorders>
            <w:noWrap w:val="0"/>
            <w:vAlign w:val="center"/>
          </w:tcPr>
          <w:p w14:paraId="20BD7034">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5E16B3B6">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4D9BCD25">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680" w:type="dxa"/>
            <w:tcBorders>
              <w:top w:val="nil"/>
              <w:left w:val="nil"/>
              <w:bottom w:val="single" w:color="auto" w:sz="4" w:space="0"/>
              <w:right w:val="single" w:color="auto" w:sz="4" w:space="0"/>
            </w:tcBorders>
            <w:noWrap w:val="0"/>
            <w:vAlign w:val="center"/>
          </w:tcPr>
          <w:p w14:paraId="5BBE1264">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045" w:type="dxa"/>
            <w:tcBorders>
              <w:top w:val="single" w:color="auto" w:sz="4" w:space="0"/>
              <w:left w:val="nil"/>
              <w:bottom w:val="single" w:color="auto" w:sz="4" w:space="0"/>
              <w:right w:val="single" w:color="auto" w:sz="4" w:space="0"/>
            </w:tcBorders>
            <w:noWrap w:val="0"/>
            <w:vAlign w:val="center"/>
          </w:tcPr>
          <w:p w14:paraId="068EE390">
            <w:pPr>
              <w:jc w:val="left"/>
              <w:rPr>
                <w:rFonts w:ascii="宋体" w:hAnsi="宋体" w:eastAsia="宋体" w:cs="宋体"/>
                <w:color w:val="auto"/>
                <w:kern w:val="0"/>
                <w:sz w:val="24"/>
                <w:szCs w:val="24"/>
                <w:highlight w:val="none"/>
              </w:rPr>
            </w:pPr>
          </w:p>
        </w:tc>
      </w:tr>
      <w:tr w14:paraId="6E1EA7D2">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546B80ED">
            <w:pPr>
              <w:widowControl/>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61D606B7">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602" w:type="dxa"/>
            <w:tcBorders>
              <w:top w:val="nil"/>
              <w:left w:val="nil"/>
              <w:bottom w:val="single" w:color="auto" w:sz="4" w:space="0"/>
              <w:right w:val="single" w:color="auto" w:sz="4" w:space="0"/>
            </w:tcBorders>
            <w:noWrap w:val="0"/>
            <w:vAlign w:val="center"/>
          </w:tcPr>
          <w:p w14:paraId="5F611784">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739C3974">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39EB4CD2">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680" w:type="dxa"/>
            <w:tcBorders>
              <w:top w:val="nil"/>
              <w:left w:val="nil"/>
              <w:bottom w:val="single" w:color="auto" w:sz="4" w:space="0"/>
              <w:right w:val="single" w:color="auto" w:sz="4" w:space="0"/>
            </w:tcBorders>
            <w:noWrap w:val="0"/>
            <w:vAlign w:val="center"/>
          </w:tcPr>
          <w:p w14:paraId="0D1724A9">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045" w:type="dxa"/>
            <w:tcBorders>
              <w:top w:val="single" w:color="auto" w:sz="4" w:space="0"/>
              <w:left w:val="nil"/>
              <w:bottom w:val="single" w:color="auto" w:sz="4" w:space="0"/>
              <w:right w:val="single" w:color="auto" w:sz="4" w:space="0"/>
            </w:tcBorders>
            <w:noWrap w:val="0"/>
            <w:vAlign w:val="center"/>
          </w:tcPr>
          <w:p w14:paraId="56C706E1">
            <w:pPr>
              <w:jc w:val="left"/>
              <w:rPr>
                <w:rFonts w:ascii="宋体" w:hAnsi="宋体" w:eastAsia="宋体" w:cs="宋体"/>
                <w:color w:val="auto"/>
                <w:kern w:val="0"/>
                <w:sz w:val="24"/>
                <w:szCs w:val="24"/>
                <w:highlight w:val="none"/>
              </w:rPr>
            </w:pPr>
          </w:p>
        </w:tc>
      </w:tr>
      <w:tr w14:paraId="45E19D1F">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78154717">
            <w:pPr>
              <w:widowControl/>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n</w:t>
            </w:r>
          </w:p>
        </w:tc>
        <w:tc>
          <w:tcPr>
            <w:tcW w:w="4488" w:type="dxa"/>
            <w:tcBorders>
              <w:top w:val="nil"/>
              <w:left w:val="nil"/>
              <w:bottom w:val="single" w:color="auto" w:sz="4" w:space="0"/>
              <w:right w:val="single" w:color="auto" w:sz="4" w:space="0"/>
            </w:tcBorders>
            <w:noWrap w:val="0"/>
            <w:vAlign w:val="center"/>
          </w:tcPr>
          <w:p w14:paraId="138229DC">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[单位工程n]</w:t>
            </w:r>
          </w:p>
        </w:tc>
        <w:tc>
          <w:tcPr>
            <w:tcW w:w="1602" w:type="dxa"/>
            <w:tcBorders>
              <w:top w:val="nil"/>
              <w:left w:val="nil"/>
              <w:bottom w:val="single" w:color="auto" w:sz="4" w:space="0"/>
              <w:right w:val="single" w:color="auto" w:sz="4" w:space="0"/>
            </w:tcBorders>
            <w:noWrap w:val="0"/>
            <w:vAlign w:val="center"/>
          </w:tcPr>
          <w:p w14:paraId="446C9531">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1CD20F36">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29A680FC">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680" w:type="dxa"/>
            <w:tcBorders>
              <w:top w:val="nil"/>
              <w:left w:val="nil"/>
              <w:bottom w:val="single" w:color="auto" w:sz="4" w:space="0"/>
              <w:right w:val="single" w:color="auto" w:sz="4" w:space="0"/>
            </w:tcBorders>
            <w:noWrap w:val="0"/>
            <w:vAlign w:val="center"/>
          </w:tcPr>
          <w:p w14:paraId="20706212">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045" w:type="dxa"/>
            <w:tcBorders>
              <w:top w:val="single" w:color="auto" w:sz="4" w:space="0"/>
              <w:left w:val="nil"/>
              <w:bottom w:val="single" w:color="auto" w:sz="4" w:space="0"/>
              <w:right w:val="single" w:color="auto" w:sz="4" w:space="0"/>
            </w:tcBorders>
            <w:noWrap w:val="0"/>
            <w:vAlign w:val="center"/>
          </w:tcPr>
          <w:p w14:paraId="71F8AA2A">
            <w:pPr>
              <w:widowControl/>
              <w:jc w:val="left"/>
              <w:rPr>
                <w:rFonts w:ascii="宋体" w:hAnsi="宋体" w:eastAsia="宋体" w:cs="宋体"/>
                <w:color w:val="auto"/>
                <w:kern w:val="0"/>
                <w:sz w:val="24"/>
                <w:szCs w:val="24"/>
                <w:highlight w:val="none"/>
              </w:rPr>
            </w:pPr>
          </w:p>
        </w:tc>
      </w:tr>
      <w:tr w14:paraId="1281FB85">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7F9039AE">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6C67BF37">
            <w:pPr>
              <w:widowControl/>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投标报价</w:t>
            </w:r>
          </w:p>
        </w:tc>
        <w:tc>
          <w:tcPr>
            <w:tcW w:w="1602" w:type="dxa"/>
            <w:tcBorders>
              <w:top w:val="nil"/>
              <w:left w:val="nil"/>
              <w:bottom w:val="single" w:color="auto" w:sz="4" w:space="0"/>
              <w:right w:val="single" w:color="auto" w:sz="4" w:space="0"/>
            </w:tcBorders>
            <w:noWrap w:val="0"/>
            <w:vAlign w:val="center"/>
          </w:tcPr>
          <w:p w14:paraId="01AD795D">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60009C75">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r2bl w:val="single" w:color="auto" w:sz="4" w:space="0"/>
            </w:tcBorders>
            <w:noWrap w:val="0"/>
            <w:vAlign w:val="center"/>
          </w:tcPr>
          <w:p w14:paraId="388EA6F6">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680" w:type="dxa"/>
            <w:tcBorders>
              <w:top w:val="nil"/>
              <w:left w:val="nil"/>
              <w:bottom w:val="single" w:color="auto" w:sz="4" w:space="0"/>
              <w:right w:val="single" w:color="auto" w:sz="4" w:space="0"/>
            </w:tcBorders>
            <w:noWrap w:val="0"/>
            <w:vAlign w:val="center"/>
          </w:tcPr>
          <w:p w14:paraId="64B70C6F">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045" w:type="dxa"/>
            <w:tcBorders>
              <w:top w:val="single" w:color="auto" w:sz="4" w:space="0"/>
              <w:left w:val="nil"/>
              <w:bottom w:val="single" w:color="auto" w:sz="4" w:space="0"/>
              <w:right w:val="single" w:color="auto" w:sz="4" w:space="0"/>
            </w:tcBorders>
            <w:noWrap w:val="0"/>
            <w:vAlign w:val="center"/>
          </w:tcPr>
          <w:p w14:paraId="78E835C0">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∑A=A</w:t>
            </w:r>
            <w:r>
              <w:rPr>
                <w:rFonts w:hint="eastAsia" w:ascii="宋体" w:hAnsi="宋体" w:eastAsia="宋体" w:cs="宋体"/>
                <w:color w:val="auto"/>
                <w:kern w:val="0"/>
                <w:sz w:val="24"/>
                <w:szCs w:val="24"/>
                <w:highlight w:val="none"/>
                <w:vertAlign w:val="subscript"/>
              </w:rPr>
              <w:t>1</w:t>
            </w:r>
            <w:r>
              <w:rPr>
                <w:rFonts w:hint="eastAsia" w:ascii="宋体" w:hAnsi="宋体" w:eastAsia="宋体" w:cs="宋体"/>
                <w:color w:val="auto"/>
                <w:kern w:val="0"/>
                <w:sz w:val="24"/>
                <w:szCs w:val="24"/>
                <w:highlight w:val="none"/>
              </w:rPr>
              <w:t>+A</w:t>
            </w:r>
            <w:r>
              <w:rPr>
                <w:rFonts w:hint="eastAsia" w:ascii="宋体" w:hAnsi="宋体" w:eastAsia="宋体" w:cs="宋体"/>
                <w:color w:val="auto"/>
                <w:kern w:val="0"/>
                <w:sz w:val="24"/>
                <w:szCs w:val="24"/>
                <w:highlight w:val="none"/>
                <w:vertAlign w:val="subscript"/>
              </w:rPr>
              <w:t>2</w:t>
            </w:r>
            <w:r>
              <w:rPr>
                <w:rFonts w:hint="eastAsia" w:ascii="宋体" w:hAnsi="宋体" w:eastAsia="宋体" w:cs="宋体"/>
                <w:color w:val="auto"/>
                <w:kern w:val="0"/>
                <w:sz w:val="24"/>
                <w:szCs w:val="24"/>
                <w:highlight w:val="none"/>
              </w:rPr>
              <w:t>+…An；∑B=B</w:t>
            </w:r>
            <w:r>
              <w:rPr>
                <w:rFonts w:hint="eastAsia" w:ascii="宋体" w:hAnsi="宋体" w:eastAsia="宋体" w:cs="宋体"/>
                <w:color w:val="auto"/>
                <w:kern w:val="0"/>
                <w:sz w:val="24"/>
                <w:szCs w:val="24"/>
                <w:highlight w:val="none"/>
                <w:vertAlign w:val="subscript"/>
              </w:rPr>
              <w:t>1</w:t>
            </w:r>
            <w:r>
              <w:rPr>
                <w:rFonts w:hint="eastAsia" w:ascii="宋体" w:hAnsi="宋体" w:eastAsia="宋体" w:cs="宋体"/>
                <w:color w:val="auto"/>
                <w:kern w:val="0"/>
                <w:sz w:val="24"/>
                <w:szCs w:val="24"/>
                <w:highlight w:val="none"/>
              </w:rPr>
              <w:t>+B</w:t>
            </w:r>
            <w:r>
              <w:rPr>
                <w:rFonts w:hint="eastAsia" w:ascii="宋体" w:hAnsi="宋体" w:eastAsia="宋体" w:cs="宋体"/>
                <w:color w:val="auto"/>
                <w:kern w:val="0"/>
                <w:sz w:val="24"/>
                <w:szCs w:val="24"/>
                <w:highlight w:val="none"/>
                <w:vertAlign w:val="subscript"/>
              </w:rPr>
              <w:t>2</w:t>
            </w:r>
            <w:r>
              <w:rPr>
                <w:rFonts w:hint="eastAsia" w:ascii="宋体" w:hAnsi="宋体" w:eastAsia="宋体" w:cs="宋体"/>
                <w:color w:val="auto"/>
                <w:kern w:val="0"/>
                <w:sz w:val="24"/>
                <w:szCs w:val="24"/>
                <w:highlight w:val="none"/>
              </w:rPr>
              <w:t>+…Bn</w:t>
            </w:r>
          </w:p>
        </w:tc>
      </w:tr>
    </w:tbl>
    <w:p w14:paraId="0567DA9F">
      <w:pPr>
        <w:widowControl/>
        <w:tabs>
          <w:tab w:val="left" w:pos="5226"/>
          <w:tab w:val="left" w:pos="6828"/>
          <w:tab w:val="left" w:pos="8403"/>
          <w:tab w:val="left" w:pos="9978"/>
        </w:tabs>
        <w:ind w:left="1142" w:leftChars="44" w:hanging="1050" w:hangingChars="500"/>
        <w:jc w:val="left"/>
        <w:rPr>
          <w:rFonts w:hint="eastAsia" w:ascii="宋体" w:hAnsi="宋体" w:eastAsia="宋体"/>
          <w:color w:val="auto"/>
          <w:szCs w:val="21"/>
          <w:highlight w:val="none"/>
        </w:rPr>
      </w:pPr>
      <w:r>
        <w:rPr>
          <w:rFonts w:hint="eastAsia" w:ascii="宋体" w:hAnsi="宋体" w:eastAsia="宋体" w:cs="宋体"/>
          <w:color w:val="auto"/>
          <w:kern w:val="0"/>
          <w:szCs w:val="21"/>
          <w:highlight w:val="none"/>
        </w:rPr>
        <w:t>修正原则：</w:t>
      </w:r>
      <w:r>
        <w:rPr>
          <w:rFonts w:hint="eastAsia" w:ascii="宋体" w:hAnsi="宋体" w:eastAsia="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p>
    <w:p w14:paraId="711F6122">
      <w:pPr>
        <w:widowControl/>
        <w:tabs>
          <w:tab w:val="left" w:pos="5226"/>
          <w:tab w:val="left" w:pos="6828"/>
          <w:tab w:val="left" w:pos="8403"/>
          <w:tab w:val="left" w:pos="9978"/>
        </w:tabs>
        <w:ind w:left="1142" w:leftChars="44" w:hanging="1050" w:hangingChars="500"/>
        <w:jc w:val="left"/>
        <w:rPr>
          <w:rFonts w:hint="eastAsia" w:ascii="宋体" w:hAnsi="宋体" w:eastAsia="宋体"/>
          <w:color w:val="auto"/>
          <w:szCs w:val="21"/>
          <w:highlight w:val="none"/>
        </w:rPr>
      </w:pPr>
    </w:p>
    <w:p w14:paraId="2787C016">
      <w:pPr>
        <w:widowControl/>
        <w:tabs>
          <w:tab w:val="left" w:pos="5226"/>
          <w:tab w:val="left" w:pos="6828"/>
          <w:tab w:val="left" w:pos="11040"/>
        </w:tabs>
        <w:ind w:left="1297" w:leftChars="44" w:hanging="1205" w:hangingChars="500"/>
        <w:jc w:val="left"/>
        <w:rPr>
          <w:rFonts w:hint="eastAsia" w:ascii="宋体" w:hAnsi="宋体" w:eastAsia="宋体"/>
          <w:color w:val="auto"/>
          <w:sz w:val="24"/>
          <w:szCs w:val="24"/>
          <w:highlight w:val="none"/>
        </w:rPr>
      </w:pPr>
      <w:r>
        <w:rPr>
          <w:rFonts w:hint="eastAsia" w:ascii="宋体" w:hAnsi="宋体" w:eastAsia="宋体" w:cs="宋体"/>
          <w:b/>
          <w:bCs/>
          <w:color w:val="auto"/>
          <w:kern w:val="0"/>
          <w:sz w:val="24"/>
          <w:szCs w:val="24"/>
          <w:highlight w:val="none"/>
        </w:rPr>
        <w:t>评委签名</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ab/>
      </w:r>
      <w:r>
        <w:rPr>
          <w:rFonts w:hint="eastAsia" w:ascii="宋体" w:hAnsi="宋体" w:eastAsia="宋体" w:cs="宋体"/>
          <w:color w:val="auto"/>
          <w:kern w:val="0"/>
          <w:sz w:val="24"/>
          <w:szCs w:val="24"/>
          <w:highlight w:val="none"/>
        </w:rPr>
        <w:t>日期：</w:t>
      </w:r>
    </w:p>
    <w:p w14:paraId="23546ECD">
      <w:pPr>
        <w:widowControl/>
        <w:jc w:val="left"/>
        <w:rPr>
          <w:rFonts w:ascii="宋体" w:hAnsi="宋体" w:eastAsia="宋体"/>
          <w:color w:val="auto"/>
          <w:sz w:val="24"/>
          <w:szCs w:val="24"/>
          <w:highlight w:val="none"/>
        </w:rPr>
        <w:sectPr>
          <w:headerReference r:id="rId6" w:type="default"/>
          <w:endnotePr>
            <w:numFmt w:val="decimal"/>
          </w:endnotePr>
          <w:pgSz w:w="16783" w:h="11850" w:orient="landscape"/>
          <w:pgMar w:top="851" w:right="1134" w:bottom="567" w:left="1134" w:header="227" w:footer="737" w:gutter="567"/>
          <w:pgNumType w:fmt="decimal"/>
          <w:cols w:space="720" w:num="1"/>
        </w:sectPr>
      </w:pPr>
    </w:p>
    <w:p w14:paraId="3A691561">
      <w:pPr>
        <w:ind w:firstLine="117" w:firstLineChars="49"/>
        <w:rPr>
          <w:rFonts w:hint="eastAsia" w:ascii="宋体" w:hAnsi="宋体" w:eastAsia="宋体"/>
          <w:color w:val="auto"/>
          <w:sz w:val="24"/>
          <w:szCs w:val="24"/>
          <w:highlight w:val="none"/>
        </w:rPr>
      </w:pPr>
    </w:p>
    <w:p w14:paraId="3EB492E3">
      <w:pPr>
        <w:ind w:firstLine="117" w:firstLineChars="49"/>
        <w:outlineLvl w:val="2"/>
        <w:rPr>
          <w:rFonts w:ascii="宋体" w:hAnsi="宋体" w:eastAsia="宋体"/>
          <w:color w:val="auto"/>
          <w:sz w:val="24"/>
          <w:szCs w:val="24"/>
          <w:highlight w:val="none"/>
        </w:rPr>
      </w:pPr>
      <w:bookmarkStart w:id="238" w:name="_Toc9171"/>
      <w:bookmarkStart w:id="239" w:name="_Toc17119"/>
      <w:bookmarkStart w:id="240" w:name="_Toc1106"/>
      <w:bookmarkStart w:id="241" w:name="_Toc2138"/>
      <w:r>
        <w:rPr>
          <w:rFonts w:hint="eastAsia" w:ascii="宋体" w:hAnsi="宋体" w:eastAsia="宋体"/>
          <w:color w:val="auto"/>
          <w:sz w:val="24"/>
          <w:szCs w:val="24"/>
          <w:highlight w:val="none"/>
        </w:rPr>
        <w:t>附件4</w:t>
      </w:r>
      <w:bookmarkEnd w:id="238"/>
      <w:bookmarkEnd w:id="239"/>
      <w:bookmarkEnd w:id="240"/>
      <w:bookmarkEnd w:id="241"/>
    </w:p>
    <w:p w14:paraId="17F903C5">
      <w:pPr>
        <w:ind w:firstLine="117" w:firstLineChars="49"/>
        <w:rPr>
          <w:rFonts w:hint="eastAsia" w:ascii="宋体" w:hAnsi="宋体" w:eastAsia="宋体"/>
          <w:color w:val="auto"/>
          <w:sz w:val="24"/>
          <w:szCs w:val="24"/>
          <w:highlight w:val="none"/>
        </w:rPr>
      </w:pPr>
    </w:p>
    <w:p w14:paraId="49609050">
      <w:pPr>
        <w:spacing w:line="360" w:lineRule="auto"/>
        <w:jc w:val="center"/>
        <w:rPr>
          <w:rFonts w:hint="eastAsia" w:ascii="宋体" w:hAnsi="宋体" w:eastAsia="宋体"/>
          <w:b/>
          <w:color w:val="auto"/>
          <w:sz w:val="36"/>
          <w:szCs w:val="36"/>
          <w:highlight w:val="none"/>
        </w:rPr>
      </w:pPr>
      <w:r>
        <w:rPr>
          <w:rFonts w:hint="eastAsia" w:ascii="宋体" w:hAnsi="宋体" w:eastAsia="宋体"/>
          <w:b/>
          <w:color w:val="auto"/>
          <w:sz w:val="36"/>
          <w:szCs w:val="36"/>
          <w:highlight w:val="none"/>
        </w:rPr>
        <w:t>算术复核汇总表</w:t>
      </w:r>
    </w:p>
    <w:p w14:paraId="0DAD8C6D">
      <w:pPr>
        <w:ind w:firstLine="360" w:firstLineChars="150"/>
        <w:rPr>
          <w:rFonts w:hint="eastAsia" w:ascii="宋体" w:hAnsi="宋体" w:eastAsia="宋体"/>
          <w:color w:val="auto"/>
          <w:szCs w:val="21"/>
          <w:highlight w:val="none"/>
        </w:rPr>
      </w:pPr>
      <w:r>
        <w:rPr>
          <w:rFonts w:hint="eastAsia" w:ascii="宋体" w:hAnsi="宋体" w:eastAsia="宋体" w:cs="宋体"/>
          <w:bCs/>
          <w:color w:val="auto"/>
          <w:kern w:val="0"/>
          <w:sz w:val="24"/>
          <w:szCs w:val="24"/>
          <w:highlight w:val="none"/>
        </w:rPr>
        <w:t>工程名称：</w:t>
      </w:r>
    </w:p>
    <w:tbl>
      <w:tblPr>
        <w:tblStyle w:val="29"/>
        <w:tblW w:w="14382" w:type="dxa"/>
        <w:tblInd w:w="288" w:type="dxa"/>
        <w:tblLayout w:type="fixed"/>
        <w:tblCellMar>
          <w:top w:w="0" w:type="dxa"/>
          <w:left w:w="108" w:type="dxa"/>
          <w:bottom w:w="0" w:type="dxa"/>
          <w:right w:w="108" w:type="dxa"/>
        </w:tblCellMar>
      </w:tblPr>
      <w:tblGrid>
        <w:gridCol w:w="888"/>
        <w:gridCol w:w="4440"/>
        <w:gridCol w:w="3060"/>
        <w:gridCol w:w="3240"/>
        <w:gridCol w:w="2754"/>
      </w:tblGrid>
      <w:tr w14:paraId="226FD2E5">
        <w:tblPrEx>
          <w:tblCellMar>
            <w:top w:w="0" w:type="dxa"/>
            <w:left w:w="108" w:type="dxa"/>
            <w:bottom w:w="0" w:type="dxa"/>
            <w:right w:w="108" w:type="dxa"/>
          </w:tblCellMar>
        </w:tblPrEx>
        <w:trPr>
          <w:trHeight w:val="675" w:hRule="atLeast"/>
        </w:trPr>
        <w:tc>
          <w:tcPr>
            <w:tcW w:w="888" w:type="dxa"/>
            <w:tcBorders>
              <w:top w:val="single" w:color="auto" w:sz="4" w:space="0"/>
              <w:left w:val="single" w:color="auto" w:sz="4" w:space="0"/>
              <w:bottom w:val="single" w:color="auto" w:sz="4" w:space="0"/>
              <w:right w:val="single" w:color="auto" w:sz="4" w:space="0"/>
            </w:tcBorders>
            <w:noWrap w:val="0"/>
            <w:vAlign w:val="center"/>
          </w:tcPr>
          <w:p w14:paraId="4A2922A5">
            <w:pPr>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编号</w:t>
            </w:r>
          </w:p>
        </w:tc>
        <w:tc>
          <w:tcPr>
            <w:tcW w:w="4440" w:type="dxa"/>
            <w:tcBorders>
              <w:top w:val="single" w:color="auto" w:sz="4" w:space="0"/>
              <w:left w:val="single" w:color="auto" w:sz="4" w:space="0"/>
              <w:bottom w:val="single" w:color="auto" w:sz="4" w:space="0"/>
              <w:right w:val="single" w:color="auto" w:sz="4" w:space="0"/>
            </w:tcBorders>
            <w:noWrap w:val="0"/>
            <w:vAlign w:val="center"/>
          </w:tcPr>
          <w:p w14:paraId="0D0CD2F5">
            <w:pPr>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投标人名称</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3254BCBD">
            <w:pPr>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原投标报价（A）</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00FA7383">
            <w:pPr>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算术复核后投标报价（B）</w:t>
            </w:r>
          </w:p>
        </w:tc>
        <w:tc>
          <w:tcPr>
            <w:tcW w:w="2754" w:type="dxa"/>
            <w:tcBorders>
              <w:top w:val="single" w:color="auto" w:sz="4" w:space="0"/>
              <w:left w:val="single" w:color="auto" w:sz="4" w:space="0"/>
              <w:bottom w:val="single" w:color="auto" w:sz="4" w:space="0"/>
              <w:right w:val="single" w:color="auto" w:sz="4" w:space="0"/>
            </w:tcBorders>
            <w:noWrap w:val="0"/>
            <w:vAlign w:val="center"/>
          </w:tcPr>
          <w:p w14:paraId="6C904ED4">
            <w:pPr>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误差率（r=|A-B|/A*100%）</w:t>
            </w:r>
          </w:p>
        </w:tc>
      </w:tr>
      <w:tr w14:paraId="3681D69B">
        <w:tblPrEx>
          <w:tblCellMar>
            <w:top w:w="0" w:type="dxa"/>
            <w:left w:w="108" w:type="dxa"/>
            <w:bottom w:w="0" w:type="dxa"/>
            <w:right w:w="108" w:type="dxa"/>
          </w:tblCellMar>
        </w:tblPrEx>
        <w:trPr>
          <w:trHeight w:val="675" w:hRule="atLeast"/>
        </w:trPr>
        <w:tc>
          <w:tcPr>
            <w:tcW w:w="888" w:type="dxa"/>
            <w:tcBorders>
              <w:top w:val="single" w:color="auto" w:sz="4" w:space="0"/>
              <w:left w:val="single" w:color="auto" w:sz="4" w:space="0"/>
              <w:bottom w:val="single" w:color="auto" w:sz="4" w:space="0"/>
              <w:right w:val="single" w:color="auto" w:sz="4" w:space="0"/>
            </w:tcBorders>
            <w:noWrap w:val="0"/>
            <w:vAlign w:val="center"/>
          </w:tcPr>
          <w:p w14:paraId="4EC1B546">
            <w:pPr>
              <w:rPr>
                <w:rFonts w:ascii="宋体" w:hAnsi="宋体" w:eastAsia="宋体"/>
                <w:b/>
                <w:color w:val="auto"/>
                <w:sz w:val="24"/>
                <w:szCs w:val="24"/>
                <w:highlight w:val="none"/>
              </w:rPr>
            </w:pPr>
          </w:p>
        </w:tc>
        <w:tc>
          <w:tcPr>
            <w:tcW w:w="4440" w:type="dxa"/>
            <w:tcBorders>
              <w:top w:val="single" w:color="auto" w:sz="4" w:space="0"/>
              <w:left w:val="single" w:color="auto" w:sz="4" w:space="0"/>
              <w:bottom w:val="single" w:color="auto" w:sz="4" w:space="0"/>
              <w:right w:val="single" w:color="auto" w:sz="4" w:space="0"/>
            </w:tcBorders>
            <w:noWrap w:val="0"/>
            <w:vAlign w:val="center"/>
          </w:tcPr>
          <w:p w14:paraId="4ECA37E3">
            <w:pPr>
              <w:rPr>
                <w:rFonts w:ascii="宋体" w:hAnsi="宋体" w:eastAsia="宋体"/>
                <w:b/>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14:paraId="429C4119">
            <w:pPr>
              <w:rPr>
                <w:rFonts w:ascii="宋体" w:hAnsi="宋体" w:eastAsia="宋体"/>
                <w:b/>
                <w:color w:val="auto"/>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19275EC6">
            <w:pPr>
              <w:rPr>
                <w:rFonts w:ascii="宋体" w:hAnsi="宋体" w:eastAsia="宋体"/>
                <w:b/>
                <w:color w:val="auto"/>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noWrap w:val="0"/>
            <w:vAlign w:val="center"/>
          </w:tcPr>
          <w:p w14:paraId="20F79B9A">
            <w:pPr>
              <w:rPr>
                <w:rFonts w:ascii="宋体" w:hAnsi="宋体" w:eastAsia="宋体"/>
                <w:b/>
                <w:color w:val="auto"/>
                <w:sz w:val="24"/>
                <w:szCs w:val="24"/>
                <w:highlight w:val="none"/>
              </w:rPr>
            </w:pPr>
          </w:p>
        </w:tc>
      </w:tr>
      <w:tr w14:paraId="347803D9">
        <w:tblPrEx>
          <w:tblCellMar>
            <w:top w:w="0" w:type="dxa"/>
            <w:left w:w="108" w:type="dxa"/>
            <w:bottom w:w="0" w:type="dxa"/>
            <w:right w:w="108" w:type="dxa"/>
          </w:tblCellMar>
        </w:tblPrEx>
        <w:trPr>
          <w:trHeight w:val="675" w:hRule="atLeast"/>
        </w:trPr>
        <w:tc>
          <w:tcPr>
            <w:tcW w:w="888" w:type="dxa"/>
            <w:tcBorders>
              <w:top w:val="single" w:color="auto" w:sz="4" w:space="0"/>
              <w:left w:val="single" w:color="auto" w:sz="4" w:space="0"/>
              <w:bottom w:val="single" w:color="auto" w:sz="4" w:space="0"/>
              <w:right w:val="single" w:color="auto" w:sz="4" w:space="0"/>
            </w:tcBorders>
            <w:noWrap w:val="0"/>
            <w:vAlign w:val="center"/>
          </w:tcPr>
          <w:p w14:paraId="67AA14A4">
            <w:pPr>
              <w:rPr>
                <w:rFonts w:ascii="宋体" w:hAnsi="宋体" w:eastAsia="宋体"/>
                <w:b/>
                <w:color w:val="auto"/>
                <w:sz w:val="24"/>
                <w:szCs w:val="24"/>
                <w:highlight w:val="none"/>
              </w:rPr>
            </w:pPr>
          </w:p>
        </w:tc>
        <w:tc>
          <w:tcPr>
            <w:tcW w:w="4440" w:type="dxa"/>
            <w:tcBorders>
              <w:top w:val="single" w:color="auto" w:sz="4" w:space="0"/>
              <w:left w:val="single" w:color="auto" w:sz="4" w:space="0"/>
              <w:bottom w:val="single" w:color="auto" w:sz="4" w:space="0"/>
              <w:right w:val="single" w:color="auto" w:sz="4" w:space="0"/>
            </w:tcBorders>
            <w:noWrap w:val="0"/>
            <w:vAlign w:val="center"/>
          </w:tcPr>
          <w:p w14:paraId="0AF5D4D1">
            <w:pPr>
              <w:rPr>
                <w:rFonts w:ascii="宋体" w:hAnsi="宋体" w:eastAsia="宋体"/>
                <w:b/>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14:paraId="10544957">
            <w:pPr>
              <w:rPr>
                <w:rFonts w:ascii="宋体" w:hAnsi="宋体" w:eastAsia="宋体"/>
                <w:b/>
                <w:color w:val="auto"/>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29AB35C7">
            <w:pPr>
              <w:rPr>
                <w:rFonts w:ascii="宋体" w:hAnsi="宋体" w:eastAsia="宋体"/>
                <w:b/>
                <w:color w:val="auto"/>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noWrap w:val="0"/>
            <w:vAlign w:val="center"/>
          </w:tcPr>
          <w:p w14:paraId="16AF3A9B">
            <w:pPr>
              <w:rPr>
                <w:rFonts w:ascii="宋体" w:hAnsi="宋体" w:eastAsia="宋体"/>
                <w:b/>
                <w:color w:val="auto"/>
                <w:sz w:val="24"/>
                <w:szCs w:val="24"/>
                <w:highlight w:val="none"/>
              </w:rPr>
            </w:pPr>
          </w:p>
        </w:tc>
      </w:tr>
      <w:tr w14:paraId="2A0C8D10">
        <w:tblPrEx>
          <w:tblCellMar>
            <w:top w:w="0" w:type="dxa"/>
            <w:left w:w="108" w:type="dxa"/>
            <w:bottom w:w="0" w:type="dxa"/>
            <w:right w:w="108" w:type="dxa"/>
          </w:tblCellMar>
        </w:tblPrEx>
        <w:trPr>
          <w:trHeight w:val="675" w:hRule="atLeast"/>
        </w:trPr>
        <w:tc>
          <w:tcPr>
            <w:tcW w:w="888" w:type="dxa"/>
            <w:tcBorders>
              <w:top w:val="single" w:color="auto" w:sz="4" w:space="0"/>
              <w:left w:val="single" w:color="auto" w:sz="4" w:space="0"/>
              <w:bottom w:val="single" w:color="auto" w:sz="4" w:space="0"/>
              <w:right w:val="single" w:color="auto" w:sz="4" w:space="0"/>
            </w:tcBorders>
            <w:noWrap w:val="0"/>
            <w:vAlign w:val="center"/>
          </w:tcPr>
          <w:p w14:paraId="1EC20994">
            <w:pPr>
              <w:rPr>
                <w:rFonts w:ascii="宋体" w:hAnsi="宋体" w:eastAsia="宋体"/>
                <w:b/>
                <w:color w:val="auto"/>
                <w:sz w:val="24"/>
                <w:szCs w:val="24"/>
                <w:highlight w:val="none"/>
              </w:rPr>
            </w:pPr>
          </w:p>
        </w:tc>
        <w:tc>
          <w:tcPr>
            <w:tcW w:w="4440" w:type="dxa"/>
            <w:tcBorders>
              <w:top w:val="single" w:color="auto" w:sz="4" w:space="0"/>
              <w:left w:val="single" w:color="auto" w:sz="4" w:space="0"/>
              <w:bottom w:val="single" w:color="auto" w:sz="4" w:space="0"/>
              <w:right w:val="single" w:color="auto" w:sz="4" w:space="0"/>
            </w:tcBorders>
            <w:noWrap w:val="0"/>
            <w:vAlign w:val="center"/>
          </w:tcPr>
          <w:p w14:paraId="391C1C80">
            <w:pPr>
              <w:rPr>
                <w:rFonts w:ascii="宋体" w:hAnsi="宋体" w:eastAsia="宋体"/>
                <w:b/>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14:paraId="18898DC7">
            <w:pPr>
              <w:rPr>
                <w:rFonts w:ascii="宋体" w:hAnsi="宋体" w:eastAsia="宋体"/>
                <w:b/>
                <w:color w:val="auto"/>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5143D4E1">
            <w:pPr>
              <w:rPr>
                <w:rFonts w:ascii="宋体" w:hAnsi="宋体" w:eastAsia="宋体"/>
                <w:b/>
                <w:color w:val="auto"/>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noWrap w:val="0"/>
            <w:vAlign w:val="center"/>
          </w:tcPr>
          <w:p w14:paraId="3CC5361D">
            <w:pPr>
              <w:rPr>
                <w:rFonts w:ascii="宋体" w:hAnsi="宋体" w:eastAsia="宋体"/>
                <w:b/>
                <w:color w:val="auto"/>
                <w:sz w:val="24"/>
                <w:szCs w:val="24"/>
                <w:highlight w:val="none"/>
              </w:rPr>
            </w:pPr>
          </w:p>
        </w:tc>
      </w:tr>
      <w:tr w14:paraId="47339330">
        <w:tblPrEx>
          <w:tblCellMar>
            <w:top w:w="0" w:type="dxa"/>
            <w:left w:w="108" w:type="dxa"/>
            <w:bottom w:w="0" w:type="dxa"/>
            <w:right w:w="108" w:type="dxa"/>
          </w:tblCellMar>
        </w:tblPrEx>
        <w:trPr>
          <w:trHeight w:val="675" w:hRule="atLeast"/>
        </w:trPr>
        <w:tc>
          <w:tcPr>
            <w:tcW w:w="888" w:type="dxa"/>
            <w:tcBorders>
              <w:top w:val="single" w:color="auto" w:sz="4" w:space="0"/>
              <w:left w:val="single" w:color="auto" w:sz="4" w:space="0"/>
              <w:bottom w:val="single" w:color="auto" w:sz="4" w:space="0"/>
              <w:right w:val="single" w:color="auto" w:sz="4" w:space="0"/>
            </w:tcBorders>
            <w:noWrap w:val="0"/>
            <w:vAlign w:val="center"/>
          </w:tcPr>
          <w:p w14:paraId="33D2BD16">
            <w:pPr>
              <w:rPr>
                <w:rFonts w:ascii="宋体" w:hAnsi="宋体" w:eastAsia="宋体"/>
                <w:b/>
                <w:color w:val="auto"/>
                <w:sz w:val="24"/>
                <w:szCs w:val="24"/>
                <w:highlight w:val="none"/>
              </w:rPr>
            </w:pPr>
          </w:p>
        </w:tc>
        <w:tc>
          <w:tcPr>
            <w:tcW w:w="4440" w:type="dxa"/>
            <w:tcBorders>
              <w:top w:val="single" w:color="auto" w:sz="4" w:space="0"/>
              <w:left w:val="single" w:color="auto" w:sz="4" w:space="0"/>
              <w:bottom w:val="single" w:color="auto" w:sz="4" w:space="0"/>
              <w:right w:val="single" w:color="auto" w:sz="4" w:space="0"/>
            </w:tcBorders>
            <w:noWrap w:val="0"/>
            <w:vAlign w:val="center"/>
          </w:tcPr>
          <w:p w14:paraId="2BE57BAA">
            <w:pPr>
              <w:rPr>
                <w:rFonts w:ascii="宋体" w:hAnsi="宋体" w:eastAsia="宋体"/>
                <w:b/>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14:paraId="1A657DCE">
            <w:pPr>
              <w:rPr>
                <w:rFonts w:ascii="宋体" w:hAnsi="宋体" w:eastAsia="宋体"/>
                <w:b/>
                <w:color w:val="auto"/>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7DD619F8">
            <w:pPr>
              <w:rPr>
                <w:rFonts w:ascii="宋体" w:hAnsi="宋体" w:eastAsia="宋体"/>
                <w:b/>
                <w:color w:val="auto"/>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noWrap w:val="0"/>
            <w:vAlign w:val="center"/>
          </w:tcPr>
          <w:p w14:paraId="71F335D9">
            <w:pPr>
              <w:rPr>
                <w:rFonts w:ascii="宋体" w:hAnsi="宋体" w:eastAsia="宋体"/>
                <w:b/>
                <w:color w:val="auto"/>
                <w:sz w:val="24"/>
                <w:szCs w:val="24"/>
                <w:highlight w:val="none"/>
              </w:rPr>
            </w:pPr>
          </w:p>
        </w:tc>
      </w:tr>
      <w:tr w14:paraId="273A24C6">
        <w:tblPrEx>
          <w:tblCellMar>
            <w:top w:w="0" w:type="dxa"/>
            <w:left w:w="108" w:type="dxa"/>
            <w:bottom w:w="0" w:type="dxa"/>
            <w:right w:w="108" w:type="dxa"/>
          </w:tblCellMar>
        </w:tblPrEx>
        <w:trPr>
          <w:trHeight w:val="675" w:hRule="atLeast"/>
        </w:trPr>
        <w:tc>
          <w:tcPr>
            <w:tcW w:w="888" w:type="dxa"/>
            <w:tcBorders>
              <w:top w:val="single" w:color="auto" w:sz="4" w:space="0"/>
              <w:left w:val="single" w:color="auto" w:sz="4" w:space="0"/>
              <w:bottom w:val="single" w:color="auto" w:sz="4" w:space="0"/>
              <w:right w:val="single" w:color="auto" w:sz="4" w:space="0"/>
            </w:tcBorders>
            <w:noWrap w:val="0"/>
            <w:vAlign w:val="center"/>
          </w:tcPr>
          <w:p w14:paraId="31B204A2">
            <w:pPr>
              <w:rPr>
                <w:rFonts w:ascii="宋体" w:hAnsi="宋体" w:eastAsia="宋体"/>
                <w:b/>
                <w:color w:val="auto"/>
                <w:sz w:val="24"/>
                <w:szCs w:val="24"/>
                <w:highlight w:val="none"/>
              </w:rPr>
            </w:pPr>
          </w:p>
        </w:tc>
        <w:tc>
          <w:tcPr>
            <w:tcW w:w="4440" w:type="dxa"/>
            <w:tcBorders>
              <w:top w:val="single" w:color="auto" w:sz="4" w:space="0"/>
              <w:left w:val="single" w:color="auto" w:sz="4" w:space="0"/>
              <w:bottom w:val="single" w:color="auto" w:sz="4" w:space="0"/>
              <w:right w:val="single" w:color="auto" w:sz="4" w:space="0"/>
            </w:tcBorders>
            <w:noWrap w:val="0"/>
            <w:vAlign w:val="center"/>
          </w:tcPr>
          <w:p w14:paraId="5EE909D4">
            <w:pPr>
              <w:rPr>
                <w:rFonts w:ascii="宋体" w:hAnsi="宋体" w:eastAsia="宋体"/>
                <w:b/>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14:paraId="09EE31BC">
            <w:pPr>
              <w:rPr>
                <w:rFonts w:ascii="宋体" w:hAnsi="宋体" w:eastAsia="宋体"/>
                <w:b/>
                <w:color w:val="auto"/>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174127D2">
            <w:pPr>
              <w:rPr>
                <w:rFonts w:ascii="宋体" w:hAnsi="宋体" w:eastAsia="宋体"/>
                <w:b/>
                <w:color w:val="auto"/>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noWrap w:val="0"/>
            <w:vAlign w:val="center"/>
          </w:tcPr>
          <w:p w14:paraId="348F2E50">
            <w:pPr>
              <w:rPr>
                <w:rFonts w:ascii="宋体" w:hAnsi="宋体" w:eastAsia="宋体"/>
                <w:b/>
                <w:color w:val="auto"/>
                <w:sz w:val="24"/>
                <w:szCs w:val="24"/>
                <w:highlight w:val="none"/>
              </w:rPr>
            </w:pPr>
          </w:p>
        </w:tc>
      </w:tr>
      <w:tr w14:paraId="3997600E">
        <w:tblPrEx>
          <w:tblCellMar>
            <w:top w:w="0" w:type="dxa"/>
            <w:left w:w="108" w:type="dxa"/>
            <w:bottom w:w="0" w:type="dxa"/>
            <w:right w:w="108" w:type="dxa"/>
          </w:tblCellMar>
        </w:tblPrEx>
        <w:trPr>
          <w:trHeight w:val="675" w:hRule="atLeast"/>
        </w:trPr>
        <w:tc>
          <w:tcPr>
            <w:tcW w:w="888" w:type="dxa"/>
            <w:tcBorders>
              <w:top w:val="single" w:color="auto" w:sz="4" w:space="0"/>
              <w:left w:val="single" w:color="auto" w:sz="4" w:space="0"/>
              <w:bottom w:val="single" w:color="auto" w:sz="4" w:space="0"/>
              <w:right w:val="single" w:color="auto" w:sz="4" w:space="0"/>
            </w:tcBorders>
            <w:noWrap w:val="0"/>
            <w:vAlign w:val="center"/>
          </w:tcPr>
          <w:p w14:paraId="429FF974">
            <w:pPr>
              <w:rPr>
                <w:rFonts w:ascii="宋体" w:hAnsi="宋体" w:eastAsia="宋体"/>
                <w:b/>
                <w:color w:val="auto"/>
                <w:sz w:val="24"/>
                <w:szCs w:val="24"/>
                <w:highlight w:val="none"/>
              </w:rPr>
            </w:pPr>
          </w:p>
        </w:tc>
        <w:tc>
          <w:tcPr>
            <w:tcW w:w="4440" w:type="dxa"/>
            <w:tcBorders>
              <w:top w:val="single" w:color="auto" w:sz="4" w:space="0"/>
              <w:left w:val="single" w:color="auto" w:sz="4" w:space="0"/>
              <w:bottom w:val="single" w:color="auto" w:sz="4" w:space="0"/>
              <w:right w:val="single" w:color="auto" w:sz="4" w:space="0"/>
            </w:tcBorders>
            <w:noWrap w:val="0"/>
            <w:vAlign w:val="center"/>
          </w:tcPr>
          <w:p w14:paraId="21C91B31">
            <w:pPr>
              <w:rPr>
                <w:rFonts w:ascii="宋体" w:hAnsi="宋体" w:eastAsia="宋体"/>
                <w:b/>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14:paraId="1F3304C3">
            <w:pPr>
              <w:rPr>
                <w:rFonts w:ascii="宋体" w:hAnsi="宋体" w:eastAsia="宋体"/>
                <w:b/>
                <w:color w:val="auto"/>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183F6DF3">
            <w:pPr>
              <w:rPr>
                <w:rFonts w:ascii="宋体" w:hAnsi="宋体" w:eastAsia="宋体"/>
                <w:b/>
                <w:color w:val="auto"/>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noWrap w:val="0"/>
            <w:vAlign w:val="center"/>
          </w:tcPr>
          <w:p w14:paraId="3FA44AA7">
            <w:pPr>
              <w:rPr>
                <w:rFonts w:ascii="宋体" w:hAnsi="宋体" w:eastAsia="宋体"/>
                <w:b/>
                <w:color w:val="auto"/>
                <w:sz w:val="24"/>
                <w:szCs w:val="24"/>
                <w:highlight w:val="none"/>
              </w:rPr>
            </w:pPr>
          </w:p>
        </w:tc>
      </w:tr>
      <w:tr w14:paraId="358DB4BC">
        <w:tblPrEx>
          <w:tblCellMar>
            <w:top w:w="0" w:type="dxa"/>
            <w:left w:w="108" w:type="dxa"/>
            <w:bottom w:w="0" w:type="dxa"/>
            <w:right w:w="108" w:type="dxa"/>
          </w:tblCellMar>
        </w:tblPrEx>
        <w:trPr>
          <w:trHeight w:val="675" w:hRule="atLeast"/>
        </w:trPr>
        <w:tc>
          <w:tcPr>
            <w:tcW w:w="888" w:type="dxa"/>
            <w:tcBorders>
              <w:top w:val="single" w:color="auto" w:sz="4" w:space="0"/>
              <w:left w:val="single" w:color="auto" w:sz="4" w:space="0"/>
              <w:bottom w:val="single" w:color="auto" w:sz="4" w:space="0"/>
              <w:right w:val="single" w:color="auto" w:sz="4" w:space="0"/>
            </w:tcBorders>
            <w:noWrap w:val="0"/>
            <w:vAlign w:val="center"/>
          </w:tcPr>
          <w:p w14:paraId="2FC7818A">
            <w:pPr>
              <w:rPr>
                <w:rFonts w:ascii="宋体" w:hAnsi="宋体" w:eastAsia="宋体"/>
                <w:b/>
                <w:color w:val="auto"/>
                <w:sz w:val="24"/>
                <w:szCs w:val="24"/>
                <w:highlight w:val="none"/>
              </w:rPr>
            </w:pPr>
          </w:p>
        </w:tc>
        <w:tc>
          <w:tcPr>
            <w:tcW w:w="4440" w:type="dxa"/>
            <w:tcBorders>
              <w:top w:val="single" w:color="auto" w:sz="4" w:space="0"/>
              <w:left w:val="single" w:color="auto" w:sz="4" w:space="0"/>
              <w:bottom w:val="single" w:color="auto" w:sz="4" w:space="0"/>
              <w:right w:val="single" w:color="auto" w:sz="4" w:space="0"/>
            </w:tcBorders>
            <w:noWrap w:val="0"/>
            <w:vAlign w:val="center"/>
          </w:tcPr>
          <w:p w14:paraId="1CFD2EB8">
            <w:pPr>
              <w:rPr>
                <w:rFonts w:ascii="宋体" w:hAnsi="宋体" w:eastAsia="宋体"/>
                <w:b/>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14:paraId="73A17EFF">
            <w:pPr>
              <w:rPr>
                <w:rFonts w:ascii="宋体" w:hAnsi="宋体" w:eastAsia="宋体"/>
                <w:b/>
                <w:color w:val="auto"/>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57EBF5F9">
            <w:pPr>
              <w:rPr>
                <w:rFonts w:ascii="宋体" w:hAnsi="宋体" w:eastAsia="宋体"/>
                <w:b/>
                <w:color w:val="auto"/>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noWrap w:val="0"/>
            <w:vAlign w:val="center"/>
          </w:tcPr>
          <w:p w14:paraId="5B5EC362">
            <w:pPr>
              <w:rPr>
                <w:rFonts w:ascii="宋体" w:hAnsi="宋体" w:eastAsia="宋体"/>
                <w:b/>
                <w:color w:val="auto"/>
                <w:sz w:val="24"/>
                <w:szCs w:val="24"/>
                <w:highlight w:val="none"/>
              </w:rPr>
            </w:pPr>
          </w:p>
        </w:tc>
      </w:tr>
      <w:tr w14:paraId="3B34EE67">
        <w:tblPrEx>
          <w:tblCellMar>
            <w:top w:w="0" w:type="dxa"/>
            <w:left w:w="108" w:type="dxa"/>
            <w:bottom w:w="0" w:type="dxa"/>
            <w:right w:w="108" w:type="dxa"/>
          </w:tblCellMar>
        </w:tblPrEx>
        <w:trPr>
          <w:trHeight w:val="675" w:hRule="atLeast"/>
        </w:trPr>
        <w:tc>
          <w:tcPr>
            <w:tcW w:w="888" w:type="dxa"/>
            <w:tcBorders>
              <w:top w:val="single" w:color="auto" w:sz="4" w:space="0"/>
              <w:left w:val="single" w:color="auto" w:sz="4" w:space="0"/>
              <w:bottom w:val="single" w:color="auto" w:sz="4" w:space="0"/>
              <w:right w:val="single" w:color="auto" w:sz="4" w:space="0"/>
            </w:tcBorders>
            <w:noWrap w:val="0"/>
            <w:vAlign w:val="center"/>
          </w:tcPr>
          <w:p w14:paraId="04A8F97E">
            <w:pPr>
              <w:rPr>
                <w:rFonts w:ascii="宋体" w:hAnsi="宋体" w:eastAsia="宋体"/>
                <w:b/>
                <w:color w:val="auto"/>
                <w:sz w:val="24"/>
                <w:szCs w:val="24"/>
                <w:highlight w:val="none"/>
              </w:rPr>
            </w:pPr>
          </w:p>
        </w:tc>
        <w:tc>
          <w:tcPr>
            <w:tcW w:w="4440" w:type="dxa"/>
            <w:tcBorders>
              <w:top w:val="single" w:color="auto" w:sz="4" w:space="0"/>
              <w:left w:val="single" w:color="auto" w:sz="4" w:space="0"/>
              <w:bottom w:val="single" w:color="auto" w:sz="4" w:space="0"/>
              <w:right w:val="single" w:color="auto" w:sz="4" w:space="0"/>
            </w:tcBorders>
            <w:noWrap w:val="0"/>
            <w:vAlign w:val="center"/>
          </w:tcPr>
          <w:p w14:paraId="4A0665C5">
            <w:pPr>
              <w:rPr>
                <w:rFonts w:ascii="宋体" w:hAnsi="宋体" w:eastAsia="宋体"/>
                <w:b/>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14:paraId="152293C4">
            <w:pPr>
              <w:rPr>
                <w:rFonts w:ascii="宋体" w:hAnsi="宋体" w:eastAsia="宋体"/>
                <w:b/>
                <w:color w:val="auto"/>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7C378B6F">
            <w:pPr>
              <w:rPr>
                <w:rFonts w:ascii="宋体" w:hAnsi="宋体" w:eastAsia="宋体"/>
                <w:b/>
                <w:color w:val="auto"/>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noWrap w:val="0"/>
            <w:vAlign w:val="center"/>
          </w:tcPr>
          <w:p w14:paraId="0B7E0DB6">
            <w:pPr>
              <w:rPr>
                <w:rFonts w:ascii="宋体" w:hAnsi="宋体" w:eastAsia="宋体"/>
                <w:b/>
                <w:color w:val="auto"/>
                <w:sz w:val="24"/>
                <w:szCs w:val="24"/>
                <w:highlight w:val="none"/>
              </w:rPr>
            </w:pPr>
          </w:p>
        </w:tc>
      </w:tr>
    </w:tbl>
    <w:p w14:paraId="397C9B57">
      <w:pPr>
        <w:rPr>
          <w:rFonts w:hint="eastAsia" w:ascii="宋体" w:hAnsi="宋体" w:eastAsia="宋体"/>
          <w:b/>
          <w:color w:val="auto"/>
          <w:sz w:val="24"/>
          <w:szCs w:val="24"/>
          <w:highlight w:val="none"/>
        </w:rPr>
      </w:pPr>
    </w:p>
    <w:p w14:paraId="1FBBE67B">
      <w:pPr>
        <w:ind w:firstLine="361" w:firstLineChars="150"/>
        <w:rPr>
          <w:rFonts w:hint="eastAsia" w:ascii="宋体" w:hAnsi="宋体" w:eastAsia="宋体"/>
          <w:color w:val="auto"/>
          <w:sz w:val="24"/>
          <w:szCs w:val="24"/>
          <w:highlight w:val="none"/>
        </w:rPr>
      </w:pPr>
      <w:r>
        <w:rPr>
          <w:rFonts w:hint="eastAsia" w:ascii="宋体" w:hAnsi="宋体" w:eastAsia="宋体"/>
          <w:b/>
          <w:bCs/>
          <w:color w:val="auto"/>
          <w:sz w:val="24"/>
          <w:szCs w:val="24"/>
          <w:highlight w:val="none"/>
        </w:rPr>
        <w:t>评委签名</w:t>
      </w:r>
      <w:r>
        <w:rPr>
          <w:rFonts w:hint="eastAsia" w:ascii="宋体" w:hAnsi="宋体" w:eastAsia="宋体"/>
          <w:color w:val="auto"/>
          <w:sz w:val="24"/>
          <w:szCs w:val="24"/>
          <w:highlight w:val="none"/>
        </w:rPr>
        <w:t>：                                                                                         日期：</w:t>
      </w:r>
    </w:p>
    <w:p w14:paraId="6457D182">
      <w:pPr>
        <w:tabs>
          <w:tab w:val="left" w:pos="7987"/>
        </w:tabs>
        <w:bidi w:val="0"/>
        <w:jc w:val="left"/>
        <w:rPr>
          <w:rFonts w:hint="eastAsia" w:eastAsia="楷体_GB2312"/>
          <w:color w:val="auto"/>
          <w:highlight w:val="none"/>
          <w:lang w:eastAsia="zh-CN"/>
        </w:rPr>
        <w:sectPr>
          <w:endnotePr>
            <w:numFmt w:val="decimal"/>
          </w:endnotePr>
          <w:pgSz w:w="16783" w:h="11850" w:orient="landscape"/>
          <w:pgMar w:top="851" w:right="1247" w:bottom="567" w:left="1134" w:header="851" w:footer="567" w:gutter="0"/>
          <w:pgNumType w:fmt="decimal"/>
          <w:cols w:space="720" w:num="1"/>
          <w:titlePg/>
          <w:docGrid w:type="lines" w:linePitch="312" w:charSpace="0"/>
        </w:sectPr>
      </w:pPr>
    </w:p>
    <w:p w14:paraId="0D32E1A4">
      <w:pPr>
        <w:spacing w:line="360" w:lineRule="auto"/>
        <w:rPr>
          <w:rFonts w:hint="eastAsia" w:ascii="宋体" w:hAnsi="宋体" w:eastAsia="宋体"/>
          <w:b/>
          <w:color w:val="auto"/>
          <w:sz w:val="24"/>
          <w:szCs w:val="24"/>
          <w:highlight w:val="none"/>
        </w:rPr>
      </w:pPr>
    </w:p>
    <w:p w14:paraId="08C6ACBC">
      <w:pPr>
        <w:jc w:val="left"/>
        <w:outlineLvl w:val="2"/>
        <w:rPr>
          <w:rFonts w:hint="eastAsia" w:ascii="宋体" w:hAnsi="宋体" w:eastAsia="宋体"/>
          <w:b/>
          <w:color w:val="auto"/>
          <w:sz w:val="28"/>
          <w:szCs w:val="28"/>
          <w:highlight w:val="none"/>
        </w:rPr>
      </w:pPr>
      <w:r>
        <w:rPr>
          <w:rFonts w:ascii="宋体" w:hAnsi="宋体" w:eastAsia="宋体"/>
          <w:b/>
          <w:color w:val="auto"/>
          <w:sz w:val="24"/>
          <w:szCs w:val="24"/>
          <w:highlight w:val="none"/>
        </w:rPr>
        <w:br w:type="page"/>
      </w:r>
      <w:bookmarkStart w:id="242" w:name="_Toc11569"/>
      <w:bookmarkStart w:id="243" w:name="_Toc8812"/>
      <w:bookmarkStart w:id="244" w:name="_Toc28978"/>
      <w:bookmarkStart w:id="245" w:name="_Toc27075"/>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 xml:space="preserve">                                         </w:t>
      </w:r>
      <w:r>
        <w:rPr>
          <w:rFonts w:hint="eastAsia" w:ascii="宋体" w:hAnsi="宋体" w:eastAsia="宋体"/>
          <w:b/>
          <w:color w:val="auto"/>
          <w:sz w:val="28"/>
          <w:szCs w:val="28"/>
          <w:highlight w:val="none"/>
        </w:rPr>
        <w:t>投标文件否决性条款审查表</w:t>
      </w:r>
      <w:bookmarkEnd w:id="242"/>
      <w:bookmarkEnd w:id="243"/>
      <w:bookmarkEnd w:id="244"/>
      <w:bookmarkEnd w:id="245"/>
    </w:p>
    <w:p w14:paraId="1F23728A">
      <w:pPr>
        <w:rPr>
          <w:rFonts w:hint="eastAsia" w:ascii="宋体" w:hAnsi="宋体" w:eastAsia="宋体"/>
          <w:b/>
          <w:color w:val="auto"/>
          <w:szCs w:val="21"/>
          <w:highlight w:val="none"/>
        </w:rPr>
      </w:pPr>
      <w:r>
        <w:rPr>
          <w:rFonts w:hint="eastAsia" w:ascii="宋体" w:hAnsi="宋体" w:eastAsia="宋体"/>
          <w:b/>
          <w:color w:val="auto"/>
          <w:szCs w:val="21"/>
          <w:highlight w:val="none"/>
        </w:rPr>
        <w:t>工程名称：</w:t>
      </w:r>
    </w:p>
    <w:tbl>
      <w:tblPr>
        <w:tblStyle w:val="29"/>
        <w:tblW w:w="14534" w:type="dxa"/>
        <w:tblInd w:w="3" w:type="dxa"/>
        <w:tblLayout w:type="fixed"/>
        <w:tblCellMar>
          <w:top w:w="0" w:type="dxa"/>
          <w:left w:w="108" w:type="dxa"/>
          <w:bottom w:w="0" w:type="dxa"/>
          <w:right w:w="108" w:type="dxa"/>
        </w:tblCellMar>
      </w:tblPr>
      <w:tblGrid>
        <w:gridCol w:w="471"/>
        <w:gridCol w:w="8588"/>
        <w:gridCol w:w="1095"/>
        <w:gridCol w:w="1095"/>
        <w:gridCol w:w="1095"/>
        <w:gridCol w:w="1095"/>
        <w:gridCol w:w="1095"/>
      </w:tblGrid>
      <w:tr w14:paraId="4C7473C8">
        <w:tblPrEx>
          <w:tblCellMar>
            <w:top w:w="0" w:type="dxa"/>
            <w:left w:w="108" w:type="dxa"/>
            <w:bottom w:w="0" w:type="dxa"/>
            <w:right w:w="108" w:type="dxa"/>
          </w:tblCellMar>
        </w:tblPrEx>
        <w:trPr>
          <w:trHeight w:val="502"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65B1E1A3">
            <w:pPr>
              <w:spacing w:line="300" w:lineRule="exact"/>
              <w:jc w:val="center"/>
              <w:rPr>
                <w:rFonts w:ascii="宋体" w:hAnsi="宋体" w:eastAsia="宋体"/>
                <w:color w:val="auto"/>
                <w:szCs w:val="21"/>
                <w:highlight w:val="none"/>
              </w:rPr>
            </w:pPr>
            <w:r>
              <w:rPr>
                <w:rFonts w:hint="eastAsia" w:ascii="宋体" w:hAnsi="宋体" w:eastAsia="宋体"/>
                <w:color w:val="auto"/>
                <w:szCs w:val="21"/>
                <w:highlight w:val="none"/>
              </w:rPr>
              <w:t>序号</w:t>
            </w:r>
          </w:p>
        </w:tc>
        <w:tc>
          <w:tcPr>
            <w:tcW w:w="8588"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14:paraId="25C93824">
            <w:pPr>
              <w:spacing w:line="300" w:lineRule="exact"/>
              <w:rPr>
                <w:rFonts w:hint="eastAsia" w:ascii="宋体" w:hAnsi="宋体" w:eastAsia="宋体"/>
                <w:color w:val="auto"/>
                <w:szCs w:val="21"/>
                <w:highlight w:val="none"/>
              </w:rPr>
            </w:pPr>
            <w:r>
              <w:rPr>
                <w:rFonts w:hint="eastAsia" w:ascii="宋体" w:hAnsi="宋体" w:eastAsia="宋体"/>
                <w:color w:val="auto"/>
                <w:szCs w:val="21"/>
                <w:highlight w:val="none"/>
              </w:rPr>
              <w:t xml:space="preserve">                                      投标人</w:t>
            </w:r>
          </w:p>
          <w:p w14:paraId="459259E9">
            <w:pPr>
              <w:spacing w:line="300" w:lineRule="exact"/>
              <w:rPr>
                <w:rFonts w:ascii="宋体" w:hAnsi="宋体" w:eastAsia="宋体"/>
                <w:color w:val="auto"/>
                <w:szCs w:val="21"/>
                <w:highlight w:val="none"/>
              </w:rPr>
            </w:pPr>
            <w:r>
              <w:rPr>
                <w:rFonts w:hint="eastAsia" w:ascii="宋体" w:hAnsi="宋体" w:eastAsia="宋体"/>
                <w:color w:val="auto"/>
                <w:szCs w:val="21"/>
                <w:highlight w:val="none"/>
              </w:rPr>
              <w:t>评审内容</w:t>
            </w:r>
          </w:p>
        </w:tc>
        <w:tc>
          <w:tcPr>
            <w:tcW w:w="1095" w:type="dxa"/>
            <w:tcBorders>
              <w:top w:val="single" w:color="auto" w:sz="4" w:space="0"/>
              <w:left w:val="single" w:color="auto" w:sz="4" w:space="0"/>
              <w:bottom w:val="single" w:color="auto" w:sz="4" w:space="0"/>
              <w:right w:val="single" w:color="auto" w:sz="4" w:space="0"/>
            </w:tcBorders>
            <w:noWrap w:val="0"/>
            <w:vAlign w:val="top"/>
          </w:tcPr>
          <w:p w14:paraId="18E00E7D">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2F12CA0">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54DCF77">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CA43F0C">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17E98C4">
            <w:pPr>
              <w:spacing w:line="300" w:lineRule="exact"/>
              <w:rPr>
                <w:rFonts w:ascii="宋体" w:hAnsi="宋体" w:eastAsia="宋体"/>
                <w:color w:val="auto"/>
                <w:szCs w:val="21"/>
                <w:highlight w:val="none"/>
              </w:rPr>
            </w:pPr>
          </w:p>
        </w:tc>
      </w:tr>
      <w:tr w14:paraId="62FFC7F7">
        <w:tblPrEx>
          <w:tblCellMar>
            <w:top w:w="0" w:type="dxa"/>
            <w:left w:w="108" w:type="dxa"/>
            <w:bottom w:w="0" w:type="dxa"/>
            <w:right w:w="108" w:type="dxa"/>
          </w:tblCellMar>
        </w:tblPrEx>
        <w:trPr>
          <w:trHeight w:val="242"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3FC1071A">
            <w:pPr>
              <w:spacing w:line="300" w:lineRule="exact"/>
              <w:jc w:val="center"/>
              <w:rPr>
                <w:rFonts w:hint="eastAsia" w:ascii="宋体" w:hAnsi="宋体" w:eastAsia="宋体"/>
                <w:color w:val="auto"/>
                <w:szCs w:val="21"/>
                <w:highlight w:val="none"/>
              </w:rPr>
            </w:pPr>
            <w:r>
              <w:rPr>
                <w:rFonts w:hint="eastAsia" w:ascii="宋体" w:hAnsi="宋体" w:eastAsia="宋体"/>
                <w:color w:val="auto"/>
                <w:szCs w:val="21"/>
                <w:highlight w:val="none"/>
              </w:rPr>
              <w:t>1</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720C8127">
            <w:pPr>
              <w:spacing w:line="300" w:lineRule="exact"/>
              <w:rPr>
                <w:rFonts w:hint="eastAsia" w:ascii="宋体" w:hAnsi="宋体" w:eastAsia="宋体"/>
                <w:color w:val="auto"/>
                <w:szCs w:val="21"/>
                <w:highlight w:val="none"/>
              </w:rPr>
            </w:pPr>
            <w:r>
              <w:rPr>
                <w:rFonts w:hint="eastAsia" w:ascii="宋体" w:hAnsi="宋体" w:eastAsia="宋体"/>
                <w:color w:val="auto"/>
                <w:szCs w:val="21"/>
                <w:highlight w:val="none"/>
              </w:rPr>
              <w:t>投标文件中没有《投标函》；</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0384D89">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005E938">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59604B0">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6E83D99D">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E789965">
            <w:pPr>
              <w:spacing w:line="300" w:lineRule="exact"/>
              <w:rPr>
                <w:rFonts w:ascii="宋体" w:hAnsi="宋体" w:eastAsia="宋体"/>
                <w:color w:val="auto"/>
                <w:szCs w:val="21"/>
                <w:highlight w:val="none"/>
              </w:rPr>
            </w:pPr>
          </w:p>
        </w:tc>
      </w:tr>
      <w:tr w14:paraId="46C0733D">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406ABE0F">
            <w:pPr>
              <w:spacing w:line="300" w:lineRule="exact"/>
              <w:jc w:val="center"/>
              <w:rPr>
                <w:rFonts w:hint="eastAsia" w:ascii="宋体" w:hAnsi="宋体" w:eastAsia="宋体"/>
                <w:color w:val="auto"/>
                <w:szCs w:val="21"/>
                <w:highlight w:val="none"/>
              </w:rPr>
            </w:pPr>
            <w:r>
              <w:rPr>
                <w:rFonts w:hint="eastAsia" w:ascii="宋体" w:hAnsi="宋体" w:eastAsia="宋体"/>
                <w:color w:val="auto"/>
                <w:szCs w:val="21"/>
                <w:highlight w:val="none"/>
              </w:rPr>
              <w:t>2</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261E8A86">
            <w:pPr>
              <w:spacing w:line="300" w:lineRule="exact"/>
              <w:rPr>
                <w:rFonts w:hint="eastAsia" w:ascii="宋体" w:hAnsi="宋体" w:eastAsia="宋体"/>
                <w:color w:val="auto"/>
                <w:szCs w:val="21"/>
                <w:highlight w:val="none"/>
              </w:rPr>
            </w:pPr>
            <w:r>
              <w:rPr>
                <w:rFonts w:hint="eastAsia" w:ascii="宋体" w:hAnsi="宋体" w:eastAsia="宋体"/>
                <w:color w:val="auto"/>
                <w:szCs w:val="21"/>
                <w:highlight w:val="none"/>
              </w:rPr>
              <w:t>投标文件中没有《广州园林绿化工程施工招标投标书》；</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F010EC0">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C7748AB">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731D2828">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729B67D2">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72498A88">
            <w:pPr>
              <w:spacing w:line="300" w:lineRule="exact"/>
              <w:rPr>
                <w:rFonts w:ascii="宋体" w:hAnsi="宋体" w:eastAsia="宋体"/>
                <w:color w:val="auto"/>
                <w:szCs w:val="21"/>
                <w:highlight w:val="none"/>
              </w:rPr>
            </w:pPr>
          </w:p>
        </w:tc>
      </w:tr>
      <w:tr w14:paraId="36D5D3E2">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6E0E303F">
            <w:pPr>
              <w:spacing w:line="300" w:lineRule="exact"/>
              <w:jc w:val="center"/>
              <w:rPr>
                <w:rFonts w:hint="eastAsia" w:ascii="宋体" w:hAnsi="宋体" w:eastAsia="宋体"/>
                <w:color w:val="auto"/>
                <w:szCs w:val="21"/>
                <w:highlight w:val="none"/>
              </w:rPr>
            </w:pPr>
            <w:r>
              <w:rPr>
                <w:rFonts w:hint="eastAsia" w:ascii="宋体" w:hAnsi="宋体" w:eastAsia="宋体"/>
                <w:color w:val="auto"/>
                <w:szCs w:val="21"/>
                <w:highlight w:val="none"/>
              </w:rPr>
              <w:t>3</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7921C199">
            <w:pPr>
              <w:spacing w:line="300" w:lineRule="exact"/>
              <w:rPr>
                <w:rFonts w:hint="eastAsia" w:ascii="宋体" w:hAnsi="宋体" w:eastAsia="宋体"/>
                <w:color w:val="auto"/>
                <w:szCs w:val="21"/>
                <w:highlight w:val="none"/>
              </w:rPr>
            </w:pPr>
            <w:r>
              <w:rPr>
                <w:rFonts w:hint="eastAsia" w:ascii="宋体" w:hAnsi="宋体" w:eastAsia="宋体"/>
                <w:color w:val="auto"/>
                <w:szCs w:val="21"/>
                <w:highlight w:val="none"/>
              </w:rPr>
              <w:t>未承诺响应招标文件所附施工组织设计要点的；</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69D5498">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2CE5FA9">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DC4D778">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3A39447">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F0C31A3">
            <w:pPr>
              <w:spacing w:line="300" w:lineRule="exact"/>
              <w:rPr>
                <w:rFonts w:ascii="宋体" w:hAnsi="宋体" w:eastAsia="宋体"/>
                <w:color w:val="auto"/>
                <w:szCs w:val="21"/>
                <w:highlight w:val="none"/>
              </w:rPr>
            </w:pPr>
          </w:p>
        </w:tc>
      </w:tr>
      <w:tr w14:paraId="6BCC786A">
        <w:tblPrEx>
          <w:tblCellMar>
            <w:top w:w="0" w:type="dxa"/>
            <w:left w:w="108" w:type="dxa"/>
            <w:bottom w:w="0" w:type="dxa"/>
            <w:right w:w="108" w:type="dxa"/>
          </w:tblCellMar>
        </w:tblPrEx>
        <w:trPr>
          <w:trHeight w:val="251"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5E80A882">
            <w:pPr>
              <w:spacing w:line="300" w:lineRule="exact"/>
              <w:jc w:val="center"/>
              <w:rPr>
                <w:rFonts w:hint="eastAsia" w:ascii="宋体" w:hAnsi="宋体" w:eastAsia="宋体"/>
                <w:color w:val="auto"/>
                <w:szCs w:val="21"/>
                <w:highlight w:val="none"/>
              </w:rPr>
            </w:pPr>
            <w:r>
              <w:rPr>
                <w:rFonts w:hint="eastAsia" w:ascii="宋体" w:hAnsi="宋体" w:eastAsia="宋体"/>
                <w:color w:val="auto"/>
                <w:szCs w:val="21"/>
                <w:highlight w:val="none"/>
              </w:rPr>
              <w:t>4</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2A2D01D0">
            <w:pPr>
              <w:spacing w:line="300" w:lineRule="exact"/>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不能满足完成投标项目工期的；</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2ED633F">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DE00BD4">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F7EFD54">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267FD80">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721FF6D">
            <w:pPr>
              <w:spacing w:line="300" w:lineRule="exact"/>
              <w:rPr>
                <w:rFonts w:ascii="宋体" w:hAnsi="宋体" w:eastAsia="宋体"/>
                <w:color w:val="auto"/>
                <w:szCs w:val="21"/>
                <w:highlight w:val="none"/>
              </w:rPr>
            </w:pPr>
          </w:p>
        </w:tc>
      </w:tr>
      <w:tr w14:paraId="361F492F">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41714493">
            <w:pPr>
              <w:spacing w:line="300" w:lineRule="exact"/>
              <w:jc w:val="center"/>
              <w:rPr>
                <w:rFonts w:hint="eastAsia" w:ascii="宋体" w:hAnsi="宋体" w:eastAsia="宋体"/>
                <w:color w:val="auto"/>
                <w:szCs w:val="21"/>
                <w:highlight w:val="none"/>
              </w:rPr>
            </w:pPr>
            <w:r>
              <w:rPr>
                <w:rFonts w:hint="eastAsia" w:ascii="宋体" w:hAnsi="宋体" w:eastAsia="宋体"/>
                <w:color w:val="auto"/>
                <w:szCs w:val="21"/>
                <w:highlight w:val="none"/>
              </w:rPr>
              <w:t>5</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2A1F892C">
            <w:pPr>
              <w:spacing w:line="300" w:lineRule="exact"/>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投标文件未按规定的格式填写，或主要内容不全，或关键字迹模糊、无法辨认；</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9CEC5A3">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2FB8BC7">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9D25C6F">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F213D28">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7009F79B">
            <w:pPr>
              <w:spacing w:line="300" w:lineRule="exact"/>
              <w:rPr>
                <w:rFonts w:ascii="宋体" w:hAnsi="宋体" w:eastAsia="宋体"/>
                <w:color w:val="auto"/>
                <w:szCs w:val="21"/>
                <w:highlight w:val="none"/>
              </w:rPr>
            </w:pPr>
          </w:p>
        </w:tc>
      </w:tr>
      <w:tr w14:paraId="1D393C43">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7AC0A52A">
            <w:pPr>
              <w:spacing w:line="300" w:lineRule="exact"/>
              <w:jc w:val="center"/>
              <w:rPr>
                <w:rFonts w:hint="eastAsia" w:ascii="宋体" w:hAnsi="宋体" w:eastAsia="宋体"/>
                <w:color w:val="auto"/>
                <w:szCs w:val="21"/>
                <w:highlight w:val="none"/>
              </w:rPr>
            </w:pPr>
            <w:r>
              <w:rPr>
                <w:rFonts w:hint="eastAsia" w:ascii="宋体" w:hAnsi="宋体" w:eastAsia="宋体"/>
                <w:color w:val="auto"/>
                <w:szCs w:val="21"/>
                <w:highlight w:val="none"/>
              </w:rPr>
              <w:t>6</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4EA64D39">
            <w:pPr>
              <w:spacing w:line="300" w:lineRule="exact"/>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对同一招标项目出现两个或以上的投标报价，且没有声明哪个有效；</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7163B6F">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7B23236">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FA04069">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3F1882C">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6D93071D">
            <w:pPr>
              <w:spacing w:line="300" w:lineRule="exact"/>
              <w:rPr>
                <w:rFonts w:ascii="宋体" w:hAnsi="宋体" w:eastAsia="宋体"/>
                <w:color w:val="auto"/>
                <w:szCs w:val="21"/>
                <w:highlight w:val="none"/>
              </w:rPr>
            </w:pPr>
          </w:p>
        </w:tc>
      </w:tr>
      <w:tr w14:paraId="682C8E31">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2E195B78">
            <w:pPr>
              <w:spacing w:line="300" w:lineRule="exact"/>
              <w:jc w:val="center"/>
              <w:rPr>
                <w:rFonts w:hint="eastAsia" w:ascii="宋体" w:hAnsi="宋体" w:eastAsia="宋体"/>
                <w:color w:val="auto"/>
                <w:szCs w:val="21"/>
                <w:highlight w:val="none"/>
              </w:rPr>
            </w:pPr>
            <w:r>
              <w:rPr>
                <w:rFonts w:hint="eastAsia" w:ascii="宋体" w:hAnsi="宋体" w:eastAsia="宋体"/>
                <w:color w:val="auto"/>
                <w:szCs w:val="21"/>
                <w:highlight w:val="none"/>
              </w:rPr>
              <w:t>7</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6DE88AE0">
            <w:pPr>
              <w:spacing w:line="300" w:lineRule="exact"/>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投标报价高于最高投标限价；</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F4E997D">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5020D0B">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57A5E04">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FFFE246">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6CAF355D">
            <w:pPr>
              <w:spacing w:line="300" w:lineRule="exact"/>
              <w:rPr>
                <w:rFonts w:ascii="宋体" w:hAnsi="宋体" w:eastAsia="宋体"/>
                <w:color w:val="auto"/>
                <w:szCs w:val="21"/>
                <w:highlight w:val="none"/>
              </w:rPr>
            </w:pPr>
          </w:p>
        </w:tc>
      </w:tr>
      <w:tr w14:paraId="77993885">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13E2E3A4">
            <w:pPr>
              <w:spacing w:line="300" w:lineRule="exact"/>
              <w:jc w:val="center"/>
              <w:rPr>
                <w:rFonts w:hint="eastAsia" w:ascii="宋体" w:hAnsi="宋体" w:eastAsia="宋体"/>
                <w:color w:val="auto"/>
                <w:szCs w:val="21"/>
                <w:highlight w:val="none"/>
              </w:rPr>
            </w:pPr>
            <w:r>
              <w:rPr>
                <w:rFonts w:hint="eastAsia" w:ascii="宋体" w:hAnsi="宋体" w:eastAsia="宋体"/>
                <w:color w:val="auto"/>
                <w:szCs w:val="21"/>
                <w:highlight w:val="none"/>
              </w:rPr>
              <w:t>8</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4E0B233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投标报价低于企业成本的（投标人的报价明显低于其他投标报价或者在设有成本警示价时明显低于成本警示价，使得其投标报价可能低于其个别成本，又不能合理说明或者不能提供相关证明材料，评标委员会认定该投标人低于成本报价的）；</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C5663DE">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E794CD9">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02B3510">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2EFAA3E">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DDD99C4">
            <w:pPr>
              <w:spacing w:line="300" w:lineRule="exact"/>
              <w:rPr>
                <w:rFonts w:ascii="宋体" w:hAnsi="宋体" w:eastAsia="宋体"/>
                <w:color w:val="auto"/>
                <w:szCs w:val="21"/>
                <w:highlight w:val="none"/>
              </w:rPr>
            </w:pPr>
          </w:p>
        </w:tc>
      </w:tr>
      <w:tr w14:paraId="53C415A3">
        <w:tblPrEx>
          <w:tblCellMar>
            <w:top w:w="0" w:type="dxa"/>
            <w:left w:w="108" w:type="dxa"/>
            <w:bottom w:w="0" w:type="dxa"/>
            <w:right w:w="108" w:type="dxa"/>
          </w:tblCellMar>
        </w:tblPrEx>
        <w:trPr>
          <w:trHeight w:val="276"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6AC4DC7E">
            <w:pPr>
              <w:spacing w:line="300" w:lineRule="exact"/>
              <w:jc w:val="center"/>
              <w:rPr>
                <w:rFonts w:hint="eastAsia" w:ascii="宋体" w:hAnsi="宋体" w:eastAsia="宋体"/>
                <w:color w:val="auto"/>
                <w:szCs w:val="21"/>
                <w:highlight w:val="none"/>
              </w:rPr>
            </w:pPr>
            <w:r>
              <w:rPr>
                <w:rFonts w:hint="eastAsia" w:ascii="宋体" w:hAnsi="宋体" w:eastAsia="宋体"/>
                <w:color w:val="auto"/>
                <w:szCs w:val="21"/>
                <w:highlight w:val="none"/>
              </w:rPr>
              <w:t>9</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69EC4529">
            <w:pPr>
              <w:spacing w:line="300" w:lineRule="exact"/>
              <w:rPr>
                <w:rFonts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投标报价中对招标文件规定的绿色施工安全防护措施费进行浮动或改变；</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A416AB6">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7E372428">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28A4453">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6186398">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D6C3BC4">
            <w:pPr>
              <w:spacing w:line="300" w:lineRule="exact"/>
              <w:rPr>
                <w:rFonts w:ascii="宋体" w:hAnsi="宋体" w:eastAsia="宋体"/>
                <w:color w:val="auto"/>
                <w:szCs w:val="21"/>
                <w:highlight w:val="none"/>
              </w:rPr>
            </w:pPr>
          </w:p>
        </w:tc>
      </w:tr>
      <w:tr w14:paraId="3AE2F4B4">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0D96C477">
            <w:pPr>
              <w:spacing w:line="300" w:lineRule="exact"/>
              <w:jc w:val="center"/>
              <w:rPr>
                <w:rFonts w:ascii="宋体" w:hAnsi="宋体" w:eastAsia="宋体"/>
                <w:color w:val="auto"/>
                <w:szCs w:val="21"/>
                <w:highlight w:val="none"/>
              </w:rPr>
            </w:pPr>
            <w:r>
              <w:rPr>
                <w:rFonts w:hint="eastAsia" w:ascii="宋体" w:hAnsi="宋体" w:eastAsia="宋体"/>
                <w:color w:val="auto"/>
                <w:szCs w:val="21"/>
                <w:highlight w:val="none"/>
              </w:rPr>
              <w:t>10</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658473F5">
            <w:pPr>
              <w:spacing w:line="300" w:lineRule="exact"/>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算术复核后的投标报价与原投标报价相比存在1%或以上误差的；</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2504269">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763B6F4">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1ABC644">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339971A">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66EDBEF">
            <w:pPr>
              <w:spacing w:line="300" w:lineRule="exact"/>
              <w:rPr>
                <w:rFonts w:ascii="宋体" w:hAnsi="宋体" w:eastAsia="宋体"/>
                <w:color w:val="auto"/>
                <w:szCs w:val="21"/>
                <w:highlight w:val="none"/>
              </w:rPr>
            </w:pPr>
          </w:p>
        </w:tc>
      </w:tr>
      <w:tr w14:paraId="67886949">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433F700F">
            <w:pPr>
              <w:spacing w:line="300" w:lineRule="exact"/>
              <w:jc w:val="center"/>
              <w:rPr>
                <w:rFonts w:ascii="宋体" w:hAnsi="宋体" w:eastAsia="宋体"/>
                <w:color w:val="auto"/>
                <w:szCs w:val="21"/>
                <w:highlight w:val="none"/>
              </w:rPr>
            </w:pPr>
            <w:r>
              <w:rPr>
                <w:rFonts w:hint="eastAsia" w:ascii="宋体" w:hAnsi="宋体" w:eastAsia="宋体"/>
                <w:color w:val="auto"/>
                <w:szCs w:val="21"/>
                <w:highlight w:val="none"/>
              </w:rPr>
              <w:t>11</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764F2EBE">
            <w:pPr>
              <w:spacing w:line="300" w:lineRule="exact"/>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不同投标人的投标文件由同一单位或者个人编制；</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EEE0CBC">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6CAAE82D">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113FFBF">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0F3D2FC">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63DD418">
            <w:pPr>
              <w:spacing w:line="300" w:lineRule="exact"/>
              <w:rPr>
                <w:rFonts w:ascii="宋体" w:hAnsi="宋体" w:eastAsia="宋体"/>
                <w:color w:val="auto"/>
                <w:szCs w:val="21"/>
                <w:highlight w:val="none"/>
              </w:rPr>
            </w:pPr>
          </w:p>
        </w:tc>
      </w:tr>
      <w:tr w14:paraId="08439A49">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76D3642A">
            <w:pPr>
              <w:spacing w:line="300" w:lineRule="exact"/>
              <w:jc w:val="center"/>
              <w:rPr>
                <w:rFonts w:ascii="宋体" w:hAnsi="宋体" w:eastAsia="宋体"/>
                <w:color w:val="auto"/>
                <w:szCs w:val="21"/>
                <w:highlight w:val="none"/>
              </w:rPr>
            </w:pPr>
            <w:r>
              <w:rPr>
                <w:rFonts w:hint="eastAsia" w:ascii="宋体" w:hAnsi="宋体" w:eastAsia="宋体"/>
                <w:color w:val="auto"/>
                <w:szCs w:val="21"/>
                <w:highlight w:val="none"/>
              </w:rPr>
              <w:t>12</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124C2A44">
            <w:pPr>
              <w:spacing w:line="300" w:lineRule="exact"/>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不同投标人委托同一单位或者个人办理投标事宜；</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9609B8A">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673950BE">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D1A9F49">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1F24907">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10E5E4E">
            <w:pPr>
              <w:spacing w:line="300" w:lineRule="exact"/>
              <w:rPr>
                <w:rFonts w:ascii="宋体" w:hAnsi="宋体" w:eastAsia="宋体"/>
                <w:color w:val="auto"/>
                <w:szCs w:val="21"/>
                <w:highlight w:val="none"/>
              </w:rPr>
            </w:pPr>
          </w:p>
        </w:tc>
      </w:tr>
      <w:tr w14:paraId="45E86843">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3FA853CF">
            <w:pPr>
              <w:spacing w:line="300" w:lineRule="exact"/>
              <w:jc w:val="center"/>
              <w:rPr>
                <w:rFonts w:ascii="宋体" w:hAnsi="宋体" w:eastAsia="宋体"/>
                <w:color w:val="auto"/>
                <w:szCs w:val="21"/>
                <w:highlight w:val="none"/>
              </w:rPr>
            </w:pPr>
            <w:r>
              <w:rPr>
                <w:rFonts w:hint="eastAsia" w:ascii="宋体" w:hAnsi="宋体" w:eastAsia="宋体"/>
                <w:color w:val="auto"/>
                <w:szCs w:val="21"/>
                <w:highlight w:val="none"/>
              </w:rPr>
              <w:t>13</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7C252171">
            <w:pPr>
              <w:spacing w:line="300" w:lineRule="exact"/>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不同投标人的投标文件载明的项目管理成员为同一人；</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1641AD8">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32509A9">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C03D142">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AEA9636">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70FEDFA">
            <w:pPr>
              <w:spacing w:line="300" w:lineRule="exact"/>
              <w:rPr>
                <w:rFonts w:ascii="宋体" w:hAnsi="宋体" w:eastAsia="宋体"/>
                <w:color w:val="auto"/>
                <w:szCs w:val="21"/>
                <w:highlight w:val="none"/>
              </w:rPr>
            </w:pPr>
          </w:p>
        </w:tc>
      </w:tr>
      <w:tr w14:paraId="698340FC">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6EF18B1D">
            <w:pPr>
              <w:spacing w:line="300" w:lineRule="exact"/>
              <w:jc w:val="center"/>
              <w:rPr>
                <w:rFonts w:ascii="宋体" w:hAnsi="宋体" w:eastAsia="宋体"/>
                <w:color w:val="auto"/>
                <w:szCs w:val="21"/>
                <w:highlight w:val="none"/>
              </w:rPr>
            </w:pPr>
            <w:r>
              <w:rPr>
                <w:rFonts w:hint="eastAsia" w:ascii="宋体" w:hAnsi="宋体" w:eastAsia="宋体"/>
                <w:color w:val="auto"/>
                <w:szCs w:val="21"/>
                <w:highlight w:val="none"/>
              </w:rPr>
              <w:t>14</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3208CC57">
            <w:pPr>
              <w:spacing w:line="300" w:lineRule="exact"/>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不同投标人的投标文件异常一致或者投标报价呈规律性差异；</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8CD1895">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5334CC9">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0BD799B">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4A5A3AE">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38FAC1B">
            <w:pPr>
              <w:spacing w:line="300" w:lineRule="exact"/>
              <w:rPr>
                <w:rFonts w:ascii="宋体" w:hAnsi="宋体" w:eastAsia="宋体"/>
                <w:color w:val="auto"/>
                <w:szCs w:val="21"/>
                <w:highlight w:val="none"/>
              </w:rPr>
            </w:pPr>
          </w:p>
        </w:tc>
      </w:tr>
      <w:tr w14:paraId="446FD893">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366BFEF2">
            <w:pPr>
              <w:spacing w:line="300" w:lineRule="exact"/>
              <w:jc w:val="center"/>
              <w:rPr>
                <w:rFonts w:ascii="宋体" w:hAnsi="宋体" w:eastAsia="宋体"/>
                <w:color w:val="auto"/>
                <w:szCs w:val="21"/>
                <w:highlight w:val="none"/>
              </w:rPr>
            </w:pPr>
            <w:r>
              <w:rPr>
                <w:rFonts w:hint="eastAsia" w:ascii="宋体" w:hAnsi="宋体" w:eastAsia="宋体"/>
                <w:color w:val="auto"/>
                <w:szCs w:val="21"/>
                <w:highlight w:val="none"/>
              </w:rPr>
              <w:t>15</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1F0BA962">
            <w:pPr>
              <w:spacing w:line="300" w:lineRule="exact"/>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不同投标人的投标文件相互混装；</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C850F23">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ADD2D95">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06E28E7">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2A5DE8C">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8DB7F28">
            <w:pPr>
              <w:spacing w:line="300" w:lineRule="exact"/>
              <w:rPr>
                <w:rFonts w:ascii="宋体" w:hAnsi="宋体" w:eastAsia="宋体"/>
                <w:color w:val="auto"/>
                <w:szCs w:val="21"/>
                <w:highlight w:val="none"/>
              </w:rPr>
            </w:pPr>
          </w:p>
        </w:tc>
      </w:tr>
      <w:tr w14:paraId="5928F070">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00132EA0">
            <w:pPr>
              <w:spacing w:line="300" w:lineRule="exact"/>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16</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19F0EA79">
            <w:pPr>
              <w:spacing w:line="300" w:lineRule="exact"/>
              <w:rPr>
                <w:rFonts w:hint="eastAsia" w:ascii="宋体" w:hAnsi="宋体" w:eastAsia="宋体"/>
                <w:color w:val="auto"/>
                <w:szCs w:val="21"/>
                <w:highlight w:val="none"/>
              </w:rPr>
            </w:pPr>
            <w:r>
              <w:rPr>
                <w:rFonts w:hint="eastAsia" w:ascii="宋体" w:hAnsi="宋体" w:eastAsia="宋体"/>
                <w:strike/>
                <w:dstrike w:val="0"/>
                <w:color w:val="auto"/>
                <w:szCs w:val="21"/>
                <w:highlight w:val="none"/>
              </w:rPr>
              <w:t>不同投标人的投标保证金从同一单位或者个人的账户转出；</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D99A8AB">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F53E033">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6BFF969">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4446AD5">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7236E36">
            <w:pPr>
              <w:spacing w:line="300" w:lineRule="exact"/>
              <w:rPr>
                <w:rFonts w:ascii="宋体" w:hAnsi="宋体" w:eastAsia="宋体"/>
                <w:color w:val="auto"/>
                <w:szCs w:val="21"/>
                <w:highlight w:val="none"/>
              </w:rPr>
            </w:pPr>
          </w:p>
        </w:tc>
      </w:tr>
      <w:tr w14:paraId="110AC27B">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360FA6AE">
            <w:pPr>
              <w:spacing w:line="300" w:lineRule="exact"/>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17</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1EF13F01">
            <w:pPr>
              <w:spacing w:line="300" w:lineRule="exact"/>
              <w:rPr>
                <w:rFonts w:hint="eastAsia" w:ascii="宋体" w:hAnsi="宋体" w:eastAsia="宋体"/>
                <w:color w:val="auto"/>
                <w:szCs w:val="21"/>
                <w:highlight w:val="none"/>
              </w:rPr>
            </w:pPr>
            <w:r>
              <w:rPr>
                <w:rFonts w:hint="eastAsia" w:ascii="宋体" w:hAnsi="宋体" w:eastAsia="宋体"/>
                <w:color w:val="auto"/>
                <w:szCs w:val="21"/>
                <w:highlight w:val="none"/>
              </w:rPr>
              <w:t>不同投标人的投标报价中分部分项工程量清单综合单价相似度达到80%及以上的；</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4FD8861">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47A9D41">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6710150">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C9A8198">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044649E">
            <w:pPr>
              <w:spacing w:line="300" w:lineRule="exact"/>
              <w:rPr>
                <w:rFonts w:ascii="宋体" w:hAnsi="宋体" w:eastAsia="宋体"/>
                <w:color w:val="auto"/>
                <w:szCs w:val="21"/>
                <w:highlight w:val="none"/>
              </w:rPr>
            </w:pPr>
          </w:p>
        </w:tc>
      </w:tr>
      <w:tr w14:paraId="21824D10">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7DE99E27">
            <w:pPr>
              <w:spacing w:line="300" w:lineRule="exact"/>
              <w:jc w:val="center"/>
              <w:rPr>
                <w:rFonts w:ascii="宋体" w:hAnsi="宋体" w:eastAsia="宋体"/>
                <w:color w:val="auto"/>
                <w:szCs w:val="21"/>
                <w:highlight w:val="none"/>
              </w:rPr>
            </w:pPr>
            <w:r>
              <w:rPr>
                <w:rFonts w:hint="eastAsia" w:ascii="宋体" w:hAnsi="宋体" w:eastAsia="宋体"/>
                <w:color w:val="auto"/>
                <w:szCs w:val="21"/>
                <w:highlight w:val="none"/>
                <w:lang w:val="en-US" w:eastAsia="zh-CN"/>
              </w:rPr>
              <w:t>18</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4BF46510">
            <w:pPr>
              <w:spacing w:line="300" w:lineRule="exact"/>
              <w:rPr>
                <w:rFonts w:hint="eastAsia" w:ascii="宋体" w:hAnsi="宋体" w:eastAsia="宋体"/>
                <w:color w:val="auto"/>
                <w:szCs w:val="21"/>
                <w:highlight w:val="none"/>
              </w:rPr>
            </w:pPr>
            <w:r>
              <w:rPr>
                <w:rFonts w:hint="eastAsia" w:ascii="宋体" w:hAnsi="宋体" w:eastAsia="宋体"/>
                <w:color w:val="auto"/>
                <w:szCs w:val="21"/>
                <w:highlight w:val="none"/>
              </w:rPr>
              <w:t>不同投标人加密打包投标文件的电脑机器特征码相同的；</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9F6FEB8">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C532C75">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EBFA7EA">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0D88A05">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2ECE5AD">
            <w:pPr>
              <w:spacing w:line="300" w:lineRule="exact"/>
              <w:rPr>
                <w:rFonts w:ascii="宋体" w:hAnsi="宋体" w:eastAsia="宋体"/>
                <w:color w:val="auto"/>
                <w:szCs w:val="21"/>
                <w:highlight w:val="none"/>
              </w:rPr>
            </w:pPr>
          </w:p>
        </w:tc>
      </w:tr>
      <w:tr w14:paraId="58433097">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562EE5DC">
            <w:pPr>
              <w:spacing w:line="300" w:lineRule="exact"/>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19</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1A5D115C">
            <w:pPr>
              <w:spacing w:line="300" w:lineRule="exact"/>
              <w:rPr>
                <w:rFonts w:hint="eastAsia" w:ascii="宋体" w:hAnsi="宋体" w:eastAsia="宋体"/>
                <w:color w:val="auto"/>
                <w:szCs w:val="21"/>
                <w:highlight w:val="none"/>
                <w:lang w:eastAsia="zh-CN"/>
              </w:rPr>
            </w:pPr>
            <w:r>
              <w:rPr>
                <w:rFonts w:hint="eastAsia" w:ascii="宋体" w:hAnsi="宋体" w:eastAsia="宋体"/>
                <w:color w:val="auto"/>
                <w:szCs w:val="21"/>
                <w:highlight w:val="none"/>
              </w:rPr>
              <w:t>不同投标人的投标文件工程量清单编制机器硬件信息相同的</w:t>
            </w:r>
            <w:r>
              <w:rPr>
                <w:rFonts w:hint="eastAsia" w:ascii="宋体" w:hAnsi="宋体" w:eastAsia="宋体"/>
                <w:color w:val="auto"/>
                <w:szCs w:val="21"/>
                <w:highlight w:val="none"/>
                <w:lang w:eastAsia="zh-CN"/>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A53F63D">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FB668C1">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5F797D9">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B66577D">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0DE3062">
            <w:pPr>
              <w:spacing w:line="300" w:lineRule="exact"/>
              <w:rPr>
                <w:rFonts w:ascii="宋体" w:hAnsi="宋体" w:eastAsia="宋体"/>
                <w:color w:val="auto"/>
                <w:szCs w:val="21"/>
                <w:highlight w:val="none"/>
              </w:rPr>
            </w:pPr>
          </w:p>
        </w:tc>
      </w:tr>
      <w:tr w14:paraId="1A83D78B">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1F4CAEA2">
            <w:pPr>
              <w:spacing w:line="300" w:lineRule="exact"/>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20</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0CE28833">
            <w:pPr>
              <w:spacing w:line="300" w:lineRule="exact"/>
              <w:rPr>
                <w:rFonts w:hint="eastAsia" w:ascii="宋体" w:hAnsi="宋体" w:eastAsia="宋体"/>
                <w:color w:val="auto"/>
                <w:szCs w:val="21"/>
                <w:highlight w:val="none"/>
              </w:rPr>
            </w:pPr>
            <w:r>
              <w:rPr>
                <w:rFonts w:hint="eastAsia" w:ascii="宋体" w:hAnsi="宋体" w:eastAsia="宋体" w:cs="Times New Roman"/>
                <w:strike/>
                <w:dstrike w:val="0"/>
                <w:color w:val="auto"/>
                <w:szCs w:val="21"/>
                <w:highlight w:val="none"/>
                <w:lang w:eastAsia="zh-CN"/>
              </w:rPr>
              <w:t>未按要求提交投标保证金的；</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8C0C4B6">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063FB8D">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6A81E3B">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F6E3364">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E9F2A7F">
            <w:pPr>
              <w:spacing w:line="300" w:lineRule="exact"/>
              <w:rPr>
                <w:rFonts w:ascii="宋体" w:hAnsi="宋体" w:eastAsia="宋体"/>
                <w:color w:val="auto"/>
                <w:szCs w:val="21"/>
                <w:highlight w:val="none"/>
              </w:rPr>
            </w:pPr>
          </w:p>
        </w:tc>
      </w:tr>
      <w:tr w14:paraId="4F3298D7">
        <w:tblPrEx>
          <w:tblCellMar>
            <w:top w:w="0" w:type="dxa"/>
            <w:left w:w="108" w:type="dxa"/>
            <w:bottom w:w="0" w:type="dxa"/>
            <w:right w:w="108" w:type="dxa"/>
          </w:tblCellMar>
        </w:tblPrEx>
        <w:trPr>
          <w:trHeight w:val="268"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4C07C40E">
            <w:pPr>
              <w:spacing w:line="300" w:lineRule="exact"/>
              <w:jc w:val="center"/>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lang w:val="en-US" w:eastAsia="zh-CN"/>
              </w:rPr>
              <w:t>21</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7BE535B2">
            <w:pPr>
              <w:spacing w:line="300" w:lineRule="exact"/>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无《对投标文件编制的承诺》。</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D6F49E3">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02DD9E6">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F5BDC81">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83E731E">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0B08608">
            <w:pPr>
              <w:spacing w:line="300" w:lineRule="exact"/>
              <w:rPr>
                <w:rFonts w:ascii="宋体" w:hAnsi="宋体" w:eastAsia="宋体"/>
                <w:color w:val="auto"/>
                <w:szCs w:val="21"/>
                <w:highlight w:val="none"/>
              </w:rPr>
            </w:pPr>
          </w:p>
        </w:tc>
      </w:tr>
    </w:tbl>
    <w:p w14:paraId="237D67F1">
      <w:pPr>
        <w:spacing w:line="240" w:lineRule="exact"/>
        <w:jc w:val="left"/>
        <w:rPr>
          <w:rFonts w:hint="eastAsia" w:ascii="宋体" w:hAnsi="宋体" w:eastAsia="宋体"/>
          <w:color w:val="auto"/>
          <w:sz w:val="18"/>
          <w:szCs w:val="18"/>
          <w:highlight w:val="none"/>
        </w:rPr>
      </w:pPr>
      <w:r>
        <w:rPr>
          <w:rFonts w:hint="eastAsia" w:ascii="宋体" w:hAnsi="宋体" w:eastAsia="宋体"/>
          <w:color w:val="auto"/>
          <w:szCs w:val="21"/>
          <w:highlight w:val="none"/>
        </w:rPr>
        <w:t>注：</w:t>
      </w:r>
      <w:r>
        <w:rPr>
          <w:rFonts w:hint="eastAsia" w:ascii="宋体" w:hAnsi="宋体" w:eastAsia="宋体"/>
          <w:color w:val="auto"/>
          <w:sz w:val="18"/>
          <w:szCs w:val="18"/>
          <w:highlight w:val="none"/>
        </w:rPr>
        <w:t>1.本表使用GZYLZB202</w:t>
      </w:r>
      <w:r>
        <w:rPr>
          <w:rFonts w:hint="eastAsia" w:ascii="宋体" w:hAnsi="宋体" w:eastAsia="宋体"/>
          <w:color w:val="auto"/>
          <w:sz w:val="18"/>
          <w:szCs w:val="18"/>
          <w:highlight w:val="none"/>
          <w:lang w:val="en-US" w:eastAsia="zh-CN"/>
        </w:rPr>
        <w:t>3</w:t>
      </w:r>
      <w:r>
        <w:rPr>
          <w:rFonts w:hint="eastAsia" w:ascii="宋体" w:hAnsi="宋体" w:eastAsia="宋体"/>
          <w:color w:val="auto"/>
          <w:sz w:val="18"/>
          <w:szCs w:val="18"/>
          <w:highlight w:val="none"/>
        </w:rPr>
        <w:t>-1招标文件范本，与范本内容不同之处均以下划线标明。</w:t>
      </w:r>
    </w:p>
    <w:p w14:paraId="6F53308C">
      <w:pPr>
        <w:spacing w:line="240" w:lineRule="exact"/>
        <w:ind w:firstLine="360" w:firstLineChars="200"/>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2.凡出现《投标文件否决性条款审查表》中任何一项情形，否决其投标。</w:t>
      </w:r>
    </w:p>
    <w:p w14:paraId="477D5261">
      <w:pPr>
        <w:spacing w:line="240" w:lineRule="exact"/>
        <w:ind w:left="359" w:leftChars="171"/>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3.分部分项工程量清单综合单价相似度和加密打包投标文件的电脑机器特征码以广州公共资源交易评标系统的检索信息为准。出现第</w:t>
      </w:r>
      <w:r>
        <w:rPr>
          <w:rFonts w:hint="eastAsia" w:ascii="宋体" w:hAnsi="宋体" w:eastAsia="宋体"/>
          <w:color w:val="auto"/>
          <w:sz w:val="18"/>
          <w:szCs w:val="18"/>
          <w:highlight w:val="none"/>
          <w:lang w:val="en-US" w:eastAsia="zh-CN"/>
        </w:rPr>
        <w:t>11-19</w:t>
      </w:r>
      <w:r>
        <w:rPr>
          <w:rFonts w:hint="eastAsia" w:ascii="宋体" w:hAnsi="宋体" w:eastAsia="宋体"/>
          <w:color w:val="auto"/>
          <w:sz w:val="18"/>
          <w:szCs w:val="18"/>
          <w:highlight w:val="none"/>
        </w:rPr>
        <w:t>项内容所列情形之一的，评标委员会应按照招标文件《投标人串通投标评审表》中的规定进行有关串通投标认定。</w:t>
      </w:r>
    </w:p>
    <w:p w14:paraId="5354D282">
      <w:pPr>
        <w:spacing w:line="240" w:lineRule="exact"/>
        <w:ind w:left="359" w:leftChars="171"/>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 xml:space="preserve">4.如对本表中某种情形的评审意见不一致时，以评标委员会过半数成员的意见作为评标委员会对该情形的认定结论。 </w:t>
      </w:r>
    </w:p>
    <w:p w14:paraId="6D058777">
      <w:pPr>
        <w:spacing w:line="240" w:lineRule="exact"/>
        <w:rPr>
          <w:rFonts w:hint="eastAsia" w:ascii="宋体" w:hAnsi="宋体" w:eastAsia="宋体"/>
          <w:b/>
          <w:color w:val="auto"/>
          <w:szCs w:val="21"/>
          <w:highlight w:val="none"/>
        </w:rPr>
      </w:pPr>
    </w:p>
    <w:p w14:paraId="5095AE45">
      <w:pPr>
        <w:spacing w:line="240" w:lineRule="exact"/>
        <w:rPr>
          <w:rFonts w:hint="eastAsia" w:ascii="宋体" w:hAnsi="宋体" w:eastAsia="宋体"/>
          <w:b/>
          <w:color w:val="auto"/>
          <w:szCs w:val="21"/>
          <w:highlight w:val="none"/>
        </w:rPr>
      </w:pPr>
      <w:r>
        <w:rPr>
          <w:rFonts w:hint="eastAsia" w:ascii="宋体" w:hAnsi="宋体" w:eastAsia="宋体"/>
          <w:b/>
          <w:color w:val="auto"/>
          <w:szCs w:val="21"/>
          <w:highlight w:val="none"/>
        </w:rPr>
        <w:t>评委签名：                                                                                        日期：</w:t>
      </w:r>
    </w:p>
    <w:p w14:paraId="3C9C8F85">
      <w:pPr>
        <w:pStyle w:val="5"/>
        <w:ind w:firstLine="0"/>
        <w:outlineLvl w:val="2"/>
        <w:rPr>
          <w:rFonts w:hint="eastAsia" w:ascii="宋体" w:hAnsi="宋体" w:eastAsia="宋体"/>
          <w:color w:val="auto"/>
          <w:sz w:val="24"/>
          <w:szCs w:val="24"/>
          <w:highlight w:val="none"/>
        </w:rPr>
      </w:pPr>
      <w:bookmarkStart w:id="246" w:name="_Toc6821"/>
      <w:bookmarkStart w:id="247" w:name="_Toc10135"/>
      <w:bookmarkStart w:id="248" w:name="_Toc4887"/>
    </w:p>
    <w:p w14:paraId="3FADF815">
      <w:pPr>
        <w:pStyle w:val="5"/>
        <w:ind w:firstLine="0"/>
        <w:outlineLvl w:val="2"/>
        <w:rPr>
          <w:rFonts w:hint="eastAsia" w:ascii="宋体" w:hAnsi="宋体" w:eastAsia="宋体"/>
          <w:color w:val="auto"/>
          <w:szCs w:val="21"/>
          <w:highlight w:val="none"/>
          <w:lang w:eastAsia="zh-CN"/>
        </w:rPr>
      </w:pPr>
      <w:bookmarkStart w:id="249" w:name="_Toc20353"/>
      <w:r>
        <w:rPr>
          <w:rFonts w:hint="eastAsia" w:ascii="宋体" w:hAnsi="宋体" w:eastAsia="宋体"/>
          <w:color w:val="auto"/>
          <w:sz w:val="24"/>
          <w:szCs w:val="24"/>
          <w:highlight w:val="none"/>
        </w:rPr>
        <w:t>附件</w:t>
      </w:r>
      <w:bookmarkEnd w:id="246"/>
      <w:bookmarkEnd w:id="247"/>
      <w:r>
        <w:rPr>
          <w:rFonts w:hint="eastAsia" w:ascii="宋体" w:hAnsi="宋体" w:eastAsia="宋体"/>
          <w:color w:val="auto"/>
          <w:sz w:val="24"/>
          <w:szCs w:val="24"/>
          <w:highlight w:val="none"/>
          <w:lang w:val="en-US" w:eastAsia="zh-CN"/>
        </w:rPr>
        <w:t>6</w:t>
      </w:r>
      <w:bookmarkEnd w:id="248"/>
      <w:bookmarkEnd w:id="249"/>
    </w:p>
    <w:p w14:paraId="7A877941">
      <w:pPr>
        <w:jc w:val="center"/>
        <w:rPr>
          <w:rFonts w:hint="eastAsia" w:ascii="宋体" w:hAnsi="宋体" w:eastAsia="宋体"/>
          <w:b/>
          <w:color w:val="auto"/>
          <w:sz w:val="36"/>
          <w:szCs w:val="36"/>
          <w:highlight w:val="none"/>
        </w:rPr>
      </w:pPr>
      <w:r>
        <w:rPr>
          <w:rFonts w:hint="eastAsia" w:ascii="宋体" w:hAnsi="宋体" w:eastAsia="宋体"/>
          <w:b/>
          <w:color w:val="auto"/>
          <w:sz w:val="36"/>
          <w:szCs w:val="36"/>
          <w:highlight w:val="none"/>
        </w:rPr>
        <w:t>投标人串通投标评审表</w:t>
      </w:r>
    </w:p>
    <w:tbl>
      <w:tblPr>
        <w:tblStyle w:val="29"/>
        <w:tblW w:w="1453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491"/>
        <w:gridCol w:w="1188"/>
        <w:gridCol w:w="1716"/>
        <w:gridCol w:w="7553"/>
        <w:gridCol w:w="908"/>
        <w:gridCol w:w="1815"/>
      </w:tblGrid>
      <w:tr w14:paraId="4862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546" w:type="dxa"/>
            <w:gridSpan w:val="3"/>
            <w:vMerge w:val="restart"/>
            <w:noWrap w:val="0"/>
            <w:vAlign w:val="center"/>
          </w:tcPr>
          <w:p w14:paraId="7EC3E934">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投标人名称</w:t>
            </w:r>
          </w:p>
        </w:tc>
        <w:tc>
          <w:tcPr>
            <w:tcW w:w="10177" w:type="dxa"/>
            <w:gridSpan w:val="3"/>
            <w:vMerge w:val="restart"/>
            <w:noWrap w:val="0"/>
            <w:vAlign w:val="center"/>
          </w:tcPr>
          <w:p w14:paraId="1F39FCBF">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815" w:type="dxa"/>
            <w:vMerge w:val="restart"/>
            <w:noWrap w:val="0"/>
            <w:vAlign w:val="center"/>
          </w:tcPr>
          <w:p w14:paraId="0D8CAF4E">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r>
      <w:tr w14:paraId="3CC25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546" w:type="dxa"/>
            <w:gridSpan w:val="3"/>
            <w:vMerge w:val="continue"/>
            <w:noWrap w:val="0"/>
            <w:vAlign w:val="center"/>
          </w:tcPr>
          <w:p w14:paraId="0F357580">
            <w:pPr>
              <w:widowControl/>
              <w:jc w:val="left"/>
              <w:rPr>
                <w:rFonts w:ascii="宋体" w:hAnsi="宋体" w:eastAsia="宋体" w:cs="宋体"/>
                <w:color w:val="auto"/>
                <w:kern w:val="0"/>
                <w:sz w:val="24"/>
                <w:szCs w:val="24"/>
                <w:highlight w:val="none"/>
              </w:rPr>
            </w:pPr>
          </w:p>
        </w:tc>
        <w:tc>
          <w:tcPr>
            <w:tcW w:w="10177" w:type="dxa"/>
            <w:gridSpan w:val="3"/>
            <w:vMerge w:val="continue"/>
            <w:noWrap w:val="0"/>
            <w:vAlign w:val="center"/>
          </w:tcPr>
          <w:p w14:paraId="7D341DC8">
            <w:pPr>
              <w:widowControl/>
              <w:jc w:val="left"/>
              <w:rPr>
                <w:rFonts w:ascii="宋体" w:hAnsi="宋体" w:eastAsia="宋体" w:cs="宋体"/>
                <w:color w:val="auto"/>
                <w:kern w:val="0"/>
                <w:sz w:val="24"/>
                <w:szCs w:val="24"/>
                <w:highlight w:val="none"/>
              </w:rPr>
            </w:pPr>
          </w:p>
        </w:tc>
        <w:tc>
          <w:tcPr>
            <w:tcW w:w="1815" w:type="dxa"/>
            <w:vMerge w:val="continue"/>
            <w:noWrap w:val="0"/>
            <w:vAlign w:val="center"/>
          </w:tcPr>
          <w:p w14:paraId="598AB574">
            <w:pPr>
              <w:widowControl/>
              <w:jc w:val="left"/>
              <w:rPr>
                <w:rFonts w:ascii="宋体" w:hAnsi="宋体" w:eastAsia="宋体" w:cs="宋体"/>
                <w:color w:val="auto"/>
                <w:kern w:val="0"/>
                <w:sz w:val="24"/>
                <w:szCs w:val="24"/>
                <w:highlight w:val="none"/>
              </w:rPr>
            </w:pPr>
          </w:p>
        </w:tc>
      </w:tr>
      <w:tr w14:paraId="19DD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restart"/>
            <w:noWrap w:val="0"/>
            <w:textDirection w:val="tbRlV"/>
            <w:vAlign w:val="center"/>
          </w:tcPr>
          <w:p w14:paraId="644D2BDC">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串通投标认定</w:t>
            </w:r>
          </w:p>
        </w:tc>
        <w:tc>
          <w:tcPr>
            <w:tcW w:w="491" w:type="dxa"/>
            <w:vMerge w:val="restart"/>
            <w:noWrap w:val="0"/>
            <w:vAlign w:val="center"/>
          </w:tcPr>
          <w:p w14:paraId="54127ACE">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188" w:type="dxa"/>
            <w:vMerge w:val="restart"/>
            <w:noWrap w:val="0"/>
            <w:vAlign w:val="center"/>
          </w:tcPr>
          <w:p w14:paraId="1C92424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存在</w:t>
            </w:r>
          </w:p>
          <w:p w14:paraId="18100DC4">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情形</w:t>
            </w:r>
          </w:p>
        </w:tc>
        <w:tc>
          <w:tcPr>
            <w:tcW w:w="9269" w:type="dxa"/>
            <w:gridSpan w:val="2"/>
            <w:noWrap w:val="0"/>
            <w:vAlign w:val="center"/>
          </w:tcPr>
          <w:p w14:paraId="4279C050">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不同投标人的投标文件由同一单位或者个人编制；   </w:t>
            </w:r>
          </w:p>
        </w:tc>
        <w:tc>
          <w:tcPr>
            <w:tcW w:w="908" w:type="dxa"/>
            <w:noWrap w:val="0"/>
            <w:vAlign w:val="center"/>
          </w:tcPr>
          <w:p w14:paraId="11D2773D">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815" w:type="dxa"/>
            <w:vMerge w:val="restart"/>
            <w:noWrap w:val="0"/>
            <w:vAlign w:val="bottom"/>
          </w:tcPr>
          <w:p w14:paraId="33798A84">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525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continue"/>
            <w:noWrap w:val="0"/>
            <w:vAlign w:val="center"/>
          </w:tcPr>
          <w:p w14:paraId="1BF4C6BF">
            <w:pPr>
              <w:widowControl/>
              <w:jc w:val="left"/>
              <w:rPr>
                <w:rFonts w:ascii="宋体" w:hAnsi="宋体" w:eastAsia="宋体" w:cs="宋体"/>
                <w:color w:val="auto"/>
                <w:kern w:val="0"/>
                <w:sz w:val="24"/>
                <w:szCs w:val="24"/>
                <w:highlight w:val="none"/>
              </w:rPr>
            </w:pPr>
          </w:p>
        </w:tc>
        <w:tc>
          <w:tcPr>
            <w:tcW w:w="491" w:type="dxa"/>
            <w:vMerge w:val="continue"/>
            <w:noWrap w:val="0"/>
            <w:vAlign w:val="center"/>
          </w:tcPr>
          <w:p w14:paraId="65C40B02">
            <w:pPr>
              <w:widowControl/>
              <w:jc w:val="left"/>
              <w:rPr>
                <w:rFonts w:ascii="宋体" w:hAnsi="宋体" w:eastAsia="宋体" w:cs="宋体"/>
                <w:color w:val="auto"/>
                <w:kern w:val="0"/>
                <w:sz w:val="24"/>
                <w:szCs w:val="24"/>
                <w:highlight w:val="none"/>
              </w:rPr>
            </w:pPr>
          </w:p>
        </w:tc>
        <w:tc>
          <w:tcPr>
            <w:tcW w:w="1188" w:type="dxa"/>
            <w:vMerge w:val="continue"/>
            <w:noWrap w:val="0"/>
            <w:vAlign w:val="center"/>
          </w:tcPr>
          <w:p w14:paraId="7B63AA05">
            <w:pPr>
              <w:widowControl/>
              <w:jc w:val="left"/>
              <w:rPr>
                <w:rFonts w:ascii="宋体" w:hAnsi="宋体" w:eastAsia="宋体" w:cs="宋体"/>
                <w:color w:val="auto"/>
                <w:kern w:val="0"/>
                <w:sz w:val="24"/>
                <w:szCs w:val="24"/>
                <w:highlight w:val="none"/>
              </w:rPr>
            </w:pPr>
          </w:p>
        </w:tc>
        <w:tc>
          <w:tcPr>
            <w:tcW w:w="9269" w:type="dxa"/>
            <w:gridSpan w:val="2"/>
            <w:noWrap w:val="0"/>
            <w:vAlign w:val="center"/>
          </w:tcPr>
          <w:p w14:paraId="0037F291">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不同投标人委托同一单位或者个人办理投标事宜；  </w:t>
            </w:r>
          </w:p>
        </w:tc>
        <w:tc>
          <w:tcPr>
            <w:tcW w:w="908" w:type="dxa"/>
            <w:noWrap w:val="0"/>
            <w:vAlign w:val="center"/>
          </w:tcPr>
          <w:p w14:paraId="4E92FA1D">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815" w:type="dxa"/>
            <w:vMerge w:val="continue"/>
            <w:noWrap w:val="0"/>
            <w:vAlign w:val="center"/>
          </w:tcPr>
          <w:p w14:paraId="3C41B1AF">
            <w:pPr>
              <w:widowControl/>
              <w:jc w:val="left"/>
              <w:rPr>
                <w:rFonts w:ascii="宋体" w:hAnsi="宋体" w:eastAsia="宋体" w:cs="宋体"/>
                <w:color w:val="auto"/>
                <w:kern w:val="0"/>
                <w:sz w:val="24"/>
                <w:szCs w:val="24"/>
                <w:highlight w:val="none"/>
              </w:rPr>
            </w:pPr>
          </w:p>
        </w:tc>
      </w:tr>
      <w:tr w14:paraId="486A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continue"/>
            <w:noWrap w:val="0"/>
            <w:vAlign w:val="center"/>
          </w:tcPr>
          <w:p w14:paraId="5E5B7ABE">
            <w:pPr>
              <w:widowControl/>
              <w:jc w:val="left"/>
              <w:rPr>
                <w:rFonts w:ascii="宋体" w:hAnsi="宋体" w:eastAsia="宋体" w:cs="宋体"/>
                <w:color w:val="auto"/>
                <w:kern w:val="0"/>
                <w:sz w:val="24"/>
                <w:szCs w:val="24"/>
                <w:highlight w:val="none"/>
              </w:rPr>
            </w:pPr>
          </w:p>
        </w:tc>
        <w:tc>
          <w:tcPr>
            <w:tcW w:w="491" w:type="dxa"/>
            <w:vMerge w:val="continue"/>
            <w:noWrap w:val="0"/>
            <w:vAlign w:val="center"/>
          </w:tcPr>
          <w:p w14:paraId="516E01E0">
            <w:pPr>
              <w:widowControl/>
              <w:jc w:val="left"/>
              <w:rPr>
                <w:rFonts w:ascii="宋体" w:hAnsi="宋体" w:eastAsia="宋体" w:cs="宋体"/>
                <w:color w:val="auto"/>
                <w:kern w:val="0"/>
                <w:sz w:val="24"/>
                <w:szCs w:val="24"/>
                <w:highlight w:val="none"/>
              </w:rPr>
            </w:pPr>
          </w:p>
        </w:tc>
        <w:tc>
          <w:tcPr>
            <w:tcW w:w="1188" w:type="dxa"/>
            <w:vMerge w:val="continue"/>
            <w:noWrap w:val="0"/>
            <w:vAlign w:val="center"/>
          </w:tcPr>
          <w:p w14:paraId="48DEA11D">
            <w:pPr>
              <w:widowControl/>
              <w:jc w:val="left"/>
              <w:rPr>
                <w:rFonts w:ascii="宋体" w:hAnsi="宋体" w:eastAsia="宋体" w:cs="宋体"/>
                <w:color w:val="auto"/>
                <w:kern w:val="0"/>
                <w:sz w:val="24"/>
                <w:szCs w:val="24"/>
                <w:highlight w:val="none"/>
              </w:rPr>
            </w:pPr>
          </w:p>
        </w:tc>
        <w:tc>
          <w:tcPr>
            <w:tcW w:w="9269" w:type="dxa"/>
            <w:gridSpan w:val="2"/>
            <w:noWrap w:val="0"/>
            <w:vAlign w:val="center"/>
          </w:tcPr>
          <w:p w14:paraId="6498C741">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不同投标人的投标文件载明的项目管理成员为同一人；</w:t>
            </w:r>
          </w:p>
        </w:tc>
        <w:tc>
          <w:tcPr>
            <w:tcW w:w="908" w:type="dxa"/>
            <w:noWrap w:val="0"/>
            <w:vAlign w:val="center"/>
          </w:tcPr>
          <w:p w14:paraId="30662AB1">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815" w:type="dxa"/>
            <w:vMerge w:val="continue"/>
            <w:noWrap w:val="0"/>
            <w:vAlign w:val="center"/>
          </w:tcPr>
          <w:p w14:paraId="1B0EBEE9">
            <w:pPr>
              <w:widowControl/>
              <w:jc w:val="left"/>
              <w:rPr>
                <w:rFonts w:ascii="宋体" w:hAnsi="宋体" w:eastAsia="宋体" w:cs="宋体"/>
                <w:color w:val="auto"/>
                <w:kern w:val="0"/>
                <w:sz w:val="24"/>
                <w:szCs w:val="24"/>
                <w:highlight w:val="none"/>
              </w:rPr>
            </w:pPr>
          </w:p>
        </w:tc>
      </w:tr>
      <w:tr w14:paraId="38ED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continue"/>
            <w:noWrap w:val="0"/>
            <w:vAlign w:val="center"/>
          </w:tcPr>
          <w:p w14:paraId="5938FD58">
            <w:pPr>
              <w:widowControl/>
              <w:jc w:val="left"/>
              <w:rPr>
                <w:rFonts w:ascii="宋体" w:hAnsi="宋体" w:eastAsia="宋体" w:cs="宋体"/>
                <w:color w:val="auto"/>
                <w:kern w:val="0"/>
                <w:sz w:val="24"/>
                <w:szCs w:val="24"/>
                <w:highlight w:val="none"/>
              </w:rPr>
            </w:pPr>
          </w:p>
        </w:tc>
        <w:tc>
          <w:tcPr>
            <w:tcW w:w="491" w:type="dxa"/>
            <w:vMerge w:val="continue"/>
            <w:noWrap w:val="0"/>
            <w:vAlign w:val="center"/>
          </w:tcPr>
          <w:p w14:paraId="78828FBC">
            <w:pPr>
              <w:widowControl/>
              <w:jc w:val="left"/>
              <w:rPr>
                <w:rFonts w:ascii="宋体" w:hAnsi="宋体" w:eastAsia="宋体" w:cs="宋体"/>
                <w:color w:val="auto"/>
                <w:kern w:val="0"/>
                <w:sz w:val="24"/>
                <w:szCs w:val="24"/>
                <w:highlight w:val="none"/>
              </w:rPr>
            </w:pPr>
          </w:p>
        </w:tc>
        <w:tc>
          <w:tcPr>
            <w:tcW w:w="1188" w:type="dxa"/>
            <w:vMerge w:val="continue"/>
            <w:noWrap w:val="0"/>
            <w:vAlign w:val="center"/>
          </w:tcPr>
          <w:p w14:paraId="2A9E0871">
            <w:pPr>
              <w:widowControl/>
              <w:jc w:val="left"/>
              <w:rPr>
                <w:rFonts w:ascii="宋体" w:hAnsi="宋体" w:eastAsia="宋体" w:cs="宋体"/>
                <w:color w:val="auto"/>
                <w:kern w:val="0"/>
                <w:sz w:val="24"/>
                <w:szCs w:val="24"/>
                <w:highlight w:val="none"/>
              </w:rPr>
            </w:pPr>
          </w:p>
        </w:tc>
        <w:tc>
          <w:tcPr>
            <w:tcW w:w="9269" w:type="dxa"/>
            <w:gridSpan w:val="2"/>
            <w:noWrap w:val="0"/>
            <w:vAlign w:val="center"/>
          </w:tcPr>
          <w:p w14:paraId="21DA3DEF">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不同投标人的投标文件异常一致或者投标报价呈规律性差异；</w:t>
            </w:r>
          </w:p>
        </w:tc>
        <w:tc>
          <w:tcPr>
            <w:tcW w:w="908" w:type="dxa"/>
            <w:noWrap w:val="0"/>
            <w:vAlign w:val="center"/>
          </w:tcPr>
          <w:p w14:paraId="63F22653">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815" w:type="dxa"/>
            <w:vMerge w:val="continue"/>
            <w:noWrap w:val="0"/>
            <w:vAlign w:val="center"/>
          </w:tcPr>
          <w:p w14:paraId="7AEC9668">
            <w:pPr>
              <w:widowControl/>
              <w:jc w:val="left"/>
              <w:rPr>
                <w:rFonts w:ascii="宋体" w:hAnsi="宋体" w:eastAsia="宋体" w:cs="宋体"/>
                <w:color w:val="auto"/>
                <w:kern w:val="0"/>
                <w:sz w:val="24"/>
                <w:szCs w:val="24"/>
                <w:highlight w:val="none"/>
              </w:rPr>
            </w:pPr>
          </w:p>
        </w:tc>
      </w:tr>
      <w:tr w14:paraId="4F7A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continue"/>
            <w:noWrap w:val="0"/>
            <w:vAlign w:val="center"/>
          </w:tcPr>
          <w:p w14:paraId="1BA69FEA">
            <w:pPr>
              <w:widowControl/>
              <w:jc w:val="left"/>
              <w:rPr>
                <w:rFonts w:ascii="宋体" w:hAnsi="宋体" w:eastAsia="宋体" w:cs="宋体"/>
                <w:color w:val="auto"/>
                <w:kern w:val="0"/>
                <w:sz w:val="24"/>
                <w:szCs w:val="24"/>
                <w:highlight w:val="none"/>
              </w:rPr>
            </w:pPr>
          </w:p>
        </w:tc>
        <w:tc>
          <w:tcPr>
            <w:tcW w:w="491" w:type="dxa"/>
            <w:vMerge w:val="continue"/>
            <w:noWrap w:val="0"/>
            <w:vAlign w:val="center"/>
          </w:tcPr>
          <w:p w14:paraId="1D245277">
            <w:pPr>
              <w:widowControl/>
              <w:jc w:val="left"/>
              <w:rPr>
                <w:rFonts w:ascii="宋体" w:hAnsi="宋体" w:eastAsia="宋体" w:cs="宋体"/>
                <w:color w:val="auto"/>
                <w:kern w:val="0"/>
                <w:sz w:val="24"/>
                <w:szCs w:val="24"/>
                <w:highlight w:val="none"/>
              </w:rPr>
            </w:pPr>
          </w:p>
        </w:tc>
        <w:tc>
          <w:tcPr>
            <w:tcW w:w="1188" w:type="dxa"/>
            <w:vMerge w:val="continue"/>
            <w:noWrap w:val="0"/>
            <w:vAlign w:val="center"/>
          </w:tcPr>
          <w:p w14:paraId="4145B609">
            <w:pPr>
              <w:widowControl/>
              <w:jc w:val="left"/>
              <w:rPr>
                <w:rFonts w:ascii="宋体" w:hAnsi="宋体" w:eastAsia="宋体" w:cs="宋体"/>
                <w:color w:val="auto"/>
                <w:kern w:val="0"/>
                <w:sz w:val="24"/>
                <w:szCs w:val="24"/>
                <w:highlight w:val="none"/>
              </w:rPr>
            </w:pPr>
          </w:p>
        </w:tc>
        <w:tc>
          <w:tcPr>
            <w:tcW w:w="9269" w:type="dxa"/>
            <w:gridSpan w:val="2"/>
            <w:noWrap w:val="0"/>
            <w:vAlign w:val="center"/>
          </w:tcPr>
          <w:p w14:paraId="4B3EC98C">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不同投标人的投标文件相互混装； </w:t>
            </w:r>
          </w:p>
        </w:tc>
        <w:tc>
          <w:tcPr>
            <w:tcW w:w="908" w:type="dxa"/>
            <w:noWrap w:val="0"/>
            <w:vAlign w:val="center"/>
          </w:tcPr>
          <w:p w14:paraId="5C153D14">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815" w:type="dxa"/>
            <w:vMerge w:val="continue"/>
            <w:noWrap w:val="0"/>
            <w:vAlign w:val="center"/>
          </w:tcPr>
          <w:p w14:paraId="6FD32757">
            <w:pPr>
              <w:widowControl/>
              <w:jc w:val="left"/>
              <w:rPr>
                <w:rFonts w:ascii="宋体" w:hAnsi="宋体" w:eastAsia="宋体" w:cs="宋体"/>
                <w:color w:val="auto"/>
                <w:kern w:val="0"/>
                <w:sz w:val="24"/>
                <w:szCs w:val="24"/>
                <w:highlight w:val="none"/>
              </w:rPr>
            </w:pPr>
          </w:p>
        </w:tc>
      </w:tr>
      <w:tr w14:paraId="2B1E2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continue"/>
            <w:noWrap w:val="0"/>
            <w:vAlign w:val="center"/>
          </w:tcPr>
          <w:p w14:paraId="64013E51">
            <w:pPr>
              <w:widowControl/>
              <w:jc w:val="left"/>
              <w:rPr>
                <w:rFonts w:ascii="宋体" w:hAnsi="宋体" w:eastAsia="宋体" w:cs="宋体"/>
                <w:color w:val="auto"/>
                <w:kern w:val="0"/>
                <w:sz w:val="24"/>
                <w:szCs w:val="24"/>
                <w:highlight w:val="none"/>
              </w:rPr>
            </w:pPr>
          </w:p>
        </w:tc>
        <w:tc>
          <w:tcPr>
            <w:tcW w:w="491" w:type="dxa"/>
            <w:vMerge w:val="continue"/>
            <w:noWrap w:val="0"/>
            <w:vAlign w:val="center"/>
          </w:tcPr>
          <w:p w14:paraId="23557FA4">
            <w:pPr>
              <w:widowControl/>
              <w:jc w:val="left"/>
              <w:rPr>
                <w:rFonts w:ascii="宋体" w:hAnsi="宋体" w:eastAsia="宋体" w:cs="宋体"/>
                <w:color w:val="auto"/>
                <w:kern w:val="0"/>
                <w:sz w:val="24"/>
                <w:szCs w:val="24"/>
                <w:highlight w:val="none"/>
              </w:rPr>
            </w:pPr>
          </w:p>
        </w:tc>
        <w:tc>
          <w:tcPr>
            <w:tcW w:w="1188" w:type="dxa"/>
            <w:vMerge w:val="continue"/>
            <w:noWrap w:val="0"/>
            <w:vAlign w:val="center"/>
          </w:tcPr>
          <w:p w14:paraId="75C80F34">
            <w:pPr>
              <w:widowControl/>
              <w:jc w:val="left"/>
              <w:rPr>
                <w:rFonts w:ascii="宋体" w:hAnsi="宋体" w:eastAsia="宋体" w:cs="宋体"/>
                <w:color w:val="auto"/>
                <w:kern w:val="0"/>
                <w:sz w:val="24"/>
                <w:szCs w:val="24"/>
                <w:highlight w:val="none"/>
              </w:rPr>
            </w:pPr>
          </w:p>
        </w:tc>
        <w:tc>
          <w:tcPr>
            <w:tcW w:w="9269" w:type="dxa"/>
            <w:gridSpan w:val="2"/>
            <w:tcBorders>
              <w:bottom w:val="single" w:color="auto" w:sz="4" w:space="0"/>
            </w:tcBorders>
            <w:noWrap w:val="0"/>
            <w:vAlign w:val="center"/>
          </w:tcPr>
          <w:p w14:paraId="6718618A">
            <w:pPr>
              <w:widowControl/>
              <w:jc w:val="left"/>
              <w:rPr>
                <w:rFonts w:ascii="宋体" w:hAnsi="宋体" w:eastAsia="宋体" w:cs="宋体"/>
                <w:color w:val="auto"/>
                <w:kern w:val="0"/>
                <w:sz w:val="24"/>
                <w:szCs w:val="24"/>
                <w:highlight w:val="none"/>
              </w:rPr>
            </w:pPr>
            <w:r>
              <w:rPr>
                <w:rFonts w:hint="eastAsia" w:ascii="宋体" w:hAnsi="宋体" w:eastAsia="宋体" w:cs="宋体"/>
                <w:strike/>
                <w:dstrike w:val="0"/>
                <w:color w:val="auto"/>
                <w:kern w:val="0"/>
                <w:sz w:val="24"/>
                <w:szCs w:val="24"/>
                <w:highlight w:val="none"/>
              </w:rPr>
              <w:t xml:space="preserve">不同投标人的投标保证金从同一单位或者个人的账户转出； </w:t>
            </w:r>
          </w:p>
        </w:tc>
        <w:tc>
          <w:tcPr>
            <w:tcW w:w="908" w:type="dxa"/>
            <w:noWrap w:val="0"/>
            <w:vAlign w:val="center"/>
          </w:tcPr>
          <w:p w14:paraId="66471B88">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815" w:type="dxa"/>
            <w:vMerge w:val="continue"/>
            <w:noWrap w:val="0"/>
            <w:vAlign w:val="center"/>
          </w:tcPr>
          <w:p w14:paraId="4C86D3B9">
            <w:pPr>
              <w:widowControl/>
              <w:jc w:val="left"/>
              <w:rPr>
                <w:rFonts w:ascii="宋体" w:hAnsi="宋体" w:eastAsia="宋体" w:cs="宋体"/>
                <w:color w:val="auto"/>
                <w:kern w:val="0"/>
                <w:sz w:val="24"/>
                <w:szCs w:val="24"/>
                <w:highlight w:val="none"/>
              </w:rPr>
            </w:pPr>
          </w:p>
        </w:tc>
      </w:tr>
      <w:tr w14:paraId="19A2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continue"/>
            <w:noWrap w:val="0"/>
            <w:vAlign w:val="center"/>
          </w:tcPr>
          <w:p w14:paraId="3DAE6B8C">
            <w:pPr>
              <w:widowControl/>
              <w:jc w:val="left"/>
              <w:rPr>
                <w:rFonts w:ascii="宋体" w:hAnsi="宋体" w:eastAsia="宋体" w:cs="宋体"/>
                <w:color w:val="auto"/>
                <w:kern w:val="0"/>
                <w:sz w:val="24"/>
                <w:szCs w:val="24"/>
                <w:highlight w:val="none"/>
              </w:rPr>
            </w:pPr>
          </w:p>
        </w:tc>
        <w:tc>
          <w:tcPr>
            <w:tcW w:w="491" w:type="dxa"/>
            <w:vMerge w:val="continue"/>
            <w:noWrap w:val="0"/>
            <w:vAlign w:val="center"/>
          </w:tcPr>
          <w:p w14:paraId="654447B1">
            <w:pPr>
              <w:widowControl/>
              <w:jc w:val="left"/>
              <w:rPr>
                <w:rFonts w:ascii="宋体" w:hAnsi="宋体" w:eastAsia="宋体" w:cs="宋体"/>
                <w:color w:val="auto"/>
                <w:kern w:val="0"/>
                <w:sz w:val="24"/>
                <w:szCs w:val="24"/>
                <w:highlight w:val="none"/>
              </w:rPr>
            </w:pPr>
          </w:p>
        </w:tc>
        <w:tc>
          <w:tcPr>
            <w:tcW w:w="1188" w:type="dxa"/>
            <w:vMerge w:val="continue"/>
            <w:noWrap w:val="0"/>
            <w:vAlign w:val="center"/>
          </w:tcPr>
          <w:p w14:paraId="38D3C176">
            <w:pPr>
              <w:widowControl/>
              <w:jc w:val="left"/>
              <w:rPr>
                <w:rFonts w:ascii="宋体" w:hAnsi="宋体" w:eastAsia="宋体" w:cs="宋体"/>
                <w:color w:val="auto"/>
                <w:kern w:val="0"/>
                <w:sz w:val="24"/>
                <w:szCs w:val="24"/>
                <w:highlight w:val="none"/>
              </w:rPr>
            </w:pPr>
          </w:p>
        </w:tc>
        <w:tc>
          <w:tcPr>
            <w:tcW w:w="9269" w:type="dxa"/>
            <w:gridSpan w:val="2"/>
            <w:noWrap w:val="0"/>
            <w:vAlign w:val="center"/>
          </w:tcPr>
          <w:p w14:paraId="1A53055B">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不同投标人的投标报价中分部分项工程量清单综合单价相似度达到80%及以上的；</w:t>
            </w:r>
          </w:p>
        </w:tc>
        <w:tc>
          <w:tcPr>
            <w:tcW w:w="908" w:type="dxa"/>
            <w:noWrap w:val="0"/>
            <w:vAlign w:val="center"/>
          </w:tcPr>
          <w:p w14:paraId="399EA938">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815" w:type="dxa"/>
            <w:vMerge w:val="continue"/>
            <w:noWrap w:val="0"/>
            <w:vAlign w:val="center"/>
          </w:tcPr>
          <w:p w14:paraId="1F72A632">
            <w:pPr>
              <w:widowControl/>
              <w:jc w:val="left"/>
              <w:rPr>
                <w:rFonts w:ascii="宋体" w:hAnsi="宋体" w:eastAsia="宋体" w:cs="宋体"/>
                <w:color w:val="auto"/>
                <w:kern w:val="0"/>
                <w:sz w:val="24"/>
                <w:szCs w:val="24"/>
                <w:highlight w:val="none"/>
              </w:rPr>
            </w:pPr>
          </w:p>
        </w:tc>
      </w:tr>
      <w:tr w14:paraId="627F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continue"/>
            <w:noWrap w:val="0"/>
            <w:vAlign w:val="center"/>
          </w:tcPr>
          <w:p w14:paraId="3ADF0AD9">
            <w:pPr>
              <w:widowControl/>
              <w:jc w:val="left"/>
              <w:rPr>
                <w:rFonts w:ascii="宋体" w:hAnsi="宋体" w:eastAsia="宋体" w:cs="宋体"/>
                <w:color w:val="auto"/>
                <w:kern w:val="0"/>
                <w:sz w:val="24"/>
                <w:szCs w:val="24"/>
                <w:highlight w:val="none"/>
              </w:rPr>
            </w:pPr>
          </w:p>
        </w:tc>
        <w:tc>
          <w:tcPr>
            <w:tcW w:w="491" w:type="dxa"/>
            <w:vMerge w:val="continue"/>
            <w:noWrap w:val="0"/>
            <w:vAlign w:val="center"/>
          </w:tcPr>
          <w:p w14:paraId="40BE261E">
            <w:pPr>
              <w:widowControl/>
              <w:jc w:val="left"/>
              <w:rPr>
                <w:rFonts w:ascii="宋体" w:hAnsi="宋体" w:eastAsia="宋体" w:cs="宋体"/>
                <w:color w:val="auto"/>
                <w:kern w:val="0"/>
                <w:sz w:val="24"/>
                <w:szCs w:val="24"/>
                <w:highlight w:val="none"/>
              </w:rPr>
            </w:pPr>
          </w:p>
        </w:tc>
        <w:tc>
          <w:tcPr>
            <w:tcW w:w="1188" w:type="dxa"/>
            <w:vMerge w:val="continue"/>
            <w:noWrap w:val="0"/>
            <w:vAlign w:val="center"/>
          </w:tcPr>
          <w:p w14:paraId="3EEA24B4">
            <w:pPr>
              <w:widowControl/>
              <w:jc w:val="left"/>
              <w:rPr>
                <w:rFonts w:ascii="宋体" w:hAnsi="宋体" w:eastAsia="宋体" w:cs="宋体"/>
                <w:color w:val="auto"/>
                <w:kern w:val="0"/>
                <w:sz w:val="24"/>
                <w:szCs w:val="24"/>
                <w:highlight w:val="none"/>
              </w:rPr>
            </w:pPr>
          </w:p>
        </w:tc>
        <w:tc>
          <w:tcPr>
            <w:tcW w:w="9269" w:type="dxa"/>
            <w:gridSpan w:val="2"/>
            <w:noWrap w:val="0"/>
            <w:vAlign w:val="center"/>
          </w:tcPr>
          <w:p w14:paraId="3989E44D">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不同投标人加密打包投标文件的电脑机器特征码相同的。 </w:t>
            </w:r>
          </w:p>
        </w:tc>
        <w:tc>
          <w:tcPr>
            <w:tcW w:w="908" w:type="dxa"/>
            <w:noWrap w:val="0"/>
            <w:vAlign w:val="center"/>
          </w:tcPr>
          <w:p w14:paraId="216A3D45">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815" w:type="dxa"/>
            <w:vMerge w:val="continue"/>
            <w:noWrap w:val="0"/>
            <w:vAlign w:val="center"/>
          </w:tcPr>
          <w:p w14:paraId="79AFB559">
            <w:pPr>
              <w:widowControl/>
              <w:jc w:val="left"/>
              <w:rPr>
                <w:rFonts w:ascii="宋体" w:hAnsi="宋体" w:eastAsia="宋体" w:cs="宋体"/>
                <w:color w:val="auto"/>
                <w:kern w:val="0"/>
                <w:sz w:val="24"/>
                <w:szCs w:val="24"/>
                <w:highlight w:val="none"/>
              </w:rPr>
            </w:pPr>
          </w:p>
        </w:tc>
      </w:tr>
      <w:tr w14:paraId="16E0D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continue"/>
            <w:noWrap w:val="0"/>
            <w:vAlign w:val="center"/>
          </w:tcPr>
          <w:p w14:paraId="5D9595F8">
            <w:pPr>
              <w:widowControl/>
              <w:jc w:val="left"/>
              <w:rPr>
                <w:rFonts w:ascii="宋体" w:hAnsi="宋体" w:eastAsia="宋体" w:cs="宋体"/>
                <w:color w:val="auto"/>
                <w:kern w:val="0"/>
                <w:sz w:val="24"/>
                <w:szCs w:val="24"/>
                <w:highlight w:val="none"/>
              </w:rPr>
            </w:pPr>
          </w:p>
        </w:tc>
        <w:tc>
          <w:tcPr>
            <w:tcW w:w="491" w:type="dxa"/>
            <w:vMerge w:val="restart"/>
            <w:noWrap w:val="0"/>
            <w:vAlign w:val="center"/>
          </w:tcPr>
          <w:p w14:paraId="56A05980">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188" w:type="dxa"/>
            <w:vMerge w:val="restart"/>
            <w:noWrap w:val="0"/>
            <w:vAlign w:val="center"/>
          </w:tcPr>
          <w:p w14:paraId="5C3304AC">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澄清</w:t>
            </w:r>
          </w:p>
          <w:p w14:paraId="300842DA">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核查</w:t>
            </w:r>
          </w:p>
        </w:tc>
        <w:tc>
          <w:tcPr>
            <w:tcW w:w="10177" w:type="dxa"/>
            <w:gridSpan w:val="3"/>
            <w:noWrap w:val="0"/>
            <w:vAlign w:val="center"/>
          </w:tcPr>
          <w:p w14:paraId="041BDA81">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无澄清 □</w:t>
            </w:r>
          </w:p>
        </w:tc>
        <w:tc>
          <w:tcPr>
            <w:tcW w:w="1815" w:type="dxa"/>
            <w:vMerge w:val="restart"/>
            <w:noWrap w:val="0"/>
            <w:vAlign w:val="bottom"/>
          </w:tcPr>
          <w:p w14:paraId="30F6E230">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4D0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continue"/>
            <w:noWrap w:val="0"/>
            <w:vAlign w:val="center"/>
          </w:tcPr>
          <w:p w14:paraId="3EF293C0">
            <w:pPr>
              <w:widowControl/>
              <w:jc w:val="left"/>
              <w:rPr>
                <w:rFonts w:ascii="宋体" w:hAnsi="宋体" w:eastAsia="宋体" w:cs="宋体"/>
                <w:color w:val="auto"/>
                <w:kern w:val="0"/>
                <w:sz w:val="24"/>
                <w:szCs w:val="24"/>
                <w:highlight w:val="none"/>
              </w:rPr>
            </w:pPr>
          </w:p>
        </w:tc>
        <w:tc>
          <w:tcPr>
            <w:tcW w:w="491" w:type="dxa"/>
            <w:vMerge w:val="continue"/>
            <w:noWrap w:val="0"/>
            <w:vAlign w:val="center"/>
          </w:tcPr>
          <w:p w14:paraId="46889339">
            <w:pPr>
              <w:widowControl/>
              <w:jc w:val="center"/>
              <w:rPr>
                <w:rFonts w:hint="eastAsia" w:ascii="宋体" w:hAnsi="宋体" w:eastAsia="宋体" w:cs="宋体"/>
                <w:color w:val="auto"/>
                <w:kern w:val="0"/>
                <w:sz w:val="24"/>
                <w:szCs w:val="24"/>
                <w:highlight w:val="none"/>
              </w:rPr>
            </w:pPr>
          </w:p>
        </w:tc>
        <w:tc>
          <w:tcPr>
            <w:tcW w:w="1188" w:type="dxa"/>
            <w:vMerge w:val="continue"/>
            <w:noWrap w:val="0"/>
            <w:vAlign w:val="center"/>
          </w:tcPr>
          <w:p w14:paraId="0CC351BE">
            <w:pPr>
              <w:widowControl/>
              <w:jc w:val="center"/>
              <w:rPr>
                <w:rFonts w:hint="eastAsia" w:ascii="宋体" w:hAnsi="宋体" w:eastAsia="宋体" w:cs="宋体"/>
                <w:color w:val="auto"/>
                <w:kern w:val="0"/>
                <w:sz w:val="24"/>
                <w:szCs w:val="24"/>
                <w:highlight w:val="none"/>
              </w:rPr>
            </w:pPr>
          </w:p>
        </w:tc>
        <w:tc>
          <w:tcPr>
            <w:tcW w:w="1716" w:type="dxa"/>
            <w:vMerge w:val="restart"/>
            <w:noWrap w:val="0"/>
            <w:vAlign w:val="center"/>
          </w:tcPr>
          <w:p w14:paraId="2D84C5F5">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有澄清 □</w:t>
            </w:r>
          </w:p>
        </w:tc>
        <w:tc>
          <w:tcPr>
            <w:tcW w:w="8461" w:type="dxa"/>
            <w:gridSpan w:val="2"/>
            <w:noWrap w:val="0"/>
            <w:vAlign w:val="center"/>
          </w:tcPr>
          <w:p w14:paraId="4AE2D12E">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澄清</w:t>
            </w:r>
            <w:r>
              <w:rPr>
                <w:rFonts w:hint="eastAsia" w:ascii="宋体" w:hAnsi="宋体" w:eastAsia="宋体" w:cs="宋体"/>
                <w:b/>
                <w:color w:val="auto"/>
                <w:kern w:val="0"/>
                <w:sz w:val="24"/>
                <w:szCs w:val="24"/>
                <w:highlight w:val="none"/>
              </w:rPr>
              <w:t>合理</w:t>
            </w:r>
            <w:r>
              <w:rPr>
                <w:rFonts w:hint="eastAsia" w:ascii="宋体" w:hAnsi="宋体" w:eastAsia="宋体" w:cs="宋体"/>
                <w:color w:val="auto"/>
                <w:kern w:val="0"/>
                <w:sz w:val="24"/>
                <w:szCs w:val="24"/>
                <w:highlight w:val="none"/>
              </w:rPr>
              <w:t xml:space="preserve">    □</w:t>
            </w:r>
          </w:p>
        </w:tc>
        <w:tc>
          <w:tcPr>
            <w:tcW w:w="1815" w:type="dxa"/>
            <w:vMerge w:val="continue"/>
            <w:noWrap w:val="0"/>
            <w:vAlign w:val="bottom"/>
          </w:tcPr>
          <w:p w14:paraId="3CDB0047">
            <w:pPr>
              <w:widowControl/>
              <w:jc w:val="center"/>
              <w:rPr>
                <w:rFonts w:hint="eastAsia" w:ascii="宋体" w:hAnsi="宋体" w:eastAsia="宋体" w:cs="宋体"/>
                <w:color w:val="auto"/>
                <w:kern w:val="0"/>
                <w:sz w:val="24"/>
                <w:szCs w:val="24"/>
                <w:highlight w:val="none"/>
              </w:rPr>
            </w:pPr>
          </w:p>
        </w:tc>
      </w:tr>
      <w:tr w14:paraId="2654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continue"/>
            <w:noWrap w:val="0"/>
            <w:vAlign w:val="center"/>
          </w:tcPr>
          <w:p w14:paraId="310FDBD2">
            <w:pPr>
              <w:widowControl/>
              <w:jc w:val="left"/>
              <w:rPr>
                <w:rFonts w:ascii="宋体" w:hAnsi="宋体" w:eastAsia="宋体" w:cs="宋体"/>
                <w:color w:val="auto"/>
                <w:kern w:val="0"/>
                <w:sz w:val="24"/>
                <w:szCs w:val="24"/>
                <w:highlight w:val="none"/>
              </w:rPr>
            </w:pPr>
          </w:p>
        </w:tc>
        <w:tc>
          <w:tcPr>
            <w:tcW w:w="491" w:type="dxa"/>
            <w:vMerge w:val="continue"/>
            <w:noWrap w:val="0"/>
            <w:vAlign w:val="center"/>
          </w:tcPr>
          <w:p w14:paraId="0777FFFA">
            <w:pPr>
              <w:widowControl/>
              <w:jc w:val="center"/>
              <w:rPr>
                <w:rFonts w:hint="eastAsia" w:ascii="宋体" w:hAnsi="宋体" w:eastAsia="宋体" w:cs="宋体"/>
                <w:color w:val="auto"/>
                <w:kern w:val="0"/>
                <w:sz w:val="24"/>
                <w:szCs w:val="24"/>
                <w:highlight w:val="none"/>
              </w:rPr>
            </w:pPr>
          </w:p>
        </w:tc>
        <w:tc>
          <w:tcPr>
            <w:tcW w:w="1188" w:type="dxa"/>
            <w:vMerge w:val="continue"/>
            <w:noWrap w:val="0"/>
            <w:vAlign w:val="center"/>
          </w:tcPr>
          <w:p w14:paraId="2F111988">
            <w:pPr>
              <w:widowControl/>
              <w:jc w:val="center"/>
              <w:rPr>
                <w:rFonts w:hint="eastAsia" w:ascii="宋体" w:hAnsi="宋体" w:eastAsia="宋体" w:cs="宋体"/>
                <w:color w:val="auto"/>
                <w:kern w:val="0"/>
                <w:sz w:val="24"/>
                <w:szCs w:val="24"/>
                <w:highlight w:val="none"/>
              </w:rPr>
            </w:pPr>
          </w:p>
        </w:tc>
        <w:tc>
          <w:tcPr>
            <w:tcW w:w="1716" w:type="dxa"/>
            <w:vMerge w:val="continue"/>
            <w:noWrap w:val="0"/>
            <w:vAlign w:val="center"/>
          </w:tcPr>
          <w:p w14:paraId="50A504D4">
            <w:pPr>
              <w:widowControl/>
              <w:rPr>
                <w:rFonts w:hint="eastAsia" w:ascii="宋体" w:hAnsi="宋体" w:eastAsia="宋体" w:cs="宋体"/>
                <w:color w:val="auto"/>
                <w:kern w:val="0"/>
                <w:sz w:val="24"/>
                <w:szCs w:val="24"/>
                <w:highlight w:val="none"/>
              </w:rPr>
            </w:pPr>
          </w:p>
        </w:tc>
        <w:tc>
          <w:tcPr>
            <w:tcW w:w="8461" w:type="dxa"/>
            <w:gridSpan w:val="2"/>
            <w:noWrap w:val="0"/>
            <w:vAlign w:val="center"/>
          </w:tcPr>
          <w:p w14:paraId="7A0A48ED">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澄清</w:t>
            </w:r>
            <w:r>
              <w:rPr>
                <w:rFonts w:hint="eastAsia" w:ascii="宋体" w:hAnsi="宋体" w:eastAsia="宋体" w:cs="宋体"/>
                <w:b/>
                <w:color w:val="auto"/>
                <w:kern w:val="0"/>
                <w:sz w:val="24"/>
                <w:szCs w:val="24"/>
                <w:highlight w:val="none"/>
              </w:rPr>
              <w:t>不合理</w:t>
            </w:r>
            <w:r>
              <w:rPr>
                <w:rFonts w:hint="eastAsia" w:ascii="宋体" w:hAnsi="宋体" w:eastAsia="宋体" w:cs="宋体"/>
                <w:color w:val="auto"/>
                <w:kern w:val="0"/>
                <w:sz w:val="24"/>
                <w:szCs w:val="24"/>
                <w:highlight w:val="none"/>
              </w:rPr>
              <w:t xml:space="preserve">  □</w:t>
            </w:r>
          </w:p>
        </w:tc>
        <w:tc>
          <w:tcPr>
            <w:tcW w:w="1815" w:type="dxa"/>
            <w:vMerge w:val="continue"/>
            <w:noWrap w:val="0"/>
            <w:vAlign w:val="bottom"/>
          </w:tcPr>
          <w:p w14:paraId="63073055">
            <w:pPr>
              <w:widowControl/>
              <w:jc w:val="center"/>
              <w:rPr>
                <w:rFonts w:hint="eastAsia" w:ascii="宋体" w:hAnsi="宋体" w:eastAsia="宋体" w:cs="宋体"/>
                <w:color w:val="auto"/>
                <w:kern w:val="0"/>
                <w:sz w:val="24"/>
                <w:szCs w:val="24"/>
                <w:highlight w:val="none"/>
              </w:rPr>
            </w:pPr>
          </w:p>
        </w:tc>
      </w:tr>
      <w:tr w14:paraId="7CAB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67" w:type="dxa"/>
            <w:vMerge w:val="continue"/>
            <w:tcBorders>
              <w:bottom w:val="single" w:color="auto" w:sz="4" w:space="0"/>
            </w:tcBorders>
            <w:noWrap w:val="0"/>
            <w:vAlign w:val="center"/>
          </w:tcPr>
          <w:p w14:paraId="3AA09EFE">
            <w:pPr>
              <w:widowControl/>
              <w:jc w:val="left"/>
              <w:rPr>
                <w:rFonts w:ascii="宋体" w:hAnsi="宋体" w:eastAsia="宋体" w:cs="宋体"/>
                <w:color w:val="auto"/>
                <w:kern w:val="0"/>
                <w:sz w:val="24"/>
                <w:szCs w:val="24"/>
                <w:highlight w:val="none"/>
              </w:rPr>
            </w:pPr>
          </w:p>
        </w:tc>
        <w:tc>
          <w:tcPr>
            <w:tcW w:w="491" w:type="dxa"/>
            <w:tcBorders>
              <w:bottom w:val="single" w:color="auto" w:sz="4" w:space="0"/>
            </w:tcBorders>
            <w:noWrap w:val="0"/>
            <w:vAlign w:val="center"/>
          </w:tcPr>
          <w:p w14:paraId="22C1DB1C">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188" w:type="dxa"/>
            <w:tcBorders>
              <w:bottom w:val="single" w:color="auto" w:sz="4" w:space="0"/>
            </w:tcBorders>
            <w:noWrap w:val="0"/>
            <w:vAlign w:val="center"/>
          </w:tcPr>
          <w:p w14:paraId="79C524BF">
            <w:pPr>
              <w:widowControl/>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认定</w:t>
            </w:r>
          </w:p>
        </w:tc>
        <w:tc>
          <w:tcPr>
            <w:tcW w:w="11992" w:type="dxa"/>
            <w:gridSpan w:val="4"/>
            <w:tcBorders>
              <w:bottom w:val="single" w:color="auto" w:sz="4" w:space="0"/>
            </w:tcBorders>
            <w:noWrap w:val="0"/>
            <w:vAlign w:val="center"/>
          </w:tcPr>
          <w:p w14:paraId="2A965E86">
            <w:pPr>
              <w:widowControl/>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串通投标 </w:t>
            </w:r>
            <w:r>
              <w:rPr>
                <w:rFonts w:hint="eastAsia" w:ascii="宋体" w:hAnsi="宋体" w:eastAsia="宋体" w:cs="宋体"/>
                <w:color w:val="auto"/>
                <w:kern w:val="0"/>
                <w:sz w:val="24"/>
                <w:szCs w:val="24"/>
                <w:highlight w:val="none"/>
              </w:rPr>
              <w:t xml:space="preserve">  </w:t>
            </w:r>
            <w:r>
              <w:rPr>
                <w:rFonts w:hint="eastAsia" w:ascii="宋体" w:hAnsi="宋体" w:eastAsia="宋体" w:cs="宋体"/>
                <w:b/>
                <w:bCs/>
                <w:color w:val="auto"/>
                <w:kern w:val="0"/>
                <w:sz w:val="24"/>
                <w:szCs w:val="24"/>
                <w:highlight w:val="none"/>
              </w:rPr>
              <w:t>是□    否□</w:t>
            </w:r>
          </w:p>
        </w:tc>
      </w:tr>
    </w:tbl>
    <w:p w14:paraId="2A54ABA7">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注：1.评标委员会应将证据、记录、澄清等相关依据文件保存完整；</w:t>
      </w:r>
    </w:p>
    <w:p w14:paraId="3A787109">
      <w:pPr>
        <w:widowControl/>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2.评标委员会按照少数服从多数的原则进行表决；</w:t>
      </w:r>
    </w:p>
    <w:p w14:paraId="4DB4C0E9">
      <w:pPr>
        <w:widowControl/>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3.评审工程量清单综合单价相似的仅限于投标人投标报价中分部分项工程量清单综合单价。</w:t>
      </w:r>
    </w:p>
    <w:p w14:paraId="0CDFFAE5">
      <w:pPr>
        <w:widowControl/>
        <w:jc w:val="left"/>
        <w:rPr>
          <w:rFonts w:hint="eastAsia" w:ascii="宋体" w:hAnsi="宋体" w:eastAsia="宋体" w:cs="宋体"/>
          <w:b/>
          <w:color w:val="auto"/>
          <w:kern w:val="0"/>
          <w:sz w:val="24"/>
          <w:szCs w:val="24"/>
          <w:highlight w:val="none"/>
        </w:rPr>
      </w:pPr>
    </w:p>
    <w:p w14:paraId="567267E2">
      <w:pPr>
        <w:widowControl/>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评标委员会签名：                                                                      日期：</w:t>
      </w:r>
    </w:p>
    <w:p w14:paraId="3D9DDD91">
      <w:pPr>
        <w:outlineLvl w:val="2"/>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br w:type="page"/>
      </w:r>
      <w:bookmarkStart w:id="250" w:name="_Toc15680"/>
    </w:p>
    <w:p w14:paraId="0786BFE9">
      <w:pPr>
        <w:outlineLvl w:val="2"/>
        <w:rPr>
          <w:rFonts w:ascii="宋体" w:hAnsi="宋体" w:eastAsia="宋体"/>
          <w:color w:val="auto"/>
          <w:sz w:val="24"/>
          <w:szCs w:val="24"/>
          <w:highlight w:val="none"/>
        </w:rPr>
      </w:pPr>
      <w:bookmarkStart w:id="251" w:name="_Toc29207"/>
      <w:bookmarkStart w:id="252" w:name="_Toc4279"/>
      <w:bookmarkStart w:id="253" w:name="_Toc28434"/>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7</w:t>
      </w:r>
      <w:r>
        <w:rPr>
          <w:rFonts w:hint="eastAsia" w:ascii="宋体" w:hAnsi="宋体" w:eastAsia="宋体"/>
          <w:color w:val="auto"/>
          <w:sz w:val="24"/>
          <w:szCs w:val="24"/>
          <w:highlight w:val="none"/>
        </w:rPr>
        <w:t>（适用于办法</w:t>
      </w:r>
      <w:r>
        <w:rPr>
          <w:rFonts w:hint="eastAsia" w:ascii="宋体" w:hAnsi="宋体" w:eastAsia="宋体"/>
          <w:color w:val="auto"/>
          <w:sz w:val="24"/>
          <w:szCs w:val="24"/>
          <w:highlight w:val="none"/>
          <w:lang w:eastAsia="zh-CN"/>
        </w:rPr>
        <w:t>一</w:t>
      </w:r>
      <w:r>
        <w:rPr>
          <w:rFonts w:hint="eastAsia" w:ascii="宋体" w:hAnsi="宋体" w:eastAsia="宋体"/>
          <w:color w:val="auto"/>
          <w:sz w:val="24"/>
          <w:szCs w:val="24"/>
          <w:highlight w:val="none"/>
        </w:rPr>
        <w:t>）</w:t>
      </w:r>
      <w:bookmarkEnd w:id="250"/>
      <w:bookmarkEnd w:id="251"/>
      <w:bookmarkEnd w:id="252"/>
      <w:bookmarkEnd w:id="253"/>
    </w:p>
    <w:p w14:paraId="1F018327">
      <w:pPr>
        <w:jc w:val="center"/>
        <w:rPr>
          <w:rFonts w:hint="eastAsia" w:ascii="宋体" w:hAnsi="宋体" w:eastAsia="宋体"/>
          <w:b/>
          <w:color w:val="auto"/>
          <w:sz w:val="36"/>
          <w:szCs w:val="36"/>
          <w:highlight w:val="none"/>
        </w:rPr>
      </w:pPr>
      <w:r>
        <w:rPr>
          <w:rFonts w:hint="eastAsia" w:ascii="宋体" w:hAnsi="宋体" w:eastAsia="宋体"/>
          <w:b/>
          <w:color w:val="auto"/>
          <w:sz w:val="32"/>
          <w:szCs w:val="32"/>
          <w:highlight w:val="none"/>
          <w:lang w:eastAsia="zh-CN"/>
        </w:rPr>
        <w:t>技术部分（施工组织方案）</w:t>
      </w:r>
      <w:r>
        <w:rPr>
          <w:rFonts w:hint="eastAsia" w:ascii="宋体" w:hAnsi="宋体" w:eastAsia="宋体"/>
          <w:b/>
          <w:color w:val="auto"/>
          <w:sz w:val="32"/>
          <w:szCs w:val="32"/>
          <w:highlight w:val="none"/>
        </w:rPr>
        <w:t>文件否决性条款审查表</w:t>
      </w:r>
    </w:p>
    <w:p w14:paraId="58BE56FA">
      <w:pPr>
        <w:tabs>
          <w:tab w:val="left" w:pos="720"/>
        </w:tabs>
        <w:snapToGrid w:val="0"/>
        <w:spacing w:line="360" w:lineRule="auto"/>
        <w:rPr>
          <w:rFonts w:hint="eastAsia" w:ascii="宋体" w:hAnsi="宋体" w:eastAsia="宋体"/>
          <w:bCs/>
          <w:color w:val="auto"/>
          <w:szCs w:val="21"/>
          <w:highlight w:val="none"/>
        </w:rPr>
      </w:pPr>
      <w:r>
        <w:rPr>
          <w:rFonts w:hint="eastAsia" w:ascii="宋体" w:hAnsi="宋体" w:eastAsia="宋体"/>
          <w:bCs/>
          <w:color w:val="auto"/>
          <w:szCs w:val="21"/>
          <w:highlight w:val="none"/>
        </w:rPr>
        <w:t>工程名称：</w:t>
      </w:r>
    </w:p>
    <w:tbl>
      <w:tblPr>
        <w:tblStyle w:val="29"/>
        <w:tblW w:w="14325" w:type="dxa"/>
        <w:tblInd w:w="3" w:type="dxa"/>
        <w:tblLayout w:type="fixed"/>
        <w:tblCellMar>
          <w:top w:w="0" w:type="dxa"/>
          <w:left w:w="108" w:type="dxa"/>
          <w:bottom w:w="0" w:type="dxa"/>
          <w:right w:w="108" w:type="dxa"/>
        </w:tblCellMar>
      </w:tblPr>
      <w:tblGrid>
        <w:gridCol w:w="656"/>
        <w:gridCol w:w="8269"/>
        <w:gridCol w:w="1080"/>
        <w:gridCol w:w="1080"/>
        <w:gridCol w:w="1080"/>
        <w:gridCol w:w="1080"/>
        <w:gridCol w:w="1080"/>
      </w:tblGrid>
      <w:tr w14:paraId="7F7662BB">
        <w:tblPrEx>
          <w:tblCellMar>
            <w:top w:w="0" w:type="dxa"/>
            <w:left w:w="108" w:type="dxa"/>
            <w:bottom w:w="0" w:type="dxa"/>
            <w:right w:w="108" w:type="dxa"/>
          </w:tblCellMar>
        </w:tblPrEx>
        <w:trPr>
          <w:trHeight w:val="441"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17C556DF">
            <w:pPr>
              <w:spacing w:line="240" w:lineRule="exact"/>
              <w:jc w:val="center"/>
              <w:rPr>
                <w:rFonts w:ascii="宋体" w:hAnsi="宋体" w:eastAsia="宋体"/>
                <w:color w:val="auto"/>
                <w:szCs w:val="21"/>
                <w:highlight w:val="none"/>
              </w:rPr>
            </w:pPr>
            <w:r>
              <w:rPr>
                <w:rFonts w:hint="eastAsia" w:ascii="宋体" w:hAnsi="宋体" w:eastAsia="宋体"/>
                <w:color w:val="auto"/>
                <w:szCs w:val="21"/>
                <w:highlight w:val="none"/>
              </w:rPr>
              <w:t>序号</w:t>
            </w:r>
          </w:p>
        </w:tc>
        <w:tc>
          <w:tcPr>
            <w:tcW w:w="8269"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14:paraId="247147A7">
            <w:pPr>
              <w:rPr>
                <w:rFonts w:hint="eastAsia" w:ascii="宋体" w:hAnsi="宋体" w:eastAsia="宋体"/>
                <w:color w:val="auto"/>
                <w:szCs w:val="21"/>
                <w:highlight w:val="none"/>
              </w:rPr>
            </w:pPr>
            <w:r>
              <w:rPr>
                <w:rFonts w:hint="eastAsia" w:ascii="宋体" w:hAnsi="宋体" w:eastAsia="宋体"/>
                <w:color w:val="auto"/>
                <w:szCs w:val="21"/>
                <w:highlight w:val="none"/>
              </w:rPr>
              <w:t xml:space="preserve">                                      投标人</w:t>
            </w:r>
          </w:p>
          <w:p w14:paraId="08D197AB">
            <w:pPr>
              <w:rPr>
                <w:rFonts w:ascii="宋体" w:hAnsi="宋体" w:eastAsia="宋体"/>
                <w:color w:val="auto"/>
                <w:szCs w:val="21"/>
                <w:highlight w:val="none"/>
              </w:rPr>
            </w:pPr>
            <w:r>
              <w:rPr>
                <w:rFonts w:hint="eastAsia" w:ascii="宋体" w:hAnsi="宋体" w:eastAsia="宋体"/>
                <w:color w:val="auto"/>
                <w:szCs w:val="21"/>
                <w:highlight w:val="none"/>
              </w:rPr>
              <w:t>评审内容</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4D99A487">
            <w:pPr>
              <w:rPr>
                <w:rFonts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B297C06">
            <w:pPr>
              <w:rPr>
                <w:rFonts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47983CF">
            <w:pPr>
              <w:rPr>
                <w:rFonts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5D60DB0">
            <w:pPr>
              <w:rPr>
                <w:rFonts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CCAF2BE">
            <w:pPr>
              <w:rPr>
                <w:rFonts w:ascii="宋体" w:hAnsi="宋体" w:eastAsia="宋体"/>
                <w:color w:val="auto"/>
                <w:szCs w:val="21"/>
                <w:highlight w:val="none"/>
              </w:rPr>
            </w:pPr>
          </w:p>
        </w:tc>
      </w:tr>
      <w:tr w14:paraId="7A38D2FC">
        <w:tblPrEx>
          <w:tblCellMar>
            <w:top w:w="0" w:type="dxa"/>
            <w:left w:w="108" w:type="dxa"/>
            <w:bottom w:w="0" w:type="dxa"/>
            <w:right w:w="108" w:type="dxa"/>
          </w:tblCellMar>
        </w:tblPrEx>
        <w:trPr>
          <w:trHeight w:val="312"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2FF10A11">
            <w:pPr>
              <w:jc w:val="center"/>
              <w:rPr>
                <w:rFonts w:hint="eastAsia" w:ascii="宋体" w:hAnsi="宋体" w:eastAsia="宋体"/>
                <w:color w:val="auto"/>
                <w:szCs w:val="21"/>
                <w:highlight w:val="none"/>
              </w:rPr>
            </w:pPr>
            <w:r>
              <w:rPr>
                <w:rFonts w:hint="eastAsia" w:ascii="宋体" w:hAnsi="宋体" w:eastAsia="宋体"/>
                <w:color w:val="auto"/>
                <w:szCs w:val="21"/>
                <w:highlight w:val="none"/>
              </w:rPr>
              <w:t>1</w:t>
            </w:r>
          </w:p>
        </w:tc>
        <w:tc>
          <w:tcPr>
            <w:tcW w:w="8269" w:type="dxa"/>
            <w:tcBorders>
              <w:top w:val="single" w:color="auto" w:sz="4" w:space="0"/>
              <w:left w:val="single" w:color="auto" w:sz="4" w:space="0"/>
              <w:bottom w:val="single" w:color="auto" w:sz="4" w:space="0"/>
              <w:right w:val="single" w:color="auto" w:sz="4" w:space="0"/>
            </w:tcBorders>
            <w:noWrap w:val="0"/>
            <w:vAlign w:val="center"/>
          </w:tcPr>
          <w:p w14:paraId="435235B3">
            <w:pPr>
              <w:spacing w:line="240" w:lineRule="exact"/>
              <w:rPr>
                <w:rFonts w:hint="eastAsia" w:ascii="宋体" w:hAnsi="宋体" w:eastAsia="宋体"/>
                <w:color w:val="auto"/>
                <w:szCs w:val="21"/>
                <w:highlight w:val="none"/>
              </w:rPr>
            </w:pPr>
            <w:r>
              <w:rPr>
                <w:rFonts w:hint="eastAsia" w:ascii="宋体" w:hAnsi="宋体" w:eastAsia="宋体"/>
                <w:color w:val="auto"/>
                <w:szCs w:val="21"/>
                <w:highlight w:val="none"/>
                <w:lang w:eastAsia="zh-CN"/>
              </w:rPr>
              <w:t>技术部分（施工组织方案）</w:t>
            </w:r>
            <w:r>
              <w:rPr>
                <w:rFonts w:hint="eastAsia" w:ascii="宋体" w:hAnsi="宋体" w:eastAsia="宋体"/>
                <w:color w:val="auto"/>
                <w:szCs w:val="21"/>
                <w:highlight w:val="none"/>
              </w:rPr>
              <w:t>有明显抄袭行为的；</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3B7D005">
            <w:pPr>
              <w:rPr>
                <w:rFonts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7C5011E">
            <w:pPr>
              <w:rPr>
                <w:rFonts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2A8DCC8">
            <w:pPr>
              <w:rPr>
                <w:rFonts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D972786">
            <w:pPr>
              <w:rPr>
                <w:rFonts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72E0D6F">
            <w:pPr>
              <w:rPr>
                <w:rFonts w:ascii="宋体" w:hAnsi="宋体" w:eastAsia="宋体"/>
                <w:color w:val="auto"/>
                <w:szCs w:val="21"/>
                <w:highlight w:val="none"/>
              </w:rPr>
            </w:pPr>
          </w:p>
        </w:tc>
      </w:tr>
      <w:tr w14:paraId="4DEAF6B1">
        <w:tblPrEx>
          <w:tblCellMar>
            <w:top w:w="0" w:type="dxa"/>
            <w:left w:w="108" w:type="dxa"/>
            <w:bottom w:w="0" w:type="dxa"/>
            <w:right w:w="108" w:type="dxa"/>
          </w:tblCellMar>
        </w:tblPrEx>
        <w:trPr>
          <w:trHeight w:val="312"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29FF84A4">
            <w:pPr>
              <w:jc w:val="center"/>
              <w:rPr>
                <w:rFonts w:hint="eastAsia" w:ascii="宋体" w:hAnsi="宋体" w:eastAsia="宋体"/>
                <w:color w:val="auto"/>
                <w:szCs w:val="21"/>
                <w:highlight w:val="none"/>
              </w:rPr>
            </w:pPr>
            <w:r>
              <w:rPr>
                <w:rFonts w:hint="eastAsia" w:ascii="宋体" w:hAnsi="宋体" w:eastAsia="宋体"/>
                <w:color w:val="auto"/>
                <w:szCs w:val="21"/>
                <w:highlight w:val="none"/>
              </w:rPr>
              <w:t>2</w:t>
            </w:r>
          </w:p>
        </w:tc>
        <w:tc>
          <w:tcPr>
            <w:tcW w:w="8269" w:type="dxa"/>
            <w:tcBorders>
              <w:top w:val="single" w:color="auto" w:sz="4" w:space="0"/>
              <w:left w:val="single" w:color="auto" w:sz="4" w:space="0"/>
              <w:bottom w:val="single" w:color="auto" w:sz="4" w:space="0"/>
              <w:right w:val="single" w:color="auto" w:sz="4" w:space="0"/>
            </w:tcBorders>
            <w:noWrap w:val="0"/>
            <w:vAlign w:val="center"/>
          </w:tcPr>
          <w:p w14:paraId="25D62B2E">
            <w:pPr>
              <w:spacing w:line="240" w:lineRule="exact"/>
              <w:rPr>
                <w:rFonts w:hint="eastAsia" w:ascii="宋体" w:hAnsi="宋体" w:eastAsia="宋体"/>
                <w:color w:val="auto"/>
                <w:szCs w:val="21"/>
                <w:highlight w:val="none"/>
              </w:rPr>
            </w:pPr>
            <w:r>
              <w:rPr>
                <w:rFonts w:hint="eastAsia" w:ascii="宋体" w:hAnsi="宋体" w:eastAsia="宋体"/>
                <w:color w:val="auto"/>
                <w:szCs w:val="21"/>
                <w:highlight w:val="none"/>
                <w:lang w:eastAsia="zh-CN"/>
              </w:rPr>
              <w:t>技术部分（施工组织方案）</w:t>
            </w:r>
            <w:r>
              <w:rPr>
                <w:rFonts w:hint="eastAsia" w:ascii="宋体" w:hAnsi="宋体" w:eastAsia="宋体"/>
                <w:color w:val="auto"/>
                <w:szCs w:val="21"/>
                <w:highlight w:val="none"/>
              </w:rPr>
              <w:t>侵犯他人著作权和特许权的；</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F920438">
            <w:pPr>
              <w:rPr>
                <w:rFonts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CA26F46">
            <w:pPr>
              <w:rPr>
                <w:rFonts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1E723ED">
            <w:pPr>
              <w:rPr>
                <w:rFonts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F541C22">
            <w:pPr>
              <w:rPr>
                <w:rFonts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B26C023">
            <w:pPr>
              <w:rPr>
                <w:rFonts w:ascii="宋体" w:hAnsi="宋体" w:eastAsia="宋体"/>
                <w:color w:val="auto"/>
                <w:szCs w:val="21"/>
                <w:highlight w:val="none"/>
              </w:rPr>
            </w:pPr>
          </w:p>
        </w:tc>
      </w:tr>
      <w:tr w14:paraId="3E1C2649">
        <w:tblPrEx>
          <w:tblCellMar>
            <w:top w:w="0" w:type="dxa"/>
            <w:left w:w="108" w:type="dxa"/>
            <w:bottom w:w="0" w:type="dxa"/>
            <w:right w:w="108" w:type="dxa"/>
          </w:tblCellMar>
        </w:tblPrEx>
        <w:trPr>
          <w:trHeight w:val="90"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5D962C71">
            <w:pPr>
              <w:jc w:val="center"/>
              <w:rPr>
                <w:rFonts w:hint="eastAsia" w:ascii="宋体" w:hAnsi="宋体" w:eastAsia="宋体"/>
                <w:color w:val="auto"/>
                <w:szCs w:val="21"/>
                <w:highlight w:val="none"/>
              </w:rPr>
            </w:pPr>
            <w:r>
              <w:rPr>
                <w:rFonts w:hint="eastAsia" w:ascii="宋体" w:hAnsi="宋体" w:eastAsia="宋体"/>
                <w:color w:val="auto"/>
                <w:szCs w:val="21"/>
                <w:highlight w:val="none"/>
              </w:rPr>
              <w:t>3</w:t>
            </w:r>
          </w:p>
        </w:tc>
        <w:tc>
          <w:tcPr>
            <w:tcW w:w="8269" w:type="dxa"/>
            <w:tcBorders>
              <w:top w:val="single" w:color="auto" w:sz="4" w:space="0"/>
              <w:left w:val="single" w:color="auto" w:sz="4" w:space="0"/>
              <w:bottom w:val="single" w:color="auto" w:sz="4" w:space="0"/>
              <w:right w:val="single" w:color="auto" w:sz="4" w:space="0"/>
            </w:tcBorders>
            <w:noWrap w:val="0"/>
            <w:vAlign w:val="center"/>
          </w:tcPr>
          <w:p w14:paraId="052C0368">
            <w:pPr>
              <w:spacing w:line="240" w:lineRule="exact"/>
              <w:rPr>
                <w:rFonts w:hint="eastAsia" w:ascii="宋体" w:hAnsi="宋体" w:eastAsia="宋体"/>
                <w:color w:val="auto"/>
                <w:szCs w:val="21"/>
                <w:highlight w:val="none"/>
              </w:rPr>
            </w:pPr>
            <w:r>
              <w:rPr>
                <w:rFonts w:hint="eastAsia" w:ascii="宋体" w:hAnsi="宋体" w:eastAsia="宋体"/>
                <w:color w:val="auto"/>
                <w:szCs w:val="21"/>
                <w:highlight w:val="none"/>
              </w:rPr>
              <w:t>发现投标人在</w:t>
            </w:r>
            <w:r>
              <w:rPr>
                <w:rFonts w:hint="eastAsia" w:ascii="宋体" w:hAnsi="宋体" w:eastAsia="宋体"/>
                <w:color w:val="auto"/>
                <w:szCs w:val="21"/>
                <w:highlight w:val="none"/>
                <w:lang w:eastAsia="zh-CN"/>
              </w:rPr>
              <w:t>技术部分（施工组织方案）</w:t>
            </w:r>
            <w:r>
              <w:rPr>
                <w:rFonts w:hint="eastAsia" w:ascii="宋体" w:hAnsi="宋体" w:eastAsia="宋体"/>
                <w:color w:val="auto"/>
                <w:szCs w:val="21"/>
                <w:highlight w:val="none"/>
              </w:rPr>
              <w:t>内标注名称、印章、商标、投标金额等记认符号（或使人辨认出投标人或其专业技术人员的身份）或出现涉及人员姓名、简历、等暴露投标人身份的内容。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EDF9209">
            <w:pPr>
              <w:rPr>
                <w:rFonts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81143CB">
            <w:pPr>
              <w:rPr>
                <w:rFonts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8560A5B">
            <w:pPr>
              <w:rPr>
                <w:rFonts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F8922EC">
            <w:pPr>
              <w:rPr>
                <w:rFonts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3B6A308">
            <w:pPr>
              <w:rPr>
                <w:rFonts w:ascii="宋体" w:hAnsi="宋体" w:eastAsia="宋体"/>
                <w:color w:val="auto"/>
                <w:szCs w:val="21"/>
                <w:highlight w:val="none"/>
              </w:rPr>
            </w:pPr>
          </w:p>
        </w:tc>
      </w:tr>
      <w:tr w14:paraId="192125F5">
        <w:tblPrEx>
          <w:tblCellMar>
            <w:top w:w="0" w:type="dxa"/>
            <w:left w:w="108" w:type="dxa"/>
            <w:bottom w:w="0" w:type="dxa"/>
            <w:right w:w="108" w:type="dxa"/>
          </w:tblCellMar>
        </w:tblPrEx>
        <w:trPr>
          <w:trHeight w:val="90"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40849E17">
            <w:pPr>
              <w:jc w:val="center"/>
              <w:rPr>
                <w:rFonts w:ascii="宋体" w:hAnsi="宋体" w:eastAsia="宋体"/>
                <w:color w:val="auto"/>
                <w:szCs w:val="21"/>
                <w:highlight w:val="none"/>
              </w:rPr>
            </w:pPr>
            <w:r>
              <w:rPr>
                <w:rFonts w:hint="eastAsia" w:ascii="宋体" w:hAnsi="宋体" w:eastAsia="宋体"/>
                <w:color w:val="auto"/>
                <w:szCs w:val="21"/>
                <w:highlight w:val="none"/>
              </w:rPr>
              <w:t>4</w:t>
            </w:r>
          </w:p>
        </w:tc>
        <w:tc>
          <w:tcPr>
            <w:tcW w:w="8269" w:type="dxa"/>
            <w:tcBorders>
              <w:top w:val="single" w:color="auto" w:sz="4" w:space="0"/>
              <w:left w:val="single" w:color="auto" w:sz="4" w:space="0"/>
              <w:bottom w:val="single" w:color="auto" w:sz="4" w:space="0"/>
              <w:right w:val="single" w:color="auto" w:sz="4" w:space="0"/>
            </w:tcBorders>
            <w:noWrap w:val="0"/>
            <w:vAlign w:val="center"/>
          </w:tcPr>
          <w:p w14:paraId="0E562135">
            <w:pPr>
              <w:spacing w:line="240" w:lineRule="exact"/>
              <w:rPr>
                <w:rFonts w:hint="eastAsia" w:ascii="宋体" w:hAnsi="宋体" w:eastAsia="宋体"/>
                <w:color w:val="auto"/>
                <w:szCs w:val="21"/>
                <w:highlight w:val="none"/>
              </w:rPr>
            </w:pPr>
            <w:r>
              <w:rPr>
                <w:rFonts w:hint="eastAsia" w:ascii="宋体" w:hAnsi="宋体" w:eastAsia="宋体"/>
                <w:color w:val="auto"/>
                <w:szCs w:val="21"/>
                <w:highlight w:val="none"/>
              </w:rPr>
              <w:t>存在串通投标情形（串通投标情形以《中华人民共和国</w:t>
            </w:r>
            <w:r>
              <w:rPr>
                <w:rFonts w:hint="eastAsia" w:ascii="宋体" w:hAnsi="宋体" w:eastAsia="宋体"/>
                <w:color w:val="auto"/>
                <w:szCs w:val="21"/>
                <w:highlight w:val="none"/>
                <w:lang w:eastAsia="zh-CN"/>
              </w:rPr>
              <w:t>招标</w:t>
            </w:r>
            <w:r>
              <w:rPr>
                <w:rFonts w:hint="eastAsia" w:ascii="宋体" w:hAnsi="宋体" w:eastAsia="宋体"/>
                <w:color w:val="auto"/>
                <w:szCs w:val="21"/>
                <w:highlight w:val="none"/>
              </w:rPr>
              <w:t>投标法实施条例》的规定为准）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0A34CD">
            <w:pPr>
              <w:rPr>
                <w:rFonts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FDC8644">
            <w:pPr>
              <w:rPr>
                <w:rFonts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E999A93">
            <w:pPr>
              <w:rPr>
                <w:rFonts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036481A">
            <w:pPr>
              <w:rPr>
                <w:rFonts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A0AC417">
            <w:pPr>
              <w:rPr>
                <w:rFonts w:ascii="宋体" w:hAnsi="宋体" w:eastAsia="宋体"/>
                <w:color w:val="auto"/>
                <w:szCs w:val="21"/>
                <w:highlight w:val="none"/>
              </w:rPr>
            </w:pPr>
          </w:p>
        </w:tc>
      </w:tr>
    </w:tbl>
    <w:p w14:paraId="4876144D">
      <w:pPr>
        <w:spacing w:line="260" w:lineRule="exact"/>
        <w:rPr>
          <w:rFonts w:hint="eastAsia" w:ascii="宋体" w:hAnsi="宋体" w:eastAsia="宋体"/>
          <w:color w:val="auto"/>
          <w:szCs w:val="21"/>
          <w:highlight w:val="none"/>
        </w:rPr>
      </w:pPr>
      <w:r>
        <w:rPr>
          <w:rFonts w:hint="eastAsia" w:ascii="宋体" w:hAnsi="宋体" w:eastAsia="宋体"/>
          <w:color w:val="auto"/>
          <w:szCs w:val="21"/>
          <w:highlight w:val="none"/>
        </w:rPr>
        <w:t>注：1.本表使用GZYLZB202</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-1招标文件范本，与范本内容不同之处均以下划线标明。</w:t>
      </w:r>
    </w:p>
    <w:p w14:paraId="0685AA4D">
      <w:pPr>
        <w:spacing w:line="260" w:lineRule="exact"/>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2.凡出现《</w:t>
      </w:r>
      <w:r>
        <w:rPr>
          <w:rFonts w:hint="eastAsia" w:ascii="宋体" w:hAnsi="宋体" w:eastAsia="宋体"/>
          <w:color w:val="auto"/>
          <w:szCs w:val="21"/>
          <w:highlight w:val="none"/>
          <w:lang w:eastAsia="zh-CN"/>
        </w:rPr>
        <w:t>技术部分（施工组织方案）</w:t>
      </w:r>
      <w:r>
        <w:rPr>
          <w:rFonts w:hint="eastAsia" w:ascii="宋体" w:hAnsi="宋体" w:eastAsia="宋体"/>
          <w:color w:val="auto"/>
          <w:szCs w:val="21"/>
          <w:highlight w:val="none"/>
        </w:rPr>
        <w:t>文件否决性条款审查表》中任何一项情形，否决其投标。</w:t>
      </w:r>
    </w:p>
    <w:p w14:paraId="1A896260">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3.如对本表中某种情形的评审意见不一致时，以评标委员会过半数成员的意见作为评标委员会对该情形的认定结论。</w:t>
      </w:r>
    </w:p>
    <w:p w14:paraId="50DE77BB">
      <w:pPr>
        <w:rPr>
          <w:rFonts w:hint="eastAsia" w:ascii="宋体" w:hAnsi="宋体" w:eastAsia="宋体"/>
          <w:color w:val="auto"/>
          <w:szCs w:val="21"/>
          <w:highlight w:val="none"/>
        </w:rPr>
      </w:pPr>
    </w:p>
    <w:p w14:paraId="78A8057F">
      <w:pPr>
        <w:spacing w:line="240" w:lineRule="exact"/>
        <w:rPr>
          <w:rFonts w:hint="eastAsia" w:ascii="宋体" w:hAnsi="宋体" w:eastAsia="宋体"/>
          <w:b/>
          <w:color w:val="auto"/>
          <w:szCs w:val="21"/>
          <w:highlight w:val="none"/>
        </w:rPr>
      </w:pPr>
      <w:r>
        <w:rPr>
          <w:rFonts w:hint="eastAsia" w:ascii="宋体" w:hAnsi="宋体" w:eastAsia="宋体"/>
          <w:b/>
          <w:color w:val="auto"/>
          <w:szCs w:val="21"/>
          <w:highlight w:val="none"/>
        </w:rPr>
        <w:t xml:space="preserve"> 评委签名：                                                                                        日期：</w:t>
      </w:r>
    </w:p>
    <w:p w14:paraId="740316CD">
      <w:pPr>
        <w:rPr>
          <w:rFonts w:hint="eastAsia" w:ascii="宋体" w:hAnsi="宋体" w:eastAsia="宋体"/>
          <w:color w:val="auto"/>
          <w:szCs w:val="21"/>
          <w:highlight w:val="none"/>
        </w:rPr>
        <w:sectPr>
          <w:headerReference r:id="rId8" w:type="first"/>
          <w:headerReference r:id="rId7" w:type="default"/>
          <w:endnotePr>
            <w:numFmt w:val="decimal"/>
          </w:endnotePr>
          <w:type w:val="continuous"/>
          <w:pgSz w:w="16783" w:h="11850" w:orient="landscape"/>
          <w:pgMar w:top="567" w:right="1247" w:bottom="567" w:left="1134" w:header="284" w:footer="284" w:gutter="0"/>
          <w:pgNumType w:fmt="decimal"/>
          <w:cols w:space="720" w:num="1"/>
          <w:titlePg/>
          <w:docGrid w:type="lines" w:linePitch="312" w:charSpace="0"/>
        </w:sectPr>
      </w:pPr>
    </w:p>
    <w:p w14:paraId="0555677F">
      <w:pPr>
        <w:widowControl/>
        <w:ind w:firstLine="482" w:firstLineChars="200"/>
        <w:jc w:val="left"/>
        <w:rPr>
          <w:rFonts w:ascii="宋体" w:hAnsi="宋体" w:eastAsia="宋体" w:cs="宋体"/>
          <w:b/>
          <w:color w:val="auto"/>
          <w:kern w:val="0"/>
          <w:sz w:val="24"/>
          <w:szCs w:val="24"/>
          <w:highlight w:val="none"/>
        </w:rPr>
        <w:sectPr>
          <w:endnotePr>
            <w:numFmt w:val="decimal"/>
          </w:endnotePr>
          <w:type w:val="continuous"/>
          <w:pgSz w:w="16783" w:h="11850" w:orient="landscape"/>
          <w:pgMar w:top="567" w:right="1247" w:bottom="567" w:left="1134" w:header="284" w:footer="284" w:gutter="0"/>
          <w:pgNumType w:fmt="decimal"/>
          <w:cols w:space="720" w:num="1"/>
          <w:titlePg/>
          <w:docGrid w:type="lines" w:linePitch="312" w:charSpace="0"/>
        </w:sectPr>
      </w:pPr>
    </w:p>
    <w:p w14:paraId="631420EF">
      <w:pPr>
        <w:pStyle w:val="5"/>
        <w:ind w:firstLine="0"/>
        <w:outlineLvl w:val="2"/>
        <w:rPr>
          <w:rFonts w:ascii="宋体" w:hAnsi="宋体" w:eastAsia="宋体"/>
          <w:color w:val="auto"/>
          <w:szCs w:val="21"/>
          <w:highlight w:val="none"/>
        </w:rPr>
      </w:pPr>
      <w:bookmarkStart w:id="254" w:name="_Toc24452"/>
      <w:bookmarkStart w:id="255" w:name="_Toc5040"/>
      <w:bookmarkStart w:id="256" w:name="_Toc20530"/>
      <w:bookmarkStart w:id="257" w:name="_Toc19944"/>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8</w:t>
      </w:r>
      <w:r>
        <w:rPr>
          <w:rFonts w:hint="eastAsia" w:ascii="宋体" w:hAnsi="宋体" w:eastAsia="宋体"/>
          <w:color w:val="auto"/>
          <w:sz w:val="24"/>
          <w:szCs w:val="24"/>
          <w:highlight w:val="none"/>
        </w:rPr>
        <w:t>（适用于办法</w:t>
      </w:r>
      <w:r>
        <w:rPr>
          <w:rFonts w:hint="eastAsia" w:ascii="宋体" w:hAnsi="宋体" w:eastAsia="宋体"/>
          <w:color w:val="auto"/>
          <w:sz w:val="24"/>
          <w:szCs w:val="24"/>
          <w:highlight w:val="none"/>
          <w:lang w:eastAsia="zh-CN"/>
        </w:rPr>
        <w:t>一</w:t>
      </w:r>
      <w:r>
        <w:rPr>
          <w:rFonts w:hint="eastAsia" w:ascii="宋体" w:hAnsi="宋体" w:eastAsia="宋体"/>
          <w:color w:val="auto"/>
          <w:sz w:val="24"/>
          <w:szCs w:val="24"/>
          <w:highlight w:val="none"/>
        </w:rPr>
        <w:t>）</w:t>
      </w:r>
      <w:bookmarkEnd w:id="254"/>
      <w:bookmarkEnd w:id="255"/>
      <w:bookmarkEnd w:id="256"/>
      <w:bookmarkEnd w:id="257"/>
    </w:p>
    <w:p w14:paraId="09851FF2">
      <w:pPr>
        <w:widowControl/>
        <w:spacing w:line="360" w:lineRule="auto"/>
        <w:jc w:val="center"/>
        <w:rPr>
          <w:b/>
          <w:bCs/>
          <w:color w:val="auto"/>
          <w:kern w:val="0"/>
          <w:sz w:val="28"/>
          <w:szCs w:val="28"/>
          <w:highlight w:val="none"/>
        </w:rPr>
      </w:pPr>
    </w:p>
    <w:p w14:paraId="38351C48">
      <w:pPr>
        <w:widowControl/>
        <w:jc w:val="center"/>
        <w:rPr>
          <w:rFonts w:hint="eastAsia" w:ascii="宋体" w:hAnsi="宋体" w:eastAsia="宋体"/>
          <w:b/>
          <w:color w:val="auto"/>
          <w:sz w:val="36"/>
          <w:szCs w:val="36"/>
          <w:highlight w:val="none"/>
        </w:rPr>
      </w:pPr>
      <w:r>
        <w:rPr>
          <w:rFonts w:hint="eastAsia" w:ascii="宋体" w:hAnsi="宋体" w:eastAsia="宋体"/>
          <w:b/>
          <w:color w:val="auto"/>
          <w:sz w:val="36"/>
          <w:szCs w:val="36"/>
          <w:highlight w:val="none"/>
          <w:lang w:eastAsia="zh-CN"/>
        </w:rPr>
        <w:t>技术部分（施工组织方案）</w:t>
      </w:r>
      <w:r>
        <w:rPr>
          <w:rFonts w:hint="eastAsia" w:ascii="宋体" w:hAnsi="宋体" w:eastAsia="宋体"/>
          <w:b/>
          <w:color w:val="auto"/>
          <w:sz w:val="36"/>
          <w:szCs w:val="36"/>
          <w:highlight w:val="none"/>
        </w:rPr>
        <w:t>编号确认表</w:t>
      </w:r>
    </w:p>
    <w:tbl>
      <w:tblPr>
        <w:tblStyle w:val="29"/>
        <w:tblW w:w="85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420"/>
        <w:gridCol w:w="4280"/>
      </w:tblGrid>
      <w:tr w14:paraId="3C0771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14:paraId="5F8CC739">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3420" w:type="dxa"/>
            <w:noWrap w:val="0"/>
            <w:vAlign w:val="center"/>
          </w:tcPr>
          <w:p w14:paraId="6D08D7BA">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暗标编号</w:t>
            </w:r>
          </w:p>
        </w:tc>
        <w:tc>
          <w:tcPr>
            <w:tcW w:w="4280" w:type="dxa"/>
            <w:noWrap w:val="0"/>
            <w:vAlign w:val="center"/>
          </w:tcPr>
          <w:p w14:paraId="3B6602CB">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确认的投标人名称</w:t>
            </w:r>
          </w:p>
        </w:tc>
      </w:tr>
      <w:tr w14:paraId="715EAD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top"/>
          </w:tcPr>
          <w:p w14:paraId="6E064C79">
            <w:pPr>
              <w:tabs>
                <w:tab w:val="left" w:pos="4680"/>
              </w:tabs>
              <w:spacing w:line="360" w:lineRule="auto"/>
              <w:rPr>
                <w:b/>
                <w:bCs/>
                <w:color w:val="auto"/>
                <w:szCs w:val="21"/>
                <w:highlight w:val="none"/>
                <w:u w:val="single"/>
              </w:rPr>
            </w:pPr>
          </w:p>
        </w:tc>
        <w:tc>
          <w:tcPr>
            <w:tcW w:w="3420" w:type="dxa"/>
            <w:noWrap w:val="0"/>
            <w:vAlign w:val="top"/>
          </w:tcPr>
          <w:p w14:paraId="18F0FB50">
            <w:pPr>
              <w:tabs>
                <w:tab w:val="left" w:pos="4680"/>
              </w:tabs>
              <w:spacing w:line="360" w:lineRule="auto"/>
              <w:rPr>
                <w:b/>
                <w:bCs/>
                <w:color w:val="auto"/>
                <w:szCs w:val="21"/>
                <w:highlight w:val="none"/>
                <w:u w:val="single"/>
              </w:rPr>
            </w:pPr>
          </w:p>
        </w:tc>
        <w:tc>
          <w:tcPr>
            <w:tcW w:w="4280" w:type="dxa"/>
            <w:noWrap w:val="0"/>
            <w:vAlign w:val="top"/>
          </w:tcPr>
          <w:p w14:paraId="4E17ABD9">
            <w:pPr>
              <w:tabs>
                <w:tab w:val="left" w:pos="4680"/>
              </w:tabs>
              <w:spacing w:line="360" w:lineRule="auto"/>
              <w:rPr>
                <w:b/>
                <w:bCs/>
                <w:color w:val="auto"/>
                <w:szCs w:val="21"/>
                <w:highlight w:val="none"/>
                <w:u w:val="single"/>
              </w:rPr>
            </w:pPr>
          </w:p>
        </w:tc>
      </w:tr>
      <w:tr w14:paraId="7FEACA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top"/>
          </w:tcPr>
          <w:p w14:paraId="271AFE88">
            <w:pPr>
              <w:tabs>
                <w:tab w:val="left" w:pos="4680"/>
              </w:tabs>
              <w:spacing w:line="360" w:lineRule="auto"/>
              <w:rPr>
                <w:b/>
                <w:bCs/>
                <w:color w:val="auto"/>
                <w:szCs w:val="21"/>
                <w:highlight w:val="none"/>
                <w:u w:val="single"/>
              </w:rPr>
            </w:pPr>
          </w:p>
        </w:tc>
        <w:tc>
          <w:tcPr>
            <w:tcW w:w="3420" w:type="dxa"/>
            <w:noWrap w:val="0"/>
            <w:vAlign w:val="top"/>
          </w:tcPr>
          <w:p w14:paraId="66953ABE">
            <w:pPr>
              <w:tabs>
                <w:tab w:val="left" w:pos="4680"/>
              </w:tabs>
              <w:spacing w:line="360" w:lineRule="auto"/>
              <w:rPr>
                <w:b/>
                <w:bCs/>
                <w:color w:val="auto"/>
                <w:szCs w:val="21"/>
                <w:highlight w:val="none"/>
                <w:u w:val="single"/>
              </w:rPr>
            </w:pPr>
          </w:p>
        </w:tc>
        <w:tc>
          <w:tcPr>
            <w:tcW w:w="4280" w:type="dxa"/>
            <w:noWrap w:val="0"/>
            <w:vAlign w:val="top"/>
          </w:tcPr>
          <w:p w14:paraId="65702AEB">
            <w:pPr>
              <w:tabs>
                <w:tab w:val="left" w:pos="4680"/>
              </w:tabs>
              <w:spacing w:line="360" w:lineRule="auto"/>
              <w:rPr>
                <w:b/>
                <w:bCs/>
                <w:color w:val="auto"/>
                <w:szCs w:val="21"/>
                <w:highlight w:val="none"/>
                <w:u w:val="single"/>
              </w:rPr>
            </w:pPr>
          </w:p>
        </w:tc>
      </w:tr>
      <w:tr w14:paraId="55B6A2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top"/>
          </w:tcPr>
          <w:p w14:paraId="21CB8BA7">
            <w:pPr>
              <w:tabs>
                <w:tab w:val="left" w:pos="4680"/>
              </w:tabs>
              <w:spacing w:line="360" w:lineRule="auto"/>
              <w:rPr>
                <w:b/>
                <w:bCs/>
                <w:color w:val="auto"/>
                <w:szCs w:val="21"/>
                <w:highlight w:val="none"/>
                <w:u w:val="single"/>
              </w:rPr>
            </w:pPr>
          </w:p>
        </w:tc>
        <w:tc>
          <w:tcPr>
            <w:tcW w:w="3420" w:type="dxa"/>
            <w:noWrap w:val="0"/>
            <w:vAlign w:val="top"/>
          </w:tcPr>
          <w:p w14:paraId="73CF8B7F">
            <w:pPr>
              <w:tabs>
                <w:tab w:val="left" w:pos="4680"/>
              </w:tabs>
              <w:spacing w:line="360" w:lineRule="auto"/>
              <w:rPr>
                <w:b/>
                <w:bCs/>
                <w:color w:val="auto"/>
                <w:szCs w:val="21"/>
                <w:highlight w:val="none"/>
                <w:u w:val="single"/>
              </w:rPr>
            </w:pPr>
          </w:p>
        </w:tc>
        <w:tc>
          <w:tcPr>
            <w:tcW w:w="4280" w:type="dxa"/>
            <w:noWrap w:val="0"/>
            <w:vAlign w:val="top"/>
          </w:tcPr>
          <w:p w14:paraId="582A9F59">
            <w:pPr>
              <w:tabs>
                <w:tab w:val="left" w:pos="4680"/>
              </w:tabs>
              <w:spacing w:line="360" w:lineRule="auto"/>
              <w:rPr>
                <w:b/>
                <w:bCs/>
                <w:color w:val="auto"/>
                <w:szCs w:val="21"/>
                <w:highlight w:val="none"/>
                <w:u w:val="single"/>
              </w:rPr>
            </w:pPr>
          </w:p>
        </w:tc>
      </w:tr>
      <w:tr w14:paraId="62AEBB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top"/>
          </w:tcPr>
          <w:p w14:paraId="564F3E86">
            <w:pPr>
              <w:tabs>
                <w:tab w:val="left" w:pos="4680"/>
              </w:tabs>
              <w:spacing w:line="360" w:lineRule="auto"/>
              <w:rPr>
                <w:b/>
                <w:bCs/>
                <w:color w:val="auto"/>
                <w:szCs w:val="21"/>
                <w:highlight w:val="none"/>
                <w:u w:val="single"/>
              </w:rPr>
            </w:pPr>
          </w:p>
        </w:tc>
        <w:tc>
          <w:tcPr>
            <w:tcW w:w="3420" w:type="dxa"/>
            <w:noWrap w:val="0"/>
            <w:vAlign w:val="top"/>
          </w:tcPr>
          <w:p w14:paraId="55FDD1A4">
            <w:pPr>
              <w:tabs>
                <w:tab w:val="left" w:pos="4680"/>
              </w:tabs>
              <w:spacing w:line="360" w:lineRule="auto"/>
              <w:rPr>
                <w:b/>
                <w:bCs/>
                <w:color w:val="auto"/>
                <w:szCs w:val="21"/>
                <w:highlight w:val="none"/>
                <w:u w:val="single"/>
              </w:rPr>
            </w:pPr>
          </w:p>
        </w:tc>
        <w:tc>
          <w:tcPr>
            <w:tcW w:w="4280" w:type="dxa"/>
            <w:noWrap w:val="0"/>
            <w:vAlign w:val="top"/>
          </w:tcPr>
          <w:p w14:paraId="4420ACC5">
            <w:pPr>
              <w:tabs>
                <w:tab w:val="left" w:pos="4680"/>
              </w:tabs>
              <w:spacing w:line="360" w:lineRule="auto"/>
              <w:rPr>
                <w:b/>
                <w:bCs/>
                <w:color w:val="auto"/>
                <w:szCs w:val="21"/>
                <w:highlight w:val="none"/>
                <w:u w:val="single"/>
              </w:rPr>
            </w:pPr>
          </w:p>
        </w:tc>
      </w:tr>
      <w:tr w14:paraId="20ABD6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top"/>
          </w:tcPr>
          <w:p w14:paraId="5166ED08">
            <w:pPr>
              <w:tabs>
                <w:tab w:val="left" w:pos="4680"/>
              </w:tabs>
              <w:spacing w:line="360" w:lineRule="auto"/>
              <w:rPr>
                <w:b/>
                <w:bCs/>
                <w:color w:val="auto"/>
                <w:szCs w:val="21"/>
                <w:highlight w:val="none"/>
                <w:u w:val="single"/>
              </w:rPr>
            </w:pPr>
          </w:p>
        </w:tc>
        <w:tc>
          <w:tcPr>
            <w:tcW w:w="3420" w:type="dxa"/>
            <w:noWrap w:val="0"/>
            <w:vAlign w:val="top"/>
          </w:tcPr>
          <w:p w14:paraId="3651C772">
            <w:pPr>
              <w:tabs>
                <w:tab w:val="left" w:pos="4680"/>
              </w:tabs>
              <w:spacing w:line="360" w:lineRule="auto"/>
              <w:rPr>
                <w:b/>
                <w:bCs/>
                <w:color w:val="auto"/>
                <w:szCs w:val="21"/>
                <w:highlight w:val="none"/>
                <w:u w:val="single"/>
              </w:rPr>
            </w:pPr>
          </w:p>
        </w:tc>
        <w:tc>
          <w:tcPr>
            <w:tcW w:w="4280" w:type="dxa"/>
            <w:noWrap w:val="0"/>
            <w:vAlign w:val="top"/>
          </w:tcPr>
          <w:p w14:paraId="6959D483">
            <w:pPr>
              <w:tabs>
                <w:tab w:val="left" w:pos="4680"/>
              </w:tabs>
              <w:spacing w:line="360" w:lineRule="auto"/>
              <w:rPr>
                <w:b/>
                <w:bCs/>
                <w:color w:val="auto"/>
                <w:szCs w:val="21"/>
                <w:highlight w:val="none"/>
                <w:u w:val="single"/>
              </w:rPr>
            </w:pPr>
          </w:p>
        </w:tc>
      </w:tr>
      <w:tr w14:paraId="45338D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top"/>
          </w:tcPr>
          <w:p w14:paraId="7BE7D5F8">
            <w:pPr>
              <w:tabs>
                <w:tab w:val="left" w:pos="4680"/>
              </w:tabs>
              <w:spacing w:line="360" w:lineRule="auto"/>
              <w:rPr>
                <w:b/>
                <w:bCs/>
                <w:color w:val="auto"/>
                <w:szCs w:val="21"/>
                <w:highlight w:val="none"/>
                <w:u w:val="single"/>
              </w:rPr>
            </w:pPr>
          </w:p>
        </w:tc>
        <w:tc>
          <w:tcPr>
            <w:tcW w:w="3420" w:type="dxa"/>
            <w:noWrap w:val="0"/>
            <w:vAlign w:val="top"/>
          </w:tcPr>
          <w:p w14:paraId="6281ADCA">
            <w:pPr>
              <w:tabs>
                <w:tab w:val="left" w:pos="4680"/>
              </w:tabs>
              <w:spacing w:line="360" w:lineRule="auto"/>
              <w:rPr>
                <w:b/>
                <w:bCs/>
                <w:color w:val="auto"/>
                <w:szCs w:val="21"/>
                <w:highlight w:val="none"/>
                <w:u w:val="single"/>
              </w:rPr>
            </w:pPr>
          </w:p>
        </w:tc>
        <w:tc>
          <w:tcPr>
            <w:tcW w:w="4280" w:type="dxa"/>
            <w:noWrap w:val="0"/>
            <w:vAlign w:val="top"/>
          </w:tcPr>
          <w:p w14:paraId="2551B533">
            <w:pPr>
              <w:tabs>
                <w:tab w:val="left" w:pos="4680"/>
              </w:tabs>
              <w:spacing w:line="360" w:lineRule="auto"/>
              <w:rPr>
                <w:b/>
                <w:bCs/>
                <w:color w:val="auto"/>
                <w:szCs w:val="21"/>
                <w:highlight w:val="none"/>
                <w:u w:val="single"/>
              </w:rPr>
            </w:pPr>
          </w:p>
        </w:tc>
      </w:tr>
      <w:tr w14:paraId="089CF2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top"/>
          </w:tcPr>
          <w:p w14:paraId="3B478D32">
            <w:pPr>
              <w:tabs>
                <w:tab w:val="left" w:pos="4680"/>
              </w:tabs>
              <w:spacing w:line="360" w:lineRule="auto"/>
              <w:rPr>
                <w:b/>
                <w:bCs/>
                <w:color w:val="auto"/>
                <w:szCs w:val="21"/>
                <w:highlight w:val="none"/>
                <w:u w:val="single"/>
              </w:rPr>
            </w:pPr>
          </w:p>
        </w:tc>
        <w:tc>
          <w:tcPr>
            <w:tcW w:w="3420" w:type="dxa"/>
            <w:noWrap w:val="0"/>
            <w:vAlign w:val="top"/>
          </w:tcPr>
          <w:p w14:paraId="2C3F9F0E">
            <w:pPr>
              <w:tabs>
                <w:tab w:val="left" w:pos="4680"/>
              </w:tabs>
              <w:spacing w:line="360" w:lineRule="auto"/>
              <w:rPr>
                <w:b/>
                <w:bCs/>
                <w:color w:val="auto"/>
                <w:szCs w:val="21"/>
                <w:highlight w:val="none"/>
                <w:u w:val="single"/>
              </w:rPr>
            </w:pPr>
          </w:p>
        </w:tc>
        <w:tc>
          <w:tcPr>
            <w:tcW w:w="4280" w:type="dxa"/>
            <w:noWrap w:val="0"/>
            <w:vAlign w:val="top"/>
          </w:tcPr>
          <w:p w14:paraId="127E04C3">
            <w:pPr>
              <w:tabs>
                <w:tab w:val="left" w:pos="4680"/>
              </w:tabs>
              <w:spacing w:line="360" w:lineRule="auto"/>
              <w:rPr>
                <w:b/>
                <w:bCs/>
                <w:color w:val="auto"/>
                <w:szCs w:val="21"/>
                <w:highlight w:val="none"/>
                <w:u w:val="single"/>
              </w:rPr>
            </w:pPr>
          </w:p>
        </w:tc>
      </w:tr>
      <w:tr w14:paraId="143C6D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top"/>
          </w:tcPr>
          <w:p w14:paraId="0C78E737">
            <w:pPr>
              <w:tabs>
                <w:tab w:val="left" w:pos="4680"/>
              </w:tabs>
              <w:spacing w:line="360" w:lineRule="auto"/>
              <w:rPr>
                <w:b/>
                <w:bCs/>
                <w:color w:val="auto"/>
                <w:szCs w:val="21"/>
                <w:highlight w:val="none"/>
                <w:u w:val="single"/>
              </w:rPr>
            </w:pPr>
          </w:p>
        </w:tc>
        <w:tc>
          <w:tcPr>
            <w:tcW w:w="3420" w:type="dxa"/>
            <w:noWrap w:val="0"/>
            <w:vAlign w:val="top"/>
          </w:tcPr>
          <w:p w14:paraId="690F0662">
            <w:pPr>
              <w:tabs>
                <w:tab w:val="left" w:pos="4680"/>
              </w:tabs>
              <w:spacing w:line="360" w:lineRule="auto"/>
              <w:rPr>
                <w:b/>
                <w:bCs/>
                <w:color w:val="auto"/>
                <w:szCs w:val="21"/>
                <w:highlight w:val="none"/>
                <w:u w:val="single"/>
              </w:rPr>
            </w:pPr>
          </w:p>
        </w:tc>
        <w:tc>
          <w:tcPr>
            <w:tcW w:w="4280" w:type="dxa"/>
            <w:noWrap w:val="0"/>
            <w:vAlign w:val="top"/>
          </w:tcPr>
          <w:p w14:paraId="34921672">
            <w:pPr>
              <w:tabs>
                <w:tab w:val="left" w:pos="4680"/>
              </w:tabs>
              <w:spacing w:line="360" w:lineRule="auto"/>
              <w:rPr>
                <w:b/>
                <w:bCs/>
                <w:color w:val="auto"/>
                <w:szCs w:val="21"/>
                <w:highlight w:val="none"/>
                <w:u w:val="single"/>
              </w:rPr>
            </w:pPr>
          </w:p>
        </w:tc>
      </w:tr>
      <w:tr w14:paraId="1EE2AE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top"/>
          </w:tcPr>
          <w:p w14:paraId="5BB5B6EA">
            <w:pPr>
              <w:tabs>
                <w:tab w:val="left" w:pos="4680"/>
              </w:tabs>
              <w:spacing w:line="360" w:lineRule="auto"/>
              <w:rPr>
                <w:b/>
                <w:bCs/>
                <w:color w:val="auto"/>
                <w:szCs w:val="21"/>
                <w:highlight w:val="none"/>
                <w:u w:val="single"/>
              </w:rPr>
            </w:pPr>
          </w:p>
        </w:tc>
        <w:tc>
          <w:tcPr>
            <w:tcW w:w="3420" w:type="dxa"/>
            <w:noWrap w:val="0"/>
            <w:vAlign w:val="top"/>
          </w:tcPr>
          <w:p w14:paraId="20CAE5F2">
            <w:pPr>
              <w:tabs>
                <w:tab w:val="left" w:pos="4680"/>
              </w:tabs>
              <w:spacing w:line="360" w:lineRule="auto"/>
              <w:rPr>
                <w:b/>
                <w:bCs/>
                <w:color w:val="auto"/>
                <w:szCs w:val="21"/>
                <w:highlight w:val="none"/>
                <w:u w:val="single"/>
              </w:rPr>
            </w:pPr>
          </w:p>
        </w:tc>
        <w:tc>
          <w:tcPr>
            <w:tcW w:w="4280" w:type="dxa"/>
            <w:noWrap w:val="0"/>
            <w:vAlign w:val="top"/>
          </w:tcPr>
          <w:p w14:paraId="0ED4A0A0">
            <w:pPr>
              <w:tabs>
                <w:tab w:val="left" w:pos="4680"/>
              </w:tabs>
              <w:spacing w:line="360" w:lineRule="auto"/>
              <w:rPr>
                <w:b/>
                <w:bCs/>
                <w:color w:val="auto"/>
                <w:szCs w:val="21"/>
                <w:highlight w:val="none"/>
                <w:u w:val="single"/>
              </w:rPr>
            </w:pPr>
          </w:p>
        </w:tc>
      </w:tr>
      <w:tr w14:paraId="50AA6E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top"/>
          </w:tcPr>
          <w:p w14:paraId="739CB28D">
            <w:pPr>
              <w:tabs>
                <w:tab w:val="left" w:pos="4680"/>
              </w:tabs>
              <w:spacing w:line="360" w:lineRule="auto"/>
              <w:rPr>
                <w:b/>
                <w:bCs/>
                <w:color w:val="auto"/>
                <w:szCs w:val="21"/>
                <w:highlight w:val="none"/>
                <w:u w:val="single"/>
              </w:rPr>
            </w:pPr>
          </w:p>
        </w:tc>
        <w:tc>
          <w:tcPr>
            <w:tcW w:w="3420" w:type="dxa"/>
            <w:noWrap w:val="0"/>
            <w:vAlign w:val="top"/>
          </w:tcPr>
          <w:p w14:paraId="728493BE">
            <w:pPr>
              <w:tabs>
                <w:tab w:val="left" w:pos="4680"/>
              </w:tabs>
              <w:spacing w:line="360" w:lineRule="auto"/>
              <w:rPr>
                <w:b/>
                <w:bCs/>
                <w:color w:val="auto"/>
                <w:szCs w:val="21"/>
                <w:highlight w:val="none"/>
                <w:u w:val="single"/>
              </w:rPr>
            </w:pPr>
          </w:p>
        </w:tc>
        <w:tc>
          <w:tcPr>
            <w:tcW w:w="4280" w:type="dxa"/>
            <w:noWrap w:val="0"/>
            <w:vAlign w:val="top"/>
          </w:tcPr>
          <w:p w14:paraId="61CB4F48">
            <w:pPr>
              <w:tabs>
                <w:tab w:val="left" w:pos="4680"/>
              </w:tabs>
              <w:spacing w:line="360" w:lineRule="auto"/>
              <w:rPr>
                <w:b/>
                <w:bCs/>
                <w:color w:val="auto"/>
                <w:szCs w:val="21"/>
                <w:highlight w:val="none"/>
                <w:u w:val="single"/>
              </w:rPr>
            </w:pPr>
          </w:p>
        </w:tc>
      </w:tr>
      <w:tr w14:paraId="06956B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top"/>
          </w:tcPr>
          <w:p w14:paraId="541C46B8">
            <w:pPr>
              <w:tabs>
                <w:tab w:val="left" w:pos="4680"/>
              </w:tabs>
              <w:spacing w:line="360" w:lineRule="auto"/>
              <w:rPr>
                <w:b/>
                <w:bCs/>
                <w:color w:val="auto"/>
                <w:szCs w:val="21"/>
                <w:highlight w:val="none"/>
                <w:u w:val="single"/>
              </w:rPr>
            </w:pPr>
          </w:p>
        </w:tc>
        <w:tc>
          <w:tcPr>
            <w:tcW w:w="3420" w:type="dxa"/>
            <w:noWrap w:val="0"/>
            <w:vAlign w:val="top"/>
          </w:tcPr>
          <w:p w14:paraId="4A3A21A2">
            <w:pPr>
              <w:tabs>
                <w:tab w:val="left" w:pos="4680"/>
              </w:tabs>
              <w:spacing w:line="360" w:lineRule="auto"/>
              <w:rPr>
                <w:b/>
                <w:bCs/>
                <w:color w:val="auto"/>
                <w:szCs w:val="21"/>
                <w:highlight w:val="none"/>
                <w:u w:val="single"/>
              </w:rPr>
            </w:pPr>
          </w:p>
        </w:tc>
        <w:tc>
          <w:tcPr>
            <w:tcW w:w="4280" w:type="dxa"/>
            <w:noWrap w:val="0"/>
            <w:vAlign w:val="top"/>
          </w:tcPr>
          <w:p w14:paraId="0AD7D84C">
            <w:pPr>
              <w:tabs>
                <w:tab w:val="left" w:pos="4680"/>
              </w:tabs>
              <w:spacing w:line="360" w:lineRule="auto"/>
              <w:rPr>
                <w:b/>
                <w:bCs/>
                <w:color w:val="auto"/>
                <w:szCs w:val="21"/>
                <w:highlight w:val="none"/>
                <w:u w:val="single"/>
              </w:rPr>
            </w:pPr>
          </w:p>
        </w:tc>
      </w:tr>
    </w:tbl>
    <w:p w14:paraId="1F157F1B">
      <w:pPr>
        <w:widowControl/>
        <w:tabs>
          <w:tab w:val="left" w:pos="4680"/>
        </w:tabs>
        <w:spacing w:line="360" w:lineRule="auto"/>
        <w:ind w:firstLine="1200" w:firstLineChars="500"/>
        <w:jc w:val="left"/>
        <w:rPr>
          <w:rFonts w:ascii="宋体" w:hAnsi="宋体" w:eastAsia="宋体" w:cs="宋体"/>
          <w:b/>
          <w:color w:val="auto"/>
          <w:kern w:val="0"/>
          <w:sz w:val="24"/>
          <w:szCs w:val="24"/>
          <w:highlight w:val="none"/>
        </w:rPr>
        <w:sectPr>
          <w:headerReference r:id="rId9" w:type="first"/>
          <w:endnotePr>
            <w:numFmt w:val="decimal"/>
          </w:endnotePr>
          <w:pgSz w:w="11850" w:h="16783"/>
          <w:pgMar w:top="1247" w:right="567" w:bottom="1134" w:left="567" w:header="284" w:footer="284" w:gutter="0"/>
          <w:pgNumType w:fmt="decimal"/>
          <w:cols w:space="720" w:num="1"/>
          <w:titlePg/>
          <w:docGrid w:type="lines" w:linePitch="312" w:charSpace="0"/>
        </w:sectPr>
      </w:pPr>
      <w:r>
        <w:rPr>
          <w:rFonts w:hint="eastAsia" w:ascii="宋体" w:hAnsi="宋体" w:eastAsia="宋体" w:cs="宋体"/>
          <w:color w:val="auto"/>
          <w:kern w:val="0"/>
          <w:sz w:val="24"/>
          <w:szCs w:val="24"/>
          <w:highlight w:val="none"/>
        </w:rPr>
        <w:t xml:space="preserve">评标委员会全体成员签名：                                日期： </w:t>
      </w:r>
    </w:p>
    <w:p w14:paraId="573E5CBD">
      <w:pPr>
        <w:ind w:left="0" w:leftChars="0" w:right="-827" w:rightChars="-394"/>
        <w:rPr>
          <w:rFonts w:hint="eastAsia" w:ascii="宋体" w:hAnsi="宋体" w:eastAsia="宋体"/>
          <w:color w:val="auto"/>
          <w:sz w:val="24"/>
          <w:szCs w:val="24"/>
          <w:highlight w:val="none"/>
        </w:rPr>
      </w:pPr>
    </w:p>
    <w:p w14:paraId="625D6EE2">
      <w:pPr>
        <w:outlineLvl w:val="2"/>
        <w:rPr>
          <w:rFonts w:hint="eastAsia" w:ascii="宋体" w:hAnsi="宋体" w:eastAsia="宋体"/>
          <w:color w:val="auto"/>
          <w:sz w:val="24"/>
          <w:szCs w:val="24"/>
          <w:highlight w:val="none"/>
        </w:rPr>
      </w:pPr>
      <w:bookmarkStart w:id="258" w:name="_Toc18044"/>
      <w:bookmarkStart w:id="259" w:name="_Toc471"/>
      <w:bookmarkStart w:id="260" w:name="_Toc24474"/>
      <w:bookmarkStart w:id="261" w:name="_Toc31445"/>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9</w:t>
      </w:r>
      <w:r>
        <w:rPr>
          <w:rFonts w:hint="eastAsia" w:ascii="宋体" w:hAnsi="宋体" w:eastAsia="宋体"/>
          <w:color w:val="auto"/>
          <w:sz w:val="24"/>
          <w:szCs w:val="24"/>
          <w:highlight w:val="none"/>
        </w:rPr>
        <w:t>（适用于办法</w:t>
      </w:r>
      <w:r>
        <w:rPr>
          <w:rFonts w:hint="eastAsia" w:ascii="宋体" w:hAnsi="宋体" w:eastAsia="宋体"/>
          <w:color w:val="auto"/>
          <w:sz w:val="24"/>
          <w:szCs w:val="24"/>
          <w:highlight w:val="none"/>
          <w:lang w:eastAsia="zh-CN"/>
        </w:rPr>
        <w:t>一</w:t>
      </w:r>
      <w:r>
        <w:rPr>
          <w:rFonts w:hint="eastAsia" w:ascii="宋体" w:hAnsi="宋体" w:eastAsia="宋体"/>
          <w:color w:val="auto"/>
          <w:sz w:val="24"/>
          <w:szCs w:val="24"/>
          <w:highlight w:val="none"/>
        </w:rPr>
        <w:t>）</w:t>
      </w:r>
      <w:bookmarkEnd w:id="258"/>
      <w:bookmarkEnd w:id="259"/>
      <w:bookmarkEnd w:id="260"/>
      <w:bookmarkEnd w:id="261"/>
    </w:p>
    <w:p w14:paraId="4FA85A6B">
      <w:pPr>
        <w:jc w:val="center"/>
        <w:rPr>
          <w:rFonts w:hint="eastAsia" w:ascii="宋体" w:hAnsi="宋体" w:eastAsia="宋体"/>
          <w:b/>
          <w:color w:val="auto"/>
          <w:sz w:val="36"/>
          <w:szCs w:val="36"/>
          <w:highlight w:val="none"/>
        </w:rPr>
      </w:pPr>
      <w:r>
        <w:rPr>
          <w:rFonts w:hint="eastAsia" w:ascii="宋体" w:hAnsi="宋体" w:eastAsia="宋体"/>
          <w:b/>
          <w:color w:val="auto"/>
          <w:sz w:val="36"/>
          <w:szCs w:val="36"/>
          <w:highlight w:val="none"/>
          <w:lang w:eastAsia="zh-CN"/>
        </w:rPr>
        <w:t>技术部分（施工组织方案）</w:t>
      </w:r>
      <w:r>
        <w:rPr>
          <w:rFonts w:hint="eastAsia" w:ascii="宋体" w:hAnsi="宋体" w:eastAsia="宋体"/>
          <w:b/>
          <w:color w:val="auto"/>
          <w:sz w:val="36"/>
          <w:szCs w:val="36"/>
          <w:highlight w:val="none"/>
        </w:rPr>
        <w:t>审查评分表</w:t>
      </w:r>
    </w:p>
    <w:p w14:paraId="1ED48E56">
      <w:pPr>
        <w:rPr>
          <w:rFonts w:hint="eastAsia" w:ascii="宋体" w:hAnsi="宋体" w:eastAsia="宋体"/>
          <w:bCs/>
          <w:color w:val="auto"/>
          <w:szCs w:val="21"/>
          <w:highlight w:val="none"/>
        </w:rPr>
      </w:pPr>
      <w:r>
        <w:rPr>
          <w:rFonts w:hint="eastAsia" w:ascii="宋体" w:hAnsi="宋体" w:eastAsia="宋体"/>
          <w:bCs/>
          <w:color w:val="auto"/>
          <w:szCs w:val="21"/>
          <w:highlight w:val="none"/>
        </w:rPr>
        <w:t>工程名称：</w:t>
      </w:r>
    </w:p>
    <w:tbl>
      <w:tblPr>
        <w:tblStyle w:val="29"/>
        <w:tblW w:w="14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2150"/>
        <w:gridCol w:w="665"/>
        <w:gridCol w:w="9392"/>
      </w:tblGrid>
      <w:tr w14:paraId="2537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030" w:type="dxa"/>
            <w:gridSpan w:val="2"/>
            <w:noWrap w:val="0"/>
            <w:vAlign w:val="center"/>
          </w:tcPr>
          <w:p w14:paraId="4396DA93">
            <w:pPr>
              <w:snapToGrid w:val="0"/>
              <w:jc w:val="center"/>
              <w:rPr>
                <w:rFonts w:ascii="宋体" w:hAnsi="宋体" w:eastAsia="宋体" w:cs="楷体"/>
                <w:color w:val="auto"/>
                <w:szCs w:val="21"/>
                <w:highlight w:val="none"/>
              </w:rPr>
            </w:pPr>
            <w:r>
              <w:rPr>
                <w:rFonts w:hint="eastAsia" w:ascii="宋体" w:hAnsi="宋体" w:eastAsia="宋体" w:cs="楷体"/>
                <w:color w:val="auto"/>
                <w:szCs w:val="21"/>
                <w:highlight w:val="none"/>
              </w:rPr>
              <w:t>评审项目</w:t>
            </w:r>
          </w:p>
        </w:tc>
        <w:tc>
          <w:tcPr>
            <w:tcW w:w="665" w:type="dxa"/>
            <w:noWrap w:val="0"/>
            <w:vAlign w:val="center"/>
          </w:tcPr>
          <w:p w14:paraId="682C8342">
            <w:pPr>
              <w:snapToGrid w:val="0"/>
              <w:jc w:val="center"/>
              <w:rPr>
                <w:rFonts w:ascii="宋体" w:hAnsi="宋体" w:eastAsia="宋体" w:cs="楷体"/>
                <w:color w:val="auto"/>
                <w:szCs w:val="21"/>
                <w:highlight w:val="none"/>
              </w:rPr>
            </w:pPr>
            <w:r>
              <w:rPr>
                <w:rFonts w:hint="eastAsia" w:ascii="宋体" w:hAnsi="宋体" w:eastAsia="宋体" w:cs="楷体"/>
                <w:color w:val="auto"/>
                <w:szCs w:val="21"/>
                <w:highlight w:val="none"/>
              </w:rPr>
              <w:t>分值</w:t>
            </w:r>
          </w:p>
        </w:tc>
        <w:tc>
          <w:tcPr>
            <w:tcW w:w="9392" w:type="dxa"/>
            <w:noWrap w:val="0"/>
            <w:vAlign w:val="center"/>
          </w:tcPr>
          <w:p w14:paraId="3C167C17">
            <w:pPr>
              <w:snapToGrid w:val="0"/>
              <w:jc w:val="center"/>
              <w:rPr>
                <w:rFonts w:ascii="宋体" w:hAnsi="宋体" w:eastAsia="宋体" w:cs="楷体"/>
                <w:color w:val="auto"/>
                <w:szCs w:val="21"/>
                <w:highlight w:val="none"/>
              </w:rPr>
            </w:pPr>
            <w:r>
              <w:rPr>
                <w:rFonts w:hint="eastAsia" w:ascii="宋体" w:hAnsi="宋体" w:eastAsia="宋体" w:cs="楷体"/>
                <w:color w:val="auto"/>
                <w:szCs w:val="21"/>
                <w:highlight w:val="none"/>
              </w:rPr>
              <w:t>编制要求</w:t>
            </w:r>
          </w:p>
        </w:tc>
      </w:tr>
      <w:tr w14:paraId="73E4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030" w:type="dxa"/>
            <w:gridSpan w:val="2"/>
            <w:noWrap w:val="0"/>
            <w:vAlign w:val="center"/>
          </w:tcPr>
          <w:p w14:paraId="23EB0C9C">
            <w:pPr>
              <w:snapToGrid w:val="0"/>
              <w:jc w:val="center"/>
              <w:rPr>
                <w:rFonts w:ascii="宋体" w:hAnsi="宋体" w:eastAsia="宋体" w:cs="楷体"/>
                <w:color w:val="auto"/>
                <w:szCs w:val="21"/>
                <w:highlight w:val="none"/>
              </w:rPr>
            </w:pPr>
            <w:r>
              <w:rPr>
                <w:rFonts w:hint="eastAsia" w:ascii="宋体" w:hAnsi="宋体" w:eastAsia="宋体" w:cs="楷体"/>
                <w:color w:val="auto"/>
                <w:szCs w:val="21"/>
                <w:highlight w:val="none"/>
              </w:rPr>
              <w:t>第一章 概况（5分）</w:t>
            </w:r>
          </w:p>
        </w:tc>
        <w:tc>
          <w:tcPr>
            <w:tcW w:w="665" w:type="dxa"/>
            <w:noWrap w:val="0"/>
            <w:vAlign w:val="center"/>
          </w:tcPr>
          <w:p w14:paraId="72116A3A">
            <w:pPr>
              <w:snapToGrid w:val="0"/>
              <w:jc w:val="center"/>
              <w:rPr>
                <w:rFonts w:ascii="宋体" w:hAnsi="宋体" w:eastAsia="宋体" w:cs="楷体"/>
                <w:color w:val="auto"/>
                <w:szCs w:val="21"/>
                <w:highlight w:val="none"/>
              </w:rPr>
            </w:pPr>
            <w:r>
              <w:rPr>
                <w:rFonts w:hint="eastAsia" w:ascii="宋体" w:hAnsi="宋体" w:eastAsia="宋体" w:cs="楷体"/>
                <w:color w:val="auto"/>
                <w:szCs w:val="21"/>
                <w:highlight w:val="none"/>
              </w:rPr>
              <w:t>5分</w:t>
            </w:r>
          </w:p>
        </w:tc>
        <w:tc>
          <w:tcPr>
            <w:tcW w:w="9392" w:type="dxa"/>
            <w:noWrap w:val="0"/>
            <w:vAlign w:val="center"/>
          </w:tcPr>
          <w:p w14:paraId="6992AEB2">
            <w:pPr>
              <w:snapToGrid w:val="0"/>
              <w:rPr>
                <w:rFonts w:ascii="宋体" w:hAnsi="宋体" w:eastAsia="宋体" w:cs="楷体"/>
                <w:color w:val="auto"/>
                <w:szCs w:val="21"/>
                <w:highlight w:val="none"/>
              </w:rPr>
            </w:pPr>
            <w:r>
              <w:rPr>
                <w:rFonts w:hint="eastAsia" w:ascii="宋体" w:hAnsi="宋体" w:eastAsia="宋体" w:cs="楷体"/>
                <w:color w:val="auto"/>
                <w:szCs w:val="21"/>
                <w:highlight w:val="none"/>
              </w:rPr>
              <w:t>概况内容全面、概括性强，包括工程概况、工程范围、编制依据。（内容完整者得4分，优者加1分，良者加0.5分；无相关内容</w:t>
            </w:r>
            <w:r>
              <w:rPr>
                <w:rFonts w:hint="eastAsia" w:ascii="宋体" w:hAnsi="宋体" w:eastAsia="宋体" w:cs="楷体"/>
                <w:color w:val="auto"/>
                <w:szCs w:val="21"/>
                <w:highlight w:val="none"/>
                <w:lang w:eastAsia="zh-CN"/>
              </w:rPr>
              <w:t>或内容不完整</w:t>
            </w:r>
            <w:r>
              <w:rPr>
                <w:rFonts w:hint="eastAsia" w:ascii="宋体" w:hAnsi="宋体" w:eastAsia="宋体" w:cs="楷体"/>
                <w:color w:val="auto"/>
                <w:szCs w:val="21"/>
                <w:highlight w:val="none"/>
              </w:rPr>
              <w:t>者得0分；本项最高得分5分）</w:t>
            </w:r>
          </w:p>
        </w:tc>
      </w:tr>
      <w:tr w14:paraId="4785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880" w:type="dxa"/>
            <w:vMerge w:val="restart"/>
            <w:noWrap w:val="0"/>
            <w:vAlign w:val="center"/>
          </w:tcPr>
          <w:p w14:paraId="5CF13711">
            <w:pPr>
              <w:snapToGrid w:val="0"/>
              <w:jc w:val="center"/>
              <w:rPr>
                <w:rFonts w:ascii="宋体" w:hAnsi="宋体" w:eastAsia="宋体" w:cs="楷体"/>
                <w:color w:val="auto"/>
                <w:szCs w:val="21"/>
                <w:highlight w:val="none"/>
              </w:rPr>
            </w:pPr>
            <w:r>
              <w:rPr>
                <w:rFonts w:hint="eastAsia" w:ascii="宋体" w:hAnsi="宋体" w:eastAsia="宋体" w:cs="楷体"/>
                <w:color w:val="auto"/>
                <w:szCs w:val="21"/>
                <w:highlight w:val="none"/>
              </w:rPr>
              <w:t>第二章 工作目标与组织架构（5分）</w:t>
            </w:r>
          </w:p>
        </w:tc>
        <w:tc>
          <w:tcPr>
            <w:tcW w:w="2150" w:type="dxa"/>
            <w:noWrap w:val="0"/>
            <w:vAlign w:val="center"/>
          </w:tcPr>
          <w:p w14:paraId="41ABC8EC">
            <w:pPr>
              <w:snapToGrid w:val="0"/>
              <w:jc w:val="center"/>
              <w:rPr>
                <w:rFonts w:ascii="宋体" w:hAnsi="宋体" w:eastAsia="宋体" w:cs="楷体"/>
                <w:color w:val="auto"/>
                <w:szCs w:val="21"/>
                <w:highlight w:val="none"/>
              </w:rPr>
            </w:pPr>
            <w:r>
              <w:rPr>
                <w:rFonts w:hint="eastAsia" w:ascii="宋体" w:hAnsi="宋体" w:eastAsia="宋体" w:cs="楷体"/>
                <w:color w:val="auto"/>
                <w:szCs w:val="21"/>
                <w:highlight w:val="none"/>
              </w:rPr>
              <w:t>工作目标</w:t>
            </w:r>
          </w:p>
        </w:tc>
        <w:tc>
          <w:tcPr>
            <w:tcW w:w="665" w:type="dxa"/>
            <w:vMerge w:val="restart"/>
            <w:noWrap w:val="0"/>
            <w:vAlign w:val="center"/>
          </w:tcPr>
          <w:p w14:paraId="6CFA6CC3">
            <w:pPr>
              <w:snapToGrid w:val="0"/>
              <w:jc w:val="center"/>
              <w:rPr>
                <w:rFonts w:ascii="宋体" w:hAnsi="宋体" w:eastAsia="宋体" w:cs="楷体"/>
                <w:color w:val="auto"/>
                <w:szCs w:val="21"/>
                <w:highlight w:val="none"/>
              </w:rPr>
            </w:pPr>
            <w:r>
              <w:rPr>
                <w:rFonts w:hint="eastAsia" w:ascii="宋体" w:hAnsi="宋体" w:eastAsia="宋体" w:cs="楷体"/>
                <w:color w:val="auto"/>
                <w:szCs w:val="21"/>
                <w:highlight w:val="none"/>
              </w:rPr>
              <w:t>5分</w:t>
            </w:r>
          </w:p>
        </w:tc>
        <w:tc>
          <w:tcPr>
            <w:tcW w:w="9392" w:type="dxa"/>
            <w:vMerge w:val="restart"/>
            <w:noWrap w:val="0"/>
            <w:vAlign w:val="center"/>
          </w:tcPr>
          <w:p w14:paraId="27C7AF73">
            <w:pPr>
              <w:snapToGrid w:val="0"/>
              <w:rPr>
                <w:rFonts w:ascii="宋体" w:hAnsi="宋体" w:eastAsia="宋体" w:cs="楷体"/>
                <w:color w:val="auto"/>
                <w:szCs w:val="21"/>
                <w:highlight w:val="none"/>
              </w:rPr>
            </w:pPr>
            <w:r>
              <w:rPr>
                <w:rFonts w:hint="eastAsia" w:ascii="宋体" w:hAnsi="宋体" w:eastAsia="宋体" w:cs="楷体"/>
                <w:color w:val="auto"/>
                <w:szCs w:val="21"/>
                <w:highlight w:val="none"/>
              </w:rPr>
              <w:t>了解项目总体情况，编制项目的总体目标、施工目标、质量目标和工期目标；编制合理的组织架构，满足项目需要。（内容完整者得4分，优者加1分，良者加0.5分；无相关内容者得0分；本项最高得分5分）</w:t>
            </w:r>
          </w:p>
        </w:tc>
      </w:tr>
      <w:tr w14:paraId="14CB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880" w:type="dxa"/>
            <w:vMerge w:val="continue"/>
            <w:noWrap w:val="0"/>
            <w:vAlign w:val="center"/>
          </w:tcPr>
          <w:p w14:paraId="6A14197A">
            <w:pPr>
              <w:snapToGrid w:val="0"/>
              <w:jc w:val="center"/>
              <w:rPr>
                <w:rFonts w:ascii="宋体" w:hAnsi="宋体" w:eastAsia="宋体" w:cs="楷体"/>
                <w:color w:val="auto"/>
                <w:szCs w:val="21"/>
                <w:highlight w:val="none"/>
              </w:rPr>
            </w:pPr>
          </w:p>
        </w:tc>
        <w:tc>
          <w:tcPr>
            <w:tcW w:w="2150" w:type="dxa"/>
            <w:noWrap w:val="0"/>
            <w:vAlign w:val="center"/>
          </w:tcPr>
          <w:p w14:paraId="26771622">
            <w:pPr>
              <w:snapToGrid w:val="0"/>
              <w:jc w:val="center"/>
              <w:rPr>
                <w:rFonts w:ascii="宋体" w:hAnsi="宋体" w:eastAsia="宋体" w:cs="楷体"/>
                <w:color w:val="auto"/>
                <w:szCs w:val="21"/>
                <w:highlight w:val="none"/>
              </w:rPr>
            </w:pPr>
            <w:r>
              <w:rPr>
                <w:rFonts w:hint="eastAsia" w:ascii="宋体" w:hAnsi="宋体" w:eastAsia="宋体" w:cs="楷体"/>
                <w:color w:val="auto"/>
                <w:szCs w:val="21"/>
                <w:highlight w:val="none"/>
              </w:rPr>
              <w:t>组织架构</w:t>
            </w:r>
          </w:p>
        </w:tc>
        <w:tc>
          <w:tcPr>
            <w:tcW w:w="665" w:type="dxa"/>
            <w:vMerge w:val="continue"/>
            <w:noWrap w:val="0"/>
            <w:vAlign w:val="center"/>
          </w:tcPr>
          <w:p w14:paraId="018D9F7B">
            <w:pPr>
              <w:snapToGrid w:val="0"/>
              <w:jc w:val="center"/>
              <w:rPr>
                <w:rFonts w:ascii="宋体" w:hAnsi="宋体" w:eastAsia="宋体" w:cs="楷体"/>
                <w:color w:val="auto"/>
                <w:szCs w:val="21"/>
                <w:highlight w:val="none"/>
              </w:rPr>
            </w:pPr>
          </w:p>
        </w:tc>
        <w:tc>
          <w:tcPr>
            <w:tcW w:w="9392" w:type="dxa"/>
            <w:vMerge w:val="continue"/>
            <w:noWrap w:val="0"/>
            <w:vAlign w:val="center"/>
          </w:tcPr>
          <w:p w14:paraId="6AEB938A">
            <w:pPr>
              <w:snapToGrid w:val="0"/>
              <w:rPr>
                <w:rFonts w:ascii="宋体" w:hAnsi="宋体" w:eastAsia="宋体" w:cs="楷体"/>
                <w:color w:val="auto"/>
                <w:szCs w:val="21"/>
                <w:highlight w:val="none"/>
              </w:rPr>
            </w:pPr>
          </w:p>
        </w:tc>
      </w:tr>
      <w:tr w14:paraId="14DF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030" w:type="dxa"/>
            <w:gridSpan w:val="2"/>
            <w:noWrap w:val="0"/>
            <w:vAlign w:val="center"/>
          </w:tcPr>
          <w:p w14:paraId="6FA9142A">
            <w:pPr>
              <w:snapToGrid w:val="0"/>
              <w:jc w:val="center"/>
              <w:rPr>
                <w:rFonts w:ascii="宋体" w:hAnsi="宋体" w:eastAsia="宋体" w:cs="楷体"/>
                <w:color w:val="auto"/>
                <w:szCs w:val="21"/>
                <w:highlight w:val="none"/>
              </w:rPr>
            </w:pPr>
            <w:r>
              <w:rPr>
                <w:rFonts w:hint="eastAsia" w:ascii="宋体" w:hAnsi="宋体" w:eastAsia="宋体" w:cs="楷体"/>
                <w:color w:val="auto"/>
                <w:szCs w:val="21"/>
                <w:highlight w:val="none"/>
              </w:rPr>
              <w:t>第三章 现状调查与分析（15分）</w:t>
            </w:r>
          </w:p>
        </w:tc>
        <w:tc>
          <w:tcPr>
            <w:tcW w:w="665" w:type="dxa"/>
            <w:noWrap w:val="0"/>
            <w:vAlign w:val="center"/>
          </w:tcPr>
          <w:p w14:paraId="4D01D739">
            <w:pPr>
              <w:snapToGrid w:val="0"/>
              <w:jc w:val="center"/>
              <w:rPr>
                <w:rFonts w:ascii="宋体" w:hAnsi="宋体" w:eastAsia="宋体" w:cs="楷体"/>
                <w:color w:val="auto"/>
                <w:szCs w:val="21"/>
                <w:highlight w:val="none"/>
              </w:rPr>
            </w:pPr>
            <w:r>
              <w:rPr>
                <w:rFonts w:hint="eastAsia" w:ascii="宋体" w:hAnsi="宋体" w:eastAsia="宋体" w:cs="楷体"/>
                <w:color w:val="auto"/>
                <w:szCs w:val="21"/>
                <w:highlight w:val="none"/>
              </w:rPr>
              <w:t>15分</w:t>
            </w:r>
          </w:p>
        </w:tc>
        <w:tc>
          <w:tcPr>
            <w:tcW w:w="9392" w:type="dxa"/>
            <w:noWrap w:val="0"/>
            <w:vAlign w:val="center"/>
          </w:tcPr>
          <w:p w14:paraId="2DC14CA1">
            <w:pPr>
              <w:snapToGrid w:val="0"/>
              <w:rPr>
                <w:rFonts w:ascii="宋体" w:hAnsi="宋体" w:eastAsia="宋体" w:cs="楷体"/>
                <w:color w:val="auto"/>
                <w:szCs w:val="21"/>
                <w:highlight w:val="none"/>
              </w:rPr>
            </w:pPr>
            <w:r>
              <w:rPr>
                <w:rFonts w:hint="eastAsia" w:ascii="宋体" w:hAnsi="宋体" w:eastAsia="宋体" w:cs="楷体"/>
                <w:color w:val="auto"/>
                <w:szCs w:val="21"/>
                <w:highlight w:val="none"/>
              </w:rPr>
              <w:t>正确理解规划建设意图，对项目现状摸查充分；熟悉项目情况，能深入、合理地分析项目的具体特性，针对周边的区位条件、景观资源、植物现状等情况制定全面、合理的施工方案和处理措施。（内容完整者得12分，优者加3分，良者加1.5分；无相关内容者得0分；本项最高得分15分）</w:t>
            </w:r>
          </w:p>
        </w:tc>
      </w:tr>
      <w:tr w14:paraId="2AC5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880" w:type="dxa"/>
            <w:vMerge w:val="restart"/>
            <w:noWrap w:val="0"/>
            <w:vAlign w:val="center"/>
          </w:tcPr>
          <w:p w14:paraId="0C7FCC1A">
            <w:pPr>
              <w:snapToGrid w:val="0"/>
              <w:jc w:val="center"/>
              <w:rPr>
                <w:rFonts w:ascii="宋体" w:hAnsi="宋体" w:eastAsia="宋体" w:cs="楷体"/>
                <w:color w:val="auto"/>
                <w:szCs w:val="21"/>
                <w:highlight w:val="none"/>
              </w:rPr>
            </w:pPr>
            <w:r>
              <w:rPr>
                <w:rFonts w:hint="eastAsia" w:ascii="宋体" w:hAnsi="宋体" w:eastAsia="宋体" w:cs="楷体"/>
                <w:color w:val="auto"/>
                <w:szCs w:val="21"/>
                <w:highlight w:val="none"/>
              </w:rPr>
              <w:t>第四章 实施方案</w:t>
            </w:r>
            <w:bookmarkStart w:id="262" w:name="_Toc118295329"/>
            <w:r>
              <w:rPr>
                <w:rFonts w:hint="eastAsia" w:ascii="宋体" w:hAnsi="宋体" w:eastAsia="宋体" w:cs="楷体"/>
                <w:color w:val="auto"/>
                <w:szCs w:val="21"/>
                <w:highlight w:val="none"/>
              </w:rPr>
              <w:t>（65分）</w:t>
            </w:r>
            <w:bookmarkEnd w:id="262"/>
          </w:p>
        </w:tc>
        <w:tc>
          <w:tcPr>
            <w:tcW w:w="2150" w:type="dxa"/>
            <w:noWrap w:val="0"/>
            <w:vAlign w:val="center"/>
          </w:tcPr>
          <w:p w14:paraId="03A5B870">
            <w:pPr>
              <w:snapToGrid w:val="0"/>
              <w:jc w:val="center"/>
              <w:rPr>
                <w:rFonts w:ascii="宋体" w:hAnsi="宋体" w:eastAsia="宋体" w:cs="楷体"/>
                <w:color w:val="auto"/>
                <w:szCs w:val="21"/>
                <w:highlight w:val="none"/>
              </w:rPr>
            </w:pPr>
            <w:r>
              <w:rPr>
                <w:rFonts w:hint="eastAsia" w:ascii="宋体" w:hAnsi="宋体" w:eastAsia="宋体" w:cs="楷体"/>
                <w:color w:val="auto"/>
                <w:szCs w:val="21"/>
                <w:highlight w:val="none"/>
              </w:rPr>
              <w:t>施工总体进度计划</w:t>
            </w:r>
          </w:p>
        </w:tc>
        <w:tc>
          <w:tcPr>
            <w:tcW w:w="665" w:type="dxa"/>
            <w:noWrap w:val="0"/>
            <w:vAlign w:val="center"/>
          </w:tcPr>
          <w:p w14:paraId="5BEFB0A8">
            <w:pPr>
              <w:snapToGrid w:val="0"/>
              <w:jc w:val="center"/>
              <w:rPr>
                <w:rFonts w:ascii="宋体" w:hAnsi="宋体" w:eastAsia="宋体" w:cs="楷体"/>
                <w:strike/>
                <w:color w:val="auto"/>
                <w:szCs w:val="21"/>
                <w:highlight w:val="none"/>
              </w:rPr>
            </w:pPr>
            <w:r>
              <w:rPr>
                <w:rFonts w:hint="eastAsia" w:ascii="宋体" w:hAnsi="宋体" w:eastAsia="宋体" w:cs="楷体"/>
                <w:color w:val="auto"/>
                <w:szCs w:val="21"/>
                <w:highlight w:val="none"/>
              </w:rPr>
              <w:t>5分</w:t>
            </w:r>
          </w:p>
        </w:tc>
        <w:tc>
          <w:tcPr>
            <w:tcW w:w="9392" w:type="dxa"/>
            <w:noWrap w:val="0"/>
            <w:vAlign w:val="center"/>
          </w:tcPr>
          <w:p w14:paraId="55385929">
            <w:pPr>
              <w:snapToGrid w:val="0"/>
              <w:rPr>
                <w:rFonts w:ascii="宋体" w:hAnsi="宋体" w:eastAsia="宋体" w:cs="楷体"/>
                <w:color w:val="auto"/>
                <w:szCs w:val="21"/>
                <w:highlight w:val="none"/>
              </w:rPr>
            </w:pPr>
            <w:r>
              <w:rPr>
                <w:rFonts w:hint="eastAsia" w:ascii="宋体" w:hAnsi="宋体" w:eastAsia="宋体" w:cs="楷体"/>
                <w:color w:val="auto"/>
                <w:szCs w:val="21"/>
                <w:highlight w:val="none"/>
              </w:rPr>
              <w:t>施工总体进度计划明确、具体、科学可靠，符合项目需求，且制定保障措施。（内容完整者得4分，优者加1分，良者加0.5分；无相关内容者得0分；本项最高得分5分）</w:t>
            </w:r>
          </w:p>
        </w:tc>
      </w:tr>
      <w:tr w14:paraId="2EFF3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880" w:type="dxa"/>
            <w:vMerge w:val="continue"/>
            <w:noWrap w:val="0"/>
            <w:vAlign w:val="center"/>
          </w:tcPr>
          <w:p w14:paraId="1C893A19">
            <w:pPr>
              <w:snapToGrid w:val="0"/>
              <w:jc w:val="center"/>
              <w:rPr>
                <w:rFonts w:ascii="宋体" w:hAnsi="宋体" w:eastAsia="宋体" w:cs="楷体"/>
                <w:color w:val="auto"/>
                <w:szCs w:val="21"/>
                <w:highlight w:val="none"/>
              </w:rPr>
            </w:pPr>
          </w:p>
        </w:tc>
        <w:tc>
          <w:tcPr>
            <w:tcW w:w="2150" w:type="dxa"/>
            <w:noWrap w:val="0"/>
            <w:vAlign w:val="center"/>
          </w:tcPr>
          <w:p w14:paraId="31112D57">
            <w:pPr>
              <w:snapToGrid w:val="0"/>
              <w:jc w:val="center"/>
              <w:rPr>
                <w:rFonts w:ascii="宋体" w:hAnsi="宋体" w:eastAsia="宋体" w:cs="楷体"/>
                <w:color w:val="auto"/>
                <w:szCs w:val="21"/>
                <w:highlight w:val="none"/>
              </w:rPr>
            </w:pPr>
            <w:r>
              <w:rPr>
                <w:rFonts w:hint="eastAsia" w:ascii="宋体" w:hAnsi="宋体" w:eastAsia="宋体" w:cs="楷体"/>
                <w:color w:val="auto"/>
                <w:szCs w:val="21"/>
                <w:highlight w:val="none"/>
              </w:rPr>
              <w:t>施工组织与部署</w:t>
            </w:r>
          </w:p>
        </w:tc>
        <w:tc>
          <w:tcPr>
            <w:tcW w:w="665" w:type="dxa"/>
            <w:vMerge w:val="restart"/>
            <w:noWrap w:val="0"/>
            <w:vAlign w:val="center"/>
          </w:tcPr>
          <w:p w14:paraId="232B4260">
            <w:pPr>
              <w:snapToGrid w:val="0"/>
              <w:jc w:val="center"/>
              <w:rPr>
                <w:rFonts w:ascii="宋体" w:hAnsi="宋体" w:eastAsia="宋体" w:cs="楷体"/>
                <w:color w:val="auto"/>
                <w:szCs w:val="21"/>
                <w:highlight w:val="none"/>
              </w:rPr>
            </w:pPr>
            <w:r>
              <w:rPr>
                <w:rFonts w:hint="eastAsia" w:ascii="宋体" w:hAnsi="宋体" w:eastAsia="宋体" w:cs="楷体"/>
                <w:color w:val="auto"/>
                <w:szCs w:val="21"/>
                <w:highlight w:val="none"/>
              </w:rPr>
              <w:t>10分</w:t>
            </w:r>
          </w:p>
        </w:tc>
        <w:tc>
          <w:tcPr>
            <w:tcW w:w="9392" w:type="dxa"/>
            <w:vMerge w:val="restart"/>
            <w:noWrap w:val="0"/>
            <w:vAlign w:val="center"/>
          </w:tcPr>
          <w:p w14:paraId="2CC6365C">
            <w:pPr>
              <w:snapToGrid w:val="0"/>
              <w:rPr>
                <w:rFonts w:ascii="宋体" w:hAnsi="宋体" w:eastAsia="宋体" w:cs="楷体"/>
                <w:color w:val="auto"/>
                <w:szCs w:val="21"/>
                <w:highlight w:val="none"/>
              </w:rPr>
            </w:pPr>
            <w:r>
              <w:rPr>
                <w:rFonts w:hint="eastAsia" w:ascii="宋体" w:hAnsi="宋体" w:eastAsia="宋体" w:cs="楷体"/>
                <w:color w:val="auto"/>
                <w:szCs w:val="21"/>
                <w:highlight w:val="none"/>
              </w:rPr>
              <w:t>1、施工组织内容合理，包括主要工程项目施工方法； 2、施工投入人力物资合理充足；3、能有效保障劳动者合法权益。（内容完整者得8分，优者加2分，良者加1分；无相关内容者得0分；本项最高得分10分）。</w:t>
            </w:r>
          </w:p>
        </w:tc>
      </w:tr>
      <w:tr w14:paraId="5A12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880" w:type="dxa"/>
            <w:vMerge w:val="continue"/>
            <w:noWrap w:val="0"/>
            <w:vAlign w:val="center"/>
          </w:tcPr>
          <w:p w14:paraId="7128C123">
            <w:pPr>
              <w:snapToGrid w:val="0"/>
              <w:jc w:val="center"/>
              <w:rPr>
                <w:rFonts w:ascii="宋体" w:hAnsi="宋体" w:eastAsia="宋体" w:cs="楷体"/>
                <w:color w:val="auto"/>
                <w:szCs w:val="21"/>
                <w:highlight w:val="none"/>
              </w:rPr>
            </w:pPr>
          </w:p>
        </w:tc>
        <w:tc>
          <w:tcPr>
            <w:tcW w:w="2150" w:type="dxa"/>
            <w:noWrap w:val="0"/>
            <w:vAlign w:val="center"/>
          </w:tcPr>
          <w:p w14:paraId="70876237">
            <w:pPr>
              <w:snapToGrid w:val="0"/>
              <w:jc w:val="center"/>
              <w:rPr>
                <w:rFonts w:ascii="宋体" w:hAnsi="宋体" w:eastAsia="宋体" w:cs="楷体"/>
                <w:color w:val="auto"/>
                <w:szCs w:val="21"/>
                <w:highlight w:val="none"/>
              </w:rPr>
            </w:pPr>
            <w:r>
              <w:rPr>
                <w:rFonts w:hint="eastAsia" w:ascii="宋体" w:hAnsi="宋体" w:eastAsia="宋体" w:cs="楷体"/>
                <w:color w:val="auto"/>
                <w:szCs w:val="21"/>
                <w:highlight w:val="none"/>
              </w:rPr>
              <w:t>主要工程项目施工方法</w:t>
            </w:r>
          </w:p>
        </w:tc>
        <w:tc>
          <w:tcPr>
            <w:tcW w:w="665" w:type="dxa"/>
            <w:vMerge w:val="continue"/>
            <w:noWrap w:val="0"/>
            <w:vAlign w:val="center"/>
          </w:tcPr>
          <w:p w14:paraId="49BBBA1F">
            <w:pPr>
              <w:snapToGrid w:val="0"/>
              <w:jc w:val="center"/>
              <w:rPr>
                <w:rFonts w:ascii="宋体" w:hAnsi="宋体" w:eastAsia="宋体" w:cs="楷体"/>
                <w:color w:val="auto"/>
                <w:szCs w:val="21"/>
                <w:highlight w:val="none"/>
              </w:rPr>
            </w:pPr>
          </w:p>
        </w:tc>
        <w:tc>
          <w:tcPr>
            <w:tcW w:w="9392" w:type="dxa"/>
            <w:vMerge w:val="continue"/>
            <w:noWrap w:val="0"/>
            <w:vAlign w:val="center"/>
          </w:tcPr>
          <w:p w14:paraId="2D6022A3">
            <w:pPr>
              <w:snapToGrid w:val="0"/>
              <w:rPr>
                <w:rFonts w:ascii="宋体" w:hAnsi="宋体" w:eastAsia="宋体" w:cs="楷体"/>
                <w:color w:val="auto"/>
                <w:szCs w:val="21"/>
                <w:highlight w:val="none"/>
              </w:rPr>
            </w:pPr>
          </w:p>
        </w:tc>
      </w:tr>
      <w:tr w14:paraId="0E203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880" w:type="dxa"/>
            <w:vMerge w:val="continue"/>
            <w:noWrap w:val="0"/>
            <w:vAlign w:val="center"/>
          </w:tcPr>
          <w:p w14:paraId="54D966A3">
            <w:pPr>
              <w:snapToGrid w:val="0"/>
              <w:jc w:val="center"/>
              <w:rPr>
                <w:rFonts w:ascii="宋体" w:hAnsi="宋体" w:eastAsia="宋体" w:cs="楷体"/>
                <w:color w:val="auto"/>
                <w:szCs w:val="21"/>
                <w:highlight w:val="none"/>
              </w:rPr>
            </w:pPr>
          </w:p>
        </w:tc>
        <w:tc>
          <w:tcPr>
            <w:tcW w:w="2150" w:type="dxa"/>
            <w:noWrap w:val="0"/>
            <w:vAlign w:val="center"/>
          </w:tcPr>
          <w:p w14:paraId="0421B5F3">
            <w:pPr>
              <w:snapToGrid w:val="0"/>
              <w:jc w:val="center"/>
              <w:rPr>
                <w:rFonts w:ascii="宋体" w:hAnsi="宋体" w:eastAsia="宋体" w:cs="楷体"/>
                <w:color w:val="auto"/>
                <w:szCs w:val="21"/>
                <w:highlight w:val="none"/>
              </w:rPr>
            </w:pPr>
            <w:r>
              <w:rPr>
                <w:rFonts w:hint="eastAsia" w:ascii="宋体" w:hAnsi="宋体" w:eastAsia="宋体" w:cs="楷体"/>
                <w:color w:val="auto"/>
                <w:szCs w:val="21"/>
                <w:highlight w:val="none"/>
              </w:rPr>
              <w:t>施工投入（人、机、材等）</w:t>
            </w:r>
          </w:p>
        </w:tc>
        <w:tc>
          <w:tcPr>
            <w:tcW w:w="665" w:type="dxa"/>
            <w:vMerge w:val="continue"/>
            <w:noWrap w:val="0"/>
            <w:vAlign w:val="center"/>
          </w:tcPr>
          <w:p w14:paraId="535E82F3">
            <w:pPr>
              <w:snapToGrid w:val="0"/>
              <w:jc w:val="center"/>
              <w:rPr>
                <w:rFonts w:ascii="宋体" w:hAnsi="宋体" w:eastAsia="宋体" w:cs="楷体"/>
                <w:color w:val="auto"/>
                <w:szCs w:val="21"/>
                <w:highlight w:val="none"/>
              </w:rPr>
            </w:pPr>
          </w:p>
        </w:tc>
        <w:tc>
          <w:tcPr>
            <w:tcW w:w="9392" w:type="dxa"/>
            <w:vMerge w:val="continue"/>
            <w:noWrap w:val="0"/>
            <w:vAlign w:val="center"/>
          </w:tcPr>
          <w:p w14:paraId="3B23805B">
            <w:pPr>
              <w:snapToGrid w:val="0"/>
              <w:rPr>
                <w:rFonts w:ascii="宋体" w:hAnsi="宋体" w:eastAsia="宋体" w:cs="楷体"/>
                <w:color w:val="auto"/>
                <w:szCs w:val="21"/>
                <w:highlight w:val="none"/>
              </w:rPr>
            </w:pPr>
          </w:p>
        </w:tc>
      </w:tr>
      <w:tr w14:paraId="3176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880" w:type="dxa"/>
            <w:vMerge w:val="continue"/>
            <w:noWrap w:val="0"/>
            <w:vAlign w:val="center"/>
          </w:tcPr>
          <w:p w14:paraId="637486A0">
            <w:pPr>
              <w:snapToGrid w:val="0"/>
              <w:jc w:val="center"/>
              <w:rPr>
                <w:rFonts w:ascii="宋体" w:hAnsi="宋体" w:eastAsia="宋体" w:cs="楷体"/>
                <w:color w:val="auto"/>
                <w:szCs w:val="21"/>
                <w:highlight w:val="none"/>
              </w:rPr>
            </w:pPr>
          </w:p>
        </w:tc>
        <w:tc>
          <w:tcPr>
            <w:tcW w:w="2150" w:type="dxa"/>
            <w:noWrap w:val="0"/>
            <w:vAlign w:val="center"/>
          </w:tcPr>
          <w:p w14:paraId="623109A0">
            <w:pPr>
              <w:snapToGrid w:val="0"/>
              <w:jc w:val="center"/>
              <w:rPr>
                <w:rFonts w:ascii="宋体" w:hAnsi="宋体" w:eastAsia="宋体" w:cs="楷体"/>
                <w:color w:val="auto"/>
                <w:szCs w:val="21"/>
                <w:highlight w:val="none"/>
              </w:rPr>
            </w:pPr>
            <w:r>
              <w:rPr>
                <w:rFonts w:hint="eastAsia" w:ascii="宋体" w:hAnsi="宋体" w:eastAsia="宋体" w:cs="楷体"/>
                <w:color w:val="auto"/>
                <w:szCs w:val="21"/>
                <w:highlight w:val="none"/>
              </w:rPr>
              <w:t>材料采购计划</w:t>
            </w:r>
          </w:p>
        </w:tc>
        <w:tc>
          <w:tcPr>
            <w:tcW w:w="665" w:type="dxa"/>
            <w:noWrap w:val="0"/>
            <w:vAlign w:val="center"/>
          </w:tcPr>
          <w:p w14:paraId="2E732B9C">
            <w:pPr>
              <w:snapToGrid w:val="0"/>
              <w:jc w:val="center"/>
              <w:rPr>
                <w:rFonts w:ascii="宋体" w:hAnsi="宋体" w:eastAsia="宋体" w:cs="楷体"/>
                <w:color w:val="auto"/>
                <w:szCs w:val="21"/>
                <w:highlight w:val="none"/>
              </w:rPr>
            </w:pPr>
            <w:r>
              <w:rPr>
                <w:rFonts w:hint="eastAsia" w:ascii="宋体" w:hAnsi="宋体" w:eastAsia="宋体" w:cs="楷体"/>
                <w:color w:val="auto"/>
                <w:szCs w:val="21"/>
                <w:highlight w:val="none"/>
              </w:rPr>
              <w:t>10分</w:t>
            </w:r>
          </w:p>
        </w:tc>
        <w:tc>
          <w:tcPr>
            <w:tcW w:w="9392" w:type="dxa"/>
            <w:noWrap w:val="0"/>
            <w:vAlign w:val="center"/>
          </w:tcPr>
          <w:p w14:paraId="309DDAE6">
            <w:pPr>
              <w:snapToGrid w:val="0"/>
              <w:rPr>
                <w:rFonts w:ascii="宋体" w:hAnsi="宋体" w:eastAsia="宋体" w:cs="楷体"/>
                <w:color w:val="auto"/>
                <w:szCs w:val="21"/>
                <w:highlight w:val="none"/>
              </w:rPr>
            </w:pPr>
            <w:r>
              <w:rPr>
                <w:rFonts w:hint="eastAsia" w:ascii="宋体" w:hAnsi="宋体" w:eastAsia="宋体" w:cs="楷体"/>
                <w:color w:val="auto"/>
                <w:szCs w:val="21"/>
                <w:highlight w:val="none"/>
              </w:rPr>
              <w:t>材料计划合理，紧密结合项目现状，能有效保障项目顺利推进。（内容完整者得8分，优者加2分，良者加1分；无相关内容者得0分；本项最高得分10分）</w:t>
            </w:r>
          </w:p>
        </w:tc>
      </w:tr>
      <w:tr w14:paraId="34D4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880" w:type="dxa"/>
            <w:vMerge w:val="continue"/>
            <w:noWrap w:val="0"/>
            <w:vAlign w:val="center"/>
          </w:tcPr>
          <w:p w14:paraId="0F0F33E1">
            <w:pPr>
              <w:snapToGrid w:val="0"/>
              <w:jc w:val="center"/>
              <w:rPr>
                <w:rFonts w:ascii="宋体" w:hAnsi="宋体" w:eastAsia="宋体" w:cs="楷体"/>
                <w:color w:val="auto"/>
                <w:szCs w:val="21"/>
                <w:highlight w:val="none"/>
              </w:rPr>
            </w:pPr>
          </w:p>
        </w:tc>
        <w:tc>
          <w:tcPr>
            <w:tcW w:w="2150" w:type="dxa"/>
            <w:noWrap w:val="0"/>
            <w:vAlign w:val="center"/>
          </w:tcPr>
          <w:p w14:paraId="58C9700A">
            <w:pPr>
              <w:snapToGrid w:val="0"/>
              <w:jc w:val="center"/>
              <w:rPr>
                <w:rFonts w:ascii="宋体" w:hAnsi="宋体" w:eastAsia="宋体" w:cs="楷体"/>
                <w:color w:val="auto"/>
                <w:szCs w:val="21"/>
                <w:highlight w:val="none"/>
              </w:rPr>
            </w:pPr>
            <w:r>
              <w:rPr>
                <w:rFonts w:hint="eastAsia" w:ascii="宋体" w:hAnsi="宋体" w:eastAsia="宋体" w:cs="楷体"/>
                <w:color w:val="auto"/>
                <w:szCs w:val="21"/>
                <w:highlight w:val="none"/>
              </w:rPr>
              <w:t>资金使用计划</w:t>
            </w:r>
          </w:p>
        </w:tc>
        <w:tc>
          <w:tcPr>
            <w:tcW w:w="665" w:type="dxa"/>
            <w:noWrap w:val="0"/>
            <w:vAlign w:val="center"/>
          </w:tcPr>
          <w:p w14:paraId="330B7665">
            <w:pPr>
              <w:snapToGrid w:val="0"/>
              <w:jc w:val="center"/>
              <w:rPr>
                <w:rFonts w:ascii="宋体" w:hAnsi="宋体" w:eastAsia="宋体" w:cs="楷体"/>
                <w:color w:val="auto"/>
                <w:szCs w:val="21"/>
                <w:highlight w:val="none"/>
              </w:rPr>
            </w:pPr>
            <w:r>
              <w:rPr>
                <w:rFonts w:hint="eastAsia" w:ascii="宋体" w:hAnsi="宋体" w:eastAsia="宋体" w:cs="楷体"/>
                <w:color w:val="auto"/>
                <w:szCs w:val="21"/>
                <w:highlight w:val="none"/>
              </w:rPr>
              <w:t>5分</w:t>
            </w:r>
          </w:p>
        </w:tc>
        <w:tc>
          <w:tcPr>
            <w:tcW w:w="9392" w:type="dxa"/>
            <w:noWrap w:val="0"/>
            <w:vAlign w:val="center"/>
          </w:tcPr>
          <w:p w14:paraId="3674F5CC">
            <w:pPr>
              <w:snapToGrid w:val="0"/>
              <w:rPr>
                <w:rFonts w:ascii="宋体" w:hAnsi="宋体" w:eastAsia="宋体" w:cs="楷体"/>
                <w:color w:val="auto"/>
                <w:szCs w:val="21"/>
                <w:highlight w:val="none"/>
              </w:rPr>
            </w:pPr>
            <w:r>
              <w:rPr>
                <w:rFonts w:hint="eastAsia" w:ascii="宋体" w:hAnsi="宋体" w:eastAsia="宋体" w:cs="楷体"/>
                <w:color w:val="auto"/>
                <w:szCs w:val="21"/>
                <w:highlight w:val="none"/>
              </w:rPr>
              <w:t>资金计划合理，能有效保障项目顺利推进。（内容完整者得4分，优者加1分，良者加0.5分；无相关内容者得0分；本项最高得分5分）</w:t>
            </w:r>
          </w:p>
        </w:tc>
      </w:tr>
      <w:tr w14:paraId="37D6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880" w:type="dxa"/>
            <w:vMerge w:val="continue"/>
            <w:noWrap w:val="0"/>
            <w:vAlign w:val="center"/>
          </w:tcPr>
          <w:p w14:paraId="6F4F350E">
            <w:pPr>
              <w:snapToGrid w:val="0"/>
              <w:jc w:val="center"/>
              <w:rPr>
                <w:rFonts w:ascii="宋体" w:hAnsi="宋体" w:eastAsia="宋体" w:cs="楷体"/>
                <w:color w:val="auto"/>
                <w:szCs w:val="21"/>
                <w:highlight w:val="none"/>
              </w:rPr>
            </w:pPr>
          </w:p>
        </w:tc>
        <w:tc>
          <w:tcPr>
            <w:tcW w:w="2150" w:type="dxa"/>
            <w:noWrap w:val="0"/>
            <w:vAlign w:val="center"/>
          </w:tcPr>
          <w:p w14:paraId="7F448184">
            <w:pPr>
              <w:snapToGrid w:val="0"/>
              <w:jc w:val="center"/>
              <w:rPr>
                <w:rFonts w:ascii="宋体" w:hAnsi="宋体" w:eastAsia="宋体" w:cs="楷体"/>
                <w:strike/>
                <w:color w:val="auto"/>
                <w:szCs w:val="21"/>
                <w:highlight w:val="none"/>
              </w:rPr>
            </w:pPr>
            <w:r>
              <w:rPr>
                <w:rFonts w:hint="eastAsia" w:ascii="宋体" w:hAnsi="宋体" w:eastAsia="宋体" w:cs="楷体"/>
                <w:color w:val="auto"/>
                <w:szCs w:val="21"/>
                <w:highlight w:val="none"/>
              </w:rPr>
              <w:t>质量标准</w:t>
            </w:r>
          </w:p>
        </w:tc>
        <w:tc>
          <w:tcPr>
            <w:tcW w:w="665" w:type="dxa"/>
            <w:noWrap w:val="0"/>
            <w:vAlign w:val="center"/>
          </w:tcPr>
          <w:p w14:paraId="06AF1F45">
            <w:pPr>
              <w:snapToGrid w:val="0"/>
              <w:jc w:val="center"/>
              <w:rPr>
                <w:rFonts w:ascii="宋体" w:hAnsi="宋体" w:eastAsia="宋体" w:cs="楷体"/>
                <w:color w:val="auto"/>
                <w:szCs w:val="21"/>
                <w:highlight w:val="none"/>
              </w:rPr>
            </w:pPr>
            <w:r>
              <w:rPr>
                <w:rFonts w:hint="eastAsia" w:ascii="宋体" w:hAnsi="宋体" w:eastAsia="宋体" w:cs="楷体"/>
                <w:color w:val="auto"/>
                <w:szCs w:val="21"/>
                <w:highlight w:val="none"/>
              </w:rPr>
              <w:t>10分</w:t>
            </w:r>
          </w:p>
        </w:tc>
        <w:tc>
          <w:tcPr>
            <w:tcW w:w="9392" w:type="dxa"/>
            <w:noWrap w:val="0"/>
            <w:vAlign w:val="center"/>
          </w:tcPr>
          <w:p w14:paraId="35B97C44">
            <w:pPr>
              <w:snapToGrid w:val="0"/>
              <w:rPr>
                <w:rFonts w:ascii="宋体" w:hAnsi="宋体" w:eastAsia="宋体" w:cs="楷体"/>
                <w:color w:val="auto"/>
                <w:szCs w:val="21"/>
                <w:highlight w:val="none"/>
              </w:rPr>
            </w:pPr>
            <w:r>
              <w:rPr>
                <w:rFonts w:hint="eastAsia" w:ascii="宋体" w:hAnsi="宋体" w:eastAsia="宋体" w:cs="楷体"/>
                <w:color w:val="auto"/>
                <w:szCs w:val="21"/>
                <w:highlight w:val="none"/>
              </w:rPr>
              <w:t>质量保证措施完整、具体、可行。（内容完整者得8分，优者加2分，良者加1分；无相关内容者得0分；本项最高得分10分）</w:t>
            </w:r>
          </w:p>
        </w:tc>
      </w:tr>
      <w:tr w14:paraId="1270A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80" w:type="dxa"/>
            <w:vMerge w:val="continue"/>
            <w:noWrap w:val="0"/>
            <w:vAlign w:val="center"/>
          </w:tcPr>
          <w:p w14:paraId="020E9F43">
            <w:pPr>
              <w:snapToGrid w:val="0"/>
              <w:jc w:val="center"/>
              <w:rPr>
                <w:rFonts w:ascii="宋体" w:hAnsi="宋体" w:eastAsia="宋体" w:cs="楷体"/>
                <w:color w:val="auto"/>
                <w:szCs w:val="21"/>
                <w:highlight w:val="none"/>
              </w:rPr>
            </w:pPr>
          </w:p>
        </w:tc>
        <w:tc>
          <w:tcPr>
            <w:tcW w:w="2150" w:type="dxa"/>
            <w:noWrap w:val="0"/>
            <w:vAlign w:val="center"/>
          </w:tcPr>
          <w:p w14:paraId="71FB4D11">
            <w:pPr>
              <w:snapToGrid w:val="0"/>
              <w:jc w:val="center"/>
              <w:rPr>
                <w:rFonts w:ascii="宋体" w:hAnsi="宋体" w:eastAsia="宋体" w:cs="楷体"/>
                <w:color w:val="auto"/>
                <w:szCs w:val="21"/>
                <w:highlight w:val="none"/>
              </w:rPr>
            </w:pPr>
            <w:r>
              <w:rPr>
                <w:rFonts w:hint="eastAsia" w:ascii="宋体" w:hAnsi="宋体" w:eastAsia="宋体" w:cs="楷体"/>
                <w:color w:val="auto"/>
                <w:szCs w:val="21"/>
                <w:highlight w:val="none"/>
              </w:rPr>
              <w:t>档案管理</w:t>
            </w:r>
          </w:p>
        </w:tc>
        <w:tc>
          <w:tcPr>
            <w:tcW w:w="665" w:type="dxa"/>
            <w:noWrap w:val="0"/>
            <w:vAlign w:val="center"/>
          </w:tcPr>
          <w:p w14:paraId="78916DAC">
            <w:pPr>
              <w:snapToGrid w:val="0"/>
              <w:jc w:val="center"/>
              <w:rPr>
                <w:rFonts w:ascii="宋体" w:hAnsi="宋体" w:eastAsia="宋体" w:cs="楷体"/>
                <w:color w:val="auto"/>
                <w:szCs w:val="21"/>
                <w:highlight w:val="none"/>
              </w:rPr>
            </w:pPr>
            <w:r>
              <w:rPr>
                <w:rFonts w:hint="eastAsia" w:ascii="宋体" w:hAnsi="宋体" w:eastAsia="宋体" w:cs="楷体"/>
                <w:color w:val="auto"/>
                <w:szCs w:val="21"/>
                <w:highlight w:val="none"/>
              </w:rPr>
              <w:t>5分</w:t>
            </w:r>
          </w:p>
        </w:tc>
        <w:tc>
          <w:tcPr>
            <w:tcW w:w="9392" w:type="dxa"/>
            <w:noWrap w:val="0"/>
            <w:vAlign w:val="center"/>
          </w:tcPr>
          <w:p w14:paraId="7BDE2B53">
            <w:pPr>
              <w:snapToGrid w:val="0"/>
              <w:rPr>
                <w:rFonts w:ascii="宋体" w:hAnsi="宋体" w:eastAsia="宋体" w:cs="楷体"/>
                <w:color w:val="auto"/>
                <w:szCs w:val="21"/>
                <w:highlight w:val="none"/>
              </w:rPr>
            </w:pPr>
            <w:r>
              <w:rPr>
                <w:rFonts w:hint="eastAsia" w:ascii="宋体" w:hAnsi="宋体" w:eastAsia="宋体" w:cs="楷体"/>
                <w:color w:val="auto"/>
                <w:szCs w:val="21"/>
                <w:highlight w:val="none"/>
              </w:rPr>
              <w:t>档案管理制度完整、规范。（内容完整者得4分，优者加1分，良者加0.5分；无相关内容者得0分；本项最高得分5分）</w:t>
            </w:r>
          </w:p>
        </w:tc>
      </w:tr>
      <w:tr w14:paraId="3C59D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80" w:type="dxa"/>
            <w:vMerge w:val="continue"/>
            <w:noWrap w:val="0"/>
            <w:vAlign w:val="center"/>
          </w:tcPr>
          <w:p w14:paraId="6C7071D0">
            <w:pPr>
              <w:snapToGrid w:val="0"/>
              <w:jc w:val="center"/>
              <w:rPr>
                <w:rFonts w:ascii="宋体" w:hAnsi="宋体" w:eastAsia="宋体" w:cs="楷体"/>
                <w:color w:val="auto"/>
                <w:szCs w:val="21"/>
                <w:highlight w:val="none"/>
              </w:rPr>
            </w:pPr>
          </w:p>
        </w:tc>
        <w:tc>
          <w:tcPr>
            <w:tcW w:w="2150" w:type="dxa"/>
            <w:noWrap w:val="0"/>
            <w:vAlign w:val="center"/>
          </w:tcPr>
          <w:p w14:paraId="344A7CEE">
            <w:pPr>
              <w:snapToGrid w:val="0"/>
              <w:jc w:val="center"/>
              <w:rPr>
                <w:rFonts w:ascii="宋体" w:hAnsi="宋体" w:eastAsia="宋体" w:cs="楷体"/>
                <w:color w:val="auto"/>
                <w:szCs w:val="21"/>
                <w:highlight w:val="none"/>
              </w:rPr>
            </w:pPr>
            <w:r>
              <w:rPr>
                <w:rFonts w:hint="eastAsia" w:ascii="宋体" w:hAnsi="宋体" w:eastAsia="宋体" w:cs="楷体"/>
                <w:color w:val="auto"/>
                <w:szCs w:val="21"/>
                <w:highlight w:val="none"/>
              </w:rPr>
              <w:t>安全文明施工和绿色施工</w:t>
            </w:r>
          </w:p>
        </w:tc>
        <w:tc>
          <w:tcPr>
            <w:tcW w:w="665" w:type="dxa"/>
            <w:noWrap w:val="0"/>
            <w:vAlign w:val="center"/>
          </w:tcPr>
          <w:p w14:paraId="22E570B8">
            <w:pPr>
              <w:snapToGrid w:val="0"/>
              <w:jc w:val="center"/>
              <w:rPr>
                <w:rFonts w:ascii="宋体" w:hAnsi="宋体" w:eastAsia="宋体" w:cs="楷体"/>
                <w:color w:val="auto"/>
                <w:szCs w:val="21"/>
                <w:highlight w:val="none"/>
              </w:rPr>
            </w:pPr>
            <w:r>
              <w:rPr>
                <w:rFonts w:hint="eastAsia" w:ascii="宋体" w:hAnsi="宋体" w:eastAsia="宋体" w:cs="楷体"/>
                <w:color w:val="auto"/>
                <w:szCs w:val="21"/>
                <w:highlight w:val="none"/>
              </w:rPr>
              <w:t>10分</w:t>
            </w:r>
          </w:p>
        </w:tc>
        <w:tc>
          <w:tcPr>
            <w:tcW w:w="9392" w:type="dxa"/>
            <w:noWrap w:val="0"/>
            <w:vAlign w:val="center"/>
          </w:tcPr>
          <w:p w14:paraId="39C15B78">
            <w:pPr>
              <w:snapToGrid w:val="0"/>
              <w:rPr>
                <w:rFonts w:ascii="宋体" w:hAnsi="宋体" w:eastAsia="宋体" w:cs="楷体"/>
                <w:color w:val="auto"/>
                <w:szCs w:val="21"/>
                <w:highlight w:val="none"/>
              </w:rPr>
            </w:pPr>
            <w:r>
              <w:rPr>
                <w:rFonts w:hint="eastAsia" w:ascii="宋体" w:hAnsi="宋体" w:eastAsia="宋体" w:cs="楷体"/>
                <w:color w:val="auto"/>
                <w:szCs w:val="21"/>
                <w:highlight w:val="none"/>
              </w:rPr>
              <w:t>安全管理目标明确，能针对项目实施内容提出具体有效的防护措施；有完善的文明施工管理措施；绿色施工方案合理。（内容完整者得8分，优者加2分，良者加1分；无相关内容者得0分；本项最高得分10分）</w:t>
            </w:r>
          </w:p>
        </w:tc>
      </w:tr>
      <w:tr w14:paraId="7C5B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880" w:type="dxa"/>
            <w:vMerge w:val="continue"/>
            <w:noWrap w:val="0"/>
            <w:vAlign w:val="center"/>
          </w:tcPr>
          <w:p w14:paraId="6F36D53E">
            <w:pPr>
              <w:snapToGrid w:val="0"/>
              <w:jc w:val="center"/>
              <w:rPr>
                <w:rFonts w:ascii="宋体" w:hAnsi="宋体" w:eastAsia="宋体" w:cs="楷体"/>
                <w:color w:val="auto"/>
                <w:szCs w:val="21"/>
                <w:highlight w:val="none"/>
              </w:rPr>
            </w:pPr>
          </w:p>
        </w:tc>
        <w:tc>
          <w:tcPr>
            <w:tcW w:w="2150" w:type="dxa"/>
            <w:noWrap w:val="0"/>
            <w:vAlign w:val="center"/>
          </w:tcPr>
          <w:p w14:paraId="4D30FB66">
            <w:pPr>
              <w:snapToGrid w:val="0"/>
              <w:jc w:val="center"/>
              <w:rPr>
                <w:rFonts w:ascii="宋体" w:hAnsi="宋体" w:eastAsia="宋体" w:cs="楷体"/>
                <w:color w:val="auto"/>
                <w:szCs w:val="21"/>
                <w:highlight w:val="none"/>
              </w:rPr>
            </w:pPr>
            <w:r>
              <w:rPr>
                <w:rFonts w:hint="eastAsia" w:ascii="宋体" w:hAnsi="宋体" w:eastAsia="宋体" w:cs="楷体"/>
                <w:color w:val="auto"/>
                <w:szCs w:val="21"/>
                <w:highlight w:val="none"/>
              </w:rPr>
              <w:t>工程保修和养护管理措施</w:t>
            </w:r>
          </w:p>
        </w:tc>
        <w:tc>
          <w:tcPr>
            <w:tcW w:w="665" w:type="dxa"/>
            <w:noWrap w:val="0"/>
            <w:vAlign w:val="center"/>
          </w:tcPr>
          <w:p w14:paraId="5DBFC306">
            <w:pPr>
              <w:snapToGrid w:val="0"/>
              <w:jc w:val="center"/>
              <w:rPr>
                <w:rFonts w:ascii="宋体" w:hAnsi="宋体" w:eastAsia="宋体" w:cs="楷体"/>
                <w:color w:val="auto"/>
                <w:szCs w:val="21"/>
                <w:highlight w:val="none"/>
              </w:rPr>
            </w:pPr>
            <w:r>
              <w:rPr>
                <w:rFonts w:hint="eastAsia" w:ascii="宋体" w:hAnsi="宋体" w:eastAsia="宋体" w:cs="楷体"/>
                <w:color w:val="auto"/>
                <w:szCs w:val="21"/>
                <w:highlight w:val="none"/>
              </w:rPr>
              <w:t>10分</w:t>
            </w:r>
          </w:p>
        </w:tc>
        <w:tc>
          <w:tcPr>
            <w:tcW w:w="9392" w:type="dxa"/>
            <w:noWrap w:val="0"/>
            <w:vAlign w:val="center"/>
          </w:tcPr>
          <w:p w14:paraId="3C0B9FD4">
            <w:pPr>
              <w:snapToGrid w:val="0"/>
              <w:rPr>
                <w:rFonts w:ascii="宋体" w:hAnsi="宋体" w:eastAsia="宋体" w:cs="楷体"/>
                <w:color w:val="auto"/>
                <w:szCs w:val="21"/>
                <w:highlight w:val="none"/>
              </w:rPr>
            </w:pPr>
            <w:r>
              <w:rPr>
                <w:rFonts w:hint="eastAsia" w:ascii="宋体" w:hAnsi="宋体" w:eastAsia="宋体" w:cs="楷体"/>
                <w:color w:val="auto"/>
                <w:szCs w:val="21"/>
                <w:highlight w:val="none"/>
              </w:rPr>
              <w:t>工程保修和养护管理措施具体有效。（内容完整者得8分，优者加2分，良者加1分；无相关内容者得0分；本项最高得分10分）</w:t>
            </w:r>
          </w:p>
        </w:tc>
      </w:tr>
      <w:tr w14:paraId="664A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880" w:type="dxa"/>
            <w:vMerge w:val="restart"/>
            <w:noWrap w:val="0"/>
            <w:vAlign w:val="center"/>
          </w:tcPr>
          <w:p w14:paraId="6A479BC6">
            <w:pPr>
              <w:snapToGrid w:val="0"/>
              <w:jc w:val="center"/>
              <w:rPr>
                <w:rFonts w:ascii="宋体" w:hAnsi="宋体" w:eastAsia="宋体" w:cs="楷体"/>
                <w:color w:val="auto"/>
                <w:szCs w:val="21"/>
                <w:highlight w:val="none"/>
              </w:rPr>
            </w:pPr>
            <w:r>
              <w:rPr>
                <w:rFonts w:hint="eastAsia" w:ascii="宋体" w:hAnsi="宋体" w:eastAsia="宋体" w:cs="楷体"/>
                <w:color w:val="auto"/>
                <w:szCs w:val="21"/>
                <w:highlight w:val="none"/>
              </w:rPr>
              <w:t>第五章风险控制</w:t>
            </w:r>
            <w:bookmarkStart w:id="263" w:name="_Toc118295330"/>
            <w:r>
              <w:rPr>
                <w:rFonts w:hint="eastAsia" w:ascii="宋体" w:hAnsi="宋体" w:eastAsia="宋体" w:cs="楷体"/>
                <w:color w:val="auto"/>
                <w:szCs w:val="21"/>
                <w:highlight w:val="none"/>
              </w:rPr>
              <w:t>（10分）</w:t>
            </w:r>
            <w:bookmarkEnd w:id="263"/>
          </w:p>
        </w:tc>
        <w:tc>
          <w:tcPr>
            <w:tcW w:w="2150" w:type="dxa"/>
            <w:noWrap w:val="0"/>
            <w:vAlign w:val="center"/>
          </w:tcPr>
          <w:p w14:paraId="5029B2CC">
            <w:pPr>
              <w:snapToGrid w:val="0"/>
              <w:jc w:val="center"/>
              <w:rPr>
                <w:rFonts w:ascii="宋体" w:hAnsi="宋体" w:eastAsia="宋体" w:cs="楷体"/>
                <w:color w:val="auto"/>
                <w:szCs w:val="21"/>
                <w:highlight w:val="none"/>
              </w:rPr>
            </w:pPr>
            <w:r>
              <w:rPr>
                <w:rFonts w:hint="eastAsia" w:ascii="宋体" w:hAnsi="宋体" w:eastAsia="宋体" w:cs="楷体"/>
                <w:color w:val="auto"/>
                <w:szCs w:val="21"/>
                <w:highlight w:val="none"/>
              </w:rPr>
              <w:t>工程投资节约措施</w:t>
            </w:r>
          </w:p>
        </w:tc>
        <w:tc>
          <w:tcPr>
            <w:tcW w:w="665" w:type="dxa"/>
            <w:noWrap w:val="0"/>
            <w:vAlign w:val="center"/>
          </w:tcPr>
          <w:p w14:paraId="24B214F4">
            <w:pPr>
              <w:snapToGrid w:val="0"/>
              <w:jc w:val="center"/>
              <w:rPr>
                <w:rFonts w:ascii="宋体" w:hAnsi="宋体" w:eastAsia="宋体" w:cs="楷体"/>
                <w:color w:val="auto"/>
                <w:szCs w:val="21"/>
                <w:highlight w:val="none"/>
              </w:rPr>
            </w:pPr>
            <w:r>
              <w:rPr>
                <w:rFonts w:hint="eastAsia" w:ascii="宋体" w:hAnsi="宋体" w:eastAsia="宋体" w:cs="楷体"/>
                <w:color w:val="auto"/>
                <w:szCs w:val="21"/>
                <w:highlight w:val="none"/>
              </w:rPr>
              <w:t>5分</w:t>
            </w:r>
          </w:p>
        </w:tc>
        <w:tc>
          <w:tcPr>
            <w:tcW w:w="9392" w:type="dxa"/>
            <w:noWrap w:val="0"/>
            <w:vAlign w:val="center"/>
          </w:tcPr>
          <w:p w14:paraId="7E1EA075">
            <w:pPr>
              <w:snapToGrid w:val="0"/>
              <w:rPr>
                <w:rFonts w:ascii="宋体" w:hAnsi="宋体" w:eastAsia="宋体" w:cs="楷体"/>
                <w:color w:val="auto"/>
                <w:szCs w:val="21"/>
                <w:highlight w:val="none"/>
              </w:rPr>
            </w:pPr>
            <w:r>
              <w:rPr>
                <w:rFonts w:hint="eastAsia" w:ascii="宋体" w:hAnsi="宋体" w:eastAsia="宋体" w:cs="楷体"/>
                <w:color w:val="auto"/>
                <w:szCs w:val="21"/>
                <w:highlight w:val="none"/>
              </w:rPr>
              <w:t>节约工程投资的措施及理由合理、可信、可行。（内容完整者得4分，优者加1分，良者加0.5分；无相关内容者得0分；本项最高得分5分）</w:t>
            </w:r>
          </w:p>
        </w:tc>
      </w:tr>
      <w:tr w14:paraId="7DA9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880" w:type="dxa"/>
            <w:vMerge w:val="continue"/>
            <w:noWrap w:val="0"/>
            <w:vAlign w:val="center"/>
          </w:tcPr>
          <w:p w14:paraId="2B7ADF52">
            <w:pPr>
              <w:pStyle w:val="7"/>
              <w:snapToGrid w:val="0"/>
              <w:spacing w:line="240" w:lineRule="auto"/>
              <w:rPr>
                <w:rFonts w:ascii="宋体" w:hAnsi="宋体" w:eastAsia="宋体" w:cs="楷体"/>
                <w:color w:val="auto"/>
                <w:sz w:val="21"/>
                <w:szCs w:val="21"/>
                <w:highlight w:val="none"/>
              </w:rPr>
            </w:pPr>
          </w:p>
        </w:tc>
        <w:tc>
          <w:tcPr>
            <w:tcW w:w="2150" w:type="dxa"/>
            <w:noWrap w:val="0"/>
            <w:vAlign w:val="center"/>
          </w:tcPr>
          <w:p w14:paraId="23DF02B6">
            <w:pPr>
              <w:snapToGrid w:val="0"/>
              <w:jc w:val="center"/>
              <w:rPr>
                <w:rFonts w:ascii="宋体" w:hAnsi="宋体" w:eastAsia="宋体" w:cs="楷体"/>
                <w:color w:val="auto"/>
                <w:szCs w:val="21"/>
                <w:highlight w:val="none"/>
              </w:rPr>
            </w:pPr>
            <w:r>
              <w:rPr>
                <w:rFonts w:hint="eastAsia" w:ascii="宋体" w:hAnsi="宋体" w:eastAsia="宋体" w:cs="楷体"/>
                <w:color w:val="auto"/>
                <w:szCs w:val="21"/>
                <w:highlight w:val="none"/>
              </w:rPr>
              <w:t>应急预案和抵抗风险措施</w:t>
            </w:r>
          </w:p>
        </w:tc>
        <w:tc>
          <w:tcPr>
            <w:tcW w:w="665" w:type="dxa"/>
            <w:noWrap w:val="0"/>
            <w:vAlign w:val="center"/>
          </w:tcPr>
          <w:p w14:paraId="139F148B">
            <w:pPr>
              <w:snapToGrid w:val="0"/>
              <w:jc w:val="center"/>
              <w:rPr>
                <w:rFonts w:ascii="宋体" w:hAnsi="宋体" w:eastAsia="宋体" w:cs="楷体"/>
                <w:color w:val="auto"/>
                <w:szCs w:val="21"/>
                <w:highlight w:val="none"/>
              </w:rPr>
            </w:pPr>
            <w:r>
              <w:rPr>
                <w:rFonts w:hint="eastAsia" w:ascii="宋体" w:hAnsi="宋体" w:eastAsia="宋体" w:cs="楷体"/>
                <w:color w:val="auto"/>
                <w:szCs w:val="21"/>
                <w:highlight w:val="none"/>
              </w:rPr>
              <w:t>5分</w:t>
            </w:r>
          </w:p>
        </w:tc>
        <w:tc>
          <w:tcPr>
            <w:tcW w:w="9392" w:type="dxa"/>
            <w:noWrap w:val="0"/>
            <w:vAlign w:val="center"/>
          </w:tcPr>
          <w:p w14:paraId="3D6E4E66">
            <w:pPr>
              <w:snapToGrid w:val="0"/>
              <w:rPr>
                <w:rFonts w:ascii="宋体" w:hAnsi="宋体" w:eastAsia="宋体" w:cs="楷体"/>
                <w:color w:val="auto"/>
                <w:szCs w:val="21"/>
                <w:highlight w:val="none"/>
              </w:rPr>
            </w:pPr>
            <w:r>
              <w:rPr>
                <w:rFonts w:hint="eastAsia" w:ascii="宋体" w:hAnsi="宋体" w:eastAsia="宋体" w:cs="楷体"/>
                <w:color w:val="auto"/>
                <w:szCs w:val="21"/>
                <w:highlight w:val="none"/>
              </w:rPr>
              <w:t>能合理分析可能存在的应急情况并提出应急处理措施，做到配合、协调、服务方案考虑全面。（内容完整者得4分，优者加1分，良者加0.5分；无相关内容者得0分；本项最高得分5分）</w:t>
            </w:r>
          </w:p>
        </w:tc>
      </w:tr>
    </w:tbl>
    <w:p w14:paraId="4F8F8149">
      <w:pPr>
        <w:rPr>
          <w:rFonts w:hint="eastAsia"/>
          <w:color w:val="auto"/>
          <w:highlight w:val="none"/>
          <w:lang w:val="en-US" w:eastAsia="zh-CN"/>
        </w:rPr>
      </w:pPr>
    </w:p>
    <w:p w14:paraId="4749574D">
      <w:pPr>
        <w:rPr>
          <w:rFonts w:hint="eastAsia" w:ascii="宋体" w:hAnsi="宋体" w:eastAsia="宋体"/>
          <w:bCs/>
          <w:color w:val="auto"/>
          <w:szCs w:val="21"/>
          <w:highlight w:val="none"/>
        </w:rPr>
      </w:pPr>
      <w:r>
        <w:rPr>
          <w:rFonts w:hint="eastAsia" w:ascii="宋体" w:hAnsi="宋体" w:eastAsia="宋体"/>
          <w:bCs/>
          <w:color w:val="auto"/>
          <w:szCs w:val="21"/>
          <w:highlight w:val="none"/>
        </w:rPr>
        <w:t xml:space="preserve">                                                                               </w:t>
      </w:r>
    </w:p>
    <w:p w14:paraId="46BAF5A4">
      <w:pPr>
        <w:spacing w:line="240" w:lineRule="exact"/>
        <w:ind w:left="0" w:leftChars="0" w:right="-827" w:rightChars="-394"/>
        <w:rPr>
          <w:rFonts w:hint="eastAsia" w:ascii="宋体" w:hAnsi="宋体" w:eastAsia="宋体"/>
          <w:color w:val="auto"/>
          <w:sz w:val="18"/>
          <w:szCs w:val="18"/>
          <w:highlight w:val="none"/>
        </w:rPr>
      </w:pPr>
      <w:r>
        <w:rPr>
          <w:rFonts w:hint="eastAsia" w:ascii="宋体" w:hAnsi="宋体" w:eastAsia="宋体"/>
          <w:color w:val="auto"/>
          <w:sz w:val="18"/>
          <w:szCs w:val="18"/>
          <w:highlight w:val="none"/>
        </w:rPr>
        <w:t>备注：1.招标人可根据招标项目实际需要合理设置评审内容，不得设置排斥性条款及明显高于或偏离项目实施要求的内容；设置等次得分的，得分应为等差排列。</w:t>
      </w:r>
    </w:p>
    <w:p w14:paraId="73830AE1">
      <w:pPr>
        <w:spacing w:line="240" w:lineRule="exact"/>
        <w:ind w:left="0" w:leftChars="0" w:right="632" w:rightChars="301"/>
        <w:rPr>
          <w:rFonts w:ascii="宋体" w:hAnsi="宋体" w:eastAsia="宋体"/>
          <w:color w:val="auto"/>
          <w:sz w:val="18"/>
          <w:szCs w:val="18"/>
          <w:highlight w:val="none"/>
        </w:rPr>
      </w:pPr>
      <w:r>
        <w:rPr>
          <w:rFonts w:hint="eastAsia" w:ascii="宋体" w:hAnsi="宋体" w:eastAsia="宋体"/>
          <w:color w:val="auto"/>
          <w:sz w:val="18"/>
          <w:szCs w:val="18"/>
          <w:highlight w:val="none"/>
        </w:rPr>
        <w:t xml:space="preserve">      2.评审项目总分应为100分,各评审子项的分值不得超出取值范围。</w:t>
      </w:r>
    </w:p>
    <w:p w14:paraId="53BD39E4">
      <w:pPr>
        <w:spacing w:line="240" w:lineRule="exact"/>
        <w:ind w:left="0" w:leftChars="0" w:right="-827" w:rightChars="-394" w:firstLine="540" w:firstLineChars="300"/>
        <w:rPr>
          <w:rFonts w:hint="eastAsia" w:ascii="宋体" w:hAnsi="宋体" w:eastAsia="宋体"/>
          <w:color w:val="auto"/>
          <w:sz w:val="18"/>
          <w:szCs w:val="18"/>
          <w:highlight w:val="none"/>
        </w:rPr>
      </w:pPr>
      <w:r>
        <w:rPr>
          <w:rFonts w:hint="eastAsia" w:ascii="宋体" w:hAnsi="宋体" w:eastAsia="宋体"/>
          <w:color w:val="auto"/>
          <w:sz w:val="18"/>
          <w:szCs w:val="18"/>
          <w:highlight w:val="none"/>
        </w:rPr>
        <w:t>3.最终得分按投标须知前附表第3</w:t>
      </w:r>
      <w:r>
        <w:rPr>
          <w:rFonts w:hint="eastAsia" w:ascii="宋体" w:hAnsi="宋体" w:eastAsia="宋体"/>
          <w:color w:val="auto"/>
          <w:sz w:val="18"/>
          <w:szCs w:val="18"/>
          <w:highlight w:val="none"/>
          <w:lang w:eastAsia="zh-CN"/>
        </w:rPr>
        <w:t>1</w:t>
      </w:r>
      <w:r>
        <w:rPr>
          <w:rFonts w:hint="eastAsia" w:ascii="宋体" w:hAnsi="宋体" w:eastAsia="宋体"/>
          <w:color w:val="auto"/>
          <w:sz w:val="18"/>
          <w:szCs w:val="18"/>
          <w:highlight w:val="none"/>
        </w:rPr>
        <w:t>项所规定的方式进行汇总；分数出现小数点，保留小数点后二位小数，第三位小数四舍五入。</w:t>
      </w:r>
    </w:p>
    <w:p w14:paraId="5F9C29DF">
      <w:pPr>
        <w:ind w:right="-827" w:rightChars="-394"/>
        <w:rPr>
          <w:rFonts w:hint="eastAsia" w:ascii="宋体" w:hAnsi="宋体" w:eastAsia="宋体" w:cs="宋体"/>
          <w:b/>
          <w:color w:val="auto"/>
          <w:kern w:val="0"/>
          <w:sz w:val="24"/>
          <w:szCs w:val="24"/>
          <w:highlight w:val="none"/>
        </w:rPr>
      </w:pPr>
    </w:p>
    <w:p w14:paraId="47CF77AB">
      <w:pPr>
        <w:ind w:left="0" w:leftChars="0" w:right="-827" w:rightChars="-394"/>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评标委员会签名：                                                                      日期：</w:t>
      </w:r>
    </w:p>
    <w:p w14:paraId="6560F76D">
      <w:pPr>
        <w:ind w:left="-718" w:leftChars="-342" w:right="-827" w:rightChars="-394"/>
        <w:rPr>
          <w:rFonts w:hint="eastAsia" w:ascii="宋体" w:hAnsi="宋体" w:eastAsia="宋体" w:cs="宋体"/>
          <w:b/>
          <w:color w:val="auto"/>
          <w:kern w:val="0"/>
          <w:sz w:val="24"/>
          <w:szCs w:val="24"/>
          <w:highlight w:val="none"/>
        </w:rPr>
      </w:pPr>
    </w:p>
    <w:p w14:paraId="7EF214C7">
      <w:pPr>
        <w:ind w:left="-718" w:leftChars="-342" w:right="-827" w:rightChars="-394"/>
        <w:rPr>
          <w:rFonts w:hint="eastAsia" w:ascii="宋体" w:hAnsi="宋体" w:eastAsia="宋体" w:cs="宋体"/>
          <w:b/>
          <w:color w:val="auto"/>
          <w:kern w:val="0"/>
          <w:sz w:val="24"/>
          <w:szCs w:val="24"/>
          <w:highlight w:val="none"/>
        </w:rPr>
      </w:pPr>
    </w:p>
    <w:p w14:paraId="51B5AD18">
      <w:pPr>
        <w:ind w:left="-718" w:leftChars="-342" w:right="-827" w:rightChars="-394"/>
        <w:rPr>
          <w:rFonts w:hint="eastAsia" w:ascii="宋体" w:hAnsi="宋体" w:eastAsia="宋体" w:cs="宋体"/>
          <w:b/>
          <w:color w:val="auto"/>
          <w:kern w:val="0"/>
          <w:sz w:val="24"/>
          <w:szCs w:val="24"/>
          <w:highlight w:val="none"/>
        </w:rPr>
      </w:pPr>
    </w:p>
    <w:p w14:paraId="6859C03B">
      <w:pPr>
        <w:ind w:left="-718" w:leftChars="-342" w:right="-827" w:rightChars="-394"/>
        <w:rPr>
          <w:rFonts w:hint="eastAsia" w:ascii="宋体" w:hAnsi="宋体" w:eastAsia="宋体" w:cs="宋体"/>
          <w:b/>
          <w:color w:val="auto"/>
          <w:kern w:val="0"/>
          <w:sz w:val="24"/>
          <w:szCs w:val="24"/>
          <w:highlight w:val="none"/>
        </w:rPr>
      </w:pPr>
    </w:p>
    <w:p w14:paraId="3FC64319">
      <w:pPr>
        <w:ind w:left="-718" w:leftChars="-342" w:right="-827" w:rightChars="-394"/>
        <w:rPr>
          <w:rFonts w:hint="eastAsia" w:ascii="宋体" w:hAnsi="宋体" w:eastAsia="宋体" w:cs="宋体"/>
          <w:b/>
          <w:color w:val="auto"/>
          <w:kern w:val="0"/>
          <w:sz w:val="24"/>
          <w:szCs w:val="24"/>
          <w:highlight w:val="none"/>
        </w:rPr>
      </w:pPr>
    </w:p>
    <w:p w14:paraId="5796005F">
      <w:pPr>
        <w:pStyle w:val="2"/>
        <w:rPr>
          <w:rFonts w:hint="eastAsia" w:ascii="宋体" w:hAnsi="宋体" w:eastAsia="宋体" w:cs="宋体"/>
          <w:b/>
          <w:color w:val="auto"/>
          <w:kern w:val="0"/>
          <w:sz w:val="24"/>
          <w:szCs w:val="24"/>
          <w:highlight w:val="none"/>
        </w:rPr>
      </w:pPr>
    </w:p>
    <w:p w14:paraId="115F6D8A">
      <w:pPr>
        <w:rPr>
          <w:rFonts w:hint="eastAsia" w:ascii="宋体" w:hAnsi="宋体" w:eastAsia="宋体" w:cs="宋体"/>
          <w:b/>
          <w:color w:val="auto"/>
          <w:kern w:val="0"/>
          <w:sz w:val="24"/>
          <w:szCs w:val="24"/>
          <w:highlight w:val="none"/>
        </w:rPr>
      </w:pPr>
    </w:p>
    <w:p w14:paraId="718243F6">
      <w:pPr>
        <w:pStyle w:val="2"/>
        <w:rPr>
          <w:rFonts w:hint="eastAsia" w:ascii="宋体" w:hAnsi="宋体" w:eastAsia="宋体" w:cs="宋体"/>
          <w:b/>
          <w:color w:val="auto"/>
          <w:kern w:val="0"/>
          <w:sz w:val="24"/>
          <w:szCs w:val="24"/>
          <w:highlight w:val="none"/>
        </w:rPr>
      </w:pPr>
    </w:p>
    <w:p w14:paraId="1858D8E0">
      <w:pPr>
        <w:rPr>
          <w:rFonts w:hint="eastAsia" w:ascii="宋体" w:hAnsi="宋体" w:eastAsia="宋体" w:cs="宋体"/>
          <w:b/>
          <w:color w:val="auto"/>
          <w:kern w:val="0"/>
          <w:sz w:val="24"/>
          <w:szCs w:val="24"/>
          <w:highlight w:val="none"/>
        </w:rPr>
      </w:pPr>
    </w:p>
    <w:p w14:paraId="03D42F3E">
      <w:pPr>
        <w:pStyle w:val="2"/>
        <w:rPr>
          <w:rFonts w:hint="eastAsia" w:ascii="宋体" w:hAnsi="宋体" w:eastAsia="宋体" w:cs="宋体"/>
          <w:b/>
          <w:color w:val="auto"/>
          <w:kern w:val="0"/>
          <w:sz w:val="24"/>
          <w:szCs w:val="24"/>
          <w:highlight w:val="none"/>
        </w:rPr>
      </w:pPr>
    </w:p>
    <w:p w14:paraId="38AF4FD2">
      <w:pPr>
        <w:rPr>
          <w:rFonts w:hint="eastAsia" w:ascii="宋体" w:hAnsi="宋体" w:eastAsia="宋体" w:cs="宋体"/>
          <w:b/>
          <w:color w:val="auto"/>
          <w:kern w:val="0"/>
          <w:sz w:val="24"/>
          <w:szCs w:val="24"/>
          <w:highlight w:val="none"/>
        </w:rPr>
      </w:pPr>
    </w:p>
    <w:p w14:paraId="61F03BEE">
      <w:pPr>
        <w:pStyle w:val="2"/>
        <w:rPr>
          <w:rFonts w:hint="eastAsia" w:ascii="宋体" w:hAnsi="宋体" w:eastAsia="宋体" w:cs="宋体"/>
          <w:b/>
          <w:color w:val="auto"/>
          <w:kern w:val="0"/>
          <w:sz w:val="24"/>
          <w:szCs w:val="24"/>
          <w:highlight w:val="none"/>
        </w:rPr>
      </w:pPr>
    </w:p>
    <w:p w14:paraId="238D8702">
      <w:pPr>
        <w:rPr>
          <w:rFonts w:hint="eastAsia" w:ascii="宋体" w:hAnsi="宋体" w:eastAsia="宋体" w:cs="宋体"/>
          <w:b/>
          <w:color w:val="auto"/>
          <w:kern w:val="0"/>
          <w:sz w:val="24"/>
          <w:szCs w:val="24"/>
          <w:highlight w:val="none"/>
        </w:rPr>
      </w:pPr>
    </w:p>
    <w:p w14:paraId="55CE4BAA">
      <w:pPr>
        <w:pStyle w:val="2"/>
        <w:rPr>
          <w:rFonts w:hint="eastAsia" w:ascii="宋体" w:hAnsi="宋体" w:eastAsia="宋体" w:cs="宋体"/>
          <w:b/>
          <w:color w:val="auto"/>
          <w:kern w:val="0"/>
          <w:sz w:val="24"/>
          <w:szCs w:val="24"/>
          <w:highlight w:val="none"/>
        </w:rPr>
      </w:pPr>
    </w:p>
    <w:p w14:paraId="6CD00EEE">
      <w:pPr>
        <w:rPr>
          <w:rFonts w:hint="eastAsia" w:ascii="宋体" w:hAnsi="宋体" w:eastAsia="宋体" w:cs="宋体"/>
          <w:b/>
          <w:color w:val="auto"/>
          <w:kern w:val="0"/>
          <w:sz w:val="24"/>
          <w:szCs w:val="24"/>
          <w:highlight w:val="none"/>
        </w:rPr>
      </w:pPr>
    </w:p>
    <w:p w14:paraId="174A0B34">
      <w:pPr>
        <w:pStyle w:val="2"/>
        <w:rPr>
          <w:rFonts w:hint="eastAsia" w:ascii="宋体" w:hAnsi="宋体" w:eastAsia="宋体" w:cs="宋体"/>
          <w:b/>
          <w:color w:val="auto"/>
          <w:kern w:val="0"/>
          <w:sz w:val="24"/>
          <w:szCs w:val="24"/>
          <w:highlight w:val="none"/>
        </w:rPr>
      </w:pPr>
    </w:p>
    <w:p w14:paraId="564086DE">
      <w:pPr>
        <w:rPr>
          <w:rFonts w:hint="eastAsia" w:ascii="宋体" w:hAnsi="宋体" w:eastAsia="宋体" w:cs="宋体"/>
          <w:b/>
          <w:color w:val="auto"/>
          <w:kern w:val="0"/>
          <w:sz w:val="24"/>
          <w:szCs w:val="24"/>
          <w:highlight w:val="none"/>
        </w:rPr>
      </w:pPr>
    </w:p>
    <w:p w14:paraId="2D63CF8C">
      <w:pPr>
        <w:pStyle w:val="2"/>
        <w:rPr>
          <w:rFonts w:hint="eastAsia"/>
          <w:color w:val="auto"/>
          <w:highlight w:val="none"/>
        </w:rPr>
      </w:pPr>
    </w:p>
    <w:p w14:paraId="3E3FAC90">
      <w:pPr>
        <w:ind w:left="-718" w:leftChars="-342" w:right="-827" w:rightChars="-394"/>
        <w:rPr>
          <w:rFonts w:hint="eastAsia" w:ascii="宋体" w:hAnsi="宋体" w:eastAsia="宋体" w:cs="宋体"/>
          <w:b/>
          <w:color w:val="auto"/>
          <w:kern w:val="0"/>
          <w:sz w:val="24"/>
          <w:szCs w:val="24"/>
          <w:highlight w:val="none"/>
        </w:rPr>
      </w:pPr>
    </w:p>
    <w:p w14:paraId="4240863E">
      <w:pPr>
        <w:widowControl w:val="0"/>
        <w:spacing w:line="240" w:lineRule="auto"/>
        <w:ind w:firstLine="0" w:firstLineChars="0"/>
        <w:outlineLvl w:val="2"/>
        <w:rPr>
          <w:rFonts w:hint="eastAsia" w:ascii="宋体" w:hAnsi="宋体" w:eastAsia="宋体" w:cs="宋体"/>
          <w:color w:val="auto"/>
          <w:kern w:val="0"/>
          <w:sz w:val="18"/>
          <w:szCs w:val="18"/>
          <w:highlight w:val="none"/>
        </w:rPr>
      </w:pPr>
      <w:bookmarkStart w:id="264" w:name="_Toc2646"/>
      <w:bookmarkStart w:id="265" w:name="_Toc16072"/>
      <w:bookmarkStart w:id="266" w:name="_Toc23833"/>
      <w:bookmarkStart w:id="267" w:name="_Toc28277"/>
      <w:r>
        <w:rPr>
          <w:rFonts w:hint="eastAsia" w:ascii="宋体" w:hAnsi="宋体" w:eastAsia="宋体"/>
          <w:color w:val="auto"/>
          <w:sz w:val="24"/>
          <w:szCs w:val="24"/>
          <w:highlight w:val="none"/>
        </w:rPr>
        <w:br w:type="page"/>
      </w:r>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10</w:t>
      </w:r>
      <w:r>
        <w:rPr>
          <w:rFonts w:hint="eastAsia" w:ascii="宋体" w:hAnsi="宋体" w:eastAsia="宋体"/>
          <w:color w:val="auto"/>
          <w:sz w:val="24"/>
          <w:szCs w:val="24"/>
          <w:highlight w:val="none"/>
        </w:rPr>
        <w:t>（适用于办法</w:t>
      </w:r>
      <w:r>
        <w:rPr>
          <w:rFonts w:hint="eastAsia" w:ascii="宋体" w:hAnsi="宋体" w:eastAsia="宋体"/>
          <w:color w:val="auto"/>
          <w:sz w:val="24"/>
          <w:szCs w:val="24"/>
          <w:highlight w:val="none"/>
          <w:lang w:eastAsia="zh-CN"/>
        </w:rPr>
        <w:t>一</w:t>
      </w:r>
      <w:r>
        <w:rPr>
          <w:rFonts w:hint="eastAsia" w:ascii="宋体" w:hAnsi="宋体" w:eastAsia="宋体"/>
          <w:color w:val="auto"/>
          <w:sz w:val="24"/>
          <w:szCs w:val="24"/>
          <w:highlight w:val="none"/>
        </w:rPr>
        <w:t>）</w:t>
      </w:r>
      <w:bookmarkEnd w:id="264"/>
      <w:bookmarkEnd w:id="265"/>
      <w:bookmarkEnd w:id="266"/>
      <w:bookmarkEnd w:id="267"/>
    </w:p>
    <w:p w14:paraId="7B9A039C">
      <w:pPr>
        <w:widowControl/>
        <w:spacing w:line="360" w:lineRule="exact"/>
        <w:ind w:firstLine="360" w:firstLineChars="200"/>
        <w:rPr>
          <w:rFonts w:hint="eastAsia" w:ascii="宋体" w:hAnsi="宋体" w:eastAsia="宋体" w:cs="宋体"/>
          <w:color w:val="auto"/>
          <w:kern w:val="0"/>
          <w:sz w:val="18"/>
          <w:szCs w:val="18"/>
          <w:highlight w:val="none"/>
        </w:rPr>
      </w:pPr>
    </w:p>
    <w:p w14:paraId="5D9C749F">
      <w:pPr>
        <w:spacing w:line="40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技术部分（项目实施能力）审查评分表</w:t>
      </w:r>
    </w:p>
    <w:tbl>
      <w:tblPr>
        <w:tblStyle w:val="29"/>
        <w:tblW w:w="14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167"/>
        <w:gridCol w:w="1088"/>
        <w:gridCol w:w="10713"/>
      </w:tblGrid>
      <w:tr w14:paraId="045F4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84" w:type="dxa"/>
            <w:gridSpan w:val="2"/>
            <w:tcBorders>
              <w:top w:val="single" w:color="auto" w:sz="4" w:space="0"/>
              <w:left w:val="single" w:color="auto" w:sz="4" w:space="0"/>
              <w:bottom w:val="single" w:color="auto" w:sz="4" w:space="0"/>
              <w:right w:val="single" w:color="auto" w:sz="4" w:space="0"/>
            </w:tcBorders>
            <w:noWrap w:val="0"/>
            <w:vAlign w:val="center"/>
          </w:tcPr>
          <w:p w14:paraId="346894D6">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Times New Roman"/>
                <w:b/>
                <w:color w:val="auto"/>
                <w:kern w:val="2"/>
                <w:sz w:val="21"/>
                <w:szCs w:val="21"/>
                <w:highlight w:val="none"/>
              </w:rPr>
            </w:pPr>
            <w:r>
              <w:rPr>
                <w:rFonts w:hint="eastAsia" w:ascii="宋体" w:hAnsi="宋体" w:eastAsia="宋体" w:cs="宋体"/>
                <w:b/>
                <w:color w:val="auto"/>
                <w:kern w:val="2"/>
                <w:sz w:val="21"/>
                <w:szCs w:val="21"/>
                <w:highlight w:val="none"/>
                <w:lang w:val="en-US" w:eastAsia="zh-CN" w:bidi="ar"/>
              </w:rPr>
              <w:t>评审项目</w:t>
            </w:r>
          </w:p>
        </w:tc>
        <w:tc>
          <w:tcPr>
            <w:tcW w:w="1088" w:type="dxa"/>
            <w:vMerge w:val="restart"/>
            <w:tcBorders>
              <w:top w:val="single" w:color="auto" w:sz="4" w:space="0"/>
              <w:left w:val="nil"/>
              <w:bottom w:val="single" w:color="auto" w:sz="4" w:space="0"/>
              <w:right w:val="single" w:color="auto" w:sz="4" w:space="0"/>
            </w:tcBorders>
            <w:noWrap w:val="0"/>
            <w:vAlign w:val="center"/>
          </w:tcPr>
          <w:p w14:paraId="6ECDF329">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Times New Roman"/>
                <w:b/>
                <w:color w:val="auto"/>
                <w:kern w:val="2"/>
                <w:sz w:val="21"/>
                <w:szCs w:val="21"/>
                <w:highlight w:val="none"/>
              </w:rPr>
            </w:pPr>
            <w:r>
              <w:rPr>
                <w:rFonts w:hint="eastAsia" w:ascii="宋体" w:hAnsi="宋体" w:eastAsia="宋体" w:cs="宋体"/>
                <w:b/>
                <w:color w:val="auto"/>
                <w:kern w:val="2"/>
                <w:sz w:val="21"/>
                <w:szCs w:val="21"/>
                <w:highlight w:val="none"/>
                <w:lang w:val="en-US" w:eastAsia="zh-CN" w:bidi="ar"/>
              </w:rPr>
              <w:t>取值范围</w:t>
            </w:r>
          </w:p>
        </w:tc>
        <w:tc>
          <w:tcPr>
            <w:tcW w:w="10713" w:type="dxa"/>
            <w:vMerge w:val="restart"/>
            <w:tcBorders>
              <w:top w:val="single" w:color="auto" w:sz="4" w:space="0"/>
              <w:left w:val="nil"/>
              <w:bottom w:val="single" w:color="auto" w:sz="4" w:space="0"/>
              <w:right w:val="single" w:color="auto" w:sz="4" w:space="0"/>
            </w:tcBorders>
            <w:noWrap w:val="0"/>
            <w:vAlign w:val="center"/>
          </w:tcPr>
          <w:p w14:paraId="6B7A985C">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Times New Roman"/>
                <w:b/>
                <w:color w:val="auto"/>
                <w:kern w:val="2"/>
                <w:sz w:val="21"/>
                <w:szCs w:val="21"/>
                <w:highlight w:val="none"/>
              </w:rPr>
            </w:pPr>
            <w:r>
              <w:rPr>
                <w:rFonts w:hint="eastAsia" w:ascii="宋体" w:hAnsi="宋体" w:eastAsia="宋体" w:cs="宋体"/>
                <w:b/>
                <w:color w:val="auto"/>
                <w:kern w:val="2"/>
                <w:sz w:val="21"/>
                <w:szCs w:val="21"/>
                <w:highlight w:val="none"/>
                <w:lang w:val="en-US" w:eastAsia="zh-CN" w:bidi="ar"/>
              </w:rPr>
              <w:t>评审内容</w:t>
            </w:r>
          </w:p>
        </w:tc>
      </w:tr>
      <w:tr w14:paraId="3E65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5C1FA517">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Times New Roman"/>
                <w:b/>
                <w:color w:val="auto"/>
                <w:kern w:val="2"/>
                <w:sz w:val="21"/>
                <w:szCs w:val="21"/>
                <w:highlight w:val="none"/>
              </w:rPr>
            </w:pPr>
            <w:r>
              <w:rPr>
                <w:rFonts w:hint="eastAsia" w:ascii="宋体" w:hAnsi="宋体" w:eastAsia="宋体" w:cs="宋体"/>
                <w:b/>
                <w:color w:val="auto"/>
                <w:kern w:val="2"/>
                <w:sz w:val="21"/>
                <w:szCs w:val="21"/>
                <w:highlight w:val="none"/>
                <w:lang w:val="en-US" w:eastAsia="zh-CN" w:bidi="ar"/>
              </w:rPr>
              <w:t>名称</w:t>
            </w:r>
          </w:p>
        </w:tc>
        <w:tc>
          <w:tcPr>
            <w:tcW w:w="1167" w:type="dxa"/>
            <w:tcBorders>
              <w:top w:val="single" w:color="auto" w:sz="4" w:space="0"/>
              <w:left w:val="nil"/>
              <w:bottom w:val="single" w:color="auto" w:sz="4" w:space="0"/>
              <w:right w:val="single" w:color="auto" w:sz="4" w:space="0"/>
            </w:tcBorders>
            <w:noWrap w:val="0"/>
            <w:vAlign w:val="center"/>
          </w:tcPr>
          <w:p w14:paraId="707796E6">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Times New Roman"/>
                <w:b/>
                <w:color w:val="auto"/>
                <w:kern w:val="2"/>
                <w:sz w:val="21"/>
                <w:szCs w:val="21"/>
                <w:highlight w:val="none"/>
              </w:rPr>
            </w:pPr>
            <w:r>
              <w:rPr>
                <w:rFonts w:hint="eastAsia" w:ascii="宋体" w:hAnsi="宋体" w:eastAsia="宋体" w:cs="宋体"/>
                <w:b/>
                <w:color w:val="auto"/>
                <w:kern w:val="2"/>
                <w:sz w:val="21"/>
                <w:szCs w:val="21"/>
                <w:highlight w:val="none"/>
                <w:lang w:val="en-US" w:eastAsia="zh-CN" w:bidi="ar"/>
              </w:rPr>
              <w:t>子项</w:t>
            </w:r>
          </w:p>
        </w:tc>
        <w:tc>
          <w:tcPr>
            <w:tcW w:w="1088" w:type="dxa"/>
            <w:vMerge w:val="continue"/>
            <w:tcBorders>
              <w:top w:val="single" w:color="auto" w:sz="4" w:space="0"/>
              <w:left w:val="nil"/>
              <w:bottom w:val="single" w:color="auto" w:sz="4" w:space="0"/>
              <w:right w:val="single" w:color="auto" w:sz="4" w:space="0"/>
            </w:tcBorders>
            <w:noWrap w:val="0"/>
            <w:vAlign w:val="center"/>
          </w:tcPr>
          <w:p w14:paraId="66AB769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713" w:type="dxa"/>
            <w:vMerge w:val="continue"/>
            <w:tcBorders>
              <w:top w:val="single" w:color="auto" w:sz="4" w:space="0"/>
              <w:left w:val="nil"/>
              <w:bottom w:val="single" w:color="auto" w:sz="4" w:space="0"/>
              <w:right w:val="single" w:color="auto" w:sz="4" w:space="0"/>
            </w:tcBorders>
            <w:noWrap w:val="0"/>
            <w:vAlign w:val="center"/>
          </w:tcPr>
          <w:p w14:paraId="19AF4E7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463D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jc w:val="center"/>
        </w:trPr>
        <w:tc>
          <w:tcPr>
            <w:tcW w:w="1117" w:type="dxa"/>
            <w:vMerge w:val="restart"/>
            <w:tcBorders>
              <w:top w:val="nil"/>
              <w:left w:val="single" w:color="auto" w:sz="4" w:space="0"/>
              <w:bottom w:val="single" w:color="auto" w:sz="4" w:space="0"/>
              <w:right w:val="single" w:color="auto" w:sz="4" w:space="0"/>
            </w:tcBorders>
            <w:noWrap w:val="0"/>
            <w:vAlign w:val="center"/>
          </w:tcPr>
          <w:p w14:paraId="2119C0DD">
            <w:pPr>
              <w:keepNext w:val="0"/>
              <w:keepLines w:val="0"/>
              <w:widowControl/>
              <w:suppressLineNumbers w:val="0"/>
              <w:spacing w:before="0" w:beforeAutospacing="0" w:after="0" w:afterAutospacing="0" w:line="360" w:lineRule="exact"/>
              <w:ind w:left="0" w:right="0"/>
              <w:jc w:val="center"/>
              <w:rPr>
                <w:rFonts w:hint="eastAsia" w:ascii="宋体" w:hAnsi="宋体" w:eastAsia="宋体" w:cs="Times New Roman"/>
                <w:b/>
                <w:color w:val="auto"/>
                <w:kern w:val="0"/>
                <w:sz w:val="21"/>
                <w:szCs w:val="21"/>
                <w:highlight w:val="none"/>
              </w:rPr>
            </w:pPr>
            <w:r>
              <w:rPr>
                <w:rFonts w:hint="eastAsia" w:ascii="宋体" w:hAnsi="宋体" w:eastAsia="宋体" w:cs="宋体"/>
                <w:b/>
                <w:color w:val="auto"/>
                <w:kern w:val="0"/>
                <w:sz w:val="21"/>
                <w:szCs w:val="21"/>
                <w:highlight w:val="none"/>
                <w:lang w:val="en-US" w:eastAsia="zh-CN" w:bidi="ar"/>
              </w:rPr>
              <w:t>一、项目管理机构能力</w:t>
            </w:r>
          </w:p>
          <w:p w14:paraId="165D86F9">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Times New Roman"/>
                <w:color w:val="auto"/>
                <w:kern w:val="2"/>
                <w:sz w:val="21"/>
                <w:szCs w:val="21"/>
                <w:highlight w:val="none"/>
              </w:rPr>
            </w:pPr>
          </w:p>
        </w:tc>
        <w:tc>
          <w:tcPr>
            <w:tcW w:w="1167" w:type="dxa"/>
            <w:tcBorders>
              <w:top w:val="single" w:color="auto" w:sz="4" w:space="0"/>
              <w:left w:val="nil"/>
              <w:bottom w:val="single" w:color="auto" w:sz="4" w:space="0"/>
              <w:right w:val="single" w:color="auto" w:sz="4" w:space="0"/>
            </w:tcBorders>
            <w:noWrap w:val="0"/>
            <w:vAlign w:val="center"/>
          </w:tcPr>
          <w:p w14:paraId="10B2C135">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项目负责人能力</w:t>
            </w:r>
          </w:p>
        </w:tc>
        <w:tc>
          <w:tcPr>
            <w:tcW w:w="1088" w:type="dxa"/>
            <w:tcBorders>
              <w:top w:val="single" w:color="auto" w:sz="4" w:space="0"/>
              <w:left w:val="nil"/>
              <w:bottom w:val="single" w:color="auto" w:sz="4" w:space="0"/>
              <w:right w:val="single" w:color="auto" w:sz="4" w:space="0"/>
            </w:tcBorders>
            <w:noWrap w:val="0"/>
            <w:vAlign w:val="center"/>
          </w:tcPr>
          <w:p w14:paraId="13CD35C9">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w:t>
            </w:r>
          </w:p>
        </w:tc>
        <w:tc>
          <w:tcPr>
            <w:tcW w:w="10713" w:type="dxa"/>
            <w:tcBorders>
              <w:top w:val="single" w:color="auto" w:sz="4" w:space="0"/>
              <w:left w:val="nil"/>
              <w:bottom w:val="single" w:color="auto" w:sz="4" w:space="0"/>
              <w:right w:val="single" w:color="auto" w:sz="4" w:space="0"/>
            </w:tcBorders>
            <w:noWrap w:val="0"/>
            <w:vAlign w:val="center"/>
          </w:tcPr>
          <w:p w14:paraId="7AF1F15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9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得分规则：</w:t>
            </w:r>
          </w:p>
          <w:p w14:paraId="28BC249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90" w:lineRule="exact"/>
              <w:ind w:left="0" w:right="0"/>
              <w:jc w:val="both"/>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lang w:val="en-US" w:eastAsia="zh-CN" w:bidi="ar"/>
              </w:rPr>
              <w:t xml:space="preserve">拟委派项目负责人从业经历按以下条件计取得分： </w:t>
            </w:r>
          </w:p>
          <w:p w14:paraId="0766280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9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（一）①从业经历为15年（含本数）或以上的，得10分；</w:t>
            </w:r>
          </w:p>
          <w:p w14:paraId="47C2C1E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9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②从业经历为10</w:t>
            </w:r>
            <w:r>
              <w:rPr>
                <w:rFonts w:hint="default" w:ascii="宋体" w:hAnsi="宋体" w:eastAsia="宋体" w:cs="宋体"/>
                <w:color w:val="auto"/>
                <w:kern w:val="2"/>
                <w:sz w:val="21"/>
                <w:szCs w:val="21"/>
                <w:highlight w:val="none"/>
                <w:lang w:eastAsia="zh-CN" w:bidi="ar"/>
              </w:rPr>
              <w:t>年</w:t>
            </w:r>
            <w:r>
              <w:rPr>
                <w:rFonts w:hint="eastAsia" w:ascii="宋体" w:hAnsi="宋体" w:eastAsia="宋体" w:cs="宋体"/>
                <w:color w:val="auto"/>
                <w:kern w:val="2"/>
                <w:sz w:val="21"/>
                <w:szCs w:val="21"/>
                <w:highlight w:val="none"/>
                <w:lang w:val="en-US" w:eastAsia="zh-CN" w:bidi="ar"/>
              </w:rPr>
              <w:t>（含本数）-15</w:t>
            </w:r>
            <w:r>
              <w:rPr>
                <w:rFonts w:hint="default" w:ascii="宋体" w:hAnsi="宋体" w:eastAsia="宋体" w:cs="宋体"/>
                <w:color w:val="auto"/>
                <w:kern w:val="2"/>
                <w:sz w:val="21"/>
                <w:szCs w:val="21"/>
                <w:highlight w:val="none"/>
                <w:lang w:eastAsia="zh-CN" w:bidi="ar"/>
              </w:rPr>
              <w:t>年</w:t>
            </w:r>
            <w:r>
              <w:rPr>
                <w:rFonts w:hint="eastAsia" w:ascii="宋体" w:hAnsi="宋体" w:eastAsia="宋体" w:cs="宋体"/>
                <w:color w:val="auto"/>
                <w:kern w:val="2"/>
                <w:sz w:val="21"/>
                <w:szCs w:val="21"/>
                <w:highlight w:val="none"/>
                <w:lang w:val="en-US" w:eastAsia="zh-CN" w:bidi="ar"/>
              </w:rPr>
              <w:t>（不含本数）的，得7分；</w:t>
            </w:r>
          </w:p>
          <w:p w14:paraId="1375866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9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③从业经历为10年（不含本数）以下的，得4分。</w:t>
            </w:r>
          </w:p>
          <w:p w14:paraId="65937C2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二</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202</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年1月1日至今完成过质量合格的类似工程业绩[类似工程是指</w:t>
            </w:r>
            <w:r>
              <w:rPr>
                <w:rFonts w:hint="eastAsia" w:ascii="宋体" w:hAnsi="宋体" w:eastAsia="宋体" w:cs="宋体"/>
                <w:color w:val="auto"/>
                <w:sz w:val="21"/>
                <w:szCs w:val="21"/>
                <w:highlight w:val="none"/>
                <w:lang w:val="en-US" w:eastAsia="zh-CN"/>
              </w:rPr>
              <w:t>大于或等于1800万元的造林绿化施工或园林绿化工程施工业绩</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lang w:val="en-US" w:eastAsia="zh-CN"/>
              </w:rPr>
              <w:t>；每项得5分，</w:t>
            </w: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val="en-US" w:eastAsia="zh-CN"/>
              </w:rPr>
              <w:t>小</w:t>
            </w:r>
            <w:r>
              <w:rPr>
                <w:rFonts w:hint="eastAsia" w:ascii="宋体" w:hAnsi="宋体" w:eastAsia="宋体" w:cs="宋体"/>
                <w:color w:val="auto"/>
                <w:sz w:val="21"/>
                <w:szCs w:val="21"/>
                <w:highlight w:val="none"/>
              </w:rPr>
              <w:t>项最高得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411724A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auto"/>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注：本项最多得20分。</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kern w:val="2"/>
                <w:sz w:val="21"/>
                <w:szCs w:val="21"/>
                <w:highlight w:val="none"/>
                <w:lang w:val="en-US" w:eastAsia="zh-CN" w:bidi="ar"/>
              </w:rPr>
              <w:t>从业经历同时满足多个档次的按最高档次得分计算。不提供相关证书及证明材料或不符合上述条件的不得分。须提供身份证和相应证书扫描件（从业经历以具有大专或以上学历毕业证的发证日期起计，如果投标人同时提供了多个学历毕业证书，则任一毕业证书能达到上述评审从业经历年限要求的即可得分，但不得累计得分。）及</w:t>
            </w:r>
            <w:r>
              <w:rPr>
                <w:rFonts w:hint="eastAsia" w:ascii="宋体" w:hAnsi="宋体" w:eastAsia="宋体" w:cs="宋体"/>
                <w:bCs/>
                <w:color w:val="auto"/>
                <w:szCs w:val="21"/>
                <w:highlight w:val="none"/>
              </w:rPr>
              <w:t>投标截止时间前近1个月在本单位购买的社保证明文件扫描件。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①造林绿化施工业绩须同时提供中标通知书（由当地集中交易机构或招标投标管理部门核发或备案的方为有效）、施工合同关键页、竣工验收报告（不含阶段性验收报告或苗木种植验收报告）。业绩金额以中标通知书为准，中标通知书没有金额的，以施工合同（不含补充合同）为准；业绩时间以竣工验收时间为准。②园林绿化工程施工</w:t>
            </w:r>
            <w:r>
              <w:rPr>
                <w:rFonts w:hint="eastAsia" w:ascii="宋体" w:hAnsi="宋体" w:eastAsia="宋体" w:cs="宋体"/>
                <w:color w:val="auto"/>
                <w:sz w:val="21"/>
                <w:szCs w:val="21"/>
                <w:highlight w:val="none"/>
                <w:lang w:val="en-US" w:eastAsia="zh-CN"/>
              </w:rPr>
              <w:t>业绩取自广州交易集团有限公司(广州公共资源交易中心)城市园林绿化企业工程业绩库人员业绩信息，需同时提供：广州交易集团有限公司(广州公共资源交易中心)城市园林绿化企业工程业绩库园林人员业绩查询打印页、招标公告和中标公示的网络页面及查询路径、中标通知书或免招标相关证明、施工（或设计施工一体化或工程总承包）合同、竣工验收报告或竣工验收证明。业绩金额以中标通知书为准，中标通知书没有金额的，以合同（不含补充合同）为准；时间以竣工验收时间为准。上述资料未按要求提供或提供不齐全的不得分。</w:t>
            </w:r>
          </w:p>
        </w:tc>
      </w:tr>
      <w:tr w14:paraId="6C32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7" w:type="dxa"/>
            <w:vMerge w:val="continue"/>
            <w:tcBorders>
              <w:top w:val="nil"/>
              <w:left w:val="single" w:color="auto" w:sz="4" w:space="0"/>
              <w:bottom w:val="single" w:color="auto" w:sz="4" w:space="0"/>
              <w:right w:val="single" w:color="auto" w:sz="4" w:space="0"/>
            </w:tcBorders>
            <w:noWrap w:val="0"/>
            <w:vAlign w:val="center"/>
          </w:tcPr>
          <w:p w14:paraId="12D0039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67" w:type="dxa"/>
            <w:vMerge w:val="restart"/>
            <w:tcBorders>
              <w:top w:val="nil"/>
              <w:left w:val="nil"/>
              <w:bottom w:val="single" w:color="auto" w:sz="4" w:space="0"/>
              <w:right w:val="single" w:color="auto" w:sz="4" w:space="0"/>
            </w:tcBorders>
            <w:noWrap w:val="0"/>
            <w:vAlign w:val="center"/>
          </w:tcPr>
          <w:p w14:paraId="4248442D">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企业技术力量配备情况</w:t>
            </w:r>
          </w:p>
        </w:tc>
        <w:tc>
          <w:tcPr>
            <w:tcW w:w="1088" w:type="dxa"/>
            <w:vMerge w:val="restart"/>
            <w:tcBorders>
              <w:top w:val="nil"/>
              <w:left w:val="nil"/>
              <w:bottom w:val="single" w:color="auto" w:sz="4" w:space="0"/>
              <w:right w:val="single" w:color="auto" w:sz="4" w:space="0"/>
            </w:tcBorders>
            <w:noWrap w:val="0"/>
            <w:vAlign w:val="center"/>
          </w:tcPr>
          <w:p w14:paraId="444F6EA0">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30</w:t>
            </w:r>
          </w:p>
        </w:tc>
        <w:tc>
          <w:tcPr>
            <w:tcW w:w="10713" w:type="dxa"/>
            <w:tcBorders>
              <w:top w:val="single" w:color="auto" w:sz="4" w:space="0"/>
              <w:left w:val="nil"/>
              <w:bottom w:val="single" w:color="auto" w:sz="4" w:space="0"/>
              <w:right w:val="single" w:color="auto" w:sz="4" w:space="0"/>
            </w:tcBorders>
            <w:noWrap w:val="0"/>
            <w:vAlign w:val="center"/>
          </w:tcPr>
          <w:p w14:paraId="61A45D3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auto"/>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得分规则：</w:t>
            </w:r>
          </w:p>
          <w:p w14:paraId="3C91EA6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auto"/>
              <w:rPr>
                <w:rFonts w:hint="default" w:ascii="Times New Roman" w:hAnsi="Times New Roman" w:eastAsia="宋体" w:cs="Times New Roman"/>
                <w:b/>
                <w:color w:val="auto"/>
                <w:kern w:val="2"/>
                <w:sz w:val="21"/>
                <w:szCs w:val="21"/>
                <w:highlight w:val="none"/>
              </w:rPr>
            </w:pPr>
            <w:r>
              <w:rPr>
                <w:rFonts w:hint="eastAsia" w:ascii="宋体" w:hAnsi="宋体" w:eastAsia="宋体" w:cs="宋体"/>
                <w:b/>
                <w:color w:val="auto"/>
                <w:kern w:val="2"/>
                <w:sz w:val="21"/>
                <w:szCs w:val="21"/>
                <w:highlight w:val="none"/>
                <w:lang w:val="en-US" w:eastAsia="zh-CN" w:bidi="ar"/>
              </w:rPr>
              <w:t>拟投入技术负责人：</w:t>
            </w:r>
          </w:p>
          <w:p w14:paraId="7A473B95">
            <w:pPr>
              <w:keepNext w:val="0"/>
              <w:keepLines w:val="0"/>
              <w:pageBreakBefore w:val="0"/>
              <w:widowControl/>
              <w:kinsoku/>
              <w:wordWrap/>
              <w:overflowPunct/>
              <w:topLinePunct w:val="0"/>
              <w:autoSpaceDE/>
              <w:autoSpaceDN/>
              <w:bidi w:val="0"/>
              <w:adjustRightInd/>
              <w:snapToGrid w:val="0"/>
              <w:spacing w:line="29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一、拟投入技术负责人（1人）：</w:t>
            </w:r>
          </w:p>
          <w:p w14:paraId="61020EF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auto"/>
              <w:rPr>
                <w:rFonts w:hint="eastAsia" w:ascii="宋体" w:hAnsi="宋体" w:eastAsia="宋体" w:cs="宋体"/>
                <w:strike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strike w:val="0"/>
                <w:dstrike w:val="0"/>
                <w:color w:val="auto"/>
                <w:kern w:val="2"/>
                <w:sz w:val="21"/>
                <w:szCs w:val="21"/>
                <w:highlight w:val="none"/>
                <w:lang w:val="en-US" w:eastAsia="zh-CN" w:bidi="ar"/>
              </w:rPr>
              <w:t>①从业经历为15年（含本数）或以上的，得3分；②从业经历为10年（含本数）-15年（不含本数）的，得2分；③从业经历为10年（不含本数）以下的，得1分。</w:t>
            </w:r>
          </w:p>
          <w:p w14:paraId="5C9473C0">
            <w:pPr>
              <w:keepNext w:val="0"/>
              <w:keepLines w:val="0"/>
              <w:pageBreakBefore w:val="0"/>
              <w:widowControl/>
              <w:kinsoku/>
              <w:wordWrap/>
              <w:overflowPunct/>
              <w:topLinePunct w:val="0"/>
              <w:autoSpaceDE/>
              <w:autoSpaceDN/>
              <w:bidi w:val="0"/>
              <w:adjustRightInd/>
              <w:snapToGrid w:val="0"/>
              <w:spacing w:line="29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2、具有</w:t>
            </w:r>
            <w:r>
              <w:rPr>
                <w:rFonts w:hint="eastAsia" w:ascii="宋体" w:hAnsi="宋体" w:eastAsia="宋体" w:cs="宋体"/>
                <w:strike w:val="0"/>
                <w:dstrike w:val="0"/>
                <w:color w:val="auto"/>
                <w:kern w:val="2"/>
                <w:sz w:val="21"/>
                <w:szCs w:val="21"/>
                <w:highlight w:val="none"/>
                <w:lang w:val="en-US" w:eastAsia="zh-CN" w:bidi="ar"/>
              </w:rPr>
              <w:t>林业或园林绿化类（含风景园林施工）专</w:t>
            </w:r>
            <w:r>
              <w:rPr>
                <w:rFonts w:hint="eastAsia" w:ascii="宋体" w:hAnsi="宋体" w:eastAsia="宋体" w:cs="宋体"/>
                <w:color w:val="auto"/>
                <w:sz w:val="21"/>
                <w:szCs w:val="21"/>
                <w:highlight w:val="none"/>
                <w:lang w:val="en-US" w:eastAsia="zh-CN"/>
              </w:rPr>
              <w:t>业正高级工程师技术职称的，得3分；具有</w:t>
            </w:r>
            <w:r>
              <w:rPr>
                <w:rFonts w:hint="eastAsia" w:ascii="宋体" w:hAnsi="宋体" w:eastAsia="宋体" w:cs="宋体"/>
                <w:strike w:val="0"/>
                <w:dstrike w:val="0"/>
                <w:color w:val="auto"/>
                <w:kern w:val="2"/>
                <w:sz w:val="21"/>
                <w:szCs w:val="21"/>
                <w:highlight w:val="none"/>
                <w:lang w:val="en-US" w:eastAsia="zh-CN" w:bidi="ar"/>
              </w:rPr>
              <w:t>林业或园林绿化类（含风景园林施工）</w:t>
            </w:r>
            <w:r>
              <w:rPr>
                <w:rFonts w:hint="eastAsia" w:ascii="宋体" w:hAnsi="宋体" w:eastAsia="宋体" w:cs="宋体"/>
                <w:color w:val="auto"/>
                <w:sz w:val="21"/>
                <w:szCs w:val="21"/>
                <w:highlight w:val="none"/>
                <w:lang w:val="en-US" w:eastAsia="zh-CN"/>
              </w:rPr>
              <w:t>专业副高级工程师技术职称的，得1分；无或其他不得分。本小项最高得3分。</w:t>
            </w:r>
          </w:p>
          <w:p w14:paraId="0256CCD3">
            <w:pPr>
              <w:keepNext w:val="0"/>
              <w:keepLines w:val="0"/>
              <w:pageBreakBefore w:val="0"/>
              <w:widowControl/>
              <w:kinsoku/>
              <w:wordWrap/>
              <w:overflowPunct/>
              <w:topLinePunct w:val="0"/>
              <w:autoSpaceDE/>
              <w:autoSpaceDN/>
              <w:bidi w:val="0"/>
              <w:adjustRightInd/>
              <w:snapToGrid w:val="0"/>
              <w:spacing w:line="29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3、2023年1月1日至今获得</w:t>
            </w:r>
            <w:r>
              <w:rPr>
                <w:rFonts w:hint="eastAsia" w:ascii="宋体" w:hAnsi="宋体" w:eastAsia="宋体" w:cs="宋体"/>
                <w:color w:val="auto"/>
                <w:spacing w:val="0"/>
                <w:sz w:val="21"/>
                <w:szCs w:val="21"/>
                <w:highlight w:val="none"/>
              </w:rPr>
              <w:t>过</w:t>
            </w:r>
            <w:r>
              <w:rPr>
                <w:rFonts w:hint="eastAsia" w:ascii="宋体" w:hAnsi="宋体" w:eastAsia="宋体" w:cs="宋体"/>
                <w:color w:val="auto"/>
                <w:spacing w:val="0"/>
                <w:sz w:val="21"/>
                <w:szCs w:val="21"/>
                <w:highlight w:val="none"/>
                <w:lang w:val="en-US" w:eastAsia="zh-CN"/>
              </w:rPr>
              <w:t>林业或</w:t>
            </w:r>
            <w:r>
              <w:rPr>
                <w:rFonts w:hint="eastAsia" w:ascii="宋体" w:hAnsi="宋体" w:eastAsia="宋体" w:cs="宋体"/>
                <w:color w:val="auto"/>
                <w:spacing w:val="0"/>
                <w:sz w:val="21"/>
                <w:szCs w:val="21"/>
                <w:highlight w:val="none"/>
              </w:rPr>
              <w:t>园林绿化</w:t>
            </w:r>
            <w:r>
              <w:rPr>
                <w:rFonts w:hint="eastAsia" w:ascii="宋体" w:hAnsi="宋体" w:eastAsia="宋体" w:cs="宋体"/>
                <w:color w:val="auto"/>
                <w:spacing w:val="0"/>
                <w:sz w:val="21"/>
                <w:szCs w:val="21"/>
                <w:highlight w:val="none"/>
                <w:lang w:val="en-US" w:eastAsia="zh-CN"/>
              </w:rPr>
              <w:t>相关</w:t>
            </w:r>
            <w:r>
              <w:rPr>
                <w:rFonts w:hint="eastAsia" w:ascii="宋体" w:hAnsi="宋体" w:eastAsia="宋体" w:cs="宋体"/>
                <w:color w:val="auto"/>
                <w:spacing w:val="0"/>
                <w:sz w:val="21"/>
                <w:szCs w:val="21"/>
                <w:highlight w:val="none"/>
              </w:rPr>
              <w:t>的获奖情况：</w:t>
            </w:r>
            <w:r>
              <w:rPr>
                <w:rFonts w:hint="eastAsia" w:ascii="宋体" w:hAnsi="宋体" w:eastAsia="宋体" w:cs="宋体"/>
                <w:color w:val="auto"/>
                <w:sz w:val="21"/>
                <w:szCs w:val="21"/>
                <w:highlight w:val="none"/>
                <w:lang w:val="en-US" w:eastAsia="zh-CN"/>
              </w:rPr>
              <w:t>国家级的得3分；省级的得2分；市级（含副省级）的得1分；无或其他不得分。本小项最高得5分。</w:t>
            </w:r>
          </w:p>
          <w:p w14:paraId="6DA6ABA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90" w:lineRule="exact"/>
              <w:ind w:left="0" w:leftChars="0" w:right="0"/>
              <w:jc w:val="both"/>
              <w:textAlignment w:val="auto"/>
              <w:rPr>
                <w:rFonts w:hint="default"/>
                <w:color w:val="auto"/>
                <w:highlight w:val="none"/>
                <w:lang w:val="en-US"/>
              </w:rPr>
            </w:pPr>
            <w:r>
              <w:rPr>
                <w:rFonts w:hint="eastAsia" w:ascii="宋体" w:hAnsi="宋体" w:eastAsia="宋体" w:cs="宋体"/>
                <w:color w:val="auto"/>
                <w:sz w:val="21"/>
                <w:szCs w:val="21"/>
                <w:highlight w:val="none"/>
                <w:lang w:val="en-US" w:eastAsia="zh-CN"/>
              </w:rPr>
              <w:t>注：本项合计最高得11分。①须提供身份证、职称证、毕业证原件扫描件、投标截止时间前近1个月购买社保的证明扫描件加盖电子印章；②从业经历年限从毕业证书的核发时间或毕业时间（大学专科(或以上)学历）开始起计；③须提供</w:t>
            </w:r>
            <w:r>
              <w:rPr>
                <w:rFonts w:hint="eastAsia" w:ascii="宋体" w:hAnsi="宋体" w:eastAsia="宋体" w:cs="宋体"/>
                <w:color w:val="auto"/>
                <w:spacing w:val="0"/>
                <w:sz w:val="21"/>
                <w:szCs w:val="21"/>
                <w:highlight w:val="none"/>
                <w:lang w:val="zh-CN"/>
              </w:rPr>
              <w:t>获奖证书</w:t>
            </w:r>
            <w:r>
              <w:rPr>
                <w:rFonts w:hint="eastAsia" w:ascii="宋体" w:hAnsi="宋体" w:eastAsia="宋体" w:cs="宋体"/>
                <w:color w:val="auto"/>
                <w:sz w:val="21"/>
                <w:szCs w:val="21"/>
                <w:highlight w:val="none"/>
                <w:lang w:val="en-US" w:eastAsia="zh-CN"/>
              </w:rPr>
              <w:t>原件扫描件</w:t>
            </w:r>
            <w:r>
              <w:rPr>
                <w:rFonts w:hint="eastAsia" w:ascii="宋体" w:hAnsi="宋体" w:eastAsia="宋体" w:cs="宋体"/>
                <w:color w:val="auto"/>
                <w:spacing w:val="0"/>
                <w:sz w:val="21"/>
                <w:szCs w:val="21"/>
                <w:highlight w:val="none"/>
                <w:lang w:val="zh-CN"/>
              </w:rPr>
              <w:t>、</w:t>
            </w:r>
            <w:r>
              <w:rPr>
                <w:rFonts w:hint="eastAsia" w:ascii="宋体" w:hAnsi="宋体" w:eastAsia="宋体" w:cs="宋体"/>
                <w:color w:val="auto"/>
                <w:spacing w:val="0"/>
                <w:sz w:val="21"/>
                <w:szCs w:val="21"/>
                <w:highlight w:val="none"/>
                <w:lang w:val="en-US" w:eastAsia="zh-CN"/>
              </w:rPr>
              <w:t>获奖公示的网页打印件及其查询路径。</w:t>
            </w:r>
            <w:r>
              <w:rPr>
                <w:rFonts w:hint="eastAsia" w:ascii="宋体" w:hAnsi="宋体" w:eastAsia="宋体" w:cs="宋体"/>
                <w:color w:val="auto"/>
                <w:spacing w:val="0"/>
                <w:sz w:val="21"/>
                <w:szCs w:val="21"/>
                <w:highlight w:val="none"/>
                <w:lang w:val="zh-CN"/>
              </w:rPr>
              <w:t>同一项目按最高奖项只计算一次。</w:t>
            </w:r>
            <w:r>
              <w:rPr>
                <w:rFonts w:hint="eastAsia" w:ascii="宋体" w:hAnsi="宋体" w:eastAsia="宋体" w:cs="宋体"/>
                <w:color w:val="auto"/>
                <w:spacing w:val="0"/>
                <w:sz w:val="21"/>
                <w:szCs w:val="21"/>
                <w:highlight w:val="none"/>
              </w:rPr>
              <w:t>技术负责人姓名等相关信息须在获奖证书中体现，若无法体现不得分。</w:t>
            </w:r>
            <w:r>
              <w:rPr>
                <w:rFonts w:hint="eastAsia" w:ascii="宋体" w:hAnsi="宋体" w:eastAsia="宋体" w:cs="宋体"/>
                <w:color w:val="auto"/>
                <w:spacing w:val="0"/>
                <w:sz w:val="21"/>
                <w:szCs w:val="21"/>
                <w:highlight w:val="none"/>
                <w:lang w:val="zh-CN"/>
              </w:rPr>
              <w:t>获奖确认时间以获奖证书时间为准。</w:t>
            </w:r>
            <w:r>
              <w:rPr>
                <w:rFonts w:hint="eastAsia" w:ascii="宋体" w:hAnsi="宋体" w:eastAsia="宋体" w:cs="宋体"/>
                <w:color w:val="auto"/>
                <w:spacing w:val="0"/>
                <w:sz w:val="21"/>
                <w:szCs w:val="21"/>
                <w:highlight w:val="none"/>
                <w:lang w:eastAsia="zh-CN"/>
              </w:rPr>
              <w:t>除</w:t>
            </w:r>
            <w:r>
              <w:rPr>
                <w:rFonts w:hint="eastAsia" w:ascii="宋体" w:hAnsi="宋体" w:eastAsia="宋体" w:cs="宋体"/>
                <w:color w:val="auto"/>
                <w:spacing w:val="0"/>
                <w:sz w:val="21"/>
                <w:szCs w:val="21"/>
                <w:highlight w:val="none"/>
              </w:rPr>
              <w:t>行政主管部门</w:t>
            </w:r>
            <w:r>
              <w:rPr>
                <w:rFonts w:hint="eastAsia" w:ascii="宋体" w:hAnsi="宋体" w:eastAsia="宋体" w:cs="宋体"/>
                <w:color w:val="auto"/>
                <w:spacing w:val="0"/>
                <w:sz w:val="21"/>
                <w:szCs w:val="21"/>
                <w:highlight w:val="none"/>
                <w:lang w:eastAsia="zh-CN"/>
              </w:rPr>
              <w:t>外的其他颁发机构，须在国内依法登记注册，</w:t>
            </w:r>
            <w:r>
              <w:rPr>
                <w:rFonts w:hint="eastAsia" w:ascii="宋体" w:hAnsi="宋体" w:eastAsia="宋体" w:cs="宋体"/>
                <w:color w:val="auto"/>
                <w:spacing w:val="0"/>
                <w:sz w:val="21"/>
                <w:szCs w:val="21"/>
                <w:highlight w:val="none"/>
              </w:rPr>
              <w:t>以</w:t>
            </w:r>
            <w:r>
              <w:rPr>
                <w:rFonts w:hint="eastAsia" w:ascii="宋体" w:hAnsi="宋体" w:eastAsia="宋体" w:cs="宋体"/>
                <w:color w:val="auto"/>
                <w:spacing w:val="0"/>
                <w:sz w:val="21"/>
                <w:szCs w:val="21"/>
                <w:highlight w:val="none"/>
                <w:lang w:val="en-US" w:eastAsia="zh-CN"/>
              </w:rPr>
              <w:t>“中国社会组织政务服务平台”</w:t>
            </w:r>
            <w:r>
              <w:rPr>
                <w:rFonts w:hint="eastAsia" w:ascii="宋体" w:hAnsi="宋体" w:eastAsia="宋体" w:cs="宋体"/>
                <w:color w:val="auto"/>
                <w:spacing w:val="0"/>
                <w:sz w:val="21"/>
                <w:szCs w:val="21"/>
                <w:highlight w:val="none"/>
              </w:rPr>
              <w:t>网查询结果为准</w:t>
            </w:r>
            <w:r>
              <w:rPr>
                <w:rFonts w:hint="eastAsia" w:ascii="宋体" w:hAnsi="宋体" w:eastAsia="宋体" w:cs="宋体"/>
                <w:color w:val="auto"/>
                <w:spacing w:val="0"/>
                <w:sz w:val="21"/>
                <w:szCs w:val="21"/>
                <w:highlight w:val="none"/>
                <w:lang w:eastAsia="zh-CN"/>
              </w:rPr>
              <w:t>，还</w:t>
            </w:r>
            <w:r>
              <w:rPr>
                <w:rFonts w:hint="eastAsia" w:ascii="宋体" w:hAnsi="宋体" w:eastAsia="宋体" w:cs="宋体"/>
                <w:color w:val="auto"/>
                <w:spacing w:val="0"/>
                <w:sz w:val="21"/>
                <w:szCs w:val="21"/>
                <w:highlight w:val="none"/>
              </w:rPr>
              <w:t>需</w:t>
            </w:r>
            <w:r>
              <w:rPr>
                <w:rFonts w:hint="eastAsia" w:ascii="宋体" w:hAnsi="宋体" w:eastAsia="宋体" w:cs="宋体"/>
                <w:color w:val="auto"/>
                <w:spacing w:val="0"/>
                <w:sz w:val="21"/>
                <w:szCs w:val="21"/>
                <w:highlight w:val="none"/>
                <w:lang w:eastAsia="zh-CN"/>
              </w:rPr>
              <w:t>另外</w:t>
            </w:r>
            <w:r>
              <w:rPr>
                <w:rFonts w:hint="eastAsia" w:ascii="宋体" w:hAnsi="宋体" w:eastAsia="宋体" w:cs="宋体"/>
                <w:color w:val="auto"/>
                <w:spacing w:val="0"/>
                <w:sz w:val="21"/>
                <w:szCs w:val="21"/>
                <w:highlight w:val="none"/>
              </w:rPr>
              <w:t>提供颁发机构在</w:t>
            </w:r>
            <w:r>
              <w:rPr>
                <w:rFonts w:hint="eastAsia" w:ascii="宋体" w:hAnsi="宋体" w:eastAsia="宋体" w:cs="宋体"/>
                <w:color w:val="auto"/>
                <w:spacing w:val="0"/>
                <w:sz w:val="21"/>
                <w:szCs w:val="21"/>
                <w:highlight w:val="none"/>
                <w:lang w:val="en-US" w:eastAsia="zh-CN"/>
              </w:rPr>
              <w:t>“中国社会组织政务服务平台”（网址：</w:t>
            </w:r>
            <w:r>
              <w:rPr>
                <w:rFonts w:hint="eastAsia" w:ascii="宋体" w:hAnsi="宋体" w:eastAsia="宋体" w:cs="宋体"/>
                <w:color w:val="auto"/>
                <w:spacing w:val="0"/>
                <w:sz w:val="21"/>
                <w:szCs w:val="21"/>
                <w:highlight w:val="none"/>
                <w:lang w:val="en-US" w:eastAsia="zh-CN"/>
              </w:rPr>
              <w:fldChar w:fldCharType="begin"/>
            </w:r>
            <w:r>
              <w:rPr>
                <w:rFonts w:hint="eastAsia" w:ascii="宋体" w:hAnsi="宋体" w:eastAsia="宋体" w:cs="宋体"/>
                <w:color w:val="auto"/>
                <w:spacing w:val="0"/>
                <w:sz w:val="21"/>
                <w:szCs w:val="21"/>
                <w:highlight w:val="none"/>
                <w:lang w:val="en-US" w:eastAsia="zh-CN"/>
              </w:rPr>
              <w:instrText xml:space="preserve"> HYPERLINK "https://chinanpo.mca.gov.cn/），否则不予计分。" </w:instrText>
            </w:r>
            <w:r>
              <w:rPr>
                <w:rFonts w:hint="eastAsia" w:ascii="宋体" w:hAnsi="宋体" w:eastAsia="宋体" w:cs="宋体"/>
                <w:color w:val="auto"/>
                <w:spacing w:val="0"/>
                <w:sz w:val="21"/>
                <w:szCs w:val="21"/>
                <w:highlight w:val="none"/>
                <w:lang w:val="en-US" w:eastAsia="zh-CN"/>
              </w:rPr>
              <w:fldChar w:fldCharType="separate"/>
            </w:r>
            <w:r>
              <w:rPr>
                <w:rFonts w:hint="eastAsia" w:ascii="宋体" w:hAnsi="宋体" w:eastAsia="宋体" w:cs="宋体"/>
                <w:color w:val="auto"/>
                <w:spacing w:val="0"/>
                <w:sz w:val="21"/>
                <w:szCs w:val="21"/>
                <w:highlight w:val="none"/>
                <w:lang w:val="en-US" w:eastAsia="zh-CN"/>
              </w:rPr>
              <w:t>https://chinanpo.mca.gov.cn/）</w:t>
            </w:r>
            <w:r>
              <w:rPr>
                <w:rFonts w:hint="eastAsia" w:ascii="宋体" w:hAnsi="宋体" w:eastAsia="宋体" w:cs="宋体"/>
                <w:color w:val="auto"/>
                <w:spacing w:val="0"/>
                <w:sz w:val="21"/>
                <w:szCs w:val="21"/>
                <w:highlight w:val="none"/>
                <w:lang w:val="en-US" w:eastAsia="zh-CN"/>
              </w:rPr>
              <w:fldChar w:fldCharType="end"/>
            </w:r>
            <w:r>
              <w:rPr>
                <w:rFonts w:hint="eastAsia" w:ascii="宋体" w:hAnsi="宋体" w:eastAsia="宋体" w:cs="宋体"/>
                <w:color w:val="auto"/>
                <w:spacing w:val="0"/>
                <w:sz w:val="21"/>
                <w:szCs w:val="21"/>
                <w:highlight w:val="none"/>
              </w:rPr>
              <w:t>网查询结果截图及其查询路径。</w:t>
            </w:r>
            <w:r>
              <w:rPr>
                <w:rFonts w:hint="eastAsia" w:ascii="宋体" w:hAnsi="宋体" w:eastAsia="宋体" w:cs="宋体"/>
                <w:color w:val="auto"/>
                <w:sz w:val="21"/>
                <w:szCs w:val="21"/>
                <w:highlight w:val="none"/>
                <w:lang w:val="en-US" w:eastAsia="zh-CN"/>
              </w:rPr>
              <w:t>以上材料需加盖投标人电子公章，材料不齐全或不符合上述条件的，不得分。</w:t>
            </w:r>
          </w:p>
        </w:tc>
      </w:tr>
      <w:tr w14:paraId="6D53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17" w:type="dxa"/>
            <w:vMerge w:val="continue"/>
            <w:tcBorders>
              <w:top w:val="nil"/>
              <w:left w:val="single" w:color="auto" w:sz="4" w:space="0"/>
              <w:bottom w:val="single" w:color="auto" w:sz="4" w:space="0"/>
              <w:right w:val="single" w:color="auto" w:sz="4" w:space="0"/>
            </w:tcBorders>
            <w:noWrap w:val="0"/>
            <w:vAlign w:val="center"/>
          </w:tcPr>
          <w:p w14:paraId="5A8197E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67" w:type="dxa"/>
            <w:vMerge w:val="continue"/>
            <w:tcBorders>
              <w:top w:val="nil"/>
              <w:left w:val="nil"/>
              <w:bottom w:val="single" w:color="auto" w:sz="4" w:space="0"/>
              <w:right w:val="single" w:color="auto" w:sz="4" w:space="0"/>
            </w:tcBorders>
            <w:noWrap w:val="0"/>
            <w:vAlign w:val="center"/>
          </w:tcPr>
          <w:p w14:paraId="252E7C5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88" w:type="dxa"/>
            <w:vMerge w:val="continue"/>
            <w:tcBorders>
              <w:top w:val="nil"/>
              <w:left w:val="nil"/>
              <w:bottom w:val="single" w:color="auto" w:sz="4" w:space="0"/>
              <w:right w:val="single" w:color="auto" w:sz="4" w:space="0"/>
            </w:tcBorders>
            <w:noWrap w:val="0"/>
            <w:vAlign w:val="center"/>
          </w:tcPr>
          <w:p w14:paraId="151E698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713" w:type="dxa"/>
            <w:tcBorders>
              <w:top w:val="single" w:color="auto" w:sz="4" w:space="0"/>
              <w:left w:val="nil"/>
              <w:bottom w:val="single" w:color="auto" w:sz="4" w:space="0"/>
              <w:right w:val="single" w:color="auto" w:sz="4" w:space="0"/>
            </w:tcBorders>
            <w:noWrap w:val="0"/>
            <w:vAlign w:val="center"/>
          </w:tcPr>
          <w:p w14:paraId="1650117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90" w:lineRule="exact"/>
              <w:ind w:left="0" w:right="0" w:firstLine="0" w:firstLineChars="0"/>
              <w:jc w:val="both"/>
              <w:textAlignment w:val="auto"/>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得分规则：</w:t>
            </w:r>
          </w:p>
          <w:p w14:paraId="5E48CAF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90" w:lineRule="exact"/>
              <w:ind w:left="0" w:right="0" w:firstLine="0" w:firstLineChars="0"/>
              <w:jc w:val="both"/>
              <w:textAlignment w:val="auto"/>
              <w:rPr>
                <w:rFonts w:hint="eastAsia" w:ascii="宋体" w:hAnsi="宋体" w:eastAsia="宋体" w:cs="Times New Roman"/>
                <w:b/>
                <w:color w:val="auto"/>
                <w:kern w:val="2"/>
                <w:sz w:val="21"/>
                <w:szCs w:val="21"/>
                <w:highlight w:val="none"/>
              </w:rPr>
            </w:pPr>
            <w:r>
              <w:rPr>
                <w:rFonts w:hint="eastAsia" w:ascii="宋体" w:hAnsi="宋体" w:eastAsia="宋体" w:cs="宋体"/>
                <w:b/>
                <w:color w:val="auto"/>
                <w:kern w:val="2"/>
                <w:sz w:val="21"/>
                <w:szCs w:val="21"/>
                <w:highlight w:val="none"/>
                <w:lang w:val="en-US" w:eastAsia="zh-CN" w:bidi="ar"/>
              </w:rPr>
              <w:t>拟投入其他技术人员：</w:t>
            </w:r>
          </w:p>
          <w:p w14:paraId="3C2CC1D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firstLine="0" w:firstLineChars="0"/>
              <w:jc w:val="left"/>
              <w:textAlignment w:val="auto"/>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
              </w:rPr>
              <w:t>一、</w:t>
            </w:r>
            <w:r>
              <w:rPr>
                <w:rFonts w:hint="eastAsia" w:ascii="宋体" w:hAnsi="宋体" w:eastAsia="宋体" w:cs="宋体"/>
                <w:b/>
                <w:bCs/>
                <w:color w:val="auto"/>
                <w:szCs w:val="21"/>
                <w:highlight w:val="none"/>
                <w:lang w:val="en-US" w:eastAsia="zh-CN"/>
              </w:rPr>
              <w:t>林业工程师</w:t>
            </w:r>
            <w:r>
              <w:rPr>
                <w:rFonts w:hint="eastAsia" w:ascii="宋体" w:hAnsi="宋体" w:eastAsia="宋体" w:cs="宋体"/>
                <w:b/>
                <w:bCs/>
                <w:color w:val="auto"/>
                <w:szCs w:val="21"/>
                <w:highlight w:val="none"/>
              </w:rPr>
              <w:t>1人：</w:t>
            </w:r>
          </w:p>
          <w:p w14:paraId="07190D1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firstLine="0" w:firstLineChars="0"/>
              <w:jc w:val="left"/>
              <w:textAlignment w:val="auto"/>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具有林业专业副高级（或以上）技术职称的，得3分；具有林业专业中级技术职称的，得1分；无或其他不得分。以职称证书为准。</w:t>
            </w:r>
            <w:r>
              <w:rPr>
                <w:rFonts w:hint="eastAsia" w:ascii="宋体" w:hAnsi="宋体" w:eastAsia="宋体" w:cs="宋体"/>
                <w:color w:val="auto"/>
                <w:sz w:val="21"/>
                <w:szCs w:val="21"/>
                <w:highlight w:val="none"/>
                <w:lang w:val="en-US" w:eastAsia="zh-CN"/>
              </w:rPr>
              <w:t>本小项最高得3分。</w:t>
            </w:r>
          </w:p>
          <w:p w14:paraId="133D120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90" w:lineRule="exact"/>
              <w:ind w:left="0" w:right="0" w:firstLine="0" w:firstLineChars="0"/>
              <w:jc w:val="left"/>
              <w:textAlignment w:val="auto"/>
              <w:rPr>
                <w:rFonts w:hint="eastAsia" w:ascii="宋体" w:hAnsi="宋体" w:eastAsia="宋体" w:cs="Times New Roman"/>
                <w:b/>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二、</w:t>
            </w:r>
            <w:r>
              <w:rPr>
                <w:rFonts w:hint="eastAsia" w:ascii="宋体" w:hAnsi="宋体" w:eastAsia="宋体" w:cs="宋体"/>
                <w:b/>
                <w:bCs w:val="0"/>
                <w:color w:val="auto"/>
                <w:kern w:val="2"/>
                <w:sz w:val="21"/>
                <w:szCs w:val="21"/>
                <w:highlight w:val="none"/>
                <w:lang w:val="en-US" w:eastAsia="zh-CN" w:bidi="ar"/>
              </w:rPr>
              <w:t>造价工程师</w:t>
            </w:r>
            <w:r>
              <w:rPr>
                <w:rFonts w:hint="eastAsia" w:ascii="宋体" w:hAnsi="宋体" w:eastAsia="宋体" w:cs="宋体"/>
                <w:b/>
                <w:bCs/>
                <w:color w:val="auto"/>
                <w:szCs w:val="21"/>
                <w:highlight w:val="none"/>
              </w:rPr>
              <w:t>1人</w:t>
            </w:r>
            <w:r>
              <w:rPr>
                <w:rFonts w:hint="eastAsia" w:ascii="宋体" w:hAnsi="宋体" w:eastAsia="宋体" w:cs="宋体"/>
                <w:b/>
                <w:bCs w:val="0"/>
                <w:color w:val="auto"/>
                <w:kern w:val="2"/>
                <w:sz w:val="21"/>
                <w:szCs w:val="21"/>
                <w:highlight w:val="none"/>
                <w:lang w:val="en-US" w:eastAsia="zh-CN" w:bidi="ar"/>
              </w:rPr>
              <w:t>：</w:t>
            </w:r>
          </w:p>
          <w:p w14:paraId="48AB098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90" w:lineRule="exact"/>
              <w:ind w:left="0" w:right="0"/>
              <w:jc w:val="both"/>
              <w:textAlignment w:val="auto"/>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①</w:t>
            </w:r>
            <w:r>
              <w:rPr>
                <w:rFonts w:hint="eastAsia" w:ascii="宋体" w:hAnsi="宋体" w:eastAsia="宋体" w:cs="宋体"/>
                <w:bCs/>
                <w:color w:val="auto"/>
                <w:kern w:val="2"/>
                <w:sz w:val="21"/>
                <w:szCs w:val="21"/>
                <w:highlight w:val="none"/>
                <w:lang w:val="en-US" w:eastAsia="zh-CN" w:bidi="ar"/>
              </w:rPr>
              <w:t>具有注册一级造价工程师执业资格且在有效期内的，得</w:t>
            </w:r>
            <w:r>
              <w:rPr>
                <w:rFonts w:hint="eastAsia" w:ascii="宋体" w:hAnsi="宋体" w:cs="宋体"/>
                <w:bCs/>
                <w:color w:val="auto"/>
                <w:kern w:val="2"/>
                <w:sz w:val="21"/>
                <w:szCs w:val="21"/>
                <w:highlight w:val="none"/>
                <w:lang w:val="en-US" w:eastAsia="zh-CN" w:bidi="ar"/>
              </w:rPr>
              <w:t>2</w:t>
            </w:r>
            <w:r>
              <w:rPr>
                <w:rFonts w:hint="eastAsia" w:ascii="宋体" w:hAnsi="宋体" w:eastAsia="宋体" w:cs="宋体"/>
                <w:bCs/>
                <w:color w:val="auto"/>
                <w:kern w:val="2"/>
                <w:sz w:val="21"/>
                <w:szCs w:val="21"/>
                <w:highlight w:val="none"/>
                <w:lang w:val="en-US" w:eastAsia="zh-CN" w:bidi="ar"/>
              </w:rPr>
              <w:t>分；具有二级注册造价工程师执业资格且在有效期内的，得</w:t>
            </w:r>
            <w:r>
              <w:rPr>
                <w:rFonts w:hint="eastAsia" w:ascii="宋体" w:hAnsi="宋体" w:cs="宋体"/>
                <w:bCs/>
                <w:color w:val="auto"/>
                <w:kern w:val="2"/>
                <w:sz w:val="21"/>
                <w:szCs w:val="21"/>
                <w:highlight w:val="none"/>
                <w:lang w:val="en-US" w:eastAsia="zh-CN" w:bidi="ar"/>
              </w:rPr>
              <w:t>1</w:t>
            </w:r>
            <w:r>
              <w:rPr>
                <w:rFonts w:hint="eastAsia" w:ascii="宋体" w:hAnsi="宋体" w:eastAsia="宋体" w:cs="宋体"/>
                <w:bCs/>
                <w:color w:val="auto"/>
                <w:kern w:val="2"/>
                <w:sz w:val="21"/>
                <w:szCs w:val="21"/>
                <w:highlight w:val="none"/>
                <w:lang w:val="en-US" w:eastAsia="zh-CN" w:bidi="ar"/>
              </w:rPr>
              <w:t>分；</w:t>
            </w:r>
            <w:r>
              <w:rPr>
                <w:rFonts w:hint="eastAsia" w:ascii="宋体" w:hAnsi="宋体" w:eastAsia="宋体" w:cs="宋体"/>
                <w:b w:val="0"/>
                <w:bCs w:val="0"/>
                <w:color w:val="auto"/>
                <w:kern w:val="2"/>
                <w:sz w:val="21"/>
                <w:szCs w:val="21"/>
                <w:highlight w:val="none"/>
                <w:lang w:val="en-US" w:eastAsia="zh-CN" w:bidi="ar"/>
              </w:rPr>
              <w:t>无或其他不得分</w:t>
            </w:r>
            <w:r>
              <w:rPr>
                <w:rFonts w:hint="eastAsia" w:ascii="宋体" w:hAnsi="宋体" w:eastAsia="宋体" w:cs="宋体"/>
                <w:bCs/>
                <w:color w:val="auto"/>
                <w:kern w:val="2"/>
                <w:sz w:val="21"/>
                <w:szCs w:val="21"/>
                <w:highlight w:val="none"/>
                <w:lang w:val="en-US" w:eastAsia="zh-CN" w:bidi="ar"/>
              </w:rPr>
              <w:t>。以注册证书为准。</w:t>
            </w:r>
          </w:p>
          <w:p w14:paraId="33C39635">
            <w:pPr>
              <w:keepNext w:val="0"/>
              <w:keepLines w:val="0"/>
              <w:pageBreakBefore w:val="0"/>
              <w:widowControl/>
              <w:kinsoku/>
              <w:wordWrap/>
              <w:overflowPunct/>
              <w:topLinePunct w:val="0"/>
              <w:autoSpaceDE/>
              <w:autoSpaceDN/>
              <w:bidi w:val="0"/>
              <w:adjustRightInd/>
              <w:snapToGrid w:val="0"/>
              <w:spacing w:line="290" w:lineRule="exact"/>
              <w:jc w:val="left"/>
              <w:textAlignment w:val="auto"/>
              <w:rPr>
                <w:rFonts w:hint="eastAsia"/>
                <w:color w:val="auto"/>
                <w:highlight w:val="none"/>
                <w:lang w:val="en-US" w:eastAsia="zh-CN"/>
              </w:rPr>
            </w:pPr>
            <w:r>
              <w:rPr>
                <w:rFonts w:hint="eastAsia" w:ascii="宋体" w:hAnsi="宋体" w:eastAsia="宋体" w:cs="宋体"/>
                <w:color w:val="auto"/>
                <w:sz w:val="21"/>
                <w:szCs w:val="21"/>
                <w:highlight w:val="none"/>
                <w:lang w:val="en-US" w:eastAsia="zh-CN"/>
              </w:rPr>
              <w:t>②具有</w:t>
            </w:r>
            <w:r>
              <w:rPr>
                <w:rFonts w:hint="eastAsia" w:ascii="宋体" w:hAnsi="宋体" w:eastAsia="宋体" w:cs="宋体"/>
                <w:strike w:val="0"/>
                <w:dstrike w:val="0"/>
                <w:color w:val="auto"/>
                <w:kern w:val="2"/>
                <w:sz w:val="21"/>
                <w:szCs w:val="21"/>
                <w:highlight w:val="none"/>
                <w:lang w:val="en-US" w:eastAsia="zh-CN" w:bidi="ar"/>
              </w:rPr>
              <w:t>林业或园林绿化类（含风景园林施工）</w:t>
            </w:r>
            <w:r>
              <w:rPr>
                <w:rFonts w:hint="eastAsia" w:ascii="宋体" w:hAnsi="宋体" w:eastAsia="宋体" w:cs="宋体"/>
                <w:i w:val="0"/>
                <w:iCs w:val="0"/>
                <w:color w:val="auto"/>
                <w:kern w:val="0"/>
                <w:sz w:val="21"/>
                <w:szCs w:val="21"/>
                <w:highlight w:val="none"/>
                <w:u w:val="none"/>
                <w:lang w:val="en-US" w:eastAsia="zh-CN" w:bidi="ar"/>
              </w:rPr>
              <w:t>专业副高级（或以上）技术职称的，得2分</w:t>
            </w:r>
            <w:r>
              <w:rPr>
                <w:rFonts w:hint="eastAsia" w:ascii="宋体" w:hAnsi="宋体" w:eastAsia="宋体" w:cs="宋体"/>
                <w:color w:val="auto"/>
                <w:sz w:val="21"/>
                <w:szCs w:val="21"/>
                <w:highlight w:val="none"/>
                <w:lang w:val="en-US" w:eastAsia="zh-CN"/>
              </w:rPr>
              <w:t>，具有</w:t>
            </w:r>
            <w:r>
              <w:rPr>
                <w:rFonts w:hint="eastAsia" w:ascii="宋体" w:hAnsi="宋体" w:eastAsia="宋体" w:cs="宋体"/>
                <w:strike w:val="0"/>
                <w:dstrike w:val="0"/>
                <w:color w:val="auto"/>
                <w:kern w:val="2"/>
                <w:sz w:val="21"/>
                <w:szCs w:val="21"/>
                <w:highlight w:val="none"/>
                <w:lang w:val="en-US" w:eastAsia="zh-CN" w:bidi="ar"/>
              </w:rPr>
              <w:t>林业或园林绿化类（含风景园林施工）</w:t>
            </w:r>
            <w:r>
              <w:rPr>
                <w:rFonts w:hint="eastAsia" w:ascii="宋体" w:hAnsi="宋体" w:eastAsia="宋体" w:cs="宋体"/>
                <w:i w:val="0"/>
                <w:iCs w:val="0"/>
                <w:color w:val="auto"/>
                <w:kern w:val="0"/>
                <w:sz w:val="21"/>
                <w:szCs w:val="21"/>
                <w:highlight w:val="none"/>
                <w:u w:val="none"/>
                <w:lang w:val="en-US" w:eastAsia="zh-CN" w:bidi="ar"/>
              </w:rPr>
              <w:t>专业</w:t>
            </w:r>
            <w:r>
              <w:rPr>
                <w:rFonts w:hint="eastAsia" w:ascii="宋体" w:hAnsi="宋体" w:eastAsia="宋体" w:cs="宋体"/>
                <w:color w:val="auto"/>
                <w:sz w:val="21"/>
                <w:szCs w:val="21"/>
                <w:highlight w:val="none"/>
                <w:lang w:val="en-US" w:eastAsia="zh-CN"/>
              </w:rPr>
              <w:t>中级技术职称的，得1分；</w:t>
            </w:r>
            <w:r>
              <w:rPr>
                <w:rFonts w:hint="eastAsia" w:ascii="宋体" w:hAnsi="宋体" w:eastAsia="宋体" w:cs="宋体"/>
                <w:color w:val="auto"/>
                <w:szCs w:val="21"/>
                <w:highlight w:val="none"/>
                <w:lang w:val="en-US" w:eastAsia="zh-CN"/>
              </w:rPr>
              <w:t>无或其他不得分。以职称证书为准。</w:t>
            </w:r>
          </w:p>
          <w:p w14:paraId="32802F0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90" w:lineRule="exact"/>
              <w:ind w:left="0" w:right="0" w:firstLine="0" w:firstLineChars="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三、</w:t>
            </w:r>
            <w:r>
              <w:rPr>
                <w:rFonts w:hint="eastAsia" w:ascii="宋体" w:hAnsi="宋体" w:eastAsia="宋体" w:cs="宋体"/>
                <w:b/>
                <w:bCs w:val="0"/>
                <w:color w:val="auto"/>
                <w:kern w:val="2"/>
                <w:sz w:val="21"/>
                <w:szCs w:val="21"/>
                <w:highlight w:val="none"/>
                <w:lang w:val="en-US" w:eastAsia="zh-CN" w:bidi="ar"/>
              </w:rPr>
              <w:t>其他技术人员：</w:t>
            </w:r>
          </w:p>
          <w:p w14:paraId="4AC4FF77">
            <w:pPr>
              <w:keepNext w:val="0"/>
              <w:keepLines w:val="0"/>
              <w:pageBreakBefore w:val="0"/>
              <w:widowControl/>
              <w:kinsoku/>
              <w:wordWrap/>
              <w:overflowPunct/>
              <w:topLinePunct w:val="0"/>
              <w:autoSpaceDE/>
              <w:autoSpaceDN/>
              <w:bidi w:val="0"/>
              <w:adjustRightInd/>
              <w:snapToGrid w:val="0"/>
              <w:spacing w:line="290" w:lineRule="exact"/>
              <w:ind w:firstLine="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1.拟投入其他技术人员中具有施工员2人、安全员1人、质量员1人、资料员1人、材料员（取样员）1人、林业有害生物防治员1人、造林工1人，每缺1人扣1分，本小项最高得6分，扣完为止。</w:t>
            </w:r>
          </w:p>
          <w:p w14:paraId="7BE974F4">
            <w:pPr>
              <w:keepNext w:val="0"/>
              <w:keepLines w:val="0"/>
              <w:pageBreakBefore w:val="0"/>
              <w:widowControl/>
              <w:kinsoku/>
              <w:wordWrap/>
              <w:overflowPunct/>
              <w:topLinePunct w:val="0"/>
              <w:autoSpaceDE/>
              <w:autoSpaceDN/>
              <w:bidi w:val="0"/>
              <w:adjustRightInd/>
              <w:snapToGrid w:val="0"/>
              <w:spacing w:line="290" w:lineRule="exact"/>
              <w:ind w:firstLine="0" w:firstLineChars="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拟投入人员具有</w:t>
            </w:r>
            <w:r>
              <w:rPr>
                <w:rFonts w:hint="eastAsia" w:ascii="宋体" w:hAnsi="宋体" w:eastAsia="宋体" w:cs="宋体"/>
                <w:color w:val="auto"/>
                <w:szCs w:val="21"/>
                <w:highlight w:val="none"/>
                <w:lang w:val="en-US" w:eastAsia="zh-CN"/>
              </w:rPr>
              <w:t>林业技术、林业生态建设与保护</w:t>
            </w:r>
            <w:r>
              <w:rPr>
                <w:rFonts w:hint="eastAsia" w:ascii="宋体" w:hAnsi="宋体" w:eastAsia="宋体" w:cs="宋体"/>
                <w:color w:val="auto"/>
                <w:szCs w:val="21"/>
                <w:highlight w:val="none"/>
                <w:lang w:eastAsia="zh-CN"/>
              </w:rPr>
              <w:t>专业技术人员，</w:t>
            </w:r>
            <w:r>
              <w:rPr>
                <w:rFonts w:hint="eastAsia" w:ascii="宋体" w:hAnsi="宋体" w:eastAsia="宋体" w:cs="宋体"/>
                <w:color w:val="auto"/>
                <w:szCs w:val="21"/>
                <w:highlight w:val="none"/>
                <w:lang w:val="en-US" w:eastAsia="zh-CN"/>
              </w:rPr>
              <w:t>每提供1名得2分</w:t>
            </w:r>
            <w:r>
              <w:rPr>
                <w:rFonts w:hint="eastAsia" w:ascii="宋体" w:hAnsi="宋体" w:eastAsia="宋体" w:cs="宋体"/>
                <w:color w:val="auto"/>
                <w:szCs w:val="21"/>
                <w:highlight w:val="none"/>
                <w:lang w:eastAsia="zh-CN"/>
              </w:rPr>
              <w:t>，本小项最高得</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分。以毕业证</w:t>
            </w:r>
            <w:r>
              <w:rPr>
                <w:rFonts w:hint="eastAsia" w:ascii="宋体" w:hAnsi="宋体" w:eastAsia="宋体" w:cs="宋体"/>
                <w:color w:val="auto"/>
                <w:szCs w:val="21"/>
                <w:highlight w:val="none"/>
                <w:lang w:val="en-US" w:eastAsia="zh-CN"/>
              </w:rPr>
              <w:t>或职称证</w:t>
            </w:r>
            <w:r>
              <w:rPr>
                <w:rFonts w:hint="eastAsia" w:ascii="宋体" w:hAnsi="宋体" w:eastAsia="宋体" w:cs="宋体"/>
                <w:color w:val="auto"/>
                <w:szCs w:val="21"/>
                <w:highlight w:val="none"/>
                <w:lang w:eastAsia="zh-CN"/>
              </w:rPr>
              <w:t>为准。</w:t>
            </w:r>
          </w:p>
          <w:p w14:paraId="0D204D30">
            <w:pPr>
              <w:keepNext w:val="0"/>
              <w:keepLines w:val="0"/>
              <w:pageBreakBefore w:val="0"/>
              <w:widowControl/>
              <w:kinsoku/>
              <w:wordWrap/>
              <w:overflowPunct/>
              <w:topLinePunct w:val="0"/>
              <w:autoSpaceDE/>
              <w:autoSpaceDN/>
              <w:bidi w:val="0"/>
              <w:adjustRightInd/>
              <w:snapToGrid w:val="0"/>
              <w:spacing w:line="290" w:lineRule="exact"/>
              <w:ind w:firstLine="0" w:firstLineChars="0"/>
              <w:jc w:val="left"/>
              <w:textAlignment w:val="auto"/>
              <w:rPr>
                <w:rFonts w:hint="default" w:ascii="宋体" w:hAnsi="宋体" w:eastAsia="宋体" w:cs="宋体"/>
                <w:color w:val="auto"/>
                <w:kern w:val="2"/>
                <w:sz w:val="21"/>
                <w:szCs w:val="21"/>
                <w:highlight w:val="none"/>
                <w:lang w:val="en-US"/>
              </w:rPr>
            </w:pPr>
            <w:r>
              <w:rPr>
                <w:rFonts w:hint="eastAsia" w:ascii="宋体" w:hAnsi="宋体" w:eastAsia="宋体" w:cs="宋体"/>
                <w:b/>
                <w:bCs/>
                <w:color w:val="auto"/>
                <w:kern w:val="2"/>
                <w:sz w:val="21"/>
                <w:szCs w:val="21"/>
                <w:highlight w:val="none"/>
                <w:lang w:val="en-US" w:eastAsia="zh-CN" w:bidi="ar"/>
              </w:rPr>
              <w:t>注</w:t>
            </w:r>
            <w:r>
              <w:rPr>
                <w:rFonts w:hint="eastAsia" w:ascii="宋体" w:hAnsi="宋体" w:eastAsia="宋体" w:cs="宋体"/>
                <w:color w:val="auto"/>
                <w:kern w:val="2"/>
                <w:sz w:val="21"/>
                <w:szCs w:val="21"/>
                <w:highlight w:val="none"/>
                <w:lang w:val="en-US" w:eastAsia="zh-CN" w:bidi="ar"/>
              </w:rPr>
              <w:t>：1.本项最高得19分，不提供相关证书或不符合上述条件的不得分。第二中的第1点和第2点独立评审，不存在互相补充关系。</w:t>
            </w:r>
          </w:p>
          <w:p w14:paraId="22050B3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90" w:lineRule="exact"/>
              <w:ind w:left="0" w:right="0" w:firstLine="420" w:firstLineChars="200"/>
              <w:jc w:val="both"/>
              <w:textAlignment w:val="auto"/>
              <w:rPr>
                <w:rFonts w:hint="default"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bidi="ar"/>
              </w:rPr>
              <w:t>2.以上人员不重复计分，第一、第二及第三中的第1点须对应提供上述评审项相应要求的①身份证、②职称证书或资格证书或培训证或上岗证或技能证书或特种作业证书扫描件</w:t>
            </w:r>
            <w:r>
              <w:rPr>
                <w:rFonts w:hint="eastAsia" w:ascii="宋体" w:hAnsi="宋体" w:eastAsia="宋体" w:cs="宋体"/>
                <w:i w:val="0"/>
                <w:iCs w:val="0"/>
                <w:color w:val="auto"/>
                <w:kern w:val="0"/>
                <w:sz w:val="21"/>
                <w:szCs w:val="21"/>
                <w:highlight w:val="none"/>
                <w:u w:val="none"/>
                <w:lang w:val="en-US" w:eastAsia="zh-CN" w:bidi="ar"/>
              </w:rPr>
              <w:t>、③</w:t>
            </w:r>
            <w:r>
              <w:rPr>
                <w:rFonts w:hint="eastAsia" w:ascii="宋体" w:hAnsi="宋体" w:eastAsia="宋体" w:cs="宋体"/>
                <w:color w:val="auto"/>
                <w:kern w:val="2"/>
                <w:szCs w:val="21"/>
                <w:highlight w:val="none"/>
                <w:lang w:val="en-US" w:eastAsia="zh-CN" w:bidi="ar"/>
              </w:rPr>
              <w:t>投标截止时间前近1个月在本单位购买的社保证明文件扫描件</w:t>
            </w:r>
            <w:r>
              <w:rPr>
                <w:rFonts w:hint="eastAsia" w:ascii="宋体" w:hAnsi="宋体" w:eastAsia="宋体" w:cs="宋体"/>
                <w:i w:val="0"/>
                <w:iCs w:val="0"/>
                <w:color w:val="auto"/>
                <w:kern w:val="0"/>
                <w:sz w:val="21"/>
                <w:szCs w:val="21"/>
                <w:highlight w:val="none"/>
                <w:u w:val="none"/>
                <w:lang w:val="en-US" w:eastAsia="zh-CN" w:bidi="ar"/>
              </w:rPr>
              <w:t>，无提供不得分。第三中的第2点</w:t>
            </w:r>
            <w:r>
              <w:rPr>
                <w:rFonts w:hint="eastAsia" w:ascii="宋体" w:hAnsi="宋体" w:eastAsia="宋体" w:cs="宋体"/>
                <w:color w:val="auto"/>
                <w:kern w:val="2"/>
                <w:sz w:val="21"/>
                <w:szCs w:val="21"/>
                <w:highlight w:val="none"/>
                <w:lang w:val="en-US" w:eastAsia="zh-CN" w:bidi="ar"/>
              </w:rPr>
              <w:t>须对应提供上述评审项相应要求的①身份证、②毕业证或职称证、</w:t>
            </w:r>
            <w:r>
              <w:rPr>
                <w:rFonts w:hint="eastAsia" w:ascii="宋体" w:hAnsi="宋体" w:eastAsia="宋体" w:cs="宋体"/>
                <w:i w:val="0"/>
                <w:iCs w:val="0"/>
                <w:color w:val="auto"/>
                <w:kern w:val="0"/>
                <w:sz w:val="21"/>
                <w:szCs w:val="21"/>
                <w:highlight w:val="none"/>
                <w:u w:val="none"/>
                <w:lang w:val="en-US" w:eastAsia="zh-CN" w:bidi="ar"/>
              </w:rPr>
              <w:t>③</w:t>
            </w:r>
            <w:r>
              <w:rPr>
                <w:rFonts w:hint="eastAsia" w:ascii="宋体" w:hAnsi="宋体" w:eastAsia="宋体" w:cs="宋体"/>
                <w:color w:val="auto"/>
                <w:kern w:val="2"/>
                <w:szCs w:val="21"/>
                <w:highlight w:val="none"/>
                <w:lang w:val="en-US" w:eastAsia="zh-CN" w:bidi="ar"/>
              </w:rPr>
              <w:t>投标截止时间前近1个月在本单位购买的社保证明文件扫描件</w:t>
            </w:r>
            <w:r>
              <w:rPr>
                <w:rFonts w:hint="eastAsia" w:ascii="宋体" w:hAnsi="宋体" w:eastAsia="宋体" w:cs="宋体"/>
                <w:i w:val="0"/>
                <w:iCs w:val="0"/>
                <w:color w:val="auto"/>
                <w:kern w:val="0"/>
                <w:sz w:val="21"/>
                <w:szCs w:val="21"/>
                <w:highlight w:val="none"/>
                <w:u w:val="none"/>
                <w:lang w:val="en-US" w:eastAsia="zh-CN" w:bidi="ar"/>
              </w:rPr>
              <w:t>，无提供不得分。</w:t>
            </w:r>
          </w:p>
          <w:p w14:paraId="24EADDB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90" w:lineRule="exact"/>
              <w:ind w:left="0" w:right="0" w:firstLine="420" w:firstLineChars="200"/>
              <w:jc w:val="both"/>
              <w:textAlignment w:val="auto"/>
              <w:rPr>
                <w:rFonts w:hint="eastAsia" w:ascii="宋体" w:hAnsi="宋体" w:eastAsia="宋体" w:cs="Times New Roman"/>
                <w:color w:val="auto"/>
                <w:kern w:val="2"/>
                <w:sz w:val="21"/>
                <w:szCs w:val="21"/>
                <w:highlight w:val="none"/>
              </w:rPr>
            </w:pPr>
            <w:r>
              <w:rPr>
                <w:rFonts w:hint="eastAsia" w:ascii="宋体" w:hAnsi="宋体" w:eastAsia="宋体" w:cs="宋体"/>
                <w:bCs/>
                <w:color w:val="auto"/>
                <w:kern w:val="2"/>
                <w:sz w:val="21"/>
                <w:szCs w:val="21"/>
                <w:highlight w:val="none"/>
                <w:u w:val="none"/>
                <w:lang w:val="en-US" w:eastAsia="zh-CN" w:bidi="ar"/>
              </w:rPr>
              <w:t>3.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[1996]77号)取得的造价工程师执业资格，并经注册且在有效期内的，等同于一级注册造价工程师。</w:t>
            </w:r>
          </w:p>
        </w:tc>
      </w:tr>
      <w:tr w14:paraId="6D90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F1B8D9C">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b/>
                <w:color w:val="auto"/>
                <w:kern w:val="0"/>
                <w:sz w:val="21"/>
                <w:szCs w:val="21"/>
                <w:highlight w:val="none"/>
                <w:lang w:val="en-US" w:eastAsia="zh-CN" w:bidi="ar"/>
              </w:rPr>
              <w:t>二、机械设备投入情况</w:t>
            </w:r>
          </w:p>
        </w:tc>
        <w:tc>
          <w:tcPr>
            <w:tcW w:w="1167" w:type="dxa"/>
            <w:tcBorders>
              <w:top w:val="single" w:color="auto" w:sz="4" w:space="0"/>
              <w:left w:val="nil"/>
              <w:bottom w:val="single" w:color="auto" w:sz="4" w:space="0"/>
              <w:right w:val="single" w:color="auto" w:sz="4" w:space="0"/>
            </w:tcBorders>
            <w:noWrap w:val="0"/>
            <w:vAlign w:val="center"/>
          </w:tcPr>
          <w:p w14:paraId="7CE1D4C9">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机械设备</w:t>
            </w:r>
          </w:p>
          <w:p w14:paraId="0022B11F">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配备</w:t>
            </w:r>
          </w:p>
        </w:tc>
        <w:tc>
          <w:tcPr>
            <w:tcW w:w="1088" w:type="dxa"/>
            <w:tcBorders>
              <w:top w:val="single" w:color="auto" w:sz="4" w:space="0"/>
              <w:left w:val="nil"/>
              <w:bottom w:val="single" w:color="auto" w:sz="4" w:space="0"/>
              <w:right w:val="single" w:color="auto" w:sz="4" w:space="0"/>
            </w:tcBorders>
            <w:noWrap w:val="0"/>
            <w:vAlign w:val="center"/>
          </w:tcPr>
          <w:p w14:paraId="33E62AE6">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10713" w:type="dxa"/>
            <w:tcBorders>
              <w:top w:val="single" w:color="auto" w:sz="4" w:space="0"/>
              <w:left w:val="nil"/>
              <w:bottom w:val="single" w:color="auto" w:sz="4" w:space="0"/>
              <w:right w:val="single" w:color="auto" w:sz="4" w:space="0"/>
            </w:tcBorders>
            <w:noWrap w:val="0"/>
            <w:vAlign w:val="center"/>
          </w:tcPr>
          <w:p w14:paraId="1C0A028F">
            <w:pPr>
              <w:keepNext w:val="0"/>
              <w:keepLines w:val="0"/>
              <w:pageBreakBefore w:val="0"/>
              <w:widowControl/>
              <w:suppressLineNumbers w:val="0"/>
              <w:kinsoku/>
              <w:wordWrap/>
              <w:overflowPunct/>
              <w:topLinePunct w:val="0"/>
              <w:autoSpaceDE/>
              <w:autoSpaceDN/>
              <w:bidi w:val="0"/>
              <w:adjustRightInd/>
              <w:spacing w:line="290" w:lineRule="exact"/>
              <w:jc w:val="both"/>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Cs w:val="21"/>
                <w:highlight w:val="none"/>
              </w:rPr>
              <w:t>为满足施工要求，配备机械设备要求如下：</w:t>
            </w:r>
            <w:r>
              <w:rPr>
                <w:rFonts w:hint="eastAsia" w:ascii="宋体" w:hAnsi="宋体" w:eastAsia="宋体" w:cs="宋体"/>
                <w:i w:val="0"/>
                <w:iCs w:val="0"/>
                <w:color w:val="auto"/>
                <w:kern w:val="0"/>
                <w:sz w:val="21"/>
                <w:szCs w:val="21"/>
                <w:highlight w:val="none"/>
                <w:u w:val="none"/>
                <w:lang w:val="en-US" w:eastAsia="zh-CN" w:bidi="ar"/>
              </w:rPr>
              <w:t>货车3辆、管理用车3辆、打草机2台、割灌机1台、无人机1台。齐全得10分，每少一辆（台）扣1分</w:t>
            </w:r>
            <w:r>
              <w:rPr>
                <w:rFonts w:hint="eastAsia" w:ascii="宋体" w:hAnsi="宋体" w:eastAsia="宋体" w:cs="宋体"/>
                <w:color w:val="auto"/>
                <w:szCs w:val="21"/>
                <w:highlight w:val="none"/>
                <w:lang w:val="en-US" w:eastAsia="zh-CN"/>
              </w:rPr>
              <w:t>，扣完为止</w:t>
            </w:r>
            <w:r>
              <w:rPr>
                <w:rFonts w:hint="eastAsia" w:ascii="宋体" w:hAnsi="宋体" w:eastAsia="宋体" w:cs="宋体"/>
                <w:i w:val="0"/>
                <w:iCs w:val="0"/>
                <w:color w:val="auto"/>
                <w:kern w:val="0"/>
                <w:sz w:val="21"/>
                <w:szCs w:val="21"/>
                <w:highlight w:val="none"/>
                <w:u w:val="none"/>
                <w:lang w:val="en-US" w:eastAsia="zh-CN" w:bidi="ar"/>
              </w:rPr>
              <w:t>。</w:t>
            </w:r>
          </w:p>
          <w:p w14:paraId="0446C0E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auto"/>
              <w:rPr>
                <w:rFonts w:hint="eastAsia" w:ascii="宋体" w:hAnsi="宋体" w:eastAsia="宋体" w:cs="Times New Roman"/>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注：自有和租赁设备视为同等施工能力。如为自有，车辆需提供有效的行驶证（或购买发票）扫描件，机械设备提供设备购置发票复印件并加盖公章；如为租赁，租赁期应满足本工程工期要求，并承诺其租赁不属于重复租赁，需提供租赁合同、购买车辆的发票及有效的行驶证、承租方缴纳的租金发票扫描件并加盖公章。上述证明材料不齐全不得分。</w:t>
            </w:r>
          </w:p>
        </w:tc>
      </w:tr>
      <w:tr w14:paraId="3B184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5D625A4">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Times New Roman"/>
                <w:b/>
                <w:color w:val="auto"/>
                <w:kern w:val="2"/>
                <w:sz w:val="21"/>
                <w:szCs w:val="21"/>
                <w:highlight w:val="none"/>
              </w:rPr>
            </w:pPr>
            <w:r>
              <w:rPr>
                <w:rFonts w:hint="eastAsia" w:ascii="宋体" w:hAnsi="宋体" w:eastAsia="宋体" w:cs="宋体"/>
                <w:b/>
                <w:color w:val="auto"/>
                <w:kern w:val="2"/>
                <w:sz w:val="21"/>
                <w:szCs w:val="21"/>
                <w:highlight w:val="none"/>
                <w:lang w:val="en-US" w:eastAsia="zh-CN" w:bidi="ar"/>
              </w:rPr>
              <w:t>三、企业施工经验</w:t>
            </w:r>
          </w:p>
          <w:p w14:paraId="521C1DF6">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Times New Roman"/>
                <w:color w:val="auto"/>
                <w:kern w:val="2"/>
                <w:sz w:val="21"/>
                <w:szCs w:val="21"/>
                <w:highlight w:val="none"/>
              </w:rPr>
            </w:pPr>
          </w:p>
        </w:tc>
        <w:tc>
          <w:tcPr>
            <w:tcW w:w="1167" w:type="dxa"/>
            <w:tcBorders>
              <w:top w:val="single" w:color="auto" w:sz="4" w:space="0"/>
              <w:left w:val="nil"/>
              <w:bottom w:val="single" w:color="auto" w:sz="4" w:space="0"/>
              <w:right w:val="single" w:color="auto" w:sz="4" w:space="0"/>
            </w:tcBorders>
            <w:noWrap w:val="0"/>
            <w:vAlign w:val="center"/>
          </w:tcPr>
          <w:p w14:paraId="4F17FB2D">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类似业绩</w:t>
            </w:r>
          </w:p>
        </w:tc>
        <w:tc>
          <w:tcPr>
            <w:tcW w:w="1088" w:type="dxa"/>
            <w:tcBorders>
              <w:top w:val="single" w:color="auto" w:sz="4" w:space="0"/>
              <w:left w:val="nil"/>
              <w:bottom w:val="single" w:color="auto" w:sz="4" w:space="0"/>
              <w:right w:val="single" w:color="auto" w:sz="4" w:space="0"/>
            </w:tcBorders>
            <w:noWrap w:val="0"/>
            <w:vAlign w:val="center"/>
          </w:tcPr>
          <w:p w14:paraId="57FC40EB">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30</w:t>
            </w:r>
          </w:p>
        </w:tc>
        <w:tc>
          <w:tcPr>
            <w:tcW w:w="10713" w:type="dxa"/>
            <w:tcBorders>
              <w:top w:val="single" w:color="auto" w:sz="4" w:space="0"/>
              <w:left w:val="nil"/>
              <w:bottom w:val="single" w:color="auto" w:sz="4" w:space="0"/>
              <w:right w:val="single" w:color="auto" w:sz="4" w:space="0"/>
            </w:tcBorders>
            <w:noWrap w:val="0"/>
            <w:vAlign w:val="center"/>
          </w:tcPr>
          <w:p w14:paraId="2D63D0B1">
            <w:pPr>
              <w:keepNext w:val="0"/>
              <w:keepLines w:val="0"/>
              <w:pageBreakBefore w:val="0"/>
              <w:widowControl/>
              <w:kinsoku/>
              <w:wordWrap/>
              <w:overflowPunct/>
              <w:topLinePunct w:val="0"/>
              <w:autoSpaceDE/>
              <w:autoSpaceDN/>
              <w:bidi w:val="0"/>
              <w:adjustRightInd/>
              <w:snapToGrid w:val="0"/>
              <w:spacing w:line="29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企业自</w:t>
            </w:r>
            <w:r>
              <w:rPr>
                <w:rFonts w:hint="eastAsia" w:ascii="宋体" w:hAnsi="宋体" w:eastAsia="宋体" w:cs="宋体"/>
                <w:bCs/>
                <w:color w:val="auto"/>
                <w:sz w:val="21"/>
                <w:szCs w:val="21"/>
                <w:highlight w:val="none"/>
                <w:lang w:val="en-US" w:eastAsia="zh-CN"/>
              </w:rPr>
              <w:t>2023</w:t>
            </w:r>
            <w:r>
              <w:rPr>
                <w:rFonts w:hint="eastAsia" w:ascii="宋体" w:hAnsi="宋体" w:eastAsia="宋体" w:cs="宋体"/>
                <w:bCs/>
                <w:color w:val="auto"/>
                <w:sz w:val="21"/>
                <w:szCs w:val="21"/>
                <w:highlight w:val="none"/>
              </w:rPr>
              <w:t>年1月1日至今</w:t>
            </w:r>
            <w:r>
              <w:rPr>
                <w:rFonts w:hint="eastAsia" w:ascii="宋体" w:hAnsi="宋体" w:eastAsia="宋体" w:cs="宋体"/>
                <w:color w:val="auto"/>
                <w:sz w:val="21"/>
                <w:szCs w:val="21"/>
                <w:highlight w:val="none"/>
              </w:rPr>
              <w:t>已完成过</w:t>
            </w:r>
            <w:r>
              <w:rPr>
                <w:rFonts w:hint="eastAsia" w:ascii="宋体" w:hAnsi="宋体" w:eastAsia="宋体" w:cs="宋体"/>
                <w:color w:val="auto"/>
                <w:sz w:val="21"/>
                <w:szCs w:val="21"/>
                <w:highlight w:val="none"/>
                <w:lang w:val="en-US" w:eastAsia="zh-CN"/>
              </w:rPr>
              <w:t>质量合格的类似业绩情况：工程造价大于或等于1800万元的造林绿化施工或园林绿化工程施工业绩，每项得6分；工程造价1500万元（含）-1800万元（不含）的造林绿化施工或园林绿化工程施工业绩，每项得3分；工程造价1200万元（含）-1500万元（不含）的造林绿化施工或园林绿化工程施工业绩，每项得1分。</w:t>
            </w:r>
          </w:p>
          <w:p w14:paraId="6C5F8E8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注：本项最高得30分。</w:t>
            </w:r>
            <w:r>
              <w:rPr>
                <w:rFonts w:hint="eastAsia" w:ascii="宋体" w:hAnsi="宋体" w:eastAsia="宋体" w:cs="宋体"/>
                <w:color w:val="auto"/>
                <w:sz w:val="21"/>
                <w:szCs w:val="21"/>
                <w:highlight w:val="none"/>
              </w:rPr>
              <w:t>类似业绩</w:t>
            </w:r>
            <w:r>
              <w:rPr>
                <w:rFonts w:hint="eastAsia" w:ascii="宋体" w:hAnsi="宋体" w:eastAsia="宋体" w:cs="宋体"/>
                <w:color w:val="auto"/>
                <w:sz w:val="21"/>
                <w:szCs w:val="21"/>
                <w:highlight w:val="none"/>
                <w:lang w:val="en-US" w:eastAsia="zh-CN"/>
              </w:rPr>
              <w:t>数量</w:t>
            </w:r>
            <w:r>
              <w:rPr>
                <w:rFonts w:hint="eastAsia" w:ascii="宋体" w:hAnsi="宋体" w:eastAsia="宋体" w:cs="宋体"/>
                <w:color w:val="auto"/>
                <w:sz w:val="21"/>
                <w:szCs w:val="21"/>
                <w:highlight w:val="none"/>
              </w:rPr>
              <w:t>不超过</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项，超过</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项的</w:t>
            </w:r>
            <w:r>
              <w:rPr>
                <w:rFonts w:hint="eastAsia" w:ascii="宋体" w:hAnsi="宋体" w:eastAsia="宋体" w:cs="宋体"/>
                <w:color w:val="auto"/>
                <w:sz w:val="21"/>
                <w:szCs w:val="21"/>
                <w:highlight w:val="none"/>
                <w:lang w:val="en-US" w:eastAsia="zh-CN"/>
              </w:rPr>
              <w:t>按工程造价大小</w:t>
            </w:r>
            <w:r>
              <w:rPr>
                <w:rFonts w:hint="eastAsia" w:ascii="宋体" w:hAnsi="宋体" w:eastAsia="宋体" w:cs="宋体"/>
                <w:color w:val="auto"/>
                <w:sz w:val="21"/>
                <w:szCs w:val="21"/>
                <w:highlight w:val="none"/>
              </w:rPr>
              <w:t>只</w:t>
            </w:r>
            <w:r>
              <w:rPr>
                <w:rFonts w:hint="eastAsia" w:ascii="宋体" w:hAnsi="宋体" w:eastAsia="宋体" w:cs="宋体"/>
                <w:color w:val="auto"/>
                <w:sz w:val="21"/>
                <w:szCs w:val="21"/>
                <w:highlight w:val="none"/>
                <w:lang w:val="en-US" w:eastAsia="zh-CN"/>
              </w:rPr>
              <w:t>计取</w:t>
            </w:r>
            <w:r>
              <w:rPr>
                <w:rFonts w:hint="eastAsia" w:ascii="宋体" w:hAnsi="宋体" w:eastAsia="宋体" w:cs="宋体"/>
                <w:color w:val="auto"/>
                <w:sz w:val="21"/>
                <w:szCs w:val="21"/>
                <w:highlight w:val="none"/>
              </w:rPr>
              <w:t>前</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1）造林绿化施工业绩须同时提供①中标通知书（由当地集中交易机构或招标投标管理部门核发或备案的方为有效）、②施工合同关键页、③竣工验收报告（不含阶段性验收报告或苗木种植验收报告）。业绩金额以中标通知书为准，中标通知书没有金额的，以施工合同（不含补充合同）为准；业绩时间以竣工验收时间为准。（2）园林绿化工程施工业绩取自广州公共资源交易中心城市园林绿化企业工程业绩库。业绩金额以中标通知书为准，中标通知书没有金额的，以施工合同（不含补充合同）为准；业绩时间以竣工验收时间为准。须同时提供①中标通知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②施工合同关键页</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③竣工验收报告或竣工验收证明等。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联合体业绩的则按中标通知书金额乘以联合体双方盖章确认的协议书比例为准或以合同标注的金额为准。上述资料未按要求提供或提供不齐全的不得分。</w:t>
            </w:r>
          </w:p>
        </w:tc>
      </w:tr>
      <w:tr w14:paraId="2723C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17" w:type="dxa"/>
            <w:tcBorders>
              <w:top w:val="single" w:color="auto" w:sz="4" w:space="0"/>
              <w:left w:val="single" w:color="auto" w:sz="4" w:space="0"/>
              <w:right w:val="single" w:color="auto" w:sz="4" w:space="0"/>
            </w:tcBorders>
            <w:noWrap w:val="0"/>
            <w:vAlign w:val="center"/>
          </w:tcPr>
          <w:p w14:paraId="64D3872B">
            <w:pPr>
              <w:keepNext w:val="0"/>
              <w:keepLines w:val="0"/>
              <w:widowControl/>
              <w:suppressLineNumbers w:val="0"/>
              <w:spacing w:before="0" w:beforeAutospacing="0" w:after="0" w:afterAutospacing="0" w:line="360" w:lineRule="exact"/>
              <w:ind w:left="0" w:right="0"/>
              <w:jc w:val="center"/>
              <w:rPr>
                <w:rFonts w:hint="eastAsia" w:ascii="宋体" w:hAnsi="宋体" w:eastAsia="宋体" w:cs="Times New Roman"/>
                <w:b/>
                <w:color w:val="auto"/>
                <w:kern w:val="0"/>
                <w:sz w:val="21"/>
                <w:szCs w:val="21"/>
                <w:highlight w:val="none"/>
              </w:rPr>
            </w:pPr>
            <w:r>
              <w:rPr>
                <w:rFonts w:hint="eastAsia" w:ascii="宋体" w:hAnsi="宋体" w:eastAsia="宋体" w:cs="宋体"/>
                <w:b/>
                <w:color w:val="auto"/>
                <w:kern w:val="0"/>
                <w:sz w:val="21"/>
                <w:szCs w:val="21"/>
                <w:highlight w:val="none"/>
                <w:lang w:val="en-US" w:eastAsia="zh-CN" w:bidi="ar"/>
              </w:rPr>
              <w:t>四、其他评审内容</w:t>
            </w:r>
          </w:p>
          <w:p w14:paraId="1D7399D2">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Times New Roman"/>
                <w:color w:val="auto"/>
                <w:kern w:val="2"/>
                <w:sz w:val="21"/>
                <w:szCs w:val="21"/>
                <w:highlight w:val="none"/>
              </w:rPr>
            </w:pPr>
          </w:p>
        </w:tc>
        <w:tc>
          <w:tcPr>
            <w:tcW w:w="1167" w:type="dxa"/>
            <w:tcBorders>
              <w:top w:val="single" w:color="auto" w:sz="4" w:space="0"/>
              <w:left w:val="nil"/>
              <w:right w:val="single" w:color="auto" w:sz="4" w:space="0"/>
            </w:tcBorders>
            <w:noWrap w:val="0"/>
            <w:vAlign w:val="center"/>
          </w:tcPr>
          <w:p w14:paraId="1A8FBDCF">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其他评审内容</w:t>
            </w:r>
          </w:p>
        </w:tc>
        <w:tc>
          <w:tcPr>
            <w:tcW w:w="1088" w:type="dxa"/>
            <w:tcBorders>
              <w:top w:val="single" w:color="auto" w:sz="4" w:space="0"/>
              <w:left w:val="nil"/>
              <w:right w:val="single" w:color="auto" w:sz="4" w:space="0"/>
            </w:tcBorders>
            <w:noWrap w:val="0"/>
            <w:vAlign w:val="center"/>
          </w:tcPr>
          <w:p w14:paraId="715C6E02">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10713" w:type="dxa"/>
            <w:tcBorders>
              <w:top w:val="single" w:color="auto" w:sz="4" w:space="0"/>
              <w:left w:val="nil"/>
              <w:bottom w:val="single" w:color="auto" w:sz="4" w:space="0"/>
              <w:right w:val="single" w:color="auto" w:sz="4" w:space="0"/>
            </w:tcBorders>
            <w:noWrap w:val="0"/>
            <w:vAlign w:val="center"/>
          </w:tcPr>
          <w:p w14:paraId="5441080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企业获得过由建设行政主管部门颁发的林业或园林绿化类工法证书:</w:t>
            </w:r>
          </w:p>
          <w:p w14:paraId="6B0148A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1、省级或以上工法，每项得2.5分。</w:t>
            </w:r>
          </w:p>
          <w:p w14:paraId="2F95F4C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2、市级工法，每项得1.5分。</w:t>
            </w:r>
          </w:p>
          <w:p w14:paraId="5809CA7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注:本项最高得10分。须同时提供①证书原件扫描件;②评审结果公示网页及附件(工法所在页)</w:t>
            </w:r>
            <w:r>
              <w:rPr>
                <w:rFonts w:hint="eastAsia" w:ascii="宋体" w:hAnsi="宋体" w:eastAsia="宋体" w:cs="宋体"/>
                <w:color w:val="auto"/>
                <w:szCs w:val="21"/>
                <w:highlight w:val="none"/>
              </w:rPr>
              <w:t>打印页</w:t>
            </w:r>
            <w:r>
              <w:rPr>
                <w:rFonts w:hint="eastAsia" w:ascii="宋体" w:hAnsi="宋体" w:eastAsia="宋体" w:cs="宋体"/>
                <w:color w:val="auto"/>
                <w:szCs w:val="21"/>
                <w:highlight w:val="none"/>
                <w:lang w:val="en-US" w:eastAsia="zh-CN"/>
              </w:rPr>
              <w:t>、查询路径。相同工法按最高级别只计一次得分。证书应证明其为林业或园林绿化类工法，若无法证明，需提供建设主管部门(或其主管的行业协会)出具的科学技术成果鉴定证书原件扫描件，并且在科学技术成果鉴定证书中需证明该工法的研究背景项目为林业或园林绿化类项目，若无法证明该工法为林业或园林绿化类项目获得的工法，则该工法不得分。时间以证书颁发时间为准。以上材料需加盖投标人电子公章，材料不齐全或不符合上述条件的，不得分。</w:t>
            </w:r>
          </w:p>
        </w:tc>
      </w:tr>
    </w:tbl>
    <w:p w14:paraId="378A40D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备注：1.招标人可根据招标项目实际需要合理设置评审内容，不得设置排斥性条款及明显高于或偏离项目实施要求的内容；设置等次得分的，得分应为等差排列。</w:t>
      </w:r>
    </w:p>
    <w:p w14:paraId="6331E7B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2.评审项目总分应为100分,各评审子项的分值不得超出取值范围。</w:t>
      </w:r>
    </w:p>
    <w:p w14:paraId="01058A2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3.最终得分按投标须知前附表第32项所规定的方式进行汇总；分数出现小数点，保留小数点后二位小数，第三位小数四舍五入。</w:t>
      </w:r>
    </w:p>
    <w:p w14:paraId="2B07066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b/>
          <w:color w:val="auto"/>
          <w:sz w:val="36"/>
          <w:szCs w:val="36"/>
          <w:highlight w:val="none"/>
        </w:rPr>
      </w:pPr>
      <w:r>
        <w:rPr>
          <w:rFonts w:hint="eastAsia" w:ascii="宋体" w:hAnsi="宋体" w:eastAsia="宋体" w:cs="宋体"/>
          <w:b/>
          <w:bCs/>
          <w:color w:val="auto"/>
          <w:kern w:val="0"/>
          <w:sz w:val="21"/>
          <w:szCs w:val="21"/>
          <w:highlight w:val="none"/>
          <w:lang w:val="en-US" w:eastAsia="zh-CN" w:bidi="ar"/>
        </w:rPr>
        <w:t>评标委员会签名：                                                                      日期：</w:t>
      </w:r>
    </w:p>
    <w:p w14:paraId="5DEABCCB">
      <w:pPr>
        <w:rPr>
          <w:rFonts w:hint="eastAsia" w:ascii="宋体" w:hAnsi="宋体" w:eastAsia="宋体"/>
          <w:color w:val="auto"/>
          <w:sz w:val="24"/>
          <w:szCs w:val="24"/>
          <w:highlight w:val="none"/>
        </w:rPr>
      </w:pPr>
      <w:r>
        <w:rPr>
          <w:rFonts w:hint="eastAsia" w:ascii="宋体" w:hAnsi="宋体" w:eastAsia="宋体" w:cs="宋体"/>
          <w:b/>
          <w:color w:val="auto"/>
          <w:sz w:val="36"/>
          <w:szCs w:val="36"/>
          <w:highlight w:val="none"/>
        </w:rPr>
        <w:br w:type="page"/>
      </w:r>
      <w:bookmarkStart w:id="268" w:name="_Toc19126"/>
      <w:bookmarkStart w:id="269" w:name="_Toc31091"/>
      <w:bookmarkStart w:id="270" w:name="_Toc311"/>
      <w:bookmarkStart w:id="271" w:name="_Toc7171"/>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11</w:t>
      </w:r>
      <w:r>
        <w:rPr>
          <w:rFonts w:hint="eastAsia" w:ascii="宋体" w:hAnsi="宋体" w:eastAsia="宋体"/>
          <w:color w:val="auto"/>
          <w:sz w:val="24"/>
          <w:szCs w:val="24"/>
          <w:highlight w:val="none"/>
        </w:rPr>
        <w:t>（适用于办法</w:t>
      </w:r>
      <w:r>
        <w:rPr>
          <w:rFonts w:hint="eastAsia" w:ascii="宋体" w:hAnsi="宋体" w:eastAsia="宋体"/>
          <w:color w:val="auto"/>
          <w:sz w:val="24"/>
          <w:szCs w:val="24"/>
          <w:highlight w:val="none"/>
          <w:lang w:eastAsia="zh-CN"/>
        </w:rPr>
        <w:t>一</w:t>
      </w:r>
      <w:r>
        <w:rPr>
          <w:rFonts w:hint="eastAsia" w:ascii="宋体" w:hAnsi="宋体" w:eastAsia="宋体"/>
          <w:color w:val="auto"/>
          <w:sz w:val="24"/>
          <w:szCs w:val="24"/>
          <w:highlight w:val="none"/>
        </w:rPr>
        <w:t>）</w:t>
      </w:r>
      <w:bookmarkEnd w:id="268"/>
      <w:bookmarkEnd w:id="269"/>
      <w:bookmarkEnd w:id="270"/>
      <w:bookmarkEnd w:id="271"/>
    </w:p>
    <w:p w14:paraId="31AB401D">
      <w:pPr>
        <w:rPr>
          <w:rFonts w:ascii="宋体" w:hAnsi="宋体" w:eastAsia="宋体"/>
          <w:color w:val="auto"/>
          <w:sz w:val="24"/>
          <w:szCs w:val="24"/>
          <w:highlight w:val="none"/>
        </w:rPr>
      </w:pPr>
    </w:p>
    <w:p w14:paraId="34DA671A">
      <w:pPr>
        <w:jc w:val="center"/>
        <w:rPr>
          <w:rFonts w:ascii="宋体" w:hAnsi="宋体" w:eastAsia="宋体"/>
          <w:b/>
          <w:color w:val="auto"/>
          <w:sz w:val="36"/>
          <w:szCs w:val="36"/>
          <w:highlight w:val="none"/>
        </w:rPr>
      </w:pPr>
      <w:r>
        <w:rPr>
          <w:rFonts w:hint="eastAsia" w:ascii="宋体" w:hAnsi="宋体" w:eastAsia="宋体"/>
          <w:b/>
          <w:color w:val="auto"/>
          <w:sz w:val="36"/>
          <w:szCs w:val="36"/>
          <w:highlight w:val="none"/>
        </w:rPr>
        <w:t>投标报价评分表</w:t>
      </w:r>
    </w:p>
    <w:p w14:paraId="26277E6C">
      <w:pPr>
        <w:rPr>
          <w:rFonts w:ascii="宋体" w:hAnsi="宋体" w:eastAsia="宋体"/>
          <w:color w:val="auto"/>
          <w:szCs w:val="21"/>
          <w:highlight w:val="none"/>
        </w:rPr>
      </w:pPr>
      <w:r>
        <w:rPr>
          <w:rFonts w:hint="eastAsia" w:ascii="宋体" w:hAnsi="宋体" w:eastAsia="宋体"/>
          <w:color w:val="auto"/>
          <w:szCs w:val="21"/>
          <w:highlight w:val="none"/>
        </w:rPr>
        <w:t>工程名称：</w:t>
      </w:r>
    </w:p>
    <w:tbl>
      <w:tblPr>
        <w:tblStyle w:val="29"/>
        <w:tblW w:w="146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6"/>
        <w:gridCol w:w="1048"/>
        <w:gridCol w:w="1048"/>
        <w:gridCol w:w="1048"/>
        <w:gridCol w:w="1048"/>
        <w:gridCol w:w="1048"/>
        <w:gridCol w:w="1048"/>
        <w:gridCol w:w="1048"/>
        <w:gridCol w:w="1048"/>
        <w:gridCol w:w="1048"/>
        <w:gridCol w:w="1048"/>
        <w:gridCol w:w="1048"/>
        <w:gridCol w:w="1049"/>
      </w:tblGrid>
      <w:tr w14:paraId="4244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96" w:type="dxa"/>
            <w:tcBorders>
              <w:top w:val="single" w:color="auto" w:sz="4" w:space="0"/>
              <w:left w:val="single" w:color="auto" w:sz="4" w:space="0"/>
              <w:bottom w:val="single" w:color="auto" w:sz="4" w:space="0"/>
              <w:right w:val="single" w:color="auto" w:sz="4" w:space="0"/>
            </w:tcBorders>
            <w:noWrap w:val="0"/>
            <w:vAlign w:val="center"/>
          </w:tcPr>
          <w:p w14:paraId="10CCC3CB">
            <w:pPr>
              <w:jc w:val="center"/>
              <w:rPr>
                <w:rFonts w:ascii="宋体" w:hAnsi="宋体" w:eastAsia="宋体"/>
                <w:color w:val="auto"/>
                <w:szCs w:val="21"/>
                <w:highlight w:val="none"/>
              </w:rPr>
            </w:pPr>
            <w:r>
              <w:rPr>
                <w:rFonts w:hint="eastAsia" w:ascii="宋体" w:hAnsi="宋体" w:eastAsia="宋体"/>
                <w:color w:val="auto"/>
                <w:szCs w:val="21"/>
                <w:highlight w:val="none"/>
              </w:rPr>
              <w:t>投标人名称</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42FD05F">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1121850">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6E09B0B">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CBDA4AF">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1121E5E">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5FA61A6">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F8F92EC">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884E5CB">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91A06CE">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37DDB3A5">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B672A11">
            <w:pPr>
              <w:rPr>
                <w:rFonts w:ascii="宋体" w:hAnsi="宋体" w:eastAsia="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14:paraId="001D6684">
            <w:pPr>
              <w:rPr>
                <w:rFonts w:ascii="宋体" w:hAnsi="宋体" w:eastAsia="宋体"/>
                <w:color w:val="auto"/>
                <w:szCs w:val="21"/>
                <w:highlight w:val="none"/>
              </w:rPr>
            </w:pPr>
          </w:p>
        </w:tc>
      </w:tr>
      <w:tr w14:paraId="249B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noWrap w:val="0"/>
            <w:vAlign w:val="center"/>
          </w:tcPr>
          <w:p w14:paraId="101EF50B">
            <w:pPr>
              <w:jc w:val="center"/>
              <w:rPr>
                <w:rFonts w:ascii="宋体" w:hAnsi="宋体" w:eastAsia="宋体"/>
                <w:color w:val="auto"/>
                <w:szCs w:val="21"/>
                <w:highlight w:val="none"/>
              </w:rPr>
            </w:pPr>
            <w:r>
              <w:rPr>
                <w:rFonts w:hint="eastAsia" w:ascii="宋体" w:hAnsi="宋体" w:eastAsia="宋体"/>
                <w:color w:val="auto"/>
                <w:szCs w:val="21"/>
                <w:highlight w:val="none"/>
              </w:rPr>
              <w:t>投标报价</w:t>
            </w:r>
            <w:r>
              <w:rPr>
                <w:rFonts w:ascii="宋体" w:hAnsi="宋体" w:eastAsia="宋体"/>
                <w:color w:val="auto"/>
                <w:szCs w:val="21"/>
                <w:highlight w:val="none"/>
              </w:rPr>
              <w:t>PT</w:t>
            </w:r>
            <w:r>
              <w:rPr>
                <w:rFonts w:hint="eastAsia" w:ascii="宋体" w:hAnsi="宋体" w:eastAsia="宋体"/>
                <w:color w:val="auto"/>
                <w:szCs w:val="21"/>
                <w:highlight w:val="none"/>
              </w:rPr>
              <w:t>（元）</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C14A2F3">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7A5804A1">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35D5A8EB">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50E615B">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1483811">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BBC5BBB">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B4C4BF3">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68085DE">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D9CB48A">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79042E78">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3F72A9BA">
            <w:pPr>
              <w:rPr>
                <w:rFonts w:ascii="宋体" w:hAnsi="宋体" w:eastAsia="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14:paraId="0682DE0B">
            <w:pPr>
              <w:rPr>
                <w:rFonts w:ascii="宋体" w:hAnsi="宋体" w:eastAsia="宋体"/>
                <w:color w:val="auto"/>
                <w:szCs w:val="21"/>
                <w:highlight w:val="none"/>
              </w:rPr>
            </w:pPr>
          </w:p>
        </w:tc>
      </w:tr>
      <w:tr w14:paraId="45F5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noWrap w:val="0"/>
            <w:vAlign w:val="center"/>
          </w:tcPr>
          <w:p w14:paraId="03EF25B1">
            <w:pPr>
              <w:jc w:val="center"/>
              <w:rPr>
                <w:rFonts w:ascii="宋体" w:hAnsi="宋体" w:eastAsia="宋体"/>
                <w:strike/>
                <w:color w:val="auto"/>
                <w:szCs w:val="21"/>
                <w:highlight w:val="none"/>
              </w:rPr>
            </w:pPr>
            <w:r>
              <w:rPr>
                <w:rFonts w:hint="eastAsia" w:ascii="宋体" w:hAnsi="宋体" w:eastAsia="宋体"/>
                <w:strike w:val="0"/>
                <w:color w:val="auto"/>
                <w:szCs w:val="21"/>
                <w:highlight w:val="none"/>
              </w:rPr>
              <w:t>计算评标参考价的下浮率X%</w:t>
            </w:r>
          </w:p>
        </w:tc>
        <w:tc>
          <w:tcPr>
            <w:tcW w:w="12577" w:type="dxa"/>
            <w:gridSpan w:val="12"/>
            <w:tcBorders>
              <w:top w:val="single" w:color="auto" w:sz="4" w:space="0"/>
              <w:left w:val="single" w:color="auto" w:sz="4" w:space="0"/>
              <w:bottom w:val="single" w:color="auto" w:sz="4" w:space="0"/>
              <w:right w:val="single" w:color="auto" w:sz="4" w:space="0"/>
            </w:tcBorders>
            <w:noWrap w:val="0"/>
            <w:vAlign w:val="center"/>
          </w:tcPr>
          <w:p w14:paraId="60BB65E5">
            <w:pPr>
              <w:rPr>
                <w:rFonts w:ascii="宋体" w:hAnsi="宋体" w:eastAsia="宋体"/>
                <w:strike/>
                <w:color w:val="auto"/>
                <w:szCs w:val="21"/>
                <w:highlight w:val="none"/>
              </w:rPr>
            </w:pPr>
          </w:p>
        </w:tc>
      </w:tr>
      <w:tr w14:paraId="655A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noWrap w:val="0"/>
            <w:vAlign w:val="center"/>
          </w:tcPr>
          <w:p w14:paraId="13A69945">
            <w:pPr>
              <w:jc w:val="center"/>
              <w:rPr>
                <w:rFonts w:ascii="宋体" w:hAnsi="宋体" w:eastAsia="宋体"/>
                <w:color w:val="auto"/>
                <w:szCs w:val="21"/>
                <w:highlight w:val="none"/>
              </w:rPr>
            </w:pPr>
            <w:r>
              <w:rPr>
                <w:rFonts w:hint="eastAsia" w:ascii="宋体" w:hAnsi="宋体" w:eastAsia="宋体"/>
                <w:color w:val="auto"/>
                <w:szCs w:val="21"/>
                <w:highlight w:val="none"/>
              </w:rPr>
              <w:t>评标参考价PC（元）</w:t>
            </w:r>
          </w:p>
        </w:tc>
        <w:tc>
          <w:tcPr>
            <w:tcW w:w="12577" w:type="dxa"/>
            <w:gridSpan w:val="12"/>
            <w:tcBorders>
              <w:top w:val="single" w:color="auto" w:sz="4" w:space="0"/>
              <w:left w:val="single" w:color="auto" w:sz="4" w:space="0"/>
              <w:bottom w:val="single" w:color="auto" w:sz="4" w:space="0"/>
              <w:right w:val="single" w:color="auto" w:sz="4" w:space="0"/>
            </w:tcBorders>
            <w:noWrap w:val="0"/>
            <w:vAlign w:val="center"/>
          </w:tcPr>
          <w:p w14:paraId="234FEB4D">
            <w:pPr>
              <w:rPr>
                <w:rFonts w:ascii="宋体" w:hAnsi="宋体" w:eastAsia="宋体"/>
                <w:color w:val="auto"/>
                <w:szCs w:val="21"/>
                <w:highlight w:val="none"/>
              </w:rPr>
            </w:pPr>
          </w:p>
        </w:tc>
      </w:tr>
      <w:tr w14:paraId="4254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noWrap w:val="0"/>
            <w:vAlign w:val="center"/>
          </w:tcPr>
          <w:p w14:paraId="0A3F223A">
            <w:pPr>
              <w:jc w:val="center"/>
              <w:rPr>
                <w:rFonts w:ascii="宋体" w:hAnsi="宋体" w:eastAsia="宋体"/>
                <w:color w:val="auto"/>
                <w:szCs w:val="21"/>
                <w:highlight w:val="none"/>
              </w:rPr>
            </w:pPr>
            <w:r>
              <w:rPr>
                <w:rFonts w:hint="eastAsia" w:ascii="宋体" w:hAnsi="宋体" w:eastAsia="宋体"/>
                <w:color w:val="auto"/>
                <w:szCs w:val="21"/>
                <w:highlight w:val="none"/>
              </w:rPr>
              <w:t>偏差（（</w:t>
            </w:r>
            <w:r>
              <w:rPr>
                <w:rFonts w:ascii="宋体" w:hAnsi="宋体" w:eastAsia="宋体"/>
                <w:color w:val="auto"/>
                <w:szCs w:val="21"/>
                <w:highlight w:val="none"/>
              </w:rPr>
              <w:t>PT-PC</w:t>
            </w:r>
            <w:r>
              <w:rPr>
                <w:rFonts w:hint="eastAsia" w:ascii="宋体" w:hAnsi="宋体" w:eastAsia="宋体"/>
                <w:color w:val="auto"/>
                <w:szCs w:val="21"/>
                <w:highlight w:val="none"/>
              </w:rPr>
              <w:t>）</w:t>
            </w:r>
            <w:r>
              <w:rPr>
                <w:rFonts w:ascii="宋体" w:hAnsi="宋体" w:eastAsia="宋体"/>
                <w:color w:val="auto"/>
                <w:szCs w:val="21"/>
                <w:highlight w:val="none"/>
              </w:rPr>
              <w:t>/PC</w:t>
            </w:r>
            <w:r>
              <w:rPr>
                <w:rFonts w:hint="eastAsia" w:ascii="宋体" w:hAnsi="宋体" w:eastAsia="宋体"/>
                <w:color w:val="auto"/>
                <w:szCs w:val="21"/>
                <w:highlight w:val="none"/>
              </w:rPr>
              <w:t>）（</w:t>
            </w:r>
            <w:r>
              <w:rPr>
                <w:rFonts w:ascii="宋体" w:hAnsi="宋体" w:eastAsia="宋体"/>
                <w:color w:val="auto"/>
                <w:szCs w:val="21"/>
                <w:highlight w:val="none"/>
              </w:rPr>
              <w:t>%</w:t>
            </w:r>
            <w:r>
              <w:rPr>
                <w:rFonts w:hint="eastAsia" w:ascii="宋体" w:hAnsi="宋体" w:eastAsia="宋体"/>
                <w:color w:val="auto"/>
                <w:szCs w:val="21"/>
                <w:highlight w:val="none"/>
              </w:rPr>
              <w:t>）</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DC55D4B">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5CE9402">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B47CA28">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218CE88">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B0E7A55">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7E9B06A">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A608AC9">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3E9465DB">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A682EA4">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EEF52F2">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0F4C5FD">
            <w:pPr>
              <w:rPr>
                <w:rFonts w:ascii="宋体" w:hAnsi="宋体" w:eastAsia="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14:paraId="5C4470F5">
            <w:pPr>
              <w:rPr>
                <w:rFonts w:ascii="宋体" w:hAnsi="宋体" w:eastAsia="宋体"/>
                <w:color w:val="auto"/>
                <w:szCs w:val="21"/>
                <w:highlight w:val="none"/>
              </w:rPr>
            </w:pPr>
          </w:p>
        </w:tc>
      </w:tr>
      <w:tr w14:paraId="2D5E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noWrap w:val="0"/>
            <w:vAlign w:val="center"/>
          </w:tcPr>
          <w:p w14:paraId="672554C4">
            <w:pPr>
              <w:jc w:val="center"/>
              <w:rPr>
                <w:rFonts w:ascii="宋体" w:hAnsi="宋体" w:eastAsia="宋体"/>
                <w:color w:val="auto"/>
                <w:szCs w:val="21"/>
                <w:highlight w:val="none"/>
              </w:rPr>
            </w:pPr>
            <w:r>
              <w:rPr>
                <w:rFonts w:hint="eastAsia" w:ascii="宋体" w:hAnsi="宋体" w:eastAsia="宋体"/>
                <w:color w:val="auto"/>
                <w:szCs w:val="21"/>
                <w:highlight w:val="none"/>
              </w:rPr>
              <w:t>减分（</w:t>
            </w:r>
            <w:r>
              <w:rPr>
                <w:rFonts w:ascii="宋体" w:hAnsi="宋体" w:eastAsia="宋体"/>
                <w:color w:val="auto"/>
                <w:szCs w:val="21"/>
                <w:highlight w:val="none"/>
              </w:rPr>
              <w:t>A</w:t>
            </w:r>
            <w:r>
              <w:rPr>
                <w:rFonts w:hint="eastAsia" w:ascii="宋体" w:hAnsi="宋体" w:eastAsia="宋体"/>
                <w:color w:val="auto"/>
                <w:szCs w:val="21"/>
                <w:highlight w:val="none"/>
              </w:rPr>
              <w:t>）</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3CC3DF8">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9506BED">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3C04633">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C43FEC1">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7422271F">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B69D8FF">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21D9CFF">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75CE96BB">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A50C8CF">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ED66979">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1A93586">
            <w:pPr>
              <w:rPr>
                <w:rFonts w:ascii="宋体" w:hAnsi="宋体" w:eastAsia="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14:paraId="12DE87DB">
            <w:pPr>
              <w:rPr>
                <w:rFonts w:ascii="宋体" w:hAnsi="宋体" w:eastAsia="宋体"/>
                <w:color w:val="auto"/>
                <w:szCs w:val="21"/>
                <w:highlight w:val="none"/>
              </w:rPr>
            </w:pPr>
          </w:p>
        </w:tc>
      </w:tr>
      <w:tr w14:paraId="5FCCE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noWrap w:val="0"/>
            <w:vAlign w:val="center"/>
          </w:tcPr>
          <w:p w14:paraId="09AA3917">
            <w:pPr>
              <w:jc w:val="center"/>
              <w:rPr>
                <w:rFonts w:ascii="宋体" w:hAnsi="宋体" w:eastAsia="宋体"/>
                <w:color w:val="auto"/>
                <w:szCs w:val="21"/>
                <w:highlight w:val="none"/>
              </w:rPr>
            </w:pPr>
            <w:r>
              <w:rPr>
                <w:rFonts w:hint="eastAsia" w:ascii="宋体" w:hAnsi="宋体" w:eastAsia="宋体"/>
                <w:color w:val="auto"/>
                <w:szCs w:val="21"/>
                <w:highlight w:val="none"/>
              </w:rPr>
              <w:t>得分</w:t>
            </w:r>
            <w:r>
              <w:rPr>
                <w:rFonts w:ascii="宋体" w:hAnsi="宋体" w:eastAsia="宋体"/>
                <w:color w:val="auto"/>
                <w:szCs w:val="21"/>
                <w:highlight w:val="none"/>
              </w:rPr>
              <w:t>(I=100-A)</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E3EB9B8">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F584A8B">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7883C28">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59AED26">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A9B3B33">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CB34E07">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C84A851">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16ABE17">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74733A1">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5AA0756">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B928A93">
            <w:pPr>
              <w:rPr>
                <w:rFonts w:ascii="宋体" w:hAnsi="宋体" w:eastAsia="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14:paraId="6E8AAC1C">
            <w:pPr>
              <w:rPr>
                <w:rFonts w:ascii="宋体" w:hAnsi="宋体" w:eastAsia="宋体"/>
                <w:color w:val="auto"/>
                <w:szCs w:val="21"/>
                <w:highlight w:val="none"/>
              </w:rPr>
            </w:pPr>
          </w:p>
        </w:tc>
      </w:tr>
    </w:tbl>
    <w:p w14:paraId="792FEB30">
      <w:pPr>
        <w:ind w:left="-199" w:leftChars="-95" w:right="-827" w:rightChars="-394"/>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评委签名：</w:t>
      </w:r>
    </w:p>
    <w:p w14:paraId="5EBDA165">
      <w:pPr>
        <w:rPr>
          <w:rFonts w:ascii="宋体" w:hAnsi="宋体" w:eastAsia="宋体"/>
          <w:b/>
          <w:color w:val="auto"/>
          <w:sz w:val="24"/>
          <w:highlight w:val="none"/>
        </w:rPr>
      </w:pPr>
    </w:p>
    <w:p w14:paraId="1DA05AF1">
      <w:pPr>
        <w:widowControl/>
        <w:jc w:val="left"/>
        <w:rPr>
          <w:rFonts w:ascii="宋体" w:hAnsi="宋体" w:eastAsia="宋体"/>
          <w:color w:val="auto"/>
          <w:szCs w:val="21"/>
          <w:highlight w:val="none"/>
        </w:rPr>
        <w:sectPr>
          <w:headerReference r:id="rId10" w:type="default"/>
          <w:endnotePr>
            <w:numFmt w:val="decimal"/>
          </w:endnotePr>
          <w:pgSz w:w="16783" w:h="11850" w:orient="landscape"/>
          <w:pgMar w:top="567" w:right="1616" w:bottom="567" w:left="1293" w:header="850" w:footer="907" w:gutter="567"/>
          <w:pgNumType w:fmt="decimal"/>
          <w:cols w:space="720" w:num="1"/>
        </w:sectPr>
      </w:pPr>
    </w:p>
    <w:p w14:paraId="0070E865">
      <w:pPr>
        <w:outlineLvl w:val="2"/>
        <w:rPr>
          <w:rFonts w:ascii="宋体" w:hAnsi="宋体" w:eastAsia="宋体"/>
          <w:strike/>
          <w:color w:val="auto"/>
          <w:sz w:val="24"/>
          <w:szCs w:val="24"/>
          <w:highlight w:val="none"/>
        </w:rPr>
      </w:pPr>
      <w:bookmarkStart w:id="272" w:name="_第三章__合同条款"/>
      <w:bookmarkEnd w:id="272"/>
      <w:bookmarkStart w:id="273" w:name="_Toc14247"/>
      <w:bookmarkStart w:id="274" w:name="_Toc12342"/>
      <w:bookmarkStart w:id="275" w:name="_Toc5739"/>
      <w:bookmarkStart w:id="276" w:name="_Toc14657"/>
      <w:bookmarkStart w:id="277" w:name="_Toc11948"/>
      <w:bookmarkStart w:id="278" w:name="_Toc24053"/>
      <w:bookmarkStart w:id="279" w:name="_Toc4061"/>
      <w:bookmarkStart w:id="280" w:name="_Toc16566"/>
      <w:bookmarkStart w:id="281" w:name="_Toc262229174"/>
      <w:r>
        <w:rPr>
          <w:rFonts w:hint="eastAsia" w:ascii="宋体" w:hAnsi="宋体" w:eastAsia="宋体"/>
          <w:strike/>
          <w:color w:val="auto"/>
          <w:sz w:val="24"/>
          <w:szCs w:val="24"/>
          <w:highlight w:val="none"/>
        </w:rPr>
        <w:t>附件</w:t>
      </w:r>
      <w:r>
        <w:rPr>
          <w:rFonts w:hint="eastAsia" w:ascii="宋体" w:hAnsi="宋体" w:eastAsia="宋体"/>
          <w:strike/>
          <w:color w:val="auto"/>
          <w:sz w:val="24"/>
          <w:szCs w:val="24"/>
          <w:highlight w:val="none"/>
          <w:lang w:val="en-US" w:eastAsia="zh-CN"/>
        </w:rPr>
        <w:t>12</w:t>
      </w:r>
      <w:r>
        <w:rPr>
          <w:rFonts w:hint="eastAsia" w:ascii="宋体" w:hAnsi="宋体" w:eastAsia="宋体"/>
          <w:strike/>
          <w:color w:val="auto"/>
          <w:sz w:val="24"/>
          <w:szCs w:val="24"/>
          <w:highlight w:val="none"/>
        </w:rPr>
        <w:t xml:space="preserve"> 定标委员会组建办法及定标方法</w:t>
      </w:r>
      <w:bookmarkEnd w:id="273"/>
      <w:bookmarkEnd w:id="274"/>
      <w:bookmarkEnd w:id="275"/>
      <w:bookmarkEnd w:id="276"/>
      <w:bookmarkEnd w:id="277"/>
      <w:bookmarkEnd w:id="278"/>
      <w:bookmarkEnd w:id="279"/>
    </w:p>
    <w:p w14:paraId="394CF050">
      <w:pPr>
        <w:rPr>
          <w:rFonts w:hint="eastAsia" w:ascii="宋体" w:hAnsi="宋体" w:eastAsia="宋体"/>
          <w:strike/>
          <w:color w:val="auto"/>
          <w:sz w:val="24"/>
          <w:szCs w:val="24"/>
          <w:highlight w:val="none"/>
        </w:rPr>
      </w:pPr>
    </w:p>
    <w:p w14:paraId="618B7711">
      <w:pPr>
        <w:jc w:val="center"/>
        <w:rPr>
          <w:rFonts w:hint="eastAsia" w:ascii="宋体" w:hAnsi="宋体" w:eastAsia="宋体"/>
          <w:b/>
          <w:bCs/>
          <w:strike/>
          <w:color w:val="auto"/>
          <w:sz w:val="36"/>
          <w:szCs w:val="36"/>
          <w:highlight w:val="none"/>
        </w:rPr>
      </w:pPr>
    </w:p>
    <w:p w14:paraId="28B86157">
      <w:pPr>
        <w:jc w:val="center"/>
        <w:rPr>
          <w:rFonts w:hint="eastAsia" w:ascii="宋体" w:hAnsi="宋体" w:eastAsia="宋体"/>
          <w:b/>
          <w:bCs/>
          <w:strike/>
          <w:color w:val="auto"/>
          <w:sz w:val="36"/>
          <w:szCs w:val="36"/>
          <w:highlight w:val="none"/>
        </w:rPr>
      </w:pPr>
      <w:r>
        <w:rPr>
          <w:rFonts w:hint="eastAsia" w:ascii="宋体" w:hAnsi="宋体" w:eastAsia="宋体"/>
          <w:b/>
          <w:bCs/>
          <w:strike/>
          <w:color w:val="auto"/>
          <w:sz w:val="36"/>
          <w:szCs w:val="36"/>
          <w:highlight w:val="none"/>
        </w:rPr>
        <w:t>定标委员会组建办法及定标办法</w:t>
      </w:r>
    </w:p>
    <w:p w14:paraId="653BF4C6">
      <w:pPr>
        <w:jc w:val="left"/>
        <w:rPr>
          <w:rFonts w:hint="eastAsia" w:ascii="宋体" w:hAnsi="宋体" w:eastAsia="宋体"/>
          <w:strike/>
          <w:color w:val="auto"/>
          <w:szCs w:val="21"/>
          <w:highlight w:val="none"/>
        </w:rPr>
      </w:pPr>
    </w:p>
    <w:p w14:paraId="1C4D2F8D">
      <w:pPr>
        <w:jc w:val="left"/>
        <w:rPr>
          <w:rFonts w:hint="eastAsia" w:ascii="宋体" w:eastAsia="宋体"/>
          <w:strike/>
          <w:color w:val="auto"/>
          <w:highlight w:val="none"/>
        </w:rPr>
      </w:pPr>
      <w:r>
        <w:rPr>
          <w:rFonts w:hint="eastAsia" w:ascii="宋体" w:hAnsi="宋体" w:eastAsia="宋体"/>
          <w:strike/>
          <w:color w:val="auto"/>
          <w:sz w:val="24"/>
          <w:szCs w:val="24"/>
          <w:highlight w:val="none"/>
        </w:rPr>
        <w:t>注：本项由招标人自行制定。</w:t>
      </w:r>
    </w:p>
    <w:p w14:paraId="4BC1CE3B">
      <w:pPr>
        <w:pStyle w:val="64"/>
        <w:rPr>
          <w:rFonts w:hint="eastAsia"/>
          <w:strike/>
          <w:color w:val="auto"/>
          <w:highlight w:val="none"/>
        </w:rPr>
      </w:pPr>
    </w:p>
    <w:p w14:paraId="347EB05E">
      <w:pPr>
        <w:spacing w:line="360" w:lineRule="auto"/>
        <w:jc w:val="left"/>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定标办法设置说明：</w:t>
      </w:r>
    </w:p>
    <w:p w14:paraId="69FF2DF7">
      <w:pPr>
        <w:pStyle w:val="64"/>
        <w:spacing w:line="360" w:lineRule="auto"/>
        <w:ind w:firstLine="480" w:firstLineChars="200"/>
        <w:rPr>
          <w:rFonts w:hint="eastAsia" w:ascii="宋体" w:hAnsi="宋体" w:cs="宋体"/>
          <w:strike/>
          <w:color w:val="auto"/>
          <w:highlight w:val="none"/>
        </w:rPr>
      </w:pPr>
      <w:r>
        <w:rPr>
          <w:rFonts w:hint="eastAsia" w:ascii="宋体" w:hAnsi="宋体" w:cs="宋体"/>
          <w:strike/>
          <w:color w:val="auto"/>
          <w:highlight w:val="none"/>
        </w:rPr>
        <w:t>一、招标公告发布前，招标人应当根据招标项目特点，事先制定科学、合理的定标委员会组建及定标办法，并在招标文件中详细载明。定标时必须严格遵守定标办法，不得临时改变。</w:t>
      </w:r>
    </w:p>
    <w:p w14:paraId="315B37E9">
      <w:pPr>
        <w:pStyle w:val="64"/>
        <w:spacing w:line="360" w:lineRule="auto"/>
        <w:ind w:firstLine="480" w:firstLineChars="200"/>
        <w:rPr>
          <w:rFonts w:hint="eastAsia" w:ascii="宋体" w:hAnsi="宋体" w:cs="宋体"/>
          <w:strike/>
          <w:color w:val="auto"/>
          <w:highlight w:val="none"/>
        </w:rPr>
      </w:pPr>
      <w:r>
        <w:rPr>
          <w:rFonts w:hint="eastAsia" w:ascii="宋体" w:hAnsi="宋体" w:cs="宋体"/>
          <w:strike/>
          <w:color w:val="auto"/>
          <w:highlight w:val="none"/>
        </w:rPr>
        <w:t>二、定标办法应当对定标因素、定标程序等内容予以明确。可采用价格优势排名、票决、抽签、集体议事决策等办法。</w:t>
      </w:r>
    </w:p>
    <w:p w14:paraId="01995BC6">
      <w:pPr>
        <w:pStyle w:val="64"/>
        <w:spacing w:line="360" w:lineRule="auto"/>
        <w:ind w:firstLine="480" w:firstLineChars="200"/>
        <w:rPr>
          <w:rFonts w:hint="eastAsia" w:ascii="宋体" w:hAnsi="宋体" w:cs="宋体"/>
          <w:strike/>
          <w:color w:val="auto"/>
          <w:highlight w:val="none"/>
        </w:rPr>
      </w:pPr>
      <w:r>
        <w:rPr>
          <w:rFonts w:hint="eastAsia" w:ascii="宋体" w:hAnsi="宋体" w:cs="宋体"/>
          <w:strike/>
          <w:color w:val="auto"/>
          <w:highlight w:val="none"/>
        </w:rPr>
        <w:t>定标委员会成员原则上从招标人、项目业主或者使用单位的领导班子成员、经营管理人员中产生，成员数量为</w:t>
      </w:r>
      <w:r>
        <w:rPr>
          <w:rFonts w:hint="eastAsia" w:ascii="宋体" w:hAnsi="宋体" w:cs="宋体"/>
          <w:strike/>
          <w:color w:val="auto"/>
          <w:highlight w:val="none"/>
          <w:lang w:val="en-US" w:eastAsia="zh-CN"/>
        </w:rPr>
        <w:t>5</w:t>
      </w:r>
      <w:r>
        <w:rPr>
          <w:rFonts w:hint="eastAsia" w:ascii="宋体" w:hAnsi="宋体" w:cs="宋体"/>
          <w:strike/>
          <w:color w:val="auto"/>
          <w:highlight w:val="none"/>
        </w:rPr>
        <w:t>人以上单数。</w:t>
      </w:r>
    </w:p>
    <w:p w14:paraId="73718516">
      <w:pPr>
        <w:pStyle w:val="64"/>
        <w:spacing w:line="360" w:lineRule="auto"/>
        <w:ind w:firstLine="480" w:firstLineChars="200"/>
        <w:rPr>
          <w:rFonts w:hint="eastAsia" w:ascii="宋体" w:hAnsi="宋体" w:cs="宋体"/>
          <w:strike/>
          <w:color w:val="auto"/>
          <w:highlight w:val="none"/>
        </w:rPr>
      </w:pPr>
      <w:r>
        <w:rPr>
          <w:rFonts w:hint="eastAsia" w:ascii="宋体" w:hAnsi="宋体" w:cs="宋体"/>
          <w:strike/>
          <w:color w:val="auto"/>
          <w:highlight w:val="none"/>
        </w:rPr>
        <w:t>评标结束后，评标过程中使用的文件、表格及其他纸质资料由招标人收齐并妥善保管。招标人应当自中标候选人公示结束后5个工作日内进入交易中心召开定标会。定标过程应当公开、公平、公正，定标委员会按有关规定及招标文件约定的定标办法确定中标人。</w:t>
      </w:r>
    </w:p>
    <w:p w14:paraId="3B5F23CC">
      <w:pPr>
        <w:pStyle w:val="64"/>
        <w:spacing w:line="360" w:lineRule="auto"/>
        <w:ind w:firstLine="480" w:firstLineChars="200"/>
        <w:rPr>
          <w:rFonts w:hint="eastAsia" w:ascii="宋体" w:hAnsi="宋体" w:cs="宋体"/>
          <w:strike/>
          <w:color w:val="auto"/>
          <w:highlight w:val="none"/>
        </w:rPr>
      </w:pPr>
      <w:r>
        <w:rPr>
          <w:rFonts w:hint="eastAsia" w:ascii="宋体" w:hAnsi="宋体" w:cs="宋体"/>
          <w:strike/>
          <w:color w:val="auto"/>
          <w:highlight w:val="none"/>
        </w:rPr>
        <w:t>三、招标人应当对定标过程进行记录，并存档备查。</w:t>
      </w:r>
    </w:p>
    <w:p w14:paraId="03CD16F9">
      <w:pPr>
        <w:pStyle w:val="5"/>
        <w:rPr>
          <w:rFonts w:hint="eastAsia" w:ascii="宋体" w:eastAsia="宋体"/>
          <w:color w:val="auto"/>
          <w:highlight w:val="none"/>
        </w:rPr>
      </w:pPr>
    </w:p>
    <w:p w14:paraId="6F399298">
      <w:pPr>
        <w:pStyle w:val="5"/>
        <w:rPr>
          <w:rFonts w:hint="eastAsia" w:ascii="宋体" w:eastAsia="宋体"/>
          <w:color w:val="auto"/>
          <w:highlight w:val="none"/>
        </w:rPr>
      </w:pPr>
    </w:p>
    <w:p w14:paraId="12E46CD0">
      <w:pPr>
        <w:pStyle w:val="5"/>
        <w:rPr>
          <w:rFonts w:hint="eastAsia" w:ascii="宋体" w:eastAsia="宋体"/>
          <w:color w:val="auto"/>
          <w:highlight w:val="none"/>
        </w:rPr>
      </w:pPr>
    </w:p>
    <w:p w14:paraId="5A30A1E7">
      <w:pPr>
        <w:pStyle w:val="5"/>
        <w:rPr>
          <w:rFonts w:hint="eastAsia" w:ascii="宋体" w:eastAsia="宋体"/>
          <w:color w:val="auto"/>
          <w:highlight w:val="none"/>
        </w:rPr>
      </w:pPr>
    </w:p>
    <w:p w14:paraId="5F6FF1E4">
      <w:pPr>
        <w:pStyle w:val="5"/>
        <w:rPr>
          <w:rFonts w:hint="eastAsia" w:ascii="宋体" w:eastAsia="宋体"/>
          <w:color w:val="auto"/>
          <w:highlight w:val="none"/>
        </w:rPr>
      </w:pPr>
    </w:p>
    <w:p w14:paraId="5595D1EB">
      <w:pPr>
        <w:pStyle w:val="5"/>
        <w:rPr>
          <w:rFonts w:hint="eastAsia" w:ascii="宋体" w:eastAsia="宋体"/>
          <w:color w:val="auto"/>
          <w:highlight w:val="none"/>
        </w:rPr>
      </w:pPr>
    </w:p>
    <w:p w14:paraId="2B030F2A">
      <w:pPr>
        <w:pStyle w:val="5"/>
        <w:rPr>
          <w:rFonts w:hint="eastAsia" w:ascii="宋体" w:eastAsia="宋体"/>
          <w:color w:val="auto"/>
          <w:highlight w:val="none"/>
        </w:rPr>
      </w:pPr>
    </w:p>
    <w:p w14:paraId="2AFE33B4">
      <w:pPr>
        <w:pStyle w:val="5"/>
        <w:rPr>
          <w:rFonts w:hint="eastAsia" w:ascii="宋体" w:eastAsia="宋体"/>
          <w:color w:val="auto"/>
          <w:highlight w:val="none"/>
        </w:rPr>
      </w:pPr>
    </w:p>
    <w:p w14:paraId="65209797">
      <w:pPr>
        <w:pStyle w:val="5"/>
        <w:rPr>
          <w:rFonts w:hint="eastAsia" w:ascii="宋体" w:eastAsia="宋体"/>
          <w:color w:val="auto"/>
          <w:highlight w:val="none"/>
        </w:rPr>
      </w:pPr>
    </w:p>
    <w:p w14:paraId="5DE120E2">
      <w:pPr>
        <w:pStyle w:val="5"/>
        <w:rPr>
          <w:rFonts w:hint="eastAsia" w:ascii="宋体" w:eastAsia="宋体"/>
          <w:color w:val="auto"/>
          <w:highlight w:val="none"/>
        </w:rPr>
      </w:pPr>
    </w:p>
    <w:p w14:paraId="23EAD706">
      <w:pPr>
        <w:pStyle w:val="5"/>
        <w:rPr>
          <w:rFonts w:hint="eastAsia" w:ascii="宋体" w:eastAsia="宋体"/>
          <w:color w:val="auto"/>
          <w:highlight w:val="none"/>
        </w:rPr>
      </w:pPr>
    </w:p>
    <w:bookmarkEnd w:id="280"/>
    <w:bookmarkEnd w:id="281"/>
    <w:p w14:paraId="2D846F46">
      <w:pPr>
        <w:pStyle w:val="5"/>
        <w:spacing w:line="360" w:lineRule="auto"/>
        <w:ind w:firstLine="0"/>
        <w:rPr>
          <w:rFonts w:hint="eastAsia" w:ascii="宋体" w:hAnsi="宋体" w:eastAsia="宋体"/>
          <w:color w:val="auto"/>
          <w:sz w:val="24"/>
          <w:szCs w:val="24"/>
          <w:highlight w:val="none"/>
        </w:rPr>
      </w:pPr>
    </w:p>
    <w:p w14:paraId="1C402E1E">
      <w:pPr>
        <w:pStyle w:val="7"/>
        <w:rPr>
          <w:rFonts w:hint="eastAsia" w:ascii="宋体" w:eastAsia="宋体"/>
          <w:color w:val="auto"/>
          <w:highlight w:val="none"/>
        </w:rPr>
      </w:pPr>
      <w:bookmarkStart w:id="282" w:name="_Toc8475"/>
      <w:bookmarkStart w:id="283" w:name="_Toc30704"/>
      <w:bookmarkStart w:id="284" w:name="_Toc12568"/>
      <w:bookmarkStart w:id="285" w:name="_Toc26534"/>
      <w:bookmarkStart w:id="286" w:name="_Toc2939"/>
      <w:bookmarkStart w:id="287" w:name="_Toc27406"/>
      <w:bookmarkStart w:id="288" w:name="_Toc17798"/>
      <w:bookmarkStart w:id="289" w:name="_Toc8125"/>
      <w:bookmarkStart w:id="290" w:name="_Toc21721"/>
      <w:bookmarkStart w:id="291" w:name="_Toc22595"/>
      <w:r>
        <w:rPr>
          <w:rFonts w:hint="eastAsia" w:ascii="宋体" w:eastAsia="宋体"/>
          <w:color w:val="auto"/>
          <w:highlight w:val="none"/>
        </w:rPr>
        <w:t>第三章  合同条款</w:t>
      </w:r>
      <w:bookmarkEnd w:id="282"/>
      <w:bookmarkEnd w:id="283"/>
      <w:bookmarkEnd w:id="284"/>
      <w:bookmarkEnd w:id="285"/>
      <w:bookmarkEnd w:id="286"/>
      <w:bookmarkEnd w:id="287"/>
      <w:bookmarkEnd w:id="288"/>
      <w:bookmarkEnd w:id="289"/>
      <w:bookmarkEnd w:id="290"/>
      <w:bookmarkEnd w:id="291"/>
    </w:p>
    <w:p w14:paraId="23DE0F0B">
      <w:pPr>
        <w:pStyle w:val="5"/>
        <w:spacing w:line="360" w:lineRule="auto"/>
        <w:ind w:firstLine="0"/>
        <w:rPr>
          <w:rFonts w:hint="eastAsia"/>
          <w:color w:val="auto"/>
          <w:highlight w:val="none"/>
        </w:rPr>
      </w:pPr>
      <w:r>
        <w:rPr>
          <w:rFonts w:hint="eastAsia" w:ascii="宋体" w:hAnsi="宋体" w:eastAsia="宋体"/>
          <w:color w:val="auto"/>
          <w:sz w:val="24"/>
          <w:szCs w:val="24"/>
          <w:highlight w:val="none"/>
        </w:rPr>
        <w:t>注：本章由招标人自行制定，另册。</w:t>
      </w:r>
    </w:p>
    <w:p w14:paraId="4B8E179E">
      <w:pPr>
        <w:pStyle w:val="5"/>
        <w:spacing w:line="360" w:lineRule="auto"/>
        <w:ind w:firstLine="0"/>
        <w:jc w:val="left"/>
        <w:rPr>
          <w:rFonts w:hint="eastAsia" w:ascii="宋体" w:hAnsi="宋体" w:eastAsia="宋体"/>
          <w:color w:val="auto"/>
          <w:sz w:val="24"/>
          <w:szCs w:val="24"/>
          <w:highlight w:val="none"/>
        </w:rPr>
      </w:pPr>
    </w:p>
    <w:p w14:paraId="5F7D9D92">
      <w:pPr>
        <w:pStyle w:val="5"/>
        <w:spacing w:line="360" w:lineRule="auto"/>
        <w:ind w:firstLine="0"/>
        <w:jc w:val="left"/>
        <w:rPr>
          <w:rFonts w:hint="eastAsia" w:ascii="宋体" w:hAnsi="宋体" w:eastAsia="宋体"/>
          <w:color w:val="auto"/>
          <w:sz w:val="24"/>
          <w:szCs w:val="24"/>
          <w:highlight w:val="none"/>
        </w:rPr>
      </w:pPr>
    </w:p>
    <w:p w14:paraId="38C7E03F">
      <w:pPr>
        <w:pStyle w:val="5"/>
        <w:spacing w:line="360" w:lineRule="auto"/>
        <w:ind w:firstLine="0"/>
        <w:jc w:val="left"/>
        <w:rPr>
          <w:rFonts w:hint="eastAsia" w:ascii="宋体" w:hAnsi="宋体" w:eastAsia="宋体"/>
          <w:color w:val="auto"/>
          <w:sz w:val="24"/>
          <w:szCs w:val="24"/>
          <w:highlight w:val="none"/>
        </w:rPr>
      </w:pPr>
    </w:p>
    <w:p w14:paraId="66AEB352">
      <w:pPr>
        <w:pStyle w:val="5"/>
        <w:spacing w:line="360" w:lineRule="auto"/>
        <w:ind w:firstLine="0"/>
        <w:jc w:val="left"/>
        <w:rPr>
          <w:rFonts w:hint="eastAsia" w:ascii="宋体" w:hAnsi="宋体" w:eastAsia="宋体"/>
          <w:color w:val="auto"/>
          <w:sz w:val="24"/>
          <w:szCs w:val="24"/>
          <w:highlight w:val="none"/>
        </w:rPr>
      </w:pPr>
    </w:p>
    <w:p w14:paraId="5BF9A04C">
      <w:pPr>
        <w:pStyle w:val="5"/>
        <w:spacing w:line="360" w:lineRule="auto"/>
        <w:ind w:firstLine="0"/>
        <w:jc w:val="left"/>
        <w:rPr>
          <w:rFonts w:hint="eastAsia" w:ascii="宋体" w:hAnsi="宋体" w:eastAsia="宋体"/>
          <w:color w:val="auto"/>
          <w:sz w:val="24"/>
          <w:szCs w:val="24"/>
          <w:highlight w:val="none"/>
        </w:rPr>
      </w:pPr>
    </w:p>
    <w:p w14:paraId="4714F1FD">
      <w:pPr>
        <w:pStyle w:val="5"/>
        <w:spacing w:line="360" w:lineRule="auto"/>
        <w:ind w:firstLine="0"/>
        <w:jc w:val="left"/>
        <w:rPr>
          <w:rFonts w:hint="eastAsia" w:ascii="宋体" w:hAnsi="宋体" w:eastAsia="宋体"/>
          <w:color w:val="auto"/>
          <w:sz w:val="24"/>
          <w:szCs w:val="24"/>
          <w:highlight w:val="none"/>
        </w:rPr>
      </w:pPr>
    </w:p>
    <w:p w14:paraId="0087F722">
      <w:pPr>
        <w:pStyle w:val="5"/>
        <w:spacing w:line="360" w:lineRule="auto"/>
        <w:ind w:firstLine="0"/>
        <w:jc w:val="left"/>
        <w:rPr>
          <w:rFonts w:hint="eastAsia" w:ascii="宋体" w:hAnsi="宋体" w:eastAsia="宋体"/>
          <w:color w:val="auto"/>
          <w:sz w:val="24"/>
          <w:szCs w:val="24"/>
          <w:highlight w:val="none"/>
        </w:rPr>
      </w:pPr>
    </w:p>
    <w:p w14:paraId="36277512">
      <w:pPr>
        <w:pStyle w:val="5"/>
        <w:spacing w:line="360" w:lineRule="auto"/>
        <w:ind w:firstLine="0"/>
        <w:jc w:val="left"/>
        <w:rPr>
          <w:rFonts w:hint="eastAsia" w:ascii="宋体" w:hAnsi="宋体" w:eastAsia="宋体"/>
          <w:color w:val="auto"/>
          <w:sz w:val="24"/>
          <w:szCs w:val="24"/>
          <w:highlight w:val="none"/>
        </w:rPr>
      </w:pPr>
    </w:p>
    <w:p w14:paraId="3BF7BCC9">
      <w:pPr>
        <w:pStyle w:val="5"/>
        <w:spacing w:line="360" w:lineRule="auto"/>
        <w:ind w:firstLine="0"/>
        <w:jc w:val="left"/>
        <w:rPr>
          <w:rFonts w:hint="eastAsia" w:ascii="宋体" w:hAnsi="宋体" w:eastAsia="宋体"/>
          <w:color w:val="auto"/>
          <w:sz w:val="24"/>
          <w:szCs w:val="24"/>
          <w:highlight w:val="none"/>
        </w:rPr>
      </w:pPr>
    </w:p>
    <w:p w14:paraId="30288BA7">
      <w:pPr>
        <w:pStyle w:val="5"/>
        <w:spacing w:line="360" w:lineRule="auto"/>
        <w:ind w:firstLine="0"/>
        <w:jc w:val="left"/>
        <w:rPr>
          <w:rFonts w:hint="eastAsia" w:ascii="宋体" w:hAnsi="宋体" w:eastAsia="宋体"/>
          <w:color w:val="auto"/>
          <w:sz w:val="24"/>
          <w:szCs w:val="24"/>
          <w:highlight w:val="none"/>
        </w:rPr>
      </w:pPr>
    </w:p>
    <w:p w14:paraId="37750A07">
      <w:pPr>
        <w:pStyle w:val="5"/>
        <w:spacing w:line="360" w:lineRule="auto"/>
        <w:ind w:firstLine="0"/>
        <w:jc w:val="left"/>
        <w:rPr>
          <w:rFonts w:hint="eastAsia" w:ascii="宋体" w:hAnsi="宋体" w:eastAsia="宋体"/>
          <w:color w:val="auto"/>
          <w:sz w:val="24"/>
          <w:szCs w:val="24"/>
          <w:highlight w:val="none"/>
        </w:rPr>
      </w:pPr>
    </w:p>
    <w:p w14:paraId="7A35CA22">
      <w:pPr>
        <w:pStyle w:val="5"/>
        <w:spacing w:line="360" w:lineRule="auto"/>
        <w:ind w:firstLine="0"/>
        <w:jc w:val="left"/>
        <w:rPr>
          <w:rFonts w:hint="eastAsia" w:ascii="宋体" w:hAnsi="宋体" w:eastAsia="宋体"/>
          <w:color w:val="auto"/>
          <w:sz w:val="24"/>
          <w:szCs w:val="24"/>
          <w:highlight w:val="none"/>
        </w:rPr>
      </w:pPr>
    </w:p>
    <w:p w14:paraId="6F602F5C">
      <w:pPr>
        <w:pStyle w:val="5"/>
        <w:spacing w:line="360" w:lineRule="auto"/>
        <w:ind w:firstLine="0"/>
        <w:jc w:val="left"/>
        <w:rPr>
          <w:rFonts w:hint="eastAsia" w:ascii="宋体" w:hAnsi="宋体" w:eastAsia="宋体"/>
          <w:color w:val="auto"/>
          <w:sz w:val="24"/>
          <w:szCs w:val="24"/>
          <w:highlight w:val="none"/>
        </w:rPr>
      </w:pPr>
    </w:p>
    <w:p w14:paraId="3113AC28">
      <w:pPr>
        <w:pStyle w:val="5"/>
        <w:spacing w:line="360" w:lineRule="auto"/>
        <w:ind w:firstLine="0"/>
        <w:jc w:val="left"/>
        <w:rPr>
          <w:rFonts w:hint="eastAsia" w:ascii="宋体" w:hAnsi="宋体" w:eastAsia="宋体"/>
          <w:color w:val="auto"/>
          <w:sz w:val="24"/>
          <w:szCs w:val="24"/>
          <w:highlight w:val="none"/>
        </w:rPr>
      </w:pPr>
    </w:p>
    <w:p w14:paraId="2994E5BB">
      <w:pPr>
        <w:pStyle w:val="5"/>
        <w:spacing w:line="360" w:lineRule="auto"/>
        <w:ind w:firstLine="0"/>
        <w:jc w:val="left"/>
        <w:rPr>
          <w:rFonts w:hint="eastAsia" w:ascii="宋体" w:hAnsi="宋体" w:eastAsia="宋体"/>
          <w:color w:val="auto"/>
          <w:sz w:val="24"/>
          <w:szCs w:val="24"/>
          <w:highlight w:val="none"/>
        </w:rPr>
      </w:pPr>
    </w:p>
    <w:p w14:paraId="39CD1162">
      <w:pPr>
        <w:pStyle w:val="5"/>
        <w:spacing w:line="360" w:lineRule="auto"/>
        <w:ind w:firstLine="0"/>
        <w:jc w:val="left"/>
        <w:rPr>
          <w:rFonts w:hint="eastAsia" w:ascii="宋体" w:hAnsi="宋体" w:eastAsia="宋体"/>
          <w:color w:val="auto"/>
          <w:sz w:val="24"/>
          <w:szCs w:val="24"/>
          <w:highlight w:val="none"/>
        </w:rPr>
      </w:pPr>
    </w:p>
    <w:p w14:paraId="4A5E0181">
      <w:pPr>
        <w:pStyle w:val="5"/>
        <w:jc w:val="left"/>
        <w:rPr>
          <w:rFonts w:hint="eastAsia" w:ascii="宋体" w:hAnsi="宋体" w:eastAsia="宋体"/>
          <w:color w:val="auto"/>
          <w:sz w:val="24"/>
          <w:szCs w:val="24"/>
          <w:highlight w:val="none"/>
        </w:rPr>
      </w:pPr>
      <w:bookmarkStart w:id="292" w:name="_第四章__投标文件格式"/>
      <w:bookmarkEnd w:id="292"/>
      <w:bookmarkStart w:id="293" w:name="_Toc262229175"/>
      <w:bookmarkStart w:id="294" w:name="_Toc12872"/>
      <w:bookmarkStart w:id="295" w:name="_Toc101777645"/>
      <w:bookmarkStart w:id="296" w:name="_Toc85854822"/>
    </w:p>
    <w:p w14:paraId="36732491">
      <w:pPr>
        <w:pStyle w:val="5"/>
        <w:jc w:val="left"/>
        <w:rPr>
          <w:rFonts w:hint="eastAsia" w:ascii="宋体" w:hAnsi="宋体" w:eastAsia="宋体"/>
          <w:color w:val="auto"/>
          <w:sz w:val="24"/>
          <w:szCs w:val="24"/>
          <w:highlight w:val="none"/>
        </w:rPr>
      </w:pPr>
    </w:p>
    <w:p w14:paraId="3C943E33">
      <w:pPr>
        <w:pStyle w:val="5"/>
        <w:ind w:firstLine="0"/>
        <w:jc w:val="left"/>
        <w:rPr>
          <w:rFonts w:hint="eastAsia" w:ascii="宋体" w:hAnsi="宋体" w:eastAsia="宋体"/>
          <w:color w:val="auto"/>
          <w:sz w:val="24"/>
          <w:szCs w:val="24"/>
          <w:highlight w:val="none"/>
        </w:rPr>
      </w:pPr>
      <w:bookmarkStart w:id="297" w:name="_Toc23279"/>
      <w:bookmarkStart w:id="298" w:name="_Toc623"/>
      <w:bookmarkStart w:id="299" w:name="_Toc18379"/>
    </w:p>
    <w:p w14:paraId="1ECBB545">
      <w:pPr>
        <w:pStyle w:val="5"/>
        <w:ind w:firstLine="0"/>
        <w:jc w:val="left"/>
        <w:rPr>
          <w:rFonts w:hint="eastAsia" w:ascii="宋体" w:hAnsi="宋体" w:eastAsia="宋体"/>
          <w:color w:val="auto"/>
          <w:sz w:val="24"/>
          <w:szCs w:val="24"/>
          <w:highlight w:val="none"/>
        </w:rPr>
      </w:pPr>
    </w:p>
    <w:p w14:paraId="0948487A">
      <w:pPr>
        <w:pStyle w:val="5"/>
        <w:ind w:firstLine="0"/>
        <w:jc w:val="left"/>
        <w:rPr>
          <w:rFonts w:hint="eastAsia" w:ascii="宋体" w:hAnsi="宋体" w:eastAsia="宋体"/>
          <w:color w:val="auto"/>
          <w:sz w:val="24"/>
          <w:szCs w:val="24"/>
          <w:highlight w:val="none"/>
        </w:rPr>
      </w:pPr>
    </w:p>
    <w:bookmarkEnd w:id="293"/>
    <w:bookmarkEnd w:id="294"/>
    <w:bookmarkEnd w:id="297"/>
    <w:bookmarkEnd w:id="298"/>
    <w:bookmarkEnd w:id="299"/>
    <w:p w14:paraId="72D34D0F">
      <w:pPr>
        <w:pStyle w:val="7"/>
        <w:rPr>
          <w:rFonts w:hint="eastAsia" w:ascii="宋体" w:eastAsia="宋体"/>
          <w:color w:val="auto"/>
          <w:highlight w:val="none"/>
        </w:rPr>
      </w:pPr>
      <w:bookmarkStart w:id="300" w:name="_Toc15253"/>
      <w:bookmarkStart w:id="301" w:name="_Toc5442"/>
      <w:bookmarkStart w:id="302" w:name="_Toc27821"/>
      <w:bookmarkStart w:id="303" w:name="_Toc19987"/>
      <w:bookmarkStart w:id="304" w:name="_Toc14057"/>
      <w:bookmarkStart w:id="305" w:name="_Toc24844"/>
      <w:bookmarkStart w:id="306" w:name="_Toc16137"/>
      <w:r>
        <w:rPr>
          <w:rFonts w:hint="eastAsia" w:ascii="宋体" w:eastAsia="宋体"/>
          <w:color w:val="auto"/>
          <w:highlight w:val="none"/>
        </w:rPr>
        <w:t>第四章  投标文件格式</w:t>
      </w:r>
      <w:bookmarkEnd w:id="300"/>
      <w:bookmarkEnd w:id="301"/>
      <w:bookmarkEnd w:id="302"/>
      <w:bookmarkEnd w:id="303"/>
      <w:bookmarkEnd w:id="304"/>
      <w:bookmarkEnd w:id="305"/>
      <w:bookmarkEnd w:id="306"/>
    </w:p>
    <w:p w14:paraId="10C8F466">
      <w:pPr>
        <w:pStyle w:val="5"/>
        <w:spacing w:after="0" w:line="360" w:lineRule="auto"/>
        <w:ind w:firstLine="480" w:firstLineChars="200"/>
        <w:rPr>
          <w:rFonts w:hint="eastAsia" w:ascii="宋体" w:hAnsi="宋体" w:eastAsia="宋体"/>
          <w:color w:val="auto"/>
          <w:sz w:val="24"/>
          <w:szCs w:val="24"/>
          <w:highlight w:val="none"/>
        </w:rPr>
      </w:pPr>
    </w:p>
    <w:p w14:paraId="0EBEE075">
      <w:pPr>
        <w:pStyle w:val="5"/>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投标人应按以下规定的格式及要求编制投标文件，如电子投标文件没有按招标文件规定的格式及要求编制，因其所引起系统无法检索、读取电子投标文件中的数据时，其后果将由投标人承担。本格式及要求规定适用于电子评标项目的投标文件的编制。</w:t>
      </w:r>
    </w:p>
    <w:p w14:paraId="033F7706">
      <w:pPr>
        <w:pStyle w:val="5"/>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1.1《广州园林绿化工程施工招标投标书》是投标文件的重要组成部分，其内容是投标人开标信息的主要来源，投标人应准确填写《广州园林绿化工程施工招标投标书》的相关内容。</w:t>
      </w:r>
    </w:p>
    <w:p w14:paraId="5E30BC56">
      <w:pPr>
        <w:pStyle w:val="5"/>
        <w:spacing w:after="0" w:line="360" w:lineRule="auto"/>
        <w:ind w:firstLine="480" w:firstLineChars="200"/>
        <w:rPr>
          <w:rFonts w:ascii="宋体" w:hAnsi="宋体" w:eastAsia="宋体"/>
          <w:bCs/>
          <w:color w:val="auto"/>
          <w:sz w:val="24"/>
          <w:szCs w:val="24"/>
          <w:highlight w:val="none"/>
        </w:rPr>
      </w:pPr>
      <w:r>
        <w:rPr>
          <w:rFonts w:hint="eastAsia" w:ascii="宋体" w:hAnsi="宋体" w:eastAsia="宋体"/>
          <w:color w:val="auto"/>
          <w:sz w:val="24"/>
          <w:szCs w:val="24"/>
          <w:highlight w:val="none"/>
        </w:rPr>
        <w:t>1.2</w:t>
      </w:r>
      <w:r>
        <w:rPr>
          <w:rFonts w:hint="eastAsia" w:ascii="宋体" w:hAnsi="宋体" w:eastAsia="宋体"/>
          <w:bCs/>
          <w:color w:val="auto"/>
          <w:sz w:val="24"/>
          <w:szCs w:val="24"/>
          <w:highlight w:val="none"/>
        </w:rPr>
        <w:t>工程量清单报价表应符合广东省《建设工程造价文件数据交换标准（电子评标部分）》的有关规定，《广州园林绿化工程施工招标投标书》使用广州公共资源交易</w:t>
      </w:r>
      <w:r>
        <w:rPr>
          <w:rFonts w:hint="eastAsia" w:ascii="宋体" w:hAnsi="宋体" w:eastAsia="宋体"/>
          <w:bCs/>
          <w:color w:val="auto"/>
          <w:sz w:val="24"/>
          <w:szCs w:val="24"/>
          <w:highlight w:val="none"/>
          <w:lang w:eastAsia="zh-CN"/>
        </w:rPr>
        <w:t>平台</w:t>
      </w:r>
      <w:r>
        <w:rPr>
          <w:rFonts w:hint="eastAsia" w:ascii="宋体" w:hAnsi="宋体" w:eastAsia="宋体"/>
          <w:bCs/>
          <w:color w:val="auto"/>
          <w:sz w:val="24"/>
          <w:szCs w:val="24"/>
          <w:highlight w:val="none"/>
        </w:rPr>
        <w:t>提供的电子投标文件管理软件直接填写，投标文件的其他内容均以电子文件编制。扫描图片电子文件要求为从扫描原纸质文件所形成的电子图片。图片文件格式要求为JPG格式，文件名称要求与上述对应名称一致且唯一，文件内容（即扫描图片内容）要求与文件名称相符，电子图片要求清晰可辨，每个JPG文件可包含多张扫描图片，单个JPG文件大小要求在1M以下。</w:t>
      </w:r>
    </w:p>
    <w:p w14:paraId="303AA5A8">
      <w:pPr>
        <w:pStyle w:val="5"/>
        <w:spacing w:after="0" w:line="360" w:lineRule="auto"/>
        <w:ind w:firstLine="480" w:firstLineChars="200"/>
        <w:rPr>
          <w:rFonts w:hint="eastAsia" w:ascii="宋体" w:hAnsi="宋体" w:eastAsia="宋体"/>
          <w:bCs/>
          <w:strike/>
          <w:color w:val="auto"/>
          <w:sz w:val="24"/>
          <w:szCs w:val="24"/>
          <w:highlight w:val="none"/>
        </w:rPr>
      </w:pPr>
      <w:r>
        <w:rPr>
          <w:rFonts w:hint="eastAsia" w:ascii="宋体" w:hAnsi="宋体" w:eastAsia="宋体"/>
          <w:bCs/>
          <w:strike/>
          <w:color w:val="auto"/>
          <w:sz w:val="24"/>
          <w:szCs w:val="24"/>
          <w:highlight w:val="none"/>
        </w:rPr>
        <w:t>1.3投标人为联合体投标时，应按以下规定填写：</w:t>
      </w:r>
    </w:p>
    <w:p w14:paraId="560B2919">
      <w:pPr>
        <w:pStyle w:val="5"/>
        <w:spacing w:after="0" w:line="360" w:lineRule="auto"/>
        <w:ind w:firstLine="480" w:firstLineChars="200"/>
        <w:rPr>
          <w:rFonts w:hint="eastAsia" w:ascii="宋体" w:hAnsi="宋体" w:eastAsia="宋体"/>
          <w:bCs/>
          <w:strike/>
          <w:color w:val="auto"/>
          <w:sz w:val="24"/>
          <w:szCs w:val="24"/>
          <w:highlight w:val="none"/>
        </w:rPr>
      </w:pPr>
      <w:r>
        <w:rPr>
          <w:rFonts w:hint="eastAsia" w:ascii="宋体" w:hAnsi="宋体" w:eastAsia="宋体"/>
          <w:bCs/>
          <w:strike/>
          <w:color w:val="auto"/>
          <w:sz w:val="24"/>
          <w:szCs w:val="24"/>
          <w:highlight w:val="none"/>
        </w:rPr>
        <w:t>联合体投标的，除《联合体投标协议》必须由联合体各方按要求签字或盖章外，其他资料可由联合体主办方签字或盖章，“投标人”应填写联合体各方的单位全称【格式：（主）XX公司；（成）XX公司】。法定代表人证明书及法定代表人授权书可由联合体主办方出具。</w:t>
      </w:r>
    </w:p>
    <w:p w14:paraId="6F9FEA93">
      <w:pPr>
        <w:pStyle w:val="5"/>
        <w:spacing w:after="0" w:line="360" w:lineRule="auto"/>
        <w:ind w:firstLine="480" w:firstLineChars="200"/>
        <w:rPr>
          <w:rFonts w:ascii="宋体" w:hAnsi="宋体" w:eastAsia="宋体"/>
          <w:strike/>
          <w:color w:val="auto"/>
          <w:sz w:val="24"/>
          <w:szCs w:val="24"/>
          <w:highlight w:val="none"/>
        </w:rPr>
      </w:pPr>
      <w:r>
        <w:rPr>
          <w:rFonts w:hint="eastAsia" w:ascii="宋体" w:hAnsi="宋体" w:eastAsia="宋体"/>
          <w:bCs/>
          <w:strike/>
          <w:color w:val="auto"/>
          <w:sz w:val="24"/>
          <w:szCs w:val="24"/>
          <w:highlight w:val="none"/>
        </w:rPr>
        <w:t>联合体投标的，在编制工程量清单时应只填写联合体主办方单位全称，且要求填写的全称与广州公共资源交易</w:t>
      </w:r>
      <w:r>
        <w:rPr>
          <w:rFonts w:hint="eastAsia" w:ascii="宋体" w:hAnsi="宋体" w:eastAsia="宋体"/>
          <w:bCs/>
          <w:strike/>
          <w:color w:val="auto"/>
          <w:sz w:val="24"/>
          <w:szCs w:val="24"/>
          <w:highlight w:val="none"/>
          <w:lang w:eastAsia="zh-CN"/>
        </w:rPr>
        <w:t>平台</w:t>
      </w:r>
      <w:r>
        <w:rPr>
          <w:rFonts w:hint="eastAsia" w:ascii="宋体" w:hAnsi="宋体" w:eastAsia="宋体"/>
          <w:bCs/>
          <w:strike/>
          <w:color w:val="auto"/>
          <w:sz w:val="24"/>
          <w:szCs w:val="24"/>
          <w:highlight w:val="none"/>
        </w:rPr>
        <w:t>企业库登记名称完全一致。</w:t>
      </w:r>
    </w:p>
    <w:p w14:paraId="17D9D941">
      <w:pPr>
        <w:outlineLvl w:val="2"/>
        <w:rPr>
          <w:rFonts w:ascii="宋体" w:hAnsi="宋体" w:eastAsia="宋体"/>
          <w:color w:val="auto"/>
          <w:highlight w:val="none"/>
        </w:rPr>
      </w:pPr>
      <w:r>
        <w:rPr>
          <w:rFonts w:ascii="宋体" w:hAnsi="宋体" w:eastAsia="宋体"/>
          <w:color w:val="auto"/>
          <w:highlight w:val="none"/>
        </w:rPr>
        <w:br w:type="page"/>
      </w:r>
      <w:bookmarkStart w:id="307" w:name="_Toc23381"/>
      <w:bookmarkStart w:id="308" w:name="_Toc26865"/>
      <w:bookmarkStart w:id="309" w:name="_Toc25166"/>
      <w:bookmarkStart w:id="310" w:name="_Toc31563"/>
      <w:bookmarkStart w:id="311" w:name="_Toc18466"/>
      <w:bookmarkStart w:id="312" w:name="_Toc23204"/>
      <w:bookmarkStart w:id="313" w:name="_Toc18646"/>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13</w:t>
      </w:r>
      <w:r>
        <w:rPr>
          <w:rFonts w:hint="eastAsia" w:ascii="宋体" w:hAnsi="宋体" w:eastAsia="宋体"/>
          <w:color w:val="auto"/>
          <w:sz w:val="24"/>
          <w:szCs w:val="24"/>
          <w:highlight w:val="none"/>
        </w:rPr>
        <w:t xml:space="preserve"> 投标函</w:t>
      </w:r>
      <w:bookmarkEnd w:id="307"/>
      <w:bookmarkEnd w:id="308"/>
      <w:bookmarkEnd w:id="309"/>
      <w:bookmarkEnd w:id="310"/>
      <w:bookmarkEnd w:id="311"/>
      <w:bookmarkEnd w:id="312"/>
      <w:bookmarkEnd w:id="313"/>
    </w:p>
    <w:p w14:paraId="7A3A04C3">
      <w:pPr>
        <w:pStyle w:val="5"/>
        <w:spacing w:after="0" w:line="440" w:lineRule="exact"/>
        <w:ind w:firstLine="0"/>
        <w:jc w:val="center"/>
        <w:rPr>
          <w:rFonts w:hint="eastAsia" w:ascii="宋体" w:hAnsi="宋体" w:eastAsia="宋体"/>
          <w:b/>
          <w:color w:val="auto"/>
          <w:sz w:val="36"/>
          <w:szCs w:val="36"/>
          <w:highlight w:val="none"/>
        </w:rPr>
      </w:pPr>
      <w:r>
        <w:rPr>
          <w:rFonts w:hint="eastAsia" w:ascii="宋体" w:hAnsi="宋体" w:eastAsia="宋体"/>
          <w:b/>
          <w:color w:val="auto"/>
          <w:sz w:val="36"/>
          <w:szCs w:val="36"/>
          <w:highlight w:val="none"/>
        </w:rPr>
        <w:t xml:space="preserve">投  </w:t>
      </w:r>
      <w:r>
        <w:rPr>
          <w:rFonts w:hint="eastAsia" w:ascii="宋体" w:hAnsi="宋体" w:eastAsia="宋体" w:cs="宋体"/>
          <w:b/>
          <w:color w:val="auto"/>
          <w:sz w:val="36"/>
          <w:szCs w:val="36"/>
          <w:highlight w:val="none"/>
        </w:rPr>
        <w:t>标</w:t>
      </w:r>
      <w:r>
        <w:rPr>
          <w:rFonts w:hint="eastAsia" w:ascii="宋体" w:hAnsi="宋体" w:eastAsia="宋体"/>
          <w:b/>
          <w:color w:val="auto"/>
          <w:sz w:val="36"/>
          <w:szCs w:val="36"/>
          <w:highlight w:val="none"/>
        </w:rPr>
        <w:t xml:space="preserve">  函</w:t>
      </w:r>
    </w:p>
    <w:p w14:paraId="559C5221">
      <w:pPr>
        <w:pStyle w:val="5"/>
        <w:spacing w:after="0" w:line="440" w:lineRule="exact"/>
        <w:ind w:firstLine="0"/>
        <w:jc w:val="center"/>
        <w:rPr>
          <w:rFonts w:ascii="宋体" w:hAnsi="宋体" w:eastAsia="宋体"/>
          <w:b/>
          <w:color w:val="auto"/>
          <w:sz w:val="36"/>
          <w:szCs w:val="36"/>
          <w:highlight w:val="none"/>
        </w:rPr>
      </w:pPr>
    </w:p>
    <w:p w14:paraId="26823F10">
      <w:pPr>
        <w:spacing w:line="440" w:lineRule="exact"/>
        <w:rPr>
          <w:rFonts w:ascii="宋体" w:hAnsi="宋体" w:eastAsia="宋体"/>
          <w:b/>
          <w:color w:val="auto"/>
          <w:sz w:val="24"/>
          <w:szCs w:val="24"/>
          <w:highlight w:val="none"/>
        </w:rPr>
      </w:pPr>
      <w:r>
        <w:rPr>
          <w:rFonts w:hint="eastAsia" w:ascii="宋体" w:hAnsi="宋体" w:eastAsia="宋体"/>
          <w:b/>
          <w:color w:val="auto"/>
          <w:sz w:val="24"/>
          <w:szCs w:val="24"/>
          <w:highlight w:val="none"/>
        </w:rPr>
        <w:t>致：</w:t>
      </w:r>
      <w:r>
        <w:rPr>
          <w:rFonts w:hint="eastAsia" w:ascii="宋体" w:hAnsi="宋体" w:eastAsia="宋体"/>
          <w:b/>
          <w:color w:val="auto"/>
          <w:sz w:val="24"/>
          <w:szCs w:val="24"/>
          <w:highlight w:val="none"/>
          <w:u w:val="single"/>
        </w:rPr>
        <w:t xml:space="preserve">(招标人名称)                              </w:t>
      </w:r>
    </w:p>
    <w:p w14:paraId="75C24290">
      <w:pPr>
        <w:spacing w:line="42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根据已收到贵方的项目编号为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的</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工程的招标文件，并已详细审核了全部招标文件及有关附件。</w:t>
      </w:r>
    </w:p>
    <w:p w14:paraId="2DE5A2C4">
      <w:pPr>
        <w:spacing w:line="42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14:paraId="5F43D9EA">
      <w:pPr>
        <w:numPr>
          <w:ilvl w:val="0"/>
          <w:numId w:val="2"/>
          <w:numberingChange w:id="0" w:author="作者" w:date="2020-08-20T14:18:00Z" w:original="%1:1:0:．"/>
        </w:numPr>
        <w:spacing w:line="42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愿以经济标中的投标报价并按上述合同条款、标准和技术规范、图纸、工程量清单等的要求承包上述工程的施工、竣工并修补其任何缺陷。</w:t>
      </w:r>
    </w:p>
    <w:p w14:paraId="717AE71D">
      <w:pPr>
        <w:numPr>
          <w:ilvl w:val="0"/>
          <w:numId w:val="2"/>
          <w:numberingChange w:id="1" w:author="作者" w:date="2020-08-20T14:18:00Z" w:original="%1:2:0:．"/>
        </w:numPr>
        <w:spacing w:line="42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我方同意所递交的投标文件在投标须知规定的投标有效期内有效，在此期间内我方的投标有可能中标，我方将受此约束。如果在投标有效期内撤销投标或放弃中标资格，我方的投标保证金将不予退还，给贵方造成的损失超过我方投标保证金金额的，贵方还有权要求我方对超过部分进行赔偿。</w:t>
      </w:r>
    </w:p>
    <w:p w14:paraId="0487B18F">
      <w:pPr>
        <w:numPr>
          <w:ilvl w:val="0"/>
          <w:numId w:val="2"/>
          <w:numberingChange w:id="2" w:author="作者" w:date="2020-08-20T14:18:00Z" w:original="%1:3:0:．"/>
        </w:numPr>
        <w:spacing w:line="42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我方理解贵方将不受必须接受你们所收到的最低标价或其它任何投标文件的约束。</w:t>
      </w:r>
    </w:p>
    <w:p w14:paraId="2E1D6BB8">
      <w:pPr>
        <w:numPr>
          <w:ilvl w:val="0"/>
          <w:numId w:val="2"/>
          <w:numberingChange w:id="3" w:author="作者" w:date="2020-08-20T14:18:00Z" w:original="%1:4:0:．"/>
        </w:numPr>
        <w:spacing w:line="42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我方已知晓招标文件中载明的评标和定标条款，并接受按定标方法评审的定标结果。如我方成为本项目中标候选人，我方同意并授权招标人将我方投标文件</w:t>
      </w:r>
      <w:r>
        <w:rPr>
          <w:rFonts w:hint="eastAsia" w:ascii="宋体" w:hAnsi="宋体" w:eastAsia="宋体"/>
          <w:color w:val="auto"/>
          <w:sz w:val="24"/>
          <w:szCs w:val="24"/>
          <w:highlight w:val="none"/>
          <w:lang w:eastAsia="zh-CN"/>
        </w:rPr>
        <w:t>技术部分（项目实施能力）</w:t>
      </w:r>
      <w:r>
        <w:rPr>
          <w:rFonts w:hint="eastAsia" w:ascii="宋体" w:hAnsi="宋体" w:eastAsia="宋体"/>
          <w:color w:val="auto"/>
          <w:sz w:val="24"/>
          <w:szCs w:val="24"/>
          <w:highlight w:val="none"/>
        </w:rPr>
        <w:t>部分进行公开。</w:t>
      </w:r>
    </w:p>
    <w:p w14:paraId="659F9E68">
      <w:pPr>
        <w:numPr>
          <w:ilvl w:val="0"/>
          <w:numId w:val="2"/>
          <w:numberingChange w:id="4" w:author="作者" w:date="2020-08-20T14:18:00Z" w:original="%1:5:0:．"/>
        </w:numPr>
        <w:spacing w:line="42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如果我方中标，我方保证按招标文件中规定的工期，在</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日历天内完成并移交本工程，质量标准达到招标文件中的要求。</w:t>
      </w:r>
    </w:p>
    <w:p w14:paraId="04EF18DE">
      <w:pPr>
        <w:numPr>
          <w:ilvl w:val="0"/>
          <w:numId w:val="2"/>
          <w:numberingChange w:id="5" w:author="作者" w:date="2020-08-20T14:18:00Z" w:original="%1:6:0:．"/>
        </w:numPr>
        <w:spacing w:line="42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如果我方中标，我方将递交按招标文件规定且招标人认可的履约保函。</w:t>
      </w:r>
    </w:p>
    <w:p w14:paraId="76A41F4D">
      <w:pPr>
        <w:numPr>
          <w:ilvl w:val="0"/>
          <w:numId w:val="2"/>
          <w:numberingChange w:id="6" w:author="作者" w:date="2020-08-20T14:18:00Z" w:original="%1:7:0:．"/>
        </w:numPr>
        <w:spacing w:line="42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除非另外达成协议并生效，贵方的中标通知书和本投标文件将成为约束双方的合同文件的组成部分。</w:t>
      </w:r>
    </w:p>
    <w:p w14:paraId="26B2F884">
      <w:pPr>
        <w:numPr>
          <w:ilvl w:val="0"/>
          <w:numId w:val="2"/>
          <w:numberingChange w:id="7" w:author="作者" w:date="2020-08-20T14:18:00Z" w:original="%1:8:0:．"/>
        </w:numPr>
        <w:spacing w:line="42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如果我方中标，我方将实行项目经理负责制，并按投标文件配备项目管理班子。如未经招标人同意更换项目班子成员，招标人有权取消我公司的中标资格或单方面终止合同，由此造成的违约责任由我公司承担。</w:t>
      </w:r>
    </w:p>
    <w:p w14:paraId="2EC55688">
      <w:pPr>
        <w:spacing w:line="420" w:lineRule="exact"/>
        <w:rPr>
          <w:rFonts w:hint="eastAsia" w:ascii="宋体" w:hAnsi="宋体" w:eastAsia="宋体"/>
          <w:color w:val="auto"/>
          <w:sz w:val="24"/>
          <w:szCs w:val="24"/>
          <w:highlight w:val="none"/>
        </w:rPr>
      </w:pPr>
    </w:p>
    <w:p w14:paraId="64A1E640">
      <w:pPr>
        <w:spacing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法定代表人：（签名或盖章）</w:t>
      </w:r>
    </w:p>
    <w:p w14:paraId="2E2D2666">
      <w:pPr>
        <w:spacing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投标人：（盖章）                               </w:t>
      </w:r>
    </w:p>
    <w:p w14:paraId="192B7FDD">
      <w:pPr>
        <w:spacing w:line="420" w:lineRule="exact"/>
        <w:ind w:firstLine="5760" w:firstLineChars="24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日期：</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w:t>
      </w:r>
    </w:p>
    <w:p w14:paraId="49C374B0">
      <w:pPr>
        <w:spacing w:line="480" w:lineRule="auto"/>
        <w:rPr>
          <w:rFonts w:ascii="宋体" w:hAnsi="宋体" w:eastAsia="宋体"/>
          <w:color w:val="auto"/>
          <w:sz w:val="24"/>
          <w:szCs w:val="24"/>
          <w:highlight w:val="none"/>
        </w:rPr>
      </w:pPr>
    </w:p>
    <w:p w14:paraId="0F5BC317">
      <w:pPr>
        <w:autoSpaceDE w:val="0"/>
        <w:autoSpaceDN w:val="0"/>
        <w:adjustRightInd w:val="0"/>
        <w:spacing w:line="360" w:lineRule="auto"/>
        <w:jc w:val="center"/>
        <w:rPr>
          <w:rFonts w:hint="eastAsia" w:ascii="宋体" w:hAnsi="宋体" w:eastAsia="宋体" w:cs="宋体"/>
          <w:b/>
          <w:bCs/>
          <w:color w:val="auto"/>
          <w:sz w:val="44"/>
          <w:szCs w:val="44"/>
          <w:highlight w:val="none"/>
          <w:lang w:val="zh-CN"/>
        </w:rPr>
      </w:pPr>
    </w:p>
    <w:p w14:paraId="4A9042D1">
      <w:pPr>
        <w:autoSpaceDE w:val="0"/>
        <w:autoSpaceDN w:val="0"/>
        <w:adjustRightInd w:val="0"/>
        <w:spacing w:line="360" w:lineRule="auto"/>
        <w:jc w:val="center"/>
        <w:rPr>
          <w:rFonts w:ascii="宋体" w:hAnsi="宋体" w:eastAsia="宋体" w:cs="宋体"/>
          <w:b/>
          <w:bCs/>
          <w:color w:val="auto"/>
          <w:sz w:val="44"/>
          <w:szCs w:val="44"/>
          <w:highlight w:val="none"/>
          <w:lang w:val="zh-CN"/>
        </w:rPr>
      </w:pPr>
      <w:r>
        <w:rPr>
          <w:rFonts w:hint="eastAsia" w:ascii="宋体" w:hAnsi="宋体" w:eastAsia="宋体" w:cs="宋体"/>
          <w:b/>
          <w:bCs/>
          <w:color w:val="auto"/>
          <w:sz w:val="44"/>
          <w:szCs w:val="44"/>
          <w:highlight w:val="none"/>
          <w:lang w:val="zh-CN"/>
        </w:rPr>
        <w:t>广州园林绿化工程施工招标投标书</w:t>
      </w:r>
    </w:p>
    <w:p w14:paraId="52A3DB8A">
      <w:pPr>
        <w:autoSpaceDE w:val="0"/>
        <w:autoSpaceDN w:val="0"/>
        <w:adjustRightInd w:val="0"/>
        <w:spacing w:line="360" w:lineRule="auto"/>
        <w:jc w:val="center"/>
        <w:rPr>
          <w:rFonts w:ascii="宋体" w:hAnsi="宋体" w:eastAsia="宋体"/>
          <w:b/>
          <w:bCs/>
          <w:color w:val="auto"/>
          <w:sz w:val="52"/>
          <w:szCs w:val="52"/>
          <w:highlight w:val="none"/>
        </w:rPr>
      </w:pPr>
      <w:r>
        <w:rPr>
          <w:rFonts w:hint="eastAsia" w:ascii="宋体" w:hAnsi="宋体" w:eastAsia="宋体" w:cs="宋体"/>
          <w:b/>
          <w:color w:val="auto"/>
          <w:sz w:val="24"/>
          <w:szCs w:val="24"/>
          <w:highlight w:val="none"/>
          <w:lang w:val="zh-CN"/>
        </w:rPr>
        <w:t xml:space="preserve">                                              投标日期：   年  月  日</w:t>
      </w:r>
    </w:p>
    <w:tbl>
      <w:tblPr>
        <w:tblStyle w:val="29"/>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4"/>
        <w:gridCol w:w="6035"/>
      </w:tblGrid>
      <w:tr w14:paraId="2408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44" w:type="dxa"/>
            <w:tcBorders>
              <w:top w:val="single" w:color="auto" w:sz="4" w:space="0"/>
              <w:left w:val="single" w:color="auto" w:sz="4" w:space="0"/>
              <w:bottom w:val="single" w:color="auto" w:sz="4" w:space="0"/>
              <w:right w:val="single" w:color="auto" w:sz="4" w:space="0"/>
            </w:tcBorders>
            <w:noWrap w:val="0"/>
            <w:vAlign w:val="center"/>
          </w:tcPr>
          <w:p w14:paraId="4E2BFFE6">
            <w:pPr>
              <w:autoSpaceDE w:val="0"/>
              <w:autoSpaceDN w:val="0"/>
              <w:adjustRightInd w:val="0"/>
              <w:jc w:val="center"/>
              <w:rPr>
                <w:rFonts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rPr>
              <w:t>工 程 名 称</w:t>
            </w:r>
          </w:p>
        </w:tc>
        <w:tc>
          <w:tcPr>
            <w:tcW w:w="6035" w:type="dxa"/>
            <w:tcBorders>
              <w:top w:val="single" w:color="auto" w:sz="4" w:space="0"/>
              <w:left w:val="single" w:color="auto" w:sz="4" w:space="0"/>
              <w:bottom w:val="single" w:color="auto" w:sz="4" w:space="0"/>
              <w:right w:val="single" w:color="auto" w:sz="4" w:space="0"/>
            </w:tcBorders>
            <w:noWrap w:val="0"/>
            <w:vAlign w:val="top"/>
          </w:tcPr>
          <w:p w14:paraId="5FF4A59A">
            <w:pPr>
              <w:autoSpaceDE w:val="0"/>
              <w:autoSpaceDN w:val="0"/>
              <w:adjustRightInd w:val="0"/>
              <w:rPr>
                <w:rFonts w:ascii="宋体" w:hAnsi="宋体" w:eastAsia="宋体" w:cs="宋体"/>
                <w:b/>
                <w:bCs/>
                <w:color w:val="auto"/>
                <w:sz w:val="24"/>
                <w:szCs w:val="24"/>
                <w:highlight w:val="none"/>
                <w:lang w:val="zh-CN"/>
              </w:rPr>
            </w:pPr>
          </w:p>
        </w:tc>
      </w:tr>
      <w:tr w14:paraId="6ED8F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344" w:type="dxa"/>
            <w:vMerge w:val="restart"/>
            <w:tcBorders>
              <w:top w:val="single" w:color="auto" w:sz="4" w:space="0"/>
              <w:left w:val="single" w:color="auto" w:sz="4" w:space="0"/>
              <w:bottom w:val="single" w:color="auto" w:sz="4" w:space="0"/>
              <w:right w:val="single" w:color="auto" w:sz="4" w:space="0"/>
            </w:tcBorders>
            <w:noWrap w:val="0"/>
            <w:vAlign w:val="center"/>
          </w:tcPr>
          <w:p w14:paraId="04B70552">
            <w:pPr>
              <w:autoSpaceDE w:val="0"/>
              <w:autoSpaceDN w:val="0"/>
              <w:adjustRightInd w:val="0"/>
              <w:jc w:val="center"/>
              <w:rPr>
                <w:rFonts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rPr>
              <w:t>投标报价（元）</w:t>
            </w:r>
          </w:p>
        </w:tc>
        <w:tc>
          <w:tcPr>
            <w:tcW w:w="6035" w:type="dxa"/>
            <w:tcBorders>
              <w:top w:val="single" w:color="auto" w:sz="4" w:space="0"/>
              <w:left w:val="single" w:color="auto" w:sz="4" w:space="0"/>
              <w:bottom w:val="single" w:color="auto" w:sz="4" w:space="0"/>
              <w:right w:val="single" w:color="auto" w:sz="4" w:space="0"/>
            </w:tcBorders>
            <w:noWrap w:val="0"/>
            <w:vAlign w:val="center"/>
          </w:tcPr>
          <w:p w14:paraId="3263C0B4">
            <w:pPr>
              <w:autoSpaceDE w:val="0"/>
              <w:autoSpaceDN w:val="0"/>
              <w:adjustRightInd w:val="0"/>
              <w:rPr>
                <w:rFonts w:ascii="宋体" w:hAnsi="宋体" w:eastAsia="宋体" w:cs="宋体"/>
                <w:b/>
                <w:bCs/>
                <w:color w:val="auto"/>
                <w:sz w:val="24"/>
                <w:szCs w:val="24"/>
                <w:highlight w:val="none"/>
                <w:lang w:val="zh-CN"/>
              </w:rPr>
            </w:pPr>
            <w:r>
              <w:rPr>
                <w:rFonts w:hint="eastAsia" w:ascii="宋体" w:hAnsi="宋体" w:eastAsia="宋体"/>
                <w:b/>
                <w:color w:val="auto"/>
                <w:sz w:val="24"/>
                <w:szCs w:val="24"/>
                <w:highlight w:val="none"/>
              </w:rPr>
              <w:t>大写：</w:t>
            </w:r>
          </w:p>
        </w:tc>
      </w:tr>
      <w:tr w14:paraId="3C481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44" w:type="dxa"/>
            <w:vMerge w:val="continue"/>
            <w:tcBorders>
              <w:top w:val="single" w:color="auto" w:sz="4" w:space="0"/>
              <w:left w:val="single" w:color="auto" w:sz="4" w:space="0"/>
              <w:bottom w:val="single" w:color="auto" w:sz="4" w:space="0"/>
              <w:right w:val="single" w:color="auto" w:sz="4" w:space="0"/>
            </w:tcBorders>
            <w:noWrap w:val="0"/>
            <w:vAlign w:val="center"/>
          </w:tcPr>
          <w:p w14:paraId="18F65FD0">
            <w:pPr>
              <w:widowControl/>
              <w:jc w:val="center"/>
              <w:rPr>
                <w:rFonts w:ascii="宋体" w:hAnsi="宋体" w:eastAsia="宋体" w:cs="宋体"/>
                <w:b/>
                <w:bCs/>
                <w:color w:val="auto"/>
                <w:sz w:val="24"/>
                <w:szCs w:val="24"/>
                <w:highlight w:val="none"/>
                <w:lang w:val="zh-CN"/>
              </w:rPr>
            </w:pPr>
          </w:p>
        </w:tc>
        <w:tc>
          <w:tcPr>
            <w:tcW w:w="6035" w:type="dxa"/>
            <w:tcBorders>
              <w:top w:val="single" w:color="auto" w:sz="4" w:space="0"/>
              <w:left w:val="single" w:color="auto" w:sz="4" w:space="0"/>
              <w:bottom w:val="single" w:color="auto" w:sz="4" w:space="0"/>
              <w:right w:val="single" w:color="auto" w:sz="4" w:space="0"/>
            </w:tcBorders>
            <w:noWrap w:val="0"/>
            <w:vAlign w:val="center"/>
          </w:tcPr>
          <w:p w14:paraId="209CE7D7">
            <w:pPr>
              <w:autoSpaceDE w:val="0"/>
              <w:autoSpaceDN w:val="0"/>
              <w:adjustRightInd w:val="0"/>
              <w:rPr>
                <w:rFonts w:ascii="宋体" w:hAnsi="宋体" w:eastAsia="宋体" w:cs="宋体"/>
                <w:b/>
                <w:bCs/>
                <w:color w:val="auto"/>
                <w:sz w:val="24"/>
                <w:szCs w:val="24"/>
                <w:highlight w:val="none"/>
                <w:lang w:val="zh-CN"/>
              </w:rPr>
            </w:pPr>
            <w:r>
              <w:rPr>
                <w:rFonts w:hint="eastAsia" w:ascii="宋体" w:hAnsi="宋体" w:eastAsia="宋体"/>
                <w:b/>
                <w:color w:val="auto"/>
                <w:sz w:val="24"/>
                <w:szCs w:val="24"/>
                <w:highlight w:val="none"/>
              </w:rPr>
              <w:t>小写：</w:t>
            </w:r>
          </w:p>
        </w:tc>
      </w:tr>
      <w:tr w14:paraId="3EC5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344" w:type="dxa"/>
            <w:vMerge w:val="restart"/>
            <w:tcBorders>
              <w:top w:val="single" w:color="auto" w:sz="4" w:space="0"/>
              <w:left w:val="single" w:color="auto" w:sz="4" w:space="0"/>
              <w:bottom w:val="single" w:color="auto" w:sz="4" w:space="0"/>
              <w:right w:val="single" w:color="auto" w:sz="4" w:space="0"/>
            </w:tcBorders>
            <w:noWrap w:val="0"/>
            <w:vAlign w:val="center"/>
          </w:tcPr>
          <w:p w14:paraId="289507F0">
            <w:pPr>
              <w:autoSpaceDE w:val="0"/>
              <w:autoSpaceDN w:val="0"/>
              <w:adjustRightInd w:val="0"/>
              <w:jc w:val="center"/>
              <w:rPr>
                <w:rFonts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rPr>
              <w:t>其中：</w:t>
            </w:r>
            <w:r>
              <w:rPr>
                <w:rFonts w:hint="eastAsia" w:ascii="宋体" w:hAnsi="宋体" w:eastAsia="宋体" w:cs="宋体"/>
                <w:b/>
                <w:bCs/>
                <w:color w:val="auto"/>
                <w:sz w:val="24"/>
                <w:szCs w:val="24"/>
                <w:highlight w:val="none"/>
                <w:lang w:val="zh-CN"/>
              </w:rPr>
              <w:t>人工费</w:t>
            </w:r>
            <w:r>
              <w:rPr>
                <w:rFonts w:hint="eastAsia" w:ascii="宋体" w:hAnsi="宋体" w:eastAsia="宋体" w:cs="宋体"/>
                <w:b/>
                <w:color w:val="auto"/>
                <w:sz w:val="24"/>
                <w:szCs w:val="24"/>
                <w:highlight w:val="none"/>
                <w:lang w:val="zh-CN"/>
              </w:rPr>
              <w:t>（元）</w:t>
            </w:r>
          </w:p>
        </w:tc>
        <w:tc>
          <w:tcPr>
            <w:tcW w:w="6035" w:type="dxa"/>
            <w:tcBorders>
              <w:top w:val="single" w:color="auto" w:sz="4" w:space="0"/>
              <w:left w:val="single" w:color="auto" w:sz="4" w:space="0"/>
              <w:bottom w:val="single" w:color="auto" w:sz="4" w:space="0"/>
              <w:right w:val="single" w:color="auto" w:sz="4" w:space="0"/>
            </w:tcBorders>
            <w:noWrap w:val="0"/>
            <w:vAlign w:val="center"/>
          </w:tcPr>
          <w:p w14:paraId="629EB733">
            <w:pPr>
              <w:autoSpaceDE w:val="0"/>
              <w:autoSpaceDN w:val="0"/>
              <w:adjustRightInd w:val="0"/>
              <w:rPr>
                <w:rFonts w:ascii="宋体" w:hAnsi="宋体" w:eastAsia="宋体" w:cs="宋体"/>
                <w:b/>
                <w:bCs/>
                <w:color w:val="auto"/>
                <w:sz w:val="24"/>
                <w:szCs w:val="24"/>
                <w:highlight w:val="none"/>
                <w:lang w:val="zh-CN"/>
              </w:rPr>
            </w:pPr>
            <w:r>
              <w:rPr>
                <w:rFonts w:hint="eastAsia" w:ascii="宋体" w:hAnsi="宋体" w:eastAsia="宋体"/>
                <w:b/>
                <w:color w:val="auto"/>
                <w:sz w:val="24"/>
                <w:szCs w:val="24"/>
                <w:highlight w:val="none"/>
              </w:rPr>
              <w:t>大写：</w:t>
            </w:r>
          </w:p>
        </w:tc>
      </w:tr>
      <w:tr w14:paraId="75BC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44" w:type="dxa"/>
            <w:vMerge w:val="continue"/>
            <w:tcBorders>
              <w:top w:val="single" w:color="auto" w:sz="4" w:space="0"/>
              <w:left w:val="single" w:color="auto" w:sz="4" w:space="0"/>
              <w:bottom w:val="single" w:color="auto" w:sz="4" w:space="0"/>
              <w:right w:val="single" w:color="auto" w:sz="4" w:space="0"/>
            </w:tcBorders>
            <w:noWrap w:val="0"/>
            <w:vAlign w:val="center"/>
          </w:tcPr>
          <w:p w14:paraId="1CFEA3B7">
            <w:pPr>
              <w:widowControl/>
              <w:jc w:val="center"/>
              <w:rPr>
                <w:rFonts w:ascii="宋体" w:hAnsi="宋体" w:eastAsia="宋体" w:cs="宋体"/>
                <w:b/>
                <w:bCs/>
                <w:color w:val="auto"/>
                <w:sz w:val="24"/>
                <w:szCs w:val="24"/>
                <w:highlight w:val="none"/>
                <w:lang w:val="zh-CN"/>
              </w:rPr>
            </w:pPr>
          </w:p>
        </w:tc>
        <w:tc>
          <w:tcPr>
            <w:tcW w:w="6035" w:type="dxa"/>
            <w:tcBorders>
              <w:top w:val="single" w:color="auto" w:sz="4" w:space="0"/>
              <w:left w:val="single" w:color="auto" w:sz="4" w:space="0"/>
              <w:bottom w:val="single" w:color="auto" w:sz="4" w:space="0"/>
              <w:right w:val="single" w:color="auto" w:sz="4" w:space="0"/>
            </w:tcBorders>
            <w:noWrap w:val="0"/>
            <w:vAlign w:val="center"/>
          </w:tcPr>
          <w:p w14:paraId="619E0191">
            <w:pPr>
              <w:autoSpaceDE w:val="0"/>
              <w:autoSpaceDN w:val="0"/>
              <w:adjustRightInd w:val="0"/>
              <w:rPr>
                <w:rFonts w:ascii="宋体" w:hAnsi="宋体" w:eastAsia="宋体" w:cs="宋体"/>
                <w:b/>
                <w:bCs/>
                <w:color w:val="auto"/>
                <w:sz w:val="24"/>
                <w:szCs w:val="24"/>
                <w:highlight w:val="none"/>
                <w:lang w:val="zh-CN"/>
              </w:rPr>
            </w:pPr>
            <w:r>
              <w:rPr>
                <w:rFonts w:hint="eastAsia" w:ascii="宋体" w:hAnsi="宋体" w:eastAsia="宋体"/>
                <w:b/>
                <w:color w:val="auto"/>
                <w:sz w:val="24"/>
                <w:szCs w:val="24"/>
                <w:highlight w:val="none"/>
              </w:rPr>
              <w:t>小写：</w:t>
            </w:r>
          </w:p>
        </w:tc>
      </w:tr>
      <w:tr w14:paraId="6EA5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44" w:type="dxa"/>
            <w:vMerge w:val="restart"/>
            <w:tcBorders>
              <w:top w:val="single" w:color="auto" w:sz="4" w:space="0"/>
              <w:left w:val="single" w:color="auto" w:sz="4" w:space="0"/>
              <w:right w:val="single" w:color="auto" w:sz="4" w:space="0"/>
            </w:tcBorders>
            <w:noWrap w:val="0"/>
            <w:vAlign w:val="center"/>
          </w:tcPr>
          <w:p w14:paraId="34A76503">
            <w:pPr>
              <w:widowControl/>
              <w:ind w:firstLine="118" w:firstLineChars="49"/>
              <w:jc w:val="center"/>
              <w:rPr>
                <w:rFonts w:hint="eastAsia" w:ascii="宋体" w:hAnsi="宋体" w:eastAsia="宋体" w:cs="宋体"/>
                <w:b/>
                <w:color w:val="auto"/>
                <w:sz w:val="24"/>
                <w:szCs w:val="24"/>
                <w:highlight w:val="none"/>
                <w:lang w:val="zh-CN"/>
              </w:rPr>
            </w:pPr>
            <w:r>
              <w:rPr>
                <w:rFonts w:hint="eastAsia" w:ascii="宋体" w:hAnsi="宋体" w:eastAsia="宋体" w:cs="宋体"/>
                <w:b/>
                <w:bCs/>
                <w:color w:val="auto"/>
                <w:sz w:val="24"/>
                <w:szCs w:val="24"/>
                <w:highlight w:val="none"/>
                <w:lang w:val="zh-CN"/>
              </w:rPr>
              <w:t>其中：</w:t>
            </w:r>
            <w:r>
              <w:rPr>
                <w:rFonts w:hint="eastAsia" w:ascii="宋体" w:hAnsi="宋体" w:eastAsia="宋体" w:cs="宋体"/>
                <w:b/>
                <w:color w:val="auto"/>
                <w:sz w:val="24"/>
                <w:szCs w:val="24"/>
                <w:highlight w:val="none"/>
                <w:lang w:val="zh-CN"/>
              </w:rPr>
              <w:t>绿色施工安全防护</w:t>
            </w:r>
          </w:p>
          <w:p w14:paraId="7FD67A2A">
            <w:pPr>
              <w:widowControl/>
              <w:ind w:firstLine="118" w:firstLineChars="49"/>
              <w:jc w:val="center"/>
              <w:rPr>
                <w:rFonts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rPr>
              <w:t>措施费</w:t>
            </w:r>
            <w:r>
              <w:rPr>
                <w:rFonts w:hint="eastAsia" w:ascii="宋体" w:hAnsi="宋体" w:eastAsia="宋体" w:cs="宋体"/>
                <w:b/>
                <w:bCs/>
                <w:color w:val="auto"/>
                <w:sz w:val="24"/>
                <w:szCs w:val="24"/>
                <w:highlight w:val="none"/>
                <w:lang w:val="zh-CN"/>
              </w:rPr>
              <w:t>（元）</w:t>
            </w:r>
          </w:p>
        </w:tc>
        <w:tc>
          <w:tcPr>
            <w:tcW w:w="6035" w:type="dxa"/>
            <w:tcBorders>
              <w:top w:val="single" w:color="auto" w:sz="4" w:space="0"/>
              <w:left w:val="single" w:color="auto" w:sz="4" w:space="0"/>
              <w:bottom w:val="single" w:color="auto" w:sz="4" w:space="0"/>
              <w:right w:val="single" w:color="auto" w:sz="4" w:space="0"/>
            </w:tcBorders>
            <w:noWrap w:val="0"/>
            <w:vAlign w:val="center"/>
          </w:tcPr>
          <w:p w14:paraId="130A4A03">
            <w:pPr>
              <w:autoSpaceDE w:val="0"/>
              <w:autoSpaceDN w:val="0"/>
              <w:adjustRightInd w:val="0"/>
              <w:rPr>
                <w:rFonts w:ascii="宋体" w:hAnsi="宋体" w:eastAsia="宋体" w:cs="宋体"/>
                <w:b/>
                <w:bCs/>
                <w:color w:val="auto"/>
                <w:sz w:val="24"/>
                <w:szCs w:val="24"/>
                <w:highlight w:val="none"/>
                <w:lang w:val="zh-CN"/>
              </w:rPr>
            </w:pPr>
            <w:r>
              <w:rPr>
                <w:rFonts w:hint="eastAsia" w:ascii="宋体" w:hAnsi="宋体" w:eastAsia="宋体"/>
                <w:b/>
                <w:color w:val="auto"/>
                <w:sz w:val="24"/>
                <w:szCs w:val="24"/>
                <w:highlight w:val="none"/>
              </w:rPr>
              <w:t>大写：</w:t>
            </w:r>
          </w:p>
        </w:tc>
      </w:tr>
      <w:tr w14:paraId="1B7D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44" w:type="dxa"/>
            <w:vMerge w:val="continue"/>
            <w:tcBorders>
              <w:left w:val="single" w:color="auto" w:sz="4" w:space="0"/>
              <w:bottom w:val="single" w:color="auto" w:sz="4" w:space="0"/>
              <w:right w:val="single" w:color="auto" w:sz="4" w:space="0"/>
            </w:tcBorders>
            <w:noWrap w:val="0"/>
            <w:vAlign w:val="center"/>
          </w:tcPr>
          <w:p w14:paraId="4388E4B4">
            <w:pPr>
              <w:widowControl/>
              <w:jc w:val="center"/>
              <w:rPr>
                <w:rFonts w:ascii="宋体" w:hAnsi="宋体" w:eastAsia="宋体" w:cs="宋体"/>
                <w:b/>
                <w:bCs/>
                <w:color w:val="auto"/>
                <w:sz w:val="24"/>
                <w:szCs w:val="24"/>
                <w:highlight w:val="none"/>
                <w:lang w:val="zh-CN"/>
              </w:rPr>
            </w:pPr>
          </w:p>
        </w:tc>
        <w:tc>
          <w:tcPr>
            <w:tcW w:w="6035" w:type="dxa"/>
            <w:tcBorders>
              <w:top w:val="single" w:color="auto" w:sz="4" w:space="0"/>
              <w:left w:val="single" w:color="auto" w:sz="4" w:space="0"/>
              <w:bottom w:val="single" w:color="auto" w:sz="4" w:space="0"/>
              <w:right w:val="single" w:color="auto" w:sz="4" w:space="0"/>
            </w:tcBorders>
            <w:noWrap w:val="0"/>
            <w:vAlign w:val="center"/>
          </w:tcPr>
          <w:p w14:paraId="47DC6A4C">
            <w:pPr>
              <w:autoSpaceDE w:val="0"/>
              <w:autoSpaceDN w:val="0"/>
              <w:adjustRightInd w:val="0"/>
              <w:rPr>
                <w:rFonts w:ascii="宋体" w:hAnsi="宋体" w:eastAsia="宋体" w:cs="宋体"/>
                <w:b/>
                <w:bCs/>
                <w:color w:val="auto"/>
                <w:sz w:val="24"/>
                <w:szCs w:val="24"/>
                <w:highlight w:val="none"/>
                <w:lang w:val="zh-CN"/>
              </w:rPr>
            </w:pPr>
            <w:r>
              <w:rPr>
                <w:rFonts w:hint="eastAsia" w:ascii="宋体" w:hAnsi="宋体" w:eastAsia="宋体"/>
                <w:b/>
                <w:color w:val="auto"/>
                <w:sz w:val="24"/>
                <w:szCs w:val="24"/>
                <w:highlight w:val="none"/>
              </w:rPr>
              <w:t>小写：</w:t>
            </w:r>
          </w:p>
        </w:tc>
      </w:tr>
      <w:tr w14:paraId="0394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44" w:type="dxa"/>
            <w:tcBorders>
              <w:top w:val="single" w:color="auto" w:sz="4" w:space="0"/>
              <w:left w:val="single" w:color="auto" w:sz="4" w:space="0"/>
              <w:bottom w:val="single" w:color="auto" w:sz="4" w:space="0"/>
              <w:right w:val="single" w:color="auto" w:sz="4" w:space="0"/>
            </w:tcBorders>
            <w:noWrap w:val="0"/>
            <w:vAlign w:val="center"/>
          </w:tcPr>
          <w:p w14:paraId="7649F407">
            <w:pPr>
              <w:jc w:val="center"/>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投 标 总 工 期</w:t>
            </w:r>
          </w:p>
        </w:tc>
        <w:tc>
          <w:tcPr>
            <w:tcW w:w="6035" w:type="dxa"/>
            <w:tcBorders>
              <w:top w:val="single" w:color="auto" w:sz="4" w:space="0"/>
              <w:left w:val="single" w:color="auto" w:sz="4" w:space="0"/>
              <w:bottom w:val="single" w:color="auto" w:sz="4" w:space="0"/>
              <w:right w:val="single" w:color="auto" w:sz="4" w:space="0"/>
            </w:tcBorders>
            <w:noWrap w:val="0"/>
            <w:vAlign w:val="top"/>
          </w:tcPr>
          <w:p w14:paraId="4D52F0A6">
            <w:pPr>
              <w:autoSpaceDE w:val="0"/>
              <w:autoSpaceDN w:val="0"/>
              <w:adjustRightInd w:val="0"/>
              <w:rPr>
                <w:rFonts w:ascii="宋体" w:hAnsi="宋体" w:eastAsia="宋体" w:cs="宋体"/>
                <w:b/>
                <w:bCs/>
                <w:color w:val="auto"/>
                <w:sz w:val="24"/>
                <w:szCs w:val="24"/>
                <w:highlight w:val="none"/>
                <w:lang w:val="zh-CN"/>
              </w:rPr>
            </w:pPr>
          </w:p>
        </w:tc>
      </w:tr>
      <w:tr w14:paraId="3FCA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44" w:type="dxa"/>
            <w:tcBorders>
              <w:top w:val="single" w:color="auto" w:sz="4" w:space="0"/>
              <w:left w:val="single" w:color="auto" w:sz="4" w:space="0"/>
              <w:bottom w:val="single" w:color="auto" w:sz="4" w:space="0"/>
              <w:right w:val="single" w:color="auto" w:sz="4" w:space="0"/>
            </w:tcBorders>
            <w:noWrap w:val="0"/>
            <w:vAlign w:val="center"/>
          </w:tcPr>
          <w:p w14:paraId="5FD005E6">
            <w:pPr>
              <w:jc w:val="center"/>
              <w:rPr>
                <w:rFonts w:ascii="宋体" w:hAnsi="宋体" w:eastAsia="宋体"/>
                <w:b/>
                <w:color w:val="auto"/>
                <w:sz w:val="24"/>
                <w:szCs w:val="24"/>
                <w:highlight w:val="none"/>
              </w:rPr>
            </w:pPr>
            <w:r>
              <w:rPr>
                <w:rFonts w:hint="eastAsia" w:ascii="宋体" w:hAnsi="宋体" w:eastAsia="宋体" w:cs="宋体"/>
                <w:b/>
                <w:color w:val="auto"/>
                <w:sz w:val="24"/>
                <w:szCs w:val="24"/>
                <w:highlight w:val="none"/>
                <w:lang w:val="zh-CN"/>
              </w:rPr>
              <w:t>工 程 质 量 标 准</w:t>
            </w:r>
          </w:p>
        </w:tc>
        <w:tc>
          <w:tcPr>
            <w:tcW w:w="6035" w:type="dxa"/>
            <w:tcBorders>
              <w:top w:val="single" w:color="auto" w:sz="4" w:space="0"/>
              <w:left w:val="single" w:color="auto" w:sz="4" w:space="0"/>
              <w:bottom w:val="single" w:color="auto" w:sz="4" w:space="0"/>
              <w:right w:val="single" w:color="auto" w:sz="4" w:space="0"/>
            </w:tcBorders>
            <w:noWrap w:val="0"/>
            <w:vAlign w:val="top"/>
          </w:tcPr>
          <w:p w14:paraId="20A72296">
            <w:pPr>
              <w:autoSpaceDE w:val="0"/>
              <w:autoSpaceDN w:val="0"/>
              <w:adjustRightInd w:val="0"/>
              <w:rPr>
                <w:rFonts w:ascii="宋体" w:hAnsi="宋体" w:eastAsia="宋体" w:cs="宋体"/>
                <w:b/>
                <w:bCs/>
                <w:color w:val="auto"/>
                <w:sz w:val="24"/>
                <w:szCs w:val="24"/>
                <w:highlight w:val="none"/>
                <w:lang w:val="zh-CN"/>
              </w:rPr>
            </w:pPr>
          </w:p>
        </w:tc>
      </w:tr>
      <w:tr w14:paraId="27C8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44" w:type="dxa"/>
            <w:tcBorders>
              <w:top w:val="single" w:color="auto" w:sz="4" w:space="0"/>
              <w:left w:val="single" w:color="auto" w:sz="4" w:space="0"/>
              <w:bottom w:val="single" w:color="auto" w:sz="4" w:space="0"/>
              <w:right w:val="single" w:color="auto" w:sz="4" w:space="0"/>
            </w:tcBorders>
            <w:noWrap w:val="0"/>
            <w:vAlign w:val="center"/>
          </w:tcPr>
          <w:p w14:paraId="289BD5A2">
            <w:pPr>
              <w:autoSpaceDE w:val="0"/>
              <w:autoSpaceDN w:val="0"/>
              <w:adjustRightInd w:val="0"/>
              <w:jc w:val="center"/>
              <w:rPr>
                <w:rFonts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rPr>
              <w:t>保 修 期 限</w:t>
            </w:r>
          </w:p>
        </w:tc>
        <w:tc>
          <w:tcPr>
            <w:tcW w:w="6035" w:type="dxa"/>
            <w:tcBorders>
              <w:top w:val="single" w:color="auto" w:sz="4" w:space="0"/>
              <w:left w:val="single" w:color="auto" w:sz="4" w:space="0"/>
              <w:bottom w:val="single" w:color="auto" w:sz="4" w:space="0"/>
              <w:right w:val="single" w:color="auto" w:sz="4" w:space="0"/>
            </w:tcBorders>
            <w:noWrap w:val="0"/>
            <w:vAlign w:val="top"/>
          </w:tcPr>
          <w:p w14:paraId="40FF52EB">
            <w:pPr>
              <w:autoSpaceDE w:val="0"/>
              <w:autoSpaceDN w:val="0"/>
              <w:adjustRightInd w:val="0"/>
              <w:rPr>
                <w:rFonts w:ascii="宋体" w:hAnsi="宋体" w:eastAsia="宋体" w:cs="宋体"/>
                <w:b/>
                <w:bCs/>
                <w:color w:val="auto"/>
                <w:sz w:val="24"/>
                <w:szCs w:val="24"/>
                <w:highlight w:val="none"/>
                <w:lang w:val="zh-CN"/>
              </w:rPr>
            </w:pPr>
          </w:p>
        </w:tc>
      </w:tr>
    </w:tbl>
    <w:p w14:paraId="593CBD88">
      <w:pPr>
        <w:autoSpaceDE w:val="0"/>
        <w:autoSpaceDN w:val="0"/>
        <w:adjustRightInd w:val="0"/>
        <w:rPr>
          <w:rFonts w:ascii="宋体" w:hAnsi="宋体" w:eastAsia="宋体" w:cs="宋体"/>
          <w:color w:val="auto"/>
          <w:szCs w:val="21"/>
          <w:highlight w:val="none"/>
          <w:lang w:val="zh-CN"/>
        </w:rPr>
      </w:pPr>
    </w:p>
    <w:p w14:paraId="18F9E9F7">
      <w:pPr>
        <w:autoSpaceDE w:val="0"/>
        <w:autoSpaceDN w:val="0"/>
        <w:adjustRightInd w:val="0"/>
        <w:rPr>
          <w:rFonts w:hint="eastAsia" w:ascii="宋体" w:hAnsi="宋体" w:eastAsia="宋体" w:cs="宋体"/>
          <w:color w:val="auto"/>
          <w:szCs w:val="21"/>
          <w:highlight w:val="none"/>
          <w:lang w:val="zh-CN"/>
        </w:rPr>
      </w:pPr>
    </w:p>
    <w:p w14:paraId="6D0C900B">
      <w:pPr>
        <w:autoSpaceDE w:val="0"/>
        <w:autoSpaceDN w:val="0"/>
        <w:adjustRightInd w:val="0"/>
        <w:ind w:firstLine="420" w:firstLineChars="200"/>
        <w:rPr>
          <w:rFonts w:ascii="宋体" w:hAnsi="宋体" w:eastAsia="宋体"/>
          <w:color w:val="auto"/>
          <w:highlight w:val="none"/>
        </w:rPr>
      </w:pPr>
      <w:r>
        <w:rPr>
          <w:rFonts w:hint="eastAsia" w:ascii="宋体" w:hAnsi="宋体" w:eastAsia="宋体" w:cs="宋体"/>
          <w:color w:val="auto"/>
          <w:szCs w:val="21"/>
          <w:highlight w:val="none"/>
          <w:lang w:val="zh-CN"/>
        </w:rPr>
        <w:t>注：本投标书由投标文件管理软件生成，投标人可直接在上面填写相关内容。</w:t>
      </w:r>
    </w:p>
    <w:p w14:paraId="0CA0D751">
      <w:pPr>
        <w:rPr>
          <w:rFonts w:hint="eastAsia" w:ascii="宋体" w:hAnsi="宋体" w:eastAsia="宋体"/>
          <w:b/>
          <w:color w:val="auto"/>
          <w:sz w:val="36"/>
          <w:szCs w:val="36"/>
          <w:highlight w:val="none"/>
        </w:rPr>
      </w:pPr>
    </w:p>
    <w:p w14:paraId="380E7DD0">
      <w:pPr>
        <w:rPr>
          <w:rFonts w:hint="eastAsia" w:ascii="宋体" w:hAnsi="宋体" w:eastAsia="宋体"/>
          <w:b/>
          <w:color w:val="auto"/>
          <w:sz w:val="36"/>
          <w:szCs w:val="36"/>
          <w:highlight w:val="none"/>
        </w:rPr>
      </w:pPr>
    </w:p>
    <w:p w14:paraId="062727A6">
      <w:pPr>
        <w:rPr>
          <w:rFonts w:hint="eastAsia" w:ascii="宋体" w:hAnsi="宋体" w:eastAsia="宋体"/>
          <w:b/>
          <w:color w:val="auto"/>
          <w:sz w:val="36"/>
          <w:szCs w:val="36"/>
          <w:highlight w:val="none"/>
        </w:rPr>
      </w:pPr>
    </w:p>
    <w:p w14:paraId="0B4C8D0D">
      <w:pPr>
        <w:rPr>
          <w:rFonts w:hint="eastAsia" w:ascii="宋体" w:hAnsi="宋体" w:eastAsia="宋体"/>
          <w:b/>
          <w:color w:val="auto"/>
          <w:sz w:val="36"/>
          <w:szCs w:val="36"/>
          <w:highlight w:val="none"/>
        </w:rPr>
      </w:pPr>
    </w:p>
    <w:p w14:paraId="1A8DC5BC">
      <w:pPr>
        <w:rPr>
          <w:rFonts w:hint="eastAsia" w:ascii="宋体" w:hAnsi="宋体" w:eastAsia="宋体"/>
          <w:b/>
          <w:color w:val="auto"/>
          <w:sz w:val="36"/>
          <w:szCs w:val="36"/>
          <w:highlight w:val="none"/>
        </w:rPr>
      </w:pPr>
    </w:p>
    <w:p w14:paraId="0D379065">
      <w:pPr>
        <w:rPr>
          <w:rFonts w:hint="eastAsia" w:ascii="宋体" w:hAnsi="宋体" w:eastAsia="宋体"/>
          <w:b/>
          <w:color w:val="auto"/>
          <w:sz w:val="36"/>
          <w:szCs w:val="36"/>
          <w:highlight w:val="none"/>
        </w:rPr>
      </w:pPr>
    </w:p>
    <w:p w14:paraId="076EF202">
      <w:pPr>
        <w:rPr>
          <w:rFonts w:hint="eastAsia" w:ascii="宋体" w:hAnsi="宋体" w:eastAsia="宋体"/>
          <w:b/>
          <w:color w:val="auto"/>
          <w:sz w:val="36"/>
          <w:szCs w:val="36"/>
          <w:highlight w:val="none"/>
        </w:rPr>
      </w:pPr>
    </w:p>
    <w:p w14:paraId="6AF05590">
      <w:pPr>
        <w:rPr>
          <w:rFonts w:hint="eastAsia" w:ascii="宋体" w:hAnsi="宋体" w:eastAsia="宋体"/>
          <w:b/>
          <w:color w:val="auto"/>
          <w:sz w:val="36"/>
          <w:szCs w:val="36"/>
          <w:highlight w:val="none"/>
        </w:rPr>
      </w:pPr>
    </w:p>
    <w:p w14:paraId="3FC50268">
      <w:pPr>
        <w:rPr>
          <w:rFonts w:hint="eastAsia" w:ascii="宋体" w:hAnsi="宋体" w:eastAsia="宋体"/>
          <w:b/>
          <w:color w:val="auto"/>
          <w:sz w:val="36"/>
          <w:szCs w:val="36"/>
          <w:highlight w:val="none"/>
        </w:rPr>
      </w:pPr>
    </w:p>
    <w:p w14:paraId="07D82D57">
      <w:pPr>
        <w:jc w:val="both"/>
        <w:rPr>
          <w:rFonts w:hint="eastAsia" w:ascii="宋体" w:hAnsi="宋体" w:eastAsia="宋体"/>
          <w:b/>
          <w:color w:val="auto"/>
          <w:sz w:val="36"/>
          <w:szCs w:val="36"/>
          <w:highlight w:val="none"/>
        </w:rPr>
      </w:pPr>
    </w:p>
    <w:p w14:paraId="3112F701">
      <w:pPr>
        <w:jc w:val="center"/>
        <w:rPr>
          <w:rFonts w:ascii="宋体" w:hAnsi="宋体" w:eastAsia="宋体"/>
          <w:b/>
          <w:color w:val="auto"/>
          <w:sz w:val="36"/>
          <w:szCs w:val="36"/>
          <w:highlight w:val="none"/>
        </w:rPr>
      </w:pPr>
      <w:r>
        <w:rPr>
          <w:rFonts w:hint="eastAsia" w:ascii="宋体" w:hAnsi="宋体" w:eastAsia="宋体"/>
          <w:b/>
          <w:color w:val="auto"/>
          <w:sz w:val="36"/>
          <w:szCs w:val="36"/>
          <w:highlight w:val="none"/>
        </w:rPr>
        <w:t>响应招标文件所附</w:t>
      </w:r>
      <w:r>
        <w:rPr>
          <w:rFonts w:hint="eastAsia" w:ascii="宋体" w:hAnsi="宋体" w:eastAsia="宋体"/>
          <w:color w:val="auto"/>
          <w:sz w:val="36"/>
          <w:szCs w:val="36"/>
          <w:highlight w:val="none"/>
          <w:u w:val="single"/>
        </w:rPr>
        <w:t xml:space="preserve">      </w:t>
      </w:r>
      <w:r>
        <w:rPr>
          <w:rFonts w:hint="eastAsia" w:ascii="宋体" w:hAnsi="宋体" w:eastAsia="宋体"/>
          <w:b/>
          <w:color w:val="auto"/>
          <w:sz w:val="30"/>
          <w:szCs w:val="30"/>
          <w:highlight w:val="none"/>
          <w:u w:val="single"/>
        </w:rPr>
        <w:t xml:space="preserve"> </w:t>
      </w:r>
      <w:r>
        <w:rPr>
          <w:rFonts w:hint="eastAsia" w:ascii="宋体" w:hAnsi="宋体" w:eastAsia="宋体"/>
          <w:b/>
          <w:color w:val="auto"/>
          <w:sz w:val="36"/>
          <w:szCs w:val="36"/>
          <w:highlight w:val="none"/>
        </w:rPr>
        <w:t>承诺书</w:t>
      </w:r>
    </w:p>
    <w:p w14:paraId="7356AC06">
      <w:pPr>
        <w:spacing w:line="360" w:lineRule="auto"/>
        <w:rPr>
          <w:rFonts w:ascii="宋体" w:hAnsi="宋体" w:eastAsia="宋体"/>
          <w:color w:val="auto"/>
          <w:highlight w:val="none"/>
        </w:rPr>
      </w:pPr>
    </w:p>
    <w:p w14:paraId="7B697521">
      <w:pPr>
        <w:spacing w:line="360" w:lineRule="auto"/>
        <w:rPr>
          <w:rFonts w:ascii="宋体" w:hAnsi="宋体" w:eastAsia="宋体"/>
          <w:color w:val="auto"/>
          <w:highlight w:val="none"/>
        </w:rPr>
      </w:pPr>
    </w:p>
    <w:p w14:paraId="3B88312A">
      <w:pPr>
        <w:spacing w:line="360" w:lineRule="auto"/>
        <w:rPr>
          <w:rFonts w:ascii="宋体" w:hAnsi="宋体" w:eastAsia="宋体"/>
          <w:color w:val="auto"/>
          <w:sz w:val="24"/>
          <w:highlight w:val="none"/>
        </w:rPr>
      </w:pPr>
    </w:p>
    <w:p w14:paraId="54ACA13A">
      <w:pPr>
        <w:spacing w:line="480" w:lineRule="auto"/>
        <w:rPr>
          <w:rFonts w:ascii="宋体" w:hAnsi="宋体" w:eastAsia="宋体"/>
          <w:color w:val="auto"/>
          <w:sz w:val="24"/>
          <w:highlight w:val="none"/>
          <w:u w:val="single"/>
        </w:rPr>
      </w:pPr>
      <w:r>
        <w:rPr>
          <w:rFonts w:hint="eastAsia" w:ascii="宋体" w:hAnsi="宋体" w:eastAsia="宋体"/>
          <w:color w:val="auto"/>
          <w:sz w:val="24"/>
          <w:highlight w:val="none"/>
          <w:u w:val="single"/>
        </w:rPr>
        <w:t xml:space="preserve">          （招标人）</w:t>
      </w:r>
      <w:r>
        <w:rPr>
          <w:rFonts w:hint="eastAsia" w:ascii="宋体" w:hAnsi="宋体" w:eastAsia="宋体"/>
          <w:color w:val="auto"/>
          <w:sz w:val="24"/>
          <w:highlight w:val="none"/>
        </w:rPr>
        <w:t>：</w:t>
      </w:r>
    </w:p>
    <w:p w14:paraId="5B6CBAE9">
      <w:pPr>
        <w:spacing w:line="48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我方承诺，如中标承建</w:t>
      </w:r>
      <w:r>
        <w:rPr>
          <w:rFonts w:hint="eastAsia" w:ascii="宋体" w:hAnsi="宋体" w:eastAsia="宋体"/>
          <w:color w:val="auto"/>
          <w:sz w:val="24"/>
          <w:highlight w:val="none"/>
          <w:u w:val="single"/>
        </w:rPr>
        <w:t xml:space="preserve">         (项目名称)</w:t>
      </w:r>
      <w:r>
        <w:rPr>
          <w:rFonts w:hint="eastAsia" w:ascii="宋体" w:hAnsi="宋体" w:eastAsia="宋体"/>
          <w:color w:val="auto"/>
          <w:sz w:val="24"/>
          <w:highlight w:val="none"/>
        </w:rPr>
        <w:t>，将按招标文件所附的本工程</w:t>
      </w:r>
      <w:r>
        <w:rPr>
          <w:rFonts w:hint="eastAsia" w:ascii="宋体" w:hAnsi="宋体" w:eastAsia="宋体"/>
          <w:color w:val="auto"/>
          <w:sz w:val="24"/>
          <w:highlight w:val="none"/>
          <w:u w:val="single"/>
        </w:rPr>
        <w:t xml:space="preserve">（施工组织设计要点或施工方案）        </w:t>
      </w:r>
      <w:r>
        <w:rPr>
          <w:rFonts w:hint="eastAsia" w:ascii="宋体" w:hAnsi="宋体" w:eastAsia="宋体"/>
          <w:color w:val="auto"/>
          <w:sz w:val="24"/>
          <w:highlight w:val="none"/>
        </w:rPr>
        <w:t>进行响应的基础上自行组织施工。并承诺在中标后按招标文件所附的</w:t>
      </w:r>
      <w:r>
        <w:rPr>
          <w:rFonts w:hint="eastAsia" w:ascii="宋体" w:hAnsi="宋体" w:eastAsia="宋体"/>
          <w:color w:val="auto"/>
          <w:sz w:val="24"/>
          <w:highlight w:val="none"/>
          <w:u w:val="single"/>
        </w:rPr>
        <w:t xml:space="preserve">（施工组织设计要点或施工方案）        </w:t>
      </w:r>
      <w:r>
        <w:rPr>
          <w:rFonts w:hint="eastAsia" w:ascii="宋体" w:hAnsi="宋体" w:eastAsia="宋体"/>
          <w:color w:val="auto"/>
          <w:sz w:val="24"/>
          <w:highlight w:val="none"/>
        </w:rPr>
        <w:t>基础上编制详细的施工组织设计，并报经监理单位和建设单位审批后实施。</w:t>
      </w:r>
    </w:p>
    <w:p w14:paraId="0EDA69CA">
      <w:pPr>
        <w:spacing w:line="360" w:lineRule="auto"/>
        <w:rPr>
          <w:rFonts w:ascii="宋体" w:hAnsi="宋体" w:eastAsia="宋体"/>
          <w:color w:val="auto"/>
          <w:sz w:val="24"/>
          <w:highlight w:val="none"/>
        </w:rPr>
      </w:pPr>
    </w:p>
    <w:p w14:paraId="647C866C">
      <w:pPr>
        <w:spacing w:line="360" w:lineRule="auto"/>
        <w:rPr>
          <w:rFonts w:ascii="宋体" w:hAnsi="宋体" w:eastAsia="宋体"/>
          <w:color w:val="auto"/>
          <w:sz w:val="24"/>
          <w:highlight w:val="none"/>
        </w:rPr>
      </w:pPr>
    </w:p>
    <w:p w14:paraId="22A50A01">
      <w:pPr>
        <w:spacing w:line="360" w:lineRule="auto"/>
        <w:rPr>
          <w:rFonts w:ascii="宋体" w:hAnsi="宋体" w:eastAsia="宋体"/>
          <w:color w:val="auto"/>
          <w:sz w:val="24"/>
          <w:highlight w:val="none"/>
        </w:rPr>
      </w:pPr>
    </w:p>
    <w:p w14:paraId="12974041">
      <w:pPr>
        <w:spacing w:line="360" w:lineRule="auto"/>
        <w:rPr>
          <w:rFonts w:ascii="宋体" w:hAnsi="宋体" w:eastAsia="宋体"/>
          <w:color w:val="auto"/>
          <w:sz w:val="24"/>
          <w:highlight w:val="none"/>
        </w:rPr>
      </w:pPr>
    </w:p>
    <w:p w14:paraId="3431807C">
      <w:pPr>
        <w:spacing w:line="360" w:lineRule="auto"/>
        <w:rPr>
          <w:rFonts w:hint="eastAsia" w:ascii="宋体" w:hAnsi="宋体" w:eastAsia="宋体"/>
          <w:color w:val="auto"/>
          <w:sz w:val="24"/>
          <w:highlight w:val="none"/>
        </w:rPr>
      </w:pPr>
    </w:p>
    <w:p w14:paraId="28A4D61F">
      <w:pPr>
        <w:spacing w:line="360" w:lineRule="auto"/>
        <w:rPr>
          <w:rFonts w:ascii="宋体" w:hAnsi="宋体" w:eastAsia="宋体"/>
          <w:color w:val="auto"/>
          <w:sz w:val="24"/>
          <w:highlight w:val="none"/>
        </w:rPr>
      </w:pPr>
    </w:p>
    <w:p w14:paraId="4A13C8BA">
      <w:pPr>
        <w:spacing w:line="360" w:lineRule="auto"/>
        <w:ind w:firstLine="3480" w:firstLineChars="1450"/>
        <w:rPr>
          <w:rFonts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p>
    <w:p w14:paraId="226806F4">
      <w:pPr>
        <w:wordWrap w:val="0"/>
        <w:spacing w:line="360" w:lineRule="auto"/>
        <w:ind w:right="90"/>
        <w:jc w:val="center"/>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                           法定代表人或其委托代理人：</w:t>
      </w:r>
      <w:r>
        <w:rPr>
          <w:rFonts w:hint="eastAsia" w:ascii="宋体" w:hAnsi="宋体" w:eastAsia="宋体"/>
          <w:color w:val="auto"/>
          <w:sz w:val="24"/>
          <w:szCs w:val="24"/>
          <w:highlight w:val="none"/>
          <w:u w:val="single"/>
        </w:rPr>
        <w:t xml:space="preserve">                  </w:t>
      </w:r>
    </w:p>
    <w:p w14:paraId="359DADCE">
      <w:pPr>
        <w:spacing w:line="360" w:lineRule="auto"/>
        <w:ind w:firstLine="5880" w:firstLineChars="2450"/>
        <w:rPr>
          <w:rFonts w:ascii="宋体" w:hAnsi="宋体" w:eastAsia="宋体"/>
          <w:color w:val="auto"/>
          <w:sz w:val="24"/>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w:t>
      </w:r>
    </w:p>
    <w:p w14:paraId="74158BB8">
      <w:pPr>
        <w:tabs>
          <w:tab w:val="left" w:pos="720"/>
        </w:tabs>
        <w:snapToGrid w:val="0"/>
        <w:spacing w:line="360" w:lineRule="auto"/>
        <w:jc w:val="center"/>
        <w:rPr>
          <w:rFonts w:ascii="宋体" w:hAnsi="宋体" w:eastAsia="宋体"/>
          <w:b/>
          <w:color w:val="auto"/>
          <w:sz w:val="32"/>
          <w:szCs w:val="32"/>
          <w:highlight w:val="none"/>
        </w:rPr>
      </w:pPr>
    </w:p>
    <w:p w14:paraId="765D02ED">
      <w:pPr>
        <w:tabs>
          <w:tab w:val="left" w:pos="720"/>
        </w:tabs>
        <w:snapToGrid w:val="0"/>
        <w:spacing w:line="360" w:lineRule="auto"/>
        <w:jc w:val="center"/>
        <w:rPr>
          <w:rFonts w:ascii="宋体" w:hAnsi="宋体" w:eastAsia="宋体"/>
          <w:b/>
          <w:color w:val="auto"/>
          <w:sz w:val="32"/>
          <w:szCs w:val="32"/>
          <w:highlight w:val="none"/>
        </w:rPr>
      </w:pPr>
    </w:p>
    <w:p w14:paraId="07AF3C70">
      <w:pPr>
        <w:tabs>
          <w:tab w:val="left" w:pos="720"/>
        </w:tabs>
        <w:snapToGrid w:val="0"/>
        <w:spacing w:line="360" w:lineRule="auto"/>
        <w:jc w:val="center"/>
        <w:rPr>
          <w:rFonts w:ascii="宋体" w:hAnsi="宋体" w:eastAsia="宋体"/>
          <w:b/>
          <w:color w:val="auto"/>
          <w:sz w:val="32"/>
          <w:szCs w:val="32"/>
          <w:highlight w:val="none"/>
        </w:rPr>
      </w:pPr>
    </w:p>
    <w:p w14:paraId="30C5D959">
      <w:pPr>
        <w:tabs>
          <w:tab w:val="left" w:pos="720"/>
        </w:tabs>
        <w:snapToGrid w:val="0"/>
        <w:spacing w:line="360" w:lineRule="auto"/>
        <w:jc w:val="center"/>
        <w:rPr>
          <w:rFonts w:ascii="宋体" w:hAnsi="宋体" w:eastAsia="宋体"/>
          <w:b/>
          <w:color w:val="auto"/>
          <w:sz w:val="32"/>
          <w:szCs w:val="32"/>
          <w:highlight w:val="none"/>
        </w:rPr>
      </w:pPr>
    </w:p>
    <w:p w14:paraId="4BFC5838">
      <w:pPr>
        <w:tabs>
          <w:tab w:val="left" w:pos="720"/>
        </w:tabs>
        <w:snapToGrid w:val="0"/>
        <w:spacing w:line="360" w:lineRule="auto"/>
        <w:jc w:val="center"/>
        <w:rPr>
          <w:rFonts w:ascii="宋体" w:hAnsi="宋体" w:eastAsia="宋体"/>
          <w:b/>
          <w:color w:val="auto"/>
          <w:sz w:val="32"/>
          <w:szCs w:val="32"/>
          <w:highlight w:val="none"/>
        </w:rPr>
      </w:pPr>
    </w:p>
    <w:p w14:paraId="1BD05042">
      <w:pPr>
        <w:pStyle w:val="5"/>
        <w:spacing w:after="0" w:line="360" w:lineRule="auto"/>
        <w:ind w:firstLine="0"/>
        <w:jc w:val="center"/>
        <w:rPr>
          <w:rFonts w:hint="eastAsia" w:ascii="宋体" w:hAnsi="宋体" w:eastAsia="宋体"/>
          <w:b/>
          <w:color w:val="auto"/>
          <w:sz w:val="36"/>
          <w:szCs w:val="36"/>
          <w:highlight w:val="none"/>
        </w:rPr>
      </w:pPr>
    </w:p>
    <w:p w14:paraId="5CEBAB18">
      <w:pPr>
        <w:pStyle w:val="5"/>
        <w:spacing w:after="0" w:line="360" w:lineRule="auto"/>
        <w:ind w:firstLine="0"/>
        <w:jc w:val="center"/>
        <w:rPr>
          <w:rFonts w:hint="eastAsia" w:ascii="宋体" w:hAnsi="宋体" w:eastAsia="宋体"/>
          <w:b/>
          <w:color w:val="auto"/>
          <w:sz w:val="36"/>
          <w:szCs w:val="36"/>
          <w:highlight w:val="none"/>
        </w:rPr>
      </w:pPr>
    </w:p>
    <w:p w14:paraId="69CA8E16">
      <w:pPr>
        <w:pStyle w:val="5"/>
        <w:spacing w:after="0" w:line="360" w:lineRule="auto"/>
        <w:ind w:firstLine="0"/>
        <w:jc w:val="center"/>
        <w:rPr>
          <w:rFonts w:hint="eastAsia" w:ascii="宋体" w:hAnsi="宋体" w:eastAsia="宋体"/>
          <w:b/>
          <w:color w:val="auto"/>
          <w:sz w:val="36"/>
          <w:szCs w:val="36"/>
          <w:highlight w:val="none"/>
        </w:rPr>
      </w:pPr>
      <w:r>
        <w:rPr>
          <w:rFonts w:hint="eastAsia" w:ascii="宋体" w:hAnsi="宋体" w:eastAsia="宋体"/>
          <w:b/>
          <w:color w:val="auto"/>
          <w:sz w:val="36"/>
          <w:szCs w:val="36"/>
          <w:highlight w:val="none"/>
        </w:rPr>
        <w:t>对投标文件编制的承诺</w:t>
      </w:r>
    </w:p>
    <w:p w14:paraId="4BF82300">
      <w:pPr>
        <w:pStyle w:val="5"/>
        <w:spacing w:after="0" w:line="360" w:lineRule="auto"/>
        <w:ind w:firstLine="0"/>
        <w:jc w:val="center"/>
        <w:rPr>
          <w:rFonts w:hint="eastAsia" w:ascii="宋体" w:hAnsi="宋体" w:eastAsia="宋体"/>
          <w:color w:val="auto"/>
          <w:sz w:val="36"/>
          <w:szCs w:val="36"/>
          <w:highlight w:val="none"/>
        </w:rPr>
      </w:pPr>
    </w:p>
    <w:p w14:paraId="513954D4">
      <w:pPr>
        <w:pStyle w:val="5"/>
        <w:spacing w:after="0" w:line="360" w:lineRule="auto"/>
        <w:ind w:left="-2" w:leftChars="-1" w:firstLine="540" w:firstLineChars="2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本公司授权</w:t>
      </w:r>
      <w:r>
        <w:rPr>
          <w:rFonts w:hint="eastAsia" w:ascii="宋体" w:hAnsi="宋体" w:eastAsia="宋体"/>
          <w:color w:val="auto"/>
          <w:sz w:val="24"/>
          <w:szCs w:val="24"/>
          <w:highlight w:val="none"/>
          <w:u w:val="single"/>
        </w:rPr>
        <w:t xml:space="preserve">         （身份证号：               ）</w:t>
      </w:r>
      <w:r>
        <w:rPr>
          <w:rFonts w:hint="eastAsia" w:ascii="宋体" w:hAnsi="宋体" w:eastAsia="宋体"/>
          <w:color w:val="auto"/>
          <w:sz w:val="24"/>
          <w:szCs w:val="24"/>
          <w:highlight w:val="none"/>
        </w:rPr>
        <w:t>负责对投标文件的编制及内容进行解释、说明，并承诺以下事项：</w:t>
      </w:r>
    </w:p>
    <w:p w14:paraId="0F764529">
      <w:pPr>
        <w:pStyle w:val="5"/>
        <w:spacing w:after="0" w:line="360" w:lineRule="auto"/>
        <w:ind w:left="-2" w:leftChars="-1" w:firstLine="540" w:firstLineChars="2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1.被授权人清楚投标文件编制的具体情况，包括技术方案文件、工程量清单、以及投标文件的加密打包的理解；</w:t>
      </w:r>
    </w:p>
    <w:p w14:paraId="04B14F45">
      <w:pPr>
        <w:pStyle w:val="5"/>
        <w:spacing w:after="0" w:line="360" w:lineRule="auto"/>
        <w:ind w:left="-2" w:leftChars="-1" w:firstLine="540" w:firstLineChars="2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2.在本项目开标至评标结束前，努力确保被授权人在项目评标所在地附近；</w:t>
      </w:r>
    </w:p>
    <w:p w14:paraId="2DBFFA97">
      <w:pPr>
        <w:pStyle w:val="5"/>
        <w:spacing w:after="0" w:line="360" w:lineRule="auto"/>
        <w:ind w:left="-2" w:leftChars="-1" w:firstLine="540" w:firstLineChars="2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3.从评标委员会要求澄清起2小时内，被授权人应如实地书面澄清。</w:t>
      </w:r>
    </w:p>
    <w:p w14:paraId="1DF61AE0">
      <w:pPr>
        <w:pStyle w:val="5"/>
        <w:spacing w:after="0" w:line="360" w:lineRule="auto"/>
        <w:ind w:left="-2" w:leftChars="-1" w:firstLine="540" w:firstLineChars="2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如由于上述情形之一无法进行澄清的，我公司默认评标委员会作出的评审结论。</w:t>
      </w:r>
    </w:p>
    <w:p w14:paraId="499C2BA7">
      <w:pPr>
        <w:pStyle w:val="5"/>
        <w:spacing w:after="0" w:line="360" w:lineRule="auto"/>
        <w:ind w:firstLine="360" w:firstLineChars="15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p>
    <w:p w14:paraId="28FF3641">
      <w:pPr>
        <w:pStyle w:val="5"/>
        <w:spacing w:after="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附件：1.《投标文件编制人员名单》</w:t>
      </w:r>
    </w:p>
    <w:p w14:paraId="63617D65">
      <w:pPr>
        <w:pStyle w:val="5"/>
        <w:spacing w:after="0" w:line="360" w:lineRule="auto"/>
        <w:ind w:firstLine="1200" w:firstLineChars="5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2.《投标文件编制情况》</w:t>
      </w:r>
    </w:p>
    <w:p w14:paraId="1A93B80A">
      <w:pPr>
        <w:pStyle w:val="5"/>
        <w:spacing w:after="0" w:line="360" w:lineRule="auto"/>
        <w:ind w:firstLine="1200" w:firstLineChars="500"/>
        <w:rPr>
          <w:rFonts w:hint="eastAsia" w:ascii="宋体" w:hAnsi="宋体" w:eastAsia="宋体"/>
          <w:color w:val="auto"/>
          <w:sz w:val="24"/>
          <w:szCs w:val="24"/>
          <w:highlight w:val="none"/>
        </w:rPr>
      </w:pPr>
    </w:p>
    <w:p w14:paraId="0D483F5C">
      <w:pPr>
        <w:wordWrap w:val="0"/>
        <w:spacing w:line="360" w:lineRule="auto"/>
        <w:ind w:right="90" w:firstLine="3840" w:firstLineChars="16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投标人（盖章）：</w:t>
      </w:r>
      <w:r>
        <w:rPr>
          <w:rFonts w:hint="eastAsia" w:ascii="宋体" w:hAnsi="宋体" w:eastAsia="宋体"/>
          <w:color w:val="auto"/>
          <w:sz w:val="24"/>
          <w:szCs w:val="24"/>
          <w:highlight w:val="none"/>
          <w:u w:val="single"/>
        </w:rPr>
        <w:t xml:space="preserve">                            </w:t>
      </w:r>
    </w:p>
    <w:p w14:paraId="4C34F943">
      <w:pPr>
        <w:wordWrap w:val="0"/>
        <w:spacing w:line="360" w:lineRule="auto"/>
        <w:ind w:right="90"/>
        <w:jc w:val="righ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 法定代表人或其委托代理人：</w:t>
      </w:r>
      <w:r>
        <w:rPr>
          <w:rFonts w:hint="eastAsia" w:ascii="宋体" w:hAnsi="宋体" w:eastAsia="宋体"/>
          <w:color w:val="auto"/>
          <w:sz w:val="24"/>
          <w:szCs w:val="24"/>
          <w:highlight w:val="none"/>
          <w:u w:val="single"/>
        </w:rPr>
        <w:t xml:space="preserve">                  </w:t>
      </w:r>
    </w:p>
    <w:p w14:paraId="070F5DB3">
      <w:pPr>
        <w:spacing w:line="360" w:lineRule="auto"/>
        <w:ind w:right="90" w:firstLine="3330"/>
        <w:jc w:val="righ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日期：</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w:t>
      </w:r>
    </w:p>
    <w:p w14:paraId="42317396">
      <w:pPr>
        <w:pStyle w:val="5"/>
        <w:spacing w:after="0" w:line="360" w:lineRule="auto"/>
        <w:ind w:firstLine="723"/>
        <w:jc w:val="center"/>
        <w:rPr>
          <w:rFonts w:hint="eastAsia" w:ascii="宋体" w:hAnsi="宋体" w:eastAsia="宋体"/>
          <w:b/>
          <w:color w:val="auto"/>
          <w:sz w:val="36"/>
          <w:szCs w:val="36"/>
          <w:highlight w:val="none"/>
        </w:rPr>
      </w:pPr>
    </w:p>
    <w:p w14:paraId="33EB63EB">
      <w:pPr>
        <w:pStyle w:val="5"/>
        <w:spacing w:after="0" w:line="360" w:lineRule="auto"/>
        <w:ind w:firstLine="723"/>
        <w:jc w:val="center"/>
        <w:rPr>
          <w:rFonts w:hint="eastAsia" w:ascii="宋体" w:hAnsi="宋体" w:eastAsia="宋体"/>
          <w:b/>
          <w:color w:val="auto"/>
          <w:sz w:val="36"/>
          <w:szCs w:val="36"/>
          <w:highlight w:val="none"/>
        </w:rPr>
      </w:pPr>
    </w:p>
    <w:p w14:paraId="41E27773">
      <w:pPr>
        <w:pStyle w:val="5"/>
        <w:spacing w:after="0" w:line="360" w:lineRule="auto"/>
        <w:ind w:firstLine="723"/>
        <w:jc w:val="center"/>
        <w:rPr>
          <w:rFonts w:hint="eastAsia" w:ascii="宋体" w:hAnsi="宋体" w:eastAsia="宋体"/>
          <w:b/>
          <w:color w:val="auto"/>
          <w:sz w:val="36"/>
          <w:szCs w:val="36"/>
          <w:highlight w:val="none"/>
        </w:rPr>
      </w:pPr>
    </w:p>
    <w:p w14:paraId="7CFD8A70">
      <w:pPr>
        <w:pStyle w:val="5"/>
        <w:spacing w:after="0" w:line="360" w:lineRule="auto"/>
        <w:ind w:firstLine="723"/>
        <w:jc w:val="center"/>
        <w:rPr>
          <w:rFonts w:hint="eastAsia" w:ascii="宋体" w:hAnsi="宋体" w:eastAsia="宋体"/>
          <w:b/>
          <w:color w:val="auto"/>
          <w:sz w:val="36"/>
          <w:szCs w:val="36"/>
          <w:highlight w:val="none"/>
        </w:rPr>
      </w:pPr>
    </w:p>
    <w:p w14:paraId="322FA2EA">
      <w:pPr>
        <w:pStyle w:val="5"/>
        <w:spacing w:after="0" w:line="360" w:lineRule="auto"/>
        <w:ind w:firstLine="723"/>
        <w:jc w:val="center"/>
        <w:rPr>
          <w:rFonts w:hint="eastAsia" w:ascii="宋体" w:hAnsi="宋体" w:eastAsia="宋体"/>
          <w:b/>
          <w:color w:val="auto"/>
          <w:sz w:val="36"/>
          <w:szCs w:val="36"/>
          <w:highlight w:val="none"/>
        </w:rPr>
      </w:pPr>
    </w:p>
    <w:p w14:paraId="4E9C8A91">
      <w:pPr>
        <w:pStyle w:val="5"/>
        <w:spacing w:after="0" w:line="360" w:lineRule="auto"/>
        <w:ind w:firstLine="723"/>
        <w:jc w:val="center"/>
        <w:rPr>
          <w:rFonts w:hint="eastAsia" w:ascii="宋体" w:hAnsi="宋体" w:eastAsia="宋体"/>
          <w:b/>
          <w:color w:val="auto"/>
          <w:sz w:val="36"/>
          <w:szCs w:val="36"/>
          <w:highlight w:val="none"/>
        </w:rPr>
      </w:pPr>
    </w:p>
    <w:p w14:paraId="54749823">
      <w:pPr>
        <w:pStyle w:val="5"/>
        <w:spacing w:after="0" w:line="360" w:lineRule="auto"/>
        <w:ind w:left="0" w:leftChars="0" w:firstLine="0" w:firstLineChars="0"/>
        <w:jc w:val="both"/>
        <w:rPr>
          <w:rFonts w:hint="eastAsia" w:ascii="宋体" w:hAnsi="宋体" w:eastAsia="宋体"/>
          <w:b/>
          <w:color w:val="auto"/>
          <w:sz w:val="36"/>
          <w:szCs w:val="36"/>
          <w:highlight w:val="none"/>
        </w:rPr>
      </w:pPr>
    </w:p>
    <w:p w14:paraId="7140EB85">
      <w:pPr>
        <w:pStyle w:val="5"/>
        <w:spacing w:after="0" w:line="360" w:lineRule="auto"/>
        <w:ind w:firstLine="360"/>
        <w:jc w:val="center"/>
        <w:rPr>
          <w:rFonts w:hint="eastAsia" w:ascii="宋体" w:hAnsi="宋体" w:eastAsia="宋体"/>
          <w:color w:val="auto"/>
          <w:sz w:val="24"/>
          <w:szCs w:val="24"/>
          <w:highlight w:val="none"/>
        </w:rPr>
      </w:pPr>
      <w:r>
        <w:rPr>
          <w:rFonts w:hint="eastAsia" w:ascii="宋体" w:hAnsi="宋体" w:eastAsia="宋体"/>
          <w:b/>
          <w:color w:val="auto"/>
          <w:sz w:val="36"/>
          <w:szCs w:val="36"/>
          <w:highlight w:val="none"/>
        </w:rPr>
        <w:t>投标文件编制人员名单</w:t>
      </w:r>
    </w:p>
    <w:tbl>
      <w:tblPr>
        <w:tblStyle w:val="29"/>
        <w:tblW w:w="9180" w:type="dxa"/>
        <w:tblInd w:w="0" w:type="dxa"/>
        <w:tblLayout w:type="fixed"/>
        <w:tblCellMar>
          <w:top w:w="0" w:type="dxa"/>
          <w:left w:w="108" w:type="dxa"/>
          <w:bottom w:w="0" w:type="dxa"/>
          <w:right w:w="108" w:type="dxa"/>
        </w:tblCellMar>
      </w:tblPr>
      <w:tblGrid>
        <w:gridCol w:w="1249"/>
        <w:gridCol w:w="1453"/>
        <w:gridCol w:w="2486"/>
        <w:gridCol w:w="2383"/>
        <w:gridCol w:w="1609"/>
      </w:tblGrid>
      <w:tr w14:paraId="326B1B79">
        <w:tblPrEx>
          <w:tblCellMar>
            <w:top w:w="0" w:type="dxa"/>
            <w:left w:w="108" w:type="dxa"/>
            <w:bottom w:w="0" w:type="dxa"/>
            <w:right w:w="108" w:type="dxa"/>
          </w:tblCellMar>
        </w:tblPrEx>
        <w:trPr>
          <w:trHeight w:val="318" w:hRule="atLeast"/>
        </w:trPr>
        <w:tc>
          <w:tcPr>
            <w:tcW w:w="9180" w:type="dxa"/>
            <w:gridSpan w:val="5"/>
            <w:tcBorders>
              <w:top w:val="single" w:color="auto" w:sz="4" w:space="0"/>
              <w:left w:val="single" w:color="auto" w:sz="4" w:space="0"/>
              <w:bottom w:val="single" w:color="auto" w:sz="4" w:space="0"/>
              <w:right w:val="single" w:color="auto" w:sz="4" w:space="0"/>
            </w:tcBorders>
            <w:noWrap w:val="0"/>
            <w:vAlign w:val="center"/>
          </w:tcPr>
          <w:p w14:paraId="46EC7078">
            <w:pPr>
              <w:tabs>
                <w:tab w:val="left" w:pos="720"/>
              </w:tabs>
              <w:snapToGrid w:val="0"/>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投标人名称：</w:t>
            </w:r>
          </w:p>
        </w:tc>
      </w:tr>
      <w:tr w14:paraId="3EE1D7D7">
        <w:tblPrEx>
          <w:tblCellMar>
            <w:top w:w="0" w:type="dxa"/>
            <w:left w:w="108" w:type="dxa"/>
            <w:bottom w:w="0" w:type="dxa"/>
            <w:right w:w="108" w:type="dxa"/>
          </w:tblCellMar>
        </w:tblPrEx>
        <w:trPr>
          <w:trHeight w:val="212" w:hRule="atLeast"/>
        </w:trPr>
        <w:tc>
          <w:tcPr>
            <w:tcW w:w="1249" w:type="dxa"/>
            <w:tcBorders>
              <w:top w:val="single" w:color="auto" w:sz="4" w:space="0"/>
              <w:left w:val="single" w:color="auto" w:sz="4" w:space="0"/>
              <w:bottom w:val="single" w:color="auto" w:sz="4" w:space="0"/>
              <w:right w:val="single" w:color="auto" w:sz="4" w:space="0"/>
            </w:tcBorders>
            <w:noWrap w:val="0"/>
            <w:vAlign w:val="center"/>
          </w:tcPr>
          <w:p w14:paraId="247A532E">
            <w:pPr>
              <w:tabs>
                <w:tab w:val="left" w:pos="720"/>
              </w:tabs>
              <w:snapToGrid w:val="0"/>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姓名</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1E1C6FC7">
            <w:pPr>
              <w:tabs>
                <w:tab w:val="left" w:pos="720"/>
              </w:tabs>
              <w:snapToGrid w:val="0"/>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职务</w:t>
            </w:r>
          </w:p>
        </w:tc>
        <w:tc>
          <w:tcPr>
            <w:tcW w:w="2486" w:type="dxa"/>
            <w:tcBorders>
              <w:top w:val="single" w:color="auto" w:sz="4" w:space="0"/>
              <w:left w:val="single" w:color="auto" w:sz="4" w:space="0"/>
              <w:bottom w:val="single" w:color="auto" w:sz="4" w:space="0"/>
              <w:right w:val="single" w:color="auto" w:sz="4" w:space="0"/>
            </w:tcBorders>
            <w:noWrap w:val="0"/>
            <w:vAlign w:val="center"/>
          </w:tcPr>
          <w:p w14:paraId="1C366F30">
            <w:pPr>
              <w:tabs>
                <w:tab w:val="left" w:pos="720"/>
              </w:tabs>
              <w:snapToGrid w:val="0"/>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所承担工作</w:t>
            </w:r>
          </w:p>
        </w:tc>
        <w:tc>
          <w:tcPr>
            <w:tcW w:w="2383" w:type="dxa"/>
            <w:tcBorders>
              <w:top w:val="single" w:color="auto" w:sz="4" w:space="0"/>
              <w:left w:val="single" w:color="auto" w:sz="4" w:space="0"/>
              <w:bottom w:val="single" w:color="auto" w:sz="4" w:space="0"/>
              <w:right w:val="single" w:color="auto" w:sz="4" w:space="0"/>
            </w:tcBorders>
            <w:noWrap w:val="0"/>
            <w:vAlign w:val="center"/>
          </w:tcPr>
          <w:p w14:paraId="4D89644E">
            <w:pPr>
              <w:tabs>
                <w:tab w:val="left" w:pos="720"/>
              </w:tabs>
              <w:snapToGrid w:val="0"/>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身份证号码</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38A830F7">
            <w:pPr>
              <w:tabs>
                <w:tab w:val="left" w:pos="720"/>
              </w:tabs>
              <w:snapToGrid w:val="0"/>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本人签名栏</w:t>
            </w:r>
          </w:p>
        </w:tc>
      </w:tr>
      <w:tr w14:paraId="7C01EC15">
        <w:tblPrEx>
          <w:tblCellMar>
            <w:top w:w="0" w:type="dxa"/>
            <w:left w:w="108" w:type="dxa"/>
            <w:bottom w:w="0" w:type="dxa"/>
            <w:right w:w="108" w:type="dxa"/>
          </w:tblCellMar>
        </w:tblPrEx>
        <w:trPr>
          <w:trHeight w:val="58" w:hRule="atLeast"/>
        </w:trPr>
        <w:tc>
          <w:tcPr>
            <w:tcW w:w="1249" w:type="dxa"/>
            <w:tcBorders>
              <w:top w:val="single" w:color="auto" w:sz="4" w:space="0"/>
              <w:left w:val="single" w:color="auto" w:sz="4" w:space="0"/>
              <w:bottom w:val="single" w:color="auto" w:sz="4" w:space="0"/>
              <w:right w:val="single" w:color="auto" w:sz="4" w:space="0"/>
            </w:tcBorders>
            <w:noWrap w:val="0"/>
            <w:vAlign w:val="center"/>
          </w:tcPr>
          <w:p w14:paraId="4E0494EE">
            <w:pPr>
              <w:tabs>
                <w:tab w:val="left" w:pos="720"/>
              </w:tabs>
              <w:snapToGrid w:val="0"/>
              <w:spacing w:line="360" w:lineRule="auto"/>
              <w:jc w:val="center"/>
              <w:rPr>
                <w:rFonts w:ascii="宋体" w:hAnsi="宋体" w:eastAsia="宋体"/>
                <w:color w:val="auto"/>
                <w:sz w:val="24"/>
                <w:szCs w:val="24"/>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18815965">
            <w:pPr>
              <w:tabs>
                <w:tab w:val="left" w:pos="720"/>
              </w:tabs>
              <w:snapToGrid w:val="0"/>
              <w:spacing w:line="360" w:lineRule="auto"/>
              <w:jc w:val="center"/>
              <w:rPr>
                <w:rFonts w:ascii="宋体" w:hAnsi="宋体" w:eastAsia="宋体"/>
                <w:color w:val="auto"/>
                <w:sz w:val="24"/>
                <w:szCs w:val="24"/>
                <w:highlight w:val="none"/>
              </w:rPr>
            </w:pPr>
          </w:p>
        </w:tc>
        <w:tc>
          <w:tcPr>
            <w:tcW w:w="2486" w:type="dxa"/>
            <w:tcBorders>
              <w:top w:val="single" w:color="auto" w:sz="4" w:space="0"/>
              <w:left w:val="single" w:color="auto" w:sz="4" w:space="0"/>
              <w:bottom w:val="single" w:color="auto" w:sz="4" w:space="0"/>
              <w:right w:val="single" w:color="auto" w:sz="4" w:space="0"/>
            </w:tcBorders>
            <w:noWrap w:val="0"/>
            <w:vAlign w:val="center"/>
          </w:tcPr>
          <w:p w14:paraId="23D14A7E">
            <w:pPr>
              <w:tabs>
                <w:tab w:val="left" w:pos="720"/>
              </w:tabs>
              <w:snapToGrid w:val="0"/>
              <w:spacing w:line="360" w:lineRule="auto"/>
              <w:jc w:val="center"/>
              <w:rPr>
                <w:rFonts w:ascii="宋体" w:hAnsi="宋体" w:eastAsia="宋体"/>
                <w:color w:val="auto"/>
                <w:sz w:val="24"/>
                <w:szCs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14:paraId="7E7CAC45">
            <w:pPr>
              <w:tabs>
                <w:tab w:val="left" w:pos="720"/>
              </w:tabs>
              <w:snapToGrid w:val="0"/>
              <w:spacing w:line="360" w:lineRule="auto"/>
              <w:jc w:val="center"/>
              <w:rPr>
                <w:rFonts w:ascii="宋体" w:hAnsi="宋体" w:eastAsia="宋体"/>
                <w:color w:val="auto"/>
                <w:sz w:val="24"/>
                <w:szCs w:val="24"/>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34F1CFDE">
            <w:pPr>
              <w:tabs>
                <w:tab w:val="left" w:pos="720"/>
              </w:tabs>
              <w:snapToGrid w:val="0"/>
              <w:spacing w:line="360" w:lineRule="auto"/>
              <w:jc w:val="center"/>
              <w:rPr>
                <w:rFonts w:ascii="宋体" w:hAnsi="宋体" w:eastAsia="宋体"/>
                <w:color w:val="auto"/>
                <w:sz w:val="24"/>
                <w:szCs w:val="24"/>
                <w:highlight w:val="none"/>
              </w:rPr>
            </w:pPr>
          </w:p>
        </w:tc>
      </w:tr>
      <w:tr w14:paraId="6FC5A8D3">
        <w:tblPrEx>
          <w:tblCellMar>
            <w:top w:w="0" w:type="dxa"/>
            <w:left w:w="108" w:type="dxa"/>
            <w:bottom w:w="0" w:type="dxa"/>
            <w:right w:w="108" w:type="dxa"/>
          </w:tblCellMar>
        </w:tblPrEx>
        <w:trPr>
          <w:trHeight w:val="162" w:hRule="atLeast"/>
        </w:trPr>
        <w:tc>
          <w:tcPr>
            <w:tcW w:w="1249" w:type="dxa"/>
            <w:tcBorders>
              <w:top w:val="single" w:color="auto" w:sz="4" w:space="0"/>
              <w:left w:val="single" w:color="auto" w:sz="4" w:space="0"/>
              <w:bottom w:val="single" w:color="auto" w:sz="4" w:space="0"/>
              <w:right w:val="single" w:color="auto" w:sz="4" w:space="0"/>
            </w:tcBorders>
            <w:noWrap w:val="0"/>
            <w:vAlign w:val="center"/>
          </w:tcPr>
          <w:p w14:paraId="48BADC2D">
            <w:pPr>
              <w:tabs>
                <w:tab w:val="left" w:pos="720"/>
              </w:tabs>
              <w:snapToGrid w:val="0"/>
              <w:spacing w:line="360" w:lineRule="auto"/>
              <w:jc w:val="center"/>
              <w:rPr>
                <w:rFonts w:ascii="宋体" w:hAnsi="宋体" w:eastAsia="宋体"/>
                <w:color w:val="auto"/>
                <w:sz w:val="24"/>
                <w:szCs w:val="24"/>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12580D41">
            <w:pPr>
              <w:tabs>
                <w:tab w:val="left" w:pos="720"/>
              </w:tabs>
              <w:snapToGrid w:val="0"/>
              <w:spacing w:line="360" w:lineRule="auto"/>
              <w:jc w:val="center"/>
              <w:rPr>
                <w:rFonts w:ascii="宋体" w:hAnsi="宋体" w:eastAsia="宋体"/>
                <w:color w:val="auto"/>
                <w:sz w:val="24"/>
                <w:szCs w:val="24"/>
                <w:highlight w:val="none"/>
              </w:rPr>
            </w:pPr>
          </w:p>
        </w:tc>
        <w:tc>
          <w:tcPr>
            <w:tcW w:w="2486" w:type="dxa"/>
            <w:tcBorders>
              <w:top w:val="single" w:color="auto" w:sz="4" w:space="0"/>
              <w:left w:val="single" w:color="auto" w:sz="4" w:space="0"/>
              <w:bottom w:val="single" w:color="auto" w:sz="4" w:space="0"/>
              <w:right w:val="single" w:color="auto" w:sz="4" w:space="0"/>
            </w:tcBorders>
            <w:noWrap w:val="0"/>
            <w:vAlign w:val="center"/>
          </w:tcPr>
          <w:p w14:paraId="5441DAC2">
            <w:pPr>
              <w:tabs>
                <w:tab w:val="left" w:pos="720"/>
              </w:tabs>
              <w:snapToGrid w:val="0"/>
              <w:spacing w:line="360" w:lineRule="auto"/>
              <w:jc w:val="center"/>
              <w:rPr>
                <w:rFonts w:ascii="宋体" w:hAnsi="宋体" w:eastAsia="宋体"/>
                <w:color w:val="auto"/>
                <w:sz w:val="24"/>
                <w:szCs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14:paraId="324B1D7F">
            <w:pPr>
              <w:tabs>
                <w:tab w:val="left" w:pos="720"/>
              </w:tabs>
              <w:snapToGrid w:val="0"/>
              <w:spacing w:line="360" w:lineRule="auto"/>
              <w:jc w:val="center"/>
              <w:rPr>
                <w:rFonts w:ascii="宋体" w:hAnsi="宋体" w:eastAsia="宋体"/>
                <w:color w:val="auto"/>
                <w:sz w:val="24"/>
                <w:szCs w:val="24"/>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4E57B88A">
            <w:pPr>
              <w:tabs>
                <w:tab w:val="left" w:pos="720"/>
              </w:tabs>
              <w:snapToGrid w:val="0"/>
              <w:spacing w:line="360" w:lineRule="auto"/>
              <w:jc w:val="center"/>
              <w:rPr>
                <w:rFonts w:ascii="宋体" w:hAnsi="宋体" w:eastAsia="宋体"/>
                <w:color w:val="auto"/>
                <w:sz w:val="24"/>
                <w:szCs w:val="24"/>
                <w:highlight w:val="none"/>
              </w:rPr>
            </w:pPr>
          </w:p>
        </w:tc>
      </w:tr>
      <w:tr w14:paraId="1F98894E">
        <w:tblPrEx>
          <w:tblCellMar>
            <w:top w:w="0" w:type="dxa"/>
            <w:left w:w="108" w:type="dxa"/>
            <w:bottom w:w="0" w:type="dxa"/>
            <w:right w:w="108" w:type="dxa"/>
          </w:tblCellMar>
        </w:tblPrEx>
        <w:trPr>
          <w:trHeight w:val="123" w:hRule="atLeast"/>
        </w:trPr>
        <w:tc>
          <w:tcPr>
            <w:tcW w:w="1249" w:type="dxa"/>
            <w:tcBorders>
              <w:top w:val="single" w:color="auto" w:sz="4" w:space="0"/>
              <w:left w:val="single" w:color="auto" w:sz="4" w:space="0"/>
              <w:bottom w:val="single" w:color="auto" w:sz="4" w:space="0"/>
              <w:right w:val="single" w:color="auto" w:sz="4" w:space="0"/>
            </w:tcBorders>
            <w:noWrap w:val="0"/>
            <w:vAlign w:val="center"/>
          </w:tcPr>
          <w:p w14:paraId="2FE1FF3A">
            <w:pPr>
              <w:tabs>
                <w:tab w:val="left" w:pos="720"/>
              </w:tabs>
              <w:snapToGrid w:val="0"/>
              <w:spacing w:line="360" w:lineRule="auto"/>
              <w:jc w:val="center"/>
              <w:rPr>
                <w:rFonts w:ascii="宋体" w:hAnsi="宋体" w:eastAsia="宋体"/>
                <w:color w:val="auto"/>
                <w:sz w:val="24"/>
                <w:szCs w:val="24"/>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17341541">
            <w:pPr>
              <w:tabs>
                <w:tab w:val="left" w:pos="720"/>
              </w:tabs>
              <w:snapToGrid w:val="0"/>
              <w:spacing w:line="360" w:lineRule="auto"/>
              <w:jc w:val="center"/>
              <w:rPr>
                <w:rFonts w:ascii="宋体" w:hAnsi="宋体" w:eastAsia="宋体"/>
                <w:color w:val="auto"/>
                <w:sz w:val="24"/>
                <w:szCs w:val="24"/>
                <w:highlight w:val="none"/>
              </w:rPr>
            </w:pPr>
          </w:p>
        </w:tc>
        <w:tc>
          <w:tcPr>
            <w:tcW w:w="2486" w:type="dxa"/>
            <w:tcBorders>
              <w:top w:val="single" w:color="auto" w:sz="4" w:space="0"/>
              <w:left w:val="single" w:color="auto" w:sz="4" w:space="0"/>
              <w:bottom w:val="single" w:color="auto" w:sz="4" w:space="0"/>
              <w:right w:val="single" w:color="auto" w:sz="4" w:space="0"/>
            </w:tcBorders>
            <w:noWrap w:val="0"/>
            <w:vAlign w:val="center"/>
          </w:tcPr>
          <w:p w14:paraId="6948F35A">
            <w:pPr>
              <w:tabs>
                <w:tab w:val="left" w:pos="720"/>
              </w:tabs>
              <w:snapToGrid w:val="0"/>
              <w:spacing w:line="360" w:lineRule="auto"/>
              <w:jc w:val="center"/>
              <w:rPr>
                <w:rFonts w:ascii="宋体" w:hAnsi="宋体" w:eastAsia="宋体"/>
                <w:color w:val="auto"/>
                <w:sz w:val="24"/>
                <w:szCs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14:paraId="01F3308F">
            <w:pPr>
              <w:tabs>
                <w:tab w:val="left" w:pos="720"/>
              </w:tabs>
              <w:snapToGrid w:val="0"/>
              <w:spacing w:line="360" w:lineRule="auto"/>
              <w:jc w:val="center"/>
              <w:rPr>
                <w:rFonts w:ascii="宋体" w:hAnsi="宋体" w:eastAsia="宋体"/>
                <w:color w:val="auto"/>
                <w:sz w:val="24"/>
                <w:szCs w:val="24"/>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5D85AFE0">
            <w:pPr>
              <w:tabs>
                <w:tab w:val="left" w:pos="720"/>
              </w:tabs>
              <w:snapToGrid w:val="0"/>
              <w:spacing w:line="360" w:lineRule="auto"/>
              <w:jc w:val="center"/>
              <w:rPr>
                <w:rFonts w:ascii="宋体" w:hAnsi="宋体" w:eastAsia="宋体"/>
                <w:color w:val="auto"/>
                <w:sz w:val="24"/>
                <w:szCs w:val="24"/>
                <w:highlight w:val="none"/>
              </w:rPr>
            </w:pPr>
          </w:p>
        </w:tc>
      </w:tr>
    </w:tbl>
    <w:p w14:paraId="4FF2ECA2">
      <w:pPr>
        <w:tabs>
          <w:tab w:val="left" w:pos="720"/>
        </w:tabs>
        <w:snapToGrid w:val="0"/>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编制负责人：                          解释负责人：</w:t>
      </w:r>
    </w:p>
    <w:p w14:paraId="78272E16">
      <w:pPr>
        <w:pStyle w:val="5"/>
        <w:spacing w:after="0" w:line="360" w:lineRule="auto"/>
        <w:ind w:left="-2" w:leftChars="-1" w:firstLine="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eastAsia="宋体"/>
          <w:b/>
          <w:color w:val="auto"/>
          <w:sz w:val="24"/>
          <w:szCs w:val="24"/>
          <w:highlight w:val="none"/>
        </w:rPr>
        <w:t>1.</w:t>
      </w:r>
      <w:r>
        <w:rPr>
          <w:rFonts w:hint="eastAsia" w:ascii="宋体" w:hAnsi="宋体" w:eastAsia="宋体"/>
          <w:color w:val="auto"/>
          <w:sz w:val="24"/>
          <w:szCs w:val="24"/>
          <w:highlight w:val="none"/>
        </w:rPr>
        <w:t>参与编制标书所有人员名单应包括编制各种专业工程量清单投标报价、负责清样校对、负责加密打包、负责上传、负责密封、负责打印及复印等所有人员在内的人员名单。</w:t>
      </w:r>
    </w:p>
    <w:p w14:paraId="1FECE1CA">
      <w:pPr>
        <w:pStyle w:val="5"/>
        <w:spacing w:after="0" w:line="360" w:lineRule="auto"/>
        <w:ind w:firstLine="482" w:firstLineChars="200"/>
        <w:jc w:val="left"/>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 xml:space="preserve">2. </w:t>
      </w:r>
      <w:r>
        <w:rPr>
          <w:rFonts w:hint="eastAsia" w:ascii="宋体" w:hAnsi="宋体" w:eastAsia="宋体"/>
          <w:color w:val="auto"/>
          <w:sz w:val="24"/>
          <w:szCs w:val="24"/>
          <w:highlight w:val="none"/>
        </w:rPr>
        <w:t>上述人员可以兼任</w:t>
      </w:r>
      <w:r>
        <w:rPr>
          <w:rFonts w:hint="eastAsia" w:ascii="宋体" w:hAnsi="宋体" w:eastAsia="宋体"/>
          <w:b/>
          <w:color w:val="auto"/>
          <w:sz w:val="24"/>
          <w:szCs w:val="24"/>
          <w:highlight w:val="none"/>
        </w:rPr>
        <w:t>。</w:t>
      </w:r>
    </w:p>
    <w:p w14:paraId="3CE6BF60">
      <w:pPr>
        <w:pStyle w:val="5"/>
        <w:spacing w:after="0" w:line="360" w:lineRule="auto"/>
        <w:ind w:firstLine="0"/>
        <w:jc w:val="center"/>
        <w:rPr>
          <w:rFonts w:hint="eastAsia" w:ascii="宋体" w:hAnsi="宋体" w:eastAsia="宋体"/>
          <w:b/>
          <w:color w:val="auto"/>
          <w:sz w:val="36"/>
          <w:szCs w:val="36"/>
          <w:highlight w:val="none"/>
        </w:rPr>
      </w:pPr>
    </w:p>
    <w:p w14:paraId="741E9AD9">
      <w:pPr>
        <w:pStyle w:val="5"/>
        <w:spacing w:after="0" w:line="360" w:lineRule="auto"/>
        <w:ind w:firstLine="360"/>
        <w:jc w:val="center"/>
        <w:rPr>
          <w:rFonts w:hint="eastAsia" w:ascii="宋体" w:hAnsi="宋体" w:eastAsia="宋体"/>
          <w:color w:val="auto"/>
          <w:sz w:val="24"/>
          <w:szCs w:val="24"/>
          <w:highlight w:val="none"/>
        </w:rPr>
      </w:pPr>
      <w:r>
        <w:rPr>
          <w:rFonts w:hint="eastAsia" w:ascii="宋体" w:hAnsi="宋体" w:eastAsia="宋体"/>
          <w:b/>
          <w:color w:val="auto"/>
          <w:sz w:val="36"/>
          <w:szCs w:val="36"/>
          <w:highlight w:val="none"/>
        </w:rPr>
        <w:t>投标文件编制情况</w:t>
      </w:r>
    </w:p>
    <w:p w14:paraId="70620B35">
      <w:pPr>
        <w:pStyle w:val="5"/>
        <w:spacing w:after="0" w:line="360" w:lineRule="auto"/>
        <w:ind w:firstLine="480" w:firstLineChars="200"/>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1.投标文件报价编制方式: □自行编制的，编制的负责人：</w:t>
      </w:r>
      <w:r>
        <w:rPr>
          <w:rFonts w:hint="eastAsia" w:ascii="宋体" w:hAnsi="宋体" w:eastAsia="宋体"/>
          <w:color w:val="auto"/>
          <w:sz w:val="24"/>
          <w:szCs w:val="24"/>
          <w:highlight w:val="none"/>
          <w:u w:val="single"/>
        </w:rPr>
        <w:t xml:space="preserve"> （盖造价工程师执业专用章或全国建设工程造价员章，执业单位应与投标人一致） </w:t>
      </w:r>
      <w:r>
        <w:rPr>
          <w:rFonts w:hint="eastAsia" w:ascii="宋体" w:hAnsi="宋体" w:eastAsia="宋体"/>
          <w:color w:val="auto"/>
          <w:sz w:val="24"/>
          <w:szCs w:val="24"/>
          <w:highlight w:val="none"/>
        </w:rPr>
        <w:t>。□委托编制的，受委托单位</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，编制的负责人：</w:t>
      </w:r>
      <w:r>
        <w:rPr>
          <w:rFonts w:hint="eastAsia" w:ascii="宋体" w:hAnsi="宋体" w:eastAsia="宋体"/>
          <w:color w:val="auto"/>
          <w:sz w:val="24"/>
          <w:szCs w:val="24"/>
          <w:highlight w:val="none"/>
          <w:u w:val="single"/>
        </w:rPr>
        <w:t xml:space="preserve"> （盖造价工程师执业专用章或全国建设工程造价员章，执业单位应与受委托单位一致） </w:t>
      </w:r>
      <w:r>
        <w:rPr>
          <w:rFonts w:hint="eastAsia" w:ascii="宋体" w:hAnsi="宋体" w:eastAsia="宋体"/>
          <w:color w:val="auto"/>
          <w:sz w:val="24"/>
          <w:szCs w:val="24"/>
          <w:highlight w:val="none"/>
        </w:rPr>
        <w:t>。</w:t>
      </w:r>
    </w:p>
    <w:p w14:paraId="0C733D99">
      <w:pPr>
        <w:pStyle w:val="5"/>
        <w:spacing w:after="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2.投标报价（是□ / 否□）根据招标人提供的最高投标限价清单综合单价进行编制（招标人未提供最高投标限价清单综合单价的，直接勾选否）；</w:t>
      </w:r>
    </w:p>
    <w:p w14:paraId="0513509D">
      <w:pPr>
        <w:pStyle w:val="5"/>
        <w:spacing w:after="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3.投标报价的分部分项工程量清单综合单价沿用最高投标限价工程量清单综合单价比例</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%(最高投标限价分部分项工程量清单项目数的总数作分母，沿用最高投标限价分部分项工程量综合单价的项目数作分子)。</w:t>
      </w:r>
    </w:p>
    <w:p w14:paraId="32CDB14F">
      <w:pPr>
        <w:pStyle w:val="5"/>
        <w:spacing w:after="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4.投标文件加密打包的电脑情况</w:t>
      </w:r>
    </w:p>
    <w:tbl>
      <w:tblPr>
        <w:tblStyle w:val="29"/>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137"/>
        <w:gridCol w:w="2170"/>
        <w:gridCol w:w="2232"/>
      </w:tblGrid>
      <w:tr w14:paraId="3B206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noWrap w:val="0"/>
            <w:vAlign w:val="center"/>
          </w:tcPr>
          <w:p w14:paraId="62E6BD5F">
            <w:pPr>
              <w:pStyle w:val="5"/>
              <w:spacing w:after="0" w:line="360" w:lineRule="auto"/>
              <w:ind w:firstLine="0"/>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投标文件加密打包的电脑</w:t>
            </w:r>
          </w:p>
        </w:tc>
        <w:tc>
          <w:tcPr>
            <w:tcW w:w="2137" w:type="dxa"/>
            <w:noWrap w:val="0"/>
            <w:vAlign w:val="center"/>
          </w:tcPr>
          <w:p w14:paraId="6E485726">
            <w:pPr>
              <w:pStyle w:val="5"/>
              <w:spacing w:after="0" w:line="360" w:lineRule="auto"/>
              <w:ind w:firstLine="0"/>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自有    □</w:t>
            </w:r>
          </w:p>
        </w:tc>
        <w:tc>
          <w:tcPr>
            <w:tcW w:w="2170" w:type="dxa"/>
            <w:noWrap w:val="0"/>
            <w:vAlign w:val="center"/>
          </w:tcPr>
          <w:p w14:paraId="7F19B904">
            <w:pPr>
              <w:pStyle w:val="5"/>
              <w:spacing w:after="0" w:line="360" w:lineRule="auto"/>
              <w:ind w:firstLine="0"/>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外包    □</w:t>
            </w:r>
          </w:p>
        </w:tc>
        <w:tc>
          <w:tcPr>
            <w:tcW w:w="2232" w:type="dxa"/>
            <w:noWrap w:val="0"/>
            <w:vAlign w:val="center"/>
          </w:tcPr>
          <w:p w14:paraId="68CCC094">
            <w:pPr>
              <w:pStyle w:val="5"/>
              <w:spacing w:after="0" w:line="360" w:lineRule="auto"/>
              <w:ind w:firstLine="0"/>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其他    □</w:t>
            </w:r>
          </w:p>
        </w:tc>
      </w:tr>
      <w:tr w14:paraId="76B7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943" w:type="dxa"/>
            <w:noWrap w:val="0"/>
            <w:vAlign w:val="center"/>
          </w:tcPr>
          <w:p w14:paraId="316E444A">
            <w:pPr>
              <w:pStyle w:val="5"/>
              <w:spacing w:after="0" w:line="360" w:lineRule="auto"/>
              <w:ind w:firstLine="0"/>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电脑类型</w:t>
            </w:r>
          </w:p>
        </w:tc>
        <w:tc>
          <w:tcPr>
            <w:tcW w:w="6539" w:type="dxa"/>
            <w:gridSpan w:val="3"/>
            <w:noWrap w:val="0"/>
            <w:vAlign w:val="center"/>
          </w:tcPr>
          <w:p w14:paraId="509A03A0">
            <w:pPr>
              <w:pStyle w:val="5"/>
              <w:spacing w:after="0" w:line="360" w:lineRule="auto"/>
              <w:ind w:firstLine="0"/>
              <w:jc w:val="center"/>
              <w:rPr>
                <w:rFonts w:hint="eastAsia" w:ascii="宋体" w:hAnsi="宋体" w:eastAsia="宋体"/>
                <w:color w:val="auto"/>
                <w:sz w:val="24"/>
                <w:szCs w:val="24"/>
                <w:highlight w:val="none"/>
              </w:rPr>
            </w:pPr>
          </w:p>
        </w:tc>
      </w:tr>
      <w:tr w14:paraId="624F6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noWrap w:val="0"/>
            <w:vAlign w:val="center"/>
          </w:tcPr>
          <w:p w14:paraId="72B894D9">
            <w:pPr>
              <w:pStyle w:val="5"/>
              <w:spacing w:after="0" w:line="360" w:lineRule="auto"/>
              <w:ind w:firstLine="0"/>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电脑所属单位</w:t>
            </w:r>
          </w:p>
        </w:tc>
        <w:tc>
          <w:tcPr>
            <w:tcW w:w="6539" w:type="dxa"/>
            <w:gridSpan w:val="3"/>
            <w:noWrap w:val="0"/>
            <w:vAlign w:val="center"/>
          </w:tcPr>
          <w:p w14:paraId="28FA3C5C">
            <w:pPr>
              <w:pStyle w:val="5"/>
              <w:spacing w:after="0" w:line="360" w:lineRule="auto"/>
              <w:ind w:firstLine="0"/>
              <w:jc w:val="center"/>
              <w:rPr>
                <w:rFonts w:hint="eastAsia" w:ascii="宋体" w:hAnsi="宋体" w:eastAsia="宋体"/>
                <w:color w:val="auto"/>
                <w:sz w:val="24"/>
                <w:szCs w:val="24"/>
                <w:highlight w:val="none"/>
              </w:rPr>
            </w:pPr>
          </w:p>
        </w:tc>
      </w:tr>
      <w:tr w14:paraId="0060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noWrap w:val="0"/>
            <w:vAlign w:val="center"/>
          </w:tcPr>
          <w:p w14:paraId="04243550">
            <w:pPr>
              <w:pStyle w:val="5"/>
              <w:spacing w:after="0" w:line="360" w:lineRule="auto"/>
              <w:ind w:firstLine="0"/>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电脑所在地址</w:t>
            </w:r>
          </w:p>
        </w:tc>
        <w:tc>
          <w:tcPr>
            <w:tcW w:w="6539" w:type="dxa"/>
            <w:gridSpan w:val="3"/>
            <w:noWrap w:val="0"/>
            <w:vAlign w:val="center"/>
          </w:tcPr>
          <w:p w14:paraId="0195913D">
            <w:pPr>
              <w:pStyle w:val="5"/>
              <w:spacing w:after="0" w:line="360" w:lineRule="auto"/>
              <w:ind w:firstLine="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（如××市××区(县) ××街（路）××号××大厦××房）</w:t>
            </w:r>
          </w:p>
        </w:tc>
      </w:tr>
    </w:tbl>
    <w:p w14:paraId="5C06652E">
      <w:pPr>
        <w:spacing w:line="420" w:lineRule="exact"/>
        <w:outlineLvl w:val="2"/>
        <w:rPr>
          <w:rFonts w:hint="eastAsia" w:ascii="宋体" w:hAnsi="宋体" w:eastAsia="宋体"/>
          <w:b/>
          <w:color w:val="auto"/>
          <w:sz w:val="36"/>
          <w:szCs w:val="36"/>
          <w:highlight w:val="none"/>
        </w:rPr>
      </w:pPr>
      <w:r>
        <w:rPr>
          <w:rFonts w:ascii="宋体" w:hAnsi="宋体" w:eastAsia="宋体"/>
          <w:color w:val="auto"/>
          <w:sz w:val="24"/>
          <w:szCs w:val="24"/>
          <w:highlight w:val="none"/>
        </w:rPr>
        <w:br w:type="page"/>
      </w:r>
      <w:bookmarkStart w:id="314" w:name="_Toc1263"/>
      <w:bookmarkStart w:id="315" w:name="_Toc17823"/>
      <w:bookmarkStart w:id="316" w:name="_Toc14674"/>
      <w:bookmarkStart w:id="317" w:name="_Toc18138"/>
      <w:bookmarkStart w:id="318" w:name="_Toc29987"/>
      <w:bookmarkStart w:id="319" w:name="_Toc1565"/>
      <w:bookmarkStart w:id="320" w:name="_Toc31826"/>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14</w:t>
      </w:r>
      <w:r>
        <w:rPr>
          <w:rFonts w:hint="eastAsia" w:ascii="宋体" w:hAnsi="宋体" w:eastAsia="宋体"/>
          <w:color w:val="auto"/>
          <w:sz w:val="24"/>
          <w:szCs w:val="24"/>
          <w:highlight w:val="none"/>
        </w:rPr>
        <w:t xml:space="preserve"> 投标人声明</w:t>
      </w:r>
      <w:bookmarkEnd w:id="314"/>
      <w:bookmarkEnd w:id="315"/>
      <w:bookmarkEnd w:id="316"/>
      <w:bookmarkEnd w:id="317"/>
      <w:bookmarkEnd w:id="318"/>
      <w:bookmarkEnd w:id="319"/>
      <w:bookmarkEnd w:id="320"/>
    </w:p>
    <w:p w14:paraId="7C04136C">
      <w:pPr>
        <w:spacing w:line="420" w:lineRule="exact"/>
        <w:jc w:val="center"/>
        <w:rPr>
          <w:rFonts w:hint="eastAsia" w:ascii="宋体" w:hAnsi="宋体" w:eastAsia="宋体"/>
          <w:b/>
          <w:color w:val="auto"/>
          <w:sz w:val="36"/>
          <w:szCs w:val="36"/>
          <w:highlight w:val="none"/>
        </w:rPr>
      </w:pPr>
    </w:p>
    <w:p w14:paraId="3D41BB16">
      <w:pPr>
        <w:spacing w:line="420" w:lineRule="exact"/>
        <w:jc w:val="center"/>
        <w:rPr>
          <w:rFonts w:hint="eastAsia" w:ascii="宋体" w:hAnsi="宋体" w:eastAsia="宋体"/>
          <w:b/>
          <w:color w:val="auto"/>
          <w:sz w:val="36"/>
          <w:szCs w:val="36"/>
          <w:highlight w:val="none"/>
        </w:rPr>
      </w:pPr>
      <w:r>
        <w:rPr>
          <w:rFonts w:hint="eastAsia" w:ascii="宋体" w:hAnsi="宋体" w:eastAsia="宋体"/>
          <w:b/>
          <w:color w:val="auto"/>
          <w:sz w:val="36"/>
          <w:szCs w:val="36"/>
          <w:highlight w:val="none"/>
        </w:rPr>
        <w:t>投标</w:t>
      </w:r>
      <w:r>
        <w:rPr>
          <w:rFonts w:hint="eastAsia" w:ascii="宋体" w:hAnsi="宋体" w:eastAsia="宋体"/>
          <w:b/>
          <w:color w:val="auto"/>
          <w:kern w:val="0"/>
          <w:sz w:val="36"/>
          <w:szCs w:val="36"/>
          <w:highlight w:val="none"/>
        </w:rPr>
        <w:t>人</w:t>
      </w:r>
      <w:r>
        <w:rPr>
          <w:rFonts w:hint="eastAsia" w:ascii="宋体" w:hAnsi="宋体" w:eastAsia="宋体"/>
          <w:b/>
          <w:color w:val="auto"/>
          <w:sz w:val="36"/>
          <w:szCs w:val="36"/>
          <w:highlight w:val="none"/>
        </w:rPr>
        <w:t>声明</w:t>
      </w:r>
    </w:p>
    <w:p w14:paraId="5E1D431D">
      <w:pPr>
        <w:spacing w:line="420" w:lineRule="exact"/>
        <w:jc w:val="center"/>
        <w:rPr>
          <w:rFonts w:ascii="宋体" w:hAnsi="宋体" w:eastAsia="宋体"/>
          <w:b/>
          <w:color w:val="auto"/>
          <w:sz w:val="36"/>
          <w:szCs w:val="36"/>
          <w:highlight w:val="none"/>
        </w:rPr>
      </w:pPr>
    </w:p>
    <w:p w14:paraId="7ED5371A">
      <w:pPr>
        <w:pStyle w:val="62"/>
        <w:ind w:firstLine="0"/>
        <w:rPr>
          <w:rFonts w:ascii="宋体" w:hAnsi="宋体"/>
          <w:color w:val="auto"/>
          <w:sz w:val="28"/>
          <w:szCs w:val="28"/>
          <w:highlight w:val="none"/>
        </w:rPr>
      </w:pPr>
      <w:r>
        <w:rPr>
          <w:rFonts w:hint="eastAsia" w:ascii="宋体" w:hAnsi="宋体"/>
          <w:color w:val="auto"/>
          <w:sz w:val="28"/>
          <w:szCs w:val="28"/>
          <w:highlight w:val="none"/>
        </w:rPr>
        <w:t>广州市林业和园林局、本招标项目招标人：</w:t>
      </w:r>
    </w:p>
    <w:p w14:paraId="19D255F6">
      <w:pPr>
        <w:pStyle w:val="62"/>
        <w:ind w:firstLine="560" w:firstLineChars="200"/>
        <w:rPr>
          <w:rFonts w:ascii="宋体" w:hAnsi="宋体"/>
          <w:color w:val="auto"/>
          <w:sz w:val="28"/>
          <w:szCs w:val="28"/>
          <w:highlight w:val="none"/>
        </w:rPr>
      </w:pPr>
      <w:r>
        <w:rPr>
          <w:rFonts w:hint="eastAsia" w:ascii="宋体" w:hAnsi="宋体"/>
          <w:color w:val="auto"/>
          <w:sz w:val="28"/>
          <w:szCs w:val="28"/>
          <w:highlight w:val="none"/>
        </w:rPr>
        <w:t>本公司就参加</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投标工作，作出郑重声明：</w:t>
      </w:r>
    </w:p>
    <w:p w14:paraId="542A1898">
      <w:pPr>
        <w:pStyle w:val="62"/>
        <w:numPr>
          <w:ilvl w:val="0"/>
          <w:numId w:val="0"/>
        </w:numPr>
        <w:ind w:firstLine="560" w:firstLineChars="200"/>
        <w:rPr>
          <w:rFonts w:hint="eastAsia" w:ascii="宋体" w:hAnsi="宋体" w:cs="Times New Roman"/>
          <w:color w:val="auto"/>
          <w:sz w:val="28"/>
          <w:szCs w:val="28"/>
          <w:highlight w:val="none"/>
          <w:lang w:val="en-US" w:eastAsia="zh-CN"/>
        </w:rPr>
      </w:pPr>
      <w:r>
        <w:rPr>
          <w:rFonts w:hint="eastAsia" w:ascii="宋体" w:hAnsi="宋体" w:cs="Times New Roman"/>
          <w:color w:val="auto"/>
          <w:sz w:val="28"/>
          <w:szCs w:val="28"/>
          <w:highlight w:val="none"/>
          <w:lang w:val="en-US" w:eastAsia="zh-CN"/>
        </w:rPr>
        <w:t>一、本公司保证本次投标活动所提供的材料都是真实的；在广州公共资源交易平台企业库登记的一切信息都是真实的、在有效期内的。如我司成为本项目中标候选人，我公司同意并授权招标人将我司投标文件的人员、业绩、奖项等资料进行公开。</w:t>
      </w:r>
    </w:p>
    <w:p w14:paraId="148292E5">
      <w:pPr>
        <w:pStyle w:val="62"/>
        <w:numPr>
          <w:ilvl w:val="0"/>
          <w:numId w:val="0"/>
        </w:numPr>
        <w:ind w:firstLine="560" w:firstLineChars="200"/>
        <w:rPr>
          <w:rFonts w:ascii="宋体" w:hAnsi="宋体"/>
          <w:color w:val="auto"/>
          <w:sz w:val="28"/>
          <w:szCs w:val="28"/>
          <w:highlight w:val="none"/>
        </w:rPr>
      </w:pPr>
      <w:r>
        <w:rPr>
          <w:rFonts w:hint="eastAsia" w:ascii="宋体" w:hAnsi="宋体"/>
          <w:color w:val="auto"/>
          <w:sz w:val="28"/>
          <w:szCs w:val="28"/>
          <w:highlight w:val="none"/>
        </w:rPr>
        <w:t>二、资格审查前，本公司在广州公共资源交易</w:t>
      </w:r>
      <w:r>
        <w:rPr>
          <w:rFonts w:hint="eastAsia" w:ascii="宋体" w:hAnsi="宋体"/>
          <w:color w:val="auto"/>
          <w:sz w:val="28"/>
          <w:szCs w:val="28"/>
          <w:highlight w:val="none"/>
          <w:lang w:eastAsia="zh-CN"/>
        </w:rPr>
        <w:t>平台</w:t>
      </w:r>
      <w:r>
        <w:rPr>
          <w:rFonts w:hint="eastAsia" w:ascii="宋体" w:hAnsi="宋体"/>
          <w:color w:val="auto"/>
          <w:sz w:val="28"/>
          <w:szCs w:val="28"/>
          <w:highlight w:val="none"/>
        </w:rPr>
        <w:t>已办理企业信息登记及拟担任本工程项目负责人是本企业信息登记中的在册人员。</w:t>
      </w:r>
    </w:p>
    <w:p w14:paraId="1DD0EC2E">
      <w:pPr>
        <w:pStyle w:val="62"/>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三、本公司拟委派</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担任本工程的项目负责人，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担任本工程的技术负责人。</w:t>
      </w:r>
    </w:p>
    <w:p w14:paraId="18303182">
      <w:pPr>
        <w:pStyle w:val="62"/>
        <w:ind w:firstLine="560" w:firstLineChars="200"/>
        <w:rPr>
          <w:rFonts w:ascii="宋体" w:hAnsi="宋体"/>
          <w:color w:val="auto"/>
          <w:sz w:val="28"/>
          <w:szCs w:val="28"/>
          <w:highlight w:val="none"/>
        </w:rPr>
      </w:pPr>
      <w:r>
        <w:rPr>
          <w:rFonts w:hint="eastAsia" w:ascii="宋体" w:hAnsi="宋体"/>
          <w:color w:val="auto"/>
          <w:sz w:val="28"/>
          <w:szCs w:val="28"/>
          <w:highlight w:val="none"/>
        </w:rPr>
        <w:t>四、本公司保证在本项目投标中不与其他单位围标、串标，不出让投标资格，不向招标人或评标委员会成员行贿。</w:t>
      </w:r>
    </w:p>
    <w:p w14:paraId="202DA1B1">
      <w:pPr>
        <w:pStyle w:val="62"/>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五、本公司没有处于被责令停业的状态；没有处于被建设行政主管部门取消投标资格的处罚期内；没有处于财产被接管、冻结、破产的状态；在投标资格审查截止日期前</w:t>
      </w:r>
      <w:r>
        <w:rPr>
          <w:rFonts w:hint="eastAsia" w:ascii="宋体" w:hAnsi="宋体"/>
          <w:color w:val="auto"/>
          <w:sz w:val="28"/>
          <w:szCs w:val="28"/>
          <w:highlight w:val="none"/>
          <w:lang w:eastAsia="zh-CN"/>
        </w:rPr>
        <w:t>三</w:t>
      </w:r>
      <w:r>
        <w:rPr>
          <w:rFonts w:hint="eastAsia" w:ascii="宋体" w:hAnsi="宋体"/>
          <w:color w:val="auto"/>
          <w:sz w:val="28"/>
          <w:szCs w:val="28"/>
          <w:highlight w:val="none"/>
        </w:rPr>
        <w:t>年内没有建设行政主管部门、城市园林绿化行业主管部门已书面认定的重大工程质量问题；本公司或公司法定代表人、拟委派的项目负责人在近三年内没有行贿犯罪行为；本公司没有被人民法院列入失信被执行人名单。</w:t>
      </w:r>
    </w:p>
    <w:p w14:paraId="0F864B35">
      <w:pPr>
        <w:pStyle w:val="62"/>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本公司不存在《全国失信惩戒措施基础清单》惩戒内容为“在一定期限内依法取消参加依法必须进行招标的项目的投标资格”的情形</w:t>
      </w:r>
      <w:r>
        <w:rPr>
          <w:rFonts w:hint="eastAsia" w:ascii="宋体" w:hAnsi="宋体"/>
          <w:color w:val="auto"/>
          <w:sz w:val="28"/>
          <w:szCs w:val="28"/>
          <w:highlight w:val="none"/>
          <w:lang w:eastAsia="zh-CN"/>
        </w:rPr>
        <w:t>：串通投标或以行贿的手段谋取中标，且情节严重的投标人；以他人名义投标或者以其他方式弄虚作假，骗取中标，且情节严重的投标人；不按照与招标人订立的合同履行义务，且情节严重的中标人；被列入拖欠农民工工资失信联合惩戒对象名单的主体</w:t>
      </w:r>
      <w:r>
        <w:rPr>
          <w:rFonts w:hint="eastAsia" w:ascii="宋体" w:hAnsi="宋体"/>
          <w:color w:val="auto"/>
          <w:sz w:val="28"/>
          <w:szCs w:val="28"/>
          <w:highlight w:val="none"/>
        </w:rPr>
        <w:t>。</w:t>
      </w:r>
    </w:p>
    <w:p w14:paraId="5C6C5E21">
      <w:pPr>
        <w:pStyle w:val="62"/>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六、本公司拟委派专职安全员兼任本工程的工地余泥渣土运输与排放管理员，严格遵守建设工程余泥渣土运输与排放管理制度，执行“一不准进、三不准出”规定。选择合法的余泥渣土运输单位及排放点。</w:t>
      </w:r>
    </w:p>
    <w:p w14:paraId="7D3E03C9">
      <w:pPr>
        <w:pStyle w:val="62"/>
        <w:ind w:firstLine="560" w:firstLineChars="200"/>
        <w:rPr>
          <w:rFonts w:ascii="宋体" w:hAnsi="宋体"/>
          <w:color w:val="auto"/>
          <w:sz w:val="28"/>
          <w:szCs w:val="28"/>
          <w:highlight w:val="none"/>
        </w:rPr>
      </w:pPr>
      <w:r>
        <w:rPr>
          <w:rFonts w:hint="eastAsia" w:ascii="宋体" w:hAnsi="宋体"/>
          <w:color w:val="auto"/>
          <w:sz w:val="28"/>
          <w:szCs w:val="28"/>
          <w:highlight w:val="none"/>
        </w:rPr>
        <w:t xml:space="preserve">七、本公司及其有隶属关系的机构没有参加本项目的设计、前期工作、招标文件编写、监理工作；本公司与承担本招标项目监理业务的单位没有隶属关系或其他利害关系。 </w:t>
      </w:r>
    </w:p>
    <w:p w14:paraId="3C7C645B">
      <w:pPr>
        <w:pStyle w:val="62"/>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八、本公司保证本项目拟派的项目负责人和</w:t>
      </w:r>
      <w:r>
        <w:rPr>
          <w:rFonts w:hint="eastAsia" w:ascii="宋体" w:hAnsi="宋体"/>
          <w:color w:val="auto"/>
          <w:sz w:val="28"/>
          <w:szCs w:val="28"/>
          <w:highlight w:val="none"/>
          <w:lang w:eastAsia="zh-CN"/>
        </w:rPr>
        <w:t>专职</w:t>
      </w:r>
      <w:r>
        <w:rPr>
          <w:rFonts w:hint="eastAsia" w:ascii="宋体" w:hAnsi="宋体"/>
          <w:color w:val="auto"/>
          <w:sz w:val="28"/>
          <w:szCs w:val="28"/>
          <w:highlight w:val="none"/>
        </w:rPr>
        <w:t>安全员没有在其他在建项目中任职。</w:t>
      </w:r>
    </w:p>
    <w:p w14:paraId="2B9BDA80">
      <w:pPr>
        <w:pStyle w:val="62"/>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九、本公司保证本项目投标文件编制、解释负责人按招标文件规定完成评标委员会提出的澄清要求（如有）。</w:t>
      </w:r>
    </w:p>
    <w:p w14:paraId="49E2452F">
      <w:pPr>
        <w:pStyle w:val="62"/>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十、我司同意并授权招标人将我司响应招标文件要求的资格能力条件等信息进行公示。</w:t>
      </w:r>
    </w:p>
    <w:p w14:paraId="06BEE0D2">
      <w:pPr>
        <w:pStyle w:val="62"/>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本公司违反上述保证，或本声明陈述与事实不符，经查实，本公司愿意接受公开通报，记录不良行为，承担由此带来的法律后果，并愿意停止参加广州市行政区域内的招标投标活动三个月。其中，本声明陈述与事实不符的，属于弄虚作假骗取中标，将依法接受监管部门的处罚。</w:t>
      </w:r>
    </w:p>
    <w:p w14:paraId="4D3C1C2F">
      <w:pPr>
        <w:pStyle w:val="62"/>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特此声明</w:t>
      </w:r>
    </w:p>
    <w:p w14:paraId="6FD55B60">
      <w:pPr>
        <w:pStyle w:val="62"/>
        <w:ind w:firstLine="560" w:firstLineChars="200"/>
        <w:rPr>
          <w:rFonts w:hint="eastAsia" w:ascii="宋体" w:hAnsi="宋体"/>
          <w:color w:val="auto"/>
          <w:sz w:val="28"/>
          <w:szCs w:val="28"/>
          <w:highlight w:val="none"/>
        </w:rPr>
      </w:pPr>
    </w:p>
    <w:p w14:paraId="6F5EA7EA">
      <w:pPr>
        <w:pStyle w:val="62"/>
        <w:ind w:right="140"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 xml:space="preserve">法定代表人签字：                       投标人：（盖章）           </w:t>
      </w:r>
    </w:p>
    <w:p w14:paraId="1C3FA918">
      <w:pPr>
        <w:pStyle w:val="62"/>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 xml:space="preserve">项目负责人签字：                       </w:t>
      </w:r>
    </w:p>
    <w:p w14:paraId="788C9BF4">
      <w:pPr>
        <w:pStyle w:val="62"/>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 xml:space="preserve">技术负责人签字：                         </w:t>
      </w:r>
    </w:p>
    <w:p w14:paraId="54046185">
      <w:pPr>
        <w:widowControl/>
        <w:spacing w:line="420" w:lineRule="exact"/>
        <w:jc w:val="left"/>
        <w:rPr>
          <w:rFonts w:ascii="宋体" w:hAnsi="宋体" w:eastAsia="宋体"/>
          <w:color w:val="auto"/>
          <w:kern w:val="0"/>
          <w:sz w:val="24"/>
          <w:szCs w:val="24"/>
          <w:highlight w:val="none"/>
        </w:rPr>
        <w:sectPr>
          <w:endnotePr>
            <w:numFmt w:val="decimal"/>
          </w:endnotePr>
          <w:pgSz w:w="11850" w:h="16783"/>
          <w:pgMar w:top="1440" w:right="1418" w:bottom="1440" w:left="1418" w:header="851" w:footer="907" w:gutter="0"/>
          <w:pgNumType w:fmt="decimal"/>
          <w:cols w:space="720" w:num="1"/>
        </w:sectPr>
      </w:pPr>
      <w:r>
        <w:rPr>
          <w:rFonts w:hint="eastAsia" w:ascii="宋体" w:hAnsi="宋体"/>
          <w:color w:val="auto"/>
          <w:sz w:val="28"/>
          <w:szCs w:val="28"/>
          <w:highlight w:val="none"/>
        </w:rPr>
        <w:t xml:space="preserve">                                           </w:t>
      </w:r>
      <w:r>
        <w:rPr>
          <w:rFonts w:hint="eastAsia" w:ascii="宋体" w:hAnsi="宋体" w:eastAsia="仿宋_GB2312"/>
          <w:color w:val="auto"/>
          <w:kern w:val="0"/>
          <w:sz w:val="28"/>
          <w:szCs w:val="28"/>
          <w:highlight w:val="none"/>
        </w:rPr>
        <w:t>年   月   日</w:t>
      </w:r>
    </w:p>
    <w:p w14:paraId="49C67D7D">
      <w:pPr>
        <w:outlineLvl w:val="2"/>
        <w:rPr>
          <w:rFonts w:ascii="宋体" w:hAnsi="宋体" w:eastAsia="宋体"/>
          <w:color w:val="auto"/>
          <w:sz w:val="24"/>
          <w:szCs w:val="24"/>
          <w:highlight w:val="none"/>
        </w:rPr>
      </w:pPr>
      <w:bookmarkStart w:id="321" w:name="_Toc14047"/>
      <w:bookmarkStart w:id="322" w:name="_Toc20671"/>
      <w:bookmarkStart w:id="323" w:name="_Toc10089"/>
      <w:bookmarkStart w:id="324" w:name="_Toc4231"/>
      <w:bookmarkStart w:id="325" w:name="_Toc31234"/>
      <w:bookmarkStart w:id="326" w:name="_Toc3629"/>
      <w:bookmarkStart w:id="327" w:name="_Toc24034"/>
      <w:bookmarkStart w:id="328" w:name="_Toc507590785"/>
      <w:bookmarkStart w:id="329" w:name="_Toc152042580"/>
      <w:bookmarkStart w:id="330" w:name="_Toc300835213"/>
      <w:bookmarkStart w:id="331" w:name="_Toc144974860"/>
      <w:bookmarkStart w:id="332" w:name="_Toc247527831"/>
      <w:bookmarkStart w:id="333" w:name="_Toc507162845"/>
      <w:bookmarkStart w:id="334" w:name="_Toc152045791"/>
      <w:bookmarkStart w:id="335" w:name="_Toc247514283"/>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15</w:t>
      </w:r>
      <w:r>
        <w:rPr>
          <w:rFonts w:hint="eastAsia" w:ascii="宋体" w:hAnsi="宋体" w:eastAsia="宋体"/>
          <w:color w:val="auto"/>
          <w:sz w:val="24"/>
          <w:szCs w:val="24"/>
          <w:highlight w:val="none"/>
        </w:rPr>
        <w:t xml:space="preserve"> 法人代表证明书及法定代表人授权书</w:t>
      </w:r>
      <w:bookmarkEnd w:id="321"/>
      <w:bookmarkEnd w:id="322"/>
      <w:bookmarkEnd w:id="323"/>
      <w:bookmarkEnd w:id="324"/>
      <w:bookmarkEnd w:id="325"/>
      <w:bookmarkEnd w:id="326"/>
      <w:bookmarkEnd w:id="327"/>
    </w:p>
    <w:p w14:paraId="03D6C127">
      <w:pPr>
        <w:adjustRightInd w:val="0"/>
        <w:snapToGrid w:val="0"/>
        <w:spacing w:line="360" w:lineRule="auto"/>
        <w:jc w:val="center"/>
        <w:rPr>
          <w:rFonts w:hint="eastAsia" w:ascii="宋体" w:hAnsi="宋体"/>
          <w:b/>
          <w:color w:val="auto"/>
          <w:sz w:val="32"/>
          <w:highlight w:val="none"/>
        </w:rPr>
      </w:pPr>
    </w:p>
    <w:p w14:paraId="75E98B9C">
      <w:pPr>
        <w:adjustRightInd w:val="0"/>
        <w:snapToGrid w:val="0"/>
        <w:spacing w:line="360" w:lineRule="auto"/>
        <w:jc w:val="center"/>
        <w:rPr>
          <w:rFonts w:hint="eastAsia" w:ascii="宋体" w:hAnsi="宋体"/>
          <w:b/>
          <w:color w:val="auto"/>
          <w:sz w:val="32"/>
          <w:highlight w:val="none"/>
        </w:rPr>
      </w:pPr>
      <w:r>
        <w:rPr>
          <w:rFonts w:hint="eastAsia" w:ascii="宋体" w:hAnsi="宋体"/>
          <w:b/>
          <w:color w:val="auto"/>
          <w:sz w:val="32"/>
          <w:highlight w:val="none"/>
        </w:rPr>
        <w:t>法定代表人证明</w:t>
      </w:r>
      <w:bookmarkEnd w:id="328"/>
      <w:bookmarkEnd w:id="329"/>
      <w:bookmarkEnd w:id="330"/>
      <w:bookmarkEnd w:id="331"/>
      <w:bookmarkEnd w:id="332"/>
      <w:bookmarkEnd w:id="333"/>
      <w:bookmarkEnd w:id="334"/>
      <w:bookmarkEnd w:id="335"/>
      <w:r>
        <w:rPr>
          <w:rFonts w:hint="eastAsia" w:ascii="宋体" w:hAnsi="宋体"/>
          <w:b/>
          <w:color w:val="auto"/>
          <w:sz w:val="32"/>
          <w:highlight w:val="none"/>
        </w:rPr>
        <w:t>书</w:t>
      </w:r>
    </w:p>
    <w:p w14:paraId="6C64EAB9">
      <w:pPr>
        <w:adjustRightInd w:val="0"/>
        <w:snapToGrid w:val="0"/>
        <w:spacing w:line="360" w:lineRule="auto"/>
        <w:ind w:firstLine="400" w:firstLineChars="200"/>
        <w:rPr>
          <w:color w:val="auto"/>
          <w:sz w:val="20"/>
          <w:highlight w:val="none"/>
        </w:rPr>
      </w:pPr>
    </w:p>
    <w:p w14:paraId="76F75F60">
      <w:pPr>
        <w:adjustRightInd w:val="0"/>
        <w:snapToGrid w:val="0"/>
        <w:spacing w:line="360" w:lineRule="auto"/>
        <w:ind w:firstLine="480" w:firstLineChars="200"/>
        <w:rPr>
          <w:color w:val="auto"/>
          <w:sz w:val="24"/>
          <w:szCs w:val="24"/>
          <w:highlight w:val="none"/>
        </w:rPr>
      </w:pPr>
    </w:p>
    <w:p w14:paraId="4D74478C">
      <w:pPr>
        <w:adjustRightInd w:val="0"/>
        <w:snapToGrid w:val="0"/>
        <w:spacing w:line="360" w:lineRule="auto"/>
        <w:ind w:firstLine="480" w:firstLineChars="200"/>
        <w:rPr>
          <w:color w:val="auto"/>
          <w:sz w:val="24"/>
          <w:szCs w:val="24"/>
          <w:highlight w:val="none"/>
          <w:u w:val="single"/>
        </w:rPr>
      </w:pPr>
      <w:r>
        <w:rPr>
          <w:rFonts w:hint="eastAsia" w:ascii="宋体" w:hAnsi="宋体" w:eastAsia="宋体"/>
          <w:color w:val="auto"/>
          <w:sz w:val="24"/>
          <w:szCs w:val="24"/>
          <w:highlight w:val="none"/>
          <w:u w:val="single"/>
        </w:rPr>
        <w:t xml:space="preserve">          </w:t>
      </w:r>
      <w:r>
        <w:rPr>
          <w:rFonts w:hint="eastAsia"/>
          <w:color w:val="auto"/>
          <w:sz w:val="24"/>
          <w:szCs w:val="24"/>
          <w:highlight w:val="none"/>
        </w:rPr>
        <w:t>（姓名）现任我单位</w:t>
      </w:r>
      <w:r>
        <w:rPr>
          <w:rFonts w:hint="eastAsia" w:ascii="宋体" w:hAnsi="宋体" w:eastAsia="宋体"/>
          <w:color w:val="auto"/>
          <w:sz w:val="24"/>
          <w:szCs w:val="24"/>
          <w:highlight w:val="none"/>
          <w:u w:val="single"/>
        </w:rPr>
        <w:t xml:space="preserve">          </w:t>
      </w:r>
      <w:r>
        <w:rPr>
          <w:rFonts w:hint="eastAsia"/>
          <w:color w:val="auto"/>
          <w:sz w:val="24"/>
          <w:szCs w:val="24"/>
          <w:highlight w:val="none"/>
        </w:rPr>
        <w:t>职务，为我单位法定代表人，特此证明。</w:t>
      </w:r>
    </w:p>
    <w:p w14:paraId="36AC13CA">
      <w:pPr>
        <w:adjustRightInd w:val="0"/>
        <w:snapToGrid w:val="0"/>
        <w:spacing w:line="360" w:lineRule="auto"/>
        <w:ind w:firstLine="480" w:firstLineChars="200"/>
        <w:rPr>
          <w:rFonts w:hint="eastAsia" w:eastAsia="宋体"/>
          <w:color w:val="auto"/>
          <w:sz w:val="24"/>
          <w:szCs w:val="24"/>
          <w:highlight w:val="none"/>
          <w:u w:val="single"/>
        </w:rPr>
      </w:pPr>
      <w:r>
        <w:rPr>
          <w:rFonts w:hint="eastAsia"/>
          <w:color w:val="auto"/>
          <w:sz w:val="24"/>
          <w:szCs w:val="24"/>
          <w:highlight w:val="none"/>
        </w:rPr>
        <w:t>有效期限：</w:t>
      </w:r>
      <w:r>
        <w:rPr>
          <w:rFonts w:hint="eastAsia" w:ascii="宋体" w:hAnsi="宋体" w:eastAsia="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hint="eastAsia"/>
          <w:color w:val="auto"/>
          <w:sz w:val="24"/>
          <w:szCs w:val="24"/>
          <w:highlight w:val="none"/>
        </w:rPr>
        <w:t>。</w:t>
      </w:r>
    </w:p>
    <w:p w14:paraId="4DB3F0CE">
      <w:pPr>
        <w:adjustRightInd w:val="0"/>
        <w:snapToGrid w:val="0"/>
        <w:spacing w:line="360" w:lineRule="auto"/>
        <w:ind w:firstLine="480" w:firstLineChars="200"/>
        <w:rPr>
          <w:rFonts w:hint="eastAsia"/>
          <w:color w:val="auto"/>
          <w:sz w:val="24"/>
          <w:szCs w:val="24"/>
          <w:highlight w:val="none"/>
        </w:rPr>
      </w:pPr>
    </w:p>
    <w:p w14:paraId="043F5E5D">
      <w:pPr>
        <w:adjustRightInd w:val="0"/>
        <w:snapToGrid w:val="0"/>
        <w:spacing w:line="360" w:lineRule="auto"/>
        <w:ind w:firstLine="480" w:firstLineChars="200"/>
        <w:rPr>
          <w:rFonts w:hint="eastAsia"/>
          <w:color w:val="auto"/>
          <w:sz w:val="24"/>
          <w:szCs w:val="24"/>
          <w:highlight w:val="none"/>
        </w:rPr>
      </w:pPr>
      <w:r>
        <w:rPr>
          <w:rFonts w:hint="eastAsia"/>
          <w:color w:val="auto"/>
          <w:sz w:val="24"/>
          <w:szCs w:val="24"/>
          <w:highlight w:val="none"/>
        </w:rPr>
        <w:t>法定代表人性别：</w:t>
      </w:r>
      <w:r>
        <w:rPr>
          <w:rFonts w:hint="eastAsia" w:ascii="宋体" w:hAnsi="宋体" w:eastAsia="宋体"/>
          <w:color w:val="auto"/>
          <w:sz w:val="24"/>
          <w:szCs w:val="24"/>
          <w:highlight w:val="none"/>
          <w:u w:val="single"/>
        </w:rPr>
        <w:t xml:space="preserve">      </w:t>
      </w:r>
      <w:r>
        <w:rPr>
          <w:rFonts w:hint="eastAsia"/>
          <w:color w:val="auto"/>
          <w:sz w:val="24"/>
          <w:szCs w:val="24"/>
          <w:highlight w:val="none"/>
        </w:rPr>
        <w:t>，年龄：</w:t>
      </w:r>
      <w:r>
        <w:rPr>
          <w:rFonts w:hint="eastAsia" w:ascii="宋体" w:hAnsi="宋体" w:eastAsia="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color w:val="auto"/>
          <w:sz w:val="24"/>
          <w:szCs w:val="24"/>
          <w:highlight w:val="none"/>
        </w:rPr>
        <w:t>，身份证号码：</w:t>
      </w:r>
      <w:r>
        <w:rPr>
          <w:rFonts w:hint="eastAsia" w:ascii="宋体" w:hAnsi="宋体" w:eastAsia="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hint="eastAsia"/>
          <w:color w:val="auto"/>
          <w:sz w:val="24"/>
          <w:szCs w:val="24"/>
          <w:highlight w:val="none"/>
        </w:rPr>
        <w:t xml:space="preserve">。 </w:t>
      </w:r>
    </w:p>
    <w:p w14:paraId="3849CAFF">
      <w:pPr>
        <w:adjustRightInd w:val="0"/>
        <w:snapToGrid w:val="0"/>
        <w:spacing w:line="360" w:lineRule="auto"/>
        <w:ind w:firstLine="480" w:firstLineChars="200"/>
        <w:rPr>
          <w:rFonts w:hint="eastAsia" w:eastAsia="宋体"/>
          <w:color w:val="auto"/>
          <w:sz w:val="24"/>
          <w:szCs w:val="24"/>
          <w:highlight w:val="none"/>
          <w:u w:val="single"/>
        </w:rPr>
      </w:pPr>
      <w:r>
        <w:rPr>
          <w:rFonts w:hint="eastAsia"/>
          <w:color w:val="auto"/>
          <w:sz w:val="24"/>
          <w:szCs w:val="24"/>
          <w:highlight w:val="none"/>
        </w:rPr>
        <w:t>企业统一社会信用代码：</w:t>
      </w:r>
      <w:r>
        <w:rPr>
          <w:rFonts w:hint="eastAsia" w:ascii="宋体" w:hAnsi="宋体" w:eastAsia="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color w:val="auto"/>
          <w:sz w:val="24"/>
          <w:szCs w:val="24"/>
          <w:highlight w:val="none"/>
        </w:rPr>
        <w:t>，企业类型：</w:t>
      </w:r>
      <w:r>
        <w:rPr>
          <w:rFonts w:hint="eastAsia" w:ascii="宋体" w:hAnsi="宋体" w:eastAsia="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hint="eastAsia"/>
          <w:color w:val="auto"/>
          <w:sz w:val="24"/>
          <w:szCs w:val="24"/>
          <w:highlight w:val="none"/>
        </w:rPr>
        <w:t>。</w:t>
      </w:r>
    </w:p>
    <w:p w14:paraId="0B7AEA3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color w:val="auto"/>
          <w:sz w:val="24"/>
          <w:szCs w:val="24"/>
          <w:highlight w:val="none"/>
        </w:rPr>
        <w:t>经营范围：</w:t>
      </w:r>
      <w:r>
        <w:rPr>
          <w:rFonts w:hint="eastAsia" w:ascii="宋体" w:hAnsi="宋体" w:eastAsia="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hint="eastAsia"/>
          <w:color w:val="auto"/>
          <w:sz w:val="24"/>
          <w:szCs w:val="24"/>
          <w:highlight w:val="none"/>
        </w:rPr>
        <w:t>。</w:t>
      </w:r>
    </w:p>
    <w:p w14:paraId="4AEA7308">
      <w:pPr>
        <w:adjustRightInd w:val="0"/>
        <w:snapToGrid w:val="0"/>
        <w:spacing w:line="360" w:lineRule="auto"/>
        <w:ind w:firstLine="480" w:firstLineChars="200"/>
        <w:rPr>
          <w:rFonts w:hint="eastAsia"/>
          <w:color w:val="auto"/>
          <w:sz w:val="24"/>
          <w:szCs w:val="24"/>
          <w:highlight w:val="none"/>
        </w:rPr>
      </w:pPr>
      <w:r>
        <w:rPr>
          <w:rFonts w:hint="eastAsia"/>
          <w:color w:val="auto"/>
          <w:sz w:val="24"/>
          <w:szCs w:val="24"/>
          <w:highlight w:val="none"/>
        </w:rPr>
        <w:t>附：法定代表人身份证复印件</w:t>
      </w:r>
    </w:p>
    <w:p w14:paraId="7CC68E1F">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12C69528">
      <w:pPr>
        <w:adjustRightInd w:val="0"/>
        <w:snapToGrid w:val="0"/>
        <w:spacing w:line="360" w:lineRule="auto"/>
        <w:rPr>
          <w:rFonts w:hint="eastAsia" w:ascii="宋体" w:hAnsi="宋体" w:eastAsia="宋体" w:cs="宋体"/>
          <w:color w:val="auto"/>
          <w:sz w:val="24"/>
          <w:szCs w:val="24"/>
          <w:highlight w:val="none"/>
        </w:rPr>
      </w:pPr>
    </w:p>
    <w:p w14:paraId="474973D5">
      <w:pPr>
        <w:adjustRightInd w:val="0"/>
        <w:snapToGrid w:val="0"/>
        <w:spacing w:line="360" w:lineRule="auto"/>
        <w:rPr>
          <w:rFonts w:hint="eastAsia" w:ascii="宋体" w:hAnsi="宋体" w:eastAsia="宋体" w:cs="宋体"/>
          <w:color w:val="auto"/>
          <w:sz w:val="24"/>
          <w:szCs w:val="24"/>
          <w:highlight w:val="none"/>
        </w:rPr>
      </w:pPr>
    </w:p>
    <w:p w14:paraId="4D8C6C47">
      <w:pPr>
        <w:adjustRightInd w:val="0"/>
        <w:snapToGrid w:val="0"/>
        <w:spacing w:line="360" w:lineRule="auto"/>
        <w:rPr>
          <w:rFonts w:hint="eastAsia" w:ascii="宋体" w:hAnsi="宋体" w:eastAsia="宋体" w:cs="宋体"/>
          <w:color w:val="auto"/>
          <w:sz w:val="24"/>
          <w:szCs w:val="24"/>
          <w:highlight w:val="none"/>
        </w:rPr>
      </w:pPr>
    </w:p>
    <w:p w14:paraId="7EC7D1D5">
      <w:pPr>
        <w:adjustRightInd w:val="0"/>
        <w:snapToGrid w:val="0"/>
        <w:spacing w:line="360" w:lineRule="auto"/>
        <w:rPr>
          <w:rFonts w:hint="eastAsia" w:ascii="宋体" w:hAnsi="宋体" w:eastAsia="宋体" w:cs="宋体"/>
          <w:color w:val="auto"/>
          <w:sz w:val="24"/>
          <w:szCs w:val="24"/>
          <w:highlight w:val="none"/>
        </w:rPr>
      </w:pPr>
    </w:p>
    <w:p w14:paraId="7AA487A2">
      <w:pPr>
        <w:adjustRightInd w:val="0"/>
        <w:snapToGrid w:val="0"/>
        <w:spacing w:line="360" w:lineRule="auto"/>
        <w:ind w:firstLine="480" w:firstLineChars="200"/>
        <w:rPr>
          <w:rFonts w:hint="eastAsia"/>
          <w:color w:val="auto"/>
          <w:sz w:val="24"/>
          <w:szCs w:val="24"/>
          <w:highlight w:val="none"/>
          <w:u w:val="single"/>
        </w:rPr>
      </w:pPr>
      <w:r>
        <w:rPr>
          <w:rFonts w:hint="eastAsia"/>
          <w:color w:val="auto"/>
          <w:sz w:val="24"/>
          <w:szCs w:val="24"/>
          <w:highlight w:val="none"/>
        </w:rPr>
        <w:t>投标人：（盖章）</w:t>
      </w:r>
      <w:r>
        <w:rPr>
          <w:rFonts w:hint="eastAsia"/>
          <w:color w:val="auto"/>
          <w:sz w:val="24"/>
          <w:szCs w:val="24"/>
          <w:highlight w:val="none"/>
          <w:u w:val="single"/>
        </w:rPr>
        <w:t xml:space="preserve">                               </w:t>
      </w:r>
    </w:p>
    <w:p w14:paraId="6AB50361">
      <w:pPr>
        <w:adjustRightInd w:val="0"/>
        <w:snapToGrid w:val="0"/>
        <w:spacing w:line="360" w:lineRule="auto"/>
        <w:ind w:firstLine="480" w:firstLineChars="200"/>
        <w:rPr>
          <w:rFonts w:hint="eastAsia"/>
          <w:color w:val="auto"/>
          <w:sz w:val="24"/>
          <w:szCs w:val="24"/>
          <w:highlight w:val="none"/>
          <w:u w:val="single"/>
        </w:rPr>
      </w:pPr>
      <w:r>
        <w:rPr>
          <w:rFonts w:hint="eastAsia"/>
          <w:color w:val="auto"/>
          <w:sz w:val="24"/>
          <w:szCs w:val="24"/>
          <w:highlight w:val="none"/>
        </w:rPr>
        <w:t>法定代表人：（签字或盖章）</w:t>
      </w:r>
      <w:r>
        <w:rPr>
          <w:rFonts w:hint="eastAsia"/>
          <w:color w:val="auto"/>
          <w:sz w:val="24"/>
          <w:szCs w:val="24"/>
          <w:highlight w:val="none"/>
          <w:u w:val="single"/>
        </w:rPr>
        <w:t xml:space="preserve">                     </w:t>
      </w:r>
    </w:p>
    <w:p w14:paraId="333C45EB">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p>
    <w:p w14:paraId="6F0F6DA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638D8BA">
      <w:pPr>
        <w:adjustRightInd w:val="0"/>
        <w:snapToGrid w:val="0"/>
        <w:spacing w:line="360" w:lineRule="auto"/>
        <w:ind w:firstLine="480" w:firstLineChars="200"/>
        <w:jc w:val="center"/>
        <w:rPr>
          <w:rFonts w:hint="eastAsia" w:ascii="宋体" w:hAnsi="宋体" w:eastAsia="宋体" w:cs="宋体"/>
          <w:color w:val="auto"/>
          <w:sz w:val="24"/>
          <w:szCs w:val="24"/>
          <w:highlight w:val="none"/>
          <w:u w:val="single"/>
        </w:rPr>
      </w:pPr>
    </w:p>
    <w:p w14:paraId="2E88D837">
      <w:pPr>
        <w:adjustRightInd w:val="0"/>
        <w:snapToGrid w:val="0"/>
        <w:spacing w:line="360" w:lineRule="auto"/>
        <w:ind w:firstLine="480" w:firstLineChars="200"/>
        <w:jc w:val="center"/>
        <w:rPr>
          <w:rFonts w:hint="eastAsia" w:ascii="宋体" w:hAnsi="宋体" w:eastAsia="宋体" w:cs="宋体"/>
          <w:color w:val="auto"/>
          <w:sz w:val="24"/>
          <w:szCs w:val="24"/>
          <w:highlight w:val="none"/>
        </w:rPr>
      </w:pPr>
      <w:r>
        <w:rPr>
          <w:rFonts w:hint="eastAsia"/>
          <w:color w:val="auto"/>
          <w:sz w:val="24"/>
          <w:szCs w:val="24"/>
          <w:highlight w:val="none"/>
        </w:rPr>
        <w:t xml:space="preserve">                                                  </w:t>
      </w: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w:t>
      </w:r>
      <w:r>
        <w:rPr>
          <w:rFonts w:hint="eastAsia" w:ascii="宋体" w:hAnsi="宋体" w:eastAsia="宋体" w:cs="宋体"/>
          <w:color w:val="auto"/>
          <w:sz w:val="24"/>
          <w:szCs w:val="24"/>
          <w:highlight w:val="none"/>
        </w:rPr>
        <w:br w:type="page"/>
      </w:r>
      <w:bookmarkStart w:id="336" w:name="_Toc300835214"/>
      <w:bookmarkStart w:id="337" w:name="_Toc247527832"/>
      <w:bookmarkStart w:id="338" w:name="_Toc152045792"/>
      <w:bookmarkStart w:id="339" w:name="_Toc152042581"/>
      <w:bookmarkStart w:id="340" w:name="_Toc507162846"/>
      <w:bookmarkStart w:id="341" w:name="_Toc507590786"/>
      <w:bookmarkStart w:id="342" w:name="_Toc247514284"/>
      <w:bookmarkStart w:id="343" w:name="_Toc144974861"/>
    </w:p>
    <w:p w14:paraId="15B678CA">
      <w:pPr>
        <w:adjustRightInd w:val="0"/>
        <w:snapToGrid w:val="0"/>
        <w:spacing w:line="360" w:lineRule="auto"/>
        <w:jc w:val="center"/>
        <w:rPr>
          <w:rFonts w:hint="eastAsia" w:ascii="宋体" w:hAnsi="宋体"/>
          <w:b/>
          <w:color w:val="auto"/>
          <w:sz w:val="32"/>
          <w:highlight w:val="none"/>
        </w:rPr>
      </w:pPr>
      <w:r>
        <w:rPr>
          <w:rFonts w:hint="eastAsia" w:ascii="宋体" w:hAnsi="宋体"/>
          <w:b/>
          <w:color w:val="auto"/>
          <w:sz w:val="32"/>
          <w:highlight w:val="none"/>
        </w:rPr>
        <w:t>法定代表人授权书</w:t>
      </w:r>
      <w:bookmarkEnd w:id="336"/>
      <w:bookmarkEnd w:id="337"/>
      <w:bookmarkEnd w:id="338"/>
      <w:bookmarkEnd w:id="339"/>
      <w:bookmarkEnd w:id="340"/>
      <w:bookmarkEnd w:id="341"/>
      <w:bookmarkEnd w:id="342"/>
      <w:bookmarkEnd w:id="343"/>
    </w:p>
    <w:p w14:paraId="44CC9229">
      <w:pPr>
        <w:adjustRightInd w:val="0"/>
        <w:snapToGrid w:val="0"/>
        <w:spacing w:line="360" w:lineRule="auto"/>
        <w:ind w:firstLine="480" w:firstLineChars="200"/>
        <w:rPr>
          <w:rFonts w:eastAsia="黑体"/>
          <w:color w:val="auto"/>
          <w:sz w:val="24"/>
          <w:highlight w:val="none"/>
        </w:rPr>
      </w:pPr>
    </w:p>
    <w:p w14:paraId="10A73B87">
      <w:pPr>
        <w:topLinePunct/>
        <w:adjustRightInd w:val="0"/>
        <w:snapToGrid w:val="0"/>
        <w:spacing w:line="360" w:lineRule="auto"/>
        <w:ind w:firstLine="480" w:firstLineChars="200"/>
        <w:rPr>
          <w:rFonts w:hint="eastAsia"/>
          <w:color w:val="auto"/>
          <w:sz w:val="24"/>
          <w:highlight w:val="none"/>
        </w:rPr>
      </w:pPr>
    </w:p>
    <w:p w14:paraId="40AA0F53">
      <w:pPr>
        <w:topLinePunct/>
        <w:adjustRightInd w:val="0"/>
        <w:snapToGrid w:val="0"/>
        <w:spacing w:line="360" w:lineRule="auto"/>
        <w:ind w:firstLine="480" w:firstLineChars="200"/>
        <w:rPr>
          <w:color w:val="auto"/>
          <w:sz w:val="24"/>
          <w:highlight w:val="none"/>
        </w:rPr>
      </w:pPr>
      <w:r>
        <w:rPr>
          <w:rFonts w:hint="eastAsia"/>
          <w:color w:val="auto"/>
          <w:sz w:val="24"/>
          <w:highlight w:val="none"/>
        </w:rPr>
        <w:t>本人</w:t>
      </w:r>
      <w:r>
        <w:rPr>
          <w:rFonts w:hint="eastAsia" w:ascii="宋体" w:hAnsi="宋体" w:eastAsia="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color w:val="auto"/>
          <w:sz w:val="24"/>
          <w:highlight w:val="none"/>
        </w:rPr>
        <w:t>（姓名）</w:t>
      </w:r>
      <w:r>
        <w:rPr>
          <w:rFonts w:hint="eastAsia"/>
          <w:color w:val="auto"/>
          <w:sz w:val="24"/>
          <w:highlight w:val="none"/>
        </w:rPr>
        <w:t>为</w:t>
      </w:r>
      <w:r>
        <w:rPr>
          <w:rFonts w:hint="eastAsia" w:ascii="宋体" w:hAnsi="宋体" w:eastAsia="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color w:val="auto"/>
          <w:sz w:val="24"/>
          <w:highlight w:val="none"/>
        </w:rPr>
        <w:t>（投标人名称）的法定代表人，现</w:t>
      </w:r>
      <w:r>
        <w:rPr>
          <w:rFonts w:hint="eastAsia"/>
          <w:color w:val="auto"/>
          <w:sz w:val="24"/>
          <w:highlight w:val="none"/>
        </w:rPr>
        <w:t>授</w:t>
      </w:r>
    </w:p>
    <w:p w14:paraId="14B53BB7">
      <w:pPr>
        <w:adjustRightInd w:val="0"/>
        <w:snapToGrid w:val="0"/>
        <w:spacing w:line="360" w:lineRule="auto"/>
        <w:rPr>
          <w:color w:val="auto"/>
          <w:sz w:val="24"/>
          <w:highlight w:val="none"/>
        </w:rPr>
      </w:pPr>
      <w:r>
        <w:rPr>
          <w:rFonts w:hint="eastAsia"/>
          <w:color w:val="auto"/>
          <w:sz w:val="24"/>
          <w:highlight w:val="none"/>
        </w:rPr>
        <w:t>权</w:t>
      </w:r>
      <w:r>
        <w:rPr>
          <w:color w:val="auto"/>
          <w:sz w:val="24"/>
          <w:highlight w:val="none"/>
          <w:u w:val="single"/>
        </w:rPr>
        <w:t xml:space="preserve">        </w:t>
      </w:r>
      <w:r>
        <w:rPr>
          <w:color w:val="auto"/>
          <w:sz w:val="24"/>
          <w:highlight w:val="none"/>
        </w:rPr>
        <w:t>（姓名）为我方</w:t>
      </w:r>
      <w:r>
        <w:rPr>
          <w:rFonts w:hint="eastAsia"/>
          <w:color w:val="auto"/>
          <w:sz w:val="24"/>
          <w:highlight w:val="none"/>
        </w:rPr>
        <w:t>委托</w:t>
      </w:r>
      <w:r>
        <w:rPr>
          <w:color w:val="auto"/>
          <w:sz w:val="24"/>
          <w:highlight w:val="none"/>
        </w:rPr>
        <w:t>代理人。</w:t>
      </w:r>
      <w:r>
        <w:rPr>
          <w:rFonts w:hint="eastAsia"/>
          <w:color w:val="auto"/>
          <w:sz w:val="24"/>
          <w:highlight w:val="none"/>
        </w:rPr>
        <w:t>委托</w:t>
      </w:r>
      <w:r>
        <w:rPr>
          <w:color w:val="auto"/>
          <w:sz w:val="24"/>
          <w:highlight w:val="none"/>
        </w:rPr>
        <w:t>代理人根据授权，以我方名义签署、澄清</w:t>
      </w:r>
      <w:r>
        <w:rPr>
          <w:rFonts w:hint="eastAsia"/>
          <w:color w:val="auto"/>
          <w:sz w:val="24"/>
          <w:highlight w:val="none"/>
        </w:rPr>
        <w:t>、说明、补正</w:t>
      </w:r>
      <w:r>
        <w:rPr>
          <w:color w:val="auto"/>
          <w:sz w:val="24"/>
          <w:highlight w:val="none"/>
        </w:rPr>
        <w:t>、递交、撤回、修改</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（项目名称）投标文件</w:t>
      </w:r>
      <w:r>
        <w:rPr>
          <w:rFonts w:hint="eastAsia"/>
          <w:color w:val="auto"/>
          <w:sz w:val="24"/>
          <w:highlight w:val="none"/>
        </w:rPr>
        <w:t>，并</w:t>
      </w:r>
      <w:r>
        <w:rPr>
          <w:color w:val="auto"/>
          <w:sz w:val="24"/>
          <w:highlight w:val="none"/>
        </w:rPr>
        <w:t>处理有关事宜，其法律后果由我方承担。</w:t>
      </w:r>
      <w:r>
        <w:rPr>
          <w:rFonts w:hint="eastAsia"/>
          <w:color w:val="auto"/>
          <w:sz w:val="24"/>
          <w:highlight w:val="none"/>
        </w:rPr>
        <w:t>委托</w:t>
      </w:r>
      <w:r>
        <w:rPr>
          <w:color w:val="auto"/>
          <w:sz w:val="24"/>
          <w:highlight w:val="none"/>
        </w:rPr>
        <w:t>代理人无转委托权。</w:t>
      </w:r>
    </w:p>
    <w:p w14:paraId="404EE23A">
      <w:pPr>
        <w:adjustRightInd w:val="0"/>
        <w:snapToGrid w:val="0"/>
        <w:spacing w:line="360" w:lineRule="auto"/>
        <w:ind w:firstLine="480" w:firstLineChars="200"/>
        <w:rPr>
          <w:color w:val="auto"/>
          <w:sz w:val="24"/>
          <w:highlight w:val="none"/>
        </w:rPr>
      </w:pPr>
      <w:r>
        <w:rPr>
          <w:rFonts w:hint="eastAsia"/>
          <w:color w:val="auto"/>
          <w:sz w:val="24"/>
          <w:highlight w:val="none"/>
        </w:rPr>
        <w:t>有效</w:t>
      </w:r>
      <w:r>
        <w:rPr>
          <w:color w:val="auto"/>
          <w:sz w:val="24"/>
          <w:highlight w:val="none"/>
        </w:rPr>
        <w:t>期限：</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rPr>
        <w:t>。</w:t>
      </w:r>
    </w:p>
    <w:p w14:paraId="717B9E92">
      <w:pPr>
        <w:adjustRightInd w:val="0"/>
        <w:snapToGrid w:val="0"/>
        <w:spacing w:line="360" w:lineRule="auto"/>
        <w:rPr>
          <w:color w:val="auto"/>
          <w:sz w:val="24"/>
          <w:highlight w:val="none"/>
        </w:rPr>
      </w:pPr>
    </w:p>
    <w:p w14:paraId="43AA6ADE">
      <w:pPr>
        <w:adjustRightInd w:val="0"/>
        <w:snapToGrid w:val="0"/>
        <w:spacing w:line="360" w:lineRule="auto"/>
        <w:ind w:firstLine="480" w:firstLineChars="200"/>
        <w:rPr>
          <w:rFonts w:hint="eastAsia"/>
          <w:color w:val="auto"/>
          <w:sz w:val="24"/>
          <w:szCs w:val="24"/>
          <w:highlight w:val="none"/>
        </w:rPr>
      </w:pPr>
      <w:r>
        <w:rPr>
          <w:rFonts w:hint="eastAsia"/>
          <w:color w:val="auto"/>
          <w:sz w:val="24"/>
          <w:szCs w:val="24"/>
          <w:highlight w:val="none"/>
        </w:rPr>
        <w:t>委托代理人性别：</w:t>
      </w:r>
      <w:r>
        <w:rPr>
          <w:rFonts w:hint="eastAsia"/>
          <w:color w:val="auto"/>
          <w:sz w:val="24"/>
          <w:szCs w:val="24"/>
          <w:highlight w:val="none"/>
          <w:u w:val="single"/>
        </w:rPr>
        <w:t xml:space="preserve">　   </w:t>
      </w:r>
      <w:r>
        <w:rPr>
          <w:rFonts w:hint="eastAsia"/>
          <w:color w:val="auto"/>
          <w:sz w:val="24"/>
          <w:szCs w:val="24"/>
          <w:highlight w:val="none"/>
        </w:rPr>
        <w:t>，年龄：</w:t>
      </w:r>
      <w:r>
        <w:rPr>
          <w:rFonts w:hint="eastAsia"/>
          <w:color w:val="auto"/>
          <w:sz w:val="24"/>
          <w:szCs w:val="24"/>
          <w:highlight w:val="none"/>
          <w:u w:val="single"/>
        </w:rPr>
        <w:t xml:space="preserve">　  </w:t>
      </w:r>
      <w:r>
        <w:rPr>
          <w:rFonts w:hint="eastAsia"/>
          <w:color w:val="auto"/>
          <w:sz w:val="24"/>
          <w:szCs w:val="24"/>
          <w:highlight w:val="none"/>
        </w:rPr>
        <w:t>，身份证号码：</w:t>
      </w:r>
      <w:r>
        <w:rPr>
          <w:rFonts w:hint="eastAsia"/>
          <w:color w:val="auto"/>
          <w:sz w:val="24"/>
          <w:szCs w:val="24"/>
          <w:highlight w:val="none"/>
          <w:u w:val="single"/>
        </w:rPr>
        <w:t xml:space="preserve">        </w:t>
      </w:r>
      <w:r>
        <w:rPr>
          <w:rFonts w:hint="eastAsia"/>
          <w:color w:val="auto"/>
          <w:sz w:val="24"/>
          <w:szCs w:val="24"/>
          <w:highlight w:val="none"/>
        </w:rPr>
        <w:t xml:space="preserve">。 </w:t>
      </w:r>
    </w:p>
    <w:p w14:paraId="42E2C6AD">
      <w:pPr>
        <w:adjustRightInd w:val="0"/>
        <w:snapToGrid w:val="0"/>
        <w:spacing w:line="360" w:lineRule="auto"/>
        <w:ind w:firstLine="480" w:firstLineChars="200"/>
        <w:rPr>
          <w:rFonts w:hint="eastAsia"/>
          <w:color w:val="auto"/>
          <w:sz w:val="24"/>
          <w:highlight w:val="none"/>
        </w:rPr>
      </w:pPr>
      <w:r>
        <w:rPr>
          <w:rFonts w:hint="eastAsia"/>
          <w:color w:val="auto"/>
          <w:sz w:val="24"/>
          <w:highlight w:val="none"/>
        </w:rPr>
        <w:t>附：委托代理人身份证复印件</w:t>
      </w:r>
    </w:p>
    <w:p w14:paraId="19AA2175">
      <w:pPr>
        <w:adjustRightInd w:val="0"/>
        <w:snapToGrid w:val="0"/>
        <w:spacing w:line="360" w:lineRule="auto"/>
        <w:rPr>
          <w:color w:val="auto"/>
          <w:sz w:val="24"/>
          <w:highlight w:val="none"/>
        </w:rPr>
      </w:pPr>
    </w:p>
    <w:p w14:paraId="09CD115D">
      <w:pPr>
        <w:adjustRightInd w:val="0"/>
        <w:snapToGrid w:val="0"/>
        <w:spacing w:line="360" w:lineRule="auto"/>
        <w:rPr>
          <w:color w:val="auto"/>
          <w:sz w:val="24"/>
          <w:highlight w:val="none"/>
        </w:rPr>
      </w:pPr>
    </w:p>
    <w:p w14:paraId="198E2C66">
      <w:pPr>
        <w:adjustRightInd w:val="0"/>
        <w:snapToGrid w:val="0"/>
        <w:spacing w:line="360" w:lineRule="auto"/>
        <w:rPr>
          <w:color w:val="auto"/>
          <w:sz w:val="24"/>
          <w:highlight w:val="none"/>
        </w:rPr>
      </w:pPr>
    </w:p>
    <w:p w14:paraId="06010729">
      <w:pPr>
        <w:adjustRightInd w:val="0"/>
        <w:snapToGrid w:val="0"/>
        <w:spacing w:line="360" w:lineRule="auto"/>
        <w:rPr>
          <w:color w:val="auto"/>
          <w:sz w:val="24"/>
          <w:highlight w:val="none"/>
        </w:rPr>
      </w:pPr>
    </w:p>
    <w:p w14:paraId="71BAF2C9">
      <w:pPr>
        <w:adjustRightInd w:val="0"/>
        <w:snapToGrid w:val="0"/>
        <w:spacing w:line="360" w:lineRule="auto"/>
        <w:rPr>
          <w:color w:val="auto"/>
          <w:sz w:val="24"/>
          <w:highlight w:val="none"/>
        </w:rPr>
      </w:pPr>
    </w:p>
    <w:p w14:paraId="5EE2FD0B">
      <w:pPr>
        <w:adjustRightInd w:val="0"/>
        <w:snapToGrid w:val="0"/>
        <w:spacing w:line="360" w:lineRule="auto"/>
        <w:ind w:firstLine="480" w:firstLineChars="200"/>
        <w:rPr>
          <w:color w:val="auto"/>
          <w:sz w:val="24"/>
          <w:highlight w:val="none"/>
        </w:rPr>
      </w:pPr>
      <w:r>
        <w:rPr>
          <w:color w:val="auto"/>
          <w:sz w:val="24"/>
          <w:highlight w:val="none"/>
        </w:rPr>
        <w:t>投标人：（盖章）</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p>
    <w:p w14:paraId="7EA983BD">
      <w:pPr>
        <w:adjustRightInd w:val="0"/>
        <w:snapToGrid w:val="0"/>
        <w:spacing w:line="360" w:lineRule="auto"/>
        <w:ind w:firstLine="480" w:firstLineChars="200"/>
        <w:rPr>
          <w:color w:val="auto"/>
          <w:sz w:val="24"/>
          <w:highlight w:val="none"/>
        </w:rPr>
      </w:pPr>
      <w:r>
        <w:rPr>
          <w:color w:val="auto"/>
          <w:sz w:val="24"/>
          <w:highlight w:val="none"/>
        </w:rPr>
        <w:t>法定代表人：（签字</w:t>
      </w:r>
      <w:r>
        <w:rPr>
          <w:rFonts w:hint="eastAsia"/>
          <w:color w:val="auto"/>
          <w:sz w:val="24"/>
          <w:highlight w:val="none"/>
        </w:rPr>
        <w:t>或盖章</w:t>
      </w:r>
      <w:r>
        <w:rPr>
          <w:color w:val="auto"/>
          <w:sz w:val="24"/>
          <w:highlight w:val="none"/>
        </w:rPr>
        <w:t>）</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p>
    <w:p w14:paraId="1284A7FC">
      <w:pPr>
        <w:adjustRightInd w:val="0"/>
        <w:snapToGrid w:val="0"/>
        <w:spacing w:line="360" w:lineRule="auto"/>
        <w:ind w:firstLine="480" w:firstLineChars="200"/>
        <w:rPr>
          <w:color w:val="auto"/>
          <w:sz w:val="24"/>
          <w:highlight w:val="none"/>
        </w:rPr>
      </w:pPr>
      <w:r>
        <w:rPr>
          <w:color w:val="auto"/>
          <w:sz w:val="24"/>
          <w:highlight w:val="none"/>
        </w:rPr>
        <w:t>委托代理人：</w:t>
      </w:r>
      <w:r>
        <w:rPr>
          <w:rFonts w:hint="eastAsia"/>
          <w:color w:val="auto"/>
          <w:sz w:val="24"/>
          <w:highlight w:val="none"/>
        </w:rPr>
        <w:t>（签字或盖章）</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p>
    <w:p w14:paraId="4DFCD730">
      <w:pPr>
        <w:adjustRightInd w:val="0"/>
        <w:snapToGrid w:val="0"/>
        <w:spacing w:line="360" w:lineRule="auto"/>
        <w:ind w:firstLine="480" w:firstLineChars="200"/>
        <w:rPr>
          <w:rFonts w:hint="eastAsia"/>
          <w:color w:val="auto"/>
          <w:sz w:val="24"/>
          <w:highlight w:val="none"/>
        </w:rPr>
      </w:pPr>
    </w:p>
    <w:p w14:paraId="76F72C86">
      <w:pPr>
        <w:adjustRightInd w:val="0"/>
        <w:snapToGrid w:val="0"/>
        <w:spacing w:line="360" w:lineRule="auto"/>
        <w:ind w:firstLine="480" w:firstLineChars="200"/>
        <w:rPr>
          <w:rFonts w:hint="eastAsia"/>
          <w:color w:val="auto"/>
          <w:sz w:val="24"/>
          <w:highlight w:val="none"/>
        </w:rPr>
      </w:pPr>
    </w:p>
    <w:p w14:paraId="20FF0719">
      <w:pPr>
        <w:adjustRightInd w:val="0"/>
        <w:snapToGrid w:val="0"/>
        <w:spacing w:line="360" w:lineRule="auto"/>
        <w:ind w:firstLine="480" w:firstLineChars="200"/>
        <w:rPr>
          <w:color w:val="auto"/>
          <w:sz w:val="24"/>
          <w:highlight w:val="none"/>
        </w:rPr>
      </w:pPr>
    </w:p>
    <w:p w14:paraId="5D6921FF">
      <w:pPr>
        <w:adjustRightInd w:val="0"/>
        <w:snapToGrid w:val="0"/>
        <w:spacing w:line="360" w:lineRule="auto"/>
        <w:ind w:firstLine="4320" w:firstLineChars="1800"/>
        <w:jc w:val="right"/>
        <w:rPr>
          <w:rFonts w:eastAsia="黑体"/>
          <w:color w:val="auto"/>
          <w:sz w:val="24"/>
          <w:highlight w:val="none"/>
        </w:rPr>
      </w:pP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14:paraId="083057CC">
      <w:pPr>
        <w:pStyle w:val="5"/>
        <w:rPr>
          <w:rFonts w:hint="eastAsia"/>
          <w:color w:val="auto"/>
          <w:highlight w:val="none"/>
        </w:rPr>
        <w:sectPr>
          <w:pgSz w:w="11850" w:h="16783"/>
          <w:pgMar w:top="1417" w:right="1290" w:bottom="1417" w:left="1290" w:header="851" w:footer="992" w:gutter="0"/>
          <w:pgNumType w:fmt="decimal"/>
          <w:cols w:space="720" w:num="1"/>
          <w:docGrid w:type="lines" w:linePitch="312" w:charSpace="0"/>
        </w:sectPr>
      </w:pPr>
    </w:p>
    <w:p w14:paraId="642F8A1B">
      <w:pPr>
        <w:outlineLvl w:val="2"/>
        <w:rPr>
          <w:rFonts w:hint="eastAsia" w:ascii="宋体" w:hAnsi="宋体" w:eastAsia="宋体"/>
          <w:strike/>
          <w:color w:val="auto"/>
          <w:sz w:val="24"/>
          <w:szCs w:val="24"/>
          <w:highlight w:val="none"/>
        </w:rPr>
      </w:pPr>
      <w:bookmarkStart w:id="344" w:name="_第五章__技术条件（工程建设标准）"/>
      <w:bookmarkEnd w:id="344"/>
      <w:bookmarkStart w:id="345" w:name="_Toc24538"/>
      <w:bookmarkStart w:id="346" w:name="_Toc1260"/>
      <w:bookmarkStart w:id="347" w:name="_Toc10827"/>
      <w:bookmarkStart w:id="348" w:name="_Toc10195"/>
      <w:bookmarkStart w:id="349" w:name="_Toc18004"/>
      <w:bookmarkStart w:id="350" w:name="_Toc3966"/>
      <w:bookmarkStart w:id="351" w:name="_Toc17079"/>
      <w:bookmarkStart w:id="352" w:name="_Toc19497"/>
      <w:bookmarkStart w:id="353" w:name="_Toc25823"/>
      <w:bookmarkStart w:id="354" w:name="_Toc262229176"/>
      <w:bookmarkStart w:id="355" w:name="_Toc23174"/>
      <w:bookmarkStart w:id="356" w:name="_Toc6556"/>
      <w:r>
        <w:rPr>
          <w:rFonts w:hint="eastAsia" w:ascii="宋体" w:hAnsi="宋体" w:eastAsia="宋体"/>
          <w:strike/>
          <w:color w:val="auto"/>
          <w:sz w:val="24"/>
          <w:szCs w:val="24"/>
          <w:highlight w:val="none"/>
        </w:rPr>
        <w:t>附件</w:t>
      </w:r>
      <w:r>
        <w:rPr>
          <w:rFonts w:hint="eastAsia" w:ascii="宋体" w:hAnsi="宋体" w:eastAsia="宋体"/>
          <w:strike/>
          <w:color w:val="auto"/>
          <w:sz w:val="24"/>
          <w:szCs w:val="24"/>
          <w:highlight w:val="none"/>
          <w:lang w:val="en-US" w:eastAsia="zh-CN"/>
        </w:rPr>
        <w:t>16</w:t>
      </w:r>
      <w:r>
        <w:rPr>
          <w:rFonts w:hint="eastAsia" w:ascii="宋体" w:hAnsi="宋体" w:eastAsia="宋体"/>
          <w:strike/>
          <w:color w:val="auto"/>
          <w:sz w:val="24"/>
          <w:szCs w:val="24"/>
          <w:highlight w:val="none"/>
        </w:rPr>
        <w:t xml:space="preserve"> 联合体投标协议</w:t>
      </w:r>
      <w:bookmarkEnd w:id="345"/>
      <w:bookmarkEnd w:id="346"/>
      <w:bookmarkEnd w:id="347"/>
      <w:bookmarkEnd w:id="348"/>
      <w:bookmarkEnd w:id="349"/>
      <w:bookmarkEnd w:id="350"/>
      <w:bookmarkEnd w:id="351"/>
    </w:p>
    <w:p w14:paraId="0DB0AE6B">
      <w:pPr>
        <w:jc w:val="center"/>
        <w:rPr>
          <w:rFonts w:hint="eastAsia" w:ascii="宋体" w:hAnsi="宋体"/>
          <w:b/>
          <w:bCs/>
          <w:strike/>
          <w:color w:val="auto"/>
          <w:sz w:val="32"/>
          <w:highlight w:val="none"/>
        </w:rPr>
      </w:pPr>
    </w:p>
    <w:p w14:paraId="441ED7B2">
      <w:pPr>
        <w:jc w:val="center"/>
        <w:rPr>
          <w:rFonts w:hint="eastAsia" w:ascii="宋体" w:hAnsi="宋体"/>
          <w:strike/>
          <w:color w:val="auto"/>
          <w:sz w:val="24"/>
          <w:highlight w:val="none"/>
        </w:rPr>
      </w:pPr>
      <w:r>
        <w:rPr>
          <w:rFonts w:hint="eastAsia" w:ascii="宋体" w:hAnsi="宋体"/>
          <w:b/>
          <w:bCs/>
          <w:strike/>
          <w:color w:val="auto"/>
          <w:sz w:val="32"/>
          <w:highlight w:val="none"/>
        </w:rPr>
        <w:t>联合体投标协议</w:t>
      </w:r>
    </w:p>
    <w:p w14:paraId="534CCB3D">
      <w:pPr>
        <w:adjustRightInd w:val="0"/>
        <w:snapToGrid w:val="0"/>
        <w:spacing w:line="360" w:lineRule="auto"/>
        <w:rPr>
          <w:rFonts w:hint="eastAsia" w:ascii="宋体" w:hAnsi="宋体"/>
          <w:strike/>
          <w:color w:val="auto"/>
          <w:sz w:val="24"/>
          <w:highlight w:val="none"/>
        </w:rPr>
      </w:pPr>
    </w:p>
    <w:p w14:paraId="00034519">
      <w:pPr>
        <w:topLinePunct/>
        <w:adjustRightInd w:val="0"/>
        <w:snapToGrid w:val="0"/>
        <w:spacing w:line="360" w:lineRule="auto"/>
        <w:rPr>
          <w:rFonts w:ascii="宋体" w:hAnsi="宋体"/>
          <w:strike/>
          <w:color w:val="auto"/>
          <w:sz w:val="24"/>
          <w:highlight w:val="none"/>
        </w:rPr>
      </w:pPr>
      <w:r>
        <w:rPr>
          <w:rFonts w:hint="eastAsia" w:ascii="宋体" w:hAnsi="宋体"/>
          <w:strike/>
          <w:color w:val="auto"/>
          <w:sz w:val="24"/>
          <w:highlight w:val="none"/>
        </w:rPr>
        <w:t xml:space="preserve">    </w:t>
      </w:r>
      <w:r>
        <w:rPr>
          <w:rFonts w:hint="eastAsia" w:hAnsi="宋体"/>
          <w:strike/>
          <w:color w:val="auto"/>
          <w:sz w:val="24"/>
          <w:highlight w:val="none"/>
        </w:rPr>
        <w:t>我方自愿组成联合体共同参加</w:t>
      </w:r>
      <w:r>
        <w:rPr>
          <w:rFonts w:hint="eastAsia" w:hAnsi="宋体"/>
          <w:strike/>
          <w:color w:val="auto"/>
          <w:sz w:val="24"/>
          <w:highlight w:val="none"/>
          <w:u w:val="single"/>
        </w:rPr>
        <w:t xml:space="preserve">          </w:t>
      </w:r>
      <w:r>
        <w:rPr>
          <w:rFonts w:hint="eastAsia" w:hAnsi="宋体"/>
          <w:strike/>
          <w:color w:val="auto"/>
          <w:sz w:val="24"/>
          <w:highlight w:val="none"/>
        </w:rPr>
        <w:t>项目的投标，</w:t>
      </w:r>
      <w:r>
        <w:rPr>
          <w:rFonts w:ascii="宋体" w:hAnsi="宋体"/>
          <w:strike/>
          <w:color w:val="auto"/>
          <w:sz w:val="24"/>
          <w:highlight w:val="none"/>
        </w:rPr>
        <w:t>现就联合体投标事宜订立如下协议。</w:t>
      </w:r>
    </w:p>
    <w:p w14:paraId="212DFBAD">
      <w:pPr>
        <w:topLinePunct/>
        <w:adjustRightInd w:val="0"/>
        <w:snapToGrid w:val="0"/>
        <w:spacing w:line="360" w:lineRule="auto"/>
        <w:ind w:firstLine="480" w:firstLineChars="200"/>
        <w:rPr>
          <w:rFonts w:ascii="宋体" w:hAnsi="宋体"/>
          <w:strike/>
          <w:color w:val="auto"/>
          <w:sz w:val="24"/>
          <w:highlight w:val="none"/>
        </w:rPr>
      </w:pPr>
      <w:r>
        <w:rPr>
          <w:rFonts w:ascii="宋体" w:hAnsi="宋体"/>
          <w:strike/>
          <w:color w:val="auto"/>
          <w:sz w:val="24"/>
          <w:highlight w:val="none"/>
        </w:rPr>
        <w:t>1</w:t>
      </w:r>
      <w:r>
        <w:rPr>
          <w:rFonts w:hint="eastAsia" w:ascii="宋体" w:hAnsi="宋体"/>
          <w:strike/>
          <w:color w:val="auto"/>
          <w:sz w:val="24"/>
          <w:highlight w:val="none"/>
        </w:rPr>
        <w:t>.</w:t>
      </w:r>
      <w:r>
        <w:rPr>
          <w:rFonts w:ascii="宋体" w:hAnsi="宋体"/>
          <w:strike/>
          <w:color w:val="auto"/>
          <w:sz w:val="24"/>
          <w:highlight w:val="none"/>
          <w:u w:val="single"/>
        </w:rPr>
        <w:t xml:space="preserve">    </w:t>
      </w:r>
      <w:r>
        <w:rPr>
          <w:rFonts w:hint="eastAsia" w:ascii="宋体" w:hAnsi="宋体"/>
          <w:strike/>
          <w:color w:val="auto"/>
          <w:sz w:val="24"/>
          <w:highlight w:val="none"/>
          <w:u w:val="single"/>
        </w:rPr>
        <w:t xml:space="preserve">        </w:t>
      </w:r>
      <w:r>
        <w:rPr>
          <w:rFonts w:ascii="宋体" w:hAnsi="宋体"/>
          <w:strike/>
          <w:color w:val="auto"/>
          <w:sz w:val="24"/>
          <w:highlight w:val="none"/>
          <w:u w:val="single"/>
        </w:rPr>
        <w:t xml:space="preserve">   </w:t>
      </w:r>
      <w:r>
        <w:rPr>
          <w:rFonts w:ascii="宋体" w:hAnsi="宋体"/>
          <w:strike/>
          <w:color w:val="auto"/>
          <w:sz w:val="24"/>
          <w:highlight w:val="none"/>
        </w:rPr>
        <w:t>为</w:t>
      </w:r>
      <w:r>
        <w:rPr>
          <w:rFonts w:hint="eastAsia" w:ascii="宋体" w:hAnsi="宋体"/>
          <w:strike/>
          <w:color w:val="auto"/>
          <w:sz w:val="24"/>
          <w:highlight w:val="none"/>
        </w:rPr>
        <w:t>联合体主办方</w:t>
      </w:r>
      <w:r>
        <w:rPr>
          <w:rFonts w:ascii="宋体" w:hAnsi="宋体"/>
          <w:strike/>
          <w:color w:val="auto"/>
          <w:sz w:val="24"/>
          <w:highlight w:val="none"/>
        </w:rPr>
        <w:t>。</w:t>
      </w:r>
    </w:p>
    <w:p w14:paraId="22871051">
      <w:pPr>
        <w:topLinePunct/>
        <w:adjustRightInd w:val="0"/>
        <w:snapToGrid w:val="0"/>
        <w:spacing w:line="360" w:lineRule="auto"/>
        <w:ind w:firstLine="480" w:firstLineChars="200"/>
        <w:rPr>
          <w:rFonts w:ascii="宋体" w:hAnsi="宋体"/>
          <w:strike/>
          <w:color w:val="auto"/>
          <w:sz w:val="24"/>
          <w:highlight w:val="none"/>
        </w:rPr>
      </w:pPr>
      <w:r>
        <w:rPr>
          <w:rFonts w:ascii="宋体" w:hAnsi="宋体"/>
          <w:strike/>
          <w:color w:val="auto"/>
          <w:sz w:val="24"/>
          <w:highlight w:val="none"/>
        </w:rPr>
        <w:t>联合体</w:t>
      </w:r>
      <w:r>
        <w:rPr>
          <w:rFonts w:hint="eastAsia" w:ascii="宋体" w:hAnsi="宋体"/>
          <w:strike/>
          <w:color w:val="auto"/>
          <w:sz w:val="24"/>
          <w:highlight w:val="none"/>
        </w:rPr>
        <w:t>主办方合法代表联合体各成员负责本招标项目投标文件编制和合同谈判活动，并代表联合体提交和接收相关的资料、信息及指示，并处理与之有关的一切事务，</w:t>
      </w:r>
      <w:r>
        <w:rPr>
          <w:rFonts w:ascii="宋体" w:hAnsi="宋体"/>
          <w:strike/>
          <w:color w:val="auto"/>
          <w:sz w:val="24"/>
          <w:highlight w:val="none"/>
        </w:rPr>
        <w:t>负责合同实施阶段的主办、组织和协调工作。</w:t>
      </w:r>
    </w:p>
    <w:p w14:paraId="209DC517">
      <w:pPr>
        <w:topLinePunct/>
        <w:adjustRightInd w:val="0"/>
        <w:snapToGrid w:val="0"/>
        <w:spacing w:line="360" w:lineRule="auto"/>
        <w:ind w:firstLine="480" w:firstLineChars="200"/>
        <w:rPr>
          <w:rFonts w:ascii="宋体" w:hAnsi="宋体"/>
          <w:strike/>
          <w:color w:val="auto"/>
          <w:sz w:val="24"/>
          <w:highlight w:val="none"/>
        </w:rPr>
      </w:pPr>
      <w:r>
        <w:rPr>
          <w:rFonts w:hint="eastAsia" w:ascii="宋体" w:hAnsi="宋体"/>
          <w:strike/>
          <w:color w:val="auto"/>
          <w:sz w:val="24"/>
          <w:highlight w:val="none"/>
        </w:rPr>
        <w:t>2.</w:t>
      </w:r>
      <w:r>
        <w:rPr>
          <w:rFonts w:ascii="宋体" w:hAnsi="宋体"/>
          <w:strike/>
          <w:color w:val="auto"/>
          <w:sz w:val="24"/>
          <w:highlight w:val="none"/>
        </w:rPr>
        <w:t>联合体将严格按照招标文件的各项要求，递交投标文件，履行合同，并对外承担连带责任。</w:t>
      </w:r>
    </w:p>
    <w:p w14:paraId="3EB926D3">
      <w:pPr>
        <w:topLinePunct/>
        <w:adjustRightInd w:val="0"/>
        <w:snapToGrid w:val="0"/>
        <w:spacing w:line="360" w:lineRule="auto"/>
        <w:ind w:firstLine="480" w:firstLineChars="200"/>
        <w:rPr>
          <w:rFonts w:ascii="宋体" w:hAnsi="宋体"/>
          <w:strike/>
          <w:color w:val="auto"/>
          <w:sz w:val="24"/>
          <w:highlight w:val="none"/>
        </w:rPr>
      </w:pPr>
      <w:r>
        <w:rPr>
          <w:rFonts w:hint="eastAsia" w:ascii="宋体" w:hAnsi="宋体"/>
          <w:strike/>
          <w:color w:val="auto"/>
          <w:sz w:val="24"/>
          <w:highlight w:val="none"/>
        </w:rPr>
        <w:t>3.</w:t>
      </w:r>
      <w:r>
        <w:rPr>
          <w:rFonts w:ascii="宋体" w:hAnsi="宋体"/>
          <w:strike/>
          <w:color w:val="auto"/>
          <w:sz w:val="24"/>
          <w:highlight w:val="none"/>
        </w:rPr>
        <w:t xml:space="preserve">本协议书自签署之日起生效，合同履行完毕后自动失效。 </w:t>
      </w:r>
    </w:p>
    <w:p w14:paraId="0EF5A243">
      <w:pPr>
        <w:topLinePunct/>
        <w:adjustRightInd w:val="0"/>
        <w:snapToGrid w:val="0"/>
        <w:spacing w:line="360" w:lineRule="auto"/>
        <w:ind w:firstLine="480" w:firstLineChars="200"/>
        <w:rPr>
          <w:rFonts w:hint="eastAsia" w:ascii="宋体" w:hAnsi="宋体"/>
          <w:strike/>
          <w:color w:val="auto"/>
          <w:sz w:val="24"/>
          <w:highlight w:val="none"/>
        </w:rPr>
      </w:pPr>
      <w:r>
        <w:rPr>
          <w:rFonts w:hint="eastAsia" w:ascii="宋体" w:hAnsi="宋体"/>
          <w:strike/>
          <w:color w:val="auto"/>
          <w:sz w:val="24"/>
          <w:highlight w:val="none"/>
        </w:rPr>
        <w:t>4.</w:t>
      </w:r>
      <w:r>
        <w:rPr>
          <w:rFonts w:ascii="宋体" w:hAnsi="宋体"/>
          <w:strike/>
          <w:color w:val="auto"/>
          <w:sz w:val="24"/>
          <w:highlight w:val="none"/>
        </w:rPr>
        <w:t>本协议书一式</w:t>
      </w:r>
      <w:r>
        <w:rPr>
          <w:rFonts w:ascii="宋体" w:hAnsi="宋体"/>
          <w:strike/>
          <w:color w:val="auto"/>
          <w:sz w:val="24"/>
          <w:highlight w:val="none"/>
          <w:u w:val="single"/>
        </w:rPr>
        <w:t xml:space="preserve">  </w:t>
      </w:r>
      <w:r>
        <w:rPr>
          <w:rFonts w:hint="eastAsia" w:ascii="宋体" w:hAnsi="宋体"/>
          <w:strike/>
          <w:color w:val="auto"/>
          <w:sz w:val="24"/>
          <w:highlight w:val="none"/>
          <w:u w:val="single"/>
        </w:rPr>
        <w:t xml:space="preserve">  </w:t>
      </w:r>
      <w:r>
        <w:rPr>
          <w:rFonts w:ascii="宋体" w:hAnsi="宋体"/>
          <w:strike/>
          <w:color w:val="auto"/>
          <w:sz w:val="24"/>
          <w:highlight w:val="none"/>
          <w:u w:val="single"/>
        </w:rPr>
        <w:t xml:space="preserve"> </w:t>
      </w:r>
      <w:r>
        <w:rPr>
          <w:rFonts w:ascii="宋体" w:hAnsi="宋体"/>
          <w:strike/>
          <w:color w:val="auto"/>
          <w:sz w:val="24"/>
          <w:highlight w:val="none"/>
        </w:rPr>
        <w:t>份，联合体成员和招标人各执一份。</w:t>
      </w:r>
    </w:p>
    <w:p w14:paraId="259982E7">
      <w:pPr>
        <w:topLinePunct/>
        <w:adjustRightInd w:val="0"/>
        <w:snapToGrid w:val="0"/>
        <w:spacing w:line="360" w:lineRule="auto"/>
        <w:rPr>
          <w:rFonts w:ascii="宋体" w:hAnsi="宋体"/>
          <w:strike/>
          <w:color w:val="auto"/>
          <w:sz w:val="24"/>
          <w:highlight w:val="none"/>
        </w:rPr>
      </w:pPr>
    </w:p>
    <w:p w14:paraId="32932ABA">
      <w:pPr>
        <w:topLinePunct/>
        <w:adjustRightInd w:val="0"/>
        <w:snapToGrid w:val="0"/>
        <w:spacing w:line="360" w:lineRule="auto"/>
        <w:ind w:firstLine="480" w:firstLineChars="200"/>
        <w:rPr>
          <w:rFonts w:ascii="宋体" w:hAnsi="宋体"/>
          <w:strike/>
          <w:color w:val="auto"/>
          <w:sz w:val="24"/>
          <w:highlight w:val="none"/>
        </w:rPr>
      </w:pPr>
      <w:r>
        <w:rPr>
          <w:rFonts w:hint="eastAsia" w:ascii="宋体" w:hAnsi="宋体"/>
          <w:strike/>
          <w:color w:val="auto"/>
          <w:sz w:val="24"/>
          <w:highlight w:val="none"/>
        </w:rPr>
        <w:t>主办方</w:t>
      </w:r>
      <w:r>
        <w:rPr>
          <w:rFonts w:ascii="宋体" w:hAnsi="宋体"/>
          <w:strike/>
          <w:color w:val="auto"/>
          <w:sz w:val="24"/>
          <w:highlight w:val="none"/>
        </w:rPr>
        <w:t>名称：（盖章）</w:t>
      </w:r>
      <w:r>
        <w:rPr>
          <w:rFonts w:ascii="宋体" w:hAnsi="宋体"/>
          <w:strike/>
          <w:color w:val="auto"/>
          <w:sz w:val="24"/>
          <w:highlight w:val="none"/>
          <w:u w:val="single"/>
        </w:rPr>
        <w:t xml:space="preserve">                           </w:t>
      </w:r>
      <w:r>
        <w:rPr>
          <w:rFonts w:hint="eastAsia" w:ascii="宋体" w:hAnsi="宋体"/>
          <w:strike/>
          <w:color w:val="auto"/>
          <w:sz w:val="24"/>
          <w:highlight w:val="none"/>
          <w:u w:val="single"/>
        </w:rPr>
        <w:t xml:space="preserve">        </w:t>
      </w:r>
      <w:r>
        <w:rPr>
          <w:rFonts w:ascii="宋体" w:hAnsi="宋体"/>
          <w:strike/>
          <w:color w:val="auto"/>
          <w:sz w:val="24"/>
          <w:highlight w:val="none"/>
          <w:u w:val="single"/>
        </w:rPr>
        <w:t xml:space="preserve">    </w:t>
      </w:r>
    </w:p>
    <w:p w14:paraId="30830362">
      <w:pPr>
        <w:topLinePunct/>
        <w:adjustRightInd w:val="0"/>
        <w:snapToGrid w:val="0"/>
        <w:spacing w:line="360" w:lineRule="auto"/>
        <w:ind w:firstLine="480" w:firstLineChars="200"/>
        <w:rPr>
          <w:rFonts w:ascii="宋体" w:hAnsi="宋体"/>
          <w:strike/>
          <w:color w:val="auto"/>
          <w:sz w:val="24"/>
          <w:highlight w:val="none"/>
        </w:rPr>
      </w:pPr>
      <w:r>
        <w:rPr>
          <w:rFonts w:ascii="宋体" w:hAnsi="宋体"/>
          <w:strike/>
          <w:color w:val="auto"/>
          <w:sz w:val="24"/>
          <w:highlight w:val="none"/>
        </w:rPr>
        <w:t>法定代表人：（签字</w:t>
      </w:r>
      <w:r>
        <w:rPr>
          <w:rFonts w:hint="eastAsia" w:ascii="宋体" w:hAnsi="宋体"/>
          <w:strike/>
          <w:color w:val="auto"/>
          <w:sz w:val="24"/>
          <w:highlight w:val="none"/>
        </w:rPr>
        <w:t>或盖章</w:t>
      </w:r>
      <w:r>
        <w:rPr>
          <w:rFonts w:ascii="宋体" w:hAnsi="宋体"/>
          <w:strike/>
          <w:color w:val="auto"/>
          <w:sz w:val="24"/>
          <w:highlight w:val="none"/>
        </w:rPr>
        <w:t>）</w:t>
      </w:r>
      <w:r>
        <w:rPr>
          <w:rFonts w:ascii="宋体" w:hAnsi="宋体"/>
          <w:strike/>
          <w:color w:val="auto"/>
          <w:sz w:val="24"/>
          <w:highlight w:val="none"/>
          <w:u w:val="single"/>
        </w:rPr>
        <w:t xml:space="preserve">          </w:t>
      </w:r>
      <w:r>
        <w:rPr>
          <w:rFonts w:hint="eastAsia" w:ascii="宋体" w:hAnsi="宋体"/>
          <w:strike/>
          <w:color w:val="auto"/>
          <w:sz w:val="24"/>
          <w:highlight w:val="none"/>
          <w:u w:val="single"/>
        </w:rPr>
        <w:t xml:space="preserve">              </w:t>
      </w:r>
      <w:r>
        <w:rPr>
          <w:rFonts w:ascii="宋体" w:hAnsi="宋体"/>
          <w:strike/>
          <w:color w:val="auto"/>
          <w:sz w:val="24"/>
          <w:highlight w:val="none"/>
          <w:u w:val="single"/>
        </w:rPr>
        <w:t xml:space="preserve">         </w:t>
      </w:r>
    </w:p>
    <w:p w14:paraId="1C78C3DA">
      <w:pPr>
        <w:pStyle w:val="2"/>
        <w:adjustRightInd w:val="0"/>
        <w:snapToGrid w:val="0"/>
        <w:spacing w:line="360" w:lineRule="auto"/>
        <w:rPr>
          <w:rFonts w:hint="eastAsia" w:hAnsi="宋体"/>
          <w:strike/>
          <w:color w:val="auto"/>
          <w:sz w:val="24"/>
          <w:highlight w:val="none"/>
        </w:rPr>
      </w:pPr>
      <w:r>
        <w:rPr>
          <w:rFonts w:hint="eastAsia" w:hAnsi="宋体"/>
          <w:strike/>
          <w:color w:val="auto"/>
          <w:sz w:val="24"/>
          <w:highlight w:val="none"/>
        </w:rPr>
        <w:t xml:space="preserve">    分工内容：</w:t>
      </w:r>
      <w:r>
        <w:rPr>
          <w:rFonts w:hint="eastAsia" w:hAnsi="宋体"/>
          <w:strike/>
          <w:color w:val="auto"/>
          <w:sz w:val="24"/>
          <w:highlight w:val="none"/>
          <w:u w:val="single"/>
        </w:rPr>
        <w:t xml:space="preserve">                                                </w:t>
      </w:r>
    </w:p>
    <w:p w14:paraId="60AC192D">
      <w:pPr>
        <w:topLinePunct/>
        <w:adjustRightInd w:val="0"/>
        <w:snapToGrid w:val="0"/>
        <w:spacing w:line="360" w:lineRule="auto"/>
        <w:ind w:firstLine="480" w:firstLineChars="200"/>
        <w:rPr>
          <w:rFonts w:ascii="宋体" w:hAnsi="宋体"/>
          <w:strike/>
          <w:color w:val="auto"/>
          <w:sz w:val="24"/>
          <w:highlight w:val="none"/>
        </w:rPr>
      </w:pPr>
    </w:p>
    <w:p w14:paraId="7E485EFF">
      <w:pPr>
        <w:topLinePunct/>
        <w:adjustRightInd w:val="0"/>
        <w:snapToGrid w:val="0"/>
        <w:spacing w:line="360" w:lineRule="auto"/>
        <w:ind w:firstLine="480" w:firstLineChars="200"/>
        <w:rPr>
          <w:rFonts w:ascii="宋体" w:hAnsi="宋体"/>
          <w:strike/>
          <w:color w:val="auto"/>
          <w:sz w:val="24"/>
          <w:highlight w:val="none"/>
        </w:rPr>
      </w:pPr>
      <w:r>
        <w:rPr>
          <w:rFonts w:ascii="宋体" w:hAnsi="宋体"/>
          <w:strike/>
          <w:color w:val="auto"/>
          <w:sz w:val="24"/>
          <w:highlight w:val="none"/>
        </w:rPr>
        <w:t>成员一名称：（盖章）</w:t>
      </w:r>
      <w:r>
        <w:rPr>
          <w:rFonts w:ascii="宋体" w:hAnsi="宋体"/>
          <w:strike/>
          <w:color w:val="auto"/>
          <w:sz w:val="24"/>
          <w:highlight w:val="none"/>
          <w:u w:val="single"/>
        </w:rPr>
        <w:t xml:space="preserve">                              </w:t>
      </w:r>
      <w:r>
        <w:rPr>
          <w:rFonts w:hint="eastAsia" w:ascii="宋体" w:hAnsi="宋体"/>
          <w:strike/>
          <w:color w:val="auto"/>
          <w:sz w:val="24"/>
          <w:highlight w:val="none"/>
          <w:u w:val="single"/>
        </w:rPr>
        <w:t xml:space="preserve">       </w:t>
      </w:r>
      <w:r>
        <w:rPr>
          <w:rFonts w:ascii="宋体" w:hAnsi="宋体"/>
          <w:strike/>
          <w:color w:val="auto"/>
          <w:sz w:val="24"/>
          <w:highlight w:val="none"/>
          <w:u w:val="single"/>
        </w:rPr>
        <w:t xml:space="preserve">   </w:t>
      </w:r>
    </w:p>
    <w:p w14:paraId="221F249F">
      <w:pPr>
        <w:topLinePunct/>
        <w:adjustRightInd w:val="0"/>
        <w:snapToGrid w:val="0"/>
        <w:spacing w:line="360" w:lineRule="auto"/>
        <w:ind w:firstLine="480" w:firstLineChars="200"/>
        <w:rPr>
          <w:rFonts w:hint="eastAsia" w:ascii="宋体" w:hAnsi="宋体"/>
          <w:strike/>
          <w:color w:val="auto"/>
          <w:sz w:val="24"/>
          <w:highlight w:val="none"/>
        </w:rPr>
      </w:pPr>
      <w:r>
        <w:rPr>
          <w:rFonts w:ascii="宋体" w:hAnsi="宋体"/>
          <w:strike/>
          <w:color w:val="auto"/>
          <w:sz w:val="24"/>
          <w:highlight w:val="none"/>
        </w:rPr>
        <w:t>法定代表人：（签字</w:t>
      </w:r>
      <w:r>
        <w:rPr>
          <w:rFonts w:hint="eastAsia" w:ascii="宋体" w:hAnsi="宋体"/>
          <w:strike/>
          <w:color w:val="auto"/>
          <w:sz w:val="24"/>
          <w:highlight w:val="none"/>
        </w:rPr>
        <w:t>或盖章</w:t>
      </w:r>
      <w:r>
        <w:rPr>
          <w:rFonts w:ascii="宋体" w:hAnsi="宋体"/>
          <w:strike/>
          <w:color w:val="auto"/>
          <w:sz w:val="24"/>
          <w:highlight w:val="none"/>
        </w:rPr>
        <w:t>）</w:t>
      </w:r>
      <w:r>
        <w:rPr>
          <w:rFonts w:ascii="宋体" w:hAnsi="宋体"/>
          <w:strike/>
          <w:color w:val="auto"/>
          <w:sz w:val="24"/>
          <w:highlight w:val="none"/>
          <w:u w:val="single"/>
        </w:rPr>
        <w:t xml:space="preserve">             </w:t>
      </w:r>
      <w:r>
        <w:rPr>
          <w:rFonts w:hint="eastAsia" w:ascii="宋体" w:hAnsi="宋体"/>
          <w:strike/>
          <w:color w:val="auto"/>
          <w:sz w:val="24"/>
          <w:highlight w:val="none"/>
          <w:u w:val="single"/>
        </w:rPr>
        <w:t xml:space="preserve">              </w:t>
      </w:r>
      <w:r>
        <w:rPr>
          <w:rFonts w:ascii="宋体" w:hAnsi="宋体"/>
          <w:strike/>
          <w:color w:val="auto"/>
          <w:sz w:val="24"/>
          <w:highlight w:val="none"/>
          <w:u w:val="single"/>
        </w:rPr>
        <w:t xml:space="preserve">  </w:t>
      </w:r>
      <w:r>
        <w:rPr>
          <w:rFonts w:hint="eastAsia" w:ascii="宋体" w:hAnsi="宋体"/>
          <w:strike/>
          <w:color w:val="auto"/>
          <w:sz w:val="24"/>
          <w:highlight w:val="none"/>
          <w:u w:val="single"/>
        </w:rPr>
        <w:t xml:space="preserve"> </w:t>
      </w:r>
      <w:r>
        <w:rPr>
          <w:rFonts w:ascii="宋体" w:hAnsi="宋体"/>
          <w:strike/>
          <w:color w:val="auto"/>
          <w:sz w:val="24"/>
          <w:highlight w:val="none"/>
          <w:u w:val="single"/>
        </w:rPr>
        <w:t xml:space="preserve">    </w:t>
      </w:r>
    </w:p>
    <w:p w14:paraId="7B6FD85E">
      <w:pPr>
        <w:pStyle w:val="2"/>
        <w:adjustRightInd w:val="0"/>
        <w:snapToGrid w:val="0"/>
        <w:spacing w:line="360" w:lineRule="auto"/>
        <w:ind w:firstLine="405"/>
        <w:rPr>
          <w:rFonts w:hint="eastAsia" w:hAnsi="宋体"/>
          <w:strike/>
          <w:color w:val="auto"/>
          <w:sz w:val="24"/>
          <w:highlight w:val="none"/>
        </w:rPr>
      </w:pPr>
      <w:r>
        <w:rPr>
          <w:rFonts w:hint="eastAsia" w:hAnsi="宋体"/>
          <w:strike/>
          <w:color w:val="auto"/>
          <w:sz w:val="24"/>
          <w:highlight w:val="none"/>
        </w:rPr>
        <w:t xml:space="preserve"> 分工内容：</w:t>
      </w:r>
      <w:r>
        <w:rPr>
          <w:rFonts w:hint="eastAsia" w:hAnsi="宋体"/>
          <w:strike/>
          <w:color w:val="auto"/>
          <w:sz w:val="24"/>
          <w:highlight w:val="none"/>
          <w:u w:val="single"/>
        </w:rPr>
        <w:t xml:space="preserve">                                                 </w:t>
      </w:r>
    </w:p>
    <w:p w14:paraId="1234D248">
      <w:pPr>
        <w:topLinePunct/>
        <w:adjustRightInd w:val="0"/>
        <w:snapToGrid w:val="0"/>
        <w:spacing w:line="360" w:lineRule="auto"/>
        <w:ind w:firstLine="480" w:firstLineChars="200"/>
        <w:rPr>
          <w:rFonts w:hint="eastAsia" w:ascii="宋体" w:hAnsi="宋体"/>
          <w:strike/>
          <w:color w:val="auto"/>
          <w:sz w:val="24"/>
          <w:highlight w:val="none"/>
        </w:rPr>
      </w:pPr>
    </w:p>
    <w:p w14:paraId="0829C687">
      <w:pPr>
        <w:topLinePunct/>
        <w:adjustRightInd w:val="0"/>
        <w:snapToGrid w:val="0"/>
        <w:spacing w:line="360" w:lineRule="auto"/>
        <w:ind w:firstLine="480" w:firstLineChars="200"/>
        <w:rPr>
          <w:rFonts w:ascii="宋体" w:hAnsi="宋体"/>
          <w:strike/>
          <w:color w:val="auto"/>
          <w:sz w:val="24"/>
          <w:highlight w:val="none"/>
        </w:rPr>
      </w:pPr>
      <w:r>
        <w:rPr>
          <w:rFonts w:ascii="宋体" w:hAnsi="宋体"/>
          <w:strike/>
          <w:color w:val="auto"/>
          <w:sz w:val="24"/>
          <w:highlight w:val="none"/>
        </w:rPr>
        <w:t>成员二名称：（盖章）</w:t>
      </w:r>
      <w:r>
        <w:rPr>
          <w:rFonts w:ascii="宋体" w:hAnsi="宋体"/>
          <w:strike/>
          <w:color w:val="auto"/>
          <w:sz w:val="24"/>
          <w:highlight w:val="none"/>
          <w:u w:val="single"/>
        </w:rPr>
        <w:t xml:space="preserve">                             </w:t>
      </w:r>
      <w:r>
        <w:rPr>
          <w:rFonts w:hint="eastAsia" w:ascii="宋体" w:hAnsi="宋体"/>
          <w:strike/>
          <w:color w:val="auto"/>
          <w:sz w:val="24"/>
          <w:highlight w:val="none"/>
          <w:u w:val="single"/>
        </w:rPr>
        <w:t xml:space="preserve">  </w:t>
      </w:r>
      <w:r>
        <w:rPr>
          <w:rFonts w:ascii="宋体" w:hAnsi="宋体"/>
          <w:strike/>
          <w:color w:val="auto"/>
          <w:sz w:val="24"/>
          <w:highlight w:val="none"/>
          <w:u w:val="single"/>
        </w:rPr>
        <w:t xml:space="preserve">  </w:t>
      </w:r>
      <w:r>
        <w:rPr>
          <w:rFonts w:hint="eastAsia" w:ascii="宋体" w:hAnsi="宋体"/>
          <w:strike/>
          <w:color w:val="auto"/>
          <w:sz w:val="24"/>
          <w:highlight w:val="none"/>
          <w:u w:val="single"/>
        </w:rPr>
        <w:t xml:space="preserve">     </w:t>
      </w:r>
      <w:r>
        <w:rPr>
          <w:rFonts w:ascii="宋体" w:hAnsi="宋体"/>
          <w:strike/>
          <w:color w:val="auto"/>
          <w:sz w:val="24"/>
          <w:highlight w:val="none"/>
          <w:u w:val="single"/>
        </w:rPr>
        <w:t xml:space="preserve">  </w:t>
      </w:r>
    </w:p>
    <w:p w14:paraId="721015C8">
      <w:pPr>
        <w:topLinePunct/>
        <w:adjustRightInd w:val="0"/>
        <w:snapToGrid w:val="0"/>
        <w:spacing w:line="360" w:lineRule="auto"/>
        <w:ind w:firstLine="480" w:firstLineChars="200"/>
        <w:rPr>
          <w:rFonts w:hint="eastAsia" w:ascii="宋体" w:hAnsi="宋体"/>
          <w:strike/>
          <w:color w:val="auto"/>
          <w:sz w:val="24"/>
          <w:highlight w:val="none"/>
        </w:rPr>
      </w:pPr>
      <w:r>
        <w:rPr>
          <w:rFonts w:ascii="宋体" w:hAnsi="宋体"/>
          <w:strike/>
          <w:color w:val="auto"/>
          <w:sz w:val="24"/>
          <w:highlight w:val="none"/>
        </w:rPr>
        <w:t>法定代表人：（签字</w:t>
      </w:r>
      <w:r>
        <w:rPr>
          <w:rFonts w:hint="eastAsia" w:ascii="宋体" w:hAnsi="宋体"/>
          <w:strike/>
          <w:color w:val="auto"/>
          <w:sz w:val="24"/>
          <w:highlight w:val="none"/>
        </w:rPr>
        <w:t>或盖章</w:t>
      </w:r>
      <w:r>
        <w:rPr>
          <w:rFonts w:ascii="宋体" w:hAnsi="宋体"/>
          <w:strike/>
          <w:color w:val="auto"/>
          <w:sz w:val="24"/>
          <w:highlight w:val="none"/>
        </w:rPr>
        <w:t>）</w:t>
      </w:r>
      <w:r>
        <w:rPr>
          <w:rFonts w:ascii="宋体" w:hAnsi="宋体"/>
          <w:strike/>
          <w:color w:val="auto"/>
          <w:sz w:val="24"/>
          <w:highlight w:val="none"/>
          <w:u w:val="single"/>
        </w:rPr>
        <w:t xml:space="preserve">                  </w:t>
      </w:r>
      <w:r>
        <w:rPr>
          <w:rFonts w:hint="eastAsia" w:ascii="宋体" w:hAnsi="宋体"/>
          <w:strike/>
          <w:color w:val="auto"/>
          <w:sz w:val="24"/>
          <w:highlight w:val="none"/>
          <w:u w:val="single"/>
        </w:rPr>
        <w:t xml:space="preserve">              </w:t>
      </w:r>
      <w:r>
        <w:rPr>
          <w:rFonts w:ascii="宋体" w:hAnsi="宋体"/>
          <w:strike/>
          <w:color w:val="auto"/>
          <w:sz w:val="24"/>
          <w:highlight w:val="none"/>
          <w:u w:val="single"/>
        </w:rPr>
        <w:t xml:space="preserve">  </w:t>
      </w:r>
    </w:p>
    <w:p w14:paraId="04D08972">
      <w:pPr>
        <w:pStyle w:val="2"/>
        <w:adjustRightInd w:val="0"/>
        <w:snapToGrid w:val="0"/>
        <w:spacing w:line="360" w:lineRule="auto"/>
        <w:ind w:firstLine="405"/>
        <w:rPr>
          <w:rFonts w:hint="eastAsia" w:hAnsi="宋体"/>
          <w:strike/>
          <w:color w:val="auto"/>
          <w:sz w:val="24"/>
          <w:highlight w:val="none"/>
        </w:rPr>
      </w:pPr>
      <w:r>
        <w:rPr>
          <w:rFonts w:hint="eastAsia" w:hAnsi="宋体"/>
          <w:strike/>
          <w:color w:val="auto"/>
          <w:sz w:val="24"/>
          <w:highlight w:val="none"/>
        </w:rPr>
        <w:t xml:space="preserve"> 分工内容：</w:t>
      </w:r>
      <w:r>
        <w:rPr>
          <w:rFonts w:hint="eastAsia" w:hAnsi="宋体"/>
          <w:strike/>
          <w:color w:val="auto"/>
          <w:sz w:val="24"/>
          <w:highlight w:val="none"/>
          <w:u w:val="single"/>
        </w:rPr>
        <w:t xml:space="preserve">                                                 </w:t>
      </w:r>
    </w:p>
    <w:p w14:paraId="71CBF685">
      <w:pPr>
        <w:topLinePunct/>
        <w:adjustRightInd w:val="0"/>
        <w:snapToGrid w:val="0"/>
        <w:spacing w:line="360" w:lineRule="auto"/>
        <w:ind w:firstLine="480" w:firstLineChars="200"/>
        <w:rPr>
          <w:rFonts w:ascii="宋体" w:hAnsi="宋体"/>
          <w:strike/>
          <w:color w:val="auto"/>
          <w:sz w:val="24"/>
          <w:highlight w:val="none"/>
        </w:rPr>
      </w:pPr>
    </w:p>
    <w:p w14:paraId="181A68E8">
      <w:pPr>
        <w:topLinePunct/>
        <w:adjustRightInd w:val="0"/>
        <w:snapToGrid w:val="0"/>
        <w:spacing w:line="360" w:lineRule="auto"/>
        <w:ind w:firstLine="480" w:firstLineChars="200"/>
        <w:rPr>
          <w:rFonts w:ascii="宋体" w:hAnsi="宋体"/>
          <w:strike/>
          <w:color w:val="auto"/>
          <w:sz w:val="24"/>
          <w:highlight w:val="none"/>
        </w:rPr>
      </w:pPr>
    </w:p>
    <w:p w14:paraId="1E4F7D15">
      <w:pPr>
        <w:jc w:val="right"/>
        <w:rPr>
          <w:rFonts w:ascii="宋体" w:hAnsi="宋体"/>
          <w:strike/>
          <w:color w:val="auto"/>
          <w:sz w:val="24"/>
          <w:highlight w:val="none"/>
        </w:rPr>
      </w:pPr>
      <w:r>
        <w:rPr>
          <w:rFonts w:ascii="宋体" w:hAnsi="宋体"/>
          <w:strike/>
          <w:color w:val="auto"/>
          <w:sz w:val="24"/>
          <w:highlight w:val="none"/>
          <w:u w:val="single"/>
        </w:rPr>
        <w:t xml:space="preserve">       </w:t>
      </w:r>
      <w:r>
        <w:rPr>
          <w:rFonts w:ascii="宋体" w:hAnsi="宋体"/>
          <w:strike/>
          <w:color w:val="auto"/>
          <w:sz w:val="24"/>
          <w:highlight w:val="none"/>
        </w:rPr>
        <w:t>年</w:t>
      </w:r>
      <w:r>
        <w:rPr>
          <w:rFonts w:ascii="宋体" w:hAnsi="宋体"/>
          <w:strike/>
          <w:color w:val="auto"/>
          <w:sz w:val="24"/>
          <w:highlight w:val="none"/>
          <w:u w:val="single"/>
        </w:rPr>
        <w:t xml:space="preserve">  </w:t>
      </w:r>
      <w:r>
        <w:rPr>
          <w:rFonts w:hint="eastAsia" w:ascii="宋体" w:hAnsi="宋体"/>
          <w:strike/>
          <w:color w:val="auto"/>
          <w:sz w:val="24"/>
          <w:highlight w:val="none"/>
          <w:u w:val="single"/>
        </w:rPr>
        <w:t xml:space="preserve">   </w:t>
      </w:r>
      <w:r>
        <w:rPr>
          <w:rFonts w:ascii="宋体" w:hAnsi="宋体"/>
          <w:strike/>
          <w:color w:val="auto"/>
          <w:sz w:val="24"/>
          <w:highlight w:val="none"/>
          <w:u w:val="single"/>
        </w:rPr>
        <w:t xml:space="preserve"> </w:t>
      </w:r>
      <w:r>
        <w:rPr>
          <w:rFonts w:ascii="宋体" w:hAnsi="宋体"/>
          <w:strike/>
          <w:color w:val="auto"/>
          <w:sz w:val="24"/>
          <w:highlight w:val="none"/>
        </w:rPr>
        <w:t>月</w:t>
      </w:r>
      <w:r>
        <w:rPr>
          <w:rFonts w:ascii="宋体" w:hAnsi="宋体"/>
          <w:strike/>
          <w:color w:val="auto"/>
          <w:sz w:val="24"/>
          <w:highlight w:val="none"/>
          <w:u w:val="single"/>
        </w:rPr>
        <w:t xml:space="preserve"> </w:t>
      </w:r>
      <w:r>
        <w:rPr>
          <w:rFonts w:hint="eastAsia" w:ascii="宋体" w:hAnsi="宋体"/>
          <w:strike/>
          <w:color w:val="auto"/>
          <w:sz w:val="24"/>
          <w:highlight w:val="none"/>
          <w:u w:val="single"/>
        </w:rPr>
        <w:t xml:space="preserve">  </w:t>
      </w:r>
      <w:r>
        <w:rPr>
          <w:rFonts w:ascii="宋体" w:hAnsi="宋体"/>
          <w:strike/>
          <w:color w:val="auto"/>
          <w:sz w:val="24"/>
          <w:highlight w:val="none"/>
          <w:u w:val="single"/>
        </w:rPr>
        <w:t xml:space="preserve">   </w:t>
      </w:r>
      <w:r>
        <w:rPr>
          <w:rFonts w:ascii="宋体" w:hAnsi="宋体"/>
          <w:strike/>
          <w:color w:val="auto"/>
          <w:sz w:val="24"/>
          <w:highlight w:val="none"/>
        </w:rPr>
        <w:t>日</w:t>
      </w:r>
      <w:r>
        <w:rPr>
          <w:rFonts w:ascii="宋体" w:hAnsi="宋体"/>
          <w:strike/>
          <w:color w:val="auto"/>
          <w:sz w:val="24"/>
          <w:highlight w:val="none"/>
        </w:rPr>
        <w:br w:type="textWrapping"/>
      </w:r>
    </w:p>
    <w:p w14:paraId="51D5C89A">
      <w:pPr>
        <w:widowControl/>
        <w:topLinePunct/>
        <w:adjustRightInd w:val="0"/>
        <w:snapToGrid w:val="0"/>
        <w:spacing w:after="200"/>
        <w:jc w:val="left"/>
        <w:outlineLvl w:val="2"/>
        <w:rPr>
          <w:rFonts w:hint="eastAsia" w:ascii="宋体" w:hAnsi="宋体" w:eastAsia="宋体" w:cs="宋体"/>
          <w:color w:val="auto"/>
          <w:spacing w:val="4"/>
          <w:kern w:val="0"/>
          <w:sz w:val="24"/>
          <w:highlight w:val="none"/>
        </w:rPr>
      </w:pPr>
      <w:r>
        <w:rPr>
          <w:rFonts w:ascii="宋体" w:hAnsi="宋体"/>
          <w:strike/>
          <w:color w:val="auto"/>
          <w:sz w:val="24"/>
          <w:highlight w:val="none"/>
        </w:rPr>
        <w:br w:type="page"/>
      </w:r>
      <w:bookmarkStart w:id="357" w:name="_Toc28717"/>
      <w:bookmarkStart w:id="358" w:name="_Toc14239"/>
      <w:bookmarkStart w:id="359" w:name="_Toc8994"/>
      <w:r>
        <w:rPr>
          <w:rFonts w:hint="eastAsia" w:ascii="宋体" w:hAnsi="宋体" w:eastAsia="宋体" w:cs="宋体"/>
          <w:color w:val="auto"/>
          <w:sz w:val="24"/>
          <w:highlight w:val="none"/>
        </w:rPr>
        <w:t>附件1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 xml:space="preserve"> 主要人员简历表</w:t>
      </w:r>
      <w:bookmarkEnd w:id="357"/>
      <w:bookmarkEnd w:id="358"/>
      <w:bookmarkEnd w:id="359"/>
    </w:p>
    <w:p w14:paraId="2488D3F2">
      <w:pPr>
        <w:widowControl/>
        <w:topLinePunct/>
        <w:adjustRightInd w:val="0"/>
        <w:snapToGrid w:val="0"/>
        <w:spacing w:after="200"/>
        <w:jc w:val="center"/>
        <w:rPr>
          <w:rFonts w:hint="eastAsia" w:ascii="宋体" w:hAnsi="宋体" w:eastAsia="宋体" w:cs="宋体"/>
          <w:b/>
          <w:bCs/>
          <w:color w:val="auto"/>
          <w:spacing w:val="4"/>
          <w:kern w:val="0"/>
          <w:sz w:val="36"/>
          <w:szCs w:val="36"/>
          <w:highlight w:val="none"/>
        </w:rPr>
      </w:pPr>
      <w:r>
        <w:rPr>
          <w:rFonts w:hint="eastAsia" w:ascii="宋体" w:hAnsi="宋体" w:eastAsia="宋体" w:cs="宋体"/>
          <w:b/>
          <w:bCs/>
          <w:color w:val="auto"/>
          <w:spacing w:val="4"/>
          <w:kern w:val="0"/>
          <w:sz w:val="36"/>
          <w:szCs w:val="36"/>
          <w:highlight w:val="none"/>
        </w:rPr>
        <w:t>主要人员简历表</w:t>
      </w:r>
    </w:p>
    <w:tbl>
      <w:tblPr>
        <w:tblStyle w:val="29"/>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1048"/>
        <w:gridCol w:w="958"/>
        <w:gridCol w:w="1065"/>
        <w:gridCol w:w="706"/>
        <w:gridCol w:w="1261"/>
        <w:gridCol w:w="401"/>
        <w:gridCol w:w="2212"/>
      </w:tblGrid>
      <w:tr w14:paraId="383B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845" w:type="dxa"/>
            <w:noWrap w:val="0"/>
            <w:vAlign w:val="center"/>
          </w:tcPr>
          <w:p w14:paraId="75CFFD52">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1048" w:type="dxa"/>
            <w:noWrap w:val="0"/>
            <w:vAlign w:val="center"/>
          </w:tcPr>
          <w:p w14:paraId="1376F6C4">
            <w:pPr>
              <w:spacing w:line="440" w:lineRule="exact"/>
              <w:jc w:val="center"/>
              <w:rPr>
                <w:rFonts w:hint="eastAsia" w:ascii="宋体" w:hAnsi="宋体" w:eastAsia="宋体" w:cs="宋体"/>
                <w:color w:val="auto"/>
                <w:sz w:val="24"/>
                <w:highlight w:val="none"/>
              </w:rPr>
            </w:pPr>
          </w:p>
        </w:tc>
        <w:tc>
          <w:tcPr>
            <w:tcW w:w="958" w:type="dxa"/>
            <w:noWrap w:val="0"/>
            <w:vAlign w:val="center"/>
          </w:tcPr>
          <w:p w14:paraId="12517F64">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65" w:type="dxa"/>
            <w:noWrap w:val="0"/>
            <w:vAlign w:val="center"/>
          </w:tcPr>
          <w:p w14:paraId="521C9A45">
            <w:pPr>
              <w:spacing w:line="440" w:lineRule="exact"/>
              <w:jc w:val="center"/>
              <w:rPr>
                <w:rFonts w:hint="eastAsia" w:ascii="宋体" w:hAnsi="宋体" w:eastAsia="宋体" w:cs="宋体"/>
                <w:color w:val="auto"/>
                <w:sz w:val="24"/>
                <w:highlight w:val="none"/>
              </w:rPr>
            </w:pPr>
          </w:p>
        </w:tc>
        <w:tc>
          <w:tcPr>
            <w:tcW w:w="2368" w:type="dxa"/>
            <w:gridSpan w:val="3"/>
            <w:noWrap w:val="0"/>
            <w:vAlign w:val="center"/>
          </w:tcPr>
          <w:p w14:paraId="056CE347">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拟在本项目</w:t>
            </w:r>
          </w:p>
          <w:p w14:paraId="06F40EE8">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担任的职务</w:t>
            </w:r>
          </w:p>
        </w:tc>
        <w:tc>
          <w:tcPr>
            <w:tcW w:w="2212" w:type="dxa"/>
            <w:noWrap w:val="0"/>
            <w:vAlign w:val="center"/>
          </w:tcPr>
          <w:p w14:paraId="0DAD97B8">
            <w:pPr>
              <w:spacing w:line="440" w:lineRule="exact"/>
              <w:jc w:val="center"/>
              <w:rPr>
                <w:rFonts w:hint="eastAsia" w:ascii="宋体" w:hAnsi="宋体" w:eastAsia="宋体" w:cs="宋体"/>
                <w:color w:val="auto"/>
                <w:sz w:val="24"/>
                <w:highlight w:val="none"/>
              </w:rPr>
            </w:pPr>
          </w:p>
        </w:tc>
      </w:tr>
      <w:tr w14:paraId="017E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845" w:type="dxa"/>
            <w:noWrap w:val="0"/>
            <w:vAlign w:val="center"/>
          </w:tcPr>
          <w:p w14:paraId="0137363D">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  称</w:t>
            </w:r>
          </w:p>
        </w:tc>
        <w:tc>
          <w:tcPr>
            <w:tcW w:w="1048" w:type="dxa"/>
            <w:noWrap w:val="0"/>
            <w:vAlign w:val="center"/>
          </w:tcPr>
          <w:p w14:paraId="0D966FF9">
            <w:pPr>
              <w:spacing w:line="440" w:lineRule="exact"/>
              <w:jc w:val="center"/>
              <w:rPr>
                <w:rFonts w:hint="eastAsia" w:ascii="宋体" w:hAnsi="宋体" w:eastAsia="宋体" w:cs="宋体"/>
                <w:color w:val="auto"/>
                <w:sz w:val="24"/>
                <w:highlight w:val="none"/>
              </w:rPr>
            </w:pPr>
          </w:p>
        </w:tc>
        <w:tc>
          <w:tcPr>
            <w:tcW w:w="958" w:type="dxa"/>
            <w:noWrap w:val="0"/>
            <w:vAlign w:val="center"/>
          </w:tcPr>
          <w:p w14:paraId="165719DA">
            <w:pPr>
              <w:spacing w:before="100" w:beforeAutospacing="1" w:after="100" w:afterAutospacing="1"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065" w:type="dxa"/>
            <w:noWrap w:val="0"/>
            <w:vAlign w:val="center"/>
          </w:tcPr>
          <w:p w14:paraId="2CB0AC7B">
            <w:pPr>
              <w:spacing w:line="440" w:lineRule="exact"/>
              <w:jc w:val="center"/>
              <w:rPr>
                <w:rFonts w:hint="eastAsia" w:ascii="宋体" w:hAnsi="宋体" w:eastAsia="宋体" w:cs="宋体"/>
                <w:color w:val="auto"/>
                <w:sz w:val="24"/>
                <w:highlight w:val="none"/>
              </w:rPr>
            </w:pPr>
          </w:p>
        </w:tc>
        <w:tc>
          <w:tcPr>
            <w:tcW w:w="2368" w:type="dxa"/>
            <w:gridSpan w:val="3"/>
            <w:noWrap w:val="0"/>
            <w:vAlign w:val="center"/>
          </w:tcPr>
          <w:p w14:paraId="34C77D97">
            <w:pPr>
              <w:spacing w:before="100" w:beforeAutospacing="1" w:after="100" w:afterAutospacing="1"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职称/资格证书名称</w:t>
            </w:r>
          </w:p>
        </w:tc>
        <w:tc>
          <w:tcPr>
            <w:tcW w:w="2212" w:type="dxa"/>
            <w:noWrap w:val="0"/>
            <w:vAlign w:val="center"/>
          </w:tcPr>
          <w:p w14:paraId="0B913F59">
            <w:pPr>
              <w:spacing w:line="440" w:lineRule="exact"/>
              <w:jc w:val="center"/>
              <w:rPr>
                <w:rFonts w:hint="eastAsia" w:ascii="宋体" w:hAnsi="宋体" w:eastAsia="宋体" w:cs="宋体"/>
                <w:color w:val="auto"/>
                <w:sz w:val="24"/>
                <w:highlight w:val="none"/>
              </w:rPr>
            </w:pPr>
          </w:p>
        </w:tc>
      </w:tr>
      <w:tr w14:paraId="754D8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845" w:type="dxa"/>
            <w:noWrap w:val="0"/>
            <w:vAlign w:val="center"/>
          </w:tcPr>
          <w:p w14:paraId="14D60097">
            <w:pPr>
              <w:spacing w:before="100" w:beforeAutospacing="1" w:after="100" w:afterAutospacing="1"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p>
        </w:tc>
        <w:tc>
          <w:tcPr>
            <w:tcW w:w="3071" w:type="dxa"/>
            <w:gridSpan w:val="3"/>
            <w:noWrap w:val="0"/>
            <w:vAlign w:val="center"/>
          </w:tcPr>
          <w:p w14:paraId="0C48B9D6">
            <w:pPr>
              <w:spacing w:line="440" w:lineRule="exact"/>
              <w:jc w:val="center"/>
              <w:rPr>
                <w:rFonts w:hint="eastAsia" w:ascii="宋体" w:hAnsi="宋体" w:eastAsia="宋体" w:cs="宋体"/>
                <w:color w:val="auto"/>
                <w:sz w:val="24"/>
                <w:highlight w:val="none"/>
              </w:rPr>
            </w:pPr>
          </w:p>
        </w:tc>
        <w:tc>
          <w:tcPr>
            <w:tcW w:w="2368" w:type="dxa"/>
            <w:gridSpan w:val="3"/>
            <w:noWrap w:val="0"/>
            <w:vAlign w:val="center"/>
          </w:tcPr>
          <w:p w14:paraId="467282D8">
            <w:pPr>
              <w:spacing w:before="100" w:beforeAutospacing="1" w:after="100" w:afterAutospacing="1"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从业经历年限</w:t>
            </w:r>
          </w:p>
        </w:tc>
        <w:tc>
          <w:tcPr>
            <w:tcW w:w="2212" w:type="dxa"/>
            <w:noWrap w:val="0"/>
            <w:vAlign w:val="center"/>
          </w:tcPr>
          <w:p w14:paraId="2926102D">
            <w:pPr>
              <w:spacing w:line="440" w:lineRule="exact"/>
              <w:jc w:val="center"/>
              <w:rPr>
                <w:rFonts w:hint="eastAsia" w:ascii="宋体" w:hAnsi="宋体" w:eastAsia="宋体" w:cs="宋体"/>
                <w:color w:val="auto"/>
                <w:sz w:val="24"/>
                <w:highlight w:val="none"/>
              </w:rPr>
            </w:pPr>
          </w:p>
        </w:tc>
      </w:tr>
      <w:tr w14:paraId="0579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845" w:type="dxa"/>
            <w:noWrap w:val="0"/>
            <w:vAlign w:val="center"/>
          </w:tcPr>
          <w:p w14:paraId="3231CFF0">
            <w:pPr>
              <w:spacing w:before="100" w:beforeAutospacing="1" w:after="100" w:afterAutospacing="1"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毕业学校</w:t>
            </w:r>
          </w:p>
        </w:tc>
        <w:tc>
          <w:tcPr>
            <w:tcW w:w="7651" w:type="dxa"/>
            <w:gridSpan w:val="7"/>
            <w:noWrap w:val="0"/>
            <w:vAlign w:val="center"/>
          </w:tcPr>
          <w:p w14:paraId="5FA8D82B">
            <w:pPr>
              <w:spacing w:before="100" w:beforeAutospacing="1" w:after="100" w:afterAutospacing="1" w:line="440" w:lineRule="exact"/>
              <w:ind w:firstLine="1320" w:firstLineChars="550"/>
              <w:rPr>
                <w:rFonts w:hint="eastAsia" w:ascii="宋体" w:hAnsi="宋体" w:eastAsia="宋体" w:cs="宋体"/>
                <w:color w:val="auto"/>
                <w:sz w:val="24"/>
                <w:highlight w:val="none"/>
              </w:rPr>
            </w:pPr>
            <w:r>
              <w:rPr>
                <w:rFonts w:hint="eastAsia" w:ascii="宋体" w:hAnsi="宋体" w:eastAsia="宋体" w:cs="宋体"/>
                <w:color w:val="auto"/>
                <w:sz w:val="24"/>
                <w:highlight w:val="none"/>
              </w:rPr>
              <w:t>年毕业于            学校        专业</w:t>
            </w:r>
          </w:p>
        </w:tc>
      </w:tr>
      <w:tr w14:paraId="16A3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496" w:type="dxa"/>
            <w:gridSpan w:val="8"/>
            <w:noWrap w:val="0"/>
            <w:vAlign w:val="center"/>
          </w:tcPr>
          <w:p w14:paraId="791E632E">
            <w:pPr>
              <w:spacing w:before="100" w:beforeAutospacing="1" w:after="100" w:afterAutospacing="1"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主要工作经历</w:t>
            </w:r>
          </w:p>
        </w:tc>
      </w:tr>
      <w:tr w14:paraId="6F87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845" w:type="dxa"/>
            <w:noWrap w:val="0"/>
            <w:vAlign w:val="center"/>
          </w:tcPr>
          <w:p w14:paraId="5FF07B15">
            <w:pPr>
              <w:spacing w:before="100" w:beforeAutospacing="1" w:after="100" w:afterAutospacing="1"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时  间</w:t>
            </w:r>
          </w:p>
        </w:tc>
        <w:tc>
          <w:tcPr>
            <w:tcW w:w="3777" w:type="dxa"/>
            <w:gridSpan w:val="4"/>
            <w:noWrap w:val="0"/>
            <w:vAlign w:val="center"/>
          </w:tcPr>
          <w:p w14:paraId="2F1585EB">
            <w:pPr>
              <w:spacing w:before="100" w:beforeAutospacing="1" w:after="100" w:afterAutospacing="1"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参加过的类似项目</w:t>
            </w:r>
          </w:p>
        </w:tc>
        <w:tc>
          <w:tcPr>
            <w:tcW w:w="1261" w:type="dxa"/>
            <w:noWrap w:val="0"/>
            <w:vAlign w:val="center"/>
          </w:tcPr>
          <w:p w14:paraId="3529633F">
            <w:pPr>
              <w:spacing w:before="100" w:beforeAutospacing="1" w:after="100" w:afterAutospacing="1"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担任职务</w:t>
            </w:r>
          </w:p>
        </w:tc>
        <w:tc>
          <w:tcPr>
            <w:tcW w:w="2613" w:type="dxa"/>
            <w:gridSpan w:val="2"/>
            <w:noWrap w:val="0"/>
            <w:vAlign w:val="center"/>
          </w:tcPr>
          <w:p w14:paraId="24D8E832">
            <w:pPr>
              <w:spacing w:before="100" w:beforeAutospacing="1" w:after="100" w:afterAutospacing="1"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委托人及联系电话</w:t>
            </w:r>
          </w:p>
        </w:tc>
      </w:tr>
      <w:tr w14:paraId="5318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45" w:type="dxa"/>
            <w:noWrap w:val="0"/>
            <w:vAlign w:val="top"/>
          </w:tcPr>
          <w:p w14:paraId="2FA98ED6">
            <w:pPr>
              <w:spacing w:line="440" w:lineRule="exact"/>
              <w:rPr>
                <w:rFonts w:hint="eastAsia" w:ascii="宋体" w:hAnsi="宋体" w:eastAsia="宋体" w:cs="宋体"/>
                <w:color w:val="auto"/>
                <w:sz w:val="24"/>
                <w:highlight w:val="none"/>
              </w:rPr>
            </w:pPr>
          </w:p>
        </w:tc>
        <w:tc>
          <w:tcPr>
            <w:tcW w:w="3777" w:type="dxa"/>
            <w:gridSpan w:val="4"/>
            <w:noWrap w:val="0"/>
            <w:vAlign w:val="top"/>
          </w:tcPr>
          <w:p w14:paraId="7D3B8071">
            <w:pPr>
              <w:spacing w:line="440" w:lineRule="exact"/>
              <w:rPr>
                <w:rFonts w:hint="eastAsia" w:ascii="宋体" w:hAnsi="宋体" w:eastAsia="宋体" w:cs="宋体"/>
                <w:color w:val="auto"/>
                <w:sz w:val="24"/>
                <w:highlight w:val="none"/>
              </w:rPr>
            </w:pPr>
          </w:p>
        </w:tc>
        <w:tc>
          <w:tcPr>
            <w:tcW w:w="1261" w:type="dxa"/>
            <w:noWrap w:val="0"/>
            <w:vAlign w:val="top"/>
          </w:tcPr>
          <w:p w14:paraId="3DEA6EBB">
            <w:pPr>
              <w:spacing w:line="440" w:lineRule="exact"/>
              <w:rPr>
                <w:rFonts w:hint="eastAsia" w:ascii="宋体" w:hAnsi="宋体" w:eastAsia="宋体" w:cs="宋体"/>
                <w:color w:val="auto"/>
                <w:sz w:val="24"/>
                <w:highlight w:val="none"/>
              </w:rPr>
            </w:pPr>
          </w:p>
        </w:tc>
        <w:tc>
          <w:tcPr>
            <w:tcW w:w="2613" w:type="dxa"/>
            <w:gridSpan w:val="2"/>
            <w:noWrap w:val="0"/>
            <w:vAlign w:val="top"/>
          </w:tcPr>
          <w:p w14:paraId="472CEA49">
            <w:pPr>
              <w:spacing w:line="440" w:lineRule="exact"/>
              <w:rPr>
                <w:rFonts w:hint="eastAsia" w:ascii="宋体" w:hAnsi="宋体" w:eastAsia="宋体" w:cs="宋体"/>
                <w:color w:val="auto"/>
                <w:sz w:val="24"/>
                <w:highlight w:val="none"/>
              </w:rPr>
            </w:pPr>
          </w:p>
        </w:tc>
      </w:tr>
      <w:tr w14:paraId="5D821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45" w:type="dxa"/>
            <w:noWrap w:val="0"/>
            <w:vAlign w:val="top"/>
          </w:tcPr>
          <w:p w14:paraId="3D3A90BD">
            <w:pPr>
              <w:spacing w:line="440" w:lineRule="exact"/>
              <w:rPr>
                <w:rFonts w:hint="eastAsia" w:ascii="宋体" w:hAnsi="宋体" w:eastAsia="宋体" w:cs="宋体"/>
                <w:color w:val="auto"/>
                <w:sz w:val="24"/>
                <w:highlight w:val="none"/>
              </w:rPr>
            </w:pPr>
          </w:p>
        </w:tc>
        <w:tc>
          <w:tcPr>
            <w:tcW w:w="3777" w:type="dxa"/>
            <w:gridSpan w:val="4"/>
            <w:noWrap w:val="0"/>
            <w:vAlign w:val="top"/>
          </w:tcPr>
          <w:p w14:paraId="45C840D8">
            <w:pPr>
              <w:spacing w:line="440" w:lineRule="exact"/>
              <w:rPr>
                <w:rFonts w:hint="eastAsia" w:ascii="宋体" w:hAnsi="宋体" w:eastAsia="宋体" w:cs="宋体"/>
                <w:color w:val="auto"/>
                <w:sz w:val="24"/>
                <w:highlight w:val="none"/>
              </w:rPr>
            </w:pPr>
          </w:p>
        </w:tc>
        <w:tc>
          <w:tcPr>
            <w:tcW w:w="1261" w:type="dxa"/>
            <w:noWrap w:val="0"/>
            <w:vAlign w:val="top"/>
          </w:tcPr>
          <w:p w14:paraId="263B66B4">
            <w:pPr>
              <w:spacing w:line="440" w:lineRule="exact"/>
              <w:rPr>
                <w:rFonts w:hint="eastAsia" w:ascii="宋体" w:hAnsi="宋体" w:eastAsia="宋体" w:cs="宋体"/>
                <w:color w:val="auto"/>
                <w:sz w:val="24"/>
                <w:highlight w:val="none"/>
              </w:rPr>
            </w:pPr>
          </w:p>
        </w:tc>
        <w:tc>
          <w:tcPr>
            <w:tcW w:w="2613" w:type="dxa"/>
            <w:gridSpan w:val="2"/>
            <w:noWrap w:val="0"/>
            <w:vAlign w:val="top"/>
          </w:tcPr>
          <w:p w14:paraId="096FD4C6">
            <w:pPr>
              <w:spacing w:line="440" w:lineRule="exact"/>
              <w:rPr>
                <w:rFonts w:hint="eastAsia" w:ascii="宋体" w:hAnsi="宋体" w:eastAsia="宋体" w:cs="宋体"/>
                <w:color w:val="auto"/>
                <w:sz w:val="24"/>
                <w:highlight w:val="none"/>
              </w:rPr>
            </w:pPr>
          </w:p>
        </w:tc>
      </w:tr>
      <w:tr w14:paraId="51A0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45" w:type="dxa"/>
            <w:noWrap w:val="0"/>
            <w:vAlign w:val="top"/>
          </w:tcPr>
          <w:p w14:paraId="12EB7C5F">
            <w:pPr>
              <w:spacing w:line="440" w:lineRule="exact"/>
              <w:rPr>
                <w:rFonts w:hint="eastAsia" w:ascii="宋体" w:hAnsi="宋体" w:eastAsia="宋体" w:cs="宋体"/>
                <w:color w:val="auto"/>
                <w:sz w:val="24"/>
                <w:highlight w:val="none"/>
              </w:rPr>
            </w:pPr>
          </w:p>
        </w:tc>
        <w:tc>
          <w:tcPr>
            <w:tcW w:w="3777" w:type="dxa"/>
            <w:gridSpan w:val="4"/>
            <w:noWrap w:val="0"/>
            <w:vAlign w:val="top"/>
          </w:tcPr>
          <w:p w14:paraId="37F3F995">
            <w:pPr>
              <w:spacing w:line="440" w:lineRule="exact"/>
              <w:rPr>
                <w:rFonts w:hint="eastAsia" w:ascii="宋体" w:hAnsi="宋体" w:eastAsia="宋体" w:cs="宋体"/>
                <w:color w:val="auto"/>
                <w:sz w:val="24"/>
                <w:highlight w:val="none"/>
              </w:rPr>
            </w:pPr>
          </w:p>
        </w:tc>
        <w:tc>
          <w:tcPr>
            <w:tcW w:w="1261" w:type="dxa"/>
            <w:noWrap w:val="0"/>
            <w:vAlign w:val="top"/>
          </w:tcPr>
          <w:p w14:paraId="2065945E">
            <w:pPr>
              <w:spacing w:line="440" w:lineRule="exact"/>
              <w:rPr>
                <w:rFonts w:hint="eastAsia" w:ascii="宋体" w:hAnsi="宋体" w:eastAsia="宋体" w:cs="宋体"/>
                <w:color w:val="auto"/>
                <w:sz w:val="24"/>
                <w:highlight w:val="none"/>
              </w:rPr>
            </w:pPr>
          </w:p>
        </w:tc>
        <w:tc>
          <w:tcPr>
            <w:tcW w:w="2613" w:type="dxa"/>
            <w:gridSpan w:val="2"/>
            <w:noWrap w:val="0"/>
            <w:vAlign w:val="top"/>
          </w:tcPr>
          <w:p w14:paraId="174DA280">
            <w:pPr>
              <w:spacing w:line="440" w:lineRule="exact"/>
              <w:rPr>
                <w:rFonts w:hint="eastAsia" w:ascii="宋体" w:hAnsi="宋体" w:eastAsia="宋体" w:cs="宋体"/>
                <w:color w:val="auto"/>
                <w:sz w:val="24"/>
                <w:highlight w:val="none"/>
              </w:rPr>
            </w:pPr>
          </w:p>
        </w:tc>
      </w:tr>
    </w:tbl>
    <w:p w14:paraId="162C95E0">
      <w:pPr>
        <w:spacing w:before="120" w:line="360" w:lineRule="auto"/>
        <w:ind w:right="42" w:rightChars="20"/>
        <w:rPr>
          <w:rFonts w:hint="eastAsia" w:ascii="宋体" w:hAnsi="宋体" w:eastAsia="宋体" w:cs="宋体"/>
          <w:color w:val="auto"/>
          <w:sz w:val="24"/>
          <w:highlight w:val="none"/>
        </w:rPr>
      </w:pPr>
      <w:r>
        <w:rPr>
          <w:rFonts w:hint="eastAsia" w:ascii="宋体" w:hAnsi="宋体" w:eastAsia="宋体" w:cs="宋体"/>
          <w:color w:val="auto"/>
          <w:sz w:val="24"/>
          <w:highlight w:val="none"/>
        </w:rPr>
        <w:t>注：投标人需按照《技术部分（项目实施能力）审查评分表》的要求提供相应人员的简历表及证明材料，否则不予计算得分。</w:t>
      </w:r>
    </w:p>
    <w:p w14:paraId="63368765">
      <w:pPr>
        <w:wordWrap w:val="0"/>
        <w:spacing w:line="360" w:lineRule="auto"/>
        <w:ind w:right="90" w:firstLine="3600" w:firstLineChars="1500"/>
        <w:rPr>
          <w:rFonts w:hint="eastAsia" w:ascii="宋体" w:hAnsi="宋体" w:eastAsia="宋体" w:cs="宋体"/>
          <w:color w:val="auto"/>
          <w:sz w:val="24"/>
          <w:highlight w:val="none"/>
        </w:rPr>
      </w:pPr>
    </w:p>
    <w:p w14:paraId="065C3476">
      <w:pPr>
        <w:wordWrap w:val="0"/>
        <w:spacing w:line="360" w:lineRule="auto"/>
        <w:ind w:right="90" w:firstLine="3600" w:firstLineChars="1500"/>
        <w:rPr>
          <w:rFonts w:hint="eastAsia" w:ascii="宋体" w:hAnsi="宋体" w:eastAsia="宋体" w:cs="宋体"/>
          <w:color w:val="auto"/>
          <w:sz w:val="24"/>
          <w:highlight w:val="none"/>
        </w:rPr>
      </w:pPr>
    </w:p>
    <w:p w14:paraId="0847A170">
      <w:pPr>
        <w:wordWrap w:val="0"/>
        <w:spacing w:line="360" w:lineRule="auto"/>
        <w:ind w:right="90" w:firstLine="3600" w:firstLineChars="15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投标人（盖章）：</w:t>
      </w:r>
      <w:r>
        <w:rPr>
          <w:rFonts w:hint="eastAsia" w:ascii="宋体" w:hAnsi="宋体" w:eastAsia="宋体" w:cs="宋体"/>
          <w:color w:val="auto"/>
          <w:sz w:val="24"/>
          <w:highlight w:val="none"/>
          <w:u w:val="single"/>
        </w:rPr>
        <w:t xml:space="preserve">                            </w:t>
      </w:r>
    </w:p>
    <w:p w14:paraId="6E99036C">
      <w:pPr>
        <w:wordWrap w:val="0"/>
        <w:spacing w:line="360" w:lineRule="auto"/>
        <w:ind w:right="90" w:firstLine="3600" w:firstLineChars="1500"/>
        <w:jc w:val="left"/>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p>
    <w:p w14:paraId="1570DE11">
      <w:pPr>
        <w:wordWrap w:val="0"/>
        <w:spacing w:line="360" w:lineRule="auto"/>
        <w:ind w:right="90" w:firstLine="3600" w:firstLineChars="15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B91D481">
      <w:pPr>
        <w:pStyle w:val="2"/>
        <w:rPr>
          <w:rFonts w:hint="eastAsia"/>
          <w:color w:val="auto"/>
          <w:highlight w:val="none"/>
        </w:rPr>
        <w:sectPr>
          <w:pgSz w:w="11850" w:h="16783"/>
          <w:pgMar w:top="1417" w:right="1290" w:bottom="1417" w:left="1290" w:header="851" w:footer="992" w:gutter="0"/>
          <w:pgNumType w:fmt="decimal"/>
          <w:cols w:space="720" w:num="1"/>
          <w:docGrid w:type="lines" w:linePitch="312" w:charSpace="0"/>
        </w:sectPr>
      </w:pPr>
    </w:p>
    <w:p w14:paraId="46B76F48">
      <w:pPr>
        <w:pStyle w:val="7"/>
        <w:rPr>
          <w:rFonts w:ascii="宋体" w:eastAsia="宋体"/>
          <w:b w:val="0"/>
          <w:color w:val="auto"/>
          <w:highlight w:val="none"/>
        </w:rPr>
      </w:pPr>
      <w:bookmarkStart w:id="360" w:name="_Toc26218"/>
      <w:bookmarkStart w:id="361" w:name="_Toc3717"/>
      <w:bookmarkStart w:id="362" w:name="_Toc8666"/>
      <w:bookmarkStart w:id="363" w:name="_Toc31891"/>
      <w:bookmarkStart w:id="364" w:name="_Toc2339"/>
      <w:bookmarkStart w:id="365" w:name="_Toc24517"/>
      <w:bookmarkStart w:id="366" w:name="_Toc30014"/>
      <w:r>
        <w:rPr>
          <w:rFonts w:hint="eastAsia" w:ascii="宋体" w:eastAsia="宋体"/>
          <w:b w:val="0"/>
          <w:color w:val="auto"/>
          <w:highlight w:val="none"/>
        </w:rPr>
        <w:t>第五章  技术条件（工程建设标准）</w:t>
      </w:r>
      <w:bookmarkEnd w:id="352"/>
      <w:bookmarkEnd w:id="353"/>
      <w:bookmarkEnd w:id="354"/>
      <w:bookmarkEnd w:id="355"/>
      <w:bookmarkEnd w:id="356"/>
      <w:bookmarkEnd w:id="360"/>
      <w:bookmarkEnd w:id="361"/>
      <w:bookmarkEnd w:id="362"/>
      <w:bookmarkEnd w:id="363"/>
      <w:bookmarkEnd w:id="364"/>
      <w:bookmarkEnd w:id="365"/>
      <w:bookmarkEnd w:id="366"/>
    </w:p>
    <w:p w14:paraId="772A7086">
      <w:pPr>
        <w:rPr>
          <w:rFonts w:ascii="宋体" w:hAnsi="宋体" w:eastAsia="宋体"/>
          <w:color w:val="auto"/>
          <w:sz w:val="24"/>
          <w:szCs w:val="24"/>
          <w:highlight w:val="none"/>
        </w:rPr>
      </w:pPr>
    </w:p>
    <w:p w14:paraId="495829C7">
      <w:pPr>
        <w:jc w:val="center"/>
        <w:rPr>
          <w:rFonts w:hint="eastAsia" w:ascii="宋体" w:hAnsi="宋体" w:eastAsia="宋体" w:cs="宋体"/>
          <w:color w:val="auto"/>
          <w:sz w:val="24"/>
          <w:szCs w:val="24"/>
          <w:highlight w:val="none"/>
        </w:rPr>
      </w:pPr>
      <w:bookmarkStart w:id="367" w:name="_Toc9249"/>
      <w:r>
        <w:rPr>
          <w:rFonts w:hint="eastAsia" w:ascii="宋体" w:hAnsi="宋体" w:eastAsia="宋体" w:cs="宋体"/>
          <w:color w:val="auto"/>
          <w:sz w:val="24"/>
          <w:szCs w:val="24"/>
          <w:highlight w:val="none"/>
        </w:rPr>
        <w:t>（注：按国家、广东省、广州市园林绿化工程建设及验收标准执行。）</w:t>
      </w:r>
      <w:bookmarkEnd w:id="367"/>
    </w:p>
    <w:p w14:paraId="293D4FA0">
      <w:pPr>
        <w:rPr>
          <w:rFonts w:ascii="宋体" w:hAnsi="宋体" w:eastAsia="宋体"/>
          <w:color w:val="auto"/>
          <w:highlight w:val="none"/>
        </w:rPr>
      </w:pPr>
      <w:r>
        <w:rPr>
          <w:rFonts w:ascii="宋体" w:hAnsi="宋体" w:eastAsia="宋体"/>
          <w:color w:val="auto"/>
          <w:szCs w:val="21"/>
          <w:highlight w:val="none"/>
        </w:rPr>
        <w:br w:type="page"/>
      </w:r>
    </w:p>
    <w:p w14:paraId="53DD70AA">
      <w:pPr>
        <w:pStyle w:val="7"/>
        <w:rPr>
          <w:rFonts w:ascii="宋体" w:eastAsia="宋体"/>
          <w:b w:val="0"/>
          <w:color w:val="auto"/>
          <w:highlight w:val="none"/>
        </w:rPr>
      </w:pPr>
      <w:bookmarkStart w:id="368" w:name="_第六章__图纸及勘察资料"/>
      <w:bookmarkEnd w:id="368"/>
      <w:bookmarkStart w:id="369" w:name="_Toc32070"/>
      <w:bookmarkStart w:id="370" w:name="_Toc23083"/>
      <w:bookmarkStart w:id="371" w:name="_Toc21559"/>
      <w:bookmarkStart w:id="372" w:name="_Toc13226"/>
      <w:bookmarkStart w:id="373" w:name="_Toc10021"/>
      <w:bookmarkStart w:id="374" w:name="_Toc13459"/>
      <w:bookmarkStart w:id="375" w:name="_Toc262229177"/>
      <w:bookmarkStart w:id="376" w:name="_Toc31137"/>
      <w:bookmarkStart w:id="377" w:name="_Toc27338"/>
      <w:bookmarkStart w:id="378" w:name="_Toc24765"/>
      <w:bookmarkStart w:id="379" w:name="_Toc13214"/>
      <w:bookmarkStart w:id="380" w:name="_Toc1405"/>
      <w:r>
        <w:rPr>
          <w:rFonts w:hint="eastAsia" w:ascii="宋体" w:eastAsia="宋体"/>
          <w:b w:val="0"/>
          <w:color w:val="auto"/>
          <w:highlight w:val="none"/>
        </w:rPr>
        <w:t>第六章  图纸及勘察资料</w:t>
      </w:r>
      <w:bookmarkEnd w:id="369"/>
      <w:bookmarkEnd w:id="370"/>
      <w:bookmarkEnd w:id="371"/>
      <w:bookmarkEnd w:id="372"/>
      <w:bookmarkEnd w:id="373"/>
      <w:bookmarkEnd w:id="374"/>
      <w:bookmarkEnd w:id="375"/>
      <w:bookmarkEnd w:id="376"/>
      <w:bookmarkEnd w:id="377"/>
      <w:bookmarkEnd w:id="378"/>
      <w:bookmarkEnd w:id="379"/>
      <w:bookmarkEnd w:id="380"/>
    </w:p>
    <w:p w14:paraId="1AA0506B">
      <w:pPr>
        <w:rPr>
          <w:rFonts w:ascii="宋体" w:hAnsi="宋体" w:eastAsia="宋体"/>
          <w:color w:val="auto"/>
          <w:sz w:val="24"/>
          <w:szCs w:val="24"/>
          <w:highlight w:val="none"/>
        </w:rPr>
      </w:pPr>
    </w:p>
    <w:p w14:paraId="04D69FE7">
      <w:pPr>
        <w:rPr>
          <w:rFonts w:ascii="宋体" w:hAnsi="宋体" w:eastAsia="宋体"/>
          <w:color w:val="auto"/>
          <w:sz w:val="24"/>
          <w:szCs w:val="24"/>
          <w:highlight w:val="none"/>
        </w:rPr>
      </w:pPr>
    </w:p>
    <w:p w14:paraId="48CF9061">
      <w:pPr>
        <w:rPr>
          <w:rFonts w:ascii="宋体" w:hAnsi="宋体" w:eastAsia="宋体"/>
          <w:b/>
          <w:color w:val="auto"/>
          <w:sz w:val="24"/>
          <w:szCs w:val="24"/>
          <w:highlight w:val="none"/>
        </w:rPr>
      </w:pPr>
      <w:r>
        <w:rPr>
          <w:rFonts w:hint="eastAsia" w:ascii="宋体" w:hAnsi="宋体" w:eastAsia="宋体"/>
          <w:color w:val="auto"/>
          <w:sz w:val="24"/>
          <w:szCs w:val="24"/>
          <w:highlight w:val="none"/>
        </w:rPr>
        <w:t>注：本章由招标人自行制定，另册。</w:t>
      </w:r>
    </w:p>
    <w:p w14:paraId="376D69D7">
      <w:pPr>
        <w:rPr>
          <w:rFonts w:ascii="宋体" w:hAnsi="宋体" w:eastAsia="宋体"/>
          <w:color w:val="auto"/>
          <w:highlight w:val="none"/>
        </w:rPr>
      </w:pPr>
    </w:p>
    <w:p w14:paraId="659809FC">
      <w:pPr>
        <w:pStyle w:val="5"/>
        <w:ind w:firstLine="0"/>
        <w:rPr>
          <w:rFonts w:ascii="宋体" w:hAnsi="宋体" w:eastAsia="宋体"/>
          <w:color w:val="auto"/>
          <w:highlight w:val="none"/>
        </w:rPr>
      </w:pPr>
    </w:p>
    <w:p w14:paraId="570E2D40">
      <w:pPr>
        <w:pStyle w:val="5"/>
        <w:ind w:firstLine="0"/>
        <w:rPr>
          <w:rFonts w:ascii="宋体" w:hAnsi="宋体" w:eastAsia="宋体"/>
          <w:color w:val="auto"/>
          <w:highlight w:val="none"/>
        </w:rPr>
      </w:pPr>
    </w:p>
    <w:p w14:paraId="058C088B">
      <w:pPr>
        <w:pStyle w:val="5"/>
        <w:ind w:firstLine="0"/>
        <w:rPr>
          <w:rFonts w:ascii="宋体" w:hAnsi="宋体" w:eastAsia="宋体"/>
          <w:color w:val="auto"/>
          <w:highlight w:val="none"/>
        </w:rPr>
      </w:pPr>
    </w:p>
    <w:p w14:paraId="7ED1D609">
      <w:pPr>
        <w:pStyle w:val="5"/>
        <w:ind w:firstLine="0"/>
        <w:rPr>
          <w:rFonts w:ascii="宋体" w:hAnsi="宋体" w:eastAsia="宋体"/>
          <w:color w:val="auto"/>
          <w:highlight w:val="none"/>
        </w:rPr>
      </w:pPr>
      <w:r>
        <w:rPr>
          <w:rFonts w:ascii="宋体" w:hAnsi="宋体" w:eastAsia="宋体"/>
          <w:color w:val="auto"/>
          <w:highlight w:val="none"/>
        </w:rPr>
        <w:br w:type="page"/>
      </w:r>
    </w:p>
    <w:p w14:paraId="0C511A7A">
      <w:pPr>
        <w:pStyle w:val="7"/>
        <w:rPr>
          <w:rFonts w:ascii="宋体" w:eastAsia="宋体"/>
          <w:b w:val="0"/>
          <w:color w:val="auto"/>
          <w:highlight w:val="none"/>
        </w:rPr>
      </w:pPr>
      <w:bookmarkStart w:id="381" w:name="_第七章__工程量清单"/>
      <w:bookmarkEnd w:id="381"/>
      <w:bookmarkStart w:id="382" w:name="_Toc7393"/>
      <w:bookmarkStart w:id="383" w:name="_Toc6561"/>
      <w:bookmarkStart w:id="384" w:name="_Toc15102"/>
      <w:bookmarkStart w:id="385" w:name="_Toc12762"/>
      <w:bookmarkStart w:id="386" w:name="_Toc21398"/>
      <w:bookmarkStart w:id="387" w:name="_Toc11895"/>
      <w:bookmarkStart w:id="388" w:name="_Toc6709"/>
      <w:bookmarkStart w:id="389" w:name="_Toc6799"/>
      <w:bookmarkStart w:id="390" w:name="_Toc22633"/>
      <w:bookmarkStart w:id="391" w:name="_Toc262229178"/>
      <w:bookmarkStart w:id="392" w:name="_Toc8369"/>
      <w:bookmarkStart w:id="393" w:name="_Toc16019"/>
      <w:r>
        <w:rPr>
          <w:rFonts w:hint="eastAsia" w:ascii="宋体" w:eastAsia="宋体"/>
          <w:b w:val="0"/>
          <w:color w:val="auto"/>
          <w:highlight w:val="none"/>
        </w:rPr>
        <w:t>第七章  工程量清单</w:t>
      </w:r>
      <w:bookmarkEnd w:id="382"/>
      <w:bookmarkEnd w:id="383"/>
      <w:bookmarkEnd w:id="384"/>
      <w:bookmarkEnd w:id="385"/>
      <w:bookmarkEnd w:id="386"/>
      <w:bookmarkEnd w:id="387"/>
      <w:bookmarkEnd w:id="388"/>
      <w:bookmarkEnd w:id="389"/>
      <w:bookmarkEnd w:id="390"/>
      <w:bookmarkEnd w:id="391"/>
      <w:bookmarkEnd w:id="392"/>
      <w:bookmarkEnd w:id="393"/>
    </w:p>
    <w:p w14:paraId="6877CA93">
      <w:pPr>
        <w:rPr>
          <w:rFonts w:ascii="宋体" w:hAnsi="宋体" w:eastAsia="宋体"/>
          <w:color w:val="auto"/>
          <w:sz w:val="24"/>
          <w:szCs w:val="24"/>
          <w:highlight w:val="none"/>
        </w:rPr>
      </w:pPr>
    </w:p>
    <w:p w14:paraId="66C8F51F">
      <w:pPr>
        <w:rPr>
          <w:rFonts w:ascii="宋体" w:hAnsi="宋体" w:eastAsia="宋体"/>
          <w:color w:val="auto"/>
          <w:sz w:val="24"/>
          <w:szCs w:val="24"/>
          <w:highlight w:val="none"/>
        </w:rPr>
      </w:pPr>
    </w:p>
    <w:p w14:paraId="1A234462">
      <w:pPr>
        <w:rPr>
          <w:rFonts w:ascii="宋体" w:hAnsi="宋体" w:eastAsia="宋体"/>
          <w:b/>
          <w:color w:val="auto"/>
          <w:sz w:val="24"/>
          <w:szCs w:val="24"/>
          <w:highlight w:val="none"/>
        </w:rPr>
      </w:pPr>
      <w:r>
        <w:rPr>
          <w:rFonts w:hint="eastAsia" w:ascii="宋体" w:hAnsi="宋体" w:eastAsia="宋体"/>
          <w:color w:val="auto"/>
          <w:sz w:val="24"/>
          <w:szCs w:val="24"/>
          <w:highlight w:val="none"/>
        </w:rPr>
        <w:t>注：本章由招标人自行制定，另册。</w:t>
      </w:r>
    </w:p>
    <w:p w14:paraId="13F6F3EF">
      <w:pPr>
        <w:pStyle w:val="5"/>
        <w:spacing w:after="0" w:line="360" w:lineRule="auto"/>
        <w:ind w:left="-2" w:leftChars="-1" w:firstLine="960" w:firstLineChars="400"/>
        <w:rPr>
          <w:rFonts w:ascii="宋体" w:hAnsi="宋体" w:eastAsia="宋体"/>
          <w:color w:val="auto"/>
          <w:sz w:val="24"/>
          <w:szCs w:val="24"/>
          <w:highlight w:val="none"/>
        </w:rPr>
      </w:pPr>
    </w:p>
    <w:p w14:paraId="24E9590C">
      <w:pPr>
        <w:jc w:val="center"/>
        <w:outlineLvl w:val="1"/>
        <w:rPr>
          <w:rFonts w:hint="eastAsia" w:ascii="宋体" w:eastAsia="宋体"/>
          <w:b/>
          <w:color w:val="auto"/>
          <w:highlight w:val="none"/>
        </w:rPr>
      </w:pPr>
      <w:bookmarkStart w:id="394" w:name="_最高投标限价"/>
      <w:bookmarkEnd w:id="394"/>
      <w:r>
        <w:rPr>
          <w:rFonts w:ascii="宋体" w:eastAsia="宋体"/>
          <w:color w:val="auto"/>
          <w:highlight w:val="none"/>
        </w:rPr>
        <w:br w:type="page"/>
      </w:r>
      <w:bookmarkStart w:id="395" w:name="_Toc9645"/>
      <w:bookmarkStart w:id="396" w:name="_Toc6519"/>
      <w:bookmarkStart w:id="397" w:name="_Toc17533"/>
      <w:bookmarkStart w:id="398" w:name="_Toc9946"/>
      <w:bookmarkStart w:id="399" w:name="_Toc22863"/>
      <w:bookmarkStart w:id="400" w:name="_Toc3215"/>
      <w:bookmarkStart w:id="401" w:name="_Toc10897"/>
      <w:bookmarkStart w:id="402" w:name="_Toc23743"/>
      <w:bookmarkStart w:id="403" w:name="_Toc13396"/>
      <w:bookmarkStart w:id="404" w:name="_Toc133"/>
      <w:bookmarkStart w:id="405" w:name="_Toc2283"/>
      <w:r>
        <w:rPr>
          <w:rFonts w:hint="eastAsia" w:ascii="宋体" w:hAnsi="宋体" w:eastAsia="宋体" w:cs="宋体"/>
          <w:b/>
          <w:bCs/>
          <w:color w:val="auto"/>
          <w:sz w:val="30"/>
          <w:szCs w:val="30"/>
          <w:highlight w:val="none"/>
        </w:rPr>
        <w:t>第八章</w:t>
      </w:r>
      <w:r>
        <w:rPr>
          <w:rFonts w:hint="eastAsia" w:ascii="宋体" w:hAnsi="宋体" w:eastAsia="宋体" w:cs="宋体"/>
          <w:color w:val="auto"/>
          <w:sz w:val="30"/>
          <w:szCs w:val="30"/>
          <w:highlight w:val="none"/>
        </w:rPr>
        <w:t xml:space="preserve">  </w:t>
      </w:r>
      <w:r>
        <w:rPr>
          <w:rFonts w:hint="eastAsia" w:ascii="宋体" w:hAnsi="宋体" w:eastAsia="宋体" w:cs="宋体"/>
          <w:b/>
          <w:color w:val="auto"/>
          <w:sz w:val="30"/>
          <w:szCs w:val="30"/>
          <w:highlight w:val="none"/>
        </w:rPr>
        <w:t>最高投标限价</w:t>
      </w:r>
      <w:bookmarkEnd w:id="395"/>
      <w:bookmarkEnd w:id="396"/>
      <w:bookmarkEnd w:id="397"/>
      <w:bookmarkEnd w:id="398"/>
      <w:bookmarkEnd w:id="399"/>
      <w:bookmarkEnd w:id="400"/>
      <w:bookmarkEnd w:id="401"/>
      <w:bookmarkEnd w:id="402"/>
      <w:bookmarkEnd w:id="403"/>
      <w:bookmarkEnd w:id="404"/>
      <w:bookmarkEnd w:id="405"/>
    </w:p>
    <w:p w14:paraId="53EC6FA6">
      <w:pPr>
        <w:pStyle w:val="5"/>
        <w:rPr>
          <w:color w:val="auto"/>
          <w:highlight w:val="none"/>
        </w:rPr>
      </w:pPr>
    </w:p>
    <w:p w14:paraId="1301CF23">
      <w:pPr>
        <w:spacing w:line="360" w:lineRule="auto"/>
        <w:ind w:firstLine="48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注：招标人应当在发布招标文件时，公布最高投标限价的总价，分部分项工程费、措施项目费、其他项目费、规费和税金，以及绿色施工安全防护措施费、暂列金额、暂估价等投标人不可竞争的固定报价。</w:t>
      </w:r>
    </w:p>
    <w:p w14:paraId="6B55752E">
      <w:pPr>
        <w:pStyle w:val="2"/>
        <w:jc w:val="center"/>
        <w:rPr>
          <w:rFonts w:hint="eastAsia" w:eastAsia="宋体"/>
          <w:b/>
          <w:bCs/>
          <w:color w:val="auto"/>
          <w:highlight w:val="none"/>
        </w:rPr>
      </w:pPr>
      <w:r>
        <w:rPr>
          <w:rFonts w:hint="eastAsia" w:hAnsi="宋体" w:eastAsia="宋体"/>
          <w:b/>
          <w:bCs/>
          <w:color w:val="auto"/>
          <w:sz w:val="24"/>
          <w:highlight w:val="none"/>
        </w:rPr>
        <w:t>（另册）</w:t>
      </w:r>
    </w:p>
    <w:p w14:paraId="2F29E121">
      <w:pPr>
        <w:spacing w:line="360" w:lineRule="auto"/>
        <w:ind w:firstLine="480"/>
        <w:rPr>
          <w:rFonts w:hint="eastAsia" w:ascii="宋体" w:hAnsi="宋体" w:eastAsia="宋体"/>
          <w:color w:val="auto"/>
          <w:sz w:val="24"/>
          <w:szCs w:val="24"/>
          <w:highlight w:val="none"/>
        </w:rPr>
      </w:pPr>
    </w:p>
    <w:bookmarkEnd w:id="295"/>
    <w:bookmarkEnd w:id="296"/>
    <w:p w14:paraId="5D74B5D3">
      <w:pPr>
        <w:rPr>
          <w:rFonts w:ascii="宋体" w:hAnsi="宋体" w:eastAsia="宋体"/>
          <w:color w:val="auto"/>
          <w:highlight w:val="none"/>
        </w:rPr>
      </w:pPr>
    </w:p>
    <w:sectPr>
      <w:pgSz w:w="11850" w:h="16783"/>
      <w:pgMar w:top="1417" w:right="1290" w:bottom="1417" w:left="129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597E7">
    <w:pPr>
      <w:pStyle w:val="22"/>
    </w:pPr>
    <w:r>
      <mc:AlternateContent>
        <mc:Choice Requires="wps">
          <w:drawing>
            <wp:anchor distT="0" distB="0" distL="114300" distR="114300" simplePos="0" relativeHeight="251659264" behindDoc="1" locked="0" layoutInCell="1" allowOverlap="1">
              <wp:simplePos x="0" y="0"/>
              <wp:positionH relativeFrom="margin">
                <wp:align>center</wp:align>
              </wp:positionH>
              <wp:positionV relativeFrom="paragraph">
                <wp:posOffset>0</wp:posOffset>
              </wp:positionV>
              <wp:extent cx="153035" cy="175260"/>
              <wp:effectExtent l="0" t="0" r="0" b="0"/>
              <wp:wrapThrough wrapText="bothSides">
                <wp:wrapPolygon>
                  <wp:start x="21592" y="-2"/>
                  <wp:lineTo x="0" y="0"/>
                  <wp:lineTo x="0" y="21600"/>
                  <wp:lineTo x="21592" y="21602"/>
                  <wp:lineTo x="8" y="21602"/>
                  <wp:lineTo x="21600" y="21600"/>
                  <wp:lineTo x="21600" y="0"/>
                  <wp:lineTo x="8" y="-2"/>
                  <wp:lineTo x="21592" y="-2"/>
                </wp:wrapPolygon>
              </wp:wrapThrough>
              <wp:docPr id="1" name="文本框 1027"/>
              <wp:cNvGraphicFramePr/>
              <a:graphic xmlns:a="http://schemas.openxmlformats.org/drawingml/2006/main">
                <a:graphicData uri="http://schemas.microsoft.com/office/word/2010/wordprocessingShape">
                  <wps:wsp>
                    <wps:cNvSpPr txBox="1"/>
                    <wps:spPr>
                      <a:xfrm>
                        <a:off x="0" y="0"/>
                        <a:ext cx="153035" cy="175260"/>
                      </a:xfrm>
                      <a:prstGeom prst="rect">
                        <a:avLst/>
                      </a:prstGeom>
                      <a:noFill/>
                      <a:ln>
                        <a:noFill/>
                      </a:ln>
                    </wps:spPr>
                    <wps:txbx>
                      <w:txbxContent>
                        <w:p w14:paraId="14B84910">
                          <w:pPr>
                            <w:pStyle w:val="22"/>
                            <w:rPr>
                              <w:rStyle w:val="34"/>
                              <w:sz w:val="21"/>
                              <w:szCs w:val="21"/>
                            </w:rPr>
                          </w:pPr>
                          <w:r>
                            <w:rPr>
                              <w:sz w:val="21"/>
                              <w:szCs w:val="21"/>
                            </w:rPr>
                            <w:fldChar w:fldCharType="begin"/>
                          </w:r>
                          <w:r>
                            <w:rPr>
                              <w:rStyle w:val="34"/>
                              <w:sz w:val="21"/>
                              <w:szCs w:val="21"/>
                            </w:rPr>
                            <w:instrText xml:space="preserve">PAGE  </w:instrText>
                          </w:r>
                          <w:r>
                            <w:rPr>
                              <w:sz w:val="21"/>
                              <w:szCs w:val="21"/>
                            </w:rPr>
                            <w:fldChar w:fldCharType="separate"/>
                          </w:r>
                          <w:r>
                            <w:rPr>
                              <w:rStyle w:val="34"/>
                              <w:sz w:val="21"/>
                              <w:szCs w:val="21"/>
                            </w:rPr>
                            <w:t>56</w:t>
                          </w:r>
                          <w:r>
                            <w:rPr>
                              <w:sz w:val="21"/>
                              <w:szCs w:val="21"/>
                            </w:rPr>
                            <w:fldChar w:fldCharType="end"/>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3.8pt;width:12.05pt;mso-position-horizontal:center;mso-position-horizontal-relative:margin;mso-wrap-distance-left:9pt;mso-wrap-distance-right:9pt;mso-wrap-style:none;z-index:-251657216;mso-width-relative:page;mso-height-relative:page;" filled="f" stroked="f" coordsize="21600,21600" wrapcoords="21592 -2 0 0 0 21600 21592 21602 8 21602 21600 21600 21600 0 8 -2 21592 -2" o:gfxdata="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4tKjR0QAAAAMBAAAP&#10;AAAAAAAAAAEAIAAAACIAAABkcnMvZG93bnJldi54bWxQSwECFAAUAAAACACHTuJAGb1xaOYBAAC/&#10;AwAADgAAAAAAAAABACAAAAAgAQAAZHJzL2Uyb0RvYy54bWxQSwUGAAAAAAYABgBZAQAAeAUAAAAA&#10;">
              <v:fill on="f" focussize="0,0"/>
              <v:stroke on="f"/>
              <v:imagedata o:title=""/>
              <o:lock v:ext="edit" aspectratio="f"/>
              <v:textbox inset="0mm,0mm,0mm,0mm" style="mso-fit-shape-to-text:t;">
                <w:txbxContent>
                  <w:p w14:paraId="14B84910">
                    <w:pPr>
                      <w:pStyle w:val="22"/>
                      <w:rPr>
                        <w:rStyle w:val="34"/>
                        <w:sz w:val="21"/>
                        <w:szCs w:val="21"/>
                      </w:rPr>
                    </w:pPr>
                    <w:r>
                      <w:rPr>
                        <w:sz w:val="21"/>
                        <w:szCs w:val="21"/>
                      </w:rPr>
                      <w:fldChar w:fldCharType="begin"/>
                    </w:r>
                    <w:r>
                      <w:rPr>
                        <w:rStyle w:val="34"/>
                        <w:sz w:val="21"/>
                        <w:szCs w:val="21"/>
                      </w:rPr>
                      <w:instrText xml:space="preserve">PAGE  </w:instrText>
                    </w:r>
                    <w:r>
                      <w:rPr>
                        <w:sz w:val="21"/>
                        <w:szCs w:val="21"/>
                      </w:rPr>
                      <w:fldChar w:fldCharType="separate"/>
                    </w:r>
                    <w:r>
                      <w:rPr>
                        <w:rStyle w:val="34"/>
                        <w:sz w:val="21"/>
                        <w:szCs w:val="21"/>
                      </w:rPr>
                      <w:t>56</w:t>
                    </w:r>
                    <w:r>
                      <w:rPr>
                        <w:sz w:val="21"/>
                        <w:szCs w:val="21"/>
                      </w:rPr>
                      <w:fldChar w:fldCharType="end"/>
                    </w:r>
                  </w:p>
                </w:txbxContent>
              </v:textbox>
              <w10:wrap type="through"/>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80320">
    <w:pPr>
      <w:pStyle w:val="23"/>
      <w:pBdr>
        <w:bottom w:val="none" w:color="auto" w:sz="0" w:space="0"/>
      </w:pBdr>
      <w:jc w:val="center"/>
      <w:rPr>
        <w:rFonts w:hint="default" w:eastAsia="楷体_GB2312"/>
        <w:sz w:val="20"/>
        <w:szCs w:val="20"/>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AE2BE">
    <w:pPr>
      <w:pStyle w:val="23"/>
      <w:pBdr>
        <w:bottom w:val="none" w:color="auto" w:sz="0" w:space="0"/>
      </w:pBdr>
      <w:jc w:val="center"/>
      <w:rPr>
        <w:rFonts w:hint="eastAsia" w:ascii="宋体" w:hAnsi="宋体" w:eastAsia="宋体" w:cs="宋体"/>
        <w:sz w:val="20"/>
        <w:szCs w:val="20"/>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741AF">
    <w:pPr>
      <w:pStyle w:val="23"/>
      <w:pBdr>
        <w:bottom w:val="none" w:color="auto" w:sz="0" w:space="0"/>
      </w:pBdr>
      <w:jc w:val="left"/>
      <w:rPr>
        <w:rFonts w:hint="eastAsia" w:ascii="宋体" w:hAnsi="宋体" w:eastAsia="宋体" w:cs="宋体"/>
        <w:sz w:val="20"/>
        <w:szCs w:val="20"/>
        <w:lang w:val="en-US" w:eastAsia="zh-CN"/>
      </w:rPr>
    </w:pPr>
  </w:p>
  <w:p w14:paraId="7957F594">
    <w:pPr>
      <w:pStyle w:val="23"/>
      <w:pBdr>
        <w:bottom w:val="none" w:color="auto" w:sz="0" w:space="0"/>
      </w:pBdr>
      <w:jc w:val="center"/>
      <w:rPr>
        <w:rFonts w:hint="eastAsia" w:ascii="宋体" w:hAnsi="宋体" w:eastAsia="宋体" w:cs="宋体"/>
        <w:sz w:val="20"/>
        <w:szCs w:val="20"/>
        <w:lang w:val="en-US" w:eastAsia="zh-CN"/>
      </w:rPr>
    </w:pPr>
  </w:p>
  <w:p w14:paraId="36B52442">
    <w:pPr>
      <w:pStyle w:val="23"/>
      <w:pBdr>
        <w:bottom w:val="none" w:color="auto" w:sz="0" w:space="0"/>
      </w:pBdr>
      <w:jc w:val="center"/>
      <w:rPr>
        <w:rFonts w:hint="eastAsia" w:ascii="宋体" w:hAnsi="宋体" w:eastAsia="宋体" w:cs="宋体"/>
        <w:sz w:val="20"/>
        <w:szCs w:val="20"/>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8EEC0">
    <w:pPr>
      <w:pStyle w:val="23"/>
      <w:pBdr>
        <w:bottom w:val="none" w:color="auto" w:sz="0" w:space="0"/>
      </w:pBdr>
      <w:jc w:val="center"/>
      <w:rPr>
        <w:rFonts w:hint="eastAsia" w:ascii="宋体" w:hAnsi="宋体" w:eastAsia="宋体" w:cs="宋体"/>
        <w:sz w:val="20"/>
        <w:szCs w:val="20"/>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1D7DC">
    <w:pPr>
      <w:pStyle w:val="23"/>
      <w:pBdr>
        <w:bottom w:val="none" w:color="auto" w:sz="0" w:space="0"/>
      </w:pBdr>
      <w:jc w:val="center"/>
      <w:rPr>
        <w:rFonts w:hint="eastAsia" w:ascii="宋体" w:hAnsi="宋体" w:eastAsia="宋体" w:cs="宋体"/>
        <w:sz w:val="20"/>
        <w:szCs w:val="20"/>
        <w:lang w:val="en-US" w:eastAsia="zh-CN"/>
      </w:rPr>
    </w:pPr>
  </w:p>
  <w:p w14:paraId="43EFDF16">
    <w:pPr>
      <w:pStyle w:val="23"/>
      <w:pBdr>
        <w:bottom w:val="none" w:color="auto" w:sz="0" w:space="0"/>
      </w:pBdr>
      <w:jc w:val="center"/>
      <w:rPr>
        <w:rFonts w:hint="default" w:eastAsia="楷体_GB2312"/>
        <w:sz w:val="20"/>
        <w:szCs w:val="20"/>
        <w:lang w:val="en-US" w:eastAsia="zh-CN"/>
      </w:rPr>
    </w:pPr>
    <w:r>
      <w:rPr>
        <w:rFonts w:hint="eastAsia" w:ascii="宋体" w:hAnsi="宋体" w:eastAsia="宋体" w:cs="宋体"/>
        <w:sz w:val="20"/>
        <w:szCs w:val="20"/>
        <w:lang w:val="en-US" w:eastAsia="zh-CN"/>
      </w:rPr>
      <w:t>2025年从化区森林质量优化提升工程</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27858">
    <w:pPr>
      <w:pStyle w:val="23"/>
      <w:pBdr>
        <w:bottom w:val="none" w:color="auto" w:sz="0" w:space="0"/>
      </w:pBdr>
      <w:jc w:val="left"/>
      <w:rPr>
        <w:rFonts w:hint="eastAsia" w:ascii="宋体" w:hAnsi="宋体" w:eastAsia="宋体" w:cs="宋体"/>
        <w:sz w:val="20"/>
        <w:szCs w:val="20"/>
        <w:lang w:val="en-US" w:eastAsia="zh-CN"/>
      </w:rPr>
    </w:pPr>
  </w:p>
  <w:p w14:paraId="08E745CB">
    <w:pPr>
      <w:pStyle w:val="23"/>
      <w:pBdr>
        <w:bottom w:val="none" w:color="auto" w:sz="0" w:space="0"/>
      </w:pBdr>
      <w:jc w:val="left"/>
      <w:rPr>
        <w:rFonts w:hint="eastAsia" w:ascii="宋体" w:hAnsi="宋体" w:eastAsia="宋体" w:cs="宋体"/>
        <w:sz w:val="20"/>
        <w:szCs w:val="20"/>
        <w:lang w:val="en-US" w:eastAsia="zh-CN"/>
      </w:rPr>
    </w:pPr>
  </w:p>
  <w:p w14:paraId="21846730">
    <w:pPr>
      <w:pStyle w:val="23"/>
      <w:pBdr>
        <w:bottom w:val="none" w:color="auto" w:sz="0" w:space="0"/>
      </w:pBdr>
      <w:jc w:val="center"/>
      <w:rPr>
        <w:rFonts w:hint="eastAsia" w:ascii="宋体" w:hAnsi="宋体" w:eastAsia="宋体" w:cs="宋体"/>
        <w:sz w:val="20"/>
        <w:szCs w:val="20"/>
        <w:lang w:val="en-US"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B9624">
    <w:pPr>
      <w:pStyle w:val="23"/>
      <w:pBdr>
        <w:bottom w:val="none" w:color="auto" w:sz="0" w:space="0"/>
      </w:pBdr>
      <w:jc w:val="center"/>
      <w:rPr>
        <w:rFonts w:hint="eastAsia" w:ascii="宋体" w:hAnsi="宋体" w:eastAsia="宋体" w:cs="宋体"/>
        <w:sz w:val="20"/>
        <w:szCs w:val="20"/>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9040EA"/>
    <w:multiLevelType w:val="singleLevel"/>
    <w:tmpl w:val="AD9040EA"/>
    <w:lvl w:ilvl="0" w:tentative="0">
      <w:start w:val="1"/>
      <w:numFmt w:val="decimal"/>
      <w:suff w:val="nothing"/>
      <w:lvlText w:val="%1．"/>
      <w:lvlJc w:val="left"/>
      <w:pPr>
        <w:ind w:left="0" w:firstLine="400"/>
      </w:pPr>
      <w:rPr>
        <w:rFonts w:hint="default"/>
      </w:rPr>
    </w:lvl>
  </w:abstractNum>
  <w:abstractNum w:abstractNumId="1">
    <w:nsid w:val="279B00BB"/>
    <w:multiLevelType w:val="singleLevel"/>
    <w:tmpl w:val="279B00B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movePersonalInformation/>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lN2QwNGVmMTI3ZDA2YzQyNzM4NTIxODk4OGNlNjIifQ=="/>
    <w:docVar w:name="KGWebUrl" w:val="http://10.194.156.30:80/missive/officeProcess.do?method=officeProcess"/>
  </w:docVars>
  <w:rsids>
    <w:rsidRoot w:val="00172A27"/>
    <w:rsid w:val="0000058D"/>
    <w:rsid w:val="000010E7"/>
    <w:rsid w:val="000031E7"/>
    <w:rsid w:val="00005DB6"/>
    <w:rsid w:val="0001030A"/>
    <w:rsid w:val="00013F20"/>
    <w:rsid w:val="00014F59"/>
    <w:rsid w:val="00017813"/>
    <w:rsid w:val="00017CF1"/>
    <w:rsid w:val="00021BF6"/>
    <w:rsid w:val="0002482D"/>
    <w:rsid w:val="00026448"/>
    <w:rsid w:val="0003137C"/>
    <w:rsid w:val="000318CE"/>
    <w:rsid w:val="00033326"/>
    <w:rsid w:val="00034BF8"/>
    <w:rsid w:val="0003534B"/>
    <w:rsid w:val="00036324"/>
    <w:rsid w:val="00037444"/>
    <w:rsid w:val="00043EBB"/>
    <w:rsid w:val="00045E05"/>
    <w:rsid w:val="00045E7A"/>
    <w:rsid w:val="00046D59"/>
    <w:rsid w:val="000512C6"/>
    <w:rsid w:val="0005256C"/>
    <w:rsid w:val="0005399E"/>
    <w:rsid w:val="00062520"/>
    <w:rsid w:val="00062B1B"/>
    <w:rsid w:val="00065677"/>
    <w:rsid w:val="00065A08"/>
    <w:rsid w:val="00070035"/>
    <w:rsid w:val="00072306"/>
    <w:rsid w:val="00072DDB"/>
    <w:rsid w:val="0007357A"/>
    <w:rsid w:val="0007734E"/>
    <w:rsid w:val="000804ED"/>
    <w:rsid w:val="000814F1"/>
    <w:rsid w:val="00086042"/>
    <w:rsid w:val="000871CE"/>
    <w:rsid w:val="00093FA7"/>
    <w:rsid w:val="000A0AFF"/>
    <w:rsid w:val="000A1BD1"/>
    <w:rsid w:val="000B7FC1"/>
    <w:rsid w:val="000C04AF"/>
    <w:rsid w:val="000C1BEE"/>
    <w:rsid w:val="000C5632"/>
    <w:rsid w:val="000C5AC7"/>
    <w:rsid w:val="000D31E9"/>
    <w:rsid w:val="000E12D7"/>
    <w:rsid w:val="000E1CB8"/>
    <w:rsid w:val="000E348F"/>
    <w:rsid w:val="000E4B36"/>
    <w:rsid w:val="000E71AA"/>
    <w:rsid w:val="000F12E6"/>
    <w:rsid w:val="000F72C6"/>
    <w:rsid w:val="00101FA2"/>
    <w:rsid w:val="00104B86"/>
    <w:rsid w:val="00107E82"/>
    <w:rsid w:val="00110AA4"/>
    <w:rsid w:val="00110BDF"/>
    <w:rsid w:val="001123DA"/>
    <w:rsid w:val="001132DC"/>
    <w:rsid w:val="001144C6"/>
    <w:rsid w:val="001173FE"/>
    <w:rsid w:val="00120309"/>
    <w:rsid w:val="0012048E"/>
    <w:rsid w:val="00121B54"/>
    <w:rsid w:val="00130E80"/>
    <w:rsid w:val="001327E3"/>
    <w:rsid w:val="0013681D"/>
    <w:rsid w:val="00136908"/>
    <w:rsid w:val="00140AB6"/>
    <w:rsid w:val="001428F1"/>
    <w:rsid w:val="001508A1"/>
    <w:rsid w:val="001535CB"/>
    <w:rsid w:val="00153E19"/>
    <w:rsid w:val="001553B4"/>
    <w:rsid w:val="0016434D"/>
    <w:rsid w:val="00171BF1"/>
    <w:rsid w:val="00171DD9"/>
    <w:rsid w:val="00173DD8"/>
    <w:rsid w:val="001763D6"/>
    <w:rsid w:val="00180A29"/>
    <w:rsid w:val="00181FF1"/>
    <w:rsid w:val="001838BF"/>
    <w:rsid w:val="00184E75"/>
    <w:rsid w:val="001936F8"/>
    <w:rsid w:val="001972D0"/>
    <w:rsid w:val="00197F66"/>
    <w:rsid w:val="001A0541"/>
    <w:rsid w:val="001B11C7"/>
    <w:rsid w:val="001B1E29"/>
    <w:rsid w:val="001B1EEA"/>
    <w:rsid w:val="001B3698"/>
    <w:rsid w:val="001B6A3C"/>
    <w:rsid w:val="001B787A"/>
    <w:rsid w:val="001C0ED4"/>
    <w:rsid w:val="001C135F"/>
    <w:rsid w:val="001C22FC"/>
    <w:rsid w:val="001C689A"/>
    <w:rsid w:val="001C74BC"/>
    <w:rsid w:val="001D2531"/>
    <w:rsid w:val="001D2B03"/>
    <w:rsid w:val="001D4ABD"/>
    <w:rsid w:val="001D735C"/>
    <w:rsid w:val="001E092D"/>
    <w:rsid w:val="001E2657"/>
    <w:rsid w:val="001E380B"/>
    <w:rsid w:val="001E510E"/>
    <w:rsid w:val="001F1B21"/>
    <w:rsid w:val="001F1BEA"/>
    <w:rsid w:val="001F3AB7"/>
    <w:rsid w:val="001F3CAB"/>
    <w:rsid w:val="001F5E77"/>
    <w:rsid w:val="001F6F68"/>
    <w:rsid w:val="001F7FFE"/>
    <w:rsid w:val="00201789"/>
    <w:rsid w:val="002063B5"/>
    <w:rsid w:val="00217789"/>
    <w:rsid w:val="00221350"/>
    <w:rsid w:val="002220C7"/>
    <w:rsid w:val="00222928"/>
    <w:rsid w:val="00222A1F"/>
    <w:rsid w:val="0022600B"/>
    <w:rsid w:val="00231706"/>
    <w:rsid w:val="00234C62"/>
    <w:rsid w:val="002377F9"/>
    <w:rsid w:val="00240B16"/>
    <w:rsid w:val="00241C89"/>
    <w:rsid w:val="00245916"/>
    <w:rsid w:val="002479EF"/>
    <w:rsid w:val="0025013A"/>
    <w:rsid w:val="002507F6"/>
    <w:rsid w:val="00252394"/>
    <w:rsid w:val="00260724"/>
    <w:rsid w:val="002608D6"/>
    <w:rsid w:val="00265752"/>
    <w:rsid w:val="00267953"/>
    <w:rsid w:val="00267E44"/>
    <w:rsid w:val="0027208E"/>
    <w:rsid w:val="0027489A"/>
    <w:rsid w:val="0027564E"/>
    <w:rsid w:val="00276191"/>
    <w:rsid w:val="00276561"/>
    <w:rsid w:val="00277A4E"/>
    <w:rsid w:val="00281370"/>
    <w:rsid w:val="00281AA8"/>
    <w:rsid w:val="0028344D"/>
    <w:rsid w:val="00287D9F"/>
    <w:rsid w:val="002A494B"/>
    <w:rsid w:val="002A4A1A"/>
    <w:rsid w:val="002A7151"/>
    <w:rsid w:val="002B23D9"/>
    <w:rsid w:val="002B395A"/>
    <w:rsid w:val="002B66B9"/>
    <w:rsid w:val="002C23E2"/>
    <w:rsid w:val="002C408F"/>
    <w:rsid w:val="002C44A2"/>
    <w:rsid w:val="002D6E6F"/>
    <w:rsid w:val="002E12B3"/>
    <w:rsid w:val="002E1D7C"/>
    <w:rsid w:val="002E4F4A"/>
    <w:rsid w:val="002F1C25"/>
    <w:rsid w:val="002F4EEF"/>
    <w:rsid w:val="002F617A"/>
    <w:rsid w:val="002F7341"/>
    <w:rsid w:val="003034D3"/>
    <w:rsid w:val="00304923"/>
    <w:rsid w:val="00311B11"/>
    <w:rsid w:val="0031472C"/>
    <w:rsid w:val="0031684E"/>
    <w:rsid w:val="0032278C"/>
    <w:rsid w:val="00322EBB"/>
    <w:rsid w:val="00323601"/>
    <w:rsid w:val="0032554F"/>
    <w:rsid w:val="00325B4F"/>
    <w:rsid w:val="00325C13"/>
    <w:rsid w:val="00327883"/>
    <w:rsid w:val="00331AB6"/>
    <w:rsid w:val="00331D17"/>
    <w:rsid w:val="003349B9"/>
    <w:rsid w:val="00334A96"/>
    <w:rsid w:val="00340012"/>
    <w:rsid w:val="00341462"/>
    <w:rsid w:val="003438A1"/>
    <w:rsid w:val="003457D9"/>
    <w:rsid w:val="003524D9"/>
    <w:rsid w:val="00355A38"/>
    <w:rsid w:val="00355E43"/>
    <w:rsid w:val="00365A6A"/>
    <w:rsid w:val="00371499"/>
    <w:rsid w:val="00376FFF"/>
    <w:rsid w:val="00377BD0"/>
    <w:rsid w:val="003803FB"/>
    <w:rsid w:val="00391D1F"/>
    <w:rsid w:val="00396E3B"/>
    <w:rsid w:val="00397AE3"/>
    <w:rsid w:val="003A419B"/>
    <w:rsid w:val="003A471E"/>
    <w:rsid w:val="003A4C16"/>
    <w:rsid w:val="003A5039"/>
    <w:rsid w:val="003A6D95"/>
    <w:rsid w:val="003A7DE8"/>
    <w:rsid w:val="003B02C9"/>
    <w:rsid w:val="003B3166"/>
    <w:rsid w:val="003B3928"/>
    <w:rsid w:val="003B513D"/>
    <w:rsid w:val="003B772A"/>
    <w:rsid w:val="003C0ADF"/>
    <w:rsid w:val="003C13E6"/>
    <w:rsid w:val="003D0311"/>
    <w:rsid w:val="003D2118"/>
    <w:rsid w:val="003D590A"/>
    <w:rsid w:val="003D7BBC"/>
    <w:rsid w:val="003E2698"/>
    <w:rsid w:val="003E3BAF"/>
    <w:rsid w:val="003E4403"/>
    <w:rsid w:val="003F01CD"/>
    <w:rsid w:val="003F1163"/>
    <w:rsid w:val="003F3072"/>
    <w:rsid w:val="003F6883"/>
    <w:rsid w:val="00401147"/>
    <w:rsid w:val="00401223"/>
    <w:rsid w:val="00402A7D"/>
    <w:rsid w:val="00406C88"/>
    <w:rsid w:val="0041038E"/>
    <w:rsid w:val="004103FD"/>
    <w:rsid w:val="00412BA2"/>
    <w:rsid w:val="00413894"/>
    <w:rsid w:val="00413D05"/>
    <w:rsid w:val="004146F9"/>
    <w:rsid w:val="00414A14"/>
    <w:rsid w:val="00423CA4"/>
    <w:rsid w:val="00424BFD"/>
    <w:rsid w:val="00431696"/>
    <w:rsid w:val="00431C99"/>
    <w:rsid w:val="00433C03"/>
    <w:rsid w:val="004349EE"/>
    <w:rsid w:val="004353A3"/>
    <w:rsid w:val="00437522"/>
    <w:rsid w:val="00440D36"/>
    <w:rsid w:val="00441F7C"/>
    <w:rsid w:val="004451DD"/>
    <w:rsid w:val="00446BAE"/>
    <w:rsid w:val="00453DE8"/>
    <w:rsid w:val="0045558D"/>
    <w:rsid w:val="00462BA4"/>
    <w:rsid w:val="0046327D"/>
    <w:rsid w:val="004656CC"/>
    <w:rsid w:val="00467CC5"/>
    <w:rsid w:val="00467D06"/>
    <w:rsid w:val="00470A6B"/>
    <w:rsid w:val="00472126"/>
    <w:rsid w:val="004737C1"/>
    <w:rsid w:val="00473A2F"/>
    <w:rsid w:val="00474C4B"/>
    <w:rsid w:val="00475013"/>
    <w:rsid w:val="0048249E"/>
    <w:rsid w:val="00484993"/>
    <w:rsid w:val="00487CE4"/>
    <w:rsid w:val="00493450"/>
    <w:rsid w:val="00497C17"/>
    <w:rsid w:val="004A0F32"/>
    <w:rsid w:val="004A71CE"/>
    <w:rsid w:val="004A76D2"/>
    <w:rsid w:val="004A7CBF"/>
    <w:rsid w:val="004B158E"/>
    <w:rsid w:val="004B25C0"/>
    <w:rsid w:val="004B3E2E"/>
    <w:rsid w:val="004E2857"/>
    <w:rsid w:val="004E549F"/>
    <w:rsid w:val="004E54AE"/>
    <w:rsid w:val="004F1C46"/>
    <w:rsid w:val="004F224C"/>
    <w:rsid w:val="004F3198"/>
    <w:rsid w:val="00501BCB"/>
    <w:rsid w:val="005041D6"/>
    <w:rsid w:val="00507C67"/>
    <w:rsid w:val="0051193F"/>
    <w:rsid w:val="00516D41"/>
    <w:rsid w:val="00517C5A"/>
    <w:rsid w:val="005201F6"/>
    <w:rsid w:val="00523A58"/>
    <w:rsid w:val="00524DE2"/>
    <w:rsid w:val="0052505F"/>
    <w:rsid w:val="005253D4"/>
    <w:rsid w:val="005263F4"/>
    <w:rsid w:val="00531136"/>
    <w:rsid w:val="00531383"/>
    <w:rsid w:val="0053200B"/>
    <w:rsid w:val="00532A4F"/>
    <w:rsid w:val="00535981"/>
    <w:rsid w:val="00535E25"/>
    <w:rsid w:val="00536740"/>
    <w:rsid w:val="00541B33"/>
    <w:rsid w:val="005457D2"/>
    <w:rsid w:val="00552C31"/>
    <w:rsid w:val="00554389"/>
    <w:rsid w:val="00560244"/>
    <w:rsid w:val="00560917"/>
    <w:rsid w:val="005640B5"/>
    <w:rsid w:val="00564CE4"/>
    <w:rsid w:val="00567C11"/>
    <w:rsid w:val="00567C8A"/>
    <w:rsid w:val="005725E0"/>
    <w:rsid w:val="00573B7D"/>
    <w:rsid w:val="0058274B"/>
    <w:rsid w:val="00582808"/>
    <w:rsid w:val="00582C36"/>
    <w:rsid w:val="00586A26"/>
    <w:rsid w:val="00586EF7"/>
    <w:rsid w:val="00591DC9"/>
    <w:rsid w:val="00597154"/>
    <w:rsid w:val="005B19D6"/>
    <w:rsid w:val="005B5898"/>
    <w:rsid w:val="005B67E2"/>
    <w:rsid w:val="005C011E"/>
    <w:rsid w:val="005C0C43"/>
    <w:rsid w:val="005C2C06"/>
    <w:rsid w:val="005C40E3"/>
    <w:rsid w:val="005C5CAD"/>
    <w:rsid w:val="005C6759"/>
    <w:rsid w:val="005C73B1"/>
    <w:rsid w:val="005C7F4F"/>
    <w:rsid w:val="005C7F94"/>
    <w:rsid w:val="005D06B1"/>
    <w:rsid w:val="005D2251"/>
    <w:rsid w:val="005E392A"/>
    <w:rsid w:val="005E39C1"/>
    <w:rsid w:val="005F0AE1"/>
    <w:rsid w:val="005F4037"/>
    <w:rsid w:val="00603112"/>
    <w:rsid w:val="0060352A"/>
    <w:rsid w:val="00603D45"/>
    <w:rsid w:val="006043A0"/>
    <w:rsid w:val="006059B5"/>
    <w:rsid w:val="00606472"/>
    <w:rsid w:val="006074F4"/>
    <w:rsid w:val="00610C79"/>
    <w:rsid w:val="006152CA"/>
    <w:rsid w:val="00616D9D"/>
    <w:rsid w:val="0061710B"/>
    <w:rsid w:val="00620E72"/>
    <w:rsid w:val="00624640"/>
    <w:rsid w:val="006271B0"/>
    <w:rsid w:val="00632D42"/>
    <w:rsid w:val="0063341C"/>
    <w:rsid w:val="006339C8"/>
    <w:rsid w:val="00634EF4"/>
    <w:rsid w:val="00636B53"/>
    <w:rsid w:val="00637F69"/>
    <w:rsid w:val="0064234B"/>
    <w:rsid w:val="0064514D"/>
    <w:rsid w:val="00646788"/>
    <w:rsid w:val="006478BD"/>
    <w:rsid w:val="006500F5"/>
    <w:rsid w:val="0065416B"/>
    <w:rsid w:val="00654824"/>
    <w:rsid w:val="00654AED"/>
    <w:rsid w:val="00655EA1"/>
    <w:rsid w:val="00655FF0"/>
    <w:rsid w:val="00660DC1"/>
    <w:rsid w:val="0066125D"/>
    <w:rsid w:val="00665475"/>
    <w:rsid w:val="006657E0"/>
    <w:rsid w:val="006713F6"/>
    <w:rsid w:val="00673799"/>
    <w:rsid w:val="006771F1"/>
    <w:rsid w:val="00677B0C"/>
    <w:rsid w:val="00681452"/>
    <w:rsid w:val="00681A69"/>
    <w:rsid w:val="00683434"/>
    <w:rsid w:val="0068382E"/>
    <w:rsid w:val="0068409D"/>
    <w:rsid w:val="00684D93"/>
    <w:rsid w:val="00686AC0"/>
    <w:rsid w:val="00686F0B"/>
    <w:rsid w:val="00690C4B"/>
    <w:rsid w:val="00692E6F"/>
    <w:rsid w:val="00693965"/>
    <w:rsid w:val="006951FF"/>
    <w:rsid w:val="00696741"/>
    <w:rsid w:val="00696D48"/>
    <w:rsid w:val="006A224A"/>
    <w:rsid w:val="006A4124"/>
    <w:rsid w:val="006A68D1"/>
    <w:rsid w:val="006B1F1B"/>
    <w:rsid w:val="006B2399"/>
    <w:rsid w:val="006B277C"/>
    <w:rsid w:val="006B44C3"/>
    <w:rsid w:val="006B4737"/>
    <w:rsid w:val="006B5CD2"/>
    <w:rsid w:val="006B6D5D"/>
    <w:rsid w:val="006B72CA"/>
    <w:rsid w:val="006C687E"/>
    <w:rsid w:val="006C7B02"/>
    <w:rsid w:val="006D41BA"/>
    <w:rsid w:val="006D4433"/>
    <w:rsid w:val="006D581E"/>
    <w:rsid w:val="006D63E3"/>
    <w:rsid w:val="006E189B"/>
    <w:rsid w:val="006E7C0C"/>
    <w:rsid w:val="006F107E"/>
    <w:rsid w:val="006F1458"/>
    <w:rsid w:val="006F2877"/>
    <w:rsid w:val="006F2FCF"/>
    <w:rsid w:val="006F34AA"/>
    <w:rsid w:val="006F3899"/>
    <w:rsid w:val="006F3F63"/>
    <w:rsid w:val="006F406C"/>
    <w:rsid w:val="0070084B"/>
    <w:rsid w:val="00705B23"/>
    <w:rsid w:val="007062CB"/>
    <w:rsid w:val="007109D1"/>
    <w:rsid w:val="0071142B"/>
    <w:rsid w:val="00712AAD"/>
    <w:rsid w:val="00717696"/>
    <w:rsid w:val="007237B8"/>
    <w:rsid w:val="00723947"/>
    <w:rsid w:val="00727B6F"/>
    <w:rsid w:val="0073176B"/>
    <w:rsid w:val="007320E6"/>
    <w:rsid w:val="00732443"/>
    <w:rsid w:val="00732DD8"/>
    <w:rsid w:val="0073380C"/>
    <w:rsid w:val="0073456A"/>
    <w:rsid w:val="00741ADD"/>
    <w:rsid w:val="0074688F"/>
    <w:rsid w:val="007556F1"/>
    <w:rsid w:val="00760CAE"/>
    <w:rsid w:val="007668C8"/>
    <w:rsid w:val="00770EA7"/>
    <w:rsid w:val="00773492"/>
    <w:rsid w:val="00773D4D"/>
    <w:rsid w:val="00774A1D"/>
    <w:rsid w:val="00774A49"/>
    <w:rsid w:val="00782CFF"/>
    <w:rsid w:val="00783C95"/>
    <w:rsid w:val="007865D4"/>
    <w:rsid w:val="007945BB"/>
    <w:rsid w:val="00794C60"/>
    <w:rsid w:val="007968D3"/>
    <w:rsid w:val="00796A62"/>
    <w:rsid w:val="007A0E13"/>
    <w:rsid w:val="007A1D06"/>
    <w:rsid w:val="007A1DDA"/>
    <w:rsid w:val="007A3E06"/>
    <w:rsid w:val="007A49B0"/>
    <w:rsid w:val="007A6F47"/>
    <w:rsid w:val="007B2D3E"/>
    <w:rsid w:val="007B425B"/>
    <w:rsid w:val="007B4796"/>
    <w:rsid w:val="007B706C"/>
    <w:rsid w:val="007C6FF1"/>
    <w:rsid w:val="007D1C94"/>
    <w:rsid w:val="007D64F0"/>
    <w:rsid w:val="007E1C7E"/>
    <w:rsid w:val="007F1737"/>
    <w:rsid w:val="007F22F2"/>
    <w:rsid w:val="007F4D81"/>
    <w:rsid w:val="007F6530"/>
    <w:rsid w:val="007F6F96"/>
    <w:rsid w:val="007F7702"/>
    <w:rsid w:val="00803121"/>
    <w:rsid w:val="00807080"/>
    <w:rsid w:val="008103B0"/>
    <w:rsid w:val="00810675"/>
    <w:rsid w:val="00813969"/>
    <w:rsid w:val="00814B89"/>
    <w:rsid w:val="00815D0B"/>
    <w:rsid w:val="00820F64"/>
    <w:rsid w:val="008210D4"/>
    <w:rsid w:val="0082404F"/>
    <w:rsid w:val="00824BA1"/>
    <w:rsid w:val="0083155C"/>
    <w:rsid w:val="008356E4"/>
    <w:rsid w:val="008361CE"/>
    <w:rsid w:val="008363D3"/>
    <w:rsid w:val="00844E5F"/>
    <w:rsid w:val="008472FB"/>
    <w:rsid w:val="00847A76"/>
    <w:rsid w:val="00847F59"/>
    <w:rsid w:val="00852B55"/>
    <w:rsid w:val="008534B2"/>
    <w:rsid w:val="00861047"/>
    <w:rsid w:val="008622F2"/>
    <w:rsid w:val="008633B1"/>
    <w:rsid w:val="00864525"/>
    <w:rsid w:val="00867E51"/>
    <w:rsid w:val="00870AE6"/>
    <w:rsid w:val="0087186E"/>
    <w:rsid w:val="00874D0A"/>
    <w:rsid w:val="008775B2"/>
    <w:rsid w:val="00877ED9"/>
    <w:rsid w:val="00892097"/>
    <w:rsid w:val="00892B3D"/>
    <w:rsid w:val="008934A4"/>
    <w:rsid w:val="00893DBD"/>
    <w:rsid w:val="00895254"/>
    <w:rsid w:val="008A1658"/>
    <w:rsid w:val="008A64CE"/>
    <w:rsid w:val="008A7646"/>
    <w:rsid w:val="008B157E"/>
    <w:rsid w:val="008B3AE0"/>
    <w:rsid w:val="008C1796"/>
    <w:rsid w:val="008C2889"/>
    <w:rsid w:val="008C2EE1"/>
    <w:rsid w:val="008C4E5A"/>
    <w:rsid w:val="008C7F3E"/>
    <w:rsid w:val="008D0B2F"/>
    <w:rsid w:val="008D0ED6"/>
    <w:rsid w:val="008D1923"/>
    <w:rsid w:val="008D2294"/>
    <w:rsid w:val="008D4855"/>
    <w:rsid w:val="008D697E"/>
    <w:rsid w:val="008E02EE"/>
    <w:rsid w:val="008E18A6"/>
    <w:rsid w:val="008E31D0"/>
    <w:rsid w:val="008F1E94"/>
    <w:rsid w:val="008F41A5"/>
    <w:rsid w:val="008F434F"/>
    <w:rsid w:val="008F4DDE"/>
    <w:rsid w:val="008F53E1"/>
    <w:rsid w:val="008F6DAE"/>
    <w:rsid w:val="009007B7"/>
    <w:rsid w:val="009029C4"/>
    <w:rsid w:val="009116D2"/>
    <w:rsid w:val="009163D6"/>
    <w:rsid w:val="0091719A"/>
    <w:rsid w:val="00920F9A"/>
    <w:rsid w:val="009215DD"/>
    <w:rsid w:val="00923DBA"/>
    <w:rsid w:val="00924926"/>
    <w:rsid w:val="009251E2"/>
    <w:rsid w:val="009268C8"/>
    <w:rsid w:val="00930787"/>
    <w:rsid w:val="00931190"/>
    <w:rsid w:val="0093264A"/>
    <w:rsid w:val="00932A6A"/>
    <w:rsid w:val="00934182"/>
    <w:rsid w:val="00934BFF"/>
    <w:rsid w:val="009404F3"/>
    <w:rsid w:val="009420CC"/>
    <w:rsid w:val="009426A1"/>
    <w:rsid w:val="00946008"/>
    <w:rsid w:val="0094765C"/>
    <w:rsid w:val="009512F8"/>
    <w:rsid w:val="00956066"/>
    <w:rsid w:val="00956C34"/>
    <w:rsid w:val="009641DF"/>
    <w:rsid w:val="009650D6"/>
    <w:rsid w:val="00965EE9"/>
    <w:rsid w:val="00966B02"/>
    <w:rsid w:val="009710E6"/>
    <w:rsid w:val="00971BC8"/>
    <w:rsid w:val="009730FF"/>
    <w:rsid w:val="00973C13"/>
    <w:rsid w:val="00974E4C"/>
    <w:rsid w:val="00977651"/>
    <w:rsid w:val="00981E33"/>
    <w:rsid w:val="00983246"/>
    <w:rsid w:val="00983B08"/>
    <w:rsid w:val="00985282"/>
    <w:rsid w:val="00987804"/>
    <w:rsid w:val="009901A5"/>
    <w:rsid w:val="00990A87"/>
    <w:rsid w:val="00996CA4"/>
    <w:rsid w:val="00996FB5"/>
    <w:rsid w:val="009A147D"/>
    <w:rsid w:val="009A288D"/>
    <w:rsid w:val="009A3219"/>
    <w:rsid w:val="009A7109"/>
    <w:rsid w:val="009B0356"/>
    <w:rsid w:val="009B101F"/>
    <w:rsid w:val="009B2660"/>
    <w:rsid w:val="009B7859"/>
    <w:rsid w:val="009C01D2"/>
    <w:rsid w:val="009C0A7E"/>
    <w:rsid w:val="009C16E7"/>
    <w:rsid w:val="009C75A7"/>
    <w:rsid w:val="009D0AF7"/>
    <w:rsid w:val="009D1177"/>
    <w:rsid w:val="009D3E5D"/>
    <w:rsid w:val="009D7E74"/>
    <w:rsid w:val="009E0438"/>
    <w:rsid w:val="009E0873"/>
    <w:rsid w:val="009E08A2"/>
    <w:rsid w:val="009E12F7"/>
    <w:rsid w:val="009E1821"/>
    <w:rsid w:val="009F2E3A"/>
    <w:rsid w:val="009F356E"/>
    <w:rsid w:val="009F3E34"/>
    <w:rsid w:val="00A01C80"/>
    <w:rsid w:val="00A049CF"/>
    <w:rsid w:val="00A05514"/>
    <w:rsid w:val="00A057A0"/>
    <w:rsid w:val="00A05960"/>
    <w:rsid w:val="00A0755D"/>
    <w:rsid w:val="00A10B1C"/>
    <w:rsid w:val="00A117D2"/>
    <w:rsid w:val="00A129C4"/>
    <w:rsid w:val="00A12A69"/>
    <w:rsid w:val="00A1599A"/>
    <w:rsid w:val="00A16918"/>
    <w:rsid w:val="00A16951"/>
    <w:rsid w:val="00A16B65"/>
    <w:rsid w:val="00A20BFA"/>
    <w:rsid w:val="00A231C8"/>
    <w:rsid w:val="00A23BD5"/>
    <w:rsid w:val="00A2494D"/>
    <w:rsid w:val="00A26E3C"/>
    <w:rsid w:val="00A34317"/>
    <w:rsid w:val="00A37DCA"/>
    <w:rsid w:val="00A37F52"/>
    <w:rsid w:val="00A414D9"/>
    <w:rsid w:val="00A43199"/>
    <w:rsid w:val="00A45077"/>
    <w:rsid w:val="00A473AA"/>
    <w:rsid w:val="00A56BF1"/>
    <w:rsid w:val="00A632CC"/>
    <w:rsid w:val="00A6372D"/>
    <w:rsid w:val="00A64233"/>
    <w:rsid w:val="00A65C73"/>
    <w:rsid w:val="00A7497B"/>
    <w:rsid w:val="00A75669"/>
    <w:rsid w:val="00A75C20"/>
    <w:rsid w:val="00A7634D"/>
    <w:rsid w:val="00A80734"/>
    <w:rsid w:val="00A81B0E"/>
    <w:rsid w:val="00A8227D"/>
    <w:rsid w:val="00A847BB"/>
    <w:rsid w:val="00A967FF"/>
    <w:rsid w:val="00A9683A"/>
    <w:rsid w:val="00AA20E2"/>
    <w:rsid w:val="00AA3CB9"/>
    <w:rsid w:val="00AA4BFE"/>
    <w:rsid w:val="00AA64A1"/>
    <w:rsid w:val="00AB0157"/>
    <w:rsid w:val="00AB259A"/>
    <w:rsid w:val="00AB343C"/>
    <w:rsid w:val="00AB7AA0"/>
    <w:rsid w:val="00AC0000"/>
    <w:rsid w:val="00AC089B"/>
    <w:rsid w:val="00AC4E63"/>
    <w:rsid w:val="00AC7CDA"/>
    <w:rsid w:val="00AD0BD9"/>
    <w:rsid w:val="00AD1120"/>
    <w:rsid w:val="00AD2C8A"/>
    <w:rsid w:val="00AD46B4"/>
    <w:rsid w:val="00AD59E4"/>
    <w:rsid w:val="00AE02FD"/>
    <w:rsid w:val="00AE4703"/>
    <w:rsid w:val="00AE47B6"/>
    <w:rsid w:val="00AE78C6"/>
    <w:rsid w:val="00AF29FD"/>
    <w:rsid w:val="00AF557B"/>
    <w:rsid w:val="00AF704B"/>
    <w:rsid w:val="00B00E56"/>
    <w:rsid w:val="00B025F3"/>
    <w:rsid w:val="00B077C4"/>
    <w:rsid w:val="00B106C2"/>
    <w:rsid w:val="00B117FA"/>
    <w:rsid w:val="00B127A7"/>
    <w:rsid w:val="00B13841"/>
    <w:rsid w:val="00B14FF5"/>
    <w:rsid w:val="00B15E12"/>
    <w:rsid w:val="00B21DD2"/>
    <w:rsid w:val="00B276D5"/>
    <w:rsid w:val="00B35381"/>
    <w:rsid w:val="00B35727"/>
    <w:rsid w:val="00B368DA"/>
    <w:rsid w:val="00B36B68"/>
    <w:rsid w:val="00B37ABF"/>
    <w:rsid w:val="00B40A64"/>
    <w:rsid w:val="00B470D2"/>
    <w:rsid w:val="00B54147"/>
    <w:rsid w:val="00B553EF"/>
    <w:rsid w:val="00B57106"/>
    <w:rsid w:val="00B61E5F"/>
    <w:rsid w:val="00B62CE7"/>
    <w:rsid w:val="00B65A45"/>
    <w:rsid w:val="00B7055E"/>
    <w:rsid w:val="00B70749"/>
    <w:rsid w:val="00B73867"/>
    <w:rsid w:val="00B8506B"/>
    <w:rsid w:val="00B87EF9"/>
    <w:rsid w:val="00B90B20"/>
    <w:rsid w:val="00B93590"/>
    <w:rsid w:val="00BA0178"/>
    <w:rsid w:val="00BA603B"/>
    <w:rsid w:val="00BA6CB6"/>
    <w:rsid w:val="00BA747C"/>
    <w:rsid w:val="00BA7AA1"/>
    <w:rsid w:val="00BB0F74"/>
    <w:rsid w:val="00BB1D05"/>
    <w:rsid w:val="00BB7082"/>
    <w:rsid w:val="00BB7618"/>
    <w:rsid w:val="00BB7EBC"/>
    <w:rsid w:val="00BC27D9"/>
    <w:rsid w:val="00BC2C48"/>
    <w:rsid w:val="00BC3159"/>
    <w:rsid w:val="00BC37C1"/>
    <w:rsid w:val="00BC3C4D"/>
    <w:rsid w:val="00BD3786"/>
    <w:rsid w:val="00BD42E0"/>
    <w:rsid w:val="00BD5CED"/>
    <w:rsid w:val="00BD6E27"/>
    <w:rsid w:val="00BE4C44"/>
    <w:rsid w:val="00BE64C0"/>
    <w:rsid w:val="00BF5256"/>
    <w:rsid w:val="00C00872"/>
    <w:rsid w:val="00C011D6"/>
    <w:rsid w:val="00C01A65"/>
    <w:rsid w:val="00C119FE"/>
    <w:rsid w:val="00C14117"/>
    <w:rsid w:val="00C1655E"/>
    <w:rsid w:val="00C16B54"/>
    <w:rsid w:val="00C23673"/>
    <w:rsid w:val="00C26B23"/>
    <w:rsid w:val="00C26BF1"/>
    <w:rsid w:val="00C30D31"/>
    <w:rsid w:val="00C3420B"/>
    <w:rsid w:val="00C40110"/>
    <w:rsid w:val="00C40E0E"/>
    <w:rsid w:val="00C41953"/>
    <w:rsid w:val="00C4500B"/>
    <w:rsid w:val="00C50862"/>
    <w:rsid w:val="00C53DD0"/>
    <w:rsid w:val="00C56808"/>
    <w:rsid w:val="00C56AD3"/>
    <w:rsid w:val="00C620B4"/>
    <w:rsid w:val="00C64027"/>
    <w:rsid w:val="00C72BF8"/>
    <w:rsid w:val="00C85384"/>
    <w:rsid w:val="00C903F4"/>
    <w:rsid w:val="00C945EF"/>
    <w:rsid w:val="00C97469"/>
    <w:rsid w:val="00C97F51"/>
    <w:rsid w:val="00CA298E"/>
    <w:rsid w:val="00CA50C9"/>
    <w:rsid w:val="00CB1E86"/>
    <w:rsid w:val="00CB4288"/>
    <w:rsid w:val="00CB7C29"/>
    <w:rsid w:val="00CC376B"/>
    <w:rsid w:val="00CC5D07"/>
    <w:rsid w:val="00CD4AD8"/>
    <w:rsid w:val="00CD4F93"/>
    <w:rsid w:val="00CD5070"/>
    <w:rsid w:val="00CD6A9E"/>
    <w:rsid w:val="00CD7DDA"/>
    <w:rsid w:val="00CE123A"/>
    <w:rsid w:val="00CE2123"/>
    <w:rsid w:val="00CE2E69"/>
    <w:rsid w:val="00CE75DC"/>
    <w:rsid w:val="00CE7DA9"/>
    <w:rsid w:val="00CF2DEB"/>
    <w:rsid w:val="00CF78B4"/>
    <w:rsid w:val="00D052BA"/>
    <w:rsid w:val="00D071B9"/>
    <w:rsid w:val="00D11357"/>
    <w:rsid w:val="00D121B6"/>
    <w:rsid w:val="00D12999"/>
    <w:rsid w:val="00D14224"/>
    <w:rsid w:val="00D15934"/>
    <w:rsid w:val="00D15C0C"/>
    <w:rsid w:val="00D22AAF"/>
    <w:rsid w:val="00D23166"/>
    <w:rsid w:val="00D25FA2"/>
    <w:rsid w:val="00D27083"/>
    <w:rsid w:val="00D278BB"/>
    <w:rsid w:val="00D30542"/>
    <w:rsid w:val="00D30959"/>
    <w:rsid w:val="00D3366A"/>
    <w:rsid w:val="00D338E6"/>
    <w:rsid w:val="00D33FAE"/>
    <w:rsid w:val="00D34AC8"/>
    <w:rsid w:val="00D360E2"/>
    <w:rsid w:val="00D40CA1"/>
    <w:rsid w:val="00D4405D"/>
    <w:rsid w:val="00D46452"/>
    <w:rsid w:val="00D567D9"/>
    <w:rsid w:val="00D576AC"/>
    <w:rsid w:val="00D57E57"/>
    <w:rsid w:val="00D62709"/>
    <w:rsid w:val="00D63581"/>
    <w:rsid w:val="00D642FF"/>
    <w:rsid w:val="00D749B2"/>
    <w:rsid w:val="00D80AB0"/>
    <w:rsid w:val="00D84BB9"/>
    <w:rsid w:val="00D85428"/>
    <w:rsid w:val="00D906A3"/>
    <w:rsid w:val="00D91634"/>
    <w:rsid w:val="00D93972"/>
    <w:rsid w:val="00D93B7C"/>
    <w:rsid w:val="00D93DEE"/>
    <w:rsid w:val="00D9696D"/>
    <w:rsid w:val="00D96D67"/>
    <w:rsid w:val="00DA35CD"/>
    <w:rsid w:val="00DA56AB"/>
    <w:rsid w:val="00DA5C31"/>
    <w:rsid w:val="00DB56DE"/>
    <w:rsid w:val="00DB63F1"/>
    <w:rsid w:val="00DB64B7"/>
    <w:rsid w:val="00DC0570"/>
    <w:rsid w:val="00DC1719"/>
    <w:rsid w:val="00DC1E7C"/>
    <w:rsid w:val="00DC360A"/>
    <w:rsid w:val="00DC4030"/>
    <w:rsid w:val="00DC554A"/>
    <w:rsid w:val="00DD06E0"/>
    <w:rsid w:val="00DD16EE"/>
    <w:rsid w:val="00DD5C48"/>
    <w:rsid w:val="00DE2508"/>
    <w:rsid w:val="00DE38B1"/>
    <w:rsid w:val="00DF1038"/>
    <w:rsid w:val="00DF12E8"/>
    <w:rsid w:val="00DF2E52"/>
    <w:rsid w:val="00E00E81"/>
    <w:rsid w:val="00E01393"/>
    <w:rsid w:val="00E01BF9"/>
    <w:rsid w:val="00E03AF5"/>
    <w:rsid w:val="00E04820"/>
    <w:rsid w:val="00E060C2"/>
    <w:rsid w:val="00E0767A"/>
    <w:rsid w:val="00E10F37"/>
    <w:rsid w:val="00E11371"/>
    <w:rsid w:val="00E13832"/>
    <w:rsid w:val="00E15CD0"/>
    <w:rsid w:val="00E167C7"/>
    <w:rsid w:val="00E16AA9"/>
    <w:rsid w:val="00E17A2B"/>
    <w:rsid w:val="00E20707"/>
    <w:rsid w:val="00E23B6A"/>
    <w:rsid w:val="00E23F2E"/>
    <w:rsid w:val="00E25AC4"/>
    <w:rsid w:val="00E27069"/>
    <w:rsid w:val="00E3189E"/>
    <w:rsid w:val="00E32AF0"/>
    <w:rsid w:val="00E43701"/>
    <w:rsid w:val="00E43DBF"/>
    <w:rsid w:val="00E45A27"/>
    <w:rsid w:val="00E463A7"/>
    <w:rsid w:val="00E46E19"/>
    <w:rsid w:val="00E50D52"/>
    <w:rsid w:val="00E53DA0"/>
    <w:rsid w:val="00E57BA1"/>
    <w:rsid w:val="00E640DF"/>
    <w:rsid w:val="00E651B5"/>
    <w:rsid w:val="00E6712E"/>
    <w:rsid w:val="00E70B8D"/>
    <w:rsid w:val="00E714E8"/>
    <w:rsid w:val="00E72E54"/>
    <w:rsid w:val="00E77B17"/>
    <w:rsid w:val="00E8012E"/>
    <w:rsid w:val="00E804A8"/>
    <w:rsid w:val="00E81E36"/>
    <w:rsid w:val="00E938EC"/>
    <w:rsid w:val="00E94595"/>
    <w:rsid w:val="00E94E4B"/>
    <w:rsid w:val="00EA4EEE"/>
    <w:rsid w:val="00EA7141"/>
    <w:rsid w:val="00EB1D33"/>
    <w:rsid w:val="00EB2964"/>
    <w:rsid w:val="00EB4A15"/>
    <w:rsid w:val="00EB635D"/>
    <w:rsid w:val="00EB7ED5"/>
    <w:rsid w:val="00EC1E46"/>
    <w:rsid w:val="00EC3837"/>
    <w:rsid w:val="00EC496A"/>
    <w:rsid w:val="00ED16E5"/>
    <w:rsid w:val="00ED3094"/>
    <w:rsid w:val="00ED4CDF"/>
    <w:rsid w:val="00EE0BC5"/>
    <w:rsid w:val="00EE0BF3"/>
    <w:rsid w:val="00EE161C"/>
    <w:rsid w:val="00EF1988"/>
    <w:rsid w:val="00EF2DA9"/>
    <w:rsid w:val="00EF3133"/>
    <w:rsid w:val="00EF4BE0"/>
    <w:rsid w:val="00EF57EB"/>
    <w:rsid w:val="00EF75C1"/>
    <w:rsid w:val="00EF7BA4"/>
    <w:rsid w:val="00F076AC"/>
    <w:rsid w:val="00F10363"/>
    <w:rsid w:val="00F112E3"/>
    <w:rsid w:val="00F11806"/>
    <w:rsid w:val="00F12B92"/>
    <w:rsid w:val="00F12E7D"/>
    <w:rsid w:val="00F132B7"/>
    <w:rsid w:val="00F15691"/>
    <w:rsid w:val="00F21277"/>
    <w:rsid w:val="00F213B4"/>
    <w:rsid w:val="00F21B8A"/>
    <w:rsid w:val="00F26B62"/>
    <w:rsid w:val="00F26C87"/>
    <w:rsid w:val="00F302C8"/>
    <w:rsid w:val="00F33BAB"/>
    <w:rsid w:val="00F340B9"/>
    <w:rsid w:val="00F35E4C"/>
    <w:rsid w:val="00F37773"/>
    <w:rsid w:val="00F415B4"/>
    <w:rsid w:val="00F45D6A"/>
    <w:rsid w:val="00F46B5E"/>
    <w:rsid w:val="00F50702"/>
    <w:rsid w:val="00F50D7D"/>
    <w:rsid w:val="00F51352"/>
    <w:rsid w:val="00F54FF6"/>
    <w:rsid w:val="00F558E4"/>
    <w:rsid w:val="00F5669D"/>
    <w:rsid w:val="00F616A5"/>
    <w:rsid w:val="00F62E2B"/>
    <w:rsid w:val="00F63549"/>
    <w:rsid w:val="00F65152"/>
    <w:rsid w:val="00F6584B"/>
    <w:rsid w:val="00F67DCF"/>
    <w:rsid w:val="00F67F37"/>
    <w:rsid w:val="00F713AF"/>
    <w:rsid w:val="00F72707"/>
    <w:rsid w:val="00F769ED"/>
    <w:rsid w:val="00F7796A"/>
    <w:rsid w:val="00F77B68"/>
    <w:rsid w:val="00F80097"/>
    <w:rsid w:val="00F80AC2"/>
    <w:rsid w:val="00F81656"/>
    <w:rsid w:val="00F818EC"/>
    <w:rsid w:val="00F81BBC"/>
    <w:rsid w:val="00F84601"/>
    <w:rsid w:val="00F91734"/>
    <w:rsid w:val="00F92124"/>
    <w:rsid w:val="00FA1020"/>
    <w:rsid w:val="00FA2B05"/>
    <w:rsid w:val="00FA2C8E"/>
    <w:rsid w:val="00FA50B2"/>
    <w:rsid w:val="00FA5A69"/>
    <w:rsid w:val="00FA60FA"/>
    <w:rsid w:val="00FB3015"/>
    <w:rsid w:val="00FB3AED"/>
    <w:rsid w:val="00FB6D81"/>
    <w:rsid w:val="00FC0133"/>
    <w:rsid w:val="00FC43C9"/>
    <w:rsid w:val="00FC622F"/>
    <w:rsid w:val="00FC6FAA"/>
    <w:rsid w:val="00FD0423"/>
    <w:rsid w:val="00FD3254"/>
    <w:rsid w:val="00FD41C1"/>
    <w:rsid w:val="00FD45CE"/>
    <w:rsid w:val="00FD6771"/>
    <w:rsid w:val="00FE2A3E"/>
    <w:rsid w:val="00FE3AA1"/>
    <w:rsid w:val="00FE3D34"/>
    <w:rsid w:val="00FF1D69"/>
    <w:rsid w:val="01172A03"/>
    <w:rsid w:val="01354654"/>
    <w:rsid w:val="01414761"/>
    <w:rsid w:val="01441B43"/>
    <w:rsid w:val="01952DEB"/>
    <w:rsid w:val="01A87D28"/>
    <w:rsid w:val="01B5784B"/>
    <w:rsid w:val="01BA3842"/>
    <w:rsid w:val="02810BEB"/>
    <w:rsid w:val="03362729"/>
    <w:rsid w:val="035D2EE3"/>
    <w:rsid w:val="039340B3"/>
    <w:rsid w:val="03A40BEF"/>
    <w:rsid w:val="03BC1726"/>
    <w:rsid w:val="03D822D4"/>
    <w:rsid w:val="03DB79C3"/>
    <w:rsid w:val="03E93FC8"/>
    <w:rsid w:val="04172B1E"/>
    <w:rsid w:val="042B2FA1"/>
    <w:rsid w:val="042C7BB8"/>
    <w:rsid w:val="04387DBA"/>
    <w:rsid w:val="047964C9"/>
    <w:rsid w:val="047B02C2"/>
    <w:rsid w:val="048E7561"/>
    <w:rsid w:val="04AC7E38"/>
    <w:rsid w:val="04BF3ADE"/>
    <w:rsid w:val="04CB4F8D"/>
    <w:rsid w:val="05030325"/>
    <w:rsid w:val="0503297D"/>
    <w:rsid w:val="0529310A"/>
    <w:rsid w:val="054F7A88"/>
    <w:rsid w:val="057369E6"/>
    <w:rsid w:val="058240B5"/>
    <w:rsid w:val="05BE6B75"/>
    <w:rsid w:val="05D435B9"/>
    <w:rsid w:val="06200DCC"/>
    <w:rsid w:val="063D0C88"/>
    <w:rsid w:val="06476AA6"/>
    <w:rsid w:val="06667595"/>
    <w:rsid w:val="06CC1D02"/>
    <w:rsid w:val="06FF35AE"/>
    <w:rsid w:val="071D689A"/>
    <w:rsid w:val="079863F6"/>
    <w:rsid w:val="07AF3077"/>
    <w:rsid w:val="07C32861"/>
    <w:rsid w:val="07CC4F34"/>
    <w:rsid w:val="07D840D4"/>
    <w:rsid w:val="07E133AF"/>
    <w:rsid w:val="08271A57"/>
    <w:rsid w:val="08286305"/>
    <w:rsid w:val="08606438"/>
    <w:rsid w:val="0888354E"/>
    <w:rsid w:val="0893189C"/>
    <w:rsid w:val="08C077E7"/>
    <w:rsid w:val="08E200ED"/>
    <w:rsid w:val="08E5026E"/>
    <w:rsid w:val="09111B4C"/>
    <w:rsid w:val="09423F69"/>
    <w:rsid w:val="094E1538"/>
    <w:rsid w:val="097E290C"/>
    <w:rsid w:val="0A136E47"/>
    <w:rsid w:val="0A2455EB"/>
    <w:rsid w:val="0A2F0FD7"/>
    <w:rsid w:val="0A3B3C06"/>
    <w:rsid w:val="0A5E0D66"/>
    <w:rsid w:val="0A6238E9"/>
    <w:rsid w:val="0B0B04A3"/>
    <w:rsid w:val="0B2420E3"/>
    <w:rsid w:val="0B822538"/>
    <w:rsid w:val="0B862A5B"/>
    <w:rsid w:val="0B8D0CBE"/>
    <w:rsid w:val="0BF26811"/>
    <w:rsid w:val="0C0B7447"/>
    <w:rsid w:val="0C54025E"/>
    <w:rsid w:val="0C6A07D3"/>
    <w:rsid w:val="0C7927C4"/>
    <w:rsid w:val="0CC778D6"/>
    <w:rsid w:val="0CD317E1"/>
    <w:rsid w:val="0CDB4E9C"/>
    <w:rsid w:val="0CE92B8F"/>
    <w:rsid w:val="0D197E7C"/>
    <w:rsid w:val="0D3E3C1C"/>
    <w:rsid w:val="0D7D520B"/>
    <w:rsid w:val="0E1B1880"/>
    <w:rsid w:val="0E4A0FF1"/>
    <w:rsid w:val="0E647BC8"/>
    <w:rsid w:val="0E6E115D"/>
    <w:rsid w:val="0E9D75C4"/>
    <w:rsid w:val="0F025E5A"/>
    <w:rsid w:val="0F0A07F9"/>
    <w:rsid w:val="0F16142F"/>
    <w:rsid w:val="0F3630E9"/>
    <w:rsid w:val="0F50024D"/>
    <w:rsid w:val="0F65237A"/>
    <w:rsid w:val="0FA82D43"/>
    <w:rsid w:val="0FAC219A"/>
    <w:rsid w:val="0FB10B31"/>
    <w:rsid w:val="0FC126D0"/>
    <w:rsid w:val="0FD70D4B"/>
    <w:rsid w:val="102615C8"/>
    <w:rsid w:val="10516717"/>
    <w:rsid w:val="10794F0E"/>
    <w:rsid w:val="108A1122"/>
    <w:rsid w:val="10925C42"/>
    <w:rsid w:val="10B0361A"/>
    <w:rsid w:val="10B8644B"/>
    <w:rsid w:val="10C932C1"/>
    <w:rsid w:val="10CE5F26"/>
    <w:rsid w:val="10D473F3"/>
    <w:rsid w:val="10DB7473"/>
    <w:rsid w:val="115C7CA4"/>
    <w:rsid w:val="12092C6B"/>
    <w:rsid w:val="12583071"/>
    <w:rsid w:val="128F3370"/>
    <w:rsid w:val="12C23955"/>
    <w:rsid w:val="12DD2CBE"/>
    <w:rsid w:val="12F8731A"/>
    <w:rsid w:val="12FB4BDC"/>
    <w:rsid w:val="1302690C"/>
    <w:rsid w:val="13445130"/>
    <w:rsid w:val="136874F8"/>
    <w:rsid w:val="13B059DF"/>
    <w:rsid w:val="13C756D9"/>
    <w:rsid w:val="140D4073"/>
    <w:rsid w:val="14305FC3"/>
    <w:rsid w:val="14672C7A"/>
    <w:rsid w:val="14794F87"/>
    <w:rsid w:val="14EB099B"/>
    <w:rsid w:val="1525719B"/>
    <w:rsid w:val="1543091A"/>
    <w:rsid w:val="155725D5"/>
    <w:rsid w:val="15711A3E"/>
    <w:rsid w:val="158A52F6"/>
    <w:rsid w:val="159E329B"/>
    <w:rsid w:val="15D33E0C"/>
    <w:rsid w:val="15F1793A"/>
    <w:rsid w:val="16100A20"/>
    <w:rsid w:val="16620488"/>
    <w:rsid w:val="1673023A"/>
    <w:rsid w:val="16B25520"/>
    <w:rsid w:val="16B80213"/>
    <w:rsid w:val="16C51787"/>
    <w:rsid w:val="16ED11B4"/>
    <w:rsid w:val="170434C3"/>
    <w:rsid w:val="1707206E"/>
    <w:rsid w:val="176B0966"/>
    <w:rsid w:val="178C0474"/>
    <w:rsid w:val="17913E14"/>
    <w:rsid w:val="179F7375"/>
    <w:rsid w:val="17B45158"/>
    <w:rsid w:val="17BA2B98"/>
    <w:rsid w:val="17E97583"/>
    <w:rsid w:val="183766CB"/>
    <w:rsid w:val="18503747"/>
    <w:rsid w:val="188869A7"/>
    <w:rsid w:val="18D638C4"/>
    <w:rsid w:val="19083C40"/>
    <w:rsid w:val="191E4EC2"/>
    <w:rsid w:val="19222A57"/>
    <w:rsid w:val="19285301"/>
    <w:rsid w:val="19615405"/>
    <w:rsid w:val="199B0586"/>
    <w:rsid w:val="19CE52F5"/>
    <w:rsid w:val="1A254EFF"/>
    <w:rsid w:val="1A2650A0"/>
    <w:rsid w:val="1A4B6652"/>
    <w:rsid w:val="1A7224D3"/>
    <w:rsid w:val="1AAC0005"/>
    <w:rsid w:val="1ABD78D2"/>
    <w:rsid w:val="1AE06F45"/>
    <w:rsid w:val="1B0A1376"/>
    <w:rsid w:val="1B283468"/>
    <w:rsid w:val="1B957DA7"/>
    <w:rsid w:val="1BBF5CF0"/>
    <w:rsid w:val="1BEF4851"/>
    <w:rsid w:val="1C1E3926"/>
    <w:rsid w:val="1C2416D5"/>
    <w:rsid w:val="1C283FE1"/>
    <w:rsid w:val="1C5B194E"/>
    <w:rsid w:val="1C962555"/>
    <w:rsid w:val="1CB22572"/>
    <w:rsid w:val="1CB637B0"/>
    <w:rsid w:val="1D4172F6"/>
    <w:rsid w:val="1D5C09B3"/>
    <w:rsid w:val="1D6F4EA1"/>
    <w:rsid w:val="1D7A0A19"/>
    <w:rsid w:val="1D7D5518"/>
    <w:rsid w:val="1DAB11CA"/>
    <w:rsid w:val="1DE77269"/>
    <w:rsid w:val="1E247A10"/>
    <w:rsid w:val="1E3A0160"/>
    <w:rsid w:val="1E50429D"/>
    <w:rsid w:val="1E6B105E"/>
    <w:rsid w:val="1E8073E4"/>
    <w:rsid w:val="1ECD58C2"/>
    <w:rsid w:val="1ED27D23"/>
    <w:rsid w:val="1F163FA4"/>
    <w:rsid w:val="1F3307E6"/>
    <w:rsid w:val="1F5949BE"/>
    <w:rsid w:val="1F91019B"/>
    <w:rsid w:val="1FE56182"/>
    <w:rsid w:val="208956F9"/>
    <w:rsid w:val="20B20B1E"/>
    <w:rsid w:val="20BD62EF"/>
    <w:rsid w:val="20C4671B"/>
    <w:rsid w:val="20EE157B"/>
    <w:rsid w:val="20F02081"/>
    <w:rsid w:val="21197B7C"/>
    <w:rsid w:val="21200C27"/>
    <w:rsid w:val="21205040"/>
    <w:rsid w:val="213D35A7"/>
    <w:rsid w:val="21425423"/>
    <w:rsid w:val="216B2BCB"/>
    <w:rsid w:val="21907259"/>
    <w:rsid w:val="21AB4E4C"/>
    <w:rsid w:val="21AF5D6F"/>
    <w:rsid w:val="21F86683"/>
    <w:rsid w:val="220563EE"/>
    <w:rsid w:val="22386104"/>
    <w:rsid w:val="227277B5"/>
    <w:rsid w:val="22C14C61"/>
    <w:rsid w:val="22ED7C37"/>
    <w:rsid w:val="22FC43BE"/>
    <w:rsid w:val="230D6DB1"/>
    <w:rsid w:val="23835B9B"/>
    <w:rsid w:val="23AF00FE"/>
    <w:rsid w:val="23BB2CA4"/>
    <w:rsid w:val="23CE654F"/>
    <w:rsid w:val="23FF2410"/>
    <w:rsid w:val="24031BC9"/>
    <w:rsid w:val="24AA0480"/>
    <w:rsid w:val="24E14E59"/>
    <w:rsid w:val="25274CF1"/>
    <w:rsid w:val="255E4370"/>
    <w:rsid w:val="256E5682"/>
    <w:rsid w:val="25787A5E"/>
    <w:rsid w:val="257B6266"/>
    <w:rsid w:val="25954510"/>
    <w:rsid w:val="25C6541C"/>
    <w:rsid w:val="26511F1A"/>
    <w:rsid w:val="26550F55"/>
    <w:rsid w:val="266713EC"/>
    <w:rsid w:val="26866741"/>
    <w:rsid w:val="269615A2"/>
    <w:rsid w:val="26B073A9"/>
    <w:rsid w:val="27575B34"/>
    <w:rsid w:val="27703E15"/>
    <w:rsid w:val="278621C5"/>
    <w:rsid w:val="27926901"/>
    <w:rsid w:val="27BC557B"/>
    <w:rsid w:val="27C03C80"/>
    <w:rsid w:val="27F540AD"/>
    <w:rsid w:val="28292E99"/>
    <w:rsid w:val="28B43012"/>
    <w:rsid w:val="28FB31CF"/>
    <w:rsid w:val="2965707A"/>
    <w:rsid w:val="29BA7957"/>
    <w:rsid w:val="29BB5E17"/>
    <w:rsid w:val="29E04D25"/>
    <w:rsid w:val="29EE1740"/>
    <w:rsid w:val="2A78117A"/>
    <w:rsid w:val="2AE5579D"/>
    <w:rsid w:val="2B8B6447"/>
    <w:rsid w:val="2BC11D11"/>
    <w:rsid w:val="2BD00704"/>
    <w:rsid w:val="2BD9146A"/>
    <w:rsid w:val="2C351CE7"/>
    <w:rsid w:val="2C5F1E84"/>
    <w:rsid w:val="2C885F3B"/>
    <w:rsid w:val="2C906BB6"/>
    <w:rsid w:val="2D3E0C62"/>
    <w:rsid w:val="2DC64F08"/>
    <w:rsid w:val="2DE91A5F"/>
    <w:rsid w:val="2DF64D62"/>
    <w:rsid w:val="2E0427FF"/>
    <w:rsid w:val="2E3C18F2"/>
    <w:rsid w:val="2E7DBF1C"/>
    <w:rsid w:val="2EA3102F"/>
    <w:rsid w:val="2F093B3A"/>
    <w:rsid w:val="2F2E2B75"/>
    <w:rsid w:val="2F3A303A"/>
    <w:rsid w:val="2F4131BE"/>
    <w:rsid w:val="2F6C69F5"/>
    <w:rsid w:val="2F7B592D"/>
    <w:rsid w:val="2F7B6206"/>
    <w:rsid w:val="2F7E43E9"/>
    <w:rsid w:val="2F821223"/>
    <w:rsid w:val="2F9115F5"/>
    <w:rsid w:val="30093C61"/>
    <w:rsid w:val="30227A61"/>
    <w:rsid w:val="304903DA"/>
    <w:rsid w:val="30AF1C4A"/>
    <w:rsid w:val="30C94509"/>
    <w:rsid w:val="31132938"/>
    <w:rsid w:val="313F767F"/>
    <w:rsid w:val="31655468"/>
    <w:rsid w:val="31A57EEC"/>
    <w:rsid w:val="31B132D1"/>
    <w:rsid w:val="31B7673F"/>
    <w:rsid w:val="31D20A99"/>
    <w:rsid w:val="322B7D70"/>
    <w:rsid w:val="32655A8C"/>
    <w:rsid w:val="3279475B"/>
    <w:rsid w:val="32DE5227"/>
    <w:rsid w:val="330B4DBD"/>
    <w:rsid w:val="33462A7E"/>
    <w:rsid w:val="33DA4A28"/>
    <w:rsid w:val="3408276A"/>
    <w:rsid w:val="340E38F4"/>
    <w:rsid w:val="34530EFB"/>
    <w:rsid w:val="349F55AD"/>
    <w:rsid w:val="34AE259B"/>
    <w:rsid w:val="34D3740C"/>
    <w:rsid w:val="352E6DB0"/>
    <w:rsid w:val="353D2714"/>
    <w:rsid w:val="355009BB"/>
    <w:rsid w:val="355D7738"/>
    <w:rsid w:val="35AB26DA"/>
    <w:rsid w:val="35BA6C19"/>
    <w:rsid w:val="35E567AF"/>
    <w:rsid w:val="36300FF2"/>
    <w:rsid w:val="3669647A"/>
    <w:rsid w:val="36750F69"/>
    <w:rsid w:val="36755A2E"/>
    <w:rsid w:val="36892190"/>
    <w:rsid w:val="36CC3145"/>
    <w:rsid w:val="36E36FD5"/>
    <w:rsid w:val="36E8556C"/>
    <w:rsid w:val="36FC1783"/>
    <w:rsid w:val="37061582"/>
    <w:rsid w:val="370633C9"/>
    <w:rsid w:val="374C3B6C"/>
    <w:rsid w:val="37A201CE"/>
    <w:rsid w:val="38391304"/>
    <w:rsid w:val="386C67CB"/>
    <w:rsid w:val="388310A7"/>
    <w:rsid w:val="38871187"/>
    <w:rsid w:val="388C1EBB"/>
    <w:rsid w:val="38B16AFE"/>
    <w:rsid w:val="393E22F3"/>
    <w:rsid w:val="39483F3B"/>
    <w:rsid w:val="39C84C2F"/>
    <w:rsid w:val="39D6012C"/>
    <w:rsid w:val="39E211D3"/>
    <w:rsid w:val="39EA3484"/>
    <w:rsid w:val="3A310075"/>
    <w:rsid w:val="3A391852"/>
    <w:rsid w:val="3A4066FA"/>
    <w:rsid w:val="3A412028"/>
    <w:rsid w:val="3A4716F5"/>
    <w:rsid w:val="3A47230E"/>
    <w:rsid w:val="3AAC736D"/>
    <w:rsid w:val="3AC006C5"/>
    <w:rsid w:val="3AC51CEC"/>
    <w:rsid w:val="3B211D87"/>
    <w:rsid w:val="3B615A89"/>
    <w:rsid w:val="3B633094"/>
    <w:rsid w:val="3B7D4569"/>
    <w:rsid w:val="3BA921B4"/>
    <w:rsid w:val="3BC82FCD"/>
    <w:rsid w:val="3C6A60A6"/>
    <w:rsid w:val="3CA3527B"/>
    <w:rsid w:val="3CA409BD"/>
    <w:rsid w:val="3CB86ADB"/>
    <w:rsid w:val="3CE42148"/>
    <w:rsid w:val="3CF708F5"/>
    <w:rsid w:val="3D2557E1"/>
    <w:rsid w:val="3DB57251"/>
    <w:rsid w:val="3DC23D50"/>
    <w:rsid w:val="3E2C18F1"/>
    <w:rsid w:val="3E322758"/>
    <w:rsid w:val="3E57209A"/>
    <w:rsid w:val="3E821852"/>
    <w:rsid w:val="3E96447E"/>
    <w:rsid w:val="3EC376C8"/>
    <w:rsid w:val="3EC6723B"/>
    <w:rsid w:val="3EDC31B1"/>
    <w:rsid w:val="3F22587E"/>
    <w:rsid w:val="3F4C552A"/>
    <w:rsid w:val="3F5D6272"/>
    <w:rsid w:val="3F8E5F2C"/>
    <w:rsid w:val="409368E0"/>
    <w:rsid w:val="40A64E90"/>
    <w:rsid w:val="40CE708D"/>
    <w:rsid w:val="40D36BDB"/>
    <w:rsid w:val="41030C0F"/>
    <w:rsid w:val="41586FC1"/>
    <w:rsid w:val="415B4FDF"/>
    <w:rsid w:val="417F1BED"/>
    <w:rsid w:val="41855360"/>
    <w:rsid w:val="41BE03CD"/>
    <w:rsid w:val="42181D89"/>
    <w:rsid w:val="42542ADB"/>
    <w:rsid w:val="429B7606"/>
    <w:rsid w:val="42AD63C0"/>
    <w:rsid w:val="42F731D7"/>
    <w:rsid w:val="430B644F"/>
    <w:rsid w:val="433D6A32"/>
    <w:rsid w:val="433F63F9"/>
    <w:rsid w:val="43855F92"/>
    <w:rsid w:val="439165E3"/>
    <w:rsid w:val="43D215F0"/>
    <w:rsid w:val="43D91E40"/>
    <w:rsid w:val="43E53449"/>
    <w:rsid w:val="441D6561"/>
    <w:rsid w:val="44252C8B"/>
    <w:rsid w:val="44966813"/>
    <w:rsid w:val="44AE34B6"/>
    <w:rsid w:val="44BE7757"/>
    <w:rsid w:val="44CE5F45"/>
    <w:rsid w:val="44D818E8"/>
    <w:rsid w:val="44E170D1"/>
    <w:rsid w:val="44E43580"/>
    <w:rsid w:val="450A2157"/>
    <w:rsid w:val="450C4C96"/>
    <w:rsid w:val="453A44D5"/>
    <w:rsid w:val="45427478"/>
    <w:rsid w:val="458C222C"/>
    <w:rsid w:val="45C82360"/>
    <w:rsid w:val="45CF791E"/>
    <w:rsid w:val="46021816"/>
    <w:rsid w:val="46400E1E"/>
    <w:rsid w:val="466B60C3"/>
    <w:rsid w:val="46827EEC"/>
    <w:rsid w:val="468B7152"/>
    <w:rsid w:val="46BE1992"/>
    <w:rsid w:val="46E04731"/>
    <w:rsid w:val="46F2494D"/>
    <w:rsid w:val="46F43B72"/>
    <w:rsid w:val="471226FF"/>
    <w:rsid w:val="479A6F50"/>
    <w:rsid w:val="47D72409"/>
    <w:rsid w:val="47E0741C"/>
    <w:rsid w:val="4836030C"/>
    <w:rsid w:val="48412169"/>
    <w:rsid w:val="486214C7"/>
    <w:rsid w:val="48656BF1"/>
    <w:rsid w:val="48A429B8"/>
    <w:rsid w:val="48C133AE"/>
    <w:rsid w:val="48C42A3E"/>
    <w:rsid w:val="48F2555D"/>
    <w:rsid w:val="4932704C"/>
    <w:rsid w:val="4943425A"/>
    <w:rsid w:val="4957769F"/>
    <w:rsid w:val="49590F55"/>
    <w:rsid w:val="496D0A77"/>
    <w:rsid w:val="496D671E"/>
    <w:rsid w:val="49970AB8"/>
    <w:rsid w:val="49C04C0E"/>
    <w:rsid w:val="49C26355"/>
    <w:rsid w:val="49CF096E"/>
    <w:rsid w:val="4A7E29B0"/>
    <w:rsid w:val="4AAF68BC"/>
    <w:rsid w:val="4B6420E8"/>
    <w:rsid w:val="4B6E076E"/>
    <w:rsid w:val="4B717BD9"/>
    <w:rsid w:val="4C1238F6"/>
    <w:rsid w:val="4C151BB3"/>
    <w:rsid w:val="4C1A646C"/>
    <w:rsid w:val="4C2B0C0D"/>
    <w:rsid w:val="4C4F6C11"/>
    <w:rsid w:val="4C763D3D"/>
    <w:rsid w:val="4D021D02"/>
    <w:rsid w:val="4D0C0970"/>
    <w:rsid w:val="4D171BE3"/>
    <w:rsid w:val="4D1C1949"/>
    <w:rsid w:val="4D352FEF"/>
    <w:rsid w:val="4D4F451A"/>
    <w:rsid w:val="4D7A4F40"/>
    <w:rsid w:val="4DD84D52"/>
    <w:rsid w:val="4E2D3FAF"/>
    <w:rsid w:val="4E756DB2"/>
    <w:rsid w:val="4E8C3B18"/>
    <w:rsid w:val="4E9948B8"/>
    <w:rsid w:val="4EBC715B"/>
    <w:rsid w:val="4F2B2DCB"/>
    <w:rsid w:val="4F494B2F"/>
    <w:rsid w:val="4F4D5814"/>
    <w:rsid w:val="4F72536A"/>
    <w:rsid w:val="4F75285F"/>
    <w:rsid w:val="4F77150C"/>
    <w:rsid w:val="4F883752"/>
    <w:rsid w:val="4FDD5DBA"/>
    <w:rsid w:val="4FE1234B"/>
    <w:rsid w:val="505C4CD8"/>
    <w:rsid w:val="50A436C1"/>
    <w:rsid w:val="50AF4AC5"/>
    <w:rsid w:val="510E2781"/>
    <w:rsid w:val="511D5085"/>
    <w:rsid w:val="512C357A"/>
    <w:rsid w:val="513933BD"/>
    <w:rsid w:val="51505FAA"/>
    <w:rsid w:val="515336D8"/>
    <w:rsid w:val="5171736A"/>
    <w:rsid w:val="51AC05E2"/>
    <w:rsid w:val="51EC47F3"/>
    <w:rsid w:val="51F6669B"/>
    <w:rsid w:val="51FA615B"/>
    <w:rsid w:val="52013E99"/>
    <w:rsid w:val="5206185F"/>
    <w:rsid w:val="5214633A"/>
    <w:rsid w:val="52426240"/>
    <w:rsid w:val="527D2F06"/>
    <w:rsid w:val="52A340DC"/>
    <w:rsid w:val="52A7770B"/>
    <w:rsid w:val="52B70F19"/>
    <w:rsid w:val="52D86399"/>
    <w:rsid w:val="52EC2711"/>
    <w:rsid w:val="532C313D"/>
    <w:rsid w:val="53396E96"/>
    <w:rsid w:val="53425D0D"/>
    <w:rsid w:val="535440E6"/>
    <w:rsid w:val="53AD43B2"/>
    <w:rsid w:val="53FC5C4A"/>
    <w:rsid w:val="541323C8"/>
    <w:rsid w:val="543041CE"/>
    <w:rsid w:val="54355F2D"/>
    <w:rsid w:val="54413CE7"/>
    <w:rsid w:val="54590988"/>
    <w:rsid w:val="54814E14"/>
    <w:rsid w:val="549D1AF1"/>
    <w:rsid w:val="54A73102"/>
    <w:rsid w:val="54F51066"/>
    <w:rsid w:val="554E5025"/>
    <w:rsid w:val="5578376B"/>
    <w:rsid w:val="557C2E05"/>
    <w:rsid w:val="55BB22B6"/>
    <w:rsid w:val="56077688"/>
    <w:rsid w:val="5609009E"/>
    <w:rsid w:val="561921DF"/>
    <w:rsid w:val="5650660D"/>
    <w:rsid w:val="565B5610"/>
    <w:rsid w:val="56640C99"/>
    <w:rsid w:val="566E0E96"/>
    <w:rsid w:val="56A00F31"/>
    <w:rsid w:val="56A07FA4"/>
    <w:rsid w:val="56B83573"/>
    <w:rsid w:val="56D60CDE"/>
    <w:rsid w:val="56E05300"/>
    <w:rsid w:val="56E70D03"/>
    <w:rsid w:val="56EE4DEF"/>
    <w:rsid w:val="57354985"/>
    <w:rsid w:val="575532BC"/>
    <w:rsid w:val="578F3D41"/>
    <w:rsid w:val="57951482"/>
    <w:rsid w:val="579837FE"/>
    <w:rsid w:val="57B0688B"/>
    <w:rsid w:val="57EA5DF6"/>
    <w:rsid w:val="58044C65"/>
    <w:rsid w:val="580D3B0A"/>
    <w:rsid w:val="580D63BD"/>
    <w:rsid w:val="583C53D3"/>
    <w:rsid w:val="58673110"/>
    <w:rsid w:val="587D777F"/>
    <w:rsid w:val="58C637EB"/>
    <w:rsid w:val="58C85294"/>
    <w:rsid w:val="58CB005B"/>
    <w:rsid w:val="58D412EE"/>
    <w:rsid w:val="58D97687"/>
    <w:rsid w:val="595F6856"/>
    <w:rsid w:val="59CF4F42"/>
    <w:rsid w:val="59F66687"/>
    <w:rsid w:val="5A3543EB"/>
    <w:rsid w:val="5A5A66F6"/>
    <w:rsid w:val="5AB03C98"/>
    <w:rsid w:val="5AB945A2"/>
    <w:rsid w:val="5B693FD0"/>
    <w:rsid w:val="5B6C4B1F"/>
    <w:rsid w:val="5BDD36B9"/>
    <w:rsid w:val="5C247F2E"/>
    <w:rsid w:val="5C2B3F1E"/>
    <w:rsid w:val="5C387834"/>
    <w:rsid w:val="5C497267"/>
    <w:rsid w:val="5C6019D1"/>
    <w:rsid w:val="5C650F7B"/>
    <w:rsid w:val="5C72159C"/>
    <w:rsid w:val="5C722A23"/>
    <w:rsid w:val="5CAD707D"/>
    <w:rsid w:val="5CE926A8"/>
    <w:rsid w:val="5D1B0E72"/>
    <w:rsid w:val="5D26470C"/>
    <w:rsid w:val="5D396EF8"/>
    <w:rsid w:val="5D4C6F49"/>
    <w:rsid w:val="5D721DBF"/>
    <w:rsid w:val="5D8865F2"/>
    <w:rsid w:val="5D972281"/>
    <w:rsid w:val="5DFF36AB"/>
    <w:rsid w:val="5E215B9F"/>
    <w:rsid w:val="5E9B404D"/>
    <w:rsid w:val="5EF5140C"/>
    <w:rsid w:val="5EF940A9"/>
    <w:rsid w:val="5F7420CC"/>
    <w:rsid w:val="5FBC1D27"/>
    <w:rsid w:val="5FE91B31"/>
    <w:rsid w:val="600F3461"/>
    <w:rsid w:val="601F20A6"/>
    <w:rsid w:val="60B947F7"/>
    <w:rsid w:val="60D64A70"/>
    <w:rsid w:val="60DA7AE1"/>
    <w:rsid w:val="61E8463D"/>
    <w:rsid w:val="61F66976"/>
    <w:rsid w:val="622B5DD2"/>
    <w:rsid w:val="624D6884"/>
    <w:rsid w:val="625476E2"/>
    <w:rsid w:val="63186C07"/>
    <w:rsid w:val="632C674E"/>
    <w:rsid w:val="634A2A4C"/>
    <w:rsid w:val="63697617"/>
    <w:rsid w:val="636B1878"/>
    <w:rsid w:val="63C95BC1"/>
    <w:rsid w:val="646A5F0B"/>
    <w:rsid w:val="64956FC4"/>
    <w:rsid w:val="64B26E3D"/>
    <w:rsid w:val="64B84FA0"/>
    <w:rsid w:val="64DB461D"/>
    <w:rsid w:val="64F532A5"/>
    <w:rsid w:val="65353400"/>
    <w:rsid w:val="65362218"/>
    <w:rsid w:val="653D3533"/>
    <w:rsid w:val="65EE4DF3"/>
    <w:rsid w:val="661E1367"/>
    <w:rsid w:val="66257383"/>
    <w:rsid w:val="662C2C3B"/>
    <w:rsid w:val="664C75FB"/>
    <w:rsid w:val="66773B49"/>
    <w:rsid w:val="66880613"/>
    <w:rsid w:val="669D0C89"/>
    <w:rsid w:val="66A301B3"/>
    <w:rsid w:val="66BD5E37"/>
    <w:rsid w:val="66CD05B8"/>
    <w:rsid w:val="66D32372"/>
    <w:rsid w:val="66E36FA4"/>
    <w:rsid w:val="670F070B"/>
    <w:rsid w:val="6718001F"/>
    <w:rsid w:val="671D34DF"/>
    <w:rsid w:val="67277785"/>
    <w:rsid w:val="672B68B4"/>
    <w:rsid w:val="673D2B3B"/>
    <w:rsid w:val="67423455"/>
    <w:rsid w:val="675A0CE5"/>
    <w:rsid w:val="67AB7B08"/>
    <w:rsid w:val="67CC6DC1"/>
    <w:rsid w:val="67FE00FF"/>
    <w:rsid w:val="680F1327"/>
    <w:rsid w:val="686A2301"/>
    <w:rsid w:val="68802106"/>
    <w:rsid w:val="688D6B47"/>
    <w:rsid w:val="689556AC"/>
    <w:rsid w:val="68B10009"/>
    <w:rsid w:val="6901358E"/>
    <w:rsid w:val="691D32BA"/>
    <w:rsid w:val="69992912"/>
    <w:rsid w:val="69C92243"/>
    <w:rsid w:val="69FE07B7"/>
    <w:rsid w:val="6A366C80"/>
    <w:rsid w:val="6A8D0893"/>
    <w:rsid w:val="6A9F3D41"/>
    <w:rsid w:val="6B58740A"/>
    <w:rsid w:val="6B600DDB"/>
    <w:rsid w:val="6BB75C50"/>
    <w:rsid w:val="6BCE02FB"/>
    <w:rsid w:val="6BEC7A32"/>
    <w:rsid w:val="6C1E6AA7"/>
    <w:rsid w:val="6C2F1B45"/>
    <w:rsid w:val="6CD70031"/>
    <w:rsid w:val="6CD843E1"/>
    <w:rsid w:val="6CEF517F"/>
    <w:rsid w:val="6D2A37FF"/>
    <w:rsid w:val="6D4E66F1"/>
    <w:rsid w:val="6D5124C8"/>
    <w:rsid w:val="6D551BD2"/>
    <w:rsid w:val="6D954C42"/>
    <w:rsid w:val="6DA113EF"/>
    <w:rsid w:val="6DA210AF"/>
    <w:rsid w:val="6DC45495"/>
    <w:rsid w:val="6E136ABD"/>
    <w:rsid w:val="6E253734"/>
    <w:rsid w:val="6E724F8D"/>
    <w:rsid w:val="6EDB78C8"/>
    <w:rsid w:val="6F197D89"/>
    <w:rsid w:val="6F3F40F8"/>
    <w:rsid w:val="6F5037A6"/>
    <w:rsid w:val="6F7E364C"/>
    <w:rsid w:val="6FD42F82"/>
    <w:rsid w:val="6FDD67EF"/>
    <w:rsid w:val="6FE31078"/>
    <w:rsid w:val="6FFB7C54"/>
    <w:rsid w:val="705A0AF2"/>
    <w:rsid w:val="706332D7"/>
    <w:rsid w:val="70993852"/>
    <w:rsid w:val="70B57F05"/>
    <w:rsid w:val="70E138DD"/>
    <w:rsid w:val="70E26535"/>
    <w:rsid w:val="70ED27BC"/>
    <w:rsid w:val="70F058CE"/>
    <w:rsid w:val="70FE78C8"/>
    <w:rsid w:val="711E4B2B"/>
    <w:rsid w:val="71735FA3"/>
    <w:rsid w:val="7199445C"/>
    <w:rsid w:val="71BD5B68"/>
    <w:rsid w:val="71FC1DED"/>
    <w:rsid w:val="71FC4895"/>
    <w:rsid w:val="721B033F"/>
    <w:rsid w:val="72BC259C"/>
    <w:rsid w:val="72C03FC3"/>
    <w:rsid w:val="731D6ABC"/>
    <w:rsid w:val="73957629"/>
    <w:rsid w:val="739D06FD"/>
    <w:rsid w:val="73B1562E"/>
    <w:rsid w:val="73E4425B"/>
    <w:rsid w:val="73EB4CE7"/>
    <w:rsid w:val="74092B56"/>
    <w:rsid w:val="740C518F"/>
    <w:rsid w:val="740D040F"/>
    <w:rsid w:val="7423609F"/>
    <w:rsid w:val="74572CB5"/>
    <w:rsid w:val="746E6A1C"/>
    <w:rsid w:val="74856785"/>
    <w:rsid w:val="74BA79C4"/>
    <w:rsid w:val="74BE199C"/>
    <w:rsid w:val="74CC27DE"/>
    <w:rsid w:val="74D670E7"/>
    <w:rsid w:val="74E74088"/>
    <w:rsid w:val="74E9737D"/>
    <w:rsid w:val="74F864F3"/>
    <w:rsid w:val="74FF6341"/>
    <w:rsid w:val="751D54BA"/>
    <w:rsid w:val="7564352A"/>
    <w:rsid w:val="75E502B3"/>
    <w:rsid w:val="765D53F3"/>
    <w:rsid w:val="7665053A"/>
    <w:rsid w:val="76656405"/>
    <w:rsid w:val="766619F4"/>
    <w:rsid w:val="76667632"/>
    <w:rsid w:val="76887FC1"/>
    <w:rsid w:val="76AD75D7"/>
    <w:rsid w:val="76C94CBA"/>
    <w:rsid w:val="76CB604C"/>
    <w:rsid w:val="76E7282F"/>
    <w:rsid w:val="770470FC"/>
    <w:rsid w:val="77062501"/>
    <w:rsid w:val="772165ED"/>
    <w:rsid w:val="77A13343"/>
    <w:rsid w:val="77CB0E80"/>
    <w:rsid w:val="781D3E1F"/>
    <w:rsid w:val="783C141E"/>
    <w:rsid w:val="783C3DD7"/>
    <w:rsid w:val="783D126A"/>
    <w:rsid w:val="78AE3726"/>
    <w:rsid w:val="79094D47"/>
    <w:rsid w:val="791D421B"/>
    <w:rsid w:val="79707045"/>
    <w:rsid w:val="79774920"/>
    <w:rsid w:val="79B15BA7"/>
    <w:rsid w:val="7A1A4E6C"/>
    <w:rsid w:val="7A497AF6"/>
    <w:rsid w:val="7A533B74"/>
    <w:rsid w:val="7A9C044F"/>
    <w:rsid w:val="7AA271E4"/>
    <w:rsid w:val="7AB46DE1"/>
    <w:rsid w:val="7ABF0BA2"/>
    <w:rsid w:val="7B1C0819"/>
    <w:rsid w:val="7B257601"/>
    <w:rsid w:val="7B411E39"/>
    <w:rsid w:val="7B56EB8D"/>
    <w:rsid w:val="7B672A28"/>
    <w:rsid w:val="7B6A05E6"/>
    <w:rsid w:val="7B6E74DB"/>
    <w:rsid w:val="7B7C4579"/>
    <w:rsid w:val="7BAB54FE"/>
    <w:rsid w:val="7BF0032A"/>
    <w:rsid w:val="7BFFC4BF"/>
    <w:rsid w:val="7C940194"/>
    <w:rsid w:val="7D3E3AB1"/>
    <w:rsid w:val="7D527F3F"/>
    <w:rsid w:val="7D5A4178"/>
    <w:rsid w:val="7D7A65B0"/>
    <w:rsid w:val="7D8F2CD0"/>
    <w:rsid w:val="7D9F460E"/>
    <w:rsid w:val="7DA71E7E"/>
    <w:rsid w:val="7DF42372"/>
    <w:rsid w:val="7E766F8B"/>
    <w:rsid w:val="7EA61CC2"/>
    <w:rsid w:val="7F0F3267"/>
    <w:rsid w:val="7F532860"/>
    <w:rsid w:val="7F7D4900"/>
    <w:rsid w:val="7F9810F4"/>
    <w:rsid w:val="7FA172D0"/>
    <w:rsid w:val="B376CD53"/>
    <w:rsid w:val="B83FD4BF"/>
    <w:rsid w:val="BDFF8FD6"/>
    <w:rsid w:val="DF5F8359"/>
    <w:rsid w:val="F1FFBAA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1"/>
      <w:lang w:val="en-US" w:eastAsia="zh-CN" w:bidi="ar-SA"/>
    </w:rPr>
  </w:style>
  <w:style w:type="paragraph" w:styleId="3">
    <w:name w:val="heading 1"/>
    <w:basedOn w:val="4"/>
    <w:next w:val="5"/>
    <w:link w:val="40"/>
    <w:qFormat/>
    <w:uiPriority w:val="0"/>
    <w:pPr>
      <w:keepNext/>
      <w:keepLines/>
      <w:spacing w:after="120" w:afterLines="0" w:line="360" w:lineRule="auto"/>
      <w:outlineLvl w:val="0"/>
    </w:pPr>
    <w:rPr>
      <w:rFonts w:ascii="仿宋_GB2312" w:hAnsi="宋体" w:eastAsia="仿宋_GB2312" w:cs="宋体"/>
      <w:b w:val="0"/>
      <w:bCs/>
      <w:sz w:val="30"/>
      <w:szCs w:val="30"/>
    </w:rPr>
  </w:style>
  <w:style w:type="paragraph" w:styleId="7">
    <w:name w:val="heading 2"/>
    <w:basedOn w:val="1"/>
    <w:next w:val="1"/>
    <w:link w:val="43"/>
    <w:qFormat/>
    <w:uiPriority w:val="0"/>
    <w:pPr>
      <w:keepNext/>
      <w:keepLines/>
      <w:spacing w:before="240" w:beforeLines="0" w:after="120" w:afterLines="0" w:line="360" w:lineRule="auto"/>
      <w:jc w:val="center"/>
      <w:outlineLvl w:val="1"/>
    </w:pPr>
    <w:rPr>
      <w:rFonts w:ascii="仿宋_GB2312" w:hAnsi="宋体" w:eastAsia="仿宋_GB2312" w:cs="宋体"/>
      <w:b/>
      <w:sz w:val="30"/>
      <w:szCs w:val="30"/>
    </w:rPr>
  </w:style>
  <w:style w:type="paragraph" w:styleId="8">
    <w:name w:val="heading 3"/>
    <w:basedOn w:val="1"/>
    <w:next w:val="9"/>
    <w:link w:val="44"/>
    <w:qFormat/>
    <w:uiPriority w:val="0"/>
    <w:pPr>
      <w:keepNext/>
      <w:keepLines/>
      <w:spacing w:before="156" w:beforeLines="50" w:line="360" w:lineRule="auto"/>
      <w:jc w:val="center"/>
      <w:outlineLvl w:val="2"/>
    </w:pPr>
    <w:rPr>
      <w:rFonts w:ascii="仿宋_GB2312" w:hAnsi="宋体" w:eastAsia="仿宋_GB2312" w:cs="宋体"/>
      <w:b/>
      <w:sz w:val="30"/>
      <w:szCs w:val="30"/>
    </w:rPr>
  </w:style>
  <w:style w:type="paragraph" w:styleId="10">
    <w:name w:val="heading 4"/>
    <w:basedOn w:val="8"/>
    <w:next w:val="9"/>
    <w:link w:val="45"/>
    <w:qFormat/>
    <w:uiPriority w:val="0"/>
    <w:pPr>
      <w:ind w:left="3124" w:hanging="284"/>
      <w:outlineLvl w:val="3"/>
    </w:pPr>
    <w:rPr>
      <w:rFonts w:ascii="Arial" w:hAnsi="Arial" w:eastAsia="仿宋_GB2312" w:cs="Times New Roman"/>
      <w:sz w:val="30"/>
      <w:szCs w:val="30"/>
    </w:rPr>
  </w:style>
  <w:style w:type="paragraph" w:styleId="11">
    <w:name w:val="heading 5"/>
    <w:basedOn w:val="10"/>
    <w:next w:val="9"/>
    <w:link w:val="46"/>
    <w:qFormat/>
    <w:uiPriority w:val="0"/>
    <w:pPr>
      <w:spacing w:line="240" w:lineRule="exact"/>
      <w:ind w:left="3124"/>
      <w:outlineLvl w:val="4"/>
    </w:pPr>
    <w:rPr>
      <w:rFonts w:ascii="Arial" w:hAnsi="Arial" w:eastAsia="仿宋_GB2312" w:cs="Times New Roman"/>
      <w:sz w:val="30"/>
      <w:szCs w:val="30"/>
    </w:rPr>
  </w:style>
  <w:style w:type="paragraph" w:styleId="12">
    <w:name w:val="heading 6"/>
    <w:basedOn w:val="1"/>
    <w:next w:val="1"/>
    <w:link w:val="47"/>
    <w:qFormat/>
    <w:uiPriority w:val="0"/>
    <w:pPr>
      <w:keepNext/>
      <w:keepLines/>
      <w:spacing w:before="240" w:after="64" w:line="312" w:lineRule="auto"/>
      <w:outlineLvl w:val="5"/>
    </w:pPr>
    <w:rPr>
      <w:rFonts w:ascii="Arial" w:hAnsi="Arial" w:eastAsia="黑体" w:cs="Times New Roman"/>
      <w:b/>
      <w:bCs/>
      <w:sz w:val="24"/>
      <w:szCs w:val="24"/>
    </w:rPr>
  </w:style>
  <w:style w:type="paragraph" w:styleId="13">
    <w:name w:val="heading 7"/>
    <w:basedOn w:val="1"/>
    <w:next w:val="9"/>
    <w:link w:val="48"/>
    <w:qFormat/>
    <w:uiPriority w:val="0"/>
    <w:pPr>
      <w:keepNext/>
      <w:keepLines/>
      <w:spacing w:before="240" w:after="64" w:line="312" w:lineRule="auto"/>
      <w:outlineLvl w:val="6"/>
    </w:pPr>
    <w:rPr>
      <w:rFonts w:ascii="Times New Roman" w:hAnsi="Times New Roman" w:eastAsia="楷体_GB2312" w:cs="Times New Roman"/>
      <w:b/>
      <w:sz w:val="24"/>
      <w:szCs w:val="20"/>
    </w:rPr>
  </w:style>
  <w:style w:type="paragraph" w:styleId="14">
    <w:name w:val="heading 8"/>
    <w:basedOn w:val="1"/>
    <w:next w:val="9"/>
    <w:link w:val="49"/>
    <w:qFormat/>
    <w:uiPriority w:val="0"/>
    <w:pPr>
      <w:keepNext/>
      <w:keepLines/>
      <w:spacing w:before="240" w:after="64" w:line="312" w:lineRule="auto"/>
      <w:outlineLvl w:val="7"/>
    </w:pPr>
    <w:rPr>
      <w:rFonts w:ascii="Arial" w:hAnsi="Arial" w:eastAsia="黑体" w:cs="Times New Roman"/>
      <w:sz w:val="24"/>
      <w:szCs w:val="20"/>
    </w:rPr>
  </w:style>
  <w:style w:type="paragraph" w:styleId="15">
    <w:name w:val="heading 9"/>
    <w:basedOn w:val="1"/>
    <w:next w:val="9"/>
    <w:link w:val="50"/>
    <w:qFormat/>
    <w:uiPriority w:val="0"/>
    <w:pPr>
      <w:keepNext/>
      <w:keepLines/>
      <w:spacing w:before="240" w:after="64" w:line="312" w:lineRule="auto"/>
      <w:outlineLvl w:val="8"/>
    </w:pPr>
    <w:rPr>
      <w:rFonts w:ascii="Arial" w:hAnsi="Arial" w:eastAsia="黑体" w:cs="Times New Roman"/>
      <w:szCs w:val="20"/>
    </w:rPr>
  </w:style>
  <w:style w:type="character" w:default="1" w:styleId="31">
    <w:name w:val="Default Paragraph Font"/>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2">
    <w:name w:val="Plain Text"/>
    <w:basedOn w:val="1"/>
    <w:link w:val="38"/>
    <w:qFormat/>
    <w:uiPriority w:val="0"/>
    <w:rPr>
      <w:rFonts w:ascii="宋体" w:hAnsi="Courier New" w:eastAsia="楷体_GB2312"/>
      <w:szCs w:val="24"/>
    </w:rPr>
  </w:style>
  <w:style w:type="paragraph" w:styleId="4">
    <w:name w:val="Title"/>
    <w:basedOn w:val="1"/>
    <w:next w:val="1"/>
    <w:link w:val="39"/>
    <w:qFormat/>
    <w:uiPriority w:val="0"/>
    <w:pPr>
      <w:spacing w:before="120" w:beforeLines="0" w:after="60" w:afterLines="0"/>
      <w:jc w:val="center"/>
    </w:pPr>
    <w:rPr>
      <w:rFonts w:ascii="Arial" w:hAnsi="Arial" w:eastAsia="楷体_GB2312" w:cs="Times New Roman"/>
      <w:b/>
      <w:sz w:val="44"/>
      <w:szCs w:val="20"/>
    </w:rPr>
  </w:style>
  <w:style w:type="paragraph" w:styleId="5">
    <w:name w:val="Body Text First Indent"/>
    <w:basedOn w:val="6"/>
    <w:link w:val="42"/>
    <w:qFormat/>
    <w:uiPriority w:val="0"/>
    <w:pPr>
      <w:ind w:firstLine="420"/>
    </w:pPr>
  </w:style>
  <w:style w:type="paragraph" w:styleId="6">
    <w:name w:val="Body Text"/>
    <w:basedOn w:val="1"/>
    <w:next w:val="4"/>
    <w:link w:val="41"/>
    <w:qFormat/>
    <w:uiPriority w:val="0"/>
    <w:pPr>
      <w:spacing w:after="120" w:afterLines="0"/>
    </w:pPr>
    <w:rPr>
      <w:rFonts w:ascii="Times New Roman" w:hAnsi="Times New Roman" w:eastAsia="楷体_GB2312" w:cs="Times New Roman"/>
      <w:szCs w:val="20"/>
    </w:rPr>
  </w:style>
  <w:style w:type="paragraph" w:styleId="9">
    <w:name w:val="Normal Indent"/>
    <w:basedOn w:val="1"/>
    <w:qFormat/>
    <w:uiPriority w:val="0"/>
    <w:pPr>
      <w:ind w:firstLine="420"/>
    </w:pPr>
  </w:style>
  <w:style w:type="paragraph" w:styleId="16">
    <w:name w:val="Document Map"/>
    <w:basedOn w:val="1"/>
    <w:link w:val="51"/>
    <w:qFormat/>
    <w:uiPriority w:val="0"/>
    <w:pPr>
      <w:shd w:val="clear" w:color="auto" w:fill="000080"/>
    </w:pPr>
    <w:rPr>
      <w:rFonts w:ascii="Times New Roman" w:hAnsi="Times New Roman" w:eastAsia="楷体_GB2312" w:cs="Times New Roman"/>
      <w:szCs w:val="20"/>
      <w:shd w:val="clear" w:color="auto" w:fill="000080"/>
    </w:rPr>
  </w:style>
  <w:style w:type="paragraph" w:styleId="17">
    <w:name w:val="annotation text"/>
    <w:basedOn w:val="1"/>
    <w:link w:val="52"/>
    <w:qFormat/>
    <w:uiPriority w:val="0"/>
    <w:pPr>
      <w:jc w:val="left"/>
    </w:pPr>
    <w:rPr>
      <w:rFonts w:ascii="Times New Roman" w:hAnsi="Times New Roman" w:eastAsia="楷体_GB2312" w:cs="Times New Roman"/>
      <w:szCs w:val="20"/>
    </w:rPr>
  </w:style>
  <w:style w:type="paragraph" w:styleId="18">
    <w:name w:val="toc 3"/>
    <w:basedOn w:val="1"/>
    <w:next w:val="1"/>
    <w:qFormat/>
    <w:uiPriority w:val="0"/>
    <w:pPr>
      <w:ind w:left="840" w:leftChars="400"/>
    </w:pPr>
  </w:style>
  <w:style w:type="paragraph" w:styleId="19">
    <w:name w:val="Date"/>
    <w:basedOn w:val="1"/>
    <w:next w:val="1"/>
    <w:link w:val="53"/>
    <w:qFormat/>
    <w:uiPriority w:val="0"/>
    <w:rPr>
      <w:rFonts w:ascii="Times New Roman" w:hAnsi="Times New Roman" w:eastAsia="楷体_GB2312" w:cs="Times New Roman"/>
      <w:szCs w:val="20"/>
    </w:rPr>
  </w:style>
  <w:style w:type="paragraph" w:styleId="20">
    <w:name w:val="endnote text"/>
    <w:basedOn w:val="1"/>
    <w:link w:val="54"/>
    <w:qFormat/>
    <w:uiPriority w:val="0"/>
    <w:pPr>
      <w:snapToGrid w:val="0"/>
      <w:jc w:val="left"/>
    </w:pPr>
    <w:rPr>
      <w:rFonts w:ascii="宋体" w:hAnsi="宋体"/>
      <w:szCs w:val="24"/>
    </w:rPr>
  </w:style>
  <w:style w:type="paragraph" w:styleId="21">
    <w:name w:val="Balloon Text"/>
    <w:basedOn w:val="1"/>
    <w:link w:val="55"/>
    <w:qFormat/>
    <w:uiPriority w:val="0"/>
    <w:rPr>
      <w:rFonts w:ascii="Times New Roman" w:hAnsi="Times New Roman" w:eastAsia="楷体_GB2312" w:cs="Times New Roman"/>
      <w:sz w:val="18"/>
      <w:szCs w:val="18"/>
    </w:rPr>
  </w:style>
  <w:style w:type="paragraph" w:styleId="22">
    <w:name w:val="footer"/>
    <w:basedOn w:val="1"/>
    <w:link w:val="56"/>
    <w:qFormat/>
    <w:uiPriority w:val="0"/>
    <w:pPr>
      <w:tabs>
        <w:tab w:val="center" w:pos="4153"/>
        <w:tab w:val="right" w:pos="8306"/>
      </w:tabs>
      <w:snapToGrid w:val="0"/>
      <w:jc w:val="left"/>
    </w:pPr>
    <w:rPr>
      <w:rFonts w:ascii="Times New Roman" w:hAnsi="Times New Roman" w:eastAsia="楷体_GB2312" w:cs="Times New Roman"/>
      <w:sz w:val="18"/>
      <w:szCs w:val="18"/>
    </w:rPr>
  </w:style>
  <w:style w:type="paragraph" w:styleId="23">
    <w:name w:val="header"/>
    <w:basedOn w:val="1"/>
    <w:link w:val="57"/>
    <w:qFormat/>
    <w:uiPriority w:val="0"/>
    <w:pPr>
      <w:pBdr>
        <w:bottom w:val="single" w:color="auto" w:sz="6" w:space="1"/>
      </w:pBdr>
      <w:tabs>
        <w:tab w:val="center" w:pos="4153"/>
        <w:tab w:val="right" w:pos="8306"/>
      </w:tabs>
      <w:snapToGrid w:val="0"/>
      <w:jc w:val="center"/>
    </w:pPr>
    <w:rPr>
      <w:rFonts w:ascii="Times New Roman" w:hAnsi="Times New Roman" w:eastAsia="楷体_GB2312" w:cs="Times New Roman"/>
      <w:sz w:val="18"/>
      <w:szCs w:val="18"/>
    </w:rPr>
  </w:style>
  <w:style w:type="paragraph" w:styleId="24">
    <w:name w:val="toc 1"/>
    <w:basedOn w:val="1"/>
    <w:next w:val="1"/>
    <w:qFormat/>
    <w:uiPriority w:val="0"/>
    <w:pPr>
      <w:tabs>
        <w:tab w:val="right" w:leader="dot" w:pos="8493"/>
      </w:tabs>
      <w:adjustRightInd w:val="0"/>
      <w:spacing w:line="360" w:lineRule="auto"/>
      <w:jc w:val="left"/>
    </w:pPr>
    <w:rPr>
      <w:rFonts w:ascii="宋体" w:hAnsi="宋体"/>
      <w:b/>
      <w:caps/>
      <w:kern w:val="0"/>
      <w:sz w:val="24"/>
      <w:szCs w:val="32"/>
    </w:rPr>
  </w:style>
  <w:style w:type="paragraph" w:styleId="25">
    <w:name w:val="toc 2"/>
    <w:basedOn w:val="1"/>
    <w:next w:val="1"/>
    <w:qFormat/>
    <w:uiPriority w:val="0"/>
    <w:pPr>
      <w:tabs>
        <w:tab w:val="right" w:leader="dot" w:pos="9060"/>
      </w:tabs>
      <w:snapToGrid w:val="0"/>
      <w:spacing w:line="360" w:lineRule="auto"/>
      <w:jc w:val="left"/>
    </w:pPr>
    <w:rPr>
      <w:sz w:val="24"/>
      <w:szCs w:val="24"/>
    </w:rPr>
  </w:style>
  <w:style w:type="paragraph" w:styleId="26">
    <w:name w:val="Body Text 2"/>
    <w:basedOn w:val="1"/>
    <w:link w:val="58"/>
    <w:qFormat/>
    <w:uiPriority w:val="0"/>
    <w:rPr>
      <w:rFonts w:ascii="宋体" w:hAnsi="宋体" w:eastAsia="楷体_GB2312" w:cs="Times New Roman"/>
      <w:szCs w:val="24"/>
      <w:u w:val="single"/>
    </w:rPr>
  </w:style>
  <w:style w:type="paragraph" w:styleId="27">
    <w:name w:val="index 1"/>
    <w:basedOn w:val="1"/>
    <w:next w:val="1"/>
    <w:qFormat/>
    <w:uiPriority w:val="0"/>
    <w:rPr>
      <w:szCs w:val="24"/>
    </w:rPr>
  </w:style>
  <w:style w:type="paragraph" w:styleId="28">
    <w:name w:val="annotation subject"/>
    <w:basedOn w:val="17"/>
    <w:next w:val="17"/>
    <w:link w:val="59"/>
    <w:qFormat/>
    <w:uiPriority w:val="0"/>
    <w:rPr>
      <w:b/>
      <w:bCs/>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rFonts w:eastAsia="宋体"/>
      <w:b/>
      <w:bCs/>
      <w:kern w:val="2"/>
      <w:sz w:val="24"/>
      <w:szCs w:val="24"/>
      <w:lang w:val="en-US" w:eastAsia="zh-CN" w:bidi="ar-SA"/>
    </w:rPr>
  </w:style>
  <w:style w:type="character" w:styleId="33">
    <w:name w:val="endnote reference"/>
    <w:basedOn w:val="31"/>
    <w:qFormat/>
    <w:uiPriority w:val="0"/>
    <w:rPr>
      <w:rFonts w:eastAsia="宋体"/>
      <w:kern w:val="2"/>
      <w:sz w:val="24"/>
      <w:szCs w:val="24"/>
      <w:vertAlign w:val="superscript"/>
      <w:lang w:val="en-US" w:eastAsia="zh-CN" w:bidi="ar-SA"/>
    </w:rPr>
  </w:style>
  <w:style w:type="character" w:styleId="34">
    <w:name w:val="page number"/>
    <w:basedOn w:val="31"/>
    <w:qFormat/>
    <w:uiPriority w:val="0"/>
    <w:rPr>
      <w:rFonts w:eastAsia="宋体"/>
      <w:kern w:val="2"/>
      <w:sz w:val="24"/>
      <w:szCs w:val="24"/>
      <w:lang w:val="en-US" w:eastAsia="zh-CN" w:bidi="ar-SA"/>
    </w:rPr>
  </w:style>
  <w:style w:type="character" w:styleId="35">
    <w:name w:val="FollowedHyperlink"/>
    <w:basedOn w:val="31"/>
    <w:qFormat/>
    <w:uiPriority w:val="0"/>
    <w:rPr>
      <w:color w:val="800080"/>
      <w:u w:val="single"/>
    </w:rPr>
  </w:style>
  <w:style w:type="character" w:styleId="36">
    <w:name w:val="Hyperlink"/>
    <w:basedOn w:val="31"/>
    <w:qFormat/>
    <w:uiPriority w:val="0"/>
    <w:rPr>
      <w:rFonts w:eastAsia="宋体"/>
      <w:color w:val="0000FF"/>
      <w:kern w:val="2"/>
      <w:sz w:val="24"/>
      <w:szCs w:val="24"/>
      <w:u w:val="single"/>
      <w:lang w:val="en-US" w:eastAsia="zh-CN" w:bidi="ar-SA"/>
    </w:rPr>
  </w:style>
  <w:style w:type="character" w:styleId="37">
    <w:name w:val="annotation reference"/>
    <w:basedOn w:val="31"/>
    <w:qFormat/>
    <w:uiPriority w:val="0"/>
    <w:rPr>
      <w:rFonts w:eastAsia="宋体"/>
      <w:kern w:val="2"/>
      <w:sz w:val="21"/>
      <w:szCs w:val="21"/>
      <w:lang w:val="en-US" w:eastAsia="zh-CN" w:bidi="ar-SA"/>
    </w:rPr>
  </w:style>
  <w:style w:type="character" w:customStyle="1" w:styleId="38">
    <w:name w:val="纯文本 Char"/>
    <w:basedOn w:val="31"/>
    <w:link w:val="2"/>
    <w:qFormat/>
    <w:uiPriority w:val="0"/>
    <w:rPr>
      <w:rFonts w:ascii="宋体" w:hAnsi="Courier New" w:eastAsia="楷体_GB2312"/>
      <w:szCs w:val="24"/>
    </w:rPr>
  </w:style>
  <w:style w:type="character" w:customStyle="1" w:styleId="39">
    <w:name w:val="标题 Char"/>
    <w:basedOn w:val="31"/>
    <w:link w:val="4"/>
    <w:qFormat/>
    <w:uiPriority w:val="0"/>
    <w:rPr>
      <w:rFonts w:ascii="Arial" w:hAnsi="Arial" w:eastAsia="楷体_GB2312" w:cs="Times New Roman"/>
      <w:b/>
      <w:sz w:val="44"/>
      <w:szCs w:val="20"/>
    </w:rPr>
  </w:style>
  <w:style w:type="character" w:customStyle="1" w:styleId="40">
    <w:name w:val="标题 1 Char"/>
    <w:basedOn w:val="31"/>
    <w:link w:val="3"/>
    <w:qFormat/>
    <w:uiPriority w:val="0"/>
    <w:rPr>
      <w:rFonts w:ascii="仿宋_GB2312" w:hAnsi="宋体" w:eastAsia="仿宋_GB2312" w:cs="宋体"/>
      <w:b/>
      <w:bCs/>
      <w:sz w:val="30"/>
      <w:szCs w:val="30"/>
    </w:rPr>
  </w:style>
  <w:style w:type="character" w:customStyle="1" w:styleId="41">
    <w:name w:val="正文文本 Char"/>
    <w:basedOn w:val="31"/>
    <w:link w:val="6"/>
    <w:qFormat/>
    <w:uiPriority w:val="0"/>
    <w:rPr>
      <w:rFonts w:ascii="Times New Roman" w:hAnsi="Times New Roman" w:eastAsia="楷体_GB2312" w:cs="Times New Roman"/>
      <w:szCs w:val="20"/>
    </w:rPr>
  </w:style>
  <w:style w:type="character" w:customStyle="1" w:styleId="42">
    <w:name w:val="正文首行缩进 Char"/>
    <w:basedOn w:val="41"/>
    <w:link w:val="5"/>
    <w:qFormat/>
    <w:uiPriority w:val="0"/>
  </w:style>
  <w:style w:type="character" w:customStyle="1" w:styleId="43">
    <w:name w:val="标题 2 Char"/>
    <w:basedOn w:val="31"/>
    <w:link w:val="7"/>
    <w:qFormat/>
    <w:uiPriority w:val="0"/>
    <w:rPr>
      <w:rFonts w:ascii="仿宋_GB2312" w:hAnsi="宋体" w:eastAsia="仿宋_GB2312" w:cs="宋体"/>
      <w:b/>
      <w:sz w:val="30"/>
      <w:szCs w:val="30"/>
    </w:rPr>
  </w:style>
  <w:style w:type="character" w:customStyle="1" w:styleId="44">
    <w:name w:val="标题 3 Char"/>
    <w:basedOn w:val="31"/>
    <w:link w:val="8"/>
    <w:qFormat/>
    <w:uiPriority w:val="0"/>
    <w:rPr>
      <w:rFonts w:ascii="仿宋_GB2312" w:hAnsi="宋体" w:eastAsia="仿宋_GB2312" w:cs="宋体"/>
      <w:b/>
      <w:sz w:val="30"/>
      <w:szCs w:val="30"/>
    </w:rPr>
  </w:style>
  <w:style w:type="character" w:customStyle="1" w:styleId="45">
    <w:name w:val="标题 4 Char"/>
    <w:basedOn w:val="31"/>
    <w:link w:val="10"/>
    <w:qFormat/>
    <w:uiPriority w:val="0"/>
    <w:rPr>
      <w:rFonts w:ascii="Arial" w:hAnsi="Arial" w:eastAsia="仿宋_GB2312"/>
      <w:b/>
      <w:kern w:val="2"/>
      <w:sz w:val="30"/>
      <w:szCs w:val="30"/>
      <w:lang w:val="en-US" w:eastAsia="zh-CN" w:bidi="ar-SA"/>
    </w:rPr>
  </w:style>
  <w:style w:type="character" w:customStyle="1" w:styleId="46">
    <w:name w:val="标题 5 Char"/>
    <w:basedOn w:val="31"/>
    <w:link w:val="11"/>
    <w:qFormat/>
    <w:uiPriority w:val="0"/>
    <w:rPr>
      <w:rFonts w:ascii="Arial" w:hAnsi="Arial" w:eastAsia="仿宋_GB2312" w:cs="Times New Roman"/>
      <w:sz w:val="30"/>
      <w:szCs w:val="30"/>
    </w:rPr>
  </w:style>
  <w:style w:type="character" w:customStyle="1" w:styleId="47">
    <w:name w:val="标题 6 Char"/>
    <w:basedOn w:val="31"/>
    <w:link w:val="12"/>
    <w:qFormat/>
    <w:uiPriority w:val="0"/>
    <w:rPr>
      <w:rFonts w:ascii="Arial" w:hAnsi="Arial" w:eastAsia="黑体"/>
      <w:b/>
      <w:bCs/>
      <w:kern w:val="2"/>
      <w:sz w:val="24"/>
      <w:szCs w:val="24"/>
      <w:lang w:val="en-US" w:eastAsia="zh-CN" w:bidi="ar-SA"/>
    </w:rPr>
  </w:style>
  <w:style w:type="character" w:customStyle="1" w:styleId="48">
    <w:name w:val="标题 7 Char"/>
    <w:basedOn w:val="31"/>
    <w:link w:val="13"/>
    <w:qFormat/>
    <w:uiPriority w:val="0"/>
    <w:rPr>
      <w:rFonts w:eastAsia="楷体_GB2312"/>
      <w:b/>
      <w:kern w:val="2"/>
      <w:sz w:val="24"/>
      <w:lang w:val="en-US" w:eastAsia="zh-CN" w:bidi="ar-SA"/>
    </w:rPr>
  </w:style>
  <w:style w:type="character" w:customStyle="1" w:styleId="49">
    <w:name w:val="标题 8 Char"/>
    <w:basedOn w:val="31"/>
    <w:link w:val="14"/>
    <w:qFormat/>
    <w:uiPriority w:val="0"/>
    <w:rPr>
      <w:rFonts w:ascii="Arial" w:hAnsi="Arial" w:eastAsia="黑体"/>
      <w:kern w:val="2"/>
      <w:sz w:val="24"/>
      <w:lang w:val="en-US" w:eastAsia="zh-CN" w:bidi="ar-SA"/>
    </w:rPr>
  </w:style>
  <w:style w:type="character" w:customStyle="1" w:styleId="50">
    <w:name w:val="标题 9 Char"/>
    <w:basedOn w:val="31"/>
    <w:link w:val="15"/>
    <w:qFormat/>
    <w:uiPriority w:val="0"/>
    <w:rPr>
      <w:rFonts w:ascii="Arial" w:hAnsi="Arial" w:eastAsia="黑体"/>
      <w:kern w:val="2"/>
      <w:sz w:val="21"/>
      <w:lang w:val="en-US" w:eastAsia="zh-CN" w:bidi="ar-SA"/>
    </w:rPr>
  </w:style>
  <w:style w:type="character" w:customStyle="1" w:styleId="51">
    <w:name w:val="文档结构图 Char"/>
    <w:basedOn w:val="31"/>
    <w:link w:val="16"/>
    <w:qFormat/>
    <w:uiPriority w:val="0"/>
    <w:rPr>
      <w:rFonts w:ascii="Times New Roman" w:hAnsi="Times New Roman" w:eastAsia="楷体_GB2312" w:cs="Times New Roman"/>
      <w:szCs w:val="20"/>
      <w:shd w:val="clear" w:color="auto" w:fill="000080"/>
    </w:rPr>
  </w:style>
  <w:style w:type="character" w:customStyle="1" w:styleId="52">
    <w:name w:val="批注文字 Char"/>
    <w:basedOn w:val="31"/>
    <w:link w:val="17"/>
    <w:qFormat/>
    <w:uiPriority w:val="0"/>
    <w:rPr>
      <w:rFonts w:ascii="Times New Roman" w:hAnsi="Times New Roman" w:eastAsia="楷体_GB2312" w:cs="Times New Roman"/>
      <w:szCs w:val="20"/>
    </w:rPr>
  </w:style>
  <w:style w:type="character" w:customStyle="1" w:styleId="53">
    <w:name w:val="日期 Char"/>
    <w:basedOn w:val="31"/>
    <w:link w:val="19"/>
    <w:qFormat/>
    <w:uiPriority w:val="0"/>
    <w:rPr>
      <w:rFonts w:ascii="Times New Roman" w:hAnsi="Times New Roman" w:eastAsia="楷体_GB2312" w:cs="Times New Roman"/>
      <w:szCs w:val="20"/>
    </w:rPr>
  </w:style>
  <w:style w:type="character" w:customStyle="1" w:styleId="54">
    <w:name w:val="尾注文本 Char"/>
    <w:basedOn w:val="31"/>
    <w:link w:val="20"/>
    <w:qFormat/>
    <w:uiPriority w:val="0"/>
    <w:rPr>
      <w:rFonts w:ascii="宋体" w:hAnsi="宋体"/>
      <w:szCs w:val="24"/>
    </w:rPr>
  </w:style>
  <w:style w:type="character" w:customStyle="1" w:styleId="55">
    <w:name w:val="批注框文本 Char"/>
    <w:basedOn w:val="31"/>
    <w:link w:val="21"/>
    <w:qFormat/>
    <w:uiPriority w:val="0"/>
    <w:rPr>
      <w:rFonts w:ascii="Times New Roman" w:hAnsi="Times New Roman" w:eastAsia="楷体_GB2312" w:cs="Times New Roman"/>
      <w:sz w:val="18"/>
      <w:szCs w:val="18"/>
    </w:rPr>
  </w:style>
  <w:style w:type="character" w:customStyle="1" w:styleId="56">
    <w:name w:val="页脚 Char"/>
    <w:basedOn w:val="31"/>
    <w:link w:val="22"/>
    <w:qFormat/>
    <w:uiPriority w:val="0"/>
    <w:rPr>
      <w:rFonts w:ascii="Times New Roman" w:hAnsi="Times New Roman" w:eastAsia="楷体_GB2312" w:cs="Times New Roman"/>
      <w:sz w:val="18"/>
      <w:szCs w:val="18"/>
    </w:rPr>
  </w:style>
  <w:style w:type="character" w:customStyle="1" w:styleId="57">
    <w:name w:val="页眉 Char"/>
    <w:basedOn w:val="31"/>
    <w:link w:val="23"/>
    <w:qFormat/>
    <w:uiPriority w:val="0"/>
    <w:rPr>
      <w:rFonts w:ascii="Times New Roman" w:hAnsi="Times New Roman" w:eastAsia="楷体_GB2312" w:cs="Times New Roman"/>
      <w:sz w:val="18"/>
      <w:szCs w:val="18"/>
    </w:rPr>
  </w:style>
  <w:style w:type="character" w:customStyle="1" w:styleId="58">
    <w:name w:val="正文文本 2 Char"/>
    <w:basedOn w:val="31"/>
    <w:link w:val="26"/>
    <w:qFormat/>
    <w:uiPriority w:val="0"/>
    <w:rPr>
      <w:rFonts w:ascii="宋体" w:hAnsi="宋体" w:eastAsia="楷体_GB2312" w:cs="Times New Roman"/>
      <w:szCs w:val="24"/>
      <w:u w:val="single"/>
    </w:rPr>
  </w:style>
  <w:style w:type="character" w:customStyle="1" w:styleId="59">
    <w:name w:val="批注主题 Char"/>
    <w:basedOn w:val="52"/>
    <w:link w:val="28"/>
    <w:qFormat/>
    <w:uiPriority w:val="0"/>
    <w:rPr>
      <w:b/>
      <w:bCs/>
    </w:rPr>
  </w:style>
  <w:style w:type="character" w:customStyle="1" w:styleId="60">
    <w:name w:val="尾注文本 Char1"/>
    <w:basedOn w:val="31"/>
    <w:qFormat/>
    <w:uiPriority w:val="0"/>
    <w:rPr>
      <w:rFonts w:ascii="Times New Roman" w:hAnsi="Times New Roman" w:eastAsia="楷体_GB2312" w:cs="Times New Roman"/>
      <w:szCs w:val="20"/>
    </w:rPr>
  </w:style>
  <w:style w:type="character" w:customStyle="1" w:styleId="61">
    <w:name w:val="纯文本 Char1"/>
    <w:basedOn w:val="31"/>
    <w:qFormat/>
    <w:uiPriority w:val="0"/>
    <w:rPr>
      <w:rFonts w:ascii="宋体" w:hAnsi="Courier New" w:eastAsia="宋体" w:cs="Courier New"/>
      <w:szCs w:val="21"/>
    </w:rPr>
  </w:style>
  <w:style w:type="paragraph" w:customStyle="1" w:styleId="6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63">
    <w:name w:val="Char Char Char1 Char"/>
    <w:basedOn w:val="16"/>
    <w:qFormat/>
    <w:uiPriority w:val="0"/>
    <w:rPr>
      <w:rFonts w:ascii="Tahoma" w:hAnsi="Tahoma" w:eastAsia="宋体"/>
      <w:sz w:val="24"/>
      <w:szCs w:val="24"/>
    </w:rPr>
  </w:style>
  <w:style w:type="paragraph" w:customStyle="1" w:styleId="64">
    <w:name w:val="常用"/>
    <w:basedOn w:val="1"/>
    <w:next w:val="6"/>
    <w:qFormat/>
    <w:uiPriority w:val="0"/>
    <w:pPr>
      <w:spacing w:line="240" w:lineRule="auto"/>
      <w:jc w:val="left"/>
    </w:pPr>
    <w:rPr>
      <w:rFonts w:eastAsia="宋体"/>
      <w:sz w:val="24"/>
    </w:rPr>
  </w:style>
  <w:style w:type="paragraph" w:customStyle="1" w:styleId="65">
    <w:name w:val="样式2"/>
    <w:basedOn w:val="1"/>
    <w:qFormat/>
    <w:uiPriority w:val="0"/>
  </w:style>
  <w:style w:type="paragraph" w:customStyle="1" w:styleId="66">
    <w:name w:val=" Char"/>
    <w:basedOn w:val="1"/>
    <w:qFormat/>
    <w:uiPriority w:val="0"/>
    <w:pPr>
      <w:ind w:left="567" w:hanging="279"/>
    </w:pPr>
  </w:style>
  <w:style w:type="paragraph" w:customStyle="1" w:styleId="67">
    <w:name w:val="Char Char Char"/>
    <w:basedOn w:val="1"/>
    <w:qFormat/>
    <w:uiPriority w:val="0"/>
    <w:rPr>
      <w:rFonts w:eastAsia="宋体"/>
    </w:rPr>
  </w:style>
  <w:style w:type="paragraph" w:customStyle="1" w:styleId="68">
    <w:name w:val="Char"/>
    <w:basedOn w:val="1"/>
    <w:qFormat/>
    <w:uiPriority w:val="0"/>
    <w:pPr>
      <w:ind w:left="567" w:hanging="279"/>
    </w:pPr>
    <w:rPr>
      <w:rFonts w:eastAsia="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75</Pages>
  <Words>32804</Words>
  <Characters>34764</Characters>
  <Lines>377</Lines>
  <Paragraphs>106</Paragraphs>
  <TotalTime>109</TotalTime>
  <ScaleCrop>false</ScaleCrop>
  <LinksUpToDate>false</LinksUpToDate>
  <CharactersWithSpaces>35942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2020-08-21T22:19:00Z</dcterms:created>
  <cp:lastPrinted>2025-09-25T02:56:00Z</cp:lastPrinted>
  <dcterms:modified xsi:type="dcterms:W3CDTF">2025-09-28T06:51:04Z</dcterms:modified>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17188EEB5CB2497B8BDCF5671871E926</vt:lpwstr>
  </property>
  <property fmtid="{D5CDD505-2E9C-101B-9397-08002B2CF9AE}" pid="4" name="KSOTemplateDocerSaveRecord">
    <vt:lpwstr>eyJoZGlkIjoiYzZkNzQ4ZWFiZmQ4NTRhOWRkZTk3YTMwMjlmMmZhYmUiLCJ1c2VySWQiOiIzOTYyODE3NTMifQ==</vt:lpwstr>
  </property>
</Properties>
</file>