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
          <w:color w:val="auto"/>
          <w:sz w:val="44"/>
          <w:szCs w:val="44"/>
          <w:highlight w:val="none"/>
        </w:rPr>
      </w:pPr>
    </w:p>
    <w:p>
      <w:pPr>
        <w:spacing w:line="360" w:lineRule="auto"/>
        <w:jc w:val="center"/>
        <w:rPr>
          <w:rFonts w:hint="eastAsia" w:ascii="宋体" w:hAnsi="宋体" w:eastAsia="宋体" w:cs="宋体"/>
          <w:b/>
          <w:color w:val="auto"/>
          <w:sz w:val="44"/>
          <w:szCs w:val="44"/>
          <w:highlight w:val="none"/>
        </w:rPr>
      </w:pPr>
    </w:p>
    <w:p>
      <w:pPr>
        <w:spacing w:line="360" w:lineRule="auto"/>
        <w:jc w:val="center"/>
        <w:rPr>
          <w:rFonts w:hint="eastAsia" w:ascii="宋体" w:hAnsi="宋体" w:eastAsia="宋体" w:cs="宋体"/>
          <w:color w:val="auto"/>
          <w:sz w:val="28"/>
          <w:szCs w:val="20"/>
          <w:highlight w:val="none"/>
          <w:u w:val="single"/>
          <w:lang w:eastAsia="zh-CN"/>
        </w:rPr>
      </w:pPr>
      <w:r>
        <w:rPr>
          <w:rFonts w:hint="eastAsia" w:ascii="宋体" w:hAnsi="宋体" w:eastAsia="宋体" w:cs="宋体"/>
          <w:b/>
          <w:color w:val="auto"/>
          <w:sz w:val="44"/>
          <w:szCs w:val="44"/>
          <w:highlight w:val="none"/>
          <w:lang w:eastAsia="zh-CN"/>
        </w:rPr>
        <w:t>4号厂房施工总承包项目</w:t>
      </w:r>
    </w:p>
    <w:p>
      <w:pPr>
        <w:spacing w:line="360" w:lineRule="auto"/>
        <w:jc w:val="center"/>
        <w:rPr>
          <w:rFonts w:hint="eastAsia" w:ascii="宋体" w:hAnsi="宋体" w:eastAsia="宋体" w:cs="宋体"/>
          <w:b/>
          <w:bCs/>
          <w:color w:val="auto"/>
          <w:spacing w:val="26"/>
          <w:sz w:val="110"/>
          <w:szCs w:val="110"/>
          <w:highlight w:val="none"/>
        </w:rPr>
      </w:pPr>
    </w:p>
    <w:p>
      <w:pPr>
        <w:spacing w:line="360" w:lineRule="auto"/>
        <w:jc w:val="center"/>
        <w:rPr>
          <w:rFonts w:hint="eastAsia" w:ascii="宋体" w:hAnsi="宋体" w:eastAsia="宋体" w:cs="宋体"/>
          <w:b/>
          <w:bCs/>
          <w:color w:val="auto"/>
          <w:spacing w:val="26"/>
          <w:sz w:val="110"/>
          <w:szCs w:val="110"/>
          <w:highlight w:val="none"/>
        </w:rPr>
      </w:pPr>
    </w:p>
    <w:p>
      <w:pPr>
        <w:spacing w:line="360" w:lineRule="auto"/>
        <w:jc w:val="center"/>
        <w:outlineLvl w:val="0"/>
        <w:rPr>
          <w:rFonts w:hint="eastAsia" w:ascii="宋体" w:hAnsi="宋体" w:eastAsia="宋体" w:cs="宋体"/>
          <w:b/>
          <w:bCs/>
          <w:color w:val="auto"/>
          <w:spacing w:val="26"/>
          <w:sz w:val="72"/>
          <w:szCs w:val="72"/>
          <w:highlight w:val="none"/>
        </w:rPr>
      </w:pPr>
      <w:bookmarkStart w:id="0" w:name="_Toc201658264"/>
      <w:r>
        <w:rPr>
          <w:rFonts w:hint="eastAsia" w:ascii="宋体" w:hAnsi="宋体" w:eastAsia="宋体" w:cs="宋体"/>
          <w:b/>
          <w:bCs/>
          <w:color w:val="auto"/>
          <w:spacing w:val="26"/>
          <w:sz w:val="72"/>
          <w:szCs w:val="72"/>
          <w:highlight w:val="none"/>
        </w:rPr>
        <w:t>招标文件</w:t>
      </w:r>
      <w:bookmarkEnd w:id="0"/>
    </w:p>
    <w:p>
      <w:pPr>
        <w:tabs>
          <w:tab w:val="left" w:pos="8361"/>
        </w:tabs>
        <w:spacing w:line="360" w:lineRule="auto"/>
        <w:jc w:val="left"/>
        <w:rPr>
          <w:rFonts w:hint="eastAsia" w:ascii="宋体" w:hAnsi="宋体" w:eastAsia="宋体" w:cs="宋体"/>
          <w:color w:val="auto"/>
          <w:sz w:val="32"/>
          <w:highlight w:val="none"/>
        </w:rPr>
      </w:pPr>
      <w:r>
        <w:rPr>
          <w:rFonts w:hint="eastAsia" w:ascii="宋体" w:hAnsi="宋体" w:eastAsia="宋体" w:cs="宋体"/>
          <w:color w:val="auto"/>
          <w:sz w:val="32"/>
          <w:highlight w:val="none"/>
        </w:rPr>
        <w:tab/>
      </w:r>
    </w:p>
    <w:p>
      <w:pPr>
        <w:spacing w:line="360" w:lineRule="auto"/>
        <w:ind w:firstLine="2560" w:firstLineChars="800"/>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52"/>
          <w:highlight w:val="none"/>
        </w:rPr>
      </w:pPr>
    </w:p>
    <w:p>
      <w:pPr>
        <w:spacing w:line="360" w:lineRule="auto"/>
        <w:rPr>
          <w:rFonts w:hint="eastAsia" w:ascii="宋体" w:hAnsi="宋体" w:eastAsia="宋体" w:cs="宋体"/>
          <w:color w:val="auto"/>
          <w:sz w:val="52"/>
          <w:highlight w:val="none"/>
        </w:rPr>
      </w:pPr>
    </w:p>
    <w:p>
      <w:pPr>
        <w:spacing w:line="360" w:lineRule="auto"/>
        <w:rPr>
          <w:rFonts w:hint="eastAsia" w:ascii="宋体" w:hAnsi="宋体" w:eastAsia="宋体" w:cs="宋体"/>
          <w:color w:val="auto"/>
          <w:sz w:val="52"/>
          <w:highlight w:val="none"/>
        </w:rPr>
      </w:pPr>
    </w:p>
    <w:p>
      <w:pPr>
        <w:spacing w:line="360" w:lineRule="auto"/>
        <w:rPr>
          <w:rFonts w:hint="eastAsia" w:ascii="宋体" w:hAnsi="宋体" w:eastAsia="宋体" w:cs="宋体"/>
          <w:color w:val="auto"/>
          <w:sz w:val="52"/>
          <w:highlight w:val="none"/>
        </w:rPr>
      </w:pPr>
    </w:p>
    <w:p>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  标 单 位：</w:t>
      </w:r>
      <w:r>
        <w:rPr>
          <w:rFonts w:hint="eastAsia" w:ascii="宋体" w:hAnsi="宋体" w:eastAsia="宋体" w:cs="宋体"/>
          <w:color w:val="auto"/>
          <w:sz w:val="30"/>
          <w:szCs w:val="30"/>
          <w:highlight w:val="none"/>
          <w:lang w:eastAsia="zh-CN"/>
        </w:rPr>
        <w:t>广州酒家集团利口福食品有限公司</w:t>
      </w:r>
    </w:p>
    <w:p>
      <w:pPr>
        <w:spacing w:line="360" w:lineRule="auto"/>
        <w:ind w:firstLine="945"/>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招标代理单位：</w:t>
      </w:r>
      <w:r>
        <w:rPr>
          <w:rFonts w:hint="eastAsia" w:ascii="宋体" w:hAnsi="宋体" w:eastAsia="宋体" w:cs="宋体"/>
          <w:color w:val="auto"/>
          <w:sz w:val="30"/>
          <w:szCs w:val="30"/>
          <w:highlight w:val="none"/>
          <w:lang w:eastAsia="zh-CN"/>
        </w:rPr>
        <w:t>广州市广州工程建设监理有限公司</w:t>
      </w:r>
    </w:p>
    <w:p>
      <w:pPr>
        <w:spacing w:line="360" w:lineRule="auto"/>
        <w:ind w:firstLine="945"/>
        <w:rPr>
          <w:rFonts w:hint="eastAsia" w:ascii="宋体" w:hAnsi="宋体" w:eastAsia="宋体" w:cs="宋体"/>
          <w:color w:val="auto"/>
          <w:sz w:val="32"/>
          <w:highlight w:val="none"/>
        </w:rPr>
      </w:pPr>
      <w:r>
        <w:rPr>
          <w:rFonts w:hint="eastAsia" w:ascii="宋体" w:hAnsi="宋体" w:eastAsia="宋体" w:cs="宋体"/>
          <w:color w:val="auto"/>
          <w:sz w:val="32"/>
          <w:highlight w:val="none"/>
        </w:rPr>
        <w:t>日       期：2025年</w:t>
      </w:r>
      <w:r>
        <w:rPr>
          <w:rFonts w:hint="eastAsia" w:ascii="宋体" w:hAnsi="宋体" w:eastAsia="宋体" w:cs="宋体"/>
          <w:color w:val="auto"/>
          <w:sz w:val="32"/>
          <w:highlight w:val="none"/>
          <w:lang w:val="en-US" w:eastAsia="zh-CN"/>
        </w:rPr>
        <w:t>9</w:t>
      </w:r>
      <w:r>
        <w:rPr>
          <w:rFonts w:hint="eastAsia" w:ascii="宋体" w:hAnsi="宋体" w:eastAsia="宋体" w:cs="宋体"/>
          <w:color w:val="auto"/>
          <w:sz w:val="32"/>
          <w:highlight w:val="none"/>
        </w:rPr>
        <w:t>月</w:t>
      </w:r>
    </w:p>
    <w:p>
      <w:pPr>
        <w:jc w:val="center"/>
        <w:rPr>
          <w:rStyle w:val="24"/>
          <w:rFonts w:hint="eastAsia" w:ascii="宋体" w:hAnsi="宋体" w:eastAsia="宋体" w:cs="宋体"/>
          <w:b/>
          <w:bCs/>
          <w:color w:val="auto"/>
          <w:sz w:val="32"/>
          <w:szCs w:val="32"/>
          <w:highlight w:val="none"/>
        </w:rPr>
        <w:sectPr>
          <w:headerReference r:id="rId3" w:type="default"/>
          <w:endnotePr>
            <w:numFmt w:val="decimal"/>
          </w:endnotePr>
          <w:pgSz w:w="11906" w:h="16838"/>
          <w:pgMar w:top="1134" w:right="1418" w:bottom="1247" w:left="1418" w:header="851" w:footer="485" w:gutter="0"/>
          <w:pgBorders>
            <w:top w:val="none" w:sz="0" w:space="0"/>
            <w:left w:val="none" w:sz="0" w:space="0"/>
            <w:bottom w:val="none" w:sz="0" w:space="0"/>
            <w:right w:val="none" w:sz="0" w:space="0"/>
          </w:pgBorders>
          <w:pgNumType w:start="0"/>
          <w:cols w:space="720" w:num="1"/>
          <w:rtlGutter w:val="1"/>
          <w:docGrid w:type="lines" w:linePitch="312" w:charSpace="0"/>
        </w:sectPr>
      </w:pPr>
    </w:p>
    <w:p>
      <w:pPr>
        <w:jc w:val="center"/>
        <w:rPr>
          <w:rFonts w:hint="eastAsia" w:ascii="宋体" w:hAnsi="宋体" w:eastAsia="宋体" w:cs="宋体"/>
          <w:b/>
          <w:caps/>
          <w:color w:val="auto"/>
          <w:kern w:val="0"/>
          <w:sz w:val="32"/>
          <w:szCs w:val="32"/>
          <w:highlight w:val="none"/>
        </w:rPr>
      </w:pPr>
      <w:r>
        <w:rPr>
          <w:rStyle w:val="24"/>
          <w:rFonts w:hint="eastAsia" w:ascii="宋体" w:hAnsi="宋体" w:eastAsia="宋体" w:cs="宋体"/>
          <w:b/>
          <w:bCs/>
          <w:color w:val="auto"/>
          <w:sz w:val="32"/>
          <w:szCs w:val="32"/>
          <w:highlight w:val="none"/>
        </w:rPr>
        <w:t>目录</w:t>
      </w:r>
    </w:p>
    <w:p>
      <w:pPr>
        <w:pStyle w:val="1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p>
    <w:p>
      <w:pPr>
        <w:pStyle w:val="1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"_Toc201658265"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第一章  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_Toc201658265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"_Toc201658266"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一、投标须知前附表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_Toc201658266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"_Toc201658267"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二、投标须知修改表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_Toc201658267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"_Toc201658268"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三、投标须知通用条款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_Toc201658268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"_Toc201658274"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第二章  开标、评标及定标办法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_Toc201658274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rPr>
          <w:rStyle w:val="24"/>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"_Toc201658275"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一、开标、评标及定标办法修改表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_Toc201658275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rPr>
          <w:rStyle w:val="24"/>
          <w:rFonts w:hint="eastAsia" w:ascii="宋体" w:hAnsi="宋体" w:eastAsia="宋体" w:cs="宋体"/>
          <w:color w:val="auto"/>
          <w:highlight w:val="none"/>
          <w:u w:val="none"/>
        </w:rPr>
      </w:pPr>
      <w:r>
        <w:rPr>
          <w:rStyle w:val="24"/>
          <w:rFonts w:hint="eastAsia" w:ascii="宋体" w:hAnsi="宋体" w:eastAsia="宋体" w:cs="宋体"/>
          <w:color w:val="auto"/>
          <w:highlight w:val="none"/>
          <w:u w:val="none"/>
        </w:rPr>
        <w:t>二、开标、评标及定标办法通用条款</w:t>
      </w:r>
      <w:r>
        <w:rPr>
          <w:rStyle w:val="24"/>
          <w:rFonts w:hint="eastAsia" w:ascii="宋体" w:hAnsi="宋体" w:eastAsia="宋体" w:cs="宋体"/>
          <w:color w:val="auto"/>
          <w:highlight w:val="none"/>
          <w:u w:val="none"/>
        </w:rPr>
        <w:tab/>
      </w:r>
      <w:r>
        <w:rPr>
          <w:rStyle w:val="24"/>
          <w:rFonts w:hint="eastAsia" w:ascii="宋体" w:hAnsi="宋体" w:eastAsia="宋体" w:cs="宋体"/>
          <w:color w:val="auto"/>
          <w:highlight w:val="none"/>
          <w:u w:val="none"/>
        </w:rPr>
        <w:t>44</w:t>
      </w:r>
    </w:p>
    <w:p>
      <w:pPr>
        <w:pStyle w:val="1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"_Toc201658283"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_Toc201658283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"_Toc201658284"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"_Toc201658305"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第五章  技术条件（工程建设标准）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_Toc201658305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"_Toc201658340"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第六章  图纸及勘察资料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_Toc201658340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"_Toc201658341"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第七章  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"_Toc201658342"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第八章  最高投标限价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_Toc201658342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
        <w:spacing w:before="120"/>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Start w:id="166" w:name="_GoBack"/>
      <w:bookmarkEnd w:id="166"/>
      <w:r>
        <w:rPr>
          <w:rFonts w:hint="eastAsia" w:ascii="宋体" w:hAnsi="宋体" w:eastAsia="宋体" w:cs="宋体"/>
          <w:color w:val="auto"/>
          <w:highlight w:val="none"/>
        </w:rPr>
        <w:br w:type="page"/>
      </w:r>
      <w:bookmarkStart w:id="1" w:name="_Toc201658265"/>
      <w:r>
        <w:rPr>
          <w:rFonts w:hint="eastAsia" w:ascii="宋体" w:hAnsi="宋体" w:eastAsia="宋体" w:cs="宋体"/>
          <w:color w:val="auto"/>
          <w:highlight w:val="none"/>
        </w:rPr>
        <w:t>第一章  投标须知</w:t>
      </w:r>
      <w:bookmarkEnd w:id="1"/>
    </w:p>
    <w:p>
      <w:pPr>
        <w:pStyle w:val="7"/>
        <w:spacing w:line="416" w:lineRule="auto"/>
        <w:rPr>
          <w:rFonts w:hint="eastAsia" w:ascii="宋体" w:hAnsi="宋体" w:eastAsia="宋体" w:cs="宋体"/>
          <w:color w:val="auto"/>
          <w:sz w:val="24"/>
          <w:highlight w:val="none"/>
        </w:rPr>
      </w:pPr>
      <w:bookmarkStart w:id="2" w:name="_Toc201658266"/>
      <w:r>
        <w:rPr>
          <w:rFonts w:hint="eastAsia" w:ascii="宋体" w:hAnsi="宋体" w:eastAsia="宋体" w:cs="宋体"/>
          <w:color w:val="auto"/>
          <w:sz w:val="24"/>
          <w:highlight w:val="none"/>
        </w:rPr>
        <w:t>一、投标须知前附表</w:t>
      </w:r>
      <w:bookmarkEnd w:id="2"/>
    </w:p>
    <w:p>
      <w:pPr>
        <w:pStyle w:val="2"/>
        <w:spacing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9345"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81"/>
        <w:gridCol w:w="1809"/>
        <w:gridCol w:w="58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blHeader/>
        </w:trPr>
        <w:tc>
          <w:tcPr>
            <w:tcW w:w="701" w:type="dxa"/>
            <w:tcBorders>
              <w:top w:val="doub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809" w:type="dxa"/>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5854" w:type="dxa"/>
            <w:tcBorders>
              <w:top w:val="double" w:color="auto" w:sz="4" w:space="0"/>
              <w:left w:val="single" w:color="auto" w:sz="4" w:space="0"/>
              <w:bottom w:val="single" w:color="auto" w:sz="4" w:space="0"/>
              <w:right w:val="double" w:color="auto" w:sz="4" w:space="0"/>
            </w:tcBorders>
            <w:vAlign w:val="center"/>
          </w:tcPr>
          <w:p>
            <w:pPr>
              <w:pStyle w:val="12"/>
              <w:keepNext w:val="0"/>
              <w:keepLines w:val="0"/>
              <w:suppressLineNumbers w:val="0"/>
              <w:spacing w:before="0" w:beforeAutospacing="0" w:after="0" w:afterAutospacing="0"/>
              <w:ind w:left="71" w:leftChars="34"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定义</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招标人（即发包人）：</w:t>
            </w:r>
            <w:r>
              <w:rPr>
                <w:rFonts w:hint="eastAsia" w:ascii="宋体" w:hAnsi="宋体" w:eastAsia="宋体" w:cs="宋体"/>
                <w:color w:val="auto"/>
                <w:szCs w:val="21"/>
                <w:highlight w:val="none"/>
                <w:u w:val="single"/>
                <w:lang w:eastAsia="zh-CN"/>
              </w:rPr>
              <w:t>广州酒家集团利口福食品有限公司</w:t>
            </w:r>
          </w:p>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招标代理：</w:t>
            </w:r>
            <w:r>
              <w:rPr>
                <w:rFonts w:hint="eastAsia" w:ascii="宋体" w:hAnsi="宋体" w:eastAsia="宋体" w:cs="宋体"/>
                <w:color w:val="auto"/>
                <w:szCs w:val="21"/>
                <w:highlight w:val="none"/>
                <w:u w:val="single"/>
                <w:lang w:eastAsia="zh-CN"/>
              </w:rPr>
              <w:t>广州市广州工程建设监理有限公司</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设计单位：</w:t>
            </w:r>
            <w:r>
              <w:rPr>
                <w:rFonts w:hint="eastAsia" w:ascii="宋体" w:hAnsi="宋体" w:eastAsia="宋体" w:cs="宋体"/>
                <w:color w:val="auto"/>
                <w:szCs w:val="21"/>
                <w:highlight w:val="none"/>
                <w:u w:val="single"/>
              </w:rPr>
              <w:t>广州名阳建筑设计有限公司</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监理单位：</w:t>
            </w:r>
            <w:r>
              <w:rPr>
                <w:rFonts w:hint="eastAsia" w:ascii="宋体" w:hAnsi="宋体" w:eastAsia="宋体" w:cs="宋体"/>
                <w:color w:val="auto"/>
                <w:szCs w:val="21"/>
                <w:highlight w:val="none"/>
                <w:u w:val="single"/>
              </w:rPr>
              <w:t>另行通知</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施工图审查单位：</w:t>
            </w:r>
            <w:r>
              <w:rPr>
                <w:rFonts w:hint="eastAsia" w:ascii="宋体" w:hAnsi="宋体" w:eastAsia="宋体" w:cs="宋体"/>
                <w:color w:val="auto"/>
                <w:szCs w:val="21"/>
                <w:highlight w:val="none"/>
                <w:u w:val="single"/>
              </w:rPr>
              <w:t>另行通知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4号厂房施工总承包项目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承包方式</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u w:val="single"/>
              </w:rPr>
              <w:t>由承包人包深化设计、包施工、包材料、包运输、包进出场费、包工期、包质量、包承包人应当购买的保险、包安全、包文明施工、包措施费、包调试、包报建报批、包验收、包培训、包移交、包质保、包成品及半成品保护、包税费等。按招标文件和</w:t>
            </w:r>
            <w:r>
              <w:rPr>
                <w:rFonts w:hint="eastAsia" w:ascii="宋体" w:hAnsi="宋体" w:eastAsia="宋体" w:cs="宋体"/>
                <w:color w:val="auto"/>
                <w:kern w:val="0"/>
                <w:szCs w:val="21"/>
                <w:highlight w:val="none"/>
                <w:u w:val="single"/>
                <w:lang w:val="en-US" w:eastAsia="zh-CN"/>
              </w:rPr>
              <w:t>施工</w:t>
            </w:r>
            <w:r>
              <w:rPr>
                <w:rFonts w:hint="eastAsia" w:ascii="宋体" w:hAnsi="宋体" w:eastAsia="宋体" w:cs="宋体"/>
                <w:color w:val="auto"/>
                <w:kern w:val="0"/>
                <w:szCs w:val="21"/>
                <w:highlight w:val="none"/>
                <w:u w:val="single"/>
              </w:rPr>
              <w:t>合同规定的范围以综合单价包干，部分项目综合合价包干。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本工程的质量要求为工程一次竣工验收合格，符合施工图纸要求和国家、行业有关标准。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施工总期：</w:t>
            </w:r>
            <w:r>
              <w:rPr>
                <w:rFonts w:hint="eastAsia" w:ascii="宋体" w:hAnsi="宋体" w:eastAsia="宋体" w:cs="宋体"/>
                <w:color w:val="auto"/>
                <w:szCs w:val="21"/>
                <w:highlight w:val="none"/>
                <w:u w:val="single"/>
                <w:lang w:val="en-US" w:eastAsia="zh-CN"/>
              </w:rPr>
              <w:t>730</w:t>
            </w:r>
            <w:r>
              <w:rPr>
                <w:rFonts w:hint="eastAsia" w:ascii="宋体" w:hAnsi="宋体" w:eastAsia="宋体" w:cs="宋体"/>
                <w:color w:val="auto"/>
                <w:szCs w:val="21"/>
                <w:highlight w:val="none"/>
              </w:rPr>
              <w:t>日历天。</w:t>
            </w:r>
            <w:bookmarkStart w:id="3" w:name="OLE_LINK9"/>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具体开工日期以发包人或总监理工程师发出的开工令为准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开工当日不计入施工总工期）</w:t>
            </w:r>
            <w:bookmarkEnd w:id="3"/>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rPr>
            </w:pPr>
            <w:r>
              <w:rPr>
                <w:rFonts w:hint="eastAsia" w:ascii="宋体" w:hAnsi="宋体" w:eastAsia="宋体" w:cs="宋体"/>
                <w:bCs/>
                <w:snapToGrid w:val="0"/>
                <w:color w:val="auto"/>
                <w:kern w:val="0"/>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投标人资质等级安全及项目负责人等级要求</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报价以及单价和总价计算方式</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120</w:t>
            </w:r>
            <w:r>
              <w:rPr>
                <w:rFonts w:hint="eastAsia" w:ascii="宋体" w:hAnsi="宋体" w:eastAsia="宋体" w:cs="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16.1</w:t>
            </w:r>
          </w:p>
        </w:tc>
        <w:tc>
          <w:tcPr>
            <w:tcW w:w="1809"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投标保证金</w:t>
            </w:r>
          </w:p>
        </w:tc>
        <w:tc>
          <w:tcPr>
            <w:tcW w:w="5854" w:type="dxa"/>
            <w:tcBorders>
              <w:top w:val="single" w:color="auto" w:sz="4" w:space="0"/>
              <w:left w:val="single" w:color="auto" w:sz="4" w:space="0"/>
              <w:bottom w:val="single" w:color="auto" w:sz="4" w:space="0"/>
              <w:right w:val="double" w:color="auto" w:sz="4" w:space="0"/>
            </w:tcBorders>
            <w:vAlign w:val="center"/>
          </w:tcPr>
          <w:p>
            <w:pPr>
              <w:wordWrap w:val="0"/>
              <w:topLinePunct/>
              <w:spacing w:before="78" w:beforeLines="25" w:after="78" w:afterLines="25"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pPr>
              <w:wordWrap w:val="0"/>
              <w:topLinePunct/>
              <w:spacing w:before="78" w:beforeLines="25" w:after="78" w:afterLines="25"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■要求，投标保证金的金额：</w:t>
            </w:r>
            <w:r>
              <w:rPr>
                <w:rFonts w:hint="eastAsia" w:ascii="宋体" w:hAnsi="宋体" w:eastAsia="宋体" w:cs="宋体"/>
                <w:color w:val="auto"/>
                <w:szCs w:val="21"/>
                <w:highlight w:val="none"/>
                <w:u w:val="single"/>
              </w:rPr>
              <w:t xml:space="preserve"> 50 </w:t>
            </w:r>
            <w:r>
              <w:rPr>
                <w:rFonts w:hint="eastAsia" w:ascii="宋体" w:hAnsi="宋体" w:eastAsia="宋体" w:cs="宋体"/>
                <w:color w:val="auto"/>
                <w:szCs w:val="21"/>
                <w:highlight w:val="none"/>
              </w:rPr>
              <w:t>万元人民币。</w:t>
            </w:r>
          </w:p>
          <w:p>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1、投标保证金的有效期：</w:t>
            </w:r>
            <w:r>
              <w:rPr>
                <w:rFonts w:hint="eastAsia" w:ascii="宋体" w:hAnsi="宋体" w:eastAsia="宋体" w:cs="宋体"/>
                <w:color w:val="auto"/>
                <w:szCs w:val="21"/>
                <w:highlight w:val="none"/>
                <w:u w:val="single"/>
              </w:rPr>
              <w:t>不少于投标有效期</w:t>
            </w:r>
            <w:r>
              <w:rPr>
                <w:rFonts w:hint="eastAsia" w:ascii="宋体" w:hAnsi="宋体" w:eastAsia="宋体" w:cs="宋体"/>
                <w:color w:val="auto"/>
                <w:szCs w:val="21"/>
                <w:highlight w:val="none"/>
              </w:rPr>
              <w:t>。</w:t>
            </w:r>
          </w:p>
          <w:p>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2、缴纳时间：</w:t>
            </w:r>
            <w:r>
              <w:rPr>
                <w:rFonts w:hint="eastAsia" w:ascii="宋体" w:hAnsi="宋体" w:eastAsia="宋体" w:cs="宋体"/>
                <w:color w:val="auto"/>
                <w:szCs w:val="21"/>
                <w:highlight w:val="none"/>
                <w:u w:val="single"/>
              </w:rPr>
              <w:t>递交投标文件截止时间前</w:t>
            </w:r>
            <w:r>
              <w:rPr>
                <w:rFonts w:hint="eastAsia" w:ascii="宋体" w:hAnsi="宋体" w:eastAsia="宋体" w:cs="宋体"/>
                <w:color w:val="auto"/>
                <w:szCs w:val="21"/>
                <w:highlight w:val="none"/>
              </w:rPr>
              <w:t>。</w:t>
            </w:r>
          </w:p>
          <w:p>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3、投标保证金的形式：投标保证金可采用</w:t>
            </w:r>
            <w:r>
              <w:rPr>
                <w:rFonts w:hint="eastAsia" w:ascii="宋体" w:hAnsi="宋体" w:eastAsia="宋体" w:cs="宋体"/>
                <w:color w:val="auto"/>
                <w:szCs w:val="21"/>
                <w:highlight w:val="none"/>
                <w:u w:val="single"/>
              </w:rPr>
              <w:t>现金、支票、银行保函、保证保险、专业担保公司担保等</w:t>
            </w:r>
            <w:r>
              <w:rPr>
                <w:rFonts w:hint="eastAsia" w:ascii="宋体" w:hAnsi="宋体" w:eastAsia="宋体" w:cs="宋体"/>
                <w:color w:val="auto"/>
                <w:szCs w:val="21"/>
                <w:highlight w:val="none"/>
              </w:rPr>
              <w:t>形式。</w:t>
            </w:r>
          </w:p>
          <w:p>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采用现金或者支票形式提交的，投标保证金从投标人基本账户递交，由广州交易集团有限公司（广州公共资源交易中心）代收。具体操作要求详见广州交易集团有限公司（广州公共资源交易中心）有关指引，递交事宜请自行咨询交易中心(咨询电话：020-28866000)；请各投标人在投标文件递交截止时间前按上述金额递交至广州交易集团有限公司（广州公共资源交易中心），到账情况以开标时广州交易集团有限公司（广州公共资源交易中心）数据库查询的信息为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收款单位：广州交易集团有限公司；</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开户银行：中国建设银行广州天润路支行；</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银行账号：44001583404059333333；</w:t>
            </w:r>
          </w:p>
          <w:p>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5、如采用非电子形式的银行保函、保证保险或专业担保公司担保提交投标保证金的形式提交的，银行保函、保证保险或专业担保公司担保需开具给招标人（受益人也必须是招标人）</w:t>
            </w:r>
            <w:r>
              <w:rPr>
                <w:rFonts w:hint="eastAsia" w:ascii="宋体" w:hAnsi="宋体" w:eastAsia="宋体" w:cs="宋体"/>
                <w:bCs/>
                <w:color w:val="auto"/>
                <w:szCs w:val="21"/>
                <w:highlight w:val="none"/>
              </w:rPr>
              <w:t>且有效期不少于投标有效期</w:t>
            </w:r>
            <w:r>
              <w:rPr>
                <w:rFonts w:hint="eastAsia" w:ascii="宋体" w:hAnsi="宋体" w:eastAsia="宋体" w:cs="宋体"/>
                <w:color w:val="auto"/>
                <w:szCs w:val="21"/>
                <w:highlight w:val="none"/>
              </w:rPr>
              <w:t>。投标人应在投标文件中提交银行保函或保证保险或专业担保公司担保扫描件并加盖投标人电子印章。合格的中标候选人在中标候选人公示前提交银行保函或保证保险或专业担保公司担保的纸质原件给招标人并在网上公示；若投标有效期延长的，银行保函（或保证保险、或专业担保公司担保）有效期应相应延长，且延长后的有效期应满足前述要求。投标人提供的银行投标保函应为银行出具的无条件、见索即付、不可撤销的保函。采用电子形式的保函、保证保险或担保提交投标保证金的，以广州交易集团有限公司（广州公共资源交易中心）的相关操作指引为准。</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854" w:type="dxa"/>
            <w:tcBorders>
              <w:top w:val="single" w:color="auto" w:sz="4" w:space="0"/>
              <w:left w:val="single" w:color="auto" w:sz="4" w:space="0"/>
              <w:bottom w:val="single" w:color="auto" w:sz="4" w:space="0"/>
              <w:right w:val="double" w:color="auto" w:sz="4" w:space="0"/>
            </w:tcBorders>
            <w:vAlign w:val="center"/>
          </w:tcPr>
          <w:p>
            <w:pPr>
              <w:pStyle w:val="12"/>
              <w:keepNext w:val="0"/>
              <w:keepLines w:val="0"/>
              <w:suppressLineNumbers w:val="0"/>
              <w:spacing w:before="0" w:beforeAutospacing="0" w:after="0" w:afterAutospacing="0"/>
              <w:ind w:left="71" w:leftChars="34"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不统一组织，由投标人自行踏勘。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投标答疑</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rPr>
              <w:t>在提交投标文件截止时间18天前</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形式：投标人的疑问通过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交易平台提交。</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具体要求：按照交易平台关于全流程电子化项目的相关指南进行操作，详见：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5854" w:type="dxa"/>
            <w:tcBorders>
              <w:top w:val="single" w:color="auto" w:sz="4" w:space="0"/>
              <w:left w:val="single" w:color="auto" w:sz="4" w:space="0"/>
              <w:bottom w:val="single" w:color="auto" w:sz="4" w:space="0"/>
              <w:right w:val="double" w:color="auto" w:sz="4" w:space="0"/>
            </w:tcBorders>
            <w:vAlign w:val="center"/>
          </w:tcPr>
          <w:p>
            <w:pPr>
              <w:widowControl/>
              <w:jc w:val="left"/>
              <w:rPr>
                <w:rFonts w:hint="eastAsia" w:ascii="宋体" w:hAnsi="宋体" w:eastAsia="宋体" w:cs="宋体"/>
                <w:bCs/>
                <w:color w:val="auto"/>
                <w:kern w:val="0"/>
                <w:szCs w:val="21"/>
                <w:highlight w:val="none"/>
                <w:lang w:bidi="ar-SA"/>
              </w:rPr>
            </w:pPr>
            <w:r>
              <w:rPr>
                <w:rFonts w:hint="eastAsia" w:ascii="宋体" w:hAnsi="宋体" w:eastAsia="宋体" w:cs="宋体"/>
                <w:bCs/>
                <w:color w:val="auto"/>
                <w:kern w:val="0"/>
                <w:szCs w:val="21"/>
                <w:highlight w:val="none"/>
                <w:lang w:bidi="ar-SA"/>
              </w:rPr>
              <w:t>（技术标和经济标同时开标）</w:t>
            </w:r>
          </w:p>
          <w:p>
            <w:pPr>
              <w:widowControl/>
              <w:numPr>
                <w:ilvl w:val="0"/>
                <w:numId w:val="1"/>
              </w:numPr>
              <w:jc w:val="left"/>
              <w:rPr>
                <w:rFonts w:hint="eastAsia" w:ascii="宋体" w:hAnsi="宋体" w:eastAsia="宋体" w:cs="宋体"/>
                <w:b/>
                <w:bCs/>
                <w:color w:val="auto"/>
                <w:kern w:val="0"/>
                <w:sz w:val="21"/>
                <w:szCs w:val="21"/>
                <w:highlight w:val="none"/>
                <w:lang w:bidi="ar-SA"/>
              </w:rPr>
            </w:pPr>
            <w:r>
              <w:rPr>
                <w:rFonts w:hint="eastAsia" w:ascii="宋体" w:hAnsi="宋体" w:eastAsia="宋体" w:cs="宋体"/>
                <w:bCs/>
                <w:color w:val="auto"/>
                <w:kern w:val="0"/>
                <w:sz w:val="21"/>
                <w:szCs w:val="21"/>
                <w:highlight w:val="none"/>
                <w:lang w:bidi="ar-SA"/>
              </w:rPr>
              <w:t>开标开始时间：</w:t>
            </w:r>
            <w:r>
              <w:rPr>
                <w:rFonts w:hint="eastAsia" w:ascii="宋体" w:hAnsi="宋体" w:eastAsia="宋体" w:cs="宋体"/>
                <w:bCs/>
                <w:color w:val="auto"/>
                <w:kern w:val="0"/>
                <w:sz w:val="21"/>
                <w:szCs w:val="21"/>
                <w:highlight w:val="none"/>
                <w:u w:val="single"/>
                <w:lang w:bidi="ar-SA"/>
              </w:rPr>
              <w:t xml:space="preserve">     </w:t>
            </w:r>
            <w:r>
              <w:rPr>
                <w:rFonts w:hint="eastAsia" w:ascii="宋体" w:hAnsi="宋体" w:eastAsia="宋体" w:cs="宋体"/>
                <w:bCs/>
                <w:color w:val="auto"/>
                <w:kern w:val="0"/>
                <w:sz w:val="21"/>
                <w:szCs w:val="21"/>
                <w:highlight w:val="none"/>
                <w:lang w:bidi="ar-SA"/>
              </w:rPr>
              <w:t>年</w:t>
            </w:r>
            <w:r>
              <w:rPr>
                <w:rFonts w:hint="eastAsia" w:ascii="宋体" w:hAnsi="宋体" w:eastAsia="宋体" w:cs="宋体"/>
                <w:bCs/>
                <w:color w:val="auto"/>
                <w:kern w:val="0"/>
                <w:sz w:val="21"/>
                <w:szCs w:val="21"/>
                <w:highlight w:val="none"/>
                <w:u w:val="single"/>
                <w:lang w:bidi="ar-SA"/>
              </w:rPr>
              <w:t xml:space="preserve">   </w:t>
            </w:r>
            <w:r>
              <w:rPr>
                <w:rFonts w:hint="eastAsia" w:ascii="宋体" w:hAnsi="宋体" w:eastAsia="宋体" w:cs="宋体"/>
                <w:bCs/>
                <w:color w:val="auto"/>
                <w:kern w:val="0"/>
                <w:sz w:val="21"/>
                <w:szCs w:val="21"/>
                <w:highlight w:val="none"/>
                <w:lang w:bidi="ar-SA"/>
              </w:rPr>
              <w:t>月</w:t>
            </w:r>
            <w:r>
              <w:rPr>
                <w:rFonts w:hint="eastAsia" w:ascii="宋体" w:hAnsi="宋体" w:eastAsia="宋体" w:cs="宋体"/>
                <w:bCs/>
                <w:color w:val="auto"/>
                <w:kern w:val="0"/>
                <w:sz w:val="21"/>
                <w:szCs w:val="21"/>
                <w:highlight w:val="none"/>
                <w:u w:val="single"/>
                <w:lang w:bidi="ar-SA"/>
              </w:rPr>
              <w:t xml:space="preserve">   </w:t>
            </w:r>
            <w:r>
              <w:rPr>
                <w:rFonts w:hint="eastAsia" w:ascii="宋体" w:hAnsi="宋体" w:eastAsia="宋体" w:cs="宋体"/>
                <w:bCs/>
                <w:color w:val="auto"/>
                <w:kern w:val="0"/>
                <w:sz w:val="21"/>
                <w:szCs w:val="21"/>
                <w:highlight w:val="none"/>
                <w:lang w:bidi="ar-SA"/>
              </w:rPr>
              <w:t>日</w:t>
            </w:r>
            <w:r>
              <w:rPr>
                <w:rFonts w:hint="eastAsia" w:ascii="宋体" w:hAnsi="宋体" w:eastAsia="宋体" w:cs="宋体"/>
                <w:bCs/>
                <w:color w:val="auto"/>
                <w:kern w:val="0"/>
                <w:sz w:val="21"/>
                <w:szCs w:val="21"/>
                <w:highlight w:val="none"/>
                <w:u w:val="single"/>
                <w:lang w:bidi="ar-SA"/>
              </w:rPr>
              <w:t xml:space="preserve">   </w:t>
            </w:r>
            <w:r>
              <w:rPr>
                <w:rFonts w:hint="eastAsia" w:ascii="宋体" w:hAnsi="宋体" w:eastAsia="宋体" w:cs="宋体"/>
                <w:bCs/>
                <w:color w:val="auto"/>
                <w:kern w:val="0"/>
                <w:sz w:val="21"/>
                <w:szCs w:val="21"/>
                <w:highlight w:val="none"/>
                <w:lang w:bidi="ar-SA"/>
              </w:rPr>
              <w:t>时</w:t>
            </w:r>
            <w:r>
              <w:rPr>
                <w:rFonts w:hint="eastAsia" w:ascii="宋体" w:hAnsi="宋体" w:eastAsia="宋体" w:cs="宋体"/>
                <w:bCs/>
                <w:color w:val="auto"/>
                <w:kern w:val="0"/>
                <w:sz w:val="21"/>
                <w:szCs w:val="21"/>
                <w:highlight w:val="none"/>
                <w:u w:val="single"/>
                <w:lang w:bidi="ar-SA"/>
              </w:rPr>
              <w:t xml:space="preserve">   </w:t>
            </w:r>
            <w:r>
              <w:rPr>
                <w:rFonts w:hint="eastAsia" w:ascii="宋体" w:hAnsi="宋体" w:eastAsia="宋体" w:cs="宋体"/>
                <w:bCs/>
                <w:color w:val="auto"/>
                <w:kern w:val="0"/>
                <w:sz w:val="21"/>
                <w:szCs w:val="21"/>
                <w:highlight w:val="none"/>
                <w:lang w:bidi="ar-SA"/>
              </w:rPr>
              <w:t>分（与投标截止时间为同一时间），地点：</w:t>
            </w:r>
            <w:r>
              <w:rPr>
                <w:rFonts w:hint="eastAsia" w:ascii="宋体" w:hAnsi="宋体" w:eastAsia="宋体" w:cs="宋体"/>
                <w:bCs/>
                <w:color w:val="auto"/>
                <w:kern w:val="0"/>
                <w:sz w:val="21"/>
                <w:szCs w:val="21"/>
                <w:highlight w:val="none"/>
                <w:u w:val="single"/>
                <w:lang w:bidi="ar-SA"/>
              </w:rPr>
              <w:t>详见招标公告</w:t>
            </w:r>
            <w:r>
              <w:rPr>
                <w:rFonts w:hint="eastAsia" w:ascii="宋体" w:hAnsi="宋体" w:eastAsia="宋体" w:cs="宋体"/>
                <w:bCs/>
                <w:color w:val="auto"/>
                <w:kern w:val="0"/>
                <w:sz w:val="21"/>
                <w:szCs w:val="21"/>
                <w:highlight w:val="none"/>
                <w:lang w:bidi="ar-SA"/>
              </w:rPr>
              <w:t>。</w:t>
            </w:r>
            <w:r>
              <w:rPr>
                <w:rFonts w:hint="eastAsia" w:ascii="宋体" w:hAnsi="宋体" w:eastAsia="宋体" w:cs="宋体"/>
                <w:b/>
                <w:bCs/>
                <w:color w:val="auto"/>
                <w:kern w:val="0"/>
                <w:sz w:val="21"/>
                <w:szCs w:val="21"/>
                <w:highlight w:val="none"/>
                <w:lang w:bidi="ar-SA"/>
              </w:rPr>
              <w:t>投标人也可选择参加在线开标，具体按照交易平台相关指南进行操作。详见：广州交易集团有限公司（广州公共资源交易中心）</w:t>
            </w:r>
            <w:r>
              <w:rPr>
                <w:rFonts w:hint="eastAsia" w:ascii="宋体" w:hAnsi="宋体" w:eastAsia="宋体" w:cs="宋体"/>
                <w:b/>
                <w:bCs/>
                <w:color w:val="auto"/>
                <w:kern w:val="0"/>
                <w:sz w:val="21"/>
                <w:szCs w:val="21"/>
                <w:highlight w:val="none"/>
                <w:u w:val="single"/>
                <w:lang w:eastAsia="zh-CN" w:bidi="ar-SA"/>
              </w:rPr>
              <w:t>交易平台</w:t>
            </w:r>
            <w:r>
              <w:rPr>
                <w:rFonts w:hint="eastAsia" w:ascii="宋体" w:hAnsi="宋体" w:eastAsia="宋体" w:cs="宋体"/>
                <w:b/>
                <w:bCs/>
                <w:color w:val="auto"/>
                <w:kern w:val="0"/>
                <w:sz w:val="21"/>
                <w:szCs w:val="21"/>
                <w:highlight w:val="none"/>
                <w:u w:val="single"/>
                <w:lang w:bidi="ar-SA"/>
              </w:rPr>
              <w:t>网站</w:t>
            </w:r>
            <w:r>
              <w:rPr>
                <w:rFonts w:hint="eastAsia" w:ascii="宋体" w:hAnsi="宋体" w:eastAsia="宋体" w:cs="宋体"/>
                <w:b/>
                <w:bCs/>
                <w:color w:val="auto"/>
                <w:kern w:val="0"/>
                <w:sz w:val="21"/>
                <w:szCs w:val="21"/>
                <w:highlight w:val="none"/>
                <w:lang w:bidi="ar-SA"/>
              </w:rPr>
              <w:t>。</w:t>
            </w:r>
          </w:p>
          <w:p>
            <w:pPr>
              <w:pStyle w:val="11"/>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时间留意广州交易集团有限公司（广州公共资源交易中心）</w:t>
            </w:r>
            <w:r>
              <w:rPr>
                <w:rFonts w:hint="eastAsia" w:ascii="宋体" w:hAnsi="宋体" w:eastAsia="宋体" w:cs="宋体"/>
                <w:color w:val="auto"/>
                <w:sz w:val="21"/>
                <w:szCs w:val="21"/>
                <w:highlight w:val="none"/>
                <w:u w:val="single"/>
                <w:lang w:eastAsia="zh-CN" w:bidi="ar-SA"/>
              </w:rPr>
              <w:t>交易平台</w:t>
            </w:r>
            <w:r>
              <w:rPr>
                <w:rFonts w:hint="eastAsia" w:ascii="宋体" w:hAnsi="宋体" w:eastAsia="宋体" w:cs="宋体"/>
                <w:color w:val="auto"/>
                <w:sz w:val="21"/>
                <w:szCs w:val="21"/>
                <w:highlight w:val="none"/>
                <w:u w:val="single"/>
                <w:lang w:bidi="ar-SA"/>
              </w:rPr>
              <w:t>公布的日程安排，投标人可登录广州交易集团有限公司（广州公共资源交易中心）</w:t>
            </w:r>
            <w:r>
              <w:rPr>
                <w:rFonts w:hint="eastAsia" w:ascii="宋体" w:hAnsi="宋体" w:eastAsia="宋体" w:cs="宋体"/>
                <w:color w:val="auto"/>
                <w:sz w:val="21"/>
                <w:szCs w:val="21"/>
                <w:highlight w:val="none"/>
                <w:u w:val="single"/>
                <w:lang w:eastAsia="zh-CN" w:bidi="ar-SA"/>
              </w:rPr>
              <w:t>交易平台</w:t>
            </w:r>
            <w:r>
              <w:rPr>
                <w:rFonts w:hint="eastAsia" w:ascii="宋体" w:hAnsi="宋体" w:eastAsia="宋体" w:cs="宋体"/>
                <w:color w:val="auto"/>
                <w:sz w:val="21"/>
                <w:szCs w:val="21"/>
                <w:highlight w:val="none"/>
                <w:u w:val="single"/>
                <w:lang w:bidi="ar-SA"/>
              </w:rPr>
              <w:t>网站查询最新信息）</w:t>
            </w:r>
          </w:p>
          <w:p>
            <w:pPr>
              <w:widowControl/>
              <w:numPr>
                <w:ilvl w:val="0"/>
                <w:numId w:val="1"/>
              </w:numPr>
              <w:ind w:left="0" w:leftChars="0" w:firstLine="0" w:firstLineChars="0"/>
              <w:jc w:val="left"/>
              <w:rPr>
                <w:rFonts w:hint="eastAsia" w:ascii="宋体" w:hAnsi="宋体" w:eastAsia="宋体" w:cs="宋体"/>
                <w:b/>
                <w:bCs w:val="0"/>
                <w:color w:val="auto"/>
                <w:kern w:val="0"/>
                <w:sz w:val="21"/>
                <w:szCs w:val="21"/>
                <w:highlight w:val="none"/>
                <w:u w:val="single"/>
                <w:lang w:bidi="ar-SA"/>
              </w:rPr>
            </w:pPr>
            <w:r>
              <w:rPr>
                <w:rFonts w:hint="eastAsia" w:ascii="宋体" w:hAnsi="宋体" w:eastAsia="宋体" w:cs="宋体"/>
                <w:b/>
                <w:bCs w:val="0"/>
                <w:color w:val="auto"/>
                <w:kern w:val="0"/>
                <w:sz w:val="21"/>
                <w:szCs w:val="21"/>
                <w:highlight w:val="none"/>
                <w:u w:val="single"/>
                <w:lang w:bidi="ar-SA"/>
              </w:rPr>
              <w:t>投标文件备用U盘/光盘递交时间、递交地点：时间及地点留意</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b/>
                <w:bCs w:val="0"/>
                <w:color w:val="auto"/>
                <w:kern w:val="0"/>
                <w:sz w:val="21"/>
                <w:szCs w:val="21"/>
                <w:highlight w:val="none"/>
                <w:u w:val="single"/>
                <w:lang w:bidi="ar-SA"/>
              </w:rPr>
              <w:t>交易平台公布的日程安排，投标人可登录</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b/>
                <w:bCs w:val="0"/>
                <w:color w:val="auto"/>
                <w:kern w:val="0"/>
                <w:sz w:val="21"/>
                <w:szCs w:val="21"/>
                <w:highlight w:val="none"/>
                <w:u w:val="single"/>
                <w:lang w:bidi="ar-SA"/>
              </w:rPr>
              <w:t>交易平台网站首页查询最新信息）</w:t>
            </w:r>
          </w:p>
          <w:p>
            <w:pPr>
              <w:widowControl/>
              <w:numPr>
                <w:ilvl w:val="0"/>
                <w:numId w:val="1"/>
              </w:numPr>
              <w:ind w:left="0" w:leftChars="0" w:firstLine="0" w:firstLineChars="0"/>
              <w:jc w:val="left"/>
              <w:rPr>
                <w:rFonts w:hint="eastAsia" w:ascii="宋体" w:hAnsi="宋体" w:eastAsia="宋体" w:cs="宋体"/>
                <w:b/>
                <w:bCs w:val="0"/>
                <w:color w:val="auto"/>
                <w:kern w:val="0"/>
                <w:sz w:val="21"/>
                <w:szCs w:val="21"/>
                <w:highlight w:val="none"/>
                <w:u w:val="single"/>
                <w:lang w:bidi="ar-SA"/>
              </w:rPr>
            </w:pPr>
            <w:r>
              <w:rPr>
                <w:rFonts w:hint="eastAsia" w:ascii="宋体" w:hAnsi="宋体" w:eastAsia="宋体" w:cs="宋体"/>
                <w:b/>
                <w:bCs w:val="0"/>
                <w:color w:val="auto"/>
                <w:kern w:val="0"/>
                <w:sz w:val="21"/>
                <w:szCs w:val="21"/>
                <w:highlight w:val="none"/>
                <w:u w:val="single"/>
                <w:lang w:bidi="ar-SA"/>
              </w:rPr>
              <w:t>投标人应在投标文件（含评标部分文件和定标部分文件）递交截止时间前通过广州交易集团有限公司（广州公共资源交易中心）电子招标投标交易平台递交电子投标文件（含评标部分文件和定标部分文件）</w:t>
            </w:r>
          </w:p>
          <w:p>
            <w:pPr>
              <w:keepNext w:val="0"/>
              <w:keepLines w:val="0"/>
              <w:suppressLineNumbers w:val="0"/>
              <w:spacing w:before="0" w:beforeAutospacing="0" w:after="0" w:afterAutospacing="0"/>
              <w:ind w:left="71" w:leftChars="34" w:right="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SA"/>
              </w:rPr>
              <w:t>上述时间及地点是否有改变，请密切留意</w:t>
            </w:r>
            <w:r>
              <w:rPr>
                <w:rFonts w:hint="eastAsia" w:ascii="宋体" w:hAnsi="宋体" w:eastAsia="宋体" w:cs="宋体"/>
                <w:color w:val="auto"/>
                <w:sz w:val="21"/>
                <w:szCs w:val="21"/>
                <w:highlight w:val="none"/>
                <w:u w:val="single"/>
                <w:lang w:bidi="ar-SA"/>
              </w:rPr>
              <w:t>补充公告</w:t>
            </w:r>
            <w:r>
              <w:rPr>
                <w:rFonts w:hint="eastAsia" w:ascii="宋体" w:hAnsi="宋体" w:eastAsia="宋体" w:cs="宋体"/>
                <w:color w:val="auto"/>
                <w:sz w:val="21"/>
                <w:szCs w:val="21"/>
                <w:highlight w:val="none"/>
                <w:lang w:bidi="ar-SA"/>
              </w:rPr>
              <w:t>和招标答疑纪要</w:t>
            </w:r>
            <w:r>
              <w:rPr>
                <w:rFonts w:hint="eastAsia" w:ascii="宋体" w:hAnsi="宋体" w:eastAsia="宋体" w:cs="宋体"/>
                <w:b/>
                <w:bCs/>
                <w:color w:val="auto"/>
                <w:sz w:val="21"/>
                <w:szCs w:val="21"/>
                <w:highlight w:val="none"/>
                <w:u w:val="single"/>
                <w:lang w:val="en-US" w:eastAsia="zh-CN" w:bidi="ar-SA"/>
              </w:rPr>
              <w:t>或澄清公告</w:t>
            </w:r>
            <w:r>
              <w:rPr>
                <w:rFonts w:hint="eastAsia" w:ascii="宋体" w:hAnsi="宋体" w:eastAsia="宋体" w:cs="宋体"/>
                <w:color w:val="auto"/>
                <w:sz w:val="21"/>
                <w:szCs w:val="21"/>
                <w:highlight w:val="none"/>
                <w:lang w:bidi="ar-SA"/>
              </w:rPr>
              <w:t>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8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SA"/>
              </w:rPr>
              <w:t>采用评定分离定标办法</w:t>
            </w:r>
          </w:p>
        </w:tc>
        <w:tc>
          <w:tcPr>
            <w:tcW w:w="5854" w:type="dxa"/>
            <w:tcBorders>
              <w:top w:val="single" w:color="auto" w:sz="4" w:space="0"/>
              <w:left w:val="single" w:color="auto" w:sz="4" w:space="0"/>
              <w:bottom w:val="single" w:color="auto" w:sz="4" w:space="0"/>
              <w:right w:val="double" w:color="auto" w:sz="4" w:space="0"/>
            </w:tcBorders>
            <w:vAlign w:val="center"/>
          </w:tcPr>
          <w:p>
            <w:pPr>
              <w:pStyle w:val="5"/>
              <w:spacing w:line="380" w:lineRule="exact"/>
              <w:ind w:left="0" w:leftChars="0" w:firstLine="0" w:firstLineChars="0"/>
              <w:rPr>
                <w:rFonts w:hint="eastAsia" w:ascii="宋体" w:hAnsi="宋体" w:eastAsia="宋体" w:cs="宋体"/>
                <w:b/>
                <w:bCs/>
                <w:color w:val="auto"/>
                <w:sz w:val="21"/>
                <w:szCs w:val="21"/>
                <w:highlight w:val="none"/>
                <w:u w:val="single"/>
                <w:lang w:bidi="ar-SA"/>
              </w:rPr>
            </w:pPr>
            <w:r>
              <w:rPr>
                <w:rFonts w:hint="eastAsia" w:ascii="宋体" w:hAnsi="宋体" w:eastAsia="宋体" w:cs="宋体"/>
                <w:b/>
                <w:bCs/>
                <w:color w:val="auto"/>
                <w:sz w:val="21"/>
                <w:szCs w:val="21"/>
                <w:highlight w:val="none"/>
                <w:u w:val="single"/>
                <w:lang w:bidi="ar-SA"/>
              </w:rPr>
              <w:t>1.评标办法：有限数量制评审法</w:t>
            </w:r>
          </w:p>
          <w:p>
            <w:pPr>
              <w:pStyle w:val="5"/>
              <w:spacing w:line="380" w:lineRule="exact"/>
              <w:ind w:left="0" w:leftChars="0" w:firstLine="0" w:firstLineChars="0"/>
              <w:rPr>
                <w:rFonts w:hint="eastAsia" w:ascii="宋体" w:hAnsi="宋体" w:eastAsia="宋体" w:cs="宋体"/>
                <w:b/>
                <w:bCs/>
                <w:color w:val="auto"/>
                <w:sz w:val="21"/>
                <w:szCs w:val="21"/>
                <w:highlight w:val="none"/>
                <w:u w:val="single"/>
                <w:lang w:bidi="ar-SA"/>
              </w:rPr>
            </w:pPr>
            <w:r>
              <w:rPr>
                <w:rFonts w:hint="eastAsia" w:ascii="宋体" w:hAnsi="宋体" w:eastAsia="宋体" w:cs="宋体"/>
                <w:b/>
                <w:bCs/>
                <w:color w:val="auto"/>
                <w:sz w:val="21"/>
                <w:szCs w:val="21"/>
                <w:highlight w:val="none"/>
                <w:u w:val="single"/>
                <w:lang w:bidi="ar-SA"/>
              </w:rPr>
              <w:t>2.定标办法：</w:t>
            </w:r>
            <w:bookmarkStart w:id="4" w:name="OLE_LINK5"/>
            <w:r>
              <w:rPr>
                <w:rFonts w:hint="eastAsia" w:ascii="宋体" w:hAnsi="宋体" w:eastAsia="宋体" w:cs="宋体"/>
                <w:b/>
                <w:bCs/>
                <w:color w:val="auto"/>
                <w:sz w:val="21"/>
                <w:szCs w:val="21"/>
                <w:highlight w:val="none"/>
                <w:u w:val="single"/>
                <w:lang w:eastAsia="zh-CN" w:bidi="ar-SA"/>
              </w:rPr>
              <w:t>答辩因素</w:t>
            </w:r>
            <w:r>
              <w:rPr>
                <w:rFonts w:hint="eastAsia" w:ascii="宋体" w:hAnsi="宋体" w:eastAsia="宋体" w:cs="宋体"/>
                <w:b/>
                <w:bCs/>
                <w:color w:val="auto"/>
                <w:sz w:val="21"/>
                <w:szCs w:val="21"/>
                <w:highlight w:val="none"/>
                <w:u w:val="single"/>
                <w:lang w:val="en-US" w:eastAsia="zh-CN" w:bidi="ar-SA"/>
              </w:rPr>
              <w:t>+履约服务能力</w:t>
            </w:r>
            <w:r>
              <w:rPr>
                <w:rFonts w:hint="eastAsia" w:ascii="宋体" w:hAnsi="宋体" w:eastAsia="宋体" w:cs="宋体"/>
                <w:b/>
                <w:bCs/>
                <w:color w:val="auto"/>
                <w:sz w:val="21"/>
                <w:szCs w:val="21"/>
                <w:highlight w:val="none"/>
                <w:u w:val="single"/>
                <w:lang w:bidi="ar-SA"/>
              </w:rPr>
              <w:t>因素</w:t>
            </w:r>
            <w:bookmarkEnd w:id="4"/>
          </w:p>
          <w:p>
            <w:pPr>
              <w:pStyle w:val="5"/>
              <w:spacing w:line="380" w:lineRule="exact"/>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u w:val="single"/>
                <w:lang w:bidi="ar-SA"/>
              </w:rPr>
              <w:t>具体要求详见第二章</w:t>
            </w:r>
            <w:r>
              <w:rPr>
                <w:rFonts w:hint="eastAsia" w:ascii="宋体" w:hAnsi="宋体" w:eastAsia="宋体" w:cs="宋体"/>
                <w:b/>
                <w:bCs/>
                <w:color w:val="auto"/>
                <w:sz w:val="21"/>
                <w:szCs w:val="21"/>
                <w:highlight w:val="none"/>
                <w:u w:val="single"/>
                <w:lang w:val="en-US" w:eastAsia="zh-CN" w:bidi="ar-SA"/>
              </w:rPr>
              <w:t>开标、</w:t>
            </w:r>
            <w:r>
              <w:rPr>
                <w:rFonts w:hint="eastAsia" w:ascii="宋体" w:hAnsi="宋体" w:eastAsia="宋体" w:cs="宋体"/>
                <w:b/>
                <w:bCs/>
                <w:color w:val="auto"/>
                <w:sz w:val="21"/>
                <w:szCs w:val="21"/>
                <w:highlight w:val="none"/>
                <w:u w:val="single"/>
                <w:lang w:bidi="ar-SA"/>
              </w:rPr>
              <w:t>评标及定标办法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highlight w:val="none"/>
                <w:u w:val="single"/>
              </w:rPr>
            </w:pPr>
            <w:r>
              <w:rPr>
                <w:rFonts w:hint="eastAsia" w:ascii="宋体" w:hAnsi="宋体" w:eastAsia="宋体" w:cs="宋体"/>
                <w:color w:val="auto"/>
                <w:szCs w:val="21"/>
                <w:highlight w:val="none"/>
              </w:rPr>
              <w:t>中标人根据自身情况，自主选择提供履约保证金的形式。具体要求详见合同条款。中标人提供的履约保证金为中标价款的10%。（注：如中标人为中小企业，履约保证金为中标价款的5%。具体要求详见合同）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val="0"/>
              <w:suppressLineNumbers w:val="0"/>
              <w:spacing w:before="0" w:beforeAutospacing="0" w:after="0" w:afterAutospacing="0"/>
              <w:ind w:left="71" w:leftChars="34" w:right="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最高投标限价为人民币</w:t>
            </w:r>
            <w:bookmarkStart w:id="5" w:name="OLE_LINK2"/>
            <w:r>
              <w:rPr>
                <w:rFonts w:hint="eastAsia" w:ascii="宋体" w:hAnsi="宋体" w:eastAsia="宋体" w:cs="宋体"/>
                <w:color w:val="auto"/>
                <w:kern w:val="2"/>
                <w:sz w:val="21"/>
                <w:szCs w:val="21"/>
                <w:highlight w:val="none"/>
                <w:u w:val="single"/>
                <w:lang w:val="en-US" w:eastAsia="zh-CN" w:bidi="ar"/>
              </w:rPr>
              <w:t xml:space="preserve"> 152001802.96 </w:t>
            </w:r>
            <w:bookmarkEnd w:id="5"/>
            <w:r>
              <w:rPr>
                <w:rFonts w:hint="eastAsia" w:ascii="宋体" w:hAnsi="宋体" w:eastAsia="宋体" w:cs="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非竞争费用</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本项目安全生产措施费为</w:t>
            </w:r>
            <w:r>
              <w:rPr>
                <w:rFonts w:hint="eastAsia" w:ascii="宋体" w:hAnsi="宋体" w:eastAsia="宋体" w:cs="宋体"/>
                <w:color w:val="auto"/>
                <w:kern w:val="2"/>
                <w:sz w:val="21"/>
                <w:szCs w:val="21"/>
                <w:highlight w:val="none"/>
                <w:u w:val="single"/>
                <w:lang w:val="en-US" w:eastAsia="zh-CN" w:bidi="ar"/>
              </w:rPr>
              <w:t xml:space="preserve"> 4702982.95 </w:t>
            </w:r>
            <w:r>
              <w:rPr>
                <w:rFonts w:hint="eastAsia" w:ascii="宋体" w:hAnsi="宋体" w:eastAsia="宋体" w:cs="宋体"/>
                <w:color w:val="auto"/>
                <w:szCs w:val="21"/>
                <w:highlight w:val="none"/>
              </w:rPr>
              <w:t>元，暂列金额为</w:t>
            </w:r>
            <w:r>
              <w:rPr>
                <w:rFonts w:hint="eastAsia" w:ascii="宋体" w:hAnsi="宋体" w:eastAsia="宋体" w:cs="宋体"/>
                <w:color w:val="auto"/>
                <w:kern w:val="2"/>
                <w:sz w:val="21"/>
                <w:szCs w:val="21"/>
                <w:highlight w:val="none"/>
                <w:u w:val="single"/>
                <w:lang w:val="en-US" w:eastAsia="zh-CN" w:bidi="ar"/>
              </w:rPr>
              <w:t xml:space="preserve"> 5245818.49 </w:t>
            </w:r>
            <w:r>
              <w:rPr>
                <w:rFonts w:hint="eastAsia" w:ascii="宋体" w:hAnsi="宋体" w:eastAsia="宋体" w:cs="宋体"/>
                <w:color w:val="auto"/>
                <w:szCs w:val="21"/>
                <w:highlight w:val="none"/>
              </w:rPr>
              <w:t>元，暂估价为</w:t>
            </w:r>
            <w:r>
              <w:rPr>
                <w:rFonts w:hint="eastAsia" w:ascii="宋体" w:hAnsi="宋体" w:cs="宋体"/>
                <w:color w:val="auto"/>
                <w:szCs w:val="21"/>
                <w:highlight w:val="none"/>
                <w:u w:val="single"/>
                <w:lang w:val="en-US" w:eastAsia="zh-CN"/>
              </w:rPr>
              <w:t>150000.00</w:t>
            </w:r>
            <w:r>
              <w:rPr>
                <w:rFonts w:hint="eastAsia" w:ascii="宋体" w:hAnsi="宋体" w:eastAsia="宋体"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pStyle w:val="5"/>
              <w:keepNext w:val="0"/>
              <w:keepLines w:val="0"/>
              <w:suppressLineNumbers w:val="0"/>
              <w:spacing w:before="0" w:beforeAutospacing="0" w:afterAutospacing="0"/>
              <w:ind w:left="0" w:right="0" w:firstLine="210"/>
              <w:jc w:val="center"/>
              <w:rPr>
                <w:rFonts w:hint="eastAsia" w:ascii="宋体" w:hAnsi="宋体" w:eastAsia="宋体" w:cs="宋体"/>
                <w:color w:val="auto"/>
                <w:highlight w:val="none"/>
              </w:rPr>
            </w:pPr>
            <w:r>
              <w:rPr>
                <w:rFonts w:hint="eastAsia" w:ascii="宋体" w:hAnsi="宋体" w:eastAsia="宋体" w:cs="宋体"/>
                <w:color w:val="auto"/>
                <w:highlight w:val="none"/>
              </w:rPr>
              <w:t>保修期</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pStyle w:val="5"/>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计算评标参考价的等分点值</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计算评标参考价的等分点值X在开标前从[0,100] 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进入第二阶段评审的家数</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trike/>
                <w:color w:val="auto"/>
                <w:szCs w:val="21"/>
                <w:highlight w:val="none"/>
              </w:rPr>
            </w:pPr>
            <w:r>
              <w:rPr>
                <w:rFonts w:hint="eastAsia" w:ascii="宋体" w:hAnsi="宋体" w:eastAsia="宋体" w:cs="宋体"/>
                <w:strike w:val="0"/>
                <w:color w:val="auto"/>
                <w:szCs w:val="21"/>
                <w:highlight w:val="none"/>
                <w:lang w:bidi="ar-SA"/>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工程成本警戒价为</w:t>
            </w:r>
            <w:r>
              <w:rPr>
                <w:rFonts w:hint="eastAsia" w:ascii="宋体" w:hAnsi="宋体" w:eastAsia="宋体" w:cs="宋体"/>
                <w:color w:val="auto"/>
                <w:szCs w:val="21"/>
                <w:highlight w:val="none"/>
                <w:u w:val="single"/>
              </w:rPr>
              <w:t xml:space="preserve"> 136801622.66</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元（9</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suppressLineNumbers w:val="0"/>
              <w:spacing w:before="0" w:beforeAutospacing="0" w:after="0" w:afterAutospacing="0"/>
              <w:ind w:left="71" w:leftChars="34"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第一阶段各分值的权重</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12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1"/>
                <w:highlight w:val="none"/>
                <w:u w:val="single"/>
                <w:lang w:bidi="ar-SA"/>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评标委员会人数</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SA"/>
              </w:rPr>
              <w:t>定标委员会人数</w:t>
            </w:r>
          </w:p>
        </w:tc>
        <w:tc>
          <w:tcPr>
            <w:tcW w:w="5854"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SA"/>
              </w:rPr>
              <w:t>定标委员会由招标人依法组建。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企业综合诚信评价分数</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71" w:leftChars="34"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第二阶段投标人名次的排序方法（适用于办法一、办法二）</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eastAsia" w:ascii="宋体" w:hAnsi="宋体" w:eastAsia="宋体" w:cs="宋体"/>
                <w:color w:val="auto"/>
                <w:szCs w:val="21"/>
                <w:highlight w:val="none"/>
              </w:rPr>
            </w:pPr>
            <w:r>
              <w:rPr>
                <w:rFonts w:hint="eastAsia" w:ascii="宋体" w:hAnsi="宋体" w:eastAsia="宋体" w:cs="宋体"/>
                <w:strike w:val="0"/>
                <w:color w:val="auto"/>
                <w:szCs w:val="21"/>
                <w:highlight w:val="none"/>
                <w:lang w:bidi="ar-SA"/>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经济分相同情况下的排序方法（适用于办法三、办法四）</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eastAsia" w:ascii="宋体" w:hAnsi="宋体" w:eastAsia="宋体" w:cs="宋体"/>
                <w:color w:val="auto"/>
                <w:szCs w:val="21"/>
                <w:highlight w:val="none"/>
              </w:rPr>
            </w:pPr>
            <w:r>
              <w:rPr>
                <w:rFonts w:hint="eastAsia" w:ascii="宋体" w:hAnsi="宋体" w:eastAsia="宋体" w:cs="宋体"/>
                <w:strike w:val="0"/>
                <w:color w:val="auto"/>
                <w:szCs w:val="21"/>
                <w:highlight w:val="none"/>
                <w:lang w:bidi="ar-SA"/>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第二阶段投标人名次的排序方法（适用于办法五、办法六）</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strike w:val="0"/>
                <w:color w:val="auto"/>
                <w:szCs w:val="21"/>
                <w:highlight w:val="none"/>
                <w:lang w:bidi="ar-SA"/>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13.4、13.5.2</w:t>
            </w: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合同价款的调整办法</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71" w:leftChars="34"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建设工程质量检测单位</w:t>
            </w:r>
          </w:p>
        </w:tc>
        <w:tc>
          <w:tcPr>
            <w:tcW w:w="5854"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71" w:leftChars="34" w:right="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eastAsia="zh-CN" w:bidi="ar-SA"/>
              </w:rPr>
              <w:t>分包</w:t>
            </w:r>
          </w:p>
        </w:tc>
        <w:tc>
          <w:tcPr>
            <w:tcW w:w="5854"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s="宋体"/>
                <w:color w:val="auto"/>
                <w:kern w:val="0"/>
                <w:szCs w:val="21"/>
                <w:highlight w:val="none"/>
                <w:lang w:val="zh-CN" w:eastAsia="zh-CN" w:bidi="ar-SA"/>
              </w:rPr>
            </w:pPr>
            <w:r>
              <w:rPr>
                <w:rFonts w:hint="eastAsia" w:ascii="宋体" w:hAnsi="宋体" w:eastAsia="宋体" w:cs="宋体"/>
                <w:color w:val="auto"/>
                <w:szCs w:val="21"/>
                <w:highlight w:val="none"/>
                <w:lang w:eastAsia="zh-CN" w:bidi="ar-SA"/>
              </w:rPr>
              <w:t>□</w:t>
            </w:r>
            <w:r>
              <w:rPr>
                <w:rFonts w:hint="eastAsia" w:ascii="宋体" w:hAnsi="宋体" w:eastAsia="宋体" w:cs="宋体"/>
                <w:color w:val="auto"/>
                <w:kern w:val="0"/>
                <w:szCs w:val="21"/>
                <w:highlight w:val="none"/>
                <w:lang w:val="zh-CN" w:eastAsia="zh-CN" w:bidi="ar-SA"/>
              </w:rPr>
              <w:t>不允许；</w:t>
            </w:r>
          </w:p>
          <w:p>
            <w:pPr>
              <w:spacing w:line="380" w:lineRule="exact"/>
              <w:rPr>
                <w:rFonts w:hint="eastAsia" w:ascii="宋体" w:hAnsi="宋体" w:eastAsia="宋体" w:cs="宋体"/>
                <w:color w:val="auto"/>
                <w:kern w:val="0"/>
                <w:szCs w:val="21"/>
                <w:highlight w:val="none"/>
                <w:u w:val="single"/>
                <w:lang w:val="zh-CN" w:eastAsia="zh-CN" w:bidi="ar-SA"/>
              </w:rPr>
            </w:pPr>
            <w:r>
              <w:rPr>
                <w:rFonts w:hint="eastAsia" w:ascii="宋体" w:hAnsi="宋体" w:eastAsia="宋体" w:cs="宋体"/>
                <w:color w:val="auto"/>
                <w:kern w:val="0"/>
                <w:szCs w:val="21"/>
                <w:highlight w:val="none"/>
                <w:lang w:val="zh-CN" w:eastAsia="zh-CN" w:bidi="ar-SA"/>
              </w:rPr>
              <w:t>☑允许：</w:t>
            </w:r>
            <w:r>
              <w:rPr>
                <w:rFonts w:hint="eastAsia" w:ascii="宋体" w:hAnsi="宋体" w:eastAsia="宋体" w:cs="宋体"/>
                <w:color w:val="auto"/>
                <w:kern w:val="0"/>
                <w:szCs w:val="21"/>
                <w:highlight w:val="none"/>
                <w:u w:val="single"/>
                <w:lang w:val="zh-CN" w:eastAsia="zh-CN" w:bidi="ar-SA"/>
              </w:rPr>
              <w:t>分包内容要求：非主体、非关键性工程。</w:t>
            </w:r>
          </w:p>
          <w:p>
            <w:pPr>
              <w:spacing w:line="380" w:lineRule="exac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u w:val="single"/>
                <w:lang w:val="zh-CN" w:eastAsia="zh-CN" w:bidi="ar-SA"/>
              </w:rPr>
              <w:t xml:space="preserve">        对分包人的资质要求：对于非主体、非关键性工程，需经发包人审核批准后依法分包给具有相应资质和能力的专业单位实施，不得再次分包。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lang w:bidi="ar-SA"/>
              </w:rPr>
              <w:t>电子招标投标解密失败及突发情况的补救</w:t>
            </w:r>
          </w:p>
        </w:tc>
        <w:tc>
          <w:tcPr>
            <w:tcW w:w="5854"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1、按照交易平台关于全流程电子化项目的相关指南进行操作。详见：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u w:val="single"/>
                <w:lang w:eastAsia="zh-CN" w:bidi="ar-SA"/>
              </w:rPr>
              <w:t>交易平台</w:t>
            </w:r>
            <w:r>
              <w:rPr>
                <w:rFonts w:hint="eastAsia" w:ascii="宋体" w:hAnsi="宋体" w:eastAsia="宋体" w:cs="宋体"/>
                <w:color w:val="auto"/>
                <w:szCs w:val="21"/>
                <w:highlight w:val="none"/>
                <w:u w:val="single"/>
                <w:lang w:bidi="ar-SA"/>
              </w:rPr>
              <w:t>网站。</w:t>
            </w:r>
          </w:p>
          <w:p>
            <w:pPr>
              <w:spacing w:line="38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2、提交投标文件</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备用</w:t>
            </w:r>
          </w:p>
          <w:p>
            <w:pPr>
              <w:spacing w:line="38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投标人可制作非加密的电子投标文件（PDF格式）刻入</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（1份），在投标须知前附表第18项规定的时间、地点提交备用。刻录好的投标文件</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密封在密封袋中，并在封口处加盖投标人单位公章。密封袋上应写明项目名称和招标人名称。递交的</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不得加密。</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无法读取或导入的，则视为未提交备用投标文件</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。如果投标人没有按规定通过交易平台网上递交电子投标文件的，不再读取提交的</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。投标人也可不提交备用</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w:t>
            </w:r>
          </w:p>
          <w:p>
            <w:pPr>
              <w:spacing w:line="38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3、补救方案</w:t>
            </w:r>
          </w:p>
          <w:p>
            <w:pPr>
              <w:spacing w:line="38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（1）投标文件解密失败的补救方案：</w:t>
            </w:r>
          </w:p>
          <w:p>
            <w:pPr>
              <w:spacing w:line="38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在规定时间内，因投标人之外原因(指网络瘫痪、服务器损坏、交易系统故障短期无法恢复)导致的电子投标文件解密失败，在开标现场读取</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内容，继续开标程序。评标委员会对其投标文件的评审以</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内容为准。因投标人之外原因解密失败且未递交电子</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的，视为撤回投标文件。</w:t>
            </w:r>
          </w:p>
          <w:p>
            <w:pPr>
              <w:spacing w:line="38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（2）评标时突发情况的补救方案</w:t>
            </w:r>
          </w:p>
          <w:p>
            <w:pPr>
              <w:spacing w:line="380" w:lineRule="exac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若遇不可抗力发生（指网络瘫痪、服务器损坏、交易系统故障短期无法恢复等因素），由评标委员会开启投标人递交的全部投标文件</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，并按</w:t>
            </w:r>
            <w:r>
              <w:rPr>
                <w:rFonts w:hint="eastAsia" w:ascii="宋体" w:hAnsi="宋体" w:eastAsia="宋体" w:cs="宋体"/>
                <w:color w:val="auto"/>
                <w:szCs w:val="21"/>
                <w:highlight w:val="none"/>
                <w:u w:val="single"/>
                <w:lang w:bidi="ar-SA"/>
              </w:rPr>
              <w:t>U盘/光盘</w:t>
            </w:r>
            <w:r>
              <w:rPr>
                <w:rFonts w:hint="eastAsia" w:ascii="宋体" w:hAnsi="宋体" w:eastAsia="宋体" w:cs="宋体"/>
                <w:color w:val="auto"/>
                <w:szCs w:val="21"/>
                <w:highlight w:val="none"/>
                <w:lang w:bidi="ar-SA"/>
              </w:rPr>
              <w:t>内容进行评审。</w:t>
            </w:r>
          </w:p>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SA"/>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5854" w:type="dxa"/>
            <w:tcBorders>
              <w:top w:val="single" w:color="auto" w:sz="4" w:space="0"/>
              <w:left w:val="single" w:color="auto" w:sz="4" w:space="0"/>
              <w:bottom w:val="single" w:color="auto" w:sz="4" w:space="0"/>
              <w:right w:val="double" w:color="auto" w:sz="4" w:space="0"/>
            </w:tcBorders>
            <w:vAlign w:val="center"/>
          </w:tcPr>
          <w:p>
            <w:pPr>
              <w:pStyle w:val="5"/>
              <w:keepNext w:val="0"/>
              <w:keepLines w:val="0"/>
              <w:suppressLineNumbers w:val="0"/>
              <w:tabs>
                <w:tab w:val="left" w:pos="7380"/>
              </w:tabs>
              <w:spacing w:before="0" w:beforeAutospacing="0" w:after="0" w:afterAutospacing="0" w:line="360" w:lineRule="exact"/>
              <w:ind w:left="0" w:right="0" w:firstLine="210"/>
              <w:rPr>
                <w:rFonts w:hint="eastAsia" w:ascii="宋体" w:hAnsi="宋体" w:eastAsia="宋体" w:cs="宋体"/>
                <w:color w:val="auto"/>
                <w:kern w:val="0"/>
                <w:highlight w:val="none"/>
              </w:rPr>
            </w:pPr>
            <w:r>
              <w:rPr>
                <w:rFonts w:hint="eastAsia" w:ascii="宋体" w:hAnsi="宋体" w:eastAsia="宋体" w:cs="宋体"/>
                <w:color w:val="auto"/>
                <w:kern w:val="0"/>
                <w:highlight w:val="none"/>
              </w:rPr>
              <w:t>内容：招标人对中标人参与“百千万工程”的具体要求</w:t>
            </w:r>
          </w:p>
          <w:p>
            <w:pPr>
              <w:pStyle w:val="5"/>
              <w:keepNext w:val="0"/>
              <w:keepLines w:val="0"/>
              <w:suppressLineNumbers w:val="0"/>
              <w:tabs>
                <w:tab w:val="left" w:pos="7380"/>
              </w:tabs>
              <w:spacing w:before="0" w:beforeAutospacing="0" w:after="0" w:afterAutospacing="0" w:line="360" w:lineRule="exact"/>
              <w:ind w:left="0" w:right="0" w:firstLine="210"/>
              <w:rPr>
                <w:rFonts w:hint="eastAsia" w:ascii="宋体" w:hAnsi="宋体" w:eastAsia="宋体" w:cs="宋体"/>
                <w:color w:val="auto"/>
                <w:kern w:val="0"/>
                <w:highlight w:val="none"/>
              </w:rPr>
            </w:pPr>
            <w:r>
              <w:rPr>
                <w:rFonts w:hint="eastAsia" w:ascii="宋体" w:hAnsi="宋体" w:eastAsia="宋体" w:cs="宋体"/>
                <w:color w:val="auto"/>
                <w:kern w:val="0"/>
                <w:highlight w:val="none"/>
              </w:rPr>
              <w:t>说明与要求：</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☑具体要求在中标后按照投标承诺和招标人的要求执行。</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□具体要求：（由招标人填写）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SA"/>
              </w:rPr>
              <w:t>招标人拒绝接收投标文件备用光盘的情况</w:t>
            </w:r>
          </w:p>
        </w:tc>
        <w:tc>
          <w:tcPr>
            <w:tcW w:w="5854"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s="宋体"/>
                <w:color w:val="auto"/>
                <w:szCs w:val="21"/>
                <w:highlight w:val="none"/>
                <w:u w:val="single"/>
                <w:lang w:bidi="ar-SA"/>
              </w:rPr>
            </w:pPr>
            <w:r>
              <w:rPr>
                <w:rFonts w:hint="eastAsia" w:ascii="宋体" w:hAnsi="宋体" w:eastAsia="宋体" w:cs="宋体"/>
                <w:color w:val="auto"/>
                <w:szCs w:val="21"/>
                <w:highlight w:val="none"/>
                <w:u w:val="single"/>
                <w:lang w:bidi="ar-SA"/>
              </w:rPr>
              <w:t>1、在投标截止期后逾期或未在指定地点递交投标文件备用U盘/光盘的；</w:t>
            </w:r>
          </w:p>
          <w:p>
            <w:pPr>
              <w:spacing w:line="380" w:lineRule="exact"/>
              <w:rPr>
                <w:rFonts w:hint="eastAsia" w:ascii="宋体" w:hAnsi="宋体" w:eastAsia="宋体" w:cs="宋体"/>
                <w:color w:val="auto"/>
                <w:szCs w:val="21"/>
                <w:highlight w:val="none"/>
                <w:u w:val="single"/>
                <w:lang w:bidi="ar-SA"/>
              </w:rPr>
            </w:pPr>
            <w:r>
              <w:rPr>
                <w:rFonts w:hint="eastAsia" w:ascii="宋体" w:hAnsi="宋体" w:eastAsia="宋体" w:cs="宋体"/>
                <w:color w:val="auto"/>
                <w:szCs w:val="21"/>
                <w:highlight w:val="none"/>
                <w:u w:val="single"/>
                <w:lang w:bidi="ar-SA"/>
              </w:rPr>
              <w:t>2、投标文件备用光盘未按招标文件要求密封或未在密封处盖章的；</w:t>
            </w:r>
          </w:p>
          <w:p>
            <w:pPr>
              <w:spacing w:line="380" w:lineRule="exac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u w:val="single"/>
                <w:lang w:bidi="ar-SA"/>
              </w:rPr>
              <w:t>3、投标人代表未凭法定代表人证明书（原件）、授权委托书原件（仅限于非法定代表人）、本人身份证原件递交投标文件备用U盘/光盘的。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981" w:type="dxa"/>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9" w:type="dxa"/>
            <w:tcBorders>
              <w:top w:val="single" w:color="auto" w:sz="4" w:space="0"/>
              <w:left w:val="single" w:color="auto" w:sz="4" w:space="0"/>
              <w:bottom w:val="double" w:color="auto" w:sz="4" w:space="0"/>
              <w:right w:val="single" w:color="auto" w:sz="4" w:space="0"/>
            </w:tcBorders>
            <w:vAlign w:val="center"/>
          </w:tcPr>
          <w:p>
            <w:pPr>
              <w:ind w:left="40" w:leftChars="19" w:right="107" w:rightChars="51"/>
              <w:jc w:val="center"/>
              <w:rPr>
                <w:rFonts w:hint="eastAsia" w:ascii="宋体" w:hAnsi="宋体" w:eastAsia="宋体" w:cs="宋体"/>
                <w:color w:val="auto"/>
                <w:szCs w:val="21"/>
                <w:highlight w:val="none"/>
                <w:u w:val="single"/>
                <w:lang w:bidi="ar-SA"/>
              </w:rPr>
            </w:pPr>
            <w:r>
              <w:rPr>
                <w:rFonts w:hint="eastAsia" w:ascii="宋体" w:hAnsi="宋体" w:cs="宋体"/>
                <w:color w:val="auto"/>
                <w:szCs w:val="21"/>
                <w:highlight w:val="none"/>
              </w:rPr>
              <w:t>其他费用</w:t>
            </w:r>
          </w:p>
        </w:tc>
        <w:tc>
          <w:tcPr>
            <w:tcW w:w="5854" w:type="dxa"/>
            <w:tcBorders>
              <w:top w:val="single" w:color="auto" w:sz="4" w:space="0"/>
              <w:left w:val="single" w:color="auto" w:sz="4" w:space="0"/>
              <w:bottom w:val="double" w:color="auto" w:sz="4" w:space="0"/>
              <w:right w:val="double" w:color="auto" w:sz="4" w:space="0"/>
            </w:tcBorders>
            <w:vAlign w:val="center"/>
          </w:tcPr>
          <w:p>
            <w:pPr>
              <w:ind w:left="210" w:leftChars="100" w:right="271" w:rightChars="12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（1）交易服务费：中标人代缴广州交易集团有限公司交易服务费，由广州交易集团有限公司向中标人开具增值税发票，其费用在承包人第一次请款时一并申请。</w:t>
            </w:r>
          </w:p>
          <w:p>
            <w:pPr>
              <w:ind w:left="210" w:leftChars="100" w:right="271" w:rightChars="129"/>
              <w:rPr>
                <w:rFonts w:hint="eastAsia" w:ascii="宋体" w:hAnsi="宋体" w:eastAsia="宋体" w:cs="宋体"/>
                <w:color w:val="auto"/>
                <w:szCs w:val="21"/>
                <w:highlight w:val="none"/>
                <w:u w:val="single"/>
                <w:lang w:bidi="ar-SA"/>
              </w:rPr>
            </w:pPr>
            <w:r>
              <w:rPr>
                <w:rFonts w:hint="eastAsia" w:ascii="宋体" w:hAnsi="宋体" w:eastAsia="宋体" w:cs="宋体"/>
                <w:color w:val="auto"/>
                <w:sz w:val="21"/>
                <w:szCs w:val="21"/>
                <w:highlight w:val="none"/>
                <w:lang w:eastAsia="zh-CN"/>
              </w:rPr>
              <w:t>（2）招标代理费：由中标人在领取中标通知书前支付。</w:t>
            </w:r>
          </w:p>
        </w:tc>
      </w:tr>
    </w:tbl>
    <w:p>
      <w:pPr>
        <w:spacing w:line="480" w:lineRule="auto"/>
        <w:rPr>
          <w:rFonts w:hint="eastAsia" w:ascii="宋体" w:hAnsi="宋体" w:eastAsia="宋体" w:cs="宋体"/>
          <w:strike/>
          <w:color w:val="auto"/>
          <w:kern w:val="0"/>
          <w:sz w:val="24"/>
          <w:highlight w:val="none"/>
        </w:rPr>
      </w:pPr>
      <w:r>
        <w:rPr>
          <w:rFonts w:hint="eastAsia" w:ascii="宋体" w:hAnsi="宋体" w:eastAsia="宋体" w:cs="宋体"/>
          <w:strike/>
          <w:color w:val="auto"/>
          <w:sz w:val="24"/>
          <w:highlight w:val="none"/>
        </w:rPr>
        <w:t>注：企业</w:t>
      </w:r>
      <w:r>
        <w:rPr>
          <w:rFonts w:hint="eastAsia" w:ascii="宋体" w:hAnsi="宋体" w:eastAsia="宋体" w:cs="宋体"/>
          <w:strike/>
          <w:color w:val="auto"/>
          <w:kern w:val="0"/>
          <w:sz w:val="24"/>
          <w:highlight w:val="none"/>
        </w:rPr>
        <w:t>综合诚信评价得分即</w:t>
      </w:r>
      <w:r>
        <w:rPr>
          <w:rFonts w:hint="eastAsia" w:ascii="宋体" w:hAnsi="宋体" w:eastAsia="宋体" w:cs="宋体"/>
          <w:strike/>
          <w:color w:val="auto"/>
          <w:sz w:val="24"/>
          <w:highlight w:val="none"/>
        </w:rPr>
        <w:t>企业</w:t>
      </w:r>
      <w:r>
        <w:rPr>
          <w:rFonts w:hint="eastAsia" w:ascii="宋体" w:hAnsi="宋体" w:eastAsia="宋体" w:cs="宋体"/>
          <w:strike/>
          <w:color w:val="auto"/>
          <w:kern w:val="0"/>
          <w:sz w:val="24"/>
          <w:highlight w:val="none"/>
        </w:rPr>
        <w:t>综合诚信评价60日诚信分，以下同。</w:t>
      </w:r>
    </w:p>
    <w:p>
      <w:pPr>
        <w:pStyle w:val="6"/>
        <w:rPr>
          <w:rFonts w:hint="eastAsia" w:ascii="宋体" w:hAnsi="宋体" w:eastAsia="宋体" w:cs="宋体"/>
          <w:color w:val="auto"/>
          <w:highlight w:val="none"/>
        </w:rPr>
      </w:pPr>
    </w:p>
    <w:p>
      <w:pPr>
        <w:spacing w:line="480" w:lineRule="auto"/>
        <w:rPr>
          <w:rFonts w:hint="eastAsia" w:ascii="宋体" w:hAnsi="宋体" w:eastAsia="宋体" w:cs="宋体"/>
          <w:color w:val="auto"/>
          <w:kern w:val="0"/>
          <w:sz w:val="24"/>
          <w:highlight w:val="none"/>
        </w:rPr>
        <w:sectPr>
          <w:footerReference r:id="rId4" w:type="default"/>
          <w:endnotePr>
            <w:numFmt w:val="decimal"/>
          </w:endnotePr>
          <w:pgSz w:w="11906" w:h="16838"/>
          <w:pgMar w:top="1134" w:right="1418" w:bottom="1247" w:left="1418" w:header="851" w:footer="485" w:gutter="0"/>
          <w:pgBorders>
            <w:top w:val="none" w:sz="0" w:space="0"/>
            <w:left w:val="none" w:sz="0" w:space="0"/>
            <w:bottom w:val="none" w:sz="0" w:space="0"/>
            <w:right w:val="none" w:sz="0" w:space="0"/>
          </w:pgBorders>
          <w:pgNumType w:start="1"/>
          <w:cols w:space="720" w:num="1"/>
          <w:rtlGutter w:val="1"/>
          <w:docGrid w:type="lines" w:linePitch="312" w:charSpace="0"/>
        </w:sectPr>
      </w:pPr>
    </w:p>
    <w:p>
      <w:pPr>
        <w:pStyle w:val="7"/>
        <w:pageBreakBefore w:val="0"/>
        <w:kinsoku/>
        <w:wordWrap/>
        <w:overflowPunct/>
        <w:topLinePunct w:val="0"/>
        <w:autoSpaceDE/>
        <w:autoSpaceDN/>
        <w:bidi w:val="0"/>
        <w:spacing w:line="360" w:lineRule="auto"/>
        <w:rPr>
          <w:rFonts w:hint="eastAsia" w:ascii="宋体" w:hAnsi="宋体" w:eastAsia="宋体" w:cs="宋体"/>
          <w:color w:val="auto"/>
          <w:sz w:val="24"/>
          <w:highlight w:val="none"/>
        </w:rPr>
      </w:pPr>
      <w:bookmarkStart w:id="6" w:name="_Toc201658267"/>
      <w:r>
        <w:rPr>
          <w:rFonts w:hint="eastAsia" w:ascii="宋体" w:hAnsi="宋体" w:eastAsia="宋体" w:cs="宋体"/>
          <w:color w:val="auto"/>
          <w:sz w:val="24"/>
          <w:highlight w:val="none"/>
        </w:rPr>
        <w:t>二、投标须知修改表</w:t>
      </w:r>
      <w:bookmarkEnd w:id="6"/>
    </w:p>
    <w:p>
      <w:pPr>
        <w:pageBreakBefore w:val="0"/>
        <w:kinsoku/>
        <w:wordWrap/>
        <w:overflowPunct/>
        <w:topLinePunct w:val="0"/>
        <w:autoSpaceDE/>
        <w:autoSpaceDN/>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条款号：2.5              修改类型：增加</w:t>
      </w:r>
    </w:p>
    <w:p>
      <w:pPr>
        <w:pageBreakBefore w:val="0"/>
        <w:pBdr>
          <w:bottom w:val="single" w:color="auto" w:sz="6" w:space="1"/>
        </w:pBdr>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 xml:space="preserve">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 </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条款号：8.1              修改类型：修改</w:t>
      </w:r>
    </w:p>
    <w:p>
      <w:pPr>
        <w:pageBreakBefore w:val="0"/>
        <w:pBdr>
          <w:bottom w:val="single" w:color="auto" w:sz="6" w:space="1"/>
        </w:pBdr>
        <w:kinsoku/>
        <w:wordWrap/>
        <w:overflowPunct/>
        <w:topLinePunct w:val="0"/>
        <w:autoSpaceDE/>
        <w:autoSpaceDN/>
        <w:bidi w:val="0"/>
        <w:spacing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8.1 </w:t>
      </w:r>
      <w:r>
        <w:rPr>
          <w:rFonts w:hint="eastAsia" w:ascii="宋体" w:hAnsi="宋体" w:eastAsia="宋体" w:cs="宋体"/>
          <w:color w:val="auto"/>
          <w:sz w:val="21"/>
          <w:szCs w:val="21"/>
          <w:highlight w:val="none"/>
        </w:rPr>
        <w:t>投标人若对招标文件（包括招标图纸）中有疑问，可以书面形式通过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交易平台提交给招标人或招标代理人，提交形式见本须知前附表第16项。</w:t>
      </w:r>
    </w:p>
    <w:p>
      <w:pPr>
        <w:pageBreakBefore w:val="0"/>
        <w:pBdr>
          <w:bottom w:val="single" w:color="auto" w:sz="6" w:space="1"/>
        </w:pBdr>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8.1 </w:t>
      </w:r>
      <w:r>
        <w:rPr>
          <w:rFonts w:hint="eastAsia" w:ascii="宋体" w:hAnsi="宋体" w:eastAsia="宋体" w:cs="宋体"/>
          <w:color w:val="auto"/>
          <w:sz w:val="21"/>
          <w:szCs w:val="21"/>
          <w:highlight w:val="none"/>
        </w:rPr>
        <w:t>投标人若对招标文件（包括招标图纸）中有疑问，可以通过</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交易平台提交给招标人或招标代理人，提交形式见本须知前附表第16项。</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条款号：8.2              修改类型：修改</w:t>
      </w:r>
    </w:p>
    <w:p>
      <w:pPr>
        <w:pStyle w:val="5"/>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8.2 招</w:t>
      </w:r>
      <w:r>
        <w:rPr>
          <w:rFonts w:hint="eastAsia" w:ascii="宋体" w:hAnsi="宋体" w:eastAsia="宋体" w:cs="宋体"/>
          <w:color w:val="auto"/>
          <w:sz w:val="21"/>
          <w:szCs w:val="21"/>
          <w:highlight w:val="none"/>
        </w:rPr>
        <w:t>标答疑会会议纪要将在提交投标文件截止时间15日前在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交易平台发布，视作已发放给所有投标人。</w:t>
      </w:r>
    </w:p>
    <w:p>
      <w:pPr>
        <w:pageBreakBefore w:val="0"/>
        <w:pBdr>
          <w:bottom w:val="single" w:color="auto" w:sz="6" w:space="1"/>
        </w:pBdr>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8.2 </w:t>
      </w:r>
      <w:r>
        <w:rPr>
          <w:rFonts w:hint="eastAsia" w:ascii="宋体" w:hAnsi="宋体" w:eastAsia="宋体" w:cs="宋体"/>
          <w:color w:val="auto"/>
          <w:sz w:val="21"/>
          <w:szCs w:val="21"/>
          <w:highlight w:val="none"/>
        </w:rPr>
        <w:t>招标答疑会会议纪要将在提交投标文件截止时间15日前在</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交易平台发布，视作已发放给所有投标人。</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条款号：9.2              修改类型：修改</w:t>
      </w:r>
    </w:p>
    <w:p>
      <w:pPr>
        <w:pageBreakBefore w:val="0"/>
        <w:pBdr>
          <w:bottom w:val="single" w:color="auto" w:sz="6" w:space="1"/>
        </w:pBdr>
        <w:kinsoku/>
        <w:wordWrap/>
        <w:overflowPunct/>
        <w:topLinePunct w:val="0"/>
        <w:autoSpaceDE/>
        <w:autoSpaceDN/>
        <w:bidi w:val="0"/>
        <w:spacing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9.2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招标文件的澄清或修改将在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交易平台发布，视作已发放给所有投标人，以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交易平台上网发布时间作为送达时间。</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9.2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招标文件的澄清或修改将在</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交易平台发布，视作已发放给所有投标人，以</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交易平台上网发布时间作为送达时间。</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条款号：9.4              修改类型：修改</w:t>
      </w:r>
    </w:p>
    <w:p>
      <w:pPr>
        <w:pStyle w:val="5"/>
        <w:pageBreakBefore w:val="0"/>
        <w:kinsoku/>
        <w:wordWrap/>
        <w:overflowPunct/>
        <w:topLinePunct w:val="0"/>
        <w:autoSpaceDE/>
        <w:autoSpaceDN/>
        <w:bidi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ageBreakBefore w:val="0"/>
        <w:pBdr>
          <w:bottom w:val="single" w:color="auto" w:sz="6" w:space="1"/>
        </w:pBdr>
        <w:kinsoku/>
        <w:wordWrap/>
        <w:overflowPunct/>
        <w:topLinePunct w:val="0"/>
        <w:autoSpaceDE/>
        <w:autoSpaceDN/>
        <w:bidi w:val="0"/>
        <w:spacing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9.4招标文件的澄清、修改均以</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交易平台发布的内容为准。当招标文件的澄清、修改在同一内容的表述不一致时，以</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交易平台最后发布的内容为准。</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条款号：11             修改类型：修改</w:t>
      </w:r>
    </w:p>
    <w:p>
      <w:pPr>
        <w:pStyle w:val="5"/>
        <w:pageBreakBefore w:val="0"/>
        <w:kinsoku/>
        <w:wordWrap/>
        <w:overflowPunct/>
        <w:topLinePunct w:val="0"/>
        <w:autoSpaceDE/>
        <w:autoSpaceDN/>
        <w:bidi w:val="0"/>
        <w:spacing w:after="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bCs/>
          <w:color w:val="auto"/>
          <w:sz w:val="21"/>
          <w:szCs w:val="21"/>
          <w:highlight w:val="none"/>
        </w:rPr>
        <w:t>11．投标文件的组成</w:t>
      </w:r>
    </w:p>
    <w:p>
      <w:pPr>
        <w:pStyle w:val="5"/>
        <w:pageBreakBefore w:val="0"/>
        <w:kinsoku/>
        <w:wordWrap/>
        <w:overflowPunct/>
        <w:topLinePunct w:val="0"/>
        <w:autoSpaceDE/>
        <w:autoSpaceDN/>
        <w:bidi w:val="0"/>
        <w:spacing w:after="0"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11.1 投标文件由技术部分（含资格审查文件）和经济部分二部分投标文件组成</w:t>
      </w:r>
      <w:r>
        <w:rPr>
          <w:rFonts w:hint="eastAsia" w:ascii="宋体" w:hAnsi="宋体" w:eastAsia="宋体" w:cs="宋体"/>
          <w:b/>
          <w:color w:val="auto"/>
          <w:sz w:val="21"/>
          <w:szCs w:val="21"/>
          <w:highlight w:val="none"/>
        </w:rPr>
        <w:t>。</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11.2投标文件技术标部分主要包括下列内容：</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11.2.1 技术投标文件（</w:t>
      </w:r>
      <w:r>
        <w:rPr>
          <w:rFonts w:hint="eastAsia" w:ascii="宋体" w:hAnsi="宋体" w:eastAsia="宋体" w:cs="宋体"/>
          <w:color w:val="auto"/>
          <w:sz w:val="21"/>
          <w:szCs w:val="21"/>
          <w:highlight w:val="none"/>
        </w:rPr>
        <w:t>按招标文件的要求填写）</w:t>
      </w:r>
      <w:r>
        <w:rPr>
          <w:rFonts w:hint="eastAsia" w:ascii="宋体" w:hAnsi="宋体" w:eastAsia="宋体" w:cs="宋体"/>
          <w:bCs/>
          <w:color w:val="auto"/>
          <w:sz w:val="21"/>
          <w:szCs w:val="21"/>
          <w:highlight w:val="none"/>
        </w:rPr>
        <w:t>；</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11.2.2 资格审查文件：</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（1）投标人声明； </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（2）法定代表人证明书、法定代表人签字或盖章的本投标文件授权委托证明书；</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（3）企业营业执照扫描件或电子证照；</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（4）企业资质证书扫描件或电子证照；</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（5）建筑施工企业安全生产许可证扫描件或电子证照；</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（6）项目负责人（按网上投标登记时选择拟投入本项目的项目负责人）</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（7）专职安全员（按网上投标登记时选择拟投入本项目的专职安全员）</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（8）拟委托技术负责人的相关证书、资料（具体要求由招标人明确）</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（9）拟委派项目负责人的有效期内的建造师注册证书扫描件或电子证书；  </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（10）项目负责人在有效期内的安全生产考核合格证书（B类）或建筑施工企业项目负责人安全生产考核合格证书扫描件或电子证书；</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（11）专职安全员须具有在有效期内的安全生产考核合格证书（C类）或建筑施工企业专职安全生产管理人员安全生产考核合格证书扫描件或电子证书；</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（12）用于资格审查的业绩（设置业绩要求时选择此项，投标人须提供类似工程业绩的项目名称及项目编号，具体格式由招标人自定）；</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（13）资格审查前，投标人须在广州市住房和城乡建设局建立企业信用档案，拟担任本工程项目负责人、专职安全员须是本企业信用档案中的在册人员； </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注：1.相关电子证书按规定需打印后手写本人签名的，应按照规定手写本人签名后再扫描提交。</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11.2.3项目管理机构配备。</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（1）投标人应列出该项目工程的施工组织机构构成和画出机构框架图及其负责人；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（2）投标人应详细列出该施工组织机构中主要成员的名单、简历资料、职务职称和在本项目中拟担任的职务等资料，并附上有关证明材料扫描件；</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（3）其他辅助说明资料。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11.2.4投标人在广州市可使用适合本工程的机械设备（附：机械设备为自有或租赁的说明；及承诺机械设备如属于租赁的，其租赁是不属于重复租赁）。</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11.2.5施工组织设计或施工方案。</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（1）投标人在编制施工组织设计或施工方案时应按照招标人提出的施工现场建筑垃圾源头减量的具体要求以及建筑垃圾综合利用产品的使用要求提供相应措施。</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pageBreakBefore w:val="0"/>
        <w:tabs>
          <w:tab w:val="left" w:pos="112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11.2.6按照</w:t>
      </w:r>
      <w:r>
        <w:rPr>
          <w:rFonts w:hint="eastAsia" w:ascii="宋体" w:hAnsi="宋体" w:eastAsia="宋体" w:cs="宋体"/>
          <w:bCs/>
          <w:color w:val="auto"/>
          <w:sz w:val="21"/>
          <w:szCs w:val="21"/>
          <w:highlight w:val="none"/>
        </w:rPr>
        <w:t>招标文件要求</w:t>
      </w:r>
      <w:r>
        <w:rPr>
          <w:rFonts w:hint="eastAsia" w:ascii="宋体" w:hAnsi="宋体" w:eastAsia="宋体" w:cs="宋体"/>
          <w:color w:val="auto"/>
          <w:sz w:val="21"/>
          <w:szCs w:val="21"/>
          <w:highlight w:val="none"/>
        </w:rPr>
        <w:t>填写的《参与编制技术标投标文件人员名单》。</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 经济部分投标文件主要包括下列内容：</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经济投标文件（按招标文件的要求填写）。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（1）投标总价封面、扉页；</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（2）总说明</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（3）工程项目投标报价汇总表；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（4）单项工程投标报价汇总表；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（5）单位工程投标报价汇总表；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（6）分部分项工程清单与计价表；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（7）单价措施项目清单与计价表；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（8）总价措施项目清单与计价表；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（9）综合单价分析表；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（10）其他项目清单与计价汇总表；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（11）暂列金额明细表；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（12）材料（工程设备）暂估价明细表；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（13）专业工程暂估价明细表；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（14）计日工表；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（15）总承包服务计价表；</w:t>
      </w:r>
    </w:p>
    <w:p>
      <w:pPr>
        <w:pageBreakBefore w:val="0"/>
        <w:kinsoku/>
        <w:wordWrap/>
        <w:overflowPunct/>
        <w:topLinePunct w:val="0"/>
        <w:autoSpaceDE/>
        <w:autoSpaceDN/>
        <w:bidi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（16）规费和税金项目计价表；</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（17）人工、主要材料和设备一览表</w:t>
      </w:r>
    </w:p>
    <w:p>
      <w:pPr>
        <w:pageBreakBefore w:val="0"/>
        <w:tabs>
          <w:tab w:val="left" w:pos="112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11.3.3按照</w:t>
      </w:r>
      <w:r>
        <w:rPr>
          <w:rFonts w:hint="eastAsia" w:ascii="宋体" w:hAnsi="宋体" w:eastAsia="宋体" w:cs="宋体"/>
          <w:bCs/>
          <w:color w:val="auto"/>
          <w:sz w:val="21"/>
          <w:szCs w:val="21"/>
          <w:highlight w:val="none"/>
        </w:rPr>
        <w:t>招标文件要求</w:t>
      </w:r>
      <w:r>
        <w:rPr>
          <w:rFonts w:hint="eastAsia" w:ascii="宋体" w:hAnsi="宋体" w:eastAsia="宋体" w:cs="宋体"/>
          <w:color w:val="auto"/>
          <w:sz w:val="21"/>
          <w:szCs w:val="21"/>
          <w:highlight w:val="none"/>
        </w:rPr>
        <w:t>填写的《参与编制经济标投标文件人员名单》。</w:t>
      </w:r>
    </w:p>
    <w:p>
      <w:pPr>
        <w:pageBreakBefore w:val="0"/>
        <w:tabs>
          <w:tab w:val="left" w:pos="112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11.3.4若投标人的投标报价低于工程成本警戒价的，投标人还须提供详细的施工组织设计、单价、措施性费用、单价分析表、主要材料价格表、投标人成本分析供评标委员会评审。</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rPr>
        <w:t>现文：</w:t>
      </w:r>
      <w:r>
        <w:rPr>
          <w:rFonts w:hint="eastAsia" w:ascii="宋体" w:hAnsi="宋体" w:eastAsia="宋体" w:cs="宋体"/>
          <w:b/>
          <w:color w:val="auto"/>
          <w:sz w:val="21"/>
          <w:szCs w:val="21"/>
          <w:highlight w:val="none"/>
          <w:lang w:bidi="ar-SA"/>
        </w:rPr>
        <w:t>11.投标文件的组成</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11.1 投标文件由评标部分和定标部分组成。其中评标部分由技术部分（含资格审查文件）和经济部分二部分投标文件组成。</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11.2投标文件技术标部分（含资格审查文件）主要包括下列内容：</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11.2.1广州建设工程施工招标投标书（按招标文件的要求填写）；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11.2.2资格审查文件：</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u w:val="single"/>
          <w:lang w:bidi="ar-SA"/>
        </w:rPr>
      </w:pPr>
      <w:r>
        <w:rPr>
          <w:rFonts w:hint="eastAsia" w:ascii="宋体" w:hAnsi="宋体" w:eastAsia="宋体" w:cs="宋体"/>
          <w:bCs/>
          <w:color w:val="auto"/>
          <w:sz w:val="21"/>
          <w:szCs w:val="21"/>
          <w:highlight w:val="none"/>
          <w:lang w:bidi="ar-SA"/>
        </w:rPr>
        <w:t>（1）投标人声明</w:t>
      </w:r>
      <w:r>
        <w:rPr>
          <w:rFonts w:hint="eastAsia" w:ascii="宋体" w:hAnsi="宋体" w:eastAsia="宋体" w:cs="宋体"/>
          <w:bCs/>
          <w:color w:val="auto"/>
          <w:sz w:val="21"/>
          <w:szCs w:val="21"/>
          <w:highlight w:val="none"/>
          <w:u w:val="single"/>
          <w:lang w:bidi="ar-SA"/>
        </w:rPr>
        <w:t xml:space="preserve">（见招标公告附件一）； </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（2）法定代表人证明书、法定代表人签字或盖章的本投标文件授权委托证明书</w:t>
      </w:r>
      <w:r>
        <w:rPr>
          <w:rFonts w:hint="eastAsia" w:ascii="宋体" w:hAnsi="宋体" w:eastAsia="宋体" w:cs="宋体"/>
          <w:bCs/>
          <w:color w:val="auto"/>
          <w:sz w:val="21"/>
          <w:szCs w:val="21"/>
          <w:highlight w:val="none"/>
          <w:u w:val="single"/>
          <w:lang w:bidi="ar"/>
        </w:rPr>
        <w:t>扫描件</w:t>
      </w:r>
      <w:r>
        <w:rPr>
          <w:rFonts w:hint="eastAsia" w:ascii="宋体" w:hAnsi="宋体" w:eastAsia="宋体" w:cs="宋体"/>
          <w:bCs/>
          <w:color w:val="auto"/>
          <w:sz w:val="21"/>
          <w:szCs w:val="21"/>
          <w:highlight w:val="none"/>
          <w:lang w:bidi="ar-SA"/>
        </w:rPr>
        <w:t>；</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（3）企业营业执照扫描件或电子证照；</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（4）企业资质证书扫描件或电子证照；</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（5）建筑施工企业安全生产许可证扫描件或电子证照；</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（6）项目负责人（按网上投标登记时选择拟投入本项目的项目负责人）；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（7）专职安全员（按网上投标登记时选择拟投入本项目的专职安全员）；</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lang w:bidi="ar-SA"/>
        </w:rPr>
        <w:t>（8）</w:t>
      </w:r>
      <w:r>
        <w:rPr>
          <w:rFonts w:hint="eastAsia" w:ascii="宋体" w:hAnsi="宋体" w:eastAsia="宋体" w:cs="宋体"/>
          <w:color w:val="auto"/>
          <w:sz w:val="21"/>
          <w:szCs w:val="21"/>
          <w:highlight w:val="none"/>
          <w:u w:val="single"/>
        </w:rPr>
        <w:t>拟委托技术负责人的职称证书（提交职称证书清晰扫描件）</w:t>
      </w:r>
      <w:r>
        <w:rPr>
          <w:rFonts w:hint="eastAsia" w:ascii="宋体" w:hAnsi="宋体" w:eastAsia="宋体" w:cs="宋体"/>
          <w:color w:val="auto"/>
          <w:sz w:val="21"/>
          <w:szCs w:val="21"/>
          <w:highlight w:val="none"/>
          <w:u w:val="single"/>
          <w:lang w:bidi="ar-SA"/>
        </w:rPr>
        <w:t>；</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（9）拟委派项目负责人的有效期内的建造师注册证书扫描件或电子证书；</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（10）项目负责人在有效期内的安全生产考核合格证书（B类）或建筑施工企业项目负责人安全生产考核合格证书扫描件或电子证书；</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bidi="ar-SA"/>
        </w:rPr>
        <w:t>（11）专职安全员须具有在有效期内的安全生产考核合格证书（C类）或建筑施工企业专职安全生产管理人员安全生产考核合格证书（C3）扫描件或电子证书</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专职安全员的数量须满足招标文件要求，</w:t>
      </w:r>
      <w:r>
        <w:rPr>
          <w:rFonts w:hint="eastAsia" w:ascii="宋体" w:hAnsi="宋体" w:eastAsia="宋体" w:cs="宋体"/>
          <w:b/>
          <w:color w:val="auto"/>
          <w:sz w:val="21"/>
          <w:szCs w:val="21"/>
          <w:highlight w:val="none"/>
          <w:u w:val="single"/>
        </w:rPr>
        <w:t>项目负责人和专职安全员不为同一人</w:t>
      </w:r>
      <w:r>
        <w:rPr>
          <w:rFonts w:hint="eastAsia" w:ascii="宋体" w:hAnsi="宋体" w:eastAsia="宋体" w:cs="宋体"/>
          <w:b/>
          <w:color w:val="auto"/>
          <w:sz w:val="21"/>
          <w:szCs w:val="21"/>
          <w:highlight w:val="none"/>
          <w:u w:val="single"/>
          <w:lang w:eastAsia="zh-CN"/>
        </w:rPr>
        <w:t>。</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12）资格审查前，投标人须在广州市住房和城乡建设局建立企业信用档案及拟担任本工程项目负责人、专职安全员须是本企业信用档案中的在册人员。企业信用档案取自投标截止时间投标人在广州市住建行业信用管理平台的信息，投标人可无需提交相关资料，若招标人延长递交投标文件截止时间的，信用档案信息的评审时点也相应延长。</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w:t>
      </w:r>
      <w:r>
        <w:rPr>
          <w:rFonts w:hint="eastAsia" w:ascii="宋体" w:hAnsi="宋体" w:eastAsia="宋体" w:cs="宋体"/>
          <w:color w:val="auto"/>
          <w:sz w:val="21"/>
          <w:szCs w:val="21"/>
          <w:highlight w:val="none"/>
          <w:u w:val="single"/>
          <w:lang w:val="en-US" w:eastAsia="zh-CN" w:bidi="ar-SA"/>
        </w:rPr>
        <w:t>3</w:t>
      </w:r>
      <w:r>
        <w:rPr>
          <w:rFonts w:hint="eastAsia" w:ascii="宋体" w:hAnsi="宋体" w:eastAsia="宋体" w:cs="宋体"/>
          <w:color w:val="auto"/>
          <w:sz w:val="21"/>
          <w:szCs w:val="21"/>
          <w:highlight w:val="none"/>
          <w:u w:val="single"/>
          <w:lang w:bidi="ar-SA"/>
        </w:rPr>
        <w:t>）关于联合体投标：本项目不接受联合体投标。</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w:t>
      </w:r>
      <w:r>
        <w:rPr>
          <w:rFonts w:hint="eastAsia" w:ascii="宋体" w:hAnsi="宋体" w:eastAsia="宋体" w:cs="宋体"/>
          <w:color w:val="auto"/>
          <w:sz w:val="21"/>
          <w:szCs w:val="21"/>
          <w:highlight w:val="none"/>
          <w:u w:val="single"/>
          <w:lang w:val="en-US" w:eastAsia="zh-CN" w:bidi="ar-SA"/>
        </w:rPr>
        <w:t>4</w:t>
      </w:r>
      <w:r>
        <w:rPr>
          <w:rFonts w:hint="eastAsia" w:ascii="宋体" w:hAnsi="宋体" w:eastAsia="宋体" w:cs="宋体"/>
          <w:color w:val="auto"/>
          <w:sz w:val="21"/>
          <w:szCs w:val="21"/>
          <w:highlight w:val="none"/>
          <w:u w:val="single"/>
          <w:lang w:bidi="ar-SA"/>
        </w:rPr>
        <w:t>）投标人未被列入拖欠农民工工资失信联合惩戒对象名单。（投标人无需提供资料，</w:t>
      </w:r>
      <w:r>
        <w:rPr>
          <w:rFonts w:hint="eastAsia" w:ascii="宋体" w:hAnsi="宋体" w:eastAsia="宋体" w:cs="宋体"/>
          <w:color w:val="auto"/>
          <w:sz w:val="21"/>
          <w:szCs w:val="21"/>
          <w:highlight w:val="none"/>
          <w:u w:val="single"/>
          <w:lang w:val="en-US" w:eastAsia="zh-CN" w:bidi="ar-SA"/>
        </w:rPr>
        <w:t>按投标截止时间</w:t>
      </w:r>
      <w:r>
        <w:rPr>
          <w:rFonts w:hint="eastAsia" w:ascii="宋体" w:hAnsi="宋体" w:eastAsia="宋体" w:cs="宋体"/>
          <w:color w:val="auto"/>
          <w:sz w:val="21"/>
          <w:szCs w:val="21"/>
          <w:highlight w:val="none"/>
          <w:u w:val="single"/>
          <w:lang w:bidi="ar-SA"/>
        </w:rPr>
        <w:t>广州交易集团有限公司（广州公共资源交易中心）交易系统比对结果为准）。</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w:t>
      </w:r>
      <w:r>
        <w:rPr>
          <w:rFonts w:hint="eastAsia" w:ascii="宋体" w:hAnsi="宋体" w:eastAsia="宋体" w:cs="宋体"/>
          <w:color w:val="auto"/>
          <w:sz w:val="21"/>
          <w:szCs w:val="21"/>
          <w:highlight w:val="none"/>
          <w:u w:val="single"/>
          <w:lang w:val="en-US" w:eastAsia="zh-CN" w:bidi="ar-SA"/>
        </w:rPr>
        <w:t>5</w:t>
      </w:r>
      <w:r>
        <w:rPr>
          <w:rFonts w:hint="eastAsia" w:ascii="宋体" w:hAnsi="宋体" w:eastAsia="宋体" w:cs="宋体"/>
          <w:color w:val="auto"/>
          <w:sz w:val="21"/>
          <w:szCs w:val="21"/>
          <w:highlight w:val="none"/>
          <w:u w:val="single"/>
          <w:lang w:bidi="ar-SA"/>
        </w:rPr>
        <w:t>）投标人证明满足本项目招标公告第九条单列的投标人合格条件的其他资料。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注：1.相关电子证书按规定需打印后手写本人签名的，应按照规定手写本人签名后再扫描提交。</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2.投标人在投标登记时选择了拟投入本项目的项目负责人、专职安全员，即已满足“资格审查前，投标人须在广州市住房和城乡建设局建立企业信用档案及拟担任本工程项目负责人、专职安全员须是本企业信用档案中的在册人员”的要求，投标人无需提供证明材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11.2.3《参与编制技术标投标文件人员名单》（按招标文件的要求填写）。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11.2.4《施工项目管理团队人员信息表》。</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11.2.5施工组织设计或施工方案。</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（1）投标人在编制施工组织设计或施工方案时应按照招标人提出的施工现场建筑垃圾源头减量的具体要求以及建筑垃圾综合利用产品的使用要求提供相应措施。</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2）投标人在编制施工组织设计或施工方案时应按照招标文件要求，并针对本项目的关键技术、工艺、重点、难点以及拟在本项目采用的新工艺、新技术、新材料编制，应突出重点，标准、规范中已有的内容无需赘述，篇幅不宜超过</w:t>
      </w:r>
      <w:r>
        <w:rPr>
          <w:rFonts w:hint="eastAsia" w:ascii="宋体" w:hAnsi="宋体" w:eastAsia="宋体" w:cs="宋体"/>
          <w:color w:val="auto"/>
          <w:sz w:val="21"/>
          <w:szCs w:val="21"/>
          <w:highlight w:val="none"/>
          <w:u w:val="single"/>
          <w:lang w:val="en-US" w:eastAsia="zh-CN" w:bidi="ar-SA"/>
        </w:rPr>
        <w:t>3</w:t>
      </w:r>
      <w:r>
        <w:rPr>
          <w:rFonts w:hint="eastAsia" w:ascii="宋体" w:hAnsi="宋体" w:eastAsia="宋体" w:cs="宋体"/>
          <w:color w:val="auto"/>
          <w:sz w:val="21"/>
          <w:szCs w:val="21"/>
          <w:highlight w:val="none"/>
          <w:u w:val="single"/>
          <w:lang w:bidi="ar-SA"/>
        </w:rPr>
        <w:t>00页。超过部分不予评审。</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11.2.</w:t>
      </w:r>
      <w:r>
        <w:rPr>
          <w:rFonts w:hint="eastAsia" w:ascii="宋体" w:hAnsi="宋体" w:eastAsia="宋体" w:cs="宋体"/>
          <w:color w:val="auto"/>
          <w:sz w:val="21"/>
          <w:szCs w:val="21"/>
          <w:highlight w:val="none"/>
          <w:u w:val="single"/>
          <w:lang w:val="en-US" w:eastAsia="zh-CN" w:bidi="ar-SA"/>
        </w:rPr>
        <w:t>6</w:t>
      </w:r>
      <w:r>
        <w:rPr>
          <w:rFonts w:hint="eastAsia" w:ascii="宋体" w:hAnsi="宋体" w:eastAsia="宋体" w:cs="宋体"/>
          <w:color w:val="auto"/>
          <w:sz w:val="21"/>
          <w:szCs w:val="21"/>
          <w:highlight w:val="none"/>
          <w:u w:val="single"/>
          <w:lang w:bidi="ar-SA"/>
        </w:rPr>
        <w:t>《危险性较大的分部分项工程清单及超过一定规模的危险性较大的分部分项工程清单》（按招标文件的要求填写）。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11.2.</w:t>
      </w:r>
      <w:r>
        <w:rPr>
          <w:rFonts w:hint="eastAsia" w:ascii="宋体" w:hAnsi="宋体" w:eastAsia="宋体" w:cs="宋体"/>
          <w:color w:val="auto"/>
          <w:sz w:val="21"/>
          <w:szCs w:val="21"/>
          <w:highlight w:val="none"/>
          <w:u w:val="single"/>
          <w:lang w:val="en-US" w:eastAsia="zh-CN" w:bidi="ar-SA"/>
        </w:rPr>
        <w:t>7</w:t>
      </w:r>
      <w:r>
        <w:rPr>
          <w:rFonts w:hint="eastAsia" w:ascii="宋体" w:hAnsi="宋体" w:eastAsia="宋体" w:cs="宋体"/>
          <w:color w:val="auto"/>
          <w:sz w:val="21"/>
          <w:szCs w:val="21"/>
          <w:highlight w:val="none"/>
          <w:u w:val="single"/>
          <w:lang w:bidi="ar-SA"/>
        </w:rPr>
        <w:t>企业资信证明材料。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11.2.</w:t>
      </w:r>
      <w:r>
        <w:rPr>
          <w:rFonts w:hint="eastAsia" w:ascii="宋体" w:hAnsi="宋体" w:eastAsia="宋体" w:cs="宋体"/>
          <w:color w:val="auto"/>
          <w:sz w:val="21"/>
          <w:szCs w:val="21"/>
          <w:highlight w:val="none"/>
          <w:u w:val="single"/>
          <w:lang w:val="en-US" w:eastAsia="zh-CN" w:bidi="ar-SA"/>
        </w:rPr>
        <w:t>8</w:t>
      </w:r>
      <w:r>
        <w:rPr>
          <w:rFonts w:hint="eastAsia" w:ascii="宋体" w:hAnsi="宋体" w:eastAsia="宋体" w:cs="宋体"/>
          <w:color w:val="auto"/>
          <w:sz w:val="21"/>
          <w:szCs w:val="21"/>
          <w:highlight w:val="none"/>
          <w:u w:val="single"/>
          <w:lang w:bidi="ar-SA"/>
        </w:rPr>
        <w:t>其他投标人认为应该提供的资料。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11.3 投标文件经济标部分主要包括下列内容：</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11.3.1</w:t>
      </w:r>
      <w:r>
        <w:rPr>
          <w:rFonts w:hint="eastAsia" w:ascii="宋体" w:hAnsi="宋体" w:eastAsia="宋体" w:cs="宋体"/>
          <w:color w:val="auto"/>
          <w:sz w:val="21"/>
          <w:szCs w:val="21"/>
          <w:highlight w:val="none"/>
          <w:lang w:bidi="ar-SA"/>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 w:val="21"/>
          <w:szCs w:val="21"/>
          <w:highlight w:val="none"/>
          <w:u w:val="single"/>
          <w:lang w:bidi="ar-SA"/>
        </w:rPr>
        <w:t>（投标报价的工程量清单的组成、格式等由广州公共资源交易中心的投标文件管理软件自动生成）。</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u w:val="single"/>
          <w:lang w:bidi="ar-SA"/>
        </w:rPr>
        <w:t>11.3.2</w:t>
      </w:r>
      <w:r>
        <w:rPr>
          <w:rFonts w:hint="eastAsia" w:ascii="宋体" w:hAnsi="宋体" w:eastAsia="宋体" w:cs="宋体"/>
          <w:color w:val="auto"/>
          <w:sz w:val="21"/>
          <w:szCs w:val="21"/>
          <w:highlight w:val="none"/>
          <w:lang w:bidi="ar-SA"/>
        </w:rPr>
        <w:t>按照招标文件要求填写的《参与编制经济标投标文件人员名单》。</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11.3.3对投标文件编制的承诺。</w:t>
      </w:r>
    </w:p>
    <w:p>
      <w:pPr>
        <w:pageBreakBefore w:val="0"/>
        <w:pBdr>
          <w:bottom w:val="single" w:color="auto" w:sz="4"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11.3.4若投标人的投标报价低于工程成本警戒价的，投标人还须提供详细的施工组织设计、单价、措施性费用、单价分析表、主要材料价格表、投标人成本分析供评标委员会评审。</w:t>
      </w:r>
    </w:p>
    <w:p>
      <w:pPr>
        <w:pageBreakBefore w:val="0"/>
        <w:pBdr>
          <w:bottom w:val="single" w:color="auto" w:sz="4"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11.3.5投标人认为应提供的其他资料。</w:t>
      </w:r>
    </w:p>
    <w:p>
      <w:pPr>
        <w:pageBreakBefore w:val="0"/>
        <w:pBdr>
          <w:bottom w:val="single" w:color="auto" w:sz="4"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11.4投标文件定标部分（定标文件）主要包括下列内容：</w:t>
      </w:r>
    </w:p>
    <w:p>
      <w:pPr>
        <w:pageBreakBefore w:val="0"/>
        <w:pBdr>
          <w:bottom w:val="single" w:color="auto" w:sz="4"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11.4.1 投标人依据《定标因素表》提供的资料；</w:t>
      </w:r>
    </w:p>
    <w:p>
      <w:pPr>
        <w:pageBreakBefore w:val="0"/>
        <w:pBdr>
          <w:bottom w:val="single" w:color="auto" w:sz="4"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11.4.2投标人认为应该提供的其它资料。</w:t>
      </w:r>
    </w:p>
    <w:p>
      <w:pPr>
        <w:pageBreakBefore w:val="0"/>
        <w:pBdr>
          <w:bottom w:val="single" w:color="auto" w:sz="4"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bidi="ar-SA"/>
        </w:rPr>
        <w:t>注：定标文件的递交时间和形式由投标人按照投标须知前附表第18项所规定的时间及本须知第18条的相关要求执行</w:t>
      </w:r>
      <w:r>
        <w:rPr>
          <w:rFonts w:hint="eastAsia" w:ascii="宋体" w:hAnsi="宋体" w:eastAsia="宋体" w:cs="宋体"/>
          <w:color w:val="auto"/>
          <w:sz w:val="21"/>
          <w:szCs w:val="21"/>
          <w:highlight w:val="none"/>
          <w:u w:val="single"/>
        </w:rPr>
        <w:t>。</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 xml:space="preserve">12.2 </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adjustRightInd w:val="0"/>
        <w:spacing w:line="360" w:lineRule="auto"/>
        <w:ind w:firstLine="411" w:firstLineChars="195"/>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12.2 </w:t>
      </w:r>
      <w:r>
        <w:rPr>
          <w:rFonts w:hint="eastAsia" w:ascii="宋体" w:hAnsi="宋体" w:eastAsia="宋体" w:cs="宋体"/>
          <w:color w:val="auto"/>
          <w:sz w:val="21"/>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autoSpaceDE/>
        <w:autoSpaceDN/>
        <w:bidi w:val="0"/>
        <w:adjustRightInd w:val="0"/>
        <w:spacing w:line="360" w:lineRule="auto"/>
        <w:ind w:firstLine="409" w:firstLineChars="195"/>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注：投标文件电子文档需要投标人单位盖章的材料，投标人加盖电子印章即可，不得将投标人未对电子文档加盖实物印章作为否决投标的情形。</w:t>
      </w:r>
    </w:p>
    <w:p>
      <w:pPr>
        <w:keepNext w:val="0"/>
        <w:keepLines w:val="0"/>
        <w:pageBreakBefore w:val="0"/>
        <w:widowControl w:val="0"/>
        <w:suppressLineNumbers w:val="0"/>
        <w:pBdr>
          <w:bottom w:val="none" w:color="auto" w:sz="0" w:space="1"/>
        </w:pBdr>
        <w:kinsoku/>
        <w:wordWrap/>
        <w:overflowPunct/>
        <w:topLinePunct w:val="0"/>
        <w:autoSpaceDE/>
        <w:autoSpaceDN/>
        <w:bidi w:val="0"/>
        <w:spacing w:before="0" w:beforeAutospacing="0" w:after="0" w:afterAutospacing="0" w:line="360" w:lineRule="auto"/>
        <w:ind w:left="0" w:right="0" w:firstLine="411" w:firstLineChars="195"/>
        <w:jc w:val="both"/>
        <w:textAlignment w:val="baseline"/>
        <w:rPr>
          <w:rFonts w:hint="eastAsia" w:ascii="宋体" w:hAnsi="宋体" w:eastAsia="宋体" w:cs="宋体"/>
          <w:bCs/>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12.2 </w:t>
      </w:r>
      <w:r>
        <w:rPr>
          <w:rFonts w:hint="eastAsia" w:ascii="宋体" w:hAnsi="宋体" w:eastAsia="宋体" w:cs="宋体"/>
          <w:color w:val="auto"/>
          <w:sz w:val="21"/>
          <w:szCs w:val="21"/>
          <w:highlight w:val="none"/>
        </w:rPr>
        <w:t>投标文件全部采用电子文档，投标文件所附证书证件均为原件扫描件，并采用单位数字证书，</w:t>
      </w:r>
      <w:r>
        <w:rPr>
          <w:rFonts w:hint="eastAsia" w:ascii="宋体" w:hAnsi="宋体" w:eastAsia="宋体" w:cs="宋体"/>
          <w:b/>
          <w:color w:val="auto"/>
          <w:kern w:val="0"/>
          <w:sz w:val="21"/>
          <w:szCs w:val="21"/>
          <w:highlight w:val="none"/>
          <w:u w:val="single"/>
          <w:lang w:val="en-US" w:eastAsia="zh-CN" w:bidi="ar"/>
        </w:rPr>
        <w:t>对投标文件</w:t>
      </w:r>
      <w:r>
        <w:rPr>
          <w:rFonts w:hint="eastAsia" w:ascii="宋体" w:hAnsi="宋体" w:eastAsia="宋体" w:cs="宋体"/>
          <w:color w:val="auto"/>
          <w:sz w:val="21"/>
          <w:szCs w:val="21"/>
          <w:highlight w:val="none"/>
        </w:rPr>
        <w:t>加盖电子印章。</w:t>
      </w:r>
      <w:r>
        <w:rPr>
          <w:rFonts w:hint="eastAsia" w:ascii="宋体" w:hAnsi="宋体" w:eastAsia="宋体" w:cs="宋体"/>
          <w:bCs/>
          <w:color w:val="auto"/>
          <w:sz w:val="21"/>
          <w:szCs w:val="21"/>
          <w:highlight w:val="none"/>
        </w:rPr>
        <w:t>投标文件中需个人签字或盖章的，应加盖个人电子印章或在线下完成后扫描上传</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lang w:bidi="ar-SA"/>
        </w:rPr>
        <w:t>由广州投标文件管理软件系统生成的“工程量清单主表--工程量清单报价表”封面页和扉页可以仅采用单位数字证书加盖电子印章处理。</w:t>
      </w:r>
      <w:r>
        <w:rPr>
          <w:rFonts w:hint="eastAsia" w:ascii="宋体" w:hAnsi="宋体" w:eastAsia="宋体" w:cs="宋体"/>
          <w:color w:val="auto"/>
          <w:sz w:val="21"/>
          <w:szCs w:val="21"/>
          <w:highlight w:val="none"/>
        </w:rPr>
        <w:t>按照交易平台关于全流程电子化项目的相关</w:t>
      </w:r>
      <w:r>
        <w:rPr>
          <w:rFonts w:hint="eastAsia" w:ascii="宋体" w:hAnsi="宋体" w:eastAsia="宋体" w:cs="宋体"/>
          <w:bCs/>
          <w:color w:val="auto"/>
          <w:sz w:val="21"/>
          <w:szCs w:val="21"/>
          <w:highlight w:val="none"/>
        </w:rPr>
        <w:t>指南</w:t>
      </w:r>
      <w:r>
        <w:rPr>
          <w:rFonts w:hint="eastAsia" w:ascii="宋体" w:hAnsi="宋体" w:eastAsia="宋体" w:cs="宋体"/>
          <w:color w:val="auto"/>
          <w:sz w:val="21"/>
          <w:szCs w:val="21"/>
          <w:highlight w:val="none"/>
        </w:rPr>
        <w:t>进行操作。详见：</w:t>
      </w:r>
      <w:r>
        <w:rPr>
          <w:rFonts w:hint="eastAsia" w:ascii="宋体" w:hAnsi="宋体" w:eastAsia="宋体" w:cs="宋体"/>
          <w:color w:val="auto"/>
          <w:sz w:val="21"/>
          <w:szCs w:val="21"/>
          <w:highlight w:val="none"/>
          <w:u w:val="single"/>
        </w:rPr>
        <w:t>广州交易集团有限公司（广州公共资源交易中心）网站</w:t>
      </w:r>
      <w:r>
        <w:rPr>
          <w:rFonts w:hint="eastAsia" w:ascii="宋体" w:hAnsi="宋体" w:eastAsia="宋体" w:cs="宋体"/>
          <w:bCs/>
          <w:color w:val="auto"/>
          <w:sz w:val="21"/>
          <w:szCs w:val="21"/>
          <w:highlight w:val="none"/>
          <w:u w:val="single"/>
        </w:rPr>
        <w:t>。</w:t>
      </w:r>
    </w:p>
    <w:p>
      <w:pPr>
        <w:keepNext w:val="0"/>
        <w:keepLines w:val="0"/>
        <w:pageBreakBefore w:val="0"/>
        <w:widowControl w:val="0"/>
        <w:suppressLineNumbers w:val="0"/>
        <w:pBdr>
          <w:bottom w:val="single" w:color="auto" w:sz="6" w:space="1"/>
        </w:pBdr>
        <w:kinsoku/>
        <w:wordWrap/>
        <w:overflowPunct/>
        <w:topLinePunct w:val="0"/>
        <w:autoSpaceDE/>
        <w:autoSpaceDN/>
        <w:bidi w:val="0"/>
        <w:spacing w:before="0" w:beforeAutospacing="0" w:after="0" w:afterAutospacing="0" w:line="360" w:lineRule="auto"/>
        <w:ind w:left="0" w:right="0" w:firstLine="409" w:firstLineChars="195"/>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注：投标文件电子文档需要投标人单位盖章的材料，投标人加盖电子印章即可，不得将投标人未对电子文档加盖实物印章作为否决投标的情形。</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12.3</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411" w:firstLineChars="195"/>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12.3 </w:t>
      </w:r>
      <w:r>
        <w:rPr>
          <w:rFonts w:hint="eastAsia" w:ascii="宋体" w:hAnsi="宋体" w:eastAsia="宋体" w:cs="宋体"/>
          <w:color w:val="auto"/>
          <w:sz w:val="21"/>
          <w:szCs w:val="21"/>
          <w:highlight w:val="none"/>
        </w:rPr>
        <w:t>投标文件应按照交易平台关于全流程电子化项目的相关指南进行编制，详见：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spacing w:line="360" w:lineRule="auto"/>
        <w:ind w:firstLine="409" w:firstLineChars="195"/>
        <w:textAlignment w:val="baseline"/>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如不按上述要求编制引起系统无法检索、读取相关信息的，其后果由投标人承担。</w:t>
      </w:r>
    </w:p>
    <w:p>
      <w:pPr>
        <w:pageBreakBefore w:val="0"/>
        <w:pBdr>
          <w:bottom w:val="single" w:color="auto" w:sz="6" w:space="1"/>
        </w:pBdr>
        <w:kinsoku/>
        <w:wordWrap/>
        <w:overflowPunct/>
        <w:topLinePunct w:val="0"/>
        <w:autoSpaceDE/>
        <w:autoSpaceDN/>
        <w:bidi w:val="0"/>
        <w:spacing w:line="360" w:lineRule="auto"/>
        <w:ind w:firstLine="411" w:firstLineChars="195"/>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12.3 投标文件应按</w:t>
      </w:r>
      <w:r>
        <w:rPr>
          <w:rFonts w:hint="eastAsia" w:ascii="宋体" w:hAnsi="宋体" w:eastAsia="宋体" w:cs="宋体"/>
          <w:color w:val="auto"/>
          <w:sz w:val="21"/>
          <w:szCs w:val="21"/>
          <w:highlight w:val="none"/>
        </w:rPr>
        <w:t>照</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交易平台关于全流程电子化项目的相关指南进行编制，详见：</w:t>
      </w:r>
      <w:r>
        <w:rPr>
          <w:rFonts w:hint="eastAsia" w:ascii="宋体" w:hAnsi="宋体" w:eastAsia="宋体" w:cs="宋体"/>
          <w:color w:val="auto"/>
          <w:sz w:val="21"/>
          <w:szCs w:val="21"/>
          <w:highlight w:val="none"/>
          <w:u w:val="single"/>
        </w:rPr>
        <w:t>广州交易集团有限公司（广州公共资源交易中心）网站最新指引</w:t>
      </w:r>
      <w:r>
        <w:rPr>
          <w:rFonts w:hint="eastAsia" w:ascii="宋体" w:hAnsi="宋体" w:eastAsia="宋体" w:cs="宋体"/>
          <w:color w:val="auto"/>
          <w:sz w:val="21"/>
          <w:szCs w:val="21"/>
          <w:highlight w:val="none"/>
        </w:rPr>
        <w:t>。</w:t>
      </w:r>
    </w:p>
    <w:p>
      <w:pPr>
        <w:pageBreakBefore w:val="0"/>
        <w:pBdr>
          <w:bottom w:val="single" w:color="auto" w:sz="6" w:space="1"/>
        </w:pBdr>
        <w:kinsoku/>
        <w:wordWrap/>
        <w:overflowPunct/>
        <w:topLinePunct w:val="0"/>
        <w:autoSpaceDE/>
        <w:autoSpaceDN/>
        <w:bidi w:val="0"/>
        <w:spacing w:line="360" w:lineRule="auto"/>
        <w:ind w:firstLine="409" w:firstLineChars="195"/>
        <w:textAlignment w:val="baseline"/>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如不按上述要求编制引起系统无法检索、读取相关信息的，其后果由投标人承担。</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条款号：13.1             修改类型：修改</w:t>
      </w:r>
    </w:p>
    <w:p>
      <w:pPr>
        <w:pageBreakBefore w:val="0"/>
        <w:kinsoku/>
        <w:wordWrap/>
        <w:overflowPunct/>
        <w:topLinePunct w:val="0"/>
        <w:autoSpaceDE/>
        <w:autoSpaceDN/>
        <w:bidi w:val="0"/>
        <w:spacing w:line="360" w:lineRule="auto"/>
        <w:ind w:firstLine="411" w:firstLineChars="195"/>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color w:val="auto"/>
          <w:sz w:val="21"/>
          <w:szCs w:val="21"/>
          <w:highlight w:val="none"/>
        </w:rPr>
        <w:t>13.1 本工程的投标报价采用投标须知前附表第12项所规定的方式。投标报价（含单价及总价）精确到“分”。</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现文：</w:t>
      </w:r>
      <w:r>
        <w:rPr>
          <w:rFonts w:hint="eastAsia" w:ascii="宋体" w:hAnsi="宋体" w:eastAsia="宋体" w:cs="宋体"/>
          <w:color w:val="auto"/>
          <w:sz w:val="21"/>
          <w:szCs w:val="21"/>
          <w:highlight w:val="none"/>
        </w:rPr>
        <w:t>13.1 本工程的投标报价采用投标须知前附表第12项所规定的方式。</w:t>
      </w:r>
      <w:r>
        <w:rPr>
          <w:rFonts w:hint="eastAsia" w:ascii="宋体" w:hAnsi="宋体" w:eastAsia="宋体" w:cs="宋体"/>
          <w:color w:val="auto"/>
          <w:sz w:val="21"/>
          <w:szCs w:val="21"/>
          <w:highlight w:val="none"/>
          <w:u w:val="single"/>
        </w:rPr>
        <w:t>投标文件中的大写金额和小写金额不一致的，以大写金额为准。</w:t>
      </w:r>
      <w:r>
        <w:rPr>
          <w:rFonts w:hint="eastAsia" w:ascii="宋体" w:hAnsi="宋体" w:eastAsia="宋体" w:cs="宋体"/>
          <w:color w:val="auto"/>
          <w:sz w:val="21"/>
          <w:szCs w:val="21"/>
          <w:highlight w:val="none"/>
        </w:rPr>
        <w:t>投标报价（含单价及总价）精确到“分”。</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Cs/>
          <w:color w:val="auto"/>
          <w:sz w:val="21"/>
          <w:szCs w:val="21"/>
          <w:highlight w:val="none"/>
        </w:rPr>
        <w:t>13.3</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411"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13.3 </w:t>
      </w:r>
      <w:r>
        <w:rPr>
          <w:rFonts w:hint="eastAsia" w:ascii="宋体" w:hAnsi="宋体" w:eastAsia="宋体" w:cs="宋体"/>
          <w:color w:val="auto"/>
          <w:sz w:val="21"/>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ageBreakBefore w:val="0"/>
        <w:pBdr>
          <w:bottom w:val="single" w:color="auto" w:sz="6" w:space="1"/>
        </w:pBdr>
        <w:kinsoku/>
        <w:wordWrap/>
        <w:overflowPunct/>
        <w:topLinePunct w:val="0"/>
        <w:autoSpaceDE/>
        <w:autoSpaceDN/>
        <w:bidi w:val="0"/>
        <w:spacing w:line="360" w:lineRule="auto"/>
        <w:ind w:firstLine="411" w:firstLineChars="19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13.3 </w:t>
      </w:r>
      <w:r>
        <w:rPr>
          <w:rFonts w:hint="eastAsia" w:ascii="宋体" w:hAnsi="宋体" w:eastAsia="宋体" w:cs="宋体"/>
          <w:color w:val="auto"/>
          <w:sz w:val="21"/>
          <w:szCs w:val="21"/>
          <w:highlight w:val="none"/>
        </w:rPr>
        <w:t>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color w:val="auto"/>
          <w:sz w:val="21"/>
          <w:szCs w:val="21"/>
          <w:highlight w:val="none"/>
          <w:u w:val="single"/>
        </w:rPr>
        <w:t>提供的招标图纸（包括有关于本项目招标的相关资料）及</w:t>
      </w:r>
      <w:r>
        <w:rPr>
          <w:rFonts w:hint="eastAsia" w:ascii="宋体" w:hAnsi="宋体" w:eastAsia="宋体" w:cs="宋体"/>
          <w:color w:val="auto"/>
          <w:sz w:val="21"/>
          <w:szCs w:val="21"/>
          <w:highlight w:val="none"/>
        </w:rPr>
        <w:t>制定的工程量清单列明工作的全部费用，包括但不限于完成工作的成本、利润、税金、技术措施费、大型机械进出场费、风险费以及政策性文件规定费用等，不得以任何理由重复计算。招标人提供的工程量清单或招标文件其他部分中有关规费、暂列金额、暂估价、</w:t>
      </w:r>
      <w:r>
        <w:rPr>
          <w:rFonts w:hint="eastAsia" w:ascii="宋体" w:hAnsi="宋体" w:cs="宋体"/>
          <w:color w:val="auto"/>
          <w:sz w:val="21"/>
          <w:szCs w:val="21"/>
          <w:highlight w:val="none"/>
          <w:u w:val="single"/>
          <w:lang w:eastAsia="zh-CN"/>
        </w:rPr>
        <w:t>安全生产措施费</w:t>
      </w:r>
      <w:r>
        <w:rPr>
          <w:rFonts w:hint="eastAsia" w:ascii="宋体" w:hAnsi="宋体" w:eastAsia="宋体" w:cs="宋体"/>
          <w:color w:val="auto"/>
          <w:sz w:val="21"/>
          <w:szCs w:val="21"/>
          <w:highlight w:val="none"/>
        </w:rPr>
        <w:t>等非竞争性项目明列了单价或合价的金额的，投标人应按照明列的单价或合价的金额报价，未按照规定金额报价的，由评标委员会按照招标文件规定的金额进行修正。</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13.4</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eastAsia="宋体" w:cs="宋体"/>
          <w:color w:val="auto"/>
          <w:sz w:val="21"/>
          <w:szCs w:val="21"/>
          <w:highlight w:val="none"/>
          <w:u w:val="single"/>
        </w:rPr>
        <w:t>按合同条款相关约定调整。</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13.5  13.5.1  13.5.2  13.5.3  13.5.4              </w:t>
      </w:r>
      <w:r>
        <w:rPr>
          <w:rFonts w:hint="eastAsia" w:ascii="宋体" w:hAnsi="宋体" w:eastAsia="宋体" w:cs="宋体"/>
          <w:b/>
          <w:color w:val="auto"/>
          <w:sz w:val="21"/>
          <w:szCs w:val="21"/>
          <w:highlight w:val="none"/>
        </w:rPr>
        <w:t xml:space="preserve">    修改类型：修改</w:t>
      </w:r>
    </w:p>
    <w:p>
      <w:pPr>
        <w:pStyle w:val="5"/>
        <w:pageBreakBefore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13.5工程项目实施期间……，中标后双方协商约定。</w:t>
      </w:r>
    </w:p>
    <w:p>
      <w:pPr>
        <w:pageBreakBefore w:val="0"/>
        <w:pBdr>
          <w:bottom w:val="single" w:color="auto" w:sz="6" w:space="1"/>
        </w:pBdr>
        <w:kinsoku/>
        <w:wordWrap/>
        <w:overflowPunct/>
        <w:topLinePunct w:val="0"/>
        <w:autoSpaceDE/>
        <w:autoSpaceDN/>
        <w:bidi w:val="0"/>
        <w:spacing w:line="360" w:lineRule="auto"/>
        <w:ind w:firstLine="411" w:firstLineChars="19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13.5</w:t>
      </w:r>
      <w:r>
        <w:rPr>
          <w:rFonts w:hint="eastAsia" w:ascii="宋体" w:hAnsi="宋体" w:eastAsia="宋体" w:cs="宋体"/>
          <w:color w:val="auto"/>
          <w:sz w:val="21"/>
          <w:szCs w:val="21"/>
          <w:highlight w:val="none"/>
          <w:u w:val="single"/>
        </w:rPr>
        <w:t>变更结算方式按招标文件及施工合同相关规定执行。</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bidi="ar-SA"/>
        </w:rPr>
        <w:t>：13.6              修改类型：修改</w:t>
      </w:r>
    </w:p>
    <w:p>
      <w:pPr>
        <w:pStyle w:val="5"/>
        <w:pageBreakBefore w:val="0"/>
        <w:pBdr>
          <w:bottom w:val="single" w:color="auto" w:sz="6" w:space="1"/>
        </w:pBdr>
        <w:kinsoku/>
        <w:wordWrap/>
        <w:overflowPunct/>
        <w:topLinePunct w:val="0"/>
        <w:autoSpaceDE/>
        <w:autoSpaceDN/>
        <w:bidi w:val="0"/>
        <w:spacing w:after="0"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lang w:bidi="ar-SA"/>
        </w:rPr>
        <w:t>13.6 暂列金额、暂估价</w:t>
      </w:r>
    </w:p>
    <w:p>
      <w:pPr>
        <w:pStyle w:val="5"/>
        <w:pageBreakBefore w:val="0"/>
        <w:pBdr>
          <w:bottom w:val="single" w:color="auto" w:sz="6" w:space="1"/>
        </w:pBdr>
        <w:kinsoku/>
        <w:wordWrap/>
        <w:overflowPunct/>
        <w:topLinePunct w:val="0"/>
        <w:autoSpaceDE/>
        <w:autoSpaceDN/>
        <w:bidi w:val="0"/>
        <w:spacing w:after="0"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pageBreakBefore w:val="0"/>
        <w:pBdr>
          <w:bottom w:val="single" w:color="auto" w:sz="6" w:space="1"/>
        </w:pBdr>
        <w:kinsoku/>
        <w:wordWrap/>
        <w:overflowPunct/>
        <w:topLinePunct w:val="0"/>
        <w:autoSpaceDE/>
        <w:autoSpaceDN/>
        <w:bidi w:val="0"/>
        <w:spacing w:after="0"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暂估价是指招标人在工程量清单中提供的用于支付必然发生但暂时不能确定价格的材料的单价以及专业工程的金额。</w:t>
      </w:r>
    </w:p>
    <w:p>
      <w:pPr>
        <w:pStyle w:val="5"/>
        <w:pageBreakBefore w:val="0"/>
        <w:pBdr>
          <w:bottom w:val="single" w:color="auto" w:sz="6" w:space="1"/>
        </w:pBdr>
        <w:kinsoku/>
        <w:wordWrap/>
        <w:overflowPunct/>
        <w:topLinePunct w:val="0"/>
        <w:autoSpaceDE/>
        <w:autoSpaceDN/>
        <w:bidi w:val="0"/>
        <w:spacing w:after="0"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pageBreakBefore w:val="0"/>
        <w:pBdr>
          <w:bottom w:val="single" w:color="auto" w:sz="6" w:space="1"/>
        </w:pBdr>
        <w:kinsoku/>
        <w:wordWrap/>
        <w:overflowPunct/>
        <w:topLinePunct w:val="0"/>
        <w:autoSpaceDE/>
        <w:autoSpaceDN/>
        <w:bidi w:val="0"/>
        <w:spacing w:after="0"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pageBreakBefore w:val="0"/>
        <w:pBdr>
          <w:bottom w:val="single" w:color="auto" w:sz="6" w:space="1"/>
        </w:pBdr>
        <w:kinsoku/>
        <w:wordWrap/>
        <w:overflowPunct/>
        <w:topLinePunct w:val="0"/>
        <w:autoSpaceDE/>
        <w:autoSpaceDN/>
        <w:bidi w:val="0"/>
        <w:spacing w:after="0"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pageBreakBefore w:val="0"/>
        <w:pBdr>
          <w:bottom w:val="single" w:color="auto" w:sz="6" w:space="1"/>
        </w:pBdr>
        <w:kinsoku/>
        <w:wordWrap/>
        <w:overflowPunct/>
        <w:topLinePunct w:val="0"/>
        <w:autoSpaceDE/>
        <w:autoSpaceDN/>
        <w:bidi w:val="0"/>
        <w:spacing w:after="0"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pageBreakBefore w:val="0"/>
        <w:pBdr>
          <w:bottom w:val="single" w:color="auto" w:sz="6" w:space="1"/>
        </w:pBdr>
        <w:kinsoku/>
        <w:wordWrap/>
        <w:overflowPunct/>
        <w:topLinePunct w:val="0"/>
        <w:autoSpaceDE/>
        <w:autoSpaceDN/>
        <w:bidi w:val="0"/>
        <w:spacing w:after="0"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ageBreakBefore w:val="0"/>
        <w:pBdr>
          <w:bottom w:val="single" w:color="auto" w:sz="6" w:space="1"/>
        </w:pBdr>
        <w:kinsoku/>
        <w:wordWrap/>
        <w:overflowPunct/>
        <w:topLinePunct w:val="0"/>
        <w:autoSpaceDE/>
        <w:autoSpaceDN/>
        <w:bidi w:val="0"/>
        <w:spacing w:line="360" w:lineRule="auto"/>
        <w:ind w:firstLine="411" w:firstLineChars="195"/>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lang w:bidi="ar-SA"/>
        </w:rPr>
        <w:t>13.6在工程实施中，</w:t>
      </w:r>
      <w:r>
        <w:rPr>
          <w:rFonts w:hint="eastAsia" w:ascii="宋体" w:hAnsi="宋体" w:eastAsia="宋体" w:cs="宋体"/>
          <w:color w:val="auto"/>
          <w:sz w:val="21"/>
          <w:szCs w:val="21"/>
          <w:highlight w:val="none"/>
          <w:u w:val="single"/>
          <w:lang w:bidi="ar-SA"/>
        </w:rPr>
        <w:t>暂列金额、按下浮率报价所包含的工作范围和图纸、标准深化固定后，按合同条款约定采购方式为准</w:t>
      </w:r>
      <w:r>
        <w:rPr>
          <w:rFonts w:hint="eastAsia" w:ascii="宋体" w:hAnsi="宋体" w:eastAsia="宋体" w:cs="宋体"/>
          <w:color w:val="auto"/>
          <w:sz w:val="21"/>
          <w:szCs w:val="21"/>
          <w:highlight w:val="none"/>
        </w:rPr>
        <w:t>。</w:t>
      </w:r>
    </w:p>
    <w:p>
      <w:pPr>
        <w:pageBreakBefore w:val="0"/>
        <w:tabs>
          <w:tab w:val="left" w:pos="4536"/>
        </w:tabs>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条款号：13.10</w:t>
      </w:r>
      <w:r>
        <w:rPr>
          <w:rFonts w:hint="eastAsia" w:ascii="宋体" w:hAnsi="宋体" w:eastAsia="宋体" w:cs="宋体"/>
          <w:b/>
          <w:color w:val="auto"/>
          <w:sz w:val="21"/>
          <w:szCs w:val="21"/>
          <w:highlight w:val="none"/>
          <w:lang w:bidi="ar-SA"/>
        </w:rPr>
        <w:tab/>
      </w:r>
      <w:r>
        <w:rPr>
          <w:rFonts w:hint="eastAsia" w:ascii="宋体" w:hAnsi="宋体" w:eastAsia="宋体" w:cs="宋体"/>
          <w:b/>
          <w:color w:val="auto"/>
          <w:sz w:val="21"/>
          <w:szCs w:val="21"/>
          <w:highlight w:val="none"/>
          <w:lang w:bidi="ar-SA"/>
        </w:rPr>
        <w:t>修改类型：</w:t>
      </w:r>
      <w:r>
        <w:rPr>
          <w:rStyle w:val="27"/>
          <w:rFonts w:hint="eastAsia" w:ascii="宋体" w:hAnsi="宋体" w:eastAsia="宋体" w:cs="宋体"/>
          <w:b/>
          <w:color w:val="auto"/>
          <w:sz w:val="21"/>
          <w:szCs w:val="21"/>
          <w:highlight w:val="none"/>
        </w:rPr>
        <w:t>增加</w:t>
      </w:r>
    </w:p>
    <w:p>
      <w:pPr>
        <w:pageBreakBefore w:val="0"/>
        <w:pBdr>
          <w:bottom w:val="single" w:color="auto" w:sz="4" w:space="0"/>
        </w:pBdr>
        <w:kinsoku/>
        <w:wordWrap/>
        <w:overflowPunct/>
        <w:topLinePunct w:val="0"/>
        <w:autoSpaceDE/>
        <w:autoSpaceDN/>
        <w:bidi w:val="0"/>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bidi="ar-SA"/>
        </w:rPr>
        <w:t>现文：</w:t>
      </w:r>
      <w:r>
        <w:rPr>
          <w:rStyle w:val="27"/>
          <w:rFonts w:hint="eastAsia" w:ascii="宋体" w:hAnsi="宋体" w:eastAsia="宋体" w:cs="宋体"/>
          <w:b/>
          <w:bCs/>
          <w:color w:val="auto"/>
          <w:sz w:val="21"/>
          <w:szCs w:val="21"/>
          <w:highlight w:val="none"/>
          <w:u w:val="single"/>
        </w:rPr>
        <w:t>13.10本项目执行中华人民共和国国家标准《</w:t>
      </w:r>
      <w:bookmarkStart w:id="7" w:name="OLE_LINK3"/>
      <w:r>
        <w:rPr>
          <w:rStyle w:val="27"/>
          <w:rFonts w:hint="eastAsia" w:ascii="宋体" w:hAnsi="宋体" w:eastAsia="宋体" w:cs="宋体"/>
          <w:b/>
          <w:bCs/>
          <w:color w:val="auto"/>
          <w:sz w:val="21"/>
          <w:szCs w:val="21"/>
          <w:highlight w:val="none"/>
          <w:u w:val="single"/>
        </w:rPr>
        <w:t>建设工程工程量清单计价规范</w:t>
      </w:r>
      <w:bookmarkEnd w:id="7"/>
      <w:r>
        <w:rPr>
          <w:rStyle w:val="27"/>
          <w:rFonts w:hint="eastAsia" w:ascii="宋体" w:hAnsi="宋体" w:eastAsia="宋体" w:cs="宋体"/>
          <w:b/>
          <w:bCs/>
          <w:color w:val="auto"/>
          <w:sz w:val="21"/>
          <w:szCs w:val="21"/>
          <w:highlight w:val="none"/>
          <w:u w:val="single"/>
        </w:rPr>
        <w:t>》（</w:t>
      </w:r>
      <w:r>
        <w:rPr>
          <w:rStyle w:val="27"/>
          <w:rFonts w:hint="eastAsia" w:ascii="宋体" w:hAnsi="宋体" w:eastAsia="宋体" w:cs="宋体"/>
          <w:b/>
          <w:bCs/>
          <w:color w:val="auto"/>
          <w:sz w:val="21"/>
          <w:szCs w:val="21"/>
          <w:highlight w:val="none"/>
          <w:u w:val="single"/>
          <w:lang w:eastAsia="zh-CN"/>
        </w:rPr>
        <w:t>GB/T50500-2024</w:t>
      </w:r>
      <w:r>
        <w:rPr>
          <w:rStyle w:val="27"/>
          <w:rFonts w:hint="eastAsia" w:ascii="宋体" w:hAnsi="宋体" w:eastAsia="宋体" w:cs="宋体"/>
          <w:b/>
          <w:bCs/>
          <w:color w:val="auto"/>
          <w:sz w:val="21"/>
          <w:szCs w:val="21"/>
          <w:highlight w:val="none"/>
          <w:u w:val="single"/>
        </w:rPr>
        <w:t>）、《广东省住房和城乡建设厅关于营业税改征增值税后调整广东省建设工程计价依据的通知》（粤建市函[2016]1113号）、《广州市建设工程造价管理站关于营业税改征增值税后广州市建设工程计价有关问题的通知》（穗建造价[2016]31号）。</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条款号：15.2              修改类型：修改</w:t>
      </w:r>
    </w:p>
    <w:p>
      <w:pPr>
        <w:pageBreakBefore w:val="0"/>
        <w:kinsoku/>
        <w:wordWrap/>
        <w:overflowPunct/>
        <w:topLinePunct w:val="0"/>
        <w:autoSpaceDE/>
        <w:autoSpaceDN/>
        <w:bidi w:val="0"/>
        <w:spacing w:line="360" w:lineRule="auto"/>
        <w:ind w:firstLine="411" w:firstLineChars="19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15.2</w:t>
      </w:r>
      <w:r>
        <w:rPr>
          <w:rFonts w:hint="eastAsia" w:ascii="宋体" w:hAnsi="宋体" w:eastAsia="宋体" w:cs="宋体"/>
          <w:color w:val="auto"/>
          <w:sz w:val="21"/>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ageBreakBefore w:val="0"/>
        <w:pBdr>
          <w:bottom w:val="single" w:color="auto" w:sz="6" w:space="1"/>
        </w:pBdr>
        <w:kinsoku/>
        <w:wordWrap/>
        <w:overflowPunct/>
        <w:topLinePunct w:val="0"/>
        <w:autoSpaceDE/>
        <w:autoSpaceDN/>
        <w:bidi w:val="0"/>
        <w:spacing w:line="360" w:lineRule="auto"/>
        <w:ind w:firstLine="411" w:firstLineChars="19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15.2</w:t>
      </w:r>
      <w:r>
        <w:rPr>
          <w:rFonts w:hint="eastAsia" w:ascii="宋体" w:hAnsi="宋体" w:eastAsia="宋体" w:cs="宋体"/>
          <w:color w:val="auto"/>
          <w:sz w:val="21"/>
          <w:szCs w:val="21"/>
          <w:highlight w:val="none"/>
          <w:u w:val="singl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bidi="ar-SA"/>
        </w:rPr>
        <w:t>款号：16.4             修改类型：修改</w:t>
      </w:r>
    </w:p>
    <w:p>
      <w:pPr>
        <w:pageBreakBefore w:val="0"/>
        <w:widowControl/>
        <w:kinsoku/>
        <w:wordWrap/>
        <w:overflowPunct/>
        <w:topLinePunct w:val="0"/>
        <w:autoSpaceDE/>
        <w:autoSpaceDN/>
        <w:bidi w:val="0"/>
        <w:spacing w:line="360" w:lineRule="auto"/>
        <w:ind w:firstLine="422" w:firstLineChars="200"/>
        <w:rPr>
          <w:rFonts w:hint="eastAsia" w:ascii="宋体" w:hAnsi="宋体" w:eastAsia="宋体" w:cs="宋体"/>
          <w:bCs/>
          <w:color w:val="auto"/>
          <w:sz w:val="21"/>
          <w:szCs w:val="21"/>
          <w:highlight w:val="none"/>
          <w:lang w:bidi="ar-SA"/>
        </w:rPr>
      </w:pPr>
      <w:r>
        <w:rPr>
          <w:rFonts w:hint="eastAsia" w:ascii="宋体" w:hAnsi="宋体" w:eastAsia="宋体" w:cs="宋体"/>
          <w:b/>
          <w:color w:val="auto"/>
          <w:sz w:val="21"/>
          <w:szCs w:val="21"/>
          <w:highlight w:val="none"/>
          <w:lang w:bidi="ar-SA"/>
        </w:rPr>
        <w:t xml:space="preserve">原文： </w:t>
      </w:r>
      <w:r>
        <w:rPr>
          <w:rFonts w:hint="eastAsia" w:ascii="宋体" w:hAnsi="宋体" w:eastAsia="宋体" w:cs="宋体"/>
          <w:bCs/>
          <w:color w:val="auto"/>
          <w:sz w:val="21"/>
          <w:szCs w:val="21"/>
          <w:highlight w:val="none"/>
          <w:lang w:bidi="ar-SA"/>
        </w:rPr>
        <w:t>16.4如有下列情况之一的，招标人可以不予退还投标保证金</w:t>
      </w:r>
      <w:r>
        <w:rPr>
          <w:rFonts w:hint="eastAsia" w:ascii="宋体" w:hAnsi="宋体" w:eastAsia="宋体" w:cs="宋体"/>
          <w:bCs/>
          <w:color w:val="auto"/>
          <w:sz w:val="21"/>
          <w:szCs w:val="21"/>
          <w:highlight w:val="none"/>
          <w:u w:val="single"/>
          <w:lang w:bidi="ar-SA"/>
        </w:rPr>
        <w:t>（是否退还投标保证金由招标人在招标文件中规定）</w:t>
      </w:r>
      <w:r>
        <w:rPr>
          <w:rFonts w:hint="eastAsia" w:ascii="宋体" w:hAnsi="宋体" w:eastAsia="宋体" w:cs="宋体"/>
          <w:bCs/>
          <w:color w:val="auto"/>
          <w:sz w:val="21"/>
          <w:szCs w:val="21"/>
          <w:highlight w:val="none"/>
          <w:lang w:bidi="ar-SA"/>
        </w:rPr>
        <w:t>：</w:t>
      </w:r>
    </w:p>
    <w:p>
      <w:pPr>
        <w:pageBreakBefore w:val="0"/>
        <w:widowControl/>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16.4.1因投标人原因造成投标文件未解密的；</w:t>
      </w:r>
    </w:p>
    <w:p>
      <w:pPr>
        <w:pageBreakBefore w:val="0"/>
        <w:widowControl/>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16.4.2投标人在投标有效期内撤销投标文件；</w:t>
      </w:r>
    </w:p>
    <w:p>
      <w:pPr>
        <w:pageBreakBefore w:val="0"/>
        <w:widowControl/>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16.4.3中标人未能在规定期限内按要求提交履约担保；</w:t>
      </w:r>
    </w:p>
    <w:p>
      <w:pPr>
        <w:pStyle w:val="5"/>
        <w:pageBreakBefore w:val="0"/>
        <w:pBdr>
          <w:bottom w:val="single" w:color="auto" w:sz="6" w:space="0"/>
        </w:pBdr>
        <w:kinsoku/>
        <w:wordWrap/>
        <w:overflowPunct/>
        <w:topLinePunct w:val="0"/>
        <w:autoSpaceDE/>
        <w:autoSpaceDN/>
        <w:bidi w:val="0"/>
        <w:spacing w:after="0"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16.4.4中标人未能在规定期限内签署合同协议。</w:t>
      </w:r>
    </w:p>
    <w:p>
      <w:pPr>
        <w:pStyle w:val="5"/>
        <w:pageBreakBefore w:val="0"/>
        <w:pBdr>
          <w:bottom w:val="single" w:color="auto" w:sz="6" w:space="0"/>
        </w:pBdr>
        <w:kinsoku/>
        <w:wordWrap/>
        <w:overflowPunct/>
        <w:topLinePunct w:val="0"/>
        <w:autoSpaceDE/>
        <w:autoSpaceDN/>
        <w:bidi w:val="0"/>
        <w:spacing w:after="0" w:line="360" w:lineRule="auto"/>
        <w:ind w:firstLine="422" w:firstLineChars="200"/>
        <w:rPr>
          <w:rFonts w:hint="eastAsia" w:ascii="宋体" w:hAnsi="宋体" w:eastAsia="宋体" w:cs="宋体"/>
          <w:bCs/>
          <w:color w:val="auto"/>
          <w:sz w:val="21"/>
          <w:szCs w:val="21"/>
          <w:highlight w:val="non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bCs/>
          <w:color w:val="auto"/>
          <w:sz w:val="21"/>
          <w:szCs w:val="21"/>
          <w:highlight w:val="none"/>
          <w:lang w:bidi="ar-SA"/>
        </w:rPr>
        <w:t>16.4如有下列情况之一的，招标人可以不予退还投标保证金：</w:t>
      </w:r>
    </w:p>
    <w:p>
      <w:pPr>
        <w:pStyle w:val="5"/>
        <w:pageBreakBefore w:val="0"/>
        <w:pBdr>
          <w:bottom w:val="single" w:color="auto" w:sz="6" w:space="0"/>
        </w:pBdr>
        <w:kinsoku/>
        <w:wordWrap/>
        <w:overflowPunct/>
        <w:topLinePunct w:val="0"/>
        <w:autoSpaceDE/>
        <w:autoSpaceDN/>
        <w:bidi w:val="0"/>
        <w:spacing w:after="0"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16.4.1因投标人原因造成投标文件未解密的；</w:t>
      </w:r>
    </w:p>
    <w:p>
      <w:pPr>
        <w:pStyle w:val="5"/>
        <w:pageBreakBefore w:val="0"/>
        <w:pBdr>
          <w:bottom w:val="single" w:color="auto" w:sz="6" w:space="0"/>
        </w:pBdr>
        <w:kinsoku/>
        <w:wordWrap/>
        <w:overflowPunct/>
        <w:topLinePunct w:val="0"/>
        <w:autoSpaceDE/>
        <w:autoSpaceDN/>
        <w:bidi w:val="0"/>
        <w:spacing w:after="0"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16.4.2投标人在投标有效期内撤销投标文件；</w:t>
      </w:r>
    </w:p>
    <w:p>
      <w:pPr>
        <w:pStyle w:val="5"/>
        <w:pageBreakBefore w:val="0"/>
        <w:pBdr>
          <w:bottom w:val="single" w:color="auto" w:sz="6" w:space="0"/>
        </w:pBdr>
        <w:kinsoku/>
        <w:wordWrap/>
        <w:overflowPunct/>
        <w:topLinePunct w:val="0"/>
        <w:autoSpaceDE/>
        <w:autoSpaceDN/>
        <w:bidi w:val="0"/>
        <w:spacing w:after="0"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16.4.3中标人未能在规定期限内按要求提交履约担保；</w:t>
      </w:r>
    </w:p>
    <w:p>
      <w:pPr>
        <w:pStyle w:val="5"/>
        <w:pageBreakBefore w:val="0"/>
        <w:pBdr>
          <w:bottom w:val="single" w:color="auto" w:sz="6" w:space="0"/>
        </w:pBdr>
        <w:kinsoku/>
        <w:wordWrap/>
        <w:overflowPunct/>
        <w:topLinePunct w:val="0"/>
        <w:autoSpaceDE/>
        <w:autoSpaceDN/>
        <w:bidi w:val="0"/>
        <w:spacing w:after="0"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16.4.4中标人未能在规定期限内签署合同协议。</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bidi="ar-SA"/>
        </w:rPr>
        <w:t>款号：16.</w:t>
      </w:r>
      <w:r>
        <w:rPr>
          <w:rFonts w:hint="eastAsia" w:ascii="宋体" w:hAnsi="宋体" w:cs="宋体"/>
          <w:b/>
          <w:color w:val="auto"/>
          <w:sz w:val="21"/>
          <w:szCs w:val="21"/>
          <w:highlight w:val="none"/>
          <w:lang w:val="en-US" w:eastAsia="zh-CN" w:bidi="ar-SA"/>
        </w:rPr>
        <w:t>5</w:t>
      </w:r>
      <w:r>
        <w:rPr>
          <w:rFonts w:hint="eastAsia" w:ascii="宋体" w:hAnsi="宋体" w:eastAsia="宋体" w:cs="宋体"/>
          <w:b/>
          <w:color w:val="auto"/>
          <w:sz w:val="21"/>
          <w:szCs w:val="21"/>
          <w:highlight w:val="none"/>
          <w:lang w:bidi="ar-SA"/>
        </w:rPr>
        <w:t xml:space="preserve">             修改类型：修改</w:t>
      </w:r>
    </w:p>
    <w:p>
      <w:pPr>
        <w:pageBreakBefore w:val="0"/>
        <w:widowControl/>
        <w:kinsoku/>
        <w:wordWrap/>
        <w:overflowPunct/>
        <w:topLinePunct w:val="0"/>
        <w:autoSpaceDE/>
        <w:autoSpaceDN/>
        <w:bidi w:val="0"/>
        <w:adjustRightInd w:val="0"/>
        <w:spacing w:line="360" w:lineRule="auto"/>
        <w:ind w:firstLine="422" w:firstLineChars="200"/>
        <w:rPr>
          <w:rFonts w:hint="eastAsia" w:ascii="宋体" w:hAnsi="宋体" w:eastAsia="宋体" w:cs="宋体"/>
          <w:bCs/>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bCs/>
          <w:color w:val="auto"/>
          <w:sz w:val="21"/>
          <w:szCs w:val="21"/>
          <w:highlight w:val="none"/>
          <w:lang w:bidi="ar-SA"/>
        </w:rPr>
        <w:t>16.5投标人如存在下列情况之一的，将被拒绝在一定时期内参与招标人后续工程投标</w:t>
      </w:r>
      <w:r>
        <w:rPr>
          <w:rFonts w:hint="eastAsia" w:ascii="宋体" w:hAnsi="宋体" w:eastAsia="宋体" w:cs="宋体"/>
          <w:bCs/>
          <w:color w:val="auto"/>
          <w:sz w:val="21"/>
          <w:szCs w:val="21"/>
          <w:highlight w:val="none"/>
          <w:u w:val="single"/>
          <w:lang w:bidi="ar-SA"/>
        </w:rPr>
        <w:t>（拒绝时限需在招标文件中明确）：</w:t>
      </w:r>
    </w:p>
    <w:p>
      <w:pPr>
        <w:pageBreakBefore w:val="0"/>
        <w:widowControl/>
        <w:kinsoku/>
        <w:wordWrap/>
        <w:overflowPunct/>
        <w:topLinePunct w:val="0"/>
        <w:autoSpaceDE/>
        <w:autoSpaceDN/>
        <w:bidi w:val="0"/>
        <w:adjustRightInd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16.5.1投标人存在16.4条款所列情形且投标人提交的保函、担保或保证保险无法兑付的；</w:t>
      </w:r>
    </w:p>
    <w:p>
      <w:pPr>
        <w:pageBreakBefore w:val="0"/>
        <w:widowControl/>
        <w:kinsoku/>
        <w:wordWrap/>
        <w:overflowPunct/>
        <w:topLinePunct w:val="0"/>
        <w:autoSpaceDE/>
        <w:autoSpaceDN/>
        <w:bidi w:val="0"/>
        <w:adjustRightInd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16.5.2采用非电子形式提交投标保证金的投标人存在16.4条款所列情形，且未按招标人要求补交银行保函、专业工程担保公司担保或保证保险原件的；</w:t>
      </w:r>
    </w:p>
    <w:p>
      <w:pPr>
        <w:pageBreakBefore w:val="0"/>
        <w:widowControl/>
        <w:kinsoku/>
        <w:wordWrap/>
        <w:overflowPunct/>
        <w:topLinePunct w:val="0"/>
        <w:autoSpaceDE/>
        <w:autoSpaceDN/>
        <w:bidi w:val="0"/>
        <w:adjustRightInd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16.5.3按招标文件要求免于提供投标保证金的投标人存在16.4条款所列情形，且未按招标人要求补交投标保证金的；</w:t>
      </w:r>
    </w:p>
    <w:p>
      <w:pPr>
        <w:pageBreakBefore w:val="0"/>
        <w:widowControl/>
        <w:kinsoku/>
        <w:wordWrap/>
        <w:overflowPunct/>
        <w:topLinePunct w:val="0"/>
        <w:autoSpaceDE/>
        <w:autoSpaceDN/>
        <w:bidi w:val="0"/>
        <w:adjustRightInd w:val="0"/>
        <w:spacing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16.5.3按招标文件要求免于提供投标保证金的投标人存在16.4条款所列情形的。</w:t>
      </w:r>
    </w:p>
    <w:p>
      <w:pPr>
        <w:pStyle w:val="5"/>
        <w:pageBreakBefore w:val="0"/>
        <w:pBdr>
          <w:bottom w:val="single" w:color="auto" w:sz="6" w:space="0"/>
        </w:pBdr>
        <w:kinsoku/>
        <w:wordWrap/>
        <w:overflowPunct/>
        <w:topLinePunct w:val="0"/>
        <w:autoSpaceDE/>
        <w:autoSpaceDN/>
        <w:bidi w:val="0"/>
        <w:adjustRightInd w:val="0"/>
        <w:spacing w:after="0" w:line="360" w:lineRule="auto"/>
        <w:ind w:firstLine="420" w:firstLineChars="200"/>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bidi="ar-SA"/>
        </w:rPr>
        <w:t>注：16.5.3款由招标人二选一，需在招标文件中明确。</w:t>
      </w:r>
    </w:p>
    <w:p>
      <w:pPr>
        <w:pStyle w:val="5"/>
        <w:pageBreakBefore w:val="0"/>
        <w:pBdr>
          <w:bottom w:val="single" w:color="auto" w:sz="6" w:space="0"/>
        </w:pBdr>
        <w:kinsoku/>
        <w:wordWrap/>
        <w:overflowPunct/>
        <w:topLinePunct w:val="0"/>
        <w:autoSpaceDE/>
        <w:autoSpaceDN/>
        <w:bidi w:val="0"/>
        <w:adjustRightInd w:val="0"/>
        <w:spacing w:after="0" w:line="360" w:lineRule="auto"/>
        <w:ind w:firstLine="422" w:firstLineChars="200"/>
        <w:rPr>
          <w:rFonts w:hint="eastAsia" w:ascii="宋体" w:hAnsi="宋体" w:eastAsia="宋体" w:cs="宋体"/>
          <w:bCs/>
          <w:color w:val="auto"/>
          <w:sz w:val="21"/>
          <w:szCs w:val="21"/>
          <w:highlight w:val="none"/>
          <w:u w:val="single"/>
          <w:lang w:bidi="ar-SA"/>
        </w:rPr>
      </w:pPr>
      <w:r>
        <w:rPr>
          <w:rFonts w:hint="eastAsia" w:ascii="宋体" w:hAnsi="宋体" w:eastAsia="宋体" w:cs="宋体"/>
          <w:b/>
          <w:color w:val="auto"/>
          <w:sz w:val="21"/>
          <w:szCs w:val="21"/>
          <w:highlight w:val="none"/>
          <w:u w:val="single"/>
          <w:lang w:bidi="ar-SA"/>
        </w:rPr>
        <w:t>现文：</w:t>
      </w:r>
      <w:r>
        <w:rPr>
          <w:rFonts w:hint="eastAsia" w:ascii="宋体" w:hAnsi="宋体" w:eastAsia="宋体" w:cs="宋体"/>
          <w:bCs/>
          <w:color w:val="auto"/>
          <w:sz w:val="21"/>
          <w:szCs w:val="21"/>
          <w:highlight w:val="none"/>
          <w:u w:val="single"/>
          <w:lang w:bidi="ar-SA"/>
        </w:rPr>
        <w:t>16.5投标人如存在下列情况之一的，将被拒绝在一年内参与招标人后续工程投标：</w:t>
      </w:r>
    </w:p>
    <w:p>
      <w:pPr>
        <w:pStyle w:val="5"/>
        <w:pageBreakBefore w:val="0"/>
        <w:pBdr>
          <w:bottom w:val="single" w:color="auto" w:sz="6" w:space="0"/>
        </w:pBdr>
        <w:kinsoku/>
        <w:wordWrap/>
        <w:overflowPunct/>
        <w:topLinePunct w:val="0"/>
        <w:autoSpaceDE/>
        <w:autoSpaceDN/>
        <w:bidi w:val="0"/>
        <w:adjustRightInd w:val="0"/>
        <w:spacing w:after="0" w:line="360" w:lineRule="auto"/>
        <w:ind w:firstLine="420" w:firstLineChars="200"/>
        <w:rPr>
          <w:rFonts w:hint="eastAsia" w:ascii="宋体" w:hAnsi="宋体" w:eastAsia="宋体" w:cs="宋体"/>
          <w:bCs/>
          <w:color w:val="auto"/>
          <w:sz w:val="21"/>
          <w:szCs w:val="21"/>
          <w:highlight w:val="none"/>
          <w:u w:val="single"/>
          <w:lang w:bidi="ar-SA"/>
        </w:rPr>
      </w:pPr>
      <w:r>
        <w:rPr>
          <w:rFonts w:hint="eastAsia" w:ascii="宋体" w:hAnsi="宋体" w:eastAsia="宋体" w:cs="宋体"/>
          <w:bCs/>
          <w:color w:val="auto"/>
          <w:sz w:val="21"/>
          <w:szCs w:val="21"/>
          <w:highlight w:val="none"/>
          <w:u w:val="single"/>
          <w:lang w:bidi="ar-SA"/>
        </w:rPr>
        <w:t>16.5.1投标人存在16.4条款所列情形且投标人提交的保函、担保或保证保险无法兑付的；</w:t>
      </w:r>
    </w:p>
    <w:p>
      <w:pPr>
        <w:pStyle w:val="5"/>
        <w:pageBreakBefore w:val="0"/>
        <w:pBdr>
          <w:bottom w:val="single" w:color="auto" w:sz="6" w:space="0"/>
        </w:pBdr>
        <w:kinsoku/>
        <w:wordWrap/>
        <w:overflowPunct/>
        <w:topLinePunct w:val="0"/>
        <w:autoSpaceDE/>
        <w:autoSpaceDN/>
        <w:bidi w:val="0"/>
        <w:adjustRightInd w:val="0"/>
        <w:spacing w:after="0" w:line="360" w:lineRule="auto"/>
        <w:ind w:firstLine="420" w:firstLineChars="200"/>
        <w:rPr>
          <w:rFonts w:hint="eastAsia" w:ascii="宋体" w:hAnsi="宋体" w:eastAsia="宋体" w:cs="宋体"/>
          <w:bCs/>
          <w:strike/>
          <w:color w:val="auto"/>
          <w:sz w:val="21"/>
          <w:szCs w:val="21"/>
          <w:highlight w:val="none"/>
          <w:u w:val="single"/>
          <w:lang w:bidi="ar-SA"/>
        </w:rPr>
      </w:pPr>
      <w:r>
        <w:rPr>
          <w:rFonts w:hint="eastAsia" w:ascii="宋体" w:hAnsi="宋体" w:eastAsia="宋体" w:cs="宋体"/>
          <w:bCs/>
          <w:color w:val="auto"/>
          <w:sz w:val="21"/>
          <w:szCs w:val="21"/>
          <w:highlight w:val="none"/>
          <w:u w:val="single"/>
          <w:lang w:bidi="ar-SA"/>
        </w:rPr>
        <w:t>16.5.2采用非电子形式提交投标保证金的投标人存在16.4条款所列情形，且未按招标人要求补交银行保函、专业工程担保公司担保或保证保险原件的；</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17.1 </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17.1 </w:t>
      </w:r>
      <w:r>
        <w:rPr>
          <w:rFonts w:hint="eastAsia" w:ascii="宋体" w:hAnsi="宋体" w:eastAsia="宋体" w:cs="宋体"/>
          <w:color w:val="auto"/>
          <w:sz w:val="21"/>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uppressLineNumbers w:val="0"/>
        <w:pBdr>
          <w:bottom w:val="single" w:color="auto" w:sz="6" w:space="1"/>
        </w:pBdr>
        <w:kinsoku/>
        <w:wordWrap/>
        <w:overflowPunct/>
        <w:topLinePunct w:val="0"/>
        <w:autoSpaceDE/>
        <w:autoSpaceDN/>
        <w:bidi w:val="0"/>
        <w:spacing w:before="0" w:beforeAutospacing="0" w:after="0" w:afterAutospacing="0" w:line="360" w:lineRule="auto"/>
        <w:ind w:left="0" w:right="0" w:firstLine="527" w:firstLineChars="250"/>
        <w:jc w:val="both"/>
        <w:rPr>
          <w:rFonts w:hint="eastAsia" w:ascii="宋体" w:hAnsi="宋体" w:eastAsia="宋体" w:cs="宋体"/>
          <w:bCs/>
          <w:color w:val="auto"/>
          <w:kern w:val="0"/>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17.1 </w:t>
      </w:r>
      <w:r>
        <w:rPr>
          <w:rFonts w:hint="eastAsia" w:ascii="宋体" w:hAnsi="宋体" w:eastAsia="宋体" w:cs="宋体"/>
          <w:color w:val="auto"/>
          <w:sz w:val="21"/>
          <w:szCs w:val="21"/>
          <w:highlight w:val="none"/>
        </w:rPr>
        <w:t>投标人应采用单位数字证书，</w:t>
      </w:r>
      <w:r>
        <w:rPr>
          <w:rFonts w:hint="eastAsia" w:ascii="宋体" w:hAnsi="宋体" w:eastAsia="宋体" w:cs="宋体"/>
          <w:b/>
          <w:color w:val="auto"/>
          <w:kern w:val="0"/>
          <w:sz w:val="21"/>
          <w:szCs w:val="21"/>
          <w:highlight w:val="none"/>
          <w:u w:val="single"/>
          <w:lang w:val="en-US" w:eastAsia="zh-CN" w:bidi="ar"/>
        </w:rPr>
        <w:t>对投标文件</w:t>
      </w:r>
      <w:r>
        <w:rPr>
          <w:rFonts w:hint="eastAsia" w:ascii="宋体" w:hAnsi="宋体" w:eastAsia="宋体" w:cs="宋体"/>
          <w:color w:val="auto"/>
          <w:sz w:val="21"/>
          <w:szCs w:val="21"/>
          <w:highlight w:val="none"/>
        </w:rPr>
        <w:t>加盖电子印章。投标文件中需个人签字或盖章的，应加盖个人电子印章或在线下完成后扫描上传。</w:t>
      </w:r>
      <w:r>
        <w:rPr>
          <w:rFonts w:hint="eastAsia" w:ascii="宋体" w:hAnsi="宋体" w:eastAsia="宋体" w:cs="宋体"/>
          <w:b/>
          <w:bCs/>
          <w:color w:val="auto"/>
          <w:sz w:val="21"/>
          <w:szCs w:val="21"/>
          <w:highlight w:val="none"/>
          <w:u w:val="single"/>
          <w:lang w:bidi="ar-SA"/>
        </w:rPr>
        <w:t>由广州投标文件管理软件系统生成的“工程量清单主表--工程量清单报价表”封面页和扉页可以仅采用单位数字证书加盖电子印章处理。</w:t>
      </w:r>
      <w:r>
        <w:rPr>
          <w:rFonts w:hint="eastAsia" w:ascii="宋体" w:hAnsi="宋体" w:eastAsia="宋体" w:cs="宋体"/>
          <w:color w:val="auto"/>
          <w:sz w:val="21"/>
          <w:szCs w:val="21"/>
          <w:highlight w:val="none"/>
        </w:rPr>
        <w:t>按照交易平台关于全流程电子化项目的相关指南进行操作。详见：</w:t>
      </w:r>
      <w:r>
        <w:rPr>
          <w:rFonts w:hint="eastAsia" w:ascii="宋体" w:hAnsi="宋体" w:eastAsia="宋体" w:cs="宋体"/>
          <w:color w:val="auto"/>
          <w:sz w:val="21"/>
          <w:szCs w:val="21"/>
          <w:highlight w:val="none"/>
          <w:u w:val="single"/>
        </w:rPr>
        <w:t>广州交易集团有限公司（广州公共资源交易中心）网站</w:t>
      </w:r>
      <w:r>
        <w:rPr>
          <w:rFonts w:hint="eastAsia" w:ascii="宋体" w:hAnsi="宋体" w:eastAsia="宋体" w:cs="宋体"/>
          <w:bCs/>
          <w:color w:val="auto"/>
          <w:kern w:val="0"/>
          <w:sz w:val="21"/>
          <w:szCs w:val="21"/>
          <w:highlight w:val="none"/>
          <w:u w:val="single"/>
        </w:rPr>
        <w:t>。</w:t>
      </w:r>
    </w:p>
    <w:p>
      <w:pPr>
        <w:keepNext w:val="0"/>
        <w:keepLines w:val="0"/>
        <w:pageBreakBefore w:val="0"/>
        <w:widowControl w:val="0"/>
        <w:suppressLineNumbers w:val="0"/>
        <w:pBdr>
          <w:bottom w:val="single" w:color="auto" w:sz="6" w:space="1"/>
        </w:pBdr>
        <w:kinsoku/>
        <w:wordWrap/>
        <w:overflowPunct/>
        <w:topLinePunct w:val="0"/>
        <w:autoSpaceDE/>
        <w:autoSpaceDN/>
        <w:bidi w:val="0"/>
        <w:spacing w:before="0" w:beforeAutospacing="0" w:after="0" w:afterAutospacing="0" w:line="360" w:lineRule="auto"/>
        <w:ind w:left="0" w:right="0" w:firstLine="527" w:firstLineChars="250"/>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u w:val="single"/>
          <w:lang w:bidi="ar-SA"/>
        </w:rPr>
        <w:t>注释:投标文件电子文档需要投标人单位盖章的材料，投标人加盖电子印章即可，不得将投标人未对电子文档加盖实物印章作为否决投标的情形。</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条款号：18.1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18.1 递交的电子投标文件（不含备用光盘）必须进行加密。按照交易平台关于</w:t>
      </w:r>
      <w:r>
        <w:rPr>
          <w:rFonts w:hint="eastAsia" w:ascii="宋体" w:hAnsi="宋体" w:eastAsia="宋体" w:cs="宋体"/>
          <w:color w:val="auto"/>
          <w:sz w:val="21"/>
          <w:szCs w:val="21"/>
          <w:highlight w:val="none"/>
        </w:rPr>
        <w:t>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18.1 递交的电子投标文件（不含备用光盘）必须进行加密。按照</w:t>
      </w:r>
      <w:r>
        <w:rPr>
          <w:rFonts w:hint="eastAsia" w:ascii="宋体" w:hAnsi="宋体" w:eastAsia="宋体" w:cs="宋体"/>
          <w:bCs/>
          <w:color w:val="auto"/>
          <w:sz w:val="21"/>
          <w:szCs w:val="21"/>
          <w:highlight w:val="none"/>
          <w:u w:val="single"/>
        </w:rPr>
        <w:t>广州交易集团有限公司（广州公共资源交易中心）</w:t>
      </w:r>
      <w:r>
        <w:rPr>
          <w:rFonts w:hint="eastAsia" w:ascii="宋体" w:hAnsi="宋体" w:eastAsia="宋体" w:cs="宋体"/>
          <w:bCs/>
          <w:color w:val="auto"/>
          <w:sz w:val="21"/>
          <w:szCs w:val="21"/>
          <w:highlight w:val="none"/>
        </w:rPr>
        <w:t>交易平台关于</w:t>
      </w:r>
      <w:r>
        <w:rPr>
          <w:rFonts w:hint="eastAsia" w:ascii="宋体" w:hAnsi="宋体" w:eastAsia="宋体" w:cs="宋体"/>
          <w:color w:val="auto"/>
          <w:sz w:val="21"/>
          <w:szCs w:val="21"/>
          <w:highlight w:val="none"/>
        </w:rPr>
        <w:t>全流程电子化项目的相关指南进行操作。详见：</w:t>
      </w:r>
      <w:r>
        <w:rPr>
          <w:rFonts w:hint="eastAsia" w:ascii="宋体" w:hAnsi="宋体" w:eastAsia="宋体" w:cs="宋体"/>
          <w:color w:val="auto"/>
          <w:sz w:val="21"/>
          <w:szCs w:val="21"/>
          <w:highlight w:val="none"/>
          <w:u w:val="single"/>
        </w:rPr>
        <w:t>广州交易集团有限公司（广州公共资源交易中心）网站</w:t>
      </w:r>
      <w:r>
        <w:rPr>
          <w:rFonts w:hint="eastAsia" w:ascii="宋体" w:hAnsi="宋体" w:eastAsia="宋体" w:cs="宋体"/>
          <w:color w:val="auto"/>
          <w:sz w:val="21"/>
          <w:szCs w:val="21"/>
          <w:highlight w:val="none"/>
        </w:rPr>
        <w:t xml:space="preserve"> 。</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条款号：18.2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未按要求加密的投标文件，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w:t>
      </w:r>
      <w:r>
        <w:rPr>
          <w:rFonts w:hint="eastAsia" w:ascii="宋体" w:hAnsi="宋体" w:eastAsia="宋体" w:cs="宋体"/>
          <w:bCs/>
          <w:color w:val="auto"/>
          <w:sz w:val="21"/>
          <w:szCs w:val="21"/>
          <w:highlight w:val="none"/>
        </w:rPr>
        <w:t>将予以拒收。</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未按要求加密的投标文件，</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w:t>
      </w:r>
      <w:r>
        <w:rPr>
          <w:rFonts w:hint="eastAsia" w:ascii="宋体" w:hAnsi="宋体" w:eastAsia="宋体" w:cs="宋体"/>
          <w:bCs/>
          <w:color w:val="auto"/>
          <w:sz w:val="21"/>
          <w:szCs w:val="21"/>
          <w:highlight w:val="none"/>
        </w:rPr>
        <w:t>将予以拒收。</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19.</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19. 投标文件的递交和接收</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19.1投标人通过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交易平台递交电子投标文件。</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19.3逾期送达的电子投标文件，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交易平台将予以拒收。</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投标截止前，招标人拒绝接收符合条件的投标文件，投标人可向招标投标监督机构投诉。</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19.5如技术标和经济标先后分别开启，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交易平台将按招标文件规定的时间分别开启技术标和经济标。</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19.投标文件的递交和接收</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19.1投标人通过</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交易平台递交电子投标文件。</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19.3逾期送达的电子投标文件，</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交易平台将予以拒收。</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19.4投标截止前，招标人拒绝接收符合条件的投标文件，投标人可向招标投标监督机构投诉。</w:t>
      </w:r>
    </w:p>
    <w:p>
      <w:pPr>
        <w:pageBreakBefore w:val="0"/>
        <w:pBdr>
          <w:bottom w:val="single" w:color="auto" w:sz="4" w:space="1"/>
        </w:pBdr>
        <w:kinsoku/>
        <w:wordWrap/>
        <w:overflowPunct/>
        <w:topLinePunct w:val="0"/>
        <w:autoSpaceDE/>
        <w:autoSpaceDN/>
        <w:bidi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19.5如技术标和经济标先后分别开启，</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交易平台将按招标文件规定的时间分别开启技术标和经济标。</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21.1</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21.1</w:t>
      </w:r>
      <w:r>
        <w:rPr>
          <w:rFonts w:hint="eastAsia" w:ascii="宋体" w:hAnsi="宋体" w:eastAsia="宋体" w:cs="宋体"/>
          <w:color w:val="auto"/>
          <w:sz w:val="21"/>
          <w:szCs w:val="21"/>
          <w:highlight w:val="none"/>
        </w:rPr>
        <w:t xml:space="preserve"> 本须知前附表第17项规定的投标截止时间</w:t>
      </w:r>
      <w:r>
        <w:rPr>
          <w:rFonts w:hint="eastAsia" w:ascii="宋体" w:hAnsi="宋体" w:eastAsia="宋体" w:cs="宋体"/>
          <w:bCs/>
          <w:color w:val="auto"/>
          <w:sz w:val="21"/>
          <w:szCs w:val="21"/>
          <w:highlight w:val="none"/>
        </w:rPr>
        <w:t>后送达的电子投标文件，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交易平台将予以拒收。</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21.1 </w:t>
      </w:r>
      <w:r>
        <w:rPr>
          <w:rFonts w:hint="eastAsia" w:ascii="宋体" w:hAnsi="宋体" w:eastAsia="宋体" w:cs="宋体"/>
          <w:color w:val="auto"/>
          <w:sz w:val="21"/>
          <w:szCs w:val="21"/>
          <w:highlight w:val="none"/>
        </w:rPr>
        <w:t>本须知前附表第17项规定的投标截止时间</w:t>
      </w:r>
      <w:r>
        <w:rPr>
          <w:rFonts w:hint="eastAsia" w:ascii="宋体" w:hAnsi="宋体" w:eastAsia="宋体" w:cs="宋体"/>
          <w:bCs/>
          <w:color w:val="auto"/>
          <w:sz w:val="21"/>
          <w:szCs w:val="21"/>
          <w:highlight w:val="none"/>
        </w:rPr>
        <w:t>后送达的电子投标文件，</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交易平台将予以拒收。</w:t>
      </w:r>
    </w:p>
    <w:p>
      <w:pPr>
        <w:pageBreakBefore w:val="0"/>
        <w:kinsoku/>
        <w:wordWrap/>
        <w:overflowPunct/>
        <w:topLinePunct w:val="0"/>
        <w:autoSpaceDE/>
        <w:autoSpaceDN/>
        <w:bidi w:val="0"/>
        <w:spacing w:line="360" w:lineRule="auto"/>
        <w:ind w:firstLine="413" w:firstLineChars="196"/>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 24             修改类型：修改</w:t>
      </w:r>
    </w:p>
    <w:p>
      <w:pPr>
        <w:pageBreakBefore w:val="0"/>
        <w:kinsoku/>
        <w:wordWrap/>
        <w:overflowPunct/>
        <w:topLinePunct w:val="0"/>
        <w:autoSpaceDE/>
        <w:autoSpaceDN/>
        <w:bidi w:val="0"/>
        <w:spacing w:line="360" w:lineRule="auto"/>
        <w:ind w:firstLine="411" w:firstLineChars="196"/>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原文：24．评标过程的保密</w:t>
      </w:r>
    </w:p>
    <w:p>
      <w:pPr>
        <w:pageBreakBefore w:val="0"/>
        <w:kinsoku/>
        <w:wordWrap/>
        <w:overflowPunct/>
        <w:topLinePunct w:val="0"/>
        <w:autoSpaceDE/>
        <w:autoSpaceDN/>
        <w:bidi w:val="0"/>
        <w:spacing w:line="360" w:lineRule="auto"/>
        <w:ind w:firstLine="411" w:firstLineChars="196"/>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24.1 开标后，直至中标公示为止，凡属于对投标文件的审查、澄清、评价和比较有关的资料以及中标候选人的推荐情况，与评标有关的其他任何情况均严格保密。</w:t>
      </w:r>
    </w:p>
    <w:p>
      <w:pPr>
        <w:pageBreakBefore w:val="0"/>
        <w:kinsoku/>
        <w:wordWrap/>
        <w:overflowPunct/>
        <w:topLinePunct w:val="0"/>
        <w:autoSpaceDE/>
        <w:autoSpaceDN/>
        <w:bidi w:val="0"/>
        <w:spacing w:line="360" w:lineRule="auto"/>
        <w:ind w:firstLine="411" w:firstLineChars="196"/>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24.2 在投标文件的评审和比较、中标候选人推荐以及授予合同的过程中，投标人向招标人和评标委员会施加不公正影响的任何行为，都将会导致其投标被拒绝。</w:t>
      </w:r>
    </w:p>
    <w:p>
      <w:pPr>
        <w:pageBreakBefore w:val="0"/>
        <w:kinsoku/>
        <w:wordWrap/>
        <w:overflowPunct/>
        <w:topLinePunct w:val="0"/>
        <w:autoSpaceDE/>
        <w:autoSpaceDN/>
        <w:bidi w:val="0"/>
        <w:spacing w:line="360" w:lineRule="auto"/>
        <w:ind w:firstLine="413" w:firstLineChars="196"/>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lang w:bidi="ar-SA"/>
        </w:rPr>
        <w:t>24．评标</w:t>
      </w:r>
      <w:r>
        <w:rPr>
          <w:rFonts w:hint="eastAsia" w:ascii="宋体" w:hAnsi="宋体" w:eastAsia="宋体" w:cs="宋体"/>
          <w:color w:val="auto"/>
          <w:sz w:val="21"/>
          <w:szCs w:val="21"/>
          <w:highlight w:val="none"/>
          <w:u w:val="single"/>
          <w:lang w:bidi="ar-SA"/>
        </w:rPr>
        <w:t>、定标</w:t>
      </w:r>
      <w:r>
        <w:rPr>
          <w:rFonts w:hint="eastAsia" w:ascii="宋体" w:hAnsi="宋体" w:eastAsia="宋体" w:cs="宋体"/>
          <w:color w:val="auto"/>
          <w:sz w:val="21"/>
          <w:szCs w:val="21"/>
          <w:highlight w:val="none"/>
          <w:lang w:bidi="ar-SA"/>
        </w:rPr>
        <w:t>过程的保密</w:t>
      </w:r>
    </w:p>
    <w:p>
      <w:pPr>
        <w:pageBreakBefore w:val="0"/>
        <w:kinsoku/>
        <w:wordWrap/>
        <w:overflowPunct/>
        <w:topLinePunct w:val="0"/>
        <w:autoSpaceDE/>
        <w:autoSpaceDN/>
        <w:bidi w:val="0"/>
        <w:spacing w:line="360" w:lineRule="auto"/>
        <w:ind w:firstLine="411" w:firstLineChars="196"/>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24.1 开标后，直至中标公示为止，凡属于对投标文件的审查、澄清、评价和比较有关的资料以及合格的中标候选人的推荐情况、定标人的推荐情况，与评标及定标有关的其他任何情况均严格保密。</w:t>
      </w:r>
    </w:p>
    <w:p>
      <w:pPr>
        <w:pageBreakBefore w:val="0"/>
        <w:pBdr>
          <w:bottom w:val="single" w:color="auto" w:sz="4" w:space="0"/>
        </w:pBdr>
        <w:kinsoku/>
        <w:wordWrap/>
        <w:overflowPunct/>
        <w:topLinePunct w:val="0"/>
        <w:autoSpaceDE/>
        <w:autoSpaceDN/>
        <w:bidi w:val="0"/>
        <w:spacing w:line="360" w:lineRule="auto"/>
        <w:ind w:firstLine="470" w:firstLineChars="224"/>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u w:val="single"/>
          <w:lang w:bidi="ar-SA"/>
        </w:rPr>
        <w:t>24.2 在投标文件的评审和比较、合格的中标候选人推荐、定标以及授予合同的过程中，投标人向招标人、评标委员会和定标委员会施加不公正影响的任何行为，都将会导致其投标被拒绝。</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27.1 </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27.1 </w:t>
      </w:r>
      <w:r>
        <w:rPr>
          <w:rFonts w:hint="eastAsia" w:ascii="宋体" w:hAnsi="宋体" w:eastAsia="宋体" w:cs="宋体"/>
          <w:color w:val="auto"/>
          <w:sz w:val="21"/>
          <w:szCs w:val="21"/>
          <w:highlight w:val="none"/>
        </w:rPr>
        <w:t>招标人将在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27.1 </w:t>
      </w:r>
      <w:r>
        <w:rPr>
          <w:rFonts w:hint="eastAsia" w:ascii="宋体" w:hAnsi="宋体" w:eastAsia="宋体" w:cs="宋体"/>
          <w:color w:val="auto"/>
          <w:sz w:val="21"/>
          <w:szCs w:val="21"/>
          <w:highlight w:val="none"/>
        </w:rPr>
        <w:t>招标人将在</w:t>
      </w:r>
      <w:r>
        <w:rPr>
          <w:rFonts w:hint="eastAsia" w:ascii="宋体" w:hAnsi="宋体" w:eastAsia="宋体" w:cs="宋体"/>
          <w:color w:val="auto"/>
          <w:sz w:val="21"/>
          <w:szCs w:val="21"/>
          <w:highlight w:val="none"/>
          <w:u w:val="single"/>
        </w:rPr>
        <w:t xml:space="preserve"> 广州交易集团有限公司（广州公共资源交易中心） </w:t>
      </w:r>
      <w:r>
        <w:rPr>
          <w:rFonts w:hint="eastAsia" w:ascii="宋体" w:hAnsi="宋体" w:eastAsia="宋体" w:cs="宋体"/>
          <w:color w:val="auto"/>
          <w:sz w:val="21"/>
          <w:szCs w:val="21"/>
          <w:highlight w:val="none"/>
        </w:rPr>
        <w:t>交易平台、广东省招标投标监管网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中国招标投标公共服务平台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广州国企阳光采购信息发布平台（网址：https://ygcg.gzggzy.cn/p92/index.html）</w:t>
      </w:r>
      <w:r>
        <w:rPr>
          <w:rFonts w:hint="eastAsia" w:ascii="宋体" w:hAnsi="宋体" w:eastAsia="宋体" w:cs="宋体"/>
          <w:color w:val="auto"/>
          <w:sz w:val="21"/>
          <w:szCs w:val="21"/>
          <w:highlight w:val="none"/>
          <w:u w:val="single"/>
          <w:lang w:val="en-US" w:eastAsia="zh-CN"/>
        </w:rPr>
        <w:t>和广州酒家官方网站（网址：http://www.gzr.com.cn/）</w:t>
      </w:r>
      <w:r>
        <w:rPr>
          <w:rFonts w:hint="eastAsia" w:ascii="宋体" w:hAnsi="宋体" w:eastAsia="宋体" w:cs="宋体"/>
          <w:color w:val="auto"/>
          <w:sz w:val="21"/>
          <w:szCs w:val="21"/>
          <w:highlight w:val="none"/>
        </w:rPr>
        <w:t>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条款号：27.4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27.4 </w:t>
      </w:r>
      <w:r>
        <w:rPr>
          <w:rFonts w:hint="eastAsia" w:ascii="宋体" w:hAnsi="宋体" w:eastAsia="宋体" w:cs="宋体"/>
          <w:color w:val="auto"/>
          <w:sz w:val="21"/>
          <w:szCs w:val="21"/>
          <w:highlight w:val="none"/>
        </w:rPr>
        <w:t>在产生中标候选人后，招标人将中标候选人的投标文件商务部分文件的所有内容（包括人员、业绩、奖项等资料）在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交易平台和广东省招标投标监管网公开。</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27.4 </w:t>
      </w:r>
      <w:r>
        <w:rPr>
          <w:rFonts w:hint="eastAsia" w:ascii="宋体" w:hAnsi="宋体" w:eastAsia="宋体" w:cs="宋体"/>
          <w:color w:val="auto"/>
          <w:sz w:val="21"/>
          <w:szCs w:val="21"/>
          <w:highlight w:val="none"/>
        </w:rPr>
        <w:t>在产生中标候选人后，招标人将中标候选人的投标文件商务部分文件的所有内容（包括人员、业绩、奖项等资料）在</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交易平台和广东省招标投标监管网公开。</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28.4 </w:t>
      </w:r>
      <w:r>
        <w:rPr>
          <w:rFonts w:hint="eastAsia" w:ascii="宋体" w:hAnsi="宋体" w:eastAsia="宋体" w:cs="宋体"/>
          <w:b/>
          <w:color w:val="auto"/>
          <w:sz w:val="21"/>
          <w:szCs w:val="21"/>
          <w:highlight w:val="none"/>
        </w:rPr>
        <w:t xml:space="preserve">             修改类型：修改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72" w:firstLineChars="224"/>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z w:val="21"/>
          <w:szCs w:val="21"/>
          <w:highlight w:val="none"/>
        </w:rPr>
        <w:t>原文：</w:t>
      </w:r>
      <w:r>
        <w:rPr>
          <w:rFonts w:hint="eastAsia" w:ascii="宋体" w:hAnsi="宋体" w:eastAsia="宋体" w:cs="宋体"/>
          <w:color w:val="auto"/>
          <w:kern w:val="0"/>
          <w:sz w:val="21"/>
          <w:szCs w:val="21"/>
          <w:highlight w:val="none"/>
          <w:lang w:val="en-US" w:eastAsia="zh-CN" w:bidi="ar"/>
        </w:rPr>
        <w:t>28.4招标人支付工程款时，中标人应按规定开具发票。</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lang w:val="en-US" w:eastAsia="zh-CN"/>
        </w:rPr>
        <w:t>28.4</w:t>
      </w:r>
      <w:r>
        <w:rPr>
          <w:rFonts w:hint="eastAsia" w:ascii="宋体" w:hAnsi="宋体" w:eastAsia="宋体" w:cs="宋体"/>
          <w:b w:val="0"/>
          <w:bCs/>
          <w:color w:val="auto"/>
          <w:sz w:val="21"/>
          <w:szCs w:val="21"/>
          <w:highlight w:val="none"/>
          <w:u w:val="single"/>
          <w:lang w:val="en-US" w:eastAsia="zh-CN"/>
        </w:rPr>
        <w:t>工程进度款支付应不低于已完成工程价款的80%，招标人支付工程款时，中标人应按规定开具发票。质量保证金不超过工程价款总额3%。当年开工、当年不能竣工的新开工项目可以采用过程结算。</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条款号：29.1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29.1</w:t>
      </w:r>
      <w:r>
        <w:rPr>
          <w:rFonts w:hint="eastAsia" w:ascii="宋体" w:hAnsi="宋体" w:eastAsia="宋体" w:cs="宋体"/>
          <w:color w:val="auto"/>
          <w:sz w:val="21"/>
          <w:szCs w:val="21"/>
          <w:highlight w:val="none"/>
        </w:rPr>
        <w:t xml:space="preserve"> 在收到中标通知书后的</w:t>
      </w:r>
      <w:r>
        <w:rPr>
          <w:rFonts w:hint="eastAsia" w:ascii="宋体" w:hAnsi="宋体" w:eastAsia="宋体" w:cs="宋体"/>
          <w:b/>
          <w:color w:val="auto"/>
          <w:sz w:val="21"/>
          <w:szCs w:val="21"/>
          <w:highlight w:val="none"/>
        </w:rPr>
        <w:t>15日</w:t>
      </w:r>
      <w:r>
        <w:rPr>
          <w:rFonts w:hint="eastAsia" w:ascii="宋体" w:hAnsi="宋体" w:eastAsia="宋体" w:cs="宋体"/>
          <w:color w:val="auto"/>
          <w:sz w:val="21"/>
          <w:szCs w:val="21"/>
          <w:highlight w:val="none"/>
        </w:rPr>
        <w:t>内，中标人应按本须知前附表第20项的规定向招标人提交履约担保。</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29.1 </w:t>
      </w:r>
      <w:r>
        <w:rPr>
          <w:rFonts w:hint="eastAsia" w:ascii="宋体" w:hAnsi="宋体" w:eastAsia="宋体" w:cs="宋体"/>
          <w:color w:val="auto"/>
          <w:sz w:val="21"/>
          <w:szCs w:val="21"/>
          <w:highlight w:val="none"/>
          <w:u w:val="single"/>
        </w:rPr>
        <w:t>在签订合同后按合同约定时间</w:t>
      </w:r>
      <w:r>
        <w:rPr>
          <w:rFonts w:hint="eastAsia" w:ascii="宋体" w:hAnsi="宋体" w:eastAsia="宋体" w:cs="宋体"/>
          <w:color w:val="auto"/>
          <w:sz w:val="21"/>
          <w:szCs w:val="21"/>
          <w:highlight w:val="none"/>
        </w:rPr>
        <w:t>，中标人应按本须知前附表第20项的规定向招标人提交履约担保。</w:t>
      </w:r>
      <w:r>
        <w:rPr>
          <w:rFonts w:hint="eastAsia" w:ascii="宋体" w:hAnsi="宋体" w:eastAsia="宋体" w:cs="宋体"/>
          <w:color w:val="auto"/>
          <w:sz w:val="21"/>
          <w:szCs w:val="21"/>
          <w:highlight w:val="none"/>
          <w:u w:val="single"/>
        </w:rPr>
        <w:t>（具体形式详见合同）。</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29.2</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29.2 </w:t>
      </w:r>
      <w:r>
        <w:rPr>
          <w:rFonts w:hint="eastAsia" w:ascii="宋体" w:hAnsi="宋体" w:eastAsia="宋体" w:cs="宋体"/>
          <w:color w:val="auto"/>
          <w:sz w:val="21"/>
          <w:szCs w:val="21"/>
          <w:highlight w:val="none"/>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29.2</w:t>
      </w:r>
      <w:r>
        <w:rPr>
          <w:rFonts w:hint="eastAsia" w:ascii="宋体" w:hAnsi="宋体" w:eastAsia="宋体" w:cs="宋体"/>
          <w:color w:val="auto"/>
          <w:sz w:val="21"/>
          <w:szCs w:val="21"/>
          <w:highlight w:val="none"/>
          <w:u w:val="single"/>
        </w:rPr>
        <w:t>在签订合同后，根据合同约定时间</w:t>
      </w:r>
      <w:r>
        <w:rPr>
          <w:rFonts w:hint="eastAsia" w:ascii="宋体" w:hAnsi="宋体" w:eastAsia="宋体" w:cs="宋体"/>
          <w:color w:val="auto"/>
          <w:sz w:val="21"/>
          <w:szCs w:val="21"/>
          <w:highlight w:val="none"/>
        </w:rPr>
        <w:t>，中标人未按上款的规定提交履约担保，招标人将解除中标通知书，原中标人</w:t>
      </w:r>
      <w:r>
        <w:rPr>
          <w:rFonts w:hint="eastAsia" w:ascii="宋体" w:hAnsi="宋体" w:eastAsia="宋体" w:cs="宋体"/>
          <w:bCs/>
          <w:color w:val="auto"/>
          <w:sz w:val="21"/>
          <w:szCs w:val="21"/>
          <w:highlight w:val="none"/>
          <w:u w:val="single"/>
        </w:rPr>
        <w:t>应</w:t>
      </w:r>
      <w:r>
        <w:rPr>
          <w:rFonts w:hint="eastAsia" w:ascii="宋体" w:hAnsi="宋体" w:eastAsia="宋体" w:cs="宋体"/>
          <w:bCs/>
          <w:color w:val="auto"/>
          <w:sz w:val="21"/>
          <w:szCs w:val="21"/>
          <w:highlight w:val="none"/>
        </w:rPr>
        <w:t>依法承担相应法律责任。</w:t>
      </w:r>
      <w:r>
        <w:rPr>
          <w:rFonts w:hint="eastAsia" w:ascii="宋体" w:hAnsi="宋体" w:eastAsia="宋体" w:cs="宋体"/>
          <w:bCs/>
          <w:color w:val="auto"/>
          <w:sz w:val="21"/>
          <w:szCs w:val="21"/>
          <w:highlight w:val="none"/>
          <w:u w:val="single"/>
        </w:rPr>
        <w:t>原中标人给招标人造成损失的，招标人有权要求原中标人承担赔偿责任。</w:t>
      </w:r>
      <w:r>
        <w:rPr>
          <w:rFonts w:hint="eastAsia" w:ascii="宋体" w:hAnsi="宋体" w:eastAsia="宋体" w:cs="宋体"/>
          <w:bCs/>
          <w:color w:val="auto"/>
          <w:sz w:val="21"/>
          <w:szCs w:val="21"/>
          <w:highlight w:val="none"/>
        </w:rPr>
        <w:t>原</w:t>
      </w:r>
      <w:r>
        <w:rPr>
          <w:rFonts w:hint="eastAsia" w:ascii="宋体" w:hAnsi="宋体" w:eastAsia="宋体" w:cs="宋体"/>
          <w:color w:val="auto"/>
          <w:sz w:val="21"/>
          <w:szCs w:val="21"/>
          <w:highlight w:val="none"/>
        </w:rPr>
        <w:t>中标人有异议的，可以向人民法院起诉。</w:t>
      </w:r>
      <w:r>
        <w:rPr>
          <w:rFonts w:hint="eastAsia" w:ascii="宋体" w:hAnsi="宋体" w:eastAsia="宋体" w:cs="宋体"/>
          <w:color w:val="auto"/>
          <w:sz w:val="21"/>
          <w:szCs w:val="21"/>
          <w:highlight w:val="none"/>
          <w:u w:val="single"/>
        </w:rPr>
        <w:t>（具体形式详见合同）</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30.1</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30.1 </w:t>
      </w:r>
      <w:r>
        <w:rPr>
          <w:rFonts w:hint="eastAsia" w:ascii="宋体" w:hAnsi="宋体" w:eastAsia="宋体" w:cs="宋体"/>
          <w:color w:val="auto"/>
          <w:sz w:val="21"/>
          <w:szCs w:val="21"/>
          <w:highlight w:val="none"/>
        </w:rPr>
        <w:t>在合同双方全权代表在合同协议书上签字，并分别加盖双方单位的公章后，合同正式生效</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30.1 </w:t>
      </w:r>
      <w:r>
        <w:rPr>
          <w:rFonts w:hint="eastAsia" w:ascii="宋体" w:hAnsi="宋体" w:eastAsia="宋体" w:cs="宋体"/>
          <w:color w:val="auto"/>
          <w:sz w:val="21"/>
          <w:szCs w:val="21"/>
          <w:highlight w:val="none"/>
          <w:u w:val="single"/>
        </w:rPr>
        <w:t>合同自发包人、承包人双方法定代表人或委托代理人签字并加盖公章之日起生效。</w:t>
      </w:r>
    </w:p>
    <w:p>
      <w:pPr>
        <w:pageBreakBefore w:val="0"/>
        <w:kinsoku/>
        <w:wordWrap/>
        <w:overflowPunct/>
        <w:topLinePunct w:val="0"/>
        <w:autoSpaceDE/>
        <w:autoSpaceDN/>
        <w:bidi w:val="0"/>
        <w:spacing w:line="360" w:lineRule="auto"/>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注：以上修改，仅限于本范本中有可供选择条款的情形。</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（以下无正文）</w:t>
      </w:r>
    </w:p>
    <w:p>
      <w:pPr>
        <w:pStyle w:val="7"/>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b w:val="0"/>
          <w:color w:val="auto"/>
          <w:highlight w:val="none"/>
        </w:rPr>
        <w:br w:type="page"/>
      </w:r>
      <w:bookmarkStart w:id="8" w:name="_Toc2272548"/>
      <w:bookmarkStart w:id="9" w:name="_Toc201658268"/>
      <w:bookmarkStart w:id="10" w:name="_Toc21525492"/>
      <w:bookmarkStart w:id="11" w:name="_Toc2272549"/>
      <w:r>
        <w:rPr>
          <w:rFonts w:hint="eastAsia" w:ascii="宋体" w:hAnsi="宋体" w:eastAsia="宋体" w:cs="宋体"/>
          <w:color w:val="auto"/>
          <w:highlight w:val="none"/>
        </w:rPr>
        <w:t>三、投标须知通用条款</w:t>
      </w:r>
      <w:bookmarkEnd w:id="8"/>
      <w:bookmarkEnd w:id="9"/>
      <w:bookmarkEnd w:id="10"/>
    </w:p>
    <w:p>
      <w:pPr>
        <w:pStyle w:val="8"/>
        <w:pageBreakBefore w:val="0"/>
        <w:kinsoku/>
        <w:wordWrap/>
        <w:overflowPunct/>
        <w:topLinePunct w:val="0"/>
        <w:autoSpaceDE/>
        <w:autoSpaceDN/>
        <w:bidi w:val="0"/>
        <w:spacing w:before="156" w:after="156" w:line="360" w:lineRule="auto"/>
        <w:rPr>
          <w:rFonts w:hint="eastAsia" w:ascii="宋体" w:hAnsi="宋体" w:eastAsia="宋体" w:cs="宋体"/>
          <w:color w:val="auto"/>
          <w:sz w:val="24"/>
          <w:szCs w:val="24"/>
          <w:highlight w:val="none"/>
        </w:rPr>
      </w:pPr>
      <w:bookmarkStart w:id="12" w:name="_Toc21525493"/>
      <w:bookmarkStart w:id="13" w:name="_Toc201658269"/>
      <w:r>
        <w:rPr>
          <w:rFonts w:hint="eastAsia" w:ascii="宋体" w:hAnsi="宋体" w:eastAsia="宋体" w:cs="宋体"/>
          <w:color w:val="auto"/>
          <w:sz w:val="24"/>
          <w:szCs w:val="24"/>
          <w:highlight w:val="none"/>
        </w:rPr>
        <w:t>（一）总则</w:t>
      </w:r>
      <w:bookmarkEnd w:id="12"/>
      <w:bookmarkEnd w:id="13"/>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1、定义</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本招标文件使用的下列词语具有如下规定的意义：</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（1）“招标人”（即发包人）、“项目建设管理单位”（或称“项目代建单位”）、“招标代理”、“设计单位”、“监理单位”均已在投标须知前附表中列明。</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（2）“投标人”指向招标人提交投标文件的当事人。   </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（3）“承包人”指其投标被招标人接受并与其签订承包合同的当事人。</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（4）“招标文件”指由招标代理发出的本文件（包括全部章节、附件）及招标答疑会会议纪要和</w:t>
      </w:r>
      <w:r>
        <w:rPr>
          <w:rFonts w:hint="eastAsia" w:ascii="宋体" w:hAnsi="宋体" w:eastAsia="宋体" w:cs="宋体"/>
          <w:bCs/>
          <w:color w:val="auto"/>
          <w:sz w:val="24"/>
          <w:szCs w:val="24"/>
          <w:highlight w:val="none"/>
        </w:rPr>
        <w:t>招标文件的澄清与修改</w:t>
      </w:r>
      <w:r>
        <w:rPr>
          <w:rFonts w:hint="eastAsia" w:ascii="宋体" w:hAnsi="宋体" w:eastAsia="宋体" w:cs="宋体"/>
          <w:color w:val="auto"/>
          <w:sz w:val="24"/>
          <w:szCs w:val="24"/>
          <w:highlight w:val="none"/>
        </w:rPr>
        <w:t>文件。</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（5）“投标文件”指投标人根据本项目招标文件向招标人提交的全部文件。</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（6）“书面形式”指打字或印刷的文件和数据电文（包括电报、电传、传真、电子数据交换和电子邮件）。</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2、招标说明</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2.1本招标工程项目按照《中华人民共和国招标投标法》等有关法律、行政法规、规章和规范性文件，通过招标方式选定承包人。</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2.2工程名称、建设地点、建设规模、承包方式、质量标准、招标范围、工期要求等均在投标须知前附表中列明。</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2.3设计说明：详见招标图纸。</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2.4工程施工特点：详见招标图纸。</w:t>
      </w:r>
    </w:p>
    <w:p>
      <w:pPr>
        <w:pageBreakBefore w:val="0"/>
        <w:tabs>
          <w:tab w:val="left" w:pos="105"/>
        </w:tabs>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3．资金来源</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3.1本招标工程项目资金来源见投标须知前附表第9项</w:t>
      </w:r>
    </w:p>
    <w:p>
      <w:pPr>
        <w:pageBreakBefore w:val="0"/>
        <w:tabs>
          <w:tab w:val="left" w:pos="105"/>
        </w:tabs>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4．合格投标人的条件</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4.1详见本项目招标公告</w:t>
      </w:r>
    </w:p>
    <w:p>
      <w:pPr>
        <w:pageBreakBefore w:val="0"/>
        <w:tabs>
          <w:tab w:val="left" w:pos="105"/>
        </w:tabs>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5．踏勘现场</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5.1 投标人应按本投标须知前附表第15项所述时间和要求对工程现场及周围环境进行踏勘，</w:t>
      </w:r>
      <w:r>
        <w:rPr>
          <w:rFonts w:hint="eastAsia" w:ascii="宋体" w:hAnsi="宋体" w:eastAsia="宋体" w:cs="宋体"/>
          <w:color w:val="auto"/>
          <w:sz w:val="24"/>
          <w:szCs w:val="24"/>
          <w:highlight w:val="none"/>
        </w:rPr>
        <w:t>投标人应充分重视和仔细地进行这种考察，</w:t>
      </w:r>
      <w:r>
        <w:rPr>
          <w:rFonts w:hint="eastAsia" w:ascii="宋体" w:hAnsi="宋体" w:eastAsia="宋体" w:cs="宋体"/>
          <w:bCs/>
          <w:color w:val="auto"/>
          <w:sz w:val="24"/>
          <w:szCs w:val="24"/>
          <w:highlight w:val="none"/>
        </w:rPr>
        <w:t>以便投标人获取</w:t>
      </w:r>
      <w:r>
        <w:rPr>
          <w:rFonts w:hint="eastAsia" w:ascii="宋体" w:hAnsi="宋体" w:eastAsia="宋体" w:cs="宋体"/>
          <w:color w:val="auto"/>
          <w:sz w:val="24"/>
          <w:szCs w:val="24"/>
          <w:highlight w:val="none"/>
        </w:rPr>
        <w:t>那些须投标人自己负责的</w:t>
      </w:r>
      <w:r>
        <w:rPr>
          <w:rFonts w:hint="eastAsia" w:ascii="宋体" w:hAnsi="宋体" w:eastAsia="宋体" w:cs="宋体"/>
          <w:bCs/>
          <w:color w:val="auto"/>
          <w:sz w:val="24"/>
          <w:szCs w:val="24"/>
          <w:highlight w:val="none"/>
        </w:rPr>
        <w:t>有关编制投标文件和签署合同所涉及现场所有的资料。</w:t>
      </w:r>
      <w:r>
        <w:rPr>
          <w:rFonts w:hint="eastAsia" w:ascii="宋体" w:hAnsi="宋体" w:eastAsia="宋体" w:cs="宋体"/>
          <w:color w:val="auto"/>
          <w:sz w:val="24"/>
          <w:szCs w:val="24"/>
          <w:highlight w:val="none"/>
        </w:rPr>
        <w:t>一旦中标，这种考察即被认为其结果已在中标文件中得到充分反映。考察现场的费用由投标人自己承担。</w:t>
      </w:r>
    </w:p>
    <w:p>
      <w:pPr>
        <w:pageBreakBefore w:val="0"/>
        <w:tabs>
          <w:tab w:val="left" w:pos="105"/>
        </w:tabs>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 招标人向投标人提供的有关现场的数据和资料，是招标人现有的能被投标人利用的资料，招标人对投标人做出的任何推论、理解和结论均不负责任。</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 经招标人允许，投标人可为踏勘目的进入招标人的项目现场。</w:t>
      </w:r>
      <w:r>
        <w:rPr>
          <w:rFonts w:hint="eastAsia" w:ascii="宋体" w:hAnsi="宋体" w:eastAsia="宋体" w:cs="宋体"/>
          <w:color w:val="auto"/>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szCs w:val="24"/>
          <w:highlight w:val="none"/>
        </w:rPr>
        <w:t>投标人不得因此使招标人承担有关的责任和蒙受损失。</w:t>
      </w:r>
    </w:p>
    <w:p>
      <w:pPr>
        <w:pageBreakBefore w:val="0"/>
        <w:tabs>
          <w:tab w:val="left" w:pos="105"/>
        </w:tabs>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6．投标费用</w:t>
      </w:r>
    </w:p>
    <w:p>
      <w:pPr>
        <w:pageBreakBefore w:val="0"/>
        <w:tabs>
          <w:tab w:val="left" w:pos="105"/>
        </w:tabs>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color w:val="auto"/>
          <w:sz w:val="24"/>
          <w:szCs w:val="24"/>
          <w:highlight w:val="none"/>
        </w:rPr>
        <w:t>不论投标结果如何，投标人应承担</w:t>
      </w:r>
      <w:r>
        <w:rPr>
          <w:rFonts w:hint="eastAsia" w:ascii="宋体" w:hAnsi="宋体" w:eastAsia="宋体" w:cs="宋体"/>
          <w:bCs/>
          <w:color w:val="auto"/>
          <w:sz w:val="24"/>
          <w:szCs w:val="24"/>
          <w:highlight w:val="none"/>
        </w:rPr>
        <w:t>自身</w:t>
      </w:r>
      <w:r>
        <w:rPr>
          <w:rFonts w:hint="eastAsia" w:ascii="宋体" w:hAnsi="宋体" w:eastAsia="宋体" w:cs="宋体"/>
          <w:color w:val="auto"/>
          <w:sz w:val="24"/>
          <w:szCs w:val="24"/>
          <w:highlight w:val="none"/>
        </w:rPr>
        <w:t>因投标文件编制、递交及其他</w:t>
      </w:r>
      <w:r>
        <w:rPr>
          <w:rFonts w:hint="eastAsia" w:ascii="宋体" w:hAnsi="宋体" w:eastAsia="宋体" w:cs="宋体"/>
          <w:bCs/>
          <w:color w:val="auto"/>
          <w:sz w:val="24"/>
          <w:szCs w:val="24"/>
          <w:highlight w:val="none"/>
        </w:rPr>
        <w:t>参加本招标活动</w:t>
      </w:r>
      <w:r>
        <w:rPr>
          <w:rFonts w:hint="eastAsia" w:ascii="宋体" w:hAnsi="宋体" w:eastAsia="宋体" w:cs="宋体"/>
          <w:color w:val="auto"/>
          <w:sz w:val="24"/>
          <w:szCs w:val="24"/>
          <w:highlight w:val="none"/>
        </w:rPr>
        <w:t>所涉及的一切费用，招标人对上述费用不负任何责任。</w:t>
      </w:r>
    </w:p>
    <w:p>
      <w:pPr>
        <w:pStyle w:val="8"/>
        <w:pageBreakBefore w:val="0"/>
        <w:kinsoku/>
        <w:wordWrap/>
        <w:overflowPunct/>
        <w:topLinePunct w:val="0"/>
        <w:autoSpaceDE/>
        <w:autoSpaceDN/>
        <w:bidi w:val="0"/>
        <w:spacing w:before="156" w:after="156" w:line="360" w:lineRule="auto"/>
        <w:rPr>
          <w:rFonts w:hint="eastAsia" w:ascii="宋体" w:hAnsi="宋体" w:eastAsia="宋体" w:cs="宋体"/>
          <w:color w:val="auto"/>
          <w:sz w:val="24"/>
          <w:szCs w:val="24"/>
          <w:highlight w:val="none"/>
        </w:rPr>
      </w:pPr>
      <w:bookmarkStart w:id="14" w:name="_Toc201658270"/>
      <w:bookmarkStart w:id="15" w:name="_Toc2272550"/>
      <w:bookmarkStart w:id="16" w:name="_Toc21525494"/>
      <w:r>
        <w:rPr>
          <w:rFonts w:hint="eastAsia" w:ascii="宋体" w:hAnsi="宋体" w:eastAsia="宋体" w:cs="宋体"/>
          <w:color w:val="auto"/>
          <w:sz w:val="24"/>
          <w:szCs w:val="24"/>
          <w:highlight w:val="none"/>
        </w:rPr>
        <w:t>（二）招标文件</w:t>
      </w:r>
      <w:bookmarkEnd w:id="14"/>
      <w:bookmarkEnd w:id="15"/>
      <w:bookmarkEnd w:id="16"/>
    </w:p>
    <w:p>
      <w:pPr>
        <w:pageBreakBefore w:val="0"/>
        <w:tabs>
          <w:tab w:val="left" w:pos="105"/>
        </w:tabs>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7.招标文件的组成</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7.1本招标文件包括下列文件，以及所有按本须知第8条发出的招标答疑会会议纪要和按本须知第9条发出的澄清或修改：</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第一章  投标须知</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第二章  开标、评标及定标办法</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第三章  合同条款</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第四章  投标文件格式</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第五章  技术条件（工程建设标准）（另册）</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第六章  图纸及勘察资料（另册）</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第七章  招标工程量清单（另册）</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第八章  最高投标限价</w:t>
      </w:r>
    </w:p>
    <w:p>
      <w:pPr>
        <w:pStyle w:val="5"/>
        <w:pageBreakBefore w:val="0"/>
        <w:kinsoku/>
        <w:wordWrap/>
        <w:overflowPunct/>
        <w:topLinePunct w:val="0"/>
        <w:autoSpaceDE/>
        <w:autoSpaceDN/>
        <w:bidi w:val="0"/>
        <w:spacing w:after="0" w:line="360" w:lineRule="auto"/>
        <w:ind w:left="-2"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 1 \* GB3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①</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 2 \* GB3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②</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t>鼓励招标人对施工组织设计或施工方案实行隐藏投标人信息的暗标评审。</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投标人一旦中标，招标文件的内容对招标人和中标人双方均有约束力。</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8．招标答疑</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投标人若对招标文件（包括招标图纸）中有疑问，可以书面形式通过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交易平台提交给招标人或招标代理人，提交形式见本须知前附表第16项。</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 “项目答疑纪要”专区公开发布。答疑纪要一经在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8.3答疑会会议纪要为招标文件的一部分。</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8.4若招标答疑会会议纪要与招标文件有矛盾，以答疑会议纪要最后发出的书面形式的文件为准。</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9.招标文件的澄清与修改</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9.1招标文件发出后，在提交投标文件截止时间15日前，招标人可对招标文件进行必要的澄清或修改。</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9.2招标文件的澄清或修改将在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交易平台上网发布时间作为送达时间。</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9.3招标文件的修改内容为招标文件的组成部分。</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pageBreakBefore w:val="0"/>
        <w:kinsoku/>
        <w:wordWrap/>
        <w:overflowPunct/>
        <w:topLinePunct w:val="0"/>
        <w:autoSpaceDE/>
        <w:autoSpaceDN/>
        <w:bidi w:val="0"/>
        <w:spacing w:before="156" w:after="156" w:line="360" w:lineRule="auto"/>
        <w:rPr>
          <w:rFonts w:hint="eastAsia" w:ascii="宋体" w:hAnsi="宋体" w:eastAsia="宋体" w:cs="宋体"/>
          <w:color w:val="auto"/>
          <w:sz w:val="24"/>
          <w:szCs w:val="24"/>
          <w:highlight w:val="none"/>
        </w:rPr>
      </w:pPr>
      <w:bookmarkStart w:id="17" w:name="_Toc21525495"/>
      <w:bookmarkStart w:id="18" w:name="_Toc2272551"/>
      <w:bookmarkStart w:id="19" w:name="_Toc201658271"/>
      <w:r>
        <w:rPr>
          <w:rFonts w:hint="eastAsia" w:ascii="宋体" w:hAnsi="宋体" w:eastAsia="宋体" w:cs="宋体"/>
          <w:color w:val="auto"/>
          <w:sz w:val="24"/>
          <w:szCs w:val="24"/>
          <w:highlight w:val="none"/>
        </w:rPr>
        <w:t>（三）投标文件的编制</w:t>
      </w:r>
      <w:bookmarkEnd w:id="17"/>
      <w:bookmarkEnd w:id="18"/>
      <w:bookmarkEnd w:id="19"/>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10．投标文件的语言及度量衡单位</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投标文件和与投标有关的所有文件均应使用中文。</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除工程规范另有规定外，投标文件使用的度量衡单位，均采用中华人民共和国法定计量单位。</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11．投标文件的组成</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11.1 投标文件由技术部分（含资格审查文件）和经济部分二部分投标文件组成</w:t>
      </w:r>
      <w:r>
        <w:rPr>
          <w:rFonts w:hint="eastAsia" w:ascii="宋体" w:hAnsi="宋体" w:eastAsia="宋体" w:cs="宋体"/>
          <w:b/>
          <w:color w:val="auto"/>
          <w:sz w:val="24"/>
          <w:szCs w:val="24"/>
          <w:highlight w:val="none"/>
        </w:rPr>
        <w:t>。</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11.2投标文件技术标部分主要包括下列内容：</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11.2.1 技术投标文件（</w:t>
      </w:r>
      <w:r>
        <w:rPr>
          <w:rFonts w:hint="eastAsia" w:ascii="宋体" w:hAnsi="宋体" w:eastAsia="宋体" w:cs="宋体"/>
          <w:color w:val="auto"/>
          <w:sz w:val="24"/>
          <w:szCs w:val="24"/>
          <w:highlight w:val="none"/>
        </w:rPr>
        <w:t>按招标文件的要求填写）</w:t>
      </w:r>
      <w:r>
        <w:rPr>
          <w:rFonts w:hint="eastAsia" w:ascii="宋体" w:hAnsi="宋体" w:eastAsia="宋体" w:cs="宋体"/>
          <w:bCs/>
          <w:color w:val="auto"/>
          <w:sz w:val="24"/>
          <w:szCs w:val="24"/>
          <w:highlight w:val="none"/>
        </w:rPr>
        <w:t>；</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（1）投标人声明； </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（3）企业营业执照扫描件或电子证照；</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（4）企业资质证书扫描件或电子证照；</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（5）建筑施工企业安全生产许可证扫描件或电子证照；</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（6）项目负责人（按网上投标登记时选择拟投入本项目的项目负责人）</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（7）专职安全员（按网上投标登记时选择拟投入本项目的专职安全员）</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（8）拟委托技术负责人的相关证书、资料（具体要求由招标人明确）</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（9）拟委派项目负责人的有效期内的建造师注册证书扫描件或电子证书；  </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（10）项目负责人在有效期内的安全生产考核合格证书（B类）或建筑施工企业项目负责人安全生产考核合格证书扫描件或电子证书；</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（11）专职安全员须具有在有效期内的安全生产考核合格证书（C类）或建筑施工企业专职安全生产管理人员安全生产考核合格证书扫描件或电子证书；</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（12）用于资格审查的业绩（设置业绩要求时选择此项，投标人须提供类似工程业绩的项目名称及项目编号，具体格式由招标人自定）；</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（13）资格审查前，投标人须在广州市住房和城乡建设局建立企业信用档案，拟担任本工程项目负责人、专职安全员须是本企业信用档案中的在册人员； </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pageBreakBefore w:val="0"/>
        <w:widowControl/>
        <w:kinsoku/>
        <w:wordWrap/>
        <w:overflowPunct/>
        <w:topLinePunct w:val="0"/>
        <w:autoSpaceDE/>
        <w:autoSpaceDN/>
        <w:bidi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注：1.相关电子证书按规定需打印后手写本人签名的，应按照规定手写本人签名后再扫描提交。</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11.2.3项目管理机构配备。</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（3）其他辅助说明资料。</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11.2.4投标人在广州市可使用适合本工程的机械设备（附：机械设备为自有或租赁的说明；及承诺机械设备如属于租赁的，其租赁是不属于重复租赁）。</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11.2.5施工组织设计或施工方案。</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（1）投标人在编制施工组织设计或施工方案时应按照招标人提出的施工现场建筑垃圾源头减量的具体要求以及建筑垃圾综合利用产品的使用要求提供相应措施。</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pageBreakBefore w:val="0"/>
        <w:tabs>
          <w:tab w:val="left" w:pos="1125"/>
        </w:tabs>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填写的《参与编制技术标投标文件人员名单》。</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11.3 经济部分投标文件主要包括下列内容：</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经济投标文件（按招标文件的要求填写）。</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（1）投标总价封面、扉页；</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pPr>
        <w:pageBreakBefore w:val="0"/>
        <w:kinsoku/>
        <w:wordWrap/>
        <w:overflowPunct/>
        <w:topLinePunct w:val="0"/>
        <w:autoSpaceDE/>
        <w:autoSpaceDN/>
        <w:bidi w:val="0"/>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（17）人工、主要材料和设备一览表</w:t>
      </w:r>
    </w:p>
    <w:p>
      <w:pPr>
        <w:pageBreakBefore w:val="0"/>
        <w:tabs>
          <w:tab w:val="left" w:pos="1125"/>
        </w:tabs>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填写的《参与编制经济标投标文件人员名单》。</w:t>
      </w:r>
    </w:p>
    <w:p>
      <w:pPr>
        <w:pageBreakBefore w:val="0"/>
        <w:tabs>
          <w:tab w:val="left" w:pos="1125"/>
        </w:tabs>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12．投标文件格式</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投标文件包括本须知第11条中规定的内容，投标人提交的投标文件应当使用招标文件所提供的投标文件全部格式（表格可以按同样格式扩展）。</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注：投标文件电子文档需要投标人单位盖章的材料，投标人加盖电子印章即可，不得将投标人未对电子文档加盖实物印章作为否决投标的情形。</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照交易平台关于全流程电子化项目的相关指南进行编制，详见：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
        <w:pageBreakBefore w:val="0"/>
        <w:kinsoku/>
        <w:wordWrap/>
        <w:overflowPunct/>
        <w:topLinePunct w:val="0"/>
        <w:autoSpaceDE/>
        <w:autoSpaceDN/>
        <w:bidi w:val="0"/>
        <w:spacing w:after="0" w:line="360" w:lineRule="auto"/>
        <w:ind w:firstLine="24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13．投标报价及造价承包和变更结算方式</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本工程的投标报价采用投标须知前附表第12项所规定的方式。投标报价（含单价及总价）精确到“分”。</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13.5.1中标的投标文件工程量清单中已有相同项目的适用综合单价，则沿用；</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13.5.4 如相关定额没有相应子目的，其计价方式由招标人在本招标文件第三章中另行规定。未规定的，中标后双方协商约定。</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13.6暂列金额、暂估价</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暂估价是指招标人在工程量清单中提供的用于支付必然发生但暂时不能确定价格的材料的单价以及专业工程的金额。</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14．投标货币</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本工程投标报价采用的币种为人民币。</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15．投标有效期</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投标有效期见投标须知前附表第13项所规定的期限，在此期限内，凡符合本招标文件要求的投标文件均保持有效。</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16．投标保证金</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16.1投标人应按投标须知前附表第14项所述金额和时间递交</w:t>
      </w:r>
      <w:r>
        <w:rPr>
          <w:rFonts w:hint="eastAsia" w:ascii="宋体" w:hAnsi="宋体" w:eastAsia="宋体" w:cs="宋体"/>
          <w:bCs/>
          <w:color w:val="auto"/>
          <w:sz w:val="24"/>
          <w:szCs w:val="24"/>
          <w:highlight w:val="none"/>
        </w:rPr>
        <w:t>投标保证金</w:t>
      </w:r>
      <w:r>
        <w:rPr>
          <w:rFonts w:hint="eastAsia" w:ascii="宋体" w:hAnsi="宋体" w:eastAsia="宋体" w:cs="宋体"/>
          <w:color w:val="auto"/>
          <w:sz w:val="24"/>
          <w:szCs w:val="24"/>
          <w:highlight w:val="none"/>
        </w:rPr>
        <w:t>。招标人应当允许投标人自主选择现金、银行保函、保证保险、专业工程担保公司担保等方式缴纳投标保证金。</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 采用现金或者支票形式提交的，投标保证金须从投标人的银行基本账户转出。</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采用电子形式的保函、担保或保证保险提交投标保证金的，应在招标文件中明确电子递交途径。</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16.3投标保证金应依据法律法规的相关规定退还。</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16.4如有下列情况之一的，招标人可以不予退还投标保证金（是否退还投标保证金由招标人在招标文件中规定）：</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16.4.1因投标人原因造成投标文件未解密的；</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16.4.2投标人在投标有效期内撤销投标文件；</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16.4.3中标人未能在规定期限内按要求提交履约担保；</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16.4.4中标人未能在规定期限内签署合同协议。</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16.5投标人如存在下列情况之一的，将被拒绝在一定时期内参与招标人后续工程投标（拒绝时限需在招标文件中明确）：</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16.5.1投标人存在16.4条款所列情形且投标人提交的保函、担保或保证保险无法兑付的；</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16.5.2采用非电子形式提交投标保证金的投标人存在16.4条款所列情形，且未按招标人要求补交银行保函、专业工程担保公司担保或保证保险原件的；</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16.5.3按招标文件要求免于提供投标保证金的投标人存在16.4条款所列情形，且未按招标人要求补交投标保证金的；</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16.5.3按招标文件要求免于提供投标保证金的投标人存在16.4条款所列情形的。</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注：16.5.3款由招标人二选一，需在招标文件中明确。</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17．投标文件的签署</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8"/>
        <w:pageBreakBefore w:val="0"/>
        <w:kinsoku/>
        <w:wordWrap/>
        <w:overflowPunct/>
        <w:topLinePunct w:val="0"/>
        <w:autoSpaceDE/>
        <w:autoSpaceDN/>
        <w:bidi w:val="0"/>
        <w:spacing w:before="156" w:after="156" w:line="360" w:lineRule="auto"/>
        <w:rPr>
          <w:rFonts w:hint="eastAsia" w:ascii="宋体" w:hAnsi="宋体" w:eastAsia="宋体" w:cs="宋体"/>
          <w:color w:val="auto"/>
          <w:sz w:val="24"/>
          <w:szCs w:val="24"/>
          <w:highlight w:val="none"/>
        </w:rPr>
      </w:pPr>
      <w:bookmarkStart w:id="20" w:name="_Toc201658272"/>
      <w:bookmarkStart w:id="21" w:name="_Toc21525496"/>
      <w:bookmarkStart w:id="22" w:name="_Toc2272552"/>
      <w:r>
        <w:rPr>
          <w:rFonts w:hint="eastAsia" w:ascii="宋体" w:hAnsi="宋体" w:eastAsia="宋体" w:cs="宋体"/>
          <w:color w:val="auto"/>
          <w:sz w:val="24"/>
          <w:szCs w:val="24"/>
          <w:highlight w:val="none"/>
        </w:rPr>
        <w:t>（四）投标文件的提交</w:t>
      </w:r>
      <w:bookmarkEnd w:id="20"/>
      <w:bookmarkEnd w:id="21"/>
      <w:bookmarkEnd w:id="22"/>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color w:val="auto"/>
          <w:sz w:val="24"/>
          <w:szCs w:val="24"/>
          <w:highlight w:val="none"/>
        </w:rPr>
        <w:t>投标文件的密封和标记</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18.2 未按要求加密的投标文件，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19．投标文件的递交和接收</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交易平台递交电子投标文件。</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19.3逾期送达的电子投标文件，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投标截止前，招标人拒绝接收符合条件的投标文件，投标人可向招标投标监督机构投诉。</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交易平台将按招标文件规定的时间分别开启技术标和经济标。</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20．投标文件提交的截止时间</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20.1投标人应在投标须知前附表第17项所述的时间前提交投标文件。</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到投标截止时间止，招标人收到的投标文件少于3家的，招标人将重新组织招标（当N个标段同时招标且不允许兼中时，若有效投标人不足N+2家，则重新组织招标）。</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21．迟交的投标文件</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本须知前附表第17项规定的投标截止时间</w:t>
      </w:r>
      <w:r>
        <w:rPr>
          <w:rFonts w:hint="eastAsia" w:ascii="宋体" w:hAnsi="宋体" w:eastAsia="宋体" w:cs="宋体"/>
          <w:bCs/>
          <w:color w:val="auto"/>
          <w:sz w:val="24"/>
          <w:szCs w:val="24"/>
          <w:highlight w:val="none"/>
        </w:rPr>
        <w:t>后送达的电子投标文件，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22．投标文件的修改与撤回</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22.1在规定的投标截止时间前，投标人可以修改或撤回已递交的投标文件，但应以书面形式通知招标人。</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22.2投标人修改或撤回已递交的投标文件，需在交易平台发出修改或撤回通知，并按要求加盖电子印章。</w:t>
      </w:r>
      <w:r>
        <w:rPr>
          <w:rFonts w:hint="eastAsia" w:ascii="宋体" w:hAnsi="宋体" w:eastAsia="宋体" w:cs="宋体"/>
          <w:bCs/>
          <w:iCs/>
          <w:color w:val="auto"/>
          <w:sz w:val="24"/>
          <w:szCs w:val="24"/>
          <w:highlight w:val="none"/>
        </w:rPr>
        <w:t>电子招标投标交易平台收到通知后，</w:t>
      </w:r>
      <w:r>
        <w:rPr>
          <w:rFonts w:hint="eastAsia" w:ascii="宋体" w:hAnsi="宋体" w:eastAsia="宋体" w:cs="宋体"/>
          <w:color w:val="auto"/>
          <w:sz w:val="24"/>
          <w:szCs w:val="24"/>
          <w:highlight w:val="none"/>
        </w:rPr>
        <w:t>即时向投标人发出确认回执通知。</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22.3修改后再次递交的，按19点的规定执行。</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在投标截止时间之后，投标人不得补充、修改和更换投标文件。</w:t>
      </w:r>
    </w:p>
    <w:p>
      <w:pPr>
        <w:pStyle w:val="8"/>
        <w:pageBreakBefore w:val="0"/>
        <w:kinsoku/>
        <w:wordWrap/>
        <w:overflowPunct/>
        <w:topLinePunct w:val="0"/>
        <w:autoSpaceDE/>
        <w:autoSpaceDN/>
        <w:bidi w:val="0"/>
        <w:spacing w:before="156" w:after="156" w:line="360" w:lineRule="auto"/>
        <w:rPr>
          <w:rFonts w:hint="eastAsia" w:ascii="宋体" w:hAnsi="宋体" w:eastAsia="宋体" w:cs="宋体"/>
          <w:color w:val="auto"/>
          <w:sz w:val="24"/>
          <w:szCs w:val="24"/>
          <w:highlight w:val="none"/>
        </w:rPr>
      </w:pPr>
      <w:bookmarkStart w:id="23" w:name="_Toc21525497"/>
      <w:bookmarkStart w:id="24" w:name="_Toc2272553"/>
      <w:bookmarkStart w:id="25" w:name="_Toc201658273"/>
      <w:r>
        <w:rPr>
          <w:rFonts w:hint="eastAsia" w:ascii="宋体" w:hAnsi="宋体" w:eastAsia="宋体" w:cs="宋体"/>
          <w:color w:val="auto"/>
          <w:sz w:val="24"/>
          <w:szCs w:val="24"/>
          <w:highlight w:val="none"/>
        </w:rPr>
        <w:t>（五）开标、评标、定标及合同签定</w:t>
      </w:r>
      <w:bookmarkEnd w:id="23"/>
      <w:bookmarkEnd w:id="24"/>
      <w:bookmarkEnd w:id="25"/>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23、开标。</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详见第二章开标、评标及定标办法</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24．评标过程的保密</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25．投标文件的澄清，计算错误的修正</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详见招标文件第二章开标、评标及定标办法</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26．投标文件的评审、比较和否决</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详见招标文件第二章开标、评标及定标办法。</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27．中标通知书</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27.2招标人应当自确定中标人后，向招标投标监管机构提交招标投标情况的书面报告；经招投标监管机构备案后，方可发出中标通知书。</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27.3中标人必须在收到中标通知书后24小时之内以书面形式回复招标人，确认收到。</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交易平台和广东省招标投标监管网公开。</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28．合同协议书的签订</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招标人与中标人将于中标通知书发出之日起30日内，按照招标文件和中标人的投标文件商定和签订合同，招标人和中标人不得再行订立背离合同实质性内容的其他协议。</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28.3非经招标人同意，中标人在投标过程中使用的银行名称及帐号至完成竣工结算不得变更，否则招标人有权停止工程款项的拔付及至解除合同，由此造成的一切责任由中标人承担。</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28.4招标人支付工程款时，中标人应按规定开具发票。</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29．履约担保</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在收到中标通知书后的15日内，中标人应按本须知前附表第20项的规定向招标人提交履约担保。</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30．合同生效</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30.1在合同双方全权代表在合同协议书上签字，并分别加盖双方单位的公章后，合同正式生效。</w:t>
      </w:r>
    </w:p>
    <w:p>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31．其它费用</w:t>
      </w:r>
    </w:p>
    <w:p>
      <w:pPr>
        <w:pStyle w:val="5"/>
        <w:pageBreakBefore w:val="0"/>
        <w:kinsoku/>
        <w:wordWrap/>
        <w:overflowPunct/>
        <w:topLinePunct w:val="0"/>
        <w:autoSpaceDE/>
        <w:autoSpaceDN/>
        <w:bidi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32．腐败与欺诈行为</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在招标和合同实施期间，招标人要求投标人和承包人遵守最高的道德标准。</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32．1对本条款的规定，特定义如下词汇：</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1）、“腐败行为”是指在招标或合同执行期间，通过提供、给予、接受或索要任何有价值的东西，从而影响招标人有关人员工作的行为；</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32．2如果投标人被认定在本招标的竞争中有腐败或欺诈行为，则会被取消投标资格。</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highlight w:val="none"/>
        </w:rPr>
      </w:pPr>
    </w:p>
    <w:bookmarkEnd w:id="11"/>
    <w:p>
      <w:pPr>
        <w:pStyle w:val="5"/>
        <w:pageBreakBefore w:val="0"/>
        <w:kinsoku/>
        <w:wordWrap/>
        <w:overflowPunct/>
        <w:topLinePunct w:val="0"/>
        <w:autoSpaceDE/>
        <w:autoSpaceDN/>
        <w:bidi w:val="0"/>
        <w:spacing w:after="0" w:line="360" w:lineRule="auto"/>
        <w:ind w:firstLine="480" w:firstLineChars="200"/>
        <w:rPr>
          <w:rFonts w:hint="eastAsia" w:ascii="宋体" w:hAnsi="宋体" w:eastAsia="宋体" w:cs="宋体"/>
          <w:color w:val="auto"/>
          <w:sz w:val="24"/>
          <w:highlight w:val="none"/>
          <w:u w:val="single"/>
        </w:rPr>
        <w:sectPr>
          <w:endnotePr>
            <w:numFmt w:val="decimal"/>
          </w:endnotePr>
          <w:pgSz w:w="11906" w:h="16838"/>
          <w:pgMar w:top="1134" w:right="1418" w:bottom="1247" w:left="1418" w:header="851" w:footer="485" w:gutter="0"/>
          <w:pgBorders>
            <w:top w:val="none" w:sz="0" w:space="0"/>
            <w:left w:val="none" w:sz="0" w:space="0"/>
            <w:bottom w:val="none" w:sz="0" w:space="0"/>
            <w:right w:val="none" w:sz="0" w:space="0"/>
          </w:pgBorders>
          <w:cols w:space="720" w:num="1"/>
          <w:rtlGutter w:val="1"/>
          <w:docGrid w:type="lines" w:linePitch="312" w:charSpace="0"/>
        </w:sectPr>
      </w:pPr>
    </w:p>
    <w:p>
      <w:pPr>
        <w:pStyle w:val="3"/>
        <w:pageBreakBefore w:val="0"/>
        <w:kinsoku/>
        <w:wordWrap/>
        <w:overflowPunct/>
        <w:topLinePunct w:val="0"/>
        <w:autoSpaceDE/>
        <w:autoSpaceDN/>
        <w:bidi w:val="0"/>
        <w:spacing w:before="120" w:line="360" w:lineRule="auto"/>
        <w:rPr>
          <w:rFonts w:hint="eastAsia" w:ascii="宋体" w:hAnsi="宋体" w:eastAsia="宋体" w:cs="宋体"/>
          <w:color w:val="auto"/>
          <w:highlight w:val="none"/>
        </w:rPr>
      </w:pPr>
      <w:bookmarkStart w:id="26" w:name="_Toc201658274"/>
      <w:r>
        <w:rPr>
          <w:rFonts w:hint="eastAsia" w:ascii="宋体" w:hAnsi="宋体" w:eastAsia="宋体" w:cs="宋体"/>
          <w:color w:val="auto"/>
          <w:highlight w:val="none"/>
        </w:rPr>
        <w:t>第二章  开标、评标及定标办法</w:t>
      </w:r>
      <w:bookmarkEnd w:id="26"/>
    </w:p>
    <w:p>
      <w:pPr>
        <w:pStyle w:val="7"/>
        <w:pageBreakBefore w:val="0"/>
        <w:kinsoku/>
        <w:wordWrap/>
        <w:overflowPunct/>
        <w:topLinePunct w:val="0"/>
        <w:autoSpaceDE/>
        <w:autoSpaceDN/>
        <w:bidi w:val="0"/>
        <w:spacing w:line="360" w:lineRule="auto"/>
        <w:rPr>
          <w:rFonts w:hint="eastAsia" w:ascii="宋体" w:hAnsi="宋体" w:eastAsia="宋体" w:cs="宋体"/>
          <w:color w:val="auto"/>
          <w:sz w:val="24"/>
          <w:highlight w:val="none"/>
        </w:rPr>
      </w:pPr>
      <w:bookmarkStart w:id="27" w:name="_Toc201658275"/>
      <w:r>
        <w:rPr>
          <w:rFonts w:hint="eastAsia" w:ascii="宋体" w:hAnsi="宋体" w:eastAsia="宋体" w:cs="宋体"/>
          <w:color w:val="auto"/>
          <w:sz w:val="24"/>
          <w:highlight w:val="none"/>
        </w:rPr>
        <w:t>一、开标、评标及定标办法修改表</w:t>
      </w:r>
      <w:bookmarkEnd w:id="27"/>
    </w:p>
    <w:p>
      <w:pPr>
        <w:pStyle w:val="5"/>
        <w:pageBreakBefore w:val="0"/>
        <w:kinsoku/>
        <w:wordWrap/>
        <w:overflowPunct/>
        <w:topLinePunct w:val="0"/>
        <w:autoSpaceDE/>
        <w:autoSpaceDN/>
        <w:bidi w:val="0"/>
        <w:spacing w:after="0" w:line="360" w:lineRule="auto"/>
        <w:ind w:firstLine="21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hint="eastAsia" w:ascii="宋体" w:hAnsi="宋体" w:eastAsia="宋体" w:cs="宋体"/>
          <w:b/>
          <w:color w:val="auto"/>
          <w:sz w:val="21"/>
          <w:szCs w:val="21"/>
          <w:highlight w:val="none"/>
          <w:u w:val="single"/>
        </w:rPr>
        <w:t>http://zfcj.gz.gov.cn/</w:t>
      </w:r>
      <w:r>
        <w:rPr>
          <w:rFonts w:hint="eastAsia" w:ascii="宋体" w:hAnsi="宋体" w:eastAsia="宋体" w:cs="宋体"/>
          <w:b/>
          <w:color w:val="auto"/>
          <w:sz w:val="21"/>
          <w:szCs w:val="21"/>
          <w:highlight w:val="none"/>
        </w:rPr>
        <w:t>）下载GZZB2018-3范本查阅。</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条款号：（二）开标评标办法程序和细则        修改类型：删除</w:t>
      </w:r>
    </w:p>
    <w:p>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原文：可选办法一（适合综合评分法一，技术标与经济标先后分别开启）</w:t>
      </w:r>
    </w:p>
    <w:p>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原文：可选办法二（适合综合评分法一，技术标与经济标同时开启）</w:t>
      </w:r>
    </w:p>
    <w:p>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原文：可选办法三（适合综合评分法二，技术标与经济标先后分别开启）</w:t>
      </w:r>
    </w:p>
    <w:p>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原文：可选办法四（适合综合评分法二，技术标与经济标同时开启）</w:t>
      </w:r>
    </w:p>
    <w:p>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原文：可选办法五（适合综合评分法三，技术标与经济标先后分别开启）</w:t>
      </w:r>
    </w:p>
    <w:p>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原文：可选办法六（适合综合评分法三，技术标与经济标同时开启）</w:t>
      </w:r>
    </w:p>
    <w:p>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原文：可选办法八（适合经评审的最低投标价法，技术标与经济标同时开启）</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条款号：36.1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color w:val="auto"/>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ageBreakBefore w:val="0"/>
        <w:pBdr>
          <w:bottom w:val="single" w:color="auto" w:sz="6" w:space="0"/>
        </w:pBdr>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现文：</w:t>
      </w:r>
      <w:r>
        <w:rPr>
          <w:rFonts w:hint="eastAsia" w:ascii="宋体" w:hAnsi="宋体" w:eastAsia="宋体" w:cs="宋体"/>
          <w:color w:val="auto"/>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color w:val="auto"/>
          <w:sz w:val="21"/>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36.3</w:t>
      </w:r>
      <w:r>
        <w:rPr>
          <w:rFonts w:hint="eastAsia" w:ascii="宋体" w:hAnsi="宋体" w:eastAsia="宋体" w:cs="宋体"/>
          <w:b/>
          <w:color w:val="auto"/>
          <w:sz w:val="21"/>
          <w:szCs w:val="21"/>
          <w:highlight w:val="none"/>
        </w:rPr>
        <w:t xml:space="preserve">              修改类型：删除</w:t>
      </w:r>
    </w:p>
    <w:p>
      <w:pPr>
        <w:pageBreakBefore w:val="0"/>
        <w:pBdr>
          <w:bottom w:val="single" w:color="auto" w:sz="6" w:space="0"/>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36.3 根据投标须知前附表第19项，如需抽取某一种评标办法供评标时使用的，应在开标前抽取。首先对招标文件中约定的若干种评标方法进行编号，再随机抽取某一编号，该编号所对应的评标办法供评标时使用。</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36.5.1</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36.5.1 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36.5.1在投标截止时间后一个小时内，投标人通过</w:t>
      </w:r>
      <w:r>
        <w:rPr>
          <w:rFonts w:hint="eastAsia" w:ascii="宋体" w:hAnsi="宋体" w:eastAsia="宋体" w:cs="宋体"/>
          <w:color w:val="auto"/>
          <w:sz w:val="21"/>
          <w:szCs w:val="21"/>
          <w:highlight w:val="none"/>
          <w:u w:val="single"/>
        </w:rPr>
        <w:t>广州交易集团有限公司（广州公共资源交易中心）交易平台</w:t>
      </w:r>
      <w:r>
        <w:rPr>
          <w:rFonts w:hint="eastAsia" w:ascii="宋体" w:hAnsi="宋体" w:eastAsia="宋体" w:cs="宋体"/>
          <w:color w:val="auto"/>
          <w:sz w:val="21"/>
          <w:szCs w:val="21"/>
          <w:highlight w:val="none"/>
        </w:rPr>
        <w:t>对已递交的电子投标文件进行解密。投标人完成解密后，再由招标人进行解密。解密完成后，公布招标项目名称、投标人名称、投标报价、工期及其他内容；</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36.5.3</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36.5.3 投标人代表、招标人代表、监标人、记录人等有关人员在开标记录上签字确认；若有关人员不签字的，不影响开标程序；</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36.5.3 投标人代表、招标人代表、监标人、记录人等有关人员在开标记录上签字确认；若有关人员不签字的，不影响开标程序；</w:t>
      </w:r>
      <w:r>
        <w:rPr>
          <w:rFonts w:hint="eastAsia" w:ascii="宋体" w:hAnsi="宋体" w:eastAsia="宋体" w:cs="宋体"/>
          <w:color w:val="auto"/>
          <w:sz w:val="21"/>
          <w:szCs w:val="21"/>
          <w:highlight w:val="none"/>
          <w:u w:val="single"/>
        </w:rPr>
        <w:t>若投标人不参加开标会的，或不签字确认的，视同该投标人认可开标结果；</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w:t>
      </w:r>
      <w:r>
        <w:rPr>
          <w:rFonts w:hint="eastAsia" w:ascii="宋体" w:hAnsi="宋体" w:eastAsia="宋体" w:cs="宋体"/>
          <w:color w:val="auto"/>
          <w:sz w:val="21"/>
          <w:szCs w:val="21"/>
          <w:highlight w:val="none"/>
          <w:lang w:bidi="ar-SA"/>
        </w:rPr>
        <w:t>37</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bidi="ar-SA"/>
        </w:rPr>
        <w:t xml:space="preserve">  </w:t>
      </w:r>
      <w:r>
        <w:rPr>
          <w:rFonts w:hint="eastAsia" w:ascii="宋体" w:hAnsi="宋体" w:eastAsia="宋体" w:cs="宋体"/>
          <w:b/>
          <w:color w:val="auto"/>
          <w:sz w:val="21"/>
          <w:szCs w:val="21"/>
          <w:highlight w:val="none"/>
          <w:lang w:bidi="ar-SA"/>
        </w:rPr>
        <w:t xml:space="preserve">          修改类型：修改</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lang w:bidi="ar-SA"/>
        </w:rPr>
        <w:t>37．评标</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37.1评标委员会由招标人依法组建。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37.2评标委员会的职责及守则：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37.2.1根据评标细则，对投标文件进行认真评审，完成评审报告；</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37.2.2向招标人报告评审意见，推荐合格的中标候选人。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37.2.3所有参加评标人员必须遵守国家、地方政府制定的有关工程招标投标的法则、规定，遵守有关工程招标投标的保密制度；如有违反者，给予行政处分；情节严重，构成犯罪的，由司法机关依法追究其刑事责任。</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37.2.4全体参与评标人员：</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37.2.4.1 必须遵守评标纪律、不得泄密；</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37.2.4.2 必须公正、不得循私；</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37.2.4.3 必须科学、不得草率；</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37.2.4.4 必须客观、不得带有成见；</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37.2.4.5 必须平等、不得强加于人；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37.2.4.6 必须严谨、不得随意马虎。</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 评标结束后，评标委员会递交评标报告并依法推荐中标候选人。</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kern w:val="0"/>
          <w:sz w:val="21"/>
          <w:szCs w:val="21"/>
          <w:highlight w:val="none"/>
          <w:lang w:bidi="ar-SA"/>
        </w:rPr>
        <w:t>现文：</w:t>
      </w:r>
      <w:r>
        <w:rPr>
          <w:rFonts w:hint="eastAsia" w:ascii="宋体" w:hAnsi="宋体" w:eastAsia="宋体" w:cs="宋体"/>
          <w:color w:val="auto"/>
          <w:sz w:val="21"/>
          <w:szCs w:val="21"/>
          <w:highlight w:val="none"/>
          <w:lang w:bidi="ar-SA"/>
        </w:rPr>
        <w:t>37．评标</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37.1评标委员会由招标人依法组建。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SA"/>
        </w:rPr>
        <w:t>37.2</w:t>
      </w:r>
      <w:r>
        <w:rPr>
          <w:rFonts w:hint="eastAsia" w:ascii="宋体" w:hAnsi="宋体" w:eastAsia="宋体" w:cs="宋体"/>
          <w:b/>
          <w:bCs/>
          <w:color w:val="auto"/>
          <w:sz w:val="21"/>
          <w:szCs w:val="21"/>
          <w:highlight w:val="none"/>
          <w:u w:val="single"/>
          <w:lang w:val="en-US" w:eastAsia="zh-CN" w:bidi="ar-SA"/>
        </w:rPr>
        <w:t>评标委员会在开始评标前，应了解评标专家的职责及守则，认真阅读附件《评标委员会成员声明》的内容并签名，签字后方可进行评标；</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val="en-US" w:eastAsia="zh-CN" w:bidi="ar-SA"/>
        </w:rPr>
        <w:t>37.3</w:t>
      </w:r>
      <w:r>
        <w:rPr>
          <w:rFonts w:hint="eastAsia" w:ascii="宋体" w:hAnsi="宋体" w:eastAsia="宋体" w:cs="宋体"/>
          <w:color w:val="auto"/>
          <w:sz w:val="21"/>
          <w:szCs w:val="21"/>
          <w:highlight w:val="none"/>
          <w:lang w:bidi="ar-SA"/>
        </w:rPr>
        <w:t>评标委员会的职责及守则：</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.1</w:t>
      </w:r>
      <w:r>
        <w:rPr>
          <w:rFonts w:hint="eastAsia" w:ascii="宋体" w:hAnsi="宋体" w:eastAsia="宋体" w:cs="宋体"/>
          <w:color w:val="auto"/>
          <w:sz w:val="21"/>
          <w:szCs w:val="21"/>
          <w:highlight w:val="none"/>
          <w:lang w:bidi="ar-SA"/>
        </w:rPr>
        <w:t>根据评标细则，对投标文件进行认真评审，完成评审报告；</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.2</w:t>
      </w:r>
      <w:r>
        <w:rPr>
          <w:rFonts w:hint="eastAsia" w:ascii="宋体" w:hAnsi="宋体" w:eastAsia="宋体" w:cs="宋体"/>
          <w:b w:val="0"/>
          <w:bCs w:val="0"/>
          <w:color w:val="auto"/>
          <w:sz w:val="21"/>
          <w:szCs w:val="21"/>
          <w:highlight w:val="none"/>
          <w:u w:val="single"/>
          <w:lang w:bidi="ar-SA"/>
        </w:rPr>
        <w:t>向招标人推荐合格的中标候选人并进入定标阶段（不排序），并递交资格审查报告和评标报告。</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.3</w:t>
      </w:r>
      <w:r>
        <w:rPr>
          <w:rFonts w:hint="eastAsia" w:ascii="宋体" w:hAnsi="宋体" w:eastAsia="宋体" w:cs="宋体"/>
          <w:color w:val="auto"/>
          <w:sz w:val="21"/>
          <w:szCs w:val="21"/>
          <w:highlight w:val="none"/>
          <w:lang w:bidi="ar-SA"/>
        </w:rPr>
        <w:t>所有参加评标人员必须遵守国家、地方政府制定的有关工程招标投标的法则、规定，遵守有关工程招标投标的保密制度；如有违反者，给予行政处分；情节严重，构成犯罪的，由司法机关依法追究其刑事责任。</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.4</w:t>
      </w:r>
      <w:r>
        <w:rPr>
          <w:rFonts w:hint="eastAsia" w:ascii="宋体" w:hAnsi="宋体" w:eastAsia="宋体" w:cs="宋体"/>
          <w:color w:val="auto"/>
          <w:sz w:val="21"/>
          <w:szCs w:val="21"/>
          <w:highlight w:val="none"/>
          <w:lang w:bidi="ar-SA"/>
        </w:rPr>
        <w:t>全体参与评标人员：</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.4.1</w:t>
      </w:r>
      <w:r>
        <w:rPr>
          <w:rFonts w:hint="eastAsia" w:ascii="宋体" w:hAnsi="宋体" w:eastAsia="宋体" w:cs="宋体"/>
          <w:color w:val="auto"/>
          <w:sz w:val="21"/>
          <w:szCs w:val="21"/>
          <w:highlight w:val="none"/>
          <w:lang w:bidi="ar-SA"/>
        </w:rPr>
        <w:t xml:space="preserve"> 必须遵守评标纪律、不得泄密；</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 xml:space="preserve">.4.2 </w:t>
      </w:r>
      <w:r>
        <w:rPr>
          <w:rFonts w:hint="eastAsia" w:ascii="宋体" w:hAnsi="宋体" w:eastAsia="宋体" w:cs="宋体"/>
          <w:color w:val="auto"/>
          <w:sz w:val="21"/>
          <w:szCs w:val="21"/>
          <w:highlight w:val="none"/>
          <w:lang w:bidi="ar-SA"/>
        </w:rPr>
        <w:t>必须公正、不得循私；</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.4.3</w:t>
      </w:r>
      <w:r>
        <w:rPr>
          <w:rFonts w:hint="eastAsia" w:ascii="宋体" w:hAnsi="宋体" w:eastAsia="宋体" w:cs="宋体"/>
          <w:color w:val="auto"/>
          <w:sz w:val="21"/>
          <w:szCs w:val="21"/>
          <w:highlight w:val="none"/>
          <w:lang w:bidi="ar-SA"/>
        </w:rPr>
        <w:t xml:space="preserve"> 必须科学、不得草率；</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.4.4</w:t>
      </w:r>
      <w:r>
        <w:rPr>
          <w:rFonts w:hint="eastAsia" w:ascii="宋体" w:hAnsi="宋体" w:eastAsia="宋体" w:cs="宋体"/>
          <w:color w:val="auto"/>
          <w:sz w:val="21"/>
          <w:szCs w:val="21"/>
          <w:highlight w:val="none"/>
          <w:lang w:bidi="ar-SA"/>
        </w:rPr>
        <w:t xml:space="preserve"> 必须客观、不得带有成见；</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.4.5</w:t>
      </w:r>
      <w:r>
        <w:rPr>
          <w:rFonts w:hint="eastAsia" w:ascii="宋体" w:hAnsi="宋体" w:eastAsia="宋体" w:cs="宋体"/>
          <w:color w:val="auto"/>
          <w:sz w:val="21"/>
          <w:szCs w:val="21"/>
          <w:highlight w:val="none"/>
          <w:lang w:bidi="ar-SA"/>
        </w:rPr>
        <w:t xml:space="preserve"> 必须平等、不得强加于人；</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kern w:val="0"/>
          <w:sz w:val="21"/>
          <w:szCs w:val="21"/>
          <w:highlight w:val="none"/>
          <w:lang w:bidi="ar-SA"/>
        </w:rPr>
      </w:pPr>
      <w:r>
        <w:rPr>
          <w:rFonts w:hint="eastAsia" w:ascii="宋体" w:hAnsi="宋体" w:eastAsia="宋体" w:cs="宋体"/>
          <w:b/>
          <w:bCs/>
          <w:color w:val="auto"/>
          <w:sz w:val="21"/>
          <w:szCs w:val="21"/>
          <w:highlight w:val="none"/>
          <w:u w:val="single"/>
          <w:lang w:bidi="ar-SA"/>
        </w:rPr>
        <w:t>37.</w:t>
      </w:r>
      <w:r>
        <w:rPr>
          <w:rFonts w:hint="eastAsia" w:ascii="宋体" w:hAnsi="宋体" w:eastAsia="宋体" w:cs="宋体"/>
          <w:b/>
          <w:bCs/>
          <w:color w:val="auto"/>
          <w:sz w:val="21"/>
          <w:szCs w:val="21"/>
          <w:highlight w:val="none"/>
          <w:u w:val="single"/>
          <w:lang w:val="en-US" w:eastAsia="zh-CN" w:bidi="ar-SA"/>
        </w:rPr>
        <w:t>3</w:t>
      </w:r>
      <w:r>
        <w:rPr>
          <w:rFonts w:hint="eastAsia" w:ascii="宋体" w:hAnsi="宋体" w:eastAsia="宋体" w:cs="宋体"/>
          <w:b/>
          <w:bCs/>
          <w:color w:val="auto"/>
          <w:sz w:val="21"/>
          <w:szCs w:val="21"/>
          <w:highlight w:val="none"/>
          <w:u w:val="single"/>
          <w:lang w:bidi="ar-SA"/>
        </w:rPr>
        <w:t>.4.6</w:t>
      </w:r>
      <w:r>
        <w:rPr>
          <w:rFonts w:hint="eastAsia" w:ascii="宋体" w:hAnsi="宋体" w:eastAsia="宋体" w:cs="宋体"/>
          <w:color w:val="auto"/>
          <w:sz w:val="21"/>
          <w:szCs w:val="21"/>
          <w:highlight w:val="none"/>
          <w:lang w:bidi="ar-SA"/>
        </w:rPr>
        <w:t xml:space="preserve"> 必须严谨、不得随意马虎。</w:t>
      </w:r>
    </w:p>
    <w:p>
      <w:pPr>
        <w:pageBreakBefore w:val="0"/>
        <w:pBdr>
          <w:bottom w:val="single" w:color="auto" w:sz="6" w:space="1"/>
        </w:pBdr>
        <w:kinsoku/>
        <w:wordWrap/>
        <w:overflowPunct/>
        <w:topLinePunct w:val="0"/>
        <w:autoSpaceDE/>
        <w:autoSpaceDN/>
        <w:bidi w:val="0"/>
        <w:spacing w:line="360" w:lineRule="auto"/>
        <w:ind w:firstLine="470" w:firstLineChars="224"/>
        <w:rPr>
          <w:rFonts w:hint="eastAsia" w:ascii="宋体" w:hAnsi="宋体" w:eastAsia="宋体" w:cs="宋体"/>
          <w:bCs/>
          <w:color w:val="auto"/>
          <w:kern w:val="0"/>
          <w:sz w:val="21"/>
          <w:szCs w:val="21"/>
          <w:highlight w:val="none"/>
          <w:lang w:bidi="ar-SA"/>
        </w:rPr>
      </w:pPr>
      <w:r>
        <w:rPr>
          <w:rFonts w:hint="eastAsia" w:ascii="宋体" w:hAnsi="宋体" w:eastAsia="宋体" w:cs="宋体"/>
          <w:bCs/>
          <w:color w:val="auto"/>
          <w:kern w:val="0"/>
          <w:sz w:val="21"/>
          <w:szCs w:val="21"/>
          <w:highlight w:val="none"/>
          <w:lang w:bidi="ar-SA"/>
        </w:rPr>
        <w:t>37.</w:t>
      </w:r>
      <w:r>
        <w:rPr>
          <w:rFonts w:hint="eastAsia" w:ascii="宋体" w:hAnsi="宋体" w:eastAsia="宋体" w:cs="宋体"/>
          <w:bCs/>
          <w:color w:val="auto"/>
          <w:kern w:val="0"/>
          <w:sz w:val="21"/>
          <w:szCs w:val="21"/>
          <w:highlight w:val="none"/>
          <w:lang w:val="en-US" w:eastAsia="zh-CN" w:bidi="ar-SA"/>
        </w:rPr>
        <w:t>4</w:t>
      </w:r>
      <w:r>
        <w:rPr>
          <w:rFonts w:hint="eastAsia" w:ascii="宋体" w:hAnsi="宋体" w:eastAsia="宋体" w:cs="宋体"/>
          <w:b/>
          <w:color w:val="auto"/>
          <w:kern w:val="0"/>
          <w:sz w:val="21"/>
          <w:szCs w:val="21"/>
          <w:highlight w:val="none"/>
          <w:u w:val="single"/>
          <w:lang w:bidi="ar-SA"/>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r>
        <w:rPr>
          <w:rFonts w:hint="eastAsia" w:ascii="宋体" w:hAnsi="宋体" w:eastAsia="宋体" w:cs="宋体"/>
          <w:bCs/>
          <w:color w:val="auto"/>
          <w:kern w:val="0"/>
          <w:sz w:val="21"/>
          <w:szCs w:val="21"/>
          <w:highlight w:val="none"/>
          <w:lang w:bidi="ar-SA"/>
        </w:rPr>
        <w:t>。</w:t>
      </w:r>
    </w:p>
    <w:p>
      <w:pPr>
        <w:pageBreakBefore w:val="0"/>
        <w:pBdr>
          <w:bottom w:val="single" w:color="auto" w:sz="6" w:space="1"/>
        </w:pBdr>
        <w:kinsoku/>
        <w:wordWrap/>
        <w:overflowPunct/>
        <w:topLinePunct w:val="0"/>
        <w:autoSpaceDE/>
        <w:autoSpaceDN/>
        <w:bidi w:val="0"/>
        <w:spacing w:line="360" w:lineRule="auto"/>
        <w:ind w:firstLine="472" w:firstLineChars="224"/>
        <w:rPr>
          <w:rFonts w:hint="eastAsia" w:ascii="宋体" w:hAnsi="宋体" w:eastAsia="宋体" w:cs="宋体"/>
          <w:bCs/>
          <w:color w:val="auto"/>
          <w:kern w:val="0"/>
          <w:sz w:val="21"/>
          <w:szCs w:val="21"/>
          <w:highlight w:val="none"/>
          <w:lang w:bidi="ar-SA"/>
        </w:rPr>
      </w:pPr>
      <w:r>
        <w:rPr>
          <w:rFonts w:hint="eastAsia" w:ascii="宋体" w:hAnsi="宋体" w:eastAsia="宋体" w:cs="宋体"/>
          <w:b/>
          <w:color w:val="auto"/>
          <w:kern w:val="0"/>
          <w:sz w:val="21"/>
          <w:szCs w:val="21"/>
          <w:highlight w:val="none"/>
          <w:u w:val="single"/>
          <w:lang w:bidi="ar-SA"/>
        </w:rPr>
        <w:t>37.</w:t>
      </w:r>
      <w:r>
        <w:rPr>
          <w:rFonts w:hint="eastAsia" w:ascii="宋体" w:hAnsi="宋体" w:eastAsia="宋体" w:cs="宋体"/>
          <w:b/>
          <w:color w:val="auto"/>
          <w:kern w:val="0"/>
          <w:sz w:val="21"/>
          <w:szCs w:val="21"/>
          <w:highlight w:val="none"/>
          <w:u w:val="single"/>
          <w:lang w:val="en-US" w:eastAsia="zh-CN" w:bidi="ar-SA"/>
        </w:rPr>
        <w:t>5</w:t>
      </w:r>
      <w:r>
        <w:rPr>
          <w:rFonts w:hint="eastAsia" w:ascii="宋体" w:hAnsi="宋体" w:eastAsia="宋体" w:cs="宋体"/>
          <w:b w:val="0"/>
          <w:bCs/>
          <w:color w:val="auto"/>
          <w:kern w:val="0"/>
          <w:sz w:val="21"/>
          <w:szCs w:val="21"/>
          <w:highlight w:val="none"/>
          <w:u w:val="single"/>
          <w:lang w:val="en-US" w:eastAsia="zh-CN" w:bidi="ar-SA"/>
        </w:rPr>
        <w:t>评标结束后，评标委员会递交资格审查报告和评标报告并依法推荐合格的中标候选人并进入定标阶段。</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条款号：38.1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38.1 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ageBreakBefore w:val="0"/>
        <w:pBdr>
          <w:bottom w:val="single" w:color="auto" w:sz="4"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38.1 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 w:val="21"/>
          <w:szCs w:val="21"/>
          <w:highlight w:val="none"/>
          <w:u w:val="single"/>
        </w:rPr>
        <w:t>对投标文件含义不明确、对同类问题表述不一致、有明显文字和计算错误的内容以及细微偏差</w:t>
      </w:r>
      <w:r>
        <w:rPr>
          <w:rFonts w:hint="eastAsia" w:ascii="宋体" w:hAnsi="宋体" w:eastAsia="宋体" w:cs="宋体"/>
          <w:color w:val="auto"/>
          <w:sz w:val="21"/>
          <w:szCs w:val="21"/>
          <w:highlight w:val="none"/>
        </w:rPr>
        <w:t>的内容作出澄清。</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条款号：39.定标                    修改类型：删除</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b w:val="0"/>
          <w:bCs w:val="0"/>
          <w:color w:val="auto"/>
          <w:sz w:val="21"/>
          <w:szCs w:val="21"/>
          <w:highlight w:val="none"/>
        </w:rPr>
        <w:t>39．定标</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39.1 招标人根据评标委员会递交的评标报告，最终审定中标人。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39.2 依法必须进行公开招标的项目，招标人应当确定排名第一的中标候选人为中标人。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39.3排名第一的中标候选人放弃中标、或因不可抗力提出不能履行合同，或者招标文件规定应当提交履约担保而在规定的期限内未能提交的，招标人可以确定排名第二的中标候选人为中标人。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39.4排名第二的中标候选人出现前款所列的情形的，招标人可以确定排名第三的中标候选人为中标人。以此类推，如所有中标候选人均出现前款所列的情形，为招标失败，招标人依法重新招标。</w:t>
      </w:r>
    </w:p>
    <w:p>
      <w:pPr>
        <w:pageBreakBefore w:val="0"/>
        <w:pBdr>
          <w:bottom w:val="single" w:color="auto" w:sz="6" w:space="1"/>
        </w:pBdr>
        <w:kinsoku/>
        <w:wordWrap/>
        <w:overflowPunct/>
        <w:topLinePunct w:val="0"/>
        <w:autoSpaceDE/>
        <w:autoSpaceDN/>
        <w:bidi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sz w:val="21"/>
          <w:szCs w:val="21"/>
          <w:highlight w:val="none"/>
          <w:u w:val="none"/>
          <w:lang w:bidi="ar-SA"/>
        </w:rPr>
        <w:t>39.5 重新评标的，评标信息（含业绩、奖项等）仍以投标截止时投标人的信息为准。因特殊原因需要延长投标有效期，投标人拒绝延长投标有效期的，仍参与评标，但不被推荐为中标候选人</w:t>
      </w:r>
      <w:r>
        <w:rPr>
          <w:rFonts w:hint="eastAsia" w:ascii="宋体" w:hAnsi="宋体" w:eastAsia="宋体" w:cs="宋体"/>
          <w:color w:val="auto"/>
          <w:sz w:val="21"/>
          <w:szCs w:val="21"/>
          <w:highlight w:val="none"/>
          <w:u w:val="none"/>
        </w:rPr>
        <w:t>。</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r>
        <w:rPr>
          <w:rFonts w:hint="eastAsia" w:ascii="宋体" w:hAnsi="宋体" w:eastAsia="宋体" w:cs="宋体"/>
          <w:b/>
          <w:color w:val="auto"/>
          <w:sz w:val="21"/>
          <w:szCs w:val="21"/>
          <w:highlight w:val="none"/>
        </w:rPr>
        <w:t>（二）开标评标办法程序和细则  注</w:t>
      </w:r>
      <w:r>
        <w:rPr>
          <w:rFonts w:hint="eastAsia" w:ascii="宋体" w:hAnsi="宋体" w:eastAsia="宋体" w:cs="宋体"/>
          <w:b/>
          <w:bCs/>
          <w:color w:val="auto"/>
          <w:sz w:val="21"/>
          <w:szCs w:val="21"/>
          <w:highlight w:val="none"/>
        </w:rPr>
        <w:t xml:space="preserve">             修改类型：删除</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原文：</w:t>
      </w:r>
      <w:r>
        <w:rPr>
          <w:rFonts w:hint="eastAsia" w:ascii="宋体" w:hAnsi="宋体" w:eastAsia="宋体" w:cs="宋体"/>
          <w:color w:val="auto"/>
          <w:sz w:val="21"/>
          <w:szCs w:val="21"/>
          <w:highlight w:val="none"/>
        </w:rPr>
        <w:t>注：以下八种评标办法所述企业综合诚信评价分数即投标截止当日广州市住房和城乡建设局网站上公布的企业综合诚信评价60日诚信分。</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条</w:t>
      </w:r>
      <w:r>
        <w:rPr>
          <w:rFonts w:hint="eastAsia" w:ascii="宋体" w:hAnsi="宋体" w:eastAsia="宋体" w:cs="宋体"/>
          <w:b/>
          <w:color w:val="auto"/>
          <w:sz w:val="21"/>
          <w:szCs w:val="21"/>
          <w:highlight w:val="none"/>
        </w:rPr>
        <w:t>款号：40               修改类型：修改</w:t>
      </w:r>
    </w:p>
    <w:p>
      <w:pPr>
        <w:pageBreakBefore w:val="0"/>
        <w:kinsoku/>
        <w:wordWrap/>
        <w:overflowPunct/>
        <w:topLinePunct w:val="0"/>
        <w:autoSpaceDE/>
        <w:autoSpaceDN/>
        <w:bidi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40．开标和评标程序</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40.1技术标（含资格审查文件）与经济标投标文件同时公开开标；</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40.2由评标委员会对所有已公开开标的投标人进行资格审查；</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40.3技术标投标文件有效性审查；</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40.4技术标详细审查评分；</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40.5经济标详细审查评分； </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40.6评标委员会按照投标人总得分由高至低排序；</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40.7经济标投标文件有效性审查；</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40.8评标委员会按排序向招标人推荐中标候选人名单，并递交资格审查报告及评标报告。</w:t>
      </w:r>
    </w:p>
    <w:p>
      <w:pPr>
        <w:pageBreakBefore w:val="0"/>
        <w:kinsoku/>
        <w:wordWrap/>
        <w:overflowPunct/>
        <w:topLinePunct w:val="0"/>
        <w:autoSpaceDE/>
        <w:autoSpaceDN/>
        <w:bidi w:val="0"/>
        <w:snapToGrid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u w:val="single"/>
          <w:lang w:bidi="ar-SA"/>
        </w:rPr>
        <w:t>开标、评标及定标程序</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40.1技术标（含资格审查文件）与经济标投标文件</w:t>
      </w:r>
      <w:r>
        <w:rPr>
          <w:rFonts w:hint="eastAsia" w:ascii="宋体" w:hAnsi="宋体" w:eastAsia="宋体" w:cs="宋体"/>
          <w:color w:val="auto"/>
          <w:sz w:val="21"/>
          <w:szCs w:val="21"/>
          <w:highlight w:val="none"/>
          <w:u w:val="single"/>
          <w:lang w:bidi="ar-SA"/>
        </w:rPr>
        <w:t>、定标文件</w:t>
      </w:r>
      <w:r>
        <w:rPr>
          <w:rFonts w:hint="eastAsia" w:ascii="宋体" w:hAnsi="宋体" w:eastAsia="宋体" w:cs="宋体"/>
          <w:color w:val="auto"/>
          <w:sz w:val="21"/>
          <w:szCs w:val="21"/>
          <w:highlight w:val="none"/>
          <w:lang w:bidi="ar-SA"/>
        </w:rPr>
        <w:t>同时公开开标；</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40.2由评标委员会对所有已公开开标的投标人进行资格审查；</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40.3技术标投标文件有效性审查；</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40.4技术标详细审查评分；</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 xml:space="preserve">40.5经济标详细审查评分； </w:t>
      </w:r>
    </w:p>
    <w:p>
      <w:pPr>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40.6评标委员会按照投标人总得分由高至低排序；</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u w:val="single"/>
          <w:lang w:bidi="ar-SA"/>
        </w:rPr>
        <w:t>40.7评标委员会向招标人推荐进入定标阶段的合格中标候选人名单【不排序，按统一社会信用代码后4位（除效验码外）大小排位】，并递交资格审查报告及评标报告；</w:t>
      </w:r>
    </w:p>
    <w:p>
      <w:pPr>
        <w:pageBreakBefore w:val="0"/>
        <w:widowControl/>
        <w:pBdr>
          <w:bottom w:val="single" w:color="auto" w:sz="6" w:space="1"/>
        </w:pBdr>
        <w:kinsoku/>
        <w:wordWrap/>
        <w:overflowPunct/>
        <w:topLinePunct w:val="0"/>
        <w:autoSpaceDE/>
        <w:autoSpaceDN/>
        <w:bidi w:val="0"/>
        <w:spacing w:line="36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bidi="ar-SA"/>
        </w:rPr>
        <w:t>40.8定标委员会对评标委员会推荐的合格中标候选人按《定标因素表》，以总得分=</w:t>
      </w:r>
      <w:r>
        <w:rPr>
          <w:rFonts w:hint="eastAsia" w:ascii="宋体" w:hAnsi="宋体" w:eastAsia="宋体" w:cs="宋体"/>
          <w:color w:val="auto"/>
          <w:sz w:val="21"/>
          <w:szCs w:val="21"/>
          <w:highlight w:val="none"/>
          <w:u w:val="single"/>
          <w:lang w:eastAsia="zh-CN" w:bidi="ar-SA"/>
        </w:rPr>
        <w:t>答辩因素</w:t>
      </w:r>
      <w:r>
        <w:rPr>
          <w:rFonts w:hint="eastAsia" w:ascii="宋体" w:hAnsi="宋体" w:eastAsia="宋体" w:cs="宋体"/>
          <w:color w:val="auto"/>
          <w:sz w:val="21"/>
          <w:szCs w:val="21"/>
          <w:highlight w:val="none"/>
          <w:u w:val="single"/>
          <w:lang w:bidi="ar-SA"/>
        </w:rPr>
        <w:t>（满分</w:t>
      </w:r>
      <w:r>
        <w:rPr>
          <w:rFonts w:hint="eastAsia" w:ascii="宋体" w:hAnsi="宋体" w:eastAsia="宋体" w:cs="宋体"/>
          <w:color w:val="auto"/>
          <w:sz w:val="21"/>
          <w:szCs w:val="21"/>
          <w:highlight w:val="none"/>
          <w:u w:val="single"/>
          <w:lang w:val="en-US" w:eastAsia="zh-CN" w:bidi="ar-SA"/>
        </w:rPr>
        <w:t>55</w:t>
      </w:r>
      <w:r>
        <w:rPr>
          <w:rFonts w:hint="eastAsia" w:ascii="宋体" w:hAnsi="宋体" w:eastAsia="宋体" w:cs="宋体"/>
          <w:color w:val="auto"/>
          <w:sz w:val="21"/>
          <w:szCs w:val="21"/>
          <w:highlight w:val="none"/>
          <w:u w:val="single"/>
          <w:lang w:bidi="ar-SA"/>
        </w:rPr>
        <w:t>分）</w:t>
      </w:r>
      <w:r>
        <w:rPr>
          <w:rFonts w:hint="eastAsia" w:ascii="宋体" w:hAnsi="宋体" w:eastAsia="宋体" w:cs="宋体"/>
          <w:color w:val="auto"/>
          <w:sz w:val="21"/>
          <w:szCs w:val="21"/>
          <w:highlight w:val="none"/>
          <w:u w:val="single"/>
          <w:lang w:val="en-US" w:eastAsia="zh-CN" w:bidi="ar-SA"/>
        </w:rPr>
        <w:t>+履约服务能力</w:t>
      </w:r>
      <w:r>
        <w:rPr>
          <w:rFonts w:hint="eastAsia" w:ascii="宋体" w:hAnsi="宋体" w:eastAsia="宋体" w:cs="宋体"/>
          <w:color w:val="auto"/>
          <w:sz w:val="21"/>
          <w:szCs w:val="21"/>
          <w:highlight w:val="none"/>
          <w:u w:val="single"/>
          <w:lang w:bidi="ar-SA"/>
        </w:rPr>
        <w:t>因素（满分</w:t>
      </w:r>
      <w:r>
        <w:rPr>
          <w:rFonts w:hint="eastAsia" w:ascii="宋体" w:hAnsi="宋体" w:eastAsia="宋体" w:cs="宋体"/>
          <w:color w:val="auto"/>
          <w:sz w:val="21"/>
          <w:szCs w:val="21"/>
          <w:highlight w:val="none"/>
          <w:u w:val="single"/>
          <w:lang w:val="en-US" w:eastAsia="zh-CN" w:bidi="ar-SA"/>
        </w:rPr>
        <w:t>45</w:t>
      </w:r>
      <w:r>
        <w:rPr>
          <w:rFonts w:hint="eastAsia" w:ascii="宋体" w:hAnsi="宋体" w:eastAsia="宋体" w:cs="宋体"/>
          <w:color w:val="auto"/>
          <w:sz w:val="21"/>
          <w:szCs w:val="21"/>
          <w:highlight w:val="none"/>
          <w:u w:val="single"/>
          <w:lang w:bidi="ar-SA"/>
        </w:rPr>
        <w:t>分），由高至低排序合格的中标候选人的名次。</w:t>
      </w:r>
      <w:r>
        <w:rPr>
          <w:rStyle w:val="22"/>
          <w:rFonts w:hint="eastAsia" w:ascii="宋体" w:hAnsi="宋体" w:eastAsia="宋体" w:cs="宋体"/>
          <w:b w:val="0"/>
          <w:color w:val="auto"/>
          <w:sz w:val="21"/>
          <w:szCs w:val="21"/>
          <w:highlight w:val="none"/>
          <w:u w:val="single"/>
          <w:lang w:bidi="ar-SA"/>
        </w:rPr>
        <w:t>定标委员会确定总得分最高合格的中标候选人为中标人。</w:t>
      </w:r>
      <w:r>
        <w:rPr>
          <w:rFonts w:hint="eastAsia" w:ascii="宋体" w:hAnsi="宋体" w:eastAsia="宋体" w:cs="宋体"/>
          <w:color w:val="auto"/>
          <w:sz w:val="21"/>
          <w:szCs w:val="21"/>
          <w:highlight w:val="none"/>
          <w:u w:val="single"/>
          <w:lang w:bidi="ar-SA"/>
        </w:rPr>
        <w:t>定标结束后，定标委员会向招标人递交定标报告</w:t>
      </w:r>
      <w:r>
        <w:rPr>
          <w:rFonts w:hint="eastAsia" w:ascii="宋体" w:hAnsi="宋体" w:eastAsia="宋体" w:cs="宋体"/>
          <w:color w:val="auto"/>
          <w:sz w:val="21"/>
          <w:szCs w:val="21"/>
          <w:highlight w:val="none"/>
          <w:u w:val="single"/>
          <w:lang w:eastAsia="zh-CN" w:bidi="ar-SA"/>
        </w:rPr>
        <w:t>。</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条款号：41.1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41.1 </w:t>
      </w:r>
      <w:r>
        <w:rPr>
          <w:rFonts w:hint="eastAsia" w:ascii="宋体" w:hAnsi="宋体" w:eastAsia="宋体" w:cs="宋体"/>
          <w:color w:val="auto"/>
          <w:sz w:val="21"/>
          <w:szCs w:val="21"/>
          <w:highlight w:val="none"/>
        </w:rPr>
        <w:t>开标由招标人主持；</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41.1 </w:t>
      </w:r>
      <w:r>
        <w:rPr>
          <w:rFonts w:hint="eastAsia" w:ascii="宋体" w:hAnsi="宋体" w:eastAsia="宋体" w:cs="宋体"/>
          <w:color w:val="auto"/>
          <w:sz w:val="21"/>
          <w:szCs w:val="21"/>
          <w:highlight w:val="none"/>
        </w:rPr>
        <w:t>开标由招标人</w:t>
      </w:r>
      <w:r>
        <w:rPr>
          <w:rFonts w:hint="eastAsia" w:ascii="宋体" w:hAnsi="宋体" w:eastAsia="宋体" w:cs="宋体"/>
          <w:color w:val="auto"/>
          <w:sz w:val="21"/>
          <w:szCs w:val="21"/>
          <w:highlight w:val="none"/>
          <w:u w:val="single"/>
        </w:rPr>
        <w:t>或招标代理</w:t>
      </w:r>
      <w:r>
        <w:rPr>
          <w:rFonts w:hint="eastAsia" w:ascii="宋体" w:hAnsi="宋体" w:eastAsia="宋体" w:cs="宋体"/>
          <w:color w:val="auto"/>
          <w:sz w:val="21"/>
          <w:szCs w:val="21"/>
          <w:highlight w:val="none"/>
        </w:rPr>
        <w:t>主持；</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41.2.1 </w:t>
      </w:r>
      <w:r>
        <w:rPr>
          <w:rFonts w:hint="eastAsia" w:ascii="宋体" w:hAnsi="宋体" w:eastAsia="宋体" w:cs="宋体"/>
          <w:b/>
          <w:color w:val="auto"/>
          <w:sz w:val="21"/>
          <w:szCs w:val="21"/>
          <w:highlight w:val="none"/>
        </w:rPr>
        <w:t xml:space="preserve">           修改类型：修改</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 xml:space="preserve">41.2.1 </w:t>
      </w:r>
      <w:r>
        <w:rPr>
          <w:rFonts w:hint="eastAsia" w:ascii="宋体" w:hAnsi="宋体" w:eastAsia="宋体" w:cs="宋体"/>
          <w:color w:val="auto"/>
          <w:sz w:val="21"/>
          <w:szCs w:val="21"/>
          <w:highlight w:val="none"/>
        </w:rPr>
        <w:t>投标截止期前，各投标人递交投标文件（包括技术标投标文件、经济标投标文件）至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交易平台。有关投标文件提交的事项详见第一章投标须知。</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 xml:space="preserve">41.2.1 </w:t>
      </w:r>
      <w:r>
        <w:rPr>
          <w:rFonts w:hint="eastAsia" w:ascii="宋体" w:hAnsi="宋体" w:eastAsia="宋体" w:cs="宋体"/>
          <w:color w:val="auto"/>
          <w:sz w:val="21"/>
          <w:szCs w:val="21"/>
          <w:highlight w:val="none"/>
        </w:rPr>
        <w:t>投标截止期前，各投标人递交投标文件（包括技术标投标文件</w:t>
      </w:r>
      <w:r>
        <w:rPr>
          <w:rFonts w:hint="eastAsia" w:ascii="宋体" w:hAnsi="宋体" w:eastAsia="宋体" w:cs="宋体"/>
          <w:color w:val="auto"/>
          <w:sz w:val="21"/>
          <w:szCs w:val="21"/>
          <w:highlight w:val="none"/>
          <w:u w:val="single"/>
        </w:rPr>
        <w:t>（含资格审查文件）</w:t>
      </w:r>
      <w:r>
        <w:rPr>
          <w:rFonts w:hint="eastAsia" w:ascii="宋体" w:hAnsi="宋体" w:eastAsia="宋体" w:cs="宋体"/>
          <w:color w:val="auto"/>
          <w:sz w:val="21"/>
          <w:szCs w:val="21"/>
          <w:highlight w:val="none"/>
        </w:rPr>
        <w:t>、经济标投标文件）至</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交易平台。有关投标文件提交的事项详见第一章投标须知。</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41.3.1 </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41.3.1 技术标开标时，公布：a、投标人名称；b、投标文件密封情况；c、法定代表人证明及授权委托；d、投标保证金；e、项目经理（负责人）名称等主要内容以及开标记录表中的其他必要内容。</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41.3.1 技术标开标时，公布：a、投标人名称；b、投标文件密封情况；c、法定代表人证明及授权委托；d、项目经理（负责人）名称；e、专职安全员等主要内容以及开标记录表中的其他必要内容。</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41.4 </w:t>
      </w:r>
      <w:r>
        <w:rPr>
          <w:rFonts w:hint="eastAsia" w:ascii="宋体" w:hAnsi="宋体" w:eastAsia="宋体" w:cs="宋体"/>
          <w:b/>
          <w:color w:val="auto"/>
          <w:sz w:val="21"/>
          <w:szCs w:val="21"/>
          <w:highlight w:val="none"/>
        </w:rPr>
        <w:t xml:space="preserve">           修改类型：修改</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41.4</w:t>
      </w:r>
      <w:r>
        <w:rPr>
          <w:rFonts w:hint="eastAsia" w:ascii="宋体" w:hAnsi="宋体" w:eastAsia="宋体" w:cs="宋体"/>
          <w:color w:val="auto"/>
          <w:sz w:val="21"/>
          <w:szCs w:val="21"/>
          <w:highlight w:val="none"/>
        </w:rPr>
        <w:t>招标人对开标过程进行记录，并存档备查，投标人在开标记录上签字。</w:t>
      </w:r>
    </w:p>
    <w:p>
      <w:pPr>
        <w:pageBreakBefore w:val="0"/>
        <w:pBdr>
          <w:bottom w:val="single" w:color="auto" w:sz="6" w:space="1"/>
        </w:pBdr>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41.4</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rPr>
        <w:t>或招标代理机构</w:t>
      </w:r>
      <w:r>
        <w:rPr>
          <w:rFonts w:hint="eastAsia" w:ascii="宋体" w:hAnsi="宋体" w:eastAsia="宋体" w:cs="宋体"/>
          <w:color w:val="auto"/>
          <w:sz w:val="21"/>
          <w:szCs w:val="21"/>
          <w:highlight w:val="none"/>
        </w:rPr>
        <w:t>对开标过程进行记录，并存档备查，</w:t>
      </w:r>
      <w:r>
        <w:rPr>
          <w:rFonts w:hint="eastAsia" w:ascii="宋体" w:hAnsi="宋体" w:eastAsia="宋体" w:cs="宋体"/>
          <w:color w:val="auto"/>
          <w:sz w:val="21"/>
          <w:szCs w:val="21"/>
          <w:highlight w:val="none"/>
          <w:u w:val="single"/>
        </w:rPr>
        <w:t>参加开标会的</w:t>
      </w:r>
      <w:r>
        <w:rPr>
          <w:rFonts w:hint="eastAsia" w:ascii="宋体" w:hAnsi="宋体" w:eastAsia="宋体" w:cs="宋体"/>
          <w:color w:val="auto"/>
          <w:sz w:val="21"/>
          <w:szCs w:val="21"/>
          <w:highlight w:val="none"/>
        </w:rPr>
        <w:t>投标人在开标记录上签字。</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条款号：41.5                       修改类型：修改</w:t>
      </w:r>
    </w:p>
    <w:p>
      <w:pPr>
        <w:pageBreakBefore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41.5招标人将上述符合要求的投标文件，送至评标委员会进行评审</w:t>
      </w:r>
      <w:r>
        <w:rPr>
          <w:rFonts w:hint="eastAsia" w:ascii="宋体" w:hAnsi="宋体" w:eastAsia="宋体" w:cs="宋体"/>
          <w:color w:val="auto"/>
          <w:sz w:val="21"/>
          <w:szCs w:val="21"/>
          <w:highlight w:val="none"/>
        </w:rPr>
        <w:t>。</w:t>
      </w:r>
    </w:p>
    <w:p>
      <w:pPr>
        <w:pageBreakBefore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41.5</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rPr>
        <w:t>或招标代理机构</w:t>
      </w:r>
      <w:r>
        <w:rPr>
          <w:rFonts w:hint="eastAsia" w:ascii="宋体" w:hAnsi="宋体" w:eastAsia="宋体" w:cs="宋体"/>
          <w:bCs/>
          <w:color w:val="auto"/>
          <w:sz w:val="21"/>
          <w:szCs w:val="21"/>
          <w:highlight w:val="none"/>
        </w:rPr>
        <w:t>将上述符合要求的投标文件，送至评标委员会进行评审</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42.1</w:t>
      </w:r>
      <w:r>
        <w:rPr>
          <w:rFonts w:hint="eastAsia" w:ascii="宋体" w:hAnsi="宋体" w:eastAsia="宋体" w:cs="宋体"/>
          <w:b/>
          <w:color w:val="auto"/>
          <w:sz w:val="21"/>
          <w:szCs w:val="21"/>
          <w:highlight w:val="none"/>
        </w:rPr>
        <w:t xml:space="preserve">             修改类型：修改</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评标委员会的组成：方式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方式一：评标委员会为综合评标委员会，负责资格审查及评标工作。</w:t>
      </w:r>
    </w:p>
    <w:p>
      <w:pPr>
        <w:pageBreakBefore w:val="0"/>
        <w:kinsoku/>
        <w:wordWrap/>
        <w:overflowPunct/>
        <w:topLinePunct w:val="0"/>
        <w:autoSpaceDE/>
        <w:autoSpaceDN/>
        <w:bidi w:val="0"/>
        <w:spacing w:line="360" w:lineRule="auto"/>
        <w:ind w:firstLine="525" w:firstLineChars="2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方式二：评标委员会由技术评审组和经济评审组组成。其中：资格审查及技术评审由技术评标组负责，经济评审由经济评审组负责。</w:t>
      </w:r>
    </w:p>
    <w:p>
      <w:pPr>
        <w:pageBreakBefore w:val="0"/>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rPr>
        <w:t>评标委员会的组成：方式</w:t>
      </w:r>
      <w:r>
        <w:rPr>
          <w:rFonts w:hint="eastAsia" w:ascii="宋体" w:hAnsi="宋体" w:eastAsia="宋体" w:cs="宋体"/>
          <w:b w:val="0"/>
          <w:bCs/>
          <w:color w:val="auto"/>
          <w:sz w:val="21"/>
          <w:szCs w:val="21"/>
          <w:highlight w:val="none"/>
          <w:u w:val="single"/>
        </w:rPr>
        <w:t xml:space="preserve">   一   </w:t>
      </w:r>
      <w:r>
        <w:rPr>
          <w:rFonts w:hint="eastAsia" w:ascii="宋体" w:hAnsi="宋体" w:eastAsia="宋体" w:cs="宋体"/>
          <w:b w:val="0"/>
          <w:bCs/>
          <w:color w:val="auto"/>
          <w:sz w:val="21"/>
          <w:szCs w:val="21"/>
          <w:highlight w:val="none"/>
        </w:rPr>
        <w:t>。</w:t>
      </w:r>
    </w:p>
    <w:p>
      <w:pPr>
        <w:pageBreakBefore w:val="0"/>
        <w:pBdr>
          <w:bottom w:val="single" w:color="auto" w:sz="6" w:space="1"/>
        </w:pBdr>
        <w:kinsoku/>
        <w:wordWrap/>
        <w:overflowPunct/>
        <w:topLinePunct w:val="0"/>
        <w:autoSpaceDE/>
        <w:autoSpaceDN/>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方式一：评标委员会为综合评标委员会，负责资格审查及评标工作。</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条款号：42.3            修改类型：增加</w:t>
      </w:r>
    </w:p>
    <w:p>
      <w:pPr>
        <w:pageBreakBefore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u w:val="single"/>
          <w:lang w:bidi="ar-SA"/>
        </w:rPr>
        <w:t>定标委员会的组成：由招标人依法组建，负责定标环节。</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strike w:val="0"/>
          <w:dstrike w:val="0"/>
          <w:color w:val="auto"/>
          <w:sz w:val="21"/>
          <w:szCs w:val="21"/>
          <w:highlight w:val="none"/>
          <w:lang w:bidi="ar-SA"/>
        </w:rPr>
      </w:pPr>
      <w:r>
        <w:rPr>
          <w:rFonts w:hint="eastAsia" w:ascii="宋体" w:hAnsi="宋体" w:eastAsia="宋体" w:cs="宋体"/>
          <w:b/>
          <w:strike w:val="0"/>
          <w:dstrike w:val="0"/>
          <w:color w:val="auto"/>
          <w:sz w:val="21"/>
          <w:szCs w:val="21"/>
          <w:highlight w:val="none"/>
          <w:lang w:bidi="ar-SA"/>
        </w:rPr>
        <w:t>条款号：43.3            修改类型：修改</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strike w:val="0"/>
          <w:dstrike w:val="0"/>
          <w:color w:val="auto"/>
          <w:sz w:val="21"/>
          <w:szCs w:val="21"/>
          <w:highlight w:val="none"/>
          <w:lang w:bidi="ar-SA"/>
        </w:rPr>
      </w:pPr>
      <w:r>
        <w:rPr>
          <w:rFonts w:hint="eastAsia" w:ascii="宋体" w:hAnsi="宋体" w:eastAsia="宋体" w:cs="宋体"/>
          <w:b/>
          <w:strike w:val="0"/>
          <w:dstrike w:val="0"/>
          <w:color w:val="auto"/>
          <w:sz w:val="21"/>
          <w:szCs w:val="21"/>
          <w:highlight w:val="none"/>
          <w:lang w:bidi="ar-SA"/>
        </w:rPr>
        <w:t>原文：</w:t>
      </w:r>
      <w:r>
        <w:rPr>
          <w:rFonts w:hint="eastAsia" w:ascii="宋体" w:hAnsi="宋体" w:eastAsia="宋体" w:cs="宋体"/>
          <w:b/>
          <w:strike w:val="0"/>
          <w:dstrike w:val="0"/>
          <w:color w:val="auto"/>
          <w:sz w:val="21"/>
          <w:szCs w:val="21"/>
          <w:highlight w:val="none"/>
          <w:lang w:val="en-US" w:eastAsia="zh-CN" w:bidi="ar-SA"/>
        </w:rPr>
        <w:t>43.3</w:t>
      </w:r>
      <w:r>
        <w:rPr>
          <w:rFonts w:hint="eastAsia" w:ascii="宋体" w:hAnsi="宋体" w:eastAsia="宋体" w:cs="宋体"/>
          <w:strike w:val="0"/>
          <w:dstrike w:val="0"/>
          <w:color w:val="auto"/>
          <w:sz w:val="21"/>
          <w:szCs w:val="21"/>
          <w:highlight w:val="none"/>
          <w:lang w:bidi="ar-SA"/>
        </w:rPr>
        <w:t>资格审查不合格的投标文件不参加下一阶段的评标，不参与评标参考价的计算。</w:t>
      </w:r>
    </w:p>
    <w:p>
      <w:pPr>
        <w:pageBreakBefore w:val="0"/>
        <w:pBdr>
          <w:bottom w:val="single" w:color="auto" w:sz="4" w:space="0"/>
        </w:pBdr>
        <w:kinsoku/>
        <w:wordWrap/>
        <w:overflowPunct/>
        <w:topLinePunct w:val="0"/>
        <w:autoSpaceDE/>
        <w:autoSpaceDN/>
        <w:bidi w:val="0"/>
        <w:spacing w:line="360" w:lineRule="auto"/>
        <w:ind w:firstLine="422" w:firstLineChars="200"/>
        <w:rPr>
          <w:rFonts w:hint="eastAsia" w:ascii="宋体" w:hAnsi="宋体" w:eastAsia="宋体" w:cs="宋体"/>
          <w:strike w:val="0"/>
          <w:dstrike w:val="0"/>
          <w:color w:val="auto"/>
          <w:sz w:val="21"/>
          <w:szCs w:val="21"/>
          <w:highlight w:val="none"/>
          <w:lang w:bidi="ar-SA"/>
        </w:rPr>
      </w:pPr>
      <w:r>
        <w:rPr>
          <w:rFonts w:hint="eastAsia" w:ascii="宋体" w:hAnsi="宋体" w:eastAsia="宋体" w:cs="宋体"/>
          <w:b/>
          <w:strike w:val="0"/>
          <w:dstrike w:val="0"/>
          <w:color w:val="auto"/>
          <w:sz w:val="21"/>
          <w:szCs w:val="21"/>
          <w:highlight w:val="none"/>
          <w:lang w:bidi="ar-SA"/>
        </w:rPr>
        <w:t>现文：</w:t>
      </w:r>
      <w:r>
        <w:rPr>
          <w:rFonts w:hint="eastAsia" w:ascii="宋体" w:hAnsi="宋体" w:eastAsia="宋体" w:cs="宋体"/>
          <w:strike w:val="0"/>
          <w:dstrike w:val="0"/>
          <w:color w:val="auto"/>
          <w:sz w:val="21"/>
          <w:szCs w:val="21"/>
          <w:highlight w:val="none"/>
          <w:u w:val="single"/>
          <w:lang w:bidi="ar-SA"/>
        </w:rPr>
        <w:t>资格审查不合格的投标文件不参与下一阶段的评审。</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条款号：43.6                    修改类型：修改</w:t>
      </w:r>
    </w:p>
    <w:p>
      <w:pPr>
        <w:pageBreakBefore w:val="0"/>
        <w:pBdr>
          <w:bottom w:val="single" w:color="auto" w:sz="6" w:space="1"/>
        </w:pBdr>
        <w:kinsoku/>
        <w:wordWrap/>
        <w:overflowPunct/>
        <w:topLinePunct w:val="0"/>
        <w:autoSpaceDE/>
        <w:autoSpaceDN/>
        <w:bidi w:val="0"/>
        <w:spacing w:line="360" w:lineRule="auto"/>
        <w:ind w:firstLine="472" w:firstLineChars="224"/>
        <w:rPr>
          <w:rFonts w:hint="eastAsia" w:ascii="宋体" w:hAnsi="宋体" w:eastAsia="宋体" w:cs="宋体"/>
          <w:bCs/>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bCs/>
          <w:color w:val="auto"/>
          <w:sz w:val="21"/>
          <w:szCs w:val="21"/>
          <w:highlight w:val="none"/>
          <w:lang w:bidi="ar-SA"/>
        </w:rPr>
        <w:t>43.6资格审查合格的投标人少于3名的（当N个标段同时招标且不允许兼中时，资格审查合格的投标人少于N+2名），则本项目招标失败。</w:t>
      </w:r>
    </w:p>
    <w:p>
      <w:pPr>
        <w:pageBreakBefore w:val="0"/>
        <w:pBdr>
          <w:bottom w:val="single" w:color="auto" w:sz="6" w:space="1"/>
        </w:pBdr>
        <w:kinsoku/>
        <w:wordWrap/>
        <w:overflowPunct/>
        <w:topLinePunct w:val="0"/>
        <w:autoSpaceDE/>
        <w:autoSpaceDN/>
        <w:bidi w:val="0"/>
        <w:spacing w:line="360" w:lineRule="auto"/>
        <w:ind w:firstLine="472" w:firstLineChars="224"/>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bCs/>
          <w:color w:val="auto"/>
          <w:sz w:val="21"/>
          <w:szCs w:val="21"/>
          <w:highlight w:val="none"/>
          <w:lang w:bidi="ar-SA"/>
        </w:rPr>
        <w:t>43.6</w:t>
      </w:r>
      <w:r>
        <w:rPr>
          <w:rFonts w:hint="eastAsia" w:ascii="宋体" w:hAnsi="宋体" w:eastAsia="宋体" w:cs="宋体"/>
          <w:color w:val="auto"/>
          <w:sz w:val="21"/>
          <w:szCs w:val="21"/>
          <w:highlight w:val="none"/>
          <w:u w:val="single"/>
          <w:lang w:bidi="ar-SA"/>
        </w:rPr>
        <w:t>资格审查合格的投标人少于3名的，则本项目招标失败</w:t>
      </w:r>
      <w:r>
        <w:rPr>
          <w:rFonts w:hint="eastAsia" w:ascii="宋体" w:hAnsi="宋体" w:eastAsia="宋体" w:cs="宋体"/>
          <w:color w:val="auto"/>
          <w:sz w:val="21"/>
          <w:szCs w:val="21"/>
          <w:highlight w:val="none"/>
          <w:lang w:bidi="ar-SA"/>
        </w:rPr>
        <w:t>。</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条款号：44.1                         修改类型：修改</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ageBreakBefore w:val="0"/>
        <w:pBdr>
          <w:bottom w:val="single" w:color="auto" w:sz="4" w:space="0"/>
        </w:pBdr>
        <w:kinsoku/>
        <w:wordWrap/>
        <w:overflowPunct/>
        <w:topLinePunct w:val="0"/>
        <w:autoSpaceDE/>
        <w:autoSpaceDN/>
        <w:bidi w:val="0"/>
        <w:spacing w:line="360" w:lineRule="auto"/>
        <w:ind w:firstLine="472" w:firstLineChars="224"/>
        <w:rPr>
          <w:rStyle w:val="27"/>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3名，则重新招标。</w:t>
      </w:r>
      <w:r>
        <w:rPr>
          <w:rFonts w:hint="eastAsia" w:ascii="宋体" w:hAnsi="宋体" w:eastAsia="宋体" w:cs="宋体"/>
          <w:color w:val="auto"/>
          <w:sz w:val="21"/>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bookmarkStart w:id="28" w:name="_Toc125032240"/>
      <w:r>
        <w:rPr>
          <w:rFonts w:hint="eastAsia" w:ascii="宋体" w:hAnsi="宋体" w:eastAsia="宋体" w:cs="宋体"/>
          <w:b/>
          <w:color w:val="auto"/>
          <w:sz w:val="21"/>
          <w:szCs w:val="21"/>
          <w:highlight w:val="none"/>
          <w:lang w:bidi="ar-SA"/>
        </w:rPr>
        <w:t>条款号：45              修改类型：修改</w:t>
      </w:r>
    </w:p>
    <w:p>
      <w:pPr>
        <w:pStyle w:val="5"/>
        <w:pageBreakBefore w:val="0"/>
        <w:tabs>
          <w:tab w:val="left" w:pos="7380"/>
        </w:tabs>
        <w:kinsoku/>
        <w:wordWrap/>
        <w:overflowPunct/>
        <w:topLinePunct w:val="0"/>
        <w:autoSpaceDE/>
        <w:autoSpaceDN/>
        <w:bidi w:val="0"/>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rPr>
        <w:t>45．经济标评审和得分汇总</w:t>
      </w:r>
    </w:p>
    <w:p>
      <w:pPr>
        <w:pStyle w:val="5"/>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45.1若通过技术标有效性审查的投标人中所有投标报价均大于等于最高投标限价，则本项目招标失败，由招标人依法重新招标。</w:t>
      </w:r>
    </w:p>
    <w:p>
      <w:pPr>
        <w:pStyle w:val="5"/>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45.2计算评标参考价：</w:t>
      </w:r>
    </w:p>
    <w:p>
      <w:pPr>
        <w:pageBreakBefore w:val="0"/>
        <w:widowControl/>
        <w:kinsoku/>
        <w:wordWrap/>
        <w:overflowPunct/>
        <w:topLinePunct w:val="0"/>
        <w:autoSpaceDE/>
        <w:autoSpaceDN/>
        <w:bidi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SA"/>
        </w:rPr>
        <w:t>区间抽取法：</w:t>
      </w:r>
    </w:p>
    <w:p>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lang w:bidi="ar-SA"/>
        </w:rPr>
        <w:t>评标参考价=（Q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低</w:t>
      </w:r>
      <w:r>
        <w:rPr>
          <w:rFonts w:hint="eastAsia" w:ascii="宋体" w:hAnsi="宋体" w:eastAsia="宋体" w:cs="宋体"/>
          <w:color w:val="auto"/>
          <w:kern w:val="0"/>
          <w:sz w:val="21"/>
          <w:szCs w:val="21"/>
          <w:highlight w:val="none"/>
          <w:lang w:bidi="ar-SA"/>
        </w:rPr>
        <w:t>）/100*Ｘ+Q</w:t>
      </w:r>
      <w:r>
        <w:rPr>
          <w:rFonts w:hint="eastAsia" w:ascii="宋体" w:hAnsi="宋体" w:eastAsia="宋体" w:cs="宋体"/>
          <w:color w:val="auto"/>
          <w:kern w:val="0"/>
          <w:sz w:val="21"/>
          <w:szCs w:val="21"/>
          <w:highlight w:val="none"/>
          <w:vertAlign w:val="subscript"/>
          <w:lang w:bidi="ar-SA"/>
        </w:rPr>
        <w:t>低</w:t>
      </w:r>
    </w:p>
    <w:p>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Q</w:t>
      </w:r>
      <w:r>
        <w:rPr>
          <w:rFonts w:hint="eastAsia" w:ascii="宋体" w:hAnsi="宋体" w:eastAsia="宋体" w:cs="宋体"/>
          <w:color w:val="auto"/>
          <w:sz w:val="21"/>
          <w:szCs w:val="21"/>
          <w:highlight w:val="none"/>
          <w:vertAlign w:val="subscript"/>
          <w:lang w:bidi="ar-SA"/>
        </w:rPr>
        <w:t>低</w:t>
      </w:r>
      <w:r>
        <w:rPr>
          <w:rFonts w:hint="eastAsia" w:ascii="宋体" w:hAnsi="宋体" w:eastAsia="宋体" w:cs="宋体"/>
          <w:color w:val="auto"/>
          <w:sz w:val="21"/>
          <w:szCs w:val="21"/>
          <w:highlight w:val="none"/>
          <w:lang w:bidi="ar-SA"/>
        </w:rPr>
        <w:t>：为达到或超过技术标及格分数线的投标人最低报价与工程成本警示价两者中的较高值；</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sz w:val="21"/>
          <w:szCs w:val="21"/>
          <w:highlight w:val="none"/>
          <w:lang w:bidi="ar-SA"/>
        </w:rPr>
        <w:t>：最高投标限价</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X：为等分点值，在开标前从[0,100]整数中随机抽取</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SA"/>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pPr>
        <w:pStyle w:val="5"/>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45.4计算通过技术标有效性审查的投标人总得分。投标人总得分=（技术得分×技术得分权重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经济得分×经济得分权重）×（1-综合诚信评价分数权重）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综合诚信评价排名得分×综合诚信评价分数权重）。技术、经济得分权重按投标须知前附表的规定执行。总得分四舍五入保留两位小数。</w:t>
      </w:r>
    </w:p>
    <w:p>
      <w:pPr>
        <w:pStyle w:val="5"/>
        <w:pageBreakBefore w:val="0"/>
        <w:tabs>
          <w:tab w:val="left" w:pos="7380"/>
        </w:tabs>
        <w:kinsoku/>
        <w:wordWrap/>
        <w:overflowPunct/>
        <w:topLinePunct w:val="0"/>
        <w:autoSpaceDE/>
        <w:autoSpaceDN/>
        <w:bidi w:val="0"/>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SA"/>
        </w:rPr>
        <w:t>现文：</w:t>
      </w:r>
      <w:r>
        <w:rPr>
          <w:rFonts w:hint="eastAsia" w:ascii="宋体" w:hAnsi="宋体" w:eastAsia="宋体" w:cs="宋体"/>
          <w:color w:val="auto"/>
          <w:sz w:val="21"/>
          <w:szCs w:val="21"/>
          <w:highlight w:val="none"/>
        </w:rPr>
        <w:t>45．经济标评审和得分汇总</w:t>
      </w:r>
    </w:p>
    <w:p>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45.1若通过技术标有效性审查的投标人中所有投标报价均大于等于最高投标限价，则本项目招标失败，由招标人依法重新招标。</w:t>
      </w:r>
    </w:p>
    <w:p>
      <w:pPr>
        <w:pageBreakBefore w:val="0"/>
        <w:widowControl/>
        <w:kinsoku/>
        <w:wordWrap/>
        <w:overflowPunct/>
        <w:topLinePunct w:val="0"/>
        <w:autoSpaceDE/>
        <w:autoSpaceDN/>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45.2</w:t>
      </w:r>
      <w:r>
        <w:rPr>
          <w:rFonts w:hint="eastAsia" w:ascii="宋体" w:hAnsi="宋体" w:eastAsia="宋体" w:cs="宋体"/>
          <w:color w:val="auto"/>
          <w:kern w:val="0"/>
          <w:sz w:val="21"/>
          <w:szCs w:val="21"/>
          <w:highlight w:val="none"/>
        </w:rPr>
        <w:t>计算评标参考价：</w:t>
      </w:r>
    </w:p>
    <w:p>
      <w:pPr>
        <w:pageBreakBefore w:val="0"/>
        <w:widowControl/>
        <w:kinsoku/>
        <w:wordWrap/>
        <w:overflowPunct/>
        <w:topLinePunct w:val="0"/>
        <w:autoSpaceDE/>
        <w:autoSpaceDN/>
        <w:bidi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区间抽取法：</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设立技术标入围</w:t>
      </w:r>
      <w:r>
        <w:rPr>
          <w:rFonts w:hint="eastAsia" w:ascii="宋体" w:hAnsi="宋体" w:eastAsia="宋体" w:cs="宋体"/>
          <w:color w:val="auto"/>
          <w:sz w:val="21"/>
          <w:szCs w:val="21"/>
          <w:highlight w:val="none"/>
          <w:u w:val="single"/>
        </w:rPr>
        <w:t>及</w:t>
      </w:r>
      <w:r>
        <w:rPr>
          <w:rFonts w:hint="eastAsia" w:ascii="宋体" w:hAnsi="宋体" w:eastAsia="宋体" w:cs="宋体"/>
          <w:color w:val="auto"/>
          <w:sz w:val="21"/>
          <w:szCs w:val="21"/>
          <w:highlight w:val="none"/>
        </w:rPr>
        <w:t>格分数线</w:t>
      </w:r>
      <w:r>
        <w:rPr>
          <w:rFonts w:hint="eastAsia" w:ascii="宋体" w:hAnsi="宋体" w:eastAsia="宋体" w:cs="宋体"/>
          <w:color w:val="auto"/>
          <w:sz w:val="21"/>
          <w:szCs w:val="21"/>
          <w:highlight w:val="none"/>
          <w:u w:val="single"/>
        </w:rPr>
        <w:t>（本项目入围及格分数线为技术标得分为</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0分）</w:t>
      </w:r>
      <w:r>
        <w:rPr>
          <w:rFonts w:hint="eastAsia" w:ascii="宋体" w:hAnsi="宋体" w:eastAsia="宋体" w:cs="宋体"/>
          <w:color w:val="auto"/>
          <w:sz w:val="21"/>
          <w:szCs w:val="21"/>
          <w:highlight w:val="none"/>
        </w:rPr>
        <w:t>，达到或超过及格线的投标人的报价方能参与评标参考价的计算。将达到或超过技术标及格分数线的投标报价由低至高进行排列，按以下公式计算评标参考价，计算公式如下：</w:t>
      </w:r>
    </w:p>
    <w:p>
      <w:pPr>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评标参考价=（Q高-Q低）/100*X+Q低</w:t>
      </w:r>
    </w:p>
    <w:p>
      <w:pPr>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Q低：为达到或超过技术标及格分数线的投标人最低报价与工程成本警示价两者中的较高值；</w:t>
      </w:r>
    </w:p>
    <w:p>
      <w:pPr>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Q高：为最高投标限价</w:t>
      </w:r>
    </w:p>
    <w:p>
      <w:pPr>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X：为等分点值，在开标前从[0,100]整数中随机抽取</w:t>
      </w:r>
    </w:p>
    <w:p>
      <w:pPr>
        <w:pStyle w:val="5"/>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 当</w:t>
      </w:r>
      <w:r>
        <w:rPr>
          <w:rFonts w:hint="eastAsia" w:ascii="宋体" w:hAnsi="宋体" w:eastAsia="宋体" w:cs="宋体"/>
          <w:color w:val="auto"/>
          <w:sz w:val="21"/>
          <w:szCs w:val="21"/>
          <w:highlight w:val="none"/>
          <w:u w:val="single"/>
        </w:rPr>
        <w:t>投标总报价</w:t>
      </w:r>
      <w:r>
        <w:rPr>
          <w:rFonts w:hint="eastAsia" w:ascii="宋体" w:hAnsi="宋体" w:eastAsia="宋体" w:cs="宋体"/>
          <w:color w:val="auto"/>
          <w:sz w:val="21"/>
          <w:szCs w:val="21"/>
          <w:highlight w:val="none"/>
        </w:rPr>
        <w:t>等于评标参考价时得100分，</w:t>
      </w:r>
      <w:r>
        <w:rPr>
          <w:rFonts w:hint="eastAsia" w:ascii="宋体" w:hAnsi="宋体" w:eastAsia="宋体" w:cs="宋体"/>
          <w:color w:val="auto"/>
          <w:sz w:val="21"/>
          <w:szCs w:val="21"/>
          <w:highlight w:val="none"/>
          <w:u w:val="single"/>
        </w:rPr>
        <w:t>投标总报价</w:t>
      </w:r>
      <w:r>
        <w:rPr>
          <w:rFonts w:hint="eastAsia" w:ascii="宋体" w:hAnsi="宋体" w:eastAsia="宋体" w:cs="宋体"/>
          <w:color w:val="auto"/>
          <w:sz w:val="21"/>
          <w:szCs w:val="21"/>
          <w:highlight w:val="none"/>
        </w:rPr>
        <w:t>每高于评标参考价1%，扣</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分，每低于评标参考价1%，扣</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 xml:space="preserve">分，扣至0分为止，得出经济分，精确到小数点后两位。 </w:t>
      </w:r>
    </w:p>
    <w:p>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 计算通过技术标有效性审查的投标人总得分。</w:t>
      </w:r>
      <w:r>
        <w:rPr>
          <w:rFonts w:hint="eastAsia" w:ascii="宋体" w:hAnsi="宋体" w:eastAsia="宋体" w:cs="宋体"/>
          <w:color w:val="auto"/>
          <w:sz w:val="21"/>
          <w:szCs w:val="21"/>
          <w:highlight w:val="none"/>
          <w:u w:val="single"/>
        </w:rPr>
        <w:t>投标人总得分(满分 100) =技术得分（100分）×技术得分权重（</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%）＋经济得分×经济得分权重（</w:t>
      </w:r>
      <w:r>
        <w:rPr>
          <w:rFonts w:hint="eastAsia" w:ascii="宋体" w:hAnsi="宋体" w:eastAsia="宋体" w:cs="宋体"/>
          <w:color w:val="auto"/>
          <w:sz w:val="21"/>
          <w:szCs w:val="21"/>
          <w:highlight w:val="none"/>
          <w:u w:val="single"/>
          <w:lang w:val="en-US" w:eastAsia="zh-CN"/>
        </w:rPr>
        <w:t>80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总得分四舍五入保留两位小数。</w:t>
      </w:r>
    </w:p>
    <w:p>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45.5总得分相同情况下的排序方法：总得分相同的投标文件， 以技术分高的排前；总得分及技术分均相同的投标文件，以投标总报价低的排前；如仍存在相同情况，则对具有相同情况的投标人，由评标委员会采用记名投票方式，确定投标人的排序。</w:t>
      </w:r>
    </w:p>
    <w:p>
      <w:pPr>
        <w:pageBreakBefore w:val="0"/>
        <w:pBdr>
          <w:bottom w:val="single" w:color="auto" w:sz="6" w:space="1"/>
        </w:pBdr>
        <w:kinsoku/>
        <w:wordWrap/>
        <w:overflowPunct/>
        <w:topLinePunct w:val="0"/>
        <w:autoSpaceDE/>
        <w:autoSpaceDN/>
        <w:bidi w:val="0"/>
        <w:spacing w:line="360" w:lineRule="auto"/>
        <w:rPr>
          <w:rFonts w:hint="eastAsia" w:ascii="宋体" w:hAnsi="宋体" w:eastAsia="宋体" w:cs="宋体"/>
          <w:b/>
          <w:bCs/>
          <w:color w:val="auto"/>
          <w:sz w:val="21"/>
          <w:szCs w:val="21"/>
          <w:highlight w:val="none"/>
          <w:lang w:bidi="ar-SA"/>
        </w:rPr>
      </w:pPr>
      <w:r>
        <w:rPr>
          <w:rFonts w:hint="eastAsia" w:ascii="宋体" w:hAnsi="宋体" w:eastAsia="宋体" w:cs="宋体"/>
          <w:color w:val="auto"/>
          <w:sz w:val="21"/>
          <w:szCs w:val="21"/>
          <w:highlight w:val="none"/>
          <w:u w:val="single"/>
        </w:rPr>
        <w:t>注：记名投票方式确定排序的具体操作步骤为：由评标委员会对出现该情况的投标人进行编号，然后通过记名投票方式依次确定投标人的排序。</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条款号：46.2 5               修改类型：修改</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 xml:space="preserve">原文： </w:t>
      </w:r>
      <w:r>
        <w:rPr>
          <w:rFonts w:hint="eastAsia" w:ascii="宋体" w:hAnsi="宋体" w:eastAsia="宋体" w:cs="宋体"/>
          <w:b w:val="0"/>
          <w:bCs/>
          <w:color w:val="auto"/>
          <w:sz w:val="21"/>
          <w:szCs w:val="21"/>
          <w:highlight w:val="none"/>
          <w:lang w:bidi="ar-SA"/>
        </w:rPr>
        <w:t>46.2.5如果投标人的有关规费、暂列金额、暂估价、绿色施工安全防护措施费等未按招标文件规定的金额填写的，由评标委员会按照招标文件规定的金额进行修正</w:t>
      </w:r>
      <w:r>
        <w:rPr>
          <w:rFonts w:hint="eastAsia" w:ascii="宋体" w:hAnsi="宋体" w:cs="宋体"/>
          <w:b w:val="0"/>
          <w:bCs/>
          <w:color w:val="auto"/>
          <w:sz w:val="21"/>
          <w:szCs w:val="21"/>
          <w:highlight w:val="none"/>
          <w:lang w:eastAsia="zh-CN" w:bidi="ar-SA"/>
        </w:rPr>
        <w:t>；</w:t>
      </w:r>
    </w:p>
    <w:p>
      <w:pPr>
        <w:pageBreakBefore w:val="0"/>
        <w:pBdr>
          <w:bottom w:val="single" w:color="auto" w:sz="4" w:space="0"/>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b w:val="0"/>
          <w:bCs/>
          <w:color w:val="auto"/>
          <w:sz w:val="21"/>
          <w:szCs w:val="21"/>
          <w:highlight w:val="none"/>
          <w:lang w:bidi="ar-SA"/>
        </w:rPr>
        <w:t>46.2.5如果投标人的有关规费、暂列金额、暂估价、</w:t>
      </w:r>
      <w:r>
        <w:rPr>
          <w:rFonts w:hint="eastAsia" w:ascii="宋体" w:hAnsi="宋体" w:eastAsia="宋体" w:cs="宋体"/>
          <w:b w:val="0"/>
          <w:bCs/>
          <w:color w:val="auto"/>
          <w:sz w:val="21"/>
          <w:szCs w:val="21"/>
          <w:highlight w:val="none"/>
          <w:u w:val="single"/>
          <w:lang w:bidi="ar-SA"/>
        </w:rPr>
        <w:t>安全生产措施费</w:t>
      </w:r>
      <w:r>
        <w:rPr>
          <w:rFonts w:hint="eastAsia" w:ascii="宋体" w:hAnsi="宋体" w:eastAsia="宋体" w:cs="宋体"/>
          <w:b w:val="0"/>
          <w:bCs/>
          <w:color w:val="auto"/>
          <w:sz w:val="21"/>
          <w:szCs w:val="21"/>
          <w:highlight w:val="none"/>
          <w:lang w:bidi="ar-SA"/>
        </w:rPr>
        <w:t>等未按招标文件规定的金额填写的，由评标委员会按照招标文件规定的金额进行修正</w:t>
      </w:r>
      <w:r>
        <w:rPr>
          <w:rFonts w:hint="eastAsia" w:ascii="宋体" w:hAnsi="宋体" w:cs="宋体"/>
          <w:b w:val="0"/>
          <w:bCs/>
          <w:color w:val="auto"/>
          <w:sz w:val="21"/>
          <w:szCs w:val="21"/>
          <w:highlight w:val="none"/>
          <w:lang w:eastAsia="zh-CN" w:bidi="ar-SA"/>
        </w:rPr>
        <w:t>；</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bookmarkStart w:id="29" w:name="OLE_LINK1"/>
      <w:r>
        <w:rPr>
          <w:rFonts w:hint="eastAsia" w:ascii="宋体" w:hAnsi="宋体" w:eastAsia="宋体" w:cs="宋体"/>
          <w:b/>
          <w:color w:val="auto"/>
          <w:sz w:val="21"/>
          <w:szCs w:val="21"/>
          <w:highlight w:val="none"/>
          <w:lang w:bidi="ar-SA"/>
        </w:rPr>
        <w:t>条款号：47、</w:t>
      </w:r>
      <w:r>
        <w:rPr>
          <w:rFonts w:hint="eastAsia" w:ascii="宋体" w:hAnsi="宋体" w:eastAsia="宋体" w:cs="宋体"/>
          <w:b/>
          <w:color w:val="auto"/>
          <w:kern w:val="0"/>
          <w:sz w:val="21"/>
          <w:szCs w:val="21"/>
          <w:highlight w:val="none"/>
          <w:lang w:bidi="ar-SA"/>
        </w:rPr>
        <w:t>48</w:t>
      </w:r>
      <w:r>
        <w:rPr>
          <w:rFonts w:hint="eastAsia" w:ascii="宋体" w:hAnsi="宋体" w:eastAsia="宋体" w:cs="宋体"/>
          <w:b/>
          <w:color w:val="auto"/>
          <w:sz w:val="21"/>
          <w:szCs w:val="21"/>
          <w:highlight w:val="none"/>
          <w:lang w:bidi="ar-SA"/>
        </w:rPr>
        <w:t xml:space="preserve">               修改类型：修改</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lang w:bidi="ar-SA"/>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48.评标委员会应在通过投标文件经济标有效性审查的投标人中，按步骤45.4确定的投标人第二阶段排序，推荐前3名依次为第一中标候选人至第三中标候选人,并编制评标报告。</w:t>
      </w:r>
    </w:p>
    <w:p>
      <w:pPr>
        <w:pageBreakBefore w:val="0"/>
        <w:pBdr>
          <w:bottom w:val="single" w:color="auto" w:sz="4" w:space="0"/>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lang w:bidi="ar-SA"/>
        </w:rPr>
        <w:t>47.</w:t>
      </w:r>
      <w:r>
        <w:rPr>
          <w:rFonts w:hint="eastAsia" w:ascii="宋体" w:hAnsi="宋体" w:eastAsia="宋体" w:cs="宋体"/>
          <w:color w:val="auto"/>
          <w:sz w:val="21"/>
          <w:szCs w:val="21"/>
          <w:highlight w:val="none"/>
          <w:u w:val="single"/>
          <w:lang w:bidi="ar-SA"/>
        </w:rPr>
        <w:t>评标委员会按只有通过有效性审查的投标人的投标文件方可进入下一阶段评审的评审原则，根据有效性审查结果，取消被否决投标的投标人的排序，其余通过有效性审查的投标人的排序依次上升替补确定，以此类推。</w:t>
      </w:r>
    </w:p>
    <w:p>
      <w:pPr>
        <w:pageBreakBefore w:val="0"/>
        <w:pBdr>
          <w:bottom w:val="single" w:color="auto" w:sz="4" w:space="0"/>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color w:val="auto"/>
          <w:sz w:val="21"/>
          <w:szCs w:val="21"/>
          <w:highlight w:val="none"/>
          <w:lang w:bidi="ar-SA"/>
        </w:rPr>
        <w:t>48.</w:t>
      </w:r>
      <w:r>
        <w:rPr>
          <w:rFonts w:hint="eastAsia" w:ascii="宋体" w:hAnsi="宋体" w:eastAsia="宋体" w:cs="宋体"/>
          <w:color w:val="auto"/>
          <w:sz w:val="21"/>
          <w:szCs w:val="21"/>
          <w:highlight w:val="none"/>
          <w:u w:val="single"/>
          <w:lang w:bidi="ar-SA"/>
        </w:rPr>
        <w:t>评标委员会应在通过投标文件经济标有效性审查的投标人中，按步骤45.</w:t>
      </w:r>
      <w:r>
        <w:rPr>
          <w:rFonts w:hint="eastAsia" w:ascii="宋体" w:hAnsi="宋体" w:eastAsia="宋体" w:cs="宋体"/>
          <w:color w:val="auto"/>
          <w:sz w:val="21"/>
          <w:szCs w:val="21"/>
          <w:highlight w:val="none"/>
          <w:u w:val="single"/>
          <w:lang w:val="en-US" w:eastAsia="zh-CN" w:bidi="ar-SA"/>
        </w:rPr>
        <w:t>4</w:t>
      </w:r>
      <w:r>
        <w:rPr>
          <w:rFonts w:hint="eastAsia" w:ascii="宋体" w:hAnsi="宋体" w:eastAsia="宋体" w:cs="宋体"/>
          <w:color w:val="auto"/>
          <w:sz w:val="21"/>
          <w:szCs w:val="21"/>
          <w:highlight w:val="none"/>
          <w:u w:val="single"/>
          <w:lang w:bidi="ar-SA"/>
        </w:rPr>
        <w:t>确定的投标人总得分排序，推荐进入定标阶段的合格中标候选人名单【不排序，按统一社会信用代码后4位（除效验码外）大小排位】，并编制评标报告。若通有效性审查的投标人大于等于3名且少于等于</w:t>
      </w:r>
      <w:r>
        <w:rPr>
          <w:rFonts w:hint="eastAsia" w:ascii="宋体" w:hAnsi="宋体" w:cs="宋体"/>
          <w:color w:val="auto"/>
          <w:sz w:val="21"/>
          <w:szCs w:val="21"/>
          <w:highlight w:val="none"/>
          <w:u w:val="single"/>
          <w:lang w:val="en-US" w:eastAsia="zh-CN" w:bidi="ar-SA"/>
        </w:rPr>
        <w:t>15名</w:t>
      </w:r>
      <w:r>
        <w:rPr>
          <w:rFonts w:hint="eastAsia" w:ascii="宋体" w:hAnsi="宋体" w:eastAsia="宋体" w:cs="宋体"/>
          <w:color w:val="auto"/>
          <w:sz w:val="21"/>
          <w:szCs w:val="21"/>
          <w:highlight w:val="none"/>
          <w:u w:val="single"/>
          <w:lang w:bidi="ar-SA"/>
        </w:rPr>
        <w:t>，则全部为合格的中标候选人，不排序进入定标阶段；若通过有效性审查的投标人大于</w:t>
      </w:r>
      <w:r>
        <w:rPr>
          <w:rFonts w:hint="eastAsia" w:ascii="宋体" w:hAnsi="宋体" w:cs="宋体"/>
          <w:color w:val="auto"/>
          <w:sz w:val="21"/>
          <w:szCs w:val="21"/>
          <w:highlight w:val="none"/>
          <w:u w:val="single"/>
          <w:lang w:val="en-US" w:eastAsia="zh-CN" w:bidi="ar-SA"/>
        </w:rPr>
        <w:t>15名</w:t>
      </w:r>
      <w:r>
        <w:rPr>
          <w:rFonts w:hint="eastAsia" w:ascii="宋体" w:hAnsi="宋体" w:eastAsia="宋体" w:cs="宋体"/>
          <w:color w:val="auto"/>
          <w:sz w:val="21"/>
          <w:szCs w:val="21"/>
          <w:highlight w:val="none"/>
          <w:u w:val="single"/>
          <w:lang w:bidi="ar-SA"/>
        </w:rPr>
        <w:t>，按投标人总得分由高到低顺序推荐前</w:t>
      </w:r>
      <w:r>
        <w:rPr>
          <w:rFonts w:hint="eastAsia" w:ascii="宋体" w:hAnsi="宋体" w:cs="宋体"/>
          <w:color w:val="auto"/>
          <w:sz w:val="21"/>
          <w:szCs w:val="21"/>
          <w:highlight w:val="none"/>
          <w:u w:val="single"/>
          <w:lang w:val="en-US" w:eastAsia="zh-CN" w:bidi="ar-SA"/>
        </w:rPr>
        <w:t>15名</w:t>
      </w:r>
      <w:r>
        <w:rPr>
          <w:rFonts w:hint="eastAsia" w:ascii="宋体" w:hAnsi="宋体" w:eastAsia="宋体" w:cs="宋体"/>
          <w:color w:val="auto"/>
          <w:sz w:val="21"/>
          <w:szCs w:val="21"/>
          <w:highlight w:val="none"/>
          <w:u w:val="single"/>
          <w:lang w:bidi="ar-SA"/>
        </w:rPr>
        <w:t>不排序的合格的中标候选人，进入定标阶段。</w:t>
      </w:r>
    </w:p>
    <w:bookmarkEnd w:id="29"/>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 49               修改类型：修改</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49若通过经济标有效性审查的投标人不足三家，应当依法重新招标。（当N个标段同时招标且不允许兼中时，若有效投标人不足N+2家，应当依法重新招标）</w:t>
      </w:r>
    </w:p>
    <w:p>
      <w:pPr>
        <w:pageBreakBefore w:val="0"/>
        <w:pBdr>
          <w:bottom w:val="single" w:color="auto" w:sz="4" w:space="0"/>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49若通过经济标有效性审查的投标人不足</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家，应当依法重新招标。</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w:t>
      </w:r>
      <w:r>
        <w:rPr>
          <w:rFonts w:hint="eastAsia" w:ascii="宋体" w:hAnsi="宋体" w:eastAsia="宋体" w:cs="宋体"/>
          <w:b/>
          <w:color w:val="auto"/>
          <w:kern w:val="0"/>
          <w:sz w:val="21"/>
          <w:szCs w:val="21"/>
          <w:highlight w:val="none"/>
          <w:lang w:bidi="ar-SA"/>
        </w:rPr>
        <w:t>50.</w:t>
      </w:r>
      <w:r>
        <w:rPr>
          <w:rFonts w:hint="eastAsia" w:ascii="宋体" w:hAnsi="宋体" w:eastAsia="宋体" w:cs="宋体"/>
          <w:color w:val="auto"/>
          <w:kern w:val="0"/>
          <w:sz w:val="21"/>
          <w:szCs w:val="21"/>
          <w:highlight w:val="none"/>
          <w:lang w:bidi="ar-SA"/>
        </w:rPr>
        <w:t xml:space="preserve">                       </w:t>
      </w:r>
      <w:r>
        <w:rPr>
          <w:rFonts w:hint="eastAsia" w:ascii="宋体" w:hAnsi="宋体" w:eastAsia="宋体" w:cs="宋体"/>
          <w:b/>
          <w:color w:val="auto"/>
          <w:sz w:val="21"/>
          <w:szCs w:val="21"/>
          <w:highlight w:val="none"/>
          <w:lang w:bidi="ar-SA"/>
        </w:rPr>
        <w:t>修改类型：增加</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u w:val="singl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u w:val="single"/>
          <w:lang w:bidi="ar-SA"/>
        </w:rPr>
        <w:t>50.定标</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评标结束后，招标人按以下规定组建定标委员会，在评标委员会推荐的合格中标候选人中确定中标人：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定标由招标人依法组建的定标委员会负责。</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50.1 定标时间和地点</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招标人在合格的中标候选人公示完成后10个工作日内在广州交易集团有限公司（广州公共资源交易中心）开展定标工作，招标人按规定程序在规定的时间和地点完成定标工作。</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50.2定标规则</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本项目采用</w:t>
      </w:r>
      <w:r>
        <w:rPr>
          <w:rFonts w:hint="eastAsia" w:ascii="宋体" w:hAnsi="宋体" w:eastAsia="宋体" w:cs="宋体"/>
          <w:b w:val="0"/>
          <w:bCs w:val="0"/>
          <w:color w:val="auto"/>
          <w:sz w:val="21"/>
          <w:szCs w:val="21"/>
          <w:highlight w:val="none"/>
          <w:u w:val="single"/>
          <w:lang w:eastAsia="zh-CN" w:bidi="ar-SA"/>
        </w:rPr>
        <w:t>答辩因素</w:t>
      </w:r>
      <w:r>
        <w:rPr>
          <w:rFonts w:hint="eastAsia" w:ascii="宋体" w:hAnsi="宋体" w:eastAsia="宋体" w:cs="宋体"/>
          <w:b w:val="0"/>
          <w:bCs w:val="0"/>
          <w:color w:val="auto"/>
          <w:sz w:val="21"/>
          <w:szCs w:val="21"/>
          <w:highlight w:val="none"/>
          <w:u w:val="single"/>
          <w:lang w:bidi="ar-SA"/>
        </w:rPr>
        <w:t>+</w:t>
      </w:r>
      <w:r>
        <w:rPr>
          <w:rFonts w:hint="eastAsia" w:ascii="宋体" w:hAnsi="宋体" w:eastAsia="宋体" w:cs="宋体"/>
          <w:b w:val="0"/>
          <w:bCs w:val="0"/>
          <w:color w:val="auto"/>
          <w:sz w:val="21"/>
          <w:szCs w:val="21"/>
          <w:highlight w:val="none"/>
          <w:u w:val="single"/>
          <w:lang w:val="en-US" w:eastAsia="zh-CN" w:bidi="ar-SA"/>
        </w:rPr>
        <w:t>履约服务能力</w:t>
      </w:r>
      <w:r>
        <w:rPr>
          <w:rFonts w:hint="eastAsia" w:ascii="宋体" w:hAnsi="宋体" w:eastAsia="宋体" w:cs="宋体"/>
          <w:b w:val="0"/>
          <w:bCs w:val="0"/>
          <w:color w:val="auto"/>
          <w:sz w:val="21"/>
          <w:szCs w:val="21"/>
          <w:highlight w:val="none"/>
          <w:u w:val="single"/>
          <w:lang w:bidi="ar-SA"/>
        </w:rPr>
        <w:t>因素,具体定标方法如下：</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50.2.1 定标程序</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50.2.1.1定标工作开始后，定标委员会应推荐一人为定标委员会组长，主持当次定标会议。</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50.2.1.2定标辅助资料为评标阶段的评标报告、投标人提交的投标与定标文件。</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50.2.1.3定标委员会根据定标辅助资料，在同等条件下，定标因素具体评价标准详见附表：《定标因素表》。</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50.2.1.4定标委员会根据合格的中标候选人总得分由高至低排序合格的中标候选人的名次。合格的中标候选人总得分=</w:t>
      </w:r>
      <w:r>
        <w:rPr>
          <w:rFonts w:hint="eastAsia" w:ascii="宋体" w:hAnsi="宋体" w:eastAsia="宋体" w:cs="宋体"/>
          <w:b w:val="0"/>
          <w:bCs w:val="0"/>
          <w:color w:val="auto"/>
          <w:sz w:val="21"/>
          <w:szCs w:val="21"/>
          <w:highlight w:val="none"/>
          <w:u w:val="single"/>
          <w:lang w:eastAsia="zh-CN" w:bidi="ar-SA"/>
        </w:rPr>
        <w:t>答辩因素</w:t>
      </w:r>
      <w:r>
        <w:rPr>
          <w:rFonts w:hint="eastAsia" w:ascii="宋体" w:hAnsi="宋体" w:eastAsia="宋体" w:cs="宋体"/>
          <w:b w:val="0"/>
          <w:bCs w:val="0"/>
          <w:color w:val="auto"/>
          <w:sz w:val="21"/>
          <w:szCs w:val="21"/>
          <w:highlight w:val="none"/>
          <w:u w:val="single"/>
          <w:lang w:bidi="ar-SA"/>
        </w:rPr>
        <w:t>（满分</w:t>
      </w:r>
      <w:r>
        <w:rPr>
          <w:rFonts w:hint="eastAsia" w:ascii="宋体" w:hAnsi="宋体" w:eastAsia="宋体" w:cs="宋体"/>
          <w:b w:val="0"/>
          <w:bCs w:val="0"/>
          <w:color w:val="auto"/>
          <w:sz w:val="21"/>
          <w:szCs w:val="21"/>
          <w:highlight w:val="none"/>
          <w:u w:val="single"/>
          <w:lang w:val="en-US" w:eastAsia="zh-CN" w:bidi="ar-SA"/>
        </w:rPr>
        <w:t>55</w:t>
      </w:r>
      <w:r>
        <w:rPr>
          <w:rFonts w:hint="eastAsia" w:ascii="宋体" w:hAnsi="宋体" w:eastAsia="宋体" w:cs="宋体"/>
          <w:b w:val="0"/>
          <w:bCs w:val="0"/>
          <w:color w:val="auto"/>
          <w:sz w:val="21"/>
          <w:szCs w:val="21"/>
          <w:highlight w:val="none"/>
          <w:u w:val="single"/>
          <w:lang w:bidi="ar-SA"/>
        </w:rPr>
        <w:t>分）+</w:t>
      </w:r>
      <w:r>
        <w:rPr>
          <w:rFonts w:hint="eastAsia" w:ascii="宋体" w:hAnsi="宋体" w:eastAsia="宋体" w:cs="宋体"/>
          <w:b w:val="0"/>
          <w:bCs w:val="0"/>
          <w:color w:val="auto"/>
          <w:sz w:val="21"/>
          <w:szCs w:val="21"/>
          <w:highlight w:val="none"/>
          <w:u w:val="single"/>
          <w:lang w:val="en-US" w:eastAsia="zh-CN" w:bidi="ar-SA"/>
        </w:rPr>
        <w:t>履约服务能力</w:t>
      </w:r>
      <w:r>
        <w:rPr>
          <w:rFonts w:hint="eastAsia" w:ascii="宋体" w:hAnsi="宋体" w:eastAsia="宋体" w:cs="宋体"/>
          <w:b w:val="0"/>
          <w:bCs w:val="0"/>
          <w:color w:val="auto"/>
          <w:sz w:val="21"/>
          <w:szCs w:val="21"/>
          <w:highlight w:val="none"/>
          <w:u w:val="single"/>
          <w:lang w:bidi="ar-SA"/>
        </w:rPr>
        <w:t>因素（满分</w:t>
      </w:r>
      <w:r>
        <w:rPr>
          <w:rFonts w:hint="eastAsia" w:ascii="宋体" w:hAnsi="宋体" w:eastAsia="宋体" w:cs="宋体"/>
          <w:b w:val="0"/>
          <w:bCs w:val="0"/>
          <w:color w:val="auto"/>
          <w:sz w:val="21"/>
          <w:szCs w:val="21"/>
          <w:highlight w:val="none"/>
          <w:u w:val="single"/>
          <w:lang w:val="en-US" w:eastAsia="zh-CN" w:bidi="ar-SA"/>
        </w:rPr>
        <w:t>45</w:t>
      </w:r>
      <w:r>
        <w:rPr>
          <w:rFonts w:hint="eastAsia" w:ascii="宋体" w:hAnsi="宋体" w:eastAsia="宋体" w:cs="宋体"/>
          <w:b w:val="0"/>
          <w:bCs w:val="0"/>
          <w:color w:val="auto"/>
          <w:sz w:val="21"/>
          <w:szCs w:val="21"/>
          <w:highlight w:val="none"/>
          <w:u w:val="single"/>
          <w:lang w:bidi="ar-SA"/>
        </w:rPr>
        <w:t>分）。总得分四舍五入保留两位小数。</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50.2.1.5定标委员会确定总得分最高合格的中标候选人为中标人。</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注：若合格的中标候选人总得分相同且影响定标排序的，以</w:t>
      </w:r>
      <w:r>
        <w:rPr>
          <w:rFonts w:hint="eastAsia" w:ascii="宋体" w:hAnsi="宋体" w:eastAsia="宋体" w:cs="宋体"/>
          <w:b w:val="0"/>
          <w:bCs w:val="0"/>
          <w:color w:val="auto"/>
          <w:sz w:val="21"/>
          <w:szCs w:val="21"/>
          <w:highlight w:val="none"/>
          <w:u w:val="single"/>
          <w:lang w:eastAsia="zh-CN" w:bidi="ar-SA"/>
        </w:rPr>
        <w:t>答辩因素</w:t>
      </w:r>
      <w:r>
        <w:rPr>
          <w:rFonts w:hint="eastAsia" w:ascii="宋体" w:hAnsi="宋体" w:eastAsia="宋体" w:cs="宋体"/>
          <w:b w:val="0"/>
          <w:bCs w:val="0"/>
          <w:color w:val="auto"/>
          <w:sz w:val="21"/>
          <w:szCs w:val="21"/>
          <w:highlight w:val="none"/>
          <w:u w:val="single"/>
          <w:lang w:bidi="ar-SA"/>
        </w:rPr>
        <w:t>得分高的排前；若</w:t>
      </w:r>
      <w:r>
        <w:rPr>
          <w:rFonts w:hint="eastAsia" w:ascii="宋体" w:hAnsi="宋体" w:eastAsia="宋体" w:cs="宋体"/>
          <w:b w:val="0"/>
          <w:bCs w:val="0"/>
          <w:color w:val="auto"/>
          <w:sz w:val="21"/>
          <w:szCs w:val="21"/>
          <w:highlight w:val="none"/>
          <w:u w:val="single"/>
          <w:lang w:eastAsia="zh-CN" w:bidi="ar-SA"/>
        </w:rPr>
        <w:t>答辩因素</w:t>
      </w:r>
      <w:r>
        <w:rPr>
          <w:rFonts w:hint="eastAsia" w:ascii="宋体" w:hAnsi="宋体" w:eastAsia="宋体" w:cs="宋体"/>
          <w:b w:val="0"/>
          <w:bCs w:val="0"/>
          <w:color w:val="auto"/>
          <w:sz w:val="21"/>
          <w:szCs w:val="21"/>
          <w:highlight w:val="none"/>
          <w:u w:val="single"/>
          <w:lang w:bidi="ar-SA"/>
        </w:rPr>
        <w:t>得分仍相同的，以</w:t>
      </w:r>
      <w:r>
        <w:rPr>
          <w:rFonts w:hint="eastAsia" w:ascii="宋体" w:hAnsi="宋体" w:eastAsia="宋体" w:cs="宋体"/>
          <w:b w:val="0"/>
          <w:bCs w:val="0"/>
          <w:color w:val="auto"/>
          <w:sz w:val="21"/>
          <w:szCs w:val="21"/>
          <w:highlight w:val="none"/>
          <w:u w:val="single"/>
          <w:lang w:val="en-US" w:eastAsia="zh-CN" w:bidi="ar-SA"/>
        </w:rPr>
        <w:t>履约服务能力</w:t>
      </w:r>
      <w:r>
        <w:rPr>
          <w:rFonts w:hint="eastAsia" w:ascii="宋体" w:hAnsi="宋体" w:eastAsia="宋体" w:cs="宋体"/>
          <w:b w:val="0"/>
          <w:bCs w:val="0"/>
          <w:color w:val="auto"/>
          <w:sz w:val="21"/>
          <w:szCs w:val="21"/>
          <w:highlight w:val="none"/>
          <w:u w:val="single"/>
          <w:lang w:bidi="ar-SA"/>
        </w:rPr>
        <w:t>因素得分高的排前，若价格</w:t>
      </w:r>
      <w:r>
        <w:rPr>
          <w:rFonts w:hint="eastAsia" w:ascii="宋体" w:hAnsi="宋体" w:eastAsia="宋体" w:cs="宋体"/>
          <w:b w:val="0"/>
          <w:bCs w:val="0"/>
          <w:color w:val="auto"/>
          <w:sz w:val="21"/>
          <w:szCs w:val="21"/>
          <w:highlight w:val="none"/>
          <w:u w:val="single"/>
          <w:lang w:val="en-US" w:eastAsia="zh-CN" w:bidi="ar-SA"/>
        </w:rPr>
        <w:t>履约服务能力</w:t>
      </w:r>
      <w:r>
        <w:rPr>
          <w:rFonts w:hint="eastAsia" w:ascii="宋体" w:hAnsi="宋体" w:eastAsia="宋体" w:cs="宋体"/>
          <w:b w:val="0"/>
          <w:bCs w:val="0"/>
          <w:color w:val="auto"/>
          <w:sz w:val="21"/>
          <w:szCs w:val="21"/>
          <w:highlight w:val="none"/>
          <w:u w:val="single"/>
          <w:lang w:bidi="ar-SA"/>
        </w:rPr>
        <w:t>因素得分仍相同的，由定标委员会通过记名投票方式确定排序。</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50.2.1.6编写定标报告，定标委员会全体确认后签署定标报告。定标报告由定标委员会全体成员签字，对定标结论持有异议的成员应以书面方式阐述其不同意见和理由。</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50.2.2定标委员会向招标人提交书面定标报告后即解散，定标过程中使用的文件、表格以及其他资料不得私自带离。</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bidi="ar-SA"/>
        </w:rPr>
      </w:pPr>
      <w:r>
        <w:rPr>
          <w:rFonts w:hint="eastAsia" w:ascii="宋体" w:hAnsi="宋体" w:eastAsia="宋体" w:cs="宋体"/>
          <w:b w:val="0"/>
          <w:bCs w:val="0"/>
          <w:color w:val="auto"/>
          <w:sz w:val="21"/>
          <w:szCs w:val="21"/>
          <w:highlight w:val="none"/>
          <w:u w:val="single"/>
          <w:lang w:bidi="ar-SA"/>
        </w:rPr>
        <w:t>50.2.3招标人（招标代理）与中标人签订合同及办理施工许可（如有）前，如发现中标人委派的项目负责人已在其他在建项目中任职、不符合任职数量等不合法定情形的，则招标人有权从其他已进入定标阶段的合格中标候选人中采用原定标办法，由原定标委员会确定中标人，招标人也有权重新招标。</w:t>
      </w:r>
    </w:p>
    <w:p>
      <w:pPr>
        <w:pageBreakBefore w:val="0"/>
        <w:pBdr>
          <w:bottom w:val="single" w:color="auto" w:sz="4" w:space="0"/>
        </w:pBdr>
        <w:kinsoku/>
        <w:wordWrap/>
        <w:overflowPunct/>
        <w:topLinePunct w:val="0"/>
        <w:autoSpaceDE/>
        <w:autoSpaceDN/>
        <w:bidi w:val="0"/>
        <w:spacing w:line="360" w:lineRule="auto"/>
        <w:ind w:firstLine="420" w:firstLineChars="200"/>
        <w:rPr>
          <w:rFonts w:hint="eastAsia" w:ascii="宋体" w:hAnsi="宋体" w:eastAsia="宋体" w:cs="宋体"/>
          <w:b w:val="0"/>
          <w:bCs w:val="0"/>
          <w:color w:val="auto"/>
          <w:sz w:val="21"/>
          <w:szCs w:val="21"/>
          <w:highlight w:val="none"/>
          <w:u w:val="single"/>
          <w:lang w:val="en-US" w:eastAsia="zh-CN" w:bidi="ar-SA"/>
        </w:rPr>
      </w:pPr>
      <w:r>
        <w:rPr>
          <w:rFonts w:hint="eastAsia" w:ascii="宋体" w:hAnsi="宋体" w:eastAsia="宋体" w:cs="宋体"/>
          <w:b w:val="0"/>
          <w:bCs w:val="0"/>
          <w:color w:val="auto"/>
          <w:sz w:val="21"/>
          <w:szCs w:val="21"/>
          <w:highlight w:val="none"/>
          <w:u w:val="single"/>
          <w:lang w:bidi="ar-SA"/>
        </w:rPr>
        <w:t>50.2.4因异议或投诉生效，需要重新评标或定标的，评标、定标信息（含资信、团队情况等）仍以投标截止时投标人的信息为准。因特殊原因需要延长投标有效期，投标人拒绝延长投标有效期的，仍参与评标、定标，但不被推荐为中标人。</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条款号：附表一 《资格审查表》            修改类型：修改</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lang w:bidi="ar-SA"/>
        </w:rPr>
        <w:t>见范本</w:t>
      </w:r>
    </w:p>
    <w:p>
      <w:pPr>
        <w:pageBreakBefore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lang w:bidi="ar-SA"/>
        </w:rPr>
        <w:t>见后附（现文：附表一《资格审查表》）</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条款号：附表二 《技术标有效性审查表》     修改类型：修改</w:t>
      </w:r>
    </w:p>
    <w:p>
      <w:pPr>
        <w:pageBreakBefore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lang w:bidi="ar-SA"/>
        </w:rPr>
        <w:t>见范本</w:t>
      </w:r>
    </w:p>
    <w:p>
      <w:pPr>
        <w:pageBreakBefore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lang w:bidi="ar-SA"/>
        </w:rPr>
        <w:t>见后附（现文：附表二《技术标有效性审查表》）</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条款号：附表三 《经济标有效性审查表》     修改类型：修改</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lang w:bidi="ar-SA"/>
        </w:rPr>
        <w:t>见范本</w:t>
      </w:r>
    </w:p>
    <w:p>
      <w:pPr>
        <w:pageBreakBefore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lang w:bidi="ar-SA"/>
        </w:rPr>
        <w:t>见后附（现文：附表三《经济标有效性审查表》）</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条款号：附表四《技术标详细审查评分表》     修改类型：修改</w:t>
      </w:r>
    </w:p>
    <w:p>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lang w:bidi="ar-SA"/>
        </w:rPr>
        <w:t>见范本</w:t>
      </w:r>
    </w:p>
    <w:p>
      <w:pPr>
        <w:pageBreakBefore w:val="0"/>
        <w:pBdr>
          <w:bottom w:val="single" w:color="auto" w:sz="6" w:space="1"/>
        </w:pBd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lang w:bidi="ar-SA"/>
        </w:rPr>
        <w:t>见后附（现文：附表四《技术标详细审查评分表》）</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条款号：附表五《经济标评分表》             修改类型：删除</w:t>
      </w:r>
    </w:p>
    <w:p>
      <w:pPr>
        <w:pageBreakBefore w:val="0"/>
        <w:pBdr>
          <w:bottom w:val="single" w:color="auto" w:sz="4" w:space="0"/>
        </w:pBdr>
        <w:kinsoku/>
        <w:wordWrap/>
        <w:overflowPunct/>
        <w:topLinePunct w:val="0"/>
        <w:autoSpaceDE/>
        <w:autoSpaceDN/>
        <w:bidi w:val="0"/>
        <w:spacing w:line="360" w:lineRule="auto"/>
        <w:ind w:firstLine="472" w:firstLineChars="224"/>
        <w:rPr>
          <w:rFonts w:hint="eastAsia" w:ascii="宋体" w:hAnsi="宋体" w:eastAsia="宋体" w:cs="宋体"/>
          <w:color w:val="auto"/>
          <w:sz w:val="21"/>
          <w:szCs w:val="21"/>
          <w:highlight w:val="none"/>
          <w:lang w:bidi="ar-SA"/>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lang w:bidi="ar-SA"/>
        </w:rPr>
        <w:t>见范本</w:t>
      </w:r>
    </w:p>
    <w:p>
      <w:pPr>
        <w:pageBreakBefore w:val="0"/>
        <w:kinsoku/>
        <w:wordWrap/>
        <w:overflowPunct/>
        <w:topLinePunct w:val="0"/>
        <w:autoSpaceDE/>
        <w:autoSpaceDN/>
        <w:bidi w:val="0"/>
        <w:spacing w:line="360" w:lineRule="auto"/>
        <w:ind w:firstLine="472" w:firstLineChars="224"/>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条款号：附表七             修改类型：新增</w:t>
      </w:r>
    </w:p>
    <w:p>
      <w:pPr>
        <w:pageBreakBefore w:val="0"/>
        <w:pBdr>
          <w:bottom w:val="single" w:color="auto" w:sz="6" w:space="1"/>
        </w:pBdr>
        <w:tabs>
          <w:tab w:val="center" w:pos="4535"/>
        </w:tabs>
        <w:kinsoku/>
        <w:wordWrap/>
        <w:overflowPunct/>
        <w:topLinePunct w:val="0"/>
        <w:autoSpaceDE/>
        <w:autoSpaceDN/>
        <w:bidi w:val="0"/>
        <w:spacing w:line="360" w:lineRule="auto"/>
        <w:ind w:firstLine="527" w:firstLineChars="25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现文：</w:t>
      </w:r>
      <w:r>
        <w:rPr>
          <w:rFonts w:hint="eastAsia" w:ascii="宋体" w:hAnsi="宋体" w:eastAsia="宋体" w:cs="宋体"/>
          <w:bCs/>
          <w:color w:val="auto"/>
          <w:sz w:val="21"/>
          <w:szCs w:val="21"/>
          <w:highlight w:val="none"/>
          <w:lang w:bidi="ar-SA"/>
        </w:rPr>
        <w:t>详见附表七《定标因素表》</w:t>
      </w:r>
      <w:r>
        <w:rPr>
          <w:rFonts w:hint="eastAsia" w:ascii="宋体" w:hAnsi="宋体" w:eastAsia="宋体" w:cs="宋体"/>
          <w:bCs/>
          <w:color w:val="auto"/>
          <w:sz w:val="21"/>
          <w:szCs w:val="21"/>
          <w:highlight w:val="none"/>
          <w:lang w:bidi="ar-SA"/>
        </w:rPr>
        <w:tab/>
      </w:r>
    </w:p>
    <w:p>
      <w:pPr>
        <w:pageBreakBefore w:val="0"/>
        <w:kinsoku/>
        <w:wordWrap/>
        <w:overflowPunct/>
        <w:topLinePunct w:val="0"/>
        <w:autoSpaceDE/>
        <w:autoSpaceDN/>
        <w:bidi w:val="0"/>
        <w:spacing w:line="360" w:lineRule="auto"/>
        <w:ind w:firstLine="211" w:firstLineChars="100"/>
        <w:rPr>
          <w:rFonts w:hint="eastAsia" w:ascii="宋体" w:hAnsi="宋体" w:eastAsia="宋体" w:cs="宋体"/>
          <w:b/>
          <w:color w:val="auto"/>
          <w:szCs w:val="21"/>
          <w:highlight w:val="none"/>
          <w:lang w:bidi="ar-SA"/>
        </w:rPr>
      </w:pPr>
      <w:r>
        <w:rPr>
          <w:rFonts w:hint="eastAsia" w:ascii="宋体" w:hAnsi="宋体" w:eastAsia="宋体" w:cs="宋体"/>
          <w:b/>
          <w:color w:val="auto"/>
          <w:sz w:val="21"/>
          <w:szCs w:val="21"/>
          <w:highlight w:val="none"/>
          <w:lang w:bidi="ar-SA"/>
        </w:rPr>
        <w:t>注：以上修改，仅限于本范本中有可供选择条款的情形</w:t>
      </w:r>
      <w:r>
        <w:rPr>
          <w:rFonts w:hint="eastAsia" w:ascii="宋体" w:hAnsi="宋体" w:eastAsia="宋体" w:cs="宋体"/>
          <w:b/>
          <w:color w:val="auto"/>
          <w:szCs w:val="21"/>
          <w:highlight w:val="none"/>
          <w:lang w:bidi="ar-SA"/>
        </w:rPr>
        <w:t>。</w:t>
      </w:r>
    </w:p>
    <w:p>
      <w:pPr>
        <w:keepNext/>
        <w:keepLines/>
        <w:pageBreakBefore w:val="0"/>
        <w:tabs>
          <w:tab w:val="right" w:leader="dot" w:pos="9060"/>
        </w:tabs>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Cs w:val="21"/>
          <w:highlight w:val="none"/>
        </w:rPr>
        <w:t>（以下无正文）</w:t>
      </w:r>
      <w:r>
        <w:rPr>
          <w:rFonts w:hint="eastAsia" w:ascii="宋体" w:hAnsi="宋体" w:eastAsia="宋体" w:cs="宋体"/>
          <w:b/>
          <w:bCs/>
          <w:color w:val="auto"/>
          <w:szCs w:val="21"/>
          <w:highlight w:val="none"/>
        </w:rPr>
        <w:br w:type="page"/>
      </w:r>
      <w:bookmarkStart w:id="30" w:name="_Toc2272556"/>
      <w:bookmarkStart w:id="31" w:name="_Toc21525500"/>
      <w:r>
        <w:rPr>
          <w:rFonts w:hint="eastAsia" w:ascii="宋体" w:hAnsi="宋体" w:eastAsia="宋体" w:cs="宋体"/>
          <w:b/>
          <w:bCs/>
          <w:color w:val="auto"/>
          <w:sz w:val="24"/>
          <w:szCs w:val="24"/>
          <w:highlight w:val="none"/>
        </w:rPr>
        <w:t>二、开标、评标及定标办法通用条款</w:t>
      </w:r>
      <w:bookmarkEnd w:id="28"/>
      <w:bookmarkEnd w:id="30"/>
      <w:bookmarkEnd w:id="31"/>
    </w:p>
    <w:p>
      <w:pPr>
        <w:pStyle w:val="8"/>
        <w:spacing w:before="156" w:after="156"/>
        <w:ind w:firstLine="480" w:firstLineChars="200"/>
        <w:rPr>
          <w:rFonts w:hint="eastAsia" w:ascii="宋体" w:hAnsi="宋体" w:eastAsia="宋体" w:cs="宋体"/>
          <w:color w:val="auto"/>
          <w:sz w:val="24"/>
          <w:szCs w:val="24"/>
          <w:highlight w:val="none"/>
        </w:rPr>
      </w:pPr>
      <w:bookmarkStart w:id="32" w:name="_Toc21525501"/>
      <w:bookmarkStart w:id="33" w:name="_Toc201658276"/>
      <w:bookmarkStart w:id="34" w:name="_Toc2272557"/>
      <w:r>
        <w:rPr>
          <w:rFonts w:hint="eastAsia" w:ascii="宋体" w:hAnsi="宋体" w:eastAsia="宋体" w:cs="宋体"/>
          <w:color w:val="auto"/>
          <w:sz w:val="24"/>
          <w:szCs w:val="24"/>
          <w:highlight w:val="none"/>
        </w:rPr>
        <w:t>（一）总则</w:t>
      </w:r>
      <w:bookmarkEnd w:id="32"/>
      <w:bookmarkEnd w:id="33"/>
      <w:bookmarkEnd w:id="3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开标、评标及定标所依据的规则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35.1《中华人民共和国招标投标法》；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35.2《中华人民共和国招标投标法实施条例》；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35.3《评标委员会和评标方法暂行规定》（七部委第12号令）；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35.4《工程建设项目施工招标投标办法》（七部委2003年第30号令）；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35.5《广东省实施〈中华人民共和国招标投标法〉办法》；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35.6《房屋建筑和市政基础设施工程施工招标投标管理办法》（建设部令第89号）；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35.7《财政部 工业和信息化部关于印发〈政府采购促进中小企业发展管理办法〉的通知》（财库〔2020〕46号）；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35.8《广东省加强建设工程招标投标监督管理的若干规定》（粤发[2004]4号）；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35.9《广东省政府采购促进中小企业发展实施细则（试行）》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35.10《广州市工程建设项目招标投标管理办法》（穗建规字〔2023〕12号）；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35.12本项目招标文件。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36．开标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36.5按下列程序进行开标：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36.5.2备用光盘的读取按投标须知前附表第36项的规定执行；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36.5.4开标结束。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37.2评标委员会在开始评标前，应了解评标专家的职责及守则，认真阅读附件1《评标委员会成员声明》的内容并签名，签字后方可进行评标。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37.3评标委员会的职责及守则：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37.3.1根据评标细则，对投标文件进行认真评审，完成评审报告；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37.3.2向招标人报告评审意见，推荐合格的中标候选人。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37.3.3 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37.3.4全体参与评标人员：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37.3.4.1 必须遵守评标纪律、不得泄密；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37.3.4.2 必须公正、不得循私；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37.3.4.3 必须科学、不得草率；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37.3.4.4 必须客观、不得带有成见；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37.3.4.5 必须平等、不得强加于人；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37.3.4.6 必须严谨、不得随意马虎。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37.5评标结束后，评标委员会递交评标报告并依法推荐中标候选人。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38．投标文件的澄清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39．定标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480" w:firstLineChars="200"/>
        <w:rPr>
          <w:rFonts w:hint="eastAsia" w:ascii="宋体" w:hAnsi="宋体" w:eastAsia="宋体" w:cs="宋体"/>
          <w:color w:val="auto"/>
          <w:sz w:val="24"/>
          <w:szCs w:val="24"/>
          <w:highlight w:val="none"/>
        </w:rPr>
      </w:pPr>
      <w:bookmarkStart w:id="35" w:name="_Toc201658277"/>
      <w:bookmarkStart w:id="36" w:name="_Toc2272558"/>
      <w:bookmarkStart w:id="37" w:name="_Toc21525502"/>
      <w:r>
        <w:rPr>
          <w:rFonts w:hint="eastAsia" w:ascii="宋体" w:hAnsi="宋体" w:eastAsia="宋体" w:cs="宋体"/>
          <w:color w:val="auto"/>
          <w:sz w:val="24"/>
          <w:szCs w:val="24"/>
          <w:highlight w:val="none"/>
        </w:rPr>
        <w:t>（二）开标评标办法程序和细则</w:t>
      </w:r>
      <w:bookmarkEnd w:id="35"/>
      <w:bookmarkEnd w:id="36"/>
      <w:bookmarkEnd w:id="3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注：以下八种评标办法所述企业综合诚信评价分数即投标截止当日广州市工程招标代理行业协会网站上公布的企业综合诚信评价60日诚信分。</w:t>
      </w:r>
    </w:p>
    <w:p>
      <w:pPr>
        <w:pStyle w:val="8"/>
        <w:spacing w:before="156" w:after="156"/>
        <w:ind w:firstLine="480" w:firstLineChars="200"/>
        <w:rPr>
          <w:rFonts w:hint="eastAsia" w:ascii="宋体" w:hAnsi="宋体" w:eastAsia="宋体" w:cs="宋体"/>
          <w:color w:val="auto"/>
          <w:sz w:val="24"/>
          <w:szCs w:val="24"/>
          <w:highlight w:val="none"/>
        </w:rPr>
      </w:pPr>
      <w:bookmarkStart w:id="38" w:name="_Toc12355"/>
      <w:bookmarkStart w:id="39" w:name="_Toc201658278"/>
      <w:bookmarkStart w:id="40" w:name="_Toc21525509"/>
      <w:bookmarkStart w:id="41" w:name="_Toc2272564"/>
      <w:r>
        <w:rPr>
          <w:rFonts w:hint="eastAsia" w:ascii="宋体" w:hAnsi="宋体" w:eastAsia="宋体" w:cs="宋体"/>
          <w:color w:val="auto"/>
          <w:sz w:val="24"/>
          <w:szCs w:val="24"/>
          <w:highlight w:val="none"/>
        </w:rPr>
        <w:t>可选办法七（适合综合评分法四，技术标与经济标同时开启）</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40.5经济标详细审查评分；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41．开标细则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41.1开标由招标人主持；</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41.2.2开标前，首先由招标人随机抽取确定该工程计算评标参考价的等分点值X。</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方式二：评标委员会由技术评审组和经济评审组组成。其中：资格审查及技术评审由</w:t>
      </w:r>
      <w:r>
        <w:rPr>
          <w:rFonts w:hint="eastAsia" w:ascii="宋体" w:hAnsi="宋体" w:eastAsia="宋体" w:cs="宋体"/>
          <w:color w:val="auto"/>
          <w:sz w:val="24"/>
          <w:szCs w:val="24"/>
          <w:highlight w:val="none"/>
        </w:rPr>
        <w:t>技术评标组负责，经济评审由经济评审组负责。</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43．投标人资格审查</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44．技术标评审</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45.1若通过技术标有效性审查的投标人中所有投标报价均大于等于最高投标限价，则本项目招标失败，由招标人依法重新招标。</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45.2计算评标参考价：</w:t>
      </w:r>
    </w:p>
    <w:p>
      <w:pPr>
        <w:widowControl/>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区间抽取法：</w:t>
      </w:r>
    </w:p>
    <w:p>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eastAsia="宋体" w:cs="宋体"/>
          <w:color w:val="auto"/>
          <w:kern w:val="0"/>
          <w:sz w:val="24"/>
          <w:szCs w:val="24"/>
          <w:highlight w:val="none"/>
          <w:vertAlign w:val="subscript"/>
        </w:rPr>
      </w:pPr>
      <w:r>
        <w:rPr>
          <w:rFonts w:hint="eastAsia" w:ascii="宋体" w:hAnsi="宋体" w:eastAsia="宋体" w:cs="宋体"/>
          <w:color w:val="auto"/>
          <w:kern w:val="0"/>
          <w:sz w:val="24"/>
          <w:szCs w:val="24"/>
          <w:highlight w:val="none"/>
        </w:rPr>
        <w:t>评标参考价=（Q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低</w:t>
      </w:r>
      <w:r>
        <w:rPr>
          <w:rFonts w:hint="eastAsia" w:ascii="宋体" w:hAnsi="宋体" w:eastAsia="宋体" w:cs="宋体"/>
          <w:color w:val="auto"/>
          <w:kern w:val="0"/>
          <w:sz w:val="24"/>
          <w:szCs w:val="24"/>
          <w:highlight w:val="none"/>
        </w:rPr>
        <w:t>）/100*Ｘ+Q</w:t>
      </w:r>
      <w:r>
        <w:rPr>
          <w:rFonts w:hint="eastAsia" w:ascii="宋体" w:hAnsi="宋体" w:eastAsia="宋体" w:cs="宋体"/>
          <w:color w:val="auto"/>
          <w:kern w:val="0"/>
          <w:sz w:val="24"/>
          <w:szCs w:val="24"/>
          <w:highlight w:val="none"/>
          <w:vertAlign w:val="subscript"/>
        </w:rPr>
        <w:t>低</w:t>
      </w:r>
    </w:p>
    <w:p>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w:t>
      </w:r>
      <w:r>
        <w:rPr>
          <w:rFonts w:hint="eastAsia" w:ascii="宋体" w:hAnsi="宋体" w:eastAsia="宋体" w:cs="宋体"/>
          <w:color w:val="auto"/>
          <w:sz w:val="24"/>
          <w:szCs w:val="24"/>
          <w:highlight w:val="none"/>
          <w:vertAlign w:val="subscript"/>
        </w:rPr>
        <w:t>低</w:t>
      </w:r>
      <w:r>
        <w:rPr>
          <w:rFonts w:hint="eastAsia" w:ascii="宋体" w:hAnsi="宋体" w:eastAsia="宋体" w:cs="宋体"/>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sz w:val="24"/>
          <w:szCs w:val="24"/>
          <w:highlight w:val="none"/>
        </w:rPr>
        <w:t>：最高投标限价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X：为等分点值，在开标前从[0,100]整数中随机抽取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45.3</w:t>
      </w:r>
      <w:r>
        <w:rPr>
          <w:rFonts w:hint="eastAsia" w:ascii="宋体" w:hAnsi="宋体" w:eastAsia="宋体" w:cs="宋体"/>
          <w:color w:val="auto"/>
          <w:sz w:val="24"/>
          <w:szCs w:val="24"/>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46.经济标的有效性审查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49.若通过经济标有效性审查的投标人不足三家，应当依法重新招标。（当N个标段同时招标且不允许兼中时，若有效投标人不足N+2家，应当依法重新招标</w:t>
      </w:r>
      <w:bookmarkEnd w:id="38"/>
      <w:r>
        <w:rPr>
          <w:rFonts w:hint="eastAsia" w:ascii="宋体" w:hAnsi="宋体" w:eastAsia="宋体" w:cs="宋体"/>
          <w:color w:val="auto"/>
          <w:sz w:val="24"/>
          <w:szCs w:val="24"/>
          <w:highlight w:val="none"/>
        </w:rPr>
        <w:t>）</w:t>
      </w:r>
    </w:p>
    <w:bookmarkEnd w:id="39"/>
    <w:bookmarkEnd w:id="40"/>
    <w:bookmarkEnd w:id="41"/>
    <w:p>
      <w:pPr>
        <w:rPr>
          <w:rFonts w:hint="eastAsia" w:ascii="宋体" w:hAnsi="宋体" w:eastAsia="宋体" w:cs="宋体"/>
          <w:color w:val="auto"/>
          <w:sz w:val="24"/>
          <w:szCs w:val="24"/>
          <w:highlight w:val="none"/>
        </w:rPr>
        <w:sectPr>
          <w:footerReference r:id="rId5" w:type="default"/>
          <w:endnotePr>
            <w:numFmt w:val="decimal"/>
          </w:endnotePr>
          <w:pgSz w:w="11906" w:h="16838"/>
          <w:pgMar w:top="1134" w:right="1418" w:bottom="1247" w:left="1418" w:header="851" w:footer="485" w:gutter="0"/>
          <w:pgBorders>
            <w:top w:val="none" w:sz="0" w:space="0"/>
            <w:left w:val="none" w:sz="0" w:space="0"/>
            <w:bottom w:val="none" w:sz="0" w:space="0"/>
            <w:right w:val="none" w:sz="0" w:space="0"/>
          </w:pgBorders>
          <w:cols w:space="720" w:num="1"/>
          <w:rtlGutter w:val="1"/>
          <w:docGrid w:type="lines" w:linePitch="312" w:charSpace="0"/>
        </w:sect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pPr>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评标委员会成员声明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Cs w:val="21"/>
          <w:highlight w:val="none"/>
        </w:rPr>
        <w:sectPr>
          <w:endnotePr>
            <w:numFmt w:val="decimal"/>
          </w:endnotePr>
          <w:pgSz w:w="11906" w:h="16838"/>
          <w:pgMar w:top="1134" w:right="1418" w:bottom="1247" w:left="1418" w:header="851" w:footer="485" w:gutter="0"/>
          <w:pgBorders>
            <w:top w:val="none" w:sz="0" w:space="0"/>
            <w:left w:val="none" w:sz="0" w:space="0"/>
            <w:bottom w:val="none" w:sz="0" w:space="0"/>
            <w:right w:val="none" w:sz="0" w:space="0"/>
          </w:pgBorders>
          <w:cols w:space="720" w:num="1"/>
          <w:rtlGutter w:val="1"/>
          <w:docGrid w:type="lines" w:linePitch="312" w:charSpace="0"/>
        </w:sect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pPr>
        <w:snapToGrid w:val="0"/>
        <w:spacing w:line="360" w:lineRule="auto"/>
        <w:rPr>
          <w:rFonts w:hint="eastAsia" w:ascii="宋体" w:hAnsi="宋体" w:eastAsia="宋体" w:cs="宋体"/>
          <w:color w:val="auto"/>
          <w:szCs w:val="21"/>
          <w:highlight w:val="none"/>
        </w:rPr>
      </w:pPr>
      <w:bookmarkStart w:id="42" w:name="_Toc125032252"/>
      <w:r>
        <w:rPr>
          <w:rFonts w:hint="eastAsia" w:ascii="宋体" w:hAnsi="宋体" w:eastAsia="宋体" w:cs="宋体"/>
          <w:color w:val="auto"/>
          <w:szCs w:val="21"/>
          <w:highlight w:val="none"/>
        </w:rPr>
        <w:t>附表一：</w:t>
      </w:r>
      <w:bookmarkEnd w:id="42"/>
    </w:p>
    <w:p>
      <w:pPr>
        <w:jc w:val="center"/>
        <w:outlineLvl w:val="2"/>
        <w:rPr>
          <w:rFonts w:hint="eastAsia" w:ascii="宋体" w:hAnsi="宋体" w:eastAsia="宋体" w:cs="宋体"/>
          <w:b/>
          <w:color w:val="auto"/>
          <w:sz w:val="32"/>
          <w:szCs w:val="32"/>
          <w:highlight w:val="none"/>
        </w:rPr>
      </w:pPr>
      <w:bookmarkStart w:id="43" w:name="_Toc201658279"/>
      <w:r>
        <w:rPr>
          <w:rFonts w:hint="eastAsia" w:ascii="宋体" w:hAnsi="宋体" w:eastAsia="宋体" w:cs="宋体"/>
          <w:b/>
          <w:color w:val="auto"/>
          <w:sz w:val="32"/>
          <w:szCs w:val="32"/>
          <w:highlight w:val="none"/>
        </w:rPr>
        <w:t>资格审查表</w:t>
      </w:r>
      <w:bookmarkEnd w:id="43"/>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bl>
      <w:tblPr>
        <w:tblStyle w:val="19"/>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4185"/>
        <w:gridCol w:w="3786"/>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审查项目</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须审查的资料</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投标人声明、法定代表人证明书；委托投标的还应提供法人授权委托证明书。</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投标人具有独立法人资格，按国家法律经营。</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营业执照扫描件或电子证照。</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投标人持有建设行政主管部门颁发的有效期内的企业资质证书及安全生产许可证；投标人资质符合公告要求。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资质证书扫描件或电子证照、安全生产许可证扫描件或电子证照。</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投标人拟担任本工程项目负责人符合公告要求。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有效期内的建造师注册证书扫描件或电子证书（注：打印建造师电子证书后，在个人签名处手写本人签名再扫描提交。）</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项目负责人</w:t>
            </w:r>
            <w:r>
              <w:rPr>
                <w:rFonts w:hint="eastAsia" w:ascii="宋体" w:hAnsi="宋体" w:eastAsia="宋体" w:cs="宋体"/>
                <w:color w:val="auto"/>
                <w:szCs w:val="21"/>
                <w:highlight w:val="none"/>
              </w:rPr>
              <w:t>持有</w:t>
            </w:r>
            <w:r>
              <w:rPr>
                <w:rFonts w:hint="eastAsia" w:ascii="宋体" w:hAnsi="宋体" w:eastAsia="宋体" w:cs="宋体"/>
                <w:color w:val="auto"/>
                <w:szCs w:val="21"/>
                <w:highlight w:val="none"/>
                <w:u w:val="single"/>
              </w:rPr>
              <w:t>有效期内的</w:t>
            </w:r>
            <w:r>
              <w:rPr>
                <w:rFonts w:hint="eastAsia" w:ascii="宋体" w:hAnsi="宋体" w:eastAsia="宋体" w:cs="宋体"/>
                <w:color w:val="auto"/>
                <w:szCs w:val="21"/>
                <w:highlight w:val="none"/>
              </w:rPr>
              <w:t>项目负责人安全生产考核合格证（B类）或建筑施工企业项目负责人安全生产考核合格证。</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项目负责人安全生产考核合格证（B类）或建筑施工企业项目负责人安全生产考核合格证证书扫描件或电子证书。</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投标人拟担任本工程技术负责人符合公告要求。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拟委托技术负责人的职称证书清晰扫描件。</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专职安全员须具有</w:t>
            </w:r>
            <w:r>
              <w:rPr>
                <w:rFonts w:hint="eastAsia" w:ascii="宋体" w:hAnsi="宋体" w:eastAsia="宋体" w:cs="宋体"/>
                <w:color w:val="auto"/>
                <w:szCs w:val="21"/>
                <w:highlight w:val="none"/>
                <w:u w:val="single"/>
              </w:rPr>
              <w:t>有效期内的</w:t>
            </w:r>
            <w:r>
              <w:rPr>
                <w:rFonts w:hint="eastAsia" w:ascii="宋体" w:hAnsi="宋体" w:eastAsia="宋体" w:cs="宋体"/>
                <w:color w:val="auto"/>
                <w:szCs w:val="21"/>
                <w:highlight w:val="none"/>
              </w:rPr>
              <w:t>安全生产考核合格证（C证）</w:t>
            </w:r>
            <w:r>
              <w:rPr>
                <w:rFonts w:hint="eastAsia" w:ascii="宋体" w:hAnsi="宋体" w:eastAsia="宋体" w:cs="宋体"/>
                <w:color w:val="auto"/>
                <w:szCs w:val="21"/>
                <w:highlight w:val="none"/>
                <w:u w:val="single"/>
              </w:rPr>
              <w:t>或建筑施工企业专职安全生产管理人员安全生产考核合格证书（C3），</w:t>
            </w:r>
            <w:r>
              <w:rPr>
                <w:rFonts w:hint="eastAsia" w:ascii="宋体" w:hAnsi="宋体" w:eastAsia="宋体" w:cs="宋体"/>
                <w:b/>
                <w:color w:val="auto"/>
                <w:szCs w:val="21"/>
                <w:highlight w:val="none"/>
                <w:u w:val="single"/>
              </w:rPr>
              <w:t>项目负责人和安全员不为同一人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专职安全员的数量</w:t>
            </w:r>
            <w:r>
              <w:rPr>
                <w:rFonts w:hint="eastAsia" w:ascii="宋体" w:hAnsi="宋体" w:eastAsia="宋体" w:cs="宋体"/>
                <w:color w:val="auto"/>
                <w:kern w:val="0"/>
                <w:sz w:val="24"/>
                <w:szCs w:val="24"/>
                <w:highlight w:val="none"/>
                <w:u w:val="single"/>
                <w:lang w:val="en-US" w:eastAsia="zh-CN"/>
              </w:rPr>
              <w:t>须</w:t>
            </w:r>
            <w:r>
              <w:rPr>
                <w:rFonts w:hint="eastAsia" w:ascii="宋体" w:hAnsi="宋体" w:eastAsia="宋体" w:cs="宋体"/>
                <w:color w:val="auto"/>
                <w:szCs w:val="21"/>
                <w:highlight w:val="none"/>
                <w:u w:val="single"/>
                <w:lang w:val="en-US" w:eastAsia="zh-CN"/>
              </w:rPr>
              <w:t>满足招标文件要求。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专职安全员的安全生产考核合格证（C证）</w:t>
            </w:r>
            <w:r>
              <w:rPr>
                <w:rFonts w:hint="eastAsia" w:ascii="宋体" w:hAnsi="宋体" w:eastAsia="宋体" w:cs="宋体"/>
                <w:color w:val="auto"/>
                <w:szCs w:val="21"/>
                <w:highlight w:val="none"/>
                <w:u w:val="single"/>
              </w:rPr>
              <w:t>或建筑施工企业专职安全生产管理人员安全生产考核合格证书（C3）</w:t>
            </w:r>
            <w:r>
              <w:rPr>
                <w:rFonts w:hint="eastAsia" w:ascii="宋体" w:hAnsi="宋体" w:eastAsia="宋体" w:cs="宋体"/>
                <w:color w:val="auto"/>
                <w:szCs w:val="21"/>
                <w:highlight w:val="none"/>
              </w:rPr>
              <w:t>扫描件或电子证书，</w:t>
            </w:r>
            <w:r>
              <w:rPr>
                <w:rFonts w:hint="eastAsia" w:ascii="宋体" w:hAnsi="宋体" w:eastAsia="宋体" w:cs="宋体"/>
                <w:b/>
                <w:color w:val="auto"/>
                <w:szCs w:val="21"/>
                <w:highlight w:val="none"/>
                <w:u w:val="single"/>
              </w:rPr>
              <w:t>项目负责人和安全员不为同一人</w:t>
            </w:r>
            <w:r>
              <w:rPr>
                <w:rFonts w:hint="eastAsia" w:ascii="宋体" w:hAnsi="宋体" w:eastAsia="宋体" w:cs="宋体"/>
                <w:color w:val="auto"/>
                <w:szCs w:val="21"/>
                <w:highlight w:val="none"/>
                <w:u w:val="single"/>
              </w:rPr>
              <w:t>。</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投标人提供的投标人声明符合公告要求。</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投标人声明中签字的项目负责人和技术负责人与本项目拟派的项目负责人和技术负责人一致。</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网上投标时选择拟投标的项目负责人、资格审查文件中拟委派的技术负责人及投标人声明。</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关于联合体投标</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rPr>
              <w:t>本项目不接受联合体投标</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资格审查前，投标人须在广州市住房和城乡建设局建立企业信用档案及拟担任本工程项目负责人、专职安全员须是本企业中的在册人员。</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投标人在广州市住建行业信用管理平台内企业信用档案的企业和人员信息。</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投标人未出现以下情形：与其它投标人的单位负责人为同一人或者存在控股、管理关系的（按投标人提供的《投标人声明》第九条内容进行评审）。</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投标人未被列入拖欠农民工工资失信联合惩戒对象名单。</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投标人无需提供资料，按投标截止时间广州交易集团有限公司(广州公共资源交易中心)交易系统比对的结果进行评审。</w:t>
            </w:r>
          </w:p>
        </w:tc>
        <w:tc>
          <w:tcPr>
            <w:tcW w:w="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rPr>
            </w:pPr>
          </w:p>
        </w:tc>
      </w:tr>
    </w:tbl>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1、每一项目符合的打“○”，不符合的打“×”； </w:t>
      </w:r>
    </w:p>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2、若评委意见不一致时，则按少数服从多数的原则，作出评审结论。汇总后，出现一个“×”的结论为“不通过”。</w:t>
      </w:r>
    </w:p>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widowControl/>
        <w:spacing w:beforeAutospacing="1" w:afterAutospacing="1"/>
        <w:jc w:val="left"/>
        <w:rPr>
          <w:rFonts w:hint="eastAsia" w:ascii="宋体" w:hAnsi="宋体" w:eastAsia="宋体" w:cs="宋体"/>
          <w:color w:val="auto"/>
          <w:highlight w:val="none"/>
        </w:rPr>
        <w:sectPr>
          <w:endnotePr>
            <w:numFmt w:val="decimal"/>
          </w:endnotePr>
          <w:pgSz w:w="11906" w:h="16838"/>
          <w:pgMar w:top="1134" w:right="1418" w:bottom="1247" w:left="1418" w:header="851" w:footer="485" w:gutter="0"/>
          <w:pgBorders>
            <w:top w:val="none" w:sz="0" w:space="0"/>
            <w:left w:val="none" w:sz="0" w:space="0"/>
            <w:bottom w:val="none" w:sz="0" w:space="0"/>
            <w:right w:val="none" w:sz="0" w:space="0"/>
          </w:pgBorders>
          <w:cols w:space="720" w:num="1"/>
          <w:rtlGutter w:val="1"/>
          <w:docGrid w:type="lines" w:linePitch="312" w:charSpace="0"/>
        </w:sectPr>
      </w:pPr>
    </w:p>
    <w:p>
      <w:pPr>
        <w:ind w:firstLine="312"/>
        <w:rPr>
          <w:rFonts w:hint="eastAsia" w:ascii="宋体" w:hAnsi="宋体" w:eastAsia="宋体" w:cs="宋体"/>
          <w:color w:val="auto"/>
          <w:szCs w:val="21"/>
          <w:highlight w:val="none"/>
        </w:rPr>
      </w:pPr>
      <w:bookmarkStart w:id="44" w:name="_Toc125032253"/>
      <w:r>
        <w:rPr>
          <w:rFonts w:hint="eastAsia" w:ascii="宋体" w:hAnsi="宋体" w:eastAsia="宋体" w:cs="宋体"/>
          <w:color w:val="auto"/>
          <w:szCs w:val="21"/>
          <w:highlight w:val="none"/>
        </w:rPr>
        <w:t>附表二</w:t>
      </w:r>
      <w:bookmarkEnd w:id="44"/>
    </w:p>
    <w:p>
      <w:pPr>
        <w:jc w:val="center"/>
        <w:outlineLvl w:val="2"/>
        <w:rPr>
          <w:rFonts w:hint="eastAsia" w:ascii="宋体" w:hAnsi="宋体" w:eastAsia="宋体" w:cs="宋体"/>
          <w:b/>
          <w:color w:val="auto"/>
          <w:sz w:val="36"/>
          <w:szCs w:val="36"/>
          <w:highlight w:val="none"/>
        </w:rPr>
      </w:pPr>
      <w:bookmarkStart w:id="45" w:name="OLE_LINK4"/>
      <w:bookmarkStart w:id="46" w:name="_Toc201658280"/>
      <w:r>
        <w:rPr>
          <w:rFonts w:hint="eastAsia" w:ascii="宋体" w:hAnsi="宋体" w:eastAsia="宋体" w:cs="宋体"/>
          <w:b/>
          <w:color w:val="auto"/>
          <w:sz w:val="32"/>
          <w:szCs w:val="32"/>
          <w:highlight w:val="none"/>
        </w:rPr>
        <w:t>技术标有效性审查</w:t>
      </w:r>
      <w:bookmarkEnd w:id="45"/>
      <w:r>
        <w:rPr>
          <w:rFonts w:hint="eastAsia" w:ascii="宋体" w:hAnsi="宋体" w:eastAsia="宋体" w:cs="宋体"/>
          <w:b/>
          <w:color w:val="auto"/>
          <w:sz w:val="32"/>
          <w:szCs w:val="32"/>
          <w:highlight w:val="none"/>
        </w:rPr>
        <w:t>表</w:t>
      </w:r>
      <w:bookmarkEnd w:id="46"/>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19"/>
        <w:tblW w:w="14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112"/>
        <w:gridCol w:w="1005"/>
        <w:gridCol w:w="1005"/>
        <w:gridCol w:w="1005"/>
        <w:gridCol w:w="1005"/>
        <w:gridCol w:w="100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112"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p>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《广州建设工程施工技术标招标投标书》中的投标总工期</w:t>
            </w:r>
            <w:r>
              <w:rPr>
                <w:rFonts w:hint="eastAsia" w:ascii="宋体" w:hAnsi="宋体" w:eastAsia="宋体" w:cs="宋体"/>
                <w:color w:val="auto"/>
                <w:szCs w:val="21"/>
                <w:highlight w:val="none"/>
              </w:rPr>
              <w:t>不能满足完成投标项目工期的。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《广州建设工程施工技术标招标投标书》中的工程质量标准不符合招标文件要求的。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在技术投标文件中涉及本工程项目投标报价的；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投标文件中没有有效的法定代表人证明书，或由委托代理人签署</w:t>
            </w:r>
            <w:r>
              <w:rPr>
                <w:rFonts w:hint="eastAsia" w:ascii="宋体" w:hAnsi="宋体" w:eastAsia="宋体" w:cs="宋体"/>
                <w:color w:val="auto"/>
                <w:szCs w:val="21"/>
                <w:highlight w:val="none"/>
                <w:u w:val="single"/>
              </w:rPr>
              <w:t>或盖章</w:t>
            </w:r>
            <w:r>
              <w:rPr>
                <w:rFonts w:hint="eastAsia" w:ascii="宋体" w:hAnsi="宋体" w:eastAsia="宋体" w:cs="宋体"/>
                <w:color w:val="auto"/>
                <w:szCs w:val="21"/>
                <w:highlight w:val="none"/>
              </w:rPr>
              <w:t>的投标文件中没有法定代表人授权书。</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SA"/>
              </w:rPr>
              <w:t>投标文件未按规定的格式</w:t>
            </w:r>
            <w:r>
              <w:rPr>
                <w:rFonts w:hint="eastAsia" w:ascii="宋体" w:hAnsi="宋体" w:eastAsia="宋体" w:cs="宋体"/>
                <w:b/>
                <w:bCs/>
                <w:color w:val="auto"/>
                <w:sz w:val="21"/>
                <w:szCs w:val="21"/>
                <w:highlight w:val="none"/>
                <w:u w:val="single"/>
                <w:lang w:bidi="ar-SA"/>
              </w:rPr>
              <w:t>（指</w:t>
            </w:r>
            <w:r>
              <w:rPr>
                <w:rFonts w:hint="eastAsia" w:ascii="宋体" w:hAnsi="宋体" w:eastAsia="宋体" w:cs="宋体"/>
                <w:b/>
                <w:bCs/>
                <w:color w:val="auto"/>
                <w:sz w:val="21"/>
                <w:szCs w:val="21"/>
                <w:highlight w:val="none"/>
                <w:u w:val="single"/>
              </w:rPr>
              <w:t>“第四章投标文件格式”一、</w:t>
            </w:r>
            <w:r>
              <w:rPr>
                <w:rFonts w:hint="eastAsia" w:ascii="宋体" w:hAnsi="宋体" w:eastAsia="宋体" w:cs="宋体"/>
                <w:b/>
                <w:bCs/>
                <w:color w:val="auto"/>
                <w:sz w:val="21"/>
                <w:szCs w:val="21"/>
                <w:highlight w:val="none"/>
                <w:u w:val="single"/>
                <w:lang w:val="en-US" w:eastAsia="zh-CN"/>
              </w:rPr>
              <w:t>技术标</w:t>
            </w:r>
            <w:r>
              <w:rPr>
                <w:rFonts w:hint="eastAsia" w:ascii="宋体" w:hAnsi="宋体" w:eastAsia="宋体" w:cs="宋体"/>
                <w:b/>
                <w:bCs/>
                <w:color w:val="auto"/>
                <w:sz w:val="21"/>
                <w:szCs w:val="21"/>
                <w:highlight w:val="none"/>
                <w:u w:val="single"/>
              </w:rPr>
              <w:t>投标文件格式的格式二、四、六</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七</w:t>
            </w:r>
            <w:r>
              <w:rPr>
                <w:rFonts w:hint="eastAsia" w:ascii="宋体" w:hAnsi="宋体" w:eastAsia="宋体" w:cs="宋体"/>
                <w:b/>
                <w:bCs/>
                <w:color w:val="auto"/>
                <w:sz w:val="21"/>
                <w:szCs w:val="21"/>
                <w:highlight w:val="none"/>
                <w:u w:val="single"/>
                <w:lang w:bidi="ar-SA"/>
              </w:rPr>
              <w:t>）</w:t>
            </w:r>
            <w:r>
              <w:rPr>
                <w:rFonts w:hint="eastAsia" w:ascii="宋体" w:hAnsi="宋体" w:eastAsia="宋体" w:cs="宋体"/>
                <w:color w:val="auto"/>
                <w:sz w:val="21"/>
                <w:szCs w:val="21"/>
                <w:highlight w:val="none"/>
                <w:lang w:bidi="ar-SA"/>
              </w:rPr>
              <w:t>填写，或主要内容不全，或关键字迹模糊、无法辨认的；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无《参与编制技术标投标文件人员名单》的。</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1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投标人与</w:t>
            </w:r>
            <w:r>
              <w:rPr>
                <w:rFonts w:hint="eastAsia" w:ascii="宋体" w:hAnsi="宋体" w:eastAsia="宋体" w:cs="宋体"/>
                <w:color w:val="auto"/>
                <w:szCs w:val="21"/>
                <w:highlight w:val="none"/>
                <w:u w:val="single"/>
              </w:rPr>
              <w:t>本项目</w:t>
            </w:r>
            <w:r>
              <w:rPr>
                <w:rFonts w:hint="eastAsia" w:ascii="宋体" w:hAnsi="宋体" w:eastAsia="宋体" w:cs="宋体"/>
                <w:color w:val="auto"/>
                <w:szCs w:val="21"/>
                <w:highlight w:val="none"/>
              </w:rPr>
              <w:t>其他投标人加密打包投标文件电脑机器特征码一致的(以</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交易平台评标系统的检索信息为准)。</w:t>
            </w: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3.凡出现以上任何一项情形，结论均为无效，否则就为有效。</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4.如对本表中某种情形的评审意见不一致时，以评标委员会过半数成员的意见作为评标委员会对该情形的认定结论。</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w:t>
      </w:r>
    </w:p>
    <w:p>
      <w:pPr>
        <w:ind w:firstLine="312"/>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bookmarkStart w:id="47" w:name="_Toc125032254"/>
      <w:r>
        <w:rPr>
          <w:rFonts w:hint="eastAsia" w:ascii="宋体" w:hAnsi="宋体" w:eastAsia="宋体" w:cs="宋体"/>
          <w:color w:val="auto"/>
          <w:szCs w:val="21"/>
          <w:highlight w:val="none"/>
        </w:rPr>
        <w:t>附表三</w:t>
      </w:r>
      <w:bookmarkEnd w:id="47"/>
    </w:p>
    <w:p>
      <w:pPr>
        <w:jc w:val="center"/>
        <w:outlineLvl w:val="2"/>
        <w:rPr>
          <w:rFonts w:hint="eastAsia" w:ascii="宋体" w:hAnsi="宋体" w:eastAsia="宋体" w:cs="宋体"/>
          <w:b/>
          <w:color w:val="auto"/>
          <w:sz w:val="36"/>
          <w:szCs w:val="36"/>
          <w:highlight w:val="none"/>
        </w:rPr>
      </w:pPr>
      <w:bookmarkStart w:id="48" w:name="OLE_LINK6"/>
      <w:bookmarkStart w:id="49" w:name="_Toc201658281"/>
      <w:r>
        <w:rPr>
          <w:rFonts w:hint="eastAsia" w:ascii="宋体" w:hAnsi="宋体" w:eastAsia="宋体" w:cs="宋体"/>
          <w:b/>
          <w:color w:val="auto"/>
          <w:sz w:val="32"/>
          <w:szCs w:val="32"/>
          <w:highlight w:val="none"/>
        </w:rPr>
        <w:t>经济标有效性审查</w:t>
      </w:r>
      <w:bookmarkEnd w:id="48"/>
      <w:r>
        <w:rPr>
          <w:rFonts w:hint="eastAsia" w:ascii="宋体" w:hAnsi="宋体" w:eastAsia="宋体" w:cs="宋体"/>
          <w:b/>
          <w:color w:val="auto"/>
          <w:sz w:val="32"/>
          <w:szCs w:val="32"/>
          <w:highlight w:val="none"/>
        </w:rPr>
        <w:t>表</w:t>
      </w:r>
      <w:bookmarkEnd w:id="49"/>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19"/>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822"/>
        <w:gridCol w:w="1276"/>
        <w:gridCol w:w="1276"/>
        <w:gridCol w:w="1276"/>
        <w:gridCol w:w="1276"/>
        <w:gridCol w:w="1276"/>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822"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对同一招标项目出现两个或以上的投标报价，且没有申明哪个有效。</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投标报价高于最高投标限价的</w:t>
            </w:r>
            <w:r>
              <w:rPr>
                <w:rFonts w:hint="eastAsia" w:ascii="宋体" w:hAnsi="宋体" w:eastAsia="宋体" w:cs="宋体"/>
                <w:color w:val="auto"/>
                <w:szCs w:val="21"/>
                <w:highlight w:val="none"/>
                <w:u w:val="single"/>
              </w:rPr>
              <w:t>（以最高投标限价公布函公布的各项控制数据为准）</w:t>
            </w:r>
            <w:r>
              <w:rPr>
                <w:rFonts w:hint="eastAsia" w:ascii="宋体" w:hAnsi="宋体" w:eastAsia="宋体" w:cs="宋体"/>
                <w:color w:val="auto"/>
                <w:szCs w:val="21"/>
                <w:highlight w:val="none"/>
              </w:rPr>
              <w:t>。</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2" w:leftChars="-1"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投标报价低于成本的。</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SA"/>
              </w:rPr>
              <w:t>投标文件未按规定的格式</w:t>
            </w:r>
            <w:r>
              <w:rPr>
                <w:rFonts w:hint="eastAsia" w:ascii="宋体" w:hAnsi="宋体" w:eastAsia="宋体" w:cs="宋体"/>
                <w:b/>
                <w:bCs/>
                <w:color w:val="auto"/>
                <w:sz w:val="21"/>
                <w:szCs w:val="21"/>
                <w:highlight w:val="none"/>
                <w:u w:val="single"/>
                <w:lang w:bidi="ar-SA"/>
              </w:rPr>
              <w:t>（指</w:t>
            </w:r>
            <w:r>
              <w:rPr>
                <w:rFonts w:hint="eastAsia" w:ascii="宋体" w:hAnsi="宋体" w:eastAsia="宋体" w:cs="宋体"/>
                <w:b/>
                <w:bCs/>
                <w:color w:val="auto"/>
                <w:sz w:val="21"/>
                <w:szCs w:val="21"/>
                <w:highlight w:val="none"/>
                <w:u w:val="single"/>
              </w:rPr>
              <w:t>“第四章投标文件格式”二、经济标投标文件格式的格式三、四</w:t>
            </w:r>
            <w:r>
              <w:rPr>
                <w:rFonts w:hint="eastAsia" w:ascii="宋体" w:hAnsi="宋体" w:eastAsia="宋体" w:cs="宋体"/>
                <w:b/>
                <w:bCs/>
                <w:color w:val="auto"/>
                <w:sz w:val="21"/>
                <w:szCs w:val="21"/>
                <w:highlight w:val="none"/>
                <w:u w:val="single"/>
                <w:lang w:bidi="ar-SA"/>
              </w:rPr>
              <w:t>）</w:t>
            </w:r>
            <w:r>
              <w:rPr>
                <w:rFonts w:hint="eastAsia" w:ascii="宋体" w:hAnsi="宋体" w:eastAsia="宋体" w:cs="宋体"/>
                <w:color w:val="auto"/>
                <w:sz w:val="21"/>
                <w:szCs w:val="21"/>
                <w:highlight w:val="none"/>
                <w:lang w:bidi="ar-SA"/>
              </w:rPr>
              <w:t>填写，或主要内容不全，或关键字迹模糊、无法辨认的；</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无《参与编制经济标投标文件人员名单》的。</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bookmarkStart w:id="50" w:name="OLE_LINK10"/>
            <w:r>
              <w:rPr>
                <w:rFonts w:hint="eastAsia" w:ascii="宋体" w:hAnsi="宋体" w:eastAsia="宋体" w:cs="宋体"/>
                <w:color w:val="auto"/>
                <w:szCs w:val="21"/>
                <w:highlight w:val="none"/>
              </w:rPr>
              <w:t>无《对投标文件编制的承诺》。</w:t>
            </w:r>
            <w:bookmarkEnd w:id="50"/>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投标人与本项目其他投标人的投标文件工程量清单编制机器硬件信息一致的（以广州交易集团有限公司（广州公共资源交易中心）交易平台评标系统的检索信息为准）。</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bl>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注：1.本表使用GZZB2018-3招标文件范本，与范本内容不同之处均以下划线标明。</w:t>
      </w:r>
    </w:p>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2.凡出现以上任何一项情形，结论均为无效，否则就为有效。</w:t>
      </w:r>
    </w:p>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3.如对本表中某种情形的评审意见不一致时，以评标委员会过半数成员的意见作为评标委员会对该情形的认定结论。</w:t>
      </w:r>
    </w:p>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210"/>
        <w:rPr>
          <w:rFonts w:hint="eastAsia" w:ascii="宋体" w:hAnsi="宋体" w:eastAsia="宋体" w:cs="宋体"/>
          <w:color w:val="auto"/>
          <w:highlight w:val="none"/>
        </w:rPr>
      </w:pPr>
      <w:r>
        <w:rPr>
          <w:rFonts w:hint="eastAsia" w:ascii="宋体" w:hAnsi="宋体" w:eastAsia="宋体" w:cs="宋体"/>
          <w:color w:val="auto"/>
          <w:highlight w:val="none"/>
        </w:rPr>
        <w:t>评委签名：</w:t>
      </w:r>
    </w:p>
    <w:p>
      <w:pPr>
        <w:widowControl/>
        <w:spacing w:beforeAutospacing="1" w:afterAutospacing="1"/>
        <w:jc w:val="left"/>
        <w:rPr>
          <w:rFonts w:hint="eastAsia" w:ascii="宋体" w:hAnsi="宋体" w:eastAsia="宋体" w:cs="宋体"/>
          <w:color w:val="auto"/>
          <w:szCs w:val="21"/>
          <w:highlight w:val="none"/>
        </w:rPr>
        <w:sectPr>
          <w:endnotePr>
            <w:numFmt w:val="decimal"/>
          </w:endnotePr>
          <w:pgSz w:w="16838" w:h="11906" w:orient="landscape"/>
          <w:pgMar w:top="1247" w:right="1247" w:bottom="1418" w:left="1134" w:header="851" w:footer="907" w:gutter="0"/>
          <w:pgBorders>
            <w:top w:val="none" w:sz="0" w:space="0"/>
            <w:left w:val="none" w:sz="0" w:space="0"/>
            <w:bottom w:val="none" w:sz="0" w:space="0"/>
            <w:right w:val="none" w:sz="0" w:space="0"/>
          </w:pgBorders>
          <w:cols w:space="720" w:num="1"/>
          <w:rtlGutter w:val="1"/>
          <w:docGrid w:type="lines" w:linePitch="312" w:charSpace="0"/>
        </w:sectPr>
      </w:pPr>
    </w:p>
    <w:p>
      <w:pPr>
        <w:rPr>
          <w:rFonts w:hint="eastAsia" w:ascii="宋体" w:hAnsi="宋体" w:eastAsia="宋体" w:cs="宋体"/>
          <w:color w:val="auto"/>
          <w:szCs w:val="21"/>
          <w:highlight w:val="none"/>
        </w:rPr>
      </w:pPr>
      <w:bookmarkStart w:id="51" w:name="_Toc125032255"/>
      <w:r>
        <w:rPr>
          <w:rFonts w:hint="eastAsia" w:ascii="宋体" w:hAnsi="宋体" w:eastAsia="宋体" w:cs="宋体"/>
          <w:color w:val="auto"/>
          <w:szCs w:val="21"/>
          <w:highlight w:val="none"/>
        </w:rPr>
        <w:t>附表四</w:t>
      </w:r>
    </w:p>
    <w:p>
      <w:pPr>
        <w:jc w:val="center"/>
        <w:outlineLvl w:val="2"/>
        <w:rPr>
          <w:rFonts w:hint="eastAsia" w:ascii="宋体" w:hAnsi="宋体" w:eastAsia="宋体" w:cs="宋体"/>
          <w:b/>
          <w:color w:val="auto"/>
          <w:sz w:val="32"/>
          <w:szCs w:val="32"/>
          <w:highlight w:val="none"/>
          <w:lang w:val="en-US" w:eastAsia="zh-CN"/>
        </w:rPr>
      </w:pPr>
      <w:bookmarkStart w:id="52" w:name="OLE_LINK7"/>
      <w:r>
        <w:rPr>
          <w:rFonts w:hint="eastAsia" w:ascii="宋体" w:hAnsi="宋体" w:eastAsia="宋体" w:cs="宋体"/>
          <w:b/>
          <w:color w:val="auto"/>
          <w:sz w:val="32"/>
          <w:szCs w:val="32"/>
          <w:highlight w:val="none"/>
          <w:lang w:val="en-US" w:eastAsia="zh-CN"/>
        </w:rPr>
        <w:t>技术标详细审查评分</w:t>
      </w:r>
      <w:bookmarkEnd w:id="52"/>
      <w:r>
        <w:rPr>
          <w:rFonts w:hint="eastAsia" w:ascii="宋体" w:hAnsi="宋体" w:eastAsia="宋体" w:cs="宋体"/>
          <w:b/>
          <w:color w:val="auto"/>
          <w:sz w:val="32"/>
          <w:szCs w:val="32"/>
          <w:highlight w:val="none"/>
          <w:lang w:val="en-US" w:eastAsia="zh-CN"/>
        </w:rPr>
        <w:t>表</w:t>
      </w:r>
    </w:p>
    <w:tbl>
      <w:tblPr>
        <w:tblStyle w:val="19"/>
        <w:tblW w:w="14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58"/>
        <w:gridCol w:w="1194"/>
        <w:gridCol w:w="1196"/>
        <w:gridCol w:w="567"/>
        <w:gridCol w:w="1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24" w:hRule="atLeast"/>
          <w:tblHeader/>
          <w:jc w:val="center"/>
        </w:trPr>
        <w:tc>
          <w:tcPr>
            <w:tcW w:w="658"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Style w:val="22"/>
                <w:rFonts w:hint="eastAsia" w:ascii="宋体" w:hAnsi="宋体" w:eastAsia="宋体" w:cs="宋体"/>
                <w:b w:val="0"/>
                <w:bCs w:val="0"/>
                <w:color w:val="auto"/>
                <w:sz w:val="21"/>
                <w:szCs w:val="21"/>
                <w:highlight w:val="none"/>
                <w:lang w:bidi="ar-SA"/>
              </w:rPr>
              <w:t>序号</w:t>
            </w:r>
          </w:p>
        </w:tc>
        <w:tc>
          <w:tcPr>
            <w:tcW w:w="1194"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Style w:val="22"/>
                <w:rFonts w:hint="eastAsia" w:ascii="宋体" w:hAnsi="宋体" w:eastAsia="宋体" w:cs="宋体"/>
                <w:b w:val="0"/>
                <w:bCs w:val="0"/>
                <w:color w:val="auto"/>
                <w:sz w:val="21"/>
                <w:szCs w:val="21"/>
                <w:highlight w:val="none"/>
                <w:lang w:bidi="ar-SA"/>
              </w:rPr>
              <w:t>评分项目</w:t>
            </w:r>
          </w:p>
        </w:tc>
        <w:tc>
          <w:tcPr>
            <w:tcW w:w="1196"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Style w:val="22"/>
                <w:rFonts w:hint="eastAsia" w:ascii="宋体" w:hAnsi="宋体" w:eastAsia="宋体" w:cs="宋体"/>
                <w:b w:val="0"/>
                <w:bCs w:val="0"/>
                <w:color w:val="auto"/>
                <w:sz w:val="21"/>
                <w:szCs w:val="21"/>
                <w:highlight w:val="none"/>
                <w:lang w:bidi="ar-SA"/>
              </w:rPr>
              <w:t>评分内容</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Style w:val="22"/>
                <w:rFonts w:hint="eastAsia" w:ascii="宋体" w:hAnsi="宋体" w:eastAsia="宋体" w:cs="宋体"/>
                <w:b w:val="0"/>
                <w:bCs w:val="0"/>
                <w:color w:val="auto"/>
                <w:sz w:val="21"/>
                <w:szCs w:val="21"/>
                <w:highlight w:val="none"/>
                <w:lang w:bidi="ar-SA"/>
              </w:rPr>
              <w:t>分值</w:t>
            </w:r>
          </w:p>
        </w:tc>
        <w:tc>
          <w:tcPr>
            <w:tcW w:w="11101"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Style w:val="22"/>
                <w:rFonts w:hint="eastAsia" w:ascii="宋体" w:hAnsi="宋体" w:eastAsia="宋体" w:cs="宋体"/>
                <w:b w:val="0"/>
                <w:bCs w:val="0"/>
                <w:color w:val="auto"/>
                <w:sz w:val="21"/>
                <w:szCs w:val="21"/>
                <w:highlight w:val="none"/>
                <w:lang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58" w:type="dxa"/>
            <w:vMerge w:val="restart"/>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Style w:val="22"/>
                <w:rFonts w:hint="eastAsia" w:ascii="宋体" w:hAnsi="宋体" w:eastAsia="宋体" w:cs="宋体"/>
                <w:b w:val="0"/>
                <w:bCs w:val="0"/>
                <w:color w:val="auto"/>
                <w:sz w:val="21"/>
                <w:szCs w:val="21"/>
                <w:highlight w:val="none"/>
                <w:lang w:bidi="ar-SA"/>
              </w:rPr>
              <w:t>一</w:t>
            </w:r>
          </w:p>
        </w:tc>
        <w:tc>
          <w:tcPr>
            <w:tcW w:w="1194" w:type="dxa"/>
            <w:vMerge w:val="restart"/>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Style w:val="22"/>
                <w:rFonts w:hint="eastAsia" w:ascii="宋体" w:hAnsi="宋体" w:eastAsia="宋体" w:cs="宋体"/>
                <w:b w:val="0"/>
                <w:bCs w:val="0"/>
                <w:color w:val="auto"/>
                <w:sz w:val="21"/>
                <w:szCs w:val="21"/>
                <w:highlight w:val="none"/>
                <w:lang w:bidi="ar-SA"/>
              </w:rPr>
              <w:t>企业资信（</w:t>
            </w:r>
            <w:r>
              <w:rPr>
                <w:rStyle w:val="22"/>
                <w:rFonts w:hint="eastAsia" w:ascii="宋体" w:hAnsi="宋体" w:eastAsia="宋体" w:cs="宋体"/>
                <w:b w:val="0"/>
                <w:bCs w:val="0"/>
                <w:color w:val="auto"/>
                <w:sz w:val="21"/>
                <w:szCs w:val="21"/>
                <w:highlight w:val="none"/>
                <w:lang w:val="en-US" w:eastAsia="zh-CN" w:bidi="ar-SA"/>
              </w:rPr>
              <w:t>30</w:t>
            </w:r>
            <w:r>
              <w:rPr>
                <w:rStyle w:val="22"/>
                <w:rFonts w:hint="eastAsia" w:ascii="宋体" w:hAnsi="宋体" w:eastAsia="宋体" w:cs="宋体"/>
                <w:b w:val="0"/>
                <w:bCs w:val="0"/>
                <w:color w:val="auto"/>
                <w:sz w:val="21"/>
                <w:szCs w:val="21"/>
                <w:highlight w:val="none"/>
                <w:lang w:bidi="ar-SA"/>
              </w:rPr>
              <w:t>分）</w:t>
            </w:r>
          </w:p>
        </w:tc>
        <w:tc>
          <w:tcPr>
            <w:tcW w:w="1196"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bidi="ar-SA"/>
              </w:rPr>
              <w:t>企业业绩</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val="en-US" w:eastAsia="zh-CN" w:bidi="ar-SA"/>
              </w:rPr>
              <w:t>10</w:t>
            </w:r>
            <w:r>
              <w:rPr>
                <w:rFonts w:hint="eastAsia" w:ascii="宋体" w:hAnsi="宋体" w:eastAsia="宋体" w:cs="宋体"/>
                <w:b w:val="0"/>
                <w:bCs w:val="0"/>
                <w:color w:val="auto"/>
                <w:sz w:val="21"/>
                <w:szCs w:val="21"/>
                <w:highlight w:val="none"/>
                <w:lang w:bidi="ar-SA"/>
              </w:rPr>
              <w:t>分</w:t>
            </w:r>
          </w:p>
        </w:tc>
        <w:tc>
          <w:tcPr>
            <w:tcW w:w="11101" w:type="dxa"/>
            <w:shd w:val="clear" w:color="auto" w:fill="FFFFFF"/>
            <w:noWrap w:val="0"/>
            <w:tcMar>
              <w:left w:w="108" w:type="dxa"/>
              <w:right w:w="108" w:type="dxa"/>
            </w:tcMar>
            <w:vAlign w:val="center"/>
          </w:tcPr>
          <w:p>
            <w:pPr>
              <w:pStyle w:val="17"/>
              <w:widowControl/>
              <w:spacing w:before="0" w:beforeAutospacing="0" w:after="0" w:afterAutospacing="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投标人自2022年1月1日至投标截止时间止，完成过质量合格的类似工程业绩：</w:t>
            </w:r>
          </w:p>
          <w:p>
            <w:pPr>
              <w:pStyle w:val="17"/>
              <w:widowControl/>
              <w:numPr>
                <w:ilvl w:val="0"/>
                <w:numId w:val="0"/>
              </w:numPr>
              <w:spacing w:before="0" w:beforeAutospacing="0" w:after="0" w:afterAutospacing="0"/>
              <w:ind w:left="0"/>
              <w:rPr>
                <w:rFonts w:hint="eastAsia" w:ascii="宋体" w:hAnsi="宋体" w:eastAsia="宋体" w:cs="宋体"/>
                <w:b w:val="0"/>
                <w:bCs w:val="0"/>
                <w:color w:val="auto"/>
                <w:sz w:val="21"/>
                <w:szCs w:val="21"/>
                <w:highlight w:val="none"/>
                <w:u w:val="none"/>
                <w:lang w:eastAsia="zh-CN" w:bidi="ar-SA"/>
              </w:rPr>
            </w:pPr>
            <w:r>
              <w:rPr>
                <w:rFonts w:hint="eastAsia" w:ascii="宋体" w:hAnsi="宋体" w:eastAsia="宋体" w:cs="宋体"/>
                <w:b w:val="0"/>
                <w:bCs w:val="0"/>
                <w:color w:val="auto"/>
                <w:sz w:val="21"/>
                <w:szCs w:val="21"/>
                <w:highlight w:val="none"/>
                <w:u w:val="none"/>
                <w:lang w:val="en-US" w:eastAsia="zh-CN" w:bidi="ar-SA"/>
              </w:rPr>
              <w:t>每提供一项得0.5分。</w:t>
            </w:r>
            <w:r>
              <w:rPr>
                <w:rFonts w:hint="eastAsia" w:ascii="宋体" w:hAnsi="宋体" w:eastAsia="宋体" w:cs="宋体"/>
                <w:b w:val="0"/>
                <w:bCs w:val="0"/>
                <w:color w:val="auto"/>
                <w:sz w:val="21"/>
                <w:szCs w:val="21"/>
                <w:highlight w:val="none"/>
                <w:u w:val="none"/>
                <w:lang w:bidi="ar-SA"/>
              </w:rPr>
              <w:t>注：不符合上述条件的不得分，本项最高得</w:t>
            </w:r>
            <w:r>
              <w:rPr>
                <w:rFonts w:hint="eastAsia" w:ascii="宋体" w:hAnsi="宋体" w:eastAsia="宋体" w:cs="宋体"/>
                <w:b w:val="0"/>
                <w:bCs w:val="0"/>
                <w:color w:val="auto"/>
                <w:sz w:val="21"/>
                <w:szCs w:val="21"/>
                <w:highlight w:val="none"/>
                <w:u w:val="none"/>
                <w:lang w:val="en-US" w:eastAsia="zh-CN" w:bidi="ar-SA"/>
              </w:rPr>
              <w:t>10</w:t>
            </w:r>
            <w:r>
              <w:rPr>
                <w:rFonts w:hint="eastAsia" w:ascii="宋体" w:hAnsi="宋体" w:eastAsia="宋体" w:cs="宋体"/>
                <w:b w:val="0"/>
                <w:bCs w:val="0"/>
                <w:color w:val="auto"/>
                <w:sz w:val="21"/>
                <w:szCs w:val="21"/>
                <w:highlight w:val="none"/>
                <w:u w:val="none"/>
                <w:lang w:bidi="ar-SA"/>
              </w:rPr>
              <w:t>分</w:t>
            </w:r>
            <w:r>
              <w:rPr>
                <w:rFonts w:hint="eastAsia" w:ascii="宋体" w:hAnsi="宋体" w:eastAsia="宋体" w:cs="宋体"/>
                <w:b w:val="0"/>
                <w:bCs w:val="0"/>
                <w:color w:val="auto"/>
                <w:sz w:val="21"/>
                <w:szCs w:val="21"/>
                <w:highlight w:val="none"/>
                <w:u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6"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bidi="ar-SA"/>
              </w:rPr>
              <w:t>企业获奖</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val="en-US" w:eastAsia="zh-CN" w:bidi="ar-SA"/>
              </w:rPr>
              <w:t>8</w:t>
            </w:r>
            <w:r>
              <w:rPr>
                <w:rFonts w:hint="eastAsia" w:ascii="宋体" w:hAnsi="宋体" w:eastAsia="宋体" w:cs="宋体"/>
                <w:b w:val="0"/>
                <w:bCs w:val="0"/>
                <w:color w:val="auto"/>
                <w:sz w:val="21"/>
                <w:szCs w:val="21"/>
                <w:highlight w:val="none"/>
                <w:lang w:bidi="ar-SA"/>
              </w:rPr>
              <w:t>分</w:t>
            </w:r>
          </w:p>
        </w:tc>
        <w:tc>
          <w:tcPr>
            <w:tcW w:w="11101" w:type="dxa"/>
            <w:shd w:val="clear" w:color="auto" w:fill="FFFFFF"/>
            <w:noWrap w:val="0"/>
            <w:tcMar>
              <w:left w:w="108" w:type="dxa"/>
              <w:right w:w="108" w:type="dxa"/>
            </w:tcMar>
            <w:vAlign w:val="center"/>
          </w:tcPr>
          <w:p>
            <w:pPr>
              <w:pStyle w:val="17"/>
              <w:widowControl/>
              <w:numPr>
                <w:ilvl w:val="0"/>
                <w:numId w:val="0"/>
              </w:numPr>
              <w:spacing w:before="0" w:beforeAutospacing="0" w:after="0" w:afterAutospacing="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投标人自2022年1月1日至投标截止时间止，获得过房建类工程质量奖项：</w:t>
            </w:r>
          </w:p>
          <w:p>
            <w:pPr>
              <w:pStyle w:val="17"/>
              <w:widowControl/>
              <w:numPr>
                <w:ilvl w:val="0"/>
                <w:numId w:val="2"/>
              </w:numPr>
              <w:spacing w:before="0" w:beforeAutospacing="0" w:after="0" w:afterAutospacing="0"/>
              <w:ind w:left="105"/>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获得过国家级工程质量奖的，每项得</w:t>
            </w:r>
            <w:r>
              <w:rPr>
                <w:rFonts w:hint="eastAsia" w:ascii="宋体" w:hAnsi="宋体" w:eastAsia="宋体"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分，最高得</w:t>
            </w:r>
            <w:r>
              <w:rPr>
                <w:rFonts w:hint="eastAsia" w:ascii="宋体" w:hAnsi="宋体" w:eastAsia="宋体" w:cs="宋体"/>
                <w:b w:val="0"/>
                <w:bCs w:val="0"/>
                <w:color w:val="auto"/>
                <w:sz w:val="21"/>
                <w:szCs w:val="21"/>
                <w:highlight w:val="none"/>
                <w:u w:val="none"/>
                <w:lang w:val="en-US" w:eastAsia="zh-CN" w:bidi="ar-SA"/>
              </w:rPr>
              <w:t>8</w:t>
            </w:r>
            <w:r>
              <w:rPr>
                <w:rFonts w:hint="eastAsia" w:ascii="宋体" w:hAnsi="宋体" w:eastAsia="宋体" w:cs="宋体"/>
                <w:b w:val="0"/>
                <w:bCs w:val="0"/>
                <w:color w:val="auto"/>
                <w:sz w:val="21"/>
                <w:szCs w:val="21"/>
                <w:highlight w:val="none"/>
                <w:u w:val="none"/>
                <w:lang w:bidi="ar-SA"/>
              </w:rPr>
              <w:t xml:space="preserve">分； </w:t>
            </w:r>
          </w:p>
          <w:p>
            <w:pPr>
              <w:pStyle w:val="17"/>
              <w:widowControl/>
              <w:numPr>
                <w:ilvl w:val="0"/>
                <w:numId w:val="2"/>
              </w:numPr>
              <w:spacing w:before="0" w:beforeAutospacing="0" w:after="0" w:afterAutospacing="0"/>
              <w:ind w:left="105"/>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获得过省级工程质量奖的，每项得</w:t>
            </w:r>
            <w:r>
              <w:rPr>
                <w:rFonts w:hint="eastAsia" w:ascii="宋体" w:hAnsi="宋体" w:eastAsia="宋体"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bidi="ar-SA"/>
              </w:rPr>
              <w:t>分，最高得</w:t>
            </w:r>
            <w:r>
              <w:rPr>
                <w:rFonts w:hint="eastAsia" w:ascii="宋体" w:hAnsi="宋体" w:eastAsia="宋体" w:cs="宋体"/>
                <w:b w:val="0"/>
                <w:bCs w:val="0"/>
                <w:color w:val="auto"/>
                <w:sz w:val="21"/>
                <w:szCs w:val="21"/>
                <w:highlight w:val="none"/>
                <w:u w:val="none"/>
                <w:lang w:val="en-US" w:eastAsia="zh-CN" w:bidi="ar-SA"/>
              </w:rPr>
              <w:t>8</w:t>
            </w:r>
            <w:r>
              <w:rPr>
                <w:rFonts w:hint="eastAsia" w:ascii="宋体" w:hAnsi="宋体" w:eastAsia="宋体" w:cs="宋体"/>
                <w:b w:val="0"/>
                <w:bCs w:val="0"/>
                <w:color w:val="auto"/>
                <w:sz w:val="21"/>
                <w:szCs w:val="21"/>
                <w:highlight w:val="none"/>
                <w:u w:val="none"/>
                <w:lang w:bidi="ar-SA"/>
              </w:rPr>
              <w:t xml:space="preserve">分； </w:t>
            </w:r>
          </w:p>
          <w:p>
            <w:pPr>
              <w:pStyle w:val="17"/>
              <w:widowControl/>
              <w:numPr>
                <w:ilvl w:val="0"/>
                <w:numId w:val="2"/>
              </w:numPr>
              <w:spacing w:before="0" w:beforeAutospacing="0" w:after="0" w:afterAutospacing="0"/>
              <w:ind w:left="105"/>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获得过市级工程质量奖的，每项得</w:t>
            </w:r>
            <w:r>
              <w:rPr>
                <w:rFonts w:hint="eastAsia" w:ascii="宋体" w:hAnsi="宋体" w:eastAsia="宋体" w:cs="宋体"/>
                <w:b w:val="0"/>
                <w:bCs w:val="0"/>
                <w:color w:val="auto"/>
                <w:sz w:val="21"/>
                <w:szCs w:val="21"/>
                <w:highlight w:val="none"/>
                <w:u w:val="none"/>
                <w:lang w:val="en-US" w:eastAsia="zh-CN" w:bidi="ar-SA"/>
              </w:rPr>
              <w:t>0.5</w:t>
            </w:r>
            <w:r>
              <w:rPr>
                <w:rFonts w:hint="eastAsia" w:ascii="宋体" w:hAnsi="宋体" w:eastAsia="宋体" w:cs="宋体"/>
                <w:b w:val="0"/>
                <w:bCs w:val="0"/>
                <w:color w:val="auto"/>
                <w:sz w:val="21"/>
                <w:szCs w:val="21"/>
                <w:highlight w:val="none"/>
                <w:u w:val="none"/>
                <w:lang w:bidi="ar-SA"/>
              </w:rPr>
              <w:t>分，最高得</w:t>
            </w:r>
            <w:r>
              <w:rPr>
                <w:rFonts w:hint="eastAsia" w:ascii="宋体" w:hAnsi="宋体" w:eastAsia="宋体" w:cs="宋体"/>
                <w:b w:val="0"/>
                <w:bCs w:val="0"/>
                <w:color w:val="auto"/>
                <w:sz w:val="21"/>
                <w:szCs w:val="21"/>
                <w:highlight w:val="none"/>
                <w:u w:val="none"/>
                <w:lang w:val="en-US" w:eastAsia="zh-CN" w:bidi="ar-SA"/>
              </w:rPr>
              <w:t>8</w:t>
            </w:r>
            <w:r>
              <w:rPr>
                <w:rFonts w:hint="eastAsia" w:ascii="宋体" w:hAnsi="宋体" w:eastAsia="宋体" w:cs="宋体"/>
                <w:b w:val="0"/>
                <w:bCs w:val="0"/>
                <w:color w:val="auto"/>
                <w:sz w:val="21"/>
                <w:szCs w:val="21"/>
                <w:highlight w:val="none"/>
                <w:u w:val="none"/>
                <w:lang w:bidi="ar-SA"/>
              </w:rPr>
              <w:t xml:space="preserve">分。 </w:t>
            </w:r>
          </w:p>
          <w:p>
            <w:pPr>
              <w:pStyle w:val="17"/>
              <w:widowControl/>
              <w:numPr>
                <w:ilvl w:val="0"/>
                <w:numId w:val="0"/>
              </w:numPr>
              <w:spacing w:before="0" w:beforeAutospacing="0" w:after="0" w:afterAutospacing="0"/>
              <w:ind w:left="105"/>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不符合上述条件的不得分，本项最高得</w:t>
            </w:r>
            <w:r>
              <w:rPr>
                <w:rFonts w:hint="eastAsia" w:ascii="宋体" w:hAnsi="宋体" w:eastAsia="宋体" w:cs="宋体"/>
                <w:b w:val="0"/>
                <w:bCs w:val="0"/>
                <w:color w:val="auto"/>
                <w:sz w:val="21"/>
                <w:szCs w:val="21"/>
                <w:highlight w:val="none"/>
                <w:u w:val="none"/>
                <w:lang w:val="en-US" w:eastAsia="zh-CN" w:bidi="ar-SA"/>
              </w:rPr>
              <w:t>8</w:t>
            </w:r>
            <w:r>
              <w:rPr>
                <w:rFonts w:hint="eastAsia" w:ascii="宋体" w:hAnsi="宋体" w:eastAsia="宋体" w:cs="宋体"/>
                <w:b w:val="0"/>
                <w:bCs w:val="0"/>
                <w:color w:val="auto"/>
                <w:sz w:val="21"/>
                <w:szCs w:val="21"/>
                <w:highlight w:val="none"/>
                <w:u w:val="none"/>
                <w:lang w:bidi="ar-SA"/>
              </w:rPr>
              <w:t>分。对同一工程项目按最高奖项计取一次，不累计计算。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628"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6" w:type="dxa"/>
            <w:shd w:val="clear" w:color="auto" w:fill="FFFFFF"/>
            <w:noWrap w:val="0"/>
            <w:tcMar>
              <w:left w:w="108" w:type="dxa"/>
              <w:right w:w="108" w:type="dxa"/>
            </w:tcMar>
            <w:vAlign w:val="center"/>
          </w:tcPr>
          <w:p>
            <w:pPr>
              <w:pStyle w:val="17"/>
              <w:widowControl/>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bidi="ar-SA"/>
              </w:rPr>
              <w:t>第三方评价</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w:t>
            </w:r>
            <w:r>
              <w:rPr>
                <w:rFonts w:hint="eastAsia" w:ascii="宋体" w:hAnsi="宋体" w:eastAsia="宋体" w:cs="宋体"/>
                <w:b w:val="0"/>
                <w:bCs w:val="0"/>
                <w:color w:val="auto"/>
                <w:sz w:val="21"/>
                <w:szCs w:val="21"/>
                <w:highlight w:val="none"/>
                <w:lang w:bidi="ar-SA"/>
              </w:rPr>
              <w:t>分</w:t>
            </w:r>
          </w:p>
        </w:tc>
        <w:tc>
          <w:tcPr>
            <w:tcW w:w="11101" w:type="dxa"/>
            <w:shd w:val="clear" w:color="auto" w:fill="FFFFFF"/>
            <w:noWrap w:val="0"/>
            <w:tcMar>
              <w:left w:w="108" w:type="dxa"/>
              <w:right w:w="108" w:type="dxa"/>
            </w:tcMar>
            <w:vAlign w:val="center"/>
          </w:tcPr>
          <w:p>
            <w:pPr>
              <w:pStyle w:val="17"/>
              <w:widowControl/>
              <w:spacing w:before="0" w:beforeAutospacing="0" w:after="0" w:afterAutospacing="0"/>
              <w:ind w:right="0"/>
              <w:rPr>
                <w:rFonts w:hint="eastAsia" w:ascii="宋体" w:hAnsi="宋体" w:eastAsia="宋体" w:cs="宋体"/>
                <w:b w:val="0"/>
                <w:bCs w:val="0"/>
                <w:color w:val="auto"/>
                <w:sz w:val="21"/>
                <w:szCs w:val="21"/>
                <w:highlight w:val="none"/>
                <w:u w:val="none"/>
                <w:lang w:bidi="ar-SA"/>
              </w:rPr>
            </w:pPr>
            <w:r>
              <w:rPr>
                <w:rFonts w:hint="eastAsia"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bidi="ar-SA"/>
              </w:rPr>
              <w:t>投标人自2022年1月1日至投标截止时间止，获得过省级或以上建筑工程类科技创新</w:t>
            </w:r>
            <w:r>
              <w:rPr>
                <w:rFonts w:hint="eastAsia" w:ascii="宋体" w:hAnsi="宋体" w:eastAsia="宋体" w:cs="宋体"/>
                <w:b w:val="0"/>
                <w:bCs w:val="0"/>
                <w:color w:val="auto"/>
                <w:sz w:val="21"/>
                <w:szCs w:val="21"/>
                <w:highlight w:val="none"/>
                <w:u w:val="none"/>
                <w:lang w:val="en-US" w:eastAsia="zh-CN" w:bidi="ar-SA"/>
              </w:rPr>
              <w:t>先进</w:t>
            </w:r>
            <w:r>
              <w:rPr>
                <w:rFonts w:hint="eastAsia" w:ascii="宋体" w:hAnsi="宋体" w:eastAsia="宋体" w:cs="宋体"/>
                <w:b w:val="0"/>
                <w:bCs w:val="0"/>
                <w:color w:val="auto"/>
                <w:sz w:val="21"/>
                <w:szCs w:val="21"/>
                <w:highlight w:val="none"/>
                <w:u w:val="none"/>
                <w:lang w:bidi="ar-SA"/>
              </w:rPr>
              <w:t>企业</w:t>
            </w:r>
            <w:r>
              <w:rPr>
                <w:rFonts w:hint="eastAsia" w:ascii="宋体" w:hAnsi="宋体" w:eastAsia="宋体" w:cs="宋体"/>
                <w:b w:val="0"/>
                <w:bCs w:val="0"/>
                <w:color w:val="auto"/>
                <w:sz w:val="21"/>
                <w:szCs w:val="21"/>
                <w:highlight w:val="none"/>
                <w:u w:val="none"/>
                <w:lang w:val="en-US" w:eastAsia="zh-CN" w:bidi="ar-SA"/>
              </w:rPr>
              <w:t>类证书</w:t>
            </w:r>
            <w:r>
              <w:rPr>
                <w:rFonts w:hint="eastAsia" w:ascii="宋体" w:hAnsi="宋体" w:eastAsia="宋体" w:cs="宋体"/>
                <w:b w:val="0"/>
                <w:bCs w:val="0"/>
                <w:color w:val="auto"/>
                <w:sz w:val="21"/>
                <w:szCs w:val="21"/>
                <w:highlight w:val="none"/>
                <w:u w:val="none"/>
                <w:lang w:bidi="ar-SA"/>
              </w:rPr>
              <w:t>的，每获得一次得</w:t>
            </w:r>
            <w:r>
              <w:rPr>
                <w:rFonts w:hint="eastAsia" w:ascii="宋体" w:hAnsi="宋体" w:eastAsia="宋体"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分，最高得</w:t>
            </w:r>
            <w:r>
              <w:rPr>
                <w:rFonts w:hint="eastAsia" w:ascii="宋体" w:hAnsi="宋体" w:eastAsia="宋体" w:cs="宋体"/>
                <w:b w:val="0"/>
                <w:bCs w:val="0"/>
                <w:color w:val="auto"/>
                <w:sz w:val="21"/>
                <w:szCs w:val="21"/>
                <w:highlight w:val="none"/>
                <w:u w:val="none"/>
                <w:lang w:val="en-US" w:eastAsia="zh-CN" w:bidi="ar-SA"/>
              </w:rPr>
              <w:t>4</w:t>
            </w:r>
            <w:r>
              <w:rPr>
                <w:rFonts w:hint="eastAsia" w:ascii="宋体" w:hAnsi="宋体" w:eastAsia="宋体" w:cs="宋体"/>
                <w:b w:val="0"/>
                <w:bCs w:val="0"/>
                <w:color w:val="auto"/>
                <w:sz w:val="21"/>
                <w:szCs w:val="21"/>
                <w:highlight w:val="none"/>
                <w:u w:val="none"/>
                <w:lang w:bidi="ar-SA"/>
              </w:rPr>
              <w:t>分。</w:t>
            </w:r>
          </w:p>
          <w:p>
            <w:pPr>
              <w:pStyle w:val="17"/>
              <w:widowControl/>
              <w:spacing w:before="0" w:beforeAutospacing="0" w:after="0" w:afterAutospacing="0"/>
              <w:ind w:left="0" w:leftChars="0" w:right="0" w:rightChars="0"/>
              <w:rPr>
                <w:rFonts w:hint="eastAsia" w:ascii="宋体" w:hAnsi="宋体" w:eastAsia="宋体" w:cs="宋体"/>
                <w:b w:val="0"/>
                <w:bCs w:val="0"/>
                <w:color w:val="auto"/>
                <w:sz w:val="21"/>
                <w:szCs w:val="21"/>
                <w:highlight w:val="none"/>
                <w:u w:val="none"/>
                <w:lang w:eastAsia="zh-CN" w:bidi="ar-SA"/>
              </w:rPr>
            </w:pPr>
            <w:r>
              <w:rPr>
                <w:rFonts w:hint="eastAsia" w:ascii="宋体" w:hAnsi="宋体" w:eastAsia="宋体" w:cs="宋体"/>
                <w:b w:val="0"/>
                <w:bCs w:val="0"/>
                <w:color w:val="auto"/>
                <w:sz w:val="21"/>
                <w:szCs w:val="21"/>
                <w:highlight w:val="none"/>
                <w:u w:val="none"/>
                <w:lang w:bidi="ar-SA"/>
              </w:rPr>
              <w:t xml:space="preserve"> 注：不符合上述条件的不得分，本</w:t>
            </w:r>
            <w:r>
              <w:rPr>
                <w:rFonts w:hint="eastAsia" w:ascii="宋体" w:hAnsi="宋体" w:eastAsia="宋体" w:cs="宋体"/>
                <w:b w:val="0"/>
                <w:bCs w:val="0"/>
                <w:color w:val="auto"/>
                <w:sz w:val="21"/>
                <w:szCs w:val="21"/>
                <w:highlight w:val="none"/>
                <w:u w:val="none"/>
                <w:lang w:val="en-US" w:eastAsia="zh-CN" w:bidi="ar-SA"/>
              </w:rPr>
              <w:t>小</w:t>
            </w:r>
            <w:r>
              <w:rPr>
                <w:rFonts w:hint="eastAsia" w:ascii="宋体" w:hAnsi="宋体" w:eastAsia="宋体" w:cs="宋体"/>
                <w:b w:val="0"/>
                <w:bCs w:val="0"/>
                <w:color w:val="auto"/>
                <w:sz w:val="21"/>
                <w:szCs w:val="21"/>
                <w:highlight w:val="none"/>
                <w:u w:val="none"/>
                <w:lang w:bidi="ar-SA"/>
              </w:rPr>
              <w:t>项最高得</w:t>
            </w:r>
            <w:r>
              <w:rPr>
                <w:rFonts w:hint="eastAsia" w:ascii="宋体" w:hAnsi="宋体" w:eastAsia="宋体" w:cs="宋体"/>
                <w:b w:val="0"/>
                <w:bCs w:val="0"/>
                <w:color w:val="auto"/>
                <w:sz w:val="21"/>
                <w:szCs w:val="21"/>
                <w:highlight w:val="none"/>
                <w:u w:val="none"/>
                <w:lang w:val="en-US" w:eastAsia="zh-CN" w:bidi="ar-SA"/>
              </w:rPr>
              <w:t>4</w:t>
            </w:r>
            <w:r>
              <w:rPr>
                <w:rFonts w:hint="eastAsia" w:ascii="宋体" w:hAnsi="宋体" w:eastAsia="宋体" w:cs="宋体"/>
                <w:b w:val="0"/>
                <w:bCs w:val="0"/>
                <w:color w:val="auto"/>
                <w:sz w:val="21"/>
                <w:szCs w:val="21"/>
                <w:highlight w:val="none"/>
                <w:u w:val="none"/>
                <w:lang w:bidi="ar-SA"/>
              </w:rPr>
              <w:t>分</w:t>
            </w:r>
            <w:r>
              <w:rPr>
                <w:rFonts w:hint="eastAsia" w:ascii="宋体" w:hAnsi="宋体" w:eastAsia="宋体" w:cs="宋体"/>
                <w:b w:val="0"/>
                <w:bCs w:val="0"/>
                <w:color w:val="auto"/>
                <w:sz w:val="21"/>
                <w:szCs w:val="21"/>
                <w:highlight w:val="none"/>
                <w:u w:val="none"/>
                <w:lang w:eastAsia="zh-CN" w:bidi="ar-SA"/>
              </w:rPr>
              <w:t>。</w:t>
            </w:r>
          </w:p>
          <w:p>
            <w:pPr>
              <w:pStyle w:val="17"/>
              <w:widowControl/>
              <w:spacing w:before="0" w:beforeAutospacing="0" w:after="0" w:afterAutospacing="0"/>
              <w:ind w:left="0" w:leftChars="0" w:right="0" w:rightChars="0"/>
              <w:rPr>
                <w:rFonts w:hint="eastAsia" w:ascii="宋体" w:hAnsi="宋体" w:eastAsia="宋体" w:cs="宋体"/>
                <w:b w:val="0"/>
                <w:bCs w:val="0"/>
                <w:color w:val="auto"/>
                <w:sz w:val="21"/>
                <w:szCs w:val="21"/>
                <w:highlight w:val="none"/>
                <w:u w:val="none"/>
                <w:lang w:eastAsia="zh-CN" w:bidi="ar-SA"/>
              </w:rPr>
            </w:pPr>
            <w:r>
              <w:rPr>
                <w:rFonts w:hint="eastAsia"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投标人具有有效的质量管理体系认证</w:t>
            </w:r>
            <w:r>
              <w:rPr>
                <w:rFonts w:hint="eastAsia" w:ascii="宋体" w:hAnsi="宋体" w:eastAsia="宋体" w:cs="宋体"/>
                <w:b w:val="0"/>
                <w:bCs w:val="0"/>
                <w:color w:val="auto"/>
                <w:sz w:val="21"/>
                <w:szCs w:val="21"/>
                <w:highlight w:val="none"/>
                <w:u w:val="none"/>
                <w:lang w:eastAsia="zh-CN" w:bidi="ar-SA"/>
              </w:rPr>
              <w:t>、</w:t>
            </w:r>
            <w:r>
              <w:rPr>
                <w:rFonts w:hint="eastAsia" w:ascii="宋体" w:hAnsi="宋体" w:eastAsia="宋体" w:cs="宋体"/>
                <w:b w:val="0"/>
                <w:bCs w:val="0"/>
                <w:color w:val="auto"/>
                <w:sz w:val="21"/>
                <w:szCs w:val="21"/>
                <w:highlight w:val="none"/>
                <w:u w:val="none"/>
                <w:lang w:bidi="ar-SA"/>
              </w:rPr>
              <w:t>企业社会责任管理体系认证、环境管理体系认证、职业健康安全管理体系认证</w:t>
            </w:r>
            <w:r>
              <w:rPr>
                <w:rFonts w:hint="eastAsia" w:ascii="宋体" w:hAnsi="宋体" w:eastAsia="宋体" w:cs="宋体"/>
                <w:b w:val="0"/>
                <w:bCs w:val="0"/>
                <w:color w:val="auto"/>
                <w:sz w:val="21"/>
                <w:szCs w:val="21"/>
                <w:highlight w:val="none"/>
                <w:u w:val="none"/>
                <w:lang w:val="en-US" w:eastAsia="zh-CN" w:bidi="ar-SA"/>
              </w:rPr>
              <w:t>证书</w:t>
            </w:r>
            <w:r>
              <w:rPr>
                <w:rFonts w:hint="eastAsia" w:ascii="宋体" w:hAnsi="宋体" w:eastAsia="宋体" w:cs="宋体"/>
                <w:b w:val="0"/>
                <w:bCs w:val="0"/>
                <w:color w:val="auto"/>
                <w:sz w:val="21"/>
                <w:szCs w:val="21"/>
                <w:highlight w:val="none"/>
                <w:u w:val="none"/>
                <w:lang w:bidi="ar-SA"/>
              </w:rPr>
              <w:t>且在有效期内，同时具有上述体系认证的，得</w:t>
            </w:r>
            <w:r>
              <w:rPr>
                <w:rFonts w:hint="eastAsia" w:ascii="宋体" w:hAnsi="宋体" w:eastAsia="宋体"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分；上述体系认证中缺少一项，</w:t>
            </w:r>
            <w:r>
              <w:rPr>
                <w:rFonts w:hint="eastAsia" w:ascii="宋体" w:hAnsi="宋体" w:eastAsia="宋体" w:cs="宋体"/>
                <w:b w:val="0"/>
                <w:bCs w:val="0"/>
                <w:color w:val="auto"/>
                <w:sz w:val="21"/>
                <w:szCs w:val="21"/>
                <w:highlight w:val="none"/>
                <w:u w:val="none"/>
                <w:lang w:val="en-US" w:eastAsia="zh-CN" w:bidi="ar-SA"/>
              </w:rPr>
              <w:t>扣0.5</w:t>
            </w:r>
            <w:r>
              <w:rPr>
                <w:rFonts w:hint="eastAsia" w:ascii="宋体" w:hAnsi="宋体" w:eastAsia="宋体" w:cs="宋体"/>
                <w:b w:val="0"/>
                <w:bCs w:val="0"/>
                <w:color w:val="auto"/>
                <w:sz w:val="21"/>
                <w:szCs w:val="21"/>
                <w:highlight w:val="none"/>
                <w:u w:val="none"/>
                <w:lang w:bidi="ar-SA"/>
              </w:rPr>
              <w:t>分；其余情况不得分，本小项最高得</w:t>
            </w:r>
            <w:r>
              <w:rPr>
                <w:rFonts w:hint="eastAsia" w:ascii="宋体" w:hAnsi="宋体" w:eastAsia="宋体"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092"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6"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bidi="ar-SA"/>
              </w:rPr>
              <w:t>工程研发能力</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6分</w:t>
            </w:r>
          </w:p>
        </w:tc>
        <w:tc>
          <w:tcPr>
            <w:tcW w:w="11101" w:type="dxa"/>
            <w:shd w:val="clear" w:color="auto" w:fill="FFFFFF"/>
            <w:noWrap w:val="0"/>
            <w:tcMar>
              <w:left w:w="108" w:type="dxa"/>
              <w:right w:w="108" w:type="dxa"/>
            </w:tcMar>
            <w:vAlign w:val="center"/>
          </w:tcPr>
          <w:p>
            <w:pPr>
              <w:pStyle w:val="17"/>
              <w:widowControl/>
              <w:spacing w:before="0" w:beforeAutospacing="0" w:after="0" w:afterAutospacing="0"/>
              <w:ind w:right="0"/>
              <w:rPr>
                <w:rFonts w:hint="eastAsia" w:ascii="宋体" w:hAnsi="宋体" w:eastAsia="宋体" w:cs="宋体"/>
                <w:b w:val="0"/>
                <w:bCs w:val="0"/>
                <w:color w:val="auto"/>
                <w:sz w:val="21"/>
                <w:szCs w:val="21"/>
                <w:highlight w:val="none"/>
                <w:u w:val="none"/>
                <w:lang w:bidi="ar-SA"/>
              </w:rPr>
            </w:pPr>
            <w:r>
              <w:rPr>
                <w:rFonts w:hint="eastAsia"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bidi="ar-SA"/>
              </w:rPr>
              <w:t>投标人自2022年1月1日至投标截止时间止，获得过</w:t>
            </w:r>
            <w:r>
              <w:rPr>
                <w:rFonts w:hint="eastAsia" w:ascii="宋体" w:hAnsi="宋体" w:eastAsia="宋体" w:cs="宋体"/>
                <w:b w:val="0"/>
                <w:bCs w:val="0"/>
                <w:color w:val="auto"/>
                <w:sz w:val="21"/>
                <w:szCs w:val="21"/>
                <w:highlight w:val="none"/>
                <w:u w:val="none"/>
                <w:lang w:val="en-US" w:eastAsia="zh-CN" w:bidi="ar-SA"/>
              </w:rPr>
              <w:t>建筑工程类</w:t>
            </w:r>
            <w:r>
              <w:rPr>
                <w:rFonts w:hint="eastAsia" w:ascii="宋体" w:hAnsi="宋体" w:eastAsia="宋体" w:cs="宋体"/>
                <w:b w:val="0"/>
                <w:bCs w:val="0"/>
                <w:color w:val="auto"/>
                <w:sz w:val="21"/>
                <w:szCs w:val="21"/>
                <w:highlight w:val="none"/>
                <w:u w:val="none"/>
                <w:lang w:bidi="ar-SA"/>
              </w:rPr>
              <w:t>科学技术进步奖</w:t>
            </w:r>
            <w:r>
              <w:rPr>
                <w:rFonts w:hint="eastAsia" w:ascii="宋体" w:hAnsi="宋体" w:eastAsia="宋体" w:cs="宋体"/>
                <w:b w:val="0"/>
                <w:bCs w:val="0"/>
                <w:color w:val="auto"/>
                <w:sz w:val="21"/>
                <w:szCs w:val="21"/>
                <w:highlight w:val="none"/>
                <w:u w:val="none"/>
                <w:lang w:val="en-US" w:eastAsia="zh-CN" w:bidi="ar-SA"/>
              </w:rPr>
              <w:t>或科学技术奖</w:t>
            </w:r>
            <w:r>
              <w:rPr>
                <w:rFonts w:hint="eastAsia" w:ascii="宋体" w:hAnsi="宋体" w:eastAsia="宋体" w:cs="宋体"/>
                <w:b w:val="0"/>
                <w:bCs w:val="0"/>
                <w:color w:val="auto"/>
                <w:sz w:val="21"/>
                <w:szCs w:val="21"/>
                <w:highlight w:val="none"/>
                <w:u w:val="none"/>
                <w:lang w:bidi="ar-SA"/>
              </w:rPr>
              <w:t xml:space="preserve">： </w:t>
            </w:r>
          </w:p>
          <w:p>
            <w:pPr>
              <w:pStyle w:val="17"/>
              <w:widowControl/>
              <w:numPr>
                <w:ilvl w:val="0"/>
                <w:numId w:val="0"/>
              </w:numPr>
              <w:spacing w:before="0" w:beforeAutospacing="0" w:after="0" w:afterAutospacing="0"/>
              <w:ind w:right="0" w:rightChars="0"/>
              <w:rPr>
                <w:rFonts w:hint="eastAsia" w:ascii="宋体" w:hAnsi="宋体" w:eastAsia="宋体" w:cs="宋体"/>
                <w:b w:val="0"/>
                <w:bCs w:val="0"/>
                <w:color w:val="auto"/>
                <w:sz w:val="21"/>
                <w:szCs w:val="21"/>
                <w:highlight w:val="none"/>
                <w:u w:val="none"/>
                <w:lang w:bidi="ar-SA"/>
              </w:rPr>
            </w:pPr>
            <w:r>
              <w:rPr>
                <w:rFonts w:hint="eastAsia" w:cs="宋体"/>
                <w:b w:val="0"/>
                <w:bCs w:val="0"/>
                <w:color w:val="auto"/>
                <w:sz w:val="21"/>
                <w:szCs w:val="21"/>
                <w:highlight w:val="none"/>
                <w:u w:val="none"/>
                <w:lang w:val="en-US" w:eastAsia="zh-CN" w:bidi="ar-SA"/>
              </w:rPr>
              <w:t>①</w:t>
            </w:r>
            <w:r>
              <w:rPr>
                <w:rFonts w:hint="eastAsia" w:ascii="宋体" w:hAnsi="宋体" w:eastAsia="宋体" w:cs="宋体"/>
                <w:b w:val="0"/>
                <w:bCs w:val="0"/>
                <w:color w:val="auto"/>
                <w:sz w:val="21"/>
                <w:szCs w:val="21"/>
                <w:highlight w:val="none"/>
                <w:u w:val="none"/>
                <w:lang w:bidi="ar-SA"/>
              </w:rPr>
              <w:t>获得过国家级的，每项得</w:t>
            </w:r>
            <w:r>
              <w:rPr>
                <w:rFonts w:hint="eastAsia" w:ascii="宋体" w:hAnsi="宋体" w:eastAsia="宋体" w:cs="宋体"/>
                <w:b w:val="0"/>
                <w:bCs w:val="0"/>
                <w:color w:val="auto"/>
                <w:sz w:val="21"/>
                <w:szCs w:val="21"/>
                <w:highlight w:val="none"/>
                <w:u w:val="none"/>
                <w:lang w:val="en-US" w:eastAsia="zh-CN" w:bidi="ar-SA"/>
              </w:rPr>
              <w:t>1.5</w:t>
            </w:r>
            <w:r>
              <w:rPr>
                <w:rFonts w:hint="eastAsia" w:ascii="宋体" w:hAnsi="宋体" w:eastAsia="宋体" w:cs="宋体"/>
                <w:b w:val="0"/>
                <w:bCs w:val="0"/>
                <w:color w:val="auto"/>
                <w:sz w:val="21"/>
                <w:szCs w:val="21"/>
                <w:highlight w:val="none"/>
                <w:u w:val="none"/>
                <w:lang w:bidi="ar-SA"/>
              </w:rPr>
              <w:t>分，最高得</w:t>
            </w:r>
            <w:r>
              <w:rPr>
                <w:rFonts w:hint="eastAsia" w:ascii="宋体" w:hAnsi="宋体" w:eastAsia="宋体" w:cs="宋体"/>
                <w:b w:val="0"/>
                <w:bCs w:val="0"/>
                <w:color w:val="auto"/>
                <w:sz w:val="21"/>
                <w:szCs w:val="21"/>
                <w:highlight w:val="none"/>
                <w:u w:val="none"/>
                <w:lang w:val="en-US" w:eastAsia="zh-CN" w:bidi="ar-SA"/>
              </w:rPr>
              <w:t>3</w:t>
            </w:r>
            <w:r>
              <w:rPr>
                <w:rFonts w:hint="eastAsia" w:ascii="宋体" w:hAnsi="宋体" w:eastAsia="宋体" w:cs="宋体"/>
                <w:b w:val="0"/>
                <w:bCs w:val="0"/>
                <w:color w:val="auto"/>
                <w:sz w:val="21"/>
                <w:szCs w:val="21"/>
                <w:highlight w:val="none"/>
                <w:u w:val="none"/>
                <w:lang w:bidi="ar-SA"/>
              </w:rPr>
              <w:t>分</w:t>
            </w:r>
            <w:r>
              <w:rPr>
                <w:rFonts w:hint="eastAsia" w:ascii="宋体" w:hAnsi="宋体" w:eastAsia="宋体" w:cs="宋体"/>
                <w:b w:val="0"/>
                <w:bCs w:val="0"/>
                <w:color w:val="auto"/>
                <w:sz w:val="21"/>
                <w:szCs w:val="21"/>
                <w:highlight w:val="none"/>
                <w:u w:val="none"/>
                <w:lang w:eastAsia="zh-CN" w:bidi="ar-SA"/>
              </w:rPr>
              <w:t>。</w:t>
            </w:r>
          </w:p>
          <w:p>
            <w:pPr>
              <w:pStyle w:val="17"/>
              <w:widowControl/>
              <w:numPr>
                <w:ilvl w:val="0"/>
                <w:numId w:val="0"/>
              </w:numPr>
              <w:spacing w:before="0" w:beforeAutospacing="0" w:after="0" w:afterAutospacing="0"/>
              <w:ind w:right="0" w:rightChars="0"/>
              <w:rPr>
                <w:rFonts w:hint="eastAsia" w:ascii="宋体" w:hAnsi="宋体" w:eastAsia="宋体" w:cs="宋体"/>
                <w:b w:val="0"/>
                <w:bCs w:val="0"/>
                <w:color w:val="auto"/>
                <w:sz w:val="21"/>
                <w:szCs w:val="21"/>
                <w:highlight w:val="none"/>
                <w:u w:val="none"/>
                <w:lang w:bidi="ar-SA"/>
              </w:rPr>
            </w:pPr>
            <w:r>
              <w:rPr>
                <w:rFonts w:hint="eastAsia" w:cs="宋体"/>
                <w:b w:val="0"/>
                <w:bCs w:val="0"/>
                <w:color w:val="auto"/>
                <w:sz w:val="21"/>
                <w:szCs w:val="21"/>
                <w:highlight w:val="none"/>
                <w:u w:val="none"/>
                <w:lang w:val="en-US" w:eastAsia="zh-CN" w:bidi="ar-SA"/>
              </w:rPr>
              <w:t>②</w:t>
            </w:r>
            <w:r>
              <w:rPr>
                <w:rFonts w:hint="eastAsia" w:ascii="宋体" w:hAnsi="宋体" w:eastAsia="宋体" w:cs="宋体"/>
                <w:b w:val="0"/>
                <w:bCs w:val="0"/>
                <w:color w:val="auto"/>
                <w:sz w:val="21"/>
                <w:szCs w:val="21"/>
                <w:highlight w:val="none"/>
                <w:u w:val="none"/>
                <w:lang w:bidi="ar-SA"/>
              </w:rPr>
              <w:t>获得过省级的，每项得</w:t>
            </w:r>
            <w:r>
              <w:rPr>
                <w:rFonts w:hint="eastAsia" w:ascii="宋体" w:hAnsi="宋体" w:eastAsia="宋体"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bidi="ar-SA"/>
              </w:rPr>
              <w:t>分，最高得3分。</w:t>
            </w:r>
          </w:p>
          <w:p>
            <w:pPr>
              <w:pStyle w:val="17"/>
              <w:widowControl/>
              <w:numPr>
                <w:ilvl w:val="0"/>
                <w:numId w:val="0"/>
              </w:numPr>
              <w:spacing w:before="0" w:beforeAutospacing="0" w:after="0" w:afterAutospacing="0"/>
              <w:ind w:right="0" w:rightChars="0"/>
              <w:rPr>
                <w:rFonts w:hint="eastAsia" w:ascii="宋体" w:hAnsi="宋体" w:eastAsia="宋体" w:cs="宋体"/>
                <w:b w:val="0"/>
                <w:bCs w:val="0"/>
                <w:color w:val="auto"/>
                <w:sz w:val="21"/>
                <w:szCs w:val="21"/>
                <w:highlight w:val="none"/>
                <w:u w:val="none"/>
                <w:lang w:bidi="ar-SA"/>
              </w:rPr>
            </w:pPr>
            <w:r>
              <w:rPr>
                <w:rFonts w:hint="eastAsia" w:cs="宋体"/>
                <w:b w:val="0"/>
                <w:bCs w:val="0"/>
                <w:color w:val="auto"/>
                <w:sz w:val="21"/>
                <w:szCs w:val="21"/>
                <w:highlight w:val="none"/>
                <w:u w:val="none"/>
                <w:lang w:val="en-US" w:eastAsia="zh-CN" w:bidi="ar-SA"/>
              </w:rPr>
              <w:t>③</w:t>
            </w:r>
            <w:r>
              <w:rPr>
                <w:rFonts w:hint="eastAsia" w:ascii="宋体" w:hAnsi="宋体" w:eastAsia="宋体" w:cs="宋体"/>
                <w:b w:val="0"/>
                <w:bCs w:val="0"/>
                <w:color w:val="auto"/>
                <w:sz w:val="21"/>
                <w:szCs w:val="21"/>
                <w:highlight w:val="none"/>
                <w:u w:val="none"/>
                <w:lang w:bidi="ar-SA"/>
              </w:rPr>
              <w:t>获得过市级的，每项得</w:t>
            </w:r>
            <w:r>
              <w:rPr>
                <w:rFonts w:hint="eastAsia" w:ascii="宋体" w:hAnsi="宋体" w:eastAsia="宋体" w:cs="宋体"/>
                <w:b w:val="0"/>
                <w:bCs w:val="0"/>
                <w:color w:val="auto"/>
                <w:sz w:val="21"/>
                <w:szCs w:val="21"/>
                <w:highlight w:val="none"/>
                <w:u w:val="none"/>
                <w:lang w:val="en-US" w:eastAsia="zh-CN" w:bidi="ar-SA"/>
              </w:rPr>
              <w:t>0.5</w:t>
            </w:r>
            <w:r>
              <w:rPr>
                <w:rFonts w:hint="eastAsia" w:ascii="宋体" w:hAnsi="宋体" w:eastAsia="宋体" w:cs="宋体"/>
                <w:b w:val="0"/>
                <w:bCs w:val="0"/>
                <w:color w:val="auto"/>
                <w:sz w:val="21"/>
                <w:szCs w:val="21"/>
                <w:highlight w:val="none"/>
                <w:u w:val="none"/>
                <w:lang w:bidi="ar-SA"/>
              </w:rPr>
              <w:t>分，最高得</w:t>
            </w:r>
            <w:r>
              <w:rPr>
                <w:rFonts w:hint="eastAsia" w:ascii="宋体" w:hAnsi="宋体" w:eastAsia="宋体" w:cs="宋体"/>
                <w:b w:val="0"/>
                <w:bCs w:val="0"/>
                <w:color w:val="auto"/>
                <w:sz w:val="21"/>
                <w:szCs w:val="21"/>
                <w:highlight w:val="none"/>
                <w:u w:val="none"/>
                <w:lang w:val="en-US" w:eastAsia="zh-CN" w:bidi="ar-SA"/>
              </w:rPr>
              <w:t>3</w:t>
            </w:r>
            <w:r>
              <w:rPr>
                <w:rFonts w:hint="eastAsia" w:ascii="宋体" w:hAnsi="宋体" w:eastAsia="宋体" w:cs="宋体"/>
                <w:b w:val="0"/>
                <w:bCs w:val="0"/>
                <w:color w:val="auto"/>
                <w:sz w:val="21"/>
                <w:szCs w:val="21"/>
                <w:highlight w:val="none"/>
                <w:u w:val="none"/>
                <w:lang w:bidi="ar-SA"/>
              </w:rPr>
              <w:t xml:space="preserve">分。 </w:t>
            </w:r>
          </w:p>
          <w:p>
            <w:pPr>
              <w:pStyle w:val="17"/>
              <w:widowControl/>
              <w:numPr>
                <w:ilvl w:val="0"/>
                <w:numId w:val="0"/>
              </w:numPr>
              <w:spacing w:before="0" w:beforeAutospacing="0" w:after="0" w:afterAutospacing="0"/>
              <w:ind w:right="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注：不符合上述条件的不得分，本</w:t>
            </w:r>
            <w:r>
              <w:rPr>
                <w:rFonts w:hint="eastAsia" w:ascii="宋体" w:hAnsi="宋体" w:eastAsia="宋体" w:cs="宋体"/>
                <w:b w:val="0"/>
                <w:bCs w:val="0"/>
                <w:color w:val="auto"/>
                <w:sz w:val="21"/>
                <w:szCs w:val="21"/>
                <w:highlight w:val="none"/>
                <w:u w:val="none"/>
                <w:lang w:val="en-US" w:eastAsia="zh-CN" w:bidi="ar-SA"/>
              </w:rPr>
              <w:t>小</w:t>
            </w:r>
            <w:r>
              <w:rPr>
                <w:rFonts w:hint="eastAsia" w:ascii="宋体" w:hAnsi="宋体" w:eastAsia="宋体" w:cs="宋体"/>
                <w:b w:val="0"/>
                <w:bCs w:val="0"/>
                <w:color w:val="auto"/>
                <w:sz w:val="21"/>
                <w:szCs w:val="21"/>
                <w:highlight w:val="none"/>
                <w:u w:val="none"/>
                <w:lang w:bidi="ar-SA"/>
              </w:rPr>
              <w:t>项最高得</w:t>
            </w:r>
            <w:r>
              <w:rPr>
                <w:rFonts w:hint="eastAsia" w:ascii="宋体" w:hAnsi="宋体" w:eastAsia="宋体" w:cs="宋体"/>
                <w:b w:val="0"/>
                <w:bCs w:val="0"/>
                <w:color w:val="auto"/>
                <w:sz w:val="21"/>
                <w:szCs w:val="21"/>
                <w:highlight w:val="none"/>
                <w:u w:val="none"/>
                <w:lang w:val="en-US" w:eastAsia="zh-CN" w:bidi="ar-SA"/>
              </w:rPr>
              <w:t>3</w:t>
            </w:r>
            <w:r>
              <w:rPr>
                <w:rFonts w:hint="eastAsia" w:ascii="宋体" w:hAnsi="宋体" w:eastAsia="宋体" w:cs="宋体"/>
                <w:b w:val="0"/>
                <w:bCs w:val="0"/>
                <w:color w:val="auto"/>
                <w:sz w:val="21"/>
                <w:szCs w:val="21"/>
                <w:highlight w:val="none"/>
                <w:u w:val="none"/>
                <w:lang w:bidi="ar-SA"/>
              </w:rPr>
              <w:t>分。对同一项目按最高奖项计取一次，不累计计算。</w:t>
            </w:r>
          </w:p>
          <w:p>
            <w:pPr>
              <w:pStyle w:val="17"/>
              <w:widowControl/>
              <w:numPr>
                <w:ilvl w:val="0"/>
                <w:numId w:val="0"/>
              </w:numPr>
              <w:spacing w:before="0" w:beforeAutospacing="0" w:after="0" w:afterAutospacing="0"/>
              <w:ind w:right="0" w:rightChars="0"/>
              <w:rPr>
                <w:rFonts w:hint="eastAsia" w:ascii="宋体" w:hAnsi="宋体" w:eastAsia="宋体" w:cs="宋体"/>
                <w:b w:val="0"/>
                <w:bCs w:val="0"/>
                <w:color w:val="auto"/>
                <w:sz w:val="21"/>
                <w:szCs w:val="21"/>
                <w:highlight w:val="none"/>
                <w:u w:val="none"/>
                <w:lang w:bidi="ar-SA"/>
              </w:rPr>
            </w:pPr>
            <w:r>
              <w:rPr>
                <w:rFonts w:hint="eastAsia"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投标人自202</w:t>
            </w:r>
            <w:r>
              <w:rPr>
                <w:rFonts w:hint="eastAsia" w:ascii="宋体" w:hAnsi="宋体" w:eastAsia="宋体"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年1月1日至投标截止时间止，获得过工程类发明专利证书的，</w:t>
            </w:r>
            <w:r>
              <w:rPr>
                <w:rFonts w:hint="eastAsia" w:ascii="宋体" w:hAnsi="宋体" w:eastAsia="宋体" w:cs="宋体"/>
                <w:b w:val="0"/>
                <w:bCs w:val="0"/>
                <w:color w:val="auto"/>
                <w:sz w:val="21"/>
                <w:szCs w:val="21"/>
                <w:highlight w:val="none"/>
                <w:u w:val="none"/>
                <w:lang w:val="en-US" w:eastAsia="zh-CN" w:bidi="ar-SA"/>
              </w:rPr>
              <w:t>每项得0.5分</w:t>
            </w:r>
            <w:r>
              <w:rPr>
                <w:rFonts w:hint="eastAsia" w:ascii="宋体" w:hAnsi="宋体" w:eastAsia="宋体" w:cs="宋体"/>
                <w:b w:val="0"/>
                <w:bCs w:val="0"/>
                <w:color w:val="auto"/>
                <w:sz w:val="21"/>
                <w:szCs w:val="21"/>
                <w:highlight w:val="none"/>
                <w:u w:val="none"/>
                <w:lang w:bidi="ar-SA"/>
              </w:rPr>
              <w:t>，本</w:t>
            </w:r>
            <w:r>
              <w:rPr>
                <w:rFonts w:hint="eastAsia" w:ascii="宋体" w:hAnsi="宋体" w:eastAsia="宋体" w:cs="宋体"/>
                <w:b w:val="0"/>
                <w:bCs w:val="0"/>
                <w:color w:val="auto"/>
                <w:sz w:val="21"/>
                <w:szCs w:val="21"/>
                <w:highlight w:val="none"/>
                <w:u w:val="none"/>
                <w:lang w:val="en-US" w:eastAsia="zh-CN" w:bidi="ar-SA"/>
              </w:rPr>
              <w:t>小</w:t>
            </w:r>
            <w:r>
              <w:rPr>
                <w:rFonts w:hint="eastAsia" w:ascii="宋体" w:hAnsi="宋体" w:eastAsia="宋体" w:cs="宋体"/>
                <w:b w:val="0"/>
                <w:bCs w:val="0"/>
                <w:color w:val="auto"/>
                <w:sz w:val="21"/>
                <w:szCs w:val="21"/>
                <w:highlight w:val="none"/>
                <w:u w:val="none"/>
                <w:lang w:bidi="ar-SA"/>
              </w:rPr>
              <w:t>项最高得</w:t>
            </w:r>
            <w:r>
              <w:rPr>
                <w:rFonts w:hint="eastAsia" w:ascii="宋体" w:hAnsi="宋体" w:eastAsia="宋体" w:cs="宋体"/>
                <w:b w:val="0"/>
                <w:bCs w:val="0"/>
                <w:color w:val="auto"/>
                <w:sz w:val="21"/>
                <w:szCs w:val="21"/>
                <w:highlight w:val="none"/>
                <w:u w:val="none"/>
                <w:lang w:val="en-US" w:eastAsia="zh-CN" w:bidi="ar-SA"/>
              </w:rPr>
              <w:t>3</w:t>
            </w:r>
            <w:r>
              <w:rPr>
                <w:rFonts w:hint="eastAsia" w:ascii="宋体" w:hAnsi="宋体" w:eastAsia="宋体" w:cs="宋体"/>
                <w:b w:val="0"/>
                <w:bCs w:val="0"/>
                <w:color w:val="auto"/>
                <w:sz w:val="21"/>
                <w:szCs w:val="21"/>
                <w:highlight w:val="none"/>
                <w:u w:val="none"/>
                <w:lang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646" w:hRule="atLeast"/>
          <w:jc w:val="center"/>
        </w:trPr>
        <w:tc>
          <w:tcPr>
            <w:tcW w:w="658" w:type="dxa"/>
            <w:vMerge w:val="restart"/>
            <w:shd w:val="clear" w:color="auto" w:fill="FFFFFF"/>
            <w:noWrap w:val="0"/>
            <w:tcMar>
              <w:left w:w="108" w:type="dxa"/>
              <w:right w:w="108" w:type="dxa"/>
            </w:tcMar>
            <w:vAlign w:val="center"/>
          </w:tcPr>
          <w:p>
            <w:pP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w:t>
            </w:r>
          </w:p>
        </w:tc>
        <w:tc>
          <w:tcPr>
            <w:tcW w:w="1194" w:type="dxa"/>
            <w:vMerge w:val="restart"/>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r>
              <w:rPr>
                <w:rStyle w:val="22"/>
                <w:rFonts w:hint="eastAsia" w:ascii="宋体" w:hAnsi="宋体" w:eastAsia="宋体" w:cs="宋体"/>
                <w:b w:val="0"/>
                <w:bCs w:val="0"/>
                <w:color w:val="auto"/>
                <w:sz w:val="21"/>
                <w:szCs w:val="21"/>
                <w:highlight w:val="none"/>
                <w:lang w:bidi="ar-SA"/>
              </w:rPr>
              <w:t>项目管理机构能力（</w:t>
            </w:r>
            <w:r>
              <w:rPr>
                <w:rStyle w:val="22"/>
                <w:rFonts w:hint="eastAsia" w:ascii="宋体" w:hAnsi="宋体" w:eastAsia="宋体" w:cs="宋体"/>
                <w:b w:val="0"/>
                <w:bCs w:val="0"/>
                <w:color w:val="auto"/>
                <w:sz w:val="21"/>
                <w:szCs w:val="21"/>
                <w:highlight w:val="none"/>
                <w:lang w:val="en-US" w:eastAsia="zh-CN" w:bidi="ar-SA"/>
              </w:rPr>
              <w:t>20</w:t>
            </w:r>
            <w:r>
              <w:rPr>
                <w:rStyle w:val="22"/>
                <w:rFonts w:hint="eastAsia" w:ascii="宋体" w:hAnsi="宋体" w:eastAsia="宋体" w:cs="宋体"/>
                <w:b w:val="0"/>
                <w:bCs w:val="0"/>
                <w:color w:val="auto"/>
                <w:sz w:val="21"/>
                <w:szCs w:val="21"/>
                <w:highlight w:val="none"/>
                <w:lang w:bidi="ar-SA"/>
              </w:rPr>
              <w:t>分）</w:t>
            </w:r>
          </w:p>
        </w:tc>
        <w:tc>
          <w:tcPr>
            <w:tcW w:w="1196"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eastAsia="zh-CN" w:bidi="ar-SA"/>
              </w:rPr>
            </w:pPr>
            <w:r>
              <w:rPr>
                <w:rFonts w:hint="eastAsia" w:ascii="宋体" w:hAnsi="宋体" w:eastAsia="宋体" w:cs="宋体"/>
                <w:b w:val="0"/>
                <w:bCs w:val="0"/>
                <w:color w:val="auto"/>
                <w:sz w:val="21"/>
                <w:szCs w:val="21"/>
                <w:highlight w:val="none"/>
                <w:lang w:bidi="ar-SA"/>
              </w:rPr>
              <w:t>技术负责人</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val="en-US" w:eastAsia="zh-CN" w:bidi="ar-SA"/>
              </w:rPr>
              <w:t>5</w:t>
            </w:r>
            <w:r>
              <w:rPr>
                <w:rFonts w:hint="eastAsia" w:ascii="宋体" w:hAnsi="宋体" w:eastAsia="宋体" w:cs="宋体"/>
                <w:b w:val="0"/>
                <w:bCs w:val="0"/>
                <w:color w:val="auto"/>
                <w:sz w:val="21"/>
                <w:szCs w:val="21"/>
                <w:highlight w:val="none"/>
                <w:lang w:bidi="ar-SA"/>
              </w:rPr>
              <w:t>分</w:t>
            </w:r>
          </w:p>
        </w:tc>
        <w:tc>
          <w:tcPr>
            <w:tcW w:w="11101" w:type="dxa"/>
            <w:shd w:val="clear" w:color="auto" w:fill="FFFFFF"/>
            <w:noWrap w:val="0"/>
            <w:tcMar>
              <w:left w:w="108" w:type="dxa"/>
              <w:right w:w="108" w:type="dxa"/>
            </w:tcMar>
            <w:vAlign w:val="center"/>
          </w:tcPr>
          <w:p>
            <w:pPr>
              <w:pStyle w:val="17"/>
              <w:widowControl/>
              <w:numPr>
                <w:ilvl w:val="0"/>
                <w:numId w:val="0"/>
              </w:numPr>
              <w:spacing w:before="0" w:beforeAutospacing="0" w:after="0" w:afterAutospacing="0"/>
              <w:ind w:right="0" w:rightChars="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kern w:val="0"/>
                <w:sz w:val="21"/>
                <w:szCs w:val="21"/>
                <w:highlight w:val="none"/>
                <w:u w:val="none"/>
                <w:lang w:val="en-US" w:eastAsia="zh-CN" w:bidi="ar"/>
              </w:rPr>
              <w:t>具有10年（含10年）或以上工作经验的，得5分；10年（不含10年）以下的工作经验的，得2分；没有不得分，本小项最高得</w:t>
            </w:r>
            <w:r>
              <w:rPr>
                <w:rFonts w:hint="eastAsia" w:cs="宋体"/>
                <w:b w:val="0"/>
                <w:bCs w:val="0"/>
                <w:color w:val="auto"/>
                <w:kern w:val="0"/>
                <w:sz w:val="21"/>
                <w:szCs w:val="21"/>
                <w:highlight w:val="none"/>
                <w:u w:val="none"/>
                <w:lang w:val="en-US" w:eastAsia="zh-CN" w:bidi="ar"/>
              </w:rPr>
              <w:t>5</w:t>
            </w:r>
            <w:r>
              <w:rPr>
                <w:rFonts w:hint="eastAsia" w:ascii="宋体" w:hAnsi="宋体" w:eastAsia="宋体" w:cs="宋体"/>
                <w:b w:val="0"/>
                <w:bCs w:val="0"/>
                <w:color w:val="auto"/>
                <w:kern w:val="0"/>
                <w:sz w:val="21"/>
                <w:szCs w:val="21"/>
                <w:highlight w:val="none"/>
                <w:u w:val="none"/>
                <w:lang w:val="en-US" w:eastAsia="zh-CN" w:bidi="ar"/>
              </w:rPr>
              <w:t>分。</w:t>
            </w:r>
          </w:p>
          <w:p>
            <w:pPr>
              <w:pStyle w:val="2"/>
              <w:ind w:firstLine="0"/>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sz w:val="21"/>
                <w:szCs w:val="21"/>
                <w:highlight w:val="none"/>
                <w:u w:val="none"/>
                <w:lang w:bidi="ar-SA"/>
              </w:rPr>
              <w:t>不满足上述情况的不得分，本项最高得</w:t>
            </w:r>
            <w:r>
              <w:rPr>
                <w:rFonts w:hint="eastAsia" w:ascii="宋体" w:hAnsi="宋体" w:eastAsia="宋体" w:cs="宋体"/>
                <w:b w:val="0"/>
                <w:bCs w:val="0"/>
                <w:color w:val="auto"/>
                <w:sz w:val="21"/>
                <w:szCs w:val="21"/>
                <w:highlight w:val="none"/>
                <w:u w:val="none"/>
                <w:lang w:val="en-US" w:eastAsia="zh-CN" w:bidi="ar-SA"/>
              </w:rPr>
              <w:t>5</w:t>
            </w:r>
            <w:r>
              <w:rPr>
                <w:rFonts w:hint="eastAsia" w:ascii="宋体" w:hAnsi="宋体" w:eastAsia="宋体" w:cs="宋体"/>
                <w:b w:val="0"/>
                <w:bCs w:val="0"/>
                <w:color w:val="auto"/>
                <w:sz w:val="21"/>
                <w:szCs w:val="21"/>
                <w:highlight w:val="none"/>
                <w:u w:val="none"/>
                <w:lang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629"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6"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bidi="ar-SA"/>
              </w:rPr>
              <w:t>质量负责人</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u w:val="none"/>
                <w:lang w:val="en-US" w:eastAsia="zh-CN" w:bidi="ar-SA"/>
              </w:rPr>
              <w:t>5</w:t>
            </w:r>
            <w:r>
              <w:rPr>
                <w:rFonts w:hint="eastAsia" w:ascii="宋体" w:hAnsi="宋体" w:eastAsia="宋体" w:cs="宋体"/>
                <w:b w:val="0"/>
                <w:bCs w:val="0"/>
                <w:color w:val="auto"/>
                <w:sz w:val="21"/>
                <w:szCs w:val="21"/>
                <w:highlight w:val="none"/>
                <w:lang w:bidi="ar-SA"/>
              </w:rPr>
              <w:t>分</w:t>
            </w:r>
          </w:p>
        </w:tc>
        <w:tc>
          <w:tcPr>
            <w:tcW w:w="11101" w:type="dxa"/>
            <w:shd w:val="clear" w:color="auto" w:fill="FFFFFF"/>
            <w:noWrap w:val="0"/>
            <w:tcMar>
              <w:left w:w="108" w:type="dxa"/>
              <w:right w:w="108" w:type="dxa"/>
            </w:tcMar>
            <w:vAlign w:val="center"/>
          </w:tcPr>
          <w:p>
            <w:pPr>
              <w:pStyle w:val="17"/>
              <w:widowControl/>
              <w:numPr>
                <w:ilvl w:val="0"/>
                <w:numId w:val="0"/>
              </w:numPr>
              <w:spacing w:before="0" w:beforeAutospacing="0" w:after="0" w:afterAutospacing="0"/>
              <w:ind w:right="0" w:rightChars="0"/>
              <w:rPr>
                <w:rFonts w:hint="eastAsia" w:ascii="宋体" w:hAnsi="宋体" w:eastAsia="宋体" w:cs="宋体"/>
                <w:b w:val="0"/>
                <w:bCs w:val="0"/>
                <w:color w:val="auto"/>
                <w:sz w:val="21"/>
                <w:szCs w:val="21"/>
                <w:highlight w:val="none"/>
                <w:u w:val="none"/>
                <w:lang w:eastAsia="zh-CN" w:bidi="ar-SA"/>
              </w:rPr>
            </w:pPr>
            <w:r>
              <w:rPr>
                <w:rFonts w:hint="eastAsia" w:ascii="宋体" w:hAnsi="宋体" w:eastAsia="宋体"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eastAsia="zh-CN" w:bidi="ar-SA"/>
              </w:rPr>
              <w:t>具有建筑工程类相关专业的</w:t>
            </w:r>
            <w:r>
              <w:rPr>
                <w:rFonts w:hint="eastAsia" w:ascii="宋体" w:hAnsi="宋体" w:eastAsia="宋体" w:cs="宋体"/>
                <w:b w:val="0"/>
                <w:bCs w:val="0"/>
                <w:color w:val="auto"/>
                <w:sz w:val="21"/>
                <w:szCs w:val="21"/>
                <w:highlight w:val="none"/>
                <w:u w:val="none"/>
                <w:lang w:val="en-US" w:eastAsia="zh-CN" w:bidi="ar-SA"/>
              </w:rPr>
              <w:t>副高级（或以上）</w:t>
            </w:r>
            <w:r>
              <w:rPr>
                <w:rFonts w:hint="eastAsia" w:ascii="宋体" w:hAnsi="宋体" w:eastAsia="宋体" w:cs="宋体"/>
                <w:b w:val="0"/>
                <w:bCs w:val="0"/>
                <w:color w:val="auto"/>
                <w:sz w:val="21"/>
                <w:szCs w:val="21"/>
                <w:highlight w:val="none"/>
                <w:u w:val="none"/>
                <w:lang w:eastAsia="zh-CN" w:bidi="ar-SA"/>
              </w:rPr>
              <w:t>工程师职称，得</w:t>
            </w:r>
            <w:r>
              <w:rPr>
                <w:rFonts w:hint="eastAsia" w:ascii="宋体" w:hAnsi="宋体" w:eastAsia="宋体" w:cs="宋体"/>
                <w:b w:val="0"/>
                <w:bCs w:val="0"/>
                <w:color w:val="auto"/>
                <w:sz w:val="21"/>
                <w:szCs w:val="21"/>
                <w:highlight w:val="none"/>
                <w:u w:val="none"/>
                <w:lang w:val="en-US" w:eastAsia="zh-CN" w:bidi="ar-SA"/>
              </w:rPr>
              <w:t>3</w:t>
            </w:r>
            <w:r>
              <w:rPr>
                <w:rFonts w:hint="eastAsia" w:ascii="宋体" w:hAnsi="宋体" w:eastAsia="宋体" w:cs="宋体"/>
                <w:b w:val="0"/>
                <w:bCs w:val="0"/>
                <w:color w:val="auto"/>
                <w:sz w:val="21"/>
                <w:szCs w:val="21"/>
                <w:highlight w:val="none"/>
                <w:u w:val="none"/>
                <w:lang w:eastAsia="zh-CN" w:bidi="ar-SA"/>
              </w:rPr>
              <w:t>分；</w:t>
            </w:r>
            <w:r>
              <w:rPr>
                <w:rFonts w:hint="eastAsia" w:ascii="宋体" w:hAnsi="宋体" w:eastAsia="宋体" w:cs="宋体"/>
                <w:b w:val="0"/>
                <w:bCs w:val="0"/>
                <w:color w:val="auto"/>
                <w:sz w:val="21"/>
                <w:szCs w:val="21"/>
                <w:highlight w:val="none"/>
                <w:u w:val="none"/>
                <w:lang w:bidi="ar-SA"/>
              </w:rPr>
              <w:t>中级工程师职称，得</w:t>
            </w:r>
            <w:r>
              <w:rPr>
                <w:rFonts w:hint="eastAsia" w:ascii="宋体" w:hAnsi="宋体" w:eastAsia="宋体"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bidi="ar-SA"/>
              </w:rPr>
              <w:t>分</w:t>
            </w:r>
            <w:r>
              <w:rPr>
                <w:rFonts w:hint="eastAsia" w:ascii="宋体" w:hAnsi="宋体" w:eastAsia="宋体" w:cs="宋体"/>
                <w:b w:val="0"/>
                <w:bCs w:val="0"/>
                <w:color w:val="auto"/>
                <w:sz w:val="21"/>
                <w:szCs w:val="21"/>
                <w:highlight w:val="none"/>
                <w:u w:val="none"/>
                <w:lang w:eastAsia="zh-CN" w:bidi="ar-SA"/>
              </w:rPr>
              <w:t>；</w:t>
            </w:r>
            <w:r>
              <w:rPr>
                <w:rFonts w:hint="eastAsia" w:ascii="宋体" w:hAnsi="宋体" w:eastAsia="宋体" w:cs="宋体"/>
                <w:b w:val="0"/>
                <w:bCs w:val="0"/>
                <w:color w:val="auto"/>
                <w:kern w:val="0"/>
                <w:sz w:val="21"/>
                <w:szCs w:val="21"/>
                <w:highlight w:val="none"/>
                <w:u w:val="none"/>
                <w:lang w:val="en-US" w:eastAsia="zh-CN" w:bidi="ar"/>
              </w:rPr>
              <w:t>本小项最高得3分。</w:t>
            </w:r>
          </w:p>
          <w:p>
            <w:pPr>
              <w:pStyle w:val="17"/>
              <w:widowControl/>
              <w:numPr>
                <w:ilvl w:val="0"/>
                <w:numId w:val="0"/>
              </w:numPr>
              <w:spacing w:before="0" w:beforeAutospacing="0" w:after="0" w:afterAutospacing="0"/>
              <w:ind w:right="0" w:rightChars="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kern w:val="0"/>
                <w:sz w:val="21"/>
                <w:szCs w:val="21"/>
                <w:highlight w:val="none"/>
                <w:u w:val="none"/>
                <w:lang w:val="en-US" w:eastAsia="zh-CN" w:bidi="ar"/>
              </w:rPr>
              <w:t>2、具有10年（含10年）或以上工作经验的，得2分；10年（不含10年）以下的工作经验的，得1分；没有不得分，本小项最高得2分。</w:t>
            </w:r>
          </w:p>
          <w:p>
            <w:pPr>
              <w:pStyle w:val="2"/>
              <w:ind w:firstLine="0"/>
              <w:rPr>
                <w:rFonts w:hint="eastAsia" w:ascii="宋体" w:hAnsi="宋体" w:eastAsia="宋体" w:cs="宋体"/>
                <w:b w:val="0"/>
                <w:bCs w:val="0"/>
                <w:color w:val="auto"/>
                <w:highlight w:val="none"/>
                <w:u w:val="none"/>
              </w:rPr>
            </w:pPr>
            <w:r>
              <w:rPr>
                <w:rFonts w:hint="eastAsia" w:ascii="宋体" w:hAnsi="宋体" w:eastAsia="宋体" w:cs="宋体"/>
                <w:b w:val="0"/>
                <w:bCs w:val="0"/>
                <w:color w:val="auto"/>
                <w:sz w:val="21"/>
                <w:szCs w:val="21"/>
                <w:highlight w:val="none"/>
                <w:u w:val="none"/>
                <w:lang w:bidi="ar-SA"/>
              </w:rPr>
              <w:t>不满足上述情况的不得分，本项最高得</w:t>
            </w:r>
            <w:r>
              <w:rPr>
                <w:rFonts w:hint="eastAsia" w:ascii="宋体" w:hAnsi="宋体" w:cs="宋体"/>
                <w:b w:val="0"/>
                <w:bCs w:val="0"/>
                <w:color w:val="auto"/>
                <w:sz w:val="21"/>
                <w:szCs w:val="21"/>
                <w:highlight w:val="none"/>
                <w:u w:val="none"/>
                <w:lang w:val="en-US" w:eastAsia="zh-CN" w:bidi="ar-SA"/>
              </w:rPr>
              <w:t>5</w:t>
            </w:r>
            <w:r>
              <w:rPr>
                <w:rFonts w:hint="eastAsia" w:ascii="宋体" w:hAnsi="宋体" w:eastAsia="宋体" w:cs="宋体"/>
                <w:b w:val="0"/>
                <w:bCs w:val="0"/>
                <w:color w:val="auto"/>
                <w:sz w:val="21"/>
                <w:szCs w:val="21"/>
                <w:highlight w:val="none"/>
                <w:u w:val="none"/>
                <w:lang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6"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bidi="ar-SA"/>
              </w:rPr>
              <w:t>安全负责人</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val="en-US" w:eastAsia="zh-CN" w:bidi="ar-SA"/>
              </w:rPr>
              <w:t>5</w:t>
            </w:r>
            <w:r>
              <w:rPr>
                <w:rFonts w:hint="eastAsia" w:ascii="宋体" w:hAnsi="宋体" w:eastAsia="宋体" w:cs="宋体"/>
                <w:b w:val="0"/>
                <w:bCs w:val="0"/>
                <w:color w:val="auto"/>
                <w:sz w:val="21"/>
                <w:szCs w:val="21"/>
                <w:highlight w:val="none"/>
                <w:lang w:bidi="ar-SA"/>
              </w:rPr>
              <w:t>分</w:t>
            </w:r>
          </w:p>
        </w:tc>
        <w:tc>
          <w:tcPr>
            <w:tcW w:w="11101" w:type="dxa"/>
            <w:shd w:val="clear" w:color="auto" w:fill="FFFFFF"/>
            <w:noWrap w:val="0"/>
            <w:tcMar>
              <w:left w:w="108" w:type="dxa"/>
              <w:right w:w="108" w:type="dxa"/>
            </w:tcMar>
            <w:vAlign w:val="center"/>
          </w:tcPr>
          <w:p>
            <w:pPr>
              <w:pStyle w:val="17"/>
              <w:widowControl/>
              <w:spacing w:before="0" w:beforeAutospacing="0" w:after="0" w:afterAutospacing="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bidi="ar-SA"/>
              </w:rPr>
              <w:t>具有有效期内的建筑施工安全专业注册安全工程师注册证书（注册类别:建筑施工安全），得</w:t>
            </w:r>
            <w:r>
              <w:rPr>
                <w:rFonts w:hint="eastAsia" w:ascii="宋体" w:hAnsi="宋体" w:eastAsia="宋体"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分。</w:t>
            </w:r>
          </w:p>
          <w:p>
            <w:pPr>
              <w:pStyle w:val="17"/>
              <w:widowControl/>
              <w:spacing w:before="0" w:beforeAutospacing="0" w:after="0" w:afterAutospacing="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具有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得</w:t>
            </w:r>
            <w:r>
              <w:rPr>
                <w:rFonts w:hint="eastAsia" w:ascii="宋体" w:hAnsi="宋体" w:eastAsia="宋体"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bidi="ar-SA"/>
              </w:rPr>
              <w:t>分。</w:t>
            </w:r>
          </w:p>
          <w:p>
            <w:pPr>
              <w:pStyle w:val="17"/>
              <w:widowControl/>
              <w:spacing w:before="0" w:beforeAutospacing="0" w:after="0" w:afterAutospacing="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val="en-US" w:eastAsia="zh-CN" w:bidi="ar-SA"/>
              </w:rPr>
              <w:t>3、</w:t>
            </w:r>
            <w:r>
              <w:rPr>
                <w:rFonts w:hint="eastAsia" w:ascii="宋体" w:hAnsi="宋体" w:eastAsia="宋体" w:cs="宋体"/>
                <w:b w:val="0"/>
                <w:bCs w:val="0"/>
                <w:color w:val="auto"/>
                <w:kern w:val="0"/>
                <w:sz w:val="21"/>
                <w:szCs w:val="21"/>
                <w:highlight w:val="none"/>
                <w:u w:val="none"/>
                <w:lang w:val="en-US" w:eastAsia="zh-CN" w:bidi="ar"/>
              </w:rPr>
              <w:t>具有10年（含10年）或以上工作经验的，得2分；10年（不含10年）以下的工作经验的，得1分；没有不得分，本小项最高得2分。</w:t>
            </w:r>
          </w:p>
          <w:p>
            <w:pPr>
              <w:pStyle w:val="17"/>
              <w:widowControl/>
              <w:spacing w:before="0" w:beforeAutospacing="0" w:after="0" w:afterAutospacing="0"/>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u w:val="none"/>
                <w:lang w:bidi="ar-SA"/>
              </w:rPr>
              <w:t>不满足上述情况的不得分，本项最高得</w:t>
            </w:r>
            <w:r>
              <w:rPr>
                <w:rFonts w:hint="eastAsia" w:ascii="宋体" w:hAnsi="宋体" w:eastAsia="宋体" w:cs="宋体"/>
                <w:b w:val="0"/>
                <w:bCs w:val="0"/>
                <w:color w:val="auto"/>
                <w:sz w:val="21"/>
                <w:szCs w:val="21"/>
                <w:highlight w:val="none"/>
                <w:u w:val="none"/>
                <w:lang w:val="en-US" w:eastAsia="zh-CN" w:bidi="ar-SA"/>
              </w:rPr>
              <w:t>5</w:t>
            </w:r>
            <w:r>
              <w:rPr>
                <w:rFonts w:hint="eastAsia" w:ascii="宋体" w:hAnsi="宋体" w:eastAsia="宋体" w:cs="宋体"/>
                <w:b w:val="0"/>
                <w:bCs w:val="0"/>
                <w:color w:val="auto"/>
                <w:sz w:val="21"/>
                <w:szCs w:val="21"/>
                <w:highlight w:val="none"/>
                <w:u w:val="none"/>
                <w:lang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791"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rPr>
            </w:pPr>
          </w:p>
        </w:tc>
        <w:tc>
          <w:tcPr>
            <w:tcW w:w="1196"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bidi="ar-SA"/>
              </w:rPr>
              <w:t>造价负责人</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val="en-US" w:eastAsia="zh-CN" w:bidi="ar-SA"/>
              </w:rPr>
              <w:t>5</w:t>
            </w:r>
            <w:r>
              <w:rPr>
                <w:rFonts w:hint="eastAsia" w:ascii="宋体" w:hAnsi="宋体" w:eastAsia="宋体" w:cs="宋体"/>
                <w:b w:val="0"/>
                <w:bCs w:val="0"/>
                <w:color w:val="auto"/>
                <w:sz w:val="21"/>
                <w:szCs w:val="21"/>
                <w:highlight w:val="none"/>
                <w:u w:val="none"/>
                <w:lang w:bidi="ar-SA"/>
              </w:rPr>
              <w:t>分</w:t>
            </w:r>
          </w:p>
        </w:tc>
        <w:tc>
          <w:tcPr>
            <w:tcW w:w="11101" w:type="dxa"/>
            <w:shd w:val="clear" w:color="auto" w:fill="FFFFFF"/>
            <w:noWrap w:val="0"/>
            <w:tcMar>
              <w:left w:w="108" w:type="dxa"/>
              <w:right w:w="108" w:type="dxa"/>
            </w:tcMar>
            <w:vAlign w:val="center"/>
          </w:tcPr>
          <w:p>
            <w:pPr>
              <w:pStyle w:val="17"/>
              <w:widowControl/>
              <w:spacing w:before="0" w:beforeAutospacing="0" w:after="0" w:afterAutospacing="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1、具有</w:t>
            </w:r>
            <w:r>
              <w:rPr>
                <w:rFonts w:hint="eastAsia" w:ascii="宋体" w:hAnsi="宋体" w:eastAsia="宋体" w:cs="宋体"/>
                <w:b w:val="0"/>
                <w:bCs w:val="0"/>
                <w:color w:val="auto"/>
                <w:sz w:val="21"/>
                <w:szCs w:val="21"/>
                <w:highlight w:val="none"/>
                <w:u w:val="none"/>
                <w:lang w:val="en-US" w:eastAsia="zh-CN" w:bidi="ar-SA"/>
              </w:rPr>
              <w:t>建筑工程</w:t>
            </w:r>
            <w:r>
              <w:rPr>
                <w:rFonts w:hint="eastAsia" w:ascii="宋体" w:hAnsi="宋体" w:eastAsia="宋体" w:cs="宋体"/>
                <w:b w:val="0"/>
                <w:bCs w:val="0"/>
                <w:color w:val="auto"/>
                <w:sz w:val="21"/>
                <w:szCs w:val="21"/>
                <w:highlight w:val="none"/>
                <w:u w:val="none"/>
                <w:lang w:bidi="ar-SA"/>
              </w:rPr>
              <w:t>相关专业或造价相关</w:t>
            </w:r>
            <w:r>
              <w:rPr>
                <w:rFonts w:hint="eastAsia" w:ascii="宋体" w:hAnsi="宋体" w:eastAsia="宋体" w:cs="宋体"/>
                <w:b w:val="0"/>
                <w:bCs w:val="0"/>
                <w:color w:val="auto"/>
                <w:sz w:val="21"/>
                <w:szCs w:val="21"/>
                <w:highlight w:val="none"/>
                <w:u w:val="none"/>
                <w:lang w:val="en-US" w:eastAsia="zh-CN" w:bidi="ar-SA"/>
              </w:rPr>
              <w:t>专业副高级或以上</w:t>
            </w:r>
            <w:r>
              <w:rPr>
                <w:rFonts w:hint="eastAsia" w:ascii="宋体" w:hAnsi="宋体" w:eastAsia="宋体" w:cs="宋体"/>
                <w:b w:val="0"/>
                <w:bCs w:val="0"/>
                <w:color w:val="auto"/>
                <w:sz w:val="21"/>
                <w:szCs w:val="21"/>
                <w:highlight w:val="none"/>
                <w:u w:val="none"/>
                <w:lang w:bidi="ar-SA"/>
              </w:rPr>
              <w:t>得</w:t>
            </w:r>
            <w:r>
              <w:rPr>
                <w:rFonts w:hint="eastAsia" w:ascii="宋体" w:hAnsi="宋体" w:eastAsia="宋体" w:cs="宋体"/>
                <w:b w:val="0"/>
                <w:bCs w:val="0"/>
                <w:color w:val="auto"/>
                <w:sz w:val="21"/>
                <w:szCs w:val="21"/>
                <w:highlight w:val="none"/>
                <w:u w:val="none"/>
                <w:lang w:val="en-US" w:eastAsia="zh-CN" w:bidi="ar-SA"/>
              </w:rPr>
              <w:t>3</w:t>
            </w:r>
            <w:r>
              <w:rPr>
                <w:rFonts w:hint="eastAsia" w:ascii="宋体" w:hAnsi="宋体" w:eastAsia="宋体" w:cs="宋体"/>
                <w:b w:val="0"/>
                <w:bCs w:val="0"/>
                <w:color w:val="auto"/>
                <w:sz w:val="21"/>
                <w:szCs w:val="21"/>
                <w:highlight w:val="none"/>
                <w:u w:val="none"/>
                <w:lang w:bidi="ar-SA"/>
              </w:rPr>
              <w:t>分</w:t>
            </w:r>
            <w:r>
              <w:rPr>
                <w:rFonts w:hint="eastAsia" w:ascii="宋体" w:hAnsi="宋体" w:eastAsia="宋体" w:cs="宋体"/>
                <w:b w:val="0"/>
                <w:bCs w:val="0"/>
                <w:color w:val="auto"/>
                <w:sz w:val="21"/>
                <w:szCs w:val="21"/>
                <w:highlight w:val="none"/>
                <w:u w:val="none"/>
                <w:lang w:eastAsia="zh-CN" w:bidi="ar-SA"/>
              </w:rPr>
              <w:t>，</w:t>
            </w:r>
            <w:r>
              <w:rPr>
                <w:rFonts w:hint="eastAsia" w:ascii="宋体" w:hAnsi="宋体" w:eastAsia="宋体" w:cs="宋体"/>
                <w:b w:val="0"/>
                <w:bCs w:val="0"/>
                <w:color w:val="auto"/>
                <w:sz w:val="21"/>
                <w:szCs w:val="21"/>
                <w:highlight w:val="none"/>
                <w:u w:val="none"/>
                <w:lang w:val="en-US" w:eastAsia="zh-CN" w:bidi="ar-SA"/>
              </w:rPr>
              <w:t>中</w:t>
            </w:r>
            <w:r>
              <w:rPr>
                <w:rFonts w:hint="eastAsia" w:ascii="宋体" w:hAnsi="宋体" w:eastAsia="宋体" w:cs="宋体"/>
                <w:b w:val="0"/>
                <w:bCs w:val="0"/>
                <w:color w:val="auto"/>
                <w:sz w:val="21"/>
                <w:szCs w:val="21"/>
                <w:highlight w:val="none"/>
                <w:u w:val="none"/>
                <w:lang w:bidi="ar-SA"/>
              </w:rPr>
              <w:t>级工程师职称，得</w:t>
            </w:r>
            <w:r>
              <w:rPr>
                <w:rFonts w:hint="eastAsia" w:ascii="宋体" w:hAnsi="宋体" w:eastAsia="宋体"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bidi="ar-SA"/>
              </w:rPr>
              <w:t>分。</w:t>
            </w:r>
          </w:p>
          <w:p>
            <w:pPr>
              <w:pStyle w:val="17"/>
              <w:widowControl/>
              <w:spacing w:before="0" w:beforeAutospacing="0" w:after="0" w:afterAutospacing="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2、具有有效期内的一级注册造价工程师注册证书，得</w:t>
            </w:r>
            <w:r>
              <w:rPr>
                <w:rFonts w:hint="eastAsia" w:ascii="宋体" w:hAnsi="宋体" w:eastAsia="宋体" w:cs="宋体"/>
                <w:b w:val="0"/>
                <w:bCs w:val="0"/>
                <w:color w:val="auto"/>
                <w:sz w:val="21"/>
                <w:szCs w:val="21"/>
                <w:highlight w:val="none"/>
                <w:u w:val="none"/>
                <w:lang w:val="en-US" w:eastAsia="zh-CN" w:bidi="ar-SA"/>
              </w:rPr>
              <w:t>2</w:t>
            </w:r>
            <w:r>
              <w:rPr>
                <w:rFonts w:hint="eastAsia" w:ascii="宋体" w:hAnsi="宋体" w:eastAsia="宋体" w:cs="宋体"/>
                <w:b w:val="0"/>
                <w:bCs w:val="0"/>
                <w:color w:val="auto"/>
                <w:sz w:val="21"/>
                <w:szCs w:val="21"/>
                <w:highlight w:val="none"/>
                <w:u w:val="none"/>
                <w:lang w:bidi="ar-SA"/>
              </w:rPr>
              <w:t>分；二级注册造价工程师注册证书，得</w:t>
            </w:r>
            <w:r>
              <w:rPr>
                <w:rFonts w:hint="eastAsia" w:ascii="宋体" w:hAnsi="宋体" w:eastAsia="宋体" w:cs="宋体"/>
                <w:b w:val="0"/>
                <w:bCs w:val="0"/>
                <w:color w:val="auto"/>
                <w:sz w:val="21"/>
                <w:szCs w:val="21"/>
                <w:highlight w:val="none"/>
                <w:u w:val="none"/>
                <w:lang w:val="en-US" w:eastAsia="zh-CN" w:bidi="ar-SA"/>
              </w:rPr>
              <w:t>1</w:t>
            </w:r>
            <w:r>
              <w:rPr>
                <w:rFonts w:hint="eastAsia" w:ascii="宋体" w:hAnsi="宋体" w:eastAsia="宋体" w:cs="宋体"/>
                <w:b w:val="0"/>
                <w:bCs w:val="0"/>
                <w:color w:val="auto"/>
                <w:sz w:val="21"/>
                <w:szCs w:val="21"/>
                <w:highlight w:val="none"/>
                <w:u w:val="none"/>
                <w:lang w:bidi="ar-SA"/>
              </w:rPr>
              <w:t>分。</w:t>
            </w:r>
          </w:p>
          <w:p>
            <w:pPr>
              <w:pStyle w:val="17"/>
              <w:widowControl/>
              <w:spacing w:before="0" w:beforeAutospacing="0" w:after="0" w:afterAutospacing="0"/>
              <w:rPr>
                <w:rFonts w:hint="eastAsia" w:ascii="宋体" w:hAnsi="宋体" w:eastAsia="宋体" w:cs="宋体"/>
                <w:b w:val="0"/>
                <w:bCs w:val="0"/>
                <w:color w:val="auto"/>
                <w:sz w:val="21"/>
                <w:szCs w:val="21"/>
                <w:highlight w:val="none"/>
                <w:u w:val="none"/>
                <w:lang w:bidi="ar-SA"/>
              </w:rPr>
            </w:pPr>
            <w:r>
              <w:rPr>
                <w:rFonts w:hint="eastAsia" w:ascii="宋体" w:hAnsi="宋体" w:eastAsia="宋体" w:cs="宋体"/>
                <w:b w:val="0"/>
                <w:bCs w:val="0"/>
                <w:color w:val="auto"/>
                <w:sz w:val="21"/>
                <w:szCs w:val="21"/>
                <w:highlight w:val="none"/>
                <w:u w:val="none"/>
                <w:lang w:bidi="ar-SA"/>
              </w:rPr>
              <w:t>不满足上述情况的不得分，本项最高得</w:t>
            </w:r>
            <w:r>
              <w:rPr>
                <w:rFonts w:hint="eastAsia" w:ascii="宋体" w:hAnsi="宋体" w:eastAsia="宋体" w:cs="宋体"/>
                <w:b w:val="0"/>
                <w:bCs w:val="0"/>
                <w:color w:val="auto"/>
                <w:sz w:val="21"/>
                <w:szCs w:val="21"/>
                <w:highlight w:val="none"/>
                <w:u w:val="none"/>
                <w:lang w:val="en-US" w:eastAsia="zh-CN" w:bidi="ar-SA"/>
              </w:rPr>
              <w:t>5</w:t>
            </w:r>
            <w:r>
              <w:rPr>
                <w:rFonts w:hint="eastAsia" w:ascii="宋体" w:hAnsi="宋体" w:eastAsia="宋体" w:cs="宋体"/>
                <w:b w:val="0"/>
                <w:bCs w:val="0"/>
                <w:color w:val="auto"/>
                <w:sz w:val="21"/>
                <w:szCs w:val="21"/>
                <w:highlight w:val="none"/>
                <w:u w:val="none"/>
                <w:lang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822" w:hRule="atLeast"/>
          <w:jc w:val="center"/>
        </w:trPr>
        <w:tc>
          <w:tcPr>
            <w:tcW w:w="658" w:type="dxa"/>
            <w:vMerge w:val="restart"/>
            <w:shd w:val="clear" w:color="auto" w:fill="FFFFFF"/>
            <w:noWrap w:val="0"/>
            <w:tcMar>
              <w:left w:w="108" w:type="dxa"/>
              <w:right w:w="108" w:type="dxa"/>
            </w:tcMar>
            <w:vAlign w:val="center"/>
          </w:tcPr>
          <w:p>
            <w:pPr>
              <w:rPr>
                <w:rStyle w:val="22"/>
                <w:rFonts w:hint="eastAsia" w:ascii="宋体" w:hAnsi="宋体" w:eastAsia="宋体" w:cs="宋体"/>
                <w:b w:val="0"/>
                <w:bCs w:val="0"/>
                <w:color w:val="auto"/>
                <w:sz w:val="21"/>
                <w:szCs w:val="21"/>
                <w:highlight w:val="none"/>
                <w:lang w:val="en-US" w:eastAsia="zh-CN" w:bidi="ar-SA"/>
              </w:rPr>
            </w:pPr>
            <w:r>
              <w:rPr>
                <w:rStyle w:val="22"/>
                <w:rFonts w:hint="eastAsia" w:ascii="宋体" w:hAnsi="宋体" w:eastAsia="宋体" w:cs="宋体"/>
                <w:b w:val="0"/>
                <w:bCs w:val="0"/>
                <w:color w:val="auto"/>
                <w:sz w:val="21"/>
                <w:szCs w:val="21"/>
                <w:highlight w:val="none"/>
                <w:lang w:val="en-US" w:eastAsia="zh-CN" w:bidi="ar-SA"/>
              </w:rPr>
              <w:t>三</w:t>
            </w:r>
          </w:p>
        </w:tc>
        <w:tc>
          <w:tcPr>
            <w:tcW w:w="1194" w:type="dxa"/>
            <w:vMerge w:val="restart"/>
            <w:shd w:val="clear" w:color="auto" w:fill="FFFFFF"/>
            <w:noWrap w:val="0"/>
            <w:tcMar>
              <w:left w:w="108" w:type="dxa"/>
              <w:right w:w="108" w:type="dxa"/>
            </w:tcMar>
            <w:vAlign w:val="center"/>
          </w:tcPr>
          <w:p>
            <w:pPr>
              <w:rPr>
                <w:rStyle w:val="22"/>
                <w:rFonts w:hint="eastAsia" w:ascii="宋体" w:hAnsi="宋体" w:eastAsia="宋体" w:cs="宋体"/>
                <w:b w:val="0"/>
                <w:bCs w:val="0"/>
                <w:color w:val="auto"/>
                <w:sz w:val="21"/>
                <w:szCs w:val="21"/>
                <w:highlight w:val="none"/>
                <w:lang w:val="en-US" w:eastAsia="zh-CN" w:bidi="ar-SA"/>
              </w:rPr>
            </w:pPr>
            <w:r>
              <w:rPr>
                <w:rStyle w:val="22"/>
                <w:rFonts w:hint="eastAsia" w:ascii="宋体" w:hAnsi="宋体" w:eastAsia="宋体" w:cs="宋体"/>
                <w:b w:val="0"/>
                <w:bCs w:val="0"/>
                <w:color w:val="auto"/>
                <w:sz w:val="21"/>
                <w:szCs w:val="21"/>
                <w:highlight w:val="none"/>
                <w:lang w:val="en-US" w:eastAsia="zh-CN" w:bidi="ar-SA"/>
              </w:rPr>
              <w:t>施工组织设计（50分）</w:t>
            </w:r>
          </w:p>
        </w:tc>
        <w:tc>
          <w:tcPr>
            <w:tcW w:w="1196" w:type="dxa"/>
            <w:shd w:val="clear" w:color="auto" w:fill="FFFFFF"/>
            <w:noWrap w:val="0"/>
            <w:tcMar>
              <w:left w:w="108" w:type="dxa"/>
              <w:right w:w="108" w:type="dxa"/>
            </w:tcMar>
            <w:vAlign w:val="center"/>
          </w:tcPr>
          <w:p>
            <w:pPr>
              <w:pStyle w:val="18"/>
              <w:ind w:left="0" w:leftChars="0" w:firstLine="0" w:firstLineChars="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bidi="ar-SA"/>
              </w:rPr>
              <w:t>对工程重点、难点的分析及对策</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10分</w:t>
            </w:r>
          </w:p>
        </w:tc>
        <w:tc>
          <w:tcPr>
            <w:tcW w:w="11101" w:type="dxa"/>
            <w:shd w:val="clear" w:color="auto" w:fill="FFFFFF"/>
            <w:noWrap w:val="0"/>
            <w:tcMar>
              <w:left w:w="108" w:type="dxa"/>
              <w:right w:w="108" w:type="dxa"/>
            </w:tcMar>
            <w:vAlign w:val="center"/>
          </w:tcPr>
          <w:p>
            <w:pPr>
              <w:jc w:val="lef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针对本项目提供的对工程重点、难点的分析及对策进行评审：</w:t>
            </w:r>
          </w:p>
          <w:p>
            <w:pPr>
              <w:jc w:val="lef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【优】对本项目工程重点、难点分析透切，制定的相应对策针对性强，可行性高，得</w:t>
            </w:r>
            <w:r>
              <w:rPr>
                <w:rFonts w:hint="eastAsia" w:ascii="宋体" w:hAnsi="宋体" w:eastAsia="宋体" w:cs="宋体"/>
                <w:color w:val="auto"/>
                <w:sz w:val="21"/>
                <w:szCs w:val="21"/>
                <w:highlight w:val="none"/>
                <w:lang w:val="en-US" w:eastAsia="zh-CN" w:bidi="ar-SA"/>
              </w:rPr>
              <w:t>10</w:t>
            </w:r>
            <w:r>
              <w:rPr>
                <w:rFonts w:hint="eastAsia" w:ascii="宋体" w:hAnsi="宋体" w:eastAsia="宋体" w:cs="宋体"/>
                <w:color w:val="auto"/>
                <w:sz w:val="21"/>
                <w:szCs w:val="21"/>
                <w:highlight w:val="none"/>
                <w:lang w:bidi="ar-SA"/>
              </w:rPr>
              <w:t>分。</w:t>
            </w:r>
          </w:p>
          <w:p>
            <w:pPr>
              <w:jc w:val="lef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【良】对本项目工程重点、难点分析较透切，制定的相应对策针对性较强，可行性较高，得</w:t>
            </w: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color w:val="auto"/>
                <w:sz w:val="21"/>
                <w:szCs w:val="21"/>
                <w:highlight w:val="none"/>
                <w:lang w:bidi="ar-SA"/>
              </w:rPr>
              <w:t>分。</w:t>
            </w:r>
          </w:p>
          <w:p>
            <w:pPr>
              <w:jc w:val="lef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【中】对本项目工程重点、难点分析一般，制定的相应对策针对性一般，基本可行，得</w:t>
            </w:r>
            <w:r>
              <w:rPr>
                <w:rFonts w:hint="eastAsia" w:ascii="宋体" w:hAnsi="宋体" w:eastAsia="宋体" w:cs="宋体"/>
                <w:color w:val="auto"/>
                <w:sz w:val="21"/>
                <w:szCs w:val="21"/>
                <w:highlight w:val="none"/>
                <w:lang w:val="en-US" w:eastAsia="zh-CN" w:bidi="ar-SA"/>
              </w:rPr>
              <w:t>6分</w:t>
            </w:r>
            <w:r>
              <w:rPr>
                <w:rFonts w:hint="eastAsia" w:ascii="宋体" w:hAnsi="宋体" w:eastAsia="宋体" w:cs="宋体"/>
                <w:color w:val="auto"/>
                <w:sz w:val="21"/>
                <w:szCs w:val="21"/>
                <w:highlight w:val="none"/>
                <w:lang w:bidi="ar-SA"/>
              </w:rPr>
              <w:t>。</w:t>
            </w:r>
          </w:p>
          <w:p>
            <w:pPr>
              <w:jc w:val="lef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【差】对本项目工程重点、难点分析较差，制定的相应对策针对性较差，不可行，得</w:t>
            </w:r>
            <w:r>
              <w:rPr>
                <w:rFonts w:hint="eastAsia" w:ascii="宋体" w:hAnsi="宋体" w:eastAsia="宋体" w:cs="宋体"/>
                <w:color w:val="auto"/>
                <w:sz w:val="21"/>
                <w:szCs w:val="21"/>
                <w:highlight w:val="none"/>
                <w:lang w:val="en-US" w:eastAsia="zh-CN" w:bidi="ar-SA"/>
              </w:rPr>
              <w:t>4</w:t>
            </w:r>
            <w:r>
              <w:rPr>
                <w:rFonts w:hint="eastAsia" w:ascii="宋体" w:hAnsi="宋体" w:eastAsia="宋体" w:cs="宋体"/>
                <w:color w:val="auto"/>
                <w:sz w:val="21"/>
                <w:szCs w:val="21"/>
                <w:highlight w:val="none"/>
                <w:lang w:bidi="ar-SA"/>
              </w:rPr>
              <w:t>分。</w:t>
            </w:r>
          </w:p>
          <w:p>
            <w:pPr>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bidi="ar-SA"/>
              </w:rPr>
              <w:t>未提供或评审内容不全的不得分。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822"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lang w:val="en-US" w:eastAsia="zh-CN"/>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lang w:val="en-US" w:eastAsia="zh-CN"/>
              </w:rPr>
            </w:pPr>
          </w:p>
        </w:tc>
        <w:tc>
          <w:tcPr>
            <w:tcW w:w="1196" w:type="dxa"/>
            <w:shd w:val="clear" w:color="auto" w:fill="FFFFFF"/>
            <w:noWrap w:val="0"/>
            <w:tcMar>
              <w:left w:w="108" w:type="dxa"/>
              <w:right w:w="108" w:type="dxa"/>
            </w:tcMar>
            <w:vAlign w:val="center"/>
          </w:tcPr>
          <w:p>
            <w:pPr>
              <w:pStyle w:val="18"/>
              <w:ind w:left="0" w:leftChars="0" w:firstLine="0" w:firstLineChars="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bidi="ar-SA"/>
              </w:rPr>
              <w:t>绿色节能控制措施</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10分</w:t>
            </w:r>
          </w:p>
        </w:tc>
        <w:tc>
          <w:tcPr>
            <w:tcW w:w="11101" w:type="dxa"/>
            <w:shd w:val="clear" w:color="auto" w:fill="FFFFFF"/>
            <w:noWrap w:val="0"/>
            <w:tcMar>
              <w:left w:w="108" w:type="dxa"/>
              <w:right w:w="108" w:type="dxa"/>
            </w:tcMar>
            <w:vAlign w:val="center"/>
          </w:tcPr>
          <w:p>
            <w:pPr>
              <w:jc w:val="lef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针对本项目提供的</w:t>
            </w:r>
            <w:r>
              <w:rPr>
                <w:rFonts w:hint="eastAsia" w:ascii="宋体" w:hAnsi="宋体" w:eastAsia="宋体" w:cs="宋体"/>
                <w:color w:val="auto"/>
                <w:sz w:val="21"/>
                <w:szCs w:val="21"/>
                <w:highlight w:val="none"/>
                <w:lang w:val="en-US" w:eastAsia="zh-CN" w:bidi="ar-SA"/>
              </w:rPr>
              <w:t>绿色节能控制措施进行评审</w:t>
            </w:r>
            <w:r>
              <w:rPr>
                <w:rFonts w:hint="eastAsia" w:ascii="宋体" w:hAnsi="宋体" w:eastAsia="宋体" w:cs="宋体"/>
                <w:color w:val="auto"/>
                <w:sz w:val="21"/>
                <w:szCs w:val="21"/>
                <w:highlight w:val="none"/>
                <w:lang w:bidi="ar-SA"/>
              </w:rPr>
              <w:t>：</w:t>
            </w:r>
          </w:p>
          <w:p>
            <w:pPr>
              <w:jc w:val="left"/>
              <w:rPr>
                <w:rFonts w:hint="eastAsia" w:ascii="宋体" w:hAnsi="宋体" w:eastAsia="宋体" w:cs="宋体"/>
                <w:color w:val="auto"/>
                <w:sz w:val="21"/>
                <w:szCs w:val="21"/>
                <w:highlight w:val="none"/>
                <w:lang w:val="zh-TW"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SA"/>
              </w:rPr>
              <w:t>优】</w:t>
            </w:r>
            <w:r>
              <w:rPr>
                <w:rFonts w:hint="eastAsia" w:ascii="宋体" w:hAnsi="宋体" w:eastAsia="宋体" w:cs="宋体"/>
                <w:color w:val="auto"/>
                <w:sz w:val="21"/>
                <w:szCs w:val="21"/>
                <w:highlight w:val="none"/>
                <w:lang w:val="zh-TW" w:eastAsia="zh-CN" w:bidi="ar-SA"/>
              </w:rPr>
              <w:t>有绿色节能控制措施，措施具体、可行、针对性强，措施完善的，最大限度地节约资源与减少对环境的负面影响，以达到四节一环保（节能、节地、节水、节材和环境保护）的目标，得</w:t>
            </w:r>
            <w:r>
              <w:rPr>
                <w:rFonts w:hint="eastAsia" w:ascii="宋体" w:hAnsi="宋体" w:eastAsia="宋体" w:cs="宋体"/>
                <w:color w:val="auto"/>
                <w:sz w:val="21"/>
                <w:szCs w:val="21"/>
                <w:highlight w:val="none"/>
                <w:lang w:val="en-US" w:eastAsia="zh-CN" w:bidi="ar-SA"/>
              </w:rPr>
              <w:t>10</w:t>
            </w:r>
            <w:r>
              <w:rPr>
                <w:rFonts w:hint="eastAsia" w:ascii="宋体" w:hAnsi="宋体" w:eastAsia="宋体" w:cs="宋体"/>
                <w:color w:val="auto"/>
                <w:sz w:val="21"/>
                <w:szCs w:val="21"/>
                <w:highlight w:val="none"/>
                <w:lang w:val="zh-TW" w:eastAsia="zh-CN" w:bidi="ar-SA"/>
              </w:rPr>
              <w:t>分；</w:t>
            </w:r>
          </w:p>
          <w:p>
            <w:pPr>
              <w:jc w:val="left"/>
              <w:rPr>
                <w:rFonts w:hint="eastAsia" w:ascii="宋体" w:hAnsi="宋体" w:eastAsia="宋体" w:cs="宋体"/>
                <w:color w:val="auto"/>
                <w:sz w:val="21"/>
                <w:szCs w:val="21"/>
                <w:highlight w:val="none"/>
                <w:lang w:val="zh-TW" w:eastAsia="zh-CN" w:bidi="ar-SA"/>
              </w:rPr>
            </w:pP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lang w:eastAsia="zh-CN" w:bidi="ar-SA"/>
              </w:rPr>
              <w:t>良】</w:t>
            </w:r>
            <w:r>
              <w:rPr>
                <w:rFonts w:hint="eastAsia" w:ascii="宋体" w:hAnsi="宋体" w:eastAsia="宋体" w:cs="宋体"/>
                <w:color w:val="auto"/>
                <w:sz w:val="21"/>
                <w:szCs w:val="21"/>
                <w:highlight w:val="none"/>
                <w:lang w:val="zh-TW" w:eastAsia="zh-CN" w:bidi="ar-SA"/>
              </w:rPr>
              <w:t>有绿色节能控制措施，措施较具体、较可行、针对性较强，措施较完善的，较好地节约资源与减少对环境的负面影响，以达到四节一环保（节能、节地、节水、节材和环境保护）的目标，得</w:t>
            </w: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zh-TW" w:eastAsia="zh-CN" w:bidi="ar-SA"/>
              </w:rPr>
              <w:t>分；</w:t>
            </w:r>
          </w:p>
          <w:p>
            <w:pPr>
              <w:jc w:val="left"/>
              <w:rPr>
                <w:rFonts w:hint="eastAsia" w:ascii="宋体" w:hAnsi="宋体" w:eastAsia="宋体" w:cs="宋体"/>
                <w:color w:val="auto"/>
                <w:sz w:val="21"/>
                <w:szCs w:val="21"/>
                <w:highlight w:val="none"/>
                <w:lang w:val="zh-TW" w:eastAsia="zh-CN" w:bidi="ar-SA"/>
              </w:rPr>
            </w:pPr>
            <w:r>
              <w:rPr>
                <w:rFonts w:hint="eastAsia" w:ascii="宋体" w:hAnsi="宋体" w:eastAsia="宋体" w:cs="宋体"/>
                <w:color w:val="auto"/>
                <w:sz w:val="21"/>
                <w:szCs w:val="21"/>
                <w:highlight w:val="none"/>
                <w:lang w:eastAsia="zh-CN" w:bidi="ar-SA"/>
              </w:rPr>
              <w:t>【中】</w:t>
            </w:r>
            <w:r>
              <w:rPr>
                <w:rFonts w:hint="eastAsia" w:ascii="宋体" w:hAnsi="宋体" w:eastAsia="宋体" w:cs="宋体"/>
                <w:color w:val="auto"/>
                <w:sz w:val="21"/>
                <w:szCs w:val="21"/>
                <w:highlight w:val="none"/>
                <w:lang w:val="zh-TW" w:eastAsia="zh-CN" w:bidi="ar-SA"/>
              </w:rPr>
              <w:t>有绿色节能控制措施，不够具体、针对性一般的，得</w:t>
            </w:r>
            <w:r>
              <w:rPr>
                <w:rFonts w:hint="eastAsia" w:ascii="宋体" w:hAnsi="宋体" w:eastAsia="宋体" w:cs="宋体"/>
                <w:color w:val="auto"/>
                <w:sz w:val="21"/>
                <w:szCs w:val="21"/>
                <w:highlight w:val="none"/>
                <w:lang w:val="en-US" w:eastAsia="zh-CN" w:bidi="ar-SA"/>
              </w:rPr>
              <w:t>6</w:t>
            </w:r>
            <w:r>
              <w:rPr>
                <w:rFonts w:hint="eastAsia" w:ascii="宋体" w:hAnsi="宋体" w:eastAsia="宋体" w:cs="宋体"/>
                <w:color w:val="auto"/>
                <w:sz w:val="21"/>
                <w:szCs w:val="21"/>
                <w:highlight w:val="none"/>
                <w:lang w:val="zh-TW" w:eastAsia="zh-CN" w:bidi="ar-SA"/>
              </w:rPr>
              <w:t>分。</w:t>
            </w:r>
          </w:p>
          <w:p>
            <w:pPr>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eastAsia="zh-CN" w:bidi="ar-SA"/>
              </w:rPr>
              <w:t>【差】</w:t>
            </w:r>
            <w:r>
              <w:rPr>
                <w:rFonts w:hint="eastAsia" w:ascii="宋体" w:hAnsi="宋体" w:eastAsia="宋体" w:cs="宋体"/>
                <w:color w:val="auto"/>
                <w:sz w:val="21"/>
                <w:szCs w:val="21"/>
                <w:highlight w:val="none"/>
                <w:lang w:val="zh-TW" w:eastAsia="zh-CN" w:bidi="ar-SA"/>
              </w:rPr>
              <w:t>不满足前述要求者或不提供内容的，得</w:t>
            </w:r>
            <w:r>
              <w:rPr>
                <w:rFonts w:hint="eastAsia" w:ascii="宋体" w:hAnsi="宋体" w:eastAsia="宋体" w:cs="宋体"/>
                <w:color w:val="auto"/>
                <w:sz w:val="21"/>
                <w:szCs w:val="21"/>
                <w:highlight w:val="none"/>
                <w:lang w:val="en-US" w:eastAsia="zh-CN" w:bidi="ar-SA"/>
              </w:rPr>
              <w:t>0</w:t>
            </w:r>
            <w:r>
              <w:rPr>
                <w:rFonts w:hint="eastAsia" w:ascii="宋体" w:hAnsi="宋体" w:eastAsia="宋体" w:cs="宋体"/>
                <w:color w:val="auto"/>
                <w:sz w:val="21"/>
                <w:szCs w:val="21"/>
                <w:highlight w:val="none"/>
                <w:lang w:val="zh-TW"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822"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lang w:val="en-US" w:eastAsia="zh-CN"/>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lang w:val="en-US" w:eastAsia="zh-CN"/>
              </w:rPr>
            </w:pPr>
          </w:p>
        </w:tc>
        <w:tc>
          <w:tcPr>
            <w:tcW w:w="1196" w:type="dxa"/>
            <w:shd w:val="clear" w:color="auto" w:fill="FFFFFF"/>
            <w:noWrap w:val="0"/>
            <w:tcMar>
              <w:left w:w="108" w:type="dxa"/>
              <w:right w:w="108" w:type="dxa"/>
            </w:tcMar>
            <w:vAlign w:val="center"/>
          </w:tcPr>
          <w:p>
            <w:pPr>
              <w:pStyle w:val="17"/>
              <w:widowControl/>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进度控制措施</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10分</w:t>
            </w:r>
          </w:p>
        </w:tc>
        <w:tc>
          <w:tcPr>
            <w:tcW w:w="11101" w:type="dxa"/>
            <w:shd w:val="clear" w:color="auto" w:fill="FFFFFF"/>
            <w:noWrap w:val="0"/>
            <w:tcMar>
              <w:left w:w="108" w:type="dxa"/>
              <w:right w:w="108" w:type="dxa"/>
            </w:tcMar>
            <w:vAlign w:val="center"/>
          </w:tcPr>
          <w:p>
            <w:pPr>
              <w:jc w:val="left"/>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eastAsia="zh-CN" w:bidi="ar-SA"/>
              </w:rPr>
              <w:t>【优】制定了施工进度计划并有进度计划保证措施，总工期比招标文件要求提前10天（或以上）的，得</w:t>
            </w:r>
            <w:r>
              <w:rPr>
                <w:rFonts w:hint="eastAsia" w:ascii="宋体" w:hAnsi="宋体" w:eastAsia="宋体" w:cs="宋体"/>
                <w:color w:val="auto"/>
                <w:sz w:val="21"/>
                <w:szCs w:val="21"/>
                <w:highlight w:val="none"/>
                <w:lang w:val="en-US" w:eastAsia="zh-CN" w:bidi="ar-SA"/>
              </w:rPr>
              <w:t>10分</w:t>
            </w:r>
            <w:r>
              <w:rPr>
                <w:rFonts w:hint="eastAsia" w:ascii="宋体" w:hAnsi="宋体" w:eastAsia="宋体" w:cs="宋体"/>
                <w:color w:val="auto"/>
                <w:sz w:val="21"/>
                <w:szCs w:val="21"/>
                <w:highlight w:val="none"/>
                <w:lang w:eastAsia="zh-CN" w:bidi="ar-SA"/>
              </w:rPr>
              <w:t>。</w:t>
            </w:r>
          </w:p>
          <w:p>
            <w:pPr>
              <w:jc w:val="left"/>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eastAsia="zh-CN" w:bidi="ar-SA"/>
              </w:rPr>
              <w:t>【良】制定了施工进度计划并有进度计划保证措施，总工期比招标文件要求提前5天（含本数）-10天（不含本数）的，得</w:t>
            </w:r>
            <w:r>
              <w:rPr>
                <w:rFonts w:hint="eastAsia" w:ascii="宋体" w:hAnsi="宋体" w:eastAsia="宋体" w:cs="宋体"/>
                <w:color w:val="auto"/>
                <w:sz w:val="21"/>
                <w:szCs w:val="21"/>
                <w:highlight w:val="none"/>
                <w:lang w:val="en-US" w:eastAsia="zh-CN" w:bidi="ar-SA"/>
              </w:rPr>
              <w:t>8分</w:t>
            </w:r>
            <w:r>
              <w:rPr>
                <w:rFonts w:hint="eastAsia" w:ascii="宋体" w:hAnsi="宋体" w:eastAsia="宋体" w:cs="宋体"/>
                <w:color w:val="auto"/>
                <w:sz w:val="21"/>
                <w:szCs w:val="21"/>
                <w:highlight w:val="none"/>
                <w:lang w:eastAsia="zh-CN" w:bidi="ar-SA"/>
              </w:rPr>
              <w:t>。</w:t>
            </w:r>
          </w:p>
          <w:p>
            <w:pPr>
              <w:jc w:val="left"/>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eastAsia="zh-CN" w:bidi="ar-SA"/>
              </w:rPr>
              <w:t>【中】制定了施工进度计划并有进度计划保证措施，总工期比招标文件要求提前1天（含本数）-5天（不含本数）的，得</w:t>
            </w:r>
            <w:r>
              <w:rPr>
                <w:rFonts w:hint="eastAsia" w:ascii="宋体" w:hAnsi="宋体" w:eastAsia="宋体" w:cs="宋体"/>
                <w:color w:val="auto"/>
                <w:sz w:val="21"/>
                <w:szCs w:val="21"/>
                <w:highlight w:val="none"/>
                <w:lang w:val="en-US" w:eastAsia="zh-CN" w:bidi="ar-SA"/>
              </w:rPr>
              <w:t>6分</w:t>
            </w:r>
            <w:r>
              <w:rPr>
                <w:rFonts w:hint="eastAsia" w:ascii="宋体" w:hAnsi="宋体" w:eastAsia="宋体" w:cs="宋体"/>
                <w:color w:val="auto"/>
                <w:sz w:val="21"/>
                <w:szCs w:val="21"/>
                <w:highlight w:val="none"/>
                <w:lang w:eastAsia="zh-CN" w:bidi="ar-SA"/>
              </w:rPr>
              <w:t>。</w:t>
            </w:r>
          </w:p>
          <w:p>
            <w:pPr>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eastAsia="zh-CN" w:bidi="ar-SA"/>
              </w:rPr>
              <w:t>【差】其他情况或</w:t>
            </w:r>
            <w:r>
              <w:rPr>
                <w:rFonts w:hint="eastAsia" w:ascii="宋体" w:hAnsi="宋体" w:eastAsia="宋体" w:cs="宋体"/>
                <w:color w:val="auto"/>
                <w:sz w:val="21"/>
                <w:szCs w:val="21"/>
                <w:highlight w:val="none"/>
                <w:lang w:bidi="ar-SA"/>
              </w:rPr>
              <w:t>不提供的或</w:t>
            </w:r>
            <w:r>
              <w:rPr>
                <w:rFonts w:hint="eastAsia" w:ascii="宋体" w:hAnsi="宋体" w:eastAsia="宋体" w:cs="宋体"/>
                <w:color w:val="auto"/>
                <w:sz w:val="21"/>
                <w:szCs w:val="21"/>
                <w:highlight w:val="none"/>
                <w:lang w:eastAsia="zh-CN" w:bidi="ar-SA"/>
              </w:rPr>
              <w:t>总工期不比招标文件要求提前的，得</w:t>
            </w:r>
            <w:r>
              <w:rPr>
                <w:rFonts w:hint="eastAsia" w:ascii="宋体" w:hAnsi="宋体" w:eastAsia="宋体" w:cs="宋体"/>
                <w:color w:val="auto"/>
                <w:sz w:val="21"/>
                <w:szCs w:val="21"/>
                <w:highlight w:val="none"/>
                <w:lang w:val="en-US" w:eastAsia="zh-CN" w:bidi="ar-SA"/>
              </w:rPr>
              <w:t>0分</w:t>
            </w:r>
            <w:r>
              <w:rPr>
                <w:rFonts w:hint="eastAsia" w:ascii="宋体" w:hAnsi="宋体" w:eastAsia="宋体" w:cs="宋体"/>
                <w:color w:val="auto"/>
                <w:sz w:val="21"/>
                <w:szCs w:val="21"/>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822"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lang w:val="en-US" w:eastAsia="zh-CN"/>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lang w:val="en-US" w:eastAsia="zh-CN"/>
              </w:rPr>
            </w:pPr>
          </w:p>
        </w:tc>
        <w:tc>
          <w:tcPr>
            <w:tcW w:w="1196" w:type="dxa"/>
            <w:shd w:val="clear" w:color="auto" w:fill="FFFFFF"/>
            <w:noWrap w:val="0"/>
            <w:tcMar>
              <w:left w:w="108" w:type="dxa"/>
              <w:right w:w="108" w:type="dxa"/>
            </w:tcMar>
            <w:vAlign w:val="center"/>
          </w:tcPr>
          <w:p>
            <w:pPr>
              <w:pStyle w:val="17"/>
              <w:widowControl/>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eastAsia="zh-CN" w:bidi="ar-SA"/>
              </w:rPr>
              <w:t>质量控制措施</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10分</w:t>
            </w:r>
          </w:p>
        </w:tc>
        <w:tc>
          <w:tcPr>
            <w:tcW w:w="11101" w:type="dxa"/>
            <w:shd w:val="clear" w:color="auto" w:fill="FFFFFF"/>
            <w:noWrap w:val="0"/>
            <w:tcMar>
              <w:left w:w="108" w:type="dxa"/>
              <w:right w:w="108" w:type="dxa"/>
            </w:tcMar>
            <w:vAlign w:val="center"/>
          </w:tcPr>
          <w:p>
            <w:pPr>
              <w:pStyle w:val="17"/>
              <w:widowControl/>
              <w:spacing w:before="0" w:beforeAutospacing="0" w:after="0" w:afterAutospacing="0"/>
              <w:jc w:val="left"/>
              <w:rPr>
                <w:rFonts w:hint="eastAsia" w:ascii="宋体" w:hAnsi="宋体" w:eastAsia="宋体" w:cs="宋体"/>
                <w:b w:val="0"/>
                <w:bCs w:val="0"/>
                <w:color w:val="auto"/>
                <w:sz w:val="21"/>
                <w:szCs w:val="21"/>
                <w:highlight w:val="none"/>
                <w:lang w:eastAsia="zh-CN" w:bidi="ar-SA"/>
              </w:rPr>
            </w:pPr>
            <w:r>
              <w:rPr>
                <w:rFonts w:hint="eastAsia" w:ascii="宋体" w:hAnsi="宋体" w:eastAsia="宋体" w:cs="宋体"/>
                <w:b w:val="0"/>
                <w:bCs w:val="0"/>
                <w:color w:val="auto"/>
                <w:sz w:val="21"/>
                <w:szCs w:val="21"/>
                <w:highlight w:val="none"/>
                <w:lang w:bidi="ar-SA"/>
              </w:rPr>
              <w:t>【优】制定质量控制措施</w:t>
            </w:r>
            <w:r>
              <w:rPr>
                <w:rFonts w:hint="eastAsia" w:ascii="宋体" w:hAnsi="宋体" w:eastAsia="宋体" w:cs="宋体"/>
                <w:b w:val="0"/>
                <w:bCs w:val="0"/>
                <w:color w:val="auto"/>
                <w:sz w:val="21"/>
                <w:szCs w:val="21"/>
                <w:highlight w:val="none"/>
                <w:lang w:eastAsia="zh-CN" w:bidi="ar-SA"/>
              </w:rPr>
              <w:t>，内容有质量目标、质量保证体系、质量保证措施、质量通病预防措施、材料进场检验措施、成品保护措施、质量事故应急预案以上全部七项的，</w:t>
            </w:r>
            <w:r>
              <w:rPr>
                <w:rFonts w:hint="eastAsia" w:ascii="宋体" w:hAnsi="宋体" w:eastAsia="宋体" w:cs="宋体"/>
                <w:b w:val="0"/>
                <w:bCs w:val="0"/>
                <w:color w:val="auto"/>
                <w:sz w:val="21"/>
                <w:szCs w:val="21"/>
                <w:highlight w:val="none"/>
                <w:lang w:bidi="ar-SA"/>
              </w:rPr>
              <w:t>得</w:t>
            </w:r>
            <w:r>
              <w:rPr>
                <w:rFonts w:hint="eastAsia" w:ascii="宋体" w:hAnsi="宋体" w:eastAsia="宋体" w:cs="宋体"/>
                <w:b w:val="0"/>
                <w:bCs w:val="0"/>
                <w:color w:val="auto"/>
                <w:sz w:val="21"/>
                <w:szCs w:val="21"/>
                <w:highlight w:val="none"/>
                <w:lang w:val="en-US" w:eastAsia="zh-CN" w:bidi="ar-SA"/>
              </w:rPr>
              <w:t>10分</w:t>
            </w:r>
            <w:r>
              <w:rPr>
                <w:rFonts w:hint="eastAsia" w:ascii="宋体" w:hAnsi="宋体" w:eastAsia="宋体" w:cs="宋体"/>
                <w:b w:val="0"/>
                <w:bCs w:val="0"/>
                <w:color w:val="auto"/>
                <w:sz w:val="21"/>
                <w:szCs w:val="21"/>
                <w:highlight w:val="none"/>
                <w:lang w:bidi="ar-SA"/>
              </w:rPr>
              <w:t>。</w:t>
            </w:r>
          </w:p>
          <w:p>
            <w:pPr>
              <w:pStyle w:val="17"/>
              <w:widowControl/>
              <w:spacing w:before="0" w:beforeAutospacing="0" w:after="0" w:afterAutospacing="0"/>
              <w:jc w:val="left"/>
              <w:rPr>
                <w:rFonts w:hint="eastAsia" w:ascii="宋体" w:hAnsi="宋体" w:eastAsia="宋体" w:cs="宋体"/>
                <w:b w:val="0"/>
                <w:bCs w:val="0"/>
                <w:color w:val="auto"/>
                <w:sz w:val="21"/>
                <w:szCs w:val="21"/>
                <w:highlight w:val="none"/>
                <w:lang w:eastAsia="zh-CN" w:bidi="ar-SA"/>
              </w:rPr>
            </w:pPr>
            <w:r>
              <w:rPr>
                <w:rFonts w:hint="eastAsia" w:ascii="宋体" w:hAnsi="宋体" w:eastAsia="宋体" w:cs="宋体"/>
                <w:b w:val="0"/>
                <w:bCs w:val="0"/>
                <w:color w:val="auto"/>
                <w:sz w:val="21"/>
                <w:szCs w:val="21"/>
                <w:highlight w:val="none"/>
                <w:lang w:bidi="ar-SA"/>
              </w:rPr>
              <w:t>【良】有质量控制措施</w:t>
            </w:r>
            <w:r>
              <w:rPr>
                <w:rFonts w:hint="eastAsia" w:ascii="宋体" w:hAnsi="宋体" w:eastAsia="宋体" w:cs="宋体"/>
                <w:b w:val="0"/>
                <w:bCs w:val="0"/>
                <w:color w:val="auto"/>
                <w:sz w:val="21"/>
                <w:szCs w:val="21"/>
                <w:highlight w:val="none"/>
                <w:lang w:eastAsia="zh-CN" w:bidi="ar-SA"/>
              </w:rPr>
              <w:t>，内容有质量目标、质量保证体系、质量保证措施、质量通病预防措施、材料进场检验措施、成品保护措施、质量事故应急预案其中六项的，</w:t>
            </w:r>
            <w:r>
              <w:rPr>
                <w:rFonts w:hint="eastAsia" w:ascii="宋体" w:hAnsi="宋体" w:eastAsia="宋体" w:cs="宋体"/>
                <w:b w:val="0"/>
                <w:bCs w:val="0"/>
                <w:color w:val="auto"/>
                <w:sz w:val="21"/>
                <w:szCs w:val="21"/>
                <w:highlight w:val="none"/>
                <w:lang w:bidi="ar-SA"/>
              </w:rPr>
              <w:t>得</w:t>
            </w:r>
            <w:r>
              <w:rPr>
                <w:rFonts w:hint="eastAsia" w:ascii="宋体" w:hAnsi="宋体" w:eastAsia="宋体" w:cs="宋体"/>
                <w:b w:val="0"/>
                <w:bCs w:val="0"/>
                <w:color w:val="auto"/>
                <w:sz w:val="21"/>
                <w:szCs w:val="21"/>
                <w:highlight w:val="none"/>
                <w:lang w:val="en-US" w:eastAsia="zh-CN" w:bidi="ar-SA"/>
              </w:rPr>
              <w:t>8分</w:t>
            </w:r>
            <w:r>
              <w:rPr>
                <w:rFonts w:hint="eastAsia" w:ascii="宋体" w:hAnsi="宋体" w:eastAsia="宋体" w:cs="宋体"/>
                <w:b w:val="0"/>
                <w:bCs w:val="0"/>
                <w:color w:val="auto"/>
                <w:sz w:val="21"/>
                <w:szCs w:val="21"/>
                <w:highlight w:val="none"/>
                <w:lang w:bidi="ar-SA"/>
              </w:rPr>
              <w:t>。</w:t>
            </w:r>
          </w:p>
          <w:p>
            <w:pPr>
              <w:pStyle w:val="17"/>
              <w:widowControl/>
              <w:spacing w:before="0" w:beforeAutospacing="0" w:after="0" w:afterAutospacing="0"/>
              <w:jc w:val="left"/>
              <w:rPr>
                <w:rFonts w:hint="eastAsia" w:ascii="宋体" w:hAnsi="宋体" w:eastAsia="宋体" w:cs="宋体"/>
                <w:b w:val="0"/>
                <w:bCs w:val="0"/>
                <w:color w:val="auto"/>
                <w:sz w:val="21"/>
                <w:szCs w:val="21"/>
                <w:highlight w:val="none"/>
                <w:lang w:eastAsia="zh-CN" w:bidi="ar-SA"/>
              </w:rPr>
            </w:pPr>
            <w:r>
              <w:rPr>
                <w:rFonts w:hint="eastAsia" w:ascii="宋体" w:hAnsi="宋体" w:eastAsia="宋体" w:cs="宋体"/>
                <w:b w:val="0"/>
                <w:bCs w:val="0"/>
                <w:color w:val="auto"/>
                <w:sz w:val="21"/>
                <w:szCs w:val="21"/>
                <w:highlight w:val="none"/>
                <w:lang w:bidi="ar-SA"/>
              </w:rPr>
              <w:t>【中】有质量控制措施</w:t>
            </w:r>
            <w:r>
              <w:rPr>
                <w:rFonts w:hint="eastAsia" w:ascii="宋体" w:hAnsi="宋体" w:eastAsia="宋体" w:cs="宋体"/>
                <w:b w:val="0"/>
                <w:bCs w:val="0"/>
                <w:color w:val="auto"/>
                <w:sz w:val="21"/>
                <w:szCs w:val="21"/>
                <w:highlight w:val="none"/>
                <w:lang w:eastAsia="zh-CN" w:bidi="ar-SA"/>
              </w:rPr>
              <w:t>，内容有质量目标、质量保证体系、质量保证措施、质量通病预防措施、材料进场检验措施、成品保护措施、质量事故应急预案其中五项的，</w:t>
            </w:r>
            <w:r>
              <w:rPr>
                <w:rFonts w:hint="eastAsia" w:ascii="宋体" w:hAnsi="宋体" w:eastAsia="宋体" w:cs="宋体"/>
                <w:b w:val="0"/>
                <w:bCs w:val="0"/>
                <w:color w:val="auto"/>
                <w:sz w:val="21"/>
                <w:szCs w:val="21"/>
                <w:highlight w:val="none"/>
                <w:lang w:bidi="ar-SA"/>
              </w:rPr>
              <w:t>得</w:t>
            </w:r>
            <w:r>
              <w:rPr>
                <w:rFonts w:hint="eastAsia" w:ascii="宋体" w:hAnsi="宋体" w:eastAsia="宋体" w:cs="宋体"/>
                <w:b w:val="0"/>
                <w:bCs w:val="0"/>
                <w:color w:val="auto"/>
                <w:sz w:val="21"/>
                <w:szCs w:val="21"/>
                <w:highlight w:val="none"/>
                <w:lang w:val="en-US" w:eastAsia="zh-CN" w:bidi="ar-SA"/>
              </w:rPr>
              <w:t>6分</w:t>
            </w:r>
            <w:r>
              <w:rPr>
                <w:rFonts w:hint="eastAsia" w:ascii="宋体" w:hAnsi="宋体" w:eastAsia="宋体" w:cs="宋体"/>
                <w:b w:val="0"/>
                <w:bCs w:val="0"/>
                <w:color w:val="auto"/>
                <w:sz w:val="21"/>
                <w:szCs w:val="21"/>
                <w:highlight w:val="none"/>
                <w:lang w:bidi="ar-SA"/>
              </w:rPr>
              <w:t>。</w:t>
            </w:r>
          </w:p>
          <w:p>
            <w:pPr>
              <w:pStyle w:val="17"/>
              <w:widowControl/>
              <w:spacing w:before="0" w:beforeAutospacing="0" w:after="0" w:afterAutospacing="0"/>
              <w:jc w:val="left"/>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bidi="ar-SA"/>
              </w:rPr>
              <w:t>【差】其他情况或不提供的，得</w:t>
            </w:r>
            <w:r>
              <w:rPr>
                <w:rFonts w:hint="eastAsia" w:ascii="宋体" w:hAnsi="宋体" w:eastAsia="宋体" w:cs="宋体"/>
                <w:b w:val="0"/>
                <w:bCs w:val="0"/>
                <w:color w:val="auto"/>
                <w:sz w:val="21"/>
                <w:szCs w:val="21"/>
                <w:highlight w:val="none"/>
                <w:lang w:val="en-US" w:eastAsia="zh-CN" w:bidi="ar-SA"/>
              </w:rPr>
              <w:t>0</w:t>
            </w:r>
            <w:r>
              <w:rPr>
                <w:rFonts w:hint="eastAsia" w:ascii="宋体" w:hAnsi="宋体" w:eastAsia="宋体" w:cs="宋体"/>
                <w:b w:val="0"/>
                <w:bCs w:val="0"/>
                <w:color w:val="auto"/>
                <w:sz w:val="21"/>
                <w:szCs w:val="21"/>
                <w:highlight w:val="none"/>
                <w:lang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822" w:hRule="atLeast"/>
          <w:jc w:val="center"/>
        </w:trPr>
        <w:tc>
          <w:tcPr>
            <w:tcW w:w="658"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lang w:val="en-US" w:eastAsia="zh-CN"/>
              </w:rPr>
            </w:pPr>
          </w:p>
        </w:tc>
        <w:tc>
          <w:tcPr>
            <w:tcW w:w="1194" w:type="dxa"/>
            <w:vMerge w:val="continue"/>
            <w:shd w:val="clear" w:color="auto" w:fill="FFFFFF"/>
            <w:noWrap w:val="0"/>
            <w:tcMar>
              <w:left w:w="108" w:type="dxa"/>
              <w:right w:w="108" w:type="dxa"/>
            </w:tcMar>
            <w:vAlign w:val="center"/>
          </w:tcPr>
          <w:p>
            <w:pPr>
              <w:rPr>
                <w:rFonts w:hint="eastAsia" w:ascii="宋体" w:hAnsi="宋体" w:eastAsia="宋体" w:cs="宋体"/>
                <w:b w:val="0"/>
                <w:bCs w:val="0"/>
                <w:color w:val="auto"/>
                <w:highlight w:val="none"/>
                <w:lang w:val="en-US" w:eastAsia="zh-CN"/>
              </w:rPr>
            </w:pPr>
          </w:p>
        </w:tc>
        <w:tc>
          <w:tcPr>
            <w:tcW w:w="1196" w:type="dxa"/>
            <w:shd w:val="clear" w:color="auto" w:fill="FFFFFF"/>
            <w:noWrap w:val="0"/>
            <w:tcMar>
              <w:left w:w="108" w:type="dxa"/>
              <w:right w:w="108" w:type="dxa"/>
            </w:tcMar>
            <w:vAlign w:val="center"/>
          </w:tcPr>
          <w:p>
            <w:pPr>
              <w:pStyle w:val="17"/>
              <w:widowControl/>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bidi="ar-SA"/>
              </w:rPr>
              <w:t>安全文明施工措施</w:t>
            </w:r>
          </w:p>
        </w:tc>
        <w:tc>
          <w:tcPr>
            <w:tcW w:w="567" w:type="dxa"/>
            <w:shd w:val="clear" w:color="auto" w:fill="FFFFFF"/>
            <w:noWrap w:val="0"/>
            <w:tcMar>
              <w:left w:w="108" w:type="dxa"/>
              <w:right w:w="108" w:type="dxa"/>
            </w:tcMar>
            <w:vAlign w:val="center"/>
          </w:tcPr>
          <w:p>
            <w:pPr>
              <w:pStyle w:val="17"/>
              <w:widowControl/>
              <w:spacing w:before="0" w:beforeAutospacing="0" w:after="0" w:afterAutospacing="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10分</w:t>
            </w:r>
          </w:p>
        </w:tc>
        <w:tc>
          <w:tcPr>
            <w:tcW w:w="11101" w:type="dxa"/>
            <w:shd w:val="clear" w:color="auto" w:fill="FFFFFF"/>
            <w:noWrap w:val="0"/>
            <w:tcMar>
              <w:left w:w="108" w:type="dxa"/>
              <w:right w:w="108" w:type="dxa"/>
            </w:tcMar>
            <w:vAlign w:val="center"/>
          </w:tcPr>
          <w:p>
            <w:pPr>
              <w:pStyle w:val="17"/>
              <w:widowControl/>
              <w:spacing w:before="0" w:beforeAutospacing="0" w:after="0" w:afterAutospacing="0"/>
              <w:jc w:val="left"/>
              <w:rPr>
                <w:rFonts w:hint="eastAsia" w:ascii="宋体" w:hAnsi="宋体" w:eastAsia="宋体" w:cs="宋体"/>
                <w:b w:val="0"/>
                <w:bCs w:val="0"/>
                <w:color w:val="auto"/>
                <w:sz w:val="21"/>
                <w:szCs w:val="21"/>
                <w:highlight w:val="none"/>
                <w:lang w:bidi="ar-SA"/>
              </w:rPr>
            </w:pPr>
            <w:r>
              <w:rPr>
                <w:rFonts w:hint="eastAsia" w:ascii="宋体" w:hAnsi="宋体" w:eastAsia="宋体" w:cs="宋体"/>
                <w:color w:val="auto"/>
                <w:sz w:val="21"/>
                <w:szCs w:val="21"/>
                <w:highlight w:val="none"/>
                <w:lang w:bidi="ar-SA"/>
              </w:rPr>
              <w:t>【优】</w:t>
            </w:r>
            <w:r>
              <w:rPr>
                <w:rFonts w:hint="eastAsia" w:ascii="宋体" w:hAnsi="宋体" w:eastAsia="宋体" w:cs="宋体"/>
                <w:b w:val="0"/>
                <w:bCs w:val="0"/>
                <w:color w:val="auto"/>
                <w:sz w:val="21"/>
                <w:szCs w:val="21"/>
                <w:highlight w:val="none"/>
                <w:lang w:bidi="ar-SA"/>
              </w:rPr>
              <w:t>制定了安全、文明施工保证体系和保证措施，现场安全文明施工目标为确保不发生人员重伤或死亡事故，且轻伤率低于千分之六，得</w:t>
            </w:r>
            <w:r>
              <w:rPr>
                <w:rFonts w:hint="eastAsia" w:ascii="宋体" w:hAnsi="宋体" w:eastAsia="宋体" w:cs="宋体"/>
                <w:b w:val="0"/>
                <w:bCs w:val="0"/>
                <w:color w:val="auto"/>
                <w:sz w:val="21"/>
                <w:szCs w:val="21"/>
                <w:highlight w:val="none"/>
                <w:lang w:val="en-US" w:eastAsia="zh-CN" w:bidi="ar-SA"/>
              </w:rPr>
              <w:t>10</w:t>
            </w:r>
            <w:r>
              <w:rPr>
                <w:rFonts w:hint="eastAsia" w:ascii="宋体" w:hAnsi="宋体" w:eastAsia="宋体" w:cs="宋体"/>
                <w:b w:val="0"/>
                <w:bCs w:val="0"/>
                <w:color w:val="auto"/>
                <w:sz w:val="21"/>
                <w:szCs w:val="21"/>
                <w:highlight w:val="none"/>
                <w:lang w:bidi="ar-SA"/>
              </w:rPr>
              <w:t>分；</w:t>
            </w:r>
          </w:p>
          <w:p>
            <w:pPr>
              <w:pStyle w:val="17"/>
              <w:widowControl/>
              <w:spacing w:before="0" w:beforeAutospacing="0" w:after="0" w:afterAutospacing="0"/>
              <w:jc w:val="left"/>
              <w:rPr>
                <w:rFonts w:hint="eastAsia" w:ascii="宋体" w:hAnsi="宋体" w:eastAsia="宋体" w:cs="宋体"/>
                <w:b w:val="0"/>
                <w:bCs w:val="0"/>
                <w:color w:val="auto"/>
                <w:sz w:val="21"/>
                <w:szCs w:val="21"/>
                <w:highlight w:val="none"/>
                <w:lang w:bidi="ar-SA"/>
              </w:rPr>
            </w:pPr>
            <w:r>
              <w:rPr>
                <w:rFonts w:hint="eastAsia" w:ascii="宋体" w:hAnsi="宋体" w:eastAsia="宋体" w:cs="宋体"/>
                <w:color w:val="auto"/>
                <w:sz w:val="21"/>
                <w:szCs w:val="21"/>
                <w:highlight w:val="none"/>
                <w:lang w:bidi="ar-SA"/>
              </w:rPr>
              <w:t>【良】</w:t>
            </w:r>
            <w:r>
              <w:rPr>
                <w:rFonts w:hint="eastAsia" w:ascii="宋体" w:hAnsi="宋体" w:eastAsia="宋体" w:cs="宋体"/>
                <w:b w:val="0"/>
                <w:bCs w:val="0"/>
                <w:color w:val="auto"/>
                <w:sz w:val="21"/>
                <w:szCs w:val="21"/>
                <w:highlight w:val="none"/>
                <w:lang w:bidi="ar-SA"/>
              </w:rPr>
              <w:t>制定了安全、文明施工保证体系和保证措施，现场安全文明施工目标为确保不发生人员重伤或死亡事故，且轻伤率低于千分之十二，得</w:t>
            </w:r>
            <w:r>
              <w:rPr>
                <w:rFonts w:hint="eastAsia" w:ascii="宋体" w:hAnsi="宋体" w:eastAsia="宋体" w:cs="宋体"/>
                <w:b w:val="0"/>
                <w:bCs w:val="0"/>
                <w:color w:val="auto"/>
                <w:sz w:val="21"/>
                <w:szCs w:val="21"/>
                <w:highlight w:val="none"/>
                <w:lang w:val="en-US" w:eastAsia="zh-CN" w:bidi="ar-SA"/>
              </w:rPr>
              <w:t>8</w:t>
            </w:r>
            <w:r>
              <w:rPr>
                <w:rFonts w:hint="eastAsia" w:ascii="宋体" w:hAnsi="宋体" w:eastAsia="宋体" w:cs="宋体"/>
                <w:b w:val="0"/>
                <w:bCs w:val="0"/>
                <w:color w:val="auto"/>
                <w:sz w:val="21"/>
                <w:szCs w:val="21"/>
                <w:highlight w:val="none"/>
                <w:lang w:bidi="ar-SA"/>
              </w:rPr>
              <w:t>分；</w:t>
            </w:r>
          </w:p>
          <w:p>
            <w:pPr>
              <w:pStyle w:val="17"/>
              <w:widowControl/>
              <w:spacing w:before="0" w:beforeAutospacing="0" w:after="0" w:afterAutospacing="0"/>
              <w:jc w:val="left"/>
              <w:rPr>
                <w:rFonts w:hint="eastAsia" w:ascii="宋体" w:hAnsi="宋体" w:eastAsia="宋体" w:cs="宋体"/>
                <w:b w:val="0"/>
                <w:bCs w:val="0"/>
                <w:color w:val="auto"/>
                <w:sz w:val="21"/>
                <w:szCs w:val="21"/>
                <w:highlight w:val="none"/>
                <w:lang w:bidi="ar-SA"/>
              </w:rPr>
            </w:pPr>
            <w:r>
              <w:rPr>
                <w:rFonts w:hint="eastAsia" w:ascii="宋体" w:hAnsi="宋体" w:eastAsia="宋体" w:cs="宋体"/>
                <w:color w:val="auto"/>
                <w:sz w:val="21"/>
                <w:szCs w:val="21"/>
                <w:highlight w:val="none"/>
                <w:lang w:bidi="ar-SA"/>
              </w:rPr>
              <w:t>【中】</w:t>
            </w:r>
            <w:r>
              <w:rPr>
                <w:rFonts w:hint="eastAsia" w:ascii="宋体" w:hAnsi="宋体" w:eastAsia="宋体" w:cs="宋体"/>
                <w:b w:val="0"/>
                <w:bCs w:val="0"/>
                <w:color w:val="auto"/>
                <w:sz w:val="21"/>
                <w:szCs w:val="21"/>
                <w:highlight w:val="none"/>
                <w:lang w:bidi="ar-SA"/>
              </w:rPr>
              <w:t>制定了安全、文明施工保证体系和保证措施，确保杜绝发生一般等级以上的伤亡事故且工伤责任事故死亡人数为零，得</w:t>
            </w:r>
            <w:r>
              <w:rPr>
                <w:rFonts w:hint="eastAsia" w:ascii="宋体" w:hAnsi="宋体" w:eastAsia="宋体" w:cs="宋体"/>
                <w:b w:val="0"/>
                <w:bCs w:val="0"/>
                <w:color w:val="auto"/>
                <w:sz w:val="21"/>
                <w:szCs w:val="21"/>
                <w:highlight w:val="none"/>
                <w:lang w:val="en-US" w:eastAsia="zh-CN" w:bidi="ar-SA"/>
              </w:rPr>
              <w:t>6</w:t>
            </w:r>
            <w:r>
              <w:rPr>
                <w:rFonts w:hint="eastAsia" w:ascii="宋体" w:hAnsi="宋体" w:eastAsia="宋体" w:cs="宋体"/>
                <w:b w:val="0"/>
                <w:bCs w:val="0"/>
                <w:color w:val="auto"/>
                <w:sz w:val="21"/>
                <w:szCs w:val="21"/>
                <w:highlight w:val="none"/>
                <w:lang w:bidi="ar-SA"/>
              </w:rPr>
              <w:t>分；</w:t>
            </w:r>
          </w:p>
          <w:p>
            <w:pPr>
              <w:pStyle w:val="17"/>
              <w:widowControl/>
              <w:spacing w:before="0" w:beforeAutospacing="0" w:after="0" w:afterAutospacing="0"/>
              <w:ind w:left="0" w:leftChars="0" w:right="0" w:rightChars="0"/>
              <w:jc w:val="left"/>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sz w:val="21"/>
                <w:szCs w:val="21"/>
                <w:highlight w:val="none"/>
                <w:lang w:bidi="ar-SA"/>
              </w:rPr>
              <w:t>【差】</w:t>
            </w:r>
            <w:r>
              <w:rPr>
                <w:rFonts w:hint="eastAsia" w:ascii="宋体" w:hAnsi="宋体" w:eastAsia="宋体" w:cs="宋体"/>
                <w:b w:val="0"/>
                <w:bCs w:val="0"/>
                <w:color w:val="auto"/>
                <w:sz w:val="21"/>
                <w:szCs w:val="21"/>
                <w:highlight w:val="none"/>
                <w:lang w:bidi="ar-SA"/>
              </w:rPr>
              <w:t>无安全文明施工保证措施，得0分。</w:t>
            </w:r>
          </w:p>
        </w:tc>
      </w:tr>
    </w:tbl>
    <w:p>
      <w:pPr>
        <w:spacing w:line="316" w:lineRule="exact"/>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备注：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1、【类似工程业绩】：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类似工程业绩</w:t>
      </w:r>
      <w:r>
        <w:rPr>
          <w:rFonts w:hint="eastAsia" w:ascii="宋体" w:hAnsi="宋体" w:eastAsia="宋体" w:cs="宋体"/>
          <w:b/>
          <w:bCs/>
          <w:color w:val="auto"/>
          <w:highlight w:val="none"/>
          <w:u w:val="none"/>
          <w:lang w:val="en-US" w:eastAsia="zh-CN" w:bidi="ar-SA"/>
        </w:rPr>
        <w:t>指</w:t>
      </w:r>
      <w:r>
        <w:rPr>
          <w:rFonts w:hint="eastAsia" w:ascii="宋体" w:hAnsi="宋体" w:eastAsia="宋体" w:cs="宋体"/>
          <w:b/>
          <w:bCs/>
          <w:color w:val="auto"/>
          <w:sz w:val="21"/>
          <w:szCs w:val="21"/>
          <w:highlight w:val="none"/>
          <w:u w:val="none"/>
          <w:lang w:bidi="ar-SA"/>
        </w:rPr>
        <w:t>质量合格且</w:t>
      </w:r>
      <w:r>
        <w:rPr>
          <w:rFonts w:hint="eastAsia" w:ascii="宋体" w:hAnsi="宋体" w:eastAsia="宋体" w:cs="宋体"/>
          <w:b/>
          <w:bCs/>
          <w:color w:val="auto"/>
          <w:sz w:val="21"/>
          <w:szCs w:val="21"/>
          <w:highlight w:val="none"/>
          <w:u w:val="none"/>
          <w:lang w:val="en-US" w:eastAsia="zh-CN" w:bidi="ar-SA"/>
        </w:rPr>
        <w:t>中标金额为10000万元或以上</w:t>
      </w:r>
      <w:r>
        <w:rPr>
          <w:rFonts w:hint="eastAsia" w:ascii="宋体" w:hAnsi="宋体" w:eastAsia="宋体" w:cs="宋体"/>
          <w:b/>
          <w:bCs/>
          <w:color w:val="auto"/>
          <w:sz w:val="21"/>
          <w:szCs w:val="21"/>
          <w:highlight w:val="none"/>
          <w:u w:val="none"/>
          <w:lang w:bidi="ar-SA"/>
        </w:rPr>
        <w:t>的建筑工程施工总承包项目</w:t>
      </w:r>
      <w:r>
        <w:rPr>
          <w:rFonts w:hint="eastAsia" w:ascii="宋体" w:hAnsi="宋体" w:eastAsia="宋体" w:cs="宋体"/>
          <w:b/>
          <w:bCs/>
          <w:color w:val="auto"/>
          <w:sz w:val="21"/>
          <w:szCs w:val="21"/>
          <w:highlight w:val="none"/>
          <w:u w:val="none"/>
          <w:lang w:val="en-US" w:eastAsia="zh-CN" w:bidi="ar-SA"/>
        </w:rPr>
        <w:t>业绩或建筑工程总承包的施工部分业绩（包括勘察设计施工总承包或设计施工总承包或设计采购施工总承包或勘察设计采购施工总承包业绩）</w:t>
      </w:r>
      <w:r>
        <w:rPr>
          <w:rFonts w:hint="eastAsia" w:ascii="宋体" w:hAnsi="宋体" w:eastAsia="宋体" w:cs="宋体"/>
          <w:b/>
          <w:bCs/>
          <w:color w:val="auto"/>
          <w:highlight w:val="none"/>
          <w:u w:val="none"/>
          <w:lang w:bidi="ar-SA"/>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业绩取自广州市住建行业信用管理平台</w:t>
      </w:r>
      <w:r>
        <w:rPr>
          <w:rFonts w:hint="eastAsia" w:ascii="宋体" w:hAnsi="宋体" w:eastAsia="宋体" w:cs="宋体"/>
          <w:b w:val="0"/>
          <w:bCs w:val="0"/>
          <w:color w:val="auto"/>
          <w:highlight w:val="none"/>
          <w:u w:val="none"/>
          <w:lang w:val="en-US" w:eastAsia="zh-CN" w:bidi="ar-SA"/>
        </w:rPr>
        <w:t>上传件</w:t>
      </w:r>
      <w:r>
        <w:rPr>
          <w:rFonts w:hint="eastAsia" w:ascii="宋体" w:hAnsi="宋体" w:eastAsia="宋体" w:cs="宋体"/>
          <w:color w:val="auto"/>
          <w:highlight w:val="none"/>
          <w:u w:val="none"/>
          <w:lang w:bidi="ar-SA"/>
        </w:rPr>
        <w:t>。投标人须提供类似工程业绩的项目名称及业绩在</w:t>
      </w:r>
      <w:r>
        <w:rPr>
          <w:rFonts w:hint="eastAsia" w:ascii="宋体" w:hAnsi="宋体" w:eastAsia="宋体" w:cs="宋体"/>
          <w:b/>
          <w:bCs/>
          <w:color w:val="auto"/>
          <w:highlight w:val="none"/>
          <w:u w:val="none"/>
          <w:lang w:bidi="ar-SA"/>
        </w:rPr>
        <w:t>广州市住建行业信用管理平台中项目编号</w:t>
      </w:r>
      <w:r>
        <w:rPr>
          <w:rFonts w:hint="eastAsia" w:ascii="宋体" w:hAnsi="宋体" w:eastAsia="宋体" w:cs="宋体"/>
          <w:b/>
          <w:bCs/>
          <w:color w:val="auto"/>
          <w:kern w:val="2"/>
          <w:sz w:val="21"/>
          <w:szCs w:val="21"/>
          <w:highlight w:val="none"/>
          <w:lang w:val="en-US" w:eastAsia="zh-CN" w:bidi="ar"/>
        </w:rPr>
        <w:t>和业绩在广州市住建行业信用管理平台的网页信息截图</w:t>
      </w:r>
      <w:r>
        <w:rPr>
          <w:rFonts w:hint="eastAsia" w:ascii="宋体" w:hAnsi="宋体" w:eastAsia="宋体" w:cs="宋体"/>
          <w:color w:val="auto"/>
          <w:kern w:val="2"/>
          <w:sz w:val="21"/>
          <w:szCs w:val="21"/>
          <w:highlight w:val="none"/>
          <w:lang w:val="en-US" w:eastAsia="zh-CN" w:bidi="ar"/>
        </w:rPr>
        <w:t>（网页信息截图须能清晰显示带有“住建行业信用管理平台”名称，并至少包含“项目基本信息”等信息）以供核对（业绩相关附件的上传件取广州市住建行业信用管理平台，投标阶段可不重复提交）</w:t>
      </w:r>
      <w:r>
        <w:rPr>
          <w:rFonts w:hint="eastAsia" w:ascii="宋体" w:hAnsi="宋体" w:eastAsia="宋体" w:cs="宋体"/>
          <w:color w:val="auto"/>
          <w:highlight w:val="none"/>
          <w:u w:val="none"/>
          <w:lang w:bidi="ar-SA"/>
        </w:rPr>
        <w:t>。用于本项目投标的类似业绩，在平台中“工程对应的企业资质”栏中须登记有与本项目要求相对应的资质（具体资质要求：建筑工程施工总承包（原房屋建筑工程施工总承包）资质）。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keepNext w:val="0"/>
        <w:keepLines w:val="0"/>
        <w:pageBreakBefore w:val="0"/>
        <w:numPr>
          <w:ilvl w:val="0"/>
          <w:numId w:val="3"/>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b/>
          <w:bCs/>
          <w:color w:val="auto"/>
          <w:sz w:val="21"/>
          <w:szCs w:val="21"/>
          <w:highlight w:val="none"/>
          <w:u w:val="none"/>
          <w:lang w:val="en-US" w:eastAsia="zh-CN" w:bidi="ar-SA"/>
        </w:rPr>
        <w:t>金额以中标通知书为准，中标通知书无金额的以</w:t>
      </w:r>
      <w:r>
        <w:rPr>
          <w:rFonts w:hint="eastAsia" w:ascii="宋体" w:hAnsi="宋体" w:eastAsia="宋体" w:cs="宋体"/>
          <w:b/>
          <w:bCs/>
          <w:color w:val="auto"/>
          <w:highlight w:val="none"/>
          <w:u w:val="none"/>
          <w:lang w:bidi="ar-SA"/>
        </w:rPr>
        <w:t>施工合同为准</w:t>
      </w:r>
      <w:r>
        <w:rPr>
          <w:rFonts w:hint="eastAsia" w:ascii="宋体" w:hAnsi="宋体" w:eastAsia="宋体" w:cs="宋体"/>
          <w:b/>
          <w:bCs/>
          <w:color w:val="auto"/>
          <w:highlight w:val="none"/>
          <w:u w:val="none"/>
          <w:lang w:eastAsia="zh-CN" w:bidi="ar-SA"/>
        </w:rPr>
        <w:t>。</w:t>
      </w:r>
    </w:p>
    <w:p>
      <w:pPr>
        <w:keepNext w:val="0"/>
        <w:keepLines w:val="0"/>
        <w:pageBreakBefore w:val="0"/>
        <w:numPr>
          <w:ilvl w:val="0"/>
          <w:numId w:val="3"/>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完成时间以竣工验收文件为准。验收文件至少具有建设单位、设计、施工和监理单位盖章。</w:t>
      </w:r>
    </w:p>
    <w:p>
      <w:pPr>
        <w:keepNext w:val="0"/>
        <w:keepLines w:val="0"/>
        <w:pageBreakBefore w:val="0"/>
        <w:numPr>
          <w:ilvl w:val="0"/>
          <w:numId w:val="3"/>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平台内业绩上传件不符合上述要求的或登记的工程资质内容与施工合同等业绩证明资料不相符的，该项业绩不予认定。</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 xml:space="preserve">2、【工程获奖】：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（1）工程获奖可取自广州市住建行业信用管理平台或提供获奖证书扫描件。①</w:t>
      </w:r>
      <w:r>
        <w:rPr>
          <w:rFonts w:hint="eastAsia" w:ascii="宋体" w:hAnsi="宋体" w:eastAsia="宋体" w:cs="宋体"/>
          <w:b/>
          <w:bCs/>
          <w:color w:val="auto"/>
          <w:sz w:val="21"/>
          <w:szCs w:val="21"/>
          <w:highlight w:val="none"/>
          <w:u w:val="none"/>
          <w:lang w:val="en-US" w:eastAsia="zh-CN" w:bidi="ar-SA"/>
        </w:rPr>
        <w:t>国家级质量奖项包括：中国建设工程鲁班奖、国家优质工程金质奖、国家优质工程奖、中国土木工程詹天佑奖；省、市级质量奖项是指由省、市级建设行政主管部门或行业协会或学会（须在民政部门取得成立登记批准）颁发的工程质量奖，不含安全文明、绿色施工、钢结构、装修、机电安装、技术创新、QC成果、科技进步及技术应用类等奖项</w:t>
      </w:r>
      <w:r>
        <w:rPr>
          <w:rFonts w:hint="eastAsia" w:ascii="宋体" w:hAnsi="宋体" w:eastAsia="宋体" w:cs="宋体"/>
          <w:color w:val="auto"/>
          <w:highlight w:val="none"/>
          <w:u w:val="none"/>
          <w:lang w:bidi="ar-SA"/>
        </w:rPr>
        <w:t>；②只计算房建类</w:t>
      </w:r>
      <w:r>
        <w:rPr>
          <w:rFonts w:hint="eastAsia" w:ascii="宋体" w:hAnsi="宋体" w:eastAsia="宋体" w:cs="宋体"/>
          <w:b/>
          <w:bCs/>
          <w:color w:val="auto"/>
          <w:highlight w:val="none"/>
          <w:u w:val="none"/>
          <w:lang w:bidi="ar-SA"/>
        </w:rPr>
        <w:t>项目获奖</w:t>
      </w:r>
      <w:r>
        <w:rPr>
          <w:rFonts w:hint="eastAsia" w:ascii="宋体" w:hAnsi="宋体" w:eastAsia="宋体" w:cs="宋体"/>
          <w:color w:val="auto"/>
          <w:highlight w:val="none"/>
          <w:u w:val="none"/>
          <w:lang w:bidi="ar-SA"/>
        </w:rPr>
        <w:t>，其他非房建项目，如：路桥、铁路、水利、电力、化工、冶金、市政</w:t>
      </w:r>
      <w:r>
        <w:rPr>
          <w:rFonts w:hint="eastAsia" w:ascii="宋体" w:hAnsi="宋体" w:eastAsia="宋体" w:cs="宋体"/>
          <w:color w:val="auto"/>
          <w:szCs w:val="21"/>
          <w:highlight w:val="none"/>
        </w:rPr>
        <w:t>、港口航道</w:t>
      </w:r>
      <w:r>
        <w:rPr>
          <w:rFonts w:hint="eastAsia" w:ascii="宋体" w:hAnsi="宋体" w:eastAsia="宋体" w:cs="宋体"/>
          <w:color w:val="auto"/>
          <w:highlight w:val="none"/>
          <w:u w:val="none"/>
          <w:lang w:bidi="ar-SA"/>
        </w:rPr>
        <w:t>等获奖不参与计分。同一项目获得多个奖项的，该项目获奖只按其中一个奖项所在最高级别计算一次分数，不得重复计算</w:t>
      </w:r>
      <w:r>
        <w:rPr>
          <w:rFonts w:hint="eastAsia" w:ascii="宋体" w:hAnsi="宋体" w:eastAsia="宋体" w:cs="宋体"/>
          <w:color w:val="auto"/>
          <w:highlight w:val="none"/>
          <w:u w:val="none"/>
          <w:lang w:eastAsia="zh-CN" w:bidi="ar-SA"/>
        </w:rPr>
        <w:t>；时间以获奖证书颁奖时间为准</w:t>
      </w:r>
      <w:r>
        <w:rPr>
          <w:rFonts w:hint="eastAsia" w:ascii="宋体" w:hAnsi="宋体" w:eastAsia="宋体" w:cs="宋体"/>
          <w:color w:val="auto"/>
          <w:highlight w:val="none"/>
          <w:u w:val="none"/>
          <w:lang w:bidi="ar-SA"/>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2）工程获奖取自广州市住建行业信用管理平台的，投标人须提交广州市住建行业信用管理平台的网页信息截图（网页信息截图须能清晰显示带有“住建行业信用管理平台”名称，并至少包含“项目基本信息”、“奖项信息”等信息），</w:t>
      </w:r>
      <w:r>
        <w:rPr>
          <w:rFonts w:hint="eastAsia" w:ascii="宋体" w:hAnsi="宋体" w:eastAsia="宋体" w:cs="宋体"/>
          <w:b/>
          <w:bCs/>
          <w:color w:val="auto"/>
          <w:highlight w:val="none"/>
          <w:u w:val="none"/>
          <w:lang w:bidi="ar-SA"/>
        </w:rPr>
        <w:t>评标委员会对工程奖项的评审以投标截止时间在平台内工程奖项上传件为依据。</w:t>
      </w:r>
      <w:r>
        <w:rPr>
          <w:rFonts w:hint="eastAsia" w:ascii="宋体" w:hAnsi="宋体" w:eastAsia="宋体" w:cs="宋体"/>
          <w:color w:val="auto"/>
          <w:highlight w:val="none"/>
          <w:u w:val="none"/>
          <w:lang w:bidi="ar-SA"/>
        </w:rPr>
        <w:t>不符合上述条件不予评审。</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（3）工程获奖不取自广州市住建行业信用管理平台的，须提交获奖证书扫描件、中标通知书（或免招标证明）、合同作为证明文件。</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highlight w:val="none"/>
          <w:u w:val="none"/>
        </w:rPr>
      </w:pPr>
      <w:r>
        <w:rPr>
          <w:rFonts w:hint="eastAsia" w:ascii="宋体" w:hAnsi="宋体" w:eastAsia="宋体" w:cs="宋体"/>
          <w:b/>
          <w:bCs/>
          <w:color w:val="auto"/>
          <w:highlight w:val="none"/>
          <w:u w:val="none"/>
          <w:lang w:bidi="ar-SA"/>
        </w:rPr>
        <w:t>（4）若颁发单位是行业协会或学会，须同时提供该颁发单位在“中国社会组织政务服务平台”网站登记的查询结果截图，否则不予计分。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bidi="ar-SA"/>
        </w:rPr>
        <w:t>3、【第三方评价】：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eastAsia="zh-CN" w:bidi="ar-SA"/>
        </w:rPr>
        <w:t>（</w:t>
      </w:r>
      <w:r>
        <w:rPr>
          <w:rFonts w:hint="eastAsia" w:ascii="宋体" w:hAnsi="宋体" w:eastAsia="宋体" w:cs="宋体"/>
          <w:color w:val="auto"/>
          <w:highlight w:val="none"/>
          <w:u w:val="none"/>
          <w:lang w:val="en-US" w:eastAsia="zh-CN" w:bidi="ar-SA"/>
        </w:rPr>
        <w:t>1</w:t>
      </w:r>
      <w:r>
        <w:rPr>
          <w:rFonts w:hint="eastAsia" w:ascii="宋体" w:hAnsi="宋体" w:eastAsia="宋体" w:cs="宋体"/>
          <w:color w:val="auto"/>
          <w:highlight w:val="none"/>
          <w:u w:val="none"/>
          <w:lang w:eastAsia="zh-CN" w:bidi="ar-SA"/>
        </w:rPr>
        <w:t>）</w:t>
      </w:r>
      <w:r>
        <w:rPr>
          <w:rFonts w:hint="eastAsia" w:ascii="宋体" w:hAnsi="宋体" w:eastAsia="宋体" w:cs="宋体"/>
          <w:b w:val="0"/>
          <w:bCs w:val="0"/>
          <w:color w:val="auto"/>
          <w:sz w:val="21"/>
          <w:szCs w:val="21"/>
          <w:highlight w:val="none"/>
          <w:u w:val="none"/>
          <w:lang w:bidi="ar-SA"/>
        </w:rPr>
        <w:t>建筑工程类科技创新</w:t>
      </w:r>
      <w:r>
        <w:rPr>
          <w:rFonts w:hint="eastAsia" w:ascii="宋体" w:hAnsi="宋体" w:eastAsia="宋体" w:cs="宋体"/>
          <w:b w:val="0"/>
          <w:bCs w:val="0"/>
          <w:color w:val="auto"/>
          <w:sz w:val="21"/>
          <w:szCs w:val="21"/>
          <w:highlight w:val="none"/>
          <w:u w:val="none"/>
          <w:lang w:val="en-US" w:eastAsia="zh-CN" w:bidi="ar-SA"/>
        </w:rPr>
        <w:t>先进</w:t>
      </w:r>
      <w:r>
        <w:rPr>
          <w:rFonts w:hint="eastAsia" w:ascii="宋体" w:hAnsi="宋体" w:eastAsia="宋体" w:cs="宋体"/>
          <w:b w:val="0"/>
          <w:bCs w:val="0"/>
          <w:color w:val="auto"/>
          <w:sz w:val="21"/>
          <w:szCs w:val="21"/>
          <w:highlight w:val="none"/>
          <w:u w:val="none"/>
          <w:lang w:bidi="ar-SA"/>
        </w:rPr>
        <w:t>企业</w:t>
      </w:r>
      <w:r>
        <w:rPr>
          <w:rFonts w:hint="eastAsia" w:ascii="宋体" w:hAnsi="宋体" w:eastAsia="宋体" w:cs="宋体"/>
          <w:b w:val="0"/>
          <w:bCs w:val="0"/>
          <w:color w:val="auto"/>
          <w:sz w:val="21"/>
          <w:szCs w:val="21"/>
          <w:highlight w:val="none"/>
          <w:u w:val="none"/>
          <w:lang w:val="en-US" w:eastAsia="zh-CN" w:bidi="ar-SA"/>
        </w:rPr>
        <w:t>类证书</w:t>
      </w:r>
      <w:r>
        <w:rPr>
          <w:rFonts w:hint="eastAsia" w:ascii="宋体" w:hAnsi="宋体" w:eastAsia="宋体" w:cs="宋体"/>
          <w:color w:val="auto"/>
          <w:highlight w:val="none"/>
          <w:u w:val="none"/>
          <w:lang w:bidi="ar-SA"/>
        </w:rPr>
        <w:t>须提供网上查询名单公示或公布截图（须由建设行政主管部门或工程类行业协会或工程类学会颁发）以及证书的扫描件（证书获奖单位必须与投标单位名称一致，不包含上级公司、子分公司及区域公司），时间以网上查询结果截图或证书载明的年度为准。若颁发单位是行业协会或学会，须同时提供该颁发单位在“中国社会组织政务服务平台”网站(https://chinanpo.mca.gov.cn)登记的查询结果截图，否则该证书不予认定。不满足上述要求的或未提供相关证明材料的不计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eastAsia="zh-CN" w:bidi="ar-SA"/>
        </w:rPr>
        <w:t>（</w:t>
      </w:r>
      <w:r>
        <w:rPr>
          <w:rFonts w:hint="eastAsia" w:ascii="宋体" w:hAnsi="宋体" w:eastAsia="宋体" w:cs="宋体"/>
          <w:color w:val="auto"/>
          <w:highlight w:val="none"/>
          <w:u w:val="none"/>
          <w:lang w:val="en-US" w:eastAsia="zh-CN" w:bidi="ar-SA"/>
        </w:rPr>
        <w:t>2</w:t>
      </w:r>
      <w:r>
        <w:rPr>
          <w:rFonts w:hint="eastAsia" w:ascii="宋体" w:hAnsi="宋体" w:eastAsia="宋体" w:cs="宋体"/>
          <w:color w:val="auto"/>
          <w:highlight w:val="none"/>
          <w:u w:val="none"/>
          <w:lang w:eastAsia="zh-CN" w:bidi="ar-SA"/>
        </w:rPr>
        <w:t>）</w:t>
      </w:r>
      <w:r>
        <w:rPr>
          <w:rFonts w:hint="eastAsia" w:ascii="宋体" w:hAnsi="宋体" w:eastAsia="宋体" w:cs="宋体"/>
          <w:color w:val="auto"/>
          <w:highlight w:val="none"/>
          <w:u w:val="none"/>
          <w:lang w:bidi="ar-SA"/>
        </w:rPr>
        <w:t>体系认证证书：需提供有效期内的认证证书扫描件及在全国认证认可信息公</w:t>
      </w:r>
      <w:r>
        <w:rPr>
          <w:rFonts w:hint="eastAsia" w:ascii="宋体" w:hAnsi="宋体" w:cs="宋体"/>
          <w:color w:val="auto"/>
          <w:highlight w:val="none"/>
          <w:u w:val="none"/>
          <w:lang w:val="en-US" w:eastAsia="zh-CN" w:bidi="ar-SA"/>
        </w:rPr>
        <w:t>共</w:t>
      </w:r>
      <w:r>
        <w:rPr>
          <w:rFonts w:hint="eastAsia" w:ascii="宋体" w:hAnsi="宋体" w:eastAsia="宋体" w:cs="宋体"/>
          <w:color w:val="auto"/>
          <w:highlight w:val="none"/>
          <w:u w:val="none"/>
          <w:lang w:bidi="ar-SA"/>
        </w:rPr>
        <w:t>服务平台（http://cx.cnca.cn/CertECloud/index/index/page）相关截图；</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val="en-US" w:eastAsia="zh-CN" w:bidi="ar-SA"/>
        </w:rPr>
        <w:t>4</w:t>
      </w:r>
      <w:r>
        <w:rPr>
          <w:rFonts w:hint="eastAsia" w:ascii="宋体" w:hAnsi="宋体" w:eastAsia="宋体" w:cs="宋体"/>
          <w:color w:val="auto"/>
          <w:highlight w:val="none"/>
          <w:u w:val="none"/>
          <w:lang w:bidi="ar-SA"/>
        </w:rPr>
        <w:t>、【</w:t>
      </w:r>
      <w:r>
        <w:rPr>
          <w:rFonts w:hint="eastAsia" w:ascii="宋体" w:hAnsi="宋体" w:eastAsia="宋体" w:cs="宋体"/>
          <w:b w:val="0"/>
          <w:bCs w:val="0"/>
          <w:color w:val="auto"/>
          <w:sz w:val="21"/>
          <w:szCs w:val="21"/>
          <w:highlight w:val="none"/>
          <w:lang w:bidi="ar-SA"/>
        </w:rPr>
        <w:t>工程研发能力</w:t>
      </w:r>
      <w:r>
        <w:rPr>
          <w:rFonts w:hint="eastAsia" w:ascii="宋体" w:hAnsi="宋体" w:eastAsia="宋体" w:cs="宋体"/>
          <w:color w:val="auto"/>
          <w:highlight w:val="none"/>
          <w:u w:val="none"/>
          <w:lang w:bidi="ar-SA"/>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highlight w:val="none"/>
          <w:u w:val="none"/>
          <w:lang w:eastAsia="zh-CN" w:bidi="ar-SA"/>
        </w:rPr>
        <w:t>（</w:t>
      </w:r>
      <w:r>
        <w:rPr>
          <w:rFonts w:hint="eastAsia" w:ascii="宋体" w:hAnsi="宋体" w:eastAsia="宋体" w:cs="宋体"/>
          <w:color w:val="auto"/>
          <w:highlight w:val="none"/>
          <w:u w:val="none"/>
          <w:lang w:val="en-US" w:eastAsia="zh-CN" w:bidi="ar-SA"/>
        </w:rPr>
        <w:t>1</w:t>
      </w:r>
      <w:r>
        <w:rPr>
          <w:rFonts w:hint="eastAsia" w:ascii="宋体" w:hAnsi="宋体" w:eastAsia="宋体" w:cs="宋体"/>
          <w:color w:val="auto"/>
          <w:highlight w:val="none"/>
          <w:u w:val="none"/>
          <w:lang w:eastAsia="zh-CN" w:bidi="ar-SA"/>
        </w:rPr>
        <w:t>）</w:t>
      </w:r>
      <w:r>
        <w:rPr>
          <w:rFonts w:hint="eastAsia" w:ascii="宋体" w:hAnsi="宋体" w:eastAsia="宋体" w:cs="宋体"/>
          <w:b w:val="0"/>
          <w:bCs w:val="0"/>
          <w:color w:val="auto"/>
          <w:sz w:val="21"/>
          <w:szCs w:val="21"/>
          <w:highlight w:val="none"/>
          <w:u w:val="none"/>
          <w:lang w:val="en-US" w:eastAsia="zh-CN" w:bidi="ar-SA"/>
        </w:rPr>
        <w:t>建筑工程类</w:t>
      </w:r>
      <w:r>
        <w:rPr>
          <w:rFonts w:hint="eastAsia" w:ascii="宋体" w:hAnsi="宋体" w:eastAsia="宋体" w:cs="宋体"/>
          <w:b w:val="0"/>
          <w:bCs w:val="0"/>
          <w:color w:val="auto"/>
          <w:sz w:val="21"/>
          <w:szCs w:val="21"/>
          <w:highlight w:val="none"/>
          <w:u w:val="none"/>
          <w:lang w:bidi="ar-SA"/>
        </w:rPr>
        <w:t>科学技术进步奖</w:t>
      </w:r>
      <w:r>
        <w:rPr>
          <w:rFonts w:hint="eastAsia" w:ascii="宋体" w:hAnsi="宋体" w:eastAsia="宋体" w:cs="宋体"/>
          <w:b w:val="0"/>
          <w:bCs w:val="0"/>
          <w:color w:val="auto"/>
          <w:sz w:val="21"/>
          <w:szCs w:val="21"/>
          <w:highlight w:val="none"/>
          <w:u w:val="none"/>
          <w:lang w:val="en-US" w:eastAsia="zh-CN" w:bidi="ar-SA"/>
        </w:rPr>
        <w:t>或科学技术奖</w:t>
      </w:r>
      <w:r>
        <w:rPr>
          <w:rFonts w:hint="eastAsia" w:ascii="宋体" w:hAnsi="宋体" w:eastAsia="宋体" w:cs="宋体"/>
          <w:color w:val="auto"/>
          <w:highlight w:val="none"/>
          <w:u w:val="none"/>
          <w:lang w:val="en-US" w:eastAsia="zh-CN" w:bidi="ar-SA"/>
        </w:rPr>
        <w:t>：指市级或以上政府部门或中国社会组织依法依规设立的“科学技术进步奖”或“科技进步奖”或“科学技术奖”：须提供奖项证书扫描件，时间以证书中载明的发证时间为准，如为协会或学会颁发同时须提供其在“全国社会组织信用信息公示平台”网站（https://xxgs.chinanpo.mca.gov.cn/gsxt/newList）查询结果的网页截图；仅计算建筑工程获得的科学技术奖，证书上需明确其为建筑工程获得的科学技术奖励，若无法明确，需提供当地行政主管部门或科技行政部门认可的组织出具的科学技术成果鉴定证书或第三方技术评价证明材料扫描件，并且在科学技术成果鉴定证书或第三方评价证明材料中需明确该科学技术奖励的研究背景项目为建筑工程项目，无法提供证书清晰扫描件和科学技术成果鉴定证书或第三方评价证明材料扫描件的且无法证明该科学技术奖励为建筑工程项目获得的科学技术奖励不得分。同一科学技术进步奖或科技进步奖或科学技术奖获得不同级别奖项的按最高级别只计一次得分。</w:t>
      </w:r>
    </w:p>
    <w:p>
      <w:pPr>
        <w:pStyle w:val="2"/>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kern w:val="2"/>
          <w:sz w:val="21"/>
          <w:szCs w:val="22"/>
          <w:highlight w:val="none"/>
          <w:u w:val="none"/>
          <w:lang w:val="en-US" w:eastAsia="zh-CN" w:bidi="ar-SA"/>
        </w:rPr>
      </w:pPr>
      <w:r>
        <w:rPr>
          <w:rFonts w:hint="eastAsia" w:ascii="宋体" w:hAnsi="宋体" w:eastAsia="宋体" w:cs="宋体"/>
          <w:color w:val="auto"/>
          <w:kern w:val="2"/>
          <w:sz w:val="21"/>
          <w:szCs w:val="22"/>
          <w:highlight w:val="none"/>
          <w:u w:val="none"/>
          <w:lang w:val="en-US" w:eastAsia="zh-CN" w:bidi="ar-SA"/>
        </w:rPr>
        <w:t>（2）发明专利证书授权以中华人民共和国国家知识产权局网站（</w:t>
      </w:r>
      <w:bookmarkStart w:id="53" w:name="OLE_LINK11"/>
      <w:r>
        <w:rPr>
          <w:rFonts w:hint="eastAsia" w:ascii="宋体" w:hAnsi="宋体" w:eastAsia="宋体" w:cs="宋体"/>
          <w:color w:val="auto"/>
          <w:kern w:val="2"/>
          <w:sz w:val="21"/>
          <w:szCs w:val="22"/>
          <w:highlight w:val="none"/>
          <w:u w:val="none"/>
          <w:lang w:val="en-US" w:eastAsia="zh-CN" w:bidi="ar-SA"/>
        </w:rPr>
        <w:t>http://www.cnipa.gov.cn/</w:t>
      </w:r>
      <w:bookmarkEnd w:id="53"/>
      <w:r>
        <w:rPr>
          <w:rFonts w:hint="eastAsia" w:ascii="宋体" w:hAnsi="宋体" w:eastAsia="宋体" w:cs="宋体"/>
          <w:color w:val="auto"/>
          <w:kern w:val="2"/>
          <w:sz w:val="21"/>
          <w:szCs w:val="22"/>
          <w:highlight w:val="none"/>
          <w:u w:val="none"/>
          <w:lang w:val="en-US" w:eastAsia="zh-CN" w:bidi="ar-SA"/>
        </w:rPr>
        <w:t>,网站中“专利公布公告”）可查询的专利为准，投标人需提交可反映企业专利类型为“发明授权”、授权公告号、专利权人的查询页面打印件，时间以授权公告日为准，专利权期限须在有效期内；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val="en-US" w:eastAsia="zh-CN" w:bidi="ar-SA"/>
        </w:rPr>
        <w:t>5</w:t>
      </w:r>
      <w:r>
        <w:rPr>
          <w:rFonts w:hint="eastAsia" w:ascii="宋体" w:hAnsi="宋体" w:eastAsia="宋体" w:cs="宋体"/>
          <w:color w:val="auto"/>
          <w:highlight w:val="none"/>
          <w:u w:val="none"/>
          <w:lang w:bidi="ar-SA"/>
        </w:rPr>
        <w:t>、【项目管理机构能力】：</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val="en-US" w:eastAsia="zh-CN" w:bidi="ar-SA"/>
        </w:rPr>
      </w:pPr>
      <w:r>
        <w:rPr>
          <w:rFonts w:hint="eastAsia" w:ascii="宋体" w:hAnsi="宋体" w:eastAsia="宋体" w:cs="宋体"/>
          <w:color w:val="auto"/>
          <w:highlight w:val="none"/>
          <w:u w:val="none"/>
          <w:lang w:val="en-US" w:eastAsia="zh-CN" w:bidi="ar-SA"/>
        </w:rPr>
        <w:t>(1)</w:t>
      </w:r>
      <w:r>
        <w:rPr>
          <w:rFonts w:hint="eastAsia" w:ascii="宋体" w:hAnsi="宋体" w:eastAsia="宋体" w:cs="宋体"/>
          <w:color w:val="auto"/>
          <w:highlight w:val="none"/>
          <w:u w:val="none"/>
          <w:lang w:bidi="ar-SA"/>
        </w:rPr>
        <w:t>拟投入本项目人员须同时提供相关职称证书或岗位(注册)证书（如有）</w:t>
      </w:r>
      <w:r>
        <w:rPr>
          <w:rFonts w:hint="eastAsia" w:ascii="宋体" w:hAnsi="宋体" w:eastAsia="宋体" w:cs="宋体"/>
          <w:color w:val="auto"/>
          <w:highlight w:val="none"/>
          <w:u w:val="none"/>
          <w:lang w:val="en-US" w:eastAsia="zh-CN" w:bidi="ar-SA"/>
        </w:rPr>
        <w:t>或培训证书（如有）</w:t>
      </w:r>
      <w:r>
        <w:rPr>
          <w:rFonts w:hint="eastAsia" w:ascii="宋体" w:hAnsi="宋体" w:eastAsia="宋体" w:cs="宋体"/>
          <w:color w:val="auto"/>
          <w:highlight w:val="none"/>
          <w:u w:val="none"/>
          <w:lang w:bidi="ar-SA"/>
        </w:rPr>
        <w:t>、获奖证书（如有）</w:t>
      </w:r>
      <w:r>
        <w:rPr>
          <w:rFonts w:hint="eastAsia" w:ascii="宋体" w:hAnsi="宋体" w:eastAsia="宋体" w:cs="宋体"/>
          <w:color w:val="auto"/>
          <w:highlight w:val="none"/>
          <w:u w:val="none"/>
          <w:lang w:eastAsia="zh-CN" w:bidi="ar-SA"/>
        </w:rPr>
        <w:t>、</w:t>
      </w:r>
      <w:r>
        <w:rPr>
          <w:rFonts w:hint="eastAsia" w:ascii="宋体" w:hAnsi="宋体" w:eastAsia="宋体" w:cs="宋体"/>
          <w:b/>
          <w:bCs/>
          <w:color w:val="auto"/>
          <w:highlight w:val="none"/>
          <w:u w:val="none"/>
          <w:lang w:val="en-US" w:eastAsia="zh-CN" w:bidi="ar-SA"/>
        </w:rPr>
        <w:t>毕业证书（如有）等证明材料</w:t>
      </w:r>
      <w:r>
        <w:rPr>
          <w:rFonts w:hint="eastAsia" w:ascii="宋体" w:hAnsi="宋体" w:eastAsia="宋体" w:cs="宋体"/>
          <w:color w:val="auto"/>
          <w:highlight w:val="none"/>
          <w:u w:val="none"/>
          <w:lang w:bidi="ar-SA"/>
        </w:rPr>
        <w:t>扫描件</w:t>
      </w:r>
      <w:r>
        <w:rPr>
          <w:rFonts w:hint="eastAsia" w:ascii="宋体" w:hAnsi="宋体" w:eastAsia="宋体" w:cs="宋体"/>
          <w:b/>
          <w:bCs/>
          <w:color w:val="auto"/>
          <w:highlight w:val="none"/>
          <w:u w:val="none"/>
          <w:lang w:bidi="ar-SA"/>
        </w:rPr>
        <w:t>以及202</w:t>
      </w:r>
      <w:r>
        <w:rPr>
          <w:rFonts w:hint="eastAsia" w:ascii="宋体" w:hAnsi="宋体" w:eastAsia="宋体" w:cs="宋体"/>
          <w:b/>
          <w:bCs/>
          <w:color w:val="auto"/>
          <w:highlight w:val="none"/>
          <w:u w:val="none"/>
          <w:lang w:val="en-US" w:eastAsia="zh-CN" w:bidi="ar-SA"/>
        </w:rPr>
        <w:t>5</w:t>
      </w:r>
      <w:r>
        <w:rPr>
          <w:rFonts w:hint="eastAsia" w:ascii="宋体" w:hAnsi="宋体" w:eastAsia="宋体" w:cs="宋体"/>
          <w:b/>
          <w:bCs/>
          <w:color w:val="auto"/>
          <w:highlight w:val="none"/>
          <w:u w:val="none"/>
          <w:lang w:bidi="ar-SA"/>
        </w:rPr>
        <w:t>年</w:t>
      </w:r>
      <w:r>
        <w:rPr>
          <w:rFonts w:hint="eastAsia" w:ascii="宋体" w:hAnsi="宋体" w:eastAsia="宋体" w:cs="宋体"/>
          <w:b/>
          <w:bCs/>
          <w:color w:val="auto"/>
          <w:highlight w:val="none"/>
          <w:u w:val="none"/>
          <w:lang w:val="en-US" w:eastAsia="zh-CN" w:bidi="ar-SA"/>
        </w:rPr>
        <w:t>8</w:t>
      </w:r>
      <w:r>
        <w:rPr>
          <w:rFonts w:hint="eastAsia" w:ascii="宋体" w:hAnsi="宋体" w:eastAsia="宋体" w:cs="宋体"/>
          <w:b/>
          <w:bCs/>
          <w:color w:val="auto"/>
          <w:highlight w:val="none"/>
          <w:u w:val="none"/>
          <w:lang w:bidi="ar-SA"/>
        </w:rPr>
        <w:t>月在本投标单位(不含投标人的子公司，含分公司及分支机构)参保的社保缴纳记录证明扫描件；人员职称按最高级别计算</w:t>
      </w:r>
      <w:r>
        <w:rPr>
          <w:rFonts w:hint="eastAsia" w:ascii="宋体" w:hAnsi="宋体" w:eastAsia="宋体" w:cs="宋体"/>
          <w:color w:val="auto"/>
          <w:highlight w:val="none"/>
          <w:u w:val="none"/>
          <w:lang w:bidi="ar-SA"/>
        </w:rPr>
        <w:t>；</w:t>
      </w:r>
      <w:r>
        <w:rPr>
          <w:rFonts w:hint="eastAsia" w:ascii="宋体" w:hAnsi="宋体" w:eastAsia="宋体" w:cs="宋体"/>
          <w:b/>
          <w:bCs/>
          <w:color w:val="auto"/>
          <w:highlight w:val="none"/>
          <w:u w:val="none"/>
          <w:lang w:val="en-US" w:eastAsia="zh-CN" w:bidi="ar-SA"/>
        </w:rPr>
        <w:t>工作经验以大专或以上毕业证书颁发时间至投标截止时间计算。</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val="en-US" w:eastAsia="zh-CN" w:bidi="ar-SA"/>
        </w:rPr>
        <w:t>(2)</w:t>
      </w:r>
      <w:r>
        <w:rPr>
          <w:rFonts w:hint="eastAsia" w:ascii="宋体" w:hAnsi="宋体" w:eastAsia="宋体" w:cs="宋体"/>
          <w:color w:val="auto"/>
          <w:highlight w:val="none"/>
          <w:u w:val="none"/>
          <w:lang w:bidi="ar-SA"/>
        </w:rPr>
        <w:t>各岗位人员不得相互兼职</w:t>
      </w:r>
      <w:r>
        <w:rPr>
          <w:rFonts w:hint="eastAsia" w:ascii="宋体" w:hAnsi="宋体" w:eastAsia="宋体" w:cs="宋体"/>
          <w:b/>
          <w:bCs/>
          <w:color w:val="auto"/>
          <w:highlight w:val="none"/>
          <w:u w:val="none"/>
          <w:lang w:bidi="ar-SA"/>
        </w:rPr>
        <w:t>，不重复计算得分；</w:t>
      </w:r>
      <w:r>
        <w:rPr>
          <w:rFonts w:hint="eastAsia" w:ascii="宋体" w:hAnsi="宋体" w:eastAsia="宋体" w:cs="宋体"/>
          <w:color w:val="auto"/>
          <w:highlight w:val="none"/>
          <w:u w:val="none"/>
          <w:lang w:bidi="ar-SA"/>
        </w:rPr>
        <w:t>且安全负责人不能同时兼任专职安全员；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bidi="ar-SA"/>
        </w:rPr>
      </w:pPr>
      <w:r>
        <w:rPr>
          <w:rFonts w:hint="eastAsia" w:ascii="宋体" w:hAnsi="宋体" w:eastAsia="宋体" w:cs="宋体"/>
          <w:color w:val="auto"/>
          <w:highlight w:val="none"/>
          <w:u w:val="none"/>
          <w:lang w:val="en-US" w:eastAsia="zh-CN" w:bidi="ar-SA"/>
        </w:rPr>
        <w:t>(3)</w:t>
      </w:r>
      <w:r>
        <w:rPr>
          <w:rFonts w:hint="eastAsia" w:ascii="宋体" w:hAnsi="宋体" w:eastAsia="宋体" w:cs="宋体"/>
          <w:color w:val="auto"/>
          <w:highlight w:val="none"/>
          <w:u w:val="none"/>
          <w:lang w:bidi="ar-SA"/>
        </w:rPr>
        <w:t>项目管理团队人员是指为本公司正式人员，不含子公司人员，如投标人为集团公司，则不含其集团下属的子公司人员，下属子公司也不含其集团公司的人员；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val="en-US" w:eastAsia="zh-CN" w:bidi="ar-SA"/>
        </w:rPr>
      </w:pPr>
      <w:r>
        <w:rPr>
          <w:rFonts w:hint="eastAsia" w:ascii="宋体" w:hAnsi="宋体" w:eastAsia="宋体" w:cs="宋体"/>
          <w:color w:val="auto"/>
          <w:highlight w:val="none"/>
          <w:u w:val="none"/>
          <w:lang w:val="en-US" w:eastAsia="zh-CN" w:bidi="ar-SA"/>
        </w:rPr>
        <w:t>(4)根据原人事部、原建设部发布的《造价工程师执业资格制度暂行规定》（人发[1996]77号)取得的</w:t>
      </w:r>
      <w:bookmarkStart w:id="54" w:name="OLE_LINK14"/>
      <w:r>
        <w:rPr>
          <w:rFonts w:hint="eastAsia" w:ascii="宋体" w:hAnsi="宋体" w:eastAsia="宋体" w:cs="宋体"/>
          <w:color w:val="auto"/>
          <w:highlight w:val="none"/>
          <w:u w:val="none"/>
          <w:lang w:val="en-US" w:eastAsia="zh-CN" w:bidi="ar-SA"/>
        </w:rPr>
        <w:t>造价工程师执业资格</w:t>
      </w:r>
      <w:bookmarkEnd w:id="54"/>
      <w:r>
        <w:rPr>
          <w:rFonts w:hint="eastAsia" w:ascii="宋体" w:hAnsi="宋体" w:cs="宋体"/>
          <w:color w:val="auto"/>
          <w:highlight w:val="none"/>
          <w:u w:val="none"/>
          <w:lang w:val="en-US" w:eastAsia="zh-CN" w:bidi="ar-SA"/>
        </w:rPr>
        <w:t>证书</w:t>
      </w:r>
      <w:r>
        <w:rPr>
          <w:rFonts w:hint="eastAsia" w:ascii="宋体" w:hAnsi="宋体" w:eastAsia="宋体" w:cs="宋体"/>
          <w:color w:val="auto"/>
          <w:highlight w:val="none"/>
          <w:u w:val="none"/>
          <w:lang w:val="en-US" w:eastAsia="zh-CN" w:bidi="ar-SA"/>
        </w:rPr>
        <w:t>，并经注册且在有效期内的，等同于一级注册造价工程师，不提供不计分；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trike/>
          <w:dstrike w:val="0"/>
          <w:color w:val="auto"/>
          <w:highlight w:val="none"/>
          <w:u w:val="none"/>
          <w:lang w:val="en-US" w:eastAsia="zh-CN" w:bidi="ar-SA"/>
        </w:rPr>
      </w:pPr>
      <w:r>
        <w:rPr>
          <w:rFonts w:hint="eastAsia" w:ascii="宋体" w:hAnsi="宋体" w:eastAsia="宋体" w:cs="宋体"/>
          <w:strike w:val="0"/>
          <w:dstrike w:val="0"/>
          <w:color w:val="auto"/>
          <w:highlight w:val="none"/>
          <w:u w:val="none"/>
          <w:lang w:val="en-US" w:eastAsia="zh-CN" w:bidi="ar-SA"/>
        </w:rPr>
        <w:t>(5)注册安全工程师须同时提供有效的注册安全工程师注册证</w:t>
      </w:r>
      <w:r>
        <w:rPr>
          <w:rFonts w:hint="eastAsia" w:ascii="宋体" w:hAnsi="宋体" w:cs="宋体"/>
          <w:strike w:val="0"/>
          <w:dstrike w:val="0"/>
          <w:color w:val="auto"/>
          <w:highlight w:val="none"/>
          <w:u w:val="none"/>
          <w:lang w:val="en-US" w:eastAsia="zh-CN" w:bidi="ar-SA"/>
        </w:rPr>
        <w:t>，</w:t>
      </w:r>
      <w:r>
        <w:rPr>
          <w:rFonts w:hint="eastAsia" w:ascii="宋体" w:hAnsi="宋体" w:eastAsia="宋体" w:cs="宋体"/>
          <w:strike w:val="0"/>
          <w:dstrike w:val="0"/>
          <w:color w:val="auto"/>
          <w:highlight w:val="none"/>
          <w:u w:val="none"/>
          <w:lang w:val="en-US" w:eastAsia="zh-CN" w:bidi="ar-SA"/>
        </w:rPr>
        <w:t>不提供或提供不齐全的不得分。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val="en-US" w:eastAsia="zh-CN" w:bidi="ar-SA"/>
        </w:rPr>
      </w:pPr>
      <w:r>
        <w:rPr>
          <w:rFonts w:hint="eastAsia" w:ascii="宋体" w:hAnsi="宋体" w:eastAsia="宋体" w:cs="宋体"/>
          <w:color w:val="auto"/>
          <w:highlight w:val="none"/>
          <w:u w:val="none"/>
          <w:lang w:val="en-US" w:eastAsia="zh-CN" w:bidi="ar-SA"/>
        </w:rPr>
        <w:t>6、以上所附证书证明文件均须提供扫描件并加盖投标人电子印章。上述资料不提供或提供不完整或提供不符合要求的不得分。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val="en-US" w:eastAsia="zh-CN" w:bidi="ar-SA"/>
        </w:rPr>
      </w:pPr>
      <w:r>
        <w:rPr>
          <w:rFonts w:hint="eastAsia" w:ascii="宋体" w:hAnsi="宋体" w:eastAsia="宋体" w:cs="宋体"/>
          <w:color w:val="auto"/>
          <w:highlight w:val="none"/>
          <w:u w:val="none"/>
          <w:lang w:val="en-US" w:eastAsia="zh-CN" w:bidi="ar-SA"/>
        </w:rPr>
        <w:t>7、施工组织设计：应突出重点，标准、规范中已有的内容无需赘述，一般篇幅不宜超过300页；超过部分不予评审。</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u w:val="none"/>
          <w:lang w:val="en-US" w:eastAsia="zh-CN" w:bidi="ar-SA"/>
        </w:rPr>
      </w:pPr>
      <w:r>
        <w:rPr>
          <w:rFonts w:hint="eastAsia" w:ascii="宋体" w:hAnsi="宋体" w:eastAsia="宋体" w:cs="宋体"/>
          <w:color w:val="auto"/>
          <w:highlight w:val="none"/>
          <w:u w:val="none"/>
          <w:lang w:val="en-US" w:eastAsia="zh-CN" w:bidi="ar-SA"/>
        </w:rPr>
        <w:t xml:space="preserve">8、所有评委的评分分数的算术平均值为投标人的最终得分，分数出现小数点，保留小数点后二位小数，第三位小数四舍五入。 </w:t>
      </w:r>
    </w:p>
    <w:p>
      <w:pPr>
        <w:widowControl/>
        <w:jc w:val="left"/>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color w:val="auto"/>
          <w:szCs w:val="21"/>
          <w:highlight w:val="none"/>
        </w:rPr>
        <w:t>附表五</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经济标评分表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19"/>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投标报价PT（元）</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计算评标参考价的等分点值X</w:t>
            </w:r>
          </w:p>
        </w:tc>
        <w:tc>
          <w:tcPr>
            <w:tcW w:w="10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46"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评标参考价PC（元）</w:t>
            </w:r>
          </w:p>
        </w:tc>
        <w:tc>
          <w:tcPr>
            <w:tcW w:w="12384" w:type="dxa"/>
            <w:gridSpan w:val="1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偏差（（PT-PC）/PC）（%）</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减分（A）</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得分(I=100-A)</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得分排名次序</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3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bl>
    <w:p>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评委签名：</w:t>
      </w:r>
      <w:r>
        <w:rPr>
          <w:rFonts w:hint="eastAsia" w:ascii="宋体" w:hAnsi="宋体" w:eastAsia="宋体" w:cs="宋体"/>
          <w:b/>
          <w:color w:val="auto"/>
          <w:sz w:val="36"/>
          <w:szCs w:val="36"/>
          <w:highlight w:val="none"/>
        </w:rPr>
        <w:br w:type="page"/>
      </w:r>
      <w:bookmarkEnd w:id="51"/>
      <w:r>
        <w:rPr>
          <w:rFonts w:hint="eastAsia" w:ascii="宋体" w:hAnsi="宋体" w:eastAsia="宋体" w:cs="宋体"/>
          <w:color w:val="auto"/>
          <w:szCs w:val="21"/>
          <w:highlight w:val="none"/>
        </w:rPr>
        <w:t>附表六</w:t>
      </w:r>
    </w:p>
    <w:p>
      <w:pPr>
        <w:jc w:val="center"/>
        <w:outlineLvl w:val="2"/>
        <w:rPr>
          <w:rFonts w:hint="eastAsia" w:ascii="宋体" w:hAnsi="宋体" w:eastAsia="宋体" w:cs="宋体"/>
          <w:b/>
          <w:color w:val="auto"/>
          <w:sz w:val="32"/>
          <w:szCs w:val="32"/>
          <w:highlight w:val="none"/>
        </w:rPr>
      </w:pPr>
      <w:bookmarkStart w:id="55" w:name="_Toc201658282"/>
      <w:r>
        <w:rPr>
          <w:rFonts w:hint="eastAsia" w:ascii="宋体" w:hAnsi="宋体" w:eastAsia="宋体" w:cs="宋体"/>
          <w:b/>
          <w:color w:val="auto"/>
          <w:sz w:val="32"/>
          <w:szCs w:val="32"/>
          <w:highlight w:val="none"/>
        </w:rPr>
        <w:t>算术复核表</w:t>
      </w:r>
      <w:bookmarkEnd w:id="55"/>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工程名称：                                                                                    投标人:                             单位：元</w:t>
      </w:r>
    </w:p>
    <w:tbl>
      <w:tblPr>
        <w:tblStyle w:val="19"/>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Layout w:type="fixed"/>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修正前投标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修正后投标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修正率</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当B&gt;A时，修正后报价与原报价的差额；当B≤A时,R=0</w:t>
            </w: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∑A=A</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+…An；∑B=B</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+…Bn</w:t>
            </w:r>
          </w:p>
        </w:tc>
      </w:tr>
    </w:tbl>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修正原则：</w:t>
      </w:r>
      <w:r>
        <w:rPr>
          <w:rFonts w:hint="eastAsia" w:ascii="宋体" w:hAnsi="宋体" w:eastAsia="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eastAsia="宋体" w:cs="宋体"/>
          <w:color w:val="auto"/>
          <w:kern w:val="0"/>
          <w:szCs w:val="21"/>
          <w:highlight w:val="none"/>
        </w:rPr>
        <w:tab/>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评委签名：</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日期：</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19"/>
        <w:tblW w:w="141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宋体"/>
                <w:color w:val="auto"/>
                <w:sz w:val="36"/>
                <w:szCs w:val="36"/>
                <w:highlight w:val="none"/>
              </w:rPr>
            </w:pPr>
          </w:p>
        </w:tc>
      </w:tr>
    </w:tbl>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附表七：</w:t>
      </w: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定标因素表（定标阶段用表）</w:t>
      </w:r>
    </w:p>
    <w:p>
      <w:pPr>
        <w:pStyle w:val="6"/>
        <w:rPr>
          <w:rFonts w:hint="eastAsia" w:ascii="宋体" w:hAnsi="宋体" w:eastAsia="宋体" w:cs="宋体"/>
          <w:color w:val="auto"/>
          <w:highlight w:val="none"/>
        </w:rPr>
      </w:pPr>
    </w:p>
    <w:tbl>
      <w:tblPr>
        <w:tblStyle w:val="19"/>
        <w:tblW w:w="14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67"/>
        <w:gridCol w:w="2305"/>
        <w:gridCol w:w="9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序号</w:t>
            </w:r>
          </w:p>
        </w:tc>
        <w:tc>
          <w:tcPr>
            <w:tcW w:w="17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评价项目</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c>
          <w:tcPr>
            <w:tcW w:w="9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9" w:hRule="atLeast"/>
          <w:jc w:val="center"/>
        </w:trPr>
        <w:tc>
          <w:tcPr>
            <w:tcW w:w="835" w:type="dxa"/>
            <w:vMerge w:val="restart"/>
            <w:tcBorders>
              <w:top w:val="single" w:color="auto" w:sz="4" w:space="0"/>
              <w:left w:val="single" w:color="auto" w:sz="4" w:space="0"/>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w:t>
            </w:r>
          </w:p>
        </w:tc>
        <w:tc>
          <w:tcPr>
            <w:tcW w:w="176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履约能力因素（45分）</w:t>
            </w:r>
          </w:p>
        </w:tc>
        <w:tc>
          <w:tcPr>
            <w:tcW w:w="2305" w:type="dxa"/>
            <w:tcBorders>
              <w:top w:val="single" w:color="auto" w:sz="4" w:space="0"/>
              <w:left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项目理解程度</w:t>
            </w:r>
          </w:p>
        </w:tc>
        <w:tc>
          <w:tcPr>
            <w:tcW w:w="9766" w:type="dxa"/>
            <w:tcBorders>
              <w:top w:val="single" w:color="auto" w:sz="4" w:space="0"/>
              <w:left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定标委员会根据定标文件对合格中标候选人的项目理解程度进行评审：</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（1）对项目周边环境，技术情况熟悉，有充分保障能力。对项目实施难度认识深入透彻，项目重点难点分析准确详尽，应对措施针对性强，能有效保障项目顺利实施的，得11-15分；</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（2）对项目周边环境，技术情况较熟悉，有较充分保障能力。对项目实施难度认识较深入，项目重点难点分析较准确详尽，应对措施针对性较强，能保障项目顺利实施的，得6-10分；</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（3）对项目周边环境，技术情况一般熟悉，保障能力一般。对项目实施难度认识较一般，项目重点难点分析水平一般，应对措施针对性一般，基本能保障项目实施的，得1-5分；</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（4）不满足前述要求者或不提供内容的，不得分。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9" w:hRule="atLeast"/>
          <w:jc w:val="center"/>
        </w:trPr>
        <w:tc>
          <w:tcPr>
            <w:tcW w:w="835" w:type="dxa"/>
            <w:vMerge w:val="continue"/>
            <w:tcBorders>
              <w:left w:val="single" w:color="auto" w:sz="4" w:space="0"/>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lang w:bidi="ar-SA"/>
              </w:rPr>
            </w:pPr>
          </w:p>
        </w:tc>
        <w:tc>
          <w:tcPr>
            <w:tcW w:w="1767" w:type="dxa"/>
            <w:vMerge w:val="continue"/>
            <w:tcBorders>
              <w:left w:val="single" w:color="auto" w:sz="4" w:space="0"/>
              <w:right w:val="single" w:color="auto" w:sz="4" w:space="0"/>
            </w:tcBorders>
            <w:shd w:val="clear" w:color="auto" w:fill="auto"/>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p>
        </w:tc>
        <w:tc>
          <w:tcPr>
            <w:tcW w:w="2305" w:type="dxa"/>
            <w:tcBorders>
              <w:top w:val="single" w:color="auto" w:sz="4" w:space="0"/>
              <w:left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项目重视程度</w:t>
            </w:r>
          </w:p>
        </w:tc>
        <w:tc>
          <w:tcPr>
            <w:tcW w:w="9766" w:type="dxa"/>
            <w:tcBorders>
              <w:top w:val="single" w:color="auto" w:sz="4" w:space="0"/>
              <w:left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定标委员会根据定标文件对合格中标候选人的项目重视程度进行评审：</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1）根据项目特点，结合合格中标候选人自身优势，投入充分满足项目需求的管理力量和技术力量，可委派本公司总工或副总级别或以上的领导担任本项目的指挥长，结合项目的资源配备计划（人、机、材等），能有效保障项目顺利实施，得11-15分；</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（2）根据项目特点，结合合格中标候选人自身优势，投入满足项目需求的管理力量和技术力量，结合项目的资源配备计划（人、机、材等），能保障项目顺利实施得6-10分；</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（3）投入项目的管理力量和技术力量一般，基本能保障项目实施的，得1-5分；</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（4）不满足前述要求者或不提供内容的，不得分。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9" w:hRule="atLeast"/>
          <w:jc w:val="center"/>
        </w:trPr>
        <w:tc>
          <w:tcPr>
            <w:tcW w:w="835" w:type="dxa"/>
            <w:vMerge w:val="continue"/>
            <w:tcBorders>
              <w:left w:val="single" w:color="auto" w:sz="4" w:space="0"/>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lang w:bidi="ar-SA"/>
              </w:rPr>
            </w:pPr>
          </w:p>
        </w:tc>
        <w:tc>
          <w:tcPr>
            <w:tcW w:w="1767" w:type="dxa"/>
            <w:vMerge w:val="continue"/>
            <w:tcBorders>
              <w:left w:val="single" w:color="auto" w:sz="4" w:space="0"/>
              <w:right w:val="single" w:color="auto" w:sz="4" w:space="0"/>
            </w:tcBorders>
            <w:shd w:val="clear" w:color="auto" w:fill="auto"/>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p>
        </w:tc>
        <w:tc>
          <w:tcPr>
            <w:tcW w:w="2305" w:type="dxa"/>
            <w:tcBorders>
              <w:top w:val="single" w:color="auto" w:sz="4" w:space="0"/>
              <w:left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履约服务评价</w:t>
            </w:r>
          </w:p>
        </w:tc>
        <w:tc>
          <w:tcPr>
            <w:tcW w:w="9766" w:type="dxa"/>
            <w:tcBorders>
              <w:top w:val="single" w:color="auto" w:sz="4" w:space="0"/>
              <w:left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定标委员会根据定标文件对合格中标候选人的履约服务评价进行评审：</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（1）社会信用信誉评价好，农民工工资保障好，对本工程服务保障能力强，服务保障措施切实到位，施工工期管理策划与措施具体可行，得11-15分；</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（2）社会信用信誉评价较好，农民工工资保障较好，对本工程服务保障能力较强，服务保障措施确定性较强，施工工期管理策划与措施比较可行，得6-10分；</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（3）社会信用信誉评价一般，农民工工资保障一般，对本工程服务保障能力一般，服务保障措施确定性一般，施工工期管理策划与措施一般，得1-5分；</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（4）不满足前述要求者或不提供内容的，不得分。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p>
        </w:tc>
        <w:tc>
          <w:tcPr>
            <w:tcW w:w="17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eastAsia="zh-CN" w:bidi="ar-SA"/>
              </w:rPr>
              <w:t>答辩因素</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lang w:val="en-US" w:eastAsia="zh-CN" w:bidi="ar-SA"/>
              </w:rPr>
              <w:t>55</w:t>
            </w:r>
            <w:r>
              <w:rPr>
                <w:rFonts w:hint="eastAsia" w:ascii="宋体" w:hAnsi="宋体" w:eastAsia="宋体" w:cs="宋体"/>
                <w:color w:val="auto"/>
                <w:sz w:val="21"/>
                <w:szCs w:val="21"/>
                <w:highlight w:val="none"/>
                <w:lang w:bidi="ar-SA"/>
              </w:rPr>
              <w:t>分）</w:t>
            </w:r>
          </w:p>
        </w:tc>
        <w:tc>
          <w:tcPr>
            <w:tcW w:w="120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1、项目管理团队陈述（包括但不限于以下）：</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（1）介绍参加答辩的项目管理班子情况。</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（2）介绍现场踏勘情况，对参与投标项目的了解情况。</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（3）施工组织方案要点；</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（4）项目施工组织的重点、难点分析及应对措施；</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（5）人员、设备投入计划</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2、评委针对其陈述内容及方案所提的相关问题</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优：【55，35）项目管理班子掌握项目情况，对施工组织方案认识清晰，对施工的重点、难点认识深刻，应对措施合理可行，人员、设备投入计划对工程进度有保障，施工组织方案对工程质量、工期的保证合理可行；回答评委提问思路清晰、内容准确。</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良：【35,15）项目管理班子了解项目情况，对施工组织方案认识较清晰，对施工的重点、难点认识到位，应对措施基本合理，人员、设备投入计划对工程进度基本有保障，施工组织方案对工程质量、工期的保证基本合理可行；回答评委提问思路比较清晰、内容基本准确。</w:t>
            </w:r>
          </w:p>
          <w:p>
            <w:pPr>
              <w:widowControl/>
              <w:jc w:val="left"/>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中：【15，0)项目管理班子不了解项目情况；或对施工组织方案认识一般；或未能把握施工的重点、难点；或人员、设备投入计划对工程进度保障差，施工组织方案对工程质量、工期的保证可行性较差；或回答评委提问思路不清晰、答非所问。</w:t>
            </w:r>
          </w:p>
          <w:p>
            <w:pPr>
              <w:pStyle w:val="17"/>
              <w:widowControl/>
              <w:spacing w:before="0" w:beforeAutospacing="0" w:after="0" w:afterAutospacing="0"/>
              <w:ind w:left="0" w:leftChars="0" w:right="0" w:rightChars="0"/>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差：0项目负责人、项目技术负责人均未参加答辩。</w:t>
            </w:r>
          </w:p>
        </w:tc>
      </w:tr>
    </w:tbl>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bidi="ar-SA"/>
        </w:rPr>
        <w:t>注：</w:t>
      </w:r>
      <w:r>
        <w:rPr>
          <w:rFonts w:hint="eastAsia" w:ascii="宋体" w:hAnsi="宋体" w:eastAsia="宋体" w:cs="宋体"/>
          <w:bCs/>
          <w:color w:val="auto"/>
          <w:sz w:val="21"/>
          <w:szCs w:val="21"/>
          <w:highlight w:val="none"/>
          <w:lang w:val="en-US" w:eastAsia="zh-CN" w:bidi="ar-SA"/>
        </w:rPr>
        <w:t>1、履约服务因素应突出重点，页面篇幅控制在300页以内，超过部分不予评审。</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2、答辩：由通过技术标有效性审查的投标人拟投入本项目负责人、技术负责人讲解投标方案、解答疑问，评标委员会专家根据答辩情况进行评审。讲解投标方案注意事项如下：</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left="0" w:leftChars="0" w:firstLine="420" w:firstLineChars="200"/>
        <w:jc w:val="both"/>
        <w:textAlignment w:val="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①讲解投标方案的人员组成：由项目负责人、技术负责人中的1人或2人组成(参与人员须是本单位的在职人员）。</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left="0" w:leftChars="0" w:firstLine="420" w:firstLineChars="200"/>
        <w:jc w:val="both"/>
        <w:textAlignment w:val="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②讲解投标方案的顺序：通过随机抽取方式确定讲解顺序。</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left="0" w:leftChars="0" w:firstLine="420" w:firstLineChars="200"/>
        <w:jc w:val="both"/>
        <w:textAlignment w:val="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③</w:t>
      </w:r>
      <w:r>
        <w:rPr>
          <w:rFonts w:hint="eastAsia" w:ascii="宋体" w:hAnsi="宋体" w:eastAsia="宋体" w:cs="宋体"/>
          <w:b/>
          <w:bCs w:val="0"/>
          <w:color w:val="auto"/>
          <w:kern w:val="2"/>
          <w:sz w:val="21"/>
          <w:szCs w:val="21"/>
          <w:highlight w:val="none"/>
          <w:u w:val="none"/>
          <w:lang w:val="en-US" w:eastAsia="zh-CN" w:bidi="ar-SA"/>
        </w:rPr>
        <w:t>讲解方案人员的要求：投标人在参加讲解时，应向招标人（招标代理）提供一份加盖公章的法定代表人证明书及授权委托书，并展示讲解人员在本单位2025年8月的有效社保证明复印件并加盖单位公章)、身份证原件，招标人（招标代理）核对确认身份后再进行讲解。未能出示前述证明文件的单位不予参加讲解环节。</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left="0" w:leftChars="0" w:firstLine="420" w:firstLineChars="200"/>
        <w:jc w:val="both"/>
        <w:textAlignment w:val="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④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未通过技术标有效性审查的投标单位无需再参与方案讲解。</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left="0" w:leftChars="0" w:firstLine="420" w:firstLineChars="200"/>
        <w:jc w:val="both"/>
        <w:textAlignment w:val="auto"/>
        <w:rPr>
          <w:rFonts w:hint="eastAsia" w:ascii="宋体" w:hAnsi="宋体" w:eastAsia="宋体" w:cs="宋体"/>
          <w:bCs/>
          <w:color w:val="auto"/>
          <w:sz w:val="21"/>
          <w:szCs w:val="21"/>
          <w:highlight w:val="none"/>
          <w:lang w:bidi="ar-SA"/>
        </w:rPr>
      </w:pPr>
      <w:r>
        <w:rPr>
          <w:rFonts w:hint="eastAsia" w:ascii="宋体" w:hAnsi="宋体" w:eastAsia="宋体" w:cs="宋体"/>
          <w:bCs/>
          <w:color w:val="auto"/>
          <w:kern w:val="2"/>
          <w:sz w:val="21"/>
          <w:szCs w:val="21"/>
          <w:highlight w:val="none"/>
          <w:u w:val="none"/>
          <w:lang w:val="en-US" w:eastAsia="zh-CN" w:bidi="ar-SA"/>
        </w:rPr>
        <w:t>⑤讲解时长控制：每家投标人总时长控制在15分钟内。</w:t>
      </w:r>
    </w:p>
    <w:p>
      <w:pPr>
        <w:pStyle w:val="32"/>
        <w:keepNext w:val="0"/>
        <w:keepLines w:val="0"/>
        <w:pageBreakBefore w:val="0"/>
        <w:widowControl/>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bCs/>
          <w:color w:val="auto"/>
          <w:sz w:val="21"/>
          <w:szCs w:val="21"/>
          <w:highlight w:val="none"/>
          <w:lang w:bidi="ar-SA"/>
        </w:rPr>
      </w:pP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Cs/>
          <w:color w:val="auto"/>
          <w:sz w:val="21"/>
          <w:szCs w:val="21"/>
          <w:highlight w:val="none"/>
          <w:lang w:bidi="ar-SA"/>
        </w:rPr>
        <w:t>、得分为各评委评分的算术平均值（若分数出现小数点时，保留小数点后二位，第三位小数四舍五入）。</w:t>
      </w:r>
    </w:p>
    <w:p>
      <w:pPr>
        <w:keepNext w:val="0"/>
        <w:keepLines w:val="0"/>
        <w:pageBreakBefore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highlight w:val="none"/>
          <w:lang w:eastAsia="zh-CN"/>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720" w:num="1"/>
          <w:rtlGutter w:val="1"/>
          <w:docGrid w:type="lines" w:linePitch="312" w:charSpace="0"/>
        </w:sectPr>
      </w:pPr>
      <w:r>
        <w:rPr>
          <w:rStyle w:val="22"/>
          <w:rFonts w:hint="eastAsia" w:ascii="宋体" w:hAnsi="宋体" w:eastAsia="宋体" w:cs="宋体"/>
          <w:b w:val="0"/>
          <w:bCs/>
          <w:color w:val="auto"/>
          <w:sz w:val="21"/>
          <w:szCs w:val="21"/>
          <w:highlight w:val="none"/>
          <w:lang w:val="en-US" w:eastAsia="zh-CN" w:bidi="ar-SA"/>
        </w:rPr>
        <w:t>4</w:t>
      </w:r>
      <w:r>
        <w:rPr>
          <w:rStyle w:val="22"/>
          <w:rFonts w:hint="eastAsia" w:ascii="宋体" w:hAnsi="宋体" w:eastAsia="宋体" w:cs="宋体"/>
          <w:b w:val="0"/>
          <w:bCs/>
          <w:color w:val="auto"/>
          <w:sz w:val="21"/>
          <w:szCs w:val="21"/>
          <w:highlight w:val="none"/>
          <w:lang w:bidi="ar-SA"/>
        </w:rPr>
        <w:t>、总得分（满分100分）=</w:t>
      </w:r>
      <w:r>
        <w:rPr>
          <w:rStyle w:val="22"/>
          <w:rFonts w:hint="eastAsia" w:ascii="宋体" w:hAnsi="宋体" w:eastAsia="宋体" w:cs="宋体"/>
          <w:b w:val="0"/>
          <w:bCs/>
          <w:color w:val="auto"/>
          <w:sz w:val="21"/>
          <w:szCs w:val="21"/>
          <w:highlight w:val="none"/>
          <w:lang w:eastAsia="zh-CN" w:bidi="ar-SA"/>
        </w:rPr>
        <w:t>答辩因素</w:t>
      </w:r>
      <w:r>
        <w:rPr>
          <w:rStyle w:val="22"/>
          <w:rFonts w:hint="eastAsia" w:ascii="宋体" w:hAnsi="宋体" w:eastAsia="宋体" w:cs="宋体"/>
          <w:b w:val="0"/>
          <w:bCs/>
          <w:color w:val="auto"/>
          <w:sz w:val="21"/>
          <w:szCs w:val="21"/>
          <w:highlight w:val="none"/>
          <w:lang w:bidi="ar-SA"/>
        </w:rPr>
        <w:t>（满分</w:t>
      </w:r>
      <w:r>
        <w:rPr>
          <w:rStyle w:val="22"/>
          <w:rFonts w:hint="eastAsia" w:ascii="宋体" w:hAnsi="宋体" w:eastAsia="宋体" w:cs="宋体"/>
          <w:b w:val="0"/>
          <w:bCs/>
          <w:color w:val="auto"/>
          <w:sz w:val="21"/>
          <w:szCs w:val="21"/>
          <w:highlight w:val="none"/>
          <w:lang w:val="en-US" w:eastAsia="zh-CN" w:bidi="ar-SA"/>
        </w:rPr>
        <w:t>55</w:t>
      </w:r>
      <w:r>
        <w:rPr>
          <w:rStyle w:val="22"/>
          <w:rFonts w:hint="eastAsia" w:ascii="宋体" w:hAnsi="宋体" w:eastAsia="宋体" w:cs="宋体"/>
          <w:b w:val="0"/>
          <w:bCs/>
          <w:color w:val="auto"/>
          <w:sz w:val="21"/>
          <w:szCs w:val="21"/>
          <w:highlight w:val="none"/>
          <w:lang w:bidi="ar-SA"/>
        </w:rPr>
        <w:t>分）+</w:t>
      </w:r>
      <w:r>
        <w:rPr>
          <w:rStyle w:val="22"/>
          <w:rFonts w:hint="eastAsia" w:ascii="宋体" w:hAnsi="宋体" w:eastAsia="宋体" w:cs="宋体"/>
          <w:b w:val="0"/>
          <w:bCs/>
          <w:color w:val="auto"/>
          <w:sz w:val="21"/>
          <w:szCs w:val="21"/>
          <w:highlight w:val="none"/>
          <w:lang w:val="en-US" w:eastAsia="zh-CN" w:bidi="ar-SA"/>
        </w:rPr>
        <w:t>履约服务</w:t>
      </w:r>
      <w:r>
        <w:rPr>
          <w:rStyle w:val="22"/>
          <w:rFonts w:hint="eastAsia" w:ascii="宋体" w:hAnsi="宋体" w:eastAsia="宋体" w:cs="宋体"/>
          <w:b w:val="0"/>
          <w:bCs/>
          <w:color w:val="auto"/>
          <w:sz w:val="21"/>
          <w:szCs w:val="21"/>
          <w:highlight w:val="none"/>
          <w:lang w:bidi="ar-SA"/>
        </w:rPr>
        <w:t>因素（满分</w:t>
      </w:r>
      <w:r>
        <w:rPr>
          <w:rStyle w:val="22"/>
          <w:rFonts w:hint="eastAsia" w:ascii="宋体" w:hAnsi="宋体" w:eastAsia="宋体" w:cs="宋体"/>
          <w:b w:val="0"/>
          <w:bCs/>
          <w:color w:val="auto"/>
          <w:sz w:val="21"/>
          <w:szCs w:val="21"/>
          <w:highlight w:val="none"/>
          <w:lang w:val="en-US" w:eastAsia="zh-CN" w:bidi="ar-SA"/>
        </w:rPr>
        <w:t>45</w:t>
      </w:r>
      <w:r>
        <w:rPr>
          <w:rStyle w:val="22"/>
          <w:rFonts w:hint="eastAsia" w:ascii="宋体" w:hAnsi="宋体" w:eastAsia="宋体" w:cs="宋体"/>
          <w:b w:val="0"/>
          <w:bCs/>
          <w:color w:val="auto"/>
          <w:sz w:val="21"/>
          <w:szCs w:val="21"/>
          <w:highlight w:val="none"/>
          <w:lang w:bidi="ar-SA"/>
        </w:rPr>
        <w:t>分），总得分四舍五入保留两位小数</w:t>
      </w:r>
      <w:r>
        <w:rPr>
          <w:rStyle w:val="22"/>
          <w:rFonts w:hint="eastAsia" w:ascii="宋体" w:hAnsi="宋体" w:eastAsia="宋体" w:cs="宋体"/>
          <w:b w:val="0"/>
          <w:bCs/>
          <w:color w:val="auto"/>
          <w:sz w:val="21"/>
          <w:szCs w:val="21"/>
          <w:highlight w:val="none"/>
          <w:lang w:eastAsia="zh-CN" w:bidi="ar-SA"/>
        </w:rPr>
        <w:t>。</w:t>
      </w:r>
    </w:p>
    <w:p>
      <w:pPr>
        <w:pStyle w:val="11"/>
        <w:rPr>
          <w:rFonts w:hint="eastAsia" w:ascii="宋体" w:hAnsi="宋体" w:eastAsia="宋体" w:cs="宋体"/>
          <w:color w:val="auto"/>
          <w:highlight w:val="none"/>
        </w:rPr>
      </w:pPr>
    </w:p>
    <w:p>
      <w:pPr>
        <w:pStyle w:val="3"/>
        <w:rPr>
          <w:rFonts w:hint="eastAsia" w:ascii="宋体" w:hAnsi="宋体" w:eastAsia="宋体" w:cs="宋体"/>
          <w:color w:val="auto"/>
          <w:highlight w:val="none"/>
        </w:rPr>
      </w:pPr>
      <w:bookmarkStart w:id="56" w:name="_Toc201658283"/>
      <w:r>
        <w:rPr>
          <w:rFonts w:hint="eastAsia" w:ascii="宋体" w:hAnsi="宋体" w:eastAsia="宋体" w:cs="宋体"/>
          <w:color w:val="auto"/>
          <w:highlight w:val="none"/>
        </w:rPr>
        <w:t>第三章  合同条款</w:t>
      </w:r>
      <w:bookmarkEnd w:id="56"/>
    </w:p>
    <w:p>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另册</w:t>
      </w:r>
      <w:r>
        <w:rPr>
          <w:rFonts w:hint="eastAsia" w:ascii="宋体" w:hAnsi="宋体" w:eastAsia="宋体" w:cs="宋体"/>
          <w:color w:val="auto"/>
          <w:sz w:val="24"/>
          <w:szCs w:val="24"/>
          <w:highlight w:val="none"/>
        </w:rPr>
        <w:t>。</w:t>
      </w:r>
    </w:p>
    <w:p>
      <w:pPr>
        <w:pStyle w:val="5"/>
        <w:spacing w:line="360" w:lineRule="auto"/>
        <w:ind w:firstLine="24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sectPr>
          <w:headerReference r:id="rId6" w:type="default"/>
          <w:pgSz w:w="11907" w:h="16840"/>
          <w:pgMar w:top="1418" w:right="1418" w:bottom="1418" w:left="1418" w:header="1134" w:footer="851" w:gutter="0"/>
          <w:pgBorders>
            <w:top w:val="none" w:sz="0" w:space="0"/>
            <w:left w:val="none" w:sz="0" w:space="0"/>
            <w:bottom w:val="none" w:sz="0" w:space="0"/>
            <w:right w:val="none" w:sz="0" w:space="0"/>
          </w:pgBorders>
          <w:cols w:space="720" w:num="1"/>
          <w:docGrid w:type="lines" w:linePitch="312" w:charSpace="0"/>
        </w:sectPr>
      </w:pPr>
    </w:p>
    <w:p>
      <w:pPr>
        <w:pStyle w:val="11"/>
        <w:spacing w:line="360" w:lineRule="auto"/>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bookmarkStart w:id="57" w:name="_Toc201658284"/>
      <w:r>
        <w:rPr>
          <w:rFonts w:hint="eastAsia" w:ascii="宋体" w:hAnsi="宋体" w:eastAsia="宋体" w:cs="宋体"/>
          <w:color w:val="auto"/>
          <w:highlight w:val="none"/>
        </w:rPr>
        <w:t>第四章  投标文件格式</w:t>
      </w:r>
      <w:bookmarkEnd w:id="57"/>
    </w:p>
    <w:p>
      <w:pPr>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bookmarkStart w:id="58" w:name="_Toc4489951"/>
      <w:bookmarkStart w:id="59" w:name="_Toc182301153"/>
      <w:bookmarkStart w:id="60" w:name="_Toc181984153"/>
      <w:bookmarkStart w:id="61" w:name="_Toc177015447"/>
      <w:bookmarkStart w:id="62" w:name="_Toc177015373"/>
      <w:bookmarkStart w:id="63" w:name="_Toc177015504"/>
      <w:bookmarkStart w:id="64" w:name="_Toc174439519"/>
      <w:bookmarkStart w:id="65" w:name="_Toc4486083"/>
    </w:p>
    <w:p>
      <w:pPr>
        <w:jc w:val="center"/>
        <w:outlineLvl w:val="1"/>
        <w:rPr>
          <w:rFonts w:hint="eastAsia" w:ascii="宋体" w:hAnsi="宋体" w:eastAsia="宋体" w:cs="宋体"/>
          <w:b/>
          <w:bCs/>
          <w:color w:val="auto"/>
          <w:sz w:val="24"/>
          <w:szCs w:val="24"/>
          <w:highlight w:val="none"/>
        </w:rPr>
      </w:pPr>
      <w:bookmarkStart w:id="66" w:name="_Toc504722502"/>
      <w:bookmarkStart w:id="67" w:name="_Toc9279"/>
      <w:bookmarkStart w:id="68" w:name="_Toc201658285"/>
      <w:r>
        <w:rPr>
          <w:rFonts w:hint="eastAsia" w:ascii="宋体" w:hAnsi="宋体" w:eastAsia="宋体" w:cs="宋体"/>
          <w:b/>
          <w:bCs/>
          <w:color w:val="auto"/>
          <w:sz w:val="24"/>
          <w:szCs w:val="24"/>
          <w:highlight w:val="none"/>
        </w:rPr>
        <w:t>一、技术标投标文件格式</w:t>
      </w:r>
      <w:bookmarkEnd w:id="66"/>
      <w:bookmarkEnd w:id="67"/>
      <w:bookmarkEnd w:id="68"/>
    </w:p>
    <w:p>
      <w:pPr>
        <w:widowControl/>
        <w:topLinePunct/>
        <w:adjustRightInd w:val="0"/>
        <w:snapToGrid w:val="0"/>
        <w:spacing w:after="200"/>
        <w:jc w:val="left"/>
        <w:outlineLvl w:val="2"/>
        <w:rPr>
          <w:rFonts w:hint="eastAsia" w:ascii="宋体" w:hAnsi="宋体" w:eastAsia="宋体" w:cs="宋体"/>
          <w:color w:val="auto"/>
          <w:spacing w:val="4"/>
          <w:kern w:val="0"/>
          <w:sz w:val="24"/>
          <w:szCs w:val="24"/>
          <w:highlight w:val="none"/>
        </w:rPr>
      </w:pPr>
      <w:r>
        <w:rPr>
          <w:rFonts w:hint="eastAsia" w:ascii="宋体" w:hAnsi="宋体" w:eastAsia="宋体" w:cs="宋体"/>
          <w:b/>
          <w:color w:val="auto"/>
          <w:spacing w:val="4"/>
          <w:kern w:val="0"/>
          <w:sz w:val="24"/>
          <w:szCs w:val="24"/>
          <w:highlight w:val="none"/>
        </w:rPr>
        <w:br w:type="page"/>
      </w:r>
      <w:bookmarkStart w:id="69" w:name="_Toc24194"/>
      <w:bookmarkStart w:id="70" w:name="_Toc504722503"/>
      <w:bookmarkStart w:id="71" w:name="_Toc116898647"/>
      <w:bookmarkStart w:id="72" w:name="_Toc40024385"/>
      <w:bookmarkStart w:id="73" w:name="_Toc116898061"/>
      <w:bookmarkStart w:id="74" w:name="_Toc201658286"/>
      <w:bookmarkStart w:id="75" w:name="_Toc29476911"/>
      <w:bookmarkStart w:id="76" w:name="_Toc125032258"/>
      <w:bookmarkStart w:id="77" w:name="_Toc4489935"/>
      <w:r>
        <w:rPr>
          <w:rFonts w:hint="eastAsia" w:ascii="宋体" w:hAnsi="宋体" w:eastAsia="宋体" w:cs="宋体"/>
          <w:color w:val="auto"/>
          <w:spacing w:val="4"/>
          <w:kern w:val="0"/>
          <w:sz w:val="24"/>
          <w:szCs w:val="24"/>
          <w:highlight w:val="none"/>
        </w:rPr>
        <w:t>格式一：技术标封面</w:t>
      </w:r>
      <w:bookmarkEnd w:id="69"/>
      <w:bookmarkEnd w:id="70"/>
      <w:bookmarkEnd w:id="71"/>
      <w:bookmarkEnd w:id="72"/>
      <w:bookmarkEnd w:id="73"/>
      <w:bookmarkEnd w:id="74"/>
      <w:bookmarkEnd w:id="75"/>
      <w:bookmarkEnd w:id="76"/>
      <w:bookmarkEnd w:id="77"/>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jc w:val="center"/>
        <w:rPr>
          <w:rFonts w:hint="eastAsia" w:ascii="宋体" w:hAnsi="宋体" w:eastAsia="宋体" w:cs="宋体"/>
          <w:color w:val="auto"/>
          <w:spacing w:val="4"/>
          <w:kern w:val="0"/>
          <w:sz w:val="36"/>
          <w:szCs w:val="36"/>
          <w:highlight w:val="none"/>
          <w:u w:val="single"/>
        </w:rPr>
      </w:pPr>
      <w:r>
        <w:rPr>
          <w:rFonts w:hint="eastAsia" w:ascii="宋体" w:hAnsi="宋体" w:eastAsia="宋体" w:cs="宋体"/>
          <w:color w:val="auto"/>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jc w:val="center"/>
        <w:rPr>
          <w:rFonts w:hint="eastAsia" w:ascii="宋体" w:hAnsi="宋体" w:eastAsia="宋体" w:cs="宋体"/>
          <w:color w:val="auto"/>
          <w:spacing w:val="4"/>
          <w:kern w:val="0"/>
          <w:sz w:val="84"/>
          <w:szCs w:val="84"/>
          <w:highlight w:val="none"/>
        </w:rPr>
      </w:pPr>
      <w:r>
        <w:rPr>
          <w:rFonts w:hint="eastAsia" w:ascii="宋体" w:hAnsi="宋体" w:eastAsia="宋体" w:cs="宋体"/>
          <w:color w:val="auto"/>
          <w:spacing w:val="4"/>
          <w:kern w:val="0"/>
          <w:sz w:val="84"/>
          <w:szCs w:val="84"/>
          <w:highlight w:val="none"/>
        </w:rPr>
        <w:t>投标文件</w:t>
      </w:r>
    </w:p>
    <w:p>
      <w:pPr>
        <w:widowControl/>
        <w:topLinePunct/>
        <w:adjustRightInd w:val="0"/>
        <w:snapToGrid w:val="0"/>
        <w:spacing w:after="200" w:line="360" w:lineRule="auto"/>
        <w:jc w:val="center"/>
        <w:rPr>
          <w:rFonts w:hint="eastAsia" w:ascii="宋体" w:hAnsi="宋体" w:eastAsia="宋体" w:cs="宋体"/>
          <w:color w:val="auto"/>
          <w:spacing w:val="4"/>
          <w:kern w:val="0"/>
          <w:sz w:val="36"/>
          <w:szCs w:val="36"/>
          <w:highlight w:val="none"/>
        </w:rPr>
      </w:pPr>
      <w:r>
        <w:rPr>
          <w:rFonts w:hint="eastAsia" w:ascii="宋体" w:hAnsi="宋体" w:eastAsia="宋体" w:cs="宋体"/>
          <w:color w:val="auto"/>
          <w:spacing w:val="4"/>
          <w:kern w:val="0"/>
          <w:sz w:val="36"/>
          <w:szCs w:val="36"/>
          <w:highlight w:val="none"/>
        </w:rPr>
        <w:t>【技术</w:t>
      </w:r>
      <w:r>
        <w:rPr>
          <w:rFonts w:hint="eastAsia" w:ascii="宋体" w:hAnsi="宋体" w:eastAsia="宋体" w:cs="宋体"/>
          <w:color w:val="auto"/>
          <w:spacing w:val="4"/>
          <w:kern w:val="0"/>
          <w:sz w:val="36"/>
          <w:szCs w:val="36"/>
          <w:highlight w:val="none"/>
          <w:lang w:val="en-US" w:eastAsia="zh-CN"/>
        </w:rPr>
        <w:t>部分</w:t>
      </w:r>
      <w:r>
        <w:rPr>
          <w:rFonts w:hint="eastAsia" w:ascii="宋体" w:hAnsi="宋体" w:eastAsia="宋体" w:cs="宋体"/>
          <w:color w:val="auto"/>
          <w:spacing w:val="4"/>
          <w:kern w:val="0"/>
          <w:sz w:val="36"/>
          <w:szCs w:val="36"/>
          <w:highlight w:val="none"/>
        </w:rPr>
        <w:t>（含资格审查文件）】</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pStyle w:val="6"/>
        <w:rPr>
          <w:rFonts w:hint="eastAsia" w:ascii="宋体" w:hAnsi="宋体" w:eastAsia="宋体" w:cs="宋体"/>
          <w:color w:val="auto"/>
          <w:spacing w:val="4"/>
          <w:kern w:val="0"/>
          <w:sz w:val="24"/>
          <w:szCs w:val="24"/>
          <w:highlight w:val="none"/>
        </w:rPr>
      </w:pPr>
    </w:p>
    <w:p>
      <w:pPr>
        <w:rPr>
          <w:rFonts w:hint="eastAsia" w:ascii="宋体" w:hAnsi="宋体" w:eastAsia="宋体" w:cs="宋体"/>
          <w:color w:val="auto"/>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616" w:firstLineChars="200"/>
        <w:jc w:val="left"/>
        <w:rPr>
          <w:rFonts w:hint="eastAsia" w:ascii="宋体" w:hAnsi="宋体" w:eastAsia="宋体" w:cs="宋体"/>
          <w:color w:val="auto"/>
          <w:spacing w:val="4"/>
          <w:kern w:val="0"/>
          <w:sz w:val="30"/>
          <w:szCs w:val="30"/>
          <w:highlight w:val="none"/>
        </w:rPr>
      </w:pPr>
      <w:r>
        <w:rPr>
          <w:rFonts w:hint="eastAsia" w:ascii="宋体" w:hAnsi="宋体" w:eastAsia="宋体" w:cs="宋体"/>
          <w:color w:val="auto"/>
          <w:spacing w:val="4"/>
          <w:kern w:val="0"/>
          <w:sz w:val="30"/>
          <w:szCs w:val="30"/>
          <w:highlight w:val="none"/>
        </w:rPr>
        <w:t>投标人：</w:t>
      </w:r>
      <w:r>
        <w:rPr>
          <w:rFonts w:hint="eastAsia" w:ascii="宋体" w:hAnsi="宋体" w:eastAsia="宋体" w:cs="宋体"/>
          <w:color w:val="auto"/>
          <w:spacing w:val="4"/>
          <w:kern w:val="0"/>
          <w:sz w:val="30"/>
          <w:szCs w:val="30"/>
          <w:highlight w:val="none"/>
          <w:u w:val="single"/>
        </w:rPr>
        <w:t xml:space="preserve">    </w:t>
      </w:r>
      <w:bookmarkStart w:id="78" w:name="_Toc163337619"/>
      <w:bookmarkStart w:id="79" w:name="_Toc318924494"/>
      <w:bookmarkStart w:id="80" w:name="_Toc226209002"/>
      <w:bookmarkStart w:id="81" w:name="_Toc337720090"/>
      <w:bookmarkStart w:id="82" w:name="_Toc239216030"/>
      <w:bookmarkStart w:id="83" w:name="_Toc239311745"/>
      <w:bookmarkStart w:id="84" w:name="_Toc352623420"/>
      <w:bookmarkStart w:id="85" w:name="_Toc395261098"/>
      <w:bookmarkStart w:id="86" w:name="_Toc449308419"/>
      <w:bookmarkStart w:id="87" w:name="_Toc358370577"/>
      <w:bookmarkStart w:id="88" w:name="_Toc464131223"/>
      <w:bookmarkStart w:id="89" w:name="_Toc369536769"/>
      <w:bookmarkStart w:id="90" w:name="_Toc484958691"/>
      <w:bookmarkStart w:id="91" w:name="_Toc352240522"/>
      <w:r>
        <w:rPr>
          <w:rFonts w:hint="eastAsia" w:ascii="宋体" w:hAnsi="宋体" w:eastAsia="宋体" w:cs="宋体"/>
          <w:color w:val="auto"/>
          <w:spacing w:val="4"/>
          <w:kern w:val="0"/>
          <w:sz w:val="30"/>
          <w:szCs w:val="30"/>
          <w:highlight w:val="none"/>
          <w:u w:val="single"/>
        </w:rPr>
        <w:t xml:space="preserve">    （填写投标人单位名称）</w:t>
      </w:r>
      <w:bookmarkEnd w:id="78"/>
      <w:bookmarkEnd w:id="79"/>
      <w:bookmarkEnd w:id="80"/>
      <w:bookmarkEnd w:id="81"/>
      <w:bookmarkEnd w:id="82"/>
      <w:bookmarkEnd w:id="83"/>
      <w:r>
        <w:rPr>
          <w:rFonts w:hint="eastAsia" w:ascii="宋体" w:hAnsi="宋体" w:eastAsia="宋体" w:cs="宋体"/>
          <w:color w:val="auto"/>
          <w:spacing w:val="4"/>
          <w:kern w:val="0"/>
          <w:sz w:val="30"/>
          <w:szCs w:val="30"/>
          <w:highlight w:val="none"/>
          <w:u w:val="single"/>
        </w:rPr>
        <w:t xml:space="preserve">  （</w:t>
      </w:r>
      <w:bookmarkEnd w:id="84"/>
      <w:bookmarkEnd w:id="85"/>
      <w:bookmarkEnd w:id="86"/>
      <w:bookmarkEnd w:id="87"/>
      <w:bookmarkEnd w:id="88"/>
      <w:bookmarkEnd w:id="89"/>
      <w:bookmarkEnd w:id="90"/>
      <w:bookmarkEnd w:id="91"/>
      <w:r>
        <w:rPr>
          <w:rFonts w:hint="eastAsia" w:ascii="宋体" w:hAnsi="宋体" w:eastAsia="宋体" w:cs="宋体"/>
          <w:color w:val="auto"/>
          <w:spacing w:val="4"/>
          <w:kern w:val="0"/>
          <w:sz w:val="30"/>
          <w:szCs w:val="30"/>
          <w:highlight w:val="none"/>
          <w:u w:val="single"/>
        </w:rPr>
        <w:t>盖章）</w:t>
      </w:r>
    </w:p>
    <w:p>
      <w:pPr>
        <w:widowControl/>
        <w:topLinePunct/>
        <w:adjustRightInd w:val="0"/>
        <w:snapToGrid w:val="0"/>
        <w:spacing w:after="200" w:line="360" w:lineRule="auto"/>
        <w:ind w:firstLine="616" w:firstLineChars="200"/>
        <w:jc w:val="left"/>
        <w:rPr>
          <w:rFonts w:hint="eastAsia" w:ascii="宋体" w:hAnsi="宋体" w:eastAsia="宋体" w:cs="宋体"/>
          <w:color w:val="auto"/>
          <w:spacing w:val="4"/>
          <w:kern w:val="0"/>
          <w:sz w:val="30"/>
          <w:szCs w:val="30"/>
          <w:highlight w:val="none"/>
        </w:rPr>
      </w:pPr>
    </w:p>
    <w:p>
      <w:pPr>
        <w:ind w:firstLine="616"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spacing w:val="4"/>
          <w:kern w:val="0"/>
          <w:sz w:val="30"/>
          <w:szCs w:val="30"/>
          <w:highlight w:val="none"/>
        </w:rPr>
        <w:t>日  期：</w:t>
      </w:r>
      <w:r>
        <w:rPr>
          <w:rFonts w:hint="eastAsia" w:ascii="宋体" w:hAnsi="宋体" w:eastAsia="宋体" w:cs="宋体"/>
          <w:color w:val="auto"/>
          <w:highlight w:val="none"/>
          <w:u w:val="single"/>
        </w:rPr>
        <w:t xml:space="preserve">                                            </w:t>
      </w:r>
    </w:p>
    <w:p>
      <w:pPr>
        <w:widowControl/>
        <w:topLinePunct/>
        <w:adjustRightInd w:val="0"/>
        <w:snapToGrid w:val="0"/>
        <w:spacing w:after="200"/>
        <w:jc w:val="left"/>
        <w:outlineLvl w:val="2"/>
        <w:rPr>
          <w:rFonts w:hint="eastAsia" w:ascii="宋体" w:hAnsi="宋体" w:eastAsia="宋体" w:cs="宋体"/>
          <w:color w:val="auto"/>
          <w:spacing w:val="4"/>
          <w:kern w:val="0"/>
          <w:sz w:val="24"/>
          <w:szCs w:val="24"/>
          <w:highlight w:val="none"/>
        </w:rPr>
      </w:pPr>
      <w:r>
        <w:rPr>
          <w:rFonts w:hint="eastAsia" w:ascii="宋体" w:hAnsi="宋体" w:eastAsia="宋体" w:cs="宋体"/>
          <w:b/>
          <w:color w:val="auto"/>
          <w:spacing w:val="4"/>
          <w:kern w:val="0"/>
          <w:sz w:val="24"/>
          <w:szCs w:val="24"/>
          <w:highlight w:val="none"/>
        </w:rPr>
        <w:br w:type="page"/>
      </w:r>
      <w:bookmarkStart w:id="92" w:name="_Toc116898648"/>
      <w:bookmarkStart w:id="93" w:name="_Toc201658287"/>
      <w:bookmarkStart w:id="94" w:name="_Toc4489936"/>
      <w:bookmarkStart w:id="95" w:name="_Toc40024386"/>
      <w:bookmarkStart w:id="96" w:name="_Toc125032259"/>
      <w:bookmarkStart w:id="97" w:name="_Toc29476912"/>
      <w:bookmarkStart w:id="98" w:name="_Toc116898062"/>
      <w:r>
        <w:rPr>
          <w:rFonts w:hint="eastAsia" w:ascii="宋体" w:hAnsi="宋体" w:eastAsia="宋体" w:cs="宋体"/>
          <w:color w:val="auto"/>
          <w:spacing w:val="4"/>
          <w:kern w:val="0"/>
          <w:sz w:val="24"/>
          <w:szCs w:val="24"/>
          <w:highlight w:val="none"/>
        </w:rPr>
        <w:t>格式二：广州建设工程施工</w:t>
      </w:r>
      <w:r>
        <w:rPr>
          <w:rFonts w:hint="eastAsia" w:ascii="宋体" w:hAnsi="宋体" w:eastAsia="宋体" w:cs="宋体"/>
          <w:color w:val="auto"/>
          <w:spacing w:val="4"/>
          <w:kern w:val="0"/>
          <w:sz w:val="24"/>
          <w:szCs w:val="24"/>
          <w:highlight w:val="none"/>
          <w:lang w:val="zh-CN"/>
        </w:rPr>
        <w:t>技术标</w:t>
      </w:r>
      <w:r>
        <w:rPr>
          <w:rFonts w:hint="eastAsia" w:ascii="宋体" w:hAnsi="宋体" w:eastAsia="宋体" w:cs="宋体"/>
          <w:color w:val="auto"/>
          <w:spacing w:val="4"/>
          <w:kern w:val="0"/>
          <w:sz w:val="24"/>
          <w:szCs w:val="24"/>
          <w:highlight w:val="none"/>
        </w:rPr>
        <w:t>招标投标书</w:t>
      </w:r>
      <w:bookmarkEnd w:id="92"/>
      <w:bookmarkEnd w:id="93"/>
      <w:bookmarkEnd w:id="94"/>
      <w:bookmarkEnd w:id="95"/>
      <w:bookmarkEnd w:id="96"/>
      <w:bookmarkEnd w:id="97"/>
      <w:bookmarkEnd w:id="98"/>
    </w:p>
    <w:p>
      <w:pPr>
        <w:autoSpaceDE w:val="0"/>
        <w:autoSpaceDN w:val="0"/>
        <w:adjustRightInd w:val="0"/>
        <w:ind w:left="-540" w:leftChars="-257" w:firstLine="1135" w:firstLineChars="257"/>
        <w:jc w:val="center"/>
        <w:rPr>
          <w:rFonts w:hint="eastAsia" w:ascii="宋体" w:hAnsi="宋体" w:eastAsia="宋体" w:cs="宋体"/>
          <w:b/>
          <w:color w:val="auto"/>
          <w:sz w:val="52"/>
          <w:szCs w:val="52"/>
          <w:highlight w:val="none"/>
        </w:rPr>
      </w:pPr>
      <w:r>
        <w:rPr>
          <w:rFonts w:hint="eastAsia" w:ascii="宋体" w:hAnsi="宋体" w:eastAsia="宋体" w:cs="宋体"/>
          <w:b/>
          <w:color w:val="auto"/>
          <w:sz w:val="44"/>
          <w:szCs w:val="44"/>
          <w:highlight w:val="none"/>
        </w:rPr>
        <w:t>广州建设工程施工技术标招标投标书</w:t>
      </w:r>
    </w:p>
    <w:tbl>
      <w:tblPr>
        <w:tblStyle w:val="19"/>
        <w:tblpPr w:leftFromText="180" w:rightFromText="180" w:vertAnchor="text" w:horzAnchor="margin" w:tblpXSpec="center" w:tblpY="275"/>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8"/>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color w:val="auto"/>
                <w:sz w:val="21"/>
                <w:szCs w:val="21"/>
                <w:highlight w:val="none"/>
                <w:lang w:val="zh-CN" w:eastAsia="zh-CN" w:bidi="ar-SA"/>
              </w:rPr>
              <w:t>工 程 名 称</w:t>
            </w:r>
          </w:p>
        </w:tc>
        <w:tc>
          <w:tcPr>
            <w:tcW w:w="35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zh-CN" w:eastAsia="zh-CN" w:bidi="ar-SA"/>
              </w:rPr>
              <w:t>投标总报价（元）</w:t>
            </w:r>
          </w:p>
        </w:tc>
        <w:tc>
          <w:tcPr>
            <w:tcW w:w="35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color w:val="auto"/>
                <w:sz w:val="21"/>
                <w:szCs w:val="21"/>
                <w:highlight w:val="none"/>
                <w:lang w:val="zh-CN" w:eastAsia="zh-CN" w:bidi="ar-SA"/>
              </w:rPr>
              <w:t>其中：</w:t>
            </w:r>
            <w:r>
              <w:rPr>
                <w:rFonts w:hint="eastAsia" w:ascii="宋体" w:hAnsi="宋体" w:eastAsia="宋体" w:cs="宋体"/>
                <w:b/>
                <w:bCs/>
                <w:color w:val="auto"/>
                <w:sz w:val="21"/>
                <w:szCs w:val="21"/>
                <w:highlight w:val="none"/>
                <w:lang w:val="zh-CN" w:eastAsia="zh-CN" w:bidi="ar-SA"/>
              </w:rPr>
              <w:t>人工费</w:t>
            </w:r>
            <w:r>
              <w:rPr>
                <w:rFonts w:hint="eastAsia" w:ascii="宋体" w:hAnsi="宋体" w:eastAsia="宋体" w:cs="宋体"/>
                <w:b/>
                <w:color w:val="auto"/>
                <w:sz w:val="21"/>
                <w:szCs w:val="21"/>
                <w:highlight w:val="none"/>
                <w:lang w:val="zh-CN" w:eastAsia="zh-CN" w:bidi="ar-SA"/>
              </w:rPr>
              <w:t>（元）</w:t>
            </w:r>
          </w:p>
        </w:tc>
        <w:tc>
          <w:tcPr>
            <w:tcW w:w="35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lang w:val="zh-CN" w:eastAsia="zh-CN" w:bidi="ar-SA"/>
              </w:rPr>
              <w:t>其中：</w:t>
            </w:r>
            <w:r>
              <w:rPr>
                <w:rFonts w:hint="eastAsia" w:ascii="宋体" w:hAnsi="宋体" w:cs="宋体"/>
                <w:b/>
                <w:color w:val="auto"/>
                <w:sz w:val="21"/>
                <w:szCs w:val="21"/>
                <w:highlight w:val="none"/>
                <w:u w:val="single"/>
                <w:lang w:val="zh-CN" w:eastAsia="zh-CN" w:bidi="ar-SA"/>
              </w:rPr>
              <w:t>安全生产措施费</w:t>
            </w:r>
            <w:r>
              <w:rPr>
                <w:rFonts w:hint="eastAsia" w:ascii="宋体" w:hAnsi="宋体" w:eastAsia="宋体" w:cs="宋体"/>
                <w:b/>
                <w:color w:val="auto"/>
                <w:sz w:val="21"/>
                <w:szCs w:val="21"/>
                <w:highlight w:val="none"/>
                <w:lang w:val="zh-CN" w:eastAsia="zh-CN" w:bidi="ar-SA"/>
              </w:rPr>
              <w:t>（元）</w:t>
            </w:r>
          </w:p>
        </w:tc>
        <w:tc>
          <w:tcPr>
            <w:tcW w:w="35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lang w:val="zh-CN" w:eastAsia="zh-CN" w:bidi="ar-SA"/>
              </w:rPr>
              <w:t>其中：</w:t>
            </w:r>
            <w:r>
              <w:rPr>
                <w:rFonts w:hint="eastAsia" w:ascii="宋体" w:hAnsi="宋体" w:eastAsia="宋体" w:cs="宋体"/>
                <w:b/>
                <w:color w:val="auto"/>
                <w:sz w:val="21"/>
                <w:szCs w:val="21"/>
                <w:highlight w:val="none"/>
                <w:lang w:val="en-US" w:eastAsia="zh-CN" w:bidi="ar-SA"/>
              </w:rPr>
              <w:t>暂列金额</w:t>
            </w:r>
            <w:r>
              <w:rPr>
                <w:rFonts w:hint="eastAsia" w:ascii="宋体" w:hAnsi="宋体" w:eastAsia="宋体" w:cs="宋体"/>
                <w:b/>
                <w:color w:val="auto"/>
                <w:sz w:val="21"/>
                <w:szCs w:val="21"/>
                <w:highlight w:val="none"/>
                <w:lang w:val="zh-CN" w:eastAsia="zh-CN" w:bidi="ar-SA"/>
              </w:rPr>
              <w:t>（元）</w:t>
            </w:r>
          </w:p>
        </w:tc>
        <w:tc>
          <w:tcPr>
            <w:tcW w:w="35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u w:val="single"/>
                <w:lang w:val="zh-CN" w:eastAsia="zh-CN" w:bidi="ar-SA"/>
              </w:rPr>
              <w:t>其中：</w:t>
            </w:r>
            <w:r>
              <w:rPr>
                <w:rFonts w:hint="eastAsia" w:ascii="宋体" w:hAnsi="宋体" w:cs="宋体"/>
                <w:b/>
                <w:color w:val="auto"/>
                <w:sz w:val="21"/>
                <w:szCs w:val="21"/>
                <w:highlight w:val="none"/>
                <w:u w:val="single"/>
                <w:lang w:val="en-US" w:eastAsia="zh-CN" w:bidi="ar-SA"/>
              </w:rPr>
              <w:t>暂估价</w:t>
            </w:r>
            <w:r>
              <w:rPr>
                <w:rFonts w:hint="eastAsia" w:ascii="宋体" w:hAnsi="宋体" w:eastAsia="宋体" w:cs="宋体"/>
                <w:b/>
                <w:color w:val="auto"/>
                <w:sz w:val="21"/>
                <w:szCs w:val="21"/>
                <w:highlight w:val="none"/>
                <w:u w:val="single"/>
                <w:lang w:val="zh-CN" w:eastAsia="zh-CN" w:bidi="ar-SA"/>
              </w:rPr>
              <w:t>（元）</w:t>
            </w:r>
          </w:p>
        </w:tc>
        <w:tc>
          <w:tcPr>
            <w:tcW w:w="35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1"/>
                <w:szCs w:val="21"/>
                <w:highlight w:val="none"/>
                <w:lang w:val="zh-CN" w:eastAsia="zh-CN" w:bidi="ar-SA"/>
              </w:rPr>
            </w:pPr>
            <w:r>
              <w:rPr>
                <w:rFonts w:hint="eastAsia" w:ascii="宋体" w:hAnsi="宋体" w:eastAsia="宋体" w:cs="宋体"/>
                <w:b/>
                <w:color w:val="auto"/>
                <w:sz w:val="21"/>
                <w:szCs w:val="21"/>
                <w:highlight w:val="none"/>
                <w:lang w:val="zh-CN" w:eastAsia="zh-CN" w:bidi="ar-SA"/>
              </w:rPr>
              <w:t>投标总工期</w:t>
            </w:r>
          </w:p>
        </w:tc>
        <w:tc>
          <w:tcPr>
            <w:tcW w:w="35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val="zh-CN" w:eastAsia="zh-CN" w:bidi="ar-SA"/>
              </w:rPr>
              <w:t>工程质量标准</w:t>
            </w:r>
          </w:p>
        </w:tc>
        <w:tc>
          <w:tcPr>
            <w:tcW w:w="35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color w:val="auto"/>
                <w:sz w:val="21"/>
                <w:szCs w:val="21"/>
                <w:highlight w:val="none"/>
                <w:lang w:val="zh-CN" w:eastAsia="zh-CN" w:bidi="ar-SA"/>
              </w:rPr>
              <w:t>保修期限</w:t>
            </w:r>
          </w:p>
        </w:tc>
        <w:tc>
          <w:tcPr>
            <w:tcW w:w="35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bCs/>
                <w:color w:val="auto"/>
                <w:sz w:val="21"/>
                <w:szCs w:val="21"/>
                <w:highlight w:val="none"/>
                <w:lang w:val="zh-CN" w:eastAsia="zh-CN" w:bidi="ar-SA"/>
              </w:rPr>
            </w:pPr>
          </w:p>
        </w:tc>
      </w:tr>
    </w:tbl>
    <w:p>
      <w:pPr>
        <w:tabs>
          <w:tab w:val="left" w:pos="720"/>
        </w:tabs>
        <w:snapToGrid w:val="0"/>
        <w:spacing w:line="360" w:lineRule="auto"/>
        <w:rPr>
          <w:rFonts w:hint="eastAsia" w:ascii="宋体" w:hAnsi="宋体" w:eastAsia="宋体" w:cs="宋体"/>
          <w:color w:val="auto"/>
          <w:sz w:val="24"/>
          <w:szCs w:val="24"/>
          <w:highlight w:val="none"/>
        </w:rPr>
      </w:pPr>
    </w:p>
    <w:p>
      <w:pPr>
        <w:widowControl/>
        <w:topLinePunct/>
        <w:adjustRightInd w:val="0"/>
        <w:snapToGrid w:val="0"/>
        <w:spacing w:after="200"/>
        <w:jc w:val="left"/>
        <w:outlineLvl w:val="2"/>
        <w:rPr>
          <w:rFonts w:hint="eastAsia" w:ascii="宋体" w:hAnsi="宋体" w:eastAsia="宋体" w:cs="宋体"/>
          <w:bCs/>
          <w:color w:val="auto"/>
          <w:spacing w:val="4"/>
          <w:kern w:val="0"/>
          <w:sz w:val="24"/>
          <w:szCs w:val="24"/>
          <w:highlight w:val="none"/>
        </w:rPr>
      </w:pPr>
      <w:r>
        <w:rPr>
          <w:rFonts w:hint="eastAsia" w:ascii="宋体" w:hAnsi="宋体" w:eastAsia="宋体" w:cs="宋体"/>
          <w:color w:val="auto"/>
          <w:sz w:val="24"/>
          <w:szCs w:val="24"/>
          <w:highlight w:val="none"/>
        </w:rPr>
        <w:br w:type="page"/>
      </w:r>
      <w:bookmarkStart w:id="99" w:name="_Toc4489946"/>
      <w:bookmarkStart w:id="100" w:name="_Toc8019"/>
      <w:bookmarkStart w:id="101" w:name="_Toc4339797"/>
      <w:bookmarkStart w:id="102" w:name="_Toc201658289"/>
      <w:bookmarkStart w:id="103" w:name="_Toc116898651"/>
      <w:bookmarkStart w:id="104" w:name="_Toc504722513"/>
      <w:bookmarkStart w:id="105" w:name="_Toc40024389"/>
      <w:bookmarkStart w:id="106" w:name="_Toc4340135"/>
      <w:bookmarkStart w:id="107" w:name="_Toc125032262"/>
      <w:bookmarkStart w:id="108" w:name="_Toc116898065"/>
      <w:bookmarkStart w:id="109" w:name="_Toc29476915"/>
      <w:bookmarkStart w:id="110" w:name="_Toc358370579"/>
      <w:bookmarkStart w:id="111" w:name="_Toc369536771"/>
      <w:bookmarkStart w:id="112" w:name="_Toc291101119"/>
      <w:bookmarkStart w:id="113" w:name="_Toc254961556"/>
      <w:bookmarkStart w:id="114" w:name="_Toc464131225"/>
      <w:bookmarkStart w:id="115" w:name="_Toc352623422"/>
      <w:bookmarkStart w:id="116" w:name="_Toc226209004"/>
      <w:bookmarkStart w:id="117" w:name="_Toc449308421"/>
      <w:bookmarkStart w:id="118" w:name="_Toc248650371"/>
      <w:bookmarkStart w:id="119" w:name="_Toc337720092"/>
      <w:bookmarkStart w:id="120" w:name="_Toc395261100"/>
      <w:bookmarkStart w:id="121" w:name="_Toc352240524"/>
      <w:r>
        <w:rPr>
          <w:rFonts w:hint="eastAsia" w:ascii="宋体" w:hAnsi="宋体" w:eastAsia="宋体" w:cs="宋体"/>
          <w:bCs/>
          <w:color w:val="auto"/>
          <w:spacing w:val="4"/>
          <w:kern w:val="0"/>
          <w:sz w:val="24"/>
          <w:szCs w:val="24"/>
          <w:highlight w:val="none"/>
        </w:rPr>
        <w:t>格式</w:t>
      </w:r>
      <w:r>
        <w:rPr>
          <w:rFonts w:hint="eastAsia" w:ascii="宋体" w:hAnsi="宋体" w:eastAsia="宋体" w:cs="宋体"/>
          <w:bCs/>
          <w:color w:val="auto"/>
          <w:spacing w:val="4"/>
          <w:kern w:val="0"/>
          <w:sz w:val="24"/>
          <w:szCs w:val="24"/>
          <w:highlight w:val="none"/>
          <w:lang w:val="en-US" w:eastAsia="zh-CN"/>
        </w:rPr>
        <w:t>三</w:t>
      </w:r>
      <w:r>
        <w:rPr>
          <w:rFonts w:hint="eastAsia" w:ascii="宋体" w:hAnsi="宋体" w:eastAsia="宋体" w:cs="宋体"/>
          <w:bCs/>
          <w:color w:val="auto"/>
          <w:spacing w:val="4"/>
          <w:kern w:val="0"/>
          <w:sz w:val="24"/>
          <w:szCs w:val="24"/>
          <w:highlight w:val="none"/>
        </w:rPr>
        <w:t>：</w:t>
      </w:r>
      <w:r>
        <w:rPr>
          <w:rFonts w:hint="eastAsia" w:ascii="宋体" w:hAnsi="宋体" w:eastAsia="宋体" w:cs="宋体"/>
          <w:color w:val="auto"/>
          <w:spacing w:val="4"/>
          <w:kern w:val="0"/>
          <w:sz w:val="24"/>
          <w:szCs w:val="24"/>
          <w:highlight w:val="none"/>
        </w:rPr>
        <w:t>法定代表人</w:t>
      </w:r>
      <w:r>
        <w:rPr>
          <w:rFonts w:hint="eastAsia" w:ascii="宋体" w:hAnsi="宋体" w:eastAsia="宋体" w:cs="宋体"/>
          <w:bCs/>
          <w:color w:val="auto"/>
          <w:spacing w:val="4"/>
          <w:kern w:val="0"/>
          <w:sz w:val="24"/>
          <w:szCs w:val="24"/>
          <w:highlight w:val="none"/>
        </w:rPr>
        <w:t>证明书、授权委托书</w:t>
      </w:r>
      <w:bookmarkEnd w:id="99"/>
      <w:bookmarkEnd w:id="100"/>
      <w:bookmarkEnd w:id="101"/>
      <w:bookmarkEnd w:id="102"/>
      <w:bookmarkEnd w:id="103"/>
      <w:bookmarkEnd w:id="104"/>
      <w:bookmarkEnd w:id="105"/>
      <w:bookmarkEnd w:id="106"/>
      <w:bookmarkEnd w:id="107"/>
      <w:bookmarkEnd w:id="108"/>
      <w:bookmarkEnd w:id="109"/>
    </w:p>
    <w:p>
      <w:pPr>
        <w:pStyle w:val="11"/>
        <w:rPr>
          <w:rFonts w:hint="eastAsia" w:ascii="宋体" w:hAnsi="宋体" w:eastAsia="宋体" w:cs="宋体"/>
          <w:color w:val="auto"/>
          <w:highlight w:val="none"/>
        </w:rPr>
      </w:pPr>
    </w:p>
    <w:p>
      <w:pPr>
        <w:widowControl/>
        <w:topLinePunct/>
        <w:adjustRightInd w:val="0"/>
        <w:snapToGrid w:val="0"/>
        <w:spacing w:after="200"/>
        <w:jc w:val="center"/>
        <w:rPr>
          <w:rFonts w:hint="eastAsia" w:ascii="宋体" w:hAnsi="宋体" w:eastAsia="宋体" w:cs="宋体"/>
          <w:color w:val="auto"/>
          <w:spacing w:val="4"/>
          <w:kern w:val="0"/>
          <w:sz w:val="32"/>
          <w:szCs w:val="32"/>
          <w:highlight w:val="none"/>
        </w:rPr>
      </w:pPr>
      <w:r>
        <w:rPr>
          <w:rFonts w:hint="eastAsia" w:ascii="宋体" w:hAnsi="宋体" w:eastAsia="宋体" w:cs="宋体"/>
          <w:color w:val="auto"/>
          <w:spacing w:val="4"/>
          <w:kern w:val="0"/>
          <w:sz w:val="32"/>
          <w:szCs w:val="32"/>
          <w:highlight w:val="none"/>
        </w:rPr>
        <w:t>法定代表人证明书、授权委托书</w:t>
      </w:r>
    </w:p>
    <w:bookmarkEnd w:id="110"/>
    <w:bookmarkEnd w:id="111"/>
    <w:bookmarkEnd w:id="112"/>
    <w:bookmarkEnd w:id="113"/>
    <w:bookmarkEnd w:id="114"/>
    <w:bookmarkEnd w:id="115"/>
    <w:bookmarkEnd w:id="116"/>
    <w:bookmarkEnd w:id="117"/>
    <w:bookmarkEnd w:id="118"/>
    <w:bookmarkEnd w:id="119"/>
    <w:bookmarkEnd w:id="120"/>
    <w:bookmarkEnd w:id="121"/>
    <w:p>
      <w:pPr>
        <w:topLinePunct/>
        <w:adjustRightInd w:val="0"/>
        <w:snapToGrid w:val="0"/>
        <w:spacing w:line="240" w:lineRule="exac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（1）法定代表人证明书</w:t>
      </w:r>
    </w:p>
    <w:p>
      <w:pPr>
        <w:topLinePunct/>
        <w:adjustRightInd w:val="0"/>
        <w:snapToGrid w:val="0"/>
        <w:spacing w:line="240" w:lineRule="exact"/>
        <w:ind w:right="248"/>
        <w:jc w:val="right"/>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　 ）第　号</w:t>
      </w:r>
    </w:p>
    <w:p>
      <w:pPr>
        <w:topLinePunct/>
        <w:adjustRightInd w:val="0"/>
        <w:snapToGrid w:val="0"/>
        <w:spacing w:line="240" w:lineRule="exact"/>
        <w:ind w:right="248"/>
        <w:jc w:val="left"/>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20" w:firstLineChars="200"/>
        <w:rPr>
          <w:rFonts w:hint="eastAsia" w:ascii="宋体" w:hAnsi="宋体" w:eastAsia="宋体" w:cs="宋体"/>
          <w:snapToGrid w:val="0"/>
          <w:color w:val="auto"/>
          <w:spacing w:val="4"/>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791200" cy="2809875"/>
                <wp:effectExtent l="4445" t="4445" r="14605" b="508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pPr>
                              <w:pStyle w:val="26"/>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6"/>
                              <w:spacing w:line="240" w:lineRule="auto"/>
                              <w:ind w:firstLine="0" w:firstLineChars="0"/>
                              <w:rPr>
                                <w:rFonts w:ascii="宋体" w:hAnsi="宋体"/>
                                <w:szCs w:val="28"/>
                              </w:rPr>
                            </w:pPr>
                            <w:r>
                              <w:rPr>
                                <w:rFonts w:hint="eastAsia" w:ascii="宋体" w:hAnsi="宋体"/>
                                <w:szCs w:val="28"/>
                              </w:rPr>
                              <w:t>特此证明。</w:t>
                            </w:r>
                          </w:p>
                          <w:p>
                            <w:pPr>
                              <w:pStyle w:val="26"/>
                              <w:spacing w:line="240" w:lineRule="auto"/>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　　　　　　　　　　单位：　　　　　　　　　　　（盖章）</w:t>
                            </w:r>
                          </w:p>
                          <w:p>
                            <w:pPr>
                              <w:pStyle w:val="26"/>
                              <w:spacing w:line="240" w:lineRule="auto"/>
                              <w:ind w:firstLine="0" w:firstLineChars="0"/>
                              <w:rPr>
                                <w:rFonts w:ascii="宋体" w:hAnsi="宋体"/>
                                <w:szCs w:val="28"/>
                              </w:rPr>
                            </w:pPr>
                            <w:r>
                              <w:rPr>
                                <w:rFonts w:hint="eastAsia" w:ascii="宋体" w:hAnsi="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4.4pt;height:221.25pt;width:456pt;z-index:251660288;mso-width-relative:page;mso-height-relative:page;" fillcolor="#FFFFFF" filled="t" stroked="t" coordsize="21600,21600" o:gfxdata="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Yme19UAAAAGAQAADwAAAAAAAAABACAAAAAiAAAAZHJzL2Rvd25yZXYueG1sUEsBAhQA&#10;FAAAAAgAh07iQOEoR4wuAgAASgQAAA4AAAAAAAAAAQAgAAAAJAEAAGRycy9lMm9Eb2MueG1sUEsF&#10;BgAAAAAGAAYAWQEAAMQFAAAAAA==&#10;">
                <v:fill on="t" focussize="0,0"/>
                <v:stroke color="#000000" miterlimit="8" joinstyle="miter"/>
                <v:imagedata o:title=""/>
                <o:lock v:ext="edit" aspectratio="f"/>
                <v:textbox>
                  <w:txbxContent>
                    <w:p>
                      <w:pPr>
                        <w:pStyle w:val="26"/>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6"/>
                        <w:spacing w:line="240" w:lineRule="auto"/>
                        <w:ind w:firstLine="0" w:firstLineChars="0"/>
                        <w:rPr>
                          <w:rFonts w:ascii="宋体" w:hAnsi="宋体"/>
                          <w:szCs w:val="28"/>
                        </w:rPr>
                      </w:pPr>
                      <w:r>
                        <w:rPr>
                          <w:rFonts w:hint="eastAsia" w:ascii="宋体" w:hAnsi="宋体"/>
                          <w:szCs w:val="28"/>
                        </w:rPr>
                        <w:t>特此证明。</w:t>
                      </w:r>
                    </w:p>
                    <w:p>
                      <w:pPr>
                        <w:pStyle w:val="26"/>
                        <w:spacing w:line="240" w:lineRule="auto"/>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6"/>
                        <w:spacing w:line="240" w:lineRule="auto"/>
                        <w:ind w:firstLine="0" w:firstLineChars="0"/>
                        <w:rPr>
                          <w:rFonts w:ascii="宋体" w:hAnsi="宋体"/>
                          <w:szCs w:val="28"/>
                        </w:rPr>
                      </w:pPr>
                      <w:r>
                        <w:rPr>
                          <w:rFonts w:hint="eastAsia" w:ascii="宋体" w:hAnsi="宋体"/>
                          <w:szCs w:val="28"/>
                        </w:rPr>
                        <w:t>　　　　　　　　　　单位：　　　　　　　　　　　（盖章）</w:t>
                      </w:r>
                    </w:p>
                    <w:p>
                      <w:pPr>
                        <w:pStyle w:val="26"/>
                        <w:spacing w:line="240" w:lineRule="auto"/>
                        <w:ind w:firstLine="0" w:firstLineChars="0"/>
                        <w:rPr>
                          <w:rFonts w:ascii="宋体" w:hAnsi="宋体"/>
                          <w:szCs w:val="28"/>
                        </w:rPr>
                      </w:pPr>
                      <w:r>
                        <w:rPr>
                          <w:rFonts w:hint="eastAsia" w:ascii="宋体" w:hAnsi="宋体"/>
                          <w:szCs w:val="28"/>
                        </w:rPr>
                        <w:t>　　　　　　　　　　　　　　　　　　　　　    年　月　　日</w:t>
                      </w:r>
                    </w:p>
                  </w:txbxContent>
                </v:textbox>
              </v:shape>
            </w:pict>
          </mc:Fallback>
        </mc:AlternateContent>
      </w: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rPr>
          <w:rFonts w:hint="eastAsia" w:ascii="宋体" w:hAnsi="宋体" w:eastAsia="宋体" w:cs="宋体"/>
          <w:snapToGrid w:val="0"/>
          <w:color w:val="auto"/>
          <w:spacing w:val="4"/>
          <w:sz w:val="24"/>
          <w:szCs w:val="24"/>
          <w:highlight w:val="none"/>
        </w:rPr>
      </w:pPr>
    </w:p>
    <w:p>
      <w:pPr>
        <w:topLinePunct/>
        <w:adjustRightInd w:val="0"/>
        <w:snapToGrid w:val="0"/>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ind w:firstLine="496" w:firstLineChars="200"/>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（2）法定代表人授权委托书</w:t>
      </w:r>
    </w:p>
    <w:p>
      <w:pPr>
        <w:topLinePunct/>
        <w:adjustRightInd w:val="0"/>
        <w:snapToGrid w:val="0"/>
        <w:ind w:firstLine="496" w:firstLineChars="200"/>
        <w:rPr>
          <w:rFonts w:hint="eastAsia" w:ascii="宋体" w:hAnsi="宋体" w:eastAsia="宋体" w:cs="宋体"/>
          <w:snapToGrid w:val="0"/>
          <w:color w:val="auto"/>
          <w:spacing w:val="4"/>
          <w:sz w:val="24"/>
          <w:szCs w:val="24"/>
          <w:highlight w:val="none"/>
        </w:rPr>
      </w:pPr>
      <w:r>
        <w:rPr>
          <w:rFonts w:hint="eastAsia" w:ascii="宋体" w:hAnsi="宋体" w:eastAsia="宋体" w:cs="宋体"/>
          <w:snapToGrid w:val="0"/>
          <w:color w:val="auto"/>
          <w:spacing w:val="4"/>
          <w:sz w:val="24"/>
          <w:szCs w:val="24"/>
          <w:highlight w:val="none"/>
        </w:rPr>
        <w:t xml:space="preserve">                                                 （   ）第  号</w:t>
      </w:r>
    </w:p>
    <w:p>
      <w:pPr>
        <w:topLinePunct/>
        <w:adjustRightInd w:val="0"/>
        <w:snapToGrid w:val="0"/>
        <w:spacing w:line="360" w:lineRule="auto"/>
        <w:ind w:firstLine="420" w:firstLineChars="200"/>
        <w:rPr>
          <w:rFonts w:hint="eastAsia" w:ascii="宋体" w:hAnsi="宋体" w:eastAsia="宋体" w:cs="宋体"/>
          <w:snapToGrid w:val="0"/>
          <w:color w:val="auto"/>
          <w:spacing w:val="4"/>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99695</wp:posOffset>
                </wp:positionV>
                <wp:extent cx="5791200" cy="2748915"/>
                <wp:effectExtent l="4445" t="4445" r="14605" b="889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pPr>
                              <w:pStyle w:val="26"/>
                              <w:ind w:firstLine="0" w:firstLineChars="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有效期限：</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经营范围：</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（签字或盖章）</w:t>
                            </w:r>
                          </w:p>
                          <w:p>
                            <w:pPr>
                              <w:pStyle w:val="26"/>
                              <w:spacing w:line="240" w:lineRule="auto"/>
                              <w:ind w:firstLine="0" w:firstLineChars="0"/>
                              <w:rPr>
                                <w:rFonts w:ascii="宋体" w:hAnsi="宋体"/>
                              </w:rPr>
                            </w:pPr>
                            <w:r>
                              <w:rPr>
                                <w:rFonts w:hint="eastAsia" w:ascii="宋体" w:hAnsi="宋体"/>
                              </w:rPr>
                              <w:t>授权单位：（盖章）</w:t>
                            </w:r>
                            <w:r>
                              <w:rPr>
                                <w:rFonts w:hint="eastAsia" w:ascii="宋体" w:hAnsi="宋体"/>
                                <w:u w:val="single"/>
                              </w:rPr>
                              <w:t xml:space="preserve">                      </w:t>
                            </w:r>
                          </w:p>
                          <w:p>
                            <w:pPr>
                              <w:pStyle w:val="26"/>
                              <w:spacing w:line="240" w:lineRule="auto"/>
                              <w:ind w:firstLine="5952" w:firstLineChars="2400"/>
                              <w:rPr>
                                <w:rFonts w:ascii="宋体" w:hAnsi="宋体"/>
                              </w:rPr>
                            </w:pPr>
                            <w:r>
                              <w:rPr>
                                <w:rFonts w:hint="eastAsia" w:ascii="宋体" w:hAnsi="宋体"/>
                              </w:rPr>
                              <w:t>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75pt;margin-top:7.85pt;height:216.45pt;width:456pt;z-index:251659264;mso-width-relative:page;mso-height-relative:page;" fillcolor="#FFFFFF" filled="t" stroked="t" coordsize="21600,21600" o:gfxdata="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90AOj2AAAAAkBAAAPAAAAAAAAAAEAIAAAACIAAABkcnMvZG93bnJldi54bWxQSwEC&#10;FAAUAAAACACHTuJAJoPYUy0CAABKBAAADgAAAAAAAAABACAAAAAnAQAAZHJzL2Uyb0RvYy54bWxQ&#10;SwUGAAAAAAYABgBZAQAAxgUAAAAA&#10;">
                <v:fill on="t" focussize="0,0"/>
                <v:stroke color="#000000" miterlimit="8" joinstyle="miter"/>
                <v:imagedata o:title=""/>
                <o:lock v:ext="edit" aspectratio="f"/>
                <v:textbox>
                  <w:txbxContent>
                    <w:p>
                      <w:pPr>
                        <w:pStyle w:val="26"/>
                        <w:ind w:firstLine="0" w:firstLineChars="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有效期限：</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经营范围：</w:t>
                      </w:r>
                      <w:r>
                        <w:rPr>
                          <w:rFonts w:hint="eastAsia" w:ascii="宋体" w:hAnsi="宋体"/>
                          <w:u w:val="single"/>
                        </w:rPr>
                        <w:t xml:space="preserve">                                                        </w:t>
                      </w:r>
                    </w:p>
                    <w:p>
                      <w:pPr>
                        <w:pStyle w:val="26"/>
                        <w:spacing w:line="240" w:lineRule="auto"/>
                        <w:ind w:firstLine="0" w:firstLineChars="0"/>
                        <w:rPr>
                          <w:rFonts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（签字或盖章）</w:t>
                      </w:r>
                    </w:p>
                    <w:p>
                      <w:pPr>
                        <w:pStyle w:val="26"/>
                        <w:spacing w:line="240" w:lineRule="auto"/>
                        <w:ind w:firstLine="0" w:firstLineChars="0"/>
                        <w:rPr>
                          <w:rFonts w:ascii="宋体" w:hAnsi="宋体"/>
                        </w:rPr>
                      </w:pPr>
                      <w:r>
                        <w:rPr>
                          <w:rFonts w:hint="eastAsia" w:ascii="宋体" w:hAnsi="宋体"/>
                        </w:rPr>
                        <w:t>授权单位：（盖章）</w:t>
                      </w:r>
                      <w:r>
                        <w:rPr>
                          <w:rFonts w:hint="eastAsia" w:ascii="宋体" w:hAnsi="宋体"/>
                          <w:u w:val="single"/>
                        </w:rPr>
                        <w:t xml:space="preserve">                      </w:t>
                      </w:r>
                    </w:p>
                    <w:p>
                      <w:pPr>
                        <w:pStyle w:val="26"/>
                        <w:spacing w:line="240" w:lineRule="auto"/>
                        <w:ind w:firstLine="5952" w:firstLineChars="2400"/>
                        <w:rPr>
                          <w:rFonts w:ascii="宋体" w:hAnsi="宋体"/>
                        </w:rPr>
                      </w:pPr>
                      <w:r>
                        <w:rPr>
                          <w:rFonts w:hint="eastAsia" w:ascii="宋体" w:hAnsi="宋体"/>
                        </w:rPr>
                        <w:t>年  月   日</w:t>
                      </w:r>
                    </w:p>
                  </w:txbxContent>
                </v:textbox>
              </v:shape>
            </w:pict>
          </mc:Fallback>
        </mc:AlternateContent>
      </w: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topLinePunct/>
        <w:adjustRightInd w:val="0"/>
        <w:snapToGrid w:val="0"/>
        <w:spacing w:line="360" w:lineRule="auto"/>
        <w:ind w:firstLine="496" w:firstLineChars="200"/>
        <w:rPr>
          <w:rFonts w:hint="eastAsia" w:ascii="宋体" w:hAnsi="宋体" w:eastAsia="宋体" w:cs="宋体"/>
          <w:snapToGrid w:val="0"/>
          <w:color w:val="auto"/>
          <w:spacing w:val="4"/>
          <w:sz w:val="24"/>
          <w:szCs w:val="24"/>
          <w:highlight w:val="none"/>
        </w:rPr>
      </w:pPr>
    </w:p>
    <w:p>
      <w:pPr>
        <w:rPr>
          <w:rFonts w:hint="eastAsia" w:ascii="宋体" w:hAnsi="宋体" w:eastAsia="宋体" w:cs="宋体"/>
          <w:color w:val="auto"/>
          <w:highlight w:val="none"/>
        </w:rPr>
      </w:pPr>
      <w:bookmarkStart w:id="122" w:name="_Toc4486079"/>
      <w:bookmarkStart w:id="123" w:name="_Toc3736"/>
      <w:bookmarkStart w:id="124" w:name="_Toc4489947"/>
      <w:bookmarkStart w:id="125" w:name="_Toc4340136"/>
      <w:bookmarkStart w:id="126" w:name="_Toc4339798"/>
      <w:r>
        <w:rPr>
          <w:rFonts w:hint="eastAsia" w:ascii="宋体" w:hAnsi="宋体" w:eastAsia="宋体" w:cs="宋体"/>
          <w:color w:val="auto"/>
          <w:highlight w:val="none"/>
        </w:rPr>
        <w:t>注：按提供的格式或使用从工商管理部门购买的格式填写。</w:t>
      </w:r>
      <w:bookmarkEnd w:id="122"/>
      <w:bookmarkEnd w:id="123"/>
      <w:bookmarkEnd w:id="124"/>
      <w:bookmarkEnd w:id="125"/>
      <w:bookmarkEnd w:id="126"/>
    </w:p>
    <w:p>
      <w:pPr>
        <w:keepNext w:val="0"/>
        <w:keepLines w:val="0"/>
        <w:pageBreakBefore w:val="0"/>
        <w:widowControl/>
        <w:kinsoku/>
        <w:wordWrap/>
        <w:overflowPunct/>
        <w:topLinePunct/>
        <w:autoSpaceDE/>
        <w:autoSpaceDN/>
        <w:bidi w:val="0"/>
        <w:adjustRightInd w:val="0"/>
        <w:snapToGrid w:val="0"/>
        <w:spacing w:after="200" w:line="300" w:lineRule="auto"/>
        <w:jc w:val="left"/>
        <w:textAlignment w:val="auto"/>
        <w:outlineLvl w:val="2"/>
        <w:rPr>
          <w:rFonts w:hint="eastAsia" w:ascii="宋体" w:hAnsi="宋体" w:eastAsia="宋体" w:cs="宋体"/>
          <w:bCs/>
          <w:color w:val="auto"/>
          <w:spacing w:val="4"/>
          <w:kern w:val="0"/>
          <w:sz w:val="24"/>
          <w:szCs w:val="24"/>
          <w:highlight w:val="none"/>
        </w:rPr>
      </w:pPr>
      <w:r>
        <w:rPr>
          <w:rFonts w:hint="eastAsia" w:ascii="宋体" w:hAnsi="宋体" w:eastAsia="宋体" w:cs="宋体"/>
          <w:color w:val="auto"/>
          <w:spacing w:val="4"/>
          <w:kern w:val="0"/>
          <w:sz w:val="24"/>
          <w:szCs w:val="24"/>
          <w:highlight w:val="none"/>
        </w:rPr>
        <w:br w:type="page"/>
      </w:r>
      <w:r>
        <w:rPr>
          <w:rFonts w:hint="eastAsia" w:ascii="宋体" w:hAnsi="宋体" w:eastAsia="宋体" w:cs="宋体"/>
          <w:bCs/>
          <w:color w:val="auto"/>
          <w:spacing w:val="4"/>
          <w:kern w:val="0"/>
          <w:sz w:val="24"/>
          <w:szCs w:val="24"/>
          <w:highlight w:val="none"/>
        </w:rPr>
        <w:t>格式四：参与编制技术标投标文件人员名单</w:t>
      </w:r>
    </w:p>
    <w:p>
      <w:pPr>
        <w:autoSpaceDE w:val="0"/>
        <w:autoSpaceDN w:val="0"/>
        <w:adjustRightInd w:val="0"/>
        <w:rPr>
          <w:rFonts w:hint="eastAsia" w:ascii="宋体" w:hAnsi="宋体" w:eastAsia="宋体" w:cs="宋体"/>
          <w:color w:val="auto"/>
          <w:szCs w:val="21"/>
          <w:highlight w:val="none"/>
        </w:rPr>
      </w:pPr>
    </w:p>
    <w:p>
      <w:pPr>
        <w:tabs>
          <w:tab w:val="left" w:pos="7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参与编制技术标投标文件人员名单</w:t>
      </w:r>
    </w:p>
    <w:tbl>
      <w:tblPr>
        <w:tblStyle w:val="19"/>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35"/>
        <w:gridCol w:w="2435"/>
        <w:gridCol w:w="2334"/>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885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pPr>
        <w:spacing w:line="360" w:lineRule="auto"/>
        <w:ind w:left="-2" w:leftChars="-1" w:firstLine="367" w:firstLineChars="17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注：参与编制技术标投标文件所有人员名单应包括如编制技术投标方案、负责清样校对、负责打印及复印等所有人员在内的人员名单。</w:t>
      </w:r>
    </w:p>
    <w:p>
      <w:pPr>
        <w:autoSpaceDE w:val="0"/>
        <w:autoSpaceDN w:val="0"/>
        <w:adjustRightInd w:val="0"/>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bookmarkStart w:id="127" w:name="_Toc201658298"/>
      <w:r>
        <w:rPr>
          <w:rFonts w:hint="eastAsia" w:ascii="宋体" w:hAnsi="宋体" w:eastAsia="宋体" w:cs="宋体"/>
          <w:color w:val="auto"/>
          <w:sz w:val="24"/>
          <w:szCs w:val="24"/>
          <w:highlight w:val="none"/>
        </w:rPr>
        <w:t>格式五：施工项目管理团队人员信息表</w:t>
      </w:r>
    </w:p>
    <w:p>
      <w:pPr>
        <w:pStyle w:val="6"/>
        <w:spacing w:line="360" w:lineRule="auto"/>
        <w:jc w:val="center"/>
        <w:rPr>
          <w:rFonts w:hint="eastAsia" w:ascii="宋体" w:hAnsi="宋体" w:eastAsia="宋体" w:cs="宋体"/>
          <w:b/>
          <w:bCs/>
          <w:color w:val="auto"/>
          <w:sz w:val="21"/>
          <w:szCs w:val="21"/>
          <w:highlight w:val="none"/>
          <w:lang w:bidi="ar-SA"/>
        </w:rPr>
      </w:pPr>
      <w:r>
        <w:rPr>
          <w:rFonts w:hint="eastAsia" w:ascii="宋体" w:hAnsi="宋体" w:eastAsia="宋体" w:cs="宋体"/>
          <w:b/>
          <w:bCs/>
          <w:color w:val="auto"/>
          <w:sz w:val="21"/>
          <w:szCs w:val="21"/>
          <w:highlight w:val="none"/>
          <w:lang w:bidi="ar-SA"/>
        </w:rPr>
        <w:t>施工项目管理团队人员信息表</w:t>
      </w:r>
    </w:p>
    <w:tbl>
      <w:tblPr>
        <w:tblStyle w:val="19"/>
        <w:tblW w:w="8662" w:type="dxa"/>
        <w:tblInd w:w="0" w:type="dxa"/>
        <w:tblLayout w:type="fixed"/>
        <w:tblCellMar>
          <w:top w:w="0" w:type="dxa"/>
          <w:left w:w="0" w:type="dxa"/>
          <w:bottom w:w="0" w:type="dxa"/>
          <w:right w:w="0" w:type="dxa"/>
        </w:tblCellMar>
      </w:tblPr>
      <w:tblGrid>
        <w:gridCol w:w="606"/>
        <w:gridCol w:w="1533"/>
        <w:gridCol w:w="1872"/>
        <w:gridCol w:w="1872"/>
        <w:gridCol w:w="1390"/>
        <w:gridCol w:w="1389"/>
      </w:tblGrid>
      <w:tr>
        <w:tblPrEx>
          <w:tblLayout w:type="fixed"/>
          <w:tblCellMar>
            <w:top w:w="0" w:type="dxa"/>
            <w:left w:w="0" w:type="dxa"/>
            <w:bottom w:w="0" w:type="dxa"/>
            <w:right w:w="0" w:type="dxa"/>
          </w:tblCellMar>
        </w:tblPrEx>
        <w:trPr>
          <w:trHeight w:val="883"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kern w:val="0"/>
                <w:sz w:val="21"/>
                <w:szCs w:val="21"/>
                <w:highlight w:val="none"/>
                <w:lang w:bidi="ar"/>
              </w:rPr>
              <w:t>序号</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kern w:val="0"/>
                <w:sz w:val="21"/>
                <w:szCs w:val="21"/>
                <w:highlight w:val="none"/>
                <w:lang w:bidi="ar"/>
              </w:rPr>
              <w:t>姓名</w:t>
            </w: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kern w:val="0"/>
                <w:sz w:val="21"/>
                <w:szCs w:val="21"/>
                <w:highlight w:val="none"/>
                <w:lang w:bidi="ar"/>
              </w:rPr>
              <w:t>岗位或职务</w:t>
            </w: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kern w:val="0"/>
                <w:sz w:val="21"/>
                <w:szCs w:val="21"/>
                <w:highlight w:val="none"/>
                <w:lang w:bidi="ar"/>
              </w:rPr>
              <w:t>职称</w:t>
            </w: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职称证书</w:t>
            </w:r>
          </w:p>
          <w:p>
            <w:pPr>
              <w:widowControl/>
              <w:jc w:val="center"/>
              <w:textAlignment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kern w:val="0"/>
                <w:sz w:val="21"/>
                <w:szCs w:val="21"/>
                <w:highlight w:val="none"/>
                <w:lang w:bidi="ar"/>
              </w:rPr>
              <w:t>编号/专业</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资格证书</w:t>
            </w:r>
          </w:p>
          <w:p>
            <w:pPr>
              <w:widowControl/>
              <w:jc w:val="center"/>
              <w:textAlignment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kern w:val="0"/>
                <w:sz w:val="21"/>
                <w:szCs w:val="21"/>
                <w:highlight w:val="none"/>
                <w:lang w:bidi="ar"/>
              </w:rPr>
              <w:t>编号/专业</w:t>
            </w: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
              </w:rPr>
              <w:t>1</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
              </w:rPr>
              <w:t>2</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
              </w:rPr>
              <w:t>3</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
              </w:rPr>
              <w:t>4</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
              </w:rPr>
              <w:t>5</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
              </w:rPr>
              <w:t>6</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12"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r>
        <w:tblPrEx>
          <w:tblLayout w:type="fixed"/>
          <w:tblCellMar>
            <w:top w:w="0" w:type="dxa"/>
            <w:left w:w="0" w:type="dxa"/>
            <w:bottom w:w="0" w:type="dxa"/>
            <w:right w:w="0" w:type="dxa"/>
          </w:tblCellMar>
        </w:tblPrEx>
        <w:trPr>
          <w:trHeight w:val="521"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
              </w:rPr>
              <w:t>……</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87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21"/>
                <w:szCs w:val="21"/>
                <w:highlight w:val="none"/>
                <w:lang w:bidi="ar-SA"/>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bidi="ar-SA"/>
              </w:rPr>
            </w:pPr>
          </w:p>
        </w:tc>
      </w:tr>
    </w:tbl>
    <w:p>
      <w:pPr>
        <w:spacing w:line="360" w:lineRule="auto"/>
        <w:jc w:val="left"/>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备注：投标人按本表格式可自行扩展填写。</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widowControl/>
        <w:topLinePunct/>
        <w:adjustRightInd w:val="0"/>
        <w:snapToGrid w:val="0"/>
        <w:spacing w:after="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承诺书</w:t>
      </w:r>
    </w:p>
    <w:p>
      <w:pPr>
        <w:tabs>
          <w:tab w:val="left" w:pos="7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  诺  书</w:t>
      </w:r>
    </w:p>
    <w:p>
      <w:pPr>
        <w:pStyle w:val="26"/>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致</w:t>
      </w:r>
      <w:r>
        <w:rPr>
          <w:rFonts w:hint="eastAsia" w:ascii="宋体" w:hAnsi="宋体" w:eastAsia="宋体" w:cs="宋体"/>
          <w:color w:val="auto"/>
          <w:sz w:val="21"/>
          <w:szCs w:val="21"/>
          <w:highlight w:val="none"/>
          <w:u w:val="single"/>
          <w:lang w:eastAsia="zh-CN"/>
        </w:rPr>
        <w:t>广州酒家集团利口福食品有限公司：</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经详细阅读本工程招标文件和踏勘现场，我</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司已理解招标人对本招标项目要求，在此，</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郑重作出以下承诺：</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已按投标须知的要求完成了对现场的踏勘工作，已充分了解施工现场的条件。如若中标，</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理解招标人向投标人提供的有关现场的数据和资料，是招标人现有的能被投标人利用的资料。招标人对投标人做出的任何推论、理解和结论均不需负任何的责任。</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承诺不会因施工期间现场条件发生的任何阻碍而向招标人索赔工期或费用，并保证不因施工期间现场条件发生的任何阻碍而影响投标承诺的竣工日期。</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已全面细致熟悉、复核和理解本招标项目招标时的所有图纸、资料和设计文件，已完全理解本工程的特点和设计意图；如工程实施过程中发生因上述图纸、资料和设计文件不完整而导致的变更，</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承诺在不影响工程顺利推进的前提下，及时主动报招标人审批同意，其中因</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原因而发生的，</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承诺不要求增加任何费用。</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三、经认真审查，</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认为本招标项目图纸、资料和设计文件中不存在不能施工、不便于施工的技术问题；施工期间如仍需发生施工工艺、重大技术方案的调整，</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承诺在不影响工程顺利推进的前提下，及时主动报招标人审批同意，其中因</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原因而发生的，</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承诺不要求增加任何费用。</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四、经认真进行市场调查，</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承诺本招标项目材料、设备来源有保证，可按投标承诺及时组织到货，无需代换，图纸、资料和设计文件中所要求的条件</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全部能够满足。</w:t>
      </w:r>
    </w:p>
    <w:p>
      <w:pPr>
        <w:pStyle w:val="26"/>
        <w:ind w:firstLine="436"/>
        <w:rPr>
          <w:rFonts w:hint="eastAsia" w:ascii="宋体" w:hAnsi="宋体" w:eastAsia="宋体" w:cs="宋体"/>
          <w:color w:val="auto"/>
          <w:spacing w:val="2"/>
          <w:position w:val="2"/>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pacing w:val="2"/>
          <w:position w:val="2"/>
          <w:sz w:val="21"/>
          <w:szCs w:val="21"/>
          <w:highlight w:val="none"/>
        </w:rPr>
        <w:t>为确保按时、按质完成本工程的施工任务，</w:t>
      </w:r>
      <w:r>
        <w:rPr>
          <w:rFonts w:hint="eastAsia" w:ascii="宋体" w:hAnsi="宋体" w:eastAsia="宋体" w:cs="宋体"/>
          <w:color w:val="auto"/>
          <w:spacing w:val="2"/>
          <w:position w:val="2"/>
          <w:sz w:val="21"/>
          <w:szCs w:val="21"/>
          <w:highlight w:val="none"/>
          <w:lang w:eastAsia="zh-CN"/>
        </w:rPr>
        <w:t>我公司</w:t>
      </w:r>
      <w:r>
        <w:rPr>
          <w:rFonts w:hint="eastAsia" w:ascii="宋体" w:hAnsi="宋体" w:eastAsia="宋体" w:cs="宋体"/>
          <w:color w:val="auto"/>
          <w:spacing w:val="2"/>
          <w:position w:val="2"/>
          <w:sz w:val="21"/>
          <w:szCs w:val="21"/>
          <w:highlight w:val="none"/>
        </w:rPr>
        <w:t>经慎重考虑，承诺按招标文件的要求投入人员。否则，按合同约定处理，并承担违约责任。</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已充分阅读并理解招标文件第三章合同格式的所有内容，且对合同条款相关疑问已在投标阶段时提出。如果</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的投标被接受，将保证按招标文件规定的时间及合同条款与贵单位签订合同，且在办理合同签订手续时积极主动配合招标人，不提出任何违反招标文件合同条款精神的任何书面要求和疑问。</w:t>
      </w:r>
    </w:p>
    <w:p>
      <w:pPr>
        <w:pStyle w:val="26"/>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七、我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广东省建设工程施工扬尘污染防治管理办法（试行）》（粤办函〔2017〕708号）、《广东省住房和城乡建设厅关于采取切实措施坚决遏制施工扬尘污染的紧急通知》（粤建电发〔2018〕20号）、《广东省房屋建筑和市政基础设施工程用工实名管理暂行办法》（粤建规范〔2018〕1号）、《广州市建设工程绿色施工围蔽指导图集（V1.0试行版）》的通知（穗建质〔2018〕1953号、《广州市住房和城乡建设局等8部门关于印发广州市建设工程扬尘防治“6个100%”管理标准图集（V2.0版）的通知》、《广州市住房和城乡建设局等9部门关于印发广州市建设工程绿色施工围蔽指导图集（V2.0版）的通知 》（穗建质〔2020〕1号）、《广州市提升建设工程安全文明施工管理水平的工作指引》（穗建质〔2017〕815号）、《广州市建设工程安全文明施工规程（试行版）》（穗建质〔2021)316号）和《广州市建筑工程安全生产措施费管理办法》（穗建筑〔2003〕106号）等各项规定和招标文件要求。否则，愿意无条件接受招标人的任何处罚，直至被清退出场，并为此承担相应的法律责任。</w:t>
      </w:r>
    </w:p>
    <w:p>
      <w:pPr>
        <w:pStyle w:val="26"/>
        <w:ind w:firstLine="412"/>
        <w:rPr>
          <w:rFonts w:hint="eastAsia" w:ascii="宋体" w:hAnsi="宋体" w:eastAsia="宋体" w:cs="宋体"/>
          <w:bCs/>
          <w:color w:val="auto"/>
          <w:spacing w:val="-2"/>
          <w:sz w:val="21"/>
          <w:szCs w:val="21"/>
          <w:highlight w:val="none"/>
        </w:rPr>
      </w:pPr>
      <w:r>
        <w:rPr>
          <w:rFonts w:hint="eastAsia" w:ascii="宋体" w:hAnsi="宋体" w:eastAsia="宋体" w:cs="宋体"/>
          <w:bCs/>
          <w:color w:val="auto"/>
          <w:spacing w:val="-2"/>
          <w:sz w:val="21"/>
          <w:szCs w:val="21"/>
          <w:highlight w:val="none"/>
        </w:rPr>
        <w:t>八、</w:t>
      </w:r>
      <w:r>
        <w:rPr>
          <w:rFonts w:hint="eastAsia" w:ascii="宋体" w:hAnsi="宋体" w:eastAsia="宋体" w:cs="宋体"/>
          <w:color w:val="auto"/>
          <w:spacing w:val="-2"/>
          <w:sz w:val="21"/>
          <w:szCs w:val="21"/>
          <w:highlight w:val="none"/>
          <w:lang w:eastAsia="zh-CN"/>
        </w:rPr>
        <w:t>我公司</w:t>
      </w:r>
      <w:r>
        <w:rPr>
          <w:rFonts w:hint="eastAsia" w:ascii="宋体" w:hAnsi="宋体" w:eastAsia="宋体" w:cs="宋体"/>
          <w:color w:val="auto"/>
          <w:spacing w:val="-2"/>
          <w:sz w:val="21"/>
          <w:szCs w:val="21"/>
          <w:highlight w:val="none"/>
        </w:rPr>
        <w:t>保证本工程竣工验收、竣工资料和竣工备案管理完全符合国家、省、市政府、主管部门颁布的竣工验收和档案管理各项规定及招标文件中提出的各项管理要求。</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保证在本项目投标中不存在围标、串标等违法、违规行为，如经招标监管部门查实存在上述行为，对由此造成的后果承担相应的法律责任。</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pacing w:val="-4"/>
          <w:sz w:val="21"/>
          <w:szCs w:val="21"/>
          <w:highlight w:val="none"/>
        </w:rPr>
        <w:t>如</w:t>
      </w:r>
      <w:r>
        <w:rPr>
          <w:rFonts w:hint="eastAsia" w:ascii="宋体" w:hAnsi="宋体" w:eastAsia="宋体" w:cs="宋体"/>
          <w:color w:val="auto"/>
          <w:spacing w:val="-4"/>
          <w:sz w:val="21"/>
          <w:szCs w:val="21"/>
          <w:highlight w:val="none"/>
          <w:lang w:eastAsia="zh-CN"/>
        </w:rPr>
        <w:t>我公司</w:t>
      </w:r>
      <w:r>
        <w:rPr>
          <w:rFonts w:hint="eastAsia" w:ascii="宋体" w:hAnsi="宋体" w:eastAsia="宋体" w:cs="宋体"/>
          <w:color w:val="auto"/>
          <w:spacing w:val="-4"/>
          <w:sz w:val="21"/>
          <w:szCs w:val="21"/>
          <w:highlight w:val="none"/>
        </w:rPr>
        <w:t>中标，</w:t>
      </w:r>
      <w:r>
        <w:rPr>
          <w:rFonts w:hint="eastAsia" w:ascii="宋体" w:hAnsi="宋体" w:eastAsia="宋体" w:cs="宋体"/>
          <w:color w:val="auto"/>
          <w:spacing w:val="-4"/>
          <w:sz w:val="21"/>
          <w:szCs w:val="21"/>
          <w:highlight w:val="none"/>
          <w:lang w:eastAsia="zh-CN"/>
        </w:rPr>
        <w:t>我公司</w:t>
      </w:r>
      <w:r>
        <w:rPr>
          <w:rFonts w:hint="eastAsia" w:ascii="宋体" w:hAnsi="宋体" w:eastAsia="宋体" w:cs="宋体"/>
          <w:color w:val="auto"/>
          <w:spacing w:val="-4"/>
          <w:sz w:val="21"/>
          <w:szCs w:val="21"/>
          <w:highlight w:val="none"/>
        </w:rPr>
        <w:t>承诺本项目的主要材料设备的选用严格按照发包人的规定执行，选用的材料设备的品牌、档次、技术参数需满足或优于投标文件要求，且不以任何理由调整中标的材料、设备价格</w:t>
      </w:r>
      <w:r>
        <w:rPr>
          <w:rFonts w:hint="eastAsia" w:ascii="宋体" w:hAnsi="宋体" w:eastAsia="宋体" w:cs="宋体"/>
          <w:color w:val="auto"/>
          <w:sz w:val="21"/>
          <w:szCs w:val="21"/>
          <w:highlight w:val="none"/>
        </w:rPr>
        <w:t>。</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十一、如果</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中标，对招标人、监理人为确保工程质量管理和工程进度而下达的调整人员配备要求的指令、通知，</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承诺无条件地在限期内执行并调整到位。</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十二、我公司承诺选用绿色生产达标企业生产的混凝土。</w:t>
      </w:r>
    </w:p>
    <w:p>
      <w:pPr>
        <w:pStyle w:val="26"/>
        <w:ind w:firstLine="4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十三、如果</w:t>
      </w:r>
      <w:r>
        <w:rPr>
          <w:rFonts w:hint="eastAsia" w:ascii="宋体" w:hAnsi="宋体" w:eastAsia="宋体" w:cs="宋体"/>
          <w:color w:val="auto"/>
          <w:sz w:val="21"/>
          <w:szCs w:val="21"/>
          <w:highlight w:val="none"/>
          <w:lang w:eastAsia="zh-CN"/>
        </w:rPr>
        <w:t>我公司</w:t>
      </w:r>
      <w:r>
        <w:rPr>
          <w:rFonts w:hint="eastAsia" w:ascii="宋体" w:hAnsi="宋体" w:eastAsia="宋体" w:cs="宋体"/>
          <w:color w:val="auto"/>
          <w:sz w:val="21"/>
          <w:szCs w:val="21"/>
          <w:highlight w:val="none"/>
        </w:rPr>
        <w:t>中标，承诺严格按照招标人提出的施工现场建筑垃圾源头减量的具体要求以及建筑垃圾综合利用产品的使用要求执行，提供相应切实可行的措施，并报经监理单位和建设单位审批后落实至本工程实际成效中。</w:t>
      </w:r>
    </w:p>
    <w:p>
      <w:pPr>
        <w:pStyle w:val="26"/>
        <w:ind w:firstLine="3052" w:firstLineChars="1400"/>
        <w:rPr>
          <w:rFonts w:hint="eastAsia" w:ascii="宋体" w:hAnsi="宋体" w:eastAsia="宋体" w:cs="宋体"/>
          <w:color w:val="auto"/>
          <w:sz w:val="21"/>
          <w:szCs w:val="21"/>
          <w:highlight w:val="none"/>
        </w:rPr>
      </w:pPr>
    </w:p>
    <w:p>
      <w:pPr>
        <w:pStyle w:val="26"/>
        <w:wordWrap w:val="0"/>
        <w:ind w:firstLine="3052" w:firstLineChars="140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p>
    <w:p>
      <w:pPr>
        <w:pStyle w:val="26"/>
        <w:ind w:firstLine="3052" w:firstLineChars="1400"/>
        <w:rPr>
          <w:rFonts w:hint="eastAsia" w:ascii="宋体" w:hAnsi="宋体" w:eastAsia="宋体" w:cs="宋体"/>
          <w:color w:val="auto"/>
          <w:sz w:val="21"/>
          <w:szCs w:val="21"/>
          <w:highlight w:val="none"/>
        </w:rPr>
      </w:pPr>
    </w:p>
    <w:p>
      <w:pPr>
        <w:pStyle w:val="26"/>
        <w:ind w:firstLine="0" w:firstLineChars="0"/>
        <w:jc w:val="right"/>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日期：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widowControl/>
        <w:topLinePunct/>
        <w:adjustRightInd w:val="0"/>
        <w:snapToGrid w:val="0"/>
        <w:spacing w:after="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：危险性较大的分部分项工程清单及超过一定规模的危险性较大的分部分项工程清单</w:t>
      </w:r>
      <w:bookmarkEnd w:id="127"/>
    </w:p>
    <w:p>
      <w:pPr>
        <w:tabs>
          <w:tab w:val="left" w:pos="720"/>
        </w:tabs>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危险性较大的分部分项工程清单及超过一定规模的危险性较大的分部分项工程清单</w:t>
      </w:r>
    </w:p>
    <w:p>
      <w:pPr>
        <w:numPr>
          <w:ilvl w:val="0"/>
          <w:numId w:val="4"/>
        </w:num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根据中华人民共和国住房和城乡建设部令第37号《危险性较大的分部分项工程安全管理规定》（以下简称“37号文”），投标人在投标时须补充完善危大工程清单并明确相应的安全管理措施。</w:t>
      </w:r>
    </w:p>
    <w:p>
      <w:pPr>
        <w:numPr>
          <w:ilvl w:val="0"/>
          <w:numId w:val="4"/>
        </w:num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招标人根据设计文件的要求及37号文的规定列出“危险性较大的分部分项工程清单及超过一定规模的危险性较大的分部分项工程清单”中与本招标项目相关的清单项，具体详见第5点“打√”标识。</w:t>
      </w:r>
    </w:p>
    <w:p>
      <w:pPr>
        <w:numPr>
          <w:ilvl w:val="0"/>
          <w:numId w:val="5"/>
        </w:num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投标单位同意建设单位在清单中标识的该项请在对应项打“√”标识，并与投标文件中提供相应的安全管理措施。</w:t>
      </w:r>
    </w:p>
    <w:p>
      <w:pPr>
        <w:numPr>
          <w:ilvl w:val="0"/>
          <w:numId w:val="5"/>
        </w:num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投标单位对清单中认为需要补充的该项请在对应项打“√”标识，并与投标文件中提供相应的安全管理措施。</w:t>
      </w:r>
    </w:p>
    <w:p>
      <w:pPr>
        <w:numPr>
          <w:ilvl w:val="0"/>
          <w:numId w:val="5"/>
        </w:num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投标单位不同意建设单位在清单中标识的该项请在对应项打“×”标识，并在备注栏填上相关说明。</w:t>
      </w:r>
    </w:p>
    <w:p>
      <w:pPr>
        <w:numPr>
          <w:ilvl w:val="0"/>
          <w:numId w:val="4"/>
        </w:num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投标单位应当在投标时根据招标人提供的下述第5点清单，在投标施工组织中编制专项施工方案。</w:t>
      </w:r>
    </w:p>
    <w:p>
      <w:pPr>
        <w:numPr>
          <w:ilvl w:val="0"/>
          <w:numId w:val="4"/>
        </w:num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autoSpaceDE w:val="0"/>
        <w:autoSpaceDN w:val="0"/>
        <w:adjustRightInd w:val="0"/>
        <w:ind w:left="424" w:leftChars="57" w:hanging="304" w:hangingChars="127"/>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5、危险性较大的分部分项工程清单及超过一定规模的危险性较大的分部分项工程清单：</w:t>
      </w:r>
    </w:p>
    <w:tbl>
      <w:tblPr>
        <w:tblStyle w:val="1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7"/>
        <w:gridCol w:w="1528"/>
        <w:gridCol w:w="1529"/>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5377" w:type="dxa"/>
            <w:vAlign w:val="center"/>
          </w:tcPr>
          <w:p>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第一部分、危险性较大的分部分项工程清单</w:t>
            </w:r>
          </w:p>
        </w:tc>
        <w:tc>
          <w:tcPr>
            <w:tcW w:w="1528" w:type="dxa"/>
            <w:vAlign w:val="center"/>
          </w:tcPr>
          <w:p>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招标人</w:t>
            </w:r>
          </w:p>
        </w:tc>
        <w:tc>
          <w:tcPr>
            <w:tcW w:w="1529" w:type="dxa"/>
            <w:vAlign w:val="center"/>
          </w:tcPr>
          <w:p>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投标人</w:t>
            </w:r>
          </w:p>
        </w:tc>
        <w:tc>
          <w:tcPr>
            <w:tcW w:w="1194" w:type="dxa"/>
            <w:vAlign w:val="center"/>
          </w:tcPr>
          <w:p>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一、基坑工程</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（一）开挖深度超过3m（含3m）的基坑（槽）的土方开挖、支护、降水工程。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本项目地下室底板埋深-5.20m，纯地下室及污水处理站区域底板埋深-6.00m，消防水池区域底板埋深-7.00m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spacing w:line="36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（二）开挖深度虽未超过3m，但地质条件、周围环境和地下管线复杂，或影响毗邻建、构筑物安全的基坑（槽）的土方开挖、支护、降水工程。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二、模板工程及支撑体系</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（一）各类工具式模板工程：包括滑模、爬模、飞模、隧道模等工程。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本项目首层局部层高6.5m，中部层高13米，2F~8F层高6米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（三）承重支撑体系：用于钢结构安装等满堂支撑体系。</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三、起重吊装及起重机械安装拆卸工程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（一）采用非常规起重设备、方法，且单件起吊重量在10kN及以上的起重吊装工程。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（二）采用起重机械进行安装的工程。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（三）起重机械安装和拆卸工程。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四、脚手架工程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（一）搭设高度24m及以上的落地式钢管脚手架工程（包括采光井、电梯井脚手架）。</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施工方组织专项方案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（二）附着式升降脚手架工程。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施工方组织专项方案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（三）悬挑式脚手架工程。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施工方组织专项方案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（四）高处作业吊篮。</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施工方组织专项方案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（五）卸料平台、操作平台工程。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施工方组织专项方案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（六）异型脚手架工程。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施工方组织专项方案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五、拆除工程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可能影响行人、交通、电力设施、通讯设施或其它建、构筑物安全的拆除工程。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六、暗挖工程</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采用矿山法、盾构法、顶管法施工的隧道、洞室工程。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七、其它</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（一）建筑幕墙安装工程。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（二）钢结构、网架和索膜结构安装工程。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（三）人工挖孔桩工程。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（四）水下作业工程。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（五）装配式建筑混凝土预制构件安装工程。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（六）采用新技术、新工艺、新材料、新设备可能影响工程施工安全，尚无国家、行业及地方技术标准的分部分项工程。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第二部分、超过一定规模的危险性较大的分部分项工程清单</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一、深基坑工程</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开挖深度超过5m（含5m）的基坑（槽）的土方开挖、支护、降水工程。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本项目地下室底板埋深-5.20m，纯地下室及污水处理站区域底板埋深-6.00m，消防水池区域底板埋深-7.00m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二、模板工程及支撑体系</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（一）各类工具式模板工程：包括滑模、爬模、飞模、隧道模等工程。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（二）混凝土模板支撑工程：搭设高度8m及以上，或搭设跨度18m及以上，或施工总荷载（设计值）15kN/m2及以上，或集中线荷载（设计值）20kN/m及以上。</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本项目首层中部层高13米,首层及夹层墙下梁线荷载设计值20KN/m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（三）承重支撑体系：用于钢结构安装等满堂支撑体系，承受单点集中荷载7kN及以上。</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三、起重吊装及起重机械安装拆卸工程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（一）采用非常规起重设备、方法，且单件起吊重量在100kN及以上的起重吊装工程。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（二）起重量300kN及以上，或搭设总高度200m及以上，或搭设基础标高在200m及以上的起重机械安装和拆卸工程。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四、脚手架工程</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（一）搭设高度50m及以上的落地式钢管脚手架工程。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施工方组织专项方案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（二）提升高度在150m及以上的附着式升降脚手架工程或附着式升降操作平台工程。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（三）分段架体搭设高度20m及以上的悬挑式脚手架工程。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施工方组织专项方案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五、拆除工程</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（一）码头、桥梁、高架、烟囱、水塔或拆除中容易引起有毒有害气（液）体或粉尘扩散、易燃易爆事故发生的特殊建、构筑物的拆除工程。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（二）文物保护建筑、优秀历史建筑或历史文化风貌区影响范围内的拆除工程。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六、暗挖工程</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采用矿山法、盾构法、顶管法施工的隧道、洞室工程。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七、其它</w:t>
            </w:r>
          </w:p>
        </w:tc>
        <w:tc>
          <w:tcPr>
            <w:tcW w:w="1528" w:type="dxa"/>
            <w:vAlign w:val="center"/>
          </w:tcPr>
          <w:p>
            <w:pPr>
              <w:widowControl/>
              <w:jc w:val="center"/>
              <w:rPr>
                <w:rFonts w:hint="eastAsia" w:ascii="宋体" w:hAnsi="宋体" w:eastAsia="宋体" w:cs="宋体"/>
                <w:color w:val="auto"/>
                <w:kern w:val="0"/>
                <w:sz w:val="24"/>
                <w:szCs w:val="24"/>
                <w:highlight w:val="none"/>
              </w:rPr>
            </w:pPr>
          </w:p>
        </w:tc>
        <w:tc>
          <w:tcPr>
            <w:tcW w:w="1529" w:type="dxa"/>
            <w:vAlign w:val="center"/>
          </w:tcPr>
          <w:p>
            <w:pPr>
              <w:widowControl/>
              <w:jc w:val="center"/>
              <w:rPr>
                <w:rFonts w:hint="eastAsia" w:ascii="宋体" w:hAnsi="宋体" w:eastAsia="宋体" w:cs="宋体"/>
                <w:color w:val="auto"/>
                <w:kern w:val="0"/>
                <w:sz w:val="24"/>
                <w:szCs w:val="24"/>
                <w:highlight w:val="none"/>
              </w:rPr>
            </w:pPr>
          </w:p>
        </w:tc>
        <w:tc>
          <w:tcPr>
            <w:tcW w:w="1194" w:type="dxa"/>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（一）施工高度50m及以上的建筑幕墙安装工程。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（二）跨度36m及以上的钢结构安装工程，或跨度60m及以上的网架和索膜结构安装工程。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（三）开挖深度16m及以上的人工挖孔桩工程。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（四）水下作业工程。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（五）重量1000kN及以上的大型结构整体顶升、平移、转体等施工工艺。</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77" w:type="dxa"/>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（六）采用新技术、新工艺、新材料、新设备可能影响工程施工安全，尚无国家、行业及地方技术标准的分部分项工程。</w:t>
            </w:r>
          </w:p>
        </w:tc>
        <w:tc>
          <w:tcPr>
            <w:tcW w:w="1528"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29"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94" w:type="dxa"/>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bl>
    <w:p>
      <w:pPr>
        <w:rPr>
          <w:rFonts w:hint="eastAsia" w:ascii="宋体" w:hAnsi="宋体" w:eastAsia="宋体" w:cs="宋体"/>
          <w:color w:val="auto"/>
          <w:highlight w:val="none"/>
        </w:rPr>
      </w:pPr>
      <w:r>
        <w:rPr>
          <w:rFonts w:hint="eastAsia" w:ascii="宋体" w:hAnsi="宋体" w:eastAsia="宋体" w:cs="宋体"/>
          <w:color w:val="auto"/>
          <w:sz w:val="24"/>
          <w:szCs w:val="20"/>
          <w:highlight w:val="none"/>
        </w:rPr>
        <w:t xml:space="preserve">                   </w:t>
      </w:r>
    </w:p>
    <w:p>
      <w:pPr>
        <w:pStyle w:val="17"/>
        <w:widowControl w:val="0"/>
        <w:spacing w:before="0" w:beforeAutospacing="0" w:after="0" w:afterAutospacing="0" w:line="360" w:lineRule="auto"/>
        <w:ind w:firstLine="578" w:firstLineChars="200"/>
        <w:rPr>
          <w:rFonts w:hint="eastAsia" w:ascii="宋体" w:hAnsi="宋体" w:eastAsia="宋体" w:cs="宋体"/>
          <w:color w:val="auto"/>
          <w:highlight w:val="none"/>
        </w:rPr>
      </w:pPr>
      <w:r>
        <w:rPr>
          <w:rFonts w:hint="eastAsia" w:ascii="宋体" w:hAnsi="宋体" w:eastAsia="宋体" w:cs="宋体"/>
          <w:b/>
          <w:color w:val="auto"/>
          <w:spacing w:val="4"/>
          <w:kern w:val="0"/>
          <w:sz w:val="28"/>
          <w:szCs w:val="28"/>
          <w:highlight w:val="none"/>
          <w:u w:val="single"/>
        </w:rPr>
        <w:br w:type="page"/>
      </w:r>
    </w:p>
    <w:p>
      <w:pPr>
        <w:spacing w:line="360" w:lineRule="auto"/>
        <w:jc w:val="center"/>
        <w:outlineLvl w:val="1"/>
        <w:rPr>
          <w:rFonts w:hint="eastAsia" w:ascii="宋体" w:hAnsi="宋体" w:eastAsia="宋体" w:cs="宋体"/>
          <w:color w:val="auto"/>
          <w:sz w:val="24"/>
          <w:szCs w:val="24"/>
          <w:highlight w:val="none"/>
        </w:rPr>
      </w:pPr>
      <w:bookmarkStart w:id="128" w:name="_Toc201658299"/>
      <w:r>
        <w:rPr>
          <w:rFonts w:hint="eastAsia" w:ascii="宋体" w:hAnsi="宋体" w:eastAsia="宋体" w:cs="宋体"/>
          <w:b/>
          <w:color w:val="auto"/>
          <w:sz w:val="24"/>
          <w:szCs w:val="24"/>
          <w:highlight w:val="none"/>
        </w:rPr>
        <w:t>二、经济标投标文件格式</w:t>
      </w:r>
      <w:bookmarkEnd w:id="128"/>
    </w:p>
    <w:p>
      <w:pPr>
        <w:widowControl/>
        <w:topLinePunct/>
        <w:adjustRightInd w:val="0"/>
        <w:snapToGrid w:val="0"/>
        <w:spacing w:after="200"/>
        <w:jc w:val="left"/>
        <w:outlineLvl w:val="2"/>
        <w:rPr>
          <w:rFonts w:hint="eastAsia" w:ascii="宋体" w:hAnsi="宋体" w:eastAsia="宋体" w:cs="宋体"/>
          <w:color w:val="auto"/>
          <w:spacing w:val="4"/>
          <w:kern w:val="0"/>
          <w:sz w:val="24"/>
          <w:szCs w:val="24"/>
          <w:highlight w:val="none"/>
        </w:rPr>
      </w:pPr>
      <w:r>
        <w:rPr>
          <w:rFonts w:hint="eastAsia" w:ascii="宋体" w:hAnsi="宋体" w:eastAsia="宋体" w:cs="宋体"/>
          <w:b/>
          <w:color w:val="auto"/>
          <w:spacing w:val="4"/>
          <w:kern w:val="0"/>
          <w:sz w:val="24"/>
          <w:szCs w:val="21"/>
          <w:highlight w:val="none"/>
        </w:rPr>
        <w:br w:type="page"/>
      </w:r>
      <w:bookmarkStart w:id="129" w:name="_Toc201658300"/>
      <w:bookmarkStart w:id="130" w:name="_Toc125032269"/>
      <w:r>
        <w:rPr>
          <w:rFonts w:hint="eastAsia" w:ascii="宋体" w:hAnsi="宋体" w:eastAsia="宋体" w:cs="宋体"/>
          <w:color w:val="auto"/>
          <w:spacing w:val="4"/>
          <w:kern w:val="0"/>
          <w:sz w:val="24"/>
          <w:szCs w:val="24"/>
          <w:highlight w:val="none"/>
        </w:rPr>
        <w:t>格式一：经济标封面</w:t>
      </w:r>
      <w:bookmarkEnd w:id="129"/>
      <w:bookmarkEnd w:id="130"/>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jc w:val="center"/>
        <w:rPr>
          <w:rFonts w:hint="eastAsia" w:ascii="宋体" w:hAnsi="宋体" w:eastAsia="宋体" w:cs="宋体"/>
          <w:color w:val="auto"/>
          <w:spacing w:val="4"/>
          <w:kern w:val="0"/>
          <w:sz w:val="36"/>
          <w:szCs w:val="36"/>
          <w:highlight w:val="none"/>
          <w:u w:val="single"/>
        </w:rPr>
      </w:pPr>
      <w:r>
        <w:rPr>
          <w:rFonts w:hint="eastAsia" w:ascii="宋体" w:hAnsi="宋体" w:eastAsia="宋体" w:cs="宋体"/>
          <w:color w:val="auto"/>
          <w:spacing w:val="4"/>
          <w:kern w:val="0"/>
          <w:sz w:val="36"/>
          <w:szCs w:val="36"/>
          <w:highlight w:val="none"/>
          <w:u w:val="single"/>
        </w:rPr>
        <w:t>[工程名称]</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jc w:val="center"/>
        <w:rPr>
          <w:rFonts w:hint="eastAsia" w:ascii="宋体" w:hAnsi="宋体" w:eastAsia="宋体" w:cs="宋体"/>
          <w:color w:val="auto"/>
          <w:spacing w:val="4"/>
          <w:kern w:val="0"/>
          <w:sz w:val="84"/>
          <w:szCs w:val="84"/>
          <w:highlight w:val="none"/>
        </w:rPr>
      </w:pPr>
      <w:r>
        <w:rPr>
          <w:rFonts w:hint="eastAsia" w:ascii="宋体" w:hAnsi="宋体" w:eastAsia="宋体" w:cs="宋体"/>
          <w:color w:val="auto"/>
          <w:spacing w:val="4"/>
          <w:kern w:val="0"/>
          <w:sz w:val="84"/>
          <w:szCs w:val="84"/>
          <w:highlight w:val="none"/>
        </w:rPr>
        <w:t>投标文件</w:t>
      </w:r>
    </w:p>
    <w:p>
      <w:pPr>
        <w:widowControl/>
        <w:topLinePunct/>
        <w:adjustRightInd w:val="0"/>
        <w:snapToGrid w:val="0"/>
        <w:spacing w:after="200" w:line="360" w:lineRule="auto"/>
        <w:jc w:val="center"/>
        <w:rPr>
          <w:rFonts w:hint="eastAsia" w:ascii="宋体" w:hAnsi="宋体" w:eastAsia="宋体" w:cs="宋体"/>
          <w:color w:val="auto"/>
          <w:spacing w:val="4"/>
          <w:kern w:val="0"/>
          <w:sz w:val="36"/>
          <w:szCs w:val="36"/>
          <w:highlight w:val="none"/>
        </w:rPr>
      </w:pPr>
      <w:r>
        <w:rPr>
          <w:rFonts w:hint="eastAsia" w:ascii="宋体" w:hAnsi="宋体" w:eastAsia="宋体" w:cs="宋体"/>
          <w:color w:val="auto"/>
          <w:spacing w:val="4"/>
          <w:kern w:val="0"/>
          <w:sz w:val="36"/>
          <w:szCs w:val="36"/>
          <w:highlight w:val="none"/>
          <w:lang w:eastAsia="zh-CN"/>
        </w:rPr>
        <w:t>【</w:t>
      </w:r>
      <w:r>
        <w:rPr>
          <w:rFonts w:hint="eastAsia" w:ascii="宋体" w:hAnsi="宋体" w:eastAsia="宋体" w:cs="宋体"/>
          <w:color w:val="auto"/>
          <w:spacing w:val="4"/>
          <w:kern w:val="0"/>
          <w:sz w:val="36"/>
          <w:szCs w:val="36"/>
          <w:highlight w:val="none"/>
        </w:rPr>
        <w:t>经济</w:t>
      </w:r>
      <w:r>
        <w:rPr>
          <w:rFonts w:hint="eastAsia" w:ascii="宋体" w:hAnsi="宋体" w:eastAsia="宋体" w:cs="宋体"/>
          <w:color w:val="auto"/>
          <w:spacing w:val="4"/>
          <w:kern w:val="0"/>
          <w:sz w:val="36"/>
          <w:szCs w:val="36"/>
          <w:highlight w:val="none"/>
          <w:lang w:val="en-US" w:eastAsia="zh-CN"/>
        </w:rPr>
        <w:t>部分】</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   </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pStyle w:val="6"/>
        <w:rPr>
          <w:rFonts w:hint="eastAsia" w:ascii="宋体" w:hAnsi="宋体" w:eastAsia="宋体" w:cs="宋体"/>
          <w:color w:val="auto"/>
          <w:spacing w:val="4"/>
          <w:kern w:val="0"/>
          <w:sz w:val="24"/>
          <w:szCs w:val="24"/>
          <w:highlight w:val="none"/>
        </w:rPr>
      </w:pPr>
    </w:p>
    <w:p>
      <w:pPr>
        <w:rPr>
          <w:rFonts w:hint="eastAsia" w:ascii="宋体" w:hAnsi="宋体" w:eastAsia="宋体" w:cs="宋体"/>
          <w:color w:val="auto"/>
          <w:highlight w:val="none"/>
        </w:rPr>
      </w:pPr>
    </w:p>
    <w:p>
      <w:pPr>
        <w:widowControl/>
        <w:topLinePunct/>
        <w:adjustRightInd w:val="0"/>
        <w:snapToGrid w:val="0"/>
        <w:spacing w:after="200" w:line="360" w:lineRule="auto"/>
        <w:ind w:firstLine="616" w:firstLineChars="200"/>
        <w:jc w:val="left"/>
        <w:rPr>
          <w:rFonts w:hint="eastAsia" w:ascii="宋体" w:hAnsi="宋体" w:eastAsia="宋体" w:cs="宋体"/>
          <w:color w:val="auto"/>
          <w:spacing w:val="4"/>
          <w:kern w:val="0"/>
          <w:sz w:val="30"/>
          <w:szCs w:val="30"/>
          <w:highlight w:val="none"/>
        </w:rPr>
      </w:pPr>
      <w:r>
        <w:rPr>
          <w:rFonts w:hint="eastAsia" w:ascii="宋体" w:hAnsi="宋体" w:eastAsia="宋体" w:cs="宋体"/>
          <w:color w:val="auto"/>
          <w:spacing w:val="4"/>
          <w:kern w:val="0"/>
          <w:sz w:val="30"/>
          <w:szCs w:val="30"/>
          <w:highlight w:val="none"/>
        </w:rPr>
        <w:t>投标人：</w:t>
      </w:r>
      <w:r>
        <w:rPr>
          <w:rFonts w:hint="eastAsia" w:ascii="宋体" w:hAnsi="宋体" w:eastAsia="宋体" w:cs="宋体"/>
          <w:color w:val="auto"/>
          <w:spacing w:val="4"/>
          <w:kern w:val="0"/>
          <w:sz w:val="30"/>
          <w:szCs w:val="30"/>
          <w:highlight w:val="none"/>
          <w:u w:val="single"/>
        </w:rPr>
        <w:t xml:space="preserve">       （填写投标人单位名称）       （盖章）</w:t>
      </w:r>
    </w:p>
    <w:p>
      <w:pPr>
        <w:widowControl/>
        <w:topLinePunct/>
        <w:adjustRightInd w:val="0"/>
        <w:snapToGrid w:val="0"/>
        <w:spacing w:after="200" w:line="360" w:lineRule="auto"/>
        <w:ind w:firstLine="616" w:firstLineChars="200"/>
        <w:jc w:val="left"/>
        <w:rPr>
          <w:rFonts w:hint="eastAsia" w:ascii="宋体" w:hAnsi="宋体" w:eastAsia="宋体" w:cs="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hint="eastAsia" w:ascii="宋体" w:hAnsi="宋体" w:eastAsia="宋体" w:cs="宋体"/>
          <w:color w:val="auto"/>
          <w:spacing w:val="4"/>
          <w:kern w:val="0"/>
          <w:sz w:val="30"/>
          <w:szCs w:val="30"/>
          <w:highlight w:val="none"/>
        </w:rPr>
      </w:pPr>
      <w:r>
        <w:rPr>
          <w:rFonts w:hint="eastAsia" w:ascii="宋体" w:hAnsi="宋体" w:eastAsia="宋体" w:cs="宋体"/>
          <w:color w:val="auto"/>
          <w:spacing w:val="4"/>
          <w:kern w:val="0"/>
          <w:sz w:val="30"/>
          <w:szCs w:val="30"/>
          <w:highlight w:val="none"/>
        </w:rPr>
        <w:t>日  期：</w:t>
      </w:r>
      <w:r>
        <w:rPr>
          <w:rFonts w:hint="eastAsia" w:ascii="宋体" w:hAnsi="宋体" w:eastAsia="宋体" w:cs="宋体"/>
          <w:color w:val="auto"/>
          <w:spacing w:val="4"/>
          <w:kern w:val="0"/>
          <w:sz w:val="30"/>
          <w:szCs w:val="30"/>
          <w:highlight w:val="none"/>
          <w:u w:val="single"/>
        </w:rPr>
        <w:t xml:space="preserve">                                        </w:t>
      </w:r>
      <w:r>
        <w:rPr>
          <w:rFonts w:hint="eastAsia" w:ascii="宋体" w:hAnsi="宋体" w:eastAsia="宋体" w:cs="宋体"/>
          <w:color w:val="auto"/>
          <w:spacing w:val="4"/>
          <w:kern w:val="0"/>
          <w:sz w:val="30"/>
          <w:szCs w:val="30"/>
          <w:highlight w:val="none"/>
        </w:rPr>
        <w:t xml:space="preserve"> </w:t>
      </w:r>
    </w:p>
    <w:p>
      <w:pPr>
        <w:widowControl/>
        <w:topLinePunct/>
        <w:adjustRightInd w:val="0"/>
        <w:snapToGrid w:val="0"/>
        <w:spacing w:after="200"/>
        <w:jc w:val="left"/>
        <w:outlineLvl w:val="2"/>
        <w:rPr>
          <w:rFonts w:hint="eastAsia" w:ascii="宋体" w:hAnsi="宋体" w:eastAsia="宋体" w:cs="宋体"/>
          <w:b/>
          <w:color w:val="auto"/>
          <w:spacing w:val="4"/>
          <w:kern w:val="0"/>
          <w:sz w:val="24"/>
          <w:szCs w:val="24"/>
          <w:highlight w:val="none"/>
        </w:rPr>
      </w:pPr>
      <w:r>
        <w:rPr>
          <w:rFonts w:hint="eastAsia" w:ascii="宋体" w:hAnsi="宋体" w:eastAsia="宋体" w:cs="宋体"/>
          <w:color w:val="auto"/>
          <w:spacing w:val="4"/>
          <w:kern w:val="0"/>
          <w:sz w:val="24"/>
          <w:szCs w:val="24"/>
          <w:highlight w:val="none"/>
        </w:rPr>
        <w:br w:type="page"/>
      </w:r>
      <w:bookmarkStart w:id="131" w:name="_Toc201658302"/>
      <w:bookmarkStart w:id="132" w:name="_Toc125032270"/>
      <w:r>
        <w:rPr>
          <w:rFonts w:hint="eastAsia" w:ascii="宋体" w:hAnsi="宋体" w:eastAsia="宋体" w:cs="宋体"/>
          <w:color w:val="auto"/>
          <w:spacing w:val="4"/>
          <w:kern w:val="0"/>
          <w:sz w:val="24"/>
          <w:szCs w:val="24"/>
          <w:highlight w:val="none"/>
        </w:rPr>
        <w:t>格式</w:t>
      </w:r>
      <w:r>
        <w:rPr>
          <w:rFonts w:hint="eastAsia" w:ascii="宋体" w:hAnsi="宋体" w:eastAsia="宋体" w:cs="宋体"/>
          <w:color w:val="auto"/>
          <w:spacing w:val="4"/>
          <w:kern w:val="0"/>
          <w:sz w:val="24"/>
          <w:szCs w:val="24"/>
          <w:highlight w:val="none"/>
          <w:lang w:val="en-US" w:eastAsia="zh-CN"/>
        </w:rPr>
        <w:t>二</w:t>
      </w:r>
      <w:r>
        <w:rPr>
          <w:rFonts w:hint="eastAsia" w:ascii="宋体" w:hAnsi="宋体" w:eastAsia="宋体" w:cs="宋体"/>
          <w:color w:val="auto"/>
          <w:spacing w:val="4"/>
          <w:kern w:val="0"/>
          <w:sz w:val="24"/>
          <w:szCs w:val="24"/>
          <w:highlight w:val="none"/>
        </w:rPr>
        <w:t>：工程量清单计价表</w:t>
      </w:r>
      <w:bookmarkEnd w:id="131"/>
      <w:bookmarkEnd w:id="132"/>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617"/>
        <w:jc w:val="center"/>
        <w:rPr>
          <w:rFonts w:hint="eastAsia" w:ascii="宋体" w:hAnsi="宋体" w:eastAsia="宋体" w:cs="宋体"/>
          <w:color w:val="auto"/>
          <w:spacing w:val="4"/>
          <w:kern w:val="0"/>
          <w:sz w:val="36"/>
          <w:szCs w:val="36"/>
          <w:highlight w:val="none"/>
        </w:rPr>
      </w:pPr>
      <w:r>
        <w:rPr>
          <w:rFonts w:hint="eastAsia" w:ascii="宋体" w:hAnsi="宋体" w:eastAsia="宋体" w:cs="宋体"/>
          <w:color w:val="auto"/>
          <w:spacing w:val="4"/>
          <w:kern w:val="0"/>
          <w:sz w:val="36"/>
          <w:szCs w:val="36"/>
          <w:highlight w:val="none"/>
        </w:rPr>
        <w:t>工程量清单计价表</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tabs>
          <w:tab w:val="left" w:pos="72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本部分内容详见招标文件第七章工程量清单。</w:t>
      </w:r>
    </w:p>
    <w:p>
      <w:pPr>
        <w:widowControl/>
        <w:topLinePunct/>
        <w:adjustRightInd w:val="0"/>
        <w:snapToGrid w:val="0"/>
        <w:spacing w:after="200"/>
        <w:jc w:val="left"/>
        <w:outlineLvl w:val="2"/>
        <w:rPr>
          <w:rFonts w:hint="eastAsia" w:ascii="宋体" w:hAnsi="宋体" w:eastAsia="宋体" w:cs="宋体"/>
          <w:snapToGrid w:val="0"/>
          <w:color w:val="auto"/>
          <w:spacing w:val="4"/>
          <w:kern w:val="0"/>
          <w:sz w:val="24"/>
          <w:szCs w:val="24"/>
          <w:highlight w:val="none"/>
        </w:rPr>
      </w:pPr>
      <w:r>
        <w:rPr>
          <w:rFonts w:hint="eastAsia" w:ascii="宋体" w:hAnsi="宋体" w:eastAsia="宋体" w:cs="宋体"/>
          <w:color w:val="auto"/>
          <w:highlight w:val="none"/>
        </w:rPr>
        <w:br w:type="page"/>
      </w:r>
      <w:bookmarkStart w:id="133" w:name="_Toc201658303"/>
      <w:r>
        <w:rPr>
          <w:rFonts w:hint="eastAsia" w:ascii="宋体" w:hAnsi="宋体" w:eastAsia="宋体" w:cs="宋体"/>
          <w:snapToGrid w:val="0"/>
          <w:color w:val="auto"/>
          <w:spacing w:val="4"/>
          <w:kern w:val="0"/>
          <w:sz w:val="24"/>
          <w:szCs w:val="24"/>
          <w:highlight w:val="none"/>
        </w:rPr>
        <w:t>格式</w:t>
      </w:r>
      <w:r>
        <w:rPr>
          <w:rFonts w:hint="eastAsia" w:ascii="宋体" w:hAnsi="宋体" w:eastAsia="宋体" w:cs="宋体"/>
          <w:snapToGrid w:val="0"/>
          <w:color w:val="auto"/>
          <w:spacing w:val="4"/>
          <w:kern w:val="0"/>
          <w:sz w:val="24"/>
          <w:szCs w:val="24"/>
          <w:highlight w:val="none"/>
          <w:lang w:val="en-US" w:eastAsia="zh-CN"/>
        </w:rPr>
        <w:t>三</w:t>
      </w:r>
      <w:r>
        <w:rPr>
          <w:rFonts w:hint="eastAsia" w:ascii="宋体" w:hAnsi="宋体" w:eastAsia="宋体" w:cs="宋体"/>
          <w:snapToGrid w:val="0"/>
          <w:color w:val="auto"/>
          <w:spacing w:val="4"/>
          <w:kern w:val="0"/>
          <w:sz w:val="24"/>
          <w:szCs w:val="24"/>
          <w:highlight w:val="none"/>
        </w:rPr>
        <w:t>：</w:t>
      </w:r>
      <w:r>
        <w:rPr>
          <w:rFonts w:hint="eastAsia" w:ascii="宋体" w:hAnsi="宋体" w:eastAsia="宋体" w:cs="宋体"/>
          <w:color w:val="auto"/>
          <w:sz w:val="24"/>
          <w:szCs w:val="24"/>
          <w:highlight w:val="none"/>
        </w:rPr>
        <w:t>参与编制经济标投标文件人员名单</w:t>
      </w:r>
      <w:bookmarkEnd w:id="133"/>
    </w:p>
    <w:p>
      <w:pPr>
        <w:tabs>
          <w:tab w:val="left" w:pos="7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参与编制经济标投标文件人员名单</w:t>
      </w:r>
    </w:p>
    <w:tbl>
      <w:tblPr>
        <w:tblStyle w:val="19"/>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Cs w:val="21"/>
                <w:highlight w:val="none"/>
              </w:rPr>
            </w:pPr>
          </w:p>
        </w:tc>
      </w:tr>
    </w:tbl>
    <w:p>
      <w:pPr>
        <w:tabs>
          <w:tab w:val="left" w:pos="720"/>
        </w:tabs>
        <w:snapToGrid w:val="0"/>
        <w:spacing w:line="360" w:lineRule="auto"/>
        <w:rPr>
          <w:rFonts w:hint="eastAsia" w:ascii="宋体" w:hAnsi="宋体" w:eastAsia="宋体" w:cs="宋体"/>
          <w:color w:val="auto"/>
          <w:sz w:val="24"/>
          <w:szCs w:val="24"/>
          <w:highlight w:val="none"/>
        </w:rPr>
      </w:pPr>
    </w:p>
    <w:p>
      <w:pPr>
        <w:spacing w:line="360" w:lineRule="auto"/>
        <w:ind w:left="-2" w:leftChars="-1" w:firstLine="367" w:firstLineChars="17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注：参与编制经济标投标文件所有人员名单应包括编制各种专业工程量清单投标报价、负责清样校对、负责打印及复印等所有人员在内的人员名单。</w:t>
      </w:r>
    </w:p>
    <w:p>
      <w:pPr>
        <w:spacing w:line="360" w:lineRule="auto"/>
        <w:ind w:left="-2" w:leftChars="-1" w:firstLine="420" w:firstLineChars="175"/>
        <w:jc w:val="center"/>
        <w:rPr>
          <w:rFonts w:hint="eastAsia" w:ascii="宋体" w:hAnsi="宋体" w:eastAsia="宋体" w:cs="宋体"/>
          <w:color w:val="auto"/>
          <w:kern w:val="0"/>
          <w:sz w:val="24"/>
          <w:szCs w:val="24"/>
          <w:highlight w:val="none"/>
        </w:rPr>
      </w:pPr>
    </w:p>
    <w:p>
      <w:pPr>
        <w:widowControl/>
        <w:topLinePunct/>
        <w:adjustRightInd w:val="0"/>
        <w:snapToGrid w:val="0"/>
        <w:spacing w:after="200"/>
        <w:jc w:val="left"/>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134" w:name="_Toc201658304"/>
      <w:r>
        <w:rPr>
          <w:rFonts w:hint="eastAsia" w:ascii="宋体" w:hAnsi="宋体" w:eastAsia="宋体" w:cs="宋体"/>
          <w:snapToGrid w:val="0"/>
          <w:color w:val="auto"/>
          <w:spacing w:val="4"/>
          <w:kern w:val="0"/>
          <w:sz w:val="24"/>
          <w:szCs w:val="24"/>
          <w:highlight w:val="none"/>
        </w:rPr>
        <w:t>格式</w:t>
      </w:r>
      <w:r>
        <w:rPr>
          <w:rFonts w:hint="eastAsia" w:ascii="宋体" w:hAnsi="宋体" w:eastAsia="宋体" w:cs="宋体"/>
          <w:snapToGrid w:val="0"/>
          <w:color w:val="auto"/>
          <w:spacing w:val="4"/>
          <w:kern w:val="0"/>
          <w:sz w:val="24"/>
          <w:szCs w:val="24"/>
          <w:highlight w:val="none"/>
          <w:lang w:val="en-US" w:eastAsia="zh-CN"/>
        </w:rPr>
        <w:t>四</w:t>
      </w:r>
      <w:r>
        <w:rPr>
          <w:rFonts w:hint="eastAsia" w:ascii="宋体" w:hAnsi="宋体" w:eastAsia="宋体" w:cs="宋体"/>
          <w:snapToGrid w:val="0"/>
          <w:color w:val="auto"/>
          <w:spacing w:val="4"/>
          <w:kern w:val="0"/>
          <w:sz w:val="24"/>
          <w:szCs w:val="24"/>
          <w:highlight w:val="none"/>
        </w:rPr>
        <w:t>：对</w:t>
      </w:r>
      <w:r>
        <w:rPr>
          <w:rFonts w:hint="eastAsia" w:ascii="宋体" w:hAnsi="宋体" w:eastAsia="宋体" w:cs="宋体"/>
          <w:color w:val="auto"/>
          <w:spacing w:val="4"/>
          <w:kern w:val="0"/>
          <w:sz w:val="24"/>
          <w:szCs w:val="24"/>
          <w:highlight w:val="none"/>
        </w:rPr>
        <w:t>投标</w:t>
      </w:r>
      <w:r>
        <w:rPr>
          <w:rFonts w:hint="eastAsia" w:ascii="宋体" w:hAnsi="宋体" w:eastAsia="宋体" w:cs="宋体"/>
          <w:snapToGrid w:val="0"/>
          <w:color w:val="auto"/>
          <w:spacing w:val="4"/>
          <w:kern w:val="0"/>
          <w:sz w:val="24"/>
          <w:szCs w:val="24"/>
          <w:highlight w:val="none"/>
        </w:rPr>
        <w:t>文件编制的承诺</w:t>
      </w:r>
      <w:bookmarkEnd w:id="134"/>
    </w:p>
    <w:p>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color w:val="auto"/>
          <w:kern w:val="0"/>
          <w:sz w:val="32"/>
          <w:szCs w:val="32"/>
          <w:highlight w:val="none"/>
        </w:rPr>
        <w:t>对投标文件编制的承诺</w:t>
      </w:r>
    </w:p>
    <w:p>
      <w:pPr>
        <w:spacing w:line="360" w:lineRule="auto"/>
        <w:ind w:left="-2" w:leftChars="-1"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本公司授权</w:t>
      </w:r>
      <w:r>
        <w:rPr>
          <w:rFonts w:hint="eastAsia" w:ascii="宋体" w:hAnsi="宋体" w:eastAsia="宋体" w:cs="宋体"/>
          <w:color w:val="auto"/>
          <w:kern w:val="0"/>
          <w:sz w:val="24"/>
          <w:szCs w:val="24"/>
          <w:highlight w:val="none"/>
          <w:u w:val="single"/>
        </w:rPr>
        <w:t xml:space="preserve">         （身份证号：               ）</w:t>
      </w:r>
      <w:r>
        <w:rPr>
          <w:rFonts w:hint="eastAsia" w:ascii="宋体" w:hAnsi="宋体" w:eastAsia="宋体" w:cs="宋体"/>
          <w:color w:val="auto"/>
          <w:kern w:val="0"/>
          <w:sz w:val="24"/>
          <w:szCs w:val="24"/>
          <w:highlight w:val="none"/>
        </w:rPr>
        <w:t>负责对投标文件的编制及内容进行解释、说明，并承诺以下事项：</w:t>
      </w:r>
    </w:p>
    <w:p>
      <w:pPr>
        <w:spacing w:line="360" w:lineRule="auto"/>
        <w:ind w:left="-2" w:leftChars="-1"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附件：《投标文件编制情况》</w:t>
      </w:r>
    </w:p>
    <w:p>
      <w:pPr>
        <w:spacing w:line="360" w:lineRule="auto"/>
        <w:ind w:right="90" w:firstLine="3240" w:firstLineChars="1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w:t>
      </w:r>
      <w:r>
        <w:rPr>
          <w:rFonts w:hint="eastAsia" w:ascii="宋体" w:hAnsi="宋体" w:eastAsia="宋体" w:cs="宋体"/>
          <w:color w:val="auto"/>
          <w:sz w:val="24"/>
          <w:szCs w:val="24"/>
          <w:highlight w:val="none"/>
          <w:u w:val="single"/>
        </w:rPr>
        <w:t xml:space="preserve">                   </w:t>
      </w:r>
    </w:p>
    <w:p>
      <w:pPr>
        <w:spacing w:line="360" w:lineRule="auto"/>
        <w:ind w:firstLine="4440" w:firstLineChars="18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b/>
          <w:color w:val="auto"/>
          <w:kern w:val="0"/>
          <w:sz w:val="32"/>
          <w:szCs w:val="32"/>
          <w:highlight w:val="none"/>
        </w:rPr>
      </w:pPr>
    </w:p>
    <w:p>
      <w:pPr>
        <w:spacing w:line="360" w:lineRule="auto"/>
        <w:ind w:firstLine="643" w:firstLineChars="200"/>
        <w:jc w:val="center"/>
        <w:rPr>
          <w:rFonts w:hint="eastAsia" w:ascii="宋体" w:hAnsi="宋体" w:eastAsia="宋体" w:cs="宋体"/>
          <w:color w:val="auto"/>
          <w:kern w:val="0"/>
          <w:sz w:val="18"/>
          <w:szCs w:val="18"/>
          <w:highlight w:val="none"/>
        </w:rPr>
      </w:pPr>
      <w:r>
        <w:rPr>
          <w:rFonts w:hint="eastAsia" w:ascii="宋体" w:hAnsi="宋体" w:eastAsia="宋体" w:cs="宋体"/>
          <w:b/>
          <w:color w:val="auto"/>
          <w:kern w:val="0"/>
          <w:sz w:val="32"/>
          <w:szCs w:val="32"/>
          <w:highlight w:val="none"/>
        </w:rPr>
        <w:t>投标文件编制情况</w:t>
      </w:r>
    </w:p>
    <w:p>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1.投标文件报价编制方式: □自行编制的，编制的负责人：</w:t>
      </w:r>
      <w:r>
        <w:rPr>
          <w:rFonts w:hint="eastAsia" w:ascii="宋体" w:hAnsi="宋体" w:eastAsia="宋体" w:cs="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kern w:val="0"/>
          <w:sz w:val="24"/>
          <w:szCs w:val="24"/>
          <w:highlight w:val="none"/>
        </w:rPr>
        <w:t>。□委托编制的，受委托单位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，编制的负责人：</w:t>
      </w:r>
      <w:r>
        <w:rPr>
          <w:rFonts w:hint="eastAsia" w:ascii="宋体" w:hAnsi="宋体" w:eastAsia="宋体" w:cs="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2.投标文件加密打包的电脑情况</w:t>
      </w:r>
    </w:p>
    <w:tbl>
      <w:tblPr>
        <w:tblStyle w:val="19"/>
        <w:tblW w:w="8509" w:type="dxa"/>
        <w:tblInd w:w="108" w:type="dxa"/>
        <w:tblLayout w:type="fixed"/>
        <w:tblCellMar>
          <w:top w:w="0" w:type="dxa"/>
          <w:left w:w="108" w:type="dxa"/>
          <w:bottom w:w="0" w:type="dxa"/>
          <w:right w:w="108" w:type="dxa"/>
        </w:tblCellMar>
      </w:tblPr>
      <w:tblGrid>
        <w:gridCol w:w="8509"/>
      </w:tblGrid>
      <w:tr>
        <w:tblPrEx>
          <w:tblLayout w:type="fixed"/>
          <w:tblCellMar>
            <w:top w:w="0" w:type="dxa"/>
            <w:left w:w="108" w:type="dxa"/>
            <w:bottom w:w="0" w:type="dxa"/>
            <w:right w:w="108" w:type="dxa"/>
          </w:tblCellMar>
        </w:tblPrEx>
        <w:trPr>
          <w:trHeight w:val="2578" w:hRule="atLeast"/>
        </w:trPr>
        <w:tc>
          <w:tcPr>
            <w:tcW w:w="8509"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bookmarkEnd w:id="58"/>
      <w:bookmarkEnd w:id="59"/>
      <w:bookmarkEnd w:id="60"/>
      <w:bookmarkEnd w:id="61"/>
      <w:bookmarkEnd w:id="62"/>
      <w:bookmarkEnd w:id="63"/>
      <w:bookmarkEnd w:id="64"/>
      <w:bookmarkEnd w:id="65"/>
    </w:tbl>
    <w:p>
      <w:pPr>
        <w:tabs>
          <w:tab w:val="left" w:pos="720"/>
        </w:tabs>
        <w:snapToGrid w:val="0"/>
        <w:spacing w:line="360" w:lineRule="auto"/>
        <w:rPr>
          <w:rFonts w:hint="eastAsia" w:ascii="宋体" w:hAnsi="宋体" w:eastAsia="宋体" w:cs="宋体"/>
          <w:color w:val="auto"/>
          <w:sz w:val="24"/>
          <w:szCs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1"/>
        <w:rPr>
          <w:rFonts w:hint="eastAsia" w:ascii="宋体" w:hAnsi="宋体" w:eastAsia="宋体" w:cs="宋体"/>
          <w:color w:val="auto"/>
          <w:sz w:val="24"/>
          <w:szCs w:val="24"/>
          <w:highlight w:val="none"/>
        </w:rPr>
      </w:pPr>
      <w:bookmarkStart w:id="135" w:name="_Toc7019448"/>
      <w:bookmarkStart w:id="136" w:name="_Toc201658305"/>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定标部分（定标文件）</w:t>
      </w:r>
      <w:r>
        <w:rPr>
          <w:rFonts w:hint="eastAsia" w:ascii="宋体" w:hAnsi="宋体" w:eastAsia="宋体" w:cs="宋体"/>
          <w:b/>
          <w:color w:val="auto"/>
          <w:sz w:val="24"/>
          <w:szCs w:val="24"/>
          <w:highlight w:val="none"/>
        </w:rPr>
        <w:t>文件格式</w:t>
      </w:r>
    </w:p>
    <w:p>
      <w:pPr>
        <w:widowControl/>
        <w:topLinePunct/>
        <w:adjustRightInd w:val="0"/>
        <w:snapToGrid w:val="0"/>
        <w:spacing w:after="200"/>
        <w:jc w:val="left"/>
        <w:outlineLvl w:val="2"/>
        <w:rPr>
          <w:rFonts w:hint="eastAsia" w:ascii="宋体" w:hAnsi="宋体" w:eastAsia="宋体" w:cs="宋体"/>
          <w:color w:val="auto"/>
          <w:spacing w:val="4"/>
          <w:kern w:val="0"/>
          <w:sz w:val="24"/>
          <w:szCs w:val="24"/>
          <w:highlight w:val="none"/>
        </w:rPr>
      </w:pPr>
      <w:r>
        <w:rPr>
          <w:rFonts w:hint="eastAsia" w:ascii="宋体" w:hAnsi="宋体" w:eastAsia="宋体" w:cs="宋体"/>
          <w:b/>
          <w:color w:val="auto"/>
          <w:spacing w:val="4"/>
          <w:kern w:val="0"/>
          <w:sz w:val="24"/>
          <w:szCs w:val="21"/>
          <w:highlight w:val="none"/>
        </w:rPr>
        <w:br w:type="page"/>
      </w:r>
      <w:r>
        <w:rPr>
          <w:rFonts w:hint="eastAsia" w:ascii="宋体" w:hAnsi="宋体" w:eastAsia="宋体" w:cs="宋体"/>
          <w:color w:val="auto"/>
          <w:spacing w:val="4"/>
          <w:kern w:val="0"/>
          <w:sz w:val="24"/>
          <w:szCs w:val="24"/>
          <w:highlight w:val="none"/>
        </w:rPr>
        <w:t>格式一：</w:t>
      </w:r>
      <w:r>
        <w:rPr>
          <w:rFonts w:hint="eastAsia" w:ascii="宋体" w:hAnsi="宋体" w:eastAsia="宋体" w:cs="宋体"/>
          <w:color w:val="auto"/>
          <w:spacing w:val="4"/>
          <w:kern w:val="0"/>
          <w:sz w:val="24"/>
          <w:szCs w:val="24"/>
          <w:highlight w:val="none"/>
          <w:lang w:val="en-US" w:eastAsia="zh-CN"/>
        </w:rPr>
        <w:t>定标文件</w:t>
      </w:r>
      <w:r>
        <w:rPr>
          <w:rFonts w:hint="eastAsia" w:ascii="宋体" w:hAnsi="宋体" w:eastAsia="宋体" w:cs="宋体"/>
          <w:color w:val="auto"/>
          <w:spacing w:val="4"/>
          <w:kern w:val="0"/>
          <w:sz w:val="24"/>
          <w:szCs w:val="24"/>
          <w:highlight w:val="none"/>
        </w:rPr>
        <w:t>封面</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jc w:val="center"/>
        <w:rPr>
          <w:rFonts w:hint="eastAsia" w:ascii="宋体" w:hAnsi="宋体" w:eastAsia="宋体" w:cs="宋体"/>
          <w:color w:val="auto"/>
          <w:spacing w:val="4"/>
          <w:kern w:val="0"/>
          <w:sz w:val="36"/>
          <w:szCs w:val="36"/>
          <w:highlight w:val="none"/>
          <w:u w:val="single"/>
        </w:rPr>
      </w:pPr>
      <w:r>
        <w:rPr>
          <w:rFonts w:hint="eastAsia" w:ascii="宋体" w:hAnsi="宋体" w:eastAsia="宋体" w:cs="宋体"/>
          <w:color w:val="auto"/>
          <w:spacing w:val="4"/>
          <w:kern w:val="0"/>
          <w:sz w:val="36"/>
          <w:szCs w:val="36"/>
          <w:highlight w:val="none"/>
          <w:u w:val="single"/>
        </w:rPr>
        <w:t>[工程名称]</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widowControl/>
        <w:topLinePunct/>
        <w:adjustRightInd w:val="0"/>
        <w:snapToGrid w:val="0"/>
        <w:spacing w:after="200" w:line="360" w:lineRule="auto"/>
        <w:jc w:val="center"/>
        <w:rPr>
          <w:rFonts w:hint="eastAsia" w:ascii="宋体" w:hAnsi="宋体" w:eastAsia="宋体" w:cs="宋体"/>
          <w:color w:val="auto"/>
          <w:spacing w:val="4"/>
          <w:kern w:val="0"/>
          <w:sz w:val="84"/>
          <w:szCs w:val="84"/>
          <w:highlight w:val="none"/>
        </w:rPr>
      </w:pPr>
      <w:r>
        <w:rPr>
          <w:rFonts w:hint="eastAsia" w:ascii="宋体" w:hAnsi="宋体" w:eastAsia="宋体" w:cs="宋体"/>
          <w:color w:val="auto"/>
          <w:spacing w:val="4"/>
          <w:kern w:val="0"/>
          <w:sz w:val="84"/>
          <w:szCs w:val="84"/>
          <w:highlight w:val="none"/>
        </w:rPr>
        <w:t>投标文件</w:t>
      </w:r>
    </w:p>
    <w:p>
      <w:pPr>
        <w:widowControl/>
        <w:topLinePunct/>
        <w:adjustRightInd w:val="0"/>
        <w:snapToGrid w:val="0"/>
        <w:spacing w:after="200" w:line="360" w:lineRule="auto"/>
        <w:jc w:val="center"/>
        <w:rPr>
          <w:rFonts w:hint="eastAsia" w:ascii="宋体" w:hAnsi="宋体" w:eastAsia="宋体" w:cs="宋体"/>
          <w:color w:val="auto"/>
          <w:spacing w:val="4"/>
          <w:kern w:val="0"/>
          <w:sz w:val="36"/>
          <w:szCs w:val="36"/>
          <w:highlight w:val="none"/>
        </w:rPr>
      </w:pPr>
      <w:r>
        <w:rPr>
          <w:rFonts w:hint="eastAsia" w:ascii="宋体" w:hAnsi="宋体" w:eastAsia="宋体" w:cs="宋体"/>
          <w:color w:val="auto"/>
          <w:spacing w:val="4"/>
          <w:kern w:val="0"/>
          <w:sz w:val="36"/>
          <w:szCs w:val="36"/>
          <w:highlight w:val="none"/>
          <w:lang w:eastAsia="zh-CN"/>
        </w:rPr>
        <w:t>【</w:t>
      </w:r>
      <w:r>
        <w:rPr>
          <w:rFonts w:hint="eastAsia" w:ascii="宋体" w:hAnsi="宋体" w:eastAsia="宋体" w:cs="宋体"/>
          <w:color w:val="auto"/>
          <w:spacing w:val="4"/>
          <w:kern w:val="0"/>
          <w:sz w:val="36"/>
          <w:szCs w:val="36"/>
          <w:highlight w:val="none"/>
          <w:lang w:val="en-US" w:eastAsia="zh-CN"/>
        </w:rPr>
        <w:t>定标部分】</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   </w:t>
      </w:r>
    </w:p>
    <w:p>
      <w:pPr>
        <w:widowControl/>
        <w:topLinePunct/>
        <w:adjustRightInd w:val="0"/>
        <w:snapToGrid w:val="0"/>
        <w:spacing w:after="200" w:line="360" w:lineRule="auto"/>
        <w:ind w:firstLine="496" w:firstLineChars="200"/>
        <w:jc w:val="left"/>
        <w:rPr>
          <w:rFonts w:hint="eastAsia" w:ascii="宋体" w:hAnsi="宋体" w:eastAsia="宋体" w:cs="宋体"/>
          <w:color w:val="auto"/>
          <w:spacing w:val="4"/>
          <w:kern w:val="0"/>
          <w:sz w:val="24"/>
          <w:szCs w:val="24"/>
          <w:highlight w:val="none"/>
        </w:rPr>
      </w:pPr>
    </w:p>
    <w:p>
      <w:pPr>
        <w:pStyle w:val="6"/>
        <w:rPr>
          <w:rFonts w:hint="eastAsia" w:ascii="宋体" w:hAnsi="宋体" w:eastAsia="宋体" w:cs="宋体"/>
          <w:color w:val="auto"/>
          <w:spacing w:val="4"/>
          <w:kern w:val="0"/>
          <w:sz w:val="24"/>
          <w:szCs w:val="24"/>
          <w:highlight w:val="none"/>
        </w:rPr>
      </w:pPr>
    </w:p>
    <w:p>
      <w:pPr>
        <w:rPr>
          <w:rFonts w:hint="eastAsia" w:ascii="宋体" w:hAnsi="宋体" w:eastAsia="宋体" w:cs="宋体"/>
          <w:color w:val="auto"/>
          <w:highlight w:val="none"/>
        </w:rPr>
      </w:pPr>
    </w:p>
    <w:p>
      <w:pPr>
        <w:widowControl/>
        <w:topLinePunct/>
        <w:adjustRightInd w:val="0"/>
        <w:snapToGrid w:val="0"/>
        <w:spacing w:after="200" w:line="360" w:lineRule="auto"/>
        <w:ind w:firstLine="616" w:firstLineChars="200"/>
        <w:jc w:val="left"/>
        <w:rPr>
          <w:rFonts w:hint="eastAsia" w:ascii="宋体" w:hAnsi="宋体" w:eastAsia="宋体" w:cs="宋体"/>
          <w:color w:val="auto"/>
          <w:spacing w:val="4"/>
          <w:kern w:val="0"/>
          <w:sz w:val="30"/>
          <w:szCs w:val="30"/>
          <w:highlight w:val="none"/>
        </w:rPr>
      </w:pPr>
      <w:r>
        <w:rPr>
          <w:rFonts w:hint="eastAsia" w:ascii="宋体" w:hAnsi="宋体" w:eastAsia="宋体" w:cs="宋体"/>
          <w:color w:val="auto"/>
          <w:spacing w:val="4"/>
          <w:kern w:val="0"/>
          <w:sz w:val="30"/>
          <w:szCs w:val="30"/>
          <w:highlight w:val="none"/>
        </w:rPr>
        <w:t>投标人：</w:t>
      </w:r>
      <w:r>
        <w:rPr>
          <w:rFonts w:hint="eastAsia" w:ascii="宋体" w:hAnsi="宋体" w:eastAsia="宋体" w:cs="宋体"/>
          <w:color w:val="auto"/>
          <w:spacing w:val="4"/>
          <w:kern w:val="0"/>
          <w:sz w:val="30"/>
          <w:szCs w:val="30"/>
          <w:highlight w:val="none"/>
          <w:u w:val="single"/>
        </w:rPr>
        <w:t xml:space="preserve">       （填写投标人单位名称）       （盖章）</w:t>
      </w:r>
    </w:p>
    <w:p>
      <w:pPr>
        <w:widowControl/>
        <w:topLinePunct/>
        <w:adjustRightInd w:val="0"/>
        <w:snapToGrid w:val="0"/>
        <w:spacing w:after="200" w:line="360" w:lineRule="auto"/>
        <w:ind w:firstLine="616" w:firstLineChars="200"/>
        <w:jc w:val="left"/>
        <w:rPr>
          <w:rFonts w:hint="eastAsia" w:ascii="宋体" w:hAnsi="宋体" w:eastAsia="宋体" w:cs="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hint="eastAsia" w:ascii="宋体" w:hAnsi="宋体" w:eastAsia="宋体" w:cs="宋体"/>
          <w:color w:val="auto"/>
          <w:spacing w:val="4"/>
          <w:kern w:val="0"/>
          <w:sz w:val="30"/>
          <w:szCs w:val="30"/>
          <w:highlight w:val="none"/>
        </w:rPr>
      </w:pPr>
      <w:r>
        <w:rPr>
          <w:rFonts w:hint="eastAsia" w:ascii="宋体" w:hAnsi="宋体" w:eastAsia="宋体" w:cs="宋体"/>
          <w:color w:val="auto"/>
          <w:spacing w:val="4"/>
          <w:kern w:val="0"/>
          <w:sz w:val="30"/>
          <w:szCs w:val="30"/>
          <w:highlight w:val="none"/>
        </w:rPr>
        <w:t>日  期：</w:t>
      </w:r>
      <w:r>
        <w:rPr>
          <w:rFonts w:hint="eastAsia" w:ascii="宋体" w:hAnsi="宋体" w:eastAsia="宋体" w:cs="宋体"/>
          <w:color w:val="auto"/>
          <w:spacing w:val="4"/>
          <w:kern w:val="0"/>
          <w:sz w:val="30"/>
          <w:szCs w:val="30"/>
          <w:highlight w:val="none"/>
          <w:u w:val="single"/>
        </w:rPr>
        <w:t xml:space="preserve">                                        </w:t>
      </w:r>
      <w:r>
        <w:rPr>
          <w:rFonts w:hint="eastAsia" w:ascii="宋体" w:hAnsi="宋体" w:eastAsia="宋体" w:cs="宋体"/>
          <w:color w:val="auto"/>
          <w:spacing w:val="4"/>
          <w:kern w:val="0"/>
          <w:sz w:val="30"/>
          <w:szCs w:val="30"/>
          <w:highlight w:val="none"/>
        </w:rPr>
        <w:t xml:space="preserve"> </w:t>
      </w:r>
    </w:p>
    <w:p>
      <w:pPr>
        <w:widowControl/>
        <w:topLinePunct/>
        <w:adjustRightInd w:val="0"/>
        <w:snapToGrid w:val="0"/>
        <w:spacing w:after="200"/>
        <w:jc w:val="left"/>
        <w:outlineLvl w:val="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br w:type="page"/>
      </w:r>
      <w:r>
        <w:rPr>
          <w:rFonts w:hint="eastAsia" w:ascii="宋体" w:hAnsi="宋体" w:eastAsia="宋体" w:cs="宋体"/>
          <w:color w:val="auto"/>
          <w:spacing w:val="4"/>
          <w:kern w:val="0"/>
          <w:sz w:val="24"/>
          <w:szCs w:val="24"/>
          <w:highlight w:val="none"/>
        </w:rPr>
        <w:t>格式二：定标文件内容（格式自拟）</w:t>
      </w: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第五章  技术条件（工程建设标准）</w:t>
      </w:r>
      <w:bookmarkEnd w:id="135"/>
      <w:bookmarkEnd w:id="136"/>
    </w:p>
    <w:p>
      <w:pPr>
        <w:pStyle w:val="17"/>
        <w:widowControl w:val="0"/>
        <w:topLinePunct/>
        <w:adjustRightInd w:val="0"/>
        <w:snapToGrid w:val="0"/>
        <w:spacing w:before="0" w:beforeAutospacing="0" w:after="0" w:afterAutospacing="0" w:line="360" w:lineRule="auto"/>
        <w:ind w:left="420" w:firstLine="496" w:firstLineChars="200"/>
        <w:jc w:val="both"/>
        <w:rPr>
          <w:rFonts w:hint="eastAsia" w:ascii="宋体" w:hAnsi="宋体" w:eastAsia="宋体" w:cs="宋体"/>
          <w:color w:val="auto"/>
          <w:highlight w:val="none"/>
        </w:rPr>
      </w:pPr>
      <w:r>
        <w:rPr>
          <w:rFonts w:hint="eastAsia" w:ascii="宋体" w:hAnsi="宋体" w:eastAsia="宋体" w:cs="宋体"/>
          <w:color w:val="auto"/>
          <w:spacing w:val="4"/>
          <w:highlight w:val="none"/>
        </w:rPr>
        <w:t>下列文件应被认为是组成本章内容的一部分，并互为补充和解释，如各文件存在冲突之处，以如下排列次序在前者优先适用：</w:t>
      </w:r>
    </w:p>
    <w:p>
      <w:pPr>
        <w:pStyle w:val="17"/>
        <w:widowControl w:val="0"/>
        <w:topLinePunct/>
        <w:adjustRightInd w:val="0"/>
        <w:snapToGrid w:val="0"/>
        <w:spacing w:before="0" w:beforeAutospacing="0" w:after="0" w:afterAutospacing="0" w:line="360" w:lineRule="auto"/>
        <w:ind w:left="420" w:firstLine="496" w:firstLineChars="200"/>
        <w:jc w:val="both"/>
        <w:rPr>
          <w:rFonts w:hint="eastAsia" w:ascii="宋体" w:hAnsi="宋体" w:eastAsia="宋体" w:cs="宋体"/>
          <w:color w:val="auto"/>
          <w:highlight w:val="none"/>
        </w:rPr>
      </w:pPr>
      <w:r>
        <w:rPr>
          <w:rFonts w:hint="eastAsia" w:ascii="宋体" w:hAnsi="宋体" w:eastAsia="宋体" w:cs="宋体"/>
          <w:color w:val="auto"/>
          <w:spacing w:val="4"/>
          <w:highlight w:val="none"/>
        </w:rPr>
        <w:t>1、遵照招标人相关管理规定要求；</w:t>
      </w:r>
    </w:p>
    <w:p>
      <w:pPr>
        <w:pStyle w:val="17"/>
        <w:widowControl w:val="0"/>
        <w:topLinePunct/>
        <w:adjustRightInd w:val="0"/>
        <w:snapToGrid w:val="0"/>
        <w:spacing w:before="0" w:beforeAutospacing="0" w:after="0" w:afterAutospacing="0" w:line="360" w:lineRule="auto"/>
        <w:ind w:left="420" w:firstLine="496" w:firstLineChars="200"/>
        <w:jc w:val="both"/>
        <w:rPr>
          <w:rFonts w:hint="eastAsia" w:ascii="宋体" w:hAnsi="宋体" w:eastAsia="宋体" w:cs="宋体"/>
          <w:color w:val="auto"/>
          <w:highlight w:val="none"/>
        </w:rPr>
      </w:pPr>
      <w:r>
        <w:rPr>
          <w:rFonts w:hint="eastAsia" w:ascii="宋体" w:hAnsi="宋体" w:eastAsia="宋体" w:cs="宋体"/>
          <w:color w:val="auto"/>
          <w:spacing w:val="4"/>
          <w:highlight w:val="none"/>
        </w:rPr>
        <w:t>2、采用图纸中规定的其它技术和验收标准；</w:t>
      </w:r>
    </w:p>
    <w:p>
      <w:pPr>
        <w:pStyle w:val="17"/>
        <w:widowControl w:val="0"/>
        <w:topLinePunct/>
        <w:adjustRightInd w:val="0"/>
        <w:snapToGrid w:val="0"/>
        <w:spacing w:before="0" w:beforeAutospacing="0" w:after="0" w:afterAutospacing="0" w:line="360" w:lineRule="auto"/>
        <w:ind w:left="420" w:firstLine="496" w:firstLineChars="200"/>
        <w:jc w:val="both"/>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3、采用中华人民共和国现行技术和验收规范。</w:t>
      </w:r>
    </w:p>
    <w:p>
      <w:pPr>
        <w:pStyle w:val="26"/>
        <w:ind w:firstLine="496"/>
        <w:rPr>
          <w:rFonts w:hint="eastAsia" w:ascii="宋体" w:hAnsi="宋体" w:eastAsia="宋体" w:cs="宋体"/>
          <w:color w:val="auto"/>
          <w:highlight w:val="none"/>
        </w:rPr>
      </w:pPr>
      <w:bookmarkStart w:id="137" w:name="_Toc7019449"/>
      <w:r>
        <w:rPr>
          <w:rFonts w:hint="eastAsia" w:ascii="宋体" w:hAnsi="宋体" w:eastAsia="宋体" w:cs="宋体"/>
          <w:color w:val="auto"/>
          <w:highlight w:val="none"/>
        </w:rPr>
        <w:br w:type="page"/>
      </w:r>
    </w:p>
    <w:p>
      <w:pPr>
        <w:jc w:val="center"/>
        <w:outlineLvl w:val="0"/>
        <w:rPr>
          <w:rFonts w:hint="eastAsia" w:ascii="宋体" w:hAnsi="宋体" w:eastAsia="宋体" w:cs="宋体"/>
          <w:color w:val="auto"/>
          <w:sz w:val="44"/>
          <w:szCs w:val="44"/>
          <w:highlight w:val="none"/>
          <w:lang w:eastAsia="zh-CN"/>
        </w:rPr>
      </w:pPr>
      <w:bookmarkStart w:id="138" w:name="_Toc9574"/>
      <w:r>
        <w:rPr>
          <w:rFonts w:hint="eastAsia" w:ascii="宋体" w:hAnsi="宋体" w:eastAsia="宋体" w:cs="宋体"/>
          <w:color w:val="auto"/>
          <w:sz w:val="44"/>
          <w:szCs w:val="44"/>
          <w:highlight w:val="none"/>
          <w:lang w:eastAsia="zh-CN"/>
        </w:rPr>
        <w:t>4号厂房施工总承包项目</w:t>
      </w:r>
    </w:p>
    <w:p>
      <w:pPr>
        <w:jc w:val="center"/>
        <w:outlineLvl w:val="0"/>
        <w:rPr>
          <w:rFonts w:hint="eastAsia" w:ascii="宋体" w:hAnsi="宋体" w:eastAsia="宋体" w:cs="宋体"/>
          <w:color w:val="auto"/>
          <w:sz w:val="44"/>
          <w:szCs w:val="44"/>
          <w:highlight w:val="none"/>
        </w:rPr>
      </w:pPr>
      <w:bookmarkStart w:id="139" w:name="_Toc201658307"/>
      <w:r>
        <w:rPr>
          <w:rFonts w:hint="eastAsia" w:ascii="宋体" w:hAnsi="宋体" w:eastAsia="宋体" w:cs="宋体"/>
          <w:color w:val="auto"/>
          <w:sz w:val="44"/>
          <w:szCs w:val="44"/>
          <w:highlight w:val="none"/>
        </w:rPr>
        <w:t>项目管理要求</w:t>
      </w:r>
      <w:bookmarkEnd w:id="138"/>
      <w:bookmarkEnd w:id="139"/>
    </w:p>
    <w:p>
      <w:pPr>
        <w:pStyle w:val="26"/>
        <w:ind w:firstLine="0" w:firstLineChars="0"/>
        <w:jc w:val="center"/>
        <w:rPr>
          <w:rFonts w:hint="eastAsia" w:ascii="宋体" w:hAnsi="宋体" w:eastAsia="宋体" w:cs="宋体"/>
          <w:color w:val="auto"/>
          <w:highlight w:val="none"/>
        </w:rPr>
      </w:pPr>
    </w:p>
    <w:p>
      <w:pPr>
        <w:spacing w:line="360" w:lineRule="auto"/>
        <w:rPr>
          <w:rFonts w:hint="eastAsia" w:ascii="宋体" w:hAnsi="宋体" w:eastAsia="宋体" w:cs="宋体"/>
          <w:color w:val="auto"/>
          <w:sz w:val="32"/>
          <w:szCs w:val="32"/>
          <w:highlight w:val="none"/>
        </w:rPr>
        <w:sectPr>
          <w:footerReference r:id="rId8" w:type="default"/>
          <w:footerReference r:id="rId9" w:type="even"/>
          <w:pgSz w:w="11906" w:h="16838"/>
          <w:pgMar w:top="1134" w:right="992" w:bottom="851" w:left="992" w:header="851" w:footer="992" w:gutter="567"/>
          <w:pgBorders>
            <w:top w:val="none" w:sz="0" w:space="0"/>
            <w:left w:val="none" w:sz="0" w:space="0"/>
            <w:bottom w:val="none" w:sz="0" w:space="0"/>
            <w:right w:val="none" w:sz="0" w:space="0"/>
          </w:pgBorders>
          <w:cols w:space="720" w:num="1"/>
          <w:docGrid w:type="lines" w:linePitch="312" w:charSpace="0"/>
        </w:sectPr>
      </w:pPr>
    </w:p>
    <w:p>
      <w:pPr>
        <w:shd w:val="clear" w:color="auto" w:fill="FFFFFF" w:themeFill="background1"/>
        <w:spacing w:line="360" w:lineRule="auto"/>
        <w:ind w:firstLine="482" w:firstLineChars="200"/>
        <w:jc w:val="left"/>
        <w:outlineLvl w:val="0"/>
        <w:rPr>
          <w:rFonts w:hint="eastAsia" w:ascii="宋体" w:hAnsi="宋体" w:eastAsia="宋体" w:cs="宋体"/>
          <w:b/>
          <w:color w:val="auto"/>
          <w:sz w:val="24"/>
          <w:szCs w:val="24"/>
          <w:highlight w:val="none"/>
        </w:rPr>
      </w:pPr>
      <w:bookmarkStart w:id="140" w:name="_Toc26163"/>
      <w:r>
        <w:rPr>
          <w:rFonts w:hint="eastAsia" w:ascii="宋体" w:hAnsi="宋体" w:eastAsia="宋体" w:cs="宋体"/>
          <w:b/>
          <w:color w:val="auto"/>
          <w:sz w:val="24"/>
          <w:szCs w:val="24"/>
          <w:highlight w:val="none"/>
        </w:rPr>
        <w:t>一、项目概况</w:t>
      </w:r>
      <w:bookmarkEnd w:id="140"/>
    </w:p>
    <w:p>
      <w:pPr>
        <w:pStyle w:val="34"/>
        <w:shd w:val="clear" w:color="auto" w:fill="FFFFFF" w:themeFill="background1"/>
        <w:spacing w:line="360" w:lineRule="auto"/>
        <w:ind w:firstLine="640"/>
        <w:jc w:val="left"/>
        <w:outlineLvl w:val="0"/>
        <w:rPr>
          <w:rFonts w:hint="eastAsia" w:ascii="宋体" w:hAnsi="宋体" w:eastAsia="宋体" w:cs="宋体"/>
          <w:bCs/>
          <w:color w:val="auto"/>
          <w:sz w:val="24"/>
          <w:szCs w:val="24"/>
          <w:highlight w:val="none"/>
        </w:rPr>
      </w:pPr>
      <w:bookmarkStart w:id="141" w:name="_Toc11872"/>
      <w:r>
        <w:rPr>
          <w:rFonts w:hint="eastAsia" w:ascii="宋体" w:hAnsi="宋体" w:cs="宋体"/>
          <w:bCs/>
          <w:color w:val="auto"/>
          <w:sz w:val="24"/>
          <w:szCs w:val="24"/>
          <w:highlight w:val="none"/>
          <w:lang w:val="en-US" w:eastAsia="zh-CN"/>
        </w:rPr>
        <w:t>招标项目</w:t>
      </w:r>
      <w:r>
        <w:rPr>
          <w:rFonts w:hint="eastAsia" w:ascii="宋体" w:hAnsi="宋体" w:eastAsia="宋体" w:cs="宋体"/>
          <w:bCs/>
          <w:color w:val="auto"/>
          <w:sz w:val="24"/>
          <w:szCs w:val="24"/>
          <w:highlight w:val="none"/>
        </w:rPr>
        <w:t>名称：</w:t>
      </w:r>
      <w:bookmarkEnd w:id="141"/>
      <w:r>
        <w:rPr>
          <w:rFonts w:hint="eastAsia" w:ascii="宋体" w:hAnsi="宋体" w:eastAsia="宋体" w:cs="宋体"/>
          <w:bCs/>
          <w:color w:val="auto"/>
          <w:sz w:val="24"/>
          <w:szCs w:val="24"/>
          <w:highlight w:val="none"/>
        </w:rPr>
        <w:t>4号厂房施工总承包项目</w:t>
      </w:r>
    </w:p>
    <w:p>
      <w:pPr>
        <w:pStyle w:val="34"/>
        <w:shd w:val="clear" w:color="auto" w:fill="FFFFFF" w:themeFill="background1"/>
        <w:spacing w:line="360" w:lineRule="auto"/>
        <w:ind w:firstLine="640"/>
        <w:jc w:val="left"/>
        <w:outlineLvl w:val="0"/>
        <w:rPr>
          <w:rFonts w:hint="eastAsia" w:ascii="宋体" w:hAnsi="宋体" w:eastAsia="宋体" w:cs="宋体"/>
          <w:bCs/>
          <w:color w:val="auto"/>
          <w:sz w:val="24"/>
          <w:szCs w:val="24"/>
          <w:highlight w:val="none"/>
        </w:rPr>
      </w:pPr>
      <w:bookmarkStart w:id="142" w:name="_Toc12012"/>
      <w:r>
        <w:rPr>
          <w:rFonts w:hint="eastAsia" w:ascii="宋体" w:hAnsi="宋体" w:eastAsia="宋体" w:cs="宋体"/>
          <w:bCs/>
          <w:color w:val="auto"/>
          <w:sz w:val="24"/>
          <w:szCs w:val="24"/>
          <w:highlight w:val="none"/>
        </w:rPr>
        <w:t>项目地址：</w:t>
      </w:r>
      <w:bookmarkEnd w:id="142"/>
      <w:r>
        <w:rPr>
          <w:rFonts w:hint="eastAsia" w:ascii="宋体" w:hAnsi="宋体" w:eastAsia="宋体" w:cs="宋体"/>
          <w:bCs/>
          <w:color w:val="auto"/>
          <w:sz w:val="24"/>
          <w:szCs w:val="24"/>
          <w:highlight w:val="none"/>
        </w:rPr>
        <w:t>广东省广州市番禺区兴南大道565号</w:t>
      </w:r>
    </w:p>
    <w:p>
      <w:pPr>
        <w:pStyle w:val="34"/>
        <w:shd w:val="clear" w:color="auto" w:fill="FFFFFF" w:themeFill="background1"/>
        <w:spacing w:line="360" w:lineRule="auto"/>
        <w:ind w:firstLine="640"/>
        <w:jc w:val="left"/>
        <w:outlineLvl w:val="0"/>
        <w:rPr>
          <w:rFonts w:hint="eastAsia" w:ascii="宋体" w:hAnsi="宋体" w:eastAsia="宋体" w:cs="宋体"/>
          <w:bCs/>
          <w:color w:val="auto"/>
          <w:sz w:val="24"/>
          <w:szCs w:val="24"/>
          <w:highlight w:val="none"/>
          <w:lang w:val="en-US" w:eastAsia="zh-CN"/>
        </w:rPr>
      </w:pPr>
      <w:bookmarkStart w:id="143" w:name="_Toc19773"/>
      <w:r>
        <w:rPr>
          <w:rFonts w:hint="eastAsia" w:ascii="宋体" w:hAnsi="宋体" w:eastAsia="宋体" w:cs="宋体"/>
          <w:bCs/>
          <w:color w:val="auto"/>
          <w:sz w:val="24"/>
          <w:szCs w:val="24"/>
          <w:highlight w:val="none"/>
        </w:rPr>
        <w:t>项目规模：</w:t>
      </w:r>
      <w:bookmarkEnd w:id="143"/>
      <w:r>
        <w:rPr>
          <w:rFonts w:hint="eastAsia" w:ascii="宋体" w:hAnsi="宋体" w:eastAsia="宋体" w:cs="宋体"/>
          <w:bCs/>
          <w:color w:val="auto"/>
          <w:sz w:val="24"/>
          <w:szCs w:val="24"/>
          <w:highlight w:val="none"/>
        </w:rPr>
        <w:t>本工程地上八层，地下一层，建筑高度</w:t>
      </w:r>
      <w:r>
        <w:rPr>
          <w:rFonts w:hint="eastAsia" w:ascii="宋体" w:hAnsi="宋体" w:eastAsia="宋体" w:cs="宋体"/>
          <w:bCs/>
          <w:color w:val="auto"/>
          <w:sz w:val="24"/>
          <w:szCs w:val="24"/>
          <w:highlight w:val="none"/>
          <w:lang w:val="en-US" w:eastAsia="zh-CN"/>
        </w:rPr>
        <w:t>55.5米，总建筑面积56478.62平方米，耐火等级二级，火灾危险性分类为丙二类，属于高层工业建筑，抗震设防烈度六度。</w:t>
      </w:r>
      <w:bookmarkStart w:id="144" w:name="OLE_LINK12"/>
      <w:r>
        <w:rPr>
          <w:rFonts w:hint="eastAsia" w:ascii="宋体" w:hAnsi="宋体" w:eastAsia="宋体" w:cs="宋体"/>
          <w:bCs/>
          <w:color w:val="auto"/>
          <w:sz w:val="24"/>
          <w:szCs w:val="24"/>
          <w:highlight w:val="none"/>
          <w:lang w:val="en-US" w:eastAsia="zh-CN"/>
        </w:rPr>
        <w:t>最大单跨10米。</w:t>
      </w:r>
      <w:bookmarkEnd w:id="144"/>
    </w:p>
    <w:p>
      <w:pPr>
        <w:pStyle w:val="34"/>
        <w:shd w:val="clear" w:color="auto" w:fill="FFFFFF" w:themeFill="background1"/>
        <w:spacing w:line="360" w:lineRule="auto"/>
        <w:ind w:firstLine="643"/>
        <w:jc w:val="left"/>
        <w:outlineLvl w:val="0"/>
        <w:rPr>
          <w:rFonts w:hint="eastAsia" w:ascii="宋体" w:hAnsi="宋体" w:eastAsia="宋体" w:cs="宋体"/>
          <w:b/>
          <w:color w:val="auto"/>
          <w:sz w:val="24"/>
          <w:szCs w:val="24"/>
          <w:highlight w:val="none"/>
        </w:rPr>
      </w:pPr>
      <w:bookmarkStart w:id="145" w:name="_Toc22554"/>
      <w:bookmarkStart w:id="146" w:name="_Toc14959868"/>
      <w:r>
        <w:rPr>
          <w:rFonts w:hint="eastAsia" w:ascii="宋体" w:hAnsi="宋体" w:eastAsia="宋体" w:cs="宋体"/>
          <w:b/>
          <w:color w:val="auto"/>
          <w:sz w:val="24"/>
          <w:szCs w:val="24"/>
          <w:highlight w:val="none"/>
        </w:rPr>
        <w:t>二、承包范围</w:t>
      </w:r>
      <w:bookmarkEnd w:id="145"/>
      <w:bookmarkEnd w:id="146"/>
    </w:p>
    <w:p>
      <w:pPr>
        <w:pStyle w:val="34"/>
        <w:shd w:val="clear" w:color="auto" w:fill="FFFFFF" w:themeFill="background1"/>
        <w:spacing w:line="360" w:lineRule="auto"/>
        <w:ind w:firstLine="480" w:firstLineChars="200"/>
        <w:jc w:val="left"/>
        <w:outlineLvl w:val="0"/>
        <w:rPr>
          <w:rFonts w:hint="eastAsia" w:ascii="宋体" w:hAnsi="宋体" w:eastAsia="宋体" w:cs="宋体"/>
          <w:bCs/>
          <w:color w:val="auto"/>
          <w:sz w:val="24"/>
          <w:szCs w:val="24"/>
          <w:highlight w:val="none"/>
        </w:rPr>
      </w:pPr>
      <w:bookmarkStart w:id="147" w:name="_Toc14959869"/>
      <w:bookmarkStart w:id="148" w:name="_Toc32396"/>
      <w:r>
        <w:rPr>
          <w:rFonts w:hint="eastAsia" w:ascii="宋体" w:hAnsi="宋体" w:eastAsia="宋体" w:cs="宋体"/>
          <w:bCs/>
          <w:color w:val="auto"/>
          <w:sz w:val="24"/>
          <w:szCs w:val="24"/>
          <w:highlight w:val="none"/>
        </w:rPr>
        <w:t>依据招标文件、招标图纸（包括技术要求）、招标范围界面、工程量清单及相关资料和说明，对4号厂房施工总承包项目工程进行</w:t>
      </w:r>
      <w:r>
        <w:rPr>
          <w:rFonts w:hint="eastAsia" w:ascii="宋体" w:hAnsi="宋体" w:eastAsia="宋体" w:cs="宋体"/>
          <w:bCs/>
          <w:color w:val="auto"/>
          <w:sz w:val="24"/>
          <w:szCs w:val="24"/>
          <w:highlight w:val="none"/>
          <w:lang w:val="en-US" w:eastAsia="zh-CN"/>
        </w:rPr>
        <w:t>建筑工程施工总</w:t>
      </w:r>
      <w:r>
        <w:rPr>
          <w:rFonts w:hint="eastAsia" w:ascii="宋体" w:hAnsi="宋体" w:eastAsia="宋体" w:cs="宋体"/>
          <w:bCs/>
          <w:color w:val="auto"/>
          <w:sz w:val="24"/>
          <w:szCs w:val="24"/>
          <w:highlight w:val="none"/>
        </w:rPr>
        <w:t xml:space="preserve">承包。本次招标主要包括但不限于： </w:t>
      </w:r>
    </w:p>
    <w:p>
      <w:pPr>
        <w:pStyle w:val="34"/>
        <w:shd w:val="clear" w:color="auto" w:fill="FFFFFF" w:themeFill="background1"/>
        <w:spacing w:line="360" w:lineRule="auto"/>
        <w:ind w:firstLine="480" w:firstLineChars="200"/>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依据本工程招标文件、招标图纸（包括技术要求）、招标范围界面、工程量清单有关资料及说明，对4号厂房施工总承包项目进行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交钥匙工程”</w:t>
      </w:r>
      <w:r>
        <w:rPr>
          <w:rFonts w:hint="eastAsia" w:ascii="宋体" w:hAnsi="宋体" w:eastAsia="宋体" w:cs="宋体"/>
          <w:bCs/>
          <w:color w:val="auto"/>
          <w:sz w:val="24"/>
          <w:szCs w:val="24"/>
          <w:highlight w:val="none"/>
        </w:rPr>
        <w:t>施工，主要包括：</w:t>
      </w:r>
    </w:p>
    <w:p>
      <w:pPr>
        <w:pStyle w:val="34"/>
        <w:numPr>
          <w:ilvl w:val="-1"/>
          <w:numId w:val="0"/>
        </w:numPr>
        <w:shd w:val="clear" w:color="auto" w:fill="FFFFFF" w:themeFill="background1"/>
        <w:spacing w:line="360" w:lineRule="auto"/>
        <w:ind w:left="0" w:firstLine="480" w:firstLineChars="200"/>
        <w:jc w:val="left"/>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基坑支护、基础、建筑、结构、外立面、消防、装修（指定范围）、电气、给排水、通排风、弱电智能化、标识系统、绿化、道路广场等。</w:t>
      </w:r>
      <w:r>
        <w:rPr>
          <w:rFonts w:hint="eastAsia" w:ascii="宋体" w:hAnsi="宋体" w:eastAsia="宋体" w:cs="宋体"/>
          <w:bCs/>
          <w:color w:val="auto"/>
          <w:sz w:val="24"/>
          <w:szCs w:val="24"/>
          <w:highlight w:val="none"/>
          <w:lang w:val="en-US" w:eastAsia="zh-CN"/>
        </w:rPr>
        <w:tab/>
      </w:r>
    </w:p>
    <w:p>
      <w:pPr>
        <w:pStyle w:val="34"/>
        <w:shd w:val="clear" w:color="auto" w:fill="FFFFFF" w:themeFill="background1"/>
        <w:spacing w:line="360" w:lineRule="auto"/>
        <w:ind w:firstLine="723"/>
        <w:jc w:val="left"/>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bookmarkEnd w:id="147"/>
      <w:r>
        <w:rPr>
          <w:rFonts w:hint="eastAsia" w:ascii="宋体" w:hAnsi="宋体" w:eastAsia="宋体" w:cs="宋体"/>
          <w:b/>
          <w:color w:val="auto"/>
          <w:sz w:val="24"/>
          <w:szCs w:val="24"/>
          <w:highlight w:val="none"/>
        </w:rPr>
        <w:t>承包方式</w:t>
      </w:r>
      <w:bookmarkEnd w:id="148"/>
    </w:p>
    <w:p>
      <w:pPr>
        <w:pStyle w:val="34"/>
        <w:shd w:val="clear" w:color="auto" w:fill="FFFFFF" w:themeFill="background1"/>
        <w:spacing w:line="360" w:lineRule="auto"/>
        <w:ind w:firstLine="6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承包人包深化设计、包施工、包材料、包运输、包进出场费、包工期、包质量、包承包人应当购买的保险、包安全、包文明施工、包措施费、包调试、包报建报批、包验收、包培训、包移交、包质保、包成品及半成品保护、包税费等。按招标文件和本合同规定的范围以综合单价包干，部分项目综合合价包干。</w:t>
      </w:r>
    </w:p>
    <w:p>
      <w:pPr>
        <w:pStyle w:val="34"/>
        <w:shd w:val="clear" w:color="auto" w:fill="FFFFFF" w:themeFill="background1"/>
        <w:spacing w:line="360" w:lineRule="auto"/>
        <w:ind w:firstLine="723"/>
        <w:jc w:val="left"/>
        <w:outlineLvl w:val="0"/>
        <w:rPr>
          <w:rFonts w:hint="eastAsia" w:ascii="宋体" w:hAnsi="宋体" w:eastAsia="宋体" w:cs="宋体"/>
          <w:b/>
          <w:color w:val="auto"/>
          <w:sz w:val="24"/>
          <w:szCs w:val="24"/>
          <w:highlight w:val="none"/>
        </w:rPr>
      </w:pPr>
      <w:bookmarkStart w:id="149" w:name="_Toc10986"/>
      <w:bookmarkStart w:id="150" w:name="_Toc14959870"/>
      <w:r>
        <w:rPr>
          <w:rFonts w:hint="eastAsia" w:ascii="宋体" w:hAnsi="宋体" w:eastAsia="宋体" w:cs="宋体"/>
          <w:b/>
          <w:color w:val="auto"/>
          <w:sz w:val="24"/>
          <w:szCs w:val="24"/>
          <w:highlight w:val="none"/>
        </w:rPr>
        <w:t>四、工期要求</w:t>
      </w:r>
      <w:bookmarkEnd w:id="149"/>
      <w:bookmarkEnd w:id="150"/>
    </w:p>
    <w:p>
      <w:pPr>
        <w:spacing w:line="360" w:lineRule="auto"/>
        <w:ind w:firstLine="480" w:firstLineChars="200"/>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本工程总工期为</w:t>
      </w:r>
      <w:r>
        <w:rPr>
          <w:rFonts w:hint="eastAsia" w:ascii="宋体" w:hAnsi="宋体" w:eastAsia="宋体" w:cs="宋体"/>
          <w:color w:val="auto"/>
          <w:sz w:val="24"/>
          <w:szCs w:val="24"/>
          <w:highlight w:val="none"/>
          <w:lang w:val="en-US" w:eastAsia="zh-CN"/>
        </w:rPr>
        <w:t>730</w:t>
      </w:r>
      <w:r>
        <w:rPr>
          <w:rFonts w:hint="eastAsia" w:ascii="宋体" w:hAnsi="宋体" w:eastAsia="宋体" w:cs="宋体"/>
          <w:color w:val="auto"/>
          <w:sz w:val="24"/>
          <w:szCs w:val="24"/>
          <w:highlight w:val="none"/>
        </w:rPr>
        <w:t>个日历天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具体开工日期以</w:t>
      </w:r>
      <w:bookmarkStart w:id="151" w:name="OLE_LINK13"/>
      <w:r>
        <w:rPr>
          <w:rFonts w:hint="eastAsia" w:ascii="宋体" w:hAnsi="宋体" w:eastAsia="宋体" w:cs="宋体"/>
          <w:color w:val="auto"/>
          <w:sz w:val="24"/>
          <w:szCs w:val="24"/>
          <w:highlight w:val="none"/>
        </w:rPr>
        <w:t>发包人或总监理工程师发出的开工令为准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开工当日不计入施工总工期</w:t>
      </w:r>
      <w:bookmarkEnd w:id="15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w:t>
      </w:r>
    </w:p>
    <w:p>
      <w:pPr>
        <w:pStyle w:val="34"/>
        <w:shd w:val="clear" w:color="auto" w:fill="FFFFFF" w:themeFill="background1"/>
        <w:spacing w:line="360" w:lineRule="auto"/>
        <w:ind w:firstLine="723"/>
        <w:jc w:val="left"/>
        <w:outlineLvl w:val="0"/>
        <w:rPr>
          <w:rFonts w:hint="eastAsia" w:ascii="宋体" w:hAnsi="宋体" w:eastAsia="宋体" w:cs="宋体"/>
          <w:b/>
          <w:color w:val="auto"/>
          <w:sz w:val="24"/>
          <w:szCs w:val="24"/>
          <w:highlight w:val="none"/>
        </w:rPr>
      </w:pPr>
      <w:bookmarkStart w:id="152" w:name="_Toc22644"/>
      <w:bookmarkStart w:id="153" w:name="_Toc14959871"/>
      <w:r>
        <w:rPr>
          <w:rFonts w:hint="eastAsia" w:ascii="宋体" w:hAnsi="宋体" w:eastAsia="宋体" w:cs="宋体"/>
          <w:b/>
          <w:color w:val="auto"/>
          <w:sz w:val="24"/>
          <w:szCs w:val="24"/>
          <w:highlight w:val="none"/>
        </w:rPr>
        <w:t>五、质量</w:t>
      </w:r>
      <w:bookmarkEnd w:id="152"/>
      <w:bookmarkEnd w:id="153"/>
      <w:r>
        <w:rPr>
          <w:rFonts w:hint="eastAsia" w:ascii="宋体" w:hAnsi="宋体" w:eastAsia="宋体" w:cs="宋体"/>
          <w:b/>
          <w:color w:val="auto"/>
          <w:sz w:val="24"/>
          <w:szCs w:val="24"/>
          <w:highlight w:val="none"/>
        </w:rPr>
        <w:t>目标</w:t>
      </w:r>
    </w:p>
    <w:p>
      <w:pPr>
        <w:pStyle w:val="34"/>
        <w:shd w:val="clear" w:color="auto" w:fill="FFFFFF" w:themeFill="background1"/>
        <w:spacing w:line="360" w:lineRule="auto"/>
        <w:ind w:firstLine="643"/>
        <w:jc w:val="left"/>
        <w:outlineLvl w:val="0"/>
        <w:rPr>
          <w:rFonts w:hint="eastAsia" w:ascii="宋体" w:hAnsi="宋体" w:eastAsia="宋体" w:cs="宋体"/>
          <w:color w:val="auto"/>
          <w:sz w:val="24"/>
          <w:szCs w:val="24"/>
          <w:highlight w:val="none"/>
        </w:rPr>
      </w:pPr>
      <w:bookmarkStart w:id="154" w:name="_Toc19206"/>
      <w:r>
        <w:rPr>
          <w:rFonts w:hint="eastAsia" w:ascii="宋体" w:hAnsi="宋体" w:eastAsia="宋体" w:cs="宋体"/>
          <w:b/>
          <w:bCs/>
          <w:color w:val="auto"/>
          <w:sz w:val="24"/>
          <w:szCs w:val="24"/>
          <w:highlight w:val="none"/>
        </w:rPr>
        <w:t>工程质量标准：</w:t>
      </w:r>
      <w:r>
        <w:rPr>
          <w:rFonts w:hint="eastAsia" w:ascii="宋体" w:hAnsi="宋体" w:eastAsia="宋体" w:cs="宋体"/>
          <w:color w:val="auto"/>
          <w:sz w:val="24"/>
          <w:szCs w:val="24"/>
          <w:highlight w:val="none"/>
        </w:rPr>
        <w:t>本工程的质量要求为工程一次竣工验收合格，符合施工图纸要求和国家、行业有关标准。</w:t>
      </w:r>
    </w:p>
    <w:p>
      <w:pPr>
        <w:pStyle w:val="34"/>
        <w:shd w:val="clear" w:color="auto" w:fill="FFFFFF" w:themeFill="background1"/>
        <w:spacing w:line="360" w:lineRule="auto"/>
        <w:ind w:firstLine="643"/>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安全、文明施工目标：</w:t>
      </w:r>
      <w:r>
        <w:rPr>
          <w:rFonts w:hint="eastAsia" w:ascii="宋体" w:hAnsi="宋体" w:eastAsia="宋体" w:cs="宋体"/>
          <w:color w:val="auto"/>
          <w:sz w:val="24"/>
          <w:szCs w:val="24"/>
          <w:highlight w:val="none"/>
        </w:rPr>
        <w:t>杜绝一般事故等级以上的伤亡事故且工伤责任事故死亡人数为零。</w:t>
      </w:r>
    </w:p>
    <w:p>
      <w:pPr>
        <w:pStyle w:val="34"/>
        <w:shd w:val="clear" w:color="auto" w:fill="FFFFFF" w:themeFill="background1"/>
        <w:spacing w:line="360" w:lineRule="auto"/>
        <w:ind w:firstLine="643"/>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绿色建筑目标：</w:t>
      </w:r>
      <w:r>
        <w:rPr>
          <w:rFonts w:hint="eastAsia" w:ascii="宋体" w:hAnsi="宋体" w:eastAsia="宋体" w:cs="宋体"/>
          <w:color w:val="auto"/>
          <w:sz w:val="24"/>
          <w:szCs w:val="24"/>
          <w:highlight w:val="none"/>
        </w:rPr>
        <w:t>本项目按照绿色施工最新标准执行。</w:t>
      </w:r>
    </w:p>
    <w:bookmarkEnd w:id="154"/>
    <w:p>
      <w:pPr>
        <w:shd w:val="clear" w:color="auto" w:fill="FFFFFF" w:themeFill="background1"/>
        <w:spacing w:line="360" w:lineRule="auto"/>
        <w:ind w:firstLine="482" w:firstLineChars="200"/>
        <w:jc w:val="left"/>
        <w:outlineLvl w:val="0"/>
        <w:rPr>
          <w:rFonts w:hint="eastAsia" w:ascii="宋体" w:hAnsi="宋体" w:eastAsia="宋体" w:cs="宋体"/>
          <w:b/>
          <w:color w:val="auto"/>
          <w:sz w:val="24"/>
          <w:szCs w:val="24"/>
          <w:highlight w:val="none"/>
        </w:rPr>
      </w:pPr>
      <w:bookmarkStart w:id="155" w:name="_Toc31511"/>
      <w:bookmarkStart w:id="156" w:name="_Toc14959874"/>
      <w:r>
        <w:rPr>
          <w:rFonts w:hint="eastAsia" w:ascii="宋体" w:hAnsi="宋体" w:eastAsia="宋体" w:cs="宋体"/>
          <w:b/>
          <w:color w:val="auto"/>
          <w:sz w:val="24"/>
          <w:szCs w:val="24"/>
          <w:highlight w:val="none"/>
        </w:rPr>
        <w:t>六、工程款支付要求</w:t>
      </w:r>
      <w:bookmarkEnd w:id="155"/>
      <w:bookmarkEnd w:id="156"/>
    </w:p>
    <w:p>
      <w:pPr>
        <w:pStyle w:val="34"/>
        <w:shd w:val="clear" w:color="auto" w:fill="FFFFFF" w:themeFill="background1"/>
        <w:spacing w:line="360" w:lineRule="auto"/>
        <w:ind w:firstLine="643"/>
        <w:jc w:val="left"/>
        <w:outlineLvl w:val="0"/>
        <w:rPr>
          <w:rFonts w:hint="eastAsia" w:ascii="宋体" w:hAnsi="宋体" w:eastAsia="宋体" w:cs="宋体"/>
          <w:b/>
          <w:color w:val="auto"/>
          <w:sz w:val="24"/>
          <w:szCs w:val="24"/>
          <w:highlight w:val="none"/>
          <w:lang w:val="en-US" w:eastAsia="zh-CN"/>
        </w:rPr>
      </w:pPr>
      <w:bookmarkStart w:id="157" w:name="_Toc29975"/>
      <w:r>
        <w:rPr>
          <w:rFonts w:hint="eastAsia" w:ascii="宋体" w:hAnsi="宋体" w:eastAsia="宋体" w:cs="宋体"/>
          <w:b/>
          <w:color w:val="auto"/>
          <w:sz w:val="24"/>
          <w:szCs w:val="24"/>
          <w:highlight w:val="none"/>
          <w:lang w:val="en-US" w:eastAsia="zh-CN"/>
        </w:rPr>
        <w:t>按本项目合同约定。</w:t>
      </w:r>
    </w:p>
    <w:bookmarkEnd w:id="157"/>
    <w:p>
      <w:pPr>
        <w:autoSpaceDE w:val="0"/>
        <w:autoSpaceDN w:val="0"/>
        <w:adjustRightIn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、招标人提出的施工现场建筑垃圾源头减量的具体要求以及建筑垃圾综合利用产品的使用要求如下：</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（一）招标人对施工现场建筑垃圾源头减量的具体要求为：</w:t>
      </w:r>
    </w:p>
    <w:p>
      <w:pPr>
        <w:numPr>
          <w:ilvl w:val="0"/>
          <w:numId w:val="6"/>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施工现场建筑垃圾的源头量施工单位应通过施工图纸深化、施工方案优化、永临结合、临时设施和周转材料重复利用、施工过程管控等措施，源头上减少建筑垃圾的产生。</w:t>
      </w:r>
    </w:p>
    <w:p>
      <w:pPr>
        <w:numPr>
          <w:ilvl w:val="0"/>
          <w:numId w:val="6"/>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施工单位进场后，应在不降低设计标准、不影响设计功能的前提下，与发包人及设计人员充分沟通，合理优化、深化原设计，尽量确保一步施工到位；避免减少施工过程中拆改、变更产生建筑垃圾。</w:t>
      </w:r>
    </w:p>
    <w:p>
      <w:pPr>
        <w:numPr>
          <w:ilvl w:val="0"/>
          <w:numId w:val="6"/>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施工现场办公用房、宿舍、工具棚、材料堆放区等临时设施需采用重复利用率高的标准化设施。</w:t>
      </w:r>
    </w:p>
    <w:p>
      <w:pPr>
        <w:numPr>
          <w:ilvl w:val="0"/>
          <w:numId w:val="6"/>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所有可在厂里深化加工的材料（如石材、窗台石、异形板、门槛石、石膏线等），要求一次深化到位；减少现场切割作业所产生的建筑垃圾。</w:t>
      </w:r>
    </w:p>
    <w:p>
      <w:pPr>
        <w:numPr>
          <w:ilvl w:val="0"/>
          <w:numId w:val="6"/>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施工单位应严格按设计要求控制进场材料和设备的质量，严把施工质量观，强化各工序质量管控，减少因质量问题的返工或修补。加强对已完工工程的成品保护，避免二次破坏。</w:t>
      </w:r>
    </w:p>
    <w:p>
      <w:pPr>
        <w:numPr>
          <w:ilvl w:val="0"/>
          <w:numId w:val="6"/>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施工单位应结合施工工艺要求及管理人员实际施工经验，利用信息化手段进行预制下料排版及虚拟装配，进一步提升原材料整材利用率，精准下单投料；避免施工现场临时加工产生大量尾料余料。</w:t>
      </w:r>
    </w:p>
    <w:p>
      <w:pPr>
        <w:pStyle w:val="2"/>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7、关于四大件等设备涉及包装的，尽量避免不必要的包装，施工单位及时进行包装物回收，减少过度包装产生的建筑垃圾。</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（二）招标人对建筑垃圾综合利用产品的使用要求为：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1、建筑垃圾应现场设置废弃建筑垃圾材料堆放区；且做好分类；如五金类、石材类、木饰面类、包装类等等,现场产生建筑垃圾统一分类集中堆放至材料堆放区。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2、对于可以回收利用的建筑垃圾等，充分做好二次利用。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备注：以上相关条款均需符合《广东省建筑垃圾管理条例》的相关要求。</w:t>
      </w:r>
    </w:p>
    <w:p>
      <w:pPr>
        <w:pStyle w:val="8"/>
        <w:spacing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八</w:t>
      </w:r>
      <w:r>
        <w:rPr>
          <w:rFonts w:hint="eastAsia" w:ascii="宋体" w:hAnsi="宋体" w:eastAsia="宋体" w:cs="宋体"/>
          <w:bCs w:val="0"/>
          <w:color w:val="auto"/>
          <w:sz w:val="24"/>
          <w:szCs w:val="24"/>
          <w:highlight w:val="none"/>
        </w:rPr>
        <w:t>、人员、机械配备基本要求</w:t>
      </w:r>
    </w:p>
    <w:p>
      <w:pPr>
        <w:spacing w:line="360" w:lineRule="auto"/>
        <w:jc w:val="center"/>
        <w:outlineLvl w:val="1"/>
        <w:rPr>
          <w:rFonts w:hint="eastAsia" w:ascii="宋体" w:hAnsi="宋体" w:eastAsia="宋体" w:cs="宋体"/>
          <w:b/>
          <w:color w:val="auto"/>
          <w:sz w:val="24"/>
          <w:szCs w:val="24"/>
          <w:highlight w:val="none"/>
        </w:rPr>
      </w:pPr>
      <w:bookmarkStart w:id="158" w:name="_Hlk115946215"/>
      <w:r>
        <w:rPr>
          <w:rFonts w:hint="eastAsia" w:ascii="宋体" w:hAnsi="宋体" w:eastAsia="宋体" w:cs="宋体"/>
          <w:b/>
          <w:color w:val="auto"/>
          <w:sz w:val="24"/>
          <w:szCs w:val="24"/>
          <w:highlight w:val="none"/>
        </w:rPr>
        <w:t>人员配备基本要求表</w:t>
      </w:r>
      <w:bookmarkEnd w:id="158"/>
    </w:p>
    <w:tbl>
      <w:tblPr>
        <w:tblStyle w:val="19"/>
        <w:tblW w:w="8522" w:type="dxa"/>
        <w:jc w:val="center"/>
        <w:tblInd w:w="0" w:type="dxa"/>
        <w:tblLayout w:type="fixed"/>
        <w:tblCellMar>
          <w:top w:w="0" w:type="dxa"/>
          <w:left w:w="108" w:type="dxa"/>
          <w:bottom w:w="0" w:type="dxa"/>
          <w:right w:w="108" w:type="dxa"/>
        </w:tblCellMar>
      </w:tblPr>
      <w:tblGrid>
        <w:gridCol w:w="513"/>
        <w:gridCol w:w="1872"/>
        <w:gridCol w:w="885"/>
        <w:gridCol w:w="4533"/>
        <w:gridCol w:w="719"/>
      </w:tblGrid>
      <w:tr>
        <w:tblPrEx>
          <w:tblLayout w:type="fixed"/>
          <w:tblCellMar>
            <w:top w:w="0" w:type="dxa"/>
            <w:left w:w="108" w:type="dxa"/>
            <w:bottom w:w="0" w:type="dxa"/>
            <w:right w:w="108" w:type="dxa"/>
          </w:tblCellMar>
        </w:tblPrEx>
        <w:trPr>
          <w:trHeight w:val="993"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159" w:name="_Hlk115946195"/>
            <w:r>
              <w:rPr>
                <w:rFonts w:hint="eastAsia" w:ascii="宋体" w:hAnsi="宋体" w:eastAsia="宋体" w:cs="宋体"/>
                <w:b/>
                <w:bCs/>
                <w:color w:val="auto"/>
                <w:kern w:val="0"/>
                <w:sz w:val="24"/>
                <w:szCs w:val="24"/>
                <w:highlight w:val="none"/>
              </w:rPr>
              <w:t>序号</w:t>
            </w:r>
          </w:p>
        </w:tc>
        <w:tc>
          <w:tcPr>
            <w:tcW w:w="187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职务</w:t>
            </w:r>
          </w:p>
        </w:tc>
        <w:tc>
          <w:tcPr>
            <w:tcW w:w="8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人员数量</w:t>
            </w:r>
          </w:p>
        </w:tc>
        <w:tc>
          <w:tcPr>
            <w:tcW w:w="45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基本任职条件</w:t>
            </w:r>
          </w:p>
        </w:tc>
        <w:tc>
          <w:tcPr>
            <w:tcW w:w="7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Layout w:type="fixed"/>
          <w:tblCellMar>
            <w:top w:w="0" w:type="dxa"/>
            <w:left w:w="108" w:type="dxa"/>
            <w:bottom w:w="0" w:type="dxa"/>
            <w:right w:w="108" w:type="dxa"/>
          </w:tblCellMar>
        </w:tblPrEx>
        <w:trPr>
          <w:trHeight w:val="927" w:hRule="atLeast"/>
          <w:jc w:val="center"/>
        </w:trPr>
        <w:tc>
          <w:tcPr>
            <w:tcW w:w="51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color w:val="auto"/>
                <w:spacing w:val="4"/>
                <w:kern w:val="0"/>
                <w:sz w:val="24"/>
                <w:szCs w:val="24"/>
                <w:highlight w:val="none"/>
              </w:rPr>
            </w:pPr>
            <w:r>
              <w:rPr>
                <w:rFonts w:hint="eastAsia" w:ascii="宋体" w:hAnsi="宋体" w:eastAsia="宋体" w:cs="宋体"/>
                <w:bCs/>
                <w:color w:val="auto"/>
                <w:spacing w:val="4"/>
                <w:kern w:val="0"/>
                <w:sz w:val="24"/>
                <w:szCs w:val="24"/>
                <w:highlight w:val="none"/>
              </w:rPr>
              <w:t>1</w:t>
            </w:r>
          </w:p>
        </w:tc>
        <w:tc>
          <w:tcPr>
            <w:tcW w:w="187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w:t>
            </w:r>
          </w:p>
        </w:tc>
        <w:tc>
          <w:tcPr>
            <w:tcW w:w="8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53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详见招标公告。</w:t>
            </w:r>
          </w:p>
        </w:tc>
        <w:tc>
          <w:tcPr>
            <w:tcW w:w="719" w:type="dxa"/>
            <w:tcBorders>
              <w:top w:val="nil"/>
              <w:left w:val="nil"/>
              <w:bottom w:val="single" w:color="auto" w:sz="4" w:space="0"/>
              <w:right w:val="single" w:color="auto" w:sz="4" w:space="0"/>
            </w:tcBorders>
            <w:vAlign w:val="center"/>
          </w:tcPr>
          <w:p>
            <w:pPr>
              <w:widowControl/>
              <w:spacing w:line="360" w:lineRule="auto"/>
              <w:rPr>
                <w:rFonts w:hint="eastAsia" w:ascii="宋体" w:hAnsi="宋体" w:eastAsia="宋体" w:cs="宋体"/>
                <w:bCs/>
                <w:color w:val="auto"/>
                <w:spacing w:val="4"/>
                <w:kern w:val="0"/>
                <w:sz w:val="24"/>
                <w:szCs w:val="24"/>
                <w:highlight w:val="none"/>
              </w:rPr>
            </w:pPr>
          </w:p>
        </w:tc>
      </w:tr>
      <w:tr>
        <w:tblPrEx>
          <w:tblLayout w:type="fixed"/>
          <w:tblCellMar>
            <w:top w:w="0" w:type="dxa"/>
            <w:left w:w="108" w:type="dxa"/>
            <w:bottom w:w="0" w:type="dxa"/>
            <w:right w:w="108" w:type="dxa"/>
          </w:tblCellMar>
        </w:tblPrEx>
        <w:trPr>
          <w:trHeight w:val="990" w:hRule="atLeast"/>
          <w:jc w:val="center"/>
        </w:trPr>
        <w:tc>
          <w:tcPr>
            <w:tcW w:w="51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color w:val="auto"/>
                <w:spacing w:val="4"/>
                <w:kern w:val="0"/>
                <w:sz w:val="24"/>
                <w:szCs w:val="24"/>
                <w:highlight w:val="none"/>
              </w:rPr>
            </w:pPr>
            <w:r>
              <w:rPr>
                <w:rFonts w:hint="eastAsia" w:ascii="宋体" w:hAnsi="宋体" w:eastAsia="宋体" w:cs="宋体"/>
                <w:bCs/>
                <w:color w:val="auto"/>
                <w:spacing w:val="4"/>
                <w:kern w:val="0"/>
                <w:sz w:val="24"/>
                <w:szCs w:val="24"/>
                <w:highlight w:val="none"/>
              </w:rPr>
              <w:t>2</w:t>
            </w:r>
          </w:p>
        </w:tc>
        <w:tc>
          <w:tcPr>
            <w:tcW w:w="187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技术负责人</w:t>
            </w:r>
          </w:p>
        </w:tc>
        <w:tc>
          <w:tcPr>
            <w:tcW w:w="8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533" w:type="dxa"/>
            <w:tcBorders>
              <w:top w:val="nil"/>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详见招标公告。</w:t>
            </w:r>
          </w:p>
        </w:tc>
        <w:tc>
          <w:tcPr>
            <w:tcW w:w="71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bCs/>
                <w:color w:val="auto"/>
                <w:spacing w:val="4"/>
                <w:kern w:val="0"/>
                <w:sz w:val="24"/>
                <w:szCs w:val="24"/>
                <w:highlight w:val="none"/>
              </w:rPr>
            </w:pPr>
          </w:p>
        </w:tc>
      </w:tr>
      <w:tr>
        <w:tblPrEx>
          <w:tblLayout w:type="fixed"/>
          <w:tblCellMar>
            <w:top w:w="0" w:type="dxa"/>
            <w:left w:w="108" w:type="dxa"/>
            <w:bottom w:w="0" w:type="dxa"/>
            <w:right w:w="108" w:type="dxa"/>
          </w:tblCellMar>
        </w:tblPrEx>
        <w:trPr>
          <w:trHeight w:val="990" w:hRule="atLeast"/>
          <w:jc w:val="center"/>
        </w:trPr>
        <w:tc>
          <w:tcPr>
            <w:tcW w:w="51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color w:val="auto"/>
                <w:spacing w:val="4"/>
                <w:kern w:val="0"/>
                <w:sz w:val="24"/>
                <w:szCs w:val="24"/>
                <w:highlight w:val="none"/>
                <w:lang w:val="en-US" w:eastAsia="zh-CN"/>
              </w:rPr>
            </w:pPr>
            <w:r>
              <w:rPr>
                <w:rFonts w:hint="eastAsia" w:ascii="宋体" w:hAnsi="宋体" w:eastAsia="宋体" w:cs="宋体"/>
                <w:bCs/>
                <w:color w:val="auto"/>
                <w:spacing w:val="4"/>
                <w:kern w:val="0"/>
                <w:sz w:val="24"/>
                <w:szCs w:val="24"/>
                <w:highlight w:val="none"/>
                <w:lang w:val="en-US" w:eastAsia="zh-CN"/>
              </w:rPr>
              <w:t>3</w:t>
            </w:r>
          </w:p>
        </w:tc>
        <w:tc>
          <w:tcPr>
            <w:tcW w:w="187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专职安全员</w:t>
            </w:r>
          </w:p>
        </w:tc>
        <w:tc>
          <w:tcPr>
            <w:tcW w:w="8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4533" w:type="dxa"/>
            <w:tcBorders>
              <w:top w:val="nil"/>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详见招标公告。</w:t>
            </w:r>
          </w:p>
        </w:tc>
        <w:tc>
          <w:tcPr>
            <w:tcW w:w="71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bCs/>
                <w:color w:val="auto"/>
                <w:spacing w:val="4"/>
                <w:kern w:val="0"/>
                <w:sz w:val="24"/>
                <w:szCs w:val="24"/>
                <w:highlight w:val="none"/>
              </w:rPr>
            </w:pPr>
          </w:p>
        </w:tc>
      </w:tr>
      <w:tr>
        <w:tblPrEx>
          <w:tblLayout w:type="fixed"/>
          <w:tblCellMar>
            <w:top w:w="0" w:type="dxa"/>
            <w:left w:w="108" w:type="dxa"/>
            <w:bottom w:w="0" w:type="dxa"/>
            <w:right w:w="108" w:type="dxa"/>
          </w:tblCellMar>
        </w:tblPrEx>
        <w:trPr>
          <w:trHeight w:val="990" w:hRule="atLeast"/>
          <w:jc w:val="center"/>
        </w:trPr>
        <w:tc>
          <w:tcPr>
            <w:tcW w:w="51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color w:val="auto"/>
                <w:spacing w:val="4"/>
                <w:kern w:val="0"/>
                <w:sz w:val="24"/>
                <w:szCs w:val="24"/>
                <w:highlight w:val="none"/>
                <w:lang w:val="en-US" w:eastAsia="zh-CN"/>
              </w:rPr>
            </w:pPr>
          </w:p>
        </w:tc>
        <w:tc>
          <w:tcPr>
            <w:tcW w:w="187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安全员</w:t>
            </w:r>
          </w:p>
        </w:tc>
        <w:tc>
          <w:tcPr>
            <w:tcW w:w="885" w:type="dxa"/>
            <w:tcBorders>
              <w:top w:val="nil"/>
              <w:left w:val="nil"/>
              <w:bottom w:val="single" w:color="auto" w:sz="4" w:space="0"/>
              <w:right w:val="single" w:color="auto" w:sz="4" w:space="0"/>
            </w:tcBorders>
            <w:vAlign w:val="center"/>
          </w:tcPr>
          <w:p>
            <w:pPr>
              <w:widowControl/>
              <w:spacing w:line="3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453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具有有效期内安全生产考核合格证（C类）或建筑施工企业专职安全生产管理人员安全生产考核合格证书（C3）</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auto"/>
                <w:spacing w:val="4"/>
                <w:kern w:val="0"/>
                <w:sz w:val="24"/>
                <w:szCs w:val="24"/>
                <w:highlight w:val="none"/>
              </w:rPr>
            </w:pPr>
          </w:p>
        </w:tc>
      </w:tr>
      <w:tr>
        <w:tblPrEx>
          <w:tblLayout w:type="fixed"/>
          <w:tblCellMar>
            <w:top w:w="0" w:type="dxa"/>
            <w:left w:w="108" w:type="dxa"/>
            <w:bottom w:w="0" w:type="dxa"/>
            <w:right w:w="108" w:type="dxa"/>
          </w:tblCellMar>
        </w:tblPrEx>
        <w:trPr>
          <w:trHeight w:val="990"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color w:val="auto"/>
                <w:spacing w:val="4"/>
                <w:kern w:val="0"/>
                <w:sz w:val="24"/>
                <w:szCs w:val="24"/>
                <w:highlight w:val="none"/>
                <w:lang w:val="en-US" w:eastAsia="zh-CN"/>
              </w:rPr>
            </w:pPr>
            <w:r>
              <w:rPr>
                <w:rFonts w:hint="eastAsia" w:ascii="宋体" w:hAnsi="宋体" w:eastAsia="宋体" w:cs="宋体"/>
                <w:bCs/>
                <w:color w:val="auto"/>
                <w:spacing w:val="4"/>
                <w:kern w:val="0"/>
                <w:sz w:val="24"/>
                <w:szCs w:val="24"/>
                <w:highlight w:val="none"/>
                <w:lang w:val="en-US" w:eastAsia="zh-CN"/>
              </w:rPr>
              <w:t>4</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质量负责人</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p>
        </w:tc>
        <w:tc>
          <w:tcPr>
            <w:tcW w:w="453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具备工程类专业中级工程师(或以上)职称。</w:t>
            </w:r>
            <w:bookmarkStart w:id="160" w:name="OLE_LINK8"/>
            <w:r>
              <w:rPr>
                <w:rFonts w:hint="eastAsia" w:ascii="宋体" w:hAnsi="宋体" w:eastAsia="宋体" w:cs="宋体"/>
                <w:color w:val="auto"/>
                <w:kern w:val="0"/>
                <w:sz w:val="24"/>
                <w:szCs w:val="24"/>
                <w:highlight w:val="none"/>
              </w:rPr>
              <w:t>年龄在60周岁以下。</w:t>
            </w:r>
            <w:bookmarkEnd w:id="160"/>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auto"/>
                <w:spacing w:val="4"/>
                <w:kern w:val="0"/>
                <w:sz w:val="24"/>
                <w:szCs w:val="24"/>
                <w:highlight w:val="none"/>
              </w:rPr>
            </w:pPr>
          </w:p>
        </w:tc>
      </w:tr>
      <w:tr>
        <w:tblPrEx>
          <w:tblLayout w:type="fixed"/>
          <w:tblCellMar>
            <w:top w:w="0" w:type="dxa"/>
            <w:left w:w="108" w:type="dxa"/>
            <w:bottom w:w="0" w:type="dxa"/>
            <w:right w:w="108" w:type="dxa"/>
          </w:tblCellMar>
        </w:tblPrEx>
        <w:trPr>
          <w:trHeight w:val="990"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color w:val="auto"/>
                <w:spacing w:val="4"/>
                <w:kern w:val="0"/>
                <w:sz w:val="24"/>
                <w:szCs w:val="24"/>
                <w:highlight w:val="none"/>
                <w:lang w:val="en-US" w:eastAsia="zh-CN"/>
              </w:rPr>
            </w:pPr>
            <w:r>
              <w:rPr>
                <w:rFonts w:hint="eastAsia" w:ascii="宋体" w:hAnsi="宋体" w:eastAsia="宋体" w:cs="宋体"/>
                <w:bCs/>
                <w:color w:val="auto"/>
                <w:spacing w:val="4"/>
                <w:kern w:val="0"/>
                <w:sz w:val="24"/>
                <w:szCs w:val="24"/>
                <w:highlight w:val="none"/>
                <w:lang w:val="en-US" w:eastAsia="zh-CN"/>
              </w:rPr>
              <w:t>5</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安全负责人</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45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年龄在60周岁以下。</w:t>
            </w:r>
          </w:p>
        </w:tc>
        <w:tc>
          <w:tcPr>
            <w:tcW w:w="719" w:type="dxa"/>
            <w:tcBorders>
              <w:top w:val="single" w:color="auto" w:sz="4" w:space="0"/>
              <w:left w:val="nil"/>
              <w:bottom w:val="nil"/>
              <w:right w:val="single" w:color="auto" w:sz="4" w:space="0"/>
            </w:tcBorders>
            <w:vAlign w:val="center"/>
          </w:tcPr>
          <w:p>
            <w:pPr>
              <w:spacing w:line="360" w:lineRule="auto"/>
              <w:rPr>
                <w:rFonts w:hint="eastAsia" w:ascii="宋体" w:hAnsi="宋体" w:eastAsia="宋体" w:cs="宋体"/>
                <w:bCs/>
                <w:color w:val="auto"/>
                <w:spacing w:val="4"/>
                <w:kern w:val="0"/>
                <w:sz w:val="24"/>
                <w:szCs w:val="24"/>
                <w:highlight w:val="none"/>
              </w:rPr>
            </w:pPr>
          </w:p>
        </w:tc>
      </w:tr>
      <w:tr>
        <w:tblPrEx>
          <w:tblLayout w:type="fixed"/>
          <w:tblCellMar>
            <w:top w:w="0" w:type="dxa"/>
            <w:left w:w="108" w:type="dxa"/>
            <w:bottom w:w="0" w:type="dxa"/>
            <w:right w:w="108" w:type="dxa"/>
          </w:tblCellMar>
        </w:tblPrEx>
        <w:trPr>
          <w:trHeight w:val="990"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color w:val="auto"/>
                <w:spacing w:val="4"/>
                <w:kern w:val="0"/>
                <w:sz w:val="24"/>
                <w:szCs w:val="24"/>
                <w:highlight w:val="none"/>
                <w:lang w:val="en-US" w:eastAsia="zh-CN"/>
              </w:rPr>
            </w:pPr>
            <w:r>
              <w:rPr>
                <w:rFonts w:hint="eastAsia" w:ascii="宋体" w:hAnsi="宋体" w:eastAsia="宋体" w:cs="宋体"/>
                <w:bCs/>
                <w:color w:val="auto"/>
                <w:spacing w:val="4"/>
                <w:kern w:val="0"/>
                <w:sz w:val="24"/>
                <w:szCs w:val="24"/>
                <w:highlight w:val="none"/>
                <w:lang w:val="en-US" w:eastAsia="zh-CN"/>
              </w:rPr>
              <w:t>6</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造价负责人</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p>
        </w:tc>
        <w:tc>
          <w:tcPr>
            <w:tcW w:w="45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具有注册二级造价工程师执业资格或以上。年龄在60周岁以下。</w:t>
            </w:r>
          </w:p>
        </w:tc>
        <w:tc>
          <w:tcPr>
            <w:tcW w:w="71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bCs/>
                <w:color w:val="auto"/>
                <w:spacing w:val="4"/>
                <w:kern w:val="0"/>
                <w:sz w:val="24"/>
                <w:szCs w:val="24"/>
                <w:highlight w:val="none"/>
              </w:rPr>
            </w:pPr>
          </w:p>
        </w:tc>
      </w:tr>
      <w:bookmarkEnd w:id="159"/>
    </w:tbl>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备注：1、上表人员均要求为投标单位正式职工，即指在投标单位提供最近一个月份社保证明文件复印件（具体按社保系统所能查询的最新记录为准），须同时提供相应社保证明，各岗位人员不得相互兼职。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本表上述人员（除项目负责人、技术负责人、专职安全员需按招标公告要求提供外）不作为</w:t>
      </w:r>
      <w:r>
        <w:rPr>
          <w:rFonts w:hint="eastAsia" w:ascii="宋体" w:hAnsi="宋体" w:eastAsia="宋体" w:cs="宋体"/>
          <w:bCs/>
          <w:color w:val="auto"/>
          <w:sz w:val="24"/>
          <w:szCs w:val="24"/>
          <w:highlight w:val="none"/>
          <w:lang w:val="en-US" w:eastAsia="zh-CN"/>
        </w:rPr>
        <w:t>资格审查、技术标</w:t>
      </w:r>
      <w:r>
        <w:rPr>
          <w:rFonts w:hint="eastAsia" w:ascii="宋体" w:hAnsi="宋体" w:eastAsia="宋体" w:cs="宋体"/>
          <w:bCs/>
          <w:color w:val="auto"/>
          <w:sz w:val="24"/>
          <w:szCs w:val="24"/>
          <w:highlight w:val="none"/>
        </w:rPr>
        <w:t>有效性审查</w:t>
      </w:r>
      <w:r>
        <w:rPr>
          <w:rFonts w:hint="eastAsia" w:ascii="宋体" w:hAnsi="宋体" w:eastAsia="宋体" w:cs="宋体"/>
          <w:bCs/>
          <w:color w:val="auto"/>
          <w:sz w:val="24"/>
          <w:szCs w:val="24"/>
          <w:highlight w:val="none"/>
          <w:lang w:eastAsia="zh-CN"/>
        </w:rPr>
        <w:t>和</w:t>
      </w:r>
      <w:r>
        <w:rPr>
          <w:rFonts w:hint="eastAsia" w:ascii="宋体" w:hAnsi="宋体" w:eastAsia="宋体" w:cs="宋体"/>
          <w:bCs/>
          <w:color w:val="auto"/>
          <w:sz w:val="24"/>
          <w:szCs w:val="24"/>
          <w:highlight w:val="none"/>
          <w:lang w:val="en-US" w:eastAsia="zh-CN"/>
        </w:rPr>
        <w:t>经济标</w:t>
      </w:r>
      <w:r>
        <w:rPr>
          <w:rFonts w:hint="eastAsia" w:ascii="宋体" w:hAnsi="宋体" w:eastAsia="宋体" w:cs="宋体"/>
          <w:bCs/>
          <w:color w:val="auto"/>
          <w:sz w:val="24"/>
          <w:szCs w:val="24"/>
          <w:highlight w:val="none"/>
        </w:rPr>
        <w:t>有效性审查的内容，投标人需在投标文件提供上述项目部人员的相关证明材料。人员不全或未满足基本要求的，不影响本项目评标结果，中标后须按招标文件的要求补充完善并报发包人审批同意。拟投入的项目部人员，未经招标人同意，中标后不得更换，否则按合同约定承担违约责任。</w:t>
      </w:r>
    </w:p>
    <w:p>
      <w:pPr>
        <w:pStyle w:val="3"/>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61" w:name="_Toc201658340"/>
      <w:r>
        <w:rPr>
          <w:rFonts w:hint="eastAsia" w:ascii="宋体" w:hAnsi="宋体" w:eastAsia="宋体" w:cs="宋体"/>
          <w:color w:val="auto"/>
          <w:highlight w:val="none"/>
        </w:rPr>
        <w:t>第六章  图纸及勘察资料</w:t>
      </w:r>
      <w:bookmarkEnd w:id="137"/>
      <w:bookmarkEnd w:id="161"/>
    </w:p>
    <w:p>
      <w:pPr>
        <w:topLinePunct/>
        <w:adjustRightInd w:val="0"/>
        <w:snapToGrid w:val="0"/>
        <w:spacing w:line="360" w:lineRule="auto"/>
        <w:rPr>
          <w:rFonts w:hint="eastAsia" w:ascii="宋体" w:hAnsi="宋体" w:eastAsia="宋体" w:cs="宋体"/>
          <w:snapToGrid w:val="0"/>
          <w:color w:val="auto"/>
          <w:spacing w:val="4"/>
          <w:kern w:val="0"/>
          <w:sz w:val="24"/>
          <w:szCs w:val="24"/>
          <w:highlight w:val="none"/>
        </w:rPr>
      </w:pPr>
    </w:p>
    <w:p>
      <w:pPr>
        <w:topLinePunct/>
        <w:adjustRightInd w:val="0"/>
        <w:snapToGrid w:val="0"/>
        <w:spacing w:line="360" w:lineRule="auto"/>
        <w:jc w:val="center"/>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u w:val="single"/>
        </w:rPr>
        <w:t>招标图纸（另册）</w:t>
      </w:r>
      <w:r>
        <w:rPr>
          <w:rFonts w:hint="eastAsia" w:ascii="宋体" w:hAnsi="宋体" w:eastAsia="宋体" w:cs="宋体"/>
          <w:snapToGrid w:val="0"/>
          <w:color w:val="auto"/>
          <w:spacing w:val="4"/>
          <w:kern w:val="0"/>
          <w:sz w:val="24"/>
          <w:szCs w:val="24"/>
          <w:highlight w:val="none"/>
        </w:rPr>
        <w:t>。</w:t>
      </w:r>
    </w:p>
    <w:p>
      <w:pPr>
        <w:topLinePunct/>
        <w:adjustRightInd w:val="0"/>
        <w:snapToGrid w:val="0"/>
        <w:spacing w:line="360" w:lineRule="auto"/>
        <w:ind w:firstLine="496" w:firstLineChars="200"/>
        <w:rPr>
          <w:rFonts w:hint="eastAsia" w:ascii="宋体" w:hAnsi="宋体" w:eastAsia="宋体" w:cs="宋体"/>
          <w:snapToGrid w:val="0"/>
          <w:color w:val="auto"/>
          <w:spacing w:val="4"/>
          <w:kern w:val="0"/>
          <w:sz w:val="24"/>
          <w:szCs w:val="24"/>
          <w:highlight w:val="none"/>
        </w:rPr>
      </w:pPr>
    </w:p>
    <w:p>
      <w:pPr>
        <w:topLinePunct/>
        <w:adjustRightInd w:val="0"/>
        <w:snapToGrid w:val="0"/>
        <w:spacing w:before="156" w:after="156" w:line="360" w:lineRule="auto"/>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注：本项目所有招标图纸、资料知识产权属招标人所有，不得用于除本次招标项目外其它用途，否则应承担由此所引起的全部法律责任。</w:t>
      </w:r>
    </w:p>
    <w:p>
      <w:pPr>
        <w:tabs>
          <w:tab w:val="left" w:pos="72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rPr>
          <w:rFonts w:hint="eastAsia" w:ascii="宋体" w:hAnsi="宋体" w:eastAsia="宋体" w:cs="宋体"/>
          <w:color w:val="auto"/>
          <w:highlight w:val="none"/>
        </w:rPr>
      </w:pPr>
      <w:bookmarkStart w:id="162" w:name="_Toc201658341"/>
      <w:bookmarkStart w:id="163" w:name="_Toc7019450"/>
      <w:r>
        <w:rPr>
          <w:rFonts w:hint="eastAsia" w:ascii="宋体" w:hAnsi="宋体" w:eastAsia="宋体" w:cs="宋体"/>
          <w:color w:val="auto"/>
          <w:highlight w:val="none"/>
        </w:rPr>
        <w:t>第七章  工程量清单</w:t>
      </w:r>
      <w:bookmarkEnd w:id="162"/>
      <w:bookmarkEnd w:id="163"/>
    </w:p>
    <w:p>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另册。</w:t>
      </w:r>
    </w:p>
    <w:p>
      <w:pPr>
        <w:pStyle w:val="5"/>
        <w:spacing w:after="0" w:line="360" w:lineRule="auto"/>
        <w:ind w:left="-2" w:leftChars="-1" w:firstLine="960" w:firstLineChars="40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3"/>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64" w:name="_Toc7019451"/>
      <w:bookmarkStart w:id="165" w:name="_Toc201658342"/>
      <w:r>
        <w:rPr>
          <w:rFonts w:hint="eastAsia" w:ascii="宋体" w:hAnsi="宋体" w:eastAsia="宋体" w:cs="宋体"/>
          <w:color w:val="auto"/>
          <w:highlight w:val="none"/>
        </w:rPr>
        <w:t>第八章  最高投标限价</w:t>
      </w:r>
      <w:bookmarkEnd w:id="164"/>
      <w:bookmarkEnd w:id="165"/>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招标人应当在发布招标文件时，公布最高投标限价的总价，分部分项工程费、措施项目费、其他项目费、规费和税金，以及</w:t>
      </w:r>
      <w:r>
        <w:rPr>
          <w:rFonts w:hint="eastAsia" w:ascii="宋体" w:hAnsi="宋体" w:cs="宋体"/>
          <w:color w:val="auto"/>
          <w:sz w:val="24"/>
          <w:szCs w:val="24"/>
          <w:highlight w:val="none"/>
          <w:u w:val="single"/>
          <w:lang w:eastAsia="zh-CN"/>
        </w:rPr>
        <w:t>安全生产措施费</w:t>
      </w:r>
      <w:r>
        <w:rPr>
          <w:rFonts w:hint="eastAsia" w:ascii="宋体" w:hAnsi="宋体" w:eastAsia="宋体" w:cs="宋体"/>
          <w:color w:val="auto"/>
          <w:sz w:val="24"/>
          <w:szCs w:val="24"/>
          <w:highlight w:val="none"/>
        </w:rPr>
        <w:t>、暂列金额等投标人不可竞争的固定报价。</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具体见本项目《最高投标限价公布函》。</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35</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83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103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Lj6u/2z&#10;AQAAWwMAAA4AAAAAAAAAAQAgAAAAHgEAAGRycy9lMm9Eb2MueG1sUEsFBgAAAAAGAAYAWQEAAEMF&#10;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246</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6708"/>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9F9B"/>
    <w:multiLevelType w:val="singleLevel"/>
    <w:tmpl w:val="93AD9F9B"/>
    <w:lvl w:ilvl="0" w:tentative="0">
      <w:start w:val="1"/>
      <w:numFmt w:val="decimal"/>
      <w:suff w:val="nothing"/>
      <w:lvlText w:val="%1、"/>
      <w:lvlJc w:val="left"/>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D28A09F"/>
    <w:multiLevelType w:val="singleLevel"/>
    <w:tmpl w:val="3D28A09F"/>
    <w:lvl w:ilvl="0" w:tentative="0">
      <w:start w:val="1"/>
      <w:numFmt w:val="decimal"/>
      <w:suff w:val="nothing"/>
      <w:lvlText w:val="%1、"/>
      <w:lvlJc w:val="left"/>
      <w:pPr>
        <w:ind w:left="105" w:firstLine="0"/>
      </w:pPr>
    </w:lvl>
  </w:abstractNum>
  <w:abstractNum w:abstractNumId="3">
    <w:nsid w:val="5EF2DDB3"/>
    <w:multiLevelType w:val="singleLevel"/>
    <w:tmpl w:val="5EF2DDB3"/>
    <w:lvl w:ilvl="0" w:tentative="0">
      <w:start w:val="1"/>
      <w:numFmt w:val="decimal"/>
      <w:suff w:val="nothing"/>
      <w:lvlText w:val="（%1）"/>
      <w:lvlJc w:val="left"/>
    </w:lvl>
  </w:abstractNum>
  <w:abstractNum w:abstractNumId="4">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FC782C"/>
    <w:multiLevelType w:val="singleLevel"/>
    <w:tmpl w:val="6CFC782C"/>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00F07"/>
    <w:rsid w:val="099E7FE0"/>
    <w:rsid w:val="0B424801"/>
    <w:rsid w:val="108C0537"/>
    <w:rsid w:val="11AE4507"/>
    <w:rsid w:val="13B611A4"/>
    <w:rsid w:val="15530A9B"/>
    <w:rsid w:val="17092BF1"/>
    <w:rsid w:val="20D315D4"/>
    <w:rsid w:val="2B2A2F08"/>
    <w:rsid w:val="2E55104C"/>
    <w:rsid w:val="30045C4A"/>
    <w:rsid w:val="33661C0E"/>
    <w:rsid w:val="36D9120B"/>
    <w:rsid w:val="3F105FF1"/>
    <w:rsid w:val="419D2434"/>
    <w:rsid w:val="42AD6D26"/>
    <w:rsid w:val="430E1911"/>
    <w:rsid w:val="4B8713EA"/>
    <w:rsid w:val="4CC50F78"/>
    <w:rsid w:val="531553C7"/>
    <w:rsid w:val="545A286E"/>
    <w:rsid w:val="55C07662"/>
    <w:rsid w:val="55E45243"/>
    <w:rsid w:val="5783637C"/>
    <w:rsid w:val="58A722D9"/>
    <w:rsid w:val="5FF00F07"/>
    <w:rsid w:val="60952281"/>
    <w:rsid w:val="61132436"/>
    <w:rsid w:val="62877D31"/>
    <w:rsid w:val="65BA0AB2"/>
    <w:rsid w:val="69820A62"/>
    <w:rsid w:val="6C3668AB"/>
    <w:rsid w:val="76BF2294"/>
    <w:rsid w:val="776C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qFormat/>
    <w:uiPriority w:val="0"/>
    <w:pPr>
      <w:keepNext/>
      <w:keepLines/>
      <w:spacing w:before="340" w:after="330" w:line="578" w:lineRule="auto"/>
      <w:outlineLvl w:val="0"/>
    </w:pPr>
    <w:rPr>
      <w:b w:val="0"/>
      <w:bCs/>
      <w:kern w:val="44"/>
      <w:szCs w:val="44"/>
    </w:rPr>
  </w:style>
  <w:style w:type="paragraph" w:styleId="7">
    <w:name w:val="heading 2"/>
    <w:basedOn w:val="1"/>
    <w:next w:val="1"/>
    <w:link w:val="28"/>
    <w:qFormat/>
    <w:uiPriority w:val="0"/>
    <w:pPr>
      <w:keepNext/>
      <w:keepLines/>
      <w:spacing w:before="120" w:after="120" w:line="415" w:lineRule="auto"/>
      <w:jc w:val="center"/>
      <w:outlineLvl w:val="1"/>
    </w:pPr>
    <w:rPr>
      <w:rFonts w:ascii="Arial" w:hAnsi="Arial"/>
      <w:b/>
      <w:color w:val="000000"/>
      <w:kern w:val="0"/>
      <w:sz w:val="28"/>
      <w:szCs w:val="24"/>
    </w:rPr>
  </w:style>
  <w:style w:type="paragraph" w:styleId="8">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1">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99"/>
    <w:pPr>
      <w:ind w:firstLine="420"/>
    </w:pPr>
    <w:rPr>
      <w:kern w:val="0"/>
      <w:sz w:val="20"/>
      <w:szCs w:val="20"/>
    </w:rPr>
  </w:style>
  <w:style w:type="paragraph" w:styleId="4">
    <w:name w:val="Title"/>
    <w:basedOn w:val="1"/>
    <w:next w:val="1"/>
    <w:qFormat/>
    <w:uiPriority w:val="0"/>
    <w:pPr>
      <w:spacing w:before="120" w:after="60"/>
      <w:jc w:val="center"/>
    </w:pPr>
    <w:rPr>
      <w:rFonts w:ascii="Arial" w:hAnsi="Arial"/>
      <w:b/>
      <w:sz w:val="44"/>
      <w:szCs w:val="20"/>
    </w:rPr>
  </w:style>
  <w:style w:type="paragraph" w:styleId="5">
    <w:name w:val="Body Text First Indent"/>
    <w:basedOn w:val="6"/>
    <w:unhideWhenUsed/>
    <w:qFormat/>
    <w:uiPriority w:val="0"/>
    <w:pPr>
      <w:ind w:firstLine="420" w:firstLineChars="100"/>
    </w:pPr>
    <w:rPr>
      <w:rFonts w:ascii="Calibri" w:hAnsi="Calibri"/>
      <w:szCs w:val="21"/>
    </w:rPr>
  </w:style>
  <w:style w:type="paragraph" w:styleId="6">
    <w:name w:val="Body Text"/>
    <w:basedOn w:val="1"/>
    <w:next w:val="4"/>
    <w:unhideWhenUsed/>
    <w:qFormat/>
    <w:uiPriority w:val="99"/>
    <w:pPr>
      <w:spacing w:after="120"/>
    </w:pPr>
  </w:style>
  <w:style w:type="paragraph" w:styleId="9">
    <w:name w:val="annotation text"/>
    <w:basedOn w:val="1"/>
    <w:qFormat/>
    <w:uiPriority w:val="0"/>
    <w:pPr>
      <w:jc w:val="left"/>
    </w:pPr>
  </w:style>
  <w:style w:type="paragraph" w:styleId="10">
    <w:name w:val="Body Text Indent"/>
    <w:basedOn w:val="1"/>
    <w:qFormat/>
    <w:uiPriority w:val="0"/>
    <w:pPr>
      <w:ind w:firstLine="570"/>
    </w:pPr>
    <w:rPr>
      <w:kern w:val="0"/>
      <w:sz w:val="28"/>
      <w:szCs w:val="20"/>
    </w:rPr>
  </w:style>
  <w:style w:type="paragraph" w:styleId="11">
    <w:name w:val="Plain Text"/>
    <w:basedOn w:val="1"/>
    <w:next w:val="1"/>
    <w:qFormat/>
    <w:uiPriority w:val="0"/>
    <w:rPr>
      <w:rFonts w:ascii="宋体" w:hAnsi="Courier New"/>
      <w:kern w:val="0"/>
      <w:sz w:val="20"/>
      <w:szCs w:val="20"/>
    </w:rPr>
  </w:style>
  <w:style w:type="paragraph" w:styleId="12">
    <w:name w:val="Date"/>
    <w:basedOn w:val="1"/>
    <w:next w:val="1"/>
    <w:qFormat/>
    <w:uiPriority w:val="0"/>
    <w:rPr>
      <w:kern w:val="0"/>
      <w:sz w:val="20"/>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6">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2"/>
    <w:basedOn w:val="10"/>
    <w:qFormat/>
    <w:uiPriority w:val="0"/>
    <w:pPr>
      <w:spacing w:after="120"/>
      <w:ind w:left="200" w:leftChars="200" w:firstLine="200" w:firstLineChars="200"/>
    </w:pPr>
    <w:rPr>
      <w:kern w:val="2"/>
      <w:sz w:val="21"/>
      <w:szCs w:val="22"/>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Strong"/>
    <w:qFormat/>
    <w:uiPriority w:val="0"/>
    <w:rPr>
      <w:b/>
    </w:rPr>
  </w:style>
  <w:style w:type="character" w:styleId="23">
    <w:name w:val="page number"/>
    <w:qFormat/>
    <w:uiPriority w:val="0"/>
    <w:rPr>
      <w:rFonts w:ascii="Calibri" w:hAnsi="Calibri" w:eastAsia="宋体" w:cs="Times New Roman"/>
    </w:rPr>
  </w:style>
  <w:style w:type="character" w:styleId="24">
    <w:name w:val="Hyperlink"/>
    <w:qFormat/>
    <w:uiPriority w:val="99"/>
    <w:rPr>
      <w:rFonts w:ascii="Calibri" w:hAnsi="Calibri" w:eastAsia="宋体" w:cs="Times New Roman"/>
      <w:color w:val="0000FF"/>
      <w:u w:val="single"/>
    </w:rPr>
  </w:style>
  <w:style w:type="character" w:customStyle="1" w:styleId="25">
    <w:name w:val="font51"/>
    <w:qFormat/>
    <w:uiPriority w:val="0"/>
    <w:rPr>
      <w:rFonts w:hint="eastAsia" w:ascii="宋体" w:hAnsi="宋体" w:eastAsia="宋体" w:cs="宋体"/>
      <w:color w:val="000000"/>
      <w:sz w:val="20"/>
      <w:szCs w:val="20"/>
      <w:u w:val="none"/>
    </w:rPr>
  </w:style>
  <w:style w:type="paragraph" w:customStyle="1" w:styleId="26">
    <w:name w:val="文一"/>
    <w:next w:val="1"/>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character" w:customStyle="1" w:styleId="27">
    <w:name w:val="NormalCharacter"/>
    <w:qFormat/>
    <w:uiPriority w:val="0"/>
    <w:rPr>
      <w:rFonts w:ascii="Calibri" w:hAnsi="Calibri" w:eastAsia="宋体" w:cs="Times New Roman"/>
      <w:kern w:val="2"/>
      <w:sz w:val="21"/>
      <w:szCs w:val="22"/>
      <w:lang w:val="en-US" w:eastAsia="zh-CN" w:bidi="ar-SA"/>
    </w:rPr>
  </w:style>
  <w:style w:type="character" w:customStyle="1" w:styleId="28">
    <w:name w:val="标题 2 Char"/>
    <w:basedOn w:val="21"/>
    <w:link w:val="7"/>
    <w:qFormat/>
    <w:uiPriority w:val="0"/>
    <w:rPr>
      <w:rFonts w:ascii="Arial" w:hAnsi="Arial"/>
      <w:b/>
      <w:color w:val="000000"/>
      <w:kern w:val="0"/>
      <w:sz w:val="28"/>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PlainText"/>
    <w:basedOn w:val="1"/>
    <w:qFormat/>
    <w:uiPriority w:val="0"/>
    <w:rPr>
      <w:rFonts w:ascii="宋体" w:hAnsi="Courier New"/>
      <w:kern w:val="0"/>
      <w:sz w:val="20"/>
      <w:szCs w:val="20"/>
    </w:rPr>
  </w:style>
  <w:style w:type="paragraph" w:customStyle="1" w:styleId="32">
    <w:name w:val="6表左"/>
    <w:basedOn w:val="1"/>
    <w:qFormat/>
    <w:uiPriority w:val="0"/>
    <w:pPr>
      <w:spacing w:line="360" w:lineRule="auto"/>
      <w:jc w:val="left"/>
    </w:pPr>
    <w:rPr>
      <w:rFonts w:ascii="Calibri" w:hAnsi="Calibri" w:eastAsia="宋体" w:cs="Times New Roman"/>
      <w:szCs w:val="21"/>
      <w:lang w:bidi="ar-SA"/>
    </w:rPr>
  </w:style>
  <w:style w:type="paragraph" w:customStyle="1" w:styleId="33">
    <w:name w:val="正题"/>
    <w:basedOn w:val="26"/>
    <w:next w:val="26"/>
    <w:qFormat/>
    <w:uiPriority w:val="0"/>
    <w:pPr>
      <w:ind w:firstLine="0" w:firstLineChars="0"/>
      <w:jc w:val="center"/>
    </w:pPr>
    <w:rPr>
      <w:rFonts w:eastAsia="黑体"/>
      <w:b/>
      <w:sz w:val="36"/>
      <w:szCs w:val="36"/>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58140</Words>
  <Characters>61312</Characters>
  <Lines>0</Lines>
  <Paragraphs>0</Paragraphs>
  <TotalTime>68</TotalTime>
  <ScaleCrop>false</ScaleCrop>
  <LinksUpToDate>false</LinksUpToDate>
  <CharactersWithSpaces>63898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2025-09-18T02:33:00Z</dcterms:created>
  <dc:creator>火龙狗</dc:creator>
  <cp:lastModifiedBy>火龙狗</cp:lastModifiedBy>
  <dcterms:modified xsi:type="dcterms:W3CDTF">2025-09-28T03:03:10Z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eyJoZGlkIjoiZDA3ZDQwMmNiOWFlYzZjYTcwOWJiZGQ0YTA5ODBmZGUiLCJ1c2VySWQiOiIzNzcwNDAyNjAifQ==</vt:lpwstr>
  </property>
  <property fmtid="{D5CDD505-2E9C-101B-9397-08002B2CF9AE}" pid="4" name="ICV">
    <vt:lpwstr>3AEE03A1CE7846DB8393CE7D6291691F_13</vt:lpwstr>
  </property>
</Properties>
</file>