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rPr>
          <w:b/>
          <w:color w:val="auto"/>
          <w:kern w:val="2"/>
          <w:sz w:val="32"/>
          <w:u w:val="none"/>
          <w:lang w:val="en-US"/>
        </w:rPr>
      </w:pPr>
      <w:r>
        <w:rPr>
          <w:rFonts w:hint="eastAsia"/>
          <w:b/>
          <w:color w:val="auto"/>
          <w:kern w:val="2"/>
          <w:sz w:val="32"/>
          <w:u w:val="none"/>
          <w:lang w:val="en-US"/>
        </w:rPr>
        <w:t>中山大学附属第一医院</w:t>
      </w:r>
    </w:p>
    <w:p>
      <w:pPr>
        <w:pStyle w:val="11"/>
        <w:spacing w:line="360" w:lineRule="auto"/>
        <w:jc w:val="center"/>
        <w:rPr>
          <w:b/>
          <w:color w:val="auto"/>
          <w:kern w:val="2"/>
          <w:sz w:val="32"/>
          <w:u w:val="none"/>
          <w:lang w:val="en-US"/>
        </w:rPr>
      </w:pPr>
      <w:r>
        <w:rPr>
          <w:rFonts w:hint="eastAsia"/>
          <w:b/>
          <w:color w:val="auto"/>
          <w:kern w:val="2"/>
          <w:sz w:val="32"/>
          <w:u w:val="none"/>
          <w:lang w:val="en-US"/>
        </w:rPr>
        <w:t>电力规划改造工程（一期）：门诊楼高压室迁改招标公告</w:t>
      </w:r>
    </w:p>
    <w:p>
      <w:pPr>
        <w:spacing w:line="360" w:lineRule="auto"/>
        <w:ind w:firstLine="480" w:firstLineChars="200"/>
        <w:rPr>
          <w:rFonts w:ascii="宋体" w:hAnsi="宋体" w:cs="宋体"/>
          <w:color w:val="auto"/>
          <w:sz w:val="24"/>
          <w:szCs w:val="24"/>
        </w:r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w:t>
      </w:r>
      <w:r>
        <w:rPr>
          <w:rFonts w:hint="eastAsia" w:ascii="宋体" w:hAnsi="宋体" w:cs="宋体"/>
          <w:color w:val="auto"/>
          <w:sz w:val="24"/>
          <w:szCs w:val="24"/>
          <w:u w:val="single"/>
        </w:rPr>
        <w:t>广东省投资项目</w:t>
      </w:r>
      <w:r>
        <w:rPr>
          <w:rFonts w:ascii="宋体" w:hAnsi="宋体" w:cs="宋体"/>
          <w:color w:val="auto"/>
          <w:sz w:val="24"/>
          <w:szCs w:val="24"/>
          <w:u w:val="single"/>
        </w:rPr>
        <w:t xml:space="preserve">[2212-440104-23-01-555501] </w:t>
      </w:r>
      <w:r>
        <w:rPr>
          <w:rFonts w:hint="eastAsia" w:ascii="宋体" w:hAnsi="宋体" w:cs="宋体"/>
          <w:color w:val="auto"/>
          <w:sz w:val="24"/>
          <w:szCs w:val="24"/>
        </w:rPr>
        <w:t>批准，并且本工程的施工图纸和技术资料满足施工要求，</w:t>
      </w:r>
      <w:r>
        <w:rPr>
          <w:rFonts w:hint="eastAsia" w:ascii="宋体" w:hAnsi="宋体" w:cs="宋体"/>
          <w:color w:val="auto"/>
          <w:sz w:val="24"/>
          <w:szCs w:val="24"/>
          <w:u w:val="single"/>
        </w:rPr>
        <w:t>中山大学附属第一医院</w:t>
      </w:r>
      <w:r>
        <w:rPr>
          <w:rFonts w:hint="eastAsia" w:ascii="宋体" w:hAnsi="宋体" w:cs="宋体"/>
          <w:color w:val="auto"/>
          <w:sz w:val="24"/>
          <w:szCs w:val="24"/>
          <w:u w:val="none"/>
        </w:rPr>
        <w:t>现</w:t>
      </w:r>
      <w:r>
        <w:rPr>
          <w:rFonts w:hint="eastAsia" w:ascii="宋体" w:hAnsi="宋体" w:cs="宋体"/>
          <w:color w:val="auto"/>
          <w:sz w:val="24"/>
          <w:szCs w:val="24"/>
        </w:rPr>
        <w:t>对</w:t>
      </w:r>
      <w:r>
        <w:rPr>
          <w:rFonts w:hint="eastAsia" w:ascii="宋体" w:hAnsi="宋体" w:cs="宋体"/>
          <w:color w:val="auto"/>
          <w:sz w:val="24"/>
          <w:szCs w:val="24"/>
          <w:u w:val="single"/>
        </w:rPr>
        <w:t>医院电力规划改造工程（一期）：门诊楼高压室迁改</w:t>
      </w:r>
      <w:r>
        <w:rPr>
          <w:rFonts w:hint="eastAsia" w:ascii="宋体" w:hAnsi="宋体" w:cs="宋体"/>
          <w:color w:val="auto"/>
          <w:sz w:val="24"/>
          <w:szCs w:val="24"/>
        </w:rPr>
        <w:t>进行公开招标，选定承包人。</w:t>
      </w:r>
    </w:p>
    <w:p>
      <w:pPr>
        <w:tabs>
          <w:tab w:val="center" w:pos="4415"/>
        </w:tabs>
        <w:spacing w:line="360" w:lineRule="auto"/>
        <w:rPr>
          <w:rFonts w:hint="eastAsia" w:ascii="宋体" w:hAnsi="宋体" w:cs="宋体"/>
          <w:color w:val="auto"/>
          <w:sz w:val="24"/>
          <w:szCs w:val="24"/>
          <w:u w:val="single"/>
        </w:rPr>
      </w:pPr>
      <w:r>
        <w:rPr>
          <w:rFonts w:hint="eastAsia" w:ascii="宋体" w:hAnsi="宋体" w:cs="宋体"/>
          <w:color w:val="auto"/>
          <w:sz w:val="24"/>
          <w:szCs w:val="24"/>
        </w:rPr>
        <w:t>一、工程名称：</w:t>
      </w:r>
      <w:r>
        <w:rPr>
          <w:rFonts w:hint="eastAsia" w:ascii="宋体" w:hAnsi="宋体" w:cs="宋体"/>
          <w:color w:val="auto"/>
          <w:sz w:val="24"/>
          <w:szCs w:val="24"/>
          <w:u w:val="single"/>
        </w:rPr>
        <w:t>中山大学附属第一医院电力规划改造工程（一期）：门诊楼高压室迁改</w:t>
      </w:r>
    </w:p>
    <w:p>
      <w:pPr>
        <w:tabs>
          <w:tab w:val="center" w:pos="4415"/>
        </w:tabs>
        <w:spacing w:line="480" w:lineRule="auto"/>
        <w:ind w:firstLine="480" w:firstLineChars="200"/>
        <w:rPr>
          <w:rFonts w:ascii="宋体" w:hAnsi="宋体"/>
          <w:color w:val="auto"/>
          <w:sz w:val="24"/>
          <w:u w:val="single"/>
        </w:rPr>
      </w:pPr>
      <w:r>
        <w:rPr>
          <w:rFonts w:hint="eastAsia" w:ascii="宋体"/>
          <w:color w:val="auto"/>
          <w:sz w:val="24"/>
        </w:rPr>
        <w:t>项目代码：</w:t>
      </w:r>
      <w:r>
        <w:rPr>
          <w:rFonts w:hint="eastAsia" w:ascii="宋体"/>
          <w:color w:val="auto"/>
          <w:sz w:val="24"/>
          <w:u w:val="single"/>
        </w:rPr>
        <w:t>2212-440104-23-01-555501</w:t>
      </w:r>
      <w:bookmarkStart w:id="0" w:name="_GoBack"/>
      <w:bookmarkEnd w:id="0"/>
    </w:p>
    <w:p>
      <w:pPr>
        <w:spacing w:line="360" w:lineRule="auto"/>
        <w:rPr>
          <w:rFonts w:ascii="宋体" w:hAnsi="宋体" w:cs="宋体"/>
          <w:color w:val="auto"/>
          <w:sz w:val="24"/>
          <w:szCs w:val="24"/>
          <w:u w:val="single"/>
        </w:rPr>
      </w:pPr>
      <w:r>
        <w:rPr>
          <w:rFonts w:hint="eastAsia" w:ascii="宋体" w:hAnsi="宋体" w:cs="宋体"/>
          <w:color w:val="auto"/>
          <w:sz w:val="24"/>
          <w:szCs w:val="24"/>
        </w:rPr>
        <w:t>二、招标单位：</w:t>
      </w:r>
      <w:r>
        <w:rPr>
          <w:rFonts w:hint="eastAsia" w:ascii="宋体" w:hAnsi="宋体" w:cs="宋体"/>
          <w:color w:val="auto"/>
          <w:sz w:val="24"/>
          <w:szCs w:val="24"/>
          <w:u w:val="single"/>
        </w:rPr>
        <w:t>中山大学附属第一医院</w:t>
      </w:r>
    </w:p>
    <w:p>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联系人：</w:t>
      </w:r>
      <w:r>
        <w:rPr>
          <w:rFonts w:hint="eastAsia" w:ascii="宋体" w:hAnsi="宋体" w:cs="宋体"/>
          <w:color w:val="auto"/>
          <w:sz w:val="24"/>
          <w:szCs w:val="24"/>
          <w:u w:val="single"/>
        </w:rPr>
        <w:t>苏工</w:t>
      </w:r>
      <w:r>
        <w:rPr>
          <w:rFonts w:hint="eastAsia" w:ascii="宋体" w:hAnsi="宋体" w:cs="宋体"/>
          <w:color w:val="auto"/>
          <w:sz w:val="24"/>
          <w:szCs w:val="24"/>
        </w:rPr>
        <w:t xml:space="preserve">            联系电话：</w:t>
      </w:r>
      <w:r>
        <w:rPr>
          <w:rFonts w:hint="eastAsia" w:ascii="宋体" w:hAnsi="宋体" w:cs="宋体"/>
          <w:color w:val="auto"/>
          <w:sz w:val="24"/>
          <w:szCs w:val="24"/>
          <w:u w:val="single"/>
        </w:rPr>
        <w:t>020-87608341</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联系地址：</w:t>
      </w:r>
      <w:r>
        <w:rPr>
          <w:rFonts w:hint="eastAsia" w:ascii="宋体" w:hAnsi="宋体" w:cs="宋体"/>
          <w:color w:val="auto"/>
          <w:sz w:val="24"/>
          <w:szCs w:val="24"/>
          <w:u w:val="single"/>
        </w:rPr>
        <w:t>广州市越秀区中山二路58号</w:t>
      </w:r>
    </w:p>
    <w:p>
      <w:pPr>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招标代理机构：</w:t>
      </w:r>
      <w:r>
        <w:rPr>
          <w:rFonts w:hint="eastAsia" w:ascii="宋体" w:hAnsi="宋体" w:cs="宋体"/>
          <w:color w:val="auto"/>
          <w:sz w:val="24"/>
          <w:szCs w:val="24"/>
          <w:u w:val="single"/>
        </w:rPr>
        <w:t>国义招标股份有限公司</w:t>
      </w:r>
    </w:p>
    <w:p>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联系人：</w:t>
      </w:r>
      <w:r>
        <w:rPr>
          <w:rFonts w:hint="eastAsia" w:ascii="宋体" w:hAnsi="宋体" w:cs="宋体"/>
          <w:color w:val="auto"/>
          <w:sz w:val="24"/>
          <w:szCs w:val="24"/>
          <w:u w:val="single"/>
        </w:rPr>
        <w:t>林工、何工</w:t>
      </w:r>
      <w:r>
        <w:rPr>
          <w:rFonts w:hint="eastAsia" w:ascii="宋体" w:hAnsi="宋体" w:cs="宋体"/>
          <w:color w:val="auto"/>
          <w:sz w:val="24"/>
          <w:szCs w:val="24"/>
        </w:rPr>
        <w:t xml:space="preserve">      联系电话：</w:t>
      </w:r>
      <w:r>
        <w:rPr>
          <w:rFonts w:hint="eastAsia" w:ascii="宋体" w:hAnsi="宋体" w:cs="宋体"/>
          <w:color w:val="auto"/>
          <w:sz w:val="24"/>
          <w:szCs w:val="24"/>
          <w:u w:val="single"/>
        </w:rPr>
        <w:t>020-37861059、37860558</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联系地址：</w:t>
      </w:r>
      <w:r>
        <w:rPr>
          <w:rFonts w:hint="eastAsia" w:ascii="宋体" w:hAnsi="宋体" w:cs="宋体"/>
          <w:color w:val="auto"/>
          <w:sz w:val="24"/>
          <w:szCs w:val="24"/>
          <w:u w:val="single"/>
        </w:rPr>
        <w:t>广州市越秀区东风东路726号19楼</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招标监督机构：</w:t>
      </w:r>
      <w:r>
        <w:rPr>
          <w:rFonts w:hint="eastAsia" w:ascii="宋体" w:hAnsi="宋体" w:cs="宋体"/>
          <w:color w:val="auto"/>
          <w:sz w:val="24"/>
          <w:szCs w:val="24"/>
          <w:u w:val="single"/>
        </w:rPr>
        <w:t>广州市建设工程招标管理办公室</w:t>
      </w:r>
    </w:p>
    <w:p>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监督电话：</w:t>
      </w:r>
      <w:r>
        <w:rPr>
          <w:rFonts w:hint="eastAsia" w:ascii="宋体" w:hAnsi="宋体" w:cs="宋体"/>
          <w:color w:val="auto"/>
          <w:sz w:val="24"/>
          <w:szCs w:val="24"/>
          <w:u w:val="single"/>
        </w:rPr>
        <w:t>020-28866213</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联系地址：</w:t>
      </w:r>
      <w:r>
        <w:rPr>
          <w:rFonts w:hint="eastAsia" w:ascii="宋体" w:hAnsi="宋体" w:cs="宋体"/>
          <w:color w:val="auto"/>
          <w:sz w:val="24"/>
          <w:szCs w:val="24"/>
          <w:u w:val="single"/>
        </w:rPr>
        <w:t>广州市天河区天润路333号3楼</w:t>
      </w:r>
    </w:p>
    <w:p>
      <w:pPr>
        <w:spacing w:line="360" w:lineRule="auto"/>
        <w:rPr>
          <w:rFonts w:ascii="宋体" w:hAnsi="宋体" w:cs="宋体"/>
          <w:color w:val="auto"/>
          <w:sz w:val="24"/>
          <w:szCs w:val="24"/>
          <w:u w:val="single"/>
        </w:rPr>
      </w:pPr>
      <w:r>
        <w:rPr>
          <w:rFonts w:hint="eastAsia" w:ascii="宋体" w:hAnsi="宋体" w:cs="宋体"/>
          <w:color w:val="auto"/>
          <w:sz w:val="24"/>
          <w:szCs w:val="24"/>
        </w:rPr>
        <w:t>三、建设地点：</w:t>
      </w:r>
      <w:r>
        <w:rPr>
          <w:rFonts w:hint="eastAsia" w:ascii="宋体" w:hAnsi="宋体" w:cs="宋体"/>
          <w:color w:val="auto"/>
          <w:sz w:val="24"/>
          <w:szCs w:val="24"/>
          <w:u w:val="single"/>
        </w:rPr>
        <w:t>广州市越秀区中山二路58号</w:t>
      </w:r>
    </w:p>
    <w:p>
      <w:pPr>
        <w:pStyle w:val="35"/>
        <w:spacing w:line="360" w:lineRule="auto"/>
        <w:ind w:firstLine="0"/>
        <w:rPr>
          <w:rFonts w:ascii="宋体" w:hAnsi="宋体" w:eastAsia="宋体" w:cs="宋体"/>
          <w:snapToGrid/>
          <w:color w:val="auto"/>
          <w:sz w:val="24"/>
          <w:szCs w:val="24"/>
          <w:lang w:val="de-DE" w:eastAsia="zh-CN"/>
        </w:rPr>
      </w:pPr>
      <w:r>
        <w:rPr>
          <w:rFonts w:hint="eastAsia" w:ascii="宋体" w:hAnsi="宋体" w:eastAsia="宋体" w:cs="宋体"/>
          <w:color w:val="auto"/>
          <w:sz w:val="24"/>
          <w:szCs w:val="24"/>
          <w:lang w:eastAsia="zh-CN"/>
        </w:rPr>
        <w:t>四、项目概况：</w:t>
      </w:r>
      <w:r>
        <w:rPr>
          <w:rFonts w:hint="eastAsia" w:ascii="宋体" w:hAnsi="宋体" w:eastAsia="宋体" w:cs="宋体"/>
          <w:snapToGrid/>
          <w:color w:val="auto"/>
          <w:sz w:val="24"/>
          <w:szCs w:val="24"/>
          <w:u w:val="single"/>
          <w:lang w:val="de-DE" w:eastAsia="zh-CN"/>
        </w:rPr>
        <w:t>该项目位于广州市中山二路58号，是医院电力规划改造工程（一期 ）的门诊楼高压室迁改，即将原1#高压室（门诊楼专用）迁移至新建的医学综合楼负二层低压配电房，在迁移过程中，须确保门诊楼各楼层、各科室的正常使用；门诊楼用地面积约</w:t>
      </w:r>
      <w:r>
        <w:rPr>
          <w:rFonts w:hint="eastAsia" w:ascii="宋体" w:hAnsi="宋体" w:eastAsia="宋体" w:cs="宋体"/>
          <w:bCs/>
          <w:color w:val="auto"/>
          <w:sz w:val="24"/>
          <w:szCs w:val="24"/>
          <w:u w:val="single"/>
          <w:lang w:eastAsia="zh-CN"/>
        </w:rPr>
        <w:t>55283.0</w:t>
      </w:r>
      <w:r>
        <w:rPr>
          <w:rFonts w:hint="eastAsia" w:ascii="宋体" w:hAnsi="宋体" w:eastAsia="宋体" w:cs="宋体"/>
          <w:snapToGrid/>
          <w:color w:val="auto"/>
          <w:sz w:val="24"/>
          <w:szCs w:val="24"/>
          <w:u w:val="single"/>
          <w:lang w:val="de-DE" w:eastAsia="zh-CN"/>
        </w:rPr>
        <w:t>平方米，总建筑面积为75768.6平方米（其中地上建筑面积55420.7平方米，地下建筑面积20347.9平方米）</w:t>
      </w:r>
      <w:r>
        <w:rPr>
          <w:rFonts w:hint="eastAsia" w:ascii="宋体" w:hAnsi="宋体" w:eastAsia="宋体" w:cs="宋体"/>
          <w:bCs/>
          <w:color w:val="auto"/>
          <w:sz w:val="24"/>
          <w:szCs w:val="24"/>
          <w:u w:val="single"/>
          <w:lang w:eastAsia="zh-CN"/>
        </w:rPr>
        <w:t>。本次迁改总负荷5200kVA</w:t>
      </w:r>
      <w:r>
        <w:rPr>
          <w:rFonts w:hint="eastAsia" w:ascii="宋体" w:hAnsi="宋体" w:eastAsia="宋体" w:cs="宋体"/>
          <w:color w:val="auto"/>
          <w:sz w:val="24"/>
          <w:szCs w:val="24"/>
          <w:u w:val="single"/>
          <w:lang w:eastAsia="zh-CN"/>
        </w:rPr>
        <w:t>，具体以图纸、有关技术资料以及工程量清单等为准</w:t>
      </w:r>
    </w:p>
    <w:p>
      <w:pPr>
        <w:spacing w:line="360" w:lineRule="auto"/>
        <w:rPr>
          <w:rFonts w:ascii="宋体" w:hAnsi="宋体" w:cs="宋体"/>
          <w:color w:val="auto"/>
          <w:sz w:val="24"/>
          <w:szCs w:val="24"/>
          <w:u w:val="single"/>
        </w:rPr>
      </w:pPr>
      <w:r>
        <w:rPr>
          <w:rFonts w:hint="eastAsia" w:ascii="宋体" w:hAnsi="宋体" w:cs="宋体"/>
          <w:color w:val="auto"/>
          <w:sz w:val="24"/>
          <w:szCs w:val="24"/>
        </w:rPr>
        <w:t>五、标段划分及各标段招标内容、规模和最高投标限价：</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1、本工程划分为1个标段。</w:t>
      </w:r>
    </w:p>
    <w:p>
      <w:pPr>
        <w:pStyle w:val="2"/>
        <w:spacing w:line="360" w:lineRule="auto"/>
        <w:ind w:firstLine="480" w:firstLineChars="200"/>
        <w:rPr>
          <w:rFonts w:hAnsi="宋体" w:cs="宋体"/>
          <w:color w:val="auto"/>
          <w:sz w:val="24"/>
          <w:szCs w:val="24"/>
        </w:rPr>
      </w:pPr>
      <w:r>
        <w:rPr>
          <w:rFonts w:hint="eastAsia" w:hAnsi="宋体" w:cs="宋体"/>
          <w:color w:val="auto"/>
          <w:sz w:val="24"/>
          <w:szCs w:val="24"/>
        </w:rPr>
        <w:t>2、招标内容、规模：</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（1）高压部分:1）由中山一院医学综合楼高压室1G06、1G07柜分别新敷10kV电缆</w:t>
      </w:r>
      <w:r>
        <w:rPr>
          <w:rFonts w:ascii="宋体" w:hAnsi="宋体" w:cs="宋体"/>
          <w:color w:val="auto"/>
          <w:kern w:val="2"/>
          <w:szCs w:val="24"/>
          <w:u w:val="single"/>
        </w:rPr>
        <w:t>ZR-YJV22-8.7/15kV-3X70mm</w:t>
      </w:r>
      <w:r>
        <w:rPr>
          <w:rFonts w:ascii="宋体" w:hAnsi="宋体" w:cs="宋体"/>
          <w:color w:val="auto"/>
          <w:kern w:val="2"/>
          <w:szCs w:val="24"/>
          <w:u w:val="single"/>
          <w:vertAlign w:val="superscript"/>
        </w:rPr>
        <w:t>2</w:t>
      </w:r>
      <w:r>
        <w:rPr>
          <w:rFonts w:ascii="宋体" w:hAnsi="宋体" w:cs="宋体"/>
          <w:color w:val="auto"/>
          <w:kern w:val="2"/>
          <w:szCs w:val="24"/>
          <w:u w:val="single"/>
        </w:rPr>
        <w:t>/</w:t>
      </w:r>
      <w:r>
        <w:rPr>
          <w:rFonts w:hint="eastAsia" w:ascii="宋体" w:hAnsi="宋体" w:cs="宋体"/>
          <w:color w:val="auto"/>
          <w:kern w:val="2"/>
          <w:szCs w:val="24"/>
          <w:u w:val="single"/>
        </w:rPr>
        <w:t>30米、20米至新建中山一院医学综合楼#7、#9专变房变压器高压侧;</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2）由中山一院医学综合楼高压室2G06柜新敷10kV电缆ZR-YJV22-8.7/15kV-3X240mm</w:t>
      </w:r>
      <w:r>
        <w:rPr>
          <w:rFonts w:hint="eastAsia" w:ascii="宋体" w:hAnsi="宋体" w:cs="宋体"/>
          <w:color w:val="auto"/>
          <w:kern w:val="2"/>
          <w:szCs w:val="24"/>
          <w:u w:val="single"/>
          <w:vertAlign w:val="superscript"/>
        </w:rPr>
        <w:t>2</w:t>
      </w:r>
      <w:r>
        <w:rPr>
          <w:rFonts w:hint="eastAsia" w:ascii="宋体" w:hAnsi="宋体" w:cs="宋体"/>
          <w:color w:val="auto"/>
          <w:kern w:val="2"/>
          <w:szCs w:val="24"/>
          <w:u w:val="single"/>
        </w:rPr>
        <w:t>/30米至新建中山一院医学综合楼#8专变房变压器高压侧;</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3）在中山一院医学综合楼#7、#9专变房内分别新装SCB13-1600kVA专变1台,共2台;#8专变房内新装SCB13-2000kVA专变1台。</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注明:本工程结合“中山大学附属第一医院增容6X1600kVA专变用电工程”同步实施并送电。</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（2）低压部分:</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1）在新建中山一院医学综合楼#2低压房内新装GCK低压柜17台;</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由中山一院医学综合楼#7专变房变压器低压侧新装低压母线槽-3200A/5P-10米至中山一院医学综合楼#2低压房7P01低压进线柜;</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由中山一院医学综合楼#8专变房变压器低压侧新装低压母线槽-4000A/5P-25米至中山一院医学综合楼#2低压房8P02低压进线柜;</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由中山一院医学综合楼#9专变房变压器低压侧新装低压母线槽-3200A/5P-35米至中山一院医学综合楼#2低压房9P02低压进线柜。</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2）拆除门诊楼低压房3D7柜及发电机出线柜,换装市发电切换柜1台,拼接原3D6低压出线柜;</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由中山一院医学综合楼#2低压房7P04低压出线柜新装低压母线槽-3200A/5P-150米(耐火)至原门诊楼低压房新装3D7市发电切换柜;</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3）由中山一院医学综合楼#2低压房8P05低压出线柜新装低压母线槽-4000A/5P-145米(耐火)至原门诊楼低压房2D3进线柜(需先在适当位置斩断原低压母线槽,再与新装低压母线槽驳接);</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4）由中山一院医学综合楼#2低压房9P05低压出线柜新装低压母线槽-3200A/5P-150米(耐火)至原门诊楼低压房1D9进线柜(需先在适当位置斩断原低压母线槽,再与新装低压母线槽驳接);</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5）由中山一院门诊楼发电机新装低压母线槽-3200A/5P-15米(耐火)至原门诊楼低压房1D9进线柜(需先在适当位置斩断原低压母线槽,再与新装低压母线槽驳接)。</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（3）低压出线回路改接部分:</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1）将#1配电房低压房L16出线柜的2号楼DSA介入手术室出线回路0.4kV电缆在适当位置斩断,驳接0.4kV电缆ZR-YJV22-0.6/1kV-3X185mm2/50米,改接至#2配电房低压房#2专变D12出线柜400A备用开关;</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2）将#1配电房低压房L16出线柜的2号楼信息科电脑主机房出线回路0.4kV电缆在适当位置斩断,驳接0.4kV电缆ZR-YJV22-0.6/1kV-3X185mm2/50米,改接至#2配电房低压房#1专变D1出线柜柜400A备用开关;</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3）将#1配电房低压房由L9出线柜引出的墙边开关1的6号楼东边热水器出线回路0.4kV电缆在适当位置斩断,驳接0.4kV电缆ZR-YJV22-0.6/1kV-3X300mm2/50米,改接至#2配电房低压房#5专变墙边开关1;</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4）将#1配电房低压房由L15出线柜引出的墙边开关2的4号楼PET-CT辅助设备出线回路0.4kV电缆在适当位置斩断,驳接0.4kV电缆ZR-YJV22-0.6/1kV-3X300mm2/50米,改接至#2配电房低压房#5专变墙边开关1。</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（4）土建部分:</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1）新建专变房3间、低压房1间,合计共150平方米。</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（5）拆除部分:</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1）拆除中山大学附属第一医院总高压室至中山一院#1高压室10kV电缆ZR-YJV22-8.7/15-3X240mm2/250米;</w:t>
      </w:r>
    </w:p>
    <w:p>
      <w:pPr>
        <w:pStyle w:val="12"/>
        <w:widowControl/>
        <w:spacing w:beforeAutospacing="0" w:afterAutospacing="0" w:line="360" w:lineRule="auto"/>
        <w:ind w:firstLine="480" w:firstLineChars="200"/>
        <w:rPr>
          <w:rFonts w:ascii="宋体" w:hAnsi="宋体" w:cs="宋体"/>
          <w:color w:val="auto"/>
          <w:kern w:val="2"/>
          <w:szCs w:val="24"/>
          <w:u w:val="single"/>
        </w:rPr>
      </w:pPr>
      <w:r>
        <w:rPr>
          <w:rFonts w:hint="eastAsia" w:ascii="宋体" w:hAnsi="宋体" w:cs="宋体"/>
          <w:color w:val="auto"/>
          <w:kern w:val="2"/>
          <w:szCs w:val="24"/>
          <w:u w:val="single"/>
        </w:rPr>
        <w:t>2）拆除原有中山一院#1高压室内KYN-12kV高压柜9台及DC220V/20AH直流屏1台;拆除原有中山一院中心专变房内#1~#3专变,SC8-1600kVA专变2台,SC8-2000kVA专变1台;拆除原有低压房内GCK低压柜16台。</w:t>
      </w:r>
    </w:p>
    <w:p>
      <w:pPr>
        <w:pStyle w:val="12"/>
        <w:widowControl/>
        <w:spacing w:beforeAutospacing="0" w:afterAutospacing="0" w:line="360" w:lineRule="auto"/>
        <w:ind w:firstLine="480" w:firstLineChars="200"/>
        <w:rPr>
          <w:rFonts w:ascii="宋体" w:hAnsi="宋体" w:cs="宋体"/>
          <w:color w:val="auto"/>
          <w:szCs w:val="24"/>
          <w:u w:val="single"/>
        </w:rPr>
      </w:pPr>
      <w:r>
        <w:rPr>
          <w:rFonts w:hint="eastAsia" w:ascii="宋体" w:hAnsi="宋体" w:cs="宋体"/>
          <w:color w:val="auto"/>
          <w:szCs w:val="24"/>
          <w:u w:val="single"/>
        </w:rPr>
        <w:t>以上内容具体以图纸、有关技术资料以及工程量清单等为准</w:t>
      </w:r>
    </w:p>
    <w:p>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3、最高投标限价：</w:t>
      </w:r>
      <w:r>
        <w:rPr>
          <w:rFonts w:hint="eastAsia" w:ascii="宋体" w:hAnsi="宋体" w:cs="宋体"/>
          <w:color w:val="auto"/>
          <w:sz w:val="24"/>
          <w:szCs w:val="24"/>
          <w:u w:val="single"/>
        </w:rPr>
        <w:t>￥8</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906</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142.63元。</w:t>
      </w:r>
    </w:p>
    <w:p>
      <w:pPr>
        <w:spacing w:line="360" w:lineRule="auto"/>
        <w:rPr>
          <w:rFonts w:ascii="宋体" w:hAnsi="宋体" w:cs="宋体"/>
          <w:color w:val="auto"/>
          <w:sz w:val="24"/>
          <w:szCs w:val="24"/>
          <w:u w:val="single"/>
        </w:rPr>
      </w:pPr>
      <w:r>
        <w:rPr>
          <w:rFonts w:hint="eastAsia" w:ascii="宋体" w:hAnsi="宋体" w:cs="宋体"/>
          <w:color w:val="auto"/>
          <w:sz w:val="24"/>
          <w:szCs w:val="24"/>
        </w:rPr>
        <w:t>六、资金来源：医院自筹资金。</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注：政府投资项目一律不得以建筑业企业带资承包的方式进行建设。</w:t>
      </w:r>
    </w:p>
    <w:p>
      <w:pPr>
        <w:snapToGrid w:val="0"/>
        <w:spacing w:line="360" w:lineRule="auto"/>
        <w:rPr>
          <w:rFonts w:ascii="宋体" w:hAnsi="宋体" w:cs="宋体"/>
          <w:color w:val="auto"/>
          <w:sz w:val="24"/>
          <w:szCs w:val="24"/>
        </w:rPr>
      </w:pPr>
      <w:r>
        <w:rPr>
          <w:rFonts w:hint="eastAsia" w:ascii="宋体" w:hAnsi="宋体" w:cs="宋体"/>
          <w:color w:val="auto"/>
          <w:kern w:val="0"/>
          <w:sz w:val="24"/>
          <w:szCs w:val="24"/>
        </w:rPr>
        <w:t>七、</w:t>
      </w:r>
      <w:r>
        <w:rPr>
          <w:rFonts w:hint="eastAsia" w:ascii="宋体" w:hAnsi="宋体" w:cs="宋体"/>
          <w:color w:val="auto"/>
          <w:sz w:val="24"/>
          <w:szCs w:val="24"/>
        </w:rPr>
        <w:t>公告发布日期、递交投标文件时间与开标时间：</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1、公告发布日期（含本日）：</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3</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日至</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3</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snapToGrid w:val="0"/>
        <w:spacing w:line="360" w:lineRule="auto"/>
        <w:ind w:firstLine="480" w:firstLineChars="200"/>
        <w:rPr>
          <w:rFonts w:ascii="宋体" w:hAnsi="宋体" w:cs="宋体"/>
          <w:color w:val="auto"/>
          <w:kern w:val="0"/>
          <w:sz w:val="24"/>
          <w:szCs w:val="24"/>
        </w:rPr>
      </w:pPr>
      <w:r>
        <w:rPr>
          <w:rFonts w:hint="eastAsia" w:ascii="宋体" w:hAnsi="宋体" w:cs="宋体"/>
          <w:color w:val="auto"/>
          <w:sz w:val="24"/>
          <w:szCs w:val="24"/>
        </w:rPr>
        <w:t>凡有意参加投标者，请登录</w:t>
      </w:r>
      <w:r>
        <w:rPr>
          <w:rFonts w:hint="eastAsia" w:ascii="宋体" w:hAnsi="宋体" w:cs="宋体"/>
          <w:color w:val="auto"/>
          <w:sz w:val="24"/>
          <w:szCs w:val="24"/>
          <w:u w:val="single"/>
        </w:rPr>
        <w:t>广州公共资源交易中心</w:t>
      </w:r>
      <w:r>
        <w:rPr>
          <w:rFonts w:hint="eastAsia" w:ascii="宋体" w:hAnsi="宋体" w:cs="宋体"/>
          <w:color w:val="auto"/>
          <w:sz w:val="24"/>
          <w:szCs w:val="24"/>
        </w:rPr>
        <w:t>交易平台网站下载电子招标文件。</w:t>
      </w:r>
    </w:p>
    <w:p>
      <w:pPr>
        <w:widowControl/>
        <w:shd w:val="clear" w:color="auto" w:fill="FFFFFF"/>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注：发布招标公告的时间为招标公告发出之日起至投标截止时间止。</w:t>
      </w:r>
    </w:p>
    <w:p>
      <w:pPr>
        <w:widowControl/>
        <w:shd w:val="clear" w:color="auto" w:fill="FFFFFF"/>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2、递交投标文件起始时间：</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3</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r>
        <w:rPr>
          <w:rFonts w:hint="eastAsia" w:ascii="宋体" w:hAnsi="宋体" w:cs="宋体"/>
          <w:color w:val="auto"/>
          <w:sz w:val="24"/>
          <w:szCs w:val="24"/>
          <w:u w:val="single"/>
        </w:rPr>
        <w:t xml:space="preserve">   </w:t>
      </w:r>
      <w:r>
        <w:rPr>
          <w:rFonts w:hint="eastAsia" w:ascii="宋体" w:hAnsi="宋体" w:cs="宋体"/>
          <w:color w:val="auto"/>
          <w:sz w:val="24"/>
          <w:szCs w:val="24"/>
        </w:rPr>
        <w:t>时</w:t>
      </w:r>
      <w:r>
        <w:rPr>
          <w:rFonts w:hint="eastAsia" w:ascii="宋体" w:hAnsi="宋体" w:cs="宋体"/>
          <w:color w:val="auto"/>
          <w:sz w:val="24"/>
          <w:szCs w:val="24"/>
          <w:u w:val="single"/>
        </w:rPr>
        <w:t xml:space="preserve">   </w:t>
      </w:r>
      <w:r>
        <w:rPr>
          <w:rFonts w:hint="eastAsia" w:ascii="宋体" w:hAnsi="宋体" w:cs="宋体"/>
          <w:color w:val="auto"/>
          <w:sz w:val="24"/>
          <w:szCs w:val="24"/>
        </w:rPr>
        <w:t>分；</w:t>
      </w:r>
    </w:p>
    <w:p>
      <w:pPr>
        <w:widowControl/>
        <w:shd w:val="clear" w:color="auto" w:fill="FFFFFF"/>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截止时间：</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3</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r>
        <w:rPr>
          <w:rFonts w:hint="eastAsia" w:ascii="宋体" w:hAnsi="宋体" w:cs="宋体"/>
          <w:color w:val="auto"/>
          <w:sz w:val="24"/>
          <w:szCs w:val="24"/>
          <w:u w:val="single"/>
        </w:rPr>
        <w:t xml:space="preserve">   </w:t>
      </w:r>
      <w:r>
        <w:rPr>
          <w:rFonts w:hint="eastAsia" w:ascii="宋体" w:hAnsi="宋体" w:cs="宋体"/>
          <w:color w:val="auto"/>
          <w:sz w:val="24"/>
          <w:szCs w:val="24"/>
        </w:rPr>
        <w:t>时</w:t>
      </w:r>
      <w:r>
        <w:rPr>
          <w:rFonts w:hint="eastAsia" w:ascii="宋体" w:hAnsi="宋体" w:cs="宋体"/>
          <w:color w:val="auto"/>
          <w:sz w:val="24"/>
          <w:szCs w:val="24"/>
          <w:u w:val="single"/>
        </w:rPr>
        <w:t xml:space="preserve">   </w:t>
      </w:r>
      <w:r>
        <w:rPr>
          <w:rFonts w:hint="eastAsia" w:ascii="宋体" w:hAnsi="宋体" w:cs="宋体"/>
          <w:color w:val="auto"/>
          <w:sz w:val="24"/>
          <w:szCs w:val="24"/>
        </w:rPr>
        <w:t>分。</w:t>
      </w:r>
    </w:p>
    <w:p>
      <w:pPr>
        <w:widowControl/>
        <w:shd w:val="clear" w:color="auto" w:fill="FFFFFF"/>
        <w:snapToGrid w:val="0"/>
        <w:spacing w:line="360" w:lineRule="auto"/>
        <w:ind w:firstLine="480" w:firstLineChars="200"/>
        <w:jc w:val="left"/>
        <w:rPr>
          <w:rFonts w:ascii="宋体" w:hAnsi="宋体" w:cs="宋体"/>
          <w:color w:val="auto"/>
          <w:sz w:val="24"/>
          <w:szCs w:val="24"/>
          <w:u w:val="single"/>
        </w:rPr>
      </w:pPr>
      <w:r>
        <w:rPr>
          <w:rFonts w:hint="eastAsia" w:ascii="宋体" w:hAnsi="宋体" w:cs="宋体"/>
          <w:color w:val="auto"/>
          <w:sz w:val="24"/>
          <w:szCs w:val="24"/>
        </w:rPr>
        <w:t>3、开标开始时间：</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3</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r>
        <w:rPr>
          <w:rFonts w:hint="eastAsia" w:ascii="宋体" w:hAnsi="宋体" w:cs="宋体"/>
          <w:color w:val="auto"/>
          <w:sz w:val="24"/>
          <w:szCs w:val="24"/>
          <w:u w:val="single"/>
        </w:rPr>
        <w:t xml:space="preserve">   </w:t>
      </w:r>
      <w:r>
        <w:rPr>
          <w:rFonts w:hint="eastAsia" w:ascii="宋体" w:hAnsi="宋体" w:cs="宋体"/>
          <w:color w:val="auto"/>
          <w:sz w:val="24"/>
          <w:szCs w:val="24"/>
        </w:rPr>
        <w:t>时</w:t>
      </w:r>
      <w:r>
        <w:rPr>
          <w:rFonts w:hint="eastAsia" w:ascii="宋体" w:hAnsi="宋体" w:cs="宋体"/>
          <w:color w:val="auto"/>
          <w:sz w:val="24"/>
          <w:szCs w:val="24"/>
          <w:u w:val="single"/>
        </w:rPr>
        <w:t xml:space="preserve">   </w:t>
      </w:r>
      <w:r>
        <w:rPr>
          <w:rFonts w:hint="eastAsia" w:ascii="宋体" w:hAnsi="宋体" w:cs="宋体"/>
          <w:color w:val="auto"/>
          <w:sz w:val="24"/>
          <w:szCs w:val="24"/>
        </w:rPr>
        <w:t>分。</w:t>
      </w:r>
    </w:p>
    <w:p>
      <w:pPr>
        <w:widowControl/>
        <w:shd w:val="clear" w:color="auto" w:fill="FFFFFF"/>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bCs/>
          <w:color w:val="auto"/>
          <w:sz w:val="24"/>
          <w:szCs w:val="24"/>
        </w:rPr>
        <w:t>投标人通过</w:t>
      </w:r>
      <w:r>
        <w:rPr>
          <w:rFonts w:hint="eastAsia" w:ascii="宋体" w:hAnsi="宋体" w:cs="宋体"/>
          <w:color w:val="auto"/>
          <w:sz w:val="24"/>
          <w:szCs w:val="24"/>
          <w:u w:val="single"/>
        </w:rPr>
        <w:t>广州公共资源交易中心</w:t>
      </w:r>
      <w:r>
        <w:rPr>
          <w:rFonts w:hint="eastAsia" w:ascii="宋体" w:hAnsi="宋体" w:cs="宋体"/>
          <w:color w:val="auto"/>
          <w:sz w:val="24"/>
          <w:szCs w:val="24"/>
        </w:rPr>
        <w:t>交易平台递交电子投标文件。投标人应在递交投标文件截止时间前，登录</w:t>
      </w:r>
      <w:r>
        <w:rPr>
          <w:rFonts w:hint="eastAsia" w:ascii="宋体" w:hAnsi="宋体" w:cs="宋体"/>
          <w:color w:val="auto"/>
          <w:sz w:val="24"/>
          <w:szCs w:val="24"/>
          <w:u w:val="single"/>
        </w:rPr>
        <w:t>广州公共资源交易中心</w:t>
      </w:r>
      <w:r>
        <w:rPr>
          <w:rFonts w:hint="eastAsia" w:ascii="宋体" w:hAnsi="宋体" w:cs="宋体"/>
          <w:color w:val="auto"/>
          <w:sz w:val="24"/>
          <w:szCs w:val="24"/>
        </w:rPr>
        <w:t xml:space="preserve">交易平台网站办理网上投标登记手续。按照交易平台关于全流程电子化项目的相关指南进行操作。详见：广州公共资源交易中心网站http://www.gzggzy.cn/）《房屋建筑和市政基础设施工程全流程电子化项目专章》。 </w:t>
      </w:r>
    </w:p>
    <w:p>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八、招标文件获取方式：</w:t>
      </w:r>
    </w:p>
    <w:p>
      <w:pPr>
        <w:widowControl/>
        <w:shd w:val="clear" w:color="auto" w:fill="FFFFFF"/>
        <w:snapToGrid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本项目招标文件随招标公告一并在</w:t>
      </w:r>
      <w:r>
        <w:rPr>
          <w:rFonts w:hint="eastAsia" w:ascii="宋体" w:hAnsi="宋体" w:cs="宋体"/>
          <w:color w:val="auto"/>
          <w:sz w:val="24"/>
          <w:szCs w:val="24"/>
          <w:u w:val="single"/>
        </w:rPr>
        <w:t>广州公共资源交易中心</w:t>
      </w:r>
      <w:r>
        <w:rPr>
          <w:rFonts w:hint="eastAsia" w:ascii="宋体" w:hAnsi="宋体" w:cs="宋体"/>
          <w:color w:val="auto"/>
          <w:sz w:val="24"/>
          <w:szCs w:val="24"/>
        </w:rPr>
        <w:t>交易平台网站发布。招标文件</w:t>
      </w:r>
      <w:r>
        <w:rPr>
          <w:rFonts w:hint="eastAsia" w:ascii="宋体" w:hAnsi="宋体" w:cs="宋体"/>
          <w:color w:val="auto"/>
          <w:kern w:val="0"/>
          <w:sz w:val="24"/>
          <w:szCs w:val="24"/>
        </w:rPr>
        <w:t>一经在</w:t>
      </w:r>
      <w:r>
        <w:rPr>
          <w:rFonts w:hint="eastAsia" w:ascii="宋体" w:hAnsi="宋体" w:cs="宋体"/>
          <w:color w:val="auto"/>
          <w:sz w:val="24"/>
          <w:szCs w:val="24"/>
          <w:u w:val="single"/>
        </w:rPr>
        <w:t>广州公共资源交易中心</w:t>
      </w:r>
      <w:r>
        <w:rPr>
          <w:rFonts w:hint="eastAsia" w:ascii="宋体" w:hAnsi="宋体" w:cs="宋体"/>
          <w:color w:val="auto"/>
          <w:sz w:val="24"/>
          <w:szCs w:val="24"/>
        </w:rPr>
        <w:t>交易平台</w:t>
      </w:r>
      <w:r>
        <w:rPr>
          <w:rFonts w:hint="eastAsia" w:ascii="宋体" w:hAnsi="宋体" w:cs="宋体"/>
          <w:color w:val="auto"/>
          <w:kern w:val="0"/>
          <w:sz w:val="24"/>
          <w:szCs w:val="24"/>
        </w:rPr>
        <w:t>发布，视为发售给投标人，招标文件由投标人自行在</w:t>
      </w:r>
      <w:r>
        <w:rPr>
          <w:rFonts w:hint="eastAsia" w:ascii="宋体" w:hAnsi="宋体" w:cs="宋体"/>
          <w:color w:val="auto"/>
          <w:sz w:val="24"/>
          <w:szCs w:val="24"/>
          <w:u w:val="single"/>
        </w:rPr>
        <w:t>广州公共资源交易中心</w:t>
      </w:r>
      <w:r>
        <w:rPr>
          <w:rFonts w:hint="eastAsia" w:ascii="宋体" w:hAnsi="宋体" w:cs="宋体"/>
          <w:color w:val="auto"/>
          <w:sz w:val="24"/>
          <w:szCs w:val="24"/>
        </w:rPr>
        <w:t>交易平台</w:t>
      </w:r>
      <w:r>
        <w:rPr>
          <w:rFonts w:hint="eastAsia" w:ascii="宋体" w:hAnsi="宋体" w:cs="宋体"/>
          <w:color w:val="auto"/>
          <w:kern w:val="0"/>
          <w:sz w:val="24"/>
          <w:szCs w:val="24"/>
        </w:rPr>
        <w:t>网站下载。</w:t>
      </w:r>
    </w:p>
    <w:p>
      <w:pPr>
        <w:spacing w:line="480" w:lineRule="auto"/>
        <w:rPr>
          <w:rFonts w:ascii="宋体" w:hAnsi="宋体" w:cs="宋体"/>
          <w:color w:val="auto"/>
          <w:sz w:val="24"/>
          <w:szCs w:val="24"/>
        </w:rPr>
      </w:pPr>
      <w:r>
        <w:rPr>
          <w:rFonts w:hint="eastAsia" w:ascii="宋体" w:hAnsi="宋体" w:cs="宋体"/>
          <w:color w:val="auto"/>
          <w:sz w:val="24"/>
          <w:szCs w:val="24"/>
        </w:rPr>
        <w:t>九、投标人合格条件：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1、投标人参加投标的意思表达清楚，投标人代表被授权有效。</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2、投标人均具有独立法人资格，按国家法律经营。</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3、投标人均持有建设行政主管部门颁发的企业资质证书及安全生产许可证；</w:t>
      </w:r>
    </w:p>
    <w:p>
      <w:pPr>
        <w:pStyle w:val="30"/>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4、投标人应具备承接本工程所需的：</w:t>
      </w:r>
      <w:r>
        <w:rPr>
          <w:rFonts w:hint="eastAsia" w:ascii="宋体" w:hAnsi="宋体" w:eastAsia="宋体" w:cs="宋体"/>
          <w:color w:val="auto"/>
          <w:sz w:val="24"/>
          <w:szCs w:val="24"/>
          <w:u w:val="single"/>
        </w:rPr>
        <w:t>电力工程施工总承包资质三级（或以上）资质，或输变电工程专业承包三级（或以上）资质，或建筑机电安装工程专业承包二级（或以上）资质；并且同时具备《承装(修、试)电力设施许可证》承装类五级（或以上）资格；</w:t>
      </w:r>
    </w:p>
    <w:p>
      <w:pPr>
        <w:pStyle w:val="30"/>
        <w:ind w:firstLine="482" w:firstLineChars="200"/>
        <w:rPr>
          <w:rFonts w:ascii="宋体" w:hAnsi="宋体" w:eastAsia="宋体" w:cs="宋体"/>
          <w:b/>
          <w:bCs/>
          <w:color w:val="auto"/>
          <w:sz w:val="24"/>
          <w:szCs w:val="24"/>
          <w:u w:val="single"/>
        </w:rPr>
      </w:pPr>
      <w:r>
        <w:rPr>
          <w:rFonts w:hint="eastAsia" w:ascii="宋体" w:hAnsi="宋体" w:eastAsia="宋体" w:cs="宋体"/>
          <w:b/>
          <w:bCs/>
          <w:color w:val="auto"/>
          <w:sz w:val="24"/>
          <w:szCs w:val="24"/>
          <w:u w:val="single"/>
        </w:rPr>
        <w:t>投标人以电力工程施工总承包资质或输变电工程专业承包资质投标的，投标人拟担任本工程项目负责人的人员为机电工程专业贰级或以上注册建造师；投标人以建筑机电安装工程专业承包资质投标的，投标人拟担任本工程项目负责人的人员为机电工程专业壹级注册建造师。</w:t>
      </w:r>
    </w:p>
    <w:p>
      <w:pPr>
        <w:pStyle w:val="30"/>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招标内容含有设计要求，且设计要求仅为深化设计的，在投标人的资质设置要求中，不允许设置设计资质。</w:t>
      </w:r>
    </w:p>
    <w:p>
      <w:pPr>
        <w:pStyle w:val="30"/>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安全员不为同一人。</w:t>
      </w:r>
    </w:p>
    <w:p>
      <w:pPr>
        <w:pStyle w:val="30"/>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5、项目负责人持有安全培训考核合格证（B类）或建筑施工企业项目负责人安全生产考核合格证书；</w:t>
      </w:r>
    </w:p>
    <w:p>
      <w:pPr>
        <w:pStyle w:val="30"/>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6、投标人拟担任本工程技术负责人的资格要求为：具有</w:t>
      </w:r>
      <w:r>
        <w:rPr>
          <w:rFonts w:hint="eastAsia" w:ascii="宋体" w:hAnsi="宋体" w:eastAsia="宋体" w:cs="宋体"/>
          <w:color w:val="auto"/>
          <w:sz w:val="24"/>
          <w:szCs w:val="24"/>
          <w:u w:val="single"/>
          <w:shd w:val="clear" w:color="auto" w:fill="FFFFFF"/>
        </w:rPr>
        <w:t>机电类或电气类</w:t>
      </w:r>
      <w:r>
        <w:rPr>
          <w:rFonts w:hint="eastAsia" w:ascii="宋体" w:hAnsi="宋体" w:eastAsia="宋体" w:cs="宋体"/>
          <w:color w:val="auto"/>
          <w:sz w:val="24"/>
          <w:szCs w:val="24"/>
        </w:rPr>
        <w:t>相关专业高级工程师(或以上)技术职称。</w:t>
      </w:r>
    </w:p>
    <w:p>
      <w:pPr>
        <w:pStyle w:val="30"/>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②采用其他资质的项目，宜要求技术负责人具备项目相适应专业的中级或以上职称。</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7、专职安全员须具有安全生产考核合格证（C类）或建筑施工企业专职安全生产管理人员安全生产考核合格证书(C3类）。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8、投标人已按照附件一的内容签署盖章的投标人声明。</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9、关于联合体投标：</w:t>
      </w:r>
      <w:r>
        <w:rPr>
          <w:rFonts w:hint="eastAsia" w:ascii="宋体" w:hAnsi="宋体" w:cs="宋体"/>
          <w:color w:val="auto"/>
          <w:kern w:val="0"/>
          <w:sz w:val="24"/>
          <w:szCs w:val="24"/>
          <w:u w:val="single"/>
        </w:rPr>
        <w:t>本项目不接受联合体投标。</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sz w:val="24"/>
          <w:szCs w:val="24"/>
        </w:rPr>
        <w:t>http://zfcj.gz.gov.cn/zwgk/zsdwxxgkzl/gzsjzyglfwzx/bszy/content/post_8074009.html）</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kern w:val="0"/>
          <w:sz w:val="24"/>
          <w:szCs w:val="24"/>
        </w:rPr>
        <w:t>视为无效投标。</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适用于财政投资项目：未被纳入失信联合惩戒名单且被限制参加财政投资工程或政府投资工程或建设工程投标的（具体名单以递交投标文件截止时间“信用广州”https://credit1.gz.gov.cn/sgs/sgsXkNew公布的“失信黑名单”为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注：因联合惩戒措施表述存在细微差别，惩戒措施与上文不完全一致但措施内容相同的，也应属于被限制参与相关项目的投标。</w:t>
      </w:r>
    </w:p>
    <w:p>
      <w:pPr>
        <w:pStyle w:val="14"/>
        <w:tabs>
          <w:tab w:val="left" w:pos="7380"/>
        </w:tabs>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注：未在招标公告第九条单列的资审合格条件，不作为资审不合格的依据。</w:t>
      </w:r>
    </w:p>
    <w:p>
      <w:pPr>
        <w:snapToGrid w:val="0"/>
        <w:spacing w:line="360" w:lineRule="auto"/>
        <w:rPr>
          <w:rFonts w:ascii="宋体" w:hAnsi="宋体" w:cs="宋体"/>
          <w:color w:val="auto"/>
          <w:sz w:val="24"/>
          <w:szCs w:val="24"/>
        </w:rPr>
      </w:pPr>
      <w:r>
        <w:rPr>
          <w:rFonts w:hint="eastAsia" w:ascii="宋体" w:hAnsi="宋体" w:cs="宋体"/>
          <w:color w:val="auto"/>
          <w:sz w:val="24"/>
          <w:szCs w:val="24"/>
        </w:rPr>
        <w:t>十、资格审查方式：</w:t>
      </w:r>
    </w:p>
    <w:p>
      <w:pPr>
        <w:widowControl/>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本工程采用资格后审方式，由评标委员会负责资格审查。</w:t>
      </w:r>
    </w:p>
    <w:p>
      <w:pPr>
        <w:widowControl/>
        <w:snapToGrid w:val="0"/>
        <w:spacing w:line="360" w:lineRule="auto"/>
        <w:rPr>
          <w:rFonts w:ascii="宋体" w:hAnsi="宋体" w:cs="宋体"/>
          <w:color w:val="auto"/>
          <w:sz w:val="24"/>
          <w:szCs w:val="24"/>
        </w:rPr>
      </w:pPr>
      <w:r>
        <w:rPr>
          <w:rFonts w:hint="eastAsia" w:ascii="宋体" w:hAnsi="宋体" w:cs="宋体"/>
          <w:color w:val="auto"/>
          <w:sz w:val="24"/>
          <w:szCs w:val="24"/>
        </w:rPr>
        <w:t>十一、资格审查结果将在</w:t>
      </w:r>
      <w:r>
        <w:rPr>
          <w:rFonts w:hint="eastAsia" w:ascii="宋体" w:hAnsi="宋体" w:cs="宋体"/>
          <w:color w:val="auto"/>
          <w:sz w:val="24"/>
          <w:szCs w:val="24"/>
          <w:u w:val="single"/>
        </w:rPr>
        <w:t>广州公共资源交易中心</w:t>
      </w:r>
      <w:r>
        <w:rPr>
          <w:rFonts w:hint="eastAsia" w:ascii="宋体" w:hAnsi="宋体" w:cs="宋体"/>
          <w:color w:val="auto"/>
          <w:sz w:val="24"/>
          <w:szCs w:val="24"/>
        </w:rPr>
        <w:t>交易平台和广东省招标投标监管网公示，</w:t>
      </w:r>
      <w:r>
        <w:rPr>
          <w:rFonts w:hint="eastAsia" w:ascii="宋体" w:hAnsi="宋体" w:cs="宋体"/>
          <w:bCs/>
          <w:color w:val="auto"/>
          <w:sz w:val="24"/>
          <w:szCs w:val="24"/>
        </w:rPr>
        <w:t>公示时间不得少于3日。</w:t>
      </w:r>
    </w:p>
    <w:p>
      <w:pPr>
        <w:snapToGrid w:val="0"/>
        <w:spacing w:line="360" w:lineRule="auto"/>
        <w:rPr>
          <w:rFonts w:ascii="宋体" w:hAnsi="宋体" w:cs="宋体"/>
          <w:color w:val="auto"/>
          <w:sz w:val="24"/>
          <w:szCs w:val="24"/>
        </w:rPr>
      </w:pPr>
      <w:r>
        <w:rPr>
          <w:rFonts w:hint="eastAsia" w:ascii="宋体" w:hAnsi="宋体" w:cs="宋体"/>
          <w:color w:val="auto"/>
          <w:sz w:val="24"/>
          <w:szCs w:val="24"/>
        </w:rPr>
        <w:t>十二、满足资格审查合格条件的投标人不足 3 名或通过有效性审查的投标人不足3名时为招标失败。招标人分析招标失败原因，修正招标方案，报有关管理部门核准后，重新组织招标。</w:t>
      </w:r>
    </w:p>
    <w:p>
      <w:pPr>
        <w:spacing w:line="360" w:lineRule="auto"/>
        <w:rPr>
          <w:rFonts w:ascii="宋体" w:hAnsi="宋体" w:cs="宋体"/>
          <w:color w:val="auto"/>
          <w:sz w:val="24"/>
          <w:szCs w:val="24"/>
        </w:rPr>
      </w:pPr>
      <w:r>
        <w:rPr>
          <w:rFonts w:hint="eastAsia" w:ascii="宋体" w:hAnsi="宋体" w:cs="宋体"/>
          <w:color w:val="auto"/>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rPr>
          <w:rFonts w:ascii="宋体" w:hAnsi="宋体" w:cs="宋体"/>
          <w:color w:val="auto"/>
          <w:sz w:val="24"/>
          <w:szCs w:val="24"/>
        </w:rPr>
      </w:pPr>
      <w:r>
        <w:rPr>
          <w:rFonts w:hint="eastAsia" w:ascii="宋体" w:hAnsi="宋体" w:cs="宋体"/>
          <w:color w:val="auto"/>
          <w:sz w:val="24"/>
          <w:szCs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40" w:lineRule="exact"/>
        <w:rPr>
          <w:rFonts w:ascii="宋体" w:hAnsi="宋体" w:cs="宋体"/>
          <w:color w:val="auto"/>
          <w:sz w:val="24"/>
          <w:szCs w:val="24"/>
          <w:u w:val="single"/>
        </w:rPr>
      </w:pPr>
      <w:r>
        <w:rPr>
          <w:rFonts w:hint="eastAsia" w:ascii="宋体" w:hAnsi="宋体" w:cs="宋体"/>
          <w:color w:val="auto"/>
          <w:sz w:val="24"/>
          <w:szCs w:val="24"/>
        </w:rPr>
        <w:t>十五、潜在投标人或利害关系人对本招标公告及招标文件有异议的，向招标人书面提出。异议受理部门：</w:t>
      </w:r>
      <w:r>
        <w:rPr>
          <w:rFonts w:hint="eastAsia" w:ascii="宋体" w:hAnsi="宋体" w:cs="宋体"/>
          <w:color w:val="auto"/>
          <w:sz w:val="24"/>
          <w:szCs w:val="24"/>
          <w:u w:val="single"/>
        </w:rPr>
        <w:t>中山大学附属第一医院</w:t>
      </w:r>
    </w:p>
    <w:p>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异议受理电话：</w:t>
      </w:r>
      <w:r>
        <w:rPr>
          <w:rFonts w:hint="eastAsia" w:ascii="宋体" w:hAnsi="宋体" w:cs="宋体"/>
          <w:color w:val="auto"/>
          <w:sz w:val="24"/>
          <w:szCs w:val="24"/>
          <w:u w:val="single"/>
        </w:rPr>
        <w:t>020-87755766-8159</w:t>
      </w:r>
    </w:p>
    <w:p>
      <w:pPr>
        <w:spacing w:line="44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地址：</w:t>
      </w:r>
      <w:r>
        <w:rPr>
          <w:rFonts w:hint="eastAsia" w:ascii="宋体" w:hAnsi="宋体" w:cs="宋体"/>
          <w:color w:val="auto"/>
          <w:sz w:val="24"/>
          <w:szCs w:val="24"/>
          <w:u w:val="single"/>
        </w:rPr>
        <w:t>广州市越秀区中山二路58号</w:t>
      </w:r>
    </w:p>
    <w:p>
      <w:pPr>
        <w:spacing w:line="440" w:lineRule="exact"/>
        <w:rPr>
          <w:rFonts w:ascii="宋体" w:hAnsi="宋体" w:cs="宋体"/>
          <w:color w:val="auto"/>
          <w:sz w:val="24"/>
          <w:szCs w:val="24"/>
        </w:rPr>
      </w:pPr>
      <w:r>
        <w:rPr>
          <w:rFonts w:hint="eastAsia" w:ascii="宋体" w:hAnsi="宋体" w:cs="宋体"/>
          <w:color w:val="auto"/>
          <w:sz w:val="24"/>
          <w:szCs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40" w:lineRule="exact"/>
        <w:rPr>
          <w:rFonts w:ascii="宋体" w:hAnsi="宋体" w:cs="宋体"/>
          <w:color w:val="auto"/>
          <w:sz w:val="24"/>
          <w:szCs w:val="24"/>
        </w:rPr>
      </w:pPr>
      <w:r>
        <w:rPr>
          <w:rFonts w:hint="eastAsia" w:ascii="宋体" w:hAnsi="宋体" w:cs="宋体"/>
          <w:color w:val="auto"/>
          <w:sz w:val="24"/>
          <w:szCs w:val="24"/>
        </w:rPr>
        <w:t>十七、本招标公告及招标文件使用GZZB2018-3招标文件范本。本公告与范本内容不同之处均以下划线标明，所有标明下划线部分属于本公告的组成部分，同其他部分具有同样的效力。</w:t>
      </w:r>
    </w:p>
    <w:p>
      <w:pPr>
        <w:spacing w:line="440" w:lineRule="exact"/>
        <w:rPr>
          <w:rFonts w:ascii="宋体" w:hAnsi="宋体" w:cs="宋体"/>
          <w:color w:val="auto"/>
          <w:sz w:val="24"/>
          <w:szCs w:val="24"/>
        </w:rPr>
      </w:pPr>
      <w:r>
        <w:rPr>
          <w:rFonts w:hint="eastAsia" w:ascii="宋体" w:hAnsi="宋体" w:cs="宋体"/>
          <w:color w:val="auto"/>
          <w:sz w:val="24"/>
          <w:szCs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40" w:lineRule="exact"/>
        <w:rPr>
          <w:rFonts w:ascii="宋体" w:hAnsi="宋体" w:cs="宋体"/>
          <w:color w:val="auto"/>
          <w:sz w:val="24"/>
          <w:szCs w:val="24"/>
        </w:rPr>
      </w:pPr>
      <w:r>
        <w:rPr>
          <w:rFonts w:hint="eastAsia" w:ascii="宋体" w:hAnsi="宋体" w:cs="宋体"/>
          <w:color w:val="auto"/>
          <w:sz w:val="24"/>
          <w:szCs w:val="24"/>
        </w:rPr>
        <w:t>十九、《投诉处理决定书》和《行政处理决定书》在广州市住房和城乡建设局网站上公布的，视为送达其他与决定书有关的当事人。</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特别提示：投标人在本项目招标人的工程项目中存在下列行为的，将被拒绝一定时期内参与招标人后续工程投标。（</w:t>
      </w:r>
      <w:r>
        <w:rPr>
          <w:rFonts w:hint="eastAsia" w:ascii="宋体" w:hAnsi="宋体" w:cs="宋体"/>
          <w:b/>
          <w:bCs/>
          <w:color w:val="auto"/>
          <w:sz w:val="24"/>
          <w:szCs w:val="24"/>
        </w:rPr>
        <w:t>拒绝投标时限为180天</w:t>
      </w:r>
      <w:r>
        <w:rPr>
          <w:rFonts w:hint="eastAsia" w:ascii="宋体" w:hAnsi="宋体" w:cs="宋体"/>
          <w:color w:val="auto"/>
          <w:sz w:val="24"/>
          <w:szCs w:val="24"/>
        </w:rPr>
        <w:t>）：</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1.将中标工程转包或者违法分包的；</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2.在中标工程中不执行质量、安全生产相关规定的，造成质量或安全事故的；</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3.存在围标或串标情形的；</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4.存在弄虚作假骗取中标情形的；</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5.拖欠农民工工资的；</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6.未按照国家、省、市有关建筑施工实名制管理和工人工资支付分账管理的规定执行，被行政监管部门通报或处罚的；</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7.中标人在项目实施过程中选取的专业分包单位或劳务企业或劳务班组长与投标时不一致的（如有）。</w:t>
      </w:r>
    </w:p>
    <w:p>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u w:val="single"/>
        </w:rPr>
        <w:t>存在因过错行为被生效法律文书认定承担违约或侵权责任的</w:t>
      </w:r>
      <w:r>
        <w:rPr>
          <w:rFonts w:hint="eastAsia" w:ascii="宋体" w:hAnsi="宋体" w:cs="宋体"/>
          <w:color w:val="auto"/>
          <w:sz w:val="24"/>
          <w:szCs w:val="24"/>
        </w:rPr>
        <w:t>。</w:t>
      </w:r>
    </w:p>
    <w:p>
      <w:pPr>
        <w:pStyle w:val="14"/>
        <w:spacing w:line="480" w:lineRule="auto"/>
        <w:ind w:firstLine="448" w:firstLineChars="224"/>
        <w:rPr>
          <w:color w:val="auto"/>
        </w:rPr>
      </w:pPr>
    </w:p>
    <w:p>
      <w:pPr>
        <w:spacing w:line="360" w:lineRule="auto"/>
        <w:ind w:right="1348" w:rightChars="642"/>
        <w:jc w:val="right"/>
        <w:rPr>
          <w:rFonts w:ascii="宋体" w:hAnsi="宋体" w:cs="宋体"/>
          <w:color w:val="auto"/>
          <w:sz w:val="24"/>
          <w:szCs w:val="24"/>
        </w:rPr>
      </w:pPr>
      <w:r>
        <w:rPr>
          <w:rFonts w:hint="eastAsia" w:ascii="宋体" w:hAnsi="宋体" w:cs="宋体"/>
          <w:color w:val="auto"/>
          <w:sz w:val="24"/>
          <w:szCs w:val="24"/>
        </w:rPr>
        <w:t>中山大学附属第一医院</w:t>
      </w:r>
    </w:p>
    <w:p>
      <w:pPr>
        <w:spacing w:line="360" w:lineRule="auto"/>
        <w:ind w:right="1348" w:rightChars="642"/>
        <w:jc w:val="right"/>
        <w:rPr>
          <w:rFonts w:ascii="宋体" w:hAnsi="宋体" w:cs="宋体"/>
          <w:color w:val="auto"/>
          <w:sz w:val="24"/>
          <w:szCs w:val="24"/>
        </w:rPr>
      </w:pPr>
      <w:r>
        <w:rPr>
          <w:rFonts w:hint="eastAsia" w:ascii="宋体" w:hAnsi="宋体" w:cs="宋体"/>
          <w:color w:val="auto"/>
          <w:sz w:val="24"/>
          <w:szCs w:val="24"/>
        </w:rPr>
        <w:t>国义招标股份有限公司</w:t>
      </w:r>
    </w:p>
    <w:p>
      <w:pPr>
        <w:spacing w:line="360" w:lineRule="auto"/>
        <w:ind w:right="1348" w:rightChars="642" w:firstLine="4860" w:firstLineChars="2025"/>
        <w:jc w:val="right"/>
        <w:rPr>
          <w:rFonts w:ascii="宋体" w:hAnsi="宋体"/>
          <w:color w:val="auto"/>
          <w:sz w:val="24"/>
        </w:rPr>
      </w:pPr>
      <w:r>
        <w:rPr>
          <w:rFonts w:hint="eastAsia" w:ascii="宋体" w:hAnsi="宋体" w:cs="宋体"/>
          <w:color w:val="auto"/>
          <w:sz w:val="24"/>
          <w:szCs w:val="24"/>
        </w:rPr>
        <w:t>202</w:t>
      </w:r>
      <w:r>
        <w:rPr>
          <w:rFonts w:hint="eastAsia" w:ascii="宋体" w:hAnsi="宋体" w:cs="宋体"/>
          <w:color w:val="auto"/>
          <w:sz w:val="24"/>
          <w:szCs w:val="24"/>
          <w:lang w:val="en-US" w:eastAsia="zh-CN"/>
        </w:rPr>
        <w:t>3</w:t>
      </w:r>
      <w:r>
        <w:rPr>
          <w:rFonts w:hint="eastAsia" w:ascii="宋体" w:hAnsi="宋体" w:cs="宋体"/>
          <w:color w:val="auto"/>
          <w:sz w:val="24"/>
          <w:szCs w:val="24"/>
        </w:rPr>
        <w:t>年   月    日</w:t>
      </w:r>
    </w:p>
    <w:p>
      <w:pPr>
        <w:spacing w:line="480" w:lineRule="auto"/>
        <w:ind w:right="1348" w:rightChars="642" w:firstLine="4860" w:firstLineChars="2025"/>
        <w:jc w:val="center"/>
        <w:rPr>
          <w:rFonts w:ascii="宋体"/>
          <w:color w:val="auto"/>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pPr>
        <w:spacing w:line="360" w:lineRule="auto"/>
        <w:rPr>
          <w:b/>
          <w:color w:val="auto"/>
          <w:sz w:val="44"/>
        </w:rPr>
      </w:pPr>
      <w:r>
        <w:rPr>
          <w:rFonts w:hint="eastAsia" w:ascii="宋体" w:hAnsi="宋体"/>
          <w:color w:val="auto"/>
          <w:sz w:val="24"/>
        </w:rPr>
        <w:t>附件一：</w:t>
      </w:r>
    </w:p>
    <w:p>
      <w:pPr>
        <w:jc w:val="center"/>
        <w:rPr>
          <w:b/>
          <w:color w:val="auto"/>
          <w:kern w:val="0"/>
          <w:sz w:val="32"/>
          <w:szCs w:val="32"/>
        </w:rPr>
      </w:pPr>
      <w:r>
        <w:rPr>
          <w:rFonts w:hint="eastAsia"/>
          <w:b/>
          <w:color w:val="auto"/>
          <w:kern w:val="0"/>
          <w:sz w:val="32"/>
          <w:szCs w:val="32"/>
        </w:rPr>
        <w:t>投标人声明</w:t>
      </w:r>
    </w:p>
    <w:p>
      <w:pPr>
        <w:pStyle w:val="30"/>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（项目名称）     </w:t>
      </w:r>
      <w:r>
        <w:rPr>
          <w:rFonts w:hint="eastAsia" w:ascii="宋体" w:hAnsi="宋体" w:eastAsia="宋体"/>
          <w:color w:val="auto"/>
          <w:sz w:val="21"/>
          <w:szCs w:val="21"/>
        </w:rPr>
        <w:t>投标工作，作出郑重声明：</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（1）为招标人不具有独立法人资格的附属机构（单位）；</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（2）为本标段前期准备提供设计或咨询服务或者与本项目设计人或提供咨询服务的机构存在附属关系的；</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（3）为本项目监理人或者与本项目监理人存在隶属关系或者其他利害关系；</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（4）为本标段的代建人；</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（5）为本标段提供招标代理服务的；</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（6）与本标段的监理人或代建人或招标代理机构同为一个法定代表人的；</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（7）与本标段的监理人或代建人或招标代理机构互相控股或参股的；</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（8）与本标段的监理人或代建人或招标代理机构相互任职或工作的；</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（9）与本标段的检测机构有隶属关系或者其他利害关系；</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（10）与招标人存在利害关系且可能影响招标公正性； </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（11）与本标段的其他投标人为同一个单位负责人； </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（12）与本标段的其他投标人存在控股、管理关系； </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（13）被暂扣安全生产许可证的；</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（14）被依法暂停或取消投标资格的； </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（15）被责令停产停业、暂扣或者吊销许可证、暂扣或者吊销执照的；</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（16）进入清算程序，或被宣布破产，或其他丧失履约能力的情形；</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（17）在最近三年内有骗取中标或严重违约或重大工程质量问题的；</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（18）被工商行政管理机关在全国企业信用信息公示系统中列入严重违法失信企业名单；</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（19）被最高人民法院在“信用中国”网站（www.creditchina.gov.cn）或各级信用信息共享平台中列入失信被执行人名单；</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（20）在近三年内投标人或其法定代表人、拟委派的项目负责人有行贿犯罪行为的；</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）法律法规规定的其他情形。</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四、本公司保证：本项目拟派的项目负责人没有在其他在建项目中任施工单位项目负责人，本项目拟派的专职安全员没有在其他在建项目中任职。</w:t>
      </w:r>
    </w:p>
    <w:p>
      <w:pPr>
        <w:widowControl/>
        <w:spacing w:line="360" w:lineRule="auto"/>
        <w:ind w:firstLine="422" w:firstLineChars="200"/>
        <w:jc w:val="left"/>
        <w:rPr>
          <w:rFonts w:ascii="宋体" w:hAnsi="宋体"/>
          <w:b/>
          <w:bCs/>
          <w:color w:val="auto"/>
          <w:kern w:val="0"/>
          <w:szCs w:val="21"/>
        </w:rPr>
      </w:pPr>
      <w:r>
        <w:rPr>
          <w:rFonts w:hint="eastAsia" w:ascii="宋体" w:hAnsi="宋体"/>
          <w:b/>
          <w:bCs/>
          <w:color w:val="auto"/>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hAnsi="宋体"/>
          <w:color w:val="auto"/>
          <w:kern w:val="0"/>
          <w:szCs w:val="21"/>
        </w:rPr>
      </w:pPr>
      <w:r>
        <w:rPr>
          <w:rFonts w:hint="eastAsia" w:ascii="宋体" w:hAnsi="宋体"/>
          <w:color w:val="auto"/>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pStyle w:val="30"/>
        <w:ind w:firstLine="420" w:firstLineChars="200"/>
        <w:jc w:val="left"/>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 。（注：本条由投标人如实填写，如有，应列出全部满足招标公告资质要求的相关单位的名称；如无，则填写“无”。）</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30"/>
        <w:ind w:firstLine="420" w:firstLineChars="200"/>
        <w:rPr>
          <w:rFonts w:ascii="宋体" w:hAnsi="宋体" w:eastAsia="宋体"/>
          <w:color w:val="auto"/>
          <w:sz w:val="21"/>
          <w:szCs w:val="21"/>
        </w:rPr>
      </w:pPr>
      <w:r>
        <w:rPr>
          <w:rFonts w:hint="eastAsia" w:ascii="宋体" w:hAnsi="宋体" w:eastAsia="宋体"/>
          <w:color w:val="auto"/>
          <w:sz w:val="21"/>
          <w:szCs w:val="21"/>
        </w:rPr>
        <w:t>特此声明。</w:t>
      </w:r>
    </w:p>
    <w:p>
      <w:pPr>
        <w:pStyle w:val="31"/>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pPr>
        <w:pStyle w:val="30"/>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30"/>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30"/>
        <w:ind w:right="879" w:firstLine="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30"/>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年   月   日                 </w:t>
      </w:r>
    </w:p>
    <w:p>
      <w:pPr>
        <w:pStyle w:val="30"/>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 （企业公章）</w:t>
      </w:r>
    </w:p>
    <w:p>
      <w:pPr>
        <w:widowControl/>
        <w:snapToGrid w:val="0"/>
        <w:spacing w:line="480" w:lineRule="auto"/>
        <w:ind w:right="102"/>
        <w:jc w:val="left"/>
        <w:rPr>
          <w:rFonts w:ascii="宋体" w:hAnsi="宋体"/>
          <w:color w:val="auto"/>
          <w:kern w:val="0"/>
          <w:szCs w:val="21"/>
        </w:rPr>
      </w:pPr>
      <w:r>
        <w:rPr>
          <w:rFonts w:hint="eastAsia" w:ascii="宋体" w:hAnsi="宋体"/>
          <w:color w:val="auto"/>
          <w:kern w:val="0"/>
          <w:szCs w:val="21"/>
        </w:rPr>
        <w:t xml:space="preserve">注：招标人应当要求投标人的项目负责人和技术负责人签字。 </w:t>
      </w:r>
    </w:p>
    <w:p>
      <w:pPr>
        <w:widowControl/>
        <w:jc w:val="left"/>
        <w:rPr>
          <w:rFonts w:ascii="宋体" w:hAnsi="宋体"/>
          <w:color w:val="auto"/>
          <w:kern w:val="0"/>
          <w:szCs w:val="21"/>
        </w:rPr>
      </w:pPr>
      <w:r>
        <w:rPr>
          <w:rFonts w:hint="eastAsia" w:ascii="宋体" w:hAnsi="宋体"/>
          <w:color w:val="auto"/>
          <w:kern w:val="0"/>
          <w:szCs w:val="21"/>
        </w:rPr>
        <w:br w:type="page"/>
      </w:r>
    </w:p>
    <w:p>
      <w:pPr>
        <w:rPr>
          <w:rFonts w:ascii="宋体" w:hAnsi="宋体" w:cs="宋体"/>
          <w:color w:val="auto"/>
          <w:sz w:val="24"/>
        </w:rPr>
      </w:pPr>
      <w:r>
        <w:rPr>
          <w:rFonts w:hint="eastAsia" w:ascii="宋体" w:hAnsi="宋体" w:cs="宋体"/>
          <w:color w:val="auto"/>
          <w:sz w:val="24"/>
        </w:rPr>
        <w:t>附件二：</w:t>
      </w:r>
    </w:p>
    <w:p>
      <w:pPr>
        <w:snapToGrid w:val="0"/>
        <w:spacing w:after="78" w:afterLines="25" w:line="300" w:lineRule="auto"/>
        <w:ind w:firstLine="629"/>
        <w:rPr>
          <w:rFonts w:ascii="宋体" w:hAnsi="宋体"/>
          <w:color w:val="auto"/>
          <w:kern w:val="0"/>
          <w:szCs w:val="21"/>
        </w:rPr>
      </w:pPr>
    </w:p>
    <w:p>
      <w:pPr>
        <w:snapToGrid w:val="0"/>
        <w:spacing w:line="360" w:lineRule="auto"/>
        <w:jc w:val="center"/>
        <w:rPr>
          <w:rFonts w:ascii="宋体" w:hAnsi="宋体"/>
          <w:b/>
          <w:color w:val="auto"/>
          <w:kern w:val="0"/>
          <w:sz w:val="36"/>
          <w:szCs w:val="36"/>
        </w:rPr>
      </w:pPr>
      <w:r>
        <w:rPr>
          <w:rFonts w:hint="eastAsia" w:ascii="宋体" w:hAnsi="宋体"/>
          <w:b/>
          <w:color w:val="auto"/>
          <w:kern w:val="0"/>
          <w:sz w:val="36"/>
          <w:szCs w:val="36"/>
        </w:rPr>
        <w:t>施工项目管理团队人员信息表</w:t>
      </w:r>
    </w:p>
    <w:tbl>
      <w:tblPr>
        <w:tblStyle w:val="15"/>
        <w:tblW w:w="4999" w:type="pct"/>
        <w:jc w:val="center"/>
        <w:tblLayout w:type="autofit"/>
        <w:tblCellMar>
          <w:top w:w="0" w:type="dxa"/>
          <w:left w:w="108" w:type="dxa"/>
          <w:bottom w:w="0" w:type="dxa"/>
          <w:right w:w="108" w:type="dxa"/>
        </w:tblCellMar>
      </w:tblPr>
      <w:tblGrid>
        <w:gridCol w:w="617"/>
        <w:gridCol w:w="1063"/>
        <w:gridCol w:w="2082"/>
        <w:gridCol w:w="1114"/>
        <w:gridCol w:w="3644"/>
      </w:tblGrid>
      <w:tr>
        <w:tblPrEx>
          <w:tblCellMar>
            <w:top w:w="0" w:type="dxa"/>
            <w:left w:w="108" w:type="dxa"/>
            <w:bottom w:w="0" w:type="dxa"/>
            <w:right w:w="108" w:type="dxa"/>
          </w:tblCellMar>
        </w:tblPrEx>
        <w:trPr>
          <w:trHeight w:val="482"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
                <w:bCs/>
                <w:color w:val="auto"/>
                <w:szCs w:val="21"/>
              </w:rPr>
            </w:pPr>
            <w:r>
              <w:rPr>
                <w:rFonts w:hint="eastAsia" w:ascii="宋体" w:hAnsi="宋体" w:cs="宋体"/>
                <w:b/>
                <w:bCs/>
                <w:color w:val="auto"/>
                <w:szCs w:val="21"/>
              </w:rPr>
              <w:t>序号</w:t>
            </w:r>
          </w:p>
        </w:tc>
        <w:tc>
          <w:tcPr>
            <w:tcW w:w="62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color w:val="auto"/>
                <w:szCs w:val="21"/>
              </w:rPr>
            </w:pPr>
            <w:r>
              <w:rPr>
                <w:rFonts w:hint="eastAsia" w:ascii="宋体" w:hAnsi="宋体" w:cs="宋体"/>
                <w:b/>
                <w:bCs/>
                <w:color w:val="auto"/>
                <w:szCs w:val="21"/>
              </w:rPr>
              <w:t>姓名</w:t>
            </w:r>
          </w:p>
        </w:tc>
        <w:tc>
          <w:tcPr>
            <w:tcW w:w="1222"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color w:val="auto"/>
                <w:szCs w:val="21"/>
              </w:rPr>
            </w:pPr>
            <w:r>
              <w:rPr>
                <w:rFonts w:hint="eastAsia" w:ascii="宋体" w:hAnsi="宋体" w:cs="宋体"/>
                <w:b/>
                <w:bCs/>
                <w:color w:val="auto"/>
                <w:szCs w:val="21"/>
              </w:rPr>
              <w:t>岗位</w:t>
            </w:r>
          </w:p>
        </w:tc>
        <w:tc>
          <w:tcPr>
            <w:tcW w:w="65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color w:val="auto"/>
                <w:szCs w:val="21"/>
              </w:rPr>
            </w:pPr>
            <w:r>
              <w:rPr>
                <w:rFonts w:hint="eastAsia" w:ascii="宋体" w:hAnsi="宋体" w:cs="宋体"/>
                <w:b/>
                <w:bCs/>
                <w:color w:val="auto"/>
                <w:szCs w:val="21"/>
              </w:rPr>
              <w:t>职称</w:t>
            </w:r>
          </w:p>
        </w:tc>
        <w:tc>
          <w:tcPr>
            <w:tcW w:w="213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
                <w:bCs/>
                <w:color w:val="auto"/>
                <w:szCs w:val="21"/>
              </w:rPr>
            </w:pPr>
            <w:r>
              <w:rPr>
                <w:rFonts w:hint="eastAsia" w:ascii="宋体" w:hAnsi="宋体" w:cs="宋体"/>
                <w:b/>
                <w:bCs/>
                <w:color w:val="auto"/>
                <w:szCs w:val="21"/>
              </w:rPr>
              <w:t>职称证书或资格证书编号</w:t>
            </w:r>
          </w:p>
        </w:tc>
      </w:tr>
      <w:tr>
        <w:tblPrEx>
          <w:tblCellMar>
            <w:top w:w="0" w:type="dxa"/>
            <w:left w:w="108" w:type="dxa"/>
            <w:bottom w:w="0" w:type="dxa"/>
            <w:right w:w="108" w:type="dxa"/>
          </w:tblCellMar>
        </w:tblPrEx>
        <w:trPr>
          <w:trHeight w:val="454"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r>
              <w:rPr>
                <w:rFonts w:ascii="宋体" w:hAnsi="宋体" w:cs="宋体"/>
                <w:bCs/>
                <w:color w:val="auto"/>
                <w:szCs w:val="21"/>
              </w:rPr>
              <w:t>1</w:t>
            </w:r>
          </w:p>
        </w:tc>
        <w:tc>
          <w:tcPr>
            <w:tcW w:w="62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p>
        </w:tc>
        <w:tc>
          <w:tcPr>
            <w:tcW w:w="1222" w:type="pct"/>
            <w:tcBorders>
              <w:top w:val="single" w:color="auto" w:sz="4" w:space="0"/>
              <w:left w:val="nil"/>
              <w:bottom w:val="single" w:color="auto" w:sz="4" w:space="0"/>
              <w:right w:val="single" w:color="auto" w:sz="4" w:space="0"/>
            </w:tcBorders>
            <w:vAlign w:val="center"/>
          </w:tcPr>
          <w:p>
            <w:pPr>
              <w:widowControl/>
              <w:snapToGrid w:val="0"/>
              <w:ind w:left="-53" w:leftChars="-25" w:right="-53" w:rightChars="-25"/>
              <w:jc w:val="center"/>
              <w:rPr>
                <w:rFonts w:ascii="宋体" w:cs="宋体"/>
                <w:bCs/>
                <w:color w:val="auto"/>
                <w:szCs w:val="21"/>
              </w:rPr>
            </w:pPr>
            <w:r>
              <w:rPr>
                <w:rFonts w:hint="eastAsia" w:ascii="宋体" w:hAnsi="宋体"/>
                <w:color w:val="auto"/>
                <w:szCs w:val="21"/>
              </w:rPr>
              <w:t>技术负责人</w:t>
            </w:r>
          </w:p>
        </w:tc>
        <w:tc>
          <w:tcPr>
            <w:tcW w:w="65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p>
        </w:tc>
        <w:tc>
          <w:tcPr>
            <w:tcW w:w="2134" w:type="pct"/>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rPr>
            </w:pPr>
          </w:p>
        </w:tc>
      </w:tr>
      <w:tr>
        <w:tblPrEx>
          <w:tblCellMar>
            <w:top w:w="0" w:type="dxa"/>
            <w:left w:w="108" w:type="dxa"/>
            <w:bottom w:w="0" w:type="dxa"/>
            <w:right w:w="108" w:type="dxa"/>
          </w:tblCellMar>
        </w:tblPrEx>
        <w:trPr>
          <w:trHeight w:val="454"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r>
              <w:rPr>
                <w:rFonts w:ascii="宋体" w:hAnsi="宋体" w:cs="宋体"/>
                <w:bCs/>
                <w:color w:val="auto"/>
                <w:szCs w:val="21"/>
              </w:rPr>
              <w:t>2</w:t>
            </w:r>
          </w:p>
        </w:tc>
        <w:tc>
          <w:tcPr>
            <w:tcW w:w="62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p>
        </w:tc>
        <w:tc>
          <w:tcPr>
            <w:tcW w:w="1222" w:type="pct"/>
            <w:tcBorders>
              <w:top w:val="single" w:color="auto" w:sz="4" w:space="0"/>
              <w:left w:val="nil"/>
              <w:bottom w:val="single" w:color="auto" w:sz="4" w:space="0"/>
              <w:right w:val="single" w:color="auto" w:sz="4" w:space="0"/>
            </w:tcBorders>
            <w:vAlign w:val="center"/>
          </w:tcPr>
          <w:p>
            <w:pPr>
              <w:widowControl/>
              <w:snapToGrid w:val="0"/>
              <w:ind w:left="-53" w:leftChars="-25" w:right="-53" w:rightChars="-25"/>
              <w:jc w:val="center"/>
              <w:rPr>
                <w:rFonts w:ascii="宋体" w:cs="宋体"/>
                <w:bCs/>
                <w:color w:val="auto"/>
                <w:szCs w:val="21"/>
              </w:rPr>
            </w:pPr>
            <w:r>
              <w:rPr>
                <w:rFonts w:hint="eastAsia" w:ascii="宋体" w:hAnsi="宋体"/>
                <w:color w:val="auto"/>
                <w:szCs w:val="21"/>
              </w:rPr>
              <w:t>质量负责人</w:t>
            </w:r>
          </w:p>
        </w:tc>
        <w:tc>
          <w:tcPr>
            <w:tcW w:w="65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p>
        </w:tc>
        <w:tc>
          <w:tcPr>
            <w:tcW w:w="2134" w:type="pct"/>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rPr>
            </w:pPr>
          </w:p>
        </w:tc>
      </w:tr>
      <w:tr>
        <w:tblPrEx>
          <w:tblCellMar>
            <w:top w:w="0" w:type="dxa"/>
            <w:left w:w="108" w:type="dxa"/>
            <w:bottom w:w="0" w:type="dxa"/>
            <w:right w:w="108" w:type="dxa"/>
          </w:tblCellMar>
        </w:tblPrEx>
        <w:trPr>
          <w:trHeight w:val="454"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r>
              <w:rPr>
                <w:rFonts w:ascii="宋体" w:hAnsi="宋体" w:cs="宋体"/>
                <w:bCs/>
                <w:color w:val="auto"/>
                <w:szCs w:val="21"/>
              </w:rPr>
              <w:t>3</w:t>
            </w:r>
          </w:p>
        </w:tc>
        <w:tc>
          <w:tcPr>
            <w:tcW w:w="62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p>
        </w:tc>
        <w:tc>
          <w:tcPr>
            <w:tcW w:w="1222" w:type="pct"/>
            <w:tcBorders>
              <w:top w:val="single" w:color="auto" w:sz="4" w:space="0"/>
              <w:left w:val="nil"/>
              <w:bottom w:val="single" w:color="auto" w:sz="4" w:space="0"/>
              <w:right w:val="single" w:color="auto" w:sz="4" w:space="0"/>
            </w:tcBorders>
            <w:vAlign w:val="center"/>
          </w:tcPr>
          <w:p>
            <w:pPr>
              <w:widowControl/>
              <w:snapToGrid w:val="0"/>
              <w:ind w:left="-53" w:leftChars="-25" w:right="-53" w:rightChars="-25"/>
              <w:jc w:val="center"/>
              <w:rPr>
                <w:rFonts w:ascii="宋体" w:cs="宋体"/>
                <w:bCs/>
                <w:color w:val="auto"/>
                <w:szCs w:val="21"/>
              </w:rPr>
            </w:pPr>
            <w:r>
              <w:rPr>
                <w:rFonts w:hint="eastAsia" w:ascii="宋体" w:hAnsi="宋体"/>
                <w:color w:val="auto"/>
                <w:szCs w:val="21"/>
              </w:rPr>
              <w:t>安全负责人</w:t>
            </w:r>
          </w:p>
        </w:tc>
        <w:tc>
          <w:tcPr>
            <w:tcW w:w="65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p>
        </w:tc>
        <w:tc>
          <w:tcPr>
            <w:tcW w:w="2134" w:type="pct"/>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rPr>
            </w:pPr>
          </w:p>
        </w:tc>
      </w:tr>
      <w:tr>
        <w:tblPrEx>
          <w:tblCellMar>
            <w:top w:w="0" w:type="dxa"/>
            <w:left w:w="108" w:type="dxa"/>
            <w:bottom w:w="0" w:type="dxa"/>
            <w:right w:w="108" w:type="dxa"/>
          </w:tblCellMar>
        </w:tblPrEx>
        <w:trPr>
          <w:trHeight w:val="454"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r>
              <w:rPr>
                <w:rFonts w:ascii="宋体" w:hAnsi="宋体" w:cs="宋体"/>
                <w:bCs/>
                <w:color w:val="auto"/>
                <w:szCs w:val="21"/>
              </w:rPr>
              <w:t>4</w:t>
            </w:r>
          </w:p>
        </w:tc>
        <w:tc>
          <w:tcPr>
            <w:tcW w:w="62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p>
        </w:tc>
        <w:tc>
          <w:tcPr>
            <w:tcW w:w="1222" w:type="pct"/>
            <w:tcBorders>
              <w:top w:val="single" w:color="auto" w:sz="4" w:space="0"/>
              <w:left w:val="nil"/>
              <w:bottom w:val="single" w:color="auto" w:sz="4" w:space="0"/>
              <w:right w:val="single" w:color="auto" w:sz="4" w:space="0"/>
            </w:tcBorders>
            <w:vAlign w:val="center"/>
          </w:tcPr>
          <w:p>
            <w:pPr>
              <w:widowControl/>
              <w:snapToGrid w:val="0"/>
              <w:ind w:left="-53" w:leftChars="-25" w:right="-53" w:rightChars="-25"/>
              <w:jc w:val="center"/>
              <w:rPr>
                <w:rFonts w:ascii="宋体" w:cs="宋体"/>
                <w:bCs/>
                <w:color w:val="auto"/>
                <w:szCs w:val="21"/>
              </w:rPr>
            </w:pPr>
            <w:r>
              <w:rPr>
                <w:rFonts w:hint="eastAsia" w:ascii="宋体" w:hAnsi="宋体"/>
                <w:color w:val="auto"/>
                <w:szCs w:val="21"/>
              </w:rPr>
              <w:t>造价负责人</w:t>
            </w:r>
          </w:p>
        </w:tc>
        <w:tc>
          <w:tcPr>
            <w:tcW w:w="65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p>
        </w:tc>
        <w:tc>
          <w:tcPr>
            <w:tcW w:w="2134" w:type="pct"/>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rPr>
            </w:pPr>
          </w:p>
        </w:tc>
      </w:tr>
      <w:tr>
        <w:tblPrEx>
          <w:tblCellMar>
            <w:top w:w="0" w:type="dxa"/>
            <w:left w:w="108" w:type="dxa"/>
            <w:bottom w:w="0" w:type="dxa"/>
            <w:right w:w="108" w:type="dxa"/>
          </w:tblCellMar>
        </w:tblPrEx>
        <w:trPr>
          <w:trHeight w:val="454" w:hRule="atLeast"/>
          <w:jc w:val="center"/>
        </w:trPr>
        <w:tc>
          <w:tcPr>
            <w:tcW w:w="362" w:type="pct"/>
            <w:tcBorders>
              <w:top w:val="single" w:color="auto" w:sz="4" w:space="0"/>
              <w:left w:val="single" w:color="auto" w:sz="4" w:space="0"/>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r>
              <w:rPr>
                <w:rFonts w:hint="eastAsia" w:ascii="宋体" w:hAnsi="宋体" w:cs="宋体"/>
                <w:bCs/>
                <w:color w:val="auto"/>
                <w:szCs w:val="21"/>
              </w:rPr>
              <w:t>5</w:t>
            </w:r>
          </w:p>
        </w:tc>
        <w:tc>
          <w:tcPr>
            <w:tcW w:w="62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p>
        </w:tc>
        <w:tc>
          <w:tcPr>
            <w:tcW w:w="1222" w:type="pct"/>
            <w:tcBorders>
              <w:top w:val="single" w:color="auto" w:sz="4" w:space="0"/>
              <w:left w:val="nil"/>
              <w:bottom w:val="single" w:color="auto" w:sz="4" w:space="0"/>
              <w:right w:val="single" w:color="auto" w:sz="4" w:space="0"/>
            </w:tcBorders>
            <w:vAlign w:val="center"/>
          </w:tcPr>
          <w:p>
            <w:pPr>
              <w:widowControl/>
              <w:snapToGrid w:val="0"/>
              <w:ind w:left="-53" w:leftChars="-25" w:right="-53" w:rightChars="-25"/>
              <w:jc w:val="center"/>
              <w:rPr>
                <w:rFonts w:ascii="宋体" w:hAnsi="宋体"/>
                <w:color w:val="auto"/>
                <w:szCs w:val="21"/>
              </w:rPr>
            </w:pPr>
            <w:r>
              <w:rPr>
                <w:rFonts w:hint="eastAsia"/>
                <w:color w:val="auto"/>
              </w:rPr>
              <w:t>其他管理人员</w:t>
            </w:r>
          </w:p>
        </w:tc>
        <w:tc>
          <w:tcPr>
            <w:tcW w:w="654" w:type="pct"/>
            <w:tcBorders>
              <w:top w:val="single" w:color="auto" w:sz="4" w:space="0"/>
              <w:left w:val="nil"/>
              <w:bottom w:val="single" w:color="auto" w:sz="4" w:space="0"/>
              <w:right w:val="single" w:color="auto" w:sz="4" w:space="0"/>
            </w:tcBorders>
            <w:vAlign w:val="center"/>
          </w:tcPr>
          <w:p>
            <w:pPr>
              <w:snapToGrid w:val="0"/>
              <w:ind w:left="-53" w:leftChars="-25" w:right="-53" w:rightChars="-25"/>
              <w:jc w:val="center"/>
              <w:rPr>
                <w:rFonts w:ascii="宋体" w:hAnsi="宋体" w:cs="宋体"/>
                <w:bCs/>
                <w:color w:val="auto"/>
                <w:szCs w:val="21"/>
              </w:rPr>
            </w:pPr>
          </w:p>
        </w:tc>
        <w:tc>
          <w:tcPr>
            <w:tcW w:w="2134" w:type="pct"/>
            <w:tcBorders>
              <w:top w:val="single" w:color="auto" w:sz="4" w:space="0"/>
              <w:left w:val="nil"/>
              <w:bottom w:val="single" w:color="auto" w:sz="4" w:space="0"/>
              <w:right w:val="single" w:color="auto" w:sz="4" w:space="0"/>
            </w:tcBorders>
            <w:vAlign w:val="center"/>
          </w:tcPr>
          <w:p>
            <w:pPr>
              <w:snapToGrid w:val="0"/>
              <w:ind w:left="-53" w:leftChars="-25" w:right="-53" w:rightChars="-25"/>
              <w:rPr>
                <w:rFonts w:ascii="宋体" w:hAnsi="宋体" w:cs="宋体"/>
                <w:bCs/>
                <w:color w:val="auto"/>
                <w:szCs w:val="21"/>
              </w:rPr>
            </w:pPr>
          </w:p>
        </w:tc>
      </w:tr>
      <w:tr>
        <w:tblPrEx>
          <w:tblCellMar>
            <w:top w:w="0" w:type="dxa"/>
            <w:left w:w="108" w:type="dxa"/>
            <w:bottom w:w="0" w:type="dxa"/>
            <w:right w:w="108" w:type="dxa"/>
          </w:tblCellMar>
        </w:tblPrEx>
        <w:trPr>
          <w:trHeight w:val="3487"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kern w:val="0"/>
                <w:szCs w:val="21"/>
              </w:rPr>
            </w:pPr>
            <w:r>
              <w:rPr>
                <w:rFonts w:hint="eastAsia" w:ascii="宋体" w:hAnsi="宋体"/>
                <w:color w:val="auto"/>
                <w:kern w:val="0"/>
                <w:szCs w:val="21"/>
              </w:rPr>
              <w:t>备注：</w:t>
            </w:r>
          </w:p>
          <w:p>
            <w:pPr>
              <w:snapToGrid w:val="0"/>
              <w:ind w:firstLine="420" w:firstLineChars="200"/>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w:t>
            </w:r>
            <w:r>
              <w:rPr>
                <w:rFonts w:hint="eastAsia" w:ascii="宋体" w:hAnsi="宋体"/>
                <w:color w:val="auto"/>
                <w:kern w:val="0"/>
                <w:szCs w:val="21"/>
                <w:u w:val="single"/>
              </w:rPr>
              <w:t>“岗</w:t>
            </w:r>
            <w:r>
              <w:rPr>
                <w:rFonts w:hint="eastAsia" w:ascii="宋体" w:hAnsi="宋体"/>
                <w:color w:val="auto"/>
                <w:spacing w:val="-2"/>
                <w:kern w:val="0"/>
                <w:szCs w:val="21"/>
                <w:u w:val="single"/>
              </w:rPr>
              <w:t>位”要求（除项目负责人和专职安全员外）：拟派驻施工现场的技术负责人、质量负责人、安全负责人、造价负责人、其他管理人员等</w:t>
            </w:r>
            <w:r>
              <w:rPr>
                <w:rFonts w:hint="eastAsia" w:ascii="宋体" w:hAnsi="宋体"/>
                <w:color w:val="auto"/>
                <w:spacing w:val="-2"/>
                <w:kern w:val="0"/>
                <w:szCs w:val="21"/>
              </w:rPr>
              <w:t>。以上项目管理团队人员信息将由交易系统提取后供各相关单位在履约时比对、查核</w:t>
            </w:r>
            <w:r>
              <w:rPr>
                <w:rFonts w:hint="eastAsia" w:ascii="宋体" w:hAnsi="宋体"/>
                <w:color w:val="auto"/>
                <w:kern w:val="0"/>
                <w:szCs w:val="21"/>
              </w:rPr>
              <w:t>。</w:t>
            </w:r>
          </w:p>
          <w:p>
            <w:pPr>
              <w:snapToGrid w:val="0"/>
              <w:ind w:firstLine="420" w:firstLineChars="200"/>
              <w:rPr>
                <w:rFonts w:ascii="宋体" w:hAnsi="宋体"/>
                <w:color w:val="auto"/>
                <w:kern w:val="0"/>
                <w:szCs w:val="21"/>
              </w:rPr>
            </w:pPr>
            <w:r>
              <w:rPr>
                <w:rFonts w:ascii="宋体" w:hAnsi="宋体"/>
                <w:color w:val="auto"/>
                <w:kern w:val="0"/>
                <w:szCs w:val="21"/>
              </w:rPr>
              <w:t>2</w:t>
            </w:r>
            <w:r>
              <w:rPr>
                <w:rFonts w:hint="eastAsia" w:ascii="宋体" w:hAnsi="宋体"/>
                <w:color w:val="auto"/>
                <w:kern w:val="0"/>
                <w:szCs w:val="21"/>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ascii="宋体" w:hAnsi="宋体"/>
                <w:color w:val="auto"/>
                <w:kern w:val="0"/>
                <w:szCs w:val="21"/>
              </w:rPr>
              <w:t>(</w:t>
            </w:r>
            <w:r>
              <w:rPr>
                <w:rFonts w:hint="eastAsia" w:ascii="宋体" w:hAnsi="宋体"/>
                <w:color w:val="auto"/>
                <w:kern w:val="0"/>
                <w:szCs w:val="21"/>
              </w:rPr>
              <w:t>投标截止时间前可以补充、修改、替代</w:t>
            </w:r>
            <w:r>
              <w:rPr>
                <w:rFonts w:ascii="宋体" w:hAnsi="宋体"/>
                <w:color w:val="auto"/>
                <w:kern w:val="0"/>
                <w:szCs w:val="21"/>
              </w:rPr>
              <w:t>)</w:t>
            </w:r>
            <w:r>
              <w:rPr>
                <w:rFonts w:hint="eastAsia" w:ascii="宋体" w:hAnsi="宋体"/>
                <w:color w:val="auto"/>
                <w:kern w:val="0"/>
                <w:szCs w:val="21"/>
              </w:rPr>
              <w:t>。</w:t>
            </w:r>
          </w:p>
          <w:p>
            <w:pPr>
              <w:snapToGrid w:val="0"/>
              <w:ind w:firstLine="420" w:firstLineChars="200"/>
              <w:rPr>
                <w:rFonts w:ascii="宋体" w:hAnsi="宋体"/>
                <w:color w:val="auto"/>
                <w:kern w:val="0"/>
                <w:szCs w:val="21"/>
              </w:rPr>
            </w:pPr>
            <w:r>
              <w:rPr>
                <w:rFonts w:ascii="宋体" w:hAnsi="宋体"/>
                <w:color w:val="auto"/>
                <w:kern w:val="0"/>
                <w:szCs w:val="21"/>
              </w:rPr>
              <w:t>3</w:t>
            </w:r>
            <w:r>
              <w:rPr>
                <w:rFonts w:hint="eastAsia" w:ascii="宋体" w:hAnsi="宋体"/>
                <w:color w:val="auto"/>
                <w:kern w:val="0"/>
                <w:szCs w:val="21"/>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92"/>
      <w:jc w:val="right"/>
      <w:rPr>
        <w:rStyle w:val="18"/>
      </w:rPr>
    </w:pPr>
    <w:r>
      <w:rPr>
        <w:rStyle w:val="18"/>
      </w:rPr>
      <w:fldChar w:fldCharType="begin"/>
    </w:r>
    <w:r>
      <w:rPr>
        <w:rStyle w:val="18"/>
      </w:rPr>
      <w:instrText xml:space="preserve">PAGE  </w:instrText>
    </w:r>
    <w:r>
      <w:rPr>
        <w:rStyle w:val="18"/>
      </w:rPr>
      <w:fldChar w:fldCharType="separate"/>
    </w:r>
    <w:r>
      <w:rPr>
        <w:rStyle w:val="18"/>
      </w:rPr>
      <w:t>11</w:t>
    </w:r>
    <w:r>
      <w:rPr>
        <w:rStyle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92"/>
      <w:rPr>
        <w:rStyle w:val="18"/>
      </w:rPr>
    </w:pPr>
    <w:r>
      <w:rPr>
        <w:rStyle w:val="18"/>
      </w:rPr>
      <w:fldChar w:fldCharType="begin"/>
    </w:r>
    <w:r>
      <w:rPr>
        <w:rStyle w:val="18"/>
      </w:rPr>
      <w:instrText xml:space="preserve">PAGE  </w:instrText>
    </w:r>
    <w:r>
      <w:rPr>
        <w:rStyle w:val="18"/>
      </w:rPr>
      <w:fldChar w:fldCharType="separate"/>
    </w:r>
    <w:r>
      <w:rPr>
        <w:rStyle w:val="18"/>
        <w:rFonts w:hint="eastAsia"/>
      </w:rPr>
      <w:t>一</w:t>
    </w:r>
    <w:r>
      <w:rPr>
        <w:rStyle w:val="18"/>
      </w:rPr>
      <w:t>–2</w:t>
    </w:r>
    <w:r>
      <w:rPr>
        <w:rStyle w:val="18"/>
      </w:rPr>
      <w:fldChar w:fldCharType="end"/>
    </w:r>
  </w:p>
  <w:p>
    <w:pPr>
      <w:pStyle w:val="8"/>
      <w:ind w:firstLine="392"/>
    </w:pPr>
    <w: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92"/>
    </w:pPr>
    <w:r>
      <w:rPr>
        <w:rStyle w:val="18"/>
      </w:rPr>
      <w:fldChar w:fldCharType="begin"/>
    </w:r>
    <w:r>
      <w:rPr>
        <w:rStyle w:val="18"/>
      </w:rPr>
      <w:instrText xml:space="preserve"> PAGE </w:instrText>
    </w:r>
    <w:r>
      <w:rPr>
        <w:rStyle w:val="18"/>
      </w:rPr>
      <w:fldChar w:fldCharType="separate"/>
    </w:r>
    <w:r>
      <w:rPr>
        <w:rStyle w:val="18"/>
      </w:rPr>
      <w:t>10</w:t>
    </w:r>
    <w:r>
      <w:rPr>
        <w:rStyle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zE1ODViZDcyMjAwMTc2YzY0NGViNDk0OTM3OTQifQ=="/>
  </w:docVars>
  <w:rsids>
    <w:rsidRoot w:val="001C36EE"/>
    <w:rsid w:val="00011E67"/>
    <w:rsid w:val="00105DE0"/>
    <w:rsid w:val="00121C77"/>
    <w:rsid w:val="00146E1A"/>
    <w:rsid w:val="00167BFF"/>
    <w:rsid w:val="001A6843"/>
    <w:rsid w:val="001B2327"/>
    <w:rsid w:val="001C1E6B"/>
    <w:rsid w:val="001C36EE"/>
    <w:rsid w:val="001F605E"/>
    <w:rsid w:val="0022218B"/>
    <w:rsid w:val="00283E4C"/>
    <w:rsid w:val="0028533B"/>
    <w:rsid w:val="002C08E0"/>
    <w:rsid w:val="002D139C"/>
    <w:rsid w:val="003121A1"/>
    <w:rsid w:val="003954B3"/>
    <w:rsid w:val="00440131"/>
    <w:rsid w:val="00472C40"/>
    <w:rsid w:val="004C00E6"/>
    <w:rsid w:val="0067367A"/>
    <w:rsid w:val="00682E8B"/>
    <w:rsid w:val="00683D18"/>
    <w:rsid w:val="006E1822"/>
    <w:rsid w:val="007259B2"/>
    <w:rsid w:val="007A6B3D"/>
    <w:rsid w:val="007B5072"/>
    <w:rsid w:val="007E03D3"/>
    <w:rsid w:val="007E1FA0"/>
    <w:rsid w:val="008510DF"/>
    <w:rsid w:val="00860432"/>
    <w:rsid w:val="00886268"/>
    <w:rsid w:val="008C7378"/>
    <w:rsid w:val="00976D4B"/>
    <w:rsid w:val="00980613"/>
    <w:rsid w:val="009E04E5"/>
    <w:rsid w:val="00A42638"/>
    <w:rsid w:val="00B45B7C"/>
    <w:rsid w:val="00BE6F4C"/>
    <w:rsid w:val="00BF3575"/>
    <w:rsid w:val="00BF6247"/>
    <w:rsid w:val="00D5408A"/>
    <w:rsid w:val="00D57B06"/>
    <w:rsid w:val="00D73FBA"/>
    <w:rsid w:val="00DE4ED6"/>
    <w:rsid w:val="00E47D01"/>
    <w:rsid w:val="00E85CCE"/>
    <w:rsid w:val="00EC2EC6"/>
    <w:rsid w:val="00F7713C"/>
    <w:rsid w:val="00FB0F23"/>
    <w:rsid w:val="00FC12C0"/>
    <w:rsid w:val="00FF0A65"/>
    <w:rsid w:val="00FF4E4E"/>
    <w:rsid w:val="012153D7"/>
    <w:rsid w:val="015E5E12"/>
    <w:rsid w:val="01CD0AF7"/>
    <w:rsid w:val="01D92BCF"/>
    <w:rsid w:val="01E93200"/>
    <w:rsid w:val="01F353DB"/>
    <w:rsid w:val="02845E60"/>
    <w:rsid w:val="036E28F4"/>
    <w:rsid w:val="037C0F02"/>
    <w:rsid w:val="03B41707"/>
    <w:rsid w:val="03D93EDA"/>
    <w:rsid w:val="044941F0"/>
    <w:rsid w:val="04575263"/>
    <w:rsid w:val="04826744"/>
    <w:rsid w:val="04F7772C"/>
    <w:rsid w:val="051D6775"/>
    <w:rsid w:val="052430DB"/>
    <w:rsid w:val="052C3D34"/>
    <w:rsid w:val="0532195B"/>
    <w:rsid w:val="05EC0654"/>
    <w:rsid w:val="065958F2"/>
    <w:rsid w:val="06AF2867"/>
    <w:rsid w:val="06DB53CD"/>
    <w:rsid w:val="07175D1E"/>
    <w:rsid w:val="07917873"/>
    <w:rsid w:val="079F5E6D"/>
    <w:rsid w:val="0824254E"/>
    <w:rsid w:val="082F7A54"/>
    <w:rsid w:val="084208A2"/>
    <w:rsid w:val="08555818"/>
    <w:rsid w:val="0867191A"/>
    <w:rsid w:val="08830CDE"/>
    <w:rsid w:val="097A53C7"/>
    <w:rsid w:val="0993146A"/>
    <w:rsid w:val="09C24519"/>
    <w:rsid w:val="09D4148D"/>
    <w:rsid w:val="0A016858"/>
    <w:rsid w:val="0A1C13D2"/>
    <w:rsid w:val="0A2C3B1B"/>
    <w:rsid w:val="0A36709E"/>
    <w:rsid w:val="0B4B2A98"/>
    <w:rsid w:val="0B765B95"/>
    <w:rsid w:val="0BD725F5"/>
    <w:rsid w:val="0C123173"/>
    <w:rsid w:val="0C2B2513"/>
    <w:rsid w:val="0CFE26A9"/>
    <w:rsid w:val="0D8308C4"/>
    <w:rsid w:val="0D9C5CCD"/>
    <w:rsid w:val="0E0D2217"/>
    <w:rsid w:val="0E0D57F7"/>
    <w:rsid w:val="0E0F3E38"/>
    <w:rsid w:val="0E526B07"/>
    <w:rsid w:val="0E5D5183"/>
    <w:rsid w:val="0E732416"/>
    <w:rsid w:val="0EE12586"/>
    <w:rsid w:val="0F2E7F13"/>
    <w:rsid w:val="0F4E7EE7"/>
    <w:rsid w:val="0F8267DB"/>
    <w:rsid w:val="100F4540"/>
    <w:rsid w:val="10272E8A"/>
    <w:rsid w:val="10973517"/>
    <w:rsid w:val="1109042B"/>
    <w:rsid w:val="111911C3"/>
    <w:rsid w:val="11495112"/>
    <w:rsid w:val="11BC4D17"/>
    <w:rsid w:val="124D60E5"/>
    <w:rsid w:val="126420E9"/>
    <w:rsid w:val="12A76776"/>
    <w:rsid w:val="13192BB2"/>
    <w:rsid w:val="134D6332"/>
    <w:rsid w:val="137415A0"/>
    <w:rsid w:val="139130A4"/>
    <w:rsid w:val="13A97F48"/>
    <w:rsid w:val="14397DD8"/>
    <w:rsid w:val="14671DBF"/>
    <w:rsid w:val="14C32666"/>
    <w:rsid w:val="151235F9"/>
    <w:rsid w:val="15835C67"/>
    <w:rsid w:val="15903CA5"/>
    <w:rsid w:val="161004B7"/>
    <w:rsid w:val="162118FC"/>
    <w:rsid w:val="162400F6"/>
    <w:rsid w:val="16DA67F6"/>
    <w:rsid w:val="16E2752A"/>
    <w:rsid w:val="170D02A1"/>
    <w:rsid w:val="17AC1E4E"/>
    <w:rsid w:val="184456C8"/>
    <w:rsid w:val="18817CB2"/>
    <w:rsid w:val="189C3C17"/>
    <w:rsid w:val="18A51933"/>
    <w:rsid w:val="18BB3B37"/>
    <w:rsid w:val="18BF5274"/>
    <w:rsid w:val="19436939"/>
    <w:rsid w:val="196B3484"/>
    <w:rsid w:val="198218CD"/>
    <w:rsid w:val="19861019"/>
    <w:rsid w:val="1A03709F"/>
    <w:rsid w:val="1A072B23"/>
    <w:rsid w:val="1A080F1B"/>
    <w:rsid w:val="1ABC48F0"/>
    <w:rsid w:val="1B1B1F29"/>
    <w:rsid w:val="1BDB41D6"/>
    <w:rsid w:val="1C611550"/>
    <w:rsid w:val="1CB7665E"/>
    <w:rsid w:val="1CCE4466"/>
    <w:rsid w:val="1D1D2B54"/>
    <w:rsid w:val="1D405808"/>
    <w:rsid w:val="1DDD44C8"/>
    <w:rsid w:val="1E060BE2"/>
    <w:rsid w:val="1E086616"/>
    <w:rsid w:val="1F8136F5"/>
    <w:rsid w:val="1FB85127"/>
    <w:rsid w:val="203065DE"/>
    <w:rsid w:val="203E0D97"/>
    <w:rsid w:val="206F236A"/>
    <w:rsid w:val="20EE170B"/>
    <w:rsid w:val="20F90404"/>
    <w:rsid w:val="21DF48AF"/>
    <w:rsid w:val="21E46A4E"/>
    <w:rsid w:val="21EC13EF"/>
    <w:rsid w:val="21FB714B"/>
    <w:rsid w:val="22210462"/>
    <w:rsid w:val="22656765"/>
    <w:rsid w:val="22912EC0"/>
    <w:rsid w:val="22A139BF"/>
    <w:rsid w:val="22CA2FC7"/>
    <w:rsid w:val="22CA7ABA"/>
    <w:rsid w:val="22D764D9"/>
    <w:rsid w:val="23162C67"/>
    <w:rsid w:val="231F5939"/>
    <w:rsid w:val="23254AE0"/>
    <w:rsid w:val="237F5E1F"/>
    <w:rsid w:val="2392339C"/>
    <w:rsid w:val="23943268"/>
    <w:rsid w:val="2424165E"/>
    <w:rsid w:val="24244ED4"/>
    <w:rsid w:val="24283821"/>
    <w:rsid w:val="24997BD1"/>
    <w:rsid w:val="24B11094"/>
    <w:rsid w:val="25875639"/>
    <w:rsid w:val="25954413"/>
    <w:rsid w:val="25A30362"/>
    <w:rsid w:val="25A462E2"/>
    <w:rsid w:val="25CD10F9"/>
    <w:rsid w:val="263C5CAC"/>
    <w:rsid w:val="263D0486"/>
    <w:rsid w:val="269A360B"/>
    <w:rsid w:val="26BE0028"/>
    <w:rsid w:val="27552761"/>
    <w:rsid w:val="27B72598"/>
    <w:rsid w:val="2809760F"/>
    <w:rsid w:val="284A0044"/>
    <w:rsid w:val="28C20C40"/>
    <w:rsid w:val="29191616"/>
    <w:rsid w:val="2938245E"/>
    <w:rsid w:val="2950171F"/>
    <w:rsid w:val="298113C1"/>
    <w:rsid w:val="29E63150"/>
    <w:rsid w:val="29F41D18"/>
    <w:rsid w:val="2AE906CB"/>
    <w:rsid w:val="2AFF555D"/>
    <w:rsid w:val="2B991D4C"/>
    <w:rsid w:val="2BFC211E"/>
    <w:rsid w:val="2C105A4A"/>
    <w:rsid w:val="2C133F1E"/>
    <w:rsid w:val="2C203772"/>
    <w:rsid w:val="2C452775"/>
    <w:rsid w:val="2C7E5D56"/>
    <w:rsid w:val="2C97659A"/>
    <w:rsid w:val="2C9D76A2"/>
    <w:rsid w:val="2D5776A5"/>
    <w:rsid w:val="2DC7275E"/>
    <w:rsid w:val="2E9D3382"/>
    <w:rsid w:val="2ED563FB"/>
    <w:rsid w:val="2EFF3620"/>
    <w:rsid w:val="2F07200E"/>
    <w:rsid w:val="2F3C4C02"/>
    <w:rsid w:val="2FB726F2"/>
    <w:rsid w:val="2FB83911"/>
    <w:rsid w:val="2FC34145"/>
    <w:rsid w:val="2FDB57F3"/>
    <w:rsid w:val="30234296"/>
    <w:rsid w:val="31060DE6"/>
    <w:rsid w:val="311E38B4"/>
    <w:rsid w:val="31395A78"/>
    <w:rsid w:val="315C6248"/>
    <w:rsid w:val="31713594"/>
    <w:rsid w:val="318B715B"/>
    <w:rsid w:val="31D61CC4"/>
    <w:rsid w:val="31D7118A"/>
    <w:rsid w:val="327C1F34"/>
    <w:rsid w:val="32F27C96"/>
    <w:rsid w:val="32FD149B"/>
    <w:rsid w:val="33411E93"/>
    <w:rsid w:val="343516FB"/>
    <w:rsid w:val="3481200A"/>
    <w:rsid w:val="34BE2FB1"/>
    <w:rsid w:val="34F84078"/>
    <w:rsid w:val="352960B5"/>
    <w:rsid w:val="35684088"/>
    <w:rsid w:val="36A60369"/>
    <w:rsid w:val="37835E55"/>
    <w:rsid w:val="37E4036F"/>
    <w:rsid w:val="38747127"/>
    <w:rsid w:val="387D6E9F"/>
    <w:rsid w:val="387F7D49"/>
    <w:rsid w:val="38C64085"/>
    <w:rsid w:val="38CE1F9A"/>
    <w:rsid w:val="38D27183"/>
    <w:rsid w:val="38E57F67"/>
    <w:rsid w:val="38F93C10"/>
    <w:rsid w:val="3A8429F9"/>
    <w:rsid w:val="3AA62924"/>
    <w:rsid w:val="3B0C081D"/>
    <w:rsid w:val="3B0C5280"/>
    <w:rsid w:val="3B1A6930"/>
    <w:rsid w:val="3B405430"/>
    <w:rsid w:val="3B4E469F"/>
    <w:rsid w:val="3B6E2517"/>
    <w:rsid w:val="3BEA11C9"/>
    <w:rsid w:val="3C1E1EE2"/>
    <w:rsid w:val="3C522D25"/>
    <w:rsid w:val="3CD37EFE"/>
    <w:rsid w:val="3D487BED"/>
    <w:rsid w:val="3D8E2AFE"/>
    <w:rsid w:val="3DA37CA1"/>
    <w:rsid w:val="3DC74E4C"/>
    <w:rsid w:val="3E06004E"/>
    <w:rsid w:val="3E424B35"/>
    <w:rsid w:val="3E5351D5"/>
    <w:rsid w:val="3E5C5F0D"/>
    <w:rsid w:val="3FB65E92"/>
    <w:rsid w:val="3FF05BE1"/>
    <w:rsid w:val="3FFC1BCB"/>
    <w:rsid w:val="40084E77"/>
    <w:rsid w:val="40163935"/>
    <w:rsid w:val="403918CF"/>
    <w:rsid w:val="40D90F20"/>
    <w:rsid w:val="41155923"/>
    <w:rsid w:val="41615D7E"/>
    <w:rsid w:val="424E5D61"/>
    <w:rsid w:val="42887E0A"/>
    <w:rsid w:val="429F5713"/>
    <w:rsid w:val="42B4353C"/>
    <w:rsid w:val="42D741E3"/>
    <w:rsid w:val="42EE7A68"/>
    <w:rsid w:val="42FF7F79"/>
    <w:rsid w:val="438016CA"/>
    <w:rsid w:val="43830FEE"/>
    <w:rsid w:val="43CA7AEB"/>
    <w:rsid w:val="43D75602"/>
    <w:rsid w:val="44045059"/>
    <w:rsid w:val="4478091B"/>
    <w:rsid w:val="44AE7B04"/>
    <w:rsid w:val="44B65141"/>
    <w:rsid w:val="44C55904"/>
    <w:rsid w:val="452F5F4C"/>
    <w:rsid w:val="45310853"/>
    <w:rsid w:val="45724994"/>
    <w:rsid w:val="4583444B"/>
    <w:rsid w:val="45904DE5"/>
    <w:rsid w:val="45F20A03"/>
    <w:rsid w:val="464E1EE4"/>
    <w:rsid w:val="46570B7F"/>
    <w:rsid w:val="46F74ADC"/>
    <w:rsid w:val="47034758"/>
    <w:rsid w:val="47140E7E"/>
    <w:rsid w:val="47C9559D"/>
    <w:rsid w:val="47CC284A"/>
    <w:rsid w:val="47D048BC"/>
    <w:rsid w:val="48143A2B"/>
    <w:rsid w:val="483F2463"/>
    <w:rsid w:val="488877AC"/>
    <w:rsid w:val="491F2669"/>
    <w:rsid w:val="49756CB8"/>
    <w:rsid w:val="49F12736"/>
    <w:rsid w:val="49F80F95"/>
    <w:rsid w:val="49F930E0"/>
    <w:rsid w:val="4A1231CF"/>
    <w:rsid w:val="4A1F6E62"/>
    <w:rsid w:val="4A455CE9"/>
    <w:rsid w:val="4ABC373D"/>
    <w:rsid w:val="4AEE0F90"/>
    <w:rsid w:val="4B047908"/>
    <w:rsid w:val="4B0F6C8F"/>
    <w:rsid w:val="4B2C5E19"/>
    <w:rsid w:val="4B5D0C5B"/>
    <w:rsid w:val="4C4009E7"/>
    <w:rsid w:val="4C691378"/>
    <w:rsid w:val="4C6C79C4"/>
    <w:rsid w:val="4D0C4EDB"/>
    <w:rsid w:val="4D4B229B"/>
    <w:rsid w:val="4D720DA7"/>
    <w:rsid w:val="4DD81EA9"/>
    <w:rsid w:val="4E162323"/>
    <w:rsid w:val="4E4B30FD"/>
    <w:rsid w:val="4E87415F"/>
    <w:rsid w:val="4E8E2CFB"/>
    <w:rsid w:val="4EB517F2"/>
    <w:rsid w:val="4EC665FA"/>
    <w:rsid w:val="4F1156F4"/>
    <w:rsid w:val="4F293A6D"/>
    <w:rsid w:val="4F2B1E42"/>
    <w:rsid w:val="4F975815"/>
    <w:rsid w:val="4FDC03A1"/>
    <w:rsid w:val="50304ED3"/>
    <w:rsid w:val="50554B7F"/>
    <w:rsid w:val="505D5410"/>
    <w:rsid w:val="507F6BA5"/>
    <w:rsid w:val="50BA10E4"/>
    <w:rsid w:val="50D52A20"/>
    <w:rsid w:val="50E74E01"/>
    <w:rsid w:val="512025D6"/>
    <w:rsid w:val="51A508E7"/>
    <w:rsid w:val="51A9005A"/>
    <w:rsid w:val="51DD6022"/>
    <w:rsid w:val="523E0F91"/>
    <w:rsid w:val="526E606C"/>
    <w:rsid w:val="52D003E7"/>
    <w:rsid w:val="52DB5734"/>
    <w:rsid w:val="52EA44E7"/>
    <w:rsid w:val="52F43FF6"/>
    <w:rsid w:val="53463EF0"/>
    <w:rsid w:val="53CB1303"/>
    <w:rsid w:val="53EA5979"/>
    <w:rsid w:val="540723BD"/>
    <w:rsid w:val="543B4702"/>
    <w:rsid w:val="54464B8A"/>
    <w:rsid w:val="544762AC"/>
    <w:rsid w:val="544967CB"/>
    <w:rsid w:val="54870CE9"/>
    <w:rsid w:val="548C44D0"/>
    <w:rsid w:val="54AA393B"/>
    <w:rsid w:val="54F448A4"/>
    <w:rsid w:val="55180893"/>
    <w:rsid w:val="55847E23"/>
    <w:rsid w:val="56356DBB"/>
    <w:rsid w:val="5697618B"/>
    <w:rsid w:val="56F56C5D"/>
    <w:rsid w:val="574232EE"/>
    <w:rsid w:val="57C54915"/>
    <w:rsid w:val="57F9070D"/>
    <w:rsid w:val="582648E5"/>
    <w:rsid w:val="58A4226E"/>
    <w:rsid w:val="58AE1C1A"/>
    <w:rsid w:val="59774ACC"/>
    <w:rsid w:val="597E4A16"/>
    <w:rsid w:val="5A8326F7"/>
    <w:rsid w:val="5ABA45CB"/>
    <w:rsid w:val="5AC9244D"/>
    <w:rsid w:val="5AFB70A1"/>
    <w:rsid w:val="5B51582B"/>
    <w:rsid w:val="5BA109C3"/>
    <w:rsid w:val="5BBC1352"/>
    <w:rsid w:val="5C147B09"/>
    <w:rsid w:val="5C361664"/>
    <w:rsid w:val="5C672353"/>
    <w:rsid w:val="5CCA5622"/>
    <w:rsid w:val="5D1325AE"/>
    <w:rsid w:val="5D3A7375"/>
    <w:rsid w:val="5D89735E"/>
    <w:rsid w:val="5DCA3A18"/>
    <w:rsid w:val="5EAC1F1C"/>
    <w:rsid w:val="5F0F10E7"/>
    <w:rsid w:val="5F111B8E"/>
    <w:rsid w:val="5F882086"/>
    <w:rsid w:val="5FB2142F"/>
    <w:rsid w:val="5FC7101F"/>
    <w:rsid w:val="600E18DB"/>
    <w:rsid w:val="60305C17"/>
    <w:rsid w:val="60433FA6"/>
    <w:rsid w:val="60671524"/>
    <w:rsid w:val="60717CF2"/>
    <w:rsid w:val="61322D83"/>
    <w:rsid w:val="6269762A"/>
    <w:rsid w:val="62704B5B"/>
    <w:rsid w:val="62B91878"/>
    <w:rsid w:val="62F06648"/>
    <w:rsid w:val="62F50074"/>
    <w:rsid w:val="630D619B"/>
    <w:rsid w:val="631876D7"/>
    <w:rsid w:val="634563ED"/>
    <w:rsid w:val="634D0E4E"/>
    <w:rsid w:val="63642BCE"/>
    <w:rsid w:val="638C6FB7"/>
    <w:rsid w:val="644F2419"/>
    <w:rsid w:val="64CE3602"/>
    <w:rsid w:val="650719FE"/>
    <w:rsid w:val="65742452"/>
    <w:rsid w:val="66914062"/>
    <w:rsid w:val="67121848"/>
    <w:rsid w:val="672076F9"/>
    <w:rsid w:val="672845E3"/>
    <w:rsid w:val="67A12C4B"/>
    <w:rsid w:val="67C879E6"/>
    <w:rsid w:val="68527D75"/>
    <w:rsid w:val="685327A1"/>
    <w:rsid w:val="68720F3A"/>
    <w:rsid w:val="6895071F"/>
    <w:rsid w:val="696944ED"/>
    <w:rsid w:val="696A007A"/>
    <w:rsid w:val="697C30C8"/>
    <w:rsid w:val="69824A4D"/>
    <w:rsid w:val="69AD6C43"/>
    <w:rsid w:val="69EB2192"/>
    <w:rsid w:val="6A86657E"/>
    <w:rsid w:val="6A9C04C7"/>
    <w:rsid w:val="6ACB2561"/>
    <w:rsid w:val="6B151F5A"/>
    <w:rsid w:val="6B3838AE"/>
    <w:rsid w:val="6B3B334A"/>
    <w:rsid w:val="6B4B0772"/>
    <w:rsid w:val="6B7D59FA"/>
    <w:rsid w:val="6BAE7DDB"/>
    <w:rsid w:val="6BB61486"/>
    <w:rsid w:val="6BDC2F65"/>
    <w:rsid w:val="6C6B3EF7"/>
    <w:rsid w:val="6C9A3C64"/>
    <w:rsid w:val="6CE53294"/>
    <w:rsid w:val="6CF0352F"/>
    <w:rsid w:val="6D445338"/>
    <w:rsid w:val="6D692989"/>
    <w:rsid w:val="6DDB5465"/>
    <w:rsid w:val="6E731A0D"/>
    <w:rsid w:val="6E7F7A62"/>
    <w:rsid w:val="6EB440E9"/>
    <w:rsid w:val="6ED27FA4"/>
    <w:rsid w:val="6F153637"/>
    <w:rsid w:val="6F31291C"/>
    <w:rsid w:val="6F7E124A"/>
    <w:rsid w:val="70210691"/>
    <w:rsid w:val="70B074D1"/>
    <w:rsid w:val="7123390F"/>
    <w:rsid w:val="71401B10"/>
    <w:rsid w:val="717A200D"/>
    <w:rsid w:val="719076AA"/>
    <w:rsid w:val="71C575A5"/>
    <w:rsid w:val="728273EC"/>
    <w:rsid w:val="73080A44"/>
    <w:rsid w:val="736C3DBA"/>
    <w:rsid w:val="739F72F3"/>
    <w:rsid w:val="73B07652"/>
    <w:rsid w:val="73DC6C44"/>
    <w:rsid w:val="73EC6785"/>
    <w:rsid w:val="73F42B72"/>
    <w:rsid w:val="74522E59"/>
    <w:rsid w:val="746F3FC4"/>
    <w:rsid w:val="74DD0F83"/>
    <w:rsid w:val="755E3691"/>
    <w:rsid w:val="757E7345"/>
    <w:rsid w:val="758A51E5"/>
    <w:rsid w:val="759C12DB"/>
    <w:rsid w:val="75B66CB7"/>
    <w:rsid w:val="75C30DC4"/>
    <w:rsid w:val="761B1A2A"/>
    <w:rsid w:val="765F4CD8"/>
    <w:rsid w:val="769549C0"/>
    <w:rsid w:val="76ED6AD1"/>
    <w:rsid w:val="77384195"/>
    <w:rsid w:val="77974721"/>
    <w:rsid w:val="77B7138C"/>
    <w:rsid w:val="77F3500A"/>
    <w:rsid w:val="78040EAB"/>
    <w:rsid w:val="78354103"/>
    <w:rsid w:val="787D249B"/>
    <w:rsid w:val="798A0C1A"/>
    <w:rsid w:val="79A0404F"/>
    <w:rsid w:val="79B73C64"/>
    <w:rsid w:val="79C26734"/>
    <w:rsid w:val="7AA6776D"/>
    <w:rsid w:val="7AD72F66"/>
    <w:rsid w:val="7AFF36A9"/>
    <w:rsid w:val="7B7F57B8"/>
    <w:rsid w:val="7BB44029"/>
    <w:rsid w:val="7BFC4EE4"/>
    <w:rsid w:val="7C14558C"/>
    <w:rsid w:val="7C381D81"/>
    <w:rsid w:val="7D6E7127"/>
    <w:rsid w:val="7D89584C"/>
    <w:rsid w:val="7DAA51A9"/>
    <w:rsid w:val="7DB74351"/>
    <w:rsid w:val="7E507AA1"/>
    <w:rsid w:val="7E5A7B78"/>
    <w:rsid w:val="7E5B6622"/>
    <w:rsid w:val="7E6D46AA"/>
    <w:rsid w:val="7EF853D2"/>
    <w:rsid w:val="7F381468"/>
    <w:rsid w:val="7F6763F4"/>
    <w:rsid w:val="7F9929DC"/>
    <w:rsid w:val="7FAF7FE8"/>
    <w:rsid w:val="7FC401FE"/>
    <w:rsid w:val="7FD27C07"/>
    <w:rsid w:val="7FD863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42"/>
    <w:qFormat/>
    <w:uiPriority w:val="99"/>
    <w:rPr>
      <w:rFonts w:ascii="宋体" w:hAnsi="Courier New"/>
    </w:rPr>
  </w:style>
  <w:style w:type="paragraph" w:styleId="4">
    <w:name w:val="Normal Indent"/>
    <w:basedOn w:val="1"/>
    <w:unhideWhenUsed/>
    <w:qFormat/>
    <w:uiPriority w:val="99"/>
    <w:pPr>
      <w:ind w:firstLine="420"/>
    </w:pPr>
    <w:rPr>
      <w:szCs w:val="20"/>
    </w:rPr>
  </w:style>
  <w:style w:type="paragraph" w:styleId="5">
    <w:name w:val="annotation text"/>
    <w:basedOn w:val="1"/>
    <w:link w:val="32"/>
    <w:qFormat/>
    <w:uiPriority w:val="0"/>
    <w:pPr>
      <w:spacing w:line="360" w:lineRule="auto"/>
      <w:ind w:firstLine="523" w:firstLineChars="218"/>
      <w:jc w:val="left"/>
    </w:pPr>
    <w:rPr>
      <w:rFonts w:ascii="宋体" w:hAnsi="宋体"/>
      <w:kern w:val="0"/>
      <w:sz w:val="24"/>
      <w:szCs w:val="24"/>
      <w:lang w:val="zh-CN"/>
    </w:rPr>
  </w:style>
  <w:style w:type="paragraph" w:styleId="6">
    <w:name w:val="Body Text"/>
    <w:basedOn w:val="1"/>
    <w:link w:val="27"/>
    <w:semiHidden/>
    <w:unhideWhenUsed/>
    <w:qFormat/>
    <w:uiPriority w:val="99"/>
    <w:pPr>
      <w:spacing w:after="120"/>
    </w:pPr>
  </w:style>
  <w:style w:type="paragraph" w:styleId="7">
    <w:name w:val="Balloon Text"/>
    <w:basedOn w:val="1"/>
    <w:link w:val="33"/>
    <w:semiHidden/>
    <w:unhideWhenUsed/>
    <w:qFormat/>
    <w:uiPriority w:val="99"/>
    <w:rPr>
      <w:sz w:val="18"/>
      <w:szCs w:val="18"/>
    </w:rPr>
  </w:style>
  <w:style w:type="paragraph" w:styleId="8">
    <w:name w:val="footer"/>
    <w:basedOn w:val="1"/>
    <w:link w:val="26"/>
    <w:unhideWhenUsed/>
    <w:qFormat/>
    <w:uiPriority w:val="0"/>
    <w:pPr>
      <w:tabs>
        <w:tab w:val="center" w:pos="4153"/>
        <w:tab w:val="right" w:pos="8306"/>
      </w:tabs>
      <w:snapToGrid w:val="0"/>
      <w:jc w:val="left"/>
    </w:pPr>
    <w:rPr>
      <w:sz w:val="18"/>
      <w:szCs w:val="18"/>
    </w:rPr>
  </w:style>
  <w:style w:type="paragraph" w:styleId="9">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11">
    <w:name w:val="Body Text 2"/>
    <w:basedOn w:val="1"/>
    <w:link w:val="29"/>
    <w:qFormat/>
    <w:uiPriority w:val="0"/>
    <w:rPr>
      <w:rFonts w:ascii="宋体" w:hAnsi="宋体"/>
      <w:kern w:val="0"/>
      <w:sz w:val="20"/>
      <w:szCs w:val="24"/>
      <w:u w:val="single"/>
      <w:lang w:val="zh-CN"/>
    </w:rPr>
  </w:style>
  <w:style w:type="paragraph" w:styleId="12">
    <w:name w:val="Normal (Web)"/>
    <w:basedOn w:val="1"/>
    <w:semiHidden/>
    <w:unhideWhenUsed/>
    <w:qFormat/>
    <w:uiPriority w:val="99"/>
    <w:pPr>
      <w:spacing w:beforeAutospacing="1" w:afterAutospacing="1"/>
      <w:jc w:val="left"/>
    </w:pPr>
    <w:rPr>
      <w:kern w:val="0"/>
      <w:sz w:val="24"/>
    </w:rPr>
  </w:style>
  <w:style w:type="paragraph" w:styleId="13">
    <w:name w:val="annotation subject"/>
    <w:basedOn w:val="5"/>
    <w:next w:val="5"/>
    <w:link w:val="34"/>
    <w:semiHidden/>
    <w:unhideWhenUsed/>
    <w:qFormat/>
    <w:uiPriority w:val="99"/>
    <w:pPr>
      <w:spacing w:line="240" w:lineRule="auto"/>
      <w:ind w:firstLine="0" w:firstLineChars="0"/>
    </w:pPr>
    <w:rPr>
      <w:rFonts w:ascii="Calibri" w:hAnsi="Calibri"/>
      <w:b/>
      <w:bCs/>
      <w:kern w:val="2"/>
      <w:sz w:val="21"/>
      <w:szCs w:val="22"/>
      <w:lang w:val="en-US"/>
    </w:rPr>
  </w:style>
  <w:style w:type="paragraph" w:styleId="14">
    <w:name w:val="Body Text First Indent"/>
    <w:basedOn w:val="6"/>
    <w:link w:val="28"/>
    <w:qFormat/>
    <w:uiPriority w:val="0"/>
    <w:pPr>
      <w:ind w:firstLine="420"/>
    </w:pPr>
    <w:rPr>
      <w:rFonts w:ascii="Times New Roman" w:hAnsi="Times New Roman"/>
      <w:kern w:val="0"/>
      <w:sz w:val="20"/>
      <w:szCs w:val="20"/>
      <w:lang w:val="zh-CN"/>
    </w:rPr>
  </w:style>
  <w:style w:type="character" w:styleId="17">
    <w:name w:val="Strong"/>
    <w:basedOn w:val="16"/>
    <w:qFormat/>
    <w:uiPriority w:val="22"/>
    <w:rPr>
      <w:b/>
    </w:rPr>
  </w:style>
  <w:style w:type="character" w:styleId="18">
    <w:name w:val="page number"/>
    <w:qFormat/>
    <w:uiPriority w:val="0"/>
    <w:rPr>
      <w:rFonts w:cs="Times New Roman"/>
    </w:rPr>
  </w:style>
  <w:style w:type="character" w:styleId="19">
    <w:name w:val="FollowedHyperlink"/>
    <w:basedOn w:val="16"/>
    <w:semiHidden/>
    <w:unhideWhenUsed/>
    <w:qFormat/>
    <w:uiPriority w:val="99"/>
    <w:rPr>
      <w:color w:val="000000"/>
      <w:u w:val="none"/>
    </w:rPr>
  </w:style>
  <w:style w:type="character" w:styleId="20">
    <w:name w:val="Hyperlink"/>
    <w:basedOn w:val="16"/>
    <w:semiHidden/>
    <w:unhideWhenUsed/>
    <w:qFormat/>
    <w:uiPriority w:val="99"/>
    <w:rPr>
      <w:color w:val="000000"/>
      <w:u w:val="none"/>
    </w:rPr>
  </w:style>
  <w:style w:type="character" w:styleId="21">
    <w:name w:val="HTML Code"/>
    <w:basedOn w:val="16"/>
    <w:semiHidden/>
    <w:unhideWhenUsed/>
    <w:qFormat/>
    <w:uiPriority w:val="99"/>
    <w:rPr>
      <w:rFonts w:hint="default" w:ascii="Consolas" w:hAnsi="Consolas" w:eastAsia="Consolas" w:cs="Consolas"/>
      <w:color w:val="C7254E"/>
      <w:sz w:val="21"/>
      <w:szCs w:val="21"/>
      <w:shd w:val="clear" w:color="auto" w:fill="F8F8F8"/>
    </w:rPr>
  </w:style>
  <w:style w:type="character" w:styleId="22">
    <w:name w:val="annotation reference"/>
    <w:qFormat/>
    <w:uiPriority w:val="0"/>
    <w:rPr>
      <w:sz w:val="21"/>
      <w:szCs w:val="21"/>
    </w:rPr>
  </w:style>
  <w:style w:type="character" w:styleId="23">
    <w:name w:val="HTML Keyboard"/>
    <w:basedOn w:val="16"/>
    <w:semiHidden/>
    <w:unhideWhenUsed/>
    <w:qFormat/>
    <w:uiPriority w:val="99"/>
    <w:rPr>
      <w:rFonts w:hint="default" w:ascii="Consolas" w:hAnsi="Consolas" w:eastAsia="Consolas" w:cs="Consolas"/>
      <w:sz w:val="21"/>
      <w:szCs w:val="21"/>
    </w:rPr>
  </w:style>
  <w:style w:type="character" w:styleId="24">
    <w:name w:val="HTML Sample"/>
    <w:basedOn w:val="16"/>
    <w:semiHidden/>
    <w:unhideWhenUsed/>
    <w:qFormat/>
    <w:uiPriority w:val="99"/>
    <w:rPr>
      <w:rFonts w:hint="default" w:ascii="Consolas" w:hAnsi="Consolas" w:eastAsia="Consolas" w:cs="Consolas"/>
      <w:sz w:val="21"/>
      <w:szCs w:val="21"/>
    </w:rPr>
  </w:style>
  <w:style w:type="character" w:customStyle="1" w:styleId="25">
    <w:name w:val="页眉 字符"/>
    <w:basedOn w:val="16"/>
    <w:link w:val="9"/>
    <w:qFormat/>
    <w:uiPriority w:val="0"/>
    <w:rPr>
      <w:sz w:val="18"/>
      <w:szCs w:val="18"/>
    </w:rPr>
  </w:style>
  <w:style w:type="character" w:customStyle="1" w:styleId="26">
    <w:name w:val="页脚 字符"/>
    <w:basedOn w:val="16"/>
    <w:link w:val="8"/>
    <w:qFormat/>
    <w:uiPriority w:val="0"/>
    <w:rPr>
      <w:sz w:val="18"/>
      <w:szCs w:val="18"/>
    </w:rPr>
  </w:style>
  <w:style w:type="character" w:customStyle="1" w:styleId="27">
    <w:name w:val="正文文本 字符"/>
    <w:basedOn w:val="16"/>
    <w:link w:val="6"/>
    <w:semiHidden/>
    <w:qFormat/>
    <w:uiPriority w:val="99"/>
    <w:rPr>
      <w:rFonts w:ascii="Calibri" w:hAnsi="Calibri" w:eastAsia="宋体" w:cs="Times New Roman"/>
    </w:rPr>
  </w:style>
  <w:style w:type="character" w:customStyle="1" w:styleId="28">
    <w:name w:val="正文首行缩进 字符"/>
    <w:basedOn w:val="27"/>
    <w:link w:val="14"/>
    <w:qFormat/>
    <w:uiPriority w:val="0"/>
    <w:rPr>
      <w:rFonts w:ascii="Times New Roman" w:hAnsi="Times New Roman" w:eastAsia="宋体" w:cs="Times New Roman"/>
      <w:kern w:val="0"/>
      <w:sz w:val="20"/>
      <w:szCs w:val="20"/>
      <w:lang w:val="zh-CN" w:eastAsia="zh-CN"/>
    </w:rPr>
  </w:style>
  <w:style w:type="character" w:customStyle="1" w:styleId="29">
    <w:name w:val="正文文本 2 字符"/>
    <w:basedOn w:val="16"/>
    <w:link w:val="11"/>
    <w:qFormat/>
    <w:uiPriority w:val="0"/>
    <w:rPr>
      <w:rFonts w:ascii="宋体" w:hAnsi="宋体" w:eastAsia="宋体" w:cs="Times New Roman"/>
      <w:kern w:val="0"/>
      <w:sz w:val="20"/>
      <w:szCs w:val="24"/>
      <w:u w:val="single"/>
      <w:lang w:val="zh-CN" w:eastAsia="zh-CN"/>
    </w:r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1">
    <w:name w:val="发文落款"/>
    <w:basedOn w:val="30"/>
    <w:qFormat/>
    <w:uiPriority w:val="0"/>
    <w:pPr>
      <w:ind w:left="4094" w:right="607" w:firstLine="0"/>
      <w:jc w:val="center"/>
    </w:pPr>
  </w:style>
  <w:style w:type="character" w:customStyle="1" w:styleId="32">
    <w:name w:val="批注文字 字符"/>
    <w:basedOn w:val="16"/>
    <w:link w:val="5"/>
    <w:qFormat/>
    <w:uiPriority w:val="0"/>
    <w:rPr>
      <w:rFonts w:ascii="宋体" w:hAnsi="宋体" w:eastAsia="宋体" w:cs="Times New Roman"/>
      <w:kern w:val="0"/>
      <w:sz w:val="24"/>
      <w:szCs w:val="24"/>
      <w:lang w:val="zh-CN" w:eastAsia="zh-CN"/>
    </w:rPr>
  </w:style>
  <w:style w:type="character" w:customStyle="1" w:styleId="33">
    <w:name w:val="批注框文本 字符"/>
    <w:basedOn w:val="16"/>
    <w:link w:val="7"/>
    <w:semiHidden/>
    <w:qFormat/>
    <w:uiPriority w:val="99"/>
    <w:rPr>
      <w:rFonts w:ascii="Calibri" w:hAnsi="Calibri" w:eastAsia="宋体" w:cs="Times New Roman"/>
      <w:sz w:val="18"/>
      <w:szCs w:val="18"/>
    </w:rPr>
  </w:style>
  <w:style w:type="character" w:customStyle="1" w:styleId="34">
    <w:name w:val="批注主题 字符"/>
    <w:basedOn w:val="32"/>
    <w:link w:val="13"/>
    <w:semiHidden/>
    <w:qFormat/>
    <w:uiPriority w:val="99"/>
    <w:rPr>
      <w:rFonts w:ascii="Calibri" w:hAnsi="Calibri" w:eastAsia="宋体" w:cs="Times New Roman"/>
      <w:b/>
      <w:bCs/>
      <w:kern w:val="0"/>
      <w:sz w:val="24"/>
      <w:szCs w:val="24"/>
      <w:lang w:val="zh-CN" w:eastAsia="zh-CN"/>
    </w:rPr>
  </w:style>
  <w:style w:type="paragraph" w:customStyle="1" w:styleId="35">
    <w:name w:val="列出段落1"/>
    <w:basedOn w:val="1"/>
    <w:qFormat/>
    <w:uiPriority w:val="99"/>
    <w:pPr>
      <w:widowControl/>
      <w:adjustRightInd w:val="0"/>
      <w:snapToGrid w:val="0"/>
      <w:ind w:firstLine="420"/>
      <w:jc w:val="left"/>
    </w:pPr>
    <w:rPr>
      <w:rFonts w:eastAsia="PMingLiU"/>
      <w:snapToGrid w:val="0"/>
      <w:kern w:val="0"/>
      <w:sz w:val="22"/>
      <w:lang w:val="en-GB" w:eastAsia="en-US"/>
    </w:rPr>
  </w:style>
  <w:style w:type="character" w:customStyle="1" w:styleId="36">
    <w:name w:val="times"/>
    <w:basedOn w:val="16"/>
    <w:qFormat/>
    <w:uiPriority w:val="0"/>
    <w:rPr>
      <w:color w:val="3399FF"/>
      <w:bdr w:val="single" w:color="D1EDF8" w:sz="6" w:space="0"/>
      <w:shd w:val="clear" w:color="auto" w:fill="EAF9FF"/>
    </w:rPr>
  </w:style>
  <w:style w:type="character" w:customStyle="1" w:styleId="37">
    <w:name w:val="times1"/>
    <w:basedOn w:val="16"/>
    <w:qFormat/>
    <w:uiPriority w:val="0"/>
    <w:rPr>
      <w:color w:val="CDCDCD"/>
      <w:bdr w:val="single" w:color="CDCDCD" w:sz="6" w:space="0"/>
      <w:shd w:val="clear" w:color="auto" w:fill="EFEFEF"/>
    </w:rPr>
  </w:style>
  <w:style w:type="character" w:customStyle="1" w:styleId="38">
    <w:name w:val="hover42"/>
    <w:basedOn w:val="16"/>
    <w:qFormat/>
    <w:uiPriority w:val="0"/>
  </w:style>
  <w:style w:type="character" w:customStyle="1" w:styleId="39">
    <w:name w:val="hover40"/>
    <w:basedOn w:val="16"/>
    <w:qFormat/>
    <w:uiPriority w:val="0"/>
  </w:style>
  <w:style w:type="character" w:customStyle="1" w:styleId="40">
    <w:name w:val="hover41"/>
    <w:basedOn w:val="16"/>
    <w:qFormat/>
    <w:uiPriority w:val="0"/>
  </w:style>
  <w:style w:type="paragraph" w:customStyle="1" w:styleId="41">
    <w:name w:val="文一"/>
    <w:basedOn w:val="1"/>
    <w:qFormat/>
    <w:uiPriority w:val="0"/>
    <w:pPr>
      <w:topLinePunct/>
      <w:adjustRightInd w:val="0"/>
      <w:snapToGrid w:val="0"/>
      <w:spacing w:line="360" w:lineRule="auto"/>
      <w:ind w:firstLine="200" w:firstLineChars="200"/>
    </w:pPr>
    <w:rPr>
      <w:spacing w:val="4"/>
      <w:sz w:val="24"/>
    </w:rPr>
  </w:style>
  <w:style w:type="character" w:customStyle="1" w:styleId="42">
    <w:name w:val="纯文本 字符"/>
    <w:link w:val="2"/>
    <w:qFormat/>
    <w:uiPriority w:val="99"/>
    <w:rPr>
      <w:rFonts w:ascii="宋体" w:hAnsi="Courier New"/>
      <w:kern w:val="2"/>
      <w:sz w:val="21"/>
      <w:szCs w:val="22"/>
    </w:rPr>
  </w:style>
  <w:style w:type="character" w:customStyle="1" w:styleId="43">
    <w:name w:val="am-datepicker-hour"/>
    <w:basedOn w:val="16"/>
    <w:qFormat/>
    <w:uiPriority w:val="0"/>
  </w:style>
  <w:style w:type="character" w:customStyle="1" w:styleId="44">
    <w:name w:val="am-disabled16"/>
    <w:basedOn w:val="16"/>
    <w:qFormat/>
    <w:uiPriority w:val="0"/>
    <w:rPr>
      <w:color w:val="999999"/>
      <w:shd w:val="clear" w:color="auto" w:fill="FAFAFA"/>
    </w:rPr>
  </w:style>
  <w:style w:type="character" w:customStyle="1" w:styleId="45">
    <w:name w:val="am-datepicker-old"/>
    <w:basedOn w:val="16"/>
    <w:qFormat/>
    <w:uiPriority w:val="0"/>
    <w:rPr>
      <w:color w:val="89D7FF"/>
    </w:rPr>
  </w:style>
  <w:style w:type="character" w:customStyle="1" w:styleId="46">
    <w:name w:val="am-datepicker-old1"/>
    <w:basedOn w:val="16"/>
    <w:qFormat/>
    <w:uiPriority w:val="0"/>
    <w:rPr>
      <w:color w:val="94DF94"/>
    </w:rPr>
  </w:style>
  <w:style w:type="character" w:customStyle="1" w:styleId="47">
    <w:name w:val="am-datepicker-old2"/>
    <w:basedOn w:val="16"/>
    <w:qFormat/>
    <w:uiPriority w:val="0"/>
    <w:rPr>
      <w:color w:val="F59490"/>
    </w:rPr>
  </w:style>
  <w:style w:type="character" w:customStyle="1" w:styleId="48">
    <w:name w:val="am-datepicker-old3"/>
    <w:basedOn w:val="16"/>
    <w:qFormat/>
    <w:uiPriority w:val="0"/>
    <w:rPr>
      <w:color w:val="FFAD6D"/>
    </w:rPr>
  </w:style>
  <w:style w:type="character" w:customStyle="1" w:styleId="49">
    <w:name w:val="hover28"/>
    <w:basedOn w:val="16"/>
    <w:qFormat/>
    <w:uiPriority w:val="0"/>
    <w:rPr>
      <w:shd w:val="clear" w:color="auto" w:fill="F0F0F0"/>
    </w:rPr>
  </w:style>
  <w:style w:type="character" w:customStyle="1" w:styleId="50">
    <w:name w:val="am-active17"/>
    <w:basedOn w:val="16"/>
    <w:qFormat/>
    <w:uiPriority w:val="0"/>
    <w:rPr>
      <w:color w:val="0084C7"/>
      <w:shd w:val="clear" w:color="auto" w:fill="F0F0F0"/>
    </w:rPr>
  </w:style>
  <w:style w:type="character" w:customStyle="1" w:styleId="51">
    <w:name w:val="am-active18"/>
    <w:basedOn w:val="16"/>
    <w:qFormat/>
    <w:uiPriority w:val="0"/>
    <w:rPr>
      <w:color w:val="1B961B"/>
    </w:rPr>
  </w:style>
  <w:style w:type="character" w:customStyle="1" w:styleId="52">
    <w:name w:val="am-active19"/>
    <w:basedOn w:val="16"/>
    <w:qFormat/>
    <w:uiPriority w:val="0"/>
    <w:rPr>
      <w:color w:val="C10802"/>
    </w:rPr>
  </w:style>
  <w:style w:type="character" w:customStyle="1" w:styleId="53">
    <w:name w:val="am-active20"/>
    <w:basedOn w:val="16"/>
    <w:qFormat/>
    <w:uiPriority w:val="0"/>
    <w:rPr>
      <w:color w:val="AA4B00"/>
    </w:rPr>
  </w:style>
  <w:style w:type="character" w:customStyle="1" w:styleId="54">
    <w:name w:val="bsharetext"/>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11831-58BF-4341-891E-29AB6D1688E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7964</Words>
  <Characters>8980</Characters>
  <Lines>66</Lines>
  <Paragraphs>18</Paragraphs>
  <TotalTime>5</TotalTime>
  <ScaleCrop>false</ScaleCrop>
  <LinksUpToDate>false</LinksUpToDate>
  <CharactersWithSpaces>9213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2020-05-26T00:51:00Z</dcterms:created>
  <dc:creator>xbx</dc:creator>
  <cp:lastModifiedBy>林泽鑫</cp:lastModifiedBy>
  <dcterms:modified xsi:type="dcterms:W3CDTF">2023-02-01T01:35:18Z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7F0DE31311A541FEB4FE1B566AD7718D</vt:lpwstr>
  </property>
</Properties>
</file>