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94A0">
      <w:pPr>
        <w:wordWrap w:val="0"/>
        <w:jc w:val="center"/>
        <w:rPr>
          <w:rFonts w:hint="eastAsia" w:ascii="宋体" w:hAnsi="宋体" w:cs="宋体"/>
          <w:b/>
          <w:color w:val="auto"/>
          <w:sz w:val="44"/>
          <w:szCs w:val="44"/>
          <w:highlight w:val="none"/>
        </w:rPr>
      </w:pPr>
    </w:p>
    <w:p w14:paraId="5175B27B">
      <w:pPr>
        <w:wordWrap w:val="0"/>
        <w:spacing w:line="276"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广州市第三资源热力电厂110千伏临时输电线路迁改至永久路径工程勘察设计服务</w:t>
      </w:r>
    </w:p>
    <w:p w14:paraId="706BE5D0">
      <w:pPr>
        <w:wordWrap w:val="0"/>
        <w:rPr>
          <w:rFonts w:hint="eastAsia" w:ascii="宋体" w:hAnsi="宋体" w:cs="宋体"/>
          <w:b/>
          <w:bCs/>
          <w:color w:val="auto"/>
          <w:sz w:val="20"/>
          <w:szCs w:val="20"/>
          <w:highlight w:val="none"/>
        </w:rPr>
      </w:pPr>
    </w:p>
    <w:p w14:paraId="090B9129">
      <w:pPr>
        <w:wordWrap w:val="0"/>
        <w:rPr>
          <w:rFonts w:hint="eastAsia" w:ascii="宋体" w:hAnsi="宋体" w:cs="宋体"/>
          <w:b/>
          <w:bCs/>
          <w:color w:val="auto"/>
          <w:sz w:val="20"/>
          <w:szCs w:val="20"/>
          <w:highlight w:val="none"/>
        </w:rPr>
      </w:pPr>
    </w:p>
    <w:p w14:paraId="5F5873AE">
      <w:pPr>
        <w:wordWrap w:val="0"/>
        <w:jc w:val="center"/>
        <w:rPr>
          <w:rFonts w:hint="eastAsia" w:ascii="宋体" w:hAnsi="宋体" w:cs="宋体"/>
          <w:b/>
          <w:color w:val="auto"/>
          <w:sz w:val="96"/>
          <w:szCs w:val="84"/>
          <w:highlight w:val="none"/>
        </w:rPr>
      </w:pPr>
    </w:p>
    <w:p w14:paraId="42477B14">
      <w:pPr>
        <w:wordWrap w:val="0"/>
        <w:jc w:val="center"/>
        <w:rPr>
          <w:rFonts w:hint="eastAsia" w:ascii="宋体" w:hAnsi="宋体" w:cs="宋体"/>
          <w:b/>
          <w:color w:val="auto"/>
          <w:sz w:val="96"/>
          <w:szCs w:val="84"/>
          <w:highlight w:val="none"/>
        </w:rPr>
      </w:pPr>
      <w:r>
        <w:rPr>
          <w:rFonts w:hint="eastAsia" w:ascii="宋体" w:hAnsi="宋体" w:cs="宋体"/>
          <w:b/>
          <w:color w:val="auto"/>
          <w:sz w:val="96"/>
          <w:szCs w:val="84"/>
          <w:highlight w:val="none"/>
        </w:rPr>
        <w:t>招标公告</w:t>
      </w:r>
    </w:p>
    <w:p w14:paraId="5FB90D78">
      <w:pPr>
        <w:wordWrap w:val="0"/>
        <w:rPr>
          <w:rFonts w:hint="eastAsia" w:ascii="宋体" w:hAnsi="宋体" w:cs="宋体"/>
          <w:color w:val="auto"/>
          <w:sz w:val="44"/>
          <w:szCs w:val="44"/>
          <w:highlight w:val="none"/>
        </w:rPr>
      </w:pPr>
    </w:p>
    <w:p w14:paraId="7F1F7916">
      <w:pPr>
        <w:wordWrap w:val="0"/>
        <w:rPr>
          <w:rFonts w:hint="eastAsia" w:ascii="宋体" w:hAnsi="宋体" w:cs="宋体"/>
          <w:color w:val="auto"/>
          <w:sz w:val="44"/>
          <w:szCs w:val="44"/>
          <w:highlight w:val="none"/>
        </w:rPr>
      </w:pPr>
    </w:p>
    <w:p w14:paraId="4CAA6D6B">
      <w:pPr>
        <w:wordWrap w:val="0"/>
        <w:rPr>
          <w:rFonts w:hint="eastAsia" w:ascii="宋体" w:hAnsi="宋体" w:cs="宋体"/>
          <w:color w:val="auto"/>
          <w:sz w:val="44"/>
          <w:szCs w:val="44"/>
          <w:highlight w:val="none"/>
        </w:rPr>
      </w:pPr>
    </w:p>
    <w:p w14:paraId="4296EDA8">
      <w:pPr>
        <w:wordWrap w:val="0"/>
        <w:rPr>
          <w:rFonts w:hint="eastAsia" w:ascii="宋体" w:hAnsi="宋体" w:cs="宋体"/>
          <w:color w:val="auto"/>
          <w:sz w:val="44"/>
          <w:szCs w:val="44"/>
          <w:highlight w:val="none"/>
        </w:rPr>
      </w:pPr>
    </w:p>
    <w:p w14:paraId="5D67EC36">
      <w:pPr>
        <w:wordWrap w:val="0"/>
        <w:spacing w:before="8"/>
        <w:rPr>
          <w:rFonts w:hint="eastAsia" w:ascii="宋体" w:hAnsi="宋体" w:cs="宋体"/>
          <w:color w:val="auto"/>
          <w:sz w:val="33"/>
          <w:szCs w:val="33"/>
          <w:highlight w:val="none"/>
        </w:rPr>
      </w:pPr>
    </w:p>
    <w:p w14:paraId="3C16F181">
      <w:pPr>
        <w:pStyle w:val="9"/>
        <w:wordWrap w:val="0"/>
        <w:rPr>
          <w:rFonts w:hint="eastAsia" w:cs="宋体"/>
          <w:color w:val="auto"/>
          <w:sz w:val="33"/>
          <w:szCs w:val="33"/>
          <w:highlight w:val="none"/>
          <w:lang w:eastAsia="zh-CN"/>
        </w:rPr>
      </w:pPr>
    </w:p>
    <w:p w14:paraId="21624250">
      <w:pPr>
        <w:pStyle w:val="9"/>
        <w:wordWrap w:val="0"/>
        <w:rPr>
          <w:rFonts w:hint="eastAsia" w:cs="宋体"/>
          <w:color w:val="auto"/>
          <w:sz w:val="33"/>
          <w:szCs w:val="33"/>
          <w:highlight w:val="none"/>
          <w:lang w:eastAsia="zh-CN"/>
        </w:rPr>
      </w:pPr>
    </w:p>
    <w:p w14:paraId="623E6D57">
      <w:pPr>
        <w:pStyle w:val="9"/>
        <w:wordWrap w:val="0"/>
        <w:rPr>
          <w:rFonts w:hint="eastAsia" w:cs="宋体"/>
          <w:color w:val="auto"/>
          <w:sz w:val="33"/>
          <w:szCs w:val="33"/>
          <w:highlight w:val="none"/>
          <w:lang w:eastAsia="zh-CN"/>
        </w:rPr>
      </w:pPr>
    </w:p>
    <w:p w14:paraId="75CBBF73">
      <w:pPr>
        <w:wordWrap w:val="0"/>
        <w:spacing w:before="8"/>
        <w:rPr>
          <w:rFonts w:hint="eastAsia" w:ascii="宋体" w:hAnsi="宋体" w:cs="宋体"/>
          <w:color w:val="auto"/>
          <w:sz w:val="33"/>
          <w:szCs w:val="33"/>
          <w:highlight w:val="none"/>
        </w:rPr>
      </w:pPr>
    </w:p>
    <w:p w14:paraId="1E46985C">
      <w:pPr>
        <w:wordWrap w:val="0"/>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2"/>
          <w:highlight w:val="none"/>
        </w:rPr>
        <w:t>招   标   人：广州环投福山环保能源有限公司</w:t>
      </w:r>
    </w:p>
    <w:p w14:paraId="17D03334">
      <w:pPr>
        <w:wordWrap w:val="0"/>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2"/>
          <w:highlight w:val="none"/>
        </w:rPr>
        <w:t>招标代理机构：</w:t>
      </w:r>
      <w:r>
        <w:rPr>
          <w:rFonts w:hint="eastAsia" w:ascii="宋体" w:hAnsi="宋体" w:cs="宋体"/>
          <w:b/>
          <w:color w:val="auto"/>
          <w:sz w:val="32"/>
          <w:highlight w:val="none"/>
        </w:rPr>
        <w:t>广东粤能工程管理有限公司</w:t>
      </w:r>
    </w:p>
    <w:p w14:paraId="6497E535">
      <w:pPr>
        <w:tabs>
          <w:tab w:val="left" w:pos="561"/>
        </w:tabs>
        <w:wordWrap w:val="0"/>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期：2025年</w:t>
      </w:r>
      <w:r>
        <w:rPr>
          <w:rFonts w:hint="eastAsia" w:ascii="宋体" w:hAnsi="宋体" w:cs="宋体"/>
          <w:b/>
          <w:color w:val="auto"/>
          <w:sz w:val="32"/>
          <w:szCs w:val="32"/>
          <w:highlight w:val="none"/>
          <w:lang w:val="en-US" w:eastAsia="zh-CN"/>
        </w:rPr>
        <w:t>9</w:t>
      </w:r>
      <w:bookmarkStart w:id="2" w:name="_GoBack"/>
      <w:bookmarkEnd w:id="2"/>
      <w:r>
        <w:rPr>
          <w:rFonts w:hint="eastAsia" w:ascii="宋体" w:hAnsi="宋体" w:cs="宋体"/>
          <w:b/>
          <w:color w:val="auto"/>
          <w:sz w:val="32"/>
          <w:szCs w:val="32"/>
          <w:highlight w:val="none"/>
        </w:rPr>
        <w:t>月</w:t>
      </w:r>
    </w:p>
    <w:p w14:paraId="48E805AA">
      <w:pPr>
        <w:wordWrap w:val="0"/>
        <w:spacing w:line="360" w:lineRule="auto"/>
        <w:jc w:val="center"/>
        <w:rPr>
          <w:rFonts w:hint="eastAsia" w:ascii="宋体" w:hAnsi="宋体" w:cs="宋体"/>
          <w:b/>
          <w:color w:val="auto"/>
          <w:sz w:val="40"/>
          <w:szCs w:val="40"/>
          <w:highlight w:val="none"/>
        </w:rPr>
        <w:sectPr>
          <w:footerReference r:id="rId5" w:type="first"/>
          <w:footerReference r:id="rId3" w:type="default"/>
          <w:footerReference r:id="rId4" w:type="even"/>
          <w:pgSz w:w="11906" w:h="16838"/>
          <w:pgMar w:top="1440" w:right="1080" w:bottom="1440" w:left="1080" w:header="851" w:footer="992" w:gutter="0"/>
          <w:pgNumType w:start="1"/>
          <w:cols w:space="720" w:num="1"/>
          <w:titlePg/>
          <w:docGrid w:type="lines" w:linePitch="312" w:charSpace="0"/>
        </w:sectPr>
      </w:pPr>
    </w:p>
    <w:p w14:paraId="6E750265">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广州市第三资源热力电厂110千伏临时输电线路迁改至永久路径工程勘察设计服务招标公告</w:t>
      </w:r>
    </w:p>
    <w:p w14:paraId="4C0119C8">
      <w:pPr>
        <w:pStyle w:val="25"/>
        <w:wordWrap w:val="0"/>
        <w:rPr>
          <w:color w:val="auto"/>
          <w:highlight w:val="none"/>
        </w:rPr>
      </w:pPr>
    </w:p>
    <w:p w14:paraId="1745900C">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招标条件</w:t>
      </w:r>
    </w:p>
    <w:p w14:paraId="5F921337">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广州市第三资源热力电厂110千伏临时输电线路迁改至永久路径工程</w:t>
      </w:r>
      <w:r>
        <w:rPr>
          <w:rFonts w:hint="eastAsia" w:ascii="宋体" w:hAnsi="宋体" w:cs="宋体"/>
          <w:color w:val="auto"/>
          <w:sz w:val="24"/>
          <w:szCs w:val="24"/>
          <w:highlight w:val="none"/>
        </w:rPr>
        <w:t>已由</w:t>
      </w:r>
      <w:r>
        <w:rPr>
          <w:rFonts w:hint="eastAsia" w:ascii="宋体" w:hAnsi="宋体" w:cs="宋体"/>
          <w:color w:val="auto"/>
          <w:sz w:val="24"/>
          <w:szCs w:val="24"/>
          <w:highlight w:val="none"/>
          <w:u w:val="single"/>
        </w:rPr>
        <w:t>广州市发展和改革委员会关于广州东部固体资源再生中心（萝岗福山循环经济产业园）第三资源热力电厂可行性研究报告的复函（穗发改核准〔2015〕27号）</w:t>
      </w:r>
      <w:r>
        <w:rPr>
          <w:rFonts w:hint="eastAsia" w:ascii="宋体" w:hAnsi="宋体" w:cs="宋体"/>
          <w:color w:val="auto"/>
          <w:sz w:val="24"/>
          <w:szCs w:val="24"/>
          <w:highlight w:val="none"/>
        </w:rPr>
        <w:t>批准建设，项目业主为</w:t>
      </w:r>
      <w:r>
        <w:rPr>
          <w:rFonts w:hint="eastAsia" w:ascii="宋体" w:hAnsi="宋体" w:cs="宋体"/>
          <w:color w:val="auto"/>
          <w:sz w:val="24"/>
          <w:szCs w:val="24"/>
          <w:highlight w:val="none"/>
          <w:u w:val="single"/>
        </w:rPr>
        <w:t>广州环投福山环保能源有限公司</w:t>
      </w:r>
      <w:r>
        <w:rPr>
          <w:rFonts w:hint="eastAsia" w:ascii="宋体" w:hAnsi="宋体" w:cs="宋体"/>
          <w:color w:val="auto"/>
          <w:sz w:val="24"/>
          <w:szCs w:val="24"/>
          <w:highlight w:val="none"/>
        </w:rPr>
        <w:t>，项目资金来源为</w:t>
      </w:r>
      <w:r>
        <w:rPr>
          <w:rFonts w:hint="eastAsia" w:ascii="宋体" w:hAnsi="宋体" w:cs="宋体"/>
          <w:color w:val="auto"/>
          <w:sz w:val="24"/>
          <w:szCs w:val="24"/>
          <w:highlight w:val="none"/>
          <w:u w:val="single"/>
        </w:rPr>
        <w:t>国有资金</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rPr>
        <w:t>广州环投福山环保能源有限公司</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勘察设计</w:t>
      </w:r>
      <w:r>
        <w:rPr>
          <w:rFonts w:hint="eastAsia" w:ascii="宋体" w:hAnsi="宋体" w:cs="宋体"/>
          <w:color w:val="auto"/>
          <w:sz w:val="24"/>
          <w:szCs w:val="24"/>
          <w:highlight w:val="none"/>
        </w:rPr>
        <w:t>进行公开招标。</w:t>
      </w:r>
    </w:p>
    <w:p w14:paraId="5A320998">
      <w:pPr>
        <w:wordWrap w:val="0"/>
        <w:snapToGrid w:val="0"/>
        <w:spacing w:line="520" w:lineRule="exact"/>
        <w:ind w:firstLine="480" w:firstLineChars="200"/>
        <w:rPr>
          <w:rFonts w:hint="eastAsia" w:ascii="宋体" w:hAnsi="宋体" w:cs="宋体"/>
          <w:color w:val="auto"/>
          <w:sz w:val="24"/>
          <w:szCs w:val="24"/>
          <w:highlight w:val="none"/>
        </w:rPr>
      </w:pPr>
    </w:p>
    <w:p w14:paraId="13F6F4A4">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项目概况与招标范围</w:t>
      </w:r>
    </w:p>
    <w:p w14:paraId="3E825C1F">
      <w:pPr>
        <w:wordWrap w:val="0"/>
        <w:autoSpaceDE w:val="0"/>
        <w:autoSpaceDN w:val="0"/>
        <w:adjustRightInd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 招标项目概况</w:t>
      </w:r>
    </w:p>
    <w:p w14:paraId="71B47FE5">
      <w:pPr>
        <w:wordWrap w:val="0"/>
        <w:autoSpaceDE w:val="0"/>
        <w:autoSpaceDN w:val="0"/>
        <w:adjustRightInd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2.1.1 工程名称：</w:t>
      </w:r>
      <w:r>
        <w:rPr>
          <w:rFonts w:hint="eastAsia" w:ascii="宋体" w:hAnsi="宋体" w:cs="宋体"/>
          <w:color w:val="auto"/>
          <w:sz w:val="24"/>
          <w:szCs w:val="24"/>
          <w:highlight w:val="none"/>
          <w:u w:val="single"/>
        </w:rPr>
        <w:t>广州市第三资源热力电厂110千伏临时输电线路迁改至永久路径工程勘察设计服务</w:t>
      </w:r>
    </w:p>
    <w:p w14:paraId="4112AB68">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2.1.2 工程位置：</w:t>
      </w:r>
      <w:r>
        <w:rPr>
          <w:rFonts w:hint="eastAsia" w:ascii="宋体" w:hAnsi="宋体" w:cs="宋体"/>
          <w:color w:val="auto"/>
          <w:sz w:val="24"/>
          <w:szCs w:val="24"/>
          <w:highlight w:val="none"/>
          <w:u w:val="single"/>
        </w:rPr>
        <w:t>广州市黄埔区新龙镇区域内。</w:t>
      </w:r>
    </w:p>
    <w:p w14:paraId="68A01DCF">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2.1.3 工程建设规模及内容：</w:t>
      </w:r>
      <w:r>
        <w:rPr>
          <w:rFonts w:hint="eastAsia" w:ascii="宋体" w:hAnsi="宋体" w:cs="宋体"/>
          <w:color w:val="auto"/>
          <w:sz w:val="24"/>
          <w:szCs w:val="24"/>
          <w:highlight w:val="none"/>
          <w:u w:val="single"/>
        </w:rPr>
        <w:t>在永久路径内敷设2回110千伏电缆及2回管道光缆；新建1个电缆终端场；两侧变电站继保、通信设备更动；拆除110千伏临时输电线路（电缆、架空线路、角钢塔）及附属设施。</w:t>
      </w:r>
    </w:p>
    <w:p w14:paraId="621A71FD">
      <w:pPr>
        <w:pStyle w:val="6"/>
        <w:wordWrap w:val="0"/>
        <w:snapToGrid w:val="0"/>
        <w:spacing w:line="520" w:lineRule="exact"/>
        <w:ind w:firstLine="48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u w:val="single"/>
          <w:lang w:eastAsia="zh-CN"/>
        </w:rPr>
        <w:t>2.1.3</w:t>
      </w:r>
      <w:r>
        <w:rPr>
          <w:rFonts w:hint="eastAsia" w:ascii="宋体" w:hAnsi="宋体" w:eastAsia="宋体" w:cs="宋体"/>
          <w:color w:val="auto"/>
          <w:kern w:val="2"/>
          <w:sz w:val="24"/>
          <w:szCs w:val="24"/>
          <w:highlight w:val="none"/>
          <w:u w:val="single"/>
          <w:lang w:eastAsia="zh-CN"/>
        </w:rPr>
        <w:t>.1变电部分：包括但不限于两侧变电站涉网二次、通信设备，继保更动、调整。</w:t>
      </w:r>
    </w:p>
    <w:p w14:paraId="79DCAAF6">
      <w:pPr>
        <w:pStyle w:val="6"/>
        <w:wordWrap w:val="0"/>
        <w:snapToGrid w:val="0"/>
        <w:spacing w:line="520" w:lineRule="exact"/>
        <w:ind w:firstLine="48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u w:val="single"/>
          <w:lang w:eastAsia="zh-CN"/>
        </w:rPr>
        <w:t>2.1.3</w:t>
      </w:r>
      <w:r>
        <w:rPr>
          <w:rFonts w:hint="eastAsia" w:ascii="宋体" w:hAnsi="宋体" w:eastAsia="宋体" w:cs="宋体"/>
          <w:color w:val="auto"/>
          <w:kern w:val="2"/>
          <w:sz w:val="24"/>
          <w:szCs w:val="24"/>
          <w:highlight w:val="none"/>
          <w:u w:val="single"/>
          <w:lang w:eastAsia="zh-CN"/>
        </w:rPr>
        <w:t>.2线路部分：本迁改永久路径工程采用双回路电缆敷设，电缆路径总长度约4.3km，电缆型号为FY-YJLW03-Z-64/110  1×630mm2，新建电缆终端场1座。</w:t>
      </w:r>
    </w:p>
    <w:p w14:paraId="129BA06E">
      <w:pPr>
        <w:pStyle w:val="6"/>
        <w:wordWrap w:val="0"/>
        <w:snapToGrid w:val="0"/>
        <w:spacing w:line="520" w:lineRule="exact"/>
        <w:ind w:firstLine="48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u w:val="single"/>
          <w:lang w:eastAsia="zh-CN"/>
        </w:rPr>
        <w:t>2.1.3</w:t>
      </w:r>
      <w:r>
        <w:rPr>
          <w:rFonts w:hint="eastAsia" w:ascii="宋体" w:hAnsi="宋体" w:eastAsia="宋体" w:cs="宋体"/>
          <w:color w:val="auto"/>
          <w:kern w:val="2"/>
          <w:sz w:val="24"/>
          <w:szCs w:val="24"/>
          <w:highlight w:val="none"/>
          <w:u w:val="single"/>
          <w:lang w:eastAsia="zh-CN"/>
        </w:rPr>
        <w:t>.3拆除回收部分：拆除回收两侧变电站涉及的二次、继保、通信设备；拆除回收2回110千伏临时输电线路（线行长度：架空线约3.5km+动力电缆约1.2km）。</w:t>
      </w:r>
    </w:p>
    <w:p w14:paraId="36559256">
      <w:pPr>
        <w:pStyle w:val="6"/>
        <w:wordWrap w:val="0"/>
        <w:snapToGrid w:val="0"/>
        <w:spacing w:line="520" w:lineRule="exact"/>
        <w:ind w:firstLine="48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u w:val="single"/>
          <w:lang w:eastAsia="zh-CN"/>
        </w:rPr>
        <w:t>详见本项目的技术需求书。</w:t>
      </w:r>
    </w:p>
    <w:p w14:paraId="4E94AFDA">
      <w:pPr>
        <w:wordWrap w:val="0"/>
        <w:snapToGrid w:val="0"/>
        <w:spacing w:line="52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2.1.4 规划用地文件</w:t>
      </w:r>
      <w:r>
        <w:rPr>
          <w:rFonts w:hint="eastAsia" w:ascii="宋体" w:hAnsi="宋体" w:cs="宋体"/>
          <w:color w:val="auto"/>
          <w:sz w:val="24"/>
          <w:szCs w:val="24"/>
          <w:highlight w:val="none"/>
          <w:u w:val="single"/>
        </w:rPr>
        <w:t>\。</w:t>
      </w:r>
    </w:p>
    <w:p w14:paraId="6DD7BE98">
      <w:pPr>
        <w:wordWrap w:val="0"/>
        <w:snapToGrid w:val="0"/>
        <w:spacing w:line="52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2.1.5 项目批准文件：</w:t>
      </w:r>
      <w:r>
        <w:rPr>
          <w:rFonts w:hint="eastAsia" w:ascii="宋体" w:hAnsi="宋体" w:cs="宋体"/>
          <w:color w:val="auto"/>
          <w:sz w:val="24"/>
          <w:szCs w:val="24"/>
          <w:highlight w:val="none"/>
          <w:u w:val="single"/>
        </w:rPr>
        <w:t>关于广州东部固体资源再生中心（萝岗福山循环经济产业园）第三资源热力电厂可行性研究报告的复函（穗发改核准〔2015〕27号）</w:t>
      </w:r>
    </w:p>
    <w:p w14:paraId="68495E05">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2.1.6 资金来源：</w:t>
      </w:r>
      <w:r>
        <w:rPr>
          <w:rFonts w:hint="eastAsia" w:ascii="宋体" w:hAnsi="宋体" w:cs="宋体"/>
          <w:color w:val="auto"/>
          <w:sz w:val="24"/>
          <w:szCs w:val="24"/>
          <w:highlight w:val="none"/>
          <w:u w:val="single"/>
        </w:rPr>
        <w:t>国有资金。</w:t>
      </w:r>
    </w:p>
    <w:p w14:paraId="2CB843B8">
      <w:pPr>
        <w:widowControl/>
        <w:wordWrap w:val="0"/>
        <w:snapToGrid w:val="0"/>
        <w:spacing w:line="52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2.1.7 投资总额：</w:t>
      </w:r>
      <w:r>
        <w:rPr>
          <w:rFonts w:hint="eastAsia" w:ascii="宋体" w:hAnsi="宋体" w:cs="宋体"/>
          <w:color w:val="auto"/>
          <w:sz w:val="24"/>
          <w:szCs w:val="24"/>
          <w:highlight w:val="none"/>
          <w:u w:val="single"/>
          <w:lang w:bidi="ar"/>
        </w:rPr>
        <w:t>项目总投资23.29亿元，</w:t>
      </w:r>
      <w:r>
        <w:rPr>
          <w:rFonts w:hint="eastAsia" w:ascii="宋体" w:hAnsi="宋体" w:cs="宋体"/>
          <w:color w:val="auto"/>
          <w:sz w:val="24"/>
          <w:szCs w:val="24"/>
          <w:highlight w:val="none"/>
          <w:u w:val="single"/>
        </w:rPr>
        <w:t>其中，对应本次招标项目的工程费用限额：暂定人民币4834万元。</w:t>
      </w:r>
    </w:p>
    <w:p w14:paraId="18C2988A">
      <w:pPr>
        <w:wordWrap w:val="0"/>
        <w:snapToGrid w:val="0"/>
        <w:spacing w:line="520" w:lineRule="exact"/>
        <w:ind w:left="817" w:leftChars="227" w:hanging="340" w:hangingChars="14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2.1.8标段划分：</w:t>
      </w:r>
      <w:r>
        <w:rPr>
          <w:rFonts w:hint="eastAsia" w:ascii="宋体" w:hAnsi="宋体" w:cs="宋体"/>
          <w:color w:val="auto"/>
          <w:sz w:val="24"/>
          <w:szCs w:val="24"/>
          <w:highlight w:val="none"/>
          <w:u w:val="single"/>
        </w:rPr>
        <w:t>本项目设1个标段。</w:t>
      </w:r>
    </w:p>
    <w:p w14:paraId="2C60C4CC">
      <w:pPr>
        <w:wordWrap w:val="0"/>
        <w:snapToGrid w:val="0"/>
        <w:spacing w:line="520" w:lineRule="exact"/>
        <w:ind w:left="817" w:leftChars="227" w:hanging="340" w:hangingChars="14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 招标范围及招标内容：</w:t>
      </w:r>
    </w:p>
    <w:p w14:paraId="60E768F9">
      <w:pPr>
        <w:wordWrap w:val="0"/>
        <w:snapToGrid w:val="0"/>
        <w:spacing w:line="52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主要勘察、设计范围（包括不限于）：广州市第三资源热力电厂110千伏临时输电线路迁改至永久路径工程方案设计及估算，详细工程勘察报告，施工图设计图纸，竣工图纸，施工图设计阶段所有法规要求的报批文件。包括与本工程有关的国土、水利、规划、广州市供电部门、通信、市政、园林、燃气、交警、水务、公路、地铁、当地村社等部门办理工程报建、线路路径咨询手续所需的设计图纸及报批咨询文件等和协调费用（含提前入场勘验、钻探配合费）。详见本项目的技术需求书。</w:t>
      </w:r>
    </w:p>
    <w:p w14:paraId="217DEBDE">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 质量要求：</w:t>
      </w:r>
    </w:p>
    <w:p w14:paraId="67399E4B">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勘察设计质量须满足国家及地方有关工程勘察设计管理法规和规章，达到行业相关规范技术标准等要求。</w:t>
      </w:r>
    </w:p>
    <w:p w14:paraId="6B2D38F2">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 勘察设计服务期：</w:t>
      </w:r>
      <w:r>
        <w:rPr>
          <w:rFonts w:hint="eastAsia" w:ascii="宋体" w:hAnsi="宋体" w:cs="宋体"/>
          <w:color w:val="auto"/>
          <w:sz w:val="24"/>
          <w:szCs w:val="24"/>
          <w:highlight w:val="none"/>
          <w:u w:val="single"/>
        </w:rPr>
        <w:t>本项目以生效之日起至工程竣工验收合格后质保期满止为服务期限(具体工作节点详见技术需求书和勘察设计合同)。</w:t>
      </w:r>
    </w:p>
    <w:p w14:paraId="369DF8D0">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 本项目最高投标限价为：</w:t>
      </w:r>
    </w:p>
    <w:p w14:paraId="2AAEA9C0">
      <w:pPr>
        <w:wordWrap w:val="0"/>
        <w:snapToGrid w:val="0"/>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2.5.1 本项目勘察设计费最高投标限价总价为</w:t>
      </w:r>
      <w:r>
        <w:rPr>
          <w:rFonts w:hint="eastAsia" w:ascii="宋体" w:hAnsi="宋体" w:cs="宋体"/>
          <w:color w:val="auto"/>
          <w:sz w:val="24"/>
          <w:szCs w:val="24"/>
          <w:highlight w:val="none"/>
          <w:u w:val="single"/>
          <w:lang w:val="en-US" w:eastAsia="zh-CN"/>
        </w:rPr>
        <w:t>168万</w:t>
      </w:r>
      <w:r>
        <w:rPr>
          <w:rFonts w:hint="eastAsia" w:ascii="宋体" w:hAnsi="宋体" w:cs="宋体"/>
          <w:color w:val="auto"/>
          <w:sz w:val="24"/>
          <w:szCs w:val="24"/>
          <w:highlight w:val="none"/>
        </w:rPr>
        <w:t>元，其中勘察费最高投标限价为</w:t>
      </w:r>
      <w:r>
        <w:rPr>
          <w:rFonts w:hint="eastAsia" w:ascii="宋体" w:hAnsi="宋体" w:cs="宋体"/>
          <w:color w:val="auto"/>
          <w:sz w:val="24"/>
          <w:szCs w:val="24"/>
          <w:highlight w:val="none"/>
          <w:u w:val="single"/>
          <w:lang w:val="en-US" w:eastAsia="zh-CN"/>
        </w:rPr>
        <w:t>37万</w:t>
      </w:r>
      <w:r>
        <w:rPr>
          <w:rFonts w:hint="eastAsia" w:ascii="宋体" w:hAnsi="宋体" w:cs="宋体"/>
          <w:color w:val="auto"/>
          <w:sz w:val="24"/>
          <w:szCs w:val="24"/>
          <w:highlight w:val="none"/>
        </w:rPr>
        <w:t>元；设计费最高投标限价为</w:t>
      </w:r>
      <w:r>
        <w:rPr>
          <w:rFonts w:hint="eastAsia" w:ascii="宋体" w:hAnsi="宋体" w:cs="宋体"/>
          <w:color w:val="auto"/>
          <w:sz w:val="24"/>
          <w:szCs w:val="24"/>
          <w:highlight w:val="none"/>
          <w:u w:val="single"/>
          <w:lang w:val="en-US" w:eastAsia="zh-CN"/>
        </w:rPr>
        <w:t>131万</w:t>
      </w:r>
      <w:r>
        <w:rPr>
          <w:rFonts w:hint="eastAsia" w:ascii="宋体" w:hAnsi="宋体" w:cs="宋体"/>
          <w:color w:val="auto"/>
          <w:sz w:val="24"/>
          <w:szCs w:val="24"/>
          <w:highlight w:val="none"/>
        </w:rPr>
        <w:t>元。</w:t>
      </w:r>
      <w:r>
        <w:rPr>
          <w:rStyle w:val="24"/>
          <w:rFonts w:hint="eastAsia"/>
          <w:color w:val="auto"/>
          <w:sz w:val="24"/>
          <w:szCs w:val="24"/>
          <w:highlight w:val="none"/>
        </w:rPr>
        <w:t>勘察设计费总价报价超过</w:t>
      </w:r>
      <w:r>
        <w:rPr>
          <w:rFonts w:hint="eastAsia" w:ascii="宋体" w:hAnsi="宋体" w:cs="宋体"/>
          <w:color w:val="auto"/>
          <w:sz w:val="24"/>
          <w:szCs w:val="24"/>
          <w:highlight w:val="none"/>
        </w:rPr>
        <w:t>勘察设计费最高投标限价总价</w:t>
      </w:r>
      <w:r>
        <w:rPr>
          <w:rStyle w:val="24"/>
          <w:rFonts w:hint="eastAsia"/>
          <w:color w:val="auto"/>
          <w:sz w:val="24"/>
          <w:szCs w:val="24"/>
          <w:highlight w:val="none"/>
        </w:rPr>
        <w:t>，</w:t>
      </w:r>
      <w:r>
        <w:rPr>
          <w:rStyle w:val="24"/>
          <w:rFonts w:hint="eastAsia"/>
          <w:color w:val="auto"/>
          <w:sz w:val="24"/>
          <w:szCs w:val="24"/>
          <w:highlight w:val="none"/>
          <w:lang w:val="en-US" w:eastAsia="zh-CN"/>
        </w:rPr>
        <w:t>勘察费</w:t>
      </w:r>
      <w:r>
        <w:rPr>
          <w:rStyle w:val="24"/>
          <w:rFonts w:hint="eastAsia"/>
          <w:color w:val="auto"/>
          <w:sz w:val="24"/>
          <w:szCs w:val="24"/>
          <w:highlight w:val="none"/>
        </w:rPr>
        <w:t>报价</w:t>
      </w:r>
      <w:r>
        <w:rPr>
          <w:rStyle w:val="24"/>
          <w:rFonts w:hint="eastAsia"/>
          <w:color w:val="auto"/>
          <w:sz w:val="24"/>
          <w:szCs w:val="24"/>
          <w:highlight w:val="none"/>
          <w:lang w:val="en-US" w:eastAsia="zh-CN"/>
        </w:rPr>
        <w:t>或设计费报价超过相应的</w:t>
      </w: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将被否决。</w:t>
      </w:r>
    </w:p>
    <w:p w14:paraId="2033A25D">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2.5.2 报价由投标人根据招标文件要求以及企业自身情况填报，投标报价不得高于本项目最高投标限价。</w:t>
      </w:r>
    </w:p>
    <w:p w14:paraId="603E4239">
      <w:pPr>
        <w:pStyle w:val="25"/>
        <w:wordWrap w:val="0"/>
        <w:snapToGrid w:val="0"/>
        <w:spacing w:line="520" w:lineRule="exact"/>
        <w:rPr>
          <w:rFonts w:hint="eastAsia" w:hAnsi="宋体"/>
          <w:color w:val="auto"/>
          <w:highlight w:val="none"/>
        </w:rPr>
      </w:pPr>
    </w:p>
    <w:p w14:paraId="53210C2C">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投标人资格要求</w:t>
      </w:r>
    </w:p>
    <w:p w14:paraId="4B86C17E">
      <w:pPr>
        <w:wordWrap w:val="0"/>
        <w:autoSpaceDE w:val="0"/>
        <w:autoSpaceDN w:val="0"/>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kern w:val="0"/>
          <w:sz w:val="24"/>
          <w:szCs w:val="24"/>
          <w:highlight w:val="none"/>
        </w:rPr>
        <w:t xml:space="preserve"> 投标人（如为联合体，则联合体各方）与招标人过去3年内无合同履约纠纷，没有不得参加投标的情形；（以投标人提供的《投标人声明》为评审依据。）</w:t>
      </w:r>
    </w:p>
    <w:p w14:paraId="102C6B0E">
      <w:pPr>
        <w:wordWrap w:val="0"/>
        <w:autoSpaceDE w:val="0"/>
        <w:autoSpaceDN w:val="0"/>
        <w:adjustRightInd w:val="0"/>
        <w:snapToGrid w:val="0"/>
        <w:spacing w:line="520" w:lineRule="exact"/>
        <w:ind w:firstLine="480" w:firstLineChars="200"/>
        <w:rPr>
          <w:rFonts w:hint="eastAsia" w:ascii="宋体" w:hAnsi="宋体" w:cs="宋体"/>
          <w:color w:val="auto"/>
          <w:spacing w:val="9"/>
          <w:kern w:val="0"/>
          <w:sz w:val="24"/>
          <w:szCs w:val="24"/>
          <w:highlight w:val="none"/>
        </w:rPr>
      </w:pPr>
      <w:r>
        <w:rPr>
          <w:rFonts w:hint="eastAsia" w:ascii="宋体" w:hAnsi="宋体" w:cs="宋体"/>
          <w:color w:val="auto"/>
          <w:kern w:val="0"/>
          <w:sz w:val="24"/>
          <w:szCs w:val="24"/>
          <w:highlight w:val="none"/>
        </w:rPr>
        <w:t xml:space="preserve">3.2  </w:t>
      </w:r>
      <w:r>
        <w:rPr>
          <w:rFonts w:hint="eastAsia" w:ascii="宋体" w:hAnsi="宋体" w:cs="宋体"/>
          <w:color w:val="auto"/>
          <w:spacing w:val="9"/>
          <w:kern w:val="0"/>
          <w:sz w:val="24"/>
          <w:szCs w:val="24"/>
          <w:highlight w:val="none"/>
        </w:rPr>
        <w:t>投标人须同时具备以下3.2.1、3.2.2资质证书：</w:t>
      </w:r>
    </w:p>
    <w:p w14:paraId="36BB9607">
      <w:pPr>
        <w:wordWrap w:val="0"/>
        <w:autoSpaceDE w:val="0"/>
        <w:autoSpaceDN w:val="0"/>
        <w:adjustRightInd w:val="0"/>
        <w:snapToGrid w:val="0"/>
        <w:spacing w:line="520" w:lineRule="exact"/>
        <w:ind w:firstLine="516" w:firstLineChars="200"/>
        <w:rPr>
          <w:rFonts w:hint="eastAsia" w:ascii="宋体" w:hAnsi="宋体" w:cs="宋体"/>
          <w:color w:val="auto"/>
          <w:sz w:val="24"/>
          <w:szCs w:val="24"/>
          <w:highlight w:val="none"/>
        </w:rPr>
      </w:pPr>
      <w:r>
        <w:rPr>
          <w:rFonts w:hint="eastAsia" w:ascii="宋体" w:hAnsi="宋体" w:cs="宋体"/>
          <w:color w:val="auto"/>
          <w:spacing w:val="9"/>
          <w:kern w:val="0"/>
          <w:sz w:val="24"/>
          <w:szCs w:val="24"/>
          <w:highlight w:val="none"/>
        </w:rPr>
        <w:t>3.2.1工程勘察资质</w:t>
      </w:r>
      <w:r>
        <w:rPr>
          <w:rFonts w:hint="eastAsia" w:ascii="宋体" w:hAnsi="宋体" w:cs="宋体"/>
          <w:color w:val="auto"/>
          <w:kern w:val="0"/>
          <w:sz w:val="24"/>
          <w:szCs w:val="24"/>
          <w:highlight w:val="none"/>
        </w:rPr>
        <w:t>（如为联合体，</w:t>
      </w:r>
      <w:r>
        <w:rPr>
          <w:rFonts w:hint="eastAsia" w:ascii="宋体" w:hAnsi="宋体" w:cs="宋体"/>
          <w:color w:val="auto"/>
          <w:spacing w:val="7"/>
          <w:kern w:val="0"/>
          <w:sz w:val="24"/>
          <w:szCs w:val="24"/>
          <w:highlight w:val="none"/>
        </w:rPr>
        <w:t>由联合体成员方提供</w:t>
      </w:r>
      <w:r>
        <w:rPr>
          <w:rFonts w:hint="eastAsia" w:ascii="宋体" w:hAnsi="宋体" w:cs="宋体"/>
          <w:color w:val="auto"/>
          <w:kern w:val="0"/>
          <w:sz w:val="24"/>
          <w:szCs w:val="24"/>
          <w:highlight w:val="none"/>
        </w:rPr>
        <w:t>）</w:t>
      </w:r>
      <w:r>
        <w:rPr>
          <w:rFonts w:hint="eastAsia" w:ascii="宋体" w:hAnsi="宋体" w:cs="宋体"/>
          <w:color w:val="auto"/>
          <w:spacing w:val="9"/>
          <w:kern w:val="0"/>
          <w:sz w:val="24"/>
          <w:szCs w:val="24"/>
          <w:highlight w:val="none"/>
        </w:rPr>
        <w:t>：</w:t>
      </w:r>
      <w:r>
        <w:rPr>
          <w:rFonts w:hint="eastAsia" w:ascii="宋体" w:hAnsi="宋体" w:cs="宋体"/>
          <w:color w:val="auto"/>
          <w:sz w:val="24"/>
          <w:szCs w:val="24"/>
          <w:highlight w:val="none"/>
        </w:rPr>
        <w:t>具备以下（1）、（2）、（3）项勘察资质之一：</w:t>
      </w:r>
    </w:p>
    <w:p w14:paraId="21F12F00">
      <w:pPr>
        <w:wordWrap w:val="0"/>
        <w:autoSpaceDE w:val="0"/>
        <w:autoSpaceDN w:val="0"/>
        <w:adjustRightInd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b/>
          <w:bCs/>
          <w:color w:val="auto"/>
          <w:sz w:val="24"/>
          <w:szCs w:val="24"/>
          <w:highlight w:val="none"/>
          <w:u w:val="single"/>
        </w:rPr>
        <w:t>工程勘察综合甲级资质</w:t>
      </w:r>
      <w:r>
        <w:rPr>
          <w:rFonts w:hint="eastAsia" w:ascii="宋体" w:hAnsi="宋体" w:cs="宋体"/>
          <w:color w:val="auto"/>
          <w:sz w:val="24"/>
          <w:szCs w:val="24"/>
          <w:highlight w:val="none"/>
          <w:u w:val="single"/>
        </w:rPr>
        <w:t>；</w:t>
      </w:r>
    </w:p>
    <w:p w14:paraId="756BB533">
      <w:pPr>
        <w:wordWrap w:val="0"/>
        <w:autoSpaceDE w:val="0"/>
        <w:autoSpaceDN w:val="0"/>
        <w:adjustRightInd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w:t>
      </w:r>
      <w:r>
        <w:rPr>
          <w:rFonts w:hint="eastAsia" w:ascii="宋体" w:hAnsi="宋体" w:cs="宋体"/>
          <w:b/>
          <w:bCs/>
          <w:color w:val="auto"/>
          <w:sz w:val="24"/>
          <w:szCs w:val="24"/>
          <w:highlight w:val="none"/>
          <w:u w:val="single"/>
        </w:rPr>
        <w:t>工程勘察专业类（岩土工程）乙级或以上资质以及工程勘察专业类（工程测量）丙级或以上资质</w:t>
      </w:r>
      <w:r>
        <w:rPr>
          <w:rFonts w:hint="eastAsia" w:ascii="宋体" w:hAnsi="宋体" w:cs="宋体"/>
          <w:color w:val="auto"/>
          <w:sz w:val="24"/>
          <w:szCs w:val="24"/>
          <w:highlight w:val="none"/>
          <w:u w:val="single"/>
        </w:rPr>
        <w:t>；</w:t>
      </w:r>
    </w:p>
    <w:p w14:paraId="4EF3D7AB">
      <w:pPr>
        <w:wordWrap w:val="0"/>
        <w:autoSpaceDE w:val="0"/>
        <w:autoSpaceDN w:val="0"/>
        <w:adjustRightInd w:val="0"/>
        <w:snapToGrid w:val="0"/>
        <w:spacing w:line="520" w:lineRule="exact"/>
        <w:ind w:firstLine="480" w:firstLineChars="200"/>
        <w:rPr>
          <w:rFonts w:hint="eastAsia" w:ascii="宋体" w:hAnsi="宋体" w:cs="宋体"/>
          <w:color w:val="auto"/>
          <w:spacing w:val="9"/>
          <w:kern w:val="0"/>
          <w:sz w:val="24"/>
          <w:szCs w:val="24"/>
          <w:highlight w:val="none"/>
          <w:u w:val="single"/>
        </w:rPr>
      </w:pPr>
      <w:r>
        <w:rPr>
          <w:rFonts w:hint="eastAsia" w:ascii="宋体" w:hAnsi="宋体" w:cs="宋体"/>
          <w:color w:val="auto"/>
          <w:sz w:val="24"/>
          <w:szCs w:val="24"/>
          <w:highlight w:val="none"/>
          <w:u w:val="single"/>
        </w:rPr>
        <w:t>（3）</w:t>
      </w:r>
      <w:r>
        <w:rPr>
          <w:rFonts w:hint="eastAsia" w:ascii="宋体" w:hAnsi="宋体" w:cs="宋体"/>
          <w:b/>
          <w:bCs/>
          <w:color w:val="auto"/>
          <w:sz w:val="24"/>
          <w:szCs w:val="24"/>
          <w:highlight w:val="none"/>
          <w:u w:val="single"/>
        </w:rPr>
        <w:t>工程勘察专业类（岩土工程）（分项）岩土工程勘察丙级或以上资质以及工程勘察专业类（工程测量）丙级或以上资质</w:t>
      </w:r>
      <w:r>
        <w:rPr>
          <w:rFonts w:hint="eastAsia" w:ascii="宋体" w:hAnsi="宋体" w:cs="宋体"/>
          <w:color w:val="auto"/>
          <w:sz w:val="24"/>
          <w:szCs w:val="24"/>
          <w:highlight w:val="none"/>
          <w:u w:val="single"/>
        </w:rPr>
        <w:t>。</w:t>
      </w:r>
    </w:p>
    <w:p w14:paraId="7C3181A2">
      <w:pPr>
        <w:wordWrap w:val="0"/>
        <w:autoSpaceDE w:val="0"/>
        <w:autoSpaceDN w:val="0"/>
        <w:adjustRightInd w:val="0"/>
        <w:snapToGrid w:val="0"/>
        <w:spacing w:line="520" w:lineRule="exact"/>
        <w:ind w:firstLine="516" w:firstLineChars="200"/>
        <w:rPr>
          <w:rFonts w:hint="eastAsia" w:ascii="宋体" w:hAnsi="宋体" w:cs="宋体"/>
          <w:color w:val="auto"/>
          <w:sz w:val="24"/>
          <w:szCs w:val="24"/>
          <w:highlight w:val="none"/>
        </w:rPr>
      </w:pPr>
      <w:r>
        <w:rPr>
          <w:rFonts w:hint="eastAsia" w:ascii="宋体" w:hAnsi="宋体" w:cs="宋体"/>
          <w:color w:val="auto"/>
          <w:spacing w:val="9"/>
          <w:kern w:val="0"/>
          <w:sz w:val="24"/>
          <w:szCs w:val="24"/>
          <w:highlight w:val="none"/>
        </w:rPr>
        <w:t>3.2.2工程设计资质</w:t>
      </w:r>
      <w:r>
        <w:rPr>
          <w:rFonts w:hint="eastAsia" w:ascii="宋体" w:hAnsi="宋体" w:cs="宋体"/>
          <w:color w:val="auto"/>
          <w:kern w:val="0"/>
          <w:sz w:val="24"/>
          <w:szCs w:val="24"/>
          <w:highlight w:val="none"/>
        </w:rPr>
        <w:t>（如为联合体，</w:t>
      </w:r>
      <w:r>
        <w:rPr>
          <w:rFonts w:hint="eastAsia" w:ascii="宋体" w:hAnsi="宋体" w:cs="宋体"/>
          <w:color w:val="auto"/>
          <w:spacing w:val="7"/>
          <w:kern w:val="0"/>
          <w:sz w:val="24"/>
          <w:szCs w:val="24"/>
          <w:highlight w:val="none"/>
        </w:rPr>
        <w:t>由联合体主办方提供</w:t>
      </w:r>
      <w:r>
        <w:rPr>
          <w:rFonts w:hint="eastAsia" w:ascii="宋体" w:hAnsi="宋体" w:cs="宋体"/>
          <w:color w:val="auto"/>
          <w:kern w:val="0"/>
          <w:sz w:val="24"/>
          <w:szCs w:val="24"/>
          <w:highlight w:val="none"/>
        </w:rPr>
        <w:t>）</w:t>
      </w:r>
      <w:r>
        <w:rPr>
          <w:rFonts w:hint="eastAsia" w:ascii="宋体" w:hAnsi="宋体" w:cs="宋体"/>
          <w:color w:val="auto"/>
          <w:spacing w:val="9"/>
          <w:kern w:val="0"/>
          <w:sz w:val="24"/>
          <w:szCs w:val="24"/>
          <w:highlight w:val="none"/>
        </w:rPr>
        <w:t>：</w:t>
      </w:r>
      <w:r>
        <w:rPr>
          <w:rFonts w:hint="eastAsia" w:ascii="宋体" w:hAnsi="宋体" w:cs="宋体"/>
          <w:color w:val="auto"/>
          <w:sz w:val="24"/>
          <w:szCs w:val="24"/>
          <w:highlight w:val="none"/>
        </w:rPr>
        <w:t>具备以下（1）、（2）、（3）项设计资质之一：</w:t>
      </w:r>
    </w:p>
    <w:p w14:paraId="1C350E32">
      <w:pPr>
        <w:wordWrap w:val="0"/>
        <w:autoSpaceDE w:val="0"/>
        <w:autoSpaceDN w:val="0"/>
        <w:adjustRightInd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b/>
          <w:bCs/>
          <w:color w:val="auto"/>
          <w:sz w:val="24"/>
          <w:szCs w:val="24"/>
          <w:highlight w:val="none"/>
          <w:u w:val="single"/>
        </w:rPr>
        <w:t>工程设计综合甲级资质</w:t>
      </w:r>
      <w:r>
        <w:rPr>
          <w:rFonts w:hint="eastAsia" w:ascii="宋体" w:hAnsi="宋体" w:cs="宋体"/>
          <w:color w:val="auto"/>
          <w:sz w:val="24"/>
          <w:szCs w:val="24"/>
          <w:highlight w:val="none"/>
          <w:u w:val="single"/>
        </w:rPr>
        <w:t>；</w:t>
      </w:r>
    </w:p>
    <w:p w14:paraId="33547D14">
      <w:pPr>
        <w:wordWrap w:val="0"/>
        <w:autoSpaceDE w:val="0"/>
        <w:autoSpaceDN w:val="0"/>
        <w:adjustRightInd w:val="0"/>
        <w:snapToGrid w:val="0"/>
        <w:spacing w:line="520" w:lineRule="exact"/>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u w:val="single"/>
        </w:rPr>
        <w:t>（2）</w:t>
      </w:r>
      <w:r>
        <w:rPr>
          <w:rFonts w:hint="eastAsia" w:ascii="宋体" w:hAnsi="宋体" w:cs="宋体"/>
          <w:b/>
          <w:bCs/>
          <w:color w:val="auto"/>
          <w:sz w:val="24"/>
          <w:szCs w:val="24"/>
          <w:highlight w:val="none"/>
          <w:u w:val="single"/>
        </w:rPr>
        <w:t>工程设计（电力行业）乙级或以上资质</w:t>
      </w:r>
    </w:p>
    <w:p w14:paraId="23532405">
      <w:pPr>
        <w:wordWrap w:val="0"/>
        <w:autoSpaceDE w:val="0"/>
        <w:autoSpaceDN w:val="0"/>
        <w:adjustRightInd w:val="0"/>
        <w:snapToGrid w:val="0"/>
        <w:spacing w:line="520" w:lineRule="exact"/>
        <w:ind w:firstLine="480" w:firstLineChars="200"/>
        <w:rPr>
          <w:rFonts w:hint="eastAsia" w:ascii="宋体" w:hAnsi="宋体" w:cs="宋体"/>
          <w:color w:val="auto"/>
          <w:spacing w:val="9"/>
          <w:kern w:val="0"/>
          <w:sz w:val="24"/>
          <w:szCs w:val="24"/>
          <w:highlight w:val="none"/>
          <w:u w:val="single"/>
        </w:rPr>
      </w:pPr>
      <w:r>
        <w:rPr>
          <w:rFonts w:hint="eastAsia" w:ascii="宋体" w:hAnsi="宋体" w:cs="宋体"/>
          <w:color w:val="auto"/>
          <w:sz w:val="24"/>
          <w:szCs w:val="24"/>
          <w:highlight w:val="none"/>
          <w:u w:val="single"/>
        </w:rPr>
        <w:t>（3）</w:t>
      </w:r>
      <w:r>
        <w:rPr>
          <w:rFonts w:hint="eastAsia" w:ascii="宋体" w:hAnsi="宋体" w:cs="宋体"/>
          <w:b/>
          <w:bCs/>
          <w:color w:val="auto"/>
          <w:sz w:val="24"/>
          <w:szCs w:val="24"/>
          <w:highlight w:val="none"/>
          <w:u w:val="single"/>
        </w:rPr>
        <w:t>电力行业（送电工程）专业设计丙级或以上资质</w:t>
      </w:r>
      <w:r>
        <w:rPr>
          <w:rFonts w:hint="eastAsia" w:ascii="宋体" w:hAnsi="宋体" w:cs="宋体"/>
          <w:color w:val="auto"/>
          <w:sz w:val="24"/>
          <w:szCs w:val="24"/>
          <w:highlight w:val="none"/>
          <w:u w:val="single"/>
        </w:rPr>
        <w:t>。</w:t>
      </w:r>
    </w:p>
    <w:p w14:paraId="28D98E65">
      <w:pPr>
        <w:wordWrap w:val="0"/>
        <w:snapToGrid w:val="0"/>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国内申请人具体资质要求按照《建设工程勘察设计资质管理规定》（建设部令第160号）、《工程勘察资质分级标准》（建设[2001]22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0A57714F">
      <w:pPr>
        <w:wordWrap w:val="0"/>
        <w:snapToGrid w:val="0"/>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执行。根据上述文件的要求，投标人需办理企业资质有效期延续的，应当按照相关规定及时办理。</w:t>
      </w:r>
    </w:p>
    <w:p w14:paraId="301D28C9">
      <w:pPr>
        <w:wordWrap w:val="0"/>
        <w:snapToGrid w:val="0"/>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（3）香港企业独立参加投标的，须在广东省住房和城乡建设主管部门备案且备案的业务范围应符合本招标项目对工程勘察、设计资质的要求。</w:t>
      </w:r>
    </w:p>
    <w:p w14:paraId="10724156">
      <w:pPr>
        <w:wordWrap w:val="0"/>
        <w:snapToGrid w:val="0"/>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"http://zfcxjst.gd.gov.cn/xxgk/wjtz/content/post_3137220.html）确定。香港企业须提供满足招标文件要求的相应资质证书及备案证明资料扫描件。" </w:instrText>
      </w:r>
      <w:r>
        <w:rPr>
          <w:color w:val="auto"/>
          <w:highlight w:val="none"/>
        </w:rPr>
        <w:fldChar w:fldCharType="separate"/>
      </w:r>
      <w:r>
        <w:rPr>
          <w:rFonts w:hint="eastAsia" w:ascii="宋体" w:hAnsi="宋体" w:cs="宋体"/>
          <w:color w:val="auto"/>
          <w:kern w:val="0"/>
          <w:sz w:val="24"/>
          <w:szCs w:val="24"/>
          <w:highlight w:val="none"/>
        </w:rPr>
        <w:t>http://zfcxjst.gd.gov.cn/xxgk/wjtz/content/post_3137220.html）确定。香港企业须提供满足招标文件要求的相应资质证书及备案证明资料扫描件。</w:t>
      </w:r>
      <w:r>
        <w:rPr>
          <w:rFonts w:hint="eastAsia" w:ascii="宋体" w:hAnsi="宋体" w:cs="宋体"/>
          <w:color w:val="auto"/>
          <w:kern w:val="0"/>
          <w:sz w:val="24"/>
          <w:szCs w:val="24"/>
          <w:highlight w:val="none"/>
        </w:rPr>
        <w:fldChar w:fldCharType="end"/>
      </w:r>
    </w:p>
    <w:p w14:paraId="4CC89BE2">
      <w:pPr>
        <w:wordWrap w:val="0"/>
        <w:autoSpaceDE w:val="0"/>
        <w:autoSpaceDN w:val="0"/>
        <w:adjustRightInd w:val="0"/>
        <w:snapToGrid w:val="0"/>
        <w:spacing w:line="520" w:lineRule="exact"/>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3.3 外国或澳门、台湾的设计企业必须选择一家符合上述条件（招标公告第3.1条、第3.2.2条要求）的国内投标人进行合作设计。香港企业如不单独参加投标，也必须选择一家符合上述条件（招标公告第3.1条、第3.2.2条要求）的国内投标人进行合作设计。（需提供合作设计协议书。）</w:t>
      </w:r>
    </w:p>
    <w:p w14:paraId="1FB3DCE3">
      <w:pPr>
        <w:wordWrap w:val="0"/>
        <w:autoSpaceDE w:val="0"/>
        <w:autoSpaceDN w:val="0"/>
        <w:adjustRightInd w:val="0"/>
        <w:snapToGrid w:val="0"/>
        <w:spacing w:line="520" w:lineRule="exact"/>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3.4 投标人</w:t>
      </w:r>
      <w:r>
        <w:rPr>
          <w:rFonts w:hint="eastAsia" w:ascii="宋体" w:hAnsi="宋体" w:cs="宋体"/>
          <w:color w:val="auto"/>
          <w:kern w:val="0"/>
          <w:sz w:val="24"/>
          <w:szCs w:val="24"/>
          <w:highlight w:val="none"/>
        </w:rPr>
        <w:t>（如为联合体，则联合体各方）</w:t>
      </w:r>
      <w:r>
        <w:rPr>
          <w:rFonts w:hint="eastAsia" w:ascii="宋体" w:hAnsi="宋体" w:cs="宋体"/>
          <w:color w:val="auto"/>
          <w:sz w:val="24"/>
          <w:szCs w:val="24"/>
          <w:highlight w:val="none"/>
          <w:lang w:bidi="ar"/>
        </w:rPr>
        <w:t>已在广州市住房和城乡建设局建立企业信用档案，拟委派的项目负责人须是本企业信用档案中的在册人员。（信用档案办理详见《广州市住建行业信用管理平台勘察企业信息录入办理指引》http://zfcj.gz.gov.cn/zwgk/zsdwxxgkzl/gzsjzyglfwzx/bszy/content/post_8077254.html、《广州市住建行业信用管理平台设计企业信息录入指引》http://zfcj.gz.gov.cn/zwgk/zsdwxxgkzl/gzsjzyglfwzx/bszy/content/post_9116013.html）</w:t>
      </w:r>
      <w:r>
        <w:rPr>
          <w:rFonts w:hint="eastAsia" w:ascii="宋体" w:hAnsi="宋体" w:cs="宋体"/>
          <w:color w:val="auto"/>
          <w:spacing w:val="7"/>
          <w:kern w:val="0"/>
          <w:sz w:val="24"/>
          <w:szCs w:val="24"/>
          <w:highlight w:val="none"/>
        </w:rPr>
        <w:t>。</w:t>
      </w:r>
    </w:p>
    <w:p w14:paraId="7976ABCD">
      <w:pPr>
        <w:wordWrap w:val="0"/>
        <w:autoSpaceDE w:val="0"/>
        <w:autoSpaceDN w:val="0"/>
        <w:adjustRightInd w:val="0"/>
        <w:snapToGrid w:val="0"/>
        <w:spacing w:line="520" w:lineRule="exact"/>
        <w:ind w:firstLine="482" w:firstLineChars="200"/>
        <w:rPr>
          <w:rFonts w:hint="eastAsia" w:ascii="宋体" w:hAnsi="宋体" w:cs="宋体"/>
          <w:color w:val="auto"/>
          <w:spacing w:val="7"/>
          <w:kern w:val="0"/>
          <w:sz w:val="24"/>
          <w:szCs w:val="24"/>
          <w:highlight w:val="none"/>
        </w:rPr>
      </w:pPr>
      <w:r>
        <w:rPr>
          <w:rFonts w:hint="eastAsia" w:ascii="宋体" w:hAnsi="宋体" w:cs="宋体"/>
          <w:b/>
          <w:color w:val="auto"/>
          <w:sz w:val="24"/>
          <w:szCs w:val="24"/>
          <w:highlight w:val="none"/>
          <w:u w:val="single"/>
        </w:rPr>
        <w:t>注：申请人在投标登记时选择了拟投入本项目的项目负责人即已满足“申请人已在广州市住房和城乡建设局建立企业信用档案，拟委派的项目负责人须是本企业信用档案中的在册人员”的要求，申请人无需提供证明材料。</w:t>
      </w:r>
    </w:p>
    <w:p w14:paraId="7B8080C6">
      <w:pPr>
        <w:wordWrap w:val="0"/>
        <w:autoSpaceDE w:val="0"/>
        <w:autoSpaceDN w:val="0"/>
        <w:adjustRightInd w:val="0"/>
        <w:snapToGrid w:val="0"/>
        <w:spacing w:line="520" w:lineRule="exact"/>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u w:val="single"/>
        </w:rPr>
        <w:t>3.5 投标人（如为联合体，由联合体主办方提供）委派的项目负责人须具备</w:t>
      </w:r>
      <w:r>
        <w:rPr>
          <w:rFonts w:hint="eastAsia" w:ascii="宋体" w:hAnsi="宋体" w:cs="宋体"/>
          <w:b/>
          <w:bCs/>
          <w:color w:val="auto"/>
          <w:spacing w:val="7"/>
          <w:kern w:val="0"/>
          <w:sz w:val="24"/>
          <w:szCs w:val="24"/>
          <w:highlight w:val="none"/>
          <w:u w:val="single"/>
        </w:rPr>
        <w:t>注册电气工程师或电气专业（含相近专业）高级或以上技术职称</w:t>
      </w:r>
      <w:r>
        <w:rPr>
          <w:rFonts w:hint="eastAsia" w:ascii="宋体" w:hAnsi="宋体" w:cs="宋体"/>
          <w:color w:val="auto"/>
          <w:spacing w:val="7"/>
          <w:kern w:val="0"/>
          <w:sz w:val="24"/>
          <w:szCs w:val="24"/>
          <w:highlight w:val="none"/>
          <w:u w:val="single"/>
        </w:rPr>
        <w:t>，或在广东省住房和城乡建设主管部门备案且备案的业务范围符合本招标项目对项目负责人要求的香港专业人士。</w:t>
      </w:r>
    </w:p>
    <w:p w14:paraId="3E2AADE3">
      <w:pPr>
        <w:wordWrap w:val="0"/>
        <w:autoSpaceDE w:val="0"/>
        <w:autoSpaceDN w:val="0"/>
        <w:adjustRightInd w:val="0"/>
        <w:snapToGrid w:val="0"/>
        <w:spacing w:line="520" w:lineRule="exact"/>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注：香港专业人士的备案业务范围依据《广东省住房和城乡建设厅关于印发香港工程建设咨询企业和专业人士在粤港澳大湾区内地城市开业执业试点管理暂行办法的通知》（粤建规范〔2020〕1号）确定。</w:t>
      </w:r>
      <w:bookmarkStart w:id="0" w:name="_Hlk106938655"/>
      <w:r>
        <w:rPr>
          <w:rFonts w:hint="eastAsia" w:ascii="宋体" w:hAnsi="宋体" w:cs="宋体"/>
          <w:color w:val="auto"/>
          <w:spacing w:val="7"/>
          <w:kern w:val="0"/>
          <w:sz w:val="24"/>
          <w:szCs w:val="24"/>
          <w:highlight w:val="none"/>
        </w:rPr>
        <w:t>香港专业人士须提供满足招标文件要求的相应执业证书及备案证明资料扫描件。</w:t>
      </w:r>
      <w:bookmarkEnd w:id="0"/>
    </w:p>
    <w:p w14:paraId="3BF7561C">
      <w:pPr>
        <w:wordWrap w:val="0"/>
        <w:snapToGrid w:val="0"/>
        <w:spacing w:line="520" w:lineRule="exact"/>
        <w:ind w:firstLine="480"/>
        <w:rPr>
          <w:rFonts w:hint="eastAsia" w:ascii="宋体" w:hAnsi="宋体" w:cs="宋体"/>
          <w:color w:val="auto"/>
          <w:sz w:val="24"/>
          <w:szCs w:val="24"/>
          <w:highlight w:val="none"/>
          <w:u w:val="single"/>
        </w:rPr>
      </w:pPr>
      <w:r>
        <w:rPr>
          <w:rFonts w:hint="eastAsia" w:ascii="宋体" w:hAnsi="宋体" w:cs="宋体"/>
          <w:color w:val="auto"/>
          <w:spacing w:val="7"/>
          <w:kern w:val="0"/>
          <w:sz w:val="24"/>
          <w:szCs w:val="24"/>
          <w:highlight w:val="none"/>
          <w:u w:val="single"/>
        </w:rPr>
        <w:t>3.6</w:t>
      </w:r>
      <w:r>
        <w:rPr>
          <w:rFonts w:hint="eastAsia" w:ascii="宋体" w:hAnsi="宋体" w:cs="宋体"/>
          <w:color w:val="auto"/>
          <w:sz w:val="24"/>
          <w:szCs w:val="24"/>
          <w:highlight w:val="none"/>
          <w:u w:val="single"/>
        </w:rPr>
        <w:t>本次招标接受联合体投标，联合体投标的，应满足下列要求：</w:t>
      </w:r>
    </w:p>
    <w:p w14:paraId="37DFDFA6">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投标人可以组成联合体投标，但只接受最多由3家单位（即两家勘察单位负责勘察工作、一家设计单位负责设计工作）组成的联合体。联合体投标的，应满足下列要求：</w:t>
      </w:r>
    </w:p>
    <w:p w14:paraId="0CDB061E">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如投标人组成联合体，应以具有符合本招标项目要求的工程设计资质并负责设计工作的一方为联合体主办方，并签定联合体共同投标协议。投标登记截止后联合体增减、更换成员的，其投标无效。投标人拟任本招标项目负责人应为联合体主办方正式员工。</w:t>
      </w:r>
    </w:p>
    <w:p w14:paraId="613613DB">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注：（1）联合体应签订一份联合体协议书（格式按本招标公告附件一），明确约定联合体各方拟承担的工作和责任；</w:t>
      </w:r>
    </w:p>
    <w:p w14:paraId="4FDB2CB9">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（2）联合体各方不得再单独或与其他单位组成联合体参与本项目投标。出现上述情况者，其投标和与此有关的联合体的投标将被拒绝；</w:t>
      </w:r>
    </w:p>
    <w:p w14:paraId="29FF922E">
      <w:pPr>
        <w:wordWrap w:val="0"/>
        <w:snapToGrid w:val="0"/>
        <w:spacing w:line="52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（3）联合体投标的除联合体协议书须联合体各方均签字盖章外，其余文件均可由联合体主办方签字盖章。</w:t>
      </w:r>
    </w:p>
    <w:p w14:paraId="691C3FBE">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3.7</w:t>
      </w:r>
      <w:r>
        <w:rPr>
          <w:rFonts w:hint="eastAsia" w:ascii="宋体" w:hAnsi="宋体" w:cs="宋体"/>
          <w:color w:val="auto"/>
          <w:sz w:val="24"/>
          <w:szCs w:val="24"/>
          <w:highlight w:val="none"/>
          <w:u w:val="single"/>
          <w:lang w:bidi="ar"/>
        </w:rPr>
        <w:t>投标人</w:t>
      </w:r>
      <w:r>
        <w:rPr>
          <w:rFonts w:hint="eastAsia" w:ascii="宋体" w:hAnsi="宋体" w:cs="宋体"/>
          <w:color w:val="auto"/>
          <w:kern w:val="0"/>
          <w:sz w:val="24"/>
          <w:szCs w:val="24"/>
          <w:highlight w:val="none"/>
          <w:u w:val="single"/>
        </w:rPr>
        <w:t>（如为联合体，则联合体各方）</w:t>
      </w:r>
      <w:r>
        <w:rPr>
          <w:rFonts w:hint="eastAsia" w:ascii="宋体" w:hAnsi="宋体" w:cs="宋体"/>
          <w:color w:val="auto"/>
          <w:sz w:val="24"/>
          <w:szCs w:val="24"/>
          <w:highlight w:val="none"/>
          <w:u w:val="single"/>
          <w:lang w:bidi="ar"/>
        </w:rPr>
        <w:t>没有招标文件第二章第1.4.3项规定的任何一种情形（根据《投标人声明》进行评审，投标人须按《投标人声明》规定的格式填写）。</w:t>
      </w:r>
    </w:p>
    <w:p w14:paraId="7B5DC7C8">
      <w:pPr>
        <w:wordWrap w:val="0"/>
        <w:autoSpaceDE w:val="0"/>
        <w:autoSpaceDN w:val="0"/>
        <w:adjustRightInd w:val="0"/>
        <w:snapToGrid w:val="0"/>
        <w:spacing w:line="520" w:lineRule="exact"/>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u w:val="single"/>
        </w:rPr>
        <w:t>3.8投标人</w:t>
      </w:r>
      <w:r>
        <w:rPr>
          <w:rFonts w:hint="eastAsia" w:ascii="宋体" w:hAnsi="宋体" w:cs="宋体"/>
          <w:color w:val="auto"/>
          <w:kern w:val="0"/>
          <w:sz w:val="24"/>
          <w:szCs w:val="24"/>
          <w:highlight w:val="none"/>
          <w:u w:val="single"/>
        </w:rPr>
        <w:t>（如为联合体，则联合体各方）</w:t>
      </w:r>
      <w:r>
        <w:rPr>
          <w:rFonts w:hint="eastAsia" w:ascii="宋体" w:hAnsi="宋体" w:cs="宋体"/>
          <w:color w:val="auto"/>
          <w:spacing w:val="7"/>
          <w:kern w:val="0"/>
          <w:sz w:val="24"/>
          <w:szCs w:val="24"/>
          <w:highlight w:val="none"/>
          <w:u w:val="single"/>
        </w:rPr>
        <w:t>未被列入拖欠农民工工资失信联合惩戒对象名单（投标人无需提供资料，按投标截止时间广州交易集团有限公司（广州公共资源交易中心）交易系统比对的结果进行评审）。</w:t>
      </w:r>
    </w:p>
    <w:p w14:paraId="16DCDC44">
      <w:pPr>
        <w:wordWrap w:val="0"/>
        <w:snapToGrid w:val="0"/>
        <w:spacing w:line="520" w:lineRule="exact"/>
        <w:ind w:firstLine="480" w:firstLineChars="200"/>
        <w:rPr>
          <w:rFonts w:hint="eastAsia" w:ascii="宋体" w:hAnsi="宋体" w:cs="宋体"/>
          <w:color w:val="auto"/>
          <w:sz w:val="24"/>
          <w:szCs w:val="24"/>
          <w:highlight w:val="none"/>
          <w:u w:val="single"/>
        </w:rPr>
      </w:pPr>
    </w:p>
    <w:p w14:paraId="57311A6E">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技术成果经济补偿</w:t>
      </w:r>
    </w:p>
    <w:p w14:paraId="663ABFC0">
      <w:pPr>
        <w:wordWrap w:val="0"/>
        <w:snapToGrid w:val="0"/>
        <w:spacing w:line="520" w:lineRule="exact"/>
        <w:ind w:firstLine="480" w:firstLineChars="200"/>
        <w:rPr>
          <w:rFonts w:hint="eastAsia" w:ascii="宋体" w:hAnsi="宋体" w:cs="宋体"/>
          <w:bCs/>
          <w:strike/>
          <w:color w:val="auto"/>
          <w:sz w:val="24"/>
          <w:szCs w:val="24"/>
          <w:highlight w:val="none"/>
          <w:u w:val="single"/>
        </w:rPr>
      </w:pPr>
      <w:r>
        <w:rPr>
          <w:rFonts w:hint="eastAsia" w:ascii="宋体" w:hAnsi="宋体" w:cs="宋体"/>
          <w:bCs/>
          <w:color w:val="auto"/>
          <w:sz w:val="24"/>
          <w:szCs w:val="24"/>
          <w:highlight w:val="none"/>
          <w:u w:val="single"/>
        </w:rPr>
        <w:t>本招标项目不设经济补偿。</w:t>
      </w:r>
    </w:p>
    <w:p w14:paraId="0BA158ED">
      <w:pPr>
        <w:wordWrap w:val="0"/>
        <w:snapToGrid w:val="0"/>
        <w:spacing w:line="520" w:lineRule="exact"/>
        <w:rPr>
          <w:rFonts w:hint="eastAsia" w:ascii="宋体" w:hAnsi="宋体" w:cs="宋体"/>
          <w:color w:val="auto"/>
          <w:sz w:val="24"/>
          <w:szCs w:val="24"/>
          <w:highlight w:val="none"/>
          <w:u w:val="single"/>
        </w:rPr>
      </w:pPr>
    </w:p>
    <w:p w14:paraId="06106653">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招标文件的获取及资格审查</w:t>
      </w:r>
    </w:p>
    <w:p w14:paraId="46913331">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5.1招标公告发布时间（含本日）：2025年  月  日  时  分至2025年  月  日  时  分。（北京时间，下同），凡有意参加投标者，请登录广州交易集团有限公司（广州公共资源交易中心）网站（http//www.gzggzy.cn）在本项目招标公告附件中下载电子招标文件。</w:t>
      </w:r>
    </w:p>
    <w:p w14:paraId="2E36DDC0">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 本项目采用全电子化资格后审方式。</w:t>
      </w:r>
    </w:p>
    <w:p w14:paraId="2229F01B">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55FED371">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01019FA0">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14:paraId="724B1793">
      <w:pPr>
        <w:pStyle w:val="6"/>
        <w:wordWrap w:val="0"/>
        <w:snapToGrid w:val="0"/>
        <w:spacing w:line="520" w:lineRule="exact"/>
        <w:ind w:firstLine="480"/>
        <w:rPr>
          <w:rFonts w:hint="eastAsia" w:ascii="宋体" w:hAnsi="宋体" w:eastAsia="宋体" w:cs="宋体"/>
          <w:color w:val="auto"/>
          <w:sz w:val="24"/>
          <w:szCs w:val="24"/>
          <w:highlight w:val="none"/>
          <w:lang w:eastAsia="zh-CN"/>
        </w:rPr>
      </w:pPr>
    </w:p>
    <w:p w14:paraId="73195A7F">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投标文件的递交、开标时间</w:t>
      </w:r>
    </w:p>
    <w:p w14:paraId="125288FD">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 投标文件递交的截止时间（投标截止时间，下同）为2025年  月  日  时  分，投标人应在截止时间前通过广州交易集团有限公司（广州公共资源交易中心）网站（网址：http://www.gzggzy.cn）递交电子投标文件。</w:t>
      </w:r>
    </w:p>
    <w:p w14:paraId="36C93028">
      <w:pPr>
        <w:pStyle w:val="6"/>
        <w:wordWrap w:val="0"/>
        <w:snapToGrid w:val="0"/>
        <w:spacing w:line="5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投标人应在递交投标文件截止时间前，登录广州交易集团有限公司（广州公共资源交易中心）网站办理网上投标登记手续。操作详见广州交易集团有限公司（广州公共资源交易中心）网站（网址：http://www.gzggzy.cn）。</w:t>
      </w:r>
    </w:p>
    <w:p w14:paraId="7407F041">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w:t>
      </w:r>
      <w:bookmarkStart w:id="1" w:name="_Hlk106940116"/>
      <w:r>
        <w:rPr>
          <w:rFonts w:hint="eastAsia" w:ascii="宋体" w:hAnsi="宋体" w:cs="宋体"/>
          <w:color w:val="auto"/>
          <w:sz w:val="24"/>
          <w:szCs w:val="24"/>
          <w:highlight w:val="none"/>
        </w:rPr>
        <w:t>递交备用投标文件电子光盘</w:t>
      </w:r>
      <w:bookmarkEnd w:id="1"/>
      <w:r>
        <w:rPr>
          <w:rFonts w:hint="eastAsia" w:ascii="宋体" w:hAnsi="宋体" w:cs="宋体"/>
          <w:color w:val="auto"/>
          <w:sz w:val="24"/>
          <w:szCs w:val="24"/>
          <w:highlight w:val="none"/>
        </w:rPr>
        <w:t>的规定：</w:t>
      </w:r>
    </w:p>
    <w:p w14:paraId="3A05A484">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时间为2025年  月  日  时  分至2025年  月  日  时  分；地点：广州交易集团有限公司（广州公共资源交易中心）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开标室,具体安排请投标人自行登陆“http://www.gzggzy.cn/xmcxjsgc/index.jhtml”进行查询。</w:t>
      </w:r>
      <w:r>
        <w:rPr>
          <w:rFonts w:hint="eastAsia" w:ascii="宋体" w:hAnsi="宋体" w:cs="宋体"/>
          <w:b/>
          <w:bCs/>
          <w:color w:val="auto"/>
          <w:sz w:val="24"/>
          <w:szCs w:val="24"/>
          <w:highlight w:val="none"/>
          <w:u w:val="single"/>
        </w:rPr>
        <w:t>（投标人应在投标截止时间前，凭法定代表人证明书原件、法定代表人授权委托证明书原件（非法定代表人办理手续时提供）、本人身份证原件到达开标室递交投标文件光盘（备用）。</w:t>
      </w:r>
      <w:r>
        <w:rPr>
          <w:rFonts w:hint="eastAsia" w:ascii="宋体" w:hAnsi="宋体" w:cs="宋体"/>
          <w:color w:val="auto"/>
          <w:sz w:val="24"/>
          <w:szCs w:val="24"/>
          <w:highlight w:val="none"/>
        </w:rPr>
        <w:t>电子光盘需按规定封装。投标人在将数据刻录到光盘之后，投标前自行检查文件是否可以读取。）</w:t>
      </w:r>
    </w:p>
    <w:p w14:paraId="3B6A9793">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6.4逾期送达的投标文件，电子招标投标交易平台将予以拒收。</w:t>
      </w:r>
    </w:p>
    <w:p w14:paraId="45D8B992">
      <w:pPr>
        <w:wordWrap w:val="0"/>
        <w:snapToGrid w:val="0"/>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6.5开标时间：2025年  月  日  时  分。地点：广州交易集团有限公司（广州公共资源交易中心）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开标室,具体安排请投标人自行登陆“http://www.gzggzy.cn/xmcxjsgc/index.jhtml”进行查询。</w:t>
      </w:r>
    </w:p>
    <w:p w14:paraId="04DD9225">
      <w:pPr>
        <w:pStyle w:val="6"/>
        <w:wordWrap w:val="0"/>
        <w:snapToGrid w:val="0"/>
        <w:spacing w:line="520" w:lineRule="exact"/>
        <w:ind w:firstLine="480"/>
        <w:rPr>
          <w:rFonts w:hint="eastAsia" w:ascii="宋体" w:hAnsi="宋体" w:eastAsia="宋体" w:cs="宋体"/>
          <w:color w:val="auto"/>
          <w:sz w:val="24"/>
          <w:szCs w:val="24"/>
          <w:highlight w:val="none"/>
          <w:lang w:eastAsia="zh-CN"/>
        </w:rPr>
      </w:pPr>
    </w:p>
    <w:p w14:paraId="07DD4DEA">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发布公告的媒介</w:t>
      </w:r>
    </w:p>
    <w:p w14:paraId="5C415271">
      <w:pPr>
        <w:widowControl/>
        <w:tabs>
          <w:tab w:val="left" w:pos="76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次招标公告同时在广州交易集团有限公司（广州公共资源交易中心）网（网址：http://www.gzggzy.cn）、广东省招标投标监管网（网址：http://zbtb.gd.gov.cn）、中国招标投标公共服务平台（网址：http://www.cebpubservice.com/）</w:t>
      </w:r>
      <w:r>
        <w:rPr>
          <w:rFonts w:hint="eastAsia" w:ascii="宋体" w:hAnsi="宋体" w:cs="宋体"/>
          <w:color w:val="auto"/>
          <w:sz w:val="24"/>
          <w:szCs w:val="24"/>
          <w:highlight w:val="none"/>
        </w:rPr>
        <w:t>和广州国企阳光采购信息发布平台（网址：http://ygcg.gzggzy.cn/）</w:t>
      </w:r>
      <w:r>
        <w:rPr>
          <w:rFonts w:hint="eastAsia" w:ascii="宋体" w:hAnsi="宋体" w:cs="宋体"/>
          <w:bCs/>
          <w:color w:val="auto"/>
          <w:sz w:val="24"/>
          <w:szCs w:val="24"/>
          <w:highlight w:val="none"/>
        </w:rPr>
        <w:t>上发布。本公告的修改、补充，在广州交易集团有限公司（广州公共资源交易中心）网发布。</w:t>
      </w:r>
    </w:p>
    <w:p w14:paraId="41682C2A">
      <w:pPr>
        <w:widowControl/>
        <w:tabs>
          <w:tab w:val="left" w:pos="760"/>
        </w:tabs>
        <w:wordWrap w:val="0"/>
        <w:snapToGrid w:val="0"/>
        <w:spacing w:line="520" w:lineRule="exact"/>
        <w:ind w:firstLine="480" w:firstLineChars="200"/>
        <w:rPr>
          <w:rFonts w:hint="eastAsia" w:ascii="宋体" w:hAnsi="宋体" w:cs="宋体"/>
          <w:bCs/>
          <w:color w:val="auto"/>
          <w:sz w:val="24"/>
          <w:szCs w:val="24"/>
          <w:highlight w:val="none"/>
        </w:rPr>
      </w:pPr>
    </w:p>
    <w:p w14:paraId="3C6A051B">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其他事项</w:t>
      </w:r>
    </w:p>
    <w:p w14:paraId="48212193">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投标时是否需要提交设计模型：</w:t>
      </w:r>
      <w:r>
        <w:rPr>
          <w:rFonts w:hint="eastAsia" w:ascii="宋体" w:hAnsi="宋体" w:cs="宋体"/>
          <w:bCs/>
          <w:color w:val="auto"/>
          <w:sz w:val="24"/>
          <w:szCs w:val="24"/>
          <w:highlight w:val="none"/>
          <w:u w:val="single"/>
        </w:rPr>
        <w:t>不需要</w:t>
      </w:r>
      <w:r>
        <w:rPr>
          <w:rFonts w:hint="eastAsia" w:ascii="宋体" w:hAnsi="宋体" w:cs="宋体"/>
          <w:color w:val="auto"/>
          <w:sz w:val="24"/>
          <w:szCs w:val="24"/>
          <w:highlight w:val="none"/>
        </w:rPr>
        <w:t>。</w:t>
      </w:r>
    </w:p>
    <w:p w14:paraId="2C6E28F6">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 投标人可通过</w:t>
      </w:r>
      <w:r>
        <w:rPr>
          <w:rFonts w:hint="eastAsia" w:ascii="宋体" w:hAnsi="宋体" w:cs="宋体"/>
          <w:color w:val="auto"/>
          <w:sz w:val="24"/>
          <w:szCs w:val="24"/>
          <w:highlight w:val="none"/>
          <w:u w:val="single"/>
        </w:rPr>
        <w:t>http://map.baidu.com选择（地球模式）</w:t>
      </w:r>
      <w:r>
        <w:rPr>
          <w:rFonts w:hint="eastAsia" w:ascii="宋体" w:hAnsi="宋体" w:cs="宋体"/>
          <w:color w:val="auto"/>
          <w:sz w:val="24"/>
          <w:szCs w:val="24"/>
          <w:highlight w:val="none"/>
        </w:rPr>
        <w:t>观察本项目的周边环境。</w:t>
      </w:r>
    </w:p>
    <w:p w14:paraId="165B1CB2">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项目的其他情况在勘察设计任务书中详细介绍。本公告为招标文件的组成部分，更详细的信息以招标文件为准。</w:t>
      </w:r>
    </w:p>
    <w:p w14:paraId="010BB29F">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 潜在投标人或利害关系人对本招标公告及招标文件有异议的，应当在投标截止时间10日前向招标人书面提出。</w:t>
      </w:r>
    </w:p>
    <w:p w14:paraId="56829F79">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广州环投福山环保能源有限公司</w:t>
      </w:r>
    </w:p>
    <w:p w14:paraId="1B7C4FA0">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王工</w:t>
      </w:r>
    </w:p>
    <w:p w14:paraId="0D66289E">
      <w:pPr>
        <w:wordWrap w:val="0"/>
        <w:snapToGrid w:val="0"/>
        <w:spacing w:line="52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eastAsia="zh-CN"/>
        </w:rPr>
        <w:t>85806501</w:t>
      </w:r>
    </w:p>
    <w:p w14:paraId="0CAB7A4D">
      <w:pPr>
        <w:tabs>
          <w:tab w:val="left" w:pos="4120"/>
        </w:tabs>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广州市越秀区流花路121号南塔10楼</w:t>
      </w:r>
    </w:p>
    <w:p w14:paraId="286806B1">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B268558">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特别提示：投标人在本项目招标人的工程项目中存在下列行为的，将被拒绝</w:t>
      </w:r>
      <w:r>
        <w:rPr>
          <w:rFonts w:hint="eastAsia" w:ascii="宋体" w:hAnsi="宋体" w:cs="宋体"/>
          <w:color w:val="auto"/>
          <w:sz w:val="24"/>
          <w:szCs w:val="24"/>
          <w:highlight w:val="none"/>
          <w:u w:val="single"/>
        </w:rPr>
        <w:t>一年内</w:t>
      </w:r>
      <w:r>
        <w:rPr>
          <w:rFonts w:hint="eastAsia" w:ascii="宋体" w:hAnsi="宋体" w:cs="宋体"/>
          <w:color w:val="auto"/>
          <w:sz w:val="24"/>
          <w:szCs w:val="24"/>
          <w:highlight w:val="none"/>
        </w:rPr>
        <w:t>参与我单位后续工程投标：（注：拒绝投标时限自招标人发出通知之日起计）</w:t>
      </w:r>
    </w:p>
    <w:p w14:paraId="36094B17">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32398B57">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569295B9">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14:paraId="6860952F">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（4）存在弄虚作假骗取中标情形的；</w:t>
      </w:r>
    </w:p>
    <w:p w14:paraId="2399D914">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（5）存在因过错行为被生效法律文书认定承担违约或侵权责任的。</w:t>
      </w:r>
    </w:p>
    <w:p w14:paraId="5E03A0A3">
      <w:pPr>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8.6 前期服务机构名称：</w:t>
      </w:r>
      <w:r>
        <w:rPr>
          <w:rFonts w:hint="eastAsia" w:ascii="宋体" w:hAnsi="宋体" w:cs="宋体"/>
          <w:color w:val="auto"/>
          <w:sz w:val="24"/>
          <w:szCs w:val="24"/>
          <w:highlight w:val="none"/>
          <w:u w:val="single"/>
        </w:rPr>
        <w:t>无</w:t>
      </w:r>
      <w:r>
        <w:rPr>
          <w:rFonts w:hint="eastAsia" w:ascii="宋体" w:hAnsi="宋体" w:cs="宋体"/>
          <w:color w:val="auto"/>
          <w:sz w:val="24"/>
          <w:szCs w:val="24"/>
          <w:highlight w:val="none"/>
        </w:rPr>
        <w:t>。</w:t>
      </w:r>
    </w:p>
    <w:p w14:paraId="21896FB7">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注：如果前期服务机构参加本次投标，应将本公告发布前最终完成的工作成果（含电子文件）在发布招标公告的同时提供给所有投标人参考，否则前期参与的服务机构中标无效。 </w:t>
      </w:r>
    </w:p>
    <w:p w14:paraId="5D3299B4">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14:paraId="4055ECB1">
      <w:pPr>
        <w:wordWrap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 现场考察：</w:t>
      </w:r>
    </w:p>
    <w:p w14:paraId="188E4AF5">
      <w:pPr>
        <w:wordWrap w:val="0"/>
        <w:autoSpaceDE w:val="0"/>
        <w:autoSpaceDN w:val="0"/>
        <w:adjustRightInd w:val="0"/>
        <w:snapToGrid w:val="0"/>
        <w:spacing w:line="520" w:lineRule="exact"/>
        <w:ind w:firstLine="960" w:firstLine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时间：不安排统一考察，由投标人自行考察。</w:t>
      </w:r>
    </w:p>
    <w:p w14:paraId="6B284923">
      <w:pPr>
        <w:wordWrap w:val="0"/>
        <w:autoSpaceDE w:val="0"/>
        <w:autoSpaceDN w:val="0"/>
        <w:adjustRightInd w:val="0"/>
        <w:snapToGrid w:val="0"/>
        <w:spacing w:line="520" w:lineRule="exact"/>
        <w:ind w:firstLine="960" w:firstLineChars="4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地点：不安排统一考察，由投标人自行考察。</w:t>
      </w:r>
    </w:p>
    <w:p w14:paraId="4EDC023D">
      <w:pPr>
        <w:pStyle w:val="6"/>
        <w:wordWrap w:val="0"/>
        <w:snapToGrid w:val="0"/>
        <w:spacing w:line="520" w:lineRule="exact"/>
        <w:ind w:firstLine="480"/>
        <w:rPr>
          <w:rFonts w:hint="eastAsia" w:ascii="宋体" w:hAnsi="宋体" w:eastAsia="宋体" w:cs="宋体"/>
          <w:color w:val="auto"/>
          <w:sz w:val="24"/>
          <w:szCs w:val="24"/>
          <w:highlight w:val="none"/>
          <w:lang w:eastAsia="zh-CN"/>
        </w:rPr>
      </w:pPr>
    </w:p>
    <w:p w14:paraId="08131563">
      <w:pPr>
        <w:widowControl/>
        <w:numPr>
          <w:ilvl w:val="0"/>
          <w:numId w:val="1"/>
        </w:numPr>
        <w:tabs>
          <w:tab w:val="left" w:pos="760"/>
        </w:tabs>
        <w:wordWrap w:val="0"/>
        <w:snapToGrid w:val="0"/>
        <w:spacing w:line="52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联系方式 </w:t>
      </w:r>
    </w:p>
    <w:p w14:paraId="5F3A31D4">
      <w:pPr>
        <w:pStyle w:val="6"/>
        <w:wordWrap w:val="0"/>
        <w:snapToGrid w:val="0"/>
        <w:spacing w:line="52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9.1招标人</w:t>
      </w:r>
    </w:p>
    <w:p w14:paraId="5082E4D3">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9.1.1名称：</w:t>
      </w:r>
      <w:r>
        <w:rPr>
          <w:rFonts w:hint="eastAsia" w:ascii="宋体" w:hAnsi="宋体" w:cs="宋体"/>
          <w:color w:val="auto"/>
          <w:sz w:val="24"/>
          <w:szCs w:val="24"/>
          <w:highlight w:val="none"/>
          <w:u w:val="single"/>
        </w:rPr>
        <w:t>广州环投福山环保能源有限公司</w:t>
      </w:r>
    </w:p>
    <w:p w14:paraId="180A7449">
      <w:pPr>
        <w:tabs>
          <w:tab w:val="left" w:pos="4120"/>
        </w:tabs>
        <w:wordWrap w:val="0"/>
        <w:snapToGrid w:val="0"/>
        <w:spacing w:line="520" w:lineRule="exact"/>
        <w:ind w:firstLine="480" w:firstLineChars="200"/>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9.1.2 邮政编码、地址：</w:t>
      </w:r>
      <w:r>
        <w:rPr>
          <w:rFonts w:hint="eastAsia" w:ascii="宋体" w:hAnsi="宋体" w:cs="宋体"/>
          <w:color w:val="auto"/>
          <w:sz w:val="24"/>
          <w:szCs w:val="24"/>
          <w:highlight w:val="none"/>
          <w:u w:val="single"/>
        </w:rPr>
        <w:t>510000、广州市越秀区流花路121号南塔10楼</w:t>
      </w:r>
    </w:p>
    <w:p w14:paraId="13E73A41">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9.1.3 电话号码：</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eastAsia="zh-CN"/>
        </w:rPr>
        <w:t>85806501</w:t>
      </w:r>
      <w:r>
        <w:rPr>
          <w:rFonts w:hint="eastAsia" w:ascii="宋体" w:hAnsi="宋体" w:cs="宋体"/>
          <w:color w:val="auto"/>
          <w:sz w:val="24"/>
          <w:szCs w:val="24"/>
          <w:highlight w:val="none"/>
          <w:u w:val="single"/>
        </w:rPr>
        <w:t>（王工）</w:t>
      </w:r>
    </w:p>
    <w:p w14:paraId="172693D6">
      <w:pPr>
        <w:tabs>
          <w:tab w:val="left" w:pos="4120"/>
        </w:tabs>
        <w:wordWrap w:val="0"/>
        <w:snapToGrid w:val="0"/>
        <w:spacing w:line="52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9.1.4 电子邮箱：</w:t>
      </w:r>
      <w:r>
        <w:rPr>
          <w:rFonts w:hint="eastAsia" w:ascii="宋体" w:hAnsi="宋体" w:cs="宋体"/>
          <w:bCs/>
          <w:color w:val="auto"/>
          <w:sz w:val="24"/>
          <w:szCs w:val="24"/>
          <w:highlight w:val="none"/>
          <w:u w:val="single"/>
        </w:rPr>
        <w:t>/</w:t>
      </w:r>
    </w:p>
    <w:p w14:paraId="45BCE8E8">
      <w:pPr>
        <w:pStyle w:val="6"/>
        <w:wordWrap w:val="0"/>
        <w:snapToGrid w:val="0"/>
        <w:spacing w:line="520" w:lineRule="exact"/>
        <w:ind w:firstLine="480"/>
        <w:rPr>
          <w:rFonts w:hint="eastAsia" w:ascii="宋体" w:hAnsi="宋体" w:eastAsia="宋体" w:cs="宋体"/>
          <w:color w:val="auto"/>
          <w:sz w:val="24"/>
          <w:szCs w:val="24"/>
          <w:highlight w:val="none"/>
          <w:lang w:eastAsia="zh-CN"/>
        </w:rPr>
      </w:pPr>
    </w:p>
    <w:p w14:paraId="4DA88534">
      <w:pPr>
        <w:tabs>
          <w:tab w:val="left" w:pos="4120"/>
        </w:tabs>
        <w:wordWrap w:val="0"/>
        <w:snapToGri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9.2  招标代理机构</w:t>
      </w:r>
    </w:p>
    <w:p w14:paraId="25D5A802">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9.2.1 名称：</w:t>
      </w:r>
      <w:r>
        <w:rPr>
          <w:rFonts w:hint="eastAsia" w:ascii="宋体" w:hAnsi="宋体" w:cs="宋体"/>
          <w:color w:val="auto"/>
          <w:sz w:val="24"/>
          <w:szCs w:val="24"/>
          <w:highlight w:val="none"/>
          <w:u w:val="single"/>
        </w:rPr>
        <w:t>广东粤能工程管理有限公司</w:t>
      </w:r>
    </w:p>
    <w:p w14:paraId="41686A36">
      <w:pPr>
        <w:tabs>
          <w:tab w:val="left" w:pos="4120"/>
        </w:tabs>
        <w:wordWrap w:val="0"/>
        <w:snapToGrid w:val="0"/>
        <w:spacing w:line="52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9.2.2 邮政编码、地址：</w:t>
      </w:r>
      <w:r>
        <w:rPr>
          <w:rFonts w:hint="eastAsia" w:ascii="宋体" w:hAnsi="宋体" w:cs="宋体"/>
          <w:color w:val="auto"/>
          <w:sz w:val="24"/>
          <w:szCs w:val="24"/>
          <w:highlight w:val="none"/>
          <w:u w:val="single"/>
        </w:rPr>
        <w:t>510000、广州市天河区华观路明旭街1号万科智慧商业广场B1-2栋4楼402室</w:t>
      </w:r>
    </w:p>
    <w:p w14:paraId="482C987E">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9.2.3 电话（手机）号码：</w:t>
      </w:r>
      <w:r>
        <w:rPr>
          <w:rFonts w:hint="eastAsia" w:ascii="宋体" w:hAnsi="宋体" w:cs="宋体"/>
          <w:color w:val="auto"/>
          <w:sz w:val="24"/>
          <w:szCs w:val="24"/>
          <w:highlight w:val="none"/>
          <w:u w:val="single"/>
        </w:rPr>
        <w:t>020-38730932-8008（任工）</w:t>
      </w:r>
    </w:p>
    <w:p w14:paraId="645D973A">
      <w:pPr>
        <w:tabs>
          <w:tab w:val="left" w:pos="4120"/>
        </w:tabs>
        <w:wordWrap w:val="0"/>
        <w:snapToGrid w:val="0"/>
        <w:spacing w:line="52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9.2.4 电子邮箱：</w:t>
      </w:r>
      <w:r>
        <w:rPr>
          <w:rFonts w:hint="eastAsia" w:ascii="宋体" w:hAnsi="宋体" w:cs="宋体"/>
          <w:bCs/>
          <w:color w:val="auto"/>
          <w:sz w:val="24"/>
          <w:szCs w:val="24"/>
          <w:highlight w:val="none"/>
          <w:u w:val="single"/>
        </w:rPr>
        <w:fldChar w:fldCharType="begin"/>
      </w:r>
      <w:r>
        <w:rPr>
          <w:rFonts w:hint="eastAsia" w:ascii="宋体" w:hAnsi="宋体" w:cs="宋体"/>
          <w:bCs/>
          <w:color w:val="auto"/>
          <w:sz w:val="24"/>
          <w:szCs w:val="24"/>
          <w:highlight w:val="none"/>
          <w:u w:val="single"/>
        </w:rPr>
        <w:instrText xml:space="preserve"> HYPERLINK "mailto:gdynjlzb@126.com" </w:instrText>
      </w:r>
      <w:r>
        <w:rPr>
          <w:rFonts w:hint="eastAsia" w:ascii="宋体" w:hAnsi="宋体" w:cs="宋体"/>
          <w:bCs/>
          <w:color w:val="auto"/>
          <w:sz w:val="24"/>
          <w:szCs w:val="24"/>
          <w:highlight w:val="none"/>
          <w:u w:val="single"/>
        </w:rPr>
        <w:fldChar w:fldCharType="separate"/>
      </w:r>
      <w:r>
        <w:rPr>
          <w:rStyle w:val="23"/>
          <w:rFonts w:hint="eastAsia" w:ascii="宋体" w:hAnsi="宋体" w:cs="宋体"/>
          <w:bCs/>
          <w:sz w:val="24"/>
          <w:szCs w:val="24"/>
          <w:highlight w:val="none"/>
        </w:rPr>
        <w:t>gdynjlzb@126.com</w:t>
      </w:r>
      <w:r>
        <w:rPr>
          <w:rFonts w:hint="eastAsia" w:ascii="宋体" w:hAnsi="宋体" w:cs="宋体"/>
          <w:bCs/>
          <w:color w:val="auto"/>
          <w:sz w:val="24"/>
          <w:szCs w:val="24"/>
          <w:highlight w:val="none"/>
          <w:u w:val="single"/>
        </w:rPr>
        <w:fldChar w:fldCharType="end"/>
      </w:r>
    </w:p>
    <w:p w14:paraId="0C0D03B2">
      <w:pPr>
        <w:tabs>
          <w:tab w:val="left" w:pos="4120"/>
        </w:tabs>
        <w:wordWrap w:val="0"/>
        <w:snapToGrid w:val="0"/>
        <w:spacing w:line="520" w:lineRule="exact"/>
        <w:ind w:firstLine="480" w:firstLineChars="200"/>
        <w:rPr>
          <w:rFonts w:hint="eastAsia" w:ascii="宋体" w:hAnsi="宋体" w:cs="宋体"/>
          <w:bCs/>
          <w:color w:val="auto"/>
          <w:sz w:val="24"/>
          <w:szCs w:val="24"/>
          <w:highlight w:val="none"/>
          <w:u w:val="single"/>
        </w:rPr>
      </w:pPr>
    </w:p>
    <w:p w14:paraId="3A38BA8E">
      <w:pPr>
        <w:tabs>
          <w:tab w:val="left" w:pos="4120"/>
        </w:tabs>
        <w:wordWrap w:val="0"/>
        <w:snapToGri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9.3  交易服务机构</w:t>
      </w:r>
    </w:p>
    <w:p w14:paraId="57824DAD">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9.3.1 名称：</w:t>
      </w:r>
      <w:r>
        <w:rPr>
          <w:rFonts w:hint="eastAsia" w:ascii="宋体" w:hAnsi="宋体" w:cs="宋体"/>
          <w:bCs/>
          <w:color w:val="auto"/>
          <w:sz w:val="24"/>
          <w:szCs w:val="24"/>
          <w:highlight w:val="none"/>
          <w:u w:val="single"/>
        </w:rPr>
        <w:t>广州交易集团有限公司（广州公共资源交易中心）</w:t>
      </w:r>
    </w:p>
    <w:p w14:paraId="5565969F">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9.3.2 邮政编码、地址：</w:t>
      </w:r>
      <w:r>
        <w:rPr>
          <w:rFonts w:hint="eastAsia" w:ascii="宋体" w:hAnsi="宋体" w:cs="宋体"/>
          <w:bCs/>
          <w:color w:val="auto"/>
          <w:sz w:val="24"/>
          <w:szCs w:val="24"/>
          <w:highlight w:val="none"/>
          <w:u w:val="single"/>
        </w:rPr>
        <w:t>510630、广州市天河区天润路333号</w:t>
      </w:r>
    </w:p>
    <w:p w14:paraId="1D51C07B">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9.3.3 电话号码：</w:t>
      </w:r>
      <w:r>
        <w:rPr>
          <w:rFonts w:hint="eastAsia" w:ascii="宋体" w:hAnsi="宋体" w:cs="宋体"/>
          <w:bCs/>
          <w:color w:val="auto"/>
          <w:sz w:val="24"/>
          <w:szCs w:val="24"/>
          <w:highlight w:val="none"/>
          <w:u w:val="single"/>
        </w:rPr>
        <w:t>020-28866000</w:t>
      </w:r>
    </w:p>
    <w:p w14:paraId="158B9F3C">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9.3.4 传真号码：</w:t>
      </w:r>
      <w:r>
        <w:rPr>
          <w:rFonts w:hint="eastAsia" w:ascii="宋体" w:hAnsi="宋体" w:cs="宋体"/>
          <w:bCs/>
          <w:color w:val="auto"/>
          <w:sz w:val="24"/>
          <w:szCs w:val="24"/>
          <w:highlight w:val="none"/>
          <w:u w:val="single"/>
        </w:rPr>
        <w:t>020-28866095</w:t>
      </w:r>
    </w:p>
    <w:p w14:paraId="56CF6375">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9.3.5 网址：</w:t>
      </w:r>
      <w:r>
        <w:rPr>
          <w:rFonts w:hint="eastAsia" w:ascii="宋体" w:hAnsi="宋体" w:cs="宋体"/>
          <w:bCs/>
          <w:color w:val="auto"/>
          <w:sz w:val="24"/>
          <w:szCs w:val="24"/>
          <w:highlight w:val="none"/>
          <w:u w:val="single"/>
        </w:rPr>
        <w:t>http://www.gzggzy.cn</w:t>
      </w:r>
    </w:p>
    <w:p w14:paraId="6C9E737B">
      <w:pPr>
        <w:pStyle w:val="6"/>
        <w:wordWrap w:val="0"/>
        <w:snapToGrid w:val="0"/>
        <w:spacing w:line="520" w:lineRule="exact"/>
        <w:ind w:firstLine="480"/>
        <w:rPr>
          <w:rFonts w:hint="eastAsia" w:ascii="宋体" w:hAnsi="宋体" w:eastAsia="宋体" w:cs="宋体"/>
          <w:color w:val="auto"/>
          <w:sz w:val="24"/>
          <w:szCs w:val="24"/>
          <w:highlight w:val="none"/>
        </w:rPr>
      </w:pPr>
    </w:p>
    <w:p w14:paraId="1E72312E">
      <w:pPr>
        <w:tabs>
          <w:tab w:val="left" w:pos="4120"/>
        </w:tabs>
        <w:wordWrap w:val="0"/>
        <w:snapToGri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9.4  招标管理机构</w:t>
      </w:r>
    </w:p>
    <w:p w14:paraId="1EDF35FF">
      <w:pPr>
        <w:wordWrap w:val="0"/>
        <w:snapToGrid w:val="0"/>
        <w:spacing w:line="520" w:lineRule="exact"/>
        <w:ind w:left="976" w:leftChars="227" w:hanging="499" w:hangingChars="208"/>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9.4.1 名称：</w:t>
      </w:r>
      <w:r>
        <w:rPr>
          <w:rFonts w:hint="eastAsia" w:ascii="宋体" w:hAnsi="宋体" w:cs="宋体"/>
          <w:bCs/>
          <w:color w:val="auto"/>
          <w:sz w:val="24"/>
          <w:szCs w:val="24"/>
          <w:highlight w:val="none"/>
          <w:u w:val="single"/>
        </w:rPr>
        <w:t>广州市建设工程招标管理办公室</w:t>
      </w:r>
    </w:p>
    <w:p w14:paraId="1BD7521A">
      <w:pPr>
        <w:tabs>
          <w:tab w:val="left" w:pos="4120"/>
        </w:tabs>
        <w:wordWrap w:val="0"/>
        <w:snapToGrid w:val="0"/>
        <w:spacing w:line="52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9.4.2 邮政编码、地址：</w:t>
      </w:r>
      <w:r>
        <w:rPr>
          <w:rFonts w:hint="eastAsia" w:ascii="宋体" w:hAnsi="宋体" w:cs="宋体"/>
          <w:bCs/>
          <w:color w:val="auto"/>
          <w:sz w:val="24"/>
          <w:szCs w:val="24"/>
          <w:highlight w:val="none"/>
          <w:u w:val="single"/>
        </w:rPr>
        <w:t>510630、广州市天河区天润路333号3楼</w:t>
      </w:r>
    </w:p>
    <w:p w14:paraId="770FCBE2">
      <w:pPr>
        <w:tabs>
          <w:tab w:val="left" w:pos="4120"/>
        </w:tabs>
        <w:wordWrap w:val="0"/>
        <w:snapToGrid w:val="0"/>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9.4.3 电话号码：</w:t>
      </w:r>
      <w:r>
        <w:rPr>
          <w:rFonts w:hint="eastAsia" w:ascii="宋体" w:hAnsi="宋体" w:cs="宋体"/>
          <w:bCs/>
          <w:color w:val="auto"/>
          <w:sz w:val="24"/>
          <w:szCs w:val="24"/>
          <w:highlight w:val="none"/>
          <w:u w:val="single"/>
        </w:rPr>
        <w:t>020-28866220</w:t>
      </w:r>
    </w:p>
    <w:p w14:paraId="4A980600">
      <w:pPr>
        <w:tabs>
          <w:tab w:val="left" w:pos="4120"/>
        </w:tabs>
        <w:wordWrap w:val="0"/>
        <w:snapToGrid w:val="0"/>
        <w:spacing w:line="520" w:lineRule="exact"/>
        <w:ind w:firstLine="480" w:firstLineChars="200"/>
        <w:jc w:val="right"/>
        <w:rPr>
          <w:rFonts w:hint="eastAsia" w:ascii="宋体" w:hAnsi="宋体" w:cs="宋体"/>
          <w:bCs/>
          <w:color w:val="auto"/>
          <w:sz w:val="24"/>
          <w:szCs w:val="24"/>
          <w:highlight w:val="none"/>
        </w:rPr>
      </w:pPr>
    </w:p>
    <w:p w14:paraId="2309824D">
      <w:pPr>
        <w:tabs>
          <w:tab w:val="left" w:pos="4120"/>
        </w:tabs>
        <w:wordWrap w:val="0"/>
        <w:snapToGrid w:val="0"/>
        <w:spacing w:line="520" w:lineRule="exact"/>
        <w:ind w:firstLine="480" w:firstLineChars="200"/>
        <w:jc w:val="right"/>
        <w:rPr>
          <w:rFonts w:hint="eastAsia" w:ascii="宋体" w:hAnsi="宋体" w:cs="宋体"/>
          <w:bCs/>
          <w:color w:val="auto"/>
          <w:sz w:val="24"/>
          <w:szCs w:val="24"/>
          <w:highlight w:val="none"/>
        </w:rPr>
      </w:pPr>
    </w:p>
    <w:p w14:paraId="7F4188F7">
      <w:pPr>
        <w:tabs>
          <w:tab w:val="left" w:pos="4120"/>
        </w:tabs>
        <w:wordWrap w:val="0"/>
        <w:snapToGrid w:val="0"/>
        <w:spacing w:line="520" w:lineRule="exact"/>
        <w:ind w:firstLine="480" w:firstLineChars="200"/>
        <w:jc w:val="right"/>
        <w:rPr>
          <w:rFonts w:hint="eastAsia" w:ascii="宋体" w:hAnsi="宋体" w:cs="宋体"/>
          <w:bCs/>
          <w:color w:val="auto"/>
          <w:sz w:val="24"/>
          <w:szCs w:val="24"/>
          <w:highlight w:val="none"/>
        </w:rPr>
      </w:pPr>
      <w:r>
        <w:rPr>
          <w:rFonts w:hint="eastAsia" w:ascii="宋体" w:hAnsi="宋体" w:cs="宋体"/>
          <w:bCs/>
          <w:color w:val="auto"/>
          <w:sz w:val="24"/>
          <w:szCs w:val="24"/>
          <w:highlight w:val="none"/>
        </w:rPr>
        <w:t>2025年</w:t>
      </w:r>
      <w:r>
        <w:rPr>
          <w:rFonts w:hint="eastAsia" w:ascii="宋体" w:hAnsi="宋体" w:cs="宋体"/>
          <w:bCs/>
          <w:color w:val="auto"/>
          <w:sz w:val="24"/>
          <w:szCs w:val="24"/>
          <w:highlight w:val="none"/>
          <w:u w:val="single"/>
        </w:rPr>
        <w:t xml:space="preserve"> 8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14:paraId="2670EF1C">
      <w:pPr>
        <w:pStyle w:val="3"/>
        <w:wordWrap w:val="0"/>
        <w:spacing w:line="360" w:lineRule="auto"/>
        <w:ind w:firstLine="480" w:firstLineChars="200"/>
        <w:rPr>
          <w:rFonts w:hint="eastAsia"/>
          <w:color w:val="auto"/>
          <w:sz w:val="24"/>
          <w:szCs w:val="24"/>
          <w:highlight w:val="none"/>
          <w:lang w:eastAsia="zh-CN"/>
        </w:rPr>
      </w:pPr>
    </w:p>
    <w:p w14:paraId="67B558A8">
      <w:pPr>
        <w:wordWrap w:val="0"/>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2B0EDC2E">
      <w:pPr>
        <w:wordWrap w:val="0"/>
        <w:outlineLvl w:val="1"/>
        <w:rPr>
          <w:rFonts w:hint="eastAsia" w:ascii="宋体" w:hAnsi="宋体" w:cs="宋体"/>
          <w:bCs/>
          <w:color w:val="auto"/>
          <w:sz w:val="24"/>
          <w:szCs w:val="24"/>
          <w:highlight w:val="none"/>
        </w:rPr>
      </w:pPr>
      <w:r>
        <w:rPr>
          <w:rFonts w:hint="eastAsia" w:ascii="宋体" w:hAnsi="宋体" w:cs="宋体"/>
          <w:color w:val="auto"/>
          <w:kern w:val="0"/>
          <w:sz w:val="24"/>
          <w:szCs w:val="24"/>
          <w:highlight w:val="none"/>
        </w:rPr>
        <w:t>附件一：</w:t>
      </w:r>
      <w:r>
        <w:rPr>
          <w:rFonts w:hint="eastAsia" w:ascii="宋体" w:hAnsi="宋体" w:cs="宋体"/>
          <w:bCs/>
          <w:color w:val="auto"/>
          <w:sz w:val="24"/>
          <w:szCs w:val="24"/>
          <w:highlight w:val="none"/>
        </w:rPr>
        <w:t>联合体协议书</w:t>
      </w:r>
    </w:p>
    <w:p w14:paraId="6FFADDE4">
      <w:pPr>
        <w:wordWrap w:val="0"/>
        <w:jc w:val="center"/>
        <w:rPr>
          <w:rFonts w:hint="eastAsia" w:ascii="宋体" w:hAnsi="宋体" w:cs="宋体"/>
          <w:b/>
          <w:color w:val="auto"/>
          <w:sz w:val="32"/>
          <w:szCs w:val="30"/>
          <w:highlight w:val="none"/>
        </w:rPr>
      </w:pPr>
      <w:r>
        <w:rPr>
          <w:rFonts w:hint="eastAsia" w:ascii="宋体" w:hAnsi="宋体" w:cs="宋体"/>
          <w:b/>
          <w:color w:val="auto"/>
          <w:sz w:val="32"/>
          <w:szCs w:val="30"/>
          <w:highlight w:val="none"/>
        </w:rPr>
        <w:t>联合体协议书</w:t>
      </w:r>
    </w:p>
    <w:p w14:paraId="2A07A305">
      <w:pPr>
        <w:wordWrap w:val="0"/>
        <w:autoSpaceDE w:val="0"/>
        <w:autoSpaceDN w:val="0"/>
        <w:adjustRightInd w:val="0"/>
        <w:spacing w:before="16" w:line="200" w:lineRule="exact"/>
        <w:jc w:val="left"/>
        <w:rPr>
          <w:rFonts w:hint="eastAsia" w:ascii="宋体" w:hAnsi="宋体"/>
          <w:color w:val="auto"/>
          <w:kern w:val="0"/>
          <w:sz w:val="24"/>
          <w:szCs w:val="24"/>
          <w:highlight w:val="none"/>
        </w:rPr>
      </w:pPr>
      <w:r>
        <w:rPr>
          <w:rFonts w:hint="eastAsia" w:ascii="宋体" w:hAnsi="宋体" w:cs="宋体"/>
          <w:color w:val="auto"/>
          <w:kern w:val="0"/>
          <w:sz w:val="20"/>
          <w:szCs w:val="20"/>
          <w:highlight w:val="none"/>
        </w:rPr>
        <w:t xml:space="preserve"> </w:t>
      </w:r>
      <w:r>
        <w:rPr>
          <w:rFonts w:hint="eastAsia" w:ascii="宋体" w:hAnsi="宋体"/>
          <w:color w:val="auto"/>
          <w:kern w:val="0"/>
          <w:sz w:val="20"/>
          <w:szCs w:val="20"/>
          <w:highlight w:val="none"/>
        </w:rPr>
        <w:t xml:space="preserve"> </w:t>
      </w:r>
    </w:p>
    <w:p w14:paraId="774E0CE8">
      <w:pPr>
        <w:wordWrap w:val="0"/>
        <w:autoSpaceDE w:val="0"/>
        <w:autoSpaceDN w:val="0"/>
        <w:adjustRightInd w:val="0"/>
        <w:spacing w:line="360" w:lineRule="auto"/>
        <w:ind w:right="-20" w:firstLine="518" w:firstLineChars="216"/>
        <w:jc w:val="left"/>
        <w:rPr>
          <w:rFonts w:hint="eastAsia" w:ascii="宋体" w:hAnsi="宋体"/>
          <w:color w:val="auto"/>
          <w:kern w:val="0"/>
          <w:sz w:val="24"/>
          <w:szCs w:val="24"/>
          <w:highlight w:val="none"/>
        </w:rPr>
      </w:pP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（所有成员单位名称）自愿组成</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（联合体名称）联合体，共同参加</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（项目名称）项目投标。现就联合体投标事宜订立如下协议。</w:t>
      </w:r>
    </w:p>
    <w:p w14:paraId="4F796913">
      <w:pPr>
        <w:wordWrap w:val="0"/>
        <w:autoSpaceDE w:val="0"/>
        <w:autoSpaceDN w:val="0"/>
        <w:adjustRightInd w:val="0"/>
        <w:spacing w:line="360" w:lineRule="auto"/>
        <w:ind w:left="520" w:right="-2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1. </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（某成员单位名称）为</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（联合体名称）主办方。</w:t>
      </w:r>
    </w:p>
    <w:p w14:paraId="316F5A12">
      <w:pPr>
        <w:wordWrap w:val="0"/>
        <w:autoSpaceDE w:val="0"/>
        <w:autoSpaceDN w:val="0"/>
        <w:adjustRightInd w:val="0"/>
        <w:spacing w:before="81" w:line="360" w:lineRule="auto"/>
        <w:ind w:left="100" w:right="137" w:firstLine="42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14:paraId="15508C51">
      <w:pPr>
        <w:wordWrap w:val="0"/>
        <w:autoSpaceDE w:val="0"/>
        <w:autoSpaceDN w:val="0"/>
        <w:adjustRightInd w:val="0"/>
        <w:spacing w:before="17" w:line="360" w:lineRule="auto"/>
        <w:ind w:left="100" w:right="31" w:firstLine="42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3.联合体主办方在本项目中签署的一切文件和处理的一切事宜，联合体各成员均予以承认。联合体各成员将严格按照招标文件、投标文件和合同的要求全面履行义务，并向招标人承担连带责任。</w:t>
      </w:r>
    </w:p>
    <w:p w14:paraId="53DB433B">
      <w:pPr>
        <w:wordWrap w:val="0"/>
        <w:autoSpaceDE w:val="0"/>
        <w:autoSpaceDN w:val="0"/>
        <w:adjustRightInd w:val="0"/>
        <w:spacing w:before="17" w:line="360" w:lineRule="auto"/>
        <w:ind w:left="520" w:right="-2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4.联合体各成员单位内部的职责分工如下：</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14:paraId="2EA4D918">
      <w:pPr>
        <w:wordWrap w:val="0"/>
        <w:autoSpaceDE w:val="0"/>
        <w:autoSpaceDN w:val="0"/>
        <w:adjustRightInd w:val="0"/>
        <w:spacing w:before="83" w:line="360" w:lineRule="auto"/>
        <w:ind w:left="100" w:right="239" w:firstLine="42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5.本协议书自所有成员单位法定代表人或其委托代理人签字或盖单位章之日起生效，合同履行完毕后自动失效。</w:t>
      </w:r>
    </w:p>
    <w:p w14:paraId="26B5D4CE">
      <w:pPr>
        <w:wordWrap w:val="0"/>
        <w:autoSpaceDE w:val="0"/>
        <w:autoSpaceDN w:val="0"/>
        <w:adjustRightInd w:val="0"/>
        <w:spacing w:before="18" w:line="360" w:lineRule="auto"/>
        <w:ind w:left="520" w:right="-20"/>
        <w:jc w:val="left"/>
        <w:rPr>
          <w:rFonts w:hint="eastAsia" w:ascii="宋体" w:hAnsi="宋体"/>
          <w:color w:val="auto"/>
          <w:kern w:val="21"/>
          <w:sz w:val="24"/>
          <w:szCs w:val="24"/>
          <w:highlight w:val="none"/>
        </w:rPr>
      </w:pPr>
      <w:r>
        <w:rPr>
          <w:rFonts w:hint="eastAsia" w:ascii="宋体" w:hAnsi="宋体"/>
          <w:color w:val="auto"/>
          <w:kern w:val="0"/>
          <w:sz w:val="24"/>
          <w:szCs w:val="24"/>
          <w:highlight w:val="none"/>
        </w:rPr>
        <w:t>6.本协议书一式</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份，联合体成员和招标人各执一份。</w:t>
      </w:r>
    </w:p>
    <w:p w14:paraId="0E0E4DC9">
      <w:pPr>
        <w:wordWrap w:val="0"/>
        <w:autoSpaceDE w:val="0"/>
        <w:autoSpaceDN w:val="0"/>
        <w:adjustRightInd w:val="0"/>
        <w:spacing w:line="360" w:lineRule="auto"/>
        <w:ind w:right="-20"/>
        <w:jc w:val="left"/>
        <w:rPr>
          <w:rFonts w:hint="eastAsia" w:ascii="宋体" w:hAnsi="宋体"/>
          <w:color w:val="auto"/>
          <w:kern w:val="21"/>
          <w:sz w:val="24"/>
          <w:szCs w:val="24"/>
          <w:highlight w:val="none"/>
        </w:rPr>
      </w:pPr>
    </w:p>
    <w:p w14:paraId="086B6C45">
      <w:pPr>
        <w:wordWrap w:val="0"/>
        <w:autoSpaceDE w:val="0"/>
        <w:autoSpaceDN w:val="0"/>
        <w:adjustRightInd w:val="0"/>
        <w:spacing w:line="360" w:lineRule="auto"/>
        <w:ind w:right="-20"/>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rPr>
        <w:t>注：本协议书由法定代表人签字的，应附法定代表人身份证明；由委托代理人签字的，应附授权委托书。</w:t>
      </w:r>
    </w:p>
    <w:p w14:paraId="46E31F8F">
      <w:pPr>
        <w:wordWrap w:val="0"/>
        <w:autoSpaceDE w:val="0"/>
        <w:autoSpaceDN w:val="0"/>
        <w:adjustRightInd w:val="0"/>
        <w:spacing w:line="360" w:lineRule="auto"/>
        <w:ind w:right="-20"/>
        <w:jc w:val="left"/>
        <w:rPr>
          <w:rFonts w:hint="eastAsia" w:ascii="宋体" w:hAnsi="宋体"/>
          <w:color w:val="auto"/>
          <w:kern w:val="21"/>
          <w:sz w:val="24"/>
          <w:szCs w:val="24"/>
          <w:highlight w:val="none"/>
        </w:rPr>
      </w:pPr>
    </w:p>
    <w:p w14:paraId="085A1F75">
      <w:pPr>
        <w:wordWrap w:val="0"/>
        <w:autoSpaceDE w:val="0"/>
        <w:autoSpaceDN w:val="0"/>
        <w:adjustRightInd w:val="0"/>
        <w:spacing w:line="360" w:lineRule="auto"/>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rPr>
        <w:t xml:space="preserve">                     联合体主办方名称：</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（盖单位章）</w:t>
      </w:r>
    </w:p>
    <w:p w14:paraId="599E0AE8">
      <w:pPr>
        <w:wordWrap w:val="0"/>
        <w:autoSpaceDE w:val="0"/>
        <w:autoSpaceDN w:val="0"/>
        <w:adjustRightInd w:val="0"/>
        <w:spacing w:line="360" w:lineRule="auto"/>
        <w:ind w:left="2511" w:right="-20"/>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rPr>
        <w:t>法定代表人或其委托代理人：</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u w:val="single"/>
        </w:rPr>
        <w:tab/>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（签字或盖章）</w:t>
      </w:r>
    </w:p>
    <w:p w14:paraId="30C57295">
      <w:pPr>
        <w:wordWrap w:val="0"/>
        <w:autoSpaceDE w:val="0"/>
        <w:autoSpaceDN w:val="0"/>
        <w:adjustRightInd w:val="0"/>
        <w:spacing w:line="360" w:lineRule="auto"/>
        <w:ind w:left="2511" w:right="-20"/>
        <w:jc w:val="left"/>
        <w:rPr>
          <w:rFonts w:hint="eastAsia" w:ascii="宋体" w:hAnsi="宋体"/>
          <w:color w:val="auto"/>
          <w:kern w:val="21"/>
          <w:sz w:val="24"/>
          <w:szCs w:val="24"/>
          <w:highlight w:val="none"/>
        </w:rPr>
      </w:pPr>
    </w:p>
    <w:p w14:paraId="61C64237">
      <w:pPr>
        <w:wordWrap w:val="0"/>
        <w:autoSpaceDE w:val="0"/>
        <w:autoSpaceDN w:val="0"/>
        <w:adjustRightInd w:val="0"/>
        <w:spacing w:line="360" w:lineRule="auto"/>
        <w:ind w:left="2511" w:right="-20"/>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rPr>
        <w:t>联合体成员名称：</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u w:val="single"/>
        </w:rPr>
        <w:tab/>
      </w:r>
      <w:r>
        <w:rPr>
          <w:rFonts w:hint="eastAsia" w:ascii="宋体" w:hAnsi="宋体"/>
          <w:color w:val="auto"/>
          <w:kern w:val="21"/>
          <w:sz w:val="24"/>
          <w:szCs w:val="24"/>
          <w:highlight w:val="none"/>
        </w:rPr>
        <w:t>（盖单位章）</w:t>
      </w:r>
    </w:p>
    <w:p w14:paraId="61AF9FDE">
      <w:pPr>
        <w:wordWrap w:val="0"/>
        <w:autoSpaceDE w:val="0"/>
        <w:autoSpaceDN w:val="0"/>
        <w:adjustRightInd w:val="0"/>
        <w:spacing w:line="360" w:lineRule="auto"/>
        <w:ind w:left="2511" w:right="-20"/>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rPr>
        <w:t>法定代表人或其委托代理人：</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u w:val="single"/>
        </w:rPr>
        <w:tab/>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（签字或盖章）</w:t>
      </w:r>
    </w:p>
    <w:p w14:paraId="62772A56">
      <w:pPr>
        <w:wordWrap w:val="0"/>
        <w:autoSpaceDE w:val="0"/>
        <w:autoSpaceDN w:val="0"/>
        <w:adjustRightInd w:val="0"/>
        <w:spacing w:line="360" w:lineRule="auto"/>
        <w:ind w:left="3802" w:right="-20"/>
        <w:jc w:val="left"/>
        <w:rPr>
          <w:rFonts w:hint="eastAsia" w:ascii="宋体" w:hAnsi="宋体"/>
          <w:color w:val="auto"/>
          <w:kern w:val="21"/>
          <w:sz w:val="24"/>
          <w:szCs w:val="24"/>
          <w:highlight w:val="none"/>
        </w:rPr>
      </w:pP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年</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月</w:t>
      </w:r>
      <w:r>
        <w:rPr>
          <w:rFonts w:hint="eastAsia" w:ascii="宋体" w:hAnsi="宋体"/>
          <w:color w:val="auto"/>
          <w:kern w:val="21"/>
          <w:sz w:val="24"/>
          <w:szCs w:val="24"/>
          <w:highlight w:val="none"/>
          <w:u w:val="single"/>
        </w:rPr>
        <w:t xml:space="preserve">   </w:t>
      </w:r>
      <w:r>
        <w:rPr>
          <w:rFonts w:hint="eastAsia" w:ascii="宋体" w:hAnsi="宋体"/>
          <w:color w:val="auto"/>
          <w:kern w:val="21"/>
          <w:sz w:val="24"/>
          <w:szCs w:val="24"/>
          <w:highlight w:val="none"/>
        </w:rPr>
        <w:t>日</w:t>
      </w:r>
    </w:p>
    <w:p w14:paraId="757C99DE">
      <w:pPr>
        <w:wordWrap w:val="0"/>
        <w:autoSpaceDE w:val="0"/>
        <w:autoSpaceDN w:val="0"/>
        <w:adjustRightInd w:val="0"/>
        <w:spacing w:line="360" w:lineRule="auto"/>
        <w:ind w:right="-20"/>
        <w:jc w:val="left"/>
        <w:rPr>
          <w:rFonts w:hint="eastAsia" w:ascii="宋体" w:hAnsi="宋体"/>
          <w:color w:val="auto"/>
          <w:kern w:val="21"/>
          <w:sz w:val="24"/>
          <w:szCs w:val="24"/>
          <w:highlight w:val="none"/>
        </w:rPr>
      </w:pPr>
    </w:p>
    <w:p w14:paraId="33D96351">
      <w:pPr>
        <w:wordWrap w:val="0"/>
        <w:autoSpaceDE w:val="0"/>
        <w:autoSpaceDN w:val="0"/>
        <w:adjustRightInd w:val="0"/>
        <w:spacing w:line="360" w:lineRule="auto"/>
        <w:ind w:right="-20"/>
        <w:jc w:val="left"/>
        <w:rPr>
          <w:color w:val="auto"/>
          <w:highlight w:val="none"/>
        </w:rPr>
      </w:pPr>
      <w:r>
        <w:rPr>
          <w:rFonts w:hint="eastAsia" w:ascii="宋体" w:hAnsi="宋体"/>
          <w:color w:val="auto"/>
          <w:kern w:val="21"/>
          <w:sz w:val="24"/>
          <w:szCs w:val="24"/>
          <w:highlight w:val="none"/>
        </w:rPr>
        <w:t>注：单独投标的，无需提交本协议书。</w:t>
      </w:r>
    </w:p>
    <w:p w14:paraId="3993629E">
      <w:pPr>
        <w:pStyle w:val="6"/>
        <w:wordWrap w:val="0"/>
        <w:ind w:firstLine="480"/>
        <w:rPr>
          <w:rFonts w:ascii="宋体" w:hAnsi="宋体" w:cs="宋体"/>
          <w:color w:val="auto"/>
          <w:kern w:val="21"/>
          <w:sz w:val="24"/>
          <w:szCs w:val="24"/>
          <w:highlight w:val="none"/>
          <w:lang w:eastAsia="zh-CN"/>
        </w:rPr>
      </w:pPr>
    </w:p>
    <w:p w14:paraId="2A9378DA">
      <w:pPr>
        <w:pStyle w:val="6"/>
        <w:wordWrap w:val="0"/>
        <w:ind w:firstLine="480"/>
        <w:rPr>
          <w:rFonts w:ascii="宋体" w:hAnsi="宋体" w:cs="宋体"/>
          <w:color w:val="auto"/>
          <w:kern w:val="21"/>
          <w:sz w:val="24"/>
          <w:szCs w:val="24"/>
          <w:highlight w:val="none"/>
          <w:lang w:eastAsia="zh-CN"/>
        </w:rPr>
      </w:pPr>
    </w:p>
    <w:p w14:paraId="01791CD0">
      <w:pPr>
        <w:widowControl/>
        <w:wordWrap w:val="0"/>
        <w:rPr>
          <w:color w:val="auto"/>
          <w:highlight w:val="none"/>
        </w:rPr>
      </w:pPr>
    </w:p>
    <w:sectPr>
      <w:headerReference r:id="rId6" w:type="default"/>
      <w:footerReference r:id="rId7" w:type="default"/>
      <w:pgSz w:w="11906" w:h="16838"/>
      <w:pgMar w:top="1440" w:right="1080" w:bottom="1440" w:left="1080" w:header="737"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F6F2">
    <w:pPr>
      <w:pStyle w:val="13"/>
      <w:jc w:val="center"/>
    </w:pPr>
  </w:p>
  <w:p w14:paraId="0735A3A2">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41855">
    <w:pPr>
      <w:pStyle w:val="13"/>
      <w:framePr w:wrap="around" w:vAnchor="text" w:hAnchor="margin" w:xAlign="right" w:y="1"/>
      <w:rPr>
        <w:rStyle w:val="22"/>
      </w:rPr>
    </w:pPr>
    <w:r>
      <w:fldChar w:fldCharType="begin"/>
    </w:r>
    <w:r>
      <w:rPr>
        <w:rStyle w:val="22"/>
      </w:rPr>
      <w:instrText xml:space="preserve">PAGE  </w:instrText>
    </w:r>
    <w:r>
      <w:fldChar w:fldCharType="separate"/>
    </w:r>
    <w:r>
      <w:fldChar w:fldCharType="end"/>
    </w:r>
  </w:p>
  <w:p w14:paraId="702EC55F">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D9E4">
    <w:pPr>
      <w:pStyle w:val="13"/>
      <w:jc w:val="center"/>
    </w:pPr>
  </w:p>
  <w:p w14:paraId="679BB128">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755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E12CA1A">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14:paraId="4E12CA1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63FC">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72812A4F"/>
    <w:rsid w:val="00215AA4"/>
    <w:rsid w:val="005A6902"/>
    <w:rsid w:val="005E5EB3"/>
    <w:rsid w:val="005E7E1D"/>
    <w:rsid w:val="007374D7"/>
    <w:rsid w:val="00B46276"/>
    <w:rsid w:val="03D96696"/>
    <w:rsid w:val="06FC2DC7"/>
    <w:rsid w:val="08D8516E"/>
    <w:rsid w:val="0D3F3A0E"/>
    <w:rsid w:val="0E34336C"/>
    <w:rsid w:val="0EB250B2"/>
    <w:rsid w:val="0F296188"/>
    <w:rsid w:val="0F6B6D3C"/>
    <w:rsid w:val="0FE3074C"/>
    <w:rsid w:val="10783D61"/>
    <w:rsid w:val="10E01064"/>
    <w:rsid w:val="11B128F4"/>
    <w:rsid w:val="12824F60"/>
    <w:rsid w:val="132E4D94"/>
    <w:rsid w:val="162B183D"/>
    <w:rsid w:val="16C96E7F"/>
    <w:rsid w:val="18DE7B6D"/>
    <w:rsid w:val="18F935F9"/>
    <w:rsid w:val="190A4CA3"/>
    <w:rsid w:val="19F87C0A"/>
    <w:rsid w:val="1A8C1650"/>
    <w:rsid w:val="1D412E8A"/>
    <w:rsid w:val="1DFE3E24"/>
    <w:rsid w:val="1EE90AAF"/>
    <w:rsid w:val="1F351257"/>
    <w:rsid w:val="205A1D28"/>
    <w:rsid w:val="21604585"/>
    <w:rsid w:val="2184648F"/>
    <w:rsid w:val="21CE6CB6"/>
    <w:rsid w:val="222A2F2F"/>
    <w:rsid w:val="22843B99"/>
    <w:rsid w:val="23055D2E"/>
    <w:rsid w:val="234B4A63"/>
    <w:rsid w:val="26064C71"/>
    <w:rsid w:val="27AA88C3"/>
    <w:rsid w:val="27B26DB1"/>
    <w:rsid w:val="291538F0"/>
    <w:rsid w:val="29BB4C33"/>
    <w:rsid w:val="29D11DFC"/>
    <w:rsid w:val="2A632133"/>
    <w:rsid w:val="2B5C66BB"/>
    <w:rsid w:val="2BA2368E"/>
    <w:rsid w:val="2C136339"/>
    <w:rsid w:val="2C4554F0"/>
    <w:rsid w:val="2DDE77EF"/>
    <w:rsid w:val="2E3F729B"/>
    <w:rsid w:val="2ED73D9B"/>
    <w:rsid w:val="2FF68F23"/>
    <w:rsid w:val="2FFF2E6F"/>
    <w:rsid w:val="3373755A"/>
    <w:rsid w:val="33DE2685"/>
    <w:rsid w:val="342E2D1F"/>
    <w:rsid w:val="34640F12"/>
    <w:rsid w:val="34753C3F"/>
    <w:rsid w:val="364C1941"/>
    <w:rsid w:val="36E12DEB"/>
    <w:rsid w:val="37D7983E"/>
    <w:rsid w:val="3810197F"/>
    <w:rsid w:val="38FA74B3"/>
    <w:rsid w:val="3A092B2A"/>
    <w:rsid w:val="3BFF885F"/>
    <w:rsid w:val="3C417E7B"/>
    <w:rsid w:val="3C56250D"/>
    <w:rsid w:val="3D3954D4"/>
    <w:rsid w:val="3D3D24C1"/>
    <w:rsid w:val="3D66DEBE"/>
    <w:rsid w:val="3E6F7405"/>
    <w:rsid w:val="3EAD617A"/>
    <w:rsid w:val="3EDF61F6"/>
    <w:rsid w:val="3EFA198D"/>
    <w:rsid w:val="3F76B2BE"/>
    <w:rsid w:val="3FDBDC6D"/>
    <w:rsid w:val="40F22D76"/>
    <w:rsid w:val="414542B4"/>
    <w:rsid w:val="426FD398"/>
    <w:rsid w:val="43B56961"/>
    <w:rsid w:val="44F12FC3"/>
    <w:rsid w:val="458A53F9"/>
    <w:rsid w:val="45977F0A"/>
    <w:rsid w:val="46891374"/>
    <w:rsid w:val="491971CD"/>
    <w:rsid w:val="4AA37A75"/>
    <w:rsid w:val="4B711571"/>
    <w:rsid w:val="4CD34FFD"/>
    <w:rsid w:val="4D002377"/>
    <w:rsid w:val="4D3F8288"/>
    <w:rsid w:val="4E572ED0"/>
    <w:rsid w:val="4FFC0DA0"/>
    <w:rsid w:val="4FFE2497"/>
    <w:rsid w:val="52BB0803"/>
    <w:rsid w:val="531B7010"/>
    <w:rsid w:val="54790B2A"/>
    <w:rsid w:val="550348EE"/>
    <w:rsid w:val="55866108"/>
    <w:rsid w:val="559B6709"/>
    <w:rsid w:val="562468CA"/>
    <w:rsid w:val="570A1EF0"/>
    <w:rsid w:val="575E405D"/>
    <w:rsid w:val="57BAACB4"/>
    <w:rsid w:val="5B7E00DA"/>
    <w:rsid w:val="5CEB08D6"/>
    <w:rsid w:val="5DA54794"/>
    <w:rsid w:val="5DAEED36"/>
    <w:rsid w:val="5DE44D86"/>
    <w:rsid w:val="5EF17565"/>
    <w:rsid w:val="5EFCDF08"/>
    <w:rsid w:val="5FCD6C5B"/>
    <w:rsid w:val="5FFBD333"/>
    <w:rsid w:val="608B74A2"/>
    <w:rsid w:val="613F280A"/>
    <w:rsid w:val="623954AB"/>
    <w:rsid w:val="62EE1CF9"/>
    <w:rsid w:val="638F5085"/>
    <w:rsid w:val="63BF72BE"/>
    <w:rsid w:val="647A5AE9"/>
    <w:rsid w:val="64D50F3F"/>
    <w:rsid w:val="65652A5B"/>
    <w:rsid w:val="65A43583"/>
    <w:rsid w:val="6A5B3A18"/>
    <w:rsid w:val="6A740C56"/>
    <w:rsid w:val="6BEF2A8C"/>
    <w:rsid w:val="6BF7DE9E"/>
    <w:rsid w:val="6D3E7F72"/>
    <w:rsid w:val="6DD553D8"/>
    <w:rsid w:val="6E7A4B62"/>
    <w:rsid w:val="6EB449C9"/>
    <w:rsid w:val="6FA7608E"/>
    <w:rsid w:val="6FDDFA20"/>
    <w:rsid w:val="6FE53E8B"/>
    <w:rsid w:val="6FEFD719"/>
    <w:rsid w:val="6FFF1BAC"/>
    <w:rsid w:val="713FD022"/>
    <w:rsid w:val="71B047FB"/>
    <w:rsid w:val="72812A4F"/>
    <w:rsid w:val="72DF6E1D"/>
    <w:rsid w:val="72FB1F84"/>
    <w:rsid w:val="731D5B2D"/>
    <w:rsid w:val="73BCDEEC"/>
    <w:rsid w:val="73CFFEF1"/>
    <w:rsid w:val="73DEE547"/>
    <w:rsid w:val="73FB51B8"/>
    <w:rsid w:val="76DE0139"/>
    <w:rsid w:val="77B1044D"/>
    <w:rsid w:val="77BA29B2"/>
    <w:rsid w:val="77E51F05"/>
    <w:rsid w:val="78994A9D"/>
    <w:rsid w:val="78E7005C"/>
    <w:rsid w:val="79735FAE"/>
    <w:rsid w:val="7AAF85C3"/>
    <w:rsid w:val="7B7F3E13"/>
    <w:rsid w:val="7BCFB3A5"/>
    <w:rsid w:val="7BEDA138"/>
    <w:rsid w:val="7BFB5059"/>
    <w:rsid w:val="7C6FEC5C"/>
    <w:rsid w:val="7D2E1B32"/>
    <w:rsid w:val="7D7D498E"/>
    <w:rsid w:val="7EC6CBF5"/>
    <w:rsid w:val="7EED5E43"/>
    <w:rsid w:val="7F3F4706"/>
    <w:rsid w:val="7F5667A5"/>
    <w:rsid w:val="7F5B07BC"/>
    <w:rsid w:val="7FBBFF9B"/>
    <w:rsid w:val="7FBC1B27"/>
    <w:rsid w:val="7FCF89DE"/>
    <w:rsid w:val="7FD60762"/>
    <w:rsid w:val="7FD7EF87"/>
    <w:rsid w:val="7FFAE8F1"/>
    <w:rsid w:val="7FFFF299"/>
    <w:rsid w:val="8FDD2996"/>
    <w:rsid w:val="97D713CB"/>
    <w:rsid w:val="97FFF81B"/>
    <w:rsid w:val="9CFDA350"/>
    <w:rsid w:val="9F7EFB5A"/>
    <w:rsid w:val="A9FFB65E"/>
    <w:rsid w:val="AF6BD241"/>
    <w:rsid w:val="B0FA3DFE"/>
    <w:rsid w:val="B38EA3E4"/>
    <w:rsid w:val="B59BA086"/>
    <w:rsid w:val="B63723F2"/>
    <w:rsid w:val="B77BC704"/>
    <w:rsid w:val="BDC72AEE"/>
    <w:rsid w:val="BDCF5178"/>
    <w:rsid w:val="BDEB5E0B"/>
    <w:rsid w:val="BDFEECBB"/>
    <w:rsid w:val="BF77ABB5"/>
    <w:rsid w:val="BFAE7176"/>
    <w:rsid w:val="BFF5EAA6"/>
    <w:rsid w:val="CDFF881F"/>
    <w:rsid w:val="CFFF9FFF"/>
    <w:rsid w:val="D0B13AEB"/>
    <w:rsid w:val="D6BF2F5D"/>
    <w:rsid w:val="DA3EF01E"/>
    <w:rsid w:val="DD5EAC94"/>
    <w:rsid w:val="DD7F9191"/>
    <w:rsid w:val="DDC4EDC3"/>
    <w:rsid w:val="DF3F615A"/>
    <w:rsid w:val="DFF7570E"/>
    <w:rsid w:val="E37F5D9A"/>
    <w:rsid w:val="E6FD6184"/>
    <w:rsid w:val="E9B79B19"/>
    <w:rsid w:val="EBF70239"/>
    <w:rsid w:val="EDED01C3"/>
    <w:rsid w:val="EDED2B72"/>
    <w:rsid w:val="EE8FF2A5"/>
    <w:rsid w:val="EF7C915C"/>
    <w:rsid w:val="EFBE9CCE"/>
    <w:rsid w:val="EFD90282"/>
    <w:rsid w:val="F17E7273"/>
    <w:rsid w:val="F3CF4F3E"/>
    <w:rsid w:val="F3DFB9BF"/>
    <w:rsid w:val="F3FF7D0B"/>
    <w:rsid w:val="F6FFC908"/>
    <w:rsid w:val="F7BBB79D"/>
    <w:rsid w:val="F7D85018"/>
    <w:rsid w:val="F7FB86FC"/>
    <w:rsid w:val="F87716A3"/>
    <w:rsid w:val="FBB52AC2"/>
    <w:rsid w:val="FBFB6C77"/>
    <w:rsid w:val="FCFC71FD"/>
    <w:rsid w:val="FDA721D1"/>
    <w:rsid w:val="FDFC7448"/>
    <w:rsid w:val="FE943FBC"/>
    <w:rsid w:val="FEEF260B"/>
    <w:rsid w:val="FEF11444"/>
    <w:rsid w:val="FEF5EB22"/>
    <w:rsid w:val="FF72FA28"/>
    <w:rsid w:val="FF7D09AD"/>
    <w:rsid w:val="FF7F6001"/>
    <w:rsid w:val="FFBB6F01"/>
    <w:rsid w:val="FFCA2DBF"/>
    <w:rsid w:val="FFDFA207"/>
    <w:rsid w:val="FFE33C2D"/>
    <w:rsid w:val="FFFE2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ind w:left="3"/>
      <w:jc w:val="left"/>
      <w:outlineLvl w:val="1"/>
    </w:pPr>
    <w:rPr>
      <w:rFonts w:ascii="宋体" w:hAnsi="宋体"/>
      <w:kern w:val="0"/>
      <w:sz w:val="44"/>
      <w:szCs w:val="44"/>
      <w:lang w:eastAsia="en-US"/>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jc w:val="left"/>
    </w:pPr>
    <w:rPr>
      <w:rFonts w:ascii="Times New Roman" w:hAnsi="Times New Roman" w:eastAsia="Calibri"/>
      <w:kern w:val="0"/>
      <w:sz w:val="22"/>
      <w:lang w:eastAsia="en-US"/>
    </w:rPr>
  </w:style>
  <w:style w:type="paragraph" w:styleId="7">
    <w:name w:val="annotation text"/>
    <w:basedOn w:val="1"/>
    <w:link w:val="3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ind w:left="100"/>
      <w:jc w:val="left"/>
    </w:pPr>
    <w:rPr>
      <w:rFonts w:ascii="宋体" w:hAnsi="宋体"/>
      <w:kern w:val="0"/>
      <w:szCs w:val="21"/>
      <w:lang w:eastAsia="en-US"/>
    </w:rPr>
  </w:style>
  <w:style w:type="paragraph" w:styleId="10">
    <w:name w:val="Body Text Indent"/>
    <w:basedOn w:val="1"/>
    <w:next w:val="11"/>
    <w:qFormat/>
    <w:uiPriority w:val="0"/>
    <w:pPr>
      <w:spacing w:line="360" w:lineRule="auto"/>
      <w:ind w:firstLine="560" w:firstLineChars="200"/>
    </w:pPr>
    <w:rPr>
      <w:rFonts w:ascii="Times New Roman" w:hAnsi="Times New Roman"/>
      <w:sz w:val="24"/>
    </w:rPr>
  </w:style>
  <w:style w:type="paragraph" w:styleId="11">
    <w:name w:val="envelope return"/>
    <w:basedOn w:val="1"/>
    <w:qFormat/>
    <w:uiPriority w:val="0"/>
    <w:pPr>
      <w:snapToGrid w:val="0"/>
    </w:pPr>
    <w:rPr>
      <w:rFonts w:ascii="Arial" w:hAnsi="Arial"/>
      <w:szCs w:val="24"/>
    </w:rPr>
  </w:style>
  <w:style w:type="paragraph" w:styleId="12">
    <w:name w:val="Plain Text"/>
    <w:basedOn w:val="1"/>
    <w:next w:val="1"/>
    <w:qFormat/>
    <w:uiPriority w:val="0"/>
    <w:pPr>
      <w:jc w:val="left"/>
    </w:pPr>
    <w:rPr>
      <w:rFonts w:ascii="宋体" w:hAnsi="Courier New" w:eastAsia="Calibri"/>
      <w:kern w:val="0"/>
      <w:sz w:val="22"/>
      <w:szCs w:val="20"/>
      <w:lang w:eastAsia="en-US"/>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jc w:val="left"/>
    </w:pPr>
    <w:rPr>
      <w:rFonts w:ascii="宋体" w:hAnsi="宋体"/>
      <w:kern w:val="0"/>
      <w:szCs w:val="21"/>
      <w:lang w:eastAsia="en-US"/>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spacing w:before="240" w:after="60"/>
      <w:jc w:val="center"/>
      <w:outlineLvl w:val="0"/>
    </w:pPr>
    <w:rPr>
      <w:rFonts w:ascii="Cambria" w:hAnsi="Cambria"/>
      <w:b/>
      <w:bCs/>
      <w:kern w:val="0"/>
      <w:sz w:val="32"/>
      <w:szCs w:val="32"/>
      <w:lang w:eastAsia="en-US"/>
    </w:rPr>
  </w:style>
  <w:style w:type="paragraph" w:styleId="18">
    <w:name w:val="annotation subject"/>
    <w:basedOn w:val="7"/>
    <w:next w:val="7"/>
    <w:link w:val="36"/>
    <w:qFormat/>
    <w:uiPriority w:val="0"/>
    <w:rPr>
      <w:b/>
      <w:bCs/>
    </w:rPr>
  </w:style>
  <w:style w:type="paragraph" w:styleId="19">
    <w:name w:val="Body Text First Indent 2"/>
    <w:basedOn w:val="10"/>
    <w:qFormat/>
    <w:uiPriority w:val="0"/>
    <w:pPr>
      <w:spacing w:line="420" w:lineRule="exact"/>
      <w:ind w:firstLine="420"/>
      <w:jc w:val="left"/>
    </w:pPr>
    <w:rPr>
      <w:rFonts w:ascii="宋体" w:hAnsi="宋体"/>
      <w:color w:val="000000"/>
      <w:szCs w:val="18"/>
    </w:rPr>
  </w:style>
  <w:style w:type="character" w:styleId="22">
    <w:name w:val="page number"/>
    <w:qFormat/>
    <w:uiPriority w:val="0"/>
    <w:rPr>
      <w:rFonts w:ascii="Times New Roman" w:hAnsi="Times New Roman" w:eastAsia="宋体" w:cs="Times New Roman"/>
    </w:rPr>
  </w:style>
  <w:style w:type="character" w:styleId="23">
    <w:name w:val="Hyperlink"/>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Table Paragraph"/>
    <w:basedOn w:val="1"/>
    <w:qFormat/>
    <w:uiPriority w:val="0"/>
    <w:pPr>
      <w:jc w:val="left"/>
    </w:pPr>
    <w:rPr>
      <w:rFonts w:ascii="Times New Roman" w:hAnsi="Times New Roman" w:eastAsia="Calibri"/>
      <w:kern w:val="0"/>
      <w:sz w:val="22"/>
      <w:lang w:eastAsia="en-US"/>
    </w:rPr>
  </w:style>
  <w:style w:type="paragraph" w:styleId="27">
    <w:name w:val="List Paragraph"/>
    <w:basedOn w:val="1"/>
    <w:qFormat/>
    <w:uiPriority w:val="34"/>
    <w:pPr>
      <w:jc w:val="left"/>
    </w:pPr>
    <w:rPr>
      <w:rFonts w:ascii="Times New Roman" w:hAnsi="Times New Roman" w:eastAsia="Calibri"/>
      <w:kern w:val="0"/>
      <w:sz w:val="22"/>
      <w:lang w:eastAsia="en-US"/>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qFormat/>
    <w:uiPriority w:val="0"/>
    <w:pPr>
      <w:ind w:left="4094" w:right="607" w:firstLine="0"/>
      <w:jc w:val="center"/>
    </w:pPr>
    <w:rPr>
      <w:rFonts w:ascii="Calibri" w:hAnsi="Calibri" w:eastAsia="宋体"/>
    </w:rPr>
  </w:style>
  <w:style w:type="paragraph" w:customStyle="1" w:styleId="30">
    <w:name w:val="文二"/>
    <w:basedOn w:val="1"/>
    <w:qFormat/>
    <w:uiPriority w:val="0"/>
    <w:pPr>
      <w:jc w:val="left"/>
    </w:pPr>
    <w:rPr>
      <w:rFonts w:ascii="宋体" w:hAnsi="宋体"/>
      <w:szCs w:val="21"/>
    </w:rPr>
  </w:style>
  <w:style w:type="paragraph" w:customStyle="1" w:styleId="31">
    <w:name w:val="正题"/>
    <w:basedOn w:val="32"/>
    <w:next w:val="32"/>
    <w:qFormat/>
    <w:uiPriority w:val="0"/>
    <w:pPr>
      <w:ind w:firstLine="0" w:firstLineChars="0"/>
      <w:jc w:val="center"/>
    </w:pPr>
    <w:rPr>
      <w:rFonts w:ascii="等线" w:hAnsi="等线" w:eastAsia="黑体"/>
      <w:b/>
      <w:sz w:val="36"/>
      <w:szCs w:val="36"/>
    </w:rPr>
  </w:style>
  <w:style w:type="paragraph" w:customStyle="1" w:styleId="32">
    <w:name w:val="文一"/>
    <w:basedOn w:val="1"/>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paragraph" w:customStyle="1" w:styleId="33">
    <w:name w:val="G-0"/>
    <w:basedOn w:val="1"/>
    <w:qFormat/>
    <w:uiPriority w:val="0"/>
    <w:pPr>
      <w:adjustRightInd w:val="0"/>
      <w:snapToGrid w:val="0"/>
      <w:ind w:firstLine="420" w:firstLineChars="200"/>
      <w:textAlignment w:val="baseline"/>
    </w:pPr>
    <w:rPr>
      <w:sz w:val="24"/>
      <w:szCs w:val="20"/>
    </w:rPr>
  </w:style>
  <w:style w:type="paragraph" w:customStyle="1" w:styleId="3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5">
    <w:name w:val="批注文字 字符"/>
    <w:basedOn w:val="21"/>
    <w:link w:val="7"/>
    <w:qFormat/>
    <w:uiPriority w:val="0"/>
    <w:rPr>
      <w:rFonts w:ascii="Calibri" w:hAnsi="Calibri"/>
      <w:kern w:val="2"/>
      <w:sz w:val="21"/>
      <w:szCs w:val="22"/>
    </w:rPr>
  </w:style>
  <w:style w:type="character" w:customStyle="1" w:styleId="36">
    <w:name w:val="批注主题 字符"/>
    <w:basedOn w:val="35"/>
    <w:link w:val="18"/>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6166</Words>
  <Characters>7188</Characters>
  <Lines>54</Lines>
  <Paragraphs>15</Paragraphs>
  <TotalTime>0</TotalTime>
  <ScaleCrop>false</ScaleCrop>
  <LinksUpToDate>false</LinksUpToDate>
  <CharactersWithSpaces>7475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2023-08-09T00:43:00Z</dcterms:created>
  <dc:creator>ni</dc:creator>
  <cp:lastModifiedBy>◕‿◕ 丁﹏]</cp:lastModifiedBy>
  <dcterms:modified xsi:type="dcterms:W3CDTF">2025-09-26T07:13:13Z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FE0C1D897C8A430F92F3329CB0126EE7_13</vt:lpwstr>
  </property>
  <property fmtid="{D5CDD505-2E9C-101B-9397-08002B2CF9AE}" pid="4" name="KSOTemplateDocerSaveRecord">
    <vt:lpwstr>eyJoZGlkIjoiMzEwNTM5NzYwMDRjMzkwZTVkZjY2ODkwMGIxNGU0OTUiLCJ1c2VySWQiOiIzNDY3NjExNTMifQ==</vt:lpwstr>
  </property>
</Properties>
</file>