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36"/>
          <w:highlight w:val="none"/>
          <w:u w:val="single"/>
        </w:rPr>
      </w:pPr>
    </w:p>
    <w:p>
      <w:pPr>
        <w:jc w:val="center"/>
        <w:rPr>
          <w:rFonts w:hint="eastAsia" w:ascii="宋体" w:hAnsi="宋体" w:eastAsia="宋体" w:cs="宋体"/>
          <w:b/>
          <w:bCs/>
          <w:color w:val="auto"/>
          <w:sz w:val="48"/>
          <w:szCs w:val="36"/>
          <w:highlight w:val="none"/>
          <w:u w:val="single"/>
        </w:rPr>
      </w:pPr>
    </w:p>
    <w:p>
      <w:pPr>
        <w:jc w:val="center"/>
        <w:rPr>
          <w:rFonts w:hint="eastAsia" w:ascii="宋体" w:hAnsi="宋体" w:eastAsia="宋体" w:cs="宋体"/>
          <w:color w:val="auto"/>
          <w:sz w:val="72"/>
          <w:szCs w:val="72"/>
          <w:highlight w:val="none"/>
          <w:lang w:eastAsia="zh-CN"/>
        </w:rPr>
      </w:pPr>
      <w:r>
        <w:rPr>
          <w:rFonts w:hint="eastAsia" w:ascii="宋体" w:hAnsi="宋体" w:eastAsia="宋体" w:cs="宋体"/>
          <w:b/>
          <w:bCs/>
          <w:color w:val="auto"/>
          <w:sz w:val="48"/>
          <w:szCs w:val="36"/>
          <w:highlight w:val="none"/>
          <w:u w:val="single"/>
        </w:rPr>
        <w:t xml:space="preserve"> </w:t>
      </w:r>
      <w:r>
        <w:rPr>
          <w:rFonts w:hint="eastAsia" w:ascii="宋体" w:hAnsi="宋体" w:eastAsia="宋体" w:cs="宋体"/>
          <w:b/>
          <w:bCs/>
          <w:color w:val="auto"/>
          <w:sz w:val="48"/>
          <w:szCs w:val="36"/>
          <w:highlight w:val="none"/>
          <w:u w:val="single"/>
          <w:lang w:eastAsia="zh-CN"/>
        </w:rPr>
        <w:t>广州水投集团“水务+光伏”一体化节能改造项目（10.78兆瓦分布式光伏发电项目）设计-采购-施工总承包（EPC）（第二标段）</w:t>
      </w:r>
    </w:p>
    <w:p>
      <w:pPr>
        <w:jc w:val="center"/>
        <w:rPr>
          <w:rFonts w:hint="eastAsia" w:ascii="宋体" w:hAnsi="宋体" w:eastAsia="宋体" w:cs="宋体"/>
          <w:color w:val="auto"/>
          <w:sz w:val="72"/>
          <w:szCs w:val="72"/>
          <w:highlight w:val="none"/>
        </w:rPr>
      </w:pPr>
    </w:p>
    <w:p>
      <w:pPr>
        <w:pStyle w:val="33"/>
        <w:rPr>
          <w:rFonts w:hint="eastAsia" w:ascii="宋体" w:hAnsi="宋体" w:eastAsia="宋体" w:cs="宋体"/>
          <w:color w:val="auto"/>
          <w:sz w:val="72"/>
          <w:szCs w:val="72"/>
          <w:highlight w:val="none"/>
        </w:rPr>
      </w:pPr>
    </w:p>
    <w:p>
      <w:pPr>
        <w:rPr>
          <w:rFonts w:hint="eastAsia"/>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outlineLvl w:val="0"/>
        <w:rPr>
          <w:rFonts w:hint="eastAsia" w:ascii="宋体" w:hAnsi="宋体" w:eastAsia="宋体" w:cs="宋体"/>
          <w:b/>
          <w:bCs/>
          <w:color w:val="auto"/>
          <w:sz w:val="84"/>
          <w:szCs w:val="84"/>
          <w:highlight w:val="none"/>
        </w:rPr>
      </w:pPr>
      <w:bookmarkStart w:id="0" w:name="_Toc26417"/>
      <w:r>
        <w:rPr>
          <w:rFonts w:hint="eastAsia" w:ascii="宋体" w:hAnsi="宋体" w:eastAsia="宋体" w:cs="宋体"/>
          <w:b/>
          <w:bCs/>
          <w:color w:val="auto"/>
          <w:sz w:val="84"/>
          <w:szCs w:val="84"/>
          <w:highlight w:val="none"/>
        </w:rPr>
        <w:t>招 标 文 件</w:t>
      </w:r>
      <w:bookmarkEnd w:id="0"/>
    </w:p>
    <w:p>
      <w:pPr>
        <w:jc w:val="center"/>
        <w:rPr>
          <w:rStyle w:val="46"/>
          <w:rFonts w:hint="eastAsia" w:ascii="宋体" w:hAnsi="宋体" w:eastAsia="宋体" w:cs="宋体"/>
          <w:color w:val="auto"/>
          <w:sz w:val="48"/>
          <w:szCs w:val="48"/>
          <w:highlight w:val="none"/>
        </w:rPr>
      </w:pPr>
    </w:p>
    <w:p>
      <w:pPr>
        <w:jc w:val="center"/>
        <w:rPr>
          <w:rFonts w:hint="eastAsia" w:ascii="宋体" w:hAnsi="宋体" w:eastAsia="宋体" w:cs="宋体"/>
          <w:color w:val="auto"/>
          <w:sz w:val="48"/>
          <w:szCs w:val="48"/>
          <w:highlight w:val="none"/>
        </w:rPr>
      </w:pPr>
    </w:p>
    <w:p>
      <w:pPr>
        <w:jc w:val="center"/>
        <w:rPr>
          <w:rFonts w:hint="eastAsia" w:ascii="宋体" w:hAnsi="宋体" w:eastAsia="宋体" w:cs="宋体"/>
          <w:color w:val="auto"/>
          <w:sz w:val="48"/>
          <w:szCs w:val="48"/>
          <w:highlight w:val="none"/>
        </w:rPr>
      </w:pPr>
    </w:p>
    <w:p>
      <w:pPr>
        <w:jc w:val="center"/>
        <w:rPr>
          <w:rFonts w:hint="eastAsia" w:ascii="宋体" w:hAnsi="宋体" w:eastAsia="宋体" w:cs="宋体"/>
          <w:color w:val="auto"/>
          <w:sz w:val="48"/>
          <w:szCs w:val="48"/>
          <w:highlight w:val="none"/>
        </w:rPr>
      </w:pPr>
    </w:p>
    <w:p>
      <w:pPr>
        <w:pStyle w:val="35"/>
        <w:rPr>
          <w:rFonts w:hint="eastAsia"/>
          <w:color w:val="auto"/>
          <w:highlight w:val="none"/>
        </w:rPr>
      </w:pPr>
    </w:p>
    <w:p>
      <w:pPr>
        <w:rPr>
          <w:rFonts w:hint="eastAsia" w:ascii="宋体" w:hAnsi="宋体" w:eastAsia="宋体" w:cs="宋体"/>
          <w:color w:val="auto"/>
          <w:sz w:val="48"/>
          <w:szCs w:val="48"/>
          <w:highlight w:val="none"/>
        </w:rPr>
      </w:pPr>
    </w:p>
    <w:p>
      <w:pPr>
        <w:rPr>
          <w:rFonts w:hint="eastAsia" w:ascii="宋体" w:hAnsi="宋体" w:eastAsia="宋体" w:cs="宋体"/>
          <w:color w:val="auto"/>
          <w:highlight w:val="none"/>
        </w:rPr>
      </w:pPr>
    </w:p>
    <w:p>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lang w:eastAsia="zh-CN"/>
        </w:rPr>
        <w:t>广州水务环保技术有限公司</w:t>
      </w:r>
    </w:p>
    <w:p>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lang w:eastAsia="zh-CN"/>
        </w:rPr>
        <w:t>广州市国际工程咨询有限公司</w:t>
      </w:r>
      <w:r>
        <w:rPr>
          <w:rFonts w:hint="eastAsia" w:ascii="宋体" w:hAnsi="宋体" w:eastAsia="宋体" w:cs="宋体"/>
          <w:color w:val="auto"/>
          <w:sz w:val="32"/>
          <w:szCs w:val="32"/>
          <w:highlight w:val="none"/>
        </w:rPr>
        <w:t xml:space="preserve">             </w:t>
      </w:r>
    </w:p>
    <w:p>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2025年</w:t>
      </w:r>
      <w:r>
        <w:rPr>
          <w:rFonts w:hint="eastAsia" w:ascii="宋体" w:hAnsi="宋体" w:eastAsia="宋体" w:cs="宋体"/>
          <w:color w:val="auto"/>
          <w:sz w:val="32"/>
          <w:szCs w:val="32"/>
          <w:highlight w:val="none"/>
          <w:lang w:val="en-US" w:eastAsia="zh-CN"/>
        </w:rPr>
        <w:t>9</w:t>
      </w:r>
      <w:r>
        <w:rPr>
          <w:rFonts w:hint="eastAsia" w:ascii="宋体" w:hAnsi="宋体" w:eastAsia="宋体" w:cs="宋体"/>
          <w:color w:val="auto"/>
          <w:sz w:val="32"/>
          <w:szCs w:val="32"/>
          <w:highlight w:val="none"/>
        </w:rPr>
        <w:t>月</w:t>
      </w:r>
    </w:p>
    <w:p>
      <w:pPr>
        <w:spacing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304" w:right="1417" w:bottom="1304" w:left="1417" w:header="850" w:footer="992" w:gutter="0"/>
          <w:pgNumType w:start="1"/>
          <w:cols w:space="0" w:num="1"/>
          <w:docGrid w:linePitch="316" w:charSpace="0"/>
        </w:sectPr>
      </w:pPr>
    </w:p>
    <w:p>
      <w:pPr>
        <w:jc w:val="center"/>
        <w:rPr>
          <w:rFonts w:hint="eastAsia" w:ascii="宋体" w:hAnsi="宋体" w:eastAsia="宋体" w:cs="宋体"/>
          <w:color w:val="auto"/>
          <w:sz w:val="32"/>
          <w:szCs w:val="32"/>
          <w:highlight w:val="none"/>
        </w:rPr>
      </w:pPr>
      <w:bookmarkStart w:id="1" w:name="_Toc152042286"/>
      <w:bookmarkStart w:id="2" w:name="_Toc300834926"/>
      <w:bookmarkStart w:id="3" w:name="_Toc247527532"/>
      <w:bookmarkStart w:id="4" w:name="_Toc144974478"/>
      <w:r>
        <w:rPr>
          <w:rFonts w:hint="eastAsia" w:ascii="宋体" w:hAnsi="宋体" w:eastAsia="宋体" w:cs="宋体"/>
          <w:b/>
          <w:bCs/>
          <w:color w:val="auto"/>
          <w:sz w:val="32"/>
          <w:szCs w:val="32"/>
          <w:highlight w:val="none"/>
        </w:rPr>
        <w:t>目  录</w:t>
      </w:r>
      <w:bookmarkEnd w:id="1"/>
      <w:bookmarkEnd w:id="2"/>
      <w:bookmarkEnd w:id="3"/>
      <w:bookmarkEnd w:id="4"/>
    </w:p>
    <w:p>
      <w:pPr>
        <w:pStyle w:val="26"/>
        <w:tabs>
          <w:tab w:val="right" w:leader="dot" w:pos="9297"/>
        </w:tabs>
        <w:spacing w:line="360" w:lineRule="auto"/>
        <w:rPr>
          <w:rFonts w:hint="eastAsia" w:ascii="宋体" w:hAnsi="宋体" w:eastAsia="宋体" w:cs="宋体"/>
          <w:color w:val="auto"/>
          <w:sz w:val="24"/>
          <w:szCs w:val="24"/>
          <w:highlight w:val="none"/>
        </w:rPr>
      </w:pPr>
      <w:bookmarkStart w:id="5" w:name="_Toc247513932"/>
      <w:bookmarkStart w:id="6" w:name="_Toc247527533"/>
      <w:bookmarkStart w:id="7" w:name="_Toc152045511"/>
      <w:bookmarkStart w:id="8" w:name="_Toc152042287"/>
      <w:bookmarkStart w:id="9" w:name="_Toc14497447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"1-2" \h \z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"_Toc17872" </w:instrText>
      </w:r>
      <w:r>
        <w:rPr>
          <w:color w:val="auto"/>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6"/>
        <w:tabs>
          <w:tab w:val="right" w:leader="dot" w:pos="929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"_Toc4666" </w:instrText>
      </w:r>
      <w:r>
        <w:rPr>
          <w:color w:val="auto"/>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"_Toc17176" </w:instrText>
      </w:r>
      <w:r>
        <w:rPr>
          <w:color w:val="auto"/>
          <w:highlight w:val="none"/>
        </w:rPr>
        <w:fldChar w:fldCharType="separate"/>
      </w:r>
      <w:r>
        <w:rPr>
          <w:rFonts w:hint="eastAsia" w:ascii="宋体" w:hAnsi="宋体" w:cs="宋体"/>
          <w:color w:val="auto"/>
          <w:sz w:val="24"/>
          <w:highlight w:val="none"/>
        </w:rPr>
        <w:t>一、投标人须知前附表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_Toc17176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color w:val="auto"/>
          <w:sz w:val="24"/>
          <w:highlight w:val="none"/>
        </w:rPr>
        <w:t>二、投标人须知通用条款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_Toc16734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"_Toc23135" </w:instrText>
      </w:r>
      <w:r>
        <w:rPr>
          <w:color w:val="auto"/>
          <w:highlight w:val="none"/>
        </w:rPr>
        <w:fldChar w:fldCharType="separate"/>
      </w:r>
      <w:r>
        <w:rPr>
          <w:rFonts w:hint="eastAsia" w:ascii="宋体" w:hAnsi="宋体" w:cs="宋体"/>
          <w:color w:val="auto"/>
          <w:sz w:val="24"/>
          <w:highlight w:val="none"/>
        </w:rPr>
        <w:t>1、总则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_Toc23135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"_Toc16530" </w:instrText>
      </w:r>
      <w:r>
        <w:rPr>
          <w:color w:val="auto"/>
          <w:highlight w:val="none"/>
        </w:rPr>
        <w:fldChar w:fldCharType="separate"/>
      </w:r>
      <w:r>
        <w:rPr>
          <w:rFonts w:hint="eastAsia" w:ascii="宋体" w:hAnsi="宋体" w:cs="宋体"/>
          <w:color w:val="auto"/>
          <w:sz w:val="24"/>
          <w:highlight w:val="none"/>
        </w:rPr>
        <w:t>2、招标文件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_Toc16530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"_Toc29768" </w:instrText>
      </w:r>
      <w:r>
        <w:rPr>
          <w:color w:val="auto"/>
          <w:highlight w:val="none"/>
        </w:rPr>
        <w:fldChar w:fldCharType="separate"/>
      </w:r>
      <w:r>
        <w:rPr>
          <w:rFonts w:hint="eastAsia" w:ascii="宋体" w:hAnsi="宋体" w:cs="宋体"/>
          <w:color w:val="auto"/>
          <w:sz w:val="24"/>
          <w:highlight w:val="none"/>
        </w:rPr>
        <w:t>3、投标文件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_Toc29768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cs="宋体"/>
          <w:color w:val="auto"/>
          <w:sz w:val="24"/>
          <w:highlight w:val="none"/>
        </w:rPr>
        <w:t>4、投标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_Toc30824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"_Toc22444" </w:instrText>
      </w:r>
      <w:r>
        <w:rPr>
          <w:color w:val="auto"/>
          <w:highlight w:val="none"/>
        </w:rPr>
        <w:fldChar w:fldCharType="separate"/>
      </w:r>
      <w:r>
        <w:rPr>
          <w:rFonts w:hint="eastAsia" w:ascii="宋体" w:hAnsi="宋体" w:cs="宋体"/>
          <w:color w:val="auto"/>
          <w:sz w:val="24"/>
          <w:highlight w:val="none"/>
        </w:rPr>
        <w:t>5、开标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_Toc22444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"_Toc23201" </w:instrText>
      </w:r>
      <w:r>
        <w:rPr>
          <w:color w:val="auto"/>
          <w:highlight w:val="none"/>
        </w:rPr>
        <w:fldChar w:fldCharType="separate"/>
      </w:r>
      <w:r>
        <w:rPr>
          <w:rFonts w:hint="eastAsia" w:ascii="宋体" w:hAnsi="宋体" w:cs="宋体"/>
          <w:color w:val="auto"/>
          <w:sz w:val="24"/>
          <w:highlight w:val="none"/>
        </w:rPr>
        <w:t>6、评标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_Toc23201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"_Toc1137" </w:instrText>
      </w:r>
      <w:r>
        <w:rPr>
          <w:color w:val="auto"/>
          <w:highlight w:val="none"/>
        </w:rPr>
        <w:fldChar w:fldCharType="separate"/>
      </w:r>
      <w:r>
        <w:rPr>
          <w:rFonts w:hint="eastAsia" w:ascii="宋体" w:hAnsi="宋体" w:cs="宋体"/>
          <w:color w:val="auto"/>
          <w:sz w:val="24"/>
          <w:highlight w:val="none"/>
        </w:rPr>
        <w:t>9、需要补充的其他内容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_Toc1137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"_Toc28710" </w:instrText>
      </w:r>
      <w:r>
        <w:rPr>
          <w:color w:val="auto"/>
          <w:highlight w:val="none"/>
        </w:rPr>
        <w:fldChar w:fldCharType="separate"/>
      </w:r>
      <w:r>
        <w:rPr>
          <w:rFonts w:hint="eastAsia" w:ascii="宋体" w:hAnsi="宋体" w:cs="宋体"/>
          <w:color w:val="auto"/>
          <w:sz w:val="24"/>
          <w:highlight w:val="none"/>
        </w:rPr>
        <w:t>10. 电子招标投标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_Toc28710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6"/>
        <w:tabs>
          <w:tab w:val="right" w:leader="dot" w:pos="929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"_Toc11787" </w:instrText>
      </w:r>
      <w:r>
        <w:rPr>
          <w:color w:val="auto"/>
          <w:highlight w:val="none"/>
        </w:rPr>
        <w:fldChar w:fldCharType="separate"/>
      </w:r>
      <w:r>
        <w:rPr>
          <w:rFonts w:hint="eastAsia" w:ascii="宋体" w:hAnsi="宋体" w:eastAsia="宋体" w:cs="宋体"/>
          <w:color w:val="auto"/>
          <w:sz w:val="24"/>
          <w:szCs w:val="24"/>
          <w:highlight w:val="none"/>
        </w:rPr>
        <w:t>第三章 开标、评标办法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"_Toc31747" </w:instrText>
      </w:r>
      <w:r>
        <w:rPr>
          <w:color w:val="auto"/>
          <w:highlight w:val="none"/>
        </w:rPr>
        <w:fldChar w:fldCharType="separate"/>
      </w:r>
      <w:r>
        <w:rPr>
          <w:rFonts w:hint="eastAsia" w:ascii="宋体" w:hAnsi="宋体" w:cs="宋体"/>
          <w:color w:val="auto"/>
          <w:sz w:val="24"/>
          <w:highlight w:val="none"/>
        </w:rPr>
        <w:t>一、总则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_Toc31747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"_Toc6932" </w:instrText>
      </w:r>
      <w:r>
        <w:rPr>
          <w:color w:val="auto"/>
          <w:highlight w:val="none"/>
        </w:rPr>
        <w:fldChar w:fldCharType="separate"/>
      </w:r>
      <w:r>
        <w:rPr>
          <w:rFonts w:hint="eastAsia" w:ascii="宋体" w:hAnsi="宋体" w:cs="宋体"/>
          <w:color w:val="auto"/>
          <w:sz w:val="24"/>
          <w:highlight w:val="none"/>
        </w:rPr>
        <w:t>二、开标评标办法程序和细则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_Toc6932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6"/>
        <w:tabs>
          <w:tab w:val="right" w:leader="dot" w:pos="929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"_Toc803" </w:instrText>
      </w:r>
      <w:r>
        <w:rPr>
          <w:color w:val="auto"/>
          <w:highlight w:val="none"/>
        </w:rPr>
        <w:fldChar w:fldCharType="separate"/>
      </w:r>
      <w:r>
        <w:rPr>
          <w:rFonts w:hint="eastAsia" w:ascii="宋体" w:hAnsi="宋体" w:eastAsia="宋体" w:cs="宋体"/>
          <w:color w:val="auto"/>
          <w:sz w:val="24"/>
          <w:szCs w:val="24"/>
          <w:highlight w:val="none"/>
        </w:rPr>
        <w:t>第四章合同条款及格式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6"/>
        <w:tabs>
          <w:tab w:val="right" w:leader="dot" w:pos="929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"_Toc3570" </w:instrText>
      </w:r>
      <w:r>
        <w:rPr>
          <w:color w:val="auto"/>
          <w:highlight w:val="none"/>
        </w:rPr>
        <w:fldChar w:fldCharType="separate"/>
      </w:r>
      <w:r>
        <w:rPr>
          <w:rFonts w:hint="eastAsia" w:ascii="宋体" w:hAnsi="宋体" w:eastAsia="宋体" w:cs="宋体"/>
          <w:color w:val="auto"/>
          <w:sz w:val="24"/>
          <w:szCs w:val="24"/>
          <w:highlight w:val="none"/>
        </w:rPr>
        <w:t>第五章 发包人要求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6"/>
        <w:tabs>
          <w:tab w:val="right" w:leader="dot" w:pos="9297"/>
        </w:tabs>
        <w:spacing w:line="360" w:lineRule="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"_Toc6545" </w:instrText>
      </w:r>
      <w:r>
        <w:rPr>
          <w:color w:val="auto"/>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"_Toc30182" </w:instrText>
      </w:r>
      <w:r>
        <w:rPr>
          <w:color w:val="auto"/>
          <w:highlight w:val="none"/>
        </w:rPr>
        <w:fldChar w:fldCharType="separate"/>
      </w:r>
      <w:r>
        <w:rPr>
          <w:rFonts w:hint="eastAsia" w:ascii="宋体" w:hAnsi="宋体" w:cs="宋体"/>
          <w:bCs/>
          <w:color w:val="auto"/>
          <w:sz w:val="24"/>
          <w:highlight w:val="none"/>
        </w:rPr>
        <w:t>投标人资格审查表自查表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_Toc30182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"_Toc16571" </w:instrText>
      </w:r>
      <w:r>
        <w:rPr>
          <w:color w:val="auto"/>
          <w:highlight w:val="none"/>
        </w:rPr>
        <w:fldChar w:fldCharType="separate"/>
      </w:r>
      <w:r>
        <w:rPr>
          <w:rFonts w:hint="eastAsia" w:ascii="宋体" w:hAnsi="宋体" w:cs="宋体"/>
          <w:bCs/>
          <w:color w:val="auto"/>
          <w:sz w:val="24"/>
          <w:highlight w:val="none"/>
        </w:rPr>
        <w:t>商务、技术标有效性审查项自查表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_Toc16571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"_Toc25696" </w:instrText>
      </w:r>
      <w:r>
        <w:rPr>
          <w:color w:val="auto"/>
          <w:highlight w:val="none"/>
        </w:rPr>
        <w:fldChar w:fldCharType="separate"/>
      </w:r>
      <w:r>
        <w:rPr>
          <w:rFonts w:hint="eastAsia" w:ascii="宋体" w:hAnsi="宋体" w:cs="宋体"/>
          <w:bCs/>
          <w:color w:val="auto"/>
          <w:sz w:val="24"/>
          <w:highlight w:val="none"/>
        </w:rPr>
        <w:t>经济标有效性审查自查表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_Toc25696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"_Toc32552" </w:instrText>
      </w:r>
      <w:r>
        <w:rPr>
          <w:color w:val="auto"/>
          <w:highlight w:val="none"/>
        </w:rPr>
        <w:fldChar w:fldCharType="separate"/>
      </w:r>
      <w:r>
        <w:rPr>
          <w:rFonts w:hint="eastAsia" w:ascii="宋体" w:hAnsi="宋体" w:cs="宋体"/>
          <w:color w:val="auto"/>
          <w:sz w:val="24"/>
          <w:highlight w:val="none"/>
        </w:rPr>
        <w:t>一、商务标投标文件格式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_Toc32552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"_Toc17435" </w:instrText>
      </w:r>
      <w:r>
        <w:rPr>
          <w:color w:val="auto"/>
          <w:highlight w:val="none"/>
        </w:rPr>
        <w:fldChar w:fldCharType="separate"/>
      </w:r>
      <w:r>
        <w:rPr>
          <w:rFonts w:hint="eastAsia" w:ascii="宋体" w:hAnsi="宋体" w:cs="宋体"/>
          <w:color w:val="auto"/>
          <w:sz w:val="24"/>
          <w:highlight w:val="none"/>
        </w:rPr>
        <w:t>二、技术标投标文件格式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_Toc17435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9"/>
        <w:tabs>
          <w:tab w:val="right" w:leader="dot" w:pos="9297"/>
        </w:tabs>
        <w:spacing w:line="360" w:lineRule="auto"/>
        <w:rPr>
          <w:color w:val="auto"/>
          <w:highlight w:val="none"/>
        </w:rPr>
      </w:pPr>
      <w:r>
        <w:rPr>
          <w:color w:val="auto"/>
          <w:highlight w:val="none"/>
        </w:rPr>
        <w:fldChar w:fldCharType="begin"/>
      </w:r>
      <w:r>
        <w:rPr>
          <w:color w:val="auto"/>
          <w:highlight w:val="none"/>
        </w:rPr>
        <w:instrText xml:space="preserve"> HYPERLINK \l "_Toc528" </w:instrText>
      </w:r>
      <w:r>
        <w:rPr>
          <w:color w:val="auto"/>
          <w:highlight w:val="none"/>
        </w:rPr>
        <w:fldChar w:fldCharType="separate"/>
      </w:r>
      <w:r>
        <w:rPr>
          <w:rFonts w:hint="eastAsia" w:ascii="宋体" w:hAnsi="宋体" w:cs="宋体"/>
          <w:color w:val="auto"/>
          <w:sz w:val="24"/>
          <w:highlight w:val="none"/>
        </w:rPr>
        <w:t>三、经济标投标文件格式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Start w:id="10" w:name="_Toc439245989"/>
    </w:p>
    <w:bookmarkEnd w:id="10"/>
    <w:p>
      <w:pPr>
        <w:rPr>
          <w:rFonts w:hint="eastAsia" w:ascii="宋体" w:hAnsi="宋体" w:eastAsia="宋体" w:cs="宋体"/>
          <w:color w:val="auto"/>
          <w:sz w:val="36"/>
          <w:szCs w:val="36"/>
          <w:highlight w:val="none"/>
        </w:rPr>
      </w:pPr>
      <w:bookmarkStart w:id="11" w:name="_Toc17872"/>
      <w:r>
        <w:rPr>
          <w:rFonts w:hint="eastAsia" w:ascii="宋体" w:hAnsi="宋体" w:eastAsia="宋体" w:cs="宋体"/>
          <w:color w:val="auto"/>
          <w:sz w:val="36"/>
          <w:szCs w:val="36"/>
          <w:highlight w:val="none"/>
        </w:rPr>
        <w:br w:type="page"/>
      </w:r>
    </w:p>
    <w:p>
      <w:pPr>
        <w:pStyle w:val="2"/>
        <w:widowControl/>
        <w:spacing w:line="24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第一章 招标公告</w:t>
      </w:r>
      <w:bookmarkEnd w:id="11"/>
    </w:p>
    <w:bookmarkEnd w:id="5"/>
    <w:bookmarkEnd w:id="6"/>
    <w:bookmarkEnd w:id="7"/>
    <w:bookmarkEnd w:id="8"/>
    <w:bookmarkEnd w:id="9"/>
    <w:p>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w:t>
      </w:r>
      <w:r>
        <w:rPr>
          <w:rFonts w:hint="eastAsia" w:ascii="宋体" w:hAnsi="宋体" w:eastAsia="宋体" w:cs="宋体"/>
          <w:color w:val="auto"/>
          <w:sz w:val="24"/>
          <w:highlight w:val="none"/>
          <w:u w:val="single"/>
        </w:rPr>
        <w:t>目为</w:t>
      </w:r>
      <w:r>
        <w:rPr>
          <w:rFonts w:hint="eastAsia" w:ascii="宋体" w:hAnsi="宋体" w:eastAsia="宋体" w:cs="宋体"/>
          <w:color w:val="auto"/>
          <w:sz w:val="24"/>
          <w:highlight w:val="none"/>
          <w:u w:val="single"/>
          <w:lang w:bidi="ar"/>
        </w:rPr>
        <w:t xml:space="preserve"> </w:t>
      </w:r>
      <w:bookmarkStart w:id="12" w:name="OLE_LINK4"/>
      <w:r>
        <w:rPr>
          <w:rFonts w:hint="eastAsia" w:ascii="宋体" w:hAnsi="宋体" w:eastAsia="宋体" w:cs="宋体"/>
          <w:color w:val="auto"/>
          <w:sz w:val="24"/>
          <w:highlight w:val="none"/>
          <w:u w:val="single"/>
          <w:lang w:eastAsia="zh-CN" w:bidi="ar"/>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bidi="ar"/>
        </w:rPr>
        <w:t>（</w:t>
      </w:r>
      <w:r>
        <w:rPr>
          <w:rFonts w:hint="eastAsia" w:ascii="宋体" w:hAnsi="宋体" w:eastAsia="宋体" w:cs="宋体"/>
          <w:color w:val="auto"/>
          <w:sz w:val="24"/>
          <w:highlight w:val="none"/>
          <w:u w:val="single"/>
          <w:lang w:eastAsia="zh-CN" w:bidi="ar"/>
        </w:rPr>
        <w:t>第二标段</w:t>
      </w:r>
      <w:r>
        <w:rPr>
          <w:rFonts w:hint="eastAsia" w:ascii="宋体" w:hAnsi="宋体" w:eastAsia="宋体" w:cs="宋体"/>
          <w:color w:val="auto"/>
          <w:sz w:val="24"/>
          <w:highlight w:val="none"/>
          <w:u w:val="single"/>
          <w:lang w:bidi="ar"/>
        </w:rPr>
        <w:t>）</w:t>
      </w:r>
      <w:bookmarkEnd w:id="12"/>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投资项目代码：</w:t>
      </w:r>
      <w:r>
        <w:rPr>
          <w:rFonts w:hint="eastAsia" w:ascii="宋体" w:hAnsi="宋体" w:eastAsia="宋体" w:cs="宋体"/>
          <w:color w:val="auto"/>
          <w:sz w:val="24"/>
          <w:highlight w:val="none"/>
          <w:u w:val="single"/>
        </w:rPr>
        <w:t>2507-440114-60-05-492204、2507-440111-17-05-438728），项目业主为</w:t>
      </w:r>
      <w:r>
        <w:rPr>
          <w:rFonts w:hint="eastAsia" w:ascii="宋体" w:hAnsi="宋体" w:eastAsia="宋体" w:cs="宋体"/>
          <w:color w:val="auto"/>
          <w:sz w:val="24"/>
          <w:highlight w:val="none"/>
          <w:u w:val="single"/>
          <w:lang w:eastAsia="zh-CN"/>
        </w:rPr>
        <w:t>广州水务环保技术有限公司</w:t>
      </w:r>
      <w:r>
        <w:rPr>
          <w:rFonts w:hint="eastAsia" w:ascii="宋体" w:hAnsi="宋体" w:eastAsia="宋体" w:cs="宋体"/>
          <w:color w:val="auto"/>
          <w:sz w:val="24"/>
          <w:highlight w:val="none"/>
          <w:u w:val="single"/>
        </w:rPr>
        <w:t>。建设资金来自企业自筹资金，招标单位为</w:t>
      </w:r>
      <w:r>
        <w:rPr>
          <w:rFonts w:hint="eastAsia" w:ascii="宋体" w:hAnsi="宋体" w:eastAsia="宋体" w:cs="宋体"/>
          <w:color w:val="auto"/>
          <w:sz w:val="24"/>
          <w:highlight w:val="none"/>
          <w:u w:val="single"/>
          <w:lang w:eastAsia="zh-CN"/>
        </w:rPr>
        <w:t>广州水务环保技术有限公司</w:t>
      </w:r>
      <w:r>
        <w:rPr>
          <w:rFonts w:hint="eastAsia" w:ascii="宋体" w:hAnsi="宋体" w:eastAsia="宋体" w:cs="宋体"/>
          <w:color w:val="auto"/>
          <w:sz w:val="24"/>
          <w:highlight w:val="none"/>
          <w:u w:val="single"/>
        </w:rPr>
        <w:t>。本项目已具备招标条件，现对该项目的EPC总承包进行公开招标。欢迎合格的投标人参加投标</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bidi="ar"/>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eastAsia="zh-CN" w:bidi="ar"/>
        </w:rPr>
        <w:t>第二标段</w:t>
      </w:r>
      <w:r>
        <w:rPr>
          <w:rFonts w:hint="eastAsia" w:ascii="宋体" w:hAnsi="宋体" w:eastAsia="宋体" w:cs="宋体"/>
          <w:color w:val="auto"/>
          <w:sz w:val="24"/>
          <w:highlight w:val="none"/>
          <w:u w:val="single"/>
          <w:lang w:bidi="ar"/>
        </w:rPr>
        <w:t>）</w:t>
      </w:r>
    </w:p>
    <w:p>
      <w:pPr>
        <w:spacing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eastAsia="zh-CN" w:bidi="ar"/>
        </w:rPr>
        <w:t>广州水务环保技术有限公司</w:t>
      </w:r>
    </w:p>
    <w:p>
      <w:pPr>
        <w:tabs>
          <w:tab w:val="center" w:pos="4415"/>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lang w:val="en-US" w:eastAsia="zh-CN" w:bidi="ar"/>
        </w:rPr>
        <w:t>任工</w:t>
      </w:r>
      <w:r>
        <w:rPr>
          <w:rFonts w:hint="eastAsia" w:ascii="宋体" w:hAnsi="宋体" w:eastAsia="宋体" w:cs="宋体"/>
          <w:color w:val="auto"/>
          <w:sz w:val="24"/>
          <w:highlight w:val="none"/>
          <w:lang w:bidi="ar"/>
        </w:rPr>
        <w:t xml:space="preserve">    联系电话：</w:t>
      </w:r>
      <w:bookmarkStart w:id="13" w:name="OLE_LINK161"/>
      <w:r>
        <w:rPr>
          <w:rFonts w:hint="default" w:ascii="宋体" w:hAnsi="宋体" w:eastAsia="宋体" w:cs="宋体"/>
          <w:color w:val="auto"/>
          <w:sz w:val="24"/>
          <w:highlight w:val="none"/>
          <w:u w:val="single"/>
          <w:lang w:val="en-US" w:eastAsia="zh-CN" w:bidi="ar"/>
        </w:rPr>
        <w:t>020-32084364</w:t>
      </w:r>
      <w:bookmarkEnd w:id="13"/>
    </w:p>
    <w:p>
      <w:pPr>
        <w:tabs>
          <w:tab w:val="center" w:pos="4415"/>
        </w:tabs>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lang w:eastAsia="zh-CN"/>
        </w:rPr>
        <w:t>广州市国际工程咨询有限公司</w:t>
      </w:r>
    </w:p>
    <w:p>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张工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lang w:eastAsia="zh-CN"/>
        </w:rPr>
        <w:t>020-87386919-508</w:t>
      </w:r>
      <w:r>
        <w:rPr>
          <w:rFonts w:hint="eastAsia" w:ascii="宋体" w:hAnsi="宋体" w:eastAsia="宋体" w:cs="宋体"/>
          <w:color w:val="auto"/>
          <w:sz w:val="24"/>
          <w:highlight w:val="none"/>
        </w:rPr>
        <w:t xml:space="preserve">： </w:t>
      </w:r>
    </w:p>
    <w:p>
      <w:pPr>
        <w:tabs>
          <w:tab w:val="center" w:pos="4415"/>
        </w:tabs>
        <w:spacing w:line="360" w:lineRule="auto"/>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eastAsia="zh-CN" w:bidi="ar"/>
        </w:rPr>
        <w:t>广州水务环保技术有限公司</w:t>
      </w:r>
    </w:p>
    <w:p>
      <w:pPr>
        <w:tabs>
          <w:tab w:val="center" w:pos="4415"/>
        </w:tabs>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val="en-US" w:eastAsia="zh-CN" w:bidi="ar"/>
        </w:rPr>
        <w:t xml:space="preserve"> </w:t>
      </w:r>
      <w:r>
        <w:rPr>
          <w:rFonts w:hint="default" w:ascii="宋体" w:hAnsi="宋体" w:eastAsia="宋体" w:cs="宋体"/>
          <w:color w:val="auto"/>
          <w:sz w:val="24"/>
          <w:highlight w:val="none"/>
          <w:u w:val="single"/>
          <w:lang w:val="en-US" w:eastAsia="zh-CN" w:bidi="ar"/>
        </w:rPr>
        <w:t>020-32084764</w:t>
      </w:r>
      <w:r>
        <w:rPr>
          <w:rFonts w:hint="eastAsia" w:ascii="宋体" w:hAnsi="宋体" w:eastAsia="宋体" w:cs="宋体"/>
          <w:color w:val="auto"/>
          <w:sz w:val="24"/>
          <w:highlight w:val="none"/>
          <w:u w:val="single"/>
          <w:lang w:val="en-US" w:eastAsia="zh-CN" w:bidi="ar"/>
        </w:rPr>
        <w:t xml:space="preserve"> </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bCs/>
          <w:color w:val="auto"/>
          <w:sz w:val="24"/>
          <w:highlight w:val="none"/>
        </w:rPr>
        <w:t>为贯彻落实国家“双碳”战略，积极响应市发改委市属国企积极参与光伏发电项目开发建设的要求，广州水务环保技术有限公司正在开展厂站分布式光伏发电项目，并已委托第三方单位开展了《广州水投集团“水务+光伏”一体化节能改造项目（10.78兆瓦分布式光伏发电项目）》可行性研究工作，拟在花都排水6个（狮岭二期、新华三期、大陵泵站、汽车城泵站、凤凰泵站、雅瑶泵站）、广州排水公司6个（人和2#泵站+扩建泵站、江高 3#泵站、高校园区泵站、人和1#泵站、大坦沙5号泵站、大坦沙6号泵站）给排水厂站建设分布式光伏，并取得了相关的项目备案。项目拟采用单晶硅645WpBC光伏组件，光伏总装机容量为4.83兆瓦。光伏发电均采用“自发自用、余电上网”模式，现拟采购EPC服务。</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pPr>
        <w:spacing w:line="360" w:lineRule="auto"/>
        <w:ind w:firstLine="42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val="en-US" w:eastAsia="zh-CN" w:bidi="ar"/>
        </w:rPr>
        <w:t>1</w:t>
      </w:r>
      <w:r>
        <w:rPr>
          <w:rFonts w:hint="eastAsia" w:ascii="宋体" w:hAnsi="宋体" w:eastAsia="宋体" w:cs="宋体"/>
          <w:color w:val="auto"/>
          <w:sz w:val="24"/>
          <w:highlight w:val="none"/>
          <w:lang w:bidi="ar"/>
        </w:rPr>
        <w:t>个标段</w:t>
      </w:r>
      <w:r>
        <w:rPr>
          <w:rFonts w:hint="eastAsia" w:ascii="宋体" w:hAnsi="宋体" w:eastAsia="宋体" w:cs="宋体"/>
          <w:color w:val="auto"/>
          <w:sz w:val="24"/>
          <w:highlight w:val="none"/>
          <w:lang w:val="en-US" w:eastAsia="zh-CN" w:bidi="ar"/>
        </w:rPr>
        <w:t>。</w:t>
      </w:r>
    </w:p>
    <w:p>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pPr>
        <w:adjustRightInd w:val="0"/>
        <w:snapToGrid w:val="0"/>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本项目规划</w:t>
      </w:r>
      <w:r>
        <w:rPr>
          <w:rFonts w:hint="eastAsia" w:ascii="宋体" w:hAnsi="宋体" w:eastAsia="宋体" w:cs="宋体"/>
          <w:color w:val="auto"/>
          <w:sz w:val="24"/>
          <w:highlight w:val="none"/>
          <w:lang w:bidi="ar"/>
        </w:rPr>
        <w:t>建设容量约</w:t>
      </w:r>
      <w:r>
        <w:rPr>
          <w:rFonts w:hint="eastAsia" w:ascii="宋体" w:hAnsi="宋体" w:eastAsia="宋体" w:cs="宋体"/>
          <w:bCs/>
          <w:color w:val="auto"/>
          <w:sz w:val="24"/>
          <w:highlight w:val="none"/>
        </w:rPr>
        <w:t>4.83</w:t>
      </w:r>
      <w:r>
        <w:rPr>
          <w:rFonts w:hint="eastAsia" w:ascii="宋体" w:hAnsi="宋体" w:eastAsia="宋体" w:cs="宋体"/>
          <w:color w:val="auto"/>
          <w:sz w:val="24"/>
          <w:highlight w:val="none"/>
          <w:lang w:bidi="ar"/>
        </w:rPr>
        <w:t>兆瓦</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采取总承包交钥匙方式完成，主要电力和电气设备包括：光伏组件、直或交流汇流箱、逆变器、升压变压器、10kV开关柜、二次设备等设施；主要使用的材料有光伏组件支架、交直流电力电缆、电缆桥架等。合同内容包括太阳能光伏电站太阳能电池至并网点的全部工程设计、设备材料采购供应、所有设备的二次搬运与保管、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pPr>
        <w:adjustRightInd w:val="0"/>
        <w:snapToGrid w:val="0"/>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并网接入工作所包含的一切费用属于投标方范围，包括但不限于取得并网批复及意见单（委托电力质监、与相关单位签订咨询服务合同（如需））、接入方案编制及评审、接入施工图编制及评审、工程设备费用、用户侧或站端与调度运行间的通讯、继电保护设备费、设备检测费、并网验收所产生的相关费用等，其中配电柜、线缆、计量、通讯、控制部分选型必须满足南方电网相关标准，设备必须同建筑所有者内部配电设备相匹配、厂家一致或高于建筑所有者内部配电设备要求，关键元件需严格满足业主和建筑所有权者的要求。消防（包含报建、检测、验收）、防雷设计审核及防雷装</w:t>
      </w:r>
      <w:bookmarkStart w:id="656" w:name="_GoBack"/>
      <w:bookmarkEnd w:id="656"/>
      <w:r>
        <w:rPr>
          <w:rFonts w:hint="eastAsia" w:ascii="宋体" w:hAnsi="宋体" w:eastAsia="宋体" w:cs="宋体"/>
          <w:color w:val="auto"/>
          <w:sz w:val="24"/>
          <w:highlight w:val="none"/>
          <w:lang w:bidi="ar"/>
        </w:rPr>
        <w:t>置竣工验收等所需办理的各种手续，由投标方以招标方的名义办理并承担费用。</w:t>
      </w:r>
    </w:p>
    <w:p>
      <w:pPr>
        <w:adjustRightInd w:val="0"/>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以及对城市市政关键设施在水质安全保障</w:t>
      </w:r>
      <w:r>
        <w:rPr>
          <w:rFonts w:hint="eastAsia" w:ascii="宋体" w:hAnsi="宋体" w:eastAsia="宋体" w:cs="宋体"/>
          <w:color w:val="auto"/>
          <w:sz w:val="24"/>
          <w:highlight w:val="none"/>
          <w:lang w:bidi="ar"/>
        </w:rPr>
        <w:t>等</w:t>
      </w:r>
      <w:r>
        <w:rPr>
          <w:rFonts w:hint="eastAsia" w:ascii="宋体" w:hAnsi="宋体" w:eastAsia="宋体" w:cs="宋体"/>
          <w:color w:val="auto"/>
          <w:sz w:val="24"/>
          <w:highlight w:val="none"/>
          <w:lang w:val="en-US" w:eastAsia="zh-CN" w:bidi="ar"/>
        </w:rPr>
        <w:t>工作内容</w:t>
      </w:r>
      <w:r>
        <w:rPr>
          <w:rFonts w:hint="eastAsia" w:ascii="宋体" w:hAnsi="宋体" w:eastAsia="宋体" w:cs="宋体"/>
          <w:color w:val="auto"/>
          <w:sz w:val="24"/>
          <w:highlight w:val="none"/>
          <w:lang w:bidi="ar"/>
        </w:rPr>
        <w:t>。</w:t>
      </w:r>
    </w:p>
    <w:p>
      <w:pPr>
        <w:adjustRightInd w:val="0"/>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w:t>
      </w:r>
      <w:r>
        <w:rPr>
          <w:rFonts w:hint="eastAsia" w:ascii="宋体" w:hAnsi="宋体" w:eastAsia="宋体" w:cs="宋体"/>
          <w:color w:val="auto"/>
          <w:sz w:val="24"/>
          <w:highlight w:val="none"/>
          <w:u w:val="single"/>
        </w:rPr>
        <w:t>合同签订后15天内完成设计图纸评审</w:t>
      </w:r>
      <w:r>
        <w:rPr>
          <w:rFonts w:hint="eastAsia" w:ascii="宋体" w:hAnsi="宋体" w:eastAsia="宋体" w:cs="宋体"/>
          <w:color w:val="auto"/>
          <w:sz w:val="24"/>
          <w:highlight w:val="none"/>
          <w:u w:val="single"/>
          <w:lang w:val="en-US" w:eastAsia="zh-CN"/>
        </w:rPr>
        <w:t>并提交开工报告</w:t>
      </w:r>
      <w:r>
        <w:rPr>
          <w:rFonts w:hint="eastAsia" w:ascii="宋体" w:hAnsi="宋体" w:eastAsia="宋体" w:cs="宋体"/>
          <w:color w:val="auto"/>
          <w:sz w:val="24"/>
          <w:highlight w:val="none"/>
          <w:u w:val="single"/>
        </w:rPr>
        <w:t>；正式开工之日起3个月实现全容量并网发电</w:t>
      </w:r>
      <w:r>
        <w:rPr>
          <w:rFonts w:hint="eastAsia" w:ascii="宋体" w:hAnsi="宋体" w:eastAsia="宋体" w:cs="宋体"/>
          <w:bCs/>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C</w:t>
      </w:r>
      <w:r>
        <w:rPr>
          <w:rFonts w:hint="eastAsia" w:ascii="宋体" w:hAnsi="宋体" w:eastAsia="宋体" w:cs="宋体"/>
          <w:color w:val="auto"/>
          <w:sz w:val="24"/>
          <w:highlight w:val="none"/>
        </w:rPr>
        <w:t>）的资质：</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w:t>
      </w:r>
      <w:r>
        <w:rPr>
          <w:rFonts w:hint="eastAsia" w:ascii="宋体" w:hAnsi="宋体" w:eastAsia="宋体" w:cs="宋体"/>
          <w:color w:val="auto"/>
          <w:sz w:val="24"/>
          <w:highlight w:val="none"/>
          <w:lang w:val="en-US" w:eastAsia="zh-CN"/>
        </w:rPr>
        <w:t>:施工资质：</w:t>
      </w:r>
      <w:r>
        <w:rPr>
          <w:rFonts w:hint="eastAsia" w:ascii="宋体" w:hAnsi="宋体" w:eastAsia="宋体" w:cs="宋体"/>
          <w:color w:val="auto"/>
          <w:sz w:val="24"/>
          <w:highlight w:val="none"/>
        </w:rPr>
        <w:t>具备建设行政主管部门电力施工</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lang w:val="en-US" w:eastAsia="zh-CN"/>
        </w:rPr>
        <w:t>或以上</w:t>
      </w:r>
      <w:r>
        <w:rPr>
          <w:rFonts w:hint="eastAsia" w:ascii="宋体" w:hAnsi="宋体" w:eastAsia="宋体" w:cs="宋体"/>
          <w:color w:val="auto"/>
          <w:sz w:val="24"/>
          <w:highlight w:val="none"/>
        </w:rPr>
        <w:t>资质,及持有建设行政主管部门颁发的有效期内的安全生产许可证；具备有效期内的承装（修、试）电力设施许可证五级或以上电力设施许可证</w:t>
      </w:r>
      <w:r>
        <w:rPr>
          <w:rFonts w:hint="eastAsia" w:ascii="宋体" w:hAnsi="宋体" w:eastAsia="宋体" w:cs="宋体"/>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B:设计资质：</w:t>
      </w:r>
      <w:r>
        <w:rPr>
          <w:rFonts w:hint="eastAsia" w:ascii="宋体" w:hAnsi="宋体" w:eastAsia="宋体" w:cs="宋体"/>
          <w:color w:val="auto"/>
          <w:sz w:val="24"/>
          <w:highlight w:val="none"/>
        </w:rPr>
        <w:t>承担电力设计部分单位具备建设行政主管部门颁发的工程设计综合甲级资质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或工程设计电力行业设计</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rPr>
        <w:t>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含）以上资质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或工程设计电力行业新能源发电专业乙级资质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含）以上资质；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C</w:t>
      </w:r>
      <w:r>
        <w:rPr>
          <w:rFonts w:hint="eastAsia" w:ascii="宋体" w:hAnsi="宋体" w:eastAsia="宋体" w:cs="宋体"/>
          <w:color w:val="auto"/>
          <w:sz w:val="24"/>
          <w:highlight w:val="none"/>
          <w:lang w:val="en-US" w:eastAsia="zh-CN"/>
        </w:rPr>
        <w:t>:设计资质：</w:t>
      </w:r>
      <w:r>
        <w:rPr>
          <w:rFonts w:hint="eastAsia" w:ascii="宋体" w:hAnsi="宋体" w:eastAsia="宋体" w:cs="宋体"/>
          <w:color w:val="auto"/>
          <w:sz w:val="24"/>
          <w:highlight w:val="none"/>
        </w:rPr>
        <w:t>承担市政设计部分单位具备建设行政主管部门颁发的工程设计综合甲级资质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或工程设计市政行业设计</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rPr>
        <w:t>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含）以上资质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或工程设计行业（</w:t>
      </w:r>
      <w:r>
        <w:rPr>
          <w:rFonts w:hint="eastAsia" w:ascii="宋体" w:hAnsi="宋体" w:eastAsia="宋体" w:cs="宋体"/>
          <w:color w:val="auto"/>
          <w:sz w:val="24"/>
          <w:highlight w:val="none"/>
          <w:lang w:val="en-US" w:eastAsia="zh-CN"/>
        </w:rPr>
        <w:t>排水工程</w:t>
      </w:r>
      <w:r>
        <w:rPr>
          <w:rFonts w:hint="eastAsia" w:ascii="宋体" w:hAnsi="宋体" w:eastAsia="宋体" w:cs="宋体"/>
          <w:color w:val="auto"/>
          <w:sz w:val="24"/>
          <w:highlight w:val="none"/>
        </w:rPr>
        <w:t>）专业</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rPr>
        <w:t>级资质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含）以上资质。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bidi="ar"/>
        </w:rPr>
        <w:t>投标人拟委派人员资格要求：</w:t>
      </w:r>
    </w:p>
    <w:p>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A：项目经理资格要求(若为联合体投标，则由承担施工任务方委派)：具备</w:t>
      </w:r>
      <w:r>
        <w:rPr>
          <w:rFonts w:hint="eastAsia" w:ascii="宋体" w:hAnsi="宋体" w:eastAsia="宋体" w:cs="宋体"/>
          <w:strike w:val="0"/>
          <w:color w:val="auto"/>
          <w:sz w:val="24"/>
          <w:highlight w:val="none"/>
          <w:lang w:bidi="ar"/>
        </w:rPr>
        <w:t>机电工程专业</w:t>
      </w:r>
      <w:r>
        <w:rPr>
          <w:rFonts w:hint="eastAsia" w:ascii="宋体" w:hAnsi="宋体" w:eastAsia="宋体" w:cs="宋体"/>
          <w:color w:val="auto"/>
          <w:sz w:val="24"/>
          <w:highlight w:val="none"/>
          <w:lang w:val="en-US" w:eastAsia="zh-CN" w:bidi="ar"/>
        </w:rPr>
        <w:t>二</w:t>
      </w:r>
      <w:r>
        <w:rPr>
          <w:rFonts w:hint="eastAsia" w:ascii="宋体" w:hAnsi="宋体" w:eastAsia="宋体" w:cs="宋体"/>
          <w:color w:val="auto"/>
          <w:sz w:val="24"/>
          <w:highlight w:val="none"/>
          <w:lang w:bidi="ar"/>
        </w:rPr>
        <w:t>级</w:t>
      </w:r>
      <w:r>
        <w:rPr>
          <w:rFonts w:hint="eastAsia" w:ascii="宋体" w:hAnsi="宋体" w:eastAsia="宋体" w:cs="宋体"/>
          <w:color w:val="auto"/>
          <w:sz w:val="24"/>
          <w:highlight w:val="none"/>
          <w:lang w:val="en-US" w:eastAsia="zh-CN" w:bidi="ar"/>
        </w:rPr>
        <w:t>或以上</w:t>
      </w:r>
      <w:r>
        <w:rPr>
          <w:rFonts w:hint="eastAsia" w:ascii="宋体" w:hAnsi="宋体" w:eastAsia="宋体" w:cs="宋体"/>
          <w:color w:val="auto"/>
          <w:sz w:val="24"/>
          <w:highlight w:val="none"/>
          <w:lang w:bidi="ar"/>
        </w:rPr>
        <w:t>注册建造师资格，同时具备有效的安全生产考核合格证（B类）或建筑施工企业项目负责人安全生产考核合格证书。</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B：安全员资格要求(若为联合体投标，则由承担施工任务方委派)：持有有效的安全生产考核合格证(C类)或建筑施工企业专职安全生产管理人员安全生产考核合格证书综合类(C3)。</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C：</w:t>
      </w:r>
      <w:r>
        <w:rPr>
          <w:rFonts w:hint="default" w:ascii="宋体" w:hAnsi="宋体" w:eastAsia="宋体" w:cs="宋体"/>
          <w:color w:val="auto"/>
          <w:sz w:val="24"/>
          <w:highlight w:val="none"/>
          <w:lang w:bidi="ar"/>
        </w:rPr>
        <w:t>设计负责人</w:t>
      </w:r>
      <w:r>
        <w:rPr>
          <w:rFonts w:hint="eastAsia" w:ascii="宋体" w:hAnsi="宋体" w:eastAsia="宋体" w:cs="宋体"/>
          <w:color w:val="auto"/>
          <w:sz w:val="24"/>
          <w:highlight w:val="none"/>
          <w:lang w:bidi="ar"/>
        </w:rPr>
        <w:t>(若为联合体投标，则由承担</w:t>
      </w:r>
      <w:r>
        <w:rPr>
          <w:rFonts w:hint="eastAsia" w:ascii="宋体" w:hAnsi="宋体" w:eastAsia="宋体" w:cs="宋体"/>
          <w:color w:val="auto"/>
          <w:sz w:val="24"/>
          <w:highlight w:val="none"/>
          <w:lang w:val="en-US" w:eastAsia="zh-CN" w:bidi="ar"/>
        </w:rPr>
        <w:t>设计</w:t>
      </w:r>
      <w:r>
        <w:rPr>
          <w:rFonts w:hint="eastAsia" w:ascii="宋体" w:hAnsi="宋体" w:eastAsia="宋体" w:cs="宋体"/>
          <w:color w:val="auto"/>
          <w:sz w:val="24"/>
          <w:highlight w:val="none"/>
          <w:lang w:bidi="ar"/>
        </w:rPr>
        <w:t>任务方委派)</w:t>
      </w:r>
      <w:r>
        <w:rPr>
          <w:rFonts w:hint="default" w:ascii="宋体" w:hAnsi="宋体" w:eastAsia="宋体" w:cs="宋体"/>
          <w:color w:val="auto"/>
          <w:sz w:val="24"/>
          <w:highlight w:val="none"/>
          <w:lang w:bidi="ar"/>
        </w:rPr>
        <w:t>：须为投标人在册人员，具有注册电气工程师执业资格</w:t>
      </w:r>
      <w:r>
        <w:rPr>
          <w:rFonts w:hint="eastAsia" w:ascii="宋体" w:hAnsi="宋体" w:eastAsia="宋体" w:cs="宋体"/>
          <w:color w:val="auto"/>
          <w:sz w:val="24"/>
          <w:highlight w:val="none"/>
          <w:lang w:eastAsia="zh-CN" w:bidi="ar"/>
        </w:rPr>
        <w:t>。</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投标人（若为联合体投标，指联合体</w:t>
      </w:r>
      <w:r>
        <w:rPr>
          <w:rFonts w:hint="eastAsia" w:ascii="宋体" w:hAnsi="宋体" w:eastAsia="宋体" w:cs="宋体"/>
          <w:color w:val="auto"/>
          <w:sz w:val="24"/>
          <w:highlight w:val="none"/>
          <w:lang w:val="en-US" w:eastAsia="zh-CN" w:bidi="ar"/>
        </w:rPr>
        <w:t>主办方</w:t>
      </w:r>
      <w:r>
        <w:rPr>
          <w:rFonts w:hint="eastAsia" w:ascii="宋体" w:hAnsi="宋体" w:eastAsia="宋体" w:cs="宋体"/>
          <w:color w:val="auto"/>
          <w:sz w:val="24"/>
          <w:highlight w:val="none"/>
          <w:lang w:bidi="ar"/>
        </w:rPr>
        <w:t>）202</w:t>
      </w:r>
      <w:r>
        <w:rPr>
          <w:rFonts w:hint="eastAsia" w:ascii="宋体" w:hAnsi="宋体" w:eastAsia="宋体" w:cs="宋体"/>
          <w:color w:val="auto"/>
          <w:sz w:val="24"/>
          <w:highlight w:val="none"/>
          <w:lang w:val="en-US" w:eastAsia="zh-CN" w:bidi="ar"/>
        </w:rPr>
        <w:t>0</w:t>
      </w:r>
      <w:r>
        <w:rPr>
          <w:rFonts w:hint="eastAsia" w:ascii="宋体" w:hAnsi="宋体" w:eastAsia="宋体" w:cs="宋体"/>
          <w:color w:val="auto"/>
          <w:sz w:val="24"/>
          <w:highlight w:val="none"/>
          <w:lang w:bidi="ar"/>
        </w:rPr>
        <w:t>年1月1日以来承担过单个项目装机容量不少于</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.0MWp的分布式光伏发电项目</w:t>
      </w:r>
      <w:r>
        <w:rPr>
          <w:rFonts w:hint="eastAsia" w:ascii="宋体" w:hAnsi="宋体" w:eastAsia="宋体" w:cs="宋体"/>
          <w:color w:val="auto"/>
          <w:sz w:val="24"/>
          <w:highlight w:val="none"/>
        </w:rPr>
        <w:t>EPC工程总承包或施工总承包业绩</w:t>
      </w:r>
      <w:r>
        <w:rPr>
          <w:rFonts w:hint="eastAsia" w:ascii="宋体" w:hAnsi="宋体" w:eastAsia="宋体" w:cs="宋体"/>
          <w:color w:val="auto"/>
          <w:sz w:val="24"/>
          <w:highlight w:val="none"/>
          <w:lang w:bidi="ar"/>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业绩时间以并网时间或竣工验收时间为准。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8</w:t>
      </w:r>
      <w:r>
        <w:rPr>
          <w:rFonts w:hint="eastAsia" w:ascii="宋体" w:hAnsi="宋体" w:eastAsia="宋体" w:cs="宋体"/>
          <w:color w:val="auto"/>
          <w:sz w:val="24"/>
          <w:highlight w:val="none"/>
          <w:lang w:bidi="ar"/>
        </w:rPr>
        <w:t>、本次招标接受联合体投标。只接受不多于</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家单位组成的联合体，承担设计任务的联合体成员</w:t>
      </w: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家，承担施工任务的联合体成员1家，</w:t>
      </w:r>
      <w:r>
        <w:rPr>
          <w:rFonts w:hint="eastAsia" w:ascii="宋体" w:hAnsi="宋体" w:eastAsia="宋体" w:cs="宋体"/>
          <w:color w:val="auto"/>
          <w:sz w:val="24"/>
          <w:highlight w:val="none"/>
          <w:u w:val="none"/>
          <w:lang w:bidi="ar"/>
        </w:rPr>
        <w:t>应以承担施工任务的成员单位为牵头单位</w:t>
      </w:r>
      <w:r>
        <w:rPr>
          <w:rFonts w:hint="eastAsia" w:ascii="宋体" w:hAnsi="宋体" w:eastAsia="宋体" w:cs="宋体"/>
          <w:color w:val="auto"/>
          <w:sz w:val="24"/>
          <w:highlight w:val="none"/>
          <w:u w:val="none"/>
          <w:lang w:eastAsia="zh-CN" w:bidi="ar"/>
        </w:rPr>
        <w:t>（</w:t>
      </w:r>
      <w:r>
        <w:rPr>
          <w:rFonts w:hint="eastAsia" w:ascii="宋体" w:hAnsi="宋体" w:eastAsia="宋体" w:cs="宋体"/>
          <w:color w:val="auto"/>
          <w:sz w:val="24"/>
          <w:highlight w:val="none"/>
          <w:u w:val="none"/>
          <w:lang w:val="en-US" w:eastAsia="zh-CN" w:bidi="ar"/>
        </w:rPr>
        <w:t>主办方</w:t>
      </w:r>
      <w:r>
        <w:rPr>
          <w:rFonts w:hint="eastAsia" w:ascii="宋体" w:hAnsi="宋体" w:eastAsia="宋体" w:cs="宋体"/>
          <w:color w:val="auto"/>
          <w:sz w:val="24"/>
          <w:highlight w:val="none"/>
          <w:u w:val="none"/>
          <w:lang w:eastAsia="zh-CN" w:bidi="ar"/>
        </w:rPr>
        <w:t>）</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 xml:space="preserve">并签定联合体协议书。联合体协议书应明确约定各方拟承担的工作和责任。 </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pPr>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2025年  月  日  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pPr>
        <w:spacing w:line="360" w:lineRule="auto"/>
        <w:ind w:firstLine="720" w:firstLineChars="3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2025年  月  日  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2、投标登记及领取招标文件方式：</w:t>
      </w:r>
    </w:p>
    <w:p>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发布招标公告的时间：</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rPr>
        <w:t>年   月   日至</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rPr>
        <w:t>年   月  日   时   分（北京时间，下同），凡有意参加投标者，请登录广州交易集团有限公司（广州公共资源交易中心）网站下载电子招标文件。</w:t>
      </w:r>
    </w:p>
    <w:p>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注：发布招标公告的时间为招标公告发出之日起至递交投标文件截止时间止。</w:t>
      </w:r>
    </w:p>
    <w:p>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本项目招标文件随招标公告一并在广州交易集团有限公司（广州公共资源交易中心）网站交易平台发布。招标文件一经在交易平台发布，视为发出给投标人，招标文件由投标人自行在交易平台下载。</w:t>
      </w:r>
    </w:p>
    <w:p>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3、递交投标文件起始时间：2025年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分；</w:t>
      </w:r>
    </w:p>
    <w:p>
      <w:pPr>
        <w:shd w:val="clear" w:color="auto" w:fill="FFFFFF"/>
        <w:snapToGrid w:val="0"/>
        <w:spacing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截止时间：2025年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分。</w:t>
      </w:r>
    </w:p>
    <w:p>
      <w:pPr>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bidi="ar"/>
        </w:rPr>
        <w:t>广州公共资源交易中心交易网站（网址：http://www.gzggzy.cn）。</w:t>
      </w:r>
    </w:p>
    <w:p>
      <w:pPr>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5、递交电子投标文件备用光盘或U盘时间：</w:t>
      </w:r>
      <w:r>
        <w:rPr>
          <w:rFonts w:hint="eastAsia" w:ascii="宋体" w:hAnsi="宋体" w:eastAsia="宋体" w:cs="宋体"/>
          <w:color w:val="auto"/>
          <w:sz w:val="24"/>
          <w:highlight w:val="none"/>
          <w:shd w:val="clear" w:color="auto" w:fill="FFFFFF"/>
        </w:rPr>
        <w:t>2025年  月  日  时  分</w:t>
      </w:r>
      <w:r>
        <w:rPr>
          <w:rFonts w:hint="eastAsia" w:ascii="宋体" w:hAnsi="宋体" w:eastAsia="宋体" w:cs="宋体"/>
          <w:color w:val="auto"/>
          <w:sz w:val="24"/>
          <w:highlight w:val="none"/>
          <w:shd w:val="clear" w:color="auto" w:fill="FFFFFF"/>
          <w:lang w:bidi="ar"/>
        </w:rPr>
        <w:t>至</w:t>
      </w:r>
      <w:r>
        <w:rPr>
          <w:rFonts w:hint="eastAsia" w:ascii="宋体" w:hAnsi="宋体" w:eastAsia="宋体" w:cs="宋体"/>
          <w:color w:val="auto"/>
          <w:sz w:val="24"/>
          <w:highlight w:val="none"/>
          <w:shd w:val="clear" w:color="auto" w:fill="FFFFFF"/>
        </w:rPr>
        <w:t>2025年  月  日  时</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分</w:t>
      </w:r>
      <w:r>
        <w:rPr>
          <w:rFonts w:hint="eastAsia" w:ascii="宋体" w:hAnsi="宋体" w:eastAsia="宋体" w:cs="宋体"/>
          <w:color w:val="auto"/>
          <w:sz w:val="24"/>
          <w:highlight w:val="none"/>
          <w:shd w:val="clear" w:color="auto" w:fill="FFFFFF"/>
          <w:lang w:bidi="ar"/>
        </w:rPr>
        <w:t>，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pPr>
        <w:spacing w:line="360" w:lineRule="auto"/>
        <w:ind w:firstLine="537" w:firstLineChars="224"/>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sz w:val="24"/>
          <w:highlight w:val="none"/>
          <w:u w:val="single"/>
        </w:rPr>
        <w:t>2025年  月  日  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pPr>
        <w:spacing w:line="360" w:lineRule="auto"/>
        <w:ind w:firstLine="511"/>
        <w:jc w:val="left"/>
        <w:rPr>
          <w:rFonts w:hint="eastAsia"/>
          <w:color w:val="auto"/>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w:t>
      </w:r>
    </w:p>
    <w:p>
      <w:pPr>
        <w:widowControl/>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文件截止时间的信息为准。</w:t>
      </w:r>
    </w:p>
    <w:p>
      <w:pPr>
        <w:spacing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九、本工程根据国家和省有关计价规范设置最高投标限价。</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lang w:val="en-US" w:eastAsia="zh-CN"/>
        </w:rPr>
        <w:t>21776742.50</w:t>
      </w:r>
      <w:r>
        <w:rPr>
          <w:rFonts w:hint="eastAsia" w:ascii="宋体" w:hAnsi="宋体" w:eastAsia="宋体" w:cs="宋体"/>
          <w:color w:val="auto"/>
          <w:sz w:val="24"/>
          <w:highlight w:val="none"/>
        </w:rPr>
        <w:t>元。其他详见最高投标限价公布函。</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eastAsia" w:ascii="宋体" w:hAnsi="宋体" w:eastAsia="宋体" w:cs="宋体"/>
          <w:color w:val="auto"/>
          <w:sz w:val="24"/>
          <w:highlight w:val="none"/>
          <w:u w:val="single"/>
        </w:rPr>
        <w:t>中国能源建设集团广东省电力设计研究院有限公司</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十一、潜在投标人或利害关系人对本招标公告及招标文件有异议的，向招标人书面提出。</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eastAsia="zh-CN" w:bidi="ar"/>
        </w:rPr>
        <w:t>广州水务环保技术有限公司</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val="en-US" w:eastAsia="zh-CN" w:bidi="ar"/>
        </w:rPr>
        <w:t xml:space="preserve"> 020-32084764 </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val="en-US" w:eastAsia="zh-CN" w:bidi="ar"/>
        </w:rPr>
        <w:t xml:space="preserve"> 广州市荔湾区红楼路8号荔湾东海岸产业园3幢310室 </w:t>
      </w:r>
    </w:p>
    <w:p>
      <w:pPr>
        <w:widowControl/>
        <w:spacing w:line="360" w:lineRule="auto"/>
        <w:ind w:right="0"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十二、本公告在广州公共资源交易中心网（网址：http://www.gzggzy.cn/）、中国招标投标公共服务平台（网址：http://www.cebpubservice.com）、广东省招标投标监管网（</w:t>
      </w:r>
      <w:r>
        <w:rPr>
          <w:rFonts w:hint="eastAsia" w:ascii="宋体" w:hAnsi="宋体" w:eastAsia="宋体" w:cs="宋体"/>
          <w:color w:val="auto"/>
          <w:kern w:val="0"/>
          <w:sz w:val="24"/>
          <w:highlight w:val="none"/>
          <w:lang w:bidi="ar"/>
        </w:rPr>
        <w:t>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Fonts w:hint="eastAsia" w:ascii="宋体" w:hAnsi="宋体" w:eastAsia="宋体" w:cs="宋体"/>
          <w:color w:val="auto"/>
          <w:sz w:val="24"/>
          <w:highlight w:val="none"/>
          <w:shd w:val="clear" w:color="auto" w:fill="FFFFFF"/>
          <w:lang w:bidi="ar"/>
        </w:rPr>
        <w:t>http://zbtb.gd.gov.cn/</w:t>
      </w:r>
      <w:r>
        <w:rPr>
          <w:rFonts w:hint="eastAsia" w:ascii="宋体" w:hAnsi="宋体" w:eastAsia="宋体" w:cs="宋体"/>
          <w:color w:val="auto"/>
          <w:sz w:val="24"/>
          <w:highlight w:val="none"/>
          <w:shd w:val="clear" w:color="auto" w:fill="FFFFFF"/>
          <w:lang w:bidi="ar"/>
        </w:rPr>
        <w:fldChar w:fldCharType="end"/>
      </w:r>
      <w:r>
        <w:rPr>
          <w:rFonts w:hint="eastAsia" w:ascii="宋体" w:hAnsi="宋体" w:eastAsia="宋体" w:cs="宋体"/>
          <w:color w:val="auto"/>
          <w:sz w:val="24"/>
          <w:highlight w:val="none"/>
          <w:lang w:bidi="ar"/>
        </w:rPr>
        <w:t>）、广州国企阳光采购信息发布平台（网址：http://ygcg.gzggzy.cn/）</w:t>
      </w:r>
      <w:r>
        <w:rPr>
          <w:color w:val="auto"/>
          <w:highlight w:val="none"/>
        </w:rPr>
        <w:fldChar w:fldCharType="begin"/>
      </w:r>
      <w:r>
        <w:rPr>
          <w:color w:val="auto"/>
          <w:highlight w:val="none"/>
        </w:rPr>
        <w:instrText xml:space="preserve"> HYPERLINK "http://www.bjztc.com/）发布，本公告的修改、补充，在广州公共资源交易中心网发布。" </w:instrText>
      </w:r>
      <w:r>
        <w:rPr>
          <w:color w:val="auto"/>
          <w:highlight w:val="none"/>
        </w:rPr>
        <w:fldChar w:fldCharType="separate"/>
      </w:r>
      <w:r>
        <w:rPr>
          <w:rStyle w:val="44"/>
          <w:rFonts w:hint="default" w:ascii="宋体" w:hAnsi="宋体" w:eastAsia="宋体" w:cs="宋体"/>
          <w:color w:val="auto"/>
          <w:sz w:val="24"/>
          <w:highlight w:val="none"/>
          <w:lang w:bidi="ar"/>
        </w:rPr>
        <w:t>发布，本公告的修改、补充，在广州公共资源交易中心网发布。</w:t>
      </w:r>
      <w:r>
        <w:rPr>
          <w:rStyle w:val="44"/>
          <w:rFonts w:hint="default" w:ascii="宋体" w:hAnsi="宋体" w:eastAsia="宋体" w:cs="宋体"/>
          <w:color w:val="auto"/>
          <w:sz w:val="24"/>
          <w:highlight w:val="none"/>
          <w:lang w:bidi="ar"/>
        </w:rPr>
        <w:fldChar w:fldCharType="end"/>
      </w:r>
    </w:p>
    <w:p>
      <w:pPr>
        <w:widowControl/>
        <w:spacing w:line="360" w:lineRule="auto"/>
        <w:ind w:right="28" w:firstLine="3840" w:firstLineChars="16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bidi="ar"/>
        </w:rPr>
        <w:t xml:space="preserve"> 招标人：</w:t>
      </w:r>
      <w:r>
        <w:rPr>
          <w:rFonts w:hint="eastAsia" w:ascii="宋体" w:hAnsi="宋体" w:eastAsia="宋体" w:cs="宋体"/>
          <w:color w:val="auto"/>
          <w:sz w:val="24"/>
          <w:highlight w:val="none"/>
          <w:lang w:eastAsia="zh-CN" w:bidi="ar"/>
        </w:rPr>
        <w:t>广州水务环保技术有限公司</w:t>
      </w:r>
    </w:p>
    <w:p>
      <w:pPr>
        <w:widowControl/>
        <w:tabs>
          <w:tab w:val="center" w:pos="4415"/>
        </w:tabs>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w:t>
      </w:r>
      <w:r>
        <w:rPr>
          <w:rFonts w:hint="eastAsia" w:ascii="宋体" w:hAnsi="宋体" w:eastAsia="宋体" w:cs="宋体"/>
          <w:color w:val="auto"/>
          <w:sz w:val="24"/>
          <w:highlight w:val="none"/>
          <w:lang w:eastAsia="zh-CN" w:bidi="ar"/>
        </w:rPr>
        <w:t>广州市国际工程咨询有限公司</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pPr>
        <w:widowControl/>
        <w:spacing w:line="360" w:lineRule="auto"/>
        <w:ind w:right="26" w:firstLine="4560" w:firstLineChars="19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日期：2025年</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日</w:t>
      </w:r>
    </w:p>
    <w:p>
      <w:pPr>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pPr>
        <w:rPr>
          <w:rFonts w:hint="eastAsia"/>
          <w:color w:val="auto"/>
          <w:highlight w:val="none"/>
        </w:rPr>
      </w:pPr>
      <w:r>
        <w:rPr>
          <w:rFonts w:hint="eastAsia"/>
          <w:color w:val="auto"/>
          <w:highlight w:val="none"/>
        </w:rPr>
        <w:t xml:space="preserve"> </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pPr>
        <w:spacing w:line="360" w:lineRule="auto"/>
        <w:ind w:firstLine="420"/>
        <w:rPr>
          <w:rFonts w:hint="eastAsia"/>
          <w:color w:val="auto"/>
          <w:highlight w:val="none"/>
        </w:rPr>
      </w:pP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pPr>
        <w:spacing w:line="360" w:lineRule="auto"/>
        <w:ind w:firstLine="420"/>
        <w:rPr>
          <w:rFonts w:hint="eastAsia" w:ascii="宋体" w:hAnsi="宋体" w:eastAsia="宋体" w:cs="宋体"/>
          <w:color w:val="auto"/>
          <w:kern w:val="1"/>
          <w:sz w:val="24"/>
          <w:highlight w:val="none"/>
          <w:lang w:bidi="ar"/>
        </w:rPr>
      </w:pPr>
      <w:r>
        <w:rPr>
          <w:rFonts w:hint="eastAsia" w:ascii="宋体" w:hAnsi="宋体" w:eastAsia="宋体" w:cs="宋体"/>
          <w:color w:val="auto"/>
          <w:kern w:val="1"/>
          <w:sz w:val="24"/>
          <w:highlight w:val="none"/>
          <w:lang w:bidi="ar"/>
        </w:rPr>
        <w:t>法定代表人：</w:t>
      </w:r>
    </w:p>
    <w:p>
      <w:pPr>
        <w:spacing w:line="360" w:lineRule="auto"/>
        <w:ind w:firstLine="420"/>
        <w:rPr>
          <w:rFonts w:hint="default" w:eastAsia="等线"/>
          <w:color w:val="auto"/>
          <w:highlight w:val="none"/>
          <w:lang w:val="en-US" w:eastAsia="zh-CN"/>
        </w:rPr>
      </w:pPr>
      <w:r>
        <w:rPr>
          <w:rFonts w:hint="eastAsia" w:ascii="宋体" w:hAnsi="宋体" w:eastAsia="宋体" w:cs="宋体"/>
          <w:color w:val="auto"/>
          <w:kern w:val="1"/>
          <w:sz w:val="24"/>
          <w:highlight w:val="none"/>
          <w:lang w:bidi="ar"/>
        </w:rPr>
        <w:t>住所地：</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pPr>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pPr>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pPr>
        <w:spacing w:line="360" w:lineRule="auto"/>
        <w:ind w:firstLine="480" w:firstLineChars="200"/>
        <w:rPr>
          <w:rFonts w:hint="eastAsia" w:ascii="宋体" w:hAnsi="宋体" w:eastAsia="宋体" w:cs="宋体"/>
          <w:color w:val="auto"/>
          <w:kern w:val="1"/>
          <w:sz w:val="24"/>
          <w:highlight w:val="none"/>
          <w:lang w:bidi="ar"/>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pPr>
        <w:spacing w:line="360" w:lineRule="auto"/>
        <w:ind w:firstLine="480" w:firstLineChars="200"/>
        <w:rPr>
          <w:rFonts w:hint="eastAsia" w:ascii="宋体" w:hAnsi="宋体" w:eastAsia="宋体" w:cs="宋体"/>
          <w:color w:val="auto"/>
          <w:kern w:val="1"/>
          <w:sz w:val="24"/>
          <w:highlight w:val="none"/>
          <w:lang w:bidi="ar"/>
        </w:rPr>
      </w:pPr>
      <w:r>
        <w:rPr>
          <w:rFonts w:hint="eastAsia" w:ascii="宋体" w:hAnsi="宋体" w:eastAsia="宋体" w:cs="宋体"/>
          <w:color w:val="auto"/>
          <w:kern w:val="1"/>
          <w:sz w:val="24"/>
          <w:highlight w:val="none"/>
          <w:lang w:bidi="ar"/>
        </w:rPr>
        <w:t>注：本协议书由委托代理人签字的，应附法定代表人签字的授权委托书。</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主办方公司名称(盖单位公章):</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日期：</w:t>
      </w:r>
    </w:p>
    <w:p>
      <w:pPr>
        <w:rPr>
          <w:rFonts w:hint="eastAsia"/>
          <w:color w:val="auto"/>
          <w:highlight w:val="none"/>
        </w:rPr>
      </w:pPr>
      <w:r>
        <w:rPr>
          <w:rFonts w:hint="eastAsia"/>
          <w:color w:val="auto"/>
          <w:highlight w:val="none"/>
        </w:rPr>
        <w:t xml:space="preserve"> </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pPr>
        <w:pStyle w:val="31"/>
        <w:widowControl w:val="0"/>
        <w:spacing w:before="0" w:beforeAutospacing="0" w:after="0" w:afterAutospacing="0" w:line="360" w:lineRule="auto"/>
        <w:ind w:firstLine="480" w:firstLineChars="200"/>
        <w:jc w:val="both"/>
        <w:rPr>
          <w:rFonts w:hint="eastAsia" w:eastAsia="宋体"/>
          <w:color w:val="auto"/>
          <w:highlight w:val="none"/>
        </w:rPr>
      </w:pPr>
      <w:r>
        <w:rPr>
          <w:rFonts w:hint="eastAsia" w:eastAsia="宋体"/>
          <w:color w:val="auto"/>
          <w:kern w:val="1"/>
          <w:highlight w:val="none"/>
          <w:lang w:bidi="ar"/>
        </w:rPr>
        <w:t>日期：</w:t>
      </w:r>
    </w:p>
    <w:p>
      <w:pPr>
        <w:pStyle w:val="31"/>
        <w:widowControl w:val="0"/>
        <w:spacing w:before="0" w:beforeAutospacing="0" w:after="0" w:afterAutospacing="0" w:line="360" w:lineRule="auto"/>
        <w:ind w:firstLine="480" w:firstLineChars="200"/>
        <w:jc w:val="both"/>
        <w:rPr>
          <w:rFonts w:hint="eastAsia" w:eastAsia="宋体"/>
          <w:color w:val="auto"/>
          <w:kern w:val="1"/>
          <w:highlight w:val="none"/>
          <w:lang w:bidi="ar"/>
        </w:rPr>
      </w:pPr>
    </w:p>
    <w:p>
      <w:pPr>
        <w:pStyle w:val="3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pPr>
        <w:pStyle w:val="31"/>
        <w:spacing w:beforeAutospacing="0" w:after="0" w:afterAutospacing="0" w:line="360" w:lineRule="auto"/>
        <w:ind w:firstLine="480" w:firstLineChars="200"/>
        <w:rPr>
          <w:rFonts w:hint="eastAsia" w:eastAsia="宋体"/>
          <w:color w:val="auto"/>
          <w:kern w:val="1"/>
          <w:highlight w:val="none"/>
          <w:lang w:bidi="ar"/>
        </w:rPr>
      </w:pPr>
      <w:r>
        <w:rPr>
          <w:rFonts w:hint="eastAsia" w:eastAsia="宋体"/>
          <w:color w:val="auto"/>
          <w:kern w:val="1"/>
          <w:highlight w:val="none"/>
          <w:lang w:bidi="ar"/>
        </w:rPr>
        <w:t>法定代表人或授权代表(签字或盖章):</w:t>
      </w:r>
    </w:p>
    <w:p>
      <w:pPr>
        <w:pStyle w:val="31"/>
        <w:spacing w:before="0" w:beforeAutospacing="0" w:after="0" w:afterAutospacing="0" w:line="360" w:lineRule="auto"/>
        <w:ind w:firstLine="480" w:firstLineChars="200"/>
        <w:rPr>
          <w:rFonts w:hint="eastAsia"/>
          <w:color w:val="auto"/>
          <w:highlight w:val="none"/>
        </w:rPr>
      </w:pPr>
      <w:r>
        <w:rPr>
          <w:rFonts w:hint="eastAsia" w:eastAsia="宋体"/>
          <w:color w:val="auto"/>
          <w:kern w:val="1"/>
          <w:highlight w:val="none"/>
          <w:lang w:bidi="ar"/>
        </w:rPr>
        <w:t>日期：</w:t>
      </w:r>
    </w:p>
    <w:p>
      <w:pPr>
        <w:rPr>
          <w:rFonts w:hint="eastAsia" w:ascii="宋体" w:hAnsi="宋体" w:eastAsia="宋体" w:cs="宋体"/>
          <w:color w:val="auto"/>
          <w:kern w:val="0"/>
          <w:sz w:val="36"/>
          <w:szCs w:val="36"/>
          <w:highlight w:val="none"/>
        </w:rPr>
      </w:pPr>
      <w:r>
        <w:rPr>
          <w:rFonts w:hint="eastAsia" w:ascii="宋体" w:hAnsi="宋体" w:eastAsia="宋体" w:cs="宋体"/>
          <w:color w:val="auto"/>
          <w:highlight w:val="none"/>
        </w:rPr>
        <w:br w:type="page"/>
      </w:r>
    </w:p>
    <w:p>
      <w:pPr>
        <w:pStyle w:val="2"/>
        <w:widowControl/>
        <w:spacing w:before="0" w:after="0" w:line="240" w:lineRule="auto"/>
        <w:jc w:val="center"/>
        <w:rPr>
          <w:rFonts w:hint="eastAsia" w:ascii="宋体" w:hAnsi="宋体" w:eastAsia="宋体" w:cs="宋体"/>
          <w:color w:val="auto"/>
          <w:sz w:val="36"/>
          <w:szCs w:val="36"/>
          <w:highlight w:val="none"/>
        </w:rPr>
      </w:pPr>
      <w:bookmarkStart w:id="14" w:name="_Toc4666"/>
      <w:r>
        <w:rPr>
          <w:rFonts w:hint="eastAsia" w:ascii="宋体" w:hAnsi="宋体" w:eastAsia="宋体" w:cs="宋体"/>
          <w:color w:val="auto"/>
          <w:sz w:val="36"/>
          <w:szCs w:val="36"/>
          <w:highlight w:val="none"/>
        </w:rPr>
        <w:t>第二章 投标人须知</w:t>
      </w:r>
      <w:bookmarkEnd w:id="14"/>
    </w:p>
    <w:p>
      <w:pPr>
        <w:pStyle w:val="3"/>
        <w:widowControl/>
        <w:spacing w:before="0" w:after="0" w:line="360" w:lineRule="auto"/>
        <w:jc w:val="center"/>
        <w:rPr>
          <w:rFonts w:hint="eastAsia" w:ascii="宋体" w:hAnsi="宋体" w:eastAsia="宋体" w:cs="宋体"/>
          <w:color w:val="auto"/>
          <w:highlight w:val="none"/>
        </w:rPr>
      </w:pPr>
      <w:bookmarkStart w:id="15" w:name="_Toc443505821"/>
      <w:bookmarkStart w:id="16" w:name="_Toc362816479"/>
      <w:bookmarkStart w:id="17" w:name="_Toc17176"/>
      <w:r>
        <w:rPr>
          <w:rFonts w:hint="eastAsia" w:ascii="宋体" w:hAnsi="宋体" w:eastAsia="宋体" w:cs="宋体"/>
          <w:color w:val="auto"/>
          <w:highlight w:val="none"/>
        </w:rPr>
        <w:t>一、投标人须知前附表</w:t>
      </w:r>
      <w:bookmarkEnd w:id="15"/>
      <w:bookmarkEnd w:id="16"/>
      <w:bookmarkEnd w:id="17"/>
    </w:p>
    <w:tbl>
      <w:tblPr>
        <w:tblStyle w:val="37"/>
        <w:tblW w:w="9794" w:type="dxa"/>
        <w:jc w:val="center"/>
        <w:tblLayout w:type="fixed"/>
        <w:tblCellMar>
          <w:top w:w="0" w:type="dxa"/>
          <w:left w:w="108" w:type="dxa"/>
          <w:bottom w:w="0" w:type="dxa"/>
          <w:right w:w="108" w:type="dxa"/>
        </w:tblCellMar>
      </w:tblPr>
      <w:tblGrid>
        <w:gridCol w:w="1104"/>
        <w:gridCol w:w="1764"/>
        <w:gridCol w:w="6926"/>
      </w:tblGrid>
      <w:tr>
        <w:tblPrEx>
          <w:tblCellMar>
            <w:top w:w="0" w:type="dxa"/>
            <w:left w:w="108" w:type="dxa"/>
            <w:bottom w:w="0" w:type="dxa"/>
            <w:right w:w="108" w:type="dxa"/>
          </w:tblCellMar>
        </w:tblPrEx>
        <w:trPr>
          <w:trHeight w:val="570" w:hRule="atLeast"/>
          <w:tblHeade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ind w:left="-134" w:leftChars="-64" w:right="-107" w:rightChars="-5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条款号</w:t>
            </w:r>
          </w:p>
        </w:tc>
        <w:tc>
          <w:tcPr>
            <w:tcW w:w="17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条  款  名  称</w:t>
            </w:r>
          </w:p>
        </w:tc>
        <w:tc>
          <w:tcPr>
            <w:tcW w:w="69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编  列  内  容</w:t>
            </w:r>
          </w:p>
        </w:tc>
      </w:tr>
      <w:tr>
        <w:tblPrEx>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招标人</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bidi="ar"/>
              </w:rPr>
              <w:t>招标人：</w:t>
            </w:r>
            <w:r>
              <w:rPr>
                <w:rFonts w:hint="eastAsia" w:ascii="宋体" w:hAnsi="宋体" w:eastAsia="宋体" w:cs="宋体"/>
                <w:color w:val="auto"/>
                <w:sz w:val="24"/>
                <w:highlight w:val="none"/>
                <w:u w:val="single"/>
                <w:lang w:eastAsia="zh-CN" w:bidi="ar"/>
              </w:rPr>
              <w:t>广州水务环保技术有限公司</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合同主体：</w:t>
            </w:r>
            <w:r>
              <w:rPr>
                <w:rFonts w:hint="eastAsia" w:ascii="宋体" w:hAnsi="宋体" w:eastAsia="宋体" w:cs="宋体"/>
                <w:color w:val="auto"/>
                <w:sz w:val="24"/>
                <w:highlight w:val="none"/>
                <w:u w:val="single"/>
                <w:lang w:eastAsia="zh-CN" w:bidi="ar"/>
              </w:rPr>
              <w:t>广州水务环保技术有限公司</w:t>
            </w:r>
            <w:r>
              <w:rPr>
                <w:rFonts w:hint="eastAsia" w:ascii="宋体" w:hAnsi="宋体" w:eastAsia="宋体" w:cs="宋体"/>
                <w:color w:val="auto"/>
                <w:sz w:val="24"/>
                <w:highlight w:val="none"/>
                <w:u w:val="single"/>
                <w:lang w:bidi="ar"/>
              </w:rPr>
              <w:t xml:space="preserve">                </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招标代理机构</w:t>
            </w:r>
          </w:p>
        </w:tc>
        <w:tc>
          <w:tcPr>
            <w:tcW w:w="69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kern w:val="0"/>
                <w:sz w:val="24"/>
                <w:highlight w:val="none"/>
                <w:u w:val="single"/>
                <w:lang w:bidi="ar"/>
              </w:rPr>
            </w:pPr>
            <w:r>
              <w:rPr>
                <w:rFonts w:hint="eastAsia" w:ascii="宋体" w:hAnsi="宋体" w:eastAsia="宋体" w:cs="宋体"/>
                <w:color w:val="auto"/>
                <w:sz w:val="24"/>
                <w:highlight w:val="none"/>
                <w:lang w:bidi="ar"/>
              </w:rPr>
              <w:t>名称：</w:t>
            </w:r>
            <w:r>
              <w:rPr>
                <w:rFonts w:hint="eastAsia" w:ascii="宋体" w:hAnsi="宋体" w:eastAsia="宋体" w:cs="宋体"/>
                <w:color w:val="auto"/>
                <w:sz w:val="24"/>
                <w:highlight w:val="none"/>
                <w:lang w:eastAsia="zh-CN"/>
              </w:rPr>
              <w:t>广州市国际工程咨询有限公司</w:t>
            </w:r>
            <w:r>
              <w:rPr>
                <w:rFonts w:hint="eastAsia" w:ascii="宋体" w:hAnsi="宋体" w:eastAsia="宋体" w:cs="宋体"/>
                <w:color w:val="auto"/>
                <w:sz w:val="24"/>
                <w:highlight w:val="none"/>
                <w:lang w:bidi="ar"/>
              </w:rPr>
              <w:t xml:space="preserve">   </w:t>
            </w:r>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 xml:space="preserve">地址：广州市寺右新马路111号五羊新城广场8楼      </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lang w:val="en-US" w:eastAsia="zh-CN" w:bidi="ar"/>
              </w:rPr>
              <w:t>张工</w:t>
            </w:r>
          </w:p>
          <w:p>
            <w:pPr>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电话：</w:t>
            </w:r>
            <w:r>
              <w:rPr>
                <w:rFonts w:hint="eastAsia" w:ascii="宋体" w:hAnsi="宋体" w:eastAsia="宋体" w:cs="宋体"/>
                <w:color w:val="auto"/>
                <w:sz w:val="24"/>
                <w:highlight w:val="none"/>
                <w:lang w:eastAsia="zh-CN" w:bidi="ar"/>
              </w:rPr>
              <w:t>020-87386919-508</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电子邮箱：</w:t>
            </w:r>
            <w:r>
              <w:rPr>
                <w:rFonts w:hint="eastAsia" w:ascii="宋体" w:hAnsi="宋体" w:eastAsia="宋体" w:cs="宋体"/>
                <w:color w:val="auto"/>
                <w:sz w:val="24"/>
                <w:highlight w:val="none"/>
                <w:lang w:eastAsia="zh-CN" w:bidi="ar"/>
              </w:rPr>
              <w:t>zj@giecc.com.cn</w:t>
            </w:r>
            <w:r>
              <w:rPr>
                <w:rFonts w:hint="eastAsia" w:ascii="宋体" w:hAnsi="宋体" w:eastAsia="宋体" w:cs="宋体"/>
                <w:color w:val="auto"/>
                <w:sz w:val="24"/>
                <w:highlight w:val="none"/>
                <w:lang w:bidi="ar"/>
              </w:rPr>
              <w:t xml:space="preserve">   </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1.1.4</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eastAsia="zh-CN" w:bidi="ar"/>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bidi="ar"/>
              </w:rPr>
              <w:t>（</w:t>
            </w:r>
            <w:r>
              <w:rPr>
                <w:rFonts w:hint="eastAsia" w:ascii="宋体" w:hAnsi="宋体" w:eastAsia="宋体" w:cs="宋体"/>
                <w:color w:val="auto"/>
                <w:sz w:val="24"/>
                <w:highlight w:val="none"/>
                <w:u w:val="single"/>
                <w:lang w:eastAsia="zh-CN" w:bidi="ar"/>
              </w:rPr>
              <w:t>第二标段</w:t>
            </w:r>
            <w:r>
              <w:rPr>
                <w:rFonts w:hint="eastAsia" w:ascii="宋体" w:hAnsi="宋体" w:eastAsia="宋体" w:cs="宋体"/>
                <w:color w:val="auto"/>
                <w:sz w:val="24"/>
                <w:highlight w:val="none"/>
                <w:u w:val="single"/>
                <w:lang w:bidi="ar"/>
              </w:rPr>
              <w:t>）</w:t>
            </w:r>
          </w:p>
        </w:tc>
      </w:tr>
      <w:tr>
        <w:tblPrEx>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1.1.5</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建设地点</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详见招标公告</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资金来源及</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比例</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企业自筹资金</w:t>
            </w:r>
          </w:p>
        </w:tc>
      </w:tr>
      <w:tr>
        <w:tblPrEx>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资金落实情况</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资金已落实</w:t>
            </w:r>
          </w:p>
        </w:tc>
      </w:tr>
      <w:tr>
        <w:tblPrEx>
          <w:tblCellMar>
            <w:top w:w="0" w:type="dxa"/>
            <w:left w:w="108" w:type="dxa"/>
            <w:bottom w:w="0" w:type="dxa"/>
            <w:right w:w="108" w:type="dxa"/>
          </w:tblCellMar>
        </w:tblPrEx>
        <w:trPr>
          <w:trHeight w:val="538"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详见招标公告</w:t>
            </w:r>
          </w:p>
        </w:tc>
      </w:tr>
      <w:tr>
        <w:tblPrEx>
          <w:tblCellMar>
            <w:top w:w="0" w:type="dxa"/>
            <w:left w:w="108" w:type="dxa"/>
            <w:bottom w:w="0" w:type="dxa"/>
            <w:right w:w="108" w:type="dxa"/>
          </w:tblCellMar>
        </w:tblPrEx>
        <w:trPr>
          <w:trHeight w:val="407"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计划工期</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详见招标公告</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质量标准</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highlight w:val="none"/>
              </w:rPr>
            </w:pPr>
            <w:r>
              <w:rPr>
                <w:rFonts w:hint="eastAsia" w:ascii="宋体" w:hAnsi="宋体" w:eastAsia="宋体" w:cs="宋体"/>
                <w:color w:val="auto"/>
                <w:sz w:val="24"/>
                <w:highlight w:val="none"/>
                <w:lang w:bidi="ar"/>
              </w:rPr>
              <w:t>详见招标文件第五章《发包人要求》</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1.4.1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投标人资质条件、能力和信誉</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详见招标公告</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1.4.2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是否接受联合体投标</w:t>
            </w:r>
          </w:p>
        </w:tc>
        <w:tc>
          <w:tcPr>
            <w:tcW w:w="6926" w:type="dxa"/>
            <w:tcBorders>
              <w:top w:val="single" w:color="auto" w:sz="4" w:space="0"/>
              <w:left w:val="single" w:color="auto" w:sz="4" w:space="0"/>
              <w:bottom w:val="single" w:color="auto" w:sz="4" w:space="0"/>
              <w:right w:val="single" w:color="auto" w:sz="4" w:space="0"/>
            </w:tcBorders>
            <w:vAlign w:val="center"/>
          </w:tcPr>
          <w:p>
            <w:pPr>
              <w:pStyle w:val="11"/>
              <w:widowControl/>
              <w:topLinePunct/>
              <w:rPr>
                <w:rFonts w:hint="eastAsia" w:hAnsi="宋体" w:eastAsia="宋体" w:cs="宋体"/>
                <w:color w:val="auto"/>
                <w:szCs w:val="24"/>
                <w:highlight w:val="none"/>
                <w:lang w:bidi="ar"/>
              </w:rPr>
            </w:pPr>
            <w:r>
              <w:rPr>
                <w:rFonts w:hint="eastAsia" w:hAnsi="宋体" w:eastAsia="宋体" w:cs="宋体"/>
                <w:color w:val="auto"/>
                <w:highlight w:val="none"/>
                <w:lang w:bidi="ar"/>
              </w:rPr>
              <w:t>□</w:t>
            </w:r>
            <w:r>
              <w:rPr>
                <w:rFonts w:hint="eastAsia" w:hAnsi="宋体" w:eastAsia="宋体" w:cs="宋体"/>
                <w:color w:val="auto"/>
                <w:szCs w:val="24"/>
                <w:highlight w:val="none"/>
                <w:lang w:bidi="ar"/>
              </w:rPr>
              <w:t>不接受</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bidi="ar"/>
              </w:rPr>
              <w:t>接受，具体详见招标公告</w:t>
            </w:r>
          </w:p>
        </w:tc>
      </w:tr>
      <w:tr>
        <w:tblPrEx>
          <w:tblCellMar>
            <w:top w:w="0" w:type="dxa"/>
            <w:left w:w="108" w:type="dxa"/>
            <w:bottom w:w="0" w:type="dxa"/>
            <w:right w:w="108" w:type="dxa"/>
          </w:tblCellMar>
        </w:tblPrEx>
        <w:trPr>
          <w:trHeight w:val="745"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费用承担和设计成果补偿</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bidi="ar"/>
              </w:rPr>
              <w:t>不补偿</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□补偿，补偿标准详见招标公告</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1.9.1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踏勘</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■不组织：自行踏勘。</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□组织：踏勘时间：</w:t>
            </w:r>
            <w:r>
              <w:rPr>
                <w:rFonts w:hint="eastAsia" w:ascii="宋体" w:hAnsi="宋体" w:eastAsia="宋体" w:cs="宋体"/>
                <w:color w:val="auto"/>
                <w:kern w:val="0"/>
                <w:sz w:val="24"/>
                <w:highlight w:val="none"/>
                <w:lang w:bidi="ar"/>
              </w:rPr>
              <w:t>另行通知</w:t>
            </w:r>
            <w:r>
              <w:rPr>
                <w:rFonts w:hint="eastAsia" w:ascii="宋体" w:hAnsi="宋体" w:eastAsia="宋体" w:cs="宋体"/>
                <w:color w:val="auto"/>
                <w:sz w:val="24"/>
                <w:highlight w:val="none"/>
                <w:lang w:bidi="ar"/>
              </w:rPr>
              <w:t>；踏勘集中地点：</w:t>
            </w:r>
            <w:r>
              <w:rPr>
                <w:rFonts w:hint="eastAsia" w:ascii="宋体" w:hAnsi="宋体" w:eastAsia="宋体" w:cs="宋体"/>
                <w:color w:val="auto"/>
                <w:kern w:val="0"/>
                <w:sz w:val="24"/>
                <w:highlight w:val="none"/>
                <w:lang w:bidi="ar"/>
              </w:rPr>
              <w:t>另行通知</w:t>
            </w:r>
            <w:r>
              <w:rPr>
                <w:rFonts w:hint="eastAsia" w:ascii="宋体" w:hAnsi="宋体" w:eastAsia="宋体" w:cs="宋体"/>
                <w:color w:val="auto"/>
                <w:sz w:val="24"/>
                <w:highlight w:val="none"/>
                <w:lang w:bidi="ar"/>
              </w:rPr>
              <w:t>。</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投标预备会</w:t>
            </w:r>
          </w:p>
        </w:tc>
        <w:tc>
          <w:tcPr>
            <w:tcW w:w="6926" w:type="dxa"/>
            <w:tcBorders>
              <w:top w:val="single" w:color="auto" w:sz="4" w:space="0"/>
              <w:left w:val="single" w:color="auto" w:sz="4" w:space="0"/>
              <w:bottom w:val="single" w:color="auto" w:sz="4" w:space="0"/>
              <w:right w:val="single" w:color="auto" w:sz="4" w:space="0"/>
            </w:tcBorders>
            <w:vAlign w:val="center"/>
          </w:tcPr>
          <w:p>
            <w:pPr>
              <w:pStyle w:val="11"/>
              <w:widowControl/>
              <w:topLinePunct/>
              <w:rPr>
                <w:rFonts w:hint="eastAsia" w:hAnsi="宋体" w:eastAsia="宋体" w:cs="宋体"/>
                <w:color w:val="auto"/>
                <w:szCs w:val="24"/>
                <w:highlight w:val="none"/>
                <w:lang w:bidi="ar"/>
              </w:rPr>
            </w:pPr>
            <w:r>
              <w:rPr>
                <w:rFonts w:hint="eastAsia" w:hAnsi="宋体" w:eastAsia="宋体" w:cs="宋体"/>
                <w:color w:val="auto"/>
                <w:szCs w:val="24"/>
                <w:highlight w:val="none"/>
                <w:lang w:bidi="ar"/>
              </w:rPr>
              <w:t>■不召开</w:t>
            </w:r>
          </w:p>
          <w:p>
            <w:pPr>
              <w:widowControl/>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bidi="ar"/>
              </w:rPr>
              <w:t>□</w:t>
            </w:r>
            <w:r>
              <w:rPr>
                <w:rFonts w:hint="eastAsia" w:ascii="宋体" w:hAnsi="宋体" w:eastAsia="宋体" w:cs="宋体"/>
                <w:color w:val="auto"/>
                <w:kern w:val="0"/>
                <w:sz w:val="24"/>
                <w:highlight w:val="none"/>
                <w:lang w:bidi="ar"/>
              </w:rPr>
              <w:t>召开，召开时间：另行通知</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召开地点：</w:t>
            </w:r>
            <w:r>
              <w:rPr>
                <w:rFonts w:hint="eastAsia" w:ascii="宋体" w:hAnsi="宋体" w:eastAsia="宋体" w:cs="宋体"/>
                <w:color w:val="auto"/>
                <w:sz w:val="24"/>
                <w:highlight w:val="none"/>
                <w:u w:val="single"/>
                <w:lang w:bidi="ar"/>
              </w:rPr>
              <w:t xml:space="preserve">   /   </w:t>
            </w:r>
            <w:r>
              <w:rPr>
                <w:rFonts w:hint="eastAsia" w:ascii="宋体" w:hAnsi="宋体" w:eastAsia="宋体" w:cs="宋体"/>
                <w:color w:val="auto"/>
                <w:sz w:val="24"/>
                <w:highlight w:val="none"/>
                <w:lang w:bidi="ar"/>
              </w:rPr>
              <w:t>。</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投标人提出问题的截止时间</w:t>
            </w:r>
          </w:p>
        </w:tc>
        <w:tc>
          <w:tcPr>
            <w:tcW w:w="6926" w:type="dxa"/>
            <w:tcBorders>
              <w:top w:val="single" w:color="auto" w:sz="4" w:space="0"/>
              <w:left w:val="single" w:color="auto" w:sz="4" w:space="0"/>
              <w:bottom w:val="single" w:color="auto" w:sz="4" w:space="0"/>
              <w:right w:val="single" w:color="auto" w:sz="4" w:space="0"/>
            </w:tcBorders>
            <w:vAlign w:val="center"/>
          </w:tcPr>
          <w:p>
            <w:pPr>
              <w:spacing w:before="60" w:after="60" w:line="30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1.方式：网上答疑。</w:t>
            </w:r>
          </w:p>
          <w:p>
            <w:pPr>
              <w:spacing w:before="60" w:after="60" w:line="30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2.投标人提交疑问期限：在递交投标文件截止日期18日前</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3.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首页-服务指南。</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招标人书面澄清的时间</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投标截止时间15天前。</w:t>
            </w:r>
          </w:p>
        </w:tc>
      </w:tr>
      <w:tr>
        <w:tblPrEx>
          <w:tblCellMar>
            <w:top w:w="0" w:type="dxa"/>
            <w:left w:w="108" w:type="dxa"/>
            <w:bottom w:w="0" w:type="dxa"/>
            <w:right w:w="108" w:type="dxa"/>
          </w:tblCellMar>
        </w:tblPrEx>
        <w:trPr>
          <w:trHeight w:val="628" w:hRule="atLeast"/>
          <w:jc w:val="center"/>
        </w:trPr>
        <w:tc>
          <w:tcPr>
            <w:tcW w:w="110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1.11.1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招标人规定由分包人承担的工作</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按照合同相关约定执行。</w:t>
            </w:r>
          </w:p>
        </w:tc>
      </w:tr>
      <w:tr>
        <w:tblPrEx>
          <w:tblCellMar>
            <w:top w:w="0" w:type="dxa"/>
            <w:left w:w="108" w:type="dxa"/>
            <w:bottom w:w="0" w:type="dxa"/>
            <w:right w:w="108" w:type="dxa"/>
          </w:tblCellMar>
        </w:tblPrEx>
        <w:trPr>
          <w:jc w:val="center"/>
        </w:trPr>
        <w:tc>
          <w:tcPr>
            <w:tcW w:w="110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投标人拟分包的工作</w:t>
            </w:r>
          </w:p>
        </w:tc>
        <w:tc>
          <w:tcPr>
            <w:tcW w:w="6926" w:type="dxa"/>
            <w:tcBorders>
              <w:top w:val="single" w:color="auto" w:sz="4" w:space="0"/>
              <w:left w:val="single" w:color="auto" w:sz="4" w:space="0"/>
              <w:bottom w:val="single" w:color="auto" w:sz="4" w:space="0"/>
              <w:right w:val="single" w:color="auto" w:sz="4" w:space="0"/>
            </w:tcBorders>
            <w:vAlign w:val="center"/>
          </w:tcPr>
          <w:p>
            <w:pPr>
              <w:pStyle w:val="11"/>
              <w:widowControl/>
              <w:topLinePunct/>
              <w:rPr>
                <w:rFonts w:hint="eastAsia" w:hAnsi="宋体" w:eastAsia="宋体" w:cs="宋体"/>
                <w:color w:val="auto"/>
                <w:szCs w:val="24"/>
                <w:highlight w:val="none"/>
                <w:lang w:bidi="ar"/>
              </w:rPr>
            </w:pPr>
            <w:r>
              <w:rPr>
                <w:rFonts w:hint="eastAsia" w:hAnsi="宋体" w:eastAsia="宋体" w:cs="宋体"/>
                <w:color w:val="auto"/>
                <w:szCs w:val="24"/>
                <w:highlight w:val="none"/>
                <w:lang w:bidi="ar"/>
              </w:rPr>
              <w:t>□不允许</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■允许，按照合同相关约定执行</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偏离</w:t>
            </w:r>
          </w:p>
        </w:tc>
        <w:tc>
          <w:tcPr>
            <w:tcW w:w="6926" w:type="dxa"/>
            <w:tcBorders>
              <w:top w:val="single" w:color="auto" w:sz="4" w:space="0"/>
              <w:left w:val="single" w:color="auto" w:sz="4" w:space="0"/>
              <w:bottom w:val="single" w:color="auto" w:sz="4" w:space="0"/>
              <w:right w:val="single" w:color="auto" w:sz="4" w:space="0"/>
            </w:tcBorders>
            <w:vAlign w:val="center"/>
          </w:tcPr>
          <w:p>
            <w:pPr>
              <w:pStyle w:val="11"/>
              <w:widowControl/>
              <w:topLinePunct/>
              <w:rPr>
                <w:rFonts w:hint="eastAsia" w:hAnsi="宋体" w:eastAsia="宋体" w:cs="宋体"/>
                <w:color w:val="auto"/>
                <w:szCs w:val="24"/>
                <w:highlight w:val="none"/>
                <w:lang w:bidi="ar"/>
              </w:rPr>
            </w:pPr>
            <w:r>
              <w:rPr>
                <w:rFonts w:hint="eastAsia" w:hAnsi="宋体" w:eastAsia="宋体" w:cs="宋体"/>
                <w:color w:val="auto"/>
                <w:szCs w:val="24"/>
                <w:highlight w:val="none"/>
                <w:lang w:bidi="ar"/>
              </w:rPr>
              <w:t>■不允许，主要技术规格、质量要求、工期要求、检验要求和方法不允许有实质性负偏离</w:t>
            </w:r>
          </w:p>
          <w:p>
            <w:pPr>
              <w:pStyle w:val="11"/>
              <w:widowControl/>
              <w:topLinePunct/>
              <w:rPr>
                <w:rFonts w:hint="eastAsia" w:hAnsi="宋体" w:eastAsia="宋体" w:cs="宋体"/>
                <w:color w:val="auto"/>
                <w:szCs w:val="24"/>
                <w:highlight w:val="none"/>
                <w:lang w:bidi="ar"/>
              </w:rPr>
            </w:pPr>
            <w:r>
              <w:rPr>
                <w:rFonts w:hint="eastAsia" w:hAnsi="宋体" w:eastAsia="宋体" w:cs="宋体"/>
                <w:color w:val="auto"/>
                <w:szCs w:val="24"/>
                <w:highlight w:val="none"/>
                <w:lang w:bidi="ar"/>
              </w:rPr>
              <w:t>□允许</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构成招标文件的其他资料</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bidi="ar"/>
              </w:rPr>
              <w:t>/</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2.2.1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投标人要求澄清招标文件的</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截止时间</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同投标人提出问题的截止时间</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2.2.2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投标截止时间</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bidi="ar"/>
              </w:rPr>
              <w:t>开始接收投标文件时间：</w:t>
            </w:r>
            <w:r>
              <w:rPr>
                <w:rFonts w:hint="eastAsia" w:ascii="宋体" w:hAnsi="宋体" w:eastAsia="宋体" w:cs="宋体"/>
                <w:color w:val="auto"/>
                <w:kern w:val="0"/>
                <w:sz w:val="24"/>
                <w:highlight w:val="none"/>
                <w:u w:val="single"/>
                <w:lang w:bidi="ar"/>
              </w:rPr>
              <w:t xml:space="preserve">2025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color w:val="auto"/>
                <w:kern w:val="0"/>
                <w:sz w:val="24"/>
                <w:highlight w:val="none"/>
                <w:u w:val="single"/>
                <w:lang w:bidi="ar"/>
              </w:rPr>
              <w:t>2025</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2.2.3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投标人确认收到答疑纪要</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或澄清的时间</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在广州公共资源交易中心网上答疑专区发布时视为投标人收到。</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2.3.2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投标人确认收到招标文件修改的时间</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在广州公共资源交易中心网上答疑专区发布时视为投标人收到。</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3.1.1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构成投标文件的其他资料</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见第六章《投标文件格式》要求</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3.2.3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最高投标限价或其计算方法</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tabs>
                <w:tab w:val="left" w:pos="105"/>
              </w:tabs>
              <w:adjustRightInd w:val="0"/>
              <w:snapToGrid w:val="0"/>
              <w:spacing w:line="360" w:lineRule="exact"/>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详见招标公告</w:t>
            </w:r>
          </w:p>
        </w:tc>
      </w:tr>
      <w:tr>
        <w:tblPrEx>
          <w:tblCellMar>
            <w:top w:w="0" w:type="dxa"/>
            <w:left w:w="108" w:type="dxa"/>
            <w:bottom w:w="0" w:type="dxa"/>
            <w:right w:w="108" w:type="dxa"/>
          </w:tblCellMar>
        </w:tblPrEx>
        <w:trPr>
          <w:trHeight w:val="607"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3.2.4</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投标报价的其他要求</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w:t>
            </w:r>
          </w:p>
        </w:tc>
      </w:tr>
      <w:tr>
        <w:tblPrEx>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3.3.1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投标有效期</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lang w:bidi="ar"/>
              </w:rPr>
              <w:t>180</w:t>
            </w:r>
            <w:r>
              <w:rPr>
                <w:rFonts w:hint="eastAsia" w:ascii="宋体" w:hAnsi="宋体" w:eastAsia="宋体" w:cs="宋体"/>
                <w:color w:val="auto"/>
                <w:kern w:val="0"/>
                <w:sz w:val="24"/>
                <w:highlight w:val="none"/>
                <w:lang w:bidi="ar"/>
              </w:rPr>
              <w:t>日历天（从投标截止之日计起）</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3.4.1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投标保证金</w:t>
            </w:r>
          </w:p>
        </w:tc>
        <w:tc>
          <w:tcPr>
            <w:tcW w:w="692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color w:val="auto"/>
                <w:sz w:val="24"/>
                <w:highlight w:val="none"/>
                <w:u w:val="single"/>
                <w:lang w:val="en-US" w:eastAsia="zh-CN"/>
              </w:rPr>
              <w:t xml:space="preserve"> 40 </w:t>
            </w:r>
            <w:r>
              <w:rPr>
                <w:rFonts w:hint="eastAsia" w:ascii="宋体" w:hAnsi="宋体" w:eastAsia="宋体" w:cs="宋体"/>
                <w:color w:val="auto"/>
                <w:sz w:val="24"/>
                <w:highlight w:val="none"/>
                <w:u w:val="single"/>
              </w:rPr>
              <w:t>万元（大写:人民币</w:t>
            </w:r>
            <w:r>
              <w:rPr>
                <w:rFonts w:hint="eastAsia" w:ascii="宋体" w:hAnsi="宋体" w:eastAsia="宋体" w:cs="宋体"/>
                <w:color w:val="auto"/>
                <w:sz w:val="24"/>
                <w:highlight w:val="none"/>
                <w:u w:val="single"/>
                <w:lang w:val="en-US" w:eastAsia="zh-CN"/>
              </w:rPr>
              <w:t>肆拾</w:t>
            </w:r>
            <w:r>
              <w:rPr>
                <w:rFonts w:hint="eastAsia" w:ascii="宋体" w:hAnsi="宋体" w:eastAsia="宋体" w:cs="宋体"/>
                <w:color w:val="auto"/>
                <w:sz w:val="24"/>
                <w:highlight w:val="none"/>
                <w:u w:val="single"/>
              </w:rPr>
              <w:t>万元整）</w:t>
            </w:r>
            <w:r>
              <w:rPr>
                <w:rFonts w:hint="eastAsia" w:ascii="宋体" w:hAnsi="宋体" w:eastAsia="宋体" w:cs="宋体"/>
                <w:color w:val="auto"/>
                <w:sz w:val="24"/>
                <w:highlight w:val="none"/>
              </w:rPr>
              <w:t>。</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缴纳时间：投标文件截止时间前。</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投标保证金的形式：可采用现金、支票、投标保函、投标保证保险等法律法规允许范围内的缴纳形式。</w:t>
            </w:r>
          </w:p>
          <w:p>
            <w:pPr>
              <w:widowControl/>
              <w:ind w:left="-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1）如采用现金或者转账或者支票形式提交的，投标保证金从投标人基本账户递交，由广州交易集团有限公司代收。请各投标人在投标文件递交截止时间前按上述金额递交至广州交易集团有限公司，缴纳情况以开标时广州交易集团有限公司网站查询为准。具体操作流程详见广州交易集团有限公司最新的投标保证金缴纳操作指引或自行咨询交易中心(咨询电话：020-28866000)。</w:t>
            </w:r>
          </w:p>
          <w:p>
            <w:pPr>
              <w:widowControl/>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银行保函（或保证保险、或专业担保公司担保）提交投标保证金的，纸质保函或保险等凭证必须在投标截止时间前15分钟内将原件单独密封（封口处加盖投标人单位公章）递交至开标室，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widowControl/>
              <w:ind w:left="-2" w:firstLine="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如采用电子保函形式递交投标保证金，按广州公共资源交易中心发布的《广州公共资源交易中心关于开通电子保函服务功能的通知》操作。详见：http://www.gzggzy.cn/jtgg/822128.jhtml。到账情况以开标时广州公共资源交易中心数据库查询信息为准</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3.6</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是否允许递交备选投标方案</w:t>
            </w:r>
          </w:p>
        </w:tc>
        <w:tc>
          <w:tcPr>
            <w:tcW w:w="6926" w:type="dxa"/>
            <w:tcBorders>
              <w:top w:val="single" w:color="auto" w:sz="4" w:space="0"/>
              <w:left w:val="single" w:color="auto" w:sz="4" w:space="0"/>
              <w:bottom w:val="single" w:color="auto" w:sz="4" w:space="0"/>
              <w:right w:val="single" w:color="auto" w:sz="4" w:space="0"/>
            </w:tcBorders>
            <w:vAlign w:val="center"/>
          </w:tcPr>
          <w:p>
            <w:pPr>
              <w:pStyle w:val="11"/>
              <w:widowControl/>
              <w:topLinePunct/>
              <w:rPr>
                <w:rFonts w:hint="eastAsia" w:hAnsi="宋体" w:eastAsia="宋体" w:cs="宋体"/>
                <w:color w:val="auto"/>
                <w:szCs w:val="24"/>
                <w:highlight w:val="none"/>
                <w:lang w:bidi="ar"/>
              </w:rPr>
            </w:pPr>
            <w:r>
              <w:rPr>
                <w:rFonts w:hint="eastAsia" w:hAnsi="宋体" w:eastAsia="宋体" w:cs="宋体"/>
                <w:color w:val="auto"/>
                <w:szCs w:val="24"/>
                <w:highlight w:val="none"/>
                <w:lang w:bidi="ar"/>
              </w:rPr>
              <w:t>■不允许</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bidi="ar"/>
              </w:rPr>
              <w:t>允许</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3.7.3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签字或盖章要求</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投标文件中的联合体协议书需联合体各方盖章、签字，投标文件其他内容由主办方盖章、签字即可。</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4.2.2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递交投标文件地点</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投标人应在投标文件递交截止时间前通过广州公共资源交易中心电子招标投标交易平台递交电子投标文件。</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4.2.3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是否退还投标文件</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topLinePun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■否</w:t>
            </w:r>
          </w:p>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□是</w:t>
            </w:r>
          </w:p>
        </w:tc>
      </w:tr>
      <w:tr>
        <w:tblPrEx>
          <w:tblCellMar>
            <w:top w:w="0" w:type="dxa"/>
            <w:left w:w="108" w:type="dxa"/>
            <w:bottom w:w="0" w:type="dxa"/>
            <w:right w:w="108" w:type="dxa"/>
          </w:tblCellMar>
        </w:tblPrEx>
        <w:trPr>
          <w:trHeight w:val="880" w:hRule="atLeast"/>
          <w:jc w:val="center"/>
        </w:trPr>
        <w:tc>
          <w:tcPr>
            <w:tcW w:w="110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7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开标时间和地点</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开标开始时间：开标时间同投标截止时间。</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地点：广州公共资源交易中心数字交易平台进行网上开标。</w:t>
            </w:r>
          </w:p>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具体时间可以到广州公共资源交易中心网站输入本项目编号或项目名称进行查询。</w:t>
            </w:r>
          </w:p>
        </w:tc>
      </w:tr>
      <w:tr>
        <w:tblPrEx>
          <w:tblCellMar>
            <w:top w:w="0" w:type="dxa"/>
            <w:left w:w="108" w:type="dxa"/>
            <w:bottom w:w="0" w:type="dxa"/>
            <w:right w:w="108" w:type="dxa"/>
          </w:tblCellMar>
        </w:tblPrEx>
        <w:trPr>
          <w:trHeight w:val="880" w:hRule="atLeast"/>
          <w:jc w:val="center"/>
        </w:trPr>
        <w:tc>
          <w:tcPr>
            <w:tcW w:w="1104"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bidi="ar"/>
              </w:rPr>
            </w:pPr>
          </w:p>
        </w:tc>
        <w:tc>
          <w:tcPr>
            <w:tcW w:w="17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开标程序</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主持人按下列程序进行开标：</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（1）宣布开标纪律；</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（2）公布在投标截止时间前递交投标文件的投标人名称；</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（4）解密完成后，公布：a.投标人名称；b.投标文件递交情况；c.投标文件解密情况；d.投标担保递交情况；e.项目经理；f.投标报价（</w:t>
            </w:r>
            <w:r>
              <w:rPr>
                <w:rFonts w:hint="eastAsia" w:ascii="宋体" w:hAnsi="宋体" w:eastAsia="宋体" w:cs="宋体"/>
                <w:color w:val="auto"/>
                <w:sz w:val="24"/>
                <w:highlight w:val="none"/>
              </w:rPr>
              <w:t>含投标总价和投标单价</w:t>
            </w:r>
            <w:r>
              <w:rPr>
                <w:rFonts w:hint="eastAsia" w:ascii="宋体" w:hAnsi="宋体" w:eastAsia="宋体" w:cs="宋体"/>
                <w:color w:val="auto"/>
                <w:kern w:val="0"/>
                <w:sz w:val="24"/>
                <w:highlight w:val="none"/>
                <w:lang w:bidi="ar"/>
              </w:rPr>
              <w:t>）；g.工期；h.质量标准；i.投标人的加密打包投标文件电脑机器特征码等主要内容，并记录在案。未在规定时间内解密的投标文件不参与开标、评标。</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（5）截标后，开标开始时间因故推迟的，相关评标信息仍以原定的开标开始时间的信息为准。</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（6）备用光盘的读取按“10 电子招标投标”的规定执行。</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（9）投标人未参加开标或在规定的时间内未提出异议的，视为对开标无异议。</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（10）开标时，两个（含两个）以上的投标人加密打包投标文件电脑机器特征码一致的，不参与下一程序，并由评标委员会否决其投标。</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（11）投标人代表、招标人代表、监标人、记录人等有关人员在开标记录上签字确认；若有关人员不签字的，不影响开标程序。</w:t>
            </w:r>
          </w:p>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（12）开标结束。</w:t>
            </w:r>
          </w:p>
        </w:tc>
      </w:tr>
      <w:tr>
        <w:tblPrEx>
          <w:tblCellMar>
            <w:top w:w="0" w:type="dxa"/>
            <w:left w:w="108" w:type="dxa"/>
            <w:bottom w:w="0" w:type="dxa"/>
            <w:right w:w="108" w:type="dxa"/>
          </w:tblCellMar>
        </w:tblPrEx>
        <w:trPr>
          <w:trHeight w:val="8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6.1.1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评标委员会的组建</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本次招标工作的评标委员会由招标人依法组建。</w:t>
            </w:r>
          </w:p>
        </w:tc>
      </w:tr>
      <w:tr>
        <w:tblPrEx>
          <w:tblCellMar>
            <w:top w:w="0" w:type="dxa"/>
            <w:left w:w="108" w:type="dxa"/>
            <w:bottom w:w="0" w:type="dxa"/>
            <w:right w:w="108" w:type="dxa"/>
          </w:tblCellMar>
        </w:tblPrEx>
        <w:trPr>
          <w:trHeight w:val="8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是否授权评标委员会确定</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中标人</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□是</w:t>
            </w:r>
          </w:p>
          <w:p>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■否，推荐的中标候选人数：</w:t>
            </w:r>
            <w:r>
              <w:rPr>
                <w:rFonts w:hint="eastAsia" w:ascii="宋体" w:hAnsi="宋体" w:eastAsia="宋体" w:cs="宋体"/>
                <w:color w:val="auto"/>
                <w:kern w:val="0"/>
                <w:sz w:val="24"/>
                <w:highlight w:val="none"/>
                <w:u w:val="single"/>
                <w:lang w:bidi="ar"/>
              </w:rPr>
              <w:t>前3名</w:t>
            </w:r>
          </w:p>
        </w:tc>
      </w:tr>
      <w:tr>
        <w:tblPrEx>
          <w:tblCellMar>
            <w:top w:w="0" w:type="dxa"/>
            <w:left w:w="108" w:type="dxa"/>
            <w:bottom w:w="0" w:type="dxa"/>
            <w:right w:w="108" w:type="dxa"/>
          </w:tblCellMar>
        </w:tblPrEx>
        <w:trPr>
          <w:trHeight w:val="8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7.1.3</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定标及中标原则</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u w:val="single"/>
                <w:lang w:bidi="ar"/>
              </w:rPr>
              <w:t>排名第一的中标候选人放弃中标、因不可抗力不能履行合同、不按照招标文件要求提交履约担保，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108" w:type="dxa"/>
            <w:bottom w:w="0" w:type="dxa"/>
            <w:right w:w="108" w:type="dxa"/>
          </w:tblCellMar>
        </w:tblPrEx>
        <w:trPr>
          <w:trHeight w:val="692"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7.2</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中标候选人公示媒介</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wordWrap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广州公共资源交易中心网站（网址：http://www.gzggzy.cn）、中国招标投标公共服务平台（网址：http://www.cebpubservice.com）、</w:t>
            </w:r>
            <w:r>
              <w:rPr>
                <w:rFonts w:hint="eastAsia" w:ascii="宋体" w:hAnsi="宋体" w:eastAsia="宋体" w:cs="宋体"/>
                <w:color w:val="auto"/>
                <w:sz w:val="24"/>
                <w:highlight w:val="none"/>
                <w:lang w:bidi="ar"/>
              </w:rPr>
              <w:t>广东省招标投标监管网（</w:t>
            </w:r>
            <w:r>
              <w:rPr>
                <w:rFonts w:hint="eastAsia" w:ascii="宋体" w:hAnsi="宋体" w:eastAsia="宋体" w:cs="宋体"/>
                <w:color w:val="auto"/>
                <w:kern w:val="0"/>
                <w:sz w:val="24"/>
                <w:highlight w:val="none"/>
                <w:lang w:bidi="ar"/>
              </w:rPr>
              <w:t>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Fonts w:hint="eastAsia" w:ascii="宋体" w:hAnsi="宋体" w:eastAsia="宋体" w:cs="宋体"/>
                <w:color w:val="auto"/>
                <w:sz w:val="24"/>
                <w:highlight w:val="none"/>
                <w:lang w:bidi="ar"/>
              </w:rPr>
              <w:t>http://zbtb.gd.gov.cn/</w:t>
            </w:r>
            <w:r>
              <w:rPr>
                <w:rFonts w:hint="eastAsia" w:ascii="宋体" w:hAnsi="宋体" w:eastAsia="宋体" w:cs="宋体"/>
                <w:color w:val="auto"/>
                <w:sz w:val="24"/>
                <w:highlight w:val="none"/>
                <w:lang w:bidi="ar"/>
              </w:rPr>
              <w:fldChar w:fldCharType="end"/>
            </w:r>
            <w:r>
              <w:rPr>
                <w:rFonts w:hint="eastAsia" w:ascii="宋体" w:hAnsi="宋体" w:eastAsia="宋体" w:cs="宋体"/>
                <w:color w:val="auto"/>
                <w:sz w:val="24"/>
                <w:highlight w:val="none"/>
                <w:lang w:bidi="ar"/>
              </w:rPr>
              <w:t>）、</w:t>
            </w:r>
            <w:r>
              <w:rPr>
                <w:rFonts w:hint="eastAsia" w:ascii="宋体" w:hAnsi="宋体" w:eastAsia="宋体" w:cs="宋体"/>
                <w:color w:val="auto"/>
                <w:kern w:val="0"/>
                <w:sz w:val="24"/>
                <w:highlight w:val="none"/>
                <w:lang w:bidi="ar"/>
              </w:rPr>
              <w:t>广州国企阳光采购信息发布平台（网址：https://ygcg.gzggzy.cn/p92/index.html）等媒体发布。</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7.6.1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履约担保</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履约担保的形式：银行履约保函或履约保证金。</w:t>
            </w:r>
          </w:p>
          <w:p>
            <w:pPr>
              <w:widowControl/>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履约担保的金额：合同总价的10%。</w:t>
            </w:r>
          </w:p>
        </w:tc>
      </w:tr>
      <w:tr>
        <w:tblPrEx>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9</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建设工程质量检测单位</w:t>
            </w:r>
          </w:p>
        </w:tc>
        <w:tc>
          <w:tcPr>
            <w:tcW w:w="69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zh-CN"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729"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电子招标投标</w:t>
            </w:r>
          </w:p>
        </w:tc>
        <w:tc>
          <w:tcPr>
            <w:tcW w:w="6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□否，</w:t>
            </w:r>
            <w:r>
              <w:rPr>
                <w:rFonts w:hint="eastAsia" w:ascii="宋体" w:hAnsi="宋体" w:eastAsia="宋体" w:cs="宋体"/>
                <w:color w:val="auto"/>
                <w:sz w:val="24"/>
                <w:highlight w:val="none"/>
                <w:u w:val="single"/>
                <w:shd w:val="clear" w:color="auto" w:fill="FFFFFF"/>
                <w:lang w:bidi="ar"/>
              </w:rPr>
              <w:t xml:space="preserve">     </w:t>
            </w:r>
          </w:p>
          <w:p>
            <w:pPr>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bidi="ar"/>
              </w:rPr>
              <w:t>是，具体要求：</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1、具体操作详见按照交易平台关于全流程电子化项目的相关指南进行操作。</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可制作非加密的电子投标文件（PDF格式）刻入电子光盘或U盘（1份），在开标现场（投标截止时间前）提交备用。刻录好的商务、技术及价格投标文件电子光盘或U盘密封在一个密封袋中，并在封口处加盖投标人单位公章。密封袋上应写明项目名称、招标人名称、投标人名称。现场递交的投标文件（电子光盘或U盘）不得加密。电子光盘或U盘（投标文件）无法读取或导入的，则视为未提交备用投标文件光盘或U盘。如果投标人没有按规定通过交易平台网上递交电子投标文件的，不再接受现场提交的电子光盘或U盘。投标人也可不提交备用电子光盘或U盘。</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3、补救方案</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文件解密失败的补救方案：在规定时间内，因投标人之外原因导致的电子投标文件解密失败，在开标现场读取电子光盘或U盘内容，继续开标程序。评标委员会对其投标文件的评审以电子光盘或U盘内容为准。</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（2）评标时突发情况的补救方案</w:t>
            </w:r>
          </w:p>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若遇不可抗力发生（如：网络瘫痪、服务器损坏、交易系统故障短期无法恢复等因素），由评标委员会开启现场递交的全部投标文件光盘或U盘，并按电子光盘或U盘内容进行评审。</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729"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bookmarkStart w:id="18" w:name="_Toc443505822"/>
            <w:bookmarkStart w:id="19" w:name="_Toc362816480"/>
            <w:r>
              <w:rPr>
                <w:rFonts w:hint="eastAsia" w:ascii="宋体" w:hAnsi="宋体" w:eastAsia="宋体" w:cs="宋体"/>
                <w:color w:val="auto"/>
                <w:sz w:val="24"/>
                <w:highlight w:val="none"/>
                <w:lang w:bidi="ar"/>
              </w:rPr>
              <w:t>11</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其它费用</w:t>
            </w:r>
          </w:p>
        </w:tc>
        <w:tc>
          <w:tcPr>
            <w:tcW w:w="6926" w:type="dxa"/>
            <w:tcBorders>
              <w:top w:val="single" w:color="auto" w:sz="4" w:space="0"/>
              <w:left w:val="single" w:color="auto" w:sz="4" w:space="0"/>
              <w:bottom w:val="single" w:color="auto" w:sz="4" w:space="0"/>
              <w:right w:val="single" w:color="auto" w:sz="4" w:space="0"/>
            </w:tcBorders>
            <w:vAlign w:val="center"/>
          </w:tcPr>
          <w:p>
            <w:pPr>
              <w:pStyle w:val="8"/>
              <w:ind w:firstLine="0" w:firstLineChars="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中标人代缴公共资源交易服务费，其费用包含在中标人投标报价中，交易中心向中标人开具增值税发票。交易服务费具体按广州公共资源交易中心相关规定执行（http://www.gzggzy.cn/fwznbszycwxg/850378.jhtml）</w:t>
            </w:r>
          </w:p>
          <w:p>
            <w:pPr>
              <w:pStyle w:val="8"/>
              <w:ind w:firstLine="0" w:firstLineChars="0"/>
              <w:rPr>
                <w:rFonts w:hint="default" w:eastAsia="宋体"/>
                <w:color w:val="auto"/>
                <w:highlight w:val="none"/>
                <w:lang w:val="en-US" w:eastAsia="zh-CN"/>
              </w:rPr>
            </w:pPr>
            <w:r>
              <w:rPr>
                <w:rFonts w:hint="eastAsia" w:ascii="宋体" w:hAnsi="宋体" w:cs="宋体"/>
                <w:color w:val="auto"/>
                <w:sz w:val="24"/>
                <w:szCs w:val="24"/>
                <w:highlight w:val="none"/>
                <w:lang w:val="en-US" w:eastAsia="zh-CN" w:bidi="ar"/>
              </w:rPr>
              <w:t>2、招标代理服务费由中标人支付。招标代理服务费参照中华人民共和国国家发展计划委员会颁发的计价格[2002]1980号文规定计算，以中标价作为计费基数。</w:t>
            </w:r>
          </w:p>
        </w:tc>
      </w:tr>
    </w:tbl>
    <w:p>
      <w:pPr>
        <w:widowControl/>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3"/>
        <w:tabs>
          <w:tab w:val="left" w:pos="0"/>
        </w:tabs>
        <w:spacing w:before="0" w:after="0" w:line="360" w:lineRule="auto"/>
        <w:jc w:val="center"/>
        <w:rPr>
          <w:rFonts w:hint="eastAsia" w:ascii="宋体" w:hAnsi="宋体" w:eastAsia="宋体" w:cs="宋体"/>
          <w:color w:val="auto"/>
          <w:highlight w:val="none"/>
        </w:rPr>
      </w:pPr>
      <w:bookmarkStart w:id="20" w:name="_Toc10626"/>
      <w:bookmarkStart w:id="21" w:name="_Toc16734"/>
      <w:bookmarkStart w:id="22" w:name="_Toc17055"/>
      <w:r>
        <w:rPr>
          <w:rFonts w:hint="eastAsia" w:ascii="宋体" w:hAnsi="宋体" w:eastAsia="宋体" w:cs="宋体"/>
          <w:color w:val="auto"/>
          <w:highlight w:val="none"/>
        </w:rPr>
        <w:t>二、</w:t>
      </w:r>
      <w:bookmarkEnd w:id="20"/>
      <w:bookmarkStart w:id="23" w:name="_Toc5897"/>
      <w:bookmarkStart w:id="24" w:name="_Toc18100"/>
      <w:bookmarkStart w:id="25" w:name="_Toc45640624"/>
      <w:bookmarkStart w:id="26" w:name="_Toc19203994"/>
      <w:bookmarkStart w:id="27" w:name="_Toc25567"/>
      <w:bookmarkStart w:id="28" w:name="_Toc56170229"/>
      <w:r>
        <w:rPr>
          <w:rFonts w:hint="eastAsia" w:ascii="宋体" w:hAnsi="宋体" w:eastAsia="宋体" w:cs="宋体"/>
          <w:color w:val="auto"/>
          <w:highlight w:val="none"/>
        </w:rPr>
        <w:t>投标人须知通用条款</w:t>
      </w:r>
      <w:bookmarkEnd w:id="21"/>
      <w:bookmarkEnd w:id="22"/>
      <w:bookmarkEnd w:id="23"/>
      <w:bookmarkEnd w:id="24"/>
      <w:bookmarkEnd w:id="25"/>
      <w:bookmarkEnd w:id="26"/>
      <w:bookmarkEnd w:id="27"/>
      <w:bookmarkEnd w:id="28"/>
    </w:p>
    <w:p>
      <w:pPr>
        <w:pStyle w:val="3"/>
        <w:widowControl/>
        <w:spacing w:before="0" w:after="0" w:line="440" w:lineRule="exact"/>
        <w:rPr>
          <w:rFonts w:hint="eastAsia" w:ascii="宋体" w:hAnsi="宋体" w:eastAsia="宋体" w:cs="宋体"/>
          <w:color w:val="auto"/>
          <w:sz w:val="24"/>
          <w:szCs w:val="24"/>
          <w:highlight w:val="none"/>
        </w:rPr>
      </w:pPr>
      <w:bookmarkStart w:id="29" w:name="_Toc23135"/>
      <w:r>
        <w:rPr>
          <w:rFonts w:hint="eastAsia" w:ascii="宋体" w:hAnsi="宋体" w:eastAsia="宋体" w:cs="宋体"/>
          <w:color w:val="auto"/>
          <w:sz w:val="24"/>
          <w:szCs w:val="24"/>
          <w:highlight w:val="none"/>
        </w:rPr>
        <w:t>1、总则</w:t>
      </w:r>
      <w:bookmarkEnd w:id="18"/>
      <w:bookmarkEnd w:id="19"/>
      <w:bookmarkEnd w:id="29"/>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30" w:name="_Toc362816481"/>
      <w:r>
        <w:rPr>
          <w:rFonts w:hint="eastAsia" w:ascii="宋体" w:eastAsia="宋体" w:cs="宋体"/>
          <w:b/>
          <w:color w:val="auto"/>
          <w:sz w:val="24"/>
          <w:szCs w:val="24"/>
          <w:highlight w:val="none"/>
        </w:rPr>
        <w:t>1.1 项目概况</w:t>
      </w:r>
      <w:bookmarkEnd w:id="30"/>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1.1.1 根据《中华人民共和国招标投标法》等有关法律、法规和规章的规定，本招标项目已具备招标条件，现对该项目设计采购施工进行总承包招标。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1.1.2 招标人：见投标人须知前附表。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1.1.3 招标代理机构：见投标人须知前附表。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1.1.4 招标项目名称：见投标人须知前附表。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1.1.5 项目建设地点：见投标人须知前附表。</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31" w:name="_Toc362816482"/>
      <w:r>
        <w:rPr>
          <w:rFonts w:hint="eastAsia" w:ascii="宋体" w:eastAsia="宋体" w:cs="宋体"/>
          <w:b/>
          <w:color w:val="auto"/>
          <w:sz w:val="24"/>
          <w:szCs w:val="24"/>
          <w:highlight w:val="none"/>
        </w:rPr>
        <w:t>1.2 项目的资金来源和落实情况</w:t>
      </w:r>
      <w:bookmarkEnd w:id="31"/>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1.2.1 资金来源及比例：见投标人须知前附表。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1.2.2 资金落实情况：见投标人须知前附表。</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32" w:name="_Toc362816483"/>
      <w:r>
        <w:rPr>
          <w:rFonts w:hint="eastAsia" w:ascii="宋体" w:eastAsia="宋体" w:cs="宋体"/>
          <w:b/>
          <w:color w:val="auto"/>
          <w:sz w:val="24"/>
          <w:szCs w:val="24"/>
          <w:highlight w:val="none"/>
        </w:rPr>
        <w:t>1.3 招标范围、计划工期和质量标准</w:t>
      </w:r>
      <w:bookmarkEnd w:id="32"/>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1.3.1 招标范围：见投标人须知前附表。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1.3.2 计划工期：见投标人须知前附表。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1.3.3 质量标准：见投标人须知前附表。</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33" w:name="_Toc144974502"/>
      <w:bookmarkStart w:id="34" w:name="_Toc152045534"/>
      <w:bookmarkStart w:id="35" w:name="_Toc247513957"/>
      <w:bookmarkStart w:id="36" w:name="_Toc152042310"/>
      <w:bookmarkStart w:id="37" w:name="_Toc300834954"/>
      <w:bookmarkStart w:id="38" w:name="_Toc247527558"/>
      <w:r>
        <w:rPr>
          <w:rFonts w:hint="eastAsia" w:ascii="宋体" w:eastAsia="宋体" w:cs="宋体"/>
          <w:b/>
          <w:color w:val="auto"/>
          <w:sz w:val="24"/>
          <w:szCs w:val="24"/>
          <w:highlight w:val="none"/>
        </w:rPr>
        <w:t>1.4投标人资格要求（详见招标公告要求）</w:t>
      </w:r>
    </w:p>
    <w:bookmarkEnd w:id="33"/>
    <w:bookmarkEnd w:id="34"/>
    <w:bookmarkEnd w:id="35"/>
    <w:bookmarkEnd w:id="36"/>
    <w:bookmarkEnd w:id="37"/>
    <w:bookmarkEnd w:id="38"/>
    <w:p>
      <w:pPr>
        <w:spacing w:line="440" w:lineRule="exact"/>
        <w:ind w:firstLine="480" w:firstLineChars="200"/>
        <w:rPr>
          <w:rFonts w:hint="eastAsia" w:ascii="宋体" w:hAnsi="宋体" w:eastAsia="宋体" w:cs="宋体"/>
          <w:color w:val="auto"/>
          <w:sz w:val="24"/>
          <w:highlight w:val="none"/>
        </w:rPr>
      </w:pPr>
      <w:bookmarkStart w:id="39" w:name="_Toc362816485"/>
      <w:r>
        <w:rPr>
          <w:rFonts w:hint="eastAsia" w:ascii="宋体" w:hAnsi="宋体" w:eastAsia="宋体" w:cs="宋体"/>
          <w:color w:val="auto"/>
          <w:sz w:val="24"/>
          <w:highlight w:val="none"/>
        </w:rPr>
        <w:t>1.4.1 投标人应具备承担本招标项目资质条件、能力、信誉</w:t>
      </w:r>
      <w:r>
        <w:rPr>
          <w:rFonts w:hint="eastAsia" w:ascii="宋体" w:hAnsi="宋体" w:eastAsia="宋体" w:cs="宋体"/>
          <w:color w:val="auto"/>
          <w:sz w:val="24"/>
          <w:highlight w:val="none"/>
          <w:u w:val="single"/>
        </w:rPr>
        <w:t>和其他要求</w:t>
      </w:r>
      <w:r>
        <w:rPr>
          <w:rFonts w:hint="eastAsia" w:ascii="宋体" w:hAnsi="宋体" w:eastAsia="宋体" w:cs="宋体"/>
          <w:color w:val="auto"/>
          <w:sz w:val="24"/>
          <w:highlight w:val="none"/>
        </w:rPr>
        <w:t>：详见本项目招标公告。</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1.4.2 投标人须知前附表规定接受联合体投标的，除应符合本章第1.4.1项和投标人须知前附表的要求外，还应遵守以下规定： </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（1）联合体各方应按招标文件提供的格式签订联合体共同投标协议，明确联合体牵头方和各方权利义务；</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（2）由同一专业的单位组成的联合体，按照资质等级较低的单位确定资质等级；</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（3）联合体各方不得再以自己名义单独或参加其他联合体在本招标项目中投标。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 投标人不得存在下列情形之一（</w:t>
      </w:r>
      <w:r>
        <w:rPr>
          <w:rFonts w:hint="eastAsia" w:ascii="宋体" w:hAnsi="宋体" w:eastAsia="宋体" w:cs="宋体"/>
          <w:color w:val="auto"/>
          <w:sz w:val="24"/>
          <w:highlight w:val="none"/>
          <w:u w:val="single"/>
        </w:rPr>
        <w:t>以《投标人声明》第三点的规定为准。</w:t>
      </w:r>
      <w:r>
        <w:rPr>
          <w:rFonts w:hint="eastAsia" w:ascii="宋体" w:hAnsi="宋体" w:eastAsia="宋体" w:cs="宋体"/>
          <w:color w:val="auto"/>
          <w:sz w:val="24"/>
          <w:highlight w:val="none"/>
        </w:rPr>
        <w:t>）：</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（2）为招标项目前期工作提供咨询服务的，已公开相关前期工作资料的除外；</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（3）为本招标项目的监理人或代建人或提供招标代理服务的；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（4）被责令停业的或被暂停或取消投标资格的或财产被接管或冻结的；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（5）在最近三年内有骗取中标或围标串标行为（以行政主管部门或法院或检察院书面认定为准）或严重违约或重大工程质量问题的；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招标项目的监理人或代建人或招标代理机构同为一个法定代表人的；与本招标项目的监理人或代建人或招标代理机构相互控股或参股的；与本招标项目的监理人或代建人或招标代理机构相互任职或工作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（7）公司及拟投入本项目的项目经理被国家安全监管总局列入安全生产失信联合惩戒“黑名单”的（以国家安全监管总局管网首页隐患曝光处通报内容为准）。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（8）被招标人或其关联公司列入“不良供应商名单”并处于处罚期内。</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1.4.4 单位负责人为同一人或者存在控股、管理关系的不同单位，不得同时参加本招标项目投标（以投标人提供的《投标人声明》中的承诺内容为准）。</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1.5 费用承担和设计成果补偿</w:t>
      </w:r>
      <w:bookmarkEnd w:id="39"/>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1.5.1 投标人准备和参加投标活动发生的费用自理。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1.5.2 招标人对符合招标文件规定的未中标人的设计成果是否进行补偿，按投标人须知前附表规定，并有权免费使用未中标人设计成果。</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0" w:name="_Toc362816486"/>
      <w:r>
        <w:rPr>
          <w:rFonts w:hint="eastAsia" w:ascii="宋体" w:eastAsia="宋体" w:cs="宋体"/>
          <w:b/>
          <w:color w:val="auto"/>
          <w:sz w:val="24"/>
          <w:szCs w:val="24"/>
          <w:highlight w:val="none"/>
        </w:rPr>
        <w:t>1.6 保密</w:t>
      </w:r>
      <w:bookmarkEnd w:id="40"/>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1.6.1 参与招标投标活动的各方应对招标文件和投标文件中的商业和技术等秘密保密，否则应承担相应的法律责任。</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1" w:name="_Toc362816487"/>
      <w:r>
        <w:rPr>
          <w:rFonts w:hint="eastAsia" w:ascii="宋体" w:eastAsia="宋体" w:cs="宋体"/>
          <w:b/>
          <w:color w:val="auto"/>
          <w:sz w:val="24"/>
          <w:szCs w:val="24"/>
          <w:highlight w:val="none"/>
        </w:rPr>
        <w:t>1.7 语言文字</w:t>
      </w:r>
      <w:bookmarkEnd w:id="41"/>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1.7.1 招标投标文件使用的语言文字为中文。专用术语使用外文的，应附有中文注释。</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2" w:name="_Toc362816488"/>
      <w:r>
        <w:rPr>
          <w:rFonts w:hint="eastAsia" w:ascii="宋体" w:eastAsia="宋体" w:cs="宋体"/>
          <w:b/>
          <w:color w:val="auto"/>
          <w:sz w:val="24"/>
          <w:szCs w:val="24"/>
          <w:highlight w:val="none"/>
        </w:rPr>
        <w:t>1.8 计量单位</w:t>
      </w:r>
      <w:bookmarkEnd w:id="42"/>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1.8.1 所有计量均采用中华人民共和国法定计量单位。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1.8.2 本工程投标报价采用的的币种为人民币。</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3" w:name="_Toc362816489"/>
      <w:r>
        <w:rPr>
          <w:rFonts w:hint="eastAsia" w:ascii="宋体" w:eastAsia="宋体" w:cs="宋体"/>
          <w:b/>
          <w:color w:val="auto"/>
          <w:sz w:val="24"/>
          <w:szCs w:val="24"/>
          <w:highlight w:val="none"/>
        </w:rPr>
        <w:t>1.9 踏勘现场</w:t>
      </w:r>
      <w:bookmarkEnd w:id="43"/>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1.9.1 投标人须知前附表规定组织踏勘现场的，招标人按投标人须知前附表规定的时间、地点组织投标人踏勘项目现场。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1.9.2 投标人应按本投标须知前附表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1.9.3 除招标人的原因外，投标人自行负责在踏勘现场中所发生的人员伤亡和财产损失。</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1.9.4 </w:t>
      </w:r>
      <w:r>
        <w:rPr>
          <w:rFonts w:hint="eastAsia" w:ascii="宋体" w:hAnsi="宋体" w:eastAsia="宋体" w:cs="宋体"/>
          <w:color w:val="auto"/>
          <w:sz w:val="24"/>
          <w:highlight w:val="none"/>
          <w:u w:val="single"/>
          <w:lang w:bidi="ar"/>
        </w:rPr>
        <w:t>现场由投标人自行踏勘，投标人不进行踏勘的，视为已熟知现场条件，自行承担相关风险。招标人不对投标人自行踏勘现场作出的判断和决策负责。</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4" w:name="_Toc362816490"/>
      <w:r>
        <w:rPr>
          <w:rFonts w:hint="eastAsia" w:ascii="宋体" w:eastAsia="宋体" w:cs="宋体"/>
          <w:b/>
          <w:color w:val="auto"/>
          <w:sz w:val="24"/>
          <w:szCs w:val="24"/>
          <w:highlight w:val="none"/>
        </w:rPr>
        <w:t>1.10 投标预备会</w:t>
      </w:r>
      <w:bookmarkEnd w:id="44"/>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1.10.1 投标人须知前附表规定召开投标预备会的，招标人按投标人须知前附表规定的时间和地点召开投标预备会，澄清投标人提出的问题。</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1.10.2 投标人应在投标人须知前附表规定的时间前，以书面形式将提出的问题送达招标人，以便招标人在会议期间澄清。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1.10.3 投标预备会后，招标人在投标人须知前附表规定的时间内，将对投标人所提问题的澄清，以书面形式通知所有购买招标文件的投标人。该澄清内容为招标文件的组成部分。</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5" w:name="_Toc362816491"/>
      <w:r>
        <w:rPr>
          <w:rFonts w:hint="eastAsia" w:ascii="宋体" w:eastAsia="宋体" w:cs="宋体"/>
          <w:b/>
          <w:color w:val="auto"/>
          <w:sz w:val="24"/>
          <w:szCs w:val="24"/>
          <w:highlight w:val="none"/>
        </w:rPr>
        <w:t>1.11 分包</w:t>
      </w:r>
      <w:bookmarkEnd w:id="45"/>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1.11.1 投标人应当按照第五章“发包人要求”的规定提供分包人侯选名单及其相应资料。</w:t>
      </w:r>
    </w:p>
    <w:p>
      <w:pPr>
        <w:pStyle w:val="4"/>
        <w:widowControl/>
        <w:spacing w:before="0" w:after="0" w:line="440" w:lineRule="exact"/>
        <w:ind w:firstLine="118"/>
        <w:rPr>
          <w:rFonts w:hint="eastAsia" w:ascii="宋体" w:eastAsia="宋体" w:cs="宋体"/>
          <w:b/>
          <w:color w:val="auto"/>
          <w:sz w:val="24"/>
          <w:szCs w:val="24"/>
          <w:highlight w:val="none"/>
        </w:rPr>
      </w:pPr>
      <w:r>
        <w:rPr>
          <w:rFonts w:hint="eastAsia" w:ascii="宋体" w:eastAsia="宋体" w:cs="宋体"/>
          <w:b/>
          <w:color w:val="auto"/>
          <w:sz w:val="24"/>
          <w:szCs w:val="24"/>
          <w:highlight w:val="none"/>
        </w:rPr>
        <w:t>1.12 偏离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1.12.1 投标人须知前附表允许投标文件偏离招标文件某些要求的，偏离应当符合招标文件规定的偏离范围和幅度。</w:t>
      </w:r>
    </w:p>
    <w:p>
      <w:pPr>
        <w:pStyle w:val="3"/>
        <w:widowControl/>
        <w:spacing w:before="0" w:after="0" w:line="440" w:lineRule="exact"/>
        <w:rPr>
          <w:rFonts w:hint="eastAsia" w:ascii="宋体" w:hAnsi="宋体" w:eastAsia="宋体" w:cs="宋体"/>
          <w:color w:val="auto"/>
          <w:sz w:val="24"/>
          <w:szCs w:val="24"/>
          <w:highlight w:val="none"/>
        </w:rPr>
      </w:pPr>
      <w:bookmarkStart w:id="46" w:name="_Toc16530"/>
      <w:bookmarkStart w:id="47" w:name="_Toc362816493"/>
      <w:bookmarkStart w:id="48" w:name="_Toc443505823"/>
      <w:r>
        <w:rPr>
          <w:rFonts w:hint="eastAsia" w:ascii="宋体" w:hAnsi="宋体" w:eastAsia="宋体" w:cs="宋体"/>
          <w:color w:val="auto"/>
          <w:sz w:val="24"/>
          <w:szCs w:val="24"/>
          <w:highlight w:val="none"/>
        </w:rPr>
        <w:t>2、招标文件</w:t>
      </w:r>
      <w:bookmarkEnd w:id="46"/>
      <w:bookmarkEnd w:id="47"/>
      <w:bookmarkEnd w:id="48"/>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49" w:name="_Toc362816494"/>
      <w:r>
        <w:rPr>
          <w:rFonts w:hint="eastAsia" w:ascii="宋体" w:eastAsia="宋体" w:cs="宋体"/>
          <w:b/>
          <w:color w:val="auto"/>
          <w:sz w:val="24"/>
          <w:szCs w:val="24"/>
          <w:highlight w:val="none"/>
        </w:rPr>
        <w:t>2.1 招标文件的组成</w:t>
      </w:r>
      <w:bookmarkEnd w:id="49"/>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2.1.1 本招标文件包括：</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（1）招标公告；</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（2）投标人须知；</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（3）评标办法；</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（4）合同条款及格式；</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（5）发包人要求；</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（6）发包人提供的资料；</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（7）投标文件格式；</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（8）投标人须知前附表规定的其他资料。</w:t>
      </w:r>
    </w:p>
    <w:p>
      <w:pPr>
        <w:spacing w:line="440" w:lineRule="exact"/>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2.1.2 根据本章第2.2款和第2.3款对招标文件所作的澄清、修改，构成招标文件的组成部分。当招标文件的澄清、修改等在同一内容的表述不一致时，以最后发出的文件为准。</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50" w:name="_Toc362816495"/>
      <w:r>
        <w:rPr>
          <w:rFonts w:hint="eastAsia" w:ascii="宋体" w:eastAsia="宋体" w:cs="宋体"/>
          <w:b/>
          <w:color w:val="auto"/>
          <w:sz w:val="24"/>
          <w:szCs w:val="24"/>
          <w:highlight w:val="none"/>
        </w:rPr>
        <w:t>2.2 招标文件的澄清</w:t>
      </w:r>
      <w:bookmarkEnd w:id="50"/>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投标人应仔细阅读和检查招标文件的全部内容。如发现缺页或附件不全，应及时向招标人提出，以便补齐。如有疑问，应在投标人须知前附表规定的时间内</w:t>
      </w:r>
      <w:r>
        <w:rPr>
          <w:rFonts w:hint="eastAsia" w:ascii="宋体" w:hAnsi="宋体" w:eastAsia="宋体" w:cs="宋体"/>
          <w:color w:val="auto"/>
          <w:sz w:val="24"/>
          <w:highlight w:val="none"/>
          <w:u w:val="single"/>
        </w:rPr>
        <w:t>通过广州公共资源交易中心网站凭密码进入提问区域将问题提交给招标人或招标代理人</w:t>
      </w:r>
      <w:r>
        <w:rPr>
          <w:rFonts w:hint="eastAsia" w:ascii="宋体" w:hAnsi="宋体" w:eastAsia="宋体" w:cs="宋体"/>
          <w:color w:val="auto"/>
          <w:sz w:val="24"/>
          <w:highlight w:val="none"/>
        </w:rPr>
        <w:t>，要求招标人对招标文件予以澄清。</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2.2.1.1 招标答疑采用网上答疑方式进行。投标人若对招标文件（包括招标图纸、清单、投标最高限价、合同）有疑问的，可在规定的时间内通过广州公共资源交易中心网站凭密码进入提问区域将问题提交给招标人或招标代理人，提交问题时一律不得署名。</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网上答疑的操作指南为：</w:t>
      </w:r>
      <w:r>
        <w:rPr>
          <w:rFonts w:hint="eastAsia" w:ascii="宋体" w:hAnsi="宋体" w:eastAsia="宋体" w:cs="宋体"/>
          <w:color w:val="auto"/>
          <w:sz w:val="24"/>
          <w:highlight w:val="none"/>
        </w:rPr>
        <w:t>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2.2.1.2 投标人应在递交投标文件截止时间18日前停止质疑，招标人应在递交投标文件截止时间15日前解答投标人对招标文件提出的疑问，形成答疑纪要，在广州公共资源交易中心网站“招标答疑”专区发布。</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2.2.1.3招标答疑纪要一经在广州公共资源交易中心网站发布，视作已发放给所有投标人。</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2.2.1.4招标答疑纪要为招标文件的一部分。投标人可在广州公共资源交易中心网站浏览、下载招标答疑纪要。</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2.2.1.5若招标答疑纪要与招标文件有矛盾时，以广州公共资源交易中心网站最后发布的答疑纪要为准。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2.2.2 招标文件的澄清以在</w:t>
      </w:r>
      <w:r>
        <w:rPr>
          <w:rFonts w:hint="eastAsia" w:ascii="宋体" w:hAnsi="宋体" w:eastAsia="宋体" w:cs="宋体"/>
          <w:color w:val="auto"/>
          <w:sz w:val="24"/>
          <w:highlight w:val="none"/>
          <w:u w:val="single"/>
        </w:rPr>
        <w:t>广州公共资源交易中心网站发布</w:t>
      </w:r>
      <w:r>
        <w:rPr>
          <w:rFonts w:hint="eastAsia" w:ascii="宋体" w:hAnsi="宋体" w:eastAsia="宋体" w:cs="宋体"/>
          <w:color w:val="auto"/>
          <w:sz w:val="24"/>
          <w:highlight w:val="none"/>
        </w:rPr>
        <w:t>形式发给所有投标人，但不指明澄清问题的来源。澄清发出的时间距投标人须知前附表规定的投标截止</w:t>
      </w:r>
      <w:r>
        <w:rPr>
          <w:rFonts w:hint="eastAsia" w:ascii="宋体" w:hAnsi="宋体" w:eastAsia="宋体" w:cs="宋体"/>
          <w:color w:val="auto"/>
          <w:sz w:val="24"/>
          <w:highlight w:val="none"/>
          <w:u w:val="single"/>
        </w:rPr>
        <w:t>时间不足15天</w:t>
      </w:r>
      <w:r>
        <w:rPr>
          <w:rFonts w:hint="eastAsia" w:ascii="宋体" w:hAnsi="宋体" w:eastAsia="宋体" w:cs="宋体"/>
          <w:color w:val="auto"/>
          <w:sz w:val="24"/>
          <w:highlight w:val="none"/>
        </w:rPr>
        <w:t>的，并且澄清内容影响投标文件编制的，将相应延长投标截止时间。</w:t>
      </w:r>
    </w:p>
    <w:p>
      <w:p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2.2.3 招标文件的澄清内容一经在广州公共资源交易中心网站发布，视作已发放给所有投标人。</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51" w:name="_Toc362816496"/>
      <w:r>
        <w:rPr>
          <w:rFonts w:hint="eastAsia" w:ascii="宋体" w:eastAsia="宋体" w:cs="宋体"/>
          <w:b/>
          <w:color w:val="auto"/>
          <w:sz w:val="24"/>
          <w:szCs w:val="24"/>
          <w:highlight w:val="none"/>
        </w:rPr>
        <w:t>2.3 招标文件的修改</w:t>
      </w:r>
      <w:bookmarkEnd w:id="51"/>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2.3.1在投标人须知前附表规定时间前，招标人都有修改招标文件的权利。这种修改可能是招标人主动提出的，也可能是为了解答投标人要求澄清的问题而作出的，修改将在</w:t>
      </w:r>
      <w:r>
        <w:rPr>
          <w:rFonts w:hint="eastAsia" w:ascii="宋体" w:hAnsi="宋体" w:eastAsia="宋体" w:cs="宋体"/>
          <w:color w:val="auto"/>
          <w:sz w:val="24"/>
          <w:highlight w:val="none"/>
          <w:u w:val="single"/>
        </w:rPr>
        <w:t>广州公共资源交易中心平台</w:t>
      </w:r>
      <w:r>
        <w:rPr>
          <w:rFonts w:hint="eastAsia" w:ascii="宋体" w:hAnsi="宋体" w:eastAsia="宋体" w:cs="宋体"/>
          <w:color w:val="auto"/>
          <w:sz w:val="24"/>
          <w:highlight w:val="none"/>
        </w:rPr>
        <w:t>网站上将修改内容通知所有购买招标文件的投标人。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对招标文件进行的澄清、更正或更改，将在</w:t>
      </w:r>
      <w:r>
        <w:rPr>
          <w:rFonts w:hint="eastAsia" w:ascii="宋体" w:hAnsi="宋体" w:eastAsia="宋体" w:cs="宋体"/>
          <w:color w:val="auto"/>
          <w:sz w:val="24"/>
          <w:highlight w:val="none"/>
          <w:u w:val="single"/>
        </w:rPr>
        <w:t>广州公共资源交易中心平台</w:t>
      </w:r>
      <w:r>
        <w:rPr>
          <w:rFonts w:hint="eastAsia" w:ascii="宋体" w:hAnsi="宋体" w:eastAsia="宋体" w:cs="宋体"/>
          <w:color w:val="auto"/>
          <w:sz w:val="24"/>
          <w:highlight w:val="none"/>
        </w:rPr>
        <w:t>网站上及时发布，该澄清、更正或更改的内容为招标文件的组成部分，对投标人具有同样约束力效力。投标人应主动上网查询。招标人和招标代理机构不承担投标人未及时关注相关信息引发的相关责任。</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2.3.2招标文件的修改内容构成招标文件的一部分。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2.3.3为使投标人在编制投标文件时有充分的时间对招标文件的修改内容考虑进去，招标人将酌情延长提交投标文件的截止时间，具体时间将在招标文件的修改中予以明确。若修改中没有明确延长时间，即表示投标时间不延长。</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2.3.4招标文件的澄清答复文件和修改文件将构成招标文件的一部分，对招投标双方具有同等约束力；招标文件的澄清或修改均以书面形式明确的内容为准。当招标文件的澄清、修改、补充等在同一内容的表述不一致时，以最后发出的文件为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2.3.5本招标文件的内容(包括其中所有的技术资料),投标人不得用于本次投标以外的任何目的。</w:t>
      </w:r>
    </w:p>
    <w:p>
      <w:pPr>
        <w:pStyle w:val="3"/>
        <w:widowControl/>
        <w:spacing w:before="0" w:after="0" w:line="440" w:lineRule="exact"/>
        <w:rPr>
          <w:rFonts w:hint="eastAsia" w:ascii="宋体" w:hAnsi="宋体" w:eastAsia="宋体" w:cs="宋体"/>
          <w:color w:val="auto"/>
          <w:sz w:val="24"/>
          <w:szCs w:val="24"/>
          <w:highlight w:val="none"/>
        </w:rPr>
      </w:pPr>
      <w:bookmarkStart w:id="52" w:name="_Toc375931087"/>
      <w:bookmarkStart w:id="53" w:name="_Toc29768"/>
      <w:bookmarkStart w:id="54" w:name="_Toc443505825"/>
      <w:r>
        <w:rPr>
          <w:rFonts w:hint="eastAsia" w:ascii="宋体" w:hAnsi="宋体" w:eastAsia="宋体" w:cs="宋体"/>
          <w:color w:val="auto"/>
          <w:sz w:val="24"/>
          <w:szCs w:val="24"/>
          <w:highlight w:val="none"/>
        </w:rPr>
        <w:t>3、投标文件</w:t>
      </w:r>
      <w:bookmarkEnd w:id="52"/>
      <w:bookmarkEnd w:id="53"/>
      <w:bookmarkEnd w:id="54"/>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55" w:name="_Toc362816498"/>
      <w:r>
        <w:rPr>
          <w:rFonts w:hint="eastAsia" w:ascii="宋体" w:eastAsia="宋体" w:cs="宋体"/>
          <w:b/>
          <w:color w:val="auto"/>
          <w:sz w:val="24"/>
          <w:szCs w:val="24"/>
          <w:highlight w:val="none"/>
        </w:rPr>
        <w:t>3.1 投标文件的组成</w:t>
      </w:r>
      <w:bookmarkEnd w:id="55"/>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3.1.1 投标文件由商务标、技术标和经济标三部分组成。</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3.1.2 商务标投标文件包括：</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（1）商务标封面（按招标文件第六章提供的格式填写）；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（2）投标函（按招标文件第六章提供的格式填写）；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（3）法定代表人证明书（按招标文件第六章提供的格式填写）；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（4）法定代表人授权委托书（按招标文件第六章提供的格式填写）；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（5）资格审查资料（按招标文件第六章提供的格式填写）；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（6）投标人声明（按招标文件第六章提供的格式填写）；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（7）商务响应文件；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（8）投标保证金；</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（9）招标文件规定的其他资料。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3.1.3 技术标投标文件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（1）技术标封面（按招标文件第六章提供的格式填写）；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（2）技术响应文件；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3.1.4 经济标投标文件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（1）经济标封面（按招标文件第六提供的格式填写）；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（2）投标报价一览表；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（3）分项报价汇总表；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（4）分项报价表。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3.1.5投标人所作的一切有效补充、修改文件，均被视为投标文件不可分割的一部分。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3.1.6投标人应严格按照上述要求和第六章的格式编制投标文件；投标文件中所引用的顺序和编号应与招标文件一致。可以增加说明或描述性文字。投标文件对招标文件未提出异议的条款，均被视为接受和同意。投标文件与招标文件的任何差异之处，均应按本招标文件第六章投标文件格式中的商务和技术偏差声明函中逐一说明。</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3.1.7如果投标人没有按照招标文件的要求提交资料，或者提供的资料缺乏真实性，或者提交的资料没有对招标文件在各方面都做出实质性响应，可能导致其投标被拒绝，风险由投标人承担。</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3.2 投标报价</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 本项目包含因建造光伏电站需要而对原有建（构）筑物局部的拆除、还建、修复、防水补漏，包系统设计集成（包括施工图设计及竣工图编制）、包制造、包施工机械、包设备材料（含附件、备件、备品、专用工具、易损件配备、调试材料原料等）、包运输（含废料及余土处理）、保险及储存保管、包施工、包安装、包调试（含联动调试）、试验及检查（包括光伏组件的到货性能检测）、包质量、包工期、包施工安全、包环境卫生、包试运行、包消缺、包考核验收、包达到设计要求、包技术和售后服务、包人员培训、包工程移交生产、包质保等，并确保完工后能顺利竣工投用。供货包括但不限于投标人提供的供货范围清单里的内容，投标人最终供货的设备材料数量、规格型号、材质、参数以满足项目性能要求、技术规范书要求、现场施工要求、系统正常运行为准，如有增加，也属于投标人的供货范围，招标人不再另行支付费用。设备材料的规格型号、材质非经招标人同意不得变更，即使经招标人同意的变更，若与投标时提供的标准相比降低，则招标人相应扣减由此造成的价格差额。投标人应按第三卷第六章“投标文件格式”的要求填写价格清单，说明所提供货物和服务的名称、原产地、数量、单价和总价。项目为交钥匙工程，投标人必须具备招标公告中要求的投标资格。根据招标人提供的招标文件、图纸、有关资料和设计要求，结合工程现场实际情况、工程性质、工程特点等要求，采用固定价格进行报价。</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3.2.2投标报价应包括但不限于设计（包括施工图设计及竣工图编制）、包制造、包施工机械、包设备材料（含附件、备件、备品、专用工具、易损件配备、调试材料原料等）、包运输（含废料及余土处理）、保险及储存保管、包施工、包安装、包调试（含联动调试）、试验及检查（包括到货性能检测）、包质量、包工期、包施工安全、包环境卫生、包试运行、包消缺、包考核验收、包达到设计要求、包技术和售后服务、包人员培训、包工程移交生产、包质保等，并确保完工后能顺利竣工投用。供货不限于投标人提供的供货范围清单里的内容，投标人最终供货的设备材料数量、规格型号、材质、参数以满足项目性能要求、技术规范书要求、现场施工要求、系统正常运行为准，如有增加，也属于投标人的供货范围，招标人不再另行支付费用。设备材料的规格型号、材质非经招标人同意不得变更，即使经招标人同意的变更，若与投标时提供的标准相比降低，则招标人相应扣减由此造成的价格差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投标人应按第六章“投标文件格式”的要求填写价格清单。说明所提供货物和服务的名称、原产地、数量、单价和总价。</w:t>
      </w:r>
    </w:p>
    <w:p>
      <w:pPr>
        <w:wordWrap w:val="0"/>
        <w:adjustRightInd w:val="0"/>
        <w:snapToGrid w:val="0"/>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3.2.3投标报价表上的价格应已包含下列内容的费用：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光伏组件、逆变器、箱变、汇流箱等主要设备、材料及设备的备品备件、专用工具费用（简称设备费）。设备费包括光伏组件、逆变器、箱变、汇流箱、支架、开关柜、电缆、二次设备、监控设备等施工所需的零部件和材料、其他设备及其零部件、备品备件、专用工具、所有的设备包装、调试所需材料、与设备有关的投标人所应缴纳的税费（含由于转开发票造成的税费增加）、至最终招标人工地仓库的运输费、装卸费、保险费及杂费、进口设备和材料的进口环节税及清关费等相关费用。其中：至最终招标人工地仓库的运输费、装卸费、保险费及杂费指：将货物运至最终工地的运输费、装卸费和保险费（工地卸货由投标人负责）及所需的杂费。</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建筑、安装工程费（简称工程费）。包括原建（构）筑物的拆除、还建、修复、防水补漏费用，临建费用（包括但不限于投标人现场办公、生活设施及费用）、为实施整个光伏发电（含电网接入系统）的施工、系统工程安装（包括所有设备安装、管件、防腐、保温、照明、消防、防雷接地、给排水等内容）、光伏组件结构支架制作和安装、钢结构的制作和安装（包括制作、安装、防腐及涂装等分部分项工程）和工程保修的所有费用（含利润和税金）。工程费必须在报价表中单列。</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设计、技术服务费（简称服务费）。包括但不限于：开通整个系统所需的一切技术服务费用，含设计费、管理费、调试费、并网接入费和供电局报装、培训费、光伏组件性能检测费、人工费、其它费等，包括施工图设计审查环节的费用，工程设计费，合同项下投标人提供的技术文件出版印刷（包括软件、图纸、技术分册、竣工配套资料等）、技术联络和接口协调、配合工厂监造、安装调试、开通运行、联络会议、工厂检验、技术培训、专家咨询、质保、售后服务、协调和督导以及合同项下投标人提供的其他技术支持；还包括投标人驻现场人员的薪金福利（其中包括个人所得税费和生活费）及往返招标人现场之间的差旅费、招标人人员到厂检验、监造及验收费、境内培训等费用及本合同附件1技术规范书中列出的其他服务的费用、消防报验费用（如需要）等。设计费用：包括本合同附件1技术规范书中约定的设计范围的费用，即本工程的生产工艺系统，辅助生产设施和附属设施的全部工艺系统与土建工程的设计等。设计费必须在报价表中单列。并网接入费用：满足供电部门和主管部门验收要求所需的费用，包括但不限于</w:t>
      </w:r>
      <w:r>
        <w:rPr>
          <w:rFonts w:hint="eastAsia" w:ascii="宋体" w:hAnsi="宋体" w:eastAsia="宋体" w:cs="宋体"/>
          <w:color w:val="auto"/>
          <w:sz w:val="24"/>
          <w:highlight w:val="none"/>
          <w:shd w:val="clear" w:color="auto" w:fill="FFFFFF"/>
        </w:rPr>
        <w:t>取得可再生能源质监站出具的并网意见单、</w:t>
      </w:r>
      <w:r>
        <w:rPr>
          <w:rFonts w:hint="eastAsia" w:ascii="宋体" w:hAnsi="宋体" w:eastAsia="宋体" w:cs="宋体"/>
          <w:color w:val="auto"/>
          <w:sz w:val="24"/>
          <w:highlight w:val="none"/>
        </w:rPr>
        <w:t>并网接入手续办理费用及并网接入调试、检测、验收等相关的费用。</w:t>
      </w:r>
    </w:p>
    <w:p>
      <w:pPr>
        <w:wordWrap w:val="0"/>
        <w:adjustRightInd w:val="0"/>
        <w:snapToGrid w:val="0"/>
        <w:spacing w:line="360" w:lineRule="auto"/>
        <w:ind w:firstLine="422" w:firstLineChars="1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特别注意：本条所指的服务费应按该项目合同总价的5%~10%报价。</w:t>
      </w:r>
    </w:p>
    <w:p>
      <w:pPr>
        <w:wordWrap w:val="0"/>
        <w:adjustRightInd w:val="0"/>
        <w:snapToGrid w:val="0"/>
        <w:spacing w:line="360" w:lineRule="auto"/>
        <w:ind w:firstLine="420" w:firstLineChars="175"/>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安全文明施工措施费</w:t>
      </w:r>
      <w:r>
        <w:rPr>
          <w:rFonts w:hint="eastAsia" w:ascii="宋体" w:hAnsi="宋体" w:eastAsia="宋体" w:cs="宋体"/>
          <w:color w:val="auto"/>
          <w:sz w:val="24"/>
          <w:highlight w:val="none"/>
        </w:rPr>
        <w:t>的投标价，以招标人公布的统一价格进行填报，该报价不得作为竞争性费用。</w:t>
      </w:r>
      <w:r>
        <w:rPr>
          <w:rFonts w:hint="eastAsia" w:ascii="宋体" w:hAnsi="宋体" w:eastAsia="宋体" w:cs="宋体"/>
          <w:color w:val="auto"/>
          <w:sz w:val="24"/>
          <w:highlight w:val="none"/>
          <w:lang w:eastAsia="zh-CN"/>
        </w:rPr>
        <w:t>安全文明施工措施费</w:t>
      </w:r>
      <w:r>
        <w:rPr>
          <w:rFonts w:hint="eastAsia" w:ascii="宋体" w:hAnsi="宋体" w:eastAsia="宋体" w:cs="宋体"/>
          <w:color w:val="auto"/>
          <w:sz w:val="24"/>
          <w:highlight w:val="none"/>
        </w:rPr>
        <w:t>专款专用。如果被授予合同，将要向中华人民共和国政府缴纳所有的税费。投标人应向招标人提供由投标人开具的抬头为招标人的增值税专用发票（包括设备、材料、备品备件、专用工具、至最终招标人工地仓库的运输费、保险费及杂费）和合法等额有效增值税专用发票（设计、建筑安装、技术服务等）供招标人入帐。中标后，投标人应按照招标人要求提供有效发票。</w:t>
      </w:r>
      <w:r>
        <w:rPr>
          <w:rFonts w:hint="eastAsia" w:ascii="宋体" w:hAnsi="宋体" w:eastAsia="宋体" w:cs="宋体"/>
          <w:b/>
          <w:bCs/>
          <w:color w:val="auto"/>
          <w:sz w:val="24"/>
          <w:highlight w:val="none"/>
        </w:rPr>
        <w:t>特别注意：投标人应当充分考虑由于外购主要设备导致转开发票时产生的税费增加。</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投标人已充分考虑在本项目合同执行过程中，因执行新颁布的法律、标准、规范引起的变更而导致的工程量增加的风险，由此所可能产生的费用已包括在投标报价内。</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竣工验收（指“初步验收”）前施工用电、用水的接出点由招标人指定（最近施工地点位置），由中标人根据现场实际情况向施工现场水电提供单位直接支付水电费，中标方负责自行设置和安装计量装置并负责全部相关费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投标人须自行解决施工期间的食宿、办公、室内仓储等用房，招标人适当提供便利。施工人员不得居住厂区内。投标人报价时必须考虑前述费用并包含在投标总价中。</w:t>
      </w:r>
    </w:p>
    <w:p>
      <w:pPr>
        <w:wordWrap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加强建筑施工现场综合管理,强化光伏电站项目施工动态监管，提高科技监管水平，实现施工现场质量安全、文明施工实时监控，有效防范建筑施工生产安全事故，要求各施工现场开工前要求投标方免费安装远程视频监控系统。</w:t>
      </w:r>
    </w:p>
    <w:p>
      <w:pPr>
        <w:wordWrap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其他费用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上述各项费用投标人在报价时应充分考虑，如报价为零或未报，将认为此项工作已包括在其他项目和总报价中。</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3.2.4在报价时，投标人提供的工程量虽然系按各自的设计计算，但招标人和投标人均认为该报价所对应的工程量应为实际可能发生的所有工程量。漏项和计算错误均视为已包含在其他项目报价中。</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3.2.5投标人应充分了解施工场地的位置、周边环境、道路、装卸、保管、安装限制以及影响投标报价的其他要素。投标报价将被视为按招标文件要求根据企业经验和市场情况、及本项目的特性完成承包范围全部工作内容的当期价格水平，投标人对本工程的报价应充分考虑的费用（包括但不限于以下内容）：</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（1）接入系统方案需以当地供电局批复的方案为准，因方案变更所产生的设计、施工、设备材料和评审等一切费用均包含在投标总价内。</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（2）太阳能并网电站的平面布置，及所有满足系统要求的设备、电缆走向、逆变器布置、仪表、附件等，在工程设计时，按招标人审定的意见做相应的优化调整，并不发生商务变动。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（3）暂估价项目的投标价，以招标人公布的统一价格进行填报，该报价不得作为竞争性费用。最终以实际发生的金额进行结算，如没有发生则无需支付。</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请投标人以招标人公布的统一价格对暂估价项目进行单列报价，并以此价格为限，如没有发生则甲方无需向乙方支付费用，如有超出也包含在投标总价中。</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3.2.6 投标人应按照招标文件规定的全部商务和技术责任进行报价，如有偏差，投标人应在投标文件中按照所提供“偏差表”格式逐一列出，并提供撤回偏差相应的价格变化供招标人参考。如果投标文件没有撤销偏离后的价格，招标人为了保证公平的比较，将自行评估偏离造成的成本增加并加入评标价格。没有在“偏差表”中列出的项目，则视为投标人接受和同意招标文件的规定。投标人根据上述投标人须知第3.2.2条的规定拆分投标价，只是为了便于招标人和招标代理机构对投标文件进行比较，并不限制招标人以上述任何术语条件订立合同的权力。</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3.2.7投标人所报的投标报价应为固定合同总价。对于价格调整，除招标文件另有规定外，任何时候投标人不得单方面调整其投标价格，请投标人自行考虑各种风险。投标人提交的投标文件规定价格可调整时，将视作与招标文件存在严重背离而予以拒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3.2.8投标报价应将所有工程内容考虑在内，如有漏项或缺项，均属于投标人的风险。投标人应逐项计算并填写单价、合价和总价，投标人没有填写单价和合价的项目将被认为此项目所涉及的全部费用已包含在其他相关项目及投标总价中。一旦投标人提交了投标文件将被认为投标人已经充分了解了招标文件、补充通知、现场情况和其他影响工程施工或费用的因素，并认为已在投标报价和施工方案中做了相应的考虑；若投标人删除招标文件所列分项报价项目的，则视为漏项；若分项报价项目的投标报价为零的，投标人需作出说明。若分项报价项目的投标报价内容为空的，将被视为已经包含在投标人业已报明的相关费用及投标总价中，在中标后将概不考虑。</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3.2.9投标人在投标报价表中未具体列明，但在合同执行阶段可能发生的一切费用将被视为已经包含在投标人业已报明的相关费用及投标总价中，在中标后将概不考虑。</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3.2.10投标人应注意风险并承担风险，投标报价应已包含为赶工期所发生的费用（投标人报价时应充分考虑并应理解，如果逾期完工，将有罚款情况发生。）；投标人同意并接受招标人在必要时发出赶工指令要求投标人加快设计、施工或对项目进度计划进行调整，投标人承诺不增加费用。本工程投标，是基于投标人进行现场踏勘，对建设现场情况充分了解的基础上进行报价的，请投标人根据自身经验充分考虑施工措施、安装工程量等方面的风险，并按自身管理水平及经验报价，所有项目的报价均为税后价。除因招标人原因而导致的重大设计原则、方案变更（指涉及工程总体的工程规模、特性、标准、总体布置、乙供主要设备选择的变更）外，合同价格不发生调整（除按暂定价列入合同总价外）。当发生上述重大变更时，对合同的价格的调整按合同条款第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款执行。</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3.2.11 投标人应按照本须知上述要求分类报价，其目的是便于评标委员会评标。分类报价方式并不限制招标人以任何条款签订合同的权利。</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3.2.12 投标人应严格按招标文件规定的分包与外购的设备或部件清单填报，招标人保留要求中标人按本项目实际需要分包给招标人认可的、具有相应资质的单位的权利。</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3.2.13组件布局，电气主接线，后台监控系统等内容，在工程设计时，投标人应按招标人审定的意见做相应的优化调整，并不发生商务变动。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3.2.14如果投标人不具备实施本项目范围内的建筑和安装施工、特殊专业的有效资质，则必须将前述工作分包给具有有效资质的单位，签订分包协议；合同执行中投标人作为总承包人对各分包人的管理而发生的各种费用必须包含在投标总价中。</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3.2.15投标人在投标截止时间前修改投标函中的投标报价总额，应同时修改投标文件“价格清单”中的相应报价，投标报价总额为各分项金额之和。此修改须符合本章第4.3款的有关要求。</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3.2.16招标人设有最高投标限价的，投标人的投标报价不得超过最高投标限价，最高投标限价或其计算方法在投标人须知前附表中载明。</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3.2.17 若投标人的投标报价低于工程成本警戒价（若有）的，投标人还须提供详细的施工组织设计、单价、措施性费用、单价分析表、主要材料价格表、投标人成本分析供评标委员会评审。</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3.2.18投标报价的其他要求见投标人须知前附表。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3.2.19 投标货币：投标应用人民币进行报价。</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3.3 投标有效期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3.3.1 投标有效期见投标须知前附表第3.3.1项所规定的期限，在此期限内，凡符合本招标文件要求的投标文件均保持有效。</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3.3.2 在投标有效期内，投标人撤销或修改其投标文件的，应承担招标文件和法律规定的责任。</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3.3.3 </w:t>
      </w:r>
      <w:r>
        <w:rPr>
          <w:rFonts w:hint="eastAsia" w:ascii="宋体" w:hAnsi="宋体" w:eastAsia="宋体" w:cs="宋体"/>
          <w:color w:val="auto"/>
          <w:sz w:val="24"/>
          <w:highlight w:val="none"/>
          <w:u w:val="single"/>
          <w:lang w:bidi="ar"/>
        </w:rPr>
        <w:t>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第3.4条关于投标保证金的退还与没收的规定仍然适用。</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3.4 投标担保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3.4.1投标人在投标截止时间前，应按投标人须知前附表规定的金额、担保形式递交投标担保，并作为其投标文件的组成部分。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投标人不按本章第3.4.1项要求提交投标保证金的，评标委员会将否决其投标。</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3.4.3中标候选人以外的投标人的投标担保将尽快退还，最迟不超过中标通知书发出之日起五日内。中标人和其他中标候选人的投标担保，在书面合同订立并提交履约担保之日起五日内予以退还。</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3.4.4 有下列情形之一的，投标保证金将不予退还： </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（1）投标人在规定的投标有效期内撤销或修改其投标文件；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（2）中标人拒不领取中标通知书，或者在收到中标通知书后，在规定期限内无正当理由不与招标人订立合同，或者在签订合同时向招标人提出附加条件，或者不按照招标文件或合同要求提交履约担保的；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（3）存在串通投标、围标情况的；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（4）投标人以他人名义投标或者允许他人挂靠投标或借用本公司名义投标的；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（5）提供虚假投标文件、虚假承诺/声明/保证或者以其他方式弄虚作假的；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（6）法律或者本招标文件规定的其他情形。</w:t>
      </w:r>
    </w:p>
    <w:p>
      <w:pPr>
        <w:wordWrap w:val="0"/>
        <w:adjustRightInd w:val="0"/>
        <w:snapToGrid w:val="0"/>
        <w:spacing w:line="360" w:lineRule="auto"/>
        <w:ind w:firstLine="422" w:firstLineChars="175"/>
        <w:rPr>
          <w:rFonts w:hint="eastAsia" w:ascii="宋体" w:eastAsia="宋体" w:cs="宋体"/>
          <w:b/>
          <w:color w:val="auto"/>
          <w:sz w:val="24"/>
          <w:highlight w:val="none"/>
        </w:rPr>
      </w:pPr>
      <w:r>
        <w:rPr>
          <w:rFonts w:hint="eastAsia" w:ascii="宋体" w:eastAsia="宋体" w:cs="宋体"/>
          <w:b/>
          <w:color w:val="auto"/>
          <w:sz w:val="24"/>
          <w:highlight w:val="none"/>
        </w:rPr>
        <w:t>3.5 资格审查</w:t>
      </w:r>
    </w:p>
    <w:p>
      <w:pPr>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shd w:val="clear" w:color="auto" w:fill="FFFFFF"/>
          <w:lang w:bidi="ar"/>
        </w:rPr>
        <w:t>详见招标公告“投标人资格要求”</w:t>
      </w:r>
      <w:r>
        <w:rPr>
          <w:rFonts w:hint="eastAsia" w:ascii="宋体" w:hAnsi="宋体" w:eastAsia="宋体" w:cs="宋体"/>
          <w:color w:val="auto"/>
          <w:sz w:val="24"/>
          <w:highlight w:val="none"/>
          <w:u w:val="single"/>
          <w:lang w:bidi="ar"/>
        </w:rPr>
        <w:t>。</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3.6 备选投标方案</w:t>
      </w:r>
    </w:p>
    <w:p>
      <w:pPr>
        <w:widowControl/>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除投标人须知前附表另有规定外，投标人不得提交备选投标方案。允许投标人提交备选投标方案的，只有中标人所提交的备选投标方案方可予以考虑。评标委员会认为中标人的备选投标方案优于其按照招标文件要求编制的投标方案的，招标人可以接受该备选投标方案。</w:t>
      </w:r>
    </w:p>
    <w:p>
      <w:pPr>
        <w:widowControl/>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 投标文件的编制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3.7.1 投标文件应当对招标文件有关招标范围、投标有效期、工期、质量标准、发包人要求等实质性内容作出响应。</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3.7.2投标文件应按第六章“投标文件格式”（表格可以按同样格式扩展）进行编写，如有必要，可以增加附页，作为投标文件的组成部分。其中，投标函附录在满足招标文件实质性要求的基础上，可以提出比招标文件要求更有利于招标人的承诺。</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3.7.3投标人应使用依法设立的电子认证服务机构签发的电子签名认证证书对电子投标文件进行电子签章。该电子签章与盖单位公章具有同等的法律效力。</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3.7.4投标文件全部采用电子文档，投标文件所附证书证件均为纸质原件的扫描件，并采用单位数字证书，按招标文件要求在相应位置加盖电子印章。签字或盖章的具体要求见投标人须知前附表。</w:t>
      </w:r>
    </w:p>
    <w:p>
      <w:pPr>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3.7.5投标文件应按照广州公共资源交易平台关于全流程电子化项目的相关指南进行编制。如因不按上述编排要求编制而所引起系统无法检索、读取相关信息时，其后果将由投标人自行承担。</w:t>
      </w:r>
    </w:p>
    <w:p>
      <w:pPr>
        <w:pStyle w:val="3"/>
        <w:widowControl/>
        <w:spacing w:before="0" w:after="0" w:line="440" w:lineRule="exact"/>
        <w:rPr>
          <w:rFonts w:hint="eastAsia" w:ascii="宋体" w:hAnsi="宋体" w:eastAsia="宋体" w:cs="宋体"/>
          <w:color w:val="auto"/>
          <w:sz w:val="24"/>
          <w:szCs w:val="24"/>
          <w:highlight w:val="none"/>
        </w:rPr>
      </w:pPr>
      <w:bookmarkStart w:id="56" w:name="_Toc443505826"/>
      <w:bookmarkStart w:id="57" w:name="_Toc30824"/>
      <w:r>
        <w:rPr>
          <w:rFonts w:hint="eastAsia" w:ascii="宋体" w:hAnsi="宋体" w:eastAsia="宋体" w:cs="宋体"/>
          <w:color w:val="auto"/>
          <w:sz w:val="24"/>
          <w:szCs w:val="24"/>
          <w:highlight w:val="none"/>
        </w:rPr>
        <w:t>4、投标</w:t>
      </w:r>
      <w:bookmarkEnd w:id="56"/>
      <w:bookmarkEnd w:id="57"/>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58" w:name="_Toc362816506"/>
      <w:r>
        <w:rPr>
          <w:rFonts w:hint="eastAsia" w:ascii="宋体" w:eastAsia="宋体" w:cs="宋体"/>
          <w:b/>
          <w:color w:val="auto"/>
          <w:sz w:val="24"/>
          <w:szCs w:val="24"/>
          <w:highlight w:val="none"/>
        </w:rPr>
        <w:t>4.1 投标文件的密封和标记</w:t>
      </w:r>
      <w:bookmarkEnd w:id="58"/>
    </w:p>
    <w:p>
      <w:pPr>
        <w:spacing w:line="440" w:lineRule="exact"/>
        <w:ind w:firstLine="480" w:firstLineChars="200"/>
        <w:rPr>
          <w:rFonts w:hint="eastAsia" w:ascii="宋体" w:hAnsi="宋体" w:eastAsia="宋体" w:cs="宋体"/>
          <w:color w:val="auto"/>
          <w:sz w:val="24"/>
          <w:highlight w:val="none"/>
          <w:u w:val="single"/>
          <w:lang w:bidi="ar"/>
        </w:rPr>
      </w:pPr>
      <w:bookmarkStart w:id="59" w:name="_Toc362816507"/>
      <w:r>
        <w:rPr>
          <w:rFonts w:hint="eastAsia" w:ascii="宋体" w:hAnsi="宋体" w:eastAsia="宋体" w:cs="宋体"/>
          <w:color w:val="auto"/>
          <w:sz w:val="24"/>
          <w:highlight w:val="none"/>
          <w:u w:val="single"/>
          <w:lang w:bidi="ar"/>
        </w:rPr>
        <w:t>4.1.1递交的电子投标文件必须进行加密。按照广州公共资源交易平台关于全流程电子化项目的相关指南进行操作。</w:t>
      </w:r>
    </w:p>
    <w:p>
      <w:pPr>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4.1.2 未按要求加密的电子投标文件，广州公共资源交易平台将予以拒收。</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4.2 投标文件的递交</w:t>
      </w:r>
      <w:bookmarkEnd w:id="59"/>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4.2.1投标人通过广州公共资源交易平台递交电子投标文件。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4.2.2投标人完成电子投标文件上传后，广州公共资源交易平台即时向投标人发出递交回执通知。递交时间以递交回执通知载明的传输完成时间为准。</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4.2.3逾期送达的电子投标文件，广州公共资源交易平台将予以拒收。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4.2.4 投标截止前，招标人拒绝接收符合条件的投标文件，投标人可向招标监督机构投诉。</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4.3 投标文件递交的截止时间</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4.3.1投标人应按投标须知前附表所述的投标截止时间前递交投标文件。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4.3.2招标人可按本须知第2.3条规定以招标文件修改的方式，酌情延长递交投标文件的截止时间。在此情况下，投标人的所有权利和义务以及投标人受制约的截止时间，均以延长后新的投标截止时间为准。</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4.4 迟交的投标文件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本投标须知前附表所述的投标截止时间后送达的电子投标文件，广州公共资源交易平台将予以拒收。</w:t>
      </w:r>
    </w:p>
    <w:p>
      <w:pPr>
        <w:pStyle w:val="4"/>
        <w:widowControl/>
        <w:spacing w:before="0" w:after="0" w:line="440" w:lineRule="exact"/>
        <w:ind w:firstLine="0" w:firstLineChars="0"/>
        <w:rPr>
          <w:rFonts w:hint="eastAsia" w:ascii="宋体" w:eastAsia="宋体" w:cs="宋体"/>
          <w:b/>
          <w:color w:val="auto"/>
          <w:sz w:val="24"/>
          <w:szCs w:val="24"/>
          <w:highlight w:val="none"/>
        </w:rPr>
      </w:pPr>
      <w:bookmarkStart w:id="60" w:name="_Toc362816508"/>
      <w:r>
        <w:rPr>
          <w:rFonts w:hint="eastAsia" w:ascii="宋体" w:eastAsia="宋体" w:cs="宋体"/>
          <w:b/>
          <w:color w:val="auto"/>
          <w:sz w:val="24"/>
          <w:szCs w:val="24"/>
          <w:highlight w:val="none"/>
        </w:rPr>
        <w:t>4.5 投标文件的修改与撤回</w:t>
      </w:r>
      <w:bookmarkEnd w:id="60"/>
    </w:p>
    <w:p>
      <w:pPr>
        <w:spacing w:line="440" w:lineRule="exact"/>
        <w:ind w:firstLine="480" w:firstLineChars="200"/>
        <w:rPr>
          <w:rFonts w:hint="eastAsia" w:ascii="宋体" w:hAnsi="宋体" w:eastAsia="宋体" w:cs="宋体"/>
          <w:color w:val="auto"/>
          <w:sz w:val="24"/>
          <w:highlight w:val="none"/>
          <w:lang w:bidi="ar"/>
        </w:rPr>
      </w:pPr>
      <w:bookmarkStart w:id="61" w:name="_Toc443505827"/>
      <w:r>
        <w:rPr>
          <w:rFonts w:hint="eastAsia" w:ascii="宋体" w:hAnsi="宋体" w:eastAsia="宋体" w:cs="宋体"/>
          <w:color w:val="auto"/>
          <w:sz w:val="24"/>
          <w:highlight w:val="none"/>
          <w:lang w:bidi="ar"/>
        </w:rPr>
        <w:t>4.5.1 投标人在递交投标文件以后，在规定的投标截止时间之前，可以修改或撤回已递交的投标文件。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4.5.2 在投标截止时间之后，投标人不得补充、修改和更换投标文件。</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4.5.3在投标文件递交截止时间后，至投标文件格式中规定的有效期终止日前，投标人不能撤销投标文件，否则其投标担保将被没收。</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4.6 投标信息录入</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4.6.1 投标人应在上传电子投标文件前将广州公共资源交易中心交易服务系统要求的相关信息在广州公共资源交易中心交易服务系统中录入完毕。</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4.7 投标文件的解密</w:t>
      </w:r>
    </w:p>
    <w:p>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4.7.1投标人必须在投标须知前附表规定的时间内完成电子投标文件解密。超过时间未解密的投标文件将作为放弃投标处理。</w:t>
      </w:r>
    </w:p>
    <w:p>
      <w:pPr>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4.7.2电子投标文件解密应按照广州公共资源交易平台关于全流程电子化项目的相关指南进行操作。</w:t>
      </w:r>
    </w:p>
    <w:p>
      <w:pPr>
        <w:pStyle w:val="3"/>
        <w:widowControl/>
        <w:spacing w:before="0" w:after="0" w:line="440" w:lineRule="exact"/>
        <w:rPr>
          <w:rFonts w:hint="eastAsia" w:ascii="宋体" w:hAnsi="宋体" w:eastAsia="宋体" w:cs="宋体"/>
          <w:color w:val="auto"/>
          <w:sz w:val="24"/>
          <w:szCs w:val="24"/>
          <w:highlight w:val="none"/>
        </w:rPr>
      </w:pPr>
      <w:bookmarkStart w:id="62" w:name="_Toc22444"/>
      <w:r>
        <w:rPr>
          <w:rFonts w:hint="eastAsia" w:ascii="宋体" w:hAnsi="宋体" w:eastAsia="宋体" w:cs="宋体"/>
          <w:color w:val="auto"/>
          <w:sz w:val="24"/>
          <w:szCs w:val="24"/>
          <w:highlight w:val="none"/>
        </w:rPr>
        <w:t>5、开标</w:t>
      </w:r>
      <w:bookmarkEnd w:id="61"/>
      <w:bookmarkEnd w:id="62"/>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详见招标文件第三章“开标、评标办法”。</w:t>
      </w:r>
    </w:p>
    <w:p>
      <w:pPr>
        <w:pStyle w:val="3"/>
        <w:widowControl/>
        <w:spacing w:before="0" w:after="0" w:line="440" w:lineRule="exact"/>
        <w:rPr>
          <w:rFonts w:hint="eastAsia" w:ascii="宋体" w:hAnsi="宋体" w:eastAsia="宋体" w:cs="宋体"/>
          <w:color w:val="auto"/>
          <w:sz w:val="24"/>
          <w:szCs w:val="24"/>
          <w:highlight w:val="none"/>
        </w:rPr>
      </w:pPr>
      <w:bookmarkStart w:id="63" w:name="_Toc443505828"/>
      <w:bookmarkStart w:id="64" w:name="_Toc23201"/>
      <w:r>
        <w:rPr>
          <w:rFonts w:hint="eastAsia" w:ascii="宋体" w:hAnsi="宋体" w:eastAsia="宋体" w:cs="宋体"/>
          <w:color w:val="auto"/>
          <w:sz w:val="24"/>
          <w:szCs w:val="24"/>
          <w:highlight w:val="none"/>
        </w:rPr>
        <w:t>6、评标</w:t>
      </w:r>
      <w:bookmarkEnd w:id="63"/>
      <w:bookmarkEnd w:id="64"/>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6.1 评标委员会</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标由招标人依法组建的评标委员会负责。评标委员会由招标人熟悉相关业务的代表，以及有关技术、经济等方面的专家组成，技术、经济方面的专家不少于总数的三分之二。评标委员会成员人数以及技术、经济等方面专家的确定方式见投标人须知前附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6.1.2 评标委员会成员有下列情形之一的，应当回避：</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（1）投标人或投标人主要负责人的近亲属；</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（3）与投标人有经济利益关系，可能影响对投标公正评审的；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（4）曾因在招标、评标以及其他与招标投标有关活动中从事违法行为而受过行政处罚或刑事处罚的；</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（5）与投标人有其他利害关系。</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6.2 评标原则</w:t>
      </w:r>
      <w:r>
        <w:rPr>
          <w:rFonts w:hint="eastAsia" w:ascii="宋体" w:eastAsia="宋体" w:cs="宋体"/>
          <w:b/>
          <w:color w:val="auto"/>
          <w:sz w:val="24"/>
          <w:szCs w:val="24"/>
          <w:highlight w:val="none"/>
        </w:rPr>
        <w:tab/>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6.2.1评标活动遵循公平、公正、科学和择优的原则。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6.2.2评标过程的保密原则</w:t>
      </w:r>
      <w:r>
        <w:rPr>
          <w:rFonts w:hint="eastAsia" w:ascii="宋体" w:hAnsi="宋体" w:eastAsia="宋体" w:cs="宋体"/>
          <w:color w:val="auto"/>
          <w:sz w:val="24"/>
          <w:highlight w:val="none"/>
        </w:rPr>
        <w:tab/>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（1）公开开标后，直到宣布授予中标单位合同为止，凡属于审查、澄清、评价和比较投标的有关资料，和中标候选人的推荐以及有关授予合同的信息，都不应向投标人或该过程无关的其他人泄露。</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（2）在投标文件的审查、澄清、评价、比较和中标候选人的推荐以及授予合同的过程中投标人对招标人和评标委员会其他成员施加影响的任何行为，都将导致其投标被拒绝。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（3）严禁投标人在招投标过程中采用任何手段进行串标、贿赂和违反招投标纪律的其他行为，如经发现均取消其投标资格。</w:t>
      </w:r>
    </w:p>
    <w:p>
      <w:pPr>
        <w:wordWrap w:val="0"/>
        <w:adjustRightInd w:val="0"/>
        <w:snapToGrid w:val="0"/>
        <w:spacing w:line="360" w:lineRule="auto"/>
        <w:rPr>
          <w:rFonts w:hint="eastAsia" w:ascii="宋体" w:hAnsi="宋体" w:eastAsia="宋体" w:cs="宋体"/>
          <w:b/>
          <w:bCs/>
          <w:color w:val="auto"/>
          <w:sz w:val="24"/>
          <w:highlight w:val="none"/>
        </w:rPr>
      </w:pPr>
      <w:bookmarkStart w:id="65" w:name="_Toc10749"/>
      <w:bookmarkStart w:id="66" w:name="_Toc19204027"/>
      <w:bookmarkStart w:id="67" w:name="_Toc247527590"/>
      <w:bookmarkStart w:id="68" w:name="_Toc144974533"/>
      <w:bookmarkStart w:id="69" w:name="_Toc152045565"/>
      <w:bookmarkStart w:id="70" w:name="_Toc247513989"/>
      <w:bookmarkStart w:id="71" w:name="_Toc152042341"/>
      <w:r>
        <w:rPr>
          <w:rFonts w:hint="eastAsia" w:ascii="宋体" w:hAnsi="宋体" w:eastAsia="宋体" w:cs="宋体"/>
          <w:b/>
          <w:bCs/>
          <w:color w:val="auto"/>
          <w:sz w:val="24"/>
          <w:highlight w:val="none"/>
        </w:rPr>
        <w:t>6.3投标文件的澄清，计算错误的修正</w:t>
      </w:r>
      <w:bookmarkEnd w:id="65"/>
      <w:bookmarkEnd w:id="66"/>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详见招标文件第三章“开标、评标办法”。</w:t>
      </w:r>
    </w:p>
    <w:p>
      <w:pPr>
        <w:wordWrap w:val="0"/>
        <w:adjustRightInd w:val="0"/>
        <w:snapToGrid w:val="0"/>
        <w:spacing w:line="360" w:lineRule="auto"/>
        <w:rPr>
          <w:rFonts w:hint="eastAsia" w:ascii="宋体" w:hAnsi="宋体" w:eastAsia="宋体" w:cs="宋体"/>
          <w:b/>
          <w:bCs/>
          <w:color w:val="auto"/>
          <w:sz w:val="24"/>
          <w:highlight w:val="none"/>
        </w:rPr>
      </w:pPr>
      <w:bookmarkStart w:id="72" w:name="_Toc19204028"/>
      <w:bookmarkStart w:id="73" w:name="_Toc13870"/>
      <w:r>
        <w:rPr>
          <w:rFonts w:hint="eastAsia" w:ascii="宋体" w:hAnsi="宋体" w:eastAsia="宋体" w:cs="宋体"/>
          <w:b/>
          <w:bCs/>
          <w:color w:val="auto"/>
          <w:sz w:val="24"/>
          <w:highlight w:val="none"/>
        </w:rPr>
        <w:t>6.4评标</w:t>
      </w:r>
      <w:bookmarkEnd w:id="67"/>
      <w:bookmarkEnd w:id="68"/>
      <w:bookmarkEnd w:id="69"/>
      <w:bookmarkEnd w:id="70"/>
      <w:bookmarkEnd w:id="71"/>
      <w:bookmarkEnd w:id="72"/>
      <w:bookmarkEnd w:id="73"/>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评标委员会按照招标文件第三章“开标、评标办法”规定的方法、评审因素、标准和程序对投标文件进行评审。第三章“开标、评标办法”没有规定的方法、评审因素和标准，不作为评标依据。</w:t>
      </w:r>
    </w:p>
    <w:p>
      <w:pPr>
        <w:widowControl/>
        <w:spacing w:line="440" w:lineRule="exact"/>
        <w:rPr>
          <w:rFonts w:hint="eastAsia" w:ascii="宋体" w:hAnsi="宋体" w:eastAsia="宋体" w:cs="宋体"/>
          <w:b/>
          <w:bCs/>
          <w:color w:val="auto"/>
          <w:sz w:val="24"/>
          <w:highlight w:val="none"/>
        </w:rPr>
      </w:pPr>
      <w:bookmarkStart w:id="74" w:name="_Toc443505829"/>
      <w:r>
        <w:rPr>
          <w:rFonts w:hint="eastAsia" w:ascii="宋体" w:hAnsi="宋体" w:eastAsia="宋体" w:cs="宋体"/>
          <w:b/>
          <w:bCs/>
          <w:color w:val="auto"/>
          <w:sz w:val="24"/>
          <w:highlight w:val="none"/>
        </w:rPr>
        <w:t>7、合同授予</w:t>
      </w:r>
      <w:bookmarkEnd w:id="74"/>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7.1 定标方式</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7.1.1除投标人须知前附表规定评标委员会直接确定中标人外，招标人依据评标委员会推荐的中标候选人的推荐意见，审核最终评标结果，确定中标人，依法进行中标公示和发出中标通知书。</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7.1.2本项目不保证报价最低的投标人中标，招标人对未中标的投标人无解释义务。</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7.1.3其它定标相关规定详见第三章“开标、评标办法”。</w:t>
      </w:r>
    </w:p>
    <w:p>
      <w:pPr>
        <w:pStyle w:val="4"/>
        <w:widowControl/>
        <w:spacing w:before="0" w:after="0" w:line="440" w:lineRule="exact"/>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7.2 中标候选人公示</w:t>
      </w:r>
    </w:p>
    <w:p>
      <w:pPr>
        <w:pStyle w:val="4"/>
        <w:widowControl/>
        <w:spacing w:before="0" w:after="0" w:line="440" w:lineRule="exact"/>
        <w:ind w:firstLine="480" w:firstLineChars="200"/>
        <w:rPr>
          <w:rFonts w:hint="eastAsia" w:ascii="宋体" w:eastAsia="宋体" w:cs="宋体"/>
          <w:b/>
          <w:color w:val="auto"/>
          <w:sz w:val="24"/>
          <w:szCs w:val="24"/>
          <w:highlight w:val="none"/>
        </w:rPr>
      </w:pPr>
      <w:r>
        <w:rPr>
          <w:rFonts w:hint="eastAsia" w:ascii="宋体" w:eastAsia="宋体" w:cs="宋体"/>
          <w:color w:val="auto"/>
          <w:sz w:val="24"/>
          <w:highlight w:val="none"/>
        </w:rPr>
        <w:t>确定中标候选人后，招标人在投标人须知前附表规定的媒介公示3天。</w:t>
      </w:r>
    </w:p>
    <w:p>
      <w:pPr>
        <w:wordWrap w:val="0"/>
        <w:adjustRightInd w:val="0"/>
        <w:snapToGrid w:val="0"/>
        <w:spacing w:line="360" w:lineRule="auto"/>
        <w:rPr>
          <w:rFonts w:hint="eastAsia" w:ascii="宋体" w:hAnsi="宋体" w:eastAsia="宋体" w:cs="宋体"/>
          <w:b/>
          <w:bCs/>
          <w:color w:val="auto"/>
          <w:sz w:val="24"/>
          <w:highlight w:val="none"/>
        </w:rPr>
      </w:pPr>
      <w:bookmarkStart w:id="75" w:name="_Toc3571"/>
      <w:bookmarkStart w:id="76" w:name="_Toc19204032"/>
      <w:r>
        <w:rPr>
          <w:rFonts w:hint="eastAsia" w:ascii="宋体" w:hAnsi="宋体" w:eastAsia="宋体" w:cs="宋体"/>
          <w:b/>
          <w:bCs/>
          <w:color w:val="auto"/>
          <w:sz w:val="24"/>
          <w:highlight w:val="none"/>
        </w:rPr>
        <w:t>7.3 中标结果公告</w:t>
      </w:r>
      <w:bookmarkEnd w:id="75"/>
      <w:bookmarkEnd w:id="76"/>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公示后，招标人依法发布中标结果公告。</w:t>
      </w:r>
    </w:p>
    <w:p>
      <w:pPr>
        <w:wordWrap w:val="0"/>
        <w:adjustRightInd w:val="0"/>
        <w:snapToGrid w:val="0"/>
        <w:spacing w:line="360" w:lineRule="auto"/>
        <w:rPr>
          <w:rFonts w:hint="eastAsia" w:ascii="宋体" w:hAnsi="宋体" w:eastAsia="宋体" w:cs="宋体"/>
          <w:b/>
          <w:bCs/>
          <w:color w:val="auto"/>
          <w:sz w:val="24"/>
          <w:highlight w:val="none"/>
        </w:rPr>
      </w:pPr>
      <w:bookmarkStart w:id="77" w:name="_Toc152042344"/>
      <w:bookmarkStart w:id="78" w:name="_Toc19204033"/>
      <w:bookmarkStart w:id="79" w:name="_Toc247527593"/>
      <w:bookmarkStart w:id="80" w:name="_Toc144974536"/>
      <w:bookmarkStart w:id="81" w:name="_Toc247513992"/>
      <w:bookmarkStart w:id="82" w:name="_Toc152045568"/>
      <w:bookmarkStart w:id="83" w:name="_Toc21167"/>
      <w:r>
        <w:rPr>
          <w:rFonts w:hint="eastAsia" w:ascii="宋体" w:hAnsi="宋体" w:eastAsia="宋体" w:cs="宋体"/>
          <w:b/>
          <w:bCs/>
          <w:color w:val="auto"/>
          <w:sz w:val="24"/>
          <w:highlight w:val="none"/>
        </w:rPr>
        <w:t>7.4 中标通知</w:t>
      </w:r>
      <w:bookmarkEnd w:id="77"/>
      <w:bookmarkEnd w:id="78"/>
      <w:bookmarkEnd w:id="79"/>
      <w:bookmarkEnd w:id="80"/>
      <w:bookmarkEnd w:id="81"/>
      <w:bookmarkEnd w:id="82"/>
      <w:bookmarkEnd w:id="83"/>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7.4.1 在本章第3.3款规定的投标有效期内，招标代理机构以书面形式向中标人发出中标通知书。中标通知书按本章附表格式填写。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7.4.2中标人必须在收到中标通知书后24小时之内以书面形式回复招标人，确认收到。</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7.4.3中标通知书将是合同的一个组成部分。</w:t>
      </w:r>
    </w:p>
    <w:p>
      <w:pPr>
        <w:wordWrap w:val="0"/>
        <w:adjustRightInd w:val="0"/>
        <w:snapToGrid w:val="0"/>
        <w:spacing w:line="360" w:lineRule="auto"/>
        <w:rPr>
          <w:rFonts w:hint="eastAsia" w:ascii="宋体" w:hAnsi="宋体" w:eastAsia="宋体" w:cs="宋体"/>
          <w:b/>
          <w:bCs/>
          <w:color w:val="auto"/>
          <w:sz w:val="24"/>
          <w:highlight w:val="none"/>
        </w:rPr>
      </w:pPr>
      <w:bookmarkStart w:id="84" w:name="_Toc23412"/>
      <w:bookmarkStart w:id="85" w:name="_Toc247527595"/>
      <w:bookmarkStart w:id="86" w:name="_Toc247513994"/>
      <w:bookmarkStart w:id="87" w:name="_Toc144974538"/>
      <w:bookmarkStart w:id="88" w:name="_Toc152042346"/>
      <w:bookmarkStart w:id="89" w:name="_Toc152045570"/>
      <w:bookmarkStart w:id="90" w:name="_Toc19204034"/>
      <w:r>
        <w:rPr>
          <w:rFonts w:hint="eastAsia" w:ascii="宋体" w:hAnsi="宋体" w:eastAsia="宋体" w:cs="宋体"/>
          <w:b/>
          <w:bCs/>
          <w:color w:val="auto"/>
          <w:sz w:val="24"/>
          <w:highlight w:val="none"/>
        </w:rPr>
        <w:t>7.5 签订合同</w:t>
      </w:r>
      <w:bookmarkEnd w:id="84"/>
      <w:bookmarkEnd w:id="85"/>
      <w:bookmarkEnd w:id="86"/>
      <w:bookmarkEnd w:id="87"/>
      <w:bookmarkEnd w:id="88"/>
      <w:bookmarkEnd w:id="89"/>
      <w:bookmarkEnd w:id="90"/>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7.5.1 招标人与中标人于中标通知书发出之日起30日内，按照招标文件和中标人的投标文件商定和签订合同，招标人和中标人不得再行订立背离合同实质性内容的其他协议。</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7.5.2中标通知书发出之日起30日后，中标人未按上款的规定与招标人订立合同，招标人将解除中标通知书，原中标人的投标担保不予退还，且依法承担相应法律责任。原中标人给招标人造成的损失超过投标担保数额的，还应当对超过部分予以赔偿。</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7.5.3非经招标人同意，中标人在投标过程中使用的银行名称及帐号至完成竣工结算不得变更，否则招标人有权停止工程款项的拔付及至解除合同，由此造成的一切责任由中标人承担。</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7.5.4招标人支付工程款时，中标人应提供合法有效的增值税专用发票。</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7.5.5在合同签订前，中标人须提供有效的营业执照和在投标文件中提供的资质证明文件、业绩合同等主要证明文件的原件给招标人进行核对。如投标文件中扫描件与原件不符，招标人有权取消其中标资格，并没收其投标保证金。在此情况下，招标人可按本须知规定将合同授予下一个中标候选人或重新招标。</w:t>
      </w:r>
    </w:p>
    <w:p>
      <w:pPr>
        <w:wordWrap w:val="0"/>
        <w:adjustRightInd w:val="0"/>
        <w:snapToGrid w:val="0"/>
        <w:spacing w:line="360" w:lineRule="auto"/>
        <w:rPr>
          <w:rFonts w:hint="eastAsia" w:ascii="宋体" w:hAnsi="宋体" w:eastAsia="宋体" w:cs="宋体"/>
          <w:b/>
          <w:bCs/>
          <w:color w:val="auto"/>
          <w:sz w:val="24"/>
          <w:highlight w:val="none"/>
        </w:rPr>
      </w:pPr>
      <w:bookmarkStart w:id="91" w:name="_Toc247513993"/>
      <w:bookmarkStart w:id="92" w:name="_Toc152045569"/>
      <w:bookmarkStart w:id="93" w:name="_Toc15917"/>
      <w:bookmarkStart w:id="94" w:name="_Toc152042345"/>
      <w:bookmarkStart w:id="95" w:name="_Toc19204035"/>
      <w:bookmarkStart w:id="96" w:name="_Toc247527594"/>
      <w:bookmarkStart w:id="97" w:name="_Toc144974537"/>
      <w:r>
        <w:rPr>
          <w:rFonts w:hint="eastAsia" w:ascii="宋体" w:hAnsi="宋体" w:eastAsia="宋体" w:cs="宋体"/>
          <w:b/>
          <w:bCs/>
          <w:color w:val="auto"/>
          <w:sz w:val="24"/>
          <w:highlight w:val="none"/>
        </w:rPr>
        <w:t>7.6 履约担保</w:t>
      </w:r>
      <w:bookmarkEnd w:id="91"/>
      <w:bookmarkEnd w:id="92"/>
      <w:bookmarkEnd w:id="93"/>
      <w:bookmarkEnd w:id="94"/>
      <w:bookmarkEnd w:id="95"/>
      <w:bookmarkEnd w:id="96"/>
      <w:bookmarkEnd w:id="97"/>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7.6.1在合同生效之日起5日内，中标人应按本须知前附表规定的担保形式和招标文件第四章“合同条款及格式”规定的或者事先经过招标人书面认可的履约担保格式向招标人提交履约担保；如果中标人的履约担保是以银行保函的形式提供，则该银行保函应由境内全国性商业银行具备开具保函资格的分支机构出具的不可撤销的以招标人为受益人的金额为合同价款10%的履约保函作为履约担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7.6.2若合同生效之日起5日后，中标人未按上款的规定提交履约担保，招标人将解除合同及中标通知书，原中标人的投标担保不予退还，且依法承担相应法律责任。原中标人给招标人造成的损失超过投标担保数额的，还应当对超过部分予以赔偿。原中标人有异议的，可以向人民法院起诉。</w:t>
      </w:r>
    </w:p>
    <w:p>
      <w:pPr>
        <w:wordWrap w:val="0"/>
        <w:adjustRightInd w:val="0"/>
        <w:snapToGrid w:val="0"/>
        <w:spacing w:line="360" w:lineRule="auto"/>
        <w:rPr>
          <w:rFonts w:hint="eastAsia" w:ascii="宋体" w:hAnsi="宋体" w:eastAsia="宋体" w:cs="宋体"/>
          <w:b/>
          <w:bCs/>
          <w:color w:val="auto"/>
          <w:sz w:val="24"/>
          <w:highlight w:val="none"/>
        </w:rPr>
      </w:pPr>
      <w:bookmarkStart w:id="98" w:name="_Toc19204036"/>
      <w:bookmarkStart w:id="99" w:name="_Toc22807"/>
      <w:r>
        <w:rPr>
          <w:rFonts w:hint="eastAsia" w:ascii="宋体" w:hAnsi="宋体" w:eastAsia="宋体" w:cs="宋体"/>
          <w:b/>
          <w:bCs/>
          <w:color w:val="auto"/>
          <w:sz w:val="24"/>
          <w:highlight w:val="none"/>
        </w:rPr>
        <w:t>7.7合同生效</w:t>
      </w:r>
      <w:bookmarkEnd w:id="98"/>
      <w:bookmarkEnd w:id="99"/>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在合同双方法定代表人或授权代表在合同协议书上签字，并分别加盖双方单位的公章或合同章后，合同正式生效。</w:t>
      </w:r>
    </w:p>
    <w:p>
      <w:pPr>
        <w:widowControl/>
        <w:spacing w:line="440" w:lineRule="exact"/>
        <w:rPr>
          <w:rFonts w:hint="eastAsia" w:ascii="宋体" w:hAnsi="宋体" w:eastAsia="宋体" w:cs="宋体"/>
          <w:b/>
          <w:bCs/>
          <w:color w:val="auto"/>
          <w:sz w:val="24"/>
          <w:highlight w:val="none"/>
        </w:rPr>
      </w:pPr>
      <w:bookmarkStart w:id="100" w:name="_Toc62725704"/>
      <w:bookmarkStart w:id="101" w:name="_Toc28870"/>
      <w:bookmarkStart w:id="102" w:name="_Toc18705"/>
      <w:bookmarkStart w:id="103" w:name="_Toc20616"/>
      <w:bookmarkStart w:id="104" w:name="_Toc28682"/>
      <w:bookmarkStart w:id="105" w:name="_Toc19204037"/>
      <w:bookmarkStart w:id="106" w:name="_Toc49436532"/>
      <w:bookmarkStart w:id="107" w:name="_Toc152045574"/>
      <w:bookmarkStart w:id="108" w:name="_Toc22585"/>
      <w:bookmarkStart w:id="109" w:name="_Toc247527599"/>
      <w:bookmarkStart w:id="110" w:name="_Toc247513998"/>
      <w:bookmarkStart w:id="111" w:name="_Toc677"/>
      <w:bookmarkStart w:id="112" w:name="_Toc144974542"/>
      <w:bookmarkStart w:id="113" w:name="_Toc45640632"/>
      <w:bookmarkStart w:id="114" w:name="_Toc30548"/>
      <w:bookmarkStart w:id="115" w:name="_Toc152042350"/>
      <w:r>
        <w:rPr>
          <w:rFonts w:hint="eastAsia" w:ascii="宋体" w:hAnsi="宋体" w:eastAsia="宋体" w:cs="宋体"/>
          <w:b/>
          <w:bCs/>
          <w:color w:val="auto"/>
          <w:sz w:val="24"/>
          <w:highlight w:val="none"/>
        </w:rPr>
        <w:t>8、纪律和监督</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wordWrap w:val="0"/>
        <w:adjustRightInd w:val="0"/>
        <w:snapToGrid w:val="0"/>
        <w:spacing w:line="360" w:lineRule="auto"/>
        <w:rPr>
          <w:rFonts w:hint="eastAsia" w:ascii="宋体" w:hAnsi="宋体" w:eastAsia="宋体" w:cs="宋体"/>
          <w:b/>
          <w:bCs/>
          <w:color w:val="auto"/>
          <w:sz w:val="24"/>
          <w:highlight w:val="none"/>
        </w:rPr>
      </w:pPr>
      <w:bookmarkStart w:id="116" w:name="_Toc247527600"/>
      <w:bookmarkStart w:id="117" w:name="_Toc247513999"/>
      <w:bookmarkStart w:id="118" w:name="_Toc144974543"/>
      <w:bookmarkStart w:id="119" w:name="_Toc7511"/>
      <w:bookmarkStart w:id="120" w:name="_Toc152045575"/>
      <w:bookmarkStart w:id="121" w:name="_Toc19204038"/>
      <w:bookmarkStart w:id="122" w:name="_Toc152042351"/>
      <w:r>
        <w:rPr>
          <w:rFonts w:hint="eastAsia" w:ascii="宋体" w:hAnsi="宋体" w:eastAsia="宋体" w:cs="宋体"/>
          <w:b/>
          <w:bCs/>
          <w:color w:val="auto"/>
          <w:sz w:val="24"/>
          <w:highlight w:val="none"/>
        </w:rPr>
        <w:t>8.1 对招标人的纪律要求</w:t>
      </w:r>
      <w:bookmarkEnd w:id="116"/>
      <w:bookmarkEnd w:id="117"/>
      <w:bookmarkEnd w:id="118"/>
      <w:bookmarkEnd w:id="119"/>
      <w:bookmarkEnd w:id="120"/>
      <w:bookmarkEnd w:id="121"/>
      <w:bookmarkEnd w:id="122"/>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招标人不得泄漏招标投标活动中应当保密的情况和资料，不得与投标人串通损害国家利益、社会公共利益或者他人合法权益。</w:t>
      </w:r>
    </w:p>
    <w:p>
      <w:pPr>
        <w:wordWrap w:val="0"/>
        <w:adjustRightInd w:val="0"/>
        <w:snapToGrid w:val="0"/>
        <w:spacing w:line="360" w:lineRule="auto"/>
        <w:rPr>
          <w:rFonts w:hint="eastAsia" w:ascii="宋体" w:hAnsi="宋体" w:eastAsia="宋体" w:cs="宋体"/>
          <w:b/>
          <w:bCs/>
          <w:color w:val="auto"/>
          <w:sz w:val="24"/>
          <w:highlight w:val="none"/>
        </w:rPr>
      </w:pPr>
      <w:bookmarkStart w:id="123" w:name="_Toc16825"/>
      <w:bookmarkStart w:id="124" w:name="_Toc152042352"/>
      <w:bookmarkStart w:id="125" w:name="_Toc144974544"/>
      <w:bookmarkStart w:id="126" w:name="_Toc247514000"/>
      <w:bookmarkStart w:id="127" w:name="_Toc152045576"/>
      <w:bookmarkStart w:id="128" w:name="_Toc19204039"/>
      <w:bookmarkStart w:id="129" w:name="_Toc247527601"/>
      <w:r>
        <w:rPr>
          <w:rFonts w:hint="eastAsia" w:ascii="宋体" w:hAnsi="宋体" w:eastAsia="宋体" w:cs="宋体"/>
          <w:b/>
          <w:bCs/>
          <w:color w:val="auto"/>
          <w:sz w:val="24"/>
          <w:highlight w:val="none"/>
        </w:rPr>
        <w:t>8.2 对投标人的纪律要求</w:t>
      </w:r>
      <w:bookmarkEnd w:id="123"/>
      <w:bookmarkEnd w:id="124"/>
      <w:bookmarkEnd w:id="125"/>
      <w:bookmarkEnd w:id="126"/>
      <w:bookmarkEnd w:id="127"/>
      <w:bookmarkEnd w:id="128"/>
      <w:bookmarkEnd w:id="129"/>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8.2.1在招标和合同实施期间，业主要求投标人和承包人遵守最高的道德标准。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8.2.2对本条款的规定，特定义如下词汇：</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（1）“腐败行为”是指在招标或合同执行期间，通过提供、给予、接受或索要任何有价值的东西，从而影响招标人有关人员工作的行为；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8.2.3如果投标人被认定在本招标的竞争中有腐败或欺诈行为，则会被取消投标资格。</w:t>
      </w:r>
    </w:p>
    <w:p>
      <w:pPr>
        <w:wordWrap w:val="0"/>
        <w:adjustRightInd w:val="0"/>
        <w:snapToGrid w:val="0"/>
        <w:spacing w:line="360" w:lineRule="auto"/>
        <w:rPr>
          <w:rFonts w:hint="eastAsia" w:ascii="宋体" w:hAnsi="宋体" w:eastAsia="宋体" w:cs="宋体"/>
          <w:b/>
          <w:bCs/>
          <w:color w:val="auto"/>
          <w:sz w:val="24"/>
          <w:highlight w:val="none"/>
        </w:rPr>
      </w:pPr>
      <w:bookmarkStart w:id="130" w:name="_Toc152045577"/>
      <w:bookmarkStart w:id="131" w:name="_Toc247514001"/>
      <w:bookmarkStart w:id="132" w:name="_Toc19204040"/>
      <w:bookmarkStart w:id="133" w:name="_Toc152042353"/>
      <w:bookmarkStart w:id="134" w:name="_Toc247527602"/>
      <w:bookmarkStart w:id="135" w:name="_Toc144974545"/>
      <w:bookmarkStart w:id="136" w:name="_Toc5266"/>
      <w:r>
        <w:rPr>
          <w:rFonts w:hint="eastAsia" w:ascii="宋体" w:hAnsi="宋体" w:eastAsia="宋体" w:cs="宋体"/>
          <w:b/>
          <w:bCs/>
          <w:color w:val="auto"/>
          <w:sz w:val="24"/>
          <w:highlight w:val="none"/>
        </w:rPr>
        <w:t>8.3 对评标委员会成员的纪律要求</w:t>
      </w:r>
      <w:bookmarkEnd w:id="130"/>
      <w:bookmarkEnd w:id="131"/>
      <w:bookmarkEnd w:id="132"/>
      <w:bookmarkEnd w:id="133"/>
      <w:bookmarkEnd w:id="134"/>
      <w:bookmarkEnd w:id="135"/>
      <w:bookmarkEnd w:id="136"/>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wordWrap w:val="0"/>
        <w:adjustRightInd w:val="0"/>
        <w:snapToGrid w:val="0"/>
        <w:spacing w:line="360" w:lineRule="auto"/>
        <w:rPr>
          <w:rFonts w:hint="eastAsia" w:ascii="宋体" w:hAnsi="宋体" w:eastAsia="宋体" w:cs="宋体"/>
          <w:b/>
          <w:bCs/>
          <w:color w:val="auto"/>
          <w:sz w:val="24"/>
          <w:highlight w:val="none"/>
        </w:rPr>
      </w:pPr>
      <w:bookmarkStart w:id="137" w:name="_Toc5295"/>
      <w:bookmarkStart w:id="138" w:name="_Toc152042354"/>
      <w:bookmarkStart w:id="139" w:name="_Toc247514002"/>
      <w:bookmarkStart w:id="140" w:name="_Toc19204041"/>
      <w:bookmarkStart w:id="141" w:name="_Toc152045578"/>
      <w:bookmarkStart w:id="142" w:name="_Toc247527603"/>
      <w:bookmarkStart w:id="143" w:name="_Toc144974546"/>
      <w:r>
        <w:rPr>
          <w:rFonts w:hint="eastAsia" w:ascii="宋体" w:hAnsi="宋体" w:eastAsia="宋体" w:cs="宋体"/>
          <w:b/>
          <w:bCs/>
          <w:color w:val="auto"/>
          <w:sz w:val="24"/>
          <w:highlight w:val="none"/>
        </w:rPr>
        <w:t>8.4 对与评标活动有关的工作人员的纪律要求</w:t>
      </w:r>
      <w:bookmarkEnd w:id="137"/>
      <w:bookmarkEnd w:id="138"/>
      <w:bookmarkEnd w:id="139"/>
      <w:bookmarkEnd w:id="140"/>
      <w:bookmarkEnd w:id="141"/>
      <w:bookmarkEnd w:id="142"/>
    </w:p>
    <w:p>
      <w:pPr>
        <w:wordWrap w:val="0"/>
        <w:adjustRightInd w:val="0"/>
        <w:snapToGrid w:val="0"/>
        <w:spacing w:line="360" w:lineRule="auto"/>
        <w:ind w:firstLine="420" w:firstLineChars="175"/>
        <w:rPr>
          <w:rFonts w:hint="eastAsia" w:ascii="宋体" w:hAnsi="宋体" w:eastAsia="宋体" w:cs="宋体"/>
          <w:color w:val="auto"/>
          <w:sz w:val="24"/>
          <w:highlight w:val="none"/>
        </w:rPr>
      </w:pPr>
      <w:bookmarkStart w:id="144" w:name="_Toc152042355"/>
      <w:r>
        <w:rPr>
          <w:rFonts w:hint="eastAsia" w:ascii="宋体" w:hAnsi="宋体" w:eastAsia="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44"/>
    </w:p>
    <w:p>
      <w:pPr>
        <w:wordWrap w:val="0"/>
        <w:adjustRightInd w:val="0"/>
        <w:snapToGrid w:val="0"/>
        <w:spacing w:line="360" w:lineRule="auto"/>
        <w:rPr>
          <w:rFonts w:hint="eastAsia" w:ascii="宋体" w:hAnsi="宋体" w:eastAsia="宋体" w:cs="宋体"/>
          <w:b/>
          <w:bCs/>
          <w:color w:val="auto"/>
          <w:sz w:val="24"/>
          <w:highlight w:val="none"/>
        </w:rPr>
      </w:pPr>
      <w:bookmarkStart w:id="145" w:name="_Toc247527604"/>
      <w:bookmarkStart w:id="146" w:name="_Toc152045579"/>
      <w:bookmarkStart w:id="147" w:name="_Toc152042356"/>
      <w:bookmarkStart w:id="148" w:name="_Toc247514003"/>
      <w:bookmarkStart w:id="149" w:name="_Toc21067"/>
      <w:bookmarkStart w:id="150" w:name="_Toc19204042"/>
      <w:r>
        <w:rPr>
          <w:rFonts w:hint="eastAsia" w:ascii="宋体" w:hAnsi="宋体" w:eastAsia="宋体" w:cs="宋体"/>
          <w:b/>
          <w:bCs/>
          <w:color w:val="auto"/>
          <w:sz w:val="24"/>
          <w:highlight w:val="none"/>
        </w:rPr>
        <w:t>8.5异议与投诉</w:t>
      </w:r>
      <w:bookmarkEnd w:id="143"/>
      <w:bookmarkEnd w:id="145"/>
      <w:bookmarkEnd w:id="146"/>
      <w:bookmarkEnd w:id="147"/>
      <w:bookmarkEnd w:id="148"/>
      <w:bookmarkEnd w:id="149"/>
      <w:bookmarkEnd w:id="150"/>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8.5.1如果投标人对此次招标活动有疑问，可依法向招标人或招标代理机构提出异议。招标人或招标代理机构应当依法给与答复，并将结果告知有关当事人。投标人认为招标文件的内容有异议的，可以在投标截止时间10日前以书面形式（加盖单位公章，且由法定代表人或其授权代表签字，电话咨询或传真或电邮形式无效,格式详见本章附件《招标项目异议书》）书面形式向招标人或者招标代理机构提出；招标人或者招标代理机构在收到异议之日起3日内作出答复。</w:t>
      </w:r>
    </w:p>
    <w:p>
      <w:pPr>
        <w:wordWrap w:val="0"/>
        <w:adjustRightInd w:val="0"/>
        <w:snapToGrid w:val="0"/>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lang w:eastAsia="zh-CN"/>
        </w:rPr>
        <w:t>广州水务环保技术有限公司</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地址：广州市荔湾区红楼路8号荔湾东海岸产业园3幢310室</w:t>
      </w:r>
    </w:p>
    <w:p>
      <w:pPr>
        <w:wordWrap w:val="0"/>
        <w:adjustRightInd w:val="0"/>
        <w:snapToGrid w:val="0"/>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val="en-US" w:eastAsia="zh-CN"/>
        </w:rPr>
        <w:t>510375</w:t>
      </w:r>
    </w:p>
    <w:p>
      <w:pPr>
        <w:wordWrap w:val="0"/>
        <w:adjustRightInd w:val="0"/>
        <w:snapToGrid w:val="0"/>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020-</w:t>
      </w:r>
      <w:r>
        <w:rPr>
          <w:rFonts w:hint="eastAsia" w:ascii="宋体" w:hAnsi="宋体" w:eastAsia="宋体" w:cs="宋体"/>
          <w:color w:val="auto"/>
          <w:sz w:val="24"/>
          <w:highlight w:val="none"/>
        </w:rPr>
        <w:t>3208</w:t>
      </w:r>
      <w:r>
        <w:rPr>
          <w:rFonts w:hint="eastAsia" w:ascii="宋体" w:hAnsi="宋体" w:eastAsia="宋体" w:cs="宋体"/>
          <w:color w:val="auto"/>
          <w:sz w:val="24"/>
          <w:highlight w:val="none"/>
          <w:lang w:val="en-US" w:eastAsia="zh-CN"/>
        </w:rPr>
        <w:t>4364</w:t>
      </w:r>
    </w:p>
    <w:p>
      <w:pPr>
        <w:wordWrap w:val="0"/>
        <w:adjustRightInd w:val="0"/>
        <w:snapToGrid w:val="0"/>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任工</w:t>
      </w:r>
    </w:p>
    <w:p>
      <w:pPr>
        <w:wordWrap w:val="0"/>
        <w:adjustRightInd w:val="0"/>
        <w:snapToGrid w:val="0"/>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lang w:eastAsia="zh-CN"/>
        </w:rPr>
        <w:t>广州市国际工程咨询有限公司</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地址：广州市寺右新马路111号五羊新城广场8楼</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邮编：510600</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电话：020-87386919-508</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张</w:t>
      </w:r>
      <w:r>
        <w:rPr>
          <w:rFonts w:hint="eastAsia" w:ascii="宋体" w:hAnsi="宋体" w:eastAsia="宋体" w:cs="宋体"/>
          <w:color w:val="auto"/>
          <w:sz w:val="24"/>
          <w:highlight w:val="none"/>
        </w:rPr>
        <w:t>工</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8.5.2投标人对开标有异议的，应当在开标现场提出，招标人或招标代理机构应当当场作出答复，并制作记录。</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8.5.3投标人对评标结果有异议的，可根据《中华人民共和国招标投标法》、《中华人民共和国招标投标法实施条例》及有关法规的规定，向招标人书面或者招标代理机构提出，但需对异议或投诉内容的真实性承担责任。异议必须是原件扫描件（书面形式的原件，并加盖投标人公章及由法定代表人或其授权代表签署或盖章）。</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8.5.4投标人对招标人或招标代理机构的答复不满意或他们未在规定时间内给予答复的，提出异议的投标人可以在答复期满后10日内，向招标监督管理机构投诉。</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招标监督管理机构：</w:t>
      </w:r>
      <w:r>
        <w:rPr>
          <w:rFonts w:hint="eastAsia" w:ascii="宋体" w:hAnsi="宋体" w:eastAsia="宋体" w:cs="宋体"/>
          <w:color w:val="auto"/>
          <w:sz w:val="24"/>
          <w:highlight w:val="none"/>
          <w:lang w:eastAsia="zh-CN"/>
        </w:rPr>
        <w:t>广州水务环保技术有限公司</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地址：广州市荔湾区红楼路8号荔湾东海岸产业园3幢310室</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电子邮箱：gzswhb20141217@163.com</w:t>
      </w:r>
    </w:p>
    <w:p>
      <w:pPr>
        <w:wordWrap w:val="0"/>
        <w:adjustRightInd w:val="0"/>
        <w:snapToGrid w:val="0"/>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020-</w:t>
      </w:r>
      <w:r>
        <w:rPr>
          <w:rFonts w:hint="eastAsia" w:ascii="宋体" w:hAnsi="宋体" w:eastAsia="宋体" w:cs="宋体"/>
          <w:color w:val="auto"/>
          <w:sz w:val="24"/>
          <w:highlight w:val="none"/>
        </w:rPr>
        <w:t>32084764</w:t>
      </w:r>
    </w:p>
    <w:p>
      <w:pPr>
        <w:pStyle w:val="3"/>
        <w:widowControl/>
        <w:spacing w:before="0" w:after="0" w:line="440" w:lineRule="exact"/>
        <w:rPr>
          <w:rFonts w:hint="eastAsia" w:ascii="宋体" w:hAnsi="宋体" w:eastAsia="宋体" w:cs="宋体"/>
          <w:color w:val="auto"/>
          <w:sz w:val="24"/>
          <w:szCs w:val="24"/>
          <w:highlight w:val="none"/>
        </w:rPr>
      </w:pPr>
      <w:bookmarkStart w:id="151" w:name="_Toc443505833"/>
      <w:bookmarkStart w:id="152" w:name="_Toc1137"/>
      <w:r>
        <w:rPr>
          <w:rFonts w:hint="eastAsia" w:ascii="宋体" w:hAnsi="宋体" w:eastAsia="宋体" w:cs="宋体"/>
          <w:color w:val="auto"/>
          <w:sz w:val="24"/>
          <w:szCs w:val="24"/>
          <w:highlight w:val="none"/>
        </w:rPr>
        <w:t>9、需要补充的其他内容</w:t>
      </w:r>
      <w:bookmarkEnd w:id="151"/>
      <w:bookmarkEnd w:id="152"/>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需要补充的其他内容：见投标人须知前附表。</w:t>
      </w:r>
    </w:p>
    <w:p>
      <w:pPr>
        <w:pStyle w:val="3"/>
        <w:widowControl/>
        <w:spacing w:before="0" w:after="0" w:line="360" w:lineRule="auto"/>
        <w:rPr>
          <w:rFonts w:hint="eastAsia" w:ascii="宋体" w:hAnsi="宋体" w:eastAsia="宋体" w:cs="宋体"/>
          <w:color w:val="auto"/>
          <w:sz w:val="24"/>
          <w:szCs w:val="24"/>
          <w:highlight w:val="none"/>
        </w:rPr>
      </w:pPr>
      <w:bookmarkStart w:id="153" w:name="_Toc28710"/>
      <w:bookmarkStart w:id="154" w:name="_Toc443505834"/>
      <w:r>
        <w:rPr>
          <w:rFonts w:hint="eastAsia" w:ascii="宋体" w:hAnsi="宋体" w:eastAsia="宋体" w:cs="宋体"/>
          <w:color w:val="auto"/>
          <w:sz w:val="24"/>
          <w:szCs w:val="24"/>
          <w:highlight w:val="none"/>
        </w:rPr>
        <w:t>10. 电子招标投标</w:t>
      </w:r>
      <w:bookmarkEnd w:id="153"/>
      <w:bookmarkEnd w:id="154"/>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本项目采用电子投标。有关全流程电子化项目的相关操作指南可自行在广州公共资源交易中心网站相关栏目下载，路径为广州公共资源交易中心网站&gt;服务指南&gt;系统帮助。</w:t>
      </w:r>
    </w:p>
    <w:p>
      <w:pPr>
        <w:spacing w:line="360" w:lineRule="auto"/>
        <w:outlineLvl w:val="2"/>
        <w:rPr>
          <w:rFonts w:hint="eastAsia" w:ascii="宋体" w:hAnsi="宋体" w:eastAsia="宋体" w:cs="宋体"/>
          <w:b/>
          <w:bCs/>
          <w:color w:val="auto"/>
          <w:sz w:val="24"/>
          <w:highlight w:val="none"/>
        </w:rPr>
      </w:pPr>
      <w:bookmarkStart w:id="155" w:name="_Toc10259"/>
      <w:bookmarkStart w:id="156" w:name="_Toc4035"/>
      <w:r>
        <w:rPr>
          <w:rFonts w:hint="eastAsia" w:ascii="宋体" w:hAnsi="宋体" w:eastAsia="宋体" w:cs="宋体"/>
          <w:b/>
          <w:bCs/>
          <w:color w:val="auto"/>
          <w:sz w:val="24"/>
          <w:highlight w:val="none"/>
        </w:rPr>
        <w:t>11.其它费用</w:t>
      </w:r>
      <w:bookmarkEnd w:id="155"/>
      <w:bookmarkEnd w:id="156"/>
    </w:p>
    <w:p>
      <w:pPr>
        <w:widowControl/>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color w:val="auto"/>
          <w:sz w:val="24"/>
          <w:szCs w:val="22"/>
          <w:highlight w:val="none"/>
          <w:lang w:bidi="ar"/>
        </w:rPr>
        <w:t>1、中标人代缴公共资源交易服务费，其费用包含在中标人投标报价中，交易中心向中标人开具增值税发票。交易服务费具体按广州公共资源交易中心相关规定执行（http://www.gzggzy.cn/fwznbszycwxg/850378.jhtml）</w:t>
      </w:r>
    </w:p>
    <w:p>
      <w:pPr>
        <w:widowControl/>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color w:val="auto"/>
          <w:sz w:val="24"/>
          <w:szCs w:val="22"/>
          <w:highlight w:val="none"/>
          <w:lang w:bidi="ar"/>
        </w:rPr>
        <w:t>2、招标代理服务费由中标人支付。招标代理服务费参照中华人民共和国国家发展计划委员会颁发的计价格[2002]1980号文规定计算，以中标价作为计费基数。</w:t>
      </w:r>
    </w:p>
    <w:p>
      <w:pPr>
        <w:widowControl/>
        <w:spacing w:line="440" w:lineRule="exact"/>
        <w:ind w:firstLine="480" w:firstLineChars="200"/>
        <w:rPr>
          <w:rFonts w:hint="eastAsia" w:ascii="宋体" w:hAnsi="宋体" w:eastAsia="宋体" w:cs="宋体"/>
          <w:color w:val="auto"/>
          <w:sz w:val="24"/>
          <w:szCs w:val="22"/>
          <w:highlight w:val="none"/>
          <w:lang w:bidi="ar"/>
        </w:rPr>
      </w:pPr>
    </w:p>
    <w:p>
      <w:pPr>
        <w:widowControl/>
        <w:spacing w:line="440" w:lineRule="exact"/>
        <w:ind w:firstLine="480" w:firstLineChars="200"/>
        <w:rPr>
          <w:rFonts w:hint="eastAsia" w:ascii="宋体" w:hAnsi="宋体" w:eastAsia="宋体" w:cs="宋体"/>
          <w:color w:val="auto"/>
          <w:sz w:val="24"/>
          <w:szCs w:val="22"/>
          <w:highlight w:val="none"/>
          <w:lang w:bidi="ar"/>
        </w:rPr>
        <w:sectPr>
          <w:footerReference r:id="rId5" w:type="default"/>
          <w:pgSz w:w="11905" w:h="16838"/>
          <w:pgMar w:top="1304" w:right="1417" w:bottom="1304" w:left="1417" w:header="850" w:footer="992" w:gutter="0"/>
          <w:pgNumType w:start="1"/>
          <w:cols w:space="0" w:num="1"/>
          <w:docGrid w:linePitch="320" w:charSpace="0"/>
        </w:sectPr>
      </w:pPr>
    </w:p>
    <w:p>
      <w:pPr>
        <w:pStyle w:val="4"/>
        <w:widowControl/>
        <w:spacing w:before="0" w:after="0" w:line="360" w:lineRule="auto"/>
        <w:ind w:firstLine="118"/>
        <w:rPr>
          <w:rFonts w:hint="eastAsia" w:ascii="宋体" w:eastAsia="宋体" w:cs="宋体"/>
          <w:color w:val="auto"/>
          <w:sz w:val="24"/>
          <w:szCs w:val="24"/>
          <w:highlight w:val="none"/>
        </w:rPr>
      </w:pPr>
      <w:r>
        <w:rPr>
          <w:rFonts w:hint="eastAsia" w:ascii="宋体" w:eastAsia="宋体" w:cs="宋体"/>
          <w:color w:val="auto"/>
          <w:sz w:val="24"/>
          <w:szCs w:val="24"/>
          <w:highlight w:val="none"/>
        </w:rPr>
        <w:t>附件一：开标记录表</w:t>
      </w:r>
    </w:p>
    <w:p>
      <w:pPr>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开标记录表</w:t>
      </w:r>
    </w:p>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（最终以广州公共资源交易中心系统生成格式为准）</w:t>
      </w:r>
    </w:p>
    <w:p>
      <w:pPr>
        <w:ind w:right="420"/>
        <w:jc w:val="right"/>
        <w:rPr>
          <w:rFonts w:hint="eastAsia" w:ascii="宋体" w:hAnsi="宋体" w:eastAsia="宋体" w:cs="宋体"/>
          <w:color w:val="auto"/>
          <w:highlight w:val="none"/>
        </w:rPr>
      </w:pPr>
      <w:r>
        <w:rPr>
          <w:rFonts w:hint="eastAsia" w:ascii="宋体" w:hAnsi="宋体" w:eastAsia="宋体" w:cs="宋体"/>
          <w:color w:val="auto"/>
          <w:szCs w:val="21"/>
          <w:highlight w:val="none"/>
          <w:lang w:bidi="ar"/>
        </w:rPr>
        <w:t xml:space="preserve">                                 </w:t>
      </w:r>
    </w:p>
    <w:tbl>
      <w:tblPr>
        <w:tblStyle w:val="37"/>
        <w:tblW w:w="14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432"/>
        <w:gridCol w:w="1094"/>
        <w:gridCol w:w="946"/>
        <w:gridCol w:w="900"/>
        <w:gridCol w:w="690"/>
        <w:gridCol w:w="810"/>
        <w:gridCol w:w="1065"/>
        <w:gridCol w:w="1065"/>
        <w:gridCol w:w="1050"/>
        <w:gridCol w:w="960"/>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bookmarkStart w:id="157" w:name="_Toc526952350"/>
            <w:r>
              <w:rPr>
                <w:rFonts w:hint="eastAsia" w:ascii="宋体" w:hAnsi="宋体" w:eastAsia="宋体" w:cs="宋体"/>
                <w:color w:val="auto"/>
                <w:szCs w:val="21"/>
                <w:highlight w:val="none"/>
              </w:rPr>
              <w:t>序号</w:t>
            </w:r>
          </w:p>
        </w:tc>
        <w:tc>
          <w:tcPr>
            <w:tcW w:w="34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投标文件递交情况</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有无递交投标担保</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投标文件解密情况</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06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项目经理</w:t>
            </w:r>
          </w:p>
        </w:tc>
        <w:tc>
          <w:tcPr>
            <w:tcW w:w="106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投标总价（含税）（元）</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投标单价（含税）（元/瓦)</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电脑机器特征码</w:t>
            </w:r>
          </w:p>
        </w:tc>
        <w:tc>
          <w:tcPr>
            <w:tcW w:w="108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3432"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3432"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3432"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3432"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hint="eastAsia" w:ascii="宋体" w:hAnsi="宋体" w:eastAsia="宋体" w:cs="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c>
          <w:tcPr>
            <w:tcW w:w="1083" w:type="dxa"/>
            <w:tcBorders>
              <w:top w:val="single" w:color="auto" w:sz="4" w:space="0"/>
              <w:left w:val="single" w:color="auto" w:sz="4" w:space="0"/>
              <w:bottom w:val="single" w:color="auto" w:sz="4" w:space="0"/>
              <w:right w:val="single" w:color="auto" w:sz="4" w:space="0"/>
            </w:tcBorders>
          </w:tcPr>
          <w:p>
            <w:pPr>
              <w:spacing w:line="620" w:lineRule="exact"/>
              <w:jc w:val="center"/>
              <w:rPr>
                <w:rFonts w:hint="eastAsia" w:ascii="宋体" w:hAnsi="宋体" w:eastAsia="宋体" w:cs="宋体"/>
                <w:color w:val="auto"/>
                <w:szCs w:val="21"/>
                <w:highlight w:val="none"/>
              </w:rPr>
            </w:pPr>
          </w:p>
        </w:tc>
      </w:tr>
    </w:tbl>
    <w:p>
      <w:pPr>
        <w:rPr>
          <w:rFonts w:hint="eastAsia" w:ascii="宋体" w:hAnsi="宋体" w:eastAsia="宋体" w:cs="宋体"/>
          <w:b/>
          <w:color w:val="auto"/>
          <w:szCs w:val="21"/>
          <w:highlight w:val="none"/>
          <w:u w:val="single"/>
          <w:lang w:bidi="ar"/>
        </w:rPr>
      </w:pPr>
      <w:r>
        <w:rPr>
          <w:rFonts w:hint="eastAsia" w:ascii="宋体" w:hAnsi="宋体" w:eastAsia="宋体" w:cs="宋体"/>
          <w:b/>
          <w:color w:val="auto"/>
          <w:szCs w:val="21"/>
          <w:highlight w:val="none"/>
          <w:lang w:bidi="ar"/>
        </w:rPr>
        <w:t>招标代理代表：</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 xml:space="preserve">              招标人代表：</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 xml:space="preserve">             交易中心见证人：</w:t>
      </w:r>
      <w:bookmarkEnd w:id="157"/>
      <w:r>
        <w:rPr>
          <w:rFonts w:hint="eastAsia" w:ascii="宋体" w:hAnsi="宋体" w:eastAsia="宋体" w:cs="宋体"/>
          <w:b/>
          <w:color w:val="auto"/>
          <w:szCs w:val="21"/>
          <w:highlight w:val="none"/>
          <w:u w:val="single"/>
          <w:lang w:bidi="ar"/>
        </w:rPr>
        <w:t xml:space="preserve">              </w:t>
      </w:r>
    </w:p>
    <w:p>
      <w:pPr>
        <w:rPr>
          <w:rFonts w:hint="eastAsia" w:ascii="宋体" w:hAnsi="宋体" w:eastAsia="宋体" w:cs="宋体"/>
          <w:color w:val="auto"/>
          <w:highlight w:val="none"/>
          <w:lang w:bidi="ar"/>
        </w:rPr>
      </w:pPr>
    </w:p>
    <w:p>
      <w:pPr>
        <w:rPr>
          <w:rFonts w:hint="eastAsia" w:ascii="宋体" w:hAnsi="宋体" w:eastAsia="宋体" w:cs="宋体"/>
          <w:color w:val="auto"/>
          <w:highlight w:val="none"/>
          <w:lang w:bidi="ar"/>
        </w:rPr>
        <w:sectPr>
          <w:pgSz w:w="16838" w:h="11905" w:orient="landscape"/>
          <w:pgMar w:top="1417" w:right="1304" w:bottom="1417" w:left="1304" w:header="850" w:footer="992" w:gutter="0"/>
          <w:cols w:space="0" w:num="1"/>
          <w:docGrid w:linePitch="320" w:charSpace="0"/>
        </w:sectPr>
      </w:pPr>
    </w:p>
    <w:p>
      <w:pPr>
        <w:pStyle w:val="4"/>
        <w:spacing w:before="0" w:after="0" w:line="360" w:lineRule="auto"/>
        <w:ind w:firstLine="0" w:firstLineChars="0"/>
        <w:rPr>
          <w:rFonts w:hint="eastAsia" w:ascii="宋体" w:eastAsia="宋体" w:cs="宋体"/>
          <w:color w:val="auto"/>
          <w:sz w:val="24"/>
          <w:szCs w:val="24"/>
          <w:highlight w:val="none"/>
        </w:rPr>
      </w:pPr>
      <w:bookmarkStart w:id="158" w:name="_Toc152045582"/>
      <w:bookmarkStart w:id="159" w:name="_Toc300835003"/>
      <w:bookmarkStart w:id="160" w:name="_Toc18313"/>
      <w:bookmarkStart w:id="161" w:name="_Toc28287"/>
      <w:bookmarkStart w:id="162" w:name="_Toc1835652"/>
      <w:bookmarkStart w:id="163" w:name="_Toc247514006"/>
      <w:bookmarkStart w:id="164" w:name="_Toc86417768"/>
      <w:bookmarkStart w:id="165" w:name="_Toc152042359"/>
      <w:bookmarkStart w:id="166" w:name="_Toc247527607"/>
      <w:bookmarkStart w:id="167" w:name="_Toc356469229"/>
      <w:bookmarkStart w:id="168" w:name="_Toc144974549"/>
      <w:bookmarkStart w:id="169" w:name="_Toc357089563"/>
      <w:r>
        <w:rPr>
          <w:rFonts w:hint="eastAsia" w:ascii="宋体" w:eastAsia="宋体" w:cs="宋体"/>
          <w:color w:val="auto"/>
          <w:sz w:val="24"/>
          <w:szCs w:val="24"/>
          <w:highlight w:val="none"/>
        </w:rPr>
        <w:t>附件二：问题澄清通知</w:t>
      </w:r>
      <w:bookmarkEnd w:id="158"/>
      <w:bookmarkEnd w:id="159"/>
      <w:bookmarkEnd w:id="160"/>
      <w:bookmarkEnd w:id="161"/>
      <w:bookmarkEnd w:id="162"/>
      <w:bookmarkEnd w:id="163"/>
      <w:bookmarkEnd w:id="164"/>
      <w:bookmarkEnd w:id="165"/>
      <w:bookmarkEnd w:id="166"/>
      <w:bookmarkEnd w:id="167"/>
      <w:bookmarkEnd w:id="168"/>
      <w:bookmarkEnd w:id="169"/>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问题的澄清通知</w:t>
      </w:r>
    </w:p>
    <w:p>
      <w:pPr>
        <w:jc w:val="center"/>
        <w:rPr>
          <w:rFonts w:hint="eastAsia" w:ascii="宋体" w:hAnsi="宋体" w:eastAsia="宋体" w:cs="宋体"/>
          <w:b/>
          <w:bCs/>
          <w:color w:val="auto"/>
          <w:sz w:val="24"/>
          <w:highlight w:val="none"/>
        </w:rPr>
      </w:pPr>
      <w:bookmarkStart w:id="170" w:name="OLE_LINK1"/>
      <w:r>
        <w:rPr>
          <w:rFonts w:hint="eastAsia" w:ascii="宋体" w:hAnsi="宋体" w:eastAsia="宋体" w:cs="宋体"/>
          <w:b/>
          <w:bCs/>
          <w:color w:val="auto"/>
          <w:sz w:val="24"/>
          <w:highlight w:val="none"/>
        </w:rPr>
        <w:t>（按广州公共资源交易中心的版式为准）</w:t>
      </w:r>
    </w:p>
    <w:bookmarkEnd w:id="170"/>
    <w:p>
      <w:pPr>
        <w:pStyle w:val="4"/>
        <w:spacing w:before="0" w:after="0" w:line="360" w:lineRule="auto"/>
        <w:rPr>
          <w:rFonts w:hint="eastAsia" w:ascii="宋体" w:eastAsia="宋体" w:cs="宋体"/>
          <w:color w:val="auto"/>
          <w:highlight w:val="none"/>
        </w:rPr>
      </w:pPr>
      <w:r>
        <w:rPr>
          <w:rFonts w:hint="eastAsia" w:ascii="宋体" w:eastAsia="宋体" w:cs="宋体"/>
          <w:color w:val="auto"/>
          <w:highlight w:val="none"/>
        </w:rPr>
        <w:br w:type="page"/>
      </w:r>
      <w:bookmarkStart w:id="171" w:name="_Toc247514007"/>
      <w:bookmarkStart w:id="172" w:name="_Toc247527608"/>
      <w:bookmarkStart w:id="173" w:name="_Toc21326"/>
      <w:bookmarkStart w:id="174" w:name="_Toc4583"/>
      <w:bookmarkStart w:id="175" w:name="_Toc152045583"/>
      <w:bookmarkStart w:id="176" w:name="_Toc86417769"/>
      <w:bookmarkStart w:id="177" w:name="_Toc356469230"/>
      <w:bookmarkStart w:id="178" w:name="_Toc152042360"/>
      <w:bookmarkStart w:id="179" w:name="_Toc300835004"/>
      <w:bookmarkStart w:id="180" w:name="_Toc144974550"/>
      <w:bookmarkStart w:id="181" w:name="_Toc357089564"/>
      <w:bookmarkStart w:id="182" w:name="_Toc1835653"/>
      <w:r>
        <w:rPr>
          <w:rFonts w:hint="eastAsia" w:ascii="宋体" w:eastAsia="宋体" w:cs="宋体"/>
          <w:color w:val="auto"/>
          <w:sz w:val="24"/>
          <w:szCs w:val="24"/>
          <w:highlight w:val="none"/>
        </w:rPr>
        <w:t>附件三：问题的澄清</w:t>
      </w:r>
      <w:bookmarkEnd w:id="171"/>
      <w:bookmarkEnd w:id="172"/>
      <w:bookmarkEnd w:id="173"/>
      <w:bookmarkEnd w:id="174"/>
      <w:bookmarkEnd w:id="175"/>
      <w:bookmarkEnd w:id="176"/>
      <w:bookmarkEnd w:id="177"/>
      <w:bookmarkEnd w:id="178"/>
      <w:bookmarkEnd w:id="179"/>
      <w:bookmarkEnd w:id="180"/>
      <w:bookmarkEnd w:id="181"/>
      <w:bookmarkEnd w:id="182"/>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问题的澄清</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（按广州公共资源交易中心的版式为准）</w:t>
      </w:r>
    </w:p>
    <w:p>
      <w:pPr>
        <w:pStyle w:val="4"/>
        <w:spacing w:before="0" w:after="0" w:line="360" w:lineRule="auto"/>
        <w:rPr>
          <w:rFonts w:hint="eastAsia" w:ascii="宋体" w:eastAsia="宋体" w:cs="宋体"/>
          <w:color w:val="auto"/>
          <w:highlight w:val="none"/>
        </w:rPr>
      </w:pPr>
      <w:r>
        <w:rPr>
          <w:rFonts w:hint="eastAsia" w:ascii="宋体" w:eastAsia="宋体" w:cs="宋体"/>
          <w:color w:val="auto"/>
          <w:highlight w:val="none"/>
        </w:rPr>
        <w:br w:type="page"/>
      </w:r>
      <w:bookmarkStart w:id="183" w:name="_Toc300835005"/>
      <w:bookmarkStart w:id="184" w:name="_Toc247514008"/>
      <w:bookmarkStart w:id="185" w:name="_Toc86417770"/>
      <w:bookmarkStart w:id="186" w:name="_Toc152045584"/>
      <w:bookmarkStart w:id="187" w:name="_Toc144974551"/>
      <w:bookmarkStart w:id="188" w:name="_Toc24224"/>
      <w:bookmarkStart w:id="189" w:name="_Toc9"/>
      <w:bookmarkStart w:id="190" w:name="_Toc152042361"/>
      <w:bookmarkStart w:id="191" w:name="_Toc357089565"/>
      <w:bookmarkStart w:id="192" w:name="_Toc1835654"/>
      <w:bookmarkStart w:id="193" w:name="_Toc356469231"/>
      <w:bookmarkStart w:id="194" w:name="_Toc247527609"/>
      <w:r>
        <w:rPr>
          <w:rFonts w:hint="eastAsia" w:ascii="宋体" w:eastAsia="宋体" w:cs="宋体"/>
          <w:color w:val="auto"/>
          <w:sz w:val="24"/>
          <w:szCs w:val="24"/>
          <w:highlight w:val="none"/>
        </w:rPr>
        <w:t>附件四：中标通知书</w:t>
      </w:r>
      <w:bookmarkEnd w:id="183"/>
      <w:bookmarkEnd w:id="184"/>
      <w:bookmarkEnd w:id="185"/>
      <w:bookmarkEnd w:id="186"/>
      <w:bookmarkEnd w:id="187"/>
      <w:bookmarkEnd w:id="188"/>
      <w:bookmarkEnd w:id="189"/>
      <w:bookmarkEnd w:id="190"/>
      <w:bookmarkEnd w:id="191"/>
      <w:bookmarkEnd w:id="192"/>
      <w:bookmarkEnd w:id="193"/>
      <w:bookmarkEnd w:id="194"/>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中标通知书</w:t>
      </w:r>
    </w:p>
    <w:p>
      <w:pPr>
        <w:spacing w:line="360" w:lineRule="auto"/>
        <w:jc w:val="center"/>
        <w:rPr>
          <w:rFonts w:hint="eastAsia" w:ascii="宋体" w:hAnsi="宋体" w:eastAsia="宋体" w:cs="宋体"/>
          <w:bCs/>
          <w:color w:val="auto"/>
          <w:sz w:val="32"/>
          <w:szCs w:val="32"/>
          <w:highlight w:val="none"/>
        </w:rPr>
        <w:sectPr>
          <w:pgSz w:w="11905" w:h="16838"/>
          <w:pgMar w:top="1304" w:right="1417" w:bottom="1304" w:left="1417" w:header="850" w:footer="992" w:gutter="0"/>
          <w:cols w:space="0" w:num="1"/>
          <w:docGrid w:linePitch="316" w:charSpace="0"/>
        </w:sectPr>
      </w:pPr>
      <w:r>
        <w:rPr>
          <w:rFonts w:hint="eastAsia" w:ascii="宋体" w:hAnsi="宋体" w:eastAsia="宋体" w:cs="宋体"/>
          <w:b/>
          <w:color w:val="auto"/>
          <w:sz w:val="24"/>
          <w:highlight w:val="none"/>
        </w:rPr>
        <w:t>（以广州公共资源交易中心）出具格式为准）</w:t>
      </w:r>
    </w:p>
    <w:p>
      <w:pPr>
        <w:pStyle w:val="2"/>
        <w:wordWrap w:val="0"/>
        <w:spacing w:before="0" w:after="0" w:line="360" w:lineRule="auto"/>
        <w:jc w:val="center"/>
        <w:rPr>
          <w:rFonts w:hint="eastAsia" w:ascii="宋体" w:hAnsi="宋体" w:eastAsia="宋体" w:cs="宋体"/>
          <w:color w:val="auto"/>
          <w:sz w:val="36"/>
          <w:szCs w:val="36"/>
          <w:highlight w:val="none"/>
        </w:rPr>
      </w:pPr>
      <w:bookmarkStart w:id="195" w:name="_Toc17174"/>
      <w:bookmarkStart w:id="196" w:name="_Toc21641"/>
      <w:bookmarkStart w:id="197" w:name="_Toc24072"/>
      <w:bookmarkStart w:id="198" w:name="_Toc16320"/>
      <w:bookmarkStart w:id="199" w:name="_Toc11787"/>
      <w:bookmarkStart w:id="200" w:name="_Toc2920"/>
      <w:bookmarkStart w:id="201" w:name="_Toc1393"/>
      <w:bookmarkStart w:id="202" w:name="_Toc22599"/>
      <w:bookmarkStart w:id="203" w:name="_Toc45640636"/>
      <w:bookmarkStart w:id="204" w:name="_Toc25020"/>
      <w:bookmarkStart w:id="205" w:name="_Toc49436536"/>
      <w:bookmarkStart w:id="206" w:name="_Toc62725708"/>
      <w:bookmarkStart w:id="207" w:name="_Toc25599"/>
      <w:bookmarkStart w:id="208" w:name="_Toc443505835"/>
      <w:r>
        <w:rPr>
          <w:rFonts w:hint="eastAsia" w:ascii="宋体" w:hAnsi="宋体" w:eastAsia="宋体" w:cs="宋体"/>
          <w:color w:val="auto"/>
          <w:sz w:val="36"/>
          <w:szCs w:val="36"/>
          <w:highlight w:val="none"/>
        </w:rPr>
        <w:t>第三章 开标、评标办法</w:t>
      </w:r>
      <w:bookmarkEnd w:id="195"/>
      <w:bookmarkEnd w:id="196"/>
      <w:bookmarkEnd w:id="197"/>
      <w:bookmarkEnd w:id="198"/>
      <w:bookmarkEnd w:id="199"/>
      <w:bookmarkEnd w:id="200"/>
    </w:p>
    <w:bookmarkEnd w:id="201"/>
    <w:bookmarkEnd w:id="202"/>
    <w:bookmarkEnd w:id="203"/>
    <w:bookmarkEnd w:id="204"/>
    <w:bookmarkEnd w:id="205"/>
    <w:bookmarkEnd w:id="206"/>
    <w:bookmarkEnd w:id="207"/>
    <w:bookmarkEnd w:id="208"/>
    <w:p>
      <w:pPr>
        <w:pStyle w:val="3"/>
        <w:spacing w:before="0" w:after="0" w:line="360" w:lineRule="auto"/>
        <w:ind w:firstLine="136"/>
        <w:jc w:val="center"/>
        <w:rPr>
          <w:rFonts w:hint="eastAsia" w:ascii="宋体" w:hAnsi="宋体" w:eastAsia="宋体" w:cs="宋体"/>
          <w:color w:val="auto"/>
          <w:sz w:val="30"/>
          <w:szCs w:val="30"/>
          <w:highlight w:val="none"/>
        </w:rPr>
      </w:pPr>
      <w:bookmarkStart w:id="209" w:name="_Toc18322"/>
      <w:bookmarkStart w:id="210" w:name="_Toc31747"/>
      <w:bookmarkStart w:id="211" w:name="_Toc15237"/>
      <w:bookmarkStart w:id="212" w:name="_Toc443505841"/>
      <w:r>
        <w:rPr>
          <w:rFonts w:hint="eastAsia" w:ascii="宋体" w:hAnsi="宋体" w:eastAsia="宋体" w:cs="宋体"/>
          <w:color w:val="auto"/>
          <w:sz w:val="30"/>
          <w:szCs w:val="30"/>
          <w:highlight w:val="none"/>
        </w:rPr>
        <w:t>一、总则</w:t>
      </w:r>
      <w:bookmarkEnd w:id="209"/>
      <w:bookmarkEnd w:id="210"/>
      <w:bookmarkEnd w:id="211"/>
    </w:p>
    <w:p>
      <w:pPr>
        <w:pStyle w:val="5"/>
        <w:spacing w:before="0" w:after="0" w:line="360" w:lineRule="auto"/>
        <w:rPr>
          <w:rFonts w:hint="eastAsia" w:ascii="宋体" w:hAnsi="宋体" w:eastAsia="宋体" w:cs="宋体"/>
          <w:color w:val="auto"/>
          <w:sz w:val="24"/>
          <w:szCs w:val="24"/>
          <w:highlight w:val="none"/>
        </w:rPr>
      </w:pPr>
      <w:bookmarkStart w:id="213" w:name="_Toc45640638"/>
      <w:bookmarkStart w:id="214" w:name="_Toc15848"/>
      <w:bookmarkStart w:id="215" w:name="_Toc24428"/>
      <w:bookmarkStart w:id="216" w:name="_Toc15765"/>
      <w:bookmarkStart w:id="217" w:name="_Toc19204047"/>
      <w:bookmarkStart w:id="218" w:name="_Toc10453"/>
      <w:bookmarkStart w:id="219" w:name="_Toc49436538"/>
      <w:bookmarkStart w:id="220" w:name="_Toc19264"/>
      <w:bookmarkStart w:id="221" w:name="_Toc62725710"/>
      <w:r>
        <w:rPr>
          <w:rFonts w:hint="eastAsia" w:ascii="宋体" w:hAnsi="宋体" w:eastAsia="宋体" w:cs="宋体"/>
          <w:color w:val="auto"/>
          <w:sz w:val="24"/>
          <w:szCs w:val="24"/>
          <w:highlight w:val="none"/>
        </w:rPr>
        <w:t>1、开标、评标及定标所依据的规则</w:t>
      </w:r>
      <w:bookmarkEnd w:id="213"/>
      <w:bookmarkEnd w:id="214"/>
      <w:bookmarkEnd w:id="215"/>
      <w:bookmarkEnd w:id="216"/>
      <w:bookmarkEnd w:id="217"/>
      <w:bookmarkEnd w:id="218"/>
      <w:bookmarkEnd w:id="219"/>
      <w:bookmarkEnd w:id="220"/>
      <w:bookmarkEnd w:id="221"/>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1.1《中华人民共和国招标投标法》；</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1.2《中华人民共和国招标投标法实施条例》；</w:t>
      </w:r>
    </w:p>
    <w:p>
      <w:pPr>
        <w:wordWrap w:val="0"/>
        <w:adjustRightInd w:val="0"/>
        <w:snapToGrid w:val="0"/>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1.3《评标委员会和评标方法暂行规定》（七部委第12号令）</w:t>
      </w:r>
      <w:r>
        <w:rPr>
          <w:rFonts w:hint="eastAsia" w:ascii="宋体" w:hAnsi="宋体" w:eastAsia="宋体" w:cs="宋体"/>
          <w:color w:val="auto"/>
          <w:sz w:val="24"/>
          <w:highlight w:val="none"/>
          <w:lang w:eastAsia="zh-CN"/>
        </w:rPr>
        <w:t>；</w:t>
      </w:r>
    </w:p>
    <w:p>
      <w:pPr>
        <w:wordWrap w:val="0"/>
        <w:adjustRightInd w:val="0"/>
        <w:snapToGrid w:val="0"/>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1.4《工程建设项目施工招标投标办法》（七部委2003年第30号令）</w:t>
      </w:r>
      <w:r>
        <w:rPr>
          <w:rFonts w:hint="eastAsia" w:ascii="宋体" w:hAnsi="宋体" w:eastAsia="宋体" w:cs="宋体"/>
          <w:color w:val="auto"/>
          <w:sz w:val="24"/>
          <w:highlight w:val="none"/>
          <w:lang w:eastAsia="zh-CN"/>
        </w:rPr>
        <w:t>；</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1.5《广东省实施〈中华人民共和国招标投标法〉办法》；</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1.6《广东省加强建设工程招标投标监督管理的若干规定》（粤发〔2004〕4号）；</w:t>
      </w:r>
    </w:p>
    <w:p>
      <w:pPr>
        <w:pStyle w:val="36"/>
        <w:ind w:firstLineChars="175"/>
        <w:rPr>
          <w:rFonts w:hint="eastAsia" w:ascii="宋体" w:hAnsi="宋体" w:cs="宋体"/>
          <w:color w:val="auto"/>
          <w:highlight w:val="none"/>
        </w:rPr>
      </w:pPr>
      <w:r>
        <w:rPr>
          <w:rFonts w:hint="eastAsia" w:ascii="宋体" w:hAnsi="宋体" w:cs="宋体"/>
          <w:color w:val="auto"/>
          <w:sz w:val="24"/>
          <w:highlight w:val="none"/>
        </w:rPr>
        <w:t>1.7《广州市工程建设项目招标投标管理办法》（穗建规字〔2023〕12号）。</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1.8本项目招标文件。</w:t>
      </w:r>
    </w:p>
    <w:p>
      <w:pPr>
        <w:pStyle w:val="5"/>
        <w:spacing w:before="0" w:after="0" w:line="360" w:lineRule="auto"/>
        <w:rPr>
          <w:rFonts w:hint="eastAsia" w:ascii="宋体" w:hAnsi="宋体" w:eastAsia="宋体" w:cs="宋体"/>
          <w:color w:val="auto"/>
          <w:sz w:val="24"/>
          <w:szCs w:val="24"/>
          <w:highlight w:val="none"/>
        </w:rPr>
      </w:pPr>
      <w:bookmarkStart w:id="222" w:name="_Toc10126"/>
      <w:bookmarkStart w:id="223" w:name="_Toc62725711"/>
      <w:bookmarkStart w:id="224" w:name="_Toc23093"/>
      <w:bookmarkStart w:id="225" w:name="_Toc49436539"/>
      <w:bookmarkStart w:id="226" w:name="_Toc7170"/>
      <w:bookmarkStart w:id="227" w:name="_Toc615"/>
      <w:bookmarkStart w:id="228" w:name="_Toc2491"/>
      <w:bookmarkStart w:id="229" w:name="_Toc45640639"/>
      <w:bookmarkStart w:id="230" w:name="_Toc19204048"/>
      <w:bookmarkStart w:id="231" w:name="_Toc10638"/>
      <w:r>
        <w:rPr>
          <w:rFonts w:hint="eastAsia" w:ascii="宋体" w:hAnsi="宋体" w:eastAsia="宋体" w:cs="宋体"/>
          <w:color w:val="auto"/>
          <w:sz w:val="24"/>
          <w:szCs w:val="24"/>
          <w:highlight w:val="none"/>
        </w:rPr>
        <w:t>2、开标</w:t>
      </w:r>
      <w:bookmarkEnd w:id="222"/>
      <w:bookmarkEnd w:id="223"/>
      <w:bookmarkEnd w:id="224"/>
      <w:bookmarkEnd w:id="225"/>
      <w:bookmarkEnd w:id="226"/>
      <w:bookmarkEnd w:id="227"/>
      <w:bookmarkEnd w:id="228"/>
      <w:bookmarkEnd w:id="229"/>
      <w:bookmarkEnd w:id="230"/>
      <w:bookmarkEnd w:id="231"/>
    </w:p>
    <w:p>
      <w:pPr>
        <w:wordWrap w:val="0"/>
        <w:adjustRightInd w:val="0"/>
        <w:snapToGrid w:val="0"/>
        <w:spacing w:line="360" w:lineRule="auto"/>
        <w:ind w:firstLine="420" w:firstLineChars="175"/>
        <w:rPr>
          <w:rFonts w:hint="eastAsia" w:ascii="宋体" w:hAnsi="宋体" w:eastAsia="宋体" w:cs="宋体"/>
          <w:color w:val="auto"/>
          <w:sz w:val="24"/>
          <w:highlight w:val="none"/>
        </w:rPr>
      </w:pPr>
      <w:bookmarkStart w:id="232" w:name="_Toc7714"/>
      <w:bookmarkStart w:id="233" w:name="_Toc9511"/>
      <w:bookmarkStart w:id="234" w:name="_Toc29370"/>
      <w:bookmarkStart w:id="235" w:name="_Toc19204049"/>
      <w:bookmarkStart w:id="236" w:name="_Toc10178"/>
      <w:bookmarkStart w:id="237" w:name="_Toc9732"/>
      <w:bookmarkStart w:id="238" w:name="_Toc15440"/>
      <w:bookmarkStart w:id="239" w:name="_Toc45640640"/>
      <w:bookmarkStart w:id="240" w:name="_Toc49436540"/>
      <w:bookmarkStart w:id="241" w:name="_Toc62725712"/>
      <w:r>
        <w:rPr>
          <w:rFonts w:hint="eastAsia" w:ascii="宋体" w:hAnsi="宋体" w:eastAsia="宋体" w:cs="宋体"/>
          <w:color w:val="auto"/>
          <w:sz w:val="24"/>
          <w:highlight w:val="none"/>
        </w:rPr>
        <w:t>2.1 招标人按投标人须知前附表所规定的时间和地点公开开标，并邀请所有投标人的法定代表人或其委托代理人准时参加。投标人可选择在开标室参与开标或准时在线参加开标，也可不参加开标。参加在线开标的投标人登录交易平台实时查看开标、唱标情况。</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2.2 逾期送达的投标文件，广州公共资源交易中心交易平台将予以拒收。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2.3递交投标文件的投标单位不足三家，则重新组织招标。</w:t>
      </w:r>
    </w:p>
    <w:p>
      <w:pPr>
        <w:wordWrap w:val="0"/>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3、评标</w:t>
      </w:r>
      <w:bookmarkEnd w:id="232"/>
      <w:bookmarkEnd w:id="233"/>
      <w:bookmarkEnd w:id="234"/>
      <w:bookmarkEnd w:id="235"/>
      <w:bookmarkEnd w:id="236"/>
      <w:bookmarkEnd w:id="237"/>
      <w:bookmarkEnd w:id="238"/>
      <w:bookmarkEnd w:id="239"/>
      <w:bookmarkEnd w:id="240"/>
      <w:bookmarkEnd w:id="241"/>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 评标委员会由招标人依法组建，负责评标活动。招标人参加或派代表参加评标委员会的，应当具备国家和省规定的评标专家条件和要求，人数不超过评标委员会人数的三分之一，且不得担任评标委员会负责人，不得接受评标报酬，评标过程中不得以任何方式影响其他评标专家独立评标。</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3.2评标委员会的职责及守则：</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3.2.1根据评标细则，对标书进行认真评审，完成评审报告；</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3.2.2向业主报告评审意见，推荐合格的中标候选人。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3.2.3 所有参加评标人员必须遵守国家、地方政府制定的有关工程招标投标的法则、规定，遵守有关工程招标投标的保密制度；如有违反者，给予行政处分；情节严重，构成犯罪的，由司法机关依法追究其刑事责任。</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3.2.4全体参与评标人员：</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（1）必须遵守评标纪律、不得泄密；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（2）必须公正、不得循私；</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（3）必须科学、不得草率；</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（4）必须客观、不得带有成见；</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（5）必须平等、不得强加于人；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（6）必须严谨、不得随意马虎。</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 评标结束后，评标委员会提交评标报告并依法推荐中标候选人。</w:t>
      </w:r>
    </w:p>
    <w:p>
      <w:pPr>
        <w:wordWrap w:val="0"/>
        <w:adjustRightInd w:val="0"/>
        <w:snapToGrid w:val="0"/>
        <w:spacing w:line="360" w:lineRule="auto"/>
        <w:rPr>
          <w:rFonts w:hint="eastAsia" w:ascii="宋体" w:hAnsi="宋体" w:eastAsia="宋体" w:cs="宋体"/>
          <w:b/>
          <w:bCs/>
          <w:color w:val="auto"/>
          <w:sz w:val="24"/>
          <w:highlight w:val="none"/>
        </w:rPr>
      </w:pPr>
      <w:bookmarkStart w:id="242" w:name="_Toc10858"/>
      <w:bookmarkStart w:id="243" w:name="_Toc4797"/>
      <w:bookmarkStart w:id="244" w:name="_Toc18906"/>
      <w:bookmarkStart w:id="245" w:name="_Toc49436541"/>
      <w:bookmarkStart w:id="246" w:name="_Toc45640641"/>
      <w:bookmarkStart w:id="247" w:name="_Toc62725713"/>
      <w:bookmarkStart w:id="248" w:name="_Toc19204050"/>
      <w:bookmarkStart w:id="249" w:name="_Toc16620"/>
      <w:r>
        <w:rPr>
          <w:rFonts w:hint="eastAsia" w:ascii="宋体" w:hAnsi="宋体" w:eastAsia="宋体" w:cs="宋体"/>
          <w:b/>
          <w:bCs/>
          <w:color w:val="auto"/>
          <w:sz w:val="24"/>
          <w:highlight w:val="none"/>
        </w:rPr>
        <w:t>4、投标文件的澄清</w:t>
      </w:r>
      <w:bookmarkEnd w:id="242"/>
      <w:bookmarkEnd w:id="243"/>
      <w:bookmarkEnd w:id="244"/>
      <w:bookmarkEnd w:id="245"/>
      <w:bookmarkEnd w:id="246"/>
      <w:bookmarkEnd w:id="247"/>
      <w:bookmarkEnd w:id="248"/>
      <w:bookmarkEnd w:id="249"/>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4.2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4.3评标委员会或评标委员会专业评审组成员均应当阅读投标人的澄清，但应独立参考澄清对投标文件进行评审，整个澄清的过程不得存在排斥潜在投标人的现象。</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4.4如果投标文件实质上不响应招标文件的各项要求，评标委员会将按照有效性审查标准予以拒绝，不接受投标人通过修改或撤销其不符合要求的差异或保留，使之成为具有响应性的投标。</w:t>
      </w:r>
    </w:p>
    <w:p>
      <w:pPr>
        <w:wordWrap w:val="0"/>
        <w:adjustRightInd w:val="0"/>
        <w:snapToGrid w:val="0"/>
        <w:spacing w:line="360" w:lineRule="auto"/>
        <w:jc w:val="left"/>
        <w:rPr>
          <w:rFonts w:hint="eastAsia" w:ascii="宋体" w:hAnsi="宋体" w:eastAsia="宋体" w:cs="宋体"/>
          <w:b/>
          <w:bCs/>
          <w:color w:val="auto"/>
          <w:sz w:val="24"/>
          <w:highlight w:val="none"/>
        </w:rPr>
      </w:pPr>
      <w:bookmarkStart w:id="250" w:name="_Toc49436542"/>
      <w:bookmarkStart w:id="251" w:name="_Toc19277"/>
      <w:bookmarkStart w:id="252" w:name="_Toc27563"/>
      <w:bookmarkStart w:id="253" w:name="_Toc62725714"/>
      <w:bookmarkStart w:id="254" w:name="_Toc19204051"/>
      <w:bookmarkStart w:id="255" w:name="_Toc2781"/>
      <w:bookmarkStart w:id="256" w:name="_Toc45640642"/>
      <w:bookmarkStart w:id="257" w:name="_Toc14162"/>
      <w:bookmarkStart w:id="258" w:name="_Toc6244"/>
      <w:r>
        <w:rPr>
          <w:rFonts w:hint="eastAsia" w:ascii="宋体" w:hAnsi="宋体" w:eastAsia="宋体" w:cs="宋体"/>
          <w:b/>
          <w:bCs/>
          <w:color w:val="auto"/>
          <w:sz w:val="24"/>
          <w:highlight w:val="none"/>
        </w:rPr>
        <w:t>5、定标</w:t>
      </w:r>
      <w:bookmarkEnd w:id="250"/>
      <w:bookmarkEnd w:id="251"/>
      <w:bookmarkEnd w:id="252"/>
      <w:bookmarkEnd w:id="253"/>
      <w:bookmarkEnd w:id="254"/>
      <w:bookmarkEnd w:id="255"/>
      <w:bookmarkEnd w:id="256"/>
      <w:bookmarkEnd w:id="257"/>
      <w:bookmarkEnd w:id="258"/>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5.1 招标人根据评标委员会提交的评标报告，最终审定中标人。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5.2 依法进行招标的项目，招标人应当确定排名第一的中标候选人为中标人。</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5.3排名第一的中标候选人放弃中标、或因不可抗力提出不能履行合同，或者招标文件规定应当提交履约担保而在规定的期限内未能提交的，招标人可以确定排名第二的中标候选人为中标人或依法重新招标。</w:t>
      </w:r>
    </w:p>
    <w:p>
      <w:pPr>
        <w:wordWrap w:val="0"/>
        <w:adjustRightInd w:val="0"/>
        <w:snapToGrid w:val="0"/>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5.4排名第二的中标候选人出现前款所列的情形的，招标人可以确定排名第三的中标候选人为中标人或依法重新招标。以此类推，如所有中标候选人均出现前款所列的情形，为招标失败，招标人依法重新招标。</w:t>
      </w:r>
    </w:p>
    <w:p>
      <w:pPr>
        <w:pStyle w:val="3"/>
        <w:spacing w:before="0" w:after="0" w:line="360" w:lineRule="auto"/>
        <w:ind w:firstLine="136"/>
        <w:jc w:val="center"/>
        <w:rPr>
          <w:rFonts w:hint="eastAsia" w:ascii="宋体" w:hAnsi="宋体" w:eastAsia="宋体" w:cs="宋体"/>
          <w:color w:val="auto"/>
          <w:sz w:val="30"/>
          <w:szCs w:val="30"/>
          <w:highlight w:val="none"/>
        </w:rPr>
      </w:pPr>
      <w:bookmarkStart w:id="259" w:name="_Toc24277"/>
      <w:bookmarkStart w:id="260" w:name="_Toc6932"/>
      <w:bookmarkStart w:id="261" w:name="_Toc19204052"/>
      <w:bookmarkStart w:id="262" w:name="_Toc45640643"/>
      <w:bookmarkStart w:id="263" w:name="_Toc9235"/>
      <w:bookmarkStart w:id="264" w:name="_Toc9125"/>
      <w:bookmarkStart w:id="265" w:name="_Toc13398"/>
      <w:bookmarkStart w:id="266" w:name="_Toc4840"/>
      <w:bookmarkStart w:id="267" w:name="_Toc49436543"/>
      <w:bookmarkStart w:id="268" w:name="_Toc19262"/>
      <w:bookmarkStart w:id="269" w:name="_Toc16893"/>
      <w:bookmarkStart w:id="270" w:name="_Toc62725715"/>
      <w:bookmarkStart w:id="271" w:name="_Toc28094"/>
      <w:r>
        <w:rPr>
          <w:rFonts w:hint="eastAsia" w:ascii="宋体" w:hAnsi="宋体" w:eastAsia="宋体" w:cs="宋体"/>
          <w:color w:val="auto"/>
          <w:sz w:val="30"/>
          <w:szCs w:val="30"/>
          <w:highlight w:val="none"/>
        </w:rPr>
        <w:t>二、开标评标办法程序和细则</w:t>
      </w:r>
      <w:bookmarkEnd w:id="259"/>
      <w:bookmarkEnd w:id="260"/>
      <w:bookmarkEnd w:id="261"/>
      <w:bookmarkEnd w:id="262"/>
      <w:bookmarkEnd w:id="263"/>
      <w:bookmarkEnd w:id="264"/>
      <w:bookmarkEnd w:id="265"/>
      <w:bookmarkEnd w:id="266"/>
      <w:bookmarkEnd w:id="267"/>
      <w:bookmarkEnd w:id="268"/>
      <w:bookmarkEnd w:id="269"/>
      <w:bookmarkEnd w:id="270"/>
      <w:bookmarkEnd w:id="271"/>
    </w:p>
    <w:p>
      <w:pPr>
        <w:wordWrap w:val="0"/>
        <w:adjustRightInd w:val="0"/>
        <w:snapToGrid w:val="0"/>
        <w:spacing w:line="360" w:lineRule="auto"/>
        <w:jc w:val="left"/>
        <w:rPr>
          <w:rFonts w:hint="eastAsia" w:ascii="宋体" w:hAnsi="宋体" w:eastAsia="宋体" w:cs="宋体"/>
          <w:b/>
          <w:bCs/>
          <w:color w:val="auto"/>
          <w:sz w:val="24"/>
          <w:highlight w:val="none"/>
        </w:rPr>
      </w:pPr>
      <w:bookmarkStart w:id="272" w:name="_Toc9454"/>
      <w:bookmarkStart w:id="273" w:name="_Toc62725716"/>
      <w:bookmarkStart w:id="274" w:name="_Toc8273"/>
      <w:bookmarkStart w:id="275" w:name="_Toc45640644"/>
      <w:bookmarkStart w:id="276" w:name="_Toc18485"/>
      <w:bookmarkStart w:id="277" w:name="_Toc49436544"/>
      <w:bookmarkStart w:id="278" w:name="_Toc14252"/>
      <w:r>
        <w:rPr>
          <w:rFonts w:hint="eastAsia" w:ascii="宋体" w:hAnsi="宋体" w:eastAsia="宋体" w:cs="宋体"/>
          <w:b/>
          <w:bCs/>
          <w:color w:val="auto"/>
          <w:sz w:val="24"/>
          <w:highlight w:val="none"/>
        </w:rPr>
        <w:t>6、开标和评标程序</w:t>
      </w:r>
      <w:bookmarkEnd w:id="272"/>
      <w:bookmarkEnd w:id="273"/>
      <w:bookmarkEnd w:id="274"/>
      <w:bookmarkEnd w:id="275"/>
      <w:bookmarkEnd w:id="276"/>
      <w:bookmarkEnd w:id="277"/>
      <w:bookmarkEnd w:id="278"/>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6.1投标人提交商务标、技术标和经济标投标文件。</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6.2投标截止时间前，参加本项目开标会议的投标人代表须到招标文件确定的开标室凭有效第二代身份证签到。招标人按投标须知前附表所规定的时间和地点公开开标，并邀请所有投标人参加。若投标人不参加开标会的，其投标文件在开标现场的投标人、招标人代表见证下公开开启，并视同该投标人认可开标结果。</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6.3唱标前公开摇取评标参考价下浮率（2～5%，0.5一个级别）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对全部投标人商务标、技术标、经济标投标文件同时公开开标。</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6.4评标委员会对商务标书中的资格审查申请文件进行资格审查。</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6.5 评标委员会对通过资格审查的投标人的商务、技术、经济标书分别进行有效性审查。</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6.6评标委员会对通过有效性审查的商务标书、技术标书进行详细审查评分。</w:t>
      </w:r>
    </w:p>
    <w:p>
      <w:pPr>
        <w:wordWrap w:val="0"/>
        <w:adjustRightInd w:val="0"/>
        <w:snapToGrid w:val="0"/>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6.7评标委员会对通过经济标有效性审查的</w:t>
      </w:r>
      <w:r>
        <w:rPr>
          <w:rFonts w:hint="eastAsia" w:ascii="宋体" w:hAnsi="宋体" w:eastAsia="宋体" w:cs="宋体"/>
          <w:color w:val="auto"/>
          <w:sz w:val="24"/>
          <w:highlight w:val="none"/>
          <w:lang w:bidi="ar"/>
        </w:rPr>
        <w:t>经济标</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bidi="ar"/>
        </w:rPr>
        <w:t>报价进行算术校核，并</w:t>
      </w:r>
      <w:r>
        <w:rPr>
          <w:rFonts w:hint="eastAsia" w:ascii="宋体" w:hAnsi="宋体" w:eastAsia="宋体" w:cs="宋体"/>
          <w:color w:val="auto"/>
          <w:sz w:val="24"/>
          <w:highlight w:val="none"/>
        </w:rPr>
        <w:t>计算经济标得分。</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6.8评标委员会汇总得分，计算出各有效投标文件的总分（总分=商务分×商务分权重+技术分×技术分权重+价格分×价格分权重），并按照总分从高到低排序。</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6.9评标委员会编写评标报告，向招标人推荐中标候选人名单。</w:t>
      </w:r>
    </w:p>
    <w:p>
      <w:pPr>
        <w:wordWrap w:val="0"/>
        <w:adjustRightInd w:val="0"/>
        <w:snapToGrid w:val="0"/>
        <w:spacing w:line="360" w:lineRule="auto"/>
        <w:jc w:val="left"/>
        <w:rPr>
          <w:rFonts w:hint="eastAsia" w:ascii="宋体" w:hAnsi="宋体" w:eastAsia="宋体" w:cs="宋体"/>
          <w:b/>
          <w:bCs/>
          <w:color w:val="auto"/>
          <w:sz w:val="24"/>
          <w:highlight w:val="none"/>
        </w:rPr>
      </w:pPr>
      <w:bookmarkStart w:id="279" w:name="_Toc756"/>
      <w:bookmarkStart w:id="280" w:name="_Toc62725717"/>
      <w:bookmarkStart w:id="281" w:name="_Toc1300"/>
      <w:bookmarkStart w:id="282" w:name="_Toc32597"/>
      <w:bookmarkStart w:id="283" w:name="_Toc21230"/>
      <w:bookmarkStart w:id="284" w:name="_Toc45640645"/>
      <w:bookmarkStart w:id="285" w:name="_Toc19204053"/>
      <w:bookmarkStart w:id="286" w:name="_Toc17088"/>
      <w:bookmarkStart w:id="287" w:name="_Toc49436545"/>
      <w:r>
        <w:rPr>
          <w:rFonts w:hint="eastAsia" w:ascii="宋体" w:hAnsi="宋体" w:eastAsia="宋体" w:cs="宋体"/>
          <w:b/>
          <w:bCs/>
          <w:color w:val="auto"/>
          <w:sz w:val="24"/>
          <w:highlight w:val="none"/>
        </w:rPr>
        <w:t>7、开标细则</w:t>
      </w:r>
      <w:bookmarkEnd w:id="279"/>
      <w:bookmarkEnd w:id="280"/>
      <w:bookmarkEnd w:id="281"/>
      <w:bookmarkEnd w:id="282"/>
      <w:bookmarkEnd w:id="283"/>
      <w:bookmarkEnd w:id="284"/>
      <w:bookmarkEnd w:id="285"/>
      <w:bookmarkEnd w:id="286"/>
      <w:bookmarkEnd w:id="287"/>
    </w:p>
    <w:p>
      <w:pPr>
        <w:spacing w:line="360" w:lineRule="auto"/>
        <w:ind w:firstLine="523" w:firstLineChars="218"/>
        <w:rPr>
          <w:rFonts w:hint="eastAsia" w:ascii="宋体" w:hAnsi="宋体" w:eastAsia="宋体" w:cs="宋体"/>
          <w:color w:val="auto"/>
          <w:sz w:val="24"/>
          <w:highlight w:val="none"/>
          <w:lang w:bidi="ar"/>
        </w:rPr>
      </w:pPr>
      <w:bookmarkStart w:id="288" w:name="_Toc28595"/>
      <w:bookmarkStart w:id="289" w:name="_Toc62725718"/>
      <w:bookmarkStart w:id="290" w:name="_Toc19204054"/>
      <w:bookmarkStart w:id="291" w:name="_Toc49436546"/>
      <w:bookmarkStart w:id="292" w:name="_Toc45640646"/>
      <w:bookmarkStart w:id="293" w:name="_Toc28865"/>
      <w:bookmarkStart w:id="294" w:name="_Toc1961"/>
      <w:r>
        <w:rPr>
          <w:rFonts w:hint="eastAsia" w:ascii="宋体" w:hAnsi="宋体" w:eastAsia="宋体" w:cs="宋体"/>
          <w:color w:val="auto"/>
          <w:sz w:val="24"/>
          <w:highlight w:val="none"/>
          <w:lang w:bidi="ar"/>
        </w:rPr>
        <w:t>7.1招标人按投标须知前附表所规定的时间和地点公开开标，并邀请所有投标人参加，不参加视为认可开标结果。</w:t>
      </w:r>
    </w:p>
    <w:p>
      <w:pPr>
        <w:spacing w:line="360" w:lineRule="auto"/>
        <w:ind w:firstLine="523" w:firstLineChars="218"/>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7.2投标人按照投标人须知前附表的要求，对电子投标文件进行解密，超过时间未解密的投标文件将作为放弃投标处理。</w:t>
      </w:r>
    </w:p>
    <w:p>
      <w:pPr>
        <w:spacing w:line="360" w:lineRule="auto"/>
        <w:ind w:firstLine="523" w:firstLineChars="218"/>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7.3 招标人在开标开始时间后，使用制作该招标文件的机构业务数字证书对所有投标人电子投标文件进行招标人解密。</w:t>
      </w:r>
    </w:p>
    <w:p>
      <w:pPr>
        <w:spacing w:line="360" w:lineRule="auto"/>
        <w:ind w:firstLine="523" w:firstLineChars="218"/>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7.4招标人完成解密后按开标记录表规定的内容进行唱标。</w:t>
      </w:r>
    </w:p>
    <w:p>
      <w:pPr>
        <w:spacing w:line="360" w:lineRule="auto"/>
        <w:ind w:firstLine="523" w:firstLineChars="218"/>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7.5唱标结束，参与开标的招标人、招标代理、投标人及有关人员对开标记录表进行签字确认。若有关人员不签字的，不影响开标程序。</w:t>
      </w:r>
    </w:p>
    <w:p>
      <w:pPr>
        <w:spacing w:line="360" w:lineRule="auto"/>
        <w:ind w:firstLine="523" w:firstLineChars="218"/>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7.6投标人没有按要求提供投标保证金的，其投标无效，不参与排序和资格审查。</w:t>
      </w:r>
    </w:p>
    <w:p>
      <w:pPr>
        <w:pStyle w:val="4"/>
        <w:widowControl/>
        <w:spacing w:before="0" w:after="0" w:line="360" w:lineRule="auto"/>
        <w:ind w:firstLine="0" w:firstLineChars="0"/>
        <w:rPr>
          <w:rFonts w:hint="eastAsia" w:ascii="宋体" w:eastAsia="宋体" w:cs="宋体"/>
          <w:b/>
          <w:color w:val="auto"/>
          <w:sz w:val="24"/>
          <w:szCs w:val="24"/>
          <w:highlight w:val="none"/>
        </w:rPr>
      </w:pPr>
      <w:r>
        <w:rPr>
          <w:rFonts w:hint="eastAsia" w:ascii="宋体" w:eastAsia="宋体" w:cs="宋体"/>
          <w:b/>
          <w:color w:val="auto"/>
          <w:sz w:val="24"/>
          <w:szCs w:val="24"/>
          <w:highlight w:val="none"/>
        </w:rPr>
        <w:t>8、开标异议</w:t>
      </w:r>
    </w:p>
    <w:p>
      <w:pPr>
        <w:spacing w:line="360" w:lineRule="auto"/>
        <w:ind w:firstLine="410" w:firstLineChars="171"/>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8.1投标人对开标有异议的，应当在开标现场提出，招标人当场作出答复，并制作记录。该投标人代表须同时出示本人身份证原件。</w:t>
      </w:r>
    </w:p>
    <w:p>
      <w:pPr>
        <w:spacing w:line="360" w:lineRule="auto"/>
        <w:ind w:firstLine="410" w:firstLineChars="171"/>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8.2对开标的异议，招标人应当当场作出答复并予以书面记录，异议成立的，招标人应当及时采取纠正措施，或者提交评标委员会评审确认；异议不成立的，招标人应当当场给予解释说明。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10" w:firstLineChars="171"/>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wordWrap w:val="0"/>
        <w:adjustRightInd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9、评标细则</w:t>
      </w:r>
      <w:bookmarkEnd w:id="288"/>
      <w:bookmarkEnd w:id="289"/>
      <w:bookmarkEnd w:id="290"/>
      <w:bookmarkEnd w:id="291"/>
      <w:bookmarkEnd w:id="292"/>
      <w:bookmarkEnd w:id="293"/>
      <w:bookmarkEnd w:id="294"/>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9.1评标委员会的组成：标书的评审由评标委员会负责，该评标委员会人数在投标须知前附表中列明。</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9.2 资格审查：商务标书中的资格审查申请文件完全满足本办法附表1《资格审查表》中情形的，通过资格审查，否则不通过资格审查，未通过资格审查的投标人的投标文件将不能参与后续评审。如评标委员会的评审意见不一致时，以评标委员会过半数成员的意见作为评标委员会对该情形的认定结论。资格审查时，投标企业名称已经工商变更的，但企业及个人的资质证书未完成企业名称变更，仍然承认其有效。资质证书、安全生产许可证之间登记的信息不一致，应当允许投标人澄清，不得直接否决其投标。资格审查结束，评标委员会应编写资格审查报告。</w:t>
      </w:r>
      <w:r>
        <w:rPr>
          <w:rFonts w:hint="eastAsia" w:ascii="宋体" w:hAnsi="宋体" w:eastAsia="宋体" w:cs="宋体"/>
          <w:color w:val="auto"/>
          <w:sz w:val="24"/>
          <w:highlight w:val="none"/>
          <w:lang w:bidi="ar"/>
        </w:rPr>
        <w:t>若有效投标人不足3名，评标委员会认为项目明显缺乏竞争的，则项目招标失败，招标人重新组织招标。若有效投标人不足3名但评标委员会认为仍具有竞争性的，可以对剩余的有效投标人进行评审</w:t>
      </w:r>
      <w:r>
        <w:rPr>
          <w:rFonts w:hint="eastAsia" w:ascii="宋体" w:hAnsi="宋体" w:eastAsia="宋体" w:cs="宋体"/>
          <w:color w:val="auto"/>
          <w:sz w:val="24"/>
          <w:highlight w:val="none"/>
        </w:rPr>
        <w:t>。</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9.3商务、技术标有效性审查：商务标、技术标投标文件完全满足本办法附表2《商务、技术标有效性审查表》中情形的，为有效标书。否则为无效标书，经评标委员会认定后，其投标文件将被拒绝。如评标委员会成员的评审意见不一致时，以评标委员会过半数成员的意见作为评标委员会对该情形的认定结论。</w:t>
      </w:r>
      <w:r>
        <w:rPr>
          <w:rFonts w:hint="eastAsia" w:ascii="宋体" w:hAnsi="宋体" w:eastAsia="宋体" w:cs="宋体"/>
          <w:color w:val="auto"/>
          <w:sz w:val="24"/>
          <w:highlight w:val="none"/>
          <w:lang w:bidi="ar"/>
        </w:rPr>
        <w:t>若有效投标人不足3名，评标委员会认为项目明显缺乏竞争的，则项目招标失败，招标人重新组织招标。若有效投标人不足3名但评标委员会认为仍具有竞争性的，可以对剩余的有效投标人进行评审</w:t>
      </w:r>
      <w:r>
        <w:rPr>
          <w:rFonts w:hint="eastAsia" w:ascii="宋体" w:hAnsi="宋体" w:eastAsia="宋体" w:cs="宋体"/>
          <w:color w:val="auto"/>
          <w:sz w:val="24"/>
          <w:highlight w:val="none"/>
        </w:rPr>
        <w:t>。</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9.4经济标的有效性审查：评标委员会对通过商务、技术标有效性审查的经济标投标文件进行有效性审查，投标文件完全满足本办法附表3《经济标有效性审查表》中情形的，为有效标书，否则其投标文件被否决。如评标委员会成员的评审意见不一致时，以评审委员会过半数成员的意见作为对该情形的认定结论。</w:t>
      </w:r>
      <w:r>
        <w:rPr>
          <w:rFonts w:hint="eastAsia" w:ascii="宋体" w:hAnsi="宋体" w:eastAsia="宋体" w:cs="宋体"/>
          <w:color w:val="auto"/>
          <w:sz w:val="24"/>
          <w:highlight w:val="none"/>
          <w:lang w:bidi="ar"/>
        </w:rPr>
        <w:t>若有效投标人不足3名，评标委员会认为项目明显缺乏竞争的，则项目招标失败，招标人重新组织招标。若有效投标人不足3名但评标委员会认为仍具有竞争性的，可以对剩余的有效投标人进行评审</w:t>
      </w:r>
      <w:r>
        <w:rPr>
          <w:rFonts w:hint="eastAsia" w:ascii="宋体" w:hAnsi="宋体" w:eastAsia="宋体" w:cs="宋体"/>
          <w:color w:val="auto"/>
          <w:sz w:val="24"/>
          <w:highlight w:val="none"/>
        </w:rPr>
        <w:t>。</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9.5商务标详细审查评分：评标委员会按照本办法附表4《商务标详细审查评分标准》对通过有效性审查的投标文件商务标进行详细审查，评出商务分；投标人商务得分为所有评委的总评分的算术平均分（四舍五入，取小数点后两位）。</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9.6技术标详细审查评分：评标委员会按照本办法附表5《技术标详细审查评分标准》的标准对通过技术标有效性审查的技术标投标文件进行详细审查，评出技术分；投标人技术得分为所有评委的总评分的算术平均分（四舍五入，取小数点后两位）。</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9.7评委对经算术校核的含税投标价格进行评审。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9.7.1 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（1）如果数字表示的金额和用文字表示的金额不一致时，应以文字表示的金额为准；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（2）经算术复核的投标人报价与其投标报价不一致时，按就低不就高原则确定其最终报价；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（5）如果投标人的有关规费、暂列金额、暂估价、安全文明施工费等未按招标文件规定的金额填写的，由评标委员会按照招标文件规定的金额进行修正；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（7）按就低不就高原则，当修正后报价小于原报价，总价按修正后报价；当修正后报价大于原报价，总价按原报价，并在签订合同时载明在结算价中扣除修正报价与原报价的差额。</w:t>
      </w:r>
    </w:p>
    <w:p>
      <w:pPr>
        <w:wordWrap w:val="0"/>
        <w:adjustRightInd w:val="0"/>
        <w:snapToGrid w:val="0"/>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（8）按上述修正错误的原则及方法调整或修正投标文件的投标报价，调整后的投标报价对投标人起约束作用。如果投标人不接受修正后的报价，则取消其投标资格，并且其投标担保也将不予退还。</w:t>
      </w:r>
    </w:p>
    <w:p>
      <w:pPr>
        <w:keepNext/>
        <w:keepLine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根据有效性审查结果，取消被否决投标的投标人的排序，其余通过有效性审查的投标人的排序依次上升替补确定，以此类推。</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9.8经济标的评标参考价（本款所述报价均为经算术校核后的报价）: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（1）当商务技术合计得分最高的投标单位报价为所有有效投标人中最低报价时，则评标参考价取该投标人的报价。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当商务技术合计得分最高的投标单位报价不是所有有效投标人中最低报价时，则按以下原则计算。当通过经济标有效性审查的投标人数量为5家以上时，则去除最高及最低有效投标总报价（含税）后，将剩余投标人的有效投标总报价（含税）的算术平均值</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随机抽取的评标参考价下浮率（2～5%，0.5一个级别）</w:t>
      </w:r>
      <w:r>
        <w:rPr>
          <w:rFonts w:hint="eastAsia" w:ascii="宋体" w:hAnsi="宋体" w:eastAsia="宋体" w:cs="宋体"/>
          <w:color w:val="auto"/>
          <w:sz w:val="24"/>
          <w:highlight w:val="none"/>
          <w:lang w:val="en-US" w:eastAsia="zh-CN"/>
        </w:rPr>
        <w:t>下浮</w:t>
      </w:r>
      <w:r>
        <w:rPr>
          <w:rFonts w:hint="eastAsia" w:ascii="宋体" w:hAnsi="宋体" w:eastAsia="宋体" w:cs="宋体"/>
          <w:color w:val="auto"/>
          <w:sz w:val="24"/>
          <w:highlight w:val="none"/>
        </w:rPr>
        <w:t>为评标参考价；当通过经济标有效性审查的投标人数量家数为5家以下（含5家）时，则取所有有效投标人的投标总报价（含税）的算术平均值</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随机抽取的评标参考价下浮率（2～5%，0.5一个级别）</w:t>
      </w:r>
      <w:r>
        <w:rPr>
          <w:rFonts w:hint="eastAsia" w:ascii="宋体" w:hAnsi="宋体" w:eastAsia="宋体" w:cs="宋体"/>
          <w:color w:val="auto"/>
          <w:sz w:val="24"/>
          <w:highlight w:val="none"/>
          <w:lang w:val="en-US" w:eastAsia="zh-CN"/>
        </w:rPr>
        <w:t>下浮</w:t>
      </w:r>
      <w:r>
        <w:rPr>
          <w:rFonts w:hint="eastAsia" w:ascii="宋体" w:hAnsi="宋体" w:eastAsia="宋体" w:cs="宋体"/>
          <w:color w:val="auto"/>
          <w:sz w:val="24"/>
          <w:highlight w:val="none"/>
        </w:rPr>
        <w:t>为评标参考价。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9.8.</w:t>
      </w: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当投标价等于评标参考价时得100分，投标价每高于评标参考价1%，扣2分，每低于评标参考价1%，扣1分，扣至0分为止，得出经济分，精确到小数点后两位。</w:t>
      </w:r>
    </w:p>
    <w:p>
      <w:pPr>
        <w:wordWrap w:val="0"/>
        <w:adjustRightInd w:val="0"/>
        <w:snapToGrid w:val="0"/>
        <w:spacing w:line="360" w:lineRule="auto"/>
        <w:ind w:firstLine="480" w:firstLineChars="200"/>
        <w:rPr>
          <w:rFonts w:hint="eastAsia" w:ascii="宋体" w:eastAsia="宋体" w:cs="宋体"/>
          <w:color w:val="auto"/>
          <w:sz w:val="24"/>
          <w:highlight w:val="none"/>
        </w:rPr>
        <w:sectPr>
          <w:footerReference r:id="rId6" w:type="default"/>
          <w:pgSz w:w="11905" w:h="16838"/>
          <w:pgMar w:top="1304" w:right="1417" w:bottom="1304" w:left="1417" w:header="850" w:footer="992" w:gutter="0"/>
          <w:cols w:space="0" w:num="1"/>
          <w:docGrid w:linePitch="320" w:charSpace="0"/>
        </w:sectPr>
      </w:pPr>
      <w:r>
        <w:rPr>
          <w:rFonts w:hint="eastAsia" w:ascii="宋体" w:hAnsi="宋体" w:eastAsia="宋体" w:cs="宋体"/>
          <w:color w:val="auto"/>
          <w:sz w:val="24"/>
          <w:highlight w:val="none"/>
        </w:rPr>
        <w:t>9.9 评标委员会按照“总分=商务分×商务分权重（</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%）+技术分×技术分权重（</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%）+价格分×价格分权重（</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公式计算上述有效投标文件的总分，保留小数点后二位，第三位小数四舍五入。并按照总分从高到低排列先后次序，向招标人推荐前3名有效投标人依次为第一中标候选人至第三中标候选人，并编写评标报告。总分相同的，报价低的排先；总得分与报价均相同的投标文件，以技术分较高的排前；总得分、报价与技术分均相同的投标文件，以商务分数高的排前；如仍存在相同情况，则对具有相同情况的投标人，总分和报价均相同的，由评标委员会采用记名投票方式，按得票高排前的原则确定中标候选人的排序。</w:t>
      </w:r>
      <w:bookmarkStart w:id="295" w:name="_Toc62725719"/>
      <w:bookmarkStart w:id="296" w:name="_Toc49436547"/>
      <w:bookmarkStart w:id="297" w:name="_Toc22786"/>
      <w:bookmarkStart w:id="298" w:name="_Toc45640647"/>
      <w:bookmarkStart w:id="299" w:name="_Toc29937"/>
      <w:bookmarkStart w:id="300" w:name="_Toc2992"/>
      <w:bookmarkStart w:id="301" w:name="_Toc25418"/>
      <w:bookmarkStart w:id="302" w:name="_Toc20169"/>
      <w:bookmarkStart w:id="303" w:name="_Toc29051"/>
      <w:bookmarkStart w:id="304" w:name="_Toc28770"/>
      <w:bookmarkStart w:id="305" w:name="_Toc19204055"/>
      <w:bookmarkStart w:id="306" w:name="_Toc13463"/>
    </w:p>
    <w:p>
      <w:pPr>
        <w:pStyle w:val="4"/>
        <w:wordWrap w:val="0"/>
        <w:adjustRightInd w:val="0"/>
        <w:snapToGrid w:val="0"/>
        <w:spacing w:before="0" w:after="0" w:line="360" w:lineRule="auto"/>
        <w:ind w:firstLine="0" w:firstLineChars="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附表1：投标人资格审查表</w:t>
      </w:r>
      <w:bookmarkEnd w:id="295"/>
      <w:bookmarkEnd w:id="296"/>
      <w:bookmarkEnd w:id="297"/>
      <w:bookmarkEnd w:id="298"/>
      <w:bookmarkEnd w:id="299"/>
      <w:bookmarkEnd w:id="300"/>
      <w:bookmarkEnd w:id="301"/>
      <w:bookmarkEnd w:id="302"/>
      <w:bookmarkEnd w:id="303"/>
      <w:bookmarkEnd w:id="304"/>
      <w:bookmarkEnd w:id="305"/>
      <w:bookmarkEnd w:id="306"/>
    </w:p>
    <w:p>
      <w:pPr>
        <w:widowControl/>
        <w:wordWrap w:val="0"/>
        <w:autoSpaceDE w:val="0"/>
        <w:autoSpaceDN w:val="0"/>
        <w:adjustRightInd w:val="0"/>
        <w:spacing w:before="20" w:after="2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tbl>
      <w:tblPr>
        <w:tblStyle w:val="37"/>
        <w:tblW w:w="14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563"/>
        <w:gridCol w:w="1021"/>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0563" w:type="dxa"/>
            <w:tcBorders>
              <w:tl2br w:val="single" w:color="auto" w:sz="4" w:space="0"/>
            </w:tcBorders>
          </w:tcPr>
          <w:p>
            <w:pPr>
              <w:tabs>
                <w:tab w:val="left" w:pos="720"/>
              </w:tabs>
              <w:autoSpaceDE w:val="0"/>
              <w:autoSpaceDN w:val="0"/>
              <w:adjustRightInd w:val="0"/>
              <w:snapToGrid w:val="0"/>
              <w:spacing w:before="20" w:after="20"/>
              <w:ind w:firstLine="964" w:firstLineChars="400"/>
              <w:jc w:val="righ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投标单位</w:t>
            </w:r>
          </w:p>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评审内容</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0563"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投标人参加投标的意思表达清楚，投标人代表被授权有效。</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0563" w:type="dxa"/>
            <w:vAlign w:val="center"/>
          </w:tcPr>
          <w:p>
            <w:pPr>
              <w:widowControl/>
              <w:wordWrap w:val="0"/>
              <w:autoSpaceDE w:val="0"/>
              <w:autoSpaceDN w:val="0"/>
              <w:adjustRightInd w:val="0"/>
              <w:spacing w:before="20" w:after="2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0563"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投标人的资质符合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p>
        </w:tc>
        <w:tc>
          <w:tcPr>
            <w:tcW w:w="10563"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投标人拟委派人员</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p>
        </w:tc>
        <w:tc>
          <w:tcPr>
            <w:tcW w:w="10563" w:type="dxa"/>
            <w:vAlign w:val="center"/>
          </w:tcPr>
          <w:p>
            <w:pPr>
              <w:snapToGrid w:val="0"/>
              <w:rPr>
                <w:rFonts w:hint="eastAsia" w:ascii="宋体" w:hAnsi="宋体" w:eastAsia="宋体" w:cs="宋体"/>
                <w:b/>
                <w:color w:val="auto"/>
                <w:sz w:val="24"/>
                <w:highlight w:val="none"/>
                <w:lang w:bidi="ar"/>
              </w:rPr>
            </w:pPr>
            <w:r>
              <w:rPr>
                <w:rFonts w:hint="eastAsia" w:ascii="宋体" w:hAnsi="宋体" w:eastAsia="宋体" w:cs="宋体"/>
                <w:color w:val="auto"/>
                <w:sz w:val="24"/>
                <w:highlight w:val="none"/>
              </w:rPr>
              <w:t>投标人的</w:t>
            </w:r>
            <w:r>
              <w:rPr>
                <w:rFonts w:hint="eastAsia" w:ascii="宋体" w:hAnsi="宋体" w:eastAsia="宋体" w:cs="宋体"/>
                <w:color w:val="auto"/>
                <w:sz w:val="24"/>
                <w:highlight w:val="none"/>
                <w:lang w:val="en-US" w:eastAsia="zh-CN"/>
              </w:rPr>
              <w:t>业绩</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p>
        </w:tc>
        <w:tc>
          <w:tcPr>
            <w:tcW w:w="10563" w:type="dxa"/>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投标人已按第六章投标文件格式6的内容和格式签署盖章投标人声明。</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smallCaps/>
                <w:color w:val="auto"/>
                <w:kern w:val="0"/>
                <w:sz w:val="24"/>
                <w:highlight w:val="none"/>
                <w:lang w:eastAsia="zh-CN"/>
              </w:rPr>
            </w:pPr>
            <w:r>
              <w:rPr>
                <w:rFonts w:hint="eastAsia" w:ascii="宋体" w:hAnsi="宋体" w:eastAsia="宋体" w:cs="宋体"/>
                <w:color w:val="auto"/>
                <w:kern w:val="0"/>
                <w:sz w:val="24"/>
                <w:highlight w:val="none"/>
                <w:lang w:val="en-US" w:eastAsia="zh-CN"/>
              </w:rPr>
              <w:t>7</w:t>
            </w:r>
          </w:p>
        </w:tc>
        <w:tc>
          <w:tcPr>
            <w:tcW w:w="10563" w:type="dxa"/>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5"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0563" w:type="dxa"/>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本次招标接受联合体投标。</w:t>
            </w:r>
            <w:r>
              <w:rPr>
                <w:rFonts w:hint="eastAsia" w:ascii="宋体" w:hAnsi="宋体" w:eastAsia="宋体" w:cs="宋体"/>
                <w:color w:val="auto"/>
                <w:sz w:val="24"/>
                <w:highlight w:val="none"/>
                <w:lang w:val="en-US" w:eastAsia="zh-CN" w:bidi="ar"/>
              </w:rPr>
              <w:t>联合体</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项规定</w:t>
            </w:r>
            <w:r>
              <w:rPr>
                <w:rFonts w:hint="eastAsia" w:ascii="宋体" w:hAnsi="宋体" w:eastAsia="宋体" w:cs="宋体"/>
                <w:color w:val="auto"/>
                <w:sz w:val="24"/>
                <w:highlight w:val="none"/>
                <w:lang w:eastAsia="zh-CN"/>
              </w:rPr>
              <w:t>。</w:t>
            </w:r>
          </w:p>
        </w:tc>
        <w:tc>
          <w:tcPr>
            <w:tcW w:w="10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08" w:type="dxa"/>
            <w:gridSpan w:val="2"/>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结论</w:t>
            </w:r>
          </w:p>
        </w:tc>
        <w:tc>
          <w:tcPr>
            <w:tcW w:w="1021" w:type="dxa"/>
          </w:tcPr>
          <w:p>
            <w:pPr>
              <w:keepNext/>
              <w:keepLines/>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2" w:type="dxa"/>
          </w:tcPr>
          <w:p>
            <w:pPr>
              <w:keepNext/>
              <w:keepLines/>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93" w:type="dxa"/>
          </w:tcPr>
          <w:p>
            <w:pPr>
              <w:keepNext/>
              <w:keepLines/>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r>
    </w:tbl>
    <w:p>
      <w:pPr>
        <w:wordWrap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 凡符合以上任何一项情形，在相应方框内打“○”，否则打“×”，只要出现一个“×”，结论均为“不通过”，否则为“通过”。</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2.如对本表中某种情形的评审意见不一致时，以评标委员会过半数成员的意见作为评标委员会对该情形的认定结论。</w:t>
      </w:r>
    </w:p>
    <w:p>
      <w:pPr>
        <w:wordWrap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3.结论为“不通过”的，请描述原因。</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评委签名：                                                   日期：</w:t>
      </w:r>
    </w:p>
    <w:p>
      <w:pPr>
        <w:wordWrap w:val="0"/>
        <w:spacing w:line="400" w:lineRule="exact"/>
        <w:rPr>
          <w:rFonts w:hint="eastAsia" w:ascii="宋体" w:hAnsi="宋体" w:eastAsia="宋体" w:cs="宋体"/>
          <w:color w:val="auto"/>
          <w:szCs w:val="21"/>
          <w:highlight w:val="none"/>
        </w:rPr>
      </w:pPr>
    </w:p>
    <w:p>
      <w:pPr>
        <w:rPr>
          <w:rFonts w:hint="eastAsia" w:ascii="宋体" w:eastAsia="宋体" w:cs="宋体"/>
          <w:color w:val="auto"/>
          <w:sz w:val="24"/>
          <w:szCs w:val="24"/>
          <w:highlight w:val="none"/>
        </w:rPr>
      </w:pPr>
      <w:bookmarkStart w:id="307" w:name="_Toc49436548"/>
      <w:bookmarkStart w:id="308" w:name="_Toc24363"/>
      <w:bookmarkStart w:id="309" w:name="_Toc9595"/>
      <w:bookmarkStart w:id="310" w:name="_Toc9449"/>
      <w:bookmarkStart w:id="311" w:name="_Toc598"/>
      <w:bookmarkStart w:id="312" w:name="_Toc62725720"/>
      <w:bookmarkStart w:id="313" w:name="_Toc31072"/>
      <w:bookmarkStart w:id="314" w:name="_Toc801"/>
      <w:bookmarkStart w:id="315" w:name="_Toc29411"/>
      <w:bookmarkStart w:id="316" w:name="_Toc45640648"/>
      <w:bookmarkStart w:id="317" w:name="_Toc28219"/>
      <w:bookmarkStart w:id="318" w:name="_Toc19204056"/>
      <w:r>
        <w:rPr>
          <w:rFonts w:hint="eastAsia" w:ascii="宋体" w:eastAsia="宋体" w:cs="宋体"/>
          <w:color w:val="auto"/>
          <w:sz w:val="24"/>
          <w:szCs w:val="24"/>
          <w:highlight w:val="none"/>
        </w:rPr>
        <w:br w:type="page"/>
      </w:r>
    </w:p>
    <w:p>
      <w:pPr>
        <w:pStyle w:val="4"/>
        <w:wordWrap w:val="0"/>
        <w:adjustRightInd w:val="0"/>
        <w:snapToGrid w:val="0"/>
        <w:spacing w:before="0" w:after="0" w:line="360" w:lineRule="auto"/>
        <w:ind w:firstLine="0" w:firstLineChars="0"/>
        <w:rPr>
          <w:rFonts w:hint="eastAsia" w:ascii="宋体" w:eastAsia="宋体" w:cs="宋体"/>
          <w:color w:val="auto"/>
          <w:sz w:val="24"/>
          <w:highlight w:val="none"/>
        </w:rPr>
      </w:pPr>
      <w:r>
        <w:rPr>
          <w:rFonts w:hint="eastAsia" w:ascii="宋体" w:eastAsia="宋体" w:cs="宋体"/>
          <w:color w:val="auto"/>
          <w:sz w:val="24"/>
          <w:szCs w:val="24"/>
          <w:highlight w:val="none"/>
        </w:rPr>
        <w:t>附表2：商务、技术标有效性审查表</w:t>
      </w:r>
      <w:bookmarkEnd w:id="307"/>
      <w:bookmarkEnd w:id="308"/>
      <w:bookmarkEnd w:id="309"/>
      <w:bookmarkEnd w:id="310"/>
      <w:bookmarkEnd w:id="311"/>
      <w:bookmarkEnd w:id="312"/>
      <w:bookmarkEnd w:id="313"/>
      <w:bookmarkEnd w:id="314"/>
      <w:bookmarkEnd w:id="315"/>
      <w:bookmarkEnd w:id="316"/>
    </w:p>
    <w:bookmarkEnd w:id="317"/>
    <w:bookmarkEnd w:id="318"/>
    <w:p>
      <w:pPr>
        <w:widowControl/>
        <w:wordWrap w:val="0"/>
        <w:autoSpaceDE w:val="0"/>
        <w:autoSpaceDN w:val="0"/>
        <w:adjustRightInd w:val="0"/>
        <w:spacing w:before="20" w:after="2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tbl>
      <w:tblPr>
        <w:tblStyle w:val="37"/>
        <w:tblW w:w="14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755"/>
        <w:gridCol w:w="918"/>
        <w:gridCol w:w="91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0755" w:type="dxa"/>
            <w:tcBorders>
              <w:tl2br w:val="single" w:color="auto" w:sz="4" w:space="0"/>
            </w:tcBorders>
          </w:tcPr>
          <w:p>
            <w:pPr>
              <w:tabs>
                <w:tab w:val="left" w:pos="720"/>
              </w:tabs>
              <w:wordWrap w:val="0"/>
              <w:autoSpaceDE w:val="0"/>
              <w:autoSpaceDN w:val="0"/>
              <w:adjustRightInd w:val="0"/>
              <w:snapToGrid w:val="0"/>
              <w:spacing w:before="20" w:after="20"/>
              <w:ind w:firstLine="964" w:firstLineChars="400"/>
              <w:jc w:val="righ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投标单位</w:t>
            </w:r>
          </w:p>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评审内容</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30" w:type="dxa"/>
          </w:tcPr>
          <w:p>
            <w:pPr>
              <w:wordWrap w:val="0"/>
              <w:spacing w:before="20" w:after="20"/>
              <w:rPr>
                <w:rFonts w:hint="eastAsia" w:ascii="宋体" w:hAnsi="宋体" w:eastAsia="宋体" w:cs="宋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0755"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提供法定代表人证明书，如投标文件为委托代理人签署应同时附上法定代表人资格证明书和法定代表人授权委托书。法定代表人资格证明书和法定代表人授权委托书的签署和盖章符合第六章的投标文件格式3和格式4的要求。</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2</w:t>
            </w:r>
          </w:p>
        </w:tc>
        <w:tc>
          <w:tcPr>
            <w:tcW w:w="10755"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投标有效期满足招标文件要求。</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p>
        </w:tc>
        <w:tc>
          <w:tcPr>
            <w:tcW w:w="10755"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投标文件不存在：未按规定的格式填写，或主要内容不全，或关键字迹模糊、无法辨认的。</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p>
        </w:tc>
        <w:tc>
          <w:tcPr>
            <w:tcW w:w="10755"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已按招标文件要求缴纳投标保证金。</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p>
        </w:tc>
        <w:tc>
          <w:tcPr>
            <w:tcW w:w="10755"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投标人不存在串通投标情形（串通投标情形以《中华人民共和国招标投标法实施条例》的规定为准）。</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6"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p>
        </w:tc>
        <w:tc>
          <w:tcPr>
            <w:tcW w:w="10755" w:type="dxa"/>
            <w:vAlign w:val="center"/>
          </w:tcPr>
          <w:p>
            <w:pPr>
              <w:wordWrap w:val="0"/>
              <w:spacing w:before="20" w:after="20"/>
              <w:rPr>
                <w:rFonts w:hint="eastAsia" w:ascii="宋体" w:hAnsi="宋体" w:eastAsia="宋体" w:cs="宋体"/>
                <w:color w:val="auto"/>
                <w:sz w:val="24"/>
                <w:highlight w:val="none"/>
              </w:rPr>
            </w:pPr>
            <w:r>
              <w:rPr>
                <w:rFonts w:hint="eastAsia" w:ascii="宋体" w:hAnsi="宋体" w:eastAsia="宋体" w:cs="宋体"/>
                <w:color w:val="auto"/>
                <w:sz w:val="24"/>
                <w:highlight w:val="none"/>
              </w:rPr>
              <w:t>无其他招标文件或法规明确规定可以废标的其他情形。</w:t>
            </w:r>
          </w:p>
        </w:tc>
        <w:tc>
          <w:tcPr>
            <w:tcW w:w="918"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30"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51" w:type="dxa"/>
            <w:gridSpan w:val="2"/>
            <w:vAlign w:val="center"/>
          </w:tcPr>
          <w:p>
            <w:pPr>
              <w:wordWrap w:val="0"/>
              <w:spacing w:before="20" w:after="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结论</w:t>
            </w:r>
          </w:p>
        </w:tc>
        <w:tc>
          <w:tcPr>
            <w:tcW w:w="918" w:type="dxa"/>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p>
        </w:tc>
        <w:tc>
          <w:tcPr>
            <w:tcW w:w="910" w:type="dxa"/>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p>
        </w:tc>
        <w:tc>
          <w:tcPr>
            <w:tcW w:w="930" w:type="dxa"/>
          </w:tcPr>
          <w:p>
            <w:pPr>
              <w:wordWrap w:val="0"/>
              <w:spacing w:before="20" w:after="20"/>
              <w:jc w:val="center"/>
              <w:rPr>
                <w:rFonts w:hint="eastAsia" w:ascii="宋体" w:hAnsi="宋体" w:eastAsia="宋体" w:cs="宋体"/>
                <w:color w:val="auto"/>
                <w:kern w:val="0"/>
                <w:sz w:val="24"/>
                <w:highlight w:val="none"/>
              </w:rPr>
            </w:pPr>
          </w:p>
        </w:tc>
      </w:tr>
    </w:tbl>
    <w:p>
      <w:pPr>
        <w:wordWrap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 凡符合以上任何一项情形，在相应方框内打“○”，否则打“×”，只要出现一个“×”，结论均为“无效”，否则为“有效”。</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2.如对本表中某种情形的评审意见不一致时，以评标委员会过半数成员的意见作为评标委员会对该情形的认定结论。</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3.结论为“不通过”的，请描述原因。</w:t>
      </w:r>
    </w:p>
    <w:p>
      <w:pPr>
        <w:wordWrap w:val="0"/>
        <w:spacing w:line="400" w:lineRule="exact"/>
        <w:rPr>
          <w:rFonts w:hint="eastAsia" w:ascii="宋体" w:hAnsi="宋体" w:eastAsia="宋体" w:cs="宋体"/>
          <w:color w:val="auto"/>
          <w:sz w:val="24"/>
          <w:highlight w:val="none"/>
        </w:rPr>
      </w:pPr>
    </w:p>
    <w:p>
      <w:pPr>
        <w:wordWrap w:val="0"/>
        <w:spacing w:line="400" w:lineRule="exact"/>
        <w:ind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评委签名：                                                          日期：</w:t>
      </w:r>
    </w:p>
    <w:p>
      <w:pPr>
        <w:pStyle w:val="4"/>
        <w:wordWrap w:val="0"/>
        <w:adjustRightInd w:val="0"/>
        <w:snapToGrid w:val="0"/>
        <w:spacing w:before="0" w:after="0" w:line="360" w:lineRule="auto"/>
        <w:ind w:firstLine="0" w:firstLineChars="0"/>
        <w:rPr>
          <w:rFonts w:hint="eastAsia" w:ascii="宋体" w:eastAsia="宋体" w:cs="宋体"/>
          <w:color w:val="auto"/>
          <w:sz w:val="24"/>
          <w:highlight w:val="none"/>
        </w:rPr>
      </w:pPr>
      <w:r>
        <w:rPr>
          <w:rFonts w:hint="eastAsia" w:ascii="宋体" w:eastAsia="宋体" w:cs="宋体"/>
          <w:color w:val="auto"/>
          <w:szCs w:val="21"/>
          <w:highlight w:val="none"/>
        </w:rPr>
        <w:br w:type="page"/>
      </w:r>
      <w:bookmarkStart w:id="319" w:name="_Toc45640649"/>
      <w:bookmarkStart w:id="320" w:name="_Toc49436549"/>
      <w:bookmarkStart w:id="321" w:name="_Toc21703"/>
      <w:bookmarkStart w:id="322" w:name="_Toc4488"/>
      <w:bookmarkStart w:id="323" w:name="_Toc62725721"/>
      <w:bookmarkStart w:id="324" w:name="_Toc1528"/>
      <w:bookmarkStart w:id="325" w:name="_Toc22603"/>
      <w:bookmarkStart w:id="326" w:name="_Toc19338"/>
      <w:bookmarkStart w:id="327" w:name="_Toc28910"/>
      <w:bookmarkStart w:id="328" w:name="_Toc24021"/>
      <w:bookmarkStart w:id="329" w:name="_Toc19204057"/>
      <w:r>
        <w:rPr>
          <w:rFonts w:hint="eastAsia" w:ascii="宋体" w:eastAsia="宋体" w:cs="宋体"/>
          <w:color w:val="auto"/>
          <w:sz w:val="24"/>
          <w:szCs w:val="24"/>
          <w:highlight w:val="none"/>
        </w:rPr>
        <w:t>附表3：经济标有效性审查表</w:t>
      </w:r>
      <w:bookmarkEnd w:id="319"/>
      <w:bookmarkEnd w:id="320"/>
      <w:bookmarkEnd w:id="321"/>
      <w:bookmarkEnd w:id="322"/>
      <w:bookmarkEnd w:id="323"/>
      <w:bookmarkEnd w:id="324"/>
      <w:bookmarkEnd w:id="325"/>
      <w:bookmarkEnd w:id="326"/>
      <w:bookmarkEnd w:id="327"/>
    </w:p>
    <w:bookmarkEnd w:id="328"/>
    <w:bookmarkEnd w:id="329"/>
    <w:p>
      <w:pPr>
        <w:widowControl/>
        <w:wordWrap w:val="0"/>
        <w:autoSpaceDE w:val="0"/>
        <w:autoSpaceDN w:val="0"/>
        <w:adjustRightInd w:val="0"/>
        <w:spacing w:before="20" w:after="2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tbl>
      <w:tblPr>
        <w:tblStyle w:val="37"/>
        <w:tblW w:w="14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711"/>
        <w:gridCol w:w="921"/>
        <w:gridCol w:w="92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0711" w:type="dxa"/>
            <w:tcBorders>
              <w:tl2br w:val="single" w:color="auto" w:sz="4" w:space="0"/>
            </w:tcBorders>
          </w:tcPr>
          <w:p>
            <w:pPr>
              <w:tabs>
                <w:tab w:val="left" w:pos="720"/>
              </w:tabs>
              <w:wordWrap w:val="0"/>
              <w:autoSpaceDE w:val="0"/>
              <w:autoSpaceDN w:val="0"/>
              <w:adjustRightInd w:val="0"/>
              <w:snapToGrid w:val="0"/>
              <w:spacing w:before="20" w:after="20"/>
              <w:ind w:firstLine="964" w:firstLineChars="400"/>
              <w:jc w:val="righ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投标单位</w:t>
            </w:r>
          </w:p>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评审内容</w:t>
            </w: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b/>
                <w:bCs/>
                <w:color w:val="auto"/>
                <w:kern w:val="0"/>
                <w:sz w:val="24"/>
                <w:highlight w:val="none"/>
              </w:rPr>
            </w:pPr>
          </w:p>
        </w:tc>
        <w:tc>
          <w:tcPr>
            <w:tcW w:w="922" w:type="dxa"/>
          </w:tcPr>
          <w:p>
            <w:pPr>
              <w:wordWrap w:val="0"/>
              <w:spacing w:before="20" w:after="20"/>
              <w:rPr>
                <w:rFonts w:hint="eastAsia" w:ascii="宋体" w:hAnsi="宋体" w:eastAsia="宋体" w:cs="宋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没有出现对本次招标提交了两份或两份以上内容不同的投标文件或报价，且未明确哪份投标文件或报价有效情况。</w:t>
            </w: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bookmarkStart w:id="330" w:name="OLE_LINK6"/>
            <w:r>
              <w:rPr>
                <w:rFonts w:hint="eastAsia" w:ascii="宋体" w:hAnsi="宋体" w:eastAsia="宋体" w:cs="宋体"/>
                <w:color w:val="auto"/>
                <w:kern w:val="0"/>
                <w:sz w:val="24"/>
                <w:highlight w:val="none"/>
              </w:rPr>
              <w:t>投标报价没有高于</w:t>
            </w:r>
            <w:r>
              <w:rPr>
                <w:rFonts w:hint="eastAsia" w:ascii="宋体" w:hAnsi="宋体" w:eastAsia="宋体" w:cs="宋体"/>
                <w:color w:val="auto"/>
                <w:sz w:val="24"/>
                <w:highlight w:val="none"/>
              </w:rPr>
              <w:t>最高投标限价。</w:t>
            </w:r>
            <w:bookmarkEnd w:id="330"/>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投标报价没有低于企业成本（评标委员会认为投标人的报价明显低于其他通过有效性审查投标人的报价，又不能合理说明或者不能提供相关证明材料，评标委员会可认定该投标人低于成本报价的）。</w:t>
            </w: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bookmarkStart w:id="331" w:name="OLE_LINK7"/>
            <w:r>
              <w:rPr>
                <w:rFonts w:hint="eastAsia" w:ascii="宋体" w:hAnsi="宋体" w:eastAsia="宋体" w:cs="宋体"/>
                <w:color w:val="auto"/>
                <w:sz w:val="24"/>
                <w:highlight w:val="none"/>
              </w:rPr>
              <w:t>投标文件中未提交可变动价格，且无任何包含价格调整要求。</w:t>
            </w:r>
            <w:bookmarkEnd w:id="331"/>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投标文件不存在：未按规定的格式填写，或主要内容不全，或关键字迹模糊、无法辨认的。</w:t>
            </w: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9" w:type="dxa"/>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0711" w:type="dxa"/>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不存在与其他投标人串通投标情形（串通投标情形以《中华人民共和国招标投标法实施条例》的规定为准）。</w:t>
            </w: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wordWrap w:val="0"/>
              <w:spacing w:before="20" w:after="20"/>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50" w:type="dxa"/>
            <w:gridSpan w:val="2"/>
            <w:vAlign w:val="center"/>
          </w:tcPr>
          <w:p>
            <w:pPr>
              <w:widowControl/>
              <w:wordWrap w:val="0"/>
              <w:autoSpaceDE w:val="0"/>
              <w:autoSpaceDN w:val="0"/>
              <w:adjustRightInd w:val="0"/>
              <w:spacing w:before="20" w:after="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结论</w:t>
            </w:r>
          </w:p>
        </w:tc>
        <w:tc>
          <w:tcPr>
            <w:tcW w:w="921" w:type="dxa"/>
          </w:tcPr>
          <w:p>
            <w:pPr>
              <w:keepNext/>
              <w:keepLines/>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1" w:type="dxa"/>
          </w:tcPr>
          <w:p>
            <w:pPr>
              <w:keepNext/>
              <w:keepLines/>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p>
        </w:tc>
        <w:tc>
          <w:tcPr>
            <w:tcW w:w="922" w:type="dxa"/>
          </w:tcPr>
          <w:p>
            <w:pPr>
              <w:keepNext/>
              <w:keepLines/>
              <w:wordWrap w:val="0"/>
              <w:spacing w:before="20" w:after="20"/>
              <w:rPr>
                <w:rFonts w:hint="eastAsia" w:ascii="宋体" w:hAnsi="宋体" w:eastAsia="宋体" w:cs="宋体"/>
                <w:color w:val="auto"/>
                <w:kern w:val="0"/>
                <w:sz w:val="24"/>
                <w:highlight w:val="none"/>
              </w:rPr>
            </w:pPr>
          </w:p>
        </w:tc>
      </w:tr>
    </w:tbl>
    <w:p>
      <w:pPr>
        <w:wordWrap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 凡符合以上任何一项情形，在相应方框内打“○”，否则打“×”，只要出现一个“×”，结论均为“无效”，否则为“有效”。</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2.如对本表中某种情形的评审意见不一致时，以评标委员会过半数成员的意见作为评标委员会对该情形的认定结论。</w:t>
      </w:r>
    </w:p>
    <w:p>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3.结论为“不通过”的，请描述原因。       </w:t>
      </w:r>
    </w:p>
    <w:p>
      <w:pPr>
        <w:wordWrap w:val="0"/>
        <w:spacing w:line="400" w:lineRule="exact"/>
        <w:rPr>
          <w:rFonts w:hint="eastAsia" w:ascii="宋体" w:hAnsi="宋体" w:eastAsia="宋体" w:cs="宋体"/>
          <w:color w:val="auto"/>
          <w:szCs w:val="21"/>
          <w:highlight w:val="none"/>
        </w:rPr>
      </w:pPr>
      <w:r>
        <w:rPr>
          <w:rFonts w:hint="eastAsia" w:ascii="宋体" w:hAnsi="宋体" w:eastAsia="宋体" w:cs="宋体"/>
          <w:color w:val="auto"/>
          <w:sz w:val="24"/>
          <w:highlight w:val="none"/>
        </w:rPr>
        <w:t>评委签名：                                                                     日期：</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4"/>
        <w:wordWrap w:val="0"/>
        <w:adjustRightInd w:val="0"/>
        <w:snapToGrid w:val="0"/>
        <w:spacing w:before="0" w:after="0" w:line="360" w:lineRule="auto"/>
        <w:ind w:firstLine="0" w:firstLineChars="0"/>
        <w:rPr>
          <w:color w:val="auto"/>
          <w:highlight w:val="none"/>
        </w:rPr>
      </w:pPr>
      <w:bookmarkStart w:id="332" w:name="_Toc48065124"/>
      <w:bookmarkStart w:id="333" w:name="_Toc15762"/>
      <w:bookmarkStart w:id="334" w:name="_Toc9537"/>
      <w:bookmarkStart w:id="335" w:name="_Toc19571"/>
      <w:bookmarkStart w:id="336" w:name="_Toc9584"/>
      <w:r>
        <w:rPr>
          <w:rFonts w:hint="eastAsia" w:ascii="宋体" w:eastAsia="宋体" w:cs="宋体"/>
          <w:color w:val="auto"/>
          <w:sz w:val="24"/>
          <w:szCs w:val="24"/>
          <w:highlight w:val="none"/>
        </w:rPr>
        <w:t>附件4：商务标详细审查评分标准</w:t>
      </w:r>
      <w:bookmarkEnd w:id="332"/>
      <w:bookmarkEnd w:id="333"/>
      <w:bookmarkEnd w:id="334"/>
      <w:bookmarkEnd w:id="335"/>
      <w:bookmarkEnd w:id="336"/>
    </w:p>
    <w:p>
      <w:pPr>
        <w:rPr>
          <w:rFonts w:hint="eastAsia"/>
          <w:color w:val="auto"/>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tbl>
      <w:tblPr>
        <w:tblStyle w:val="3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1718"/>
        <w:gridCol w:w="10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4" w:type="pct"/>
            <w:vAlign w:val="center"/>
          </w:tcPr>
          <w:p>
            <w:pPr>
              <w:spacing w:line="360" w:lineRule="auto"/>
              <w:jc w:val="center"/>
              <w:rPr>
                <w:rFonts w:ascii="宋体" w:hAnsi="宋体" w:eastAsia="宋体" w:cs="宋体"/>
                <w:color w:val="auto"/>
                <w:kern w:val="0"/>
                <w:sz w:val="24"/>
                <w:highlight w:val="none"/>
              </w:rPr>
            </w:pPr>
            <w:bookmarkStart w:id="337" w:name="_Hlk206624405"/>
            <w:r>
              <w:rPr>
                <w:rFonts w:hint="eastAsia" w:ascii="宋体" w:hAnsi="宋体" w:eastAsia="宋体" w:cs="宋体"/>
                <w:color w:val="auto"/>
                <w:kern w:val="0"/>
                <w:sz w:val="24"/>
                <w:highlight w:val="none"/>
              </w:rPr>
              <w:t>评分项目</w:t>
            </w:r>
          </w:p>
        </w:tc>
        <w:tc>
          <w:tcPr>
            <w:tcW w:w="596" w:type="pct"/>
            <w:vAlign w:val="center"/>
          </w:tcPr>
          <w:p>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分值</w:t>
            </w:r>
          </w:p>
        </w:tc>
        <w:tc>
          <w:tcPr>
            <w:tcW w:w="3558" w:type="pct"/>
            <w:vAlign w:val="center"/>
          </w:tcPr>
          <w:p>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4" w:type="pct"/>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主要负责人的任职</w:t>
            </w:r>
            <w:r>
              <w:rPr>
                <w:rFonts w:hint="eastAsia" w:ascii="宋体" w:hAnsi="宋体" w:eastAsia="宋体" w:cs="宋体"/>
                <w:color w:val="auto"/>
                <w:kern w:val="0"/>
                <w:sz w:val="24"/>
                <w:highlight w:val="none"/>
                <w:lang w:val="en-US" w:eastAsia="zh-CN"/>
              </w:rPr>
              <w:t>资格</w:t>
            </w:r>
            <w:r>
              <w:rPr>
                <w:rFonts w:hint="eastAsia" w:ascii="宋体" w:hAnsi="宋体" w:eastAsia="宋体" w:cs="宋体"/>
                <w:color w:val="auto"/>
                <w:kern w:val="0"/>
                <w:sz w:val="24"/>
                <w:highlight w:val="none"/>
              </w:rPr>
              <w:t>与业绩</w:t>
            </w:r>
          </w:p>
        </w:tc>
        <w:tc>
          <w:tcPr>
            <w:tcW w:w="596" w:type="pct"/>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32</w:t>
            </w:r>
            <w:r>
              <w:rPr>
                <w:rFonts w:hint="eastAsia" w:ascii="宋体" w:hAnsi="宋体" w:eastAsia="宋体" w:cs="宋体"/>
                <w:color w:val="auto"/>
                <w:kern w:val="0"/>
                <w:sz w:val="24"/>
                <w:highlight w:val="none"/>
              </w:rPr>
              <w:t>分</w:t>
            </w:r>
          </w:p>
        </w:tc>
        <w:tc>
          <w:tcPr>
            <w:tcW w:w="3558" w:type="pct"/>
            <w:vAlign w:val="center"/>
          </w:tcPr>
          <w:p>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1.投标人拟委派的设计项目负责人：</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（1）自2020年1月1日至今，担任过质量合格的类似业绩设计项目负责人的,得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（2）具备电力工程设计相关专业高级（或以上）工程师职称的，得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注：1）类似业绩是指光伏总装机容量大于或等于</w:t>
            </w:r>
            <w:r>
              <w:rPr>
                <w:rFonts w:ascii="宋体" w:hAnsi="宋体" w:eastAsia="宋体" w:cs="宋体"/>
                <w:color w:val="auto"/>
                <w:sz w:val="24"/>
                <w:highlight w:val="none"/>
              </w:rPr>
              <w:t>2</w:t>
            </w:r>
            <w:r>
              <w:rPr>
                <w:rFonts w:hint="eastAsia" w:ascii="宋体" w:hAnsi="宋体" w:eastAsia="宋体" w:cs="宋体"/>
                <w:color w:val="auto"/>
                <w:sz w:val="24"/>
                <w:highlight w:val="none"/>
              </w:rPr>
              <w:t>MW的已并网的光伏电站工程的设计业绩（或勘察设计、勘察设计施工总承包、设计施工总承包、EPC项目或工程总承包业绩中的设计部分业绩）。</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证明材料需提供：①中标通知书或免招标的证明；②合同关键页扫描件，合同关键页包括合同首页、签字盖章页和主要内容页；③项目已并网证明，已并网证明包括且仅限于以下之一：国家电监会文件、供电文件、工程启动移交签收书、移交鉴定书、投产证明、验收（竣工）报告。如以上资料不能证明项目规模的，须另提供可证明的其他资料。业绩时间以并网时间或竣工验收时间为准。上述证明材料须有拟派设计负责人的姓名，如上述证明材料不能体现的，须提供建设单位盖章的证明材料。资料不齐全的不得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4）如为联合体投标，设计项目负责人由联合体设计成员单位提供，且应为本单位的正式职工，需提供相关证书证明文件（职称证等）和最近1个月（时间为：2025年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月）在本单位交纳的社保证明。</w:t>
            </w:r>
          </w:p>
          <w:p>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2.拟委派的施工项目负责人：</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（1）自2020年1月1日至今，担任过质量合格的类似业绩项目负责人的，得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（2）具备电力工程相关专业高级（或以上）工程师职称的，得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注：1）类似工程业绩是指光伏总装机容量大于或等于</w:t>
            </w:r>
            <w:r>
              <w:rPr>
                <w:rFonts w:ascii="宋体" w:hAnsi="宋体" w:eastAsia="宋体" w:cs="宋体"/>
                <w:color w:val="auto"/>
                <w:sz w:val="24"/>
                <w:highlight w:val="none"/>
              </w:rPr>
              <w:t>2</w:t>
            </w:r>
            <w:r>
              <w:rPr>
                <w:rFonts w:hint="eastAsia" w:ascii="宋体" w:hAnsi="宋体" w:eastAsia="宋体" w:cs="宋体"/>
                <w:color w:val="auto"/>
                <w:sz w:val="24"/>
                <w:highlight w:val="none"/>
              </w:rPr>
              <w:t>MW的已并网的光伏电站工程的EPC工程总承包或施工总承包业绩。</w:t>
            </w:r>
          </w:p>
          <w:p>
            <w:pPr>
              <w:spacing w:line="360" w:lineRule="auto"/>
              <w:contextualSpacing/>
              <w:jc w:val="left"/>
              <w:rPr>
                <w:rFonts w:ascii="宋体" w:hAnsi="宋体" w:eastAsia="宋体" w:cs="宋体"/>
                <w:color w:val="auto"/>
                <w:sz w:val="24"/>
                <w:highlight w:val="none"/>
              </w:rPr>
            </w:pPr>
            <w:r>
              <w:rPr>
                <w:rFonts w:hint="eastAsia" w:ascii="宋体" w:hAnsi="宋体" w:eastAsia="宋体" w:cs="宋体"/>
                <w:color w:val="auto"/>
                <w:sz w:val="24"/>
                <w:highlight w:val="none"/>
              </w:rPr>
              <w:t>2）证明材料需提供：①中标通知书或免招标的证明；②施工合同或工程总承包合同关键页扫描件，合同关键页包括合同首页、签字盖章页和主要内容页；③项目已并网证明，已并网证明包括且仅限于以下之一：国家电监会文件、供电文件、工程启动移交签收书、移交鉴定书、投产证明、验收（竣工）报告。如以上资料不能证明项目规模的，须另提供可证明的其他资料。业绩时间以并网时间或竣工验收时间为准。上述证明材料须有拟派项目负责人（或施工负责人）的姓名，如上述证明材料不能体现的，须提供建设单位盖章的证明材料。资料不齐全的不得分。</w:t>
            </w: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4）如为联合体投标，施工负责人由联合体主办单位提供，且应为本单位的正式职工，需提供相关证书证明文件（职称证等）和最近1个月（时间为：2025年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月）在本单位交纳的社保证明。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4" w:type="pct"/>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组织机构及主要管理人员</w:t>
            </w:r>
          </w:p>
        </w:tc>
        <w:tc>
          <w:tcPr>
            <w:tcW w:w="596" w:type="pct"/>
            <w:vAlign w:val="center"/>
          </w:tcPr>
          <w:p>
            <w:pPr>
              <w:spacing w:line="360" w:lineRule="auto"/>
              <w:jc w:val="center"/>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tc>
        <w:tc>
          <w:tcPr>
            <w:tcW w:w="3558" w:type="pct"/>
            <w:vAlign w:val="center"/>
          </w:tcPr>
          <w:p>
            <w:pP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拟</w:t>
            </w:r>
            <w:r>
              <w:rPr>
                <w:rFonts w:hint="eastAsia" w:ascii="宋体" w:hAnsi="宋体" w:eastAsia="宋体" w:cs="宋体"/>
                <w:color w:val="auto"/>
                <w:kern w:val="0"/>
                <w:sz w:val="24"/>
                <w:highlight w:val="none"/>
                <w:lang w:val="en-US" w:eastAsia="zh-CN"/>
              </w:rPr>
              <w:t>委</w:t>
            </w:r>
            <w:r>
              <w:rPr>
                <w:rFonts w:hint="eastAsia" w:ascii="宋体" w:hAnsi="宋体" w:eastAsia="宋体" w:cs="宋体"/>
                <w:color w:val="auto"/>
                <w:kern w:val="0"/>
                <w:sz w:val="24"/>
                <w:highlight w:val="none"/>
              </w:rPr>
              <w:t>派</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设计</w:t>
            </w:r>
            <w:r>
              <w:rPr>
                <w:rFonts w:hint="eastAsia" w:ascii="宋体" w:hAnsi="宋体" w:eastAsia="宋体" w:cs="宋体"/>
                <w:color w:val="auto"/>
                <w:kern w:val="0"/>
                <w:sz w:val="24"/>
                <w:highlight w:val="none"/>
                <w:lang w:val="en-US" w:eastAsia="zh-CN"/>
              </w:rPr>
              <w:t>专业负责人（含电气、结构、建筑、给排水共4个专业）</w:t>
            </w:r>
            <w:r>
              <w:rPr>
                <w:rFonts w:hint="eastAsia" w:ascii="宋体" w:hAnsi="宋体" w:eastAsia="宋体" w:cs="宋体"/>
                <w:color w:val="auto"/>
                <w:kern w:val="0"/>
                <w:sz w:val="24"/>
                <w:highlight w:val="none"/>
              </w:rPr>
              <w:t>：</w:t>
            </w:r>
          </w:p>
          <w:p>
            <w:pPr>
              <w:widowControl w:val="0"/>
              <w:numPr>
                <w:ilvl w:val="0"/>
                <w:numId w:val="1"/>
              </w:numPr>
              <w:spacing w:line="360" w:lineRule="auto"/>
              <w:ind w:left="720" w:hanging="720" w:firstLineChars="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电气专业负责人</w:t>
            </w:r>
          </w:p>
          <w:p>
            <w:pP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电气专业负责人同时具备电气专业高级工程师（或以上）职称及注册电气工程师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的，得3分；仅具备注册电气工程师执业证书的，得1分；不具备注册电气工程师执业证书的，不得分。</w:t>
            </w:r>
          </w:p>
          <w:p>
            <w:pPr>
              <w:widowControl w:val="0"/>
              <w:numPr>
                <w:ilvl w:val="0"/>
                <w:numId w:val="1"/>
              </w:numPr>
              <w:spacing w:line="360" w:lineRule="auto"/>
              <w:ind w:left="720" w:hanging="720" w:firstLineChars="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结构专业负责人</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结构</w:t>
            </w:r>
            <w:r>
              <w:rPr>
                <w:rFonts w:hint="eastAsia" w:ascii="宋体" w:hAnsi="宋体" w:eastAsia="宋体" w:cs="宋体"/>
                <w:color w:val="auto"/>
                <w:kern w:val="0"/>
                <w:sz w:val="24"/>
                <w:highlight w:val="none"/>
              </w:rPr>
              <w:t>专业负责人同时具备</w:t>
            </w:r>
            <w:r>
              <w:rPr>
                <w:rFonts w:hint="eastAsia" w:ascii="宋体" w:hAnsi="宋体" w:eastAsia="宋体" w:cs="宋体"/>
                <w:color w:val="auto"/>
                <w:kern w:val="0"/>
                <w:sz w:val="24"/>
                <w:highlight w:val="none"/>
                <w:lang w:val="en-US" w:eastAsia="zh-CN"/>
              </w:rPr>
              <w:t>土建类</w:t>
            </w:r>
            <w:r>
              <w:rPr>
                <w:rFonts w:hint="eastAsia" w:ascii="宋体" w:hAnsi="宋体" w:eastAsia="宋体" w:cs="宋体"/>
                <w:color w:val="auto"/>
                <w:kern w:val="0"/>
                <w:sz w:val="24"/>
                <w:highlight w:val="none"/>
              </w:rPr>
              <w:t>高级工程师（或以上）职称及一级注册结构工程师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的，得3分；仅具备一级注册结构工程师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，得1分；不具备一级注册结构工程师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的，不得分。</w:t>
            </w:r>
          </w:p>
          <w:p>
            <w:pPr>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3）建筑专业负责人</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建筑</w:t>
            </w:r>
            <w:r>
              <w:rPr>
                <w:rFonts w:hint="eastAsia" w:ascii="宋体" w:hAnsi="宋体" w:eastAsia="宋体" w:cs="宋体"/>
                <w:color w:val="auto"/>
                <w:kern w:val="0"/>
                <w:sz w:val="24"/>
                <w:highlight w:val="none"/>
              </w:rPr>
              <w:t>专业负责人同时具备</w:t>
            </w:r>
            <w:r>
              <w:rPr>
                <w:rFonts w:hint="eastAsia" w:ascii="宋体" w:hAnsi="宋体" w:eastAsia="宋体" w:cs="宋体"/>
                <w:color w:val="auto"/>
                <w:kern w:val="0"/>
                <w:sz w:val="24"/>
                <w:highlight w:val="none"/>
                <w:lang w:val="en-US" w:eastAsia="zh-CN"/>
              </w:rPr>
              <w:t>建筑类</w:t>
            </w:r>
            <w:r>
              <w:rPr>
                <w:rFonts w:hint="eastAsia" w:ascii="宋体" w:hAnsi="宋体" w:eastAsia="宋体" w:cs="宋体"/>
                <w:color w:val="auto"/>
                <w:kern w:val="0"/>
                <w:sz w:val="24"/>
                <w:highlight w:val="none"/>
              </w:rPr>
              <w:t>高级工程师（或以上）职称及一级注册</w:t>
            </w:r>
            <w:r>
              <w:rPr>
                <w:rFonts w:hint="eastAsia" w:ascii="宋体" w:hAnsi="宋体" w:eastAsia="宋体" w:cs="宋体"/>
                <w:color w:val="auto"/>
                <w:kern w:val="0"/>
                <w:sz w:val="24"/>
                <w:highlight w:val="none"/>
                <w:lang w:val="en-US" w:eastAsia="zh-CN"/>
              </w:rPr>
              <w:t>建筑</w:t>
            </w:r>
            <w:r>
              <w:rPr>
                <w:rFonts w:hint="eastAsia" w:ascii="宋体" w:hAnsi="宋体" w:eastAsia="宋体" w:cs="宋体"/>
                <w:color w:val="auto"/>
                <w:kern w:val="0"/>
                <w:sz w:val="24"/>
                <w:highlight w:val="none"/>
              </w:rPr>
              <w:t>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的，得3分；仅具备一级注册</w:t>
            </w:r>
            <w:r>
              <w:rPr>
                <w:rFonts w:hint="eastAsia" w:ascii="宋体" w:hAnsi="宋体" w:eastAsia="宋体" w:cs="宋体"/>
                <w:color w:val="auto"/>
                <w:kern w:val="0"/>
                <w:sz w:val="24"/>
                <w:highlight w:val="none"/>
                <w:lang w:val="en-US" w:eastAsia="zh-CN"/>
              </w:rPr>
              <w:t>建筑</w:t>
            </w:r>
            <w:r>
              <w:rPr>
                <w:rFonts w:hint="eastAsia" w:ascii="宋体" w:hAnsi="宋体" w:eastAsia="宋体" w:cs="宋体"/>
                <w:color w:val="auto"/>
                <w:kern w:val="0"/>
                <w:sz w:val="24"/>
                <w:highlight w:val="none"/>
              </w:rPr>
              <w:t>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，得1分；不具备一级注册</w:t>
            </w:r>
            <w:r>
              <w:rPr>
                <w:rFonts w:hint="eastAsia" w:ascii="宋体" w:hAnsi="宋体" w:eastAsia="宋体" w:cs="宋体"/>
                <w:color w:val="auto"/>
                <w:kern w:val="0"/>
                <w:sz w:val="24"/>
                <w:highlight w:val="none"/>
                <w:lang w:val="en-US" w:eastAsia="zh-CN"/>
              </w:rPr>
              <w:t>建筑</w:t>
            </w:r>
            <w:r>
              <w:rPr>
                <w:rFonts w:hint="eastAsia" w:ascii="宋体" w:hAnsi="宋体" w:eastAsia="宋体" w:cs="宋体"/>
                <w:color w:val="auto"/>
                <w:kern w:val="0"/>
                <w:sz w:val="24"/>
                <w:highlight w:val="none"/>
              </w:rPr>
              <w:t>工程师</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的，不得分。</w:t>
            </w:r>
          </w:p>
          <w:p>
            <w:pP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（4）给排水专业负责人</w:t>
            </w:r>
          </w:p>
          <w:p>
            <w:pP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给排水专业负责人同时具备给排水专业高级工程师（或以上）职称及注册公用设备工程师（给水排水）</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的，得3分；仅具备一注册公用设备工程师（给水排水）</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，得1分；不具备注册公用设备工程师（给水排水）</w:t>
            </w:r>
            <w:r>
              <w:rPr>
                <w:rFonts w:hint="eastAsia" w:ascii="宋体" w:hAnsi="宋体" w:eastAsia="宋体" w:cs="宋体"/>
                <w:color w:val="auto"/>
                <w:sz w:val="24"/>
                <w:highlight w:val="none"/>
              </w:rPr>
              <w:t>执业</w:t>
            </w:r>
            <w:r>
              <w:rPr>
                <w:rFonts w:hint="eastAsia" w:ascii="宋体" w:hAnsi="宋体" w:eastAsia="宋体" w:cs="宋体"/>
                <w:color w:val="auto"/>
                <w:sz w:val="24"/>
                <w:highlight w:val="none"/>
                <w:u w:val="single"/>
              </w:rPr>
              <w:t>资格</w:t>
            </w:r>
            <w:r>
              <w:rPr>
                <w:rFonts w:hint="eastAsia" w:ascii="宋体" w:hAnsi="宋体" w:eastAsia="宋体" w:cs="宋体"/>
                <w:color w:val="auto"/>
                <w:kern w:val="0"/>
                <w:sz w:val="24"/>
                <w:highlight w:val="none"/>
              </w:rPr>
              <w:t>，不得分。</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（5）以上人员自2020年1月</w:t>
            </w:r>
            <w:r>
              <w:rPr>
                <w:rFonts w:hint="eastAsia" w:ascii="宋体" w:hAnsi="宋体" w:eastAsia="宋体" w:cs="宋体"/>
                <w:color w:val="auto"/>
                <w:sz w:val="24"/>
                <w:highlight w:val="none"/>
              </w:rPr>
              <w:t>1日以来（时间以证书时间为准）获得过省级建设行政主管部门或省级及以上协会（学会）颁发电力类工程设计奖的，每人计</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分，本项最多计</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人，最多得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w:t>
            </w:r>
            <w:r>
              <w:rPr>
                <w:rFonts w:hint="eastAsia" w:ascii="宋体" w:hAnsi="宋体" w:eastAsia="宋体" w:cs="宋体"/>
                <w:color w:val="auto"/>
                <w:sz w:val="24"/>
                <w:highlight w:val="none"/>
              </w:rPr>
              <w:t>拟派</w:t>
            </w:r>
            <w:bookmarkStart w:id="338" w:name="OLE_LINK3"/>
            <w:bookmarkStart w:id="339" w:name="OLE_LINK2"/>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施工技术负责人同时具备一级建造师执业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、工程类高级工程师或以上职称证书，得3分，仅具备一级建造师执业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，得1分，不具备一级建造师注册证书，不得分；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w:t>
            </w:r>
            <w:r>
              <w:rPr>
                <w:rFonts w:hint="eastAsia" w:ascii="宋体" w:hAnsi="宋体" w:eastAsia="宋体" w:cs="宋体"/>
                <w:color w:val="auto"/>
                <w:sz w:val="24"/>
                <w:highlight w:val="none"/>
              </w:rPr>
              <w:t>拟派</w:t>
            </w:r>
            <w:r>
              <w:rPr>
                <w:rFonts w:hint="eastAsia" w:ascii="宋体" w:hAnsi="宋体" w:eastAsia="宋体" w:cs="宋体"/>
                <w:color w:val="auto"/>
                <w:sz w:val="24"/>
                <w:highlight w:val="none"/>
                <w:lang w:val="en-US" w:eastAsia="zh-CN"/>
              </w:rPr>
              <w:t>的施工</w:t>
            </w:r>
            <w:r>
              <w:rPr>
                <w:rFonts w:hint="eastAsia" w:ascii="宋体" w:hAnsi="宋体" w:eastAsia="宋体" w:cs="宋体"/>
                <w:color w:val="auto"/>
                <w:sz w:val="24"/>
                <w:highlight w:val="none"/>
              </w:rPr>
              <w:t>安全负责人同时具备注册安全工程师执业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、工程类高级工程师或以上职称证书，得3分，仅具备注册安全工程师执业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，得1分，不具备注册安全工程师证书，不得分；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w:t>
            </w:r>
            <w:r>
              <w:rPr>
                <w:rFonts w:hint="eastAsia" w:ascii="宋体" w:hAnsi="宋体" w:eastAsia="宋体" w:cs="宋体"/>
                <w:color w:val="auto"/>
                <w:sz w:val="24"/>
                <w:highlight w:val="none"/>
              </w:rPr>
              <w:t>拟派</w:t>
            </w:r>
            <w:r>
              <w:rPr>
                <w:rFonts w:hint="eastAsia" w:ascii="宋体" w:hAnsi="宋体" w:eastAsia="宋体" w:cs="宋体"/>
                <w:color w:val="auto"/>
                <w:sz w:val="24"/>
                <w:highlight w:val="none"/>
                <w:lang w:val="en-US" w:eastAsia="zh-CN"/>
              </w:rPr>
              <w:t>的施工</w:t>
            </w:r>
            <w:r>
              <w:rPr>
                <w:rFonts w:hint="eastAsia" w:ascii="宋体" w:hAnsi="宋体" w:eastAsia="宋体" w:cs="宋体"/>
                <w:color w:val="auto"/>
                <w:sz w:val="24"/>
                <w:highlight w:val="none"/>
              </w:rPr>
              <w:t>机电负责人具有机电工程一级建造师注册执业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、工程类高级工程师或以上职称证书，得3分，仅具备机电工程一级建造师执业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，得1分，不具备机电工程一级建造师执业</w:t>
            </w:r>
            <w:r>
              <w:rPr>
                <w:rFonts w:hint="eastAsia" w:ascii="宋体" w:hAnsi="宋体" w:eastAsia="宋体" w:cs="宋体"/>
                <w:color w:val="auto"/>
                <w:sz w:val="24"/>
                <w:highlight w:val="none"/>
                <w:u w:val="single"/>
              </w:rPr>
              <w:t>资格</w:t>
            </w:r>
            <w:r>
              <w:rPr>
                <w:rFonts w:hint="eastAsia" w:ascii="宋体" w:hAnsi="宋体" w:eastAsia="宋体" w:cs="宋体"/>
                <w:color w:val="auto"/>
                <w:sz w:val="24"/>
                <w:highlight w:val="none"/>
              </w:rPr>
              <w:t>，不得分；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w:t>
            </w:r>
            <w:r>
              <w:rPr>
                <w:rFonts w:hint="eastAsia" w:ascii="宋体" w:hAnsi="宋体" w:eastAsia="宋体" w:cs="宋体"/>
                <w:color w:val="auto"/>
                <w:sz w:val="24"/>
                <w:highlight w:val="none"/>
              </w:rPr>
              <w:t>拟派</w:t>
            </w:r>
            <w:r>
              <w:rPr>
                <w:rFonts w:hint="eastAsia" w:ascii="宋体" w:hAnsi="宋体" w:eastAsia="宋体" w:cs="宋体"/>
                <w:color w:val="auto"/>
                <w:sz w:val="24"/>
                <w:highlight w:val="none"/>
                <w:lang w:val="en-US" w:eastAsia="zh-CN"/>
              </w:rPr>
              <w:t>的施工</w:t>
            </w:r>
            <w:r>
              <w:rPr>
                <w:rFonts w:hint="eastAsia" w:ascii="宋体" w:hAnsi="宋体" w:eastAsia="宋体" w:cs="宋体"/>
                <w:color w:val="auto"/>
                <w:sz w:val="24"/>
                <w:highlight w:val="none"/>
              </w:rPr>
              <w:t>造价负责人具有一级注册造价工程师，得3分，不具备，不得分。</w:t>
            </w:r>
            <w:bookmarkEnd w:id="338"/>
          </w:p>
          <w:bookmarkEnd w:id="339"/>
          <w:p>
            <w:pPr>
              <w:spacing w:line="360" w:lineRule="auto"/>
              <w:jc w:val="left"/>
              <w:rPr>
                <w:rFonts w:hint="eastAsia" w:ascii="宋体" w:hAnsi="宋体" w:eastAsia="宋体" w:cs="宋体"/>
                <w:color w:val="auto"/>
                <w:sz w:val="24"/>
                <w:highlight w:val="none"/>
              </w:rPr>
            </w:pPr>
          </w:p>
          <w:p>
            <w:pP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ascii="宋体" w:hAnsi="宋体" w:eastAsia="宋体" w:cs="宋体"/>
                <w:color w:val="auto"/>
                <w:kern w:val="0"/>
                <w:sz w:val="24"/>
                <w:highlight w:val="none"/>
              </w:rPr>
              <w:t>1）如为联合体投标，设计专业负责人由联合体设计成员单位提供，且均应为本单位的正式职工，需提供相关证书证明文件（职称证、注册证等）和最近1个月（时间为：2025年</w:t>
            </w:r>
            <w:r>
              <w:rPr>
                <w:rFonts w:hint="eastAsia" w:ascii="宋体" w:hAnsi="宋体" w:eastAsia="宋体" w:cs="宋体"/>
                <w:color w:val="auto"/>
                <w:kern w:val="0"/>
                <w:sz w:val="24"/>
                <w:highlight w:val="none"/>
                <w:lang w:val="en-US" w:eastAsia="zh-CN"/>
              </w:rPr>
              <w:t>9</w:t>
            </w:r>
            <w:r>
              <w:rPr>
                <w:rFonts w:ascii="宋体" w:hAnsi="宋体" w:eastAsia="宋体" w:cs="宋体"/>
                <w:color w:val="auto"/>
                <w:kern w:val="0"/>
                <w:sz w:val="24"/>
                <w:highlight w:val="none"/>
              </w:rPr>
              <w:t>月）在本单位交纳的社保证明。设计负责人及各设计专业负责人之间不得兼任。</w:t>
            </w:r>
          </w:p>
          <w:p>
            <w:pPr>
              <w:spacing w:line="360" w:lineRule="auto"/>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2）如为联合体投标，</w:t>
            </w:r>
            <w:r>
              <w:rPr>
                <w:rFonts w:hint="eastAsia" w:ascii="宋体" w:hAnsi="宋体" w:eastAsia="宋体" w:cs="宋体"/>
                <w:color w:val="auto"/>
                <w:sz w:val="24"/>
                <w:highlight w:val="none"/>
              </w:rPr>
              <w:t>施工技术负责人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安全负责人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机电负责人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造价负责人</w:t>
            </w:r>
            <w:r>
              <w:rPr>
                <w:rFonts w:ascii="宋体" w:hAnsi="宋体" w:eastAsia="宋体" w:cs="宋体"/>
                <w:color w:val="auto"/>
                <w:kern w:val="0"/>
                <w:sz w:val="24"/>
                <w:highlight w:val="none"/>
              </w:rPr>
              <w:t>由联合体施工</w:t>
            </w:r>
            <w:r>
              <w:rPr>
                <w:rFonts w:hint="eastAsia" w:ascii="宋体" w:hAnsi="宋体" w:eastAsia="宋体" w:cs="宋体"/>
                <w:color w:val="auto"/>
                <w:kern w:val="0"/>
                <w:sz w:val="24"/>
                <w:highlight w:val="none"/>
                <w:lang w:val="en-US" w:eastAsia="zh-CN"/>
              </w:rPr>
              <w:t>成员</w:t>
            </w:r>
            <w:r>
              <w:rPr>
                <w:rFonts w:ascii="宋体" w:hAnsi="宋体" w:eastAsia="宋体" w:cs="宋体"/>
                <w:color w:val="auto"/>
                <w:kern w:val="0"/>
                <w:sz w:val="24"/>
                <w:highlight w:val="none"/>
              </w:rPr>
              <w:t>单位提供，且均为本单位的正式职工，需提供相关证书证明文件（职称证等）和最近1个月（时间为：2025年</w:t>
            </w:r>
            <w:r>
              <w:rPr>
                <w:rFonts w:hint="eastAsia" w:ascii="宋体" w:hAnsi="宋体" w:eastAsia="宋体" w:cs="宋体"/>
                <w:color w:val="auto"/>
                <w:kern w:val="0"/>
                <w:sz w:val="24"/>
                <w:highlight w:val="none"/>
                <w:lang w:val="en-US" w:eastAsia="zh-CN"/>
              </w:rPr>
              <w:t>9</w:t>
            </w:r>
            <w:r>
              <w:rPr>
                <w:rFonts w:ascii="宋体" w:hAnsi="宋体" w:eastAsia="宋体" w:cs="宋体"/>
                <w:color w:val="auto"/>
                <w:kern w:val="0"/>
                <w:sz w:val="24"/>
                <w:highlight w:val="none"/>
              </w:rPr>
              <w:t>月）在本单位交纳的社保证明。施工技术负责人不得兼任。</w:t>
            </w:r>
          </w:p>
          <w:p>
            <w:pPr>
              <w:spacing w:line="360" w:lineRule="auto"/>
              <w:jc w:val="left"/>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t>3）投标人应提供由人社部门核发的职称证书，若职称证书不是由人社部门核发，则应提供核发机构（或该机构职称评审委员会）获得人社部门授权或核准备案证明其具有职称评审权的证明文件扫描件，或该人员在人社部门职称管理系统登记的获得该职称的信息记录网页或截图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4" w:type="pct"/>
            <w:vAlign w:val="center"/>
          </w:tcPr>
          <w:p>
            <w:pPr>
              <w:spacing w:line="360" w:lineRule="auto"/>
              <w:jc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rPr>
              <w:t>投标人业绩</w:t>
            </w:r>
          </w:p>
        </w:tc>
        <w:tc>
          <w:tcPr>
            <w:tcW w:w="596" w:type="pct"/>
            <w:vAlign w:val="center"/>
          </w:tcPr>
          <w:p>
            <w:pPr>
              <w:spacing w:line="360" w:lineRule="auto"/>
              <w:jc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rPr>
              <w:t>36</w:t>
            </w:r>
            <w:r>
              <w:rPr>
                <w:rFonts w:hint="eastAsia" w:ascii="宋体" w:hAnsi="宋体" w:eastAsia="宋体" w:cs="宋体"/>
                <w:color w:val="auto"/>
                <w:kern w:val="0"/>
                <w:sz w:val="24"/>
                <w:highlight w:val="none"/>
              </w:rPr>
              <w:t>分</w:t>
            </w:r>
          </w:p>
        </w:tc>
        <w:tc>
          <w:tcPr>
            <w:tcW w:w="3558" w:type="pct"/>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w:t>
            </w:r>
            <w:r>
              <w:rPr>
                <w:rFonts w:hint="eastAsia" w:ascii="宋体" w:hAnsi="宋体" w:eastAsia="宋体" w:cs="宋体"/>
                <w:color w:val="auto"/>
                <w:sz w:val="24"/>
                <w:highlight w:val="none"/>
              </w:rPr>
              <w:t>投标人（若为联合体投标，</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val="en-US" w:eastAsia="zh-CN"/>
              </w:rPr>
              <w:t>设计成员</w:t>
            </w:r>
            <w:r>
              <w:rPr>
                <w:rFonts w:hint="eastAsia" w:ascii="宋体" w:hAnsi="宋体" w:eastAsia="宋体" w:cs="宋体"/>
                <w:color w:val="auto"/>
                <w:sz w:val="24"/>
                <w:highlight w:val="none"/>
              </w:rPr>
              <w:t>单位）自2020年1月1日至投标截止日期完成过质量合格的类似业绩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每项得</w:t>
            </w:r>
            <w:r>
              <w:rPr>
                <w:rFonts w:hint="eastAsia" w:ascii="宋体" w:hAnsi="宋体" w:eastAsia="宋体" w:cs="宋体"/>
                <w:color w:val="auto"/>
                <w:sz w:val="24"/>
                <w:highlight w:val="none"/>
              </w:rPr>
              <w:t>2分，最多计3</w:t>
            </w:r>
            <w:r>
              <w:rPr>
                <w:rFonts w:hint="eastAsia" w:ascii="宋体" w:hAnsi="宋体" w:eastAsia="宋体" w:cs="宋体"/>
                <w:color w:val="auto"/>
                <w:sz w:val="24"/>
                <w:highlight w:val="none"/>
                <w:lang w:val="en-US" w:eastAsia="zh-CN"/>
              </w:rPr>
              <w:t>项</w:t>
            </w:r>
            <w:r>
              <w:rPr>
                <w:rFonts w:hint="eastAsia" w:ascii="宋体" w:hAnsi="宋体" w:eastAsia="宋体" w:cs="宋体"/>
                <w:color w:val="auto"/>
                <w:sz w:val="24"/>
                <w:highlight w:val="none"/>
              </w:rPr>
              <w:t>，最多得6分。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注：（1）类似业绩是指光伏总装机容量大于或等于</w:t>
            </w:r>
            <w:r>
              <w:rPr>
                <w:rFonts w:ascii="宋体" w:hAnsi="宋体" w:eastAsia="宋体" w:cs="宋体"/>
                <w:color w:val="auto"/>
                <w:sz w:val="24"/>
                <w:highlight w:val="none"/>
              </w:rPr>
              <w:t>2</w:t>
            </w:r>
            <w:r>
              <w:rPr>
                <w:rFonts w:hint="eastAsia" w:ascii="宋体" w:hAnsi="宋体" w:eastAsia="宋体" w:cs="宋体"/>
                <w:color w:val="auto"/>
                <w:sz w:val="24"/>
                <w:highlight w:val="none"/>
              </w:rPr>
              <w:t>MW的已并网的光伏电站工程的设计业绩（或勘察设计、勘察设计施工总承包、设计施工总承包、EPC项目或工程总承包业绩中的设计部分业绩）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2）证明材料</w:t>
            </w:r>
            <w:r>
              <w:rPr>
                <w:rFonts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）业绩时间以并网时间或竣工验收时间为准。</w:t>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投标人（若为联合体投标，</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val="en-US" w:eastAsia="zh-CN"/>
              </w:rPr>
              <w:t>设计成员</w:t>
            </w:r>
            <w:r>
              <w:rPr>
                <w:rFonts w:hint="eastAsia" w:ascii="宋体" w:hAnsi="宋体" w:eastAsia="宋体" w:cs="宋体"/>
                <w:color w:val="auto"/>
                <w:sz w:val="24"/>
                <w:highlight w:val="none"/>
              </w:rPr>
              <w:t>单位）承担的电力类设计项目或EPC项目自2020年1月1日以来（时间以证书时间为准）获得过国家级工程设计奖的每项得2分，获得省级工程设计奖的，每项得1分，获得市级工程设计奖的每项得</w:t>
            </w:r>
            <w:r>
              <w:rPr>
                <w:rFonts w:ascii="宋体" w:hAnsi="宋体" w:eastAsia="宋体" w:cs="宋体"/>
                <w:color w:val="auto"/>
                <w:sz w:val="24"/>
                <w:highlight w:val="none"/>
              </w:rPr>
              <w:t>0.5</w:t>
            </w:r>
            <w:r>
              <w:rPr>
                <w:rFonts w:hint="eastAsia" w:ascii="宋体" w:hAnsi="宋体" w:eastAsia="宋体" w:cs="宋体"/>
                <w:color w:val="auto"/>
                <w:sz w:val="24"/>
                <w:highlight w:val="none"/>
              </w:rPr>
              <w:t>分，本项最多计</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个奖，最多得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注：（1）奖项需提供获奖证书复印件并加盖公章；（2）同一个项目只按最高等级奖项计分，不重复计算；（3）若业绩、奖项证明材料中的单位名称与投标单位不一致的，需提供有效变更证明，否则不予计分。</w:t>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投标人（若为联合体投标，</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val="en-US" w:eastAsia="zh-CN"/>
              </w:rPr>
              <w:t>施工成员</w:t>
            </w:r>
            <w:r>
              <w:rPr>
                <w:rFonts w:hint="eastAsia" w:ascii="宋体" w:hAnsi="宋体" w:eastAsia="宋体" w:cs="宋体"/>
                <w:color w:val="auto"/>
                <w:sz w:val="24"/>
                <w:highlight w:val="none"/>
              </w:rPr>
              <w:t>单位）自2020年1月1日至投标截止日期完成过质量合格的类似业绩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每项</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分，最多计3</w:t>
            </w:r>
            <w:r>
              <w:rPr>
                <w:rFonts w:hint="eastAsia" w:ascii="宋体" w:hAnsi="宋体" w:eastAsia="宋体" w:cs="宋体"/>
                <w:color w:val="auto"/>
                <w:sz w:val="24"/>
                <w:highlight w:val="none"/>
                <w:lang w:val="en-US" w:eastAsia="zh-CN"/>
              </w:rPr>
              <w:t>项</w:t>
            </w:r>
            <w:r>
              <w:rPr>
                <w:rFonts w:hint="eastAsia" w:ascii="宋体" w:hAnsi="宋体" w:eastAsia="宋体" w:cs="宋体"/>
                <w:color w:val="auto"/>
                <w:sz w:val="24"/>
                <w:highlight w:val="none"/>
              </w:rPr>
              <w:t>，最多得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注：（</w:t>
            </w:r>
            <w:r>
              <w:rPr>
                <w:rFonts w:ascii="宋体" w:hAnsi="宋体" w:eastAsia="宋体" w:cs="宋体"/>
                <w:color w:val="auto"/>
                <w:sz w:val="24"/>
                <w:highlight w:val="none"/>
              </w:rPr>
              <w:t>1）</w:t>
            </w:r>
            <w:r>
              <w:rPr>
                <w:rFonts w:hint="eastAsia" w:ascii="宋体" w:hAnsi="宋体" w:eastAsia="宋体" w:cs="宋体"/>
                <w:color w:val="auto"/>
                <w:sz w:val="24"/>
                <w:highlight w:val="none"/>
              </w:rPr>
              <w:t>类似工程业绩是指光伏总装机容量大于或等于</w:t>
            </w:r>
            <w:r>
              <w:rPr>
                <w:rFonts w:ascii="宋体" w:hAnsi="宋体" w:eastAsia="宋体" w:cs="宋体"/>
                <w:color w:val="auto"/>
                <w:sz w:val="24"/>
                <w:highlight w:val="none"/>
              </w:rPr>
              <w:t>2</w:t>
            </w:r>
            <w:r>
              <w:rPr>
                <w:rFonts w:hint="eastAsia" w:ascii="宋体" w:hAnsi="宋体" w:eastAsia="宋体" w:cs="宋体"/>
                <w:color w:val="auto"/>
                <w:sz w:val="24"/>
                <w:highlight w:val="none"/>
              </w:rPr>
              <w:t>MW的已并网的光伏电站工程的EPC工程总承包或施工总承包业绩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2）证明材料</w:t>
            </w:r>
            <w:r>
              <w:rPr>
                <w:rFonts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2）业绩时间以并网时间或竣工验收时间为准。</w:t>
            </w:r>
          </w:p>
          <w:p>
            <w:pPr>
              <w:spacing w:line="360" w:lineRule="auto"/>
              <w:jc w:val="left"/>
              <w:rPr>
                <w:rFonts w:ascii="宋体" w:hAnsi="宋体" w:eastAsia="宋体" w:cs="宋体"/>
                <w:color w:val="auto"/>
                <w:sz w:val="24"/>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投标人（若为联合体投标，</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w:t>
            </w:r>
            <w:r>
              <w:rPr>
                <w:rFonts w:hint="eastAsia" w:ascii="宋体" w:hAnsi="宋体" w:eastAsia="宋体" w:cs="宋体"/>
                <w:color w:val="auto"/>
                <w:sz w:val="24"/>
                <w:highlight w:val="none"/>
                <w:lang w:val="en-US" w:eastAsia="zh-CN"/>
              </w:rPr>
              <w:t>施工成员</w:t>
            </w:r>
            <w:r>
              <w:rPr>
                <w:rFonts w:hint="eastAsia" w:ascii="宋体" w:hAnsi="宋体" w:eastAsia="宋体" w:cs="宋体"/>
                <w:color w:val="auto"/>
                <w:sz w:val="24"/>
                <w:highlight w:val="none"/>
              </w:rPr>
              <w:t>单位）承担的电力类施工项目或EPC项目自2020年1月1日以来（时间以证书时间为准）获得过国家级优质工程奖的每项得2分，获得省级优质工程奖项的，每项得1分，获得市级优质工程奖的每项得</w:t>
            </w:r>
            <w:r>
              <w:rPr>
                <w:rFonts w:ascii="宋体" w:hAnsi="宋体" w:eastAsia="宋体" w:cs="宋体"/>
                <w:color w:val="auto"/>
                <w:sz w:val="24"/>
                <w:highlight w:val="none"/>
              </w:rPr>
              <w:t>0.5</w:t>
            </w:r>
            <w:r>
              <w:rPr>
                <w:rFonts w:hint="eastAsia" w:ascii="宋体" w:hAnsi="宋体" w:eastAsia="宋体" w:cs="宋体"/>
                <w:color w:val="auto"/>
                <w:sz w:val="24"/>
                <w:highlight w:val="none"/>
              </w:rPr>
              <w:t>分，本项最多计</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个奖，最多得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注：（1）奖项需提供获奖证书复印件并加盖公章；（2）同一个项目只按最高等级奖项计分，不重复计算；（3）若业绩、奖项证明材料中的单位名称与投标单位不一致的，需提供有效变更证明，否则不予计分。</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w:t>
            </w:r>
            <w:r>
              <w:rPr>
                <w:rFonts w:hint="eastAsia" w:ascii="宋体" w:hAnsi="宋体" w:eastAsia="宋体" w:cs="宋体"/>
                <w:color w:val="auto"/>
                <w:sz w:val="24"/>
                <w:highlight w:val="none"/>
              </w:rPr>
              <w:t>投标人（若为联合体投标，指联合体任意一方）</w:t>
            </w:r>
            <w:r>
              <w:rPr>
                <w:rFonts w:hint="eastAsia" w:ascii="宋体" w:hAnsi="宋体" w:eastAsia="宋体" w:cs="宋体"/>
                <w:color w:val="auto"/>
                <w:kern w:val="0"/>
                <w:sz w:val="24"/>
                <w:highlight w:val="none"/>
              </w:rPr>
              <w:t>自2020 年1 月1 日至投标时间截止时，</w:t>
            </w:r>
            <w:r>
              <w:rPr>
                <w:rFonts w:hint="eastAsia" w:ascii="宋体" w:hAnsi="宋体" w:eastAsia="宋体" w:cs="宋体"/>
                <w:color w:val="auto"/>
                <w:sz w:val="24"/>
                <w:highlight w:val="none"/>
              </w:rPr>
              <w:t>获得省级（或以上）政府或质量协会颁发的质量奖（含质量奖提名奖），每项得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分，获得市级政府或质量协会颁发的质量奖（含质量奖提名奖），每个得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分，本项最多计2项，本项最高得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r>
              <w:rPr>
                <w:rFonts w:hint="eastAsia" w:ascii="宋体" w:hAnsi="宋体" w:eastAsia="宋体" w:cs="宋体"/>
                <w:color w:val="auto"/>
                <w:kern w:val="0"/>
                <w:sz w:val="24"/>
                <w:highlight w:val="none"/>
              </w:rPr>
              <w:t>。</w:t>
            </w:r>
          </w:p>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注：（1）奖项需提供获奖证书复印件并加盖公章；（2）同一个项目只按最高等级奖项计分，不重复计算；（3）若业绩、奖项证明材料中的单位名称与投标单位不一致的，需提供有效变更证明，否则不予计分。</w:t>
            </w:r>
          </w:p>
        </w:tc>
      </w:tr>
      <w:bookmarkEnd w:id="337"/>
    </w:tbl>
    <w:p>
      <w:pPr>
        <w:wordWrap w:val="0"/>
        <w:snapToGrid w:val="0"/>
        <w:spacing w:line="360" w:lineRule="auto"/>
        <w:rPr>
          <w:rFonts w:hint="eastAsia" w:ascii="宋体" w:hAnsi="宋体" w:eastAsia="宋体" w:cs="宋体"/>
          <w:color w:val="auto"/>
          <w:sz w:val="24"/>
          <w:highlight w:val="none"/>
          <w:lang w:eastAsia="zh-CN"/>
        </w:rPr>
      </w:pPr>
    </w:p>
    <w:p>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注：1、投标人根据上述评审条款编制相应的说明文档或提供相应的佐证资料。如因投标人没有按要求提供相关资料或资料显示不全、不清晰而导致其投标被评委扣分的，责任由投标人自负。</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2、投标人商务分为各评委的总评分的算术平均值。</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评委签名：                                                                                         日期：</w:t>
      </w:r>
      <w:bookmarkStart w:id="340" w:name="_Toc48065125"/>
      <w:r>
        <w:rPr>
          <w:rFonts w:hint="eastAsia" w:ascii="宋体" w:hAnsi="宋体" w:eastAsia="宋体" w:cs="宋体"/>
          <w:color w:val="auto"/>
          <w:sz w:val="24"/>
          <w:highlight w:val="none"/>
        </w:rPr>
        <w:br w:type="page"/>
      </w:r>
    </w:p>
    <w:p>
      <w:pPr>
        <w:pStyle w:val="4"/>
        <w:wordWrap w:val="0"/>
        <w:adjustRightInd w:val="0"/>
        <w:snapToGrid w:val="0"/>
        <w:spacing w:before="0" w:after="0" w:line="360" w:lineRule="auto"/>
        <w:ind w:firstLine="118"/>
        <w:rPr>
          <w:rFonts w:hint="eastAsia" w:ascii="宋体" w:eastAsia="宋体" w:cs="宋体"/>
          <w:color w:val="auto"/>
          <w:sz w:val="24"/>
          <w:szCs w:val="24"/>
          <w:highlight w:val="none"/>
        </w:rPr>
        <w:sectPr>
          <w:headerReference r:id="rId7" w:type="default"/>
          <w:footerReference r:id="rId8" w:type="default"/>
          <w:pgSz w:w="16838" w:h="11905" w:orient="landscape"/>
          <w:pgMar w:top="1304" w:right="1304" w:bottom="1304" w:left="1304" w:header="850" w:footer="992" w:gutter="0"/>
          <w:cols w:space="0" w:num="1"/>
          <w:docGrid w:linePitch="320" w:charSpace="0"/>
        </w:sectPr>
      </w:pPr>
      <w:bookmarkStart w:id="341" w:name="_Toc26453"/>
      <w:bookmarkStart w:id="342" w:name="_Toc25914"/>
    </w:p>
    <w:p>
      <w:pPr>
        <w:pStyle w:val="4"/>
        <w:wordWrap w:val="0"/>
        <w:adjustRightInd w:val="0"/>
        <w:snapToGrid w:val="0"/>
        <w:spacing w:before="0" w:after="0" w:line="360" w:lineRule="auto"/>
        <w:ind w:firstLine="0" w:firstLineChars="0"/>
        <w:rPr>
          <w:rFonts w:hint="eastAsia" w:ascii="宋体" w:eastAsia="宋体" w:cs="宋体"/>
          <w:color w:val="auto"/>
          <w:sz w:val="24"/>
          <w:szCs w:val="24"/>
          <w:highlight w:val="none"/>
          <w:lang w:eastAsia="zh-CN"/>
        </w:rPr>
      </w:pPr>
      <w:bookmarkStart w:id="343" w:name="_Toc690"/>
      <w:r>
        <w:rPr>
          <w:rFonts w:hint="eastAsia" w:ascii="宋体" w:eastAsia="宋体" w:cs="宋体"/>
          <w:color w:val="auto"/>
          <w:sz w:val="24"/>
          <w:szCs w:val="24"/>
          <w:highlight w:val="none"/>
        </w:rPr>
        <w:t>附件5：技术标详细审查评分标准</w:t>
      </w:r>
      <w:bookmarkEnd w:id="340"/>
      <w:bookmarkEnd w:id="341"/>
      <w:bookmarkEnd w:id="342"/>
      <w:bookmarkEnd w:id="343"/>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设计标部分</w:t>
      </w:r>
      <w:r>
        <w:rPr>
          <w:rFonts w:hint="eastAsia" w:ascii="宋体" w:eastAsia="宋体" w:cs="宋体"/>
          <w:color w:val="auto"/>
          <w:sz w:val="24"/>
          <w:szCs w:val="24"/>
          <w:highlight w:val="none"/>
          <w:lang w:eastAsia="zh-CN"/>
        </w:rPr>
        <w:t>）</w:t>
      </w:r>
    </w:p>
    <w:p>
      <w:pPr>
        <w:widowControl/>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项目名称：</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eastAsia="zh-CN" w:bidi="ar"/>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p>
      <w:pPr>
        <w:wordWrap w:val="0"/>
        <w:rPr>
          <w:rFonts w:hint="eastAsia" w:ascii="宋体" w:hAnsi="宋体" w:eastAsia="宋体" w:cs="宋体"/>
          <w:color w:val="auto"/>
          <w:sz w:val="24"/>
          <w:highlight w:val="none"/>
        </w:rPr>
      </w:pPr>
    </w:p>
    <w:tbl>
      <w:tblPr>
        <w:tblStyle w:val="37"/>
        <w:tblW w:w="14209" w:type="dxa"/>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882"/>
        <w:gridCol w:w="2735"/>
        <w:gridCol w:w="1168"/>
        <w:gridCol w:w="9424"/>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50" w:hRule="atLeast"/>
        </w:trPr>
        <w:tc>
          <w:tcPr>
            <w:tcW w:w="882"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2735" w:type="dxa"/>
            <w:tcBorders>
              <w:top w:val="single" w:color="auto" w:sz="4" w:space="0"/>
              <w:left w:val="nil"/>
              <w:bottom w:val="single" w:color="000000" w:sz="4" w:space="0"/>
              <w:right w:val="nil"/>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评审项目</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分值</w:t>
            </w:r>
          </w:p>
        </w:tc>
        <w:tc>
          <w:tcPr>
            <w:tcW w:w="9424"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评分标准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5" w:hRule="atLeast"/>
        </w:trPr>
        <w:tc>
          <w:tcPr>
            <w:tcW w:w="88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w:t>
            </w:r>
          </w:p>
        </w:tc>
        <w:tc>
          <w:tcPr>
            <w:tcW w:w="2735"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系统总体设计</w:t>
            </w:r>
          </w:p>
        </w:tc>
        <w:tc>
          <w:tcPr>
            <w:tcW w:w="1168" w:type="dxa"/>
            <w:tcBorders>
              <w:top w:val="single" w:color="auto" w:sz="4" w:space="0"/>
              <w:left w:val="nil"/>
              <w:bottom w:val="single" w:color="auto" w:sz="4" w:space="0"/>
              <w:right w:val="single" w:color="auto" w:sz="4" w:space="0"/>
            </w:tcBorders>
            <w:shd w:val="clear" w:color="auto" w:fill="D9D9D9"/>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25</w:t>
            </w:r>
          </w:p>
        </w:tc>
        <w:tc>
          <w:tcPr>
            <w:tcW w:w="9424" w:type="dxa"/>
            <w:tcBorders>
              <w:top w:val="single" w:color="auto" w:sz="4" w:space="0"/>
              <w:left w:val="nil"/>
              <w:bottom w:val="single" w:color="auto" w:sz="4" w:space="0"/>
              <w:right w:val="single" w:color="auto" w:sz="4" w:space="0"/>
            </w:tcBorders>
            <w:shd w:val="clear" w:color="auto" w:fill="D9D9D9"/>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设计方案、图纸、资料技术深度和完整性</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wordWrap w:val="0"/>
              <w:spacing w:before="20" w:after="20" w:line="320" w:lineRule="exact"/>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投标文件提供的关于光伏、土建、电气等方面的设计技术图纸、资料的技术深度和完整性。电站设计方案需体现项目自身特点，</w:t>
            </w:r>
            <w:r>
              <w:rPr>
                <w:rFonts w:hint="eastAsia" w:ascii="宋体" w:hAnsi="宋体" w:eastAsia="宋体" w:cs="宋体"/>
                <w:color w:val="auto"/>
                <w:kern w:val="0"/>
                <w:sz w:val="24"/>
                <w:highlight w:val="none"/>
                <w:lang w:bidi="ar"/>
              </w:rPr>
              <w:t>设计方案合理，设计图纸完整清晰，可实施程度高。包括施工前的</w:t>
            </w:r>
            <w:r>
              <w:rPr>
                <w:rFonts w:hint="eastAsia" w:ascii="宋体" w:hAnsi="宋体" w:eastAsia="宋体" w:cs="宋体"/>
                <w:color w:val="auto"/>
                <w:sz w:val="24"/>
                <w:highlight w:val="none"/>
                <w:lang w:bidi="ar"/>
              </w:rPr>
              <w:t>支架安装方案、施工后的修复方案以及检修时配套的更换方案，主接线方案。</w:t>
            </w:r>
          </w:p>
          <w:p>
            <w:pPr>
              <w:widowControl/>
              <w:wordWrap w:val="0"/>
              <w:spacing w:before="20" w:after="20" w:line="320" w:lineRule="exact"/>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制定的方案和措施详细，设计思路明确，对光伏发电有深刻认识，设计方法正确，总体设计方案全面完整，总体布局合理，工程实施方案科学合理，充分考虑投资的合理控制和施工的可能性的，</w:t>
            </w:r>
            <w:r>
              <w:rPr>
                <w:rFonts w:hint="eastAsia" w:ascii="宋体" w:hAnsi="宋体" w:eastAsia="宋体" w:cs="宋体"/>
                <w:color w:val="auto"/>
                <w:sz w:val="24"/>
                <w:highlight w:val="none"/>
                <w:lang w:bidi="ar"/>
              </w:rPr>
              <w:t>充分考虑光伏设备在腐蚀性环境中的长期适应性与防护措施，</w:t>
            </w:r>
            <w:r>
              <w:rPr>
                <w:rFonts w:hint="eastAsia" w:ascii="宋体" w:hAnsi="宋体" w:eastAsia="宋体" w:cs="宋体"/>
                <w:color w:val="auto"/>
                <w:sz w:val="24"/>
                <w:highlight w:val="none"/>
                <w:lang w:bidi="ar"/>
              </w:rPr>
              <w:t>结合现场</w:t>
            </w:r>
            <w:r>
              <w:rPr>
                <w:rFonts w:hint="eastAsia" w:ascii="宋体" w:hAnsi="宋体" w:eastAsia="宋体" w:cs="宋体"/>
                <w:color w:val="auto"/>
                <w:sz w:val="24"/>
                <w:highlight w:val="none"/>
                <w:lang w:val="en-US" w:eastAsia="zh-CN" w:bidi="ar"/>
              </w:rPr>
              <w:t>充分考虑光伏布置的对厂区整体外观影响，对池体结构防渗影响，提出优秀设计方案、施工工艺和施工方案的，采取的措施合理、切实可行的，</w:t>
            </w:r>
            <w:r>
              <w:rPr>
                <w:rFonts w:hint="eastAsia" w:ascii="宋体" w:hAnsi="宋体" w:eastAsia="宋体" w:cs="宋体"/>
                <w:color w:val="auto"/>
                <w:sz w:val="24"/>
                <w:highlight w:val="none"/>
                <w:lang w:bidi="ar"/>
              </w:rPr>
              <w:t>得</w:t>
            </w:r>
            <w:r>
              <w:rPr>
                <w:rFonts w:hint="eastAsia" w:ascii="宋体" w:hAnsi="宋体" w:eastAsia="宋体" w:cs="宋体"/>
                <w:color w:val="auto"/>
                <w:sz w:val="24"/>
                <w:highlight w:val="none"/>
                <w:lang w:val="en-US" w:eastAsia="zh-CN" w:bidi="ar"/>
              </w:rPr>
              <w:t>15</w:t>
            </w:r>
            <w:r>
              <w:rPr>
                <w:rFonts w:hint="eastAsia" w:ascii="宋体" w:hAnsi="宋体" w:eastAsia="宋体" w:cs="宋体"/>
                <w:color w:val="auto"/>
                <w:sz w:val="24"/>
                <w:highlight w:val="none"/>
                <w:lang w:bidi="ar"/>
              </w:rPr>
              <w:t>分，</w:t>
            </w:r>
          </w:p>
          <w:p>
            <w:pPr>
              <w:widowControl/>
              <w:wordWrap w:val="0"/>
              <w:spacing w:before="20" w:after="20"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良</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制定的方案和措施比较详细，设计思路较明确，对光伏发电有一定认识，设计方法较正确，总体设计方案较完整，总体布局较合理，工程实施方案较科学合理，有考虑投资的合理控制和施工的可能性的，</w:t>
            </w:r>
            <w:r>
              <w:rPr>
                <w:rFonts w:hint="eastAsia" w:ascii="宋体" w:hAnsi="宋体" w:eastAsia="宋体" w:cs="宋体"/>
                <w:color w:val="auto"/>
                <w:sz w:val="24"/>
                <w:highlight w:val="none"/>
                <w:lang w:bidi="ar"/>
              </w:rPr>
              <w:t>充分考虑光伏设备在腐蚀性环境中的适应性，</w:t>
            </w:r>
            <w:r>
              <w:rPr>
                <w:rFonts w:hint="eastAsia" w:ascii="宋体" w:hAnsi="宋体" w:eastAsia="宋体" w:cs="宋体"/>
                <w:color w:val="auto"/>
                <w:sz w:val="24"/>
                <w:highlight w:val="none"/>
                <w:lang w:bidi="ar"/>
              </w:rPr>
              <w:t>结合现场</w:t>
            </w:r>
            <w:r>
              <w:rPr>
                <w:rFonts w:hint="eastAsia" w:ascii="宋体" w:hAnsi="宋体" w:eastAsia="宋体" w:cs="宋体"/>
                <w:color w:val="auto"/>
                <w:sz w:val="24"/>
                <w:highlight w:val="none"/>
                <w:lang w:val="en-US" w:eastAsia="zh-CN" w:bidi="ar"/>
              </w:rPr>
              <w:t>充分考虑光伏布置的对厂区整体外观影响，对池体结构防渗影响，对水厂水质影响，</w:t>
            </w:r>
            <w:r>
              <w:rPr>
                <w:rFonts w:hint="eastAsia" w:ascii="宋体" w:hAnsi="宋体" w:eastAsia="宋体" w:cs="宋体"/>
                <w:color w:val="auto"/>
                <w:sz w:val="24"/>
                <w:highlight w:val="none"/>
                <w:lang w:bidi="ar"/>
              </w:rPr>
              <w:t>提出较合理的</w:t>
            </w:r>
            <w:r>
              <w:rPr>
                <w:rFonts w:hint="eastAsia" w:ascii="宋体" w:hAnsi="宋体" w:eastAsia="宋体" w:cs="宋体"/>
                <w:color w:val="auto"/>
                <w:sz w:val="24"/>
                <w:highlight w:val="none"/>
                <w:lang w:val="en-US" w:eastAsia="zh-CN" w:bidi="ar"/>
              </w:rPr>
              <w:t>设计方案、</w:t>
            </w:r>
            <w:r>
              <w:rPr>
                <w:rFonts w:hint="eastAsia" w:ascii="宋体" w:hAnsi="宋体" w:eastAsia="宋体" w:cs="宋体"/>
                <w:color w:val="auto"/>
                <w:sz w:val="24"/>
                <w:highlight w:val="none"/>
                <w:lang w:bidi="ar"/>
              </w:rPr>
              <w:t>施工工艺和施工方案的，采取的措施较合理、可行的，得</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分</w:t>
            </w:r>
            <w:r>
              <w:rPr>
                <w:rFonts w:hint="eastAsia" w:ascii="宋体" w:hAnsi="宋体" w:eastAsia="宋体" w:cs="宋体"/>
                <w:color w:val="auto"/>
                <w:sz w:val="24"/>
                <w:highlight w:val="none"/>
                <w:lang w:eastAsia="zh-CN" w:bidi="ar"/>
              </w:rPr>
              <w:t>。</w:t>
            </w:r>
          </w:p>
          <w:p>
            <w:pPr>
              <w:widowControl/>
              <w:wordWrap w:val="0"/>
              <w:spacing w:before="20" w:after="20"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val="en-US" w:eastAsia="zh-CN" w:bidi="ar"/>
              </w:rPr>
              <w:t>【一般】：</w:t>
            </w:r>
            <w:r>
              <w:rPr>
                <w:rFonts w:hint="eastAsia" w:ascii="宋体" w:hAnsi="宋体" w:eastAsia="宋体" w:cs="宋体"/>
                <w:color w:val="auto"/>
                <w:sz w:val="24"/>
                <w:highlight w:val="none"/>
                <w:lang w:eastAsia="zh-CN" w:bidi="ar"/>
              </w:rPr>
              <w:t>制定的方案和措施</w:t>
            </w:r>
            <w:r>
              <w:rPr>
                <w:rFonts w:hint="eastAsia" w:ascii="宋体" w:hAnsi="宋体" w:eastAsia="宋体" w:cs="宋体"/>
                <w:color w:val="auto"/>
                <w:sz w:val="24"/>
                <w:highlight w:val="none"/>
                <w:lang w:val="en-US" w:eastAsia="zh-CN" w:bidi="ar"/>
              </w:rPr>
              <w:t>缺项</w:t>
            </w:r>
            <w:r>
              <w:rPr>
                <w:rFonts w:hint="eastAsia" w:ascii="宋体" w:hAnsi="宋体" w:eastAsia="宋体" w:cs="宋体"/>
                <w:color w:val="auto"/>
                <w:sz w:val="24"/>
                <w:highlight w:val="none"/>
                <w:lang w:eastAsia="zh-CN" w:bidi="ar"/>
              </w:rPr>
              <w:t>，设计思路</w:t>
            </w:r>
            <w:r>
              <w:rPr>
                <w:rFonts w:hint="eastAsia" w:ascii="宋体" w:hAnsi="宋体" w:eastAsia="宋体" w:cs="宋体"/>
                <w:color w:val="auto"/>
                <w:sz w:val="24"/>
                <w:highlight w:val="none"/>
                <w:lang w:val="en-US" w:eastAsia="zh-CN" w:bidi="ar"/>
              </w:rPr>
              <w:t>混乱、不合理</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未</w:t>
            </w:r>
            <w:r>
              <w:rPr>
                <w:rFonts w:hint="eastAsia" w:ascii="宋体" w:hAnsi="宋体" w:eastAsia="宋体" w:cs="宋体"/>
                <w:color w:val="auto"/>
                <w:sz w:val="24"/>
                <w:highlight w:val="none"/>
                <w:lang w:eastAsia="zh-CN" w:bidi="ar"/>
              </w:rPr>
              <w:t>考虑投资的合理控制和施工的可能性的，</w:t>
            </w:r>
            <w:r>
              <w:rPr>
                <w:rFonts w:hint="eastAsia" w:ascii="宋体" w:hAnsi="宋体" w:eastAsia="宋体" w:cs="宋体"/>
                <w:color w:val="auto"/>
                <w:sz w:val="24"/>
                <w:highlight w:val="none"/>
                <w:lang w:eastAsia="zh-CN" w:bidi="ar"/>
              </w:rPr>
              <w:t>未充分考虑光伏设备在腐蚀性环境中的适应性，</w:t>
            </w:r>
            <w:r>
              <w:rPr>
                <w:rFonts w:hint="eastAsia" w:ascii="宋体" w:hAnsi="宋体" w:eastAsia="宋体" w:cs="宋体"/>
                <w:color w:val="auto"/>
                <w:sz w:val="24"/>
                <w:highlight w:val="none"/>
                <w:lang w:val="en-US" w:eastAsia="zh-CN" w:bidi="ar"/>
              </w:rPr>
              <w:t>未考虑伏布置的对厂区影响或采取的措施不合理、可行的，</w:t>
            </w:r>
            <w:r>
              <w:rPr>
                <w:rFonts w:hint="eastAsia" w:ascii="宋体" w:hAnsi="宋体" w:eastAsia="宋体" w:cs="宋体"/>
                <w:color w:val="auto"/>
                <w:sz w:val="24"/>
                <w:highlight w:val="none"/>
                <w:lang w:eastAsia="zh-CN" w:bidi="ar"/>
              </w:rPr>
              <w:t>得</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eastAsia="zh-CN" w:bidi="ar"/>
              </w:rPr>
              <w:t>分。</w:t>
            </w:r>
          </w:p>
          <w:p>
            <w:pPr>
              <w:widowControl/>
              <w:wordWrap w:val="0"/>
              <w:spacing w:before="20" w:after="20"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差</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未提供，或报告内容严重缺失、流于形式，完全不具备可操作性，得0分</w:t>
            </w:r>
          </w:p>
          <w:p>
            <w:pPr>
              <w:widowControl/>
              <w:wordWrap w:val="0"/>
              <w:spacing w:before="20" w:after="20" w:line="320" w:lineRule="exact"/>
              <w:jc w:val="left"/>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848"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光伏电站整体效率承诺</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依据承诺发电效率打分：</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承诺发电效率最高得</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分，第二名得</w:t>
            </w: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分，第三名得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分，其余不得分。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55" w:hRule="atLeast"/>
        </w:trPr>
        <w:tc>
          <w:tcPr>
            <w:tcW w:w="88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w:t>
            </w:r>
          </w:p>
        </w:tc>
        <w:tc>
          <w:tcPr>
            <w:tcW w:w="2735"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技术措施</w:t>
            </w:r>
          </w:p>
        </w:tc>
        <w:tc>
          <w:tcPr>
            <w:tcW w:w="1168" w:type="dxa"/>
            <w:tcBorders>
              <w:top w:val="single" w:color="auto" w:sz="4" w:space="0"/>
              <w:left w:val="nil"/>
              <w:bottom w:val="single" w:color="auto" w:sz="4" w:space="0"/>
              <w:right w:val="single" w:color="auto" w:sz="4" w:space="0"/>
            </w:tcBorders>
            <w:shd w:val="clear" w:color="auto" w:fill="D9D9D9"/>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15</w:t>
            </w:r>
          </w:p>
        </w:tc>
        <w:tc>
          <w:tcPr>
            <w:tcW w:w="9424" w:type="dxa"/>
            <w:tcBorders>
              <w:top w:val="single" w:color="auto" w:sz="4" w:space="0"/>
              <w:left w:val="nil"/>
              <w:bottom w:val="single" w:color="auto" w:sz="4" w:space="0"/>
              <w:right w:val="single" w:color="auto" w:sz="4" w:space="0"/>
            </w:tcBorders>
            <w:shd w:val="clear" w:color="auto" w:fill="D9D9D9"/>
            <w:vAlign w:val="center"/>
          </w:tcPr>
          <w:p>
            <w:pPr>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2.1</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技术措施</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提供</w:t>
            </w:r>
            <w:r>
              <w:rPr>
                <w:rFonts w:hint="eastAsia" w:ascii="宋体" w:hAnsi="宋体" w:eastAsia="宋体" w:cs="宋体"/>
                <w:color w:val="auto"/>
                <w:sz w:val="24"/>
                <w:highlight w:val="none"/>
                <w:lang w:bidi="ar"/>
              </w:rPr>
              <w:t>提升电站整体发电量、工程质量保证、工期保证、节能降耗、防水措施、电能质量保证的</w:t>
            </w:r>
            <w:r>
              <w:rPr>
                <w:rFonts w:hint="eastAsia" w:ascii="宋体" w:hAnsi="宋体" w:eastAsia="宋体" w:cs="宋体"/>
                <w:color w:val="auto"/>
                <w:kern w:val="0"/>
                <w:sz w:val="24"/>
                <w:highlight w:val="none"/>
                <w:lang w:bidi="ar"/>
              </w:rPr>
              <w:t>技术专题报告或</w:t>
            </w:r>
            <w:r>
              <w:rPr>
                <w:rFonts w:hint="eastAsia" w:ascii="宋体" w:hAnsi="宋体" w:eastAsia="宋体" w:cs="宋体"/>
                <w:color w:val="auto"/>
                <w:sz w:val="24"/>
                <w:highlight w:val="none"/>
                <w:lang w:bidi="ar"/>
              </w:rPr>
              <w:t>技术措施。</w:t>
            </w:r>
            <w:r>
              <w:rPr>
                <w:rFonts w:hint="eastAsia" w:ascii="宋体" w:hAnsi="宋体" w:eastAsia="宋体" w:cs="宋体"/>
                <w:color w:val="auto"/>
                <w:kern w:val="0"/>
                <w:sz w:val="24"/>
                <w:highlight w:val="none"/>
                <w:lang w:bidi="ar"/>
              </w:rPr>
              <w:t>根据措施的合理、全面、可行性进行综合打分。</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措施全面，针对性强，方案科学。 完整涵盖各项要求，技术路线清晰。提出的发电量提升、防水、电能质量等措施紧密结合项目特点，科学先进。工期及质量保证体系健全，方案具体可行，能有效保障项目效益，得5分。</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【良】：措施较为全面，具备可行性。覆盖大部分要求，内容较为具体。提出的措施合理，但部分环节深度不足或创新性一般，对项目有较好的支撑作用，可操作性良好，得3分。</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【一般】：措施有缺失，深度不足。仅覆盖部分要求，内容较为笼统或模板化。措施与项目实际结合不够紧密，缺乏细节支撑，可行性论证不足，得1分。</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【差】：未提供，或报告内容严重缺失、流于形式，完全不具备可操作性，得0分。</w:t>
            </w:r>
          </w:p>
          <w:p>
            <w:pPr>
              <w:widowControl/>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优秀得5分，良好得3分，一般得1分，较差不得分。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2.2</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重点难点说明和优化</w:t>
            </w:r>
          </w:p>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建议</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本项目重点难点说明和优化建议。</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分析透彻，建议创新，考量周全。能精准识别并深入剖析本项目的技术、施工及环境重难点（如电网接入、复杂施工条件等），分析有深度、有数据支撑。优化建议极具针对性和创新性，能有效解决潜在风险。特别对光伏布置与厂区外观的协调性、对池体结构防渗的可靠性、以及对水厂水质的潜在影响进行了周密分析，并提出了优秀的设计方案、施工工艺和保障措施，方案具体、科学、可行，得</w:t>
            </w:r>
            <w:r>
              <w:rPr>
                <w:rFonts w:hint="eastAsia" w:ascii="宋体" w:hAnsi="宋体" w:eastAsia="宋体" w:cs="宋体"/>
                <w:color w:val="auto"/>
                <w:sz w:val="24"/>
                <w:highlight w:val="none"/>
                <w:lang w:val="en-US" w:eastAsia="zh-CN" w:bidi="ar"/>
              </w:rPr>
              <w:t>10分。</w:t>
            </w:r>
          </w:p>
          <w:p>
            <w:pPr>
              <w:widowControl/>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良】：分析较为全面，建议合理可行。能识别本项目的主要技术及环境重难点，分析较为到位。提出的优化建议合理，对项目实施有较好支撑。对厂区影响考量，分析了外观、防渗或水质中的部分因素，并提出了相对合理可行的措施，但全面性或创新性有所欠缺，得5分。</w:t>
            </w:r>
          </w:p>
          <w:p>
            <w:pPr>
              <w:widowControl/>
              <w:rPr>
                <w:rFonts w:hint="default" w:ascii="宋体" w:hAnsi="宋体" w:eastAsia="宋体" w:cs="宋体"/>
                <w:color w:val="auto"/>
                <w:sz w:val="24"/>
                <w:highlight w:val="none"/>
                <w:lang w:val="en-US" w:eastAsia="zh-CN" w:bidi="ar"/>
              </w:rPr>
            </w:pPr>
            <w:r>
              <w:rPr>
                <w:rFonts w:hint="default" w:ascii="宋体" w:hAnsi="宋体" w:eastAsia="宋体" w:cs="宋体"/>
                <w:color w:val="auto"/>
                <w:sz w:val="24"/>
                <w:highlight w:val="none"/>
                <w:lang w:val="en-US" w:eastAsia="zh-CN" w:bidi="ar"/>
              </w:rPr>
              <w:t>【一般】：分析浮于表面，建议</w:t>
            </w:r>
            <w:r>
              <w:rPr>
                <w:rFonts w:hint="eastAsia" w:ascii="宋体" w:hAnsi="宋体" w:eastAsia="宋体" w:cs="宋体"/>
                <w:color w:val="auto"/>
                <w:sz w:val="24"/>
                <w:highlight w:val="none"/>
                <w:lang w:val="en-US" w:eastAsia="zh-CN" w:bidi="ar"/>
              </w:rPr>
              <w:t>空泛</w:t>
            </w:r>
            <w:r>
              <w:rPr>
                <w:rFonts w:hint="default" w:ascii="宋体" w:hAnsi="宋体" w:eastAsia="宋体" w:cs="宋体"/>
                <w:color w:val="auto"/>
                <w:sz w:val="24"/>
                <w:highlight w:val="none"/>
                <w:lang w:val="en-US" w:eastAsia="zh-CN" w:bidi="ar"/>
              </w:rPr>
              <w:t>。重难点分析多为通用性内容，未紧密结合本项目特点。优化建议笼统、缺乏针对性。虽提及对厂区影响考量，但措施简单套用模板，未与本项目现场实际深度结合，缺乏具体内容和可行性论证</w:t>
            </w:r>
            <w:r>
              <w:rPr>
                <w:rFonts w:hint="eastAsia" w:ascii="宋体" w:hAnsi="宋体" w:eastAsia="宋体" w:cs="宋体"/>
                <w:color w:val="auto"/>
                <w:sz w:val="24"/>
                <w:highlight w:val="none"/>
                <w:lang w:val="en-US" w:eastAsia="zh-CN" w:bidi="ar"/>
              </w:rPr>
              <w:t>，得2分</w:t>
            </w:r>
            <w:r>
              <w:rPr>
                <w:rFonts w:hint="default" w:ascii="宋体" w:hAnsi="宋体" w:eastAsia="宋体" w:cs="宋体"/>
                <w:color w:val="auto"/>
                <w:sz w:val="24"/>
                <w:highlight w:val="none"/>
                <w:lang w:val="en-US" w:eastAsia="zh-CN" w:bidi="ar"/>
              </w:rPr>
              <w:t>。</w:t>
            </w:r>
          </w:p>
          <w:p>
            <w:pPr>
              <w:widowControl/>
              <w:rPr>
                <w:rFonts w:hint="default" w:ascii="宋体" w:hAnsi="宋体" w:eastAsia="宋体" w:cs="宋体"/>
                <w:color w:val="auto"/>
                <w:sz w:val="24"/>
                <w:highlight w:val="none"/>
                <w:lang w:val="en-US" w:eastAsia="zh-CN" w:bidi="ar"/>
              </w:rPr>
            </w:pPr>
            <w:r>
              <w:rPr>
                <w:rFonts w:hint="default" w:ascii="宋体" w:hAnsi="宋体" w:eastAsia="宋体" w:cs="宋体"/>
                <w:color w:val="auto"/>
                <w:sz w:val="24"/>
                <w:highlight w:val="none"/>
                <w:lang w:val="en-US" w:eastAsia="zh-CN" w:bidi="ar"/>
              </w:rPr>
              <w:t>【差】：未提供，或报告内容严重缺失、流于形式，完全不具备可操作性，得0分</w:t>
            </w:r>
          </w:p>
          <w:p>
            <w:pPr>
              <w:widowControl/>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30" w:hRule="atLeast"/>
        </w:trPr>
        <w:tc>
          <w:tcPr>
            <w:tcW w:w="88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p>
        </w:tc>
        <w:tc>
          <w:tcPr>
            <w:tcW w:w="2735"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各专业设计及设备配置</w:t>
            </w:r>
          </w:p>
        </w:tc>
        <w:tc>
          <w:tcPr>
            <w:tcW w:w="1168" w:type="dxa"/>
            <w:tcBorders>
              <w:top w:val="single" w:color="auto" w:sz="4" w:space="0"/>
              <w:left w:val="nil"/>
              <w:bottom w:val="single" w:color="auto" w:sz="4" w:space="0"/>
              <w:right w:val="single" w:color="auto" w:sz="4" w:space="0"/>
            </w:tcBorders>
            <w:shd w:val="clear" w:color="auto" w:fill="D9D9D9"/>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15</w:t>
            </w:r>
          </w:p>
        </w:tc>
        <w:tc>
          <w:tcPr>
            <w:tcW w:w="9424" w:type="dxa"/>
            <w:tcBorders>
              <w:top w:val="single" w:color="auto" w:sz="4" w:space="0"/>
              <w:left w:val="nil"/>
              <w:bottom w:val="single" w:color="auto" w:sz="4" w:space="0"/>
              <w:right w:val="single" w:color="auto" w:sz="4" w:space="0"/>
            </w:tcBorders>
            <w:shd w:val="clear" w:color="auto" w:fill="D9D9D9"/>
            <w:vAlign w:val="center"/>
          </w:tcPr>
          <w:p>
            <w:pPr>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3.1</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电气专业</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wordWrap w:val="0"/>
              <w:spacing w:line="32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lang w:bidi="ar"/>
              </w:rPr>
              <w:t>根据潮流分布合理性、线损</w:t>
            </w:r>
            <w:r>
              <w:rPr>
                <w:rFonts w:ascii="宋体" w:hAnsi="宋体" w:eastAsia="宋体" w:cs="宋体"/>
                <w:color w:val="auto"/>
                <w:sz w:val="24"/>
                <w:highlight w:val="none"/>
                <w:lang w:bidi="ar"/>
              </w:rPr>
              <w:t>、</w:t>
            </w:r>
            <w:r>
              <w:rPr>
                <w:rFonts w:hint="eastAsia" w:ascii="宋体" w:hAnsi="宋体" w:eastAsia="宋体" w:cs="宋体"/>
                <w:color w:val="auto"/>
                <w:sz w:val="24"/>
                <w:highlight w:val="none"/>
                <w:lang w:bidi="ar"/>
              </w:rPr>
              <w:t>配电设备及逆变器等设备选型、安全和可靠性</w:t>
            </w:r>
            <w:r>
              <w:rPr>
                <w:rFonts w:hint="eastAsia" w:ascii="宋体" w:hAnsi="宋体" w:eastAsia="宋体" w:cs="宋体"/>
                <w:color w:val="auto"/>
                <w:kern w:val="0"/>
                <w:sz w:val="24"/>
                <w:highlight w:val="none"/>
                <w:lang w:bidi="ar"/>
              </w:rPr>
              <w:t>进行综合打分。</w:t>
            </w:r>
          </w:p>
          <w:p>
            <w:pPr>
              <w:widowControl/>
              <w:wordWrap w:val="0"/>
              <w:spacing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主接线潮流分布合理，线损计算精确，线缆（交、直流）截面与长度选择经济最优，有效降低运行损耗。开关柜、箱变等布局紧凑合理，巡检便捷。设备选型（逆变器、配电设备等）技术先进、安全可靠。电缆沟/桥架设计、防潮防腐蚀措施针对性强。防雷接地系统设计完善、安全可靠。能精准分析电气设计重难点，并提出显著提升方案经济性和可靠性的优化建议，得10分。</w:t>
            </w:r>
          </w:p>
          <w:p>
            <w:pPr>
              <w:widowControl/>
              <w:wordWrap w:val="0"/>
              <w:spacing w:line="320" w:lineRule="exact"/>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【良】： 主接线潮流分布合理，线损值在可接受范围内，线缆选择基本合理。设备布局、选型、接地设计等满足安全运行要求。有针对防潮防腐、电缆敷设的考虑措施。能识别主要电气重难点并给出可行建议，得5分。</w:t>
            </w:r>
          </w:p>
          <w:p>
            <w:pPr>
              <w:widowControl/>
              <w:wordWrap w:val="0"/>
              <w:spacing w:line="320" w:lineRule="exact"/>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一般】：主要设计方案无原则性错误，但线损偏高或计算依据不足，线缆选择、设备布局等部分细节考虑不周。防潮防腐、接地等措施较为笼统。重难点分析不够深入，优化建议针对性不强或可行性一般，得2分。</w:t>
            </w:r>
          </w:p>
          <w:p>
            <w:pPr>
              <w:widowControl/>
              <w:wordWrap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【差】：设计存在缺陷或未提供关键内容，方案存在明显不合理之处，如线损过高、布局混乱、设备选型错误、安全措施缺失等，或未能提供相关设计说明，不具备可实施性，得0分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3.2</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土建专业</w:t>
            </w:r>
          </w:p>
        </w:tc>
        <w:tc>
          <w:tcPr>
            <w:tcW w:w="116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wordWrap w:val="0"/>
              <w:spacing w:line="320" w:lineRule="exact"/>
              <w:jc w:val="left"/>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荷载计算合理，支架方案优越；新建建筑物设计合理，与原建筑物景观协调，实用性强</w:t>
            </w:r>
            <w:r>
              <w:rPr>
                <w:rFonts w:hint="eastAsia" w:ascii="宋体" w:hAnsi="宋体" w:eastAsia="宋体" w:cs="宋体"/>
                <w:color w:val="auto"/>
                <w:sz w:val="24"/>
                <w:highlight w:val="none"/>
                <w:lang w:bidi="ar"/>
              </w:rPr>
              <w:t>，并提供详细安装大样图及屋顶荷载校验计算书</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bidi="ar"/>
              </w:rPr>
              <w:t>土建方面的重点难点有针对性的分析及优化建议。优秀得5分，良好得3分，一般得1分，较差不得分。</w:t>
            </w:r>
          </w:p>
          <w:p>
            <w:pPr>
              <w:widowControl/>
              <w:wordWrap w:val="0"/>
              <w:spacing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荷载计算严谨，依据充分，支架方案安全稳定。新建建筑物设计与原建筑景观高度协调，实用性强。提供详细的安装大样图及完整的屋顶荷载校验计算书。对土建重点难点分析透彻，优化建议针对性极强，能有效指导施工，得5分。</w:t>
            </w:r>
          </w:p>
          <w:p>
            <w:pPr>
              <w:widowControl/>
              <w:wordWrap w:val="0"/>
              <w:spacing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val="en-US" w:eastAsia="zh-CN" w:bidi="ar"/>
              </w:rPr>
              <w:t>【良】：荷载计算及支架方案安全可靠，满足规范要求。新建建筑物设计与原建筑景观基本协调，具有实用性。提供了必要的安装大样图和荷载计算书。能识别主要土建重难点并给出可行建议，但深度有所欠缺，得3分。</w:t>
            </w:r>
          </w:p>
          <w:p>
            <w:pPr>
              <w:widowControl/>
              <w:wordWrap w:val="0"/>
              <w:spacing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val="en-US" w:eastAsia="zh-CN" w:bidi="ar"/>
              </w:rPr>
              <w:t>【一般】：荷载计算或支架方案存在瑕疵但无原则性错误。设计与周边协调性或实用性一般。提供的图纸或计算书不完整、不够详细。重难点分析较为笼统，优化建议参考价值有限，得1分。</w:t>
            </w:r>
          </w:p>
          <w:p>
            <w:pPr>
              <w:widowControl/>
              <w:wordWrap w:val="0"/>
              <w:spacing w:line="320" w:lineRule="exact"/>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val="en-US" w:eastAsia="zh-CN" w:bidi="ar"/>
              </w:rPr>
              <w:t>【差】：未提供、计算错误或方案不可行。 荷载计算错误，支架方案存在安全隐患，或未提供相关计算书和图纸。设计与周边环境冲突，或完全未考虑协调性，得0分。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p>
        </w:tc>
        <w:tc>
          <w:tcPr>
            <w:tcW w:w="27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合计</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55</w:t>
            </w:r>
          </w:p>
        </w:tc>
        <w:tc>
          <w:tcPr>
            <w:tcW w:w="94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24"/>
                <w:highlight w:val="none"/>
              </w:rPr>
            </w:pPr>
          </w:p>
        </w:tc>
      </w:tr>
    </w:tbl>
    <w:p>
      <w:pPr>
        <w:wordWrap w:val="0"/>
        <w:rPr>
          <w:rFonts w:hint="eastAsia" w:ascii="宋体" w:hAnsi="宋体" w:eastAsia="宋体" w:cs="宋体"/>
          <w:color w:val="auto"/>
          <w:sz w:val="24"/>
          <w:highlight w:val="none"/>
        </w:rPr>
      </w:pPr>
    </w:p>
    <w:p>
      <w:pPr>
        <w:wordWrap w:val="0"/>
        <w:rPr>
          <w:rFonts w:hint="eastAsia" w:ascii="宋体" w:hAnsi="宋体" w:eastAsia="宋体" w:cs="宋体"/>
          <w:color w:val="auto"/>
          <w:sz w:val="24"/>
          <w:highlight w:val="none"/>
        </w:rPr>
      </w:pPr>
    </w:p>
    <w:p>
      <w:pPr>
        <w:wordWrap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注：1、投标人根据上述评审条款编制相应的说明文档或提供相应的佐证资料。如因投标人没有按要求提供相关资料或资料显示不全、不清晰而导致其投标被评委扣分的，责任由投标人自负。</w:t>
      </w:r>
    </w:p>
    <w:p>
      <w:pPr>
        <w:numPr>
          <w:ilvl w:val="0"/>
          <w:numId w:val="2"/>
        </w:numPr>
        <w:wordWrap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t>投标人技术分为各评委的总评分的算术平均值。</w:t>
      </w:r>
    </w:p>
    <w:p>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评委签名：                                                                  日期：</w:t>
      </w:r>
    </w:p>
    <w:p>
      <w:pPr>
        <w:rPr>
          <w:rFonts w:hint="eastAsia" w:ascii="宋体" w:eastAsia="宋体" w:cs="宋体"/>
          <w:color w:val="auto"/>
          <w:sz w:val="24"/>
          <w:szCs w:val="24"/>
          <w:highlight w:val="none"/>
        </w:rPr>
      </w:pPr>
      <w:r>
        <w:rPr>
          <w:rFonts w:hint="eastAsia" w:ascii="宋体" w:eastAsia="宋体" w:cs="宋体"/>
          <w:color w:val="auto"/>
          <w:sz w:val="24"/>
          <w:szCs w:val="24"/>
          <w:highlight w:val="none"/>
        </w:rPr>
        <w:br w:type="page"/>
      </w:r>
    </w:p>
    <w:p>
      <w:pPr>
        <w:pStyle w:val="4"/>
        <w:wordWrap w:val="0"/>
        <w:adjustRightInd w:val="0"/>
        <w:snapToGrid w:val="0"/>
        <w:spacing w:before="0" w:after="0" w:line="360" w:lineRule="auto"/>
        <w:ind w:firstLine="0" w:firstLineChars="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技术标详细审查评分标准</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施工标部分</w:t>
      </w:r>
      <w:r>
        <w:rPr>
          <w:rFonts w:hint="eastAsia" w:ascii="宋体" w:eastAsia="宋体" w:cs="宋体"/>
          <w:color w:val="auto"/>
          <w:sz w:val="24"/>
          <w:szCs w:val="24"/>
          <w:highlight w:val="none"/>
          <w:lang w:eastAsia="zh-CN"/>
        </w:rPr>
        <w:t>）</w:t>
      </w:r>
    </w:p>
    <w:p>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项目名称：</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eastAsia="zh-CN" w:bidi="ar"/>
        </w:rPr>
        <w:t>广州水投集团“水务+光伏”一体化节能改造项目（10.78兆瓦分布式光伏发电项目）设计-采购-施工总承包（EPC）</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第二标段</w:t>
      </w:r>
      <w:r>
        <w:rPr>
          <w:rFonts w:hint="eastAsia" w:ascii="宋体" w:hAnsi="宋体" w:eastAsia="宋体" w:cs="宋体"/>
          <w:color w:val="auto"/>
          <w:sz w:val="24"/>
          <w:highlight w:val="none"/>
          <w:u w:val="single"/>
          <w:lang w:eastAsia="zh-CN"/>
        </w:rPr>
        <w:t>）</w:t>
      </w:r>
    </w:p>
    <w:p>
      <w:pPr>
        <w:rPr>
          <w:rFonts w:hint="eastAsia" w:ascii="宋体" w:hAnsi="宋体" w:eastAsia="宋体" w:cs="宋体"/>
          <w:color w:val="auto"/>
          <w:highlight w:val="none"/>
        </w:rPr>
      </w:pPr>
    </w:p>
    <w:tbl>
      <w:tblPr>
        <w:tblStyle w:val="37"/>
        <w:tblW w:w="14209" w:type="dxa"/>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882"/>
        <w:gridCol w:w="2735"/>
        <w:gridCol w:w="1168"/>
        <w:gridCol w:w="9424"/>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5" w:hRule="atLeast"/>
        </w:trPr>
        <w:tc>
          <w:tcPr>
            <w:tcW w:w="88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bidi="ar"/>
              </w:rPr>
              <w:t>1</w:t>
            </w:r>
          </w:p>
        </w:tc>
        <w:tc>
          <w:tcPr>
            <w:tcW w:w="2735" w:type="dxa"/>
            <w:tcBorders>
              <w:top w:val="single" w:color="auto" w:sz="4" w:space="0"/>
              <w:left w:val="nil"/>
              <w:bottom w:val="single" w:color="auto" w:sz="4" w:space="0"/>
              <w:right w:val="single" w:color="auto" w:sz="4" w:space="0"/>
            </w:tcBorders>
            <w:shd w:val="clear" w:color="auto" w:fill="D9D9D9"/>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施工组织设计方案和工期计划</w:t>
            </w:r>
          </w:p>
        </w:tc>
        <w:tc>
          <w:tcPr>
            <w:tcW w:w="1168" w:type="dxa"/>
            <w:tcBorders>
              <w:top w:val="single" w:color="auto" w:sz="4" w:space="0"/>
              <w:left w:val="nil"/>
              <w:bottom w:val="single" w:color="auto" w:sz="4" w:space="0"/>
              <w:right w:val="single" w:color="auto" w:sz="4" w:space="0"/>
            </w:tcBorders>
            <w:shd w:val="clear" w:color="auto" w:fill="D9D9D9"/>
            <w:vAlign w:val="center"/>
          </w:tcPr>
          <w:p>
            <w:pPr>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bidi="ar"/>
              </w:rPr>
              <w:t>1</w:t>
            </w:r>
            <w:r>
              <w:rPr>
                <w:rFonts w:hint="eastAsia" w:ascii="宋体" w:hAnsi="宋体" w:eastAsia="宋体" w:cs="宋体"/>
                <w:b/>
                <w:bCs/>
                <w:color w:val="auto"/>
                <w:sz w:val="24"/>
                <w:highlight w:val="none"/>
                <w:lang w:val="en-US" w:eastAsia="zh-CN" w:bidi="ar"/>
              </w:rPr>
              <w:t>5</w:t>
            </w:r>
          </w:p>
        </w:tc>
        <w:tc>
          <w:tcPr>
            <w:tcW w:w="9424" w:type="dxa"/>
            <w:tcBorders>
              <w:top w:val="single" w:color="auto" w:sz="4" w:space="0"/>
              <w:left w:val="nil"/>
              <w:bottom w:val="single" w:color="auto" w:sz="4" w:space="0"/>
              <w:right w:val="single" w:color="auto" w:sz="4" w:space="0"/>
            </w:tcBorders>
            <w:shd w:val="clear" w:color="auto" w:fill="D9D9D9"/>
            <w:vAlign w:val="center"/>
          </w:tcPr>
          <w:p>
            <w:pPr>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w:t>
            </w:r>
          </w:p>
        </w:tc>
        <w:tc>
          <w:tcPr>
            <w:tcW w:w="2735"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施工组织及技术方案</w:t>
            </w:r>
          </w:p>
        </w:tc>
        <w:tc>
          <w:tcPr>
            <w:tcW w:w="1168"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9424"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结合现场实际情况，针对性提出及编制的施工组织方案，包括但不限于项目管理目标、施工部署安排、符合项目实施特点的专业人员配置、重点部位及特殊工艺施工技术等，充分考虑施工中存在因素，及采取的保护措施等，</w:t>
            </w:r>
            <w:r>
              <w:rPr>
                <w:rFonts w:hint="eastAsia" w:ascii="宋体" w:hAnsi="宋体" w:eastAsia="宋体" w:cs="宋体"/>
                <w:color w:val="auto"/>
                <w:sz w:val="24"/>
                <w:highlight w:val="none"/>
              </w:rPr>
              <w:t>方案设计及现场管理应符合厂站封闭式管理的相关要求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技术措施合理、科学与可行，提出应针对不同的风险点制定突发事件紧急预案。</w:t>
            </w:r>
          </w:p>
          <w:p>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制定的方案详细，工作内容切实可行，逻辑严谨，</w:t>
            </w:r>
            <w:r>
              <w:rPr>
                <w:rFonts w:hint="eastAsia" w:ascii="宋体" w:hAnsi="宋体" w:eastAsia="宋体" w:cs="宋体"/>
                <w:color w:val="auto"/>
                <w:sz w:val="24"/>
                <w:highlight w:val="none"/>
              </w:rPr>
              <w:t>与厂站封闭式管理要求结合紧密，管控措施到位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【一般】：</w:t>
            </w:r>
            <w:r>
              <w:rPr>
                <w:rFonts w:hint="eastAsia" w:ascii="宋体" w:hAnsi="宋体" w:eastAsia="宋体" w:cs="宋体"/>
                <w:color w:val="auto"/>
                <w:sz w:val="24"/>
                <w:highlight w:val="none"/>
              </w:rPr>
              <w:t>制定的方案较详细，工作内容基本可行，逻辑较严谨，</w:t>
            </w:r>
            <w:r>
              <w:rPr>
                <w:rFonts w:hint="eastAsia" w:ascii="宋体" w:hAnsi="宋体" w:eastAsia="宋体" w:cs="宋体"/>
                <w:color w:val="auto"/>
                <w:sz w:val="24"/>
                <w:highlight w:val="none"/>
              </w:rPr>
              <w:t>对厂站封闭式管理要求有所考虑，但措施不够全面或具体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【差】：</w:t>
            </w:r>
            <w:r>
              <w:rPr>
                <w:rFonts w:hint="eastAsia" w:ascii="宋体" w:hAnsi="宋体" w:eastAsia="宋体" w:cs="宋体"/>
                <w:color w:val="auto"/>
                <w:sz w:val="24"/>
                <w:highlight w:val="none"/>
                <w:lang w:eastAsia="zh-CN"/>
              </w:rPr>
              <w:t>制定</w:t>
            </w:r>
            <w:r>
              <w:rPr>
                <w:rFonts w:hint="eastAsia" w:ascii="宋体" w:hAnsi="宋体" w:eastAsia="宋体" w:cs="宋体"/>
                <w:color w:val="auto"/>
                <w:sz w:val="24"/>
                <w:highlight w:val="none"/>
                <w:lang w:val="en-US" w:eastAsia="zh-CN"/>
              </w:rPr>
              <w:t>的方案粗略</w:t>
            </w:r>
            <w:r>
              <w:rPr>
                <w:rFonts w:hint="eastAsia" w:ascii="宋体" w:hAnsi="宋体" w:eastAsia="宋体" w:cs="宋体"/>
                <w:color w:val="auto"/>
                <w:sz w:val="24"/>
                <w:highlight w:val="none"/>
                <w:lang w:eastAsia="zh-CN"/>
              </w:rPr>
              <w:t>，工作内容不可行，逻辑混乱，</w:t>
            </w:r>
            <w:r>
              <w:rPr>
                <w:rFonts w:hint="eastAsia" w:ascii="宋体" w:hAnsi="宋体" w:eastAsia="宋体" w:cs="宋体"/>
                <w:color w:val="auto"/>
                <w:sz w:val="24"/>
                <w:highlight w:val="none"/>
                <w:lang w:eastAsia="zh-CN"/>
              </w:rPr>
              <w:t>未考虑或严重违背厂站封闭式管理要求，</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未提供方案，得0分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190" w:hRule="atLeast"/>
        </w:trPr>
        <w:tc>
          <w:tcPr>
            <w:tcW w:w="88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bidi="ar"/>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val="en-US" w:eastAsia="zh-CN" w:bidi="ar"/>
              </w:rPr>
              <w:t>2</w:t>
            </w:r>
          </w:p>
        </w:tc>
        <w:tc>
          <w:tcPr>
            <w:tcW w:w="2735" w:type="dxa"/>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工期计划</w:t>
            </w:r>
          </w:p>
        </w:tc>
        <w:tc>
          <w:tcPr>
            <w:tcW w:w="1168" w:type="dxa"/>
            <w:vMerge w:val="restart"/>
            <w:tcBorders>
              <w:top w:val="single" w:color="auto" w:sz="4" w:space="0"/>
              <w:left w:val="nil"/>
              <w:right w:val="single" w:color="auto" w:sz="4" w:space="0"/>
            </w:tcBorders>
            <w:shd w:val="clear" w:color="auto" w:fill="auto"/>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10</w:t>
            </w:r>
          </w:p>
        </w:tc>
        <w:tc>
          <w:tcPr>
            <w:tcW w:w="9424"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有保证措施，施工工期计划目标符合招标文件要求，工程建设进度满足招标文件要求，关键线路清晰、准确、完整，计划编制合理、可行，关键节点的控制措施合理。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优</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制定了健全的工程建设进度计划与措施，针对性强，关键线路清晰、准确、完整，计划编制合理，关键节点的控制措施合理、切实可行，得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【一般】：</w:t>
            </w:r>
            <w:r>
              <w:rPr>
                <w:rFonts w:hint="eastAsia" w:ascii="宋体" w:hAnsi="宋体" w:eastAsia="宋体" w:cs="宋体"/>
                <w:color w:val="auto"/>
                <w:sz w:val="24"/>
                <w:highlight w:val="none"/>
                <w:lang w:bidi="ar"/>
              </w:rPr>
              <w:t>制定了工程建设进度计划与措施，针对性一般，关键线路较完整，计划编制较合理，关键节点的控制措施基本可行，得</w:t>
            </w:r>
            <w:r>
              <w:rPr>
                <w:rFonts w:hint="eastAsia" w:ascii="宋体" w:hAnsi="宋体" w:eastAsia="宋体" w:cs="宋体"/>
                <w:color w:val="auto"/>
                <w:sz w:val="24"/>
                <w:highlight w:val="none"/>
                <w:lang w:val="en-US" w:eastAsia="zh-CN" w:bidi="ar"/>
              </w:rPr>
              <w:t>1</w:t>
            </w:r>
            <w:r>
              <w:rPr>
                <w:rFonts w:hint="eastAsia" w:ascii="宋体" w:hAnsi="宋体" w:eastAsia="宋体" w:cs="宋体"/>
                <w:color w:val="auto"/>
                <w:sz w:val="24"/>
                <w:highlight w:val="none"/>
                <w:lang w:bidi="ar"/>
              </w:rPr>
              <w:t>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【差】：未提供、或方案不可行，得0分。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637" w:hRule="atLeast"/>
        </w:trPr>
        <w:tc>
          <w:tcPr>
            <w:tcW w:w="882"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p>
        </w:tc>
        <w:tc>
          <w:tcPr>
            <w:tcW w:w="273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p>
        </w:tc>
        <w:tc>
          <w:tcPr>
            <w:tcW w:w="1168" w:type="dxa"/>
            <w:vMerge w:val="continue"/>
            <w:tcBorders>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highlight w:val="none"/>
                <w:lang w:val="en-US" w:bidi="ar"/>
              </w:rPr>
            </w:pPr>
          </w:p>
        </w:tc>
        <w:tc>
          <w:tcPr>
            <w:tcW w:w="9424"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有提供施工进度计划，施工工期计划目标对比招标文件要求提前</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天以上（不含</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天）完工，得</w:t>
            </w: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有提供施工进度计划，施工工期计划目标对比招标文件要求提前</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天完工（不含</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天），得</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有提供施工进度计划，施工工期计划目标对比招标文件要求提前至</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天完工，得</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有提供施工进度计划，施工工期计划目标符合招标文件要求，得1分；</w:t>
            </w:r>
          </w:p>
          <w:p>
            <w:pPr>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其它情况不得分。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bidi="ar"/>
              </w:rPr>
              <w:t>2</w:t>
            </w:r>
          </w:p>
        </w:tc>
        <w:tc>
          <w:tcPr>
            <w:tcW w:w="2735" w:type="dxa"/>
            <w:tcBorders>
              <w:top w:val="single" w:color="auto" w:sz="4" w:space="0"/>
              <w:left w:val="nil"/>
              <w:bottom w:val="single" w:color="auto" w:sz="4" w:space="0"/>
              <w:right w:val="single" w:color="auto" w:sz="4" w:space="0"/>
            </w:tcBorders>
            <w:shd w:val="clear" w:color="auto" w:fill="D9D9D9"/>
            <w:vAlign w:val="center"/>
          </w:tcPr>
          <w:p>
            <w:pPr>
              <w:spacing w:before="20" w:after="20" w:line="32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技术服务</w:t>
            </w:r>
          </w:p>
        </w:tc>
        <w:tc>
          <w:tcPr>
            <w:tcW w:w="1168" w:type="dxa"/>
            <w:tcBorders>
              <w:top w:val="single" w:color="auto" w:sz="4" w:space="0"/>
              <w:left w:val="nil"/>
              <w:bottom w:val="single" w:color="auto" w:sz="4" w:space="0"/>
              <w:right w:val="single" w:color="auto" w:sz="4" w:space="0"/>
            </w:tcBorders>
            <w:shd w:val="clear" w:color="auto" w:fill="D9D9D9"/>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10</w:t>
            </w:r>
          </w:p>
        </w:tc>
        <w:tc>
          <w:tcPr>
            <w:tcW w:w="9424" w:type="dxa"/>
            <w:tcBorders>
              <w:top w:val="single" w:color="auto" w:sz="4" w:space="0"/>
              <w:left w:val="nil"/>
              <w:bottom w:val="single" w:color="auto" w:sz="4" w:space="0"/>
              <w:right w:val="single" w:color="auto" w:sz="4" w:space="0"/>
            </w:tcBorders>
            <w:shd w:val="clear" w:color="auto" w:fill="D9D9D9"/>
            <w:vAlign w:val="center"/>
          </w:tcPr>
          <w:p>
            <w:pPr>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20"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.1</w:t>
            </w:r>
          </w:p>
        </w:tc>
        <w:tc>
          <w:tcPr>
            <w:tcW w:w="2735" w:type="dxa"/>
            <w:tcBorders>
              <w:top w:val="single" w:color="auto" w:sz="4" w:space="0"/>
              <w:left w:val="nil"/>
              <w:bottom w:val="single" w:color="auto" w:sz="4" w:space="0"/>
              <w:right w:val="single" w:color="auto" w:sz="4" w:space="0"/>
            </w:tcBorders>
            <w:shd w:val="clear" w:color="auto" w:fill="auto"/>
            <w:vAlign w:val="center"/>
          </w:tcPr>
          <w:p>
            <w:pPr>
              <w:widowControl/>
              <w:wordWrap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人员培训计划</w:t>
            </w:r>
          </w:p>
        </w:tc>
        <w:tc>
          <w:tcPr>
            <w:tcW w:w="1168" w:type="dxa"/>
            <w:tcBorders>
              <w:top w:val="single" w:color="auto" w:sz="4" w:space="0"/>
              <w:left w:val="nil"/>
              <w:bottom w:val="single" w:color="auto" w:sz="4" w:space="0"/>
              <w:right w:val="single" w:color="auto" w:sz="4" w:space="0"/>
            </w:tcBorders>
            <w:shd w:val="clear" w:color="auto" w:fill="auto"/>
            <w:vAlign w:val="center"/>
          </w:tcPr>
          <w:p>
            <w:pPr>
              <w:wordWrap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9424" w:type="dxa"/>
            <w:tcBorders>
              <w:top w:val="single" w:color="auto" w:sz="4" w:space="0"/>
              <w:left w:val="nil"/>
              <w:bottom w:val="single" w:color="auto" w:sz="4" w:space="0"/>
              <w:right w:val="single" w:color="auto" w:sz="4" w:space="0"/>
            </w:tcBorders>
            <w:shd w:val="clear" w:color="auto" w:fill="auto"/>
            <w:vAlign w:val="center"/>
          </w:tcPr>
          <w:p>
            <w:pPr>
              <w:widowControl/>
              <w:wordWrap w:val="0"/>
              <w:spacing w:line="32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优</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培训计划系统完整，内容全面覆盖所有关键技术岗位（如运维、检修、安全等），针对性强。培训目标明确，课程设置科学合理，配备专业的讲师与完善的考核机制。计划详细可行，与项目进度紧密结合，能有效保障人员技能提升，满足电站长期运维需求</w:t>
            </w:r>
            <w:r>
              <w:rPr>
                <w:rFonts w:hint="eastAsia" w:ascii="宋体" w:hAnsi="宋体" w:eastAsia="宋体" w:cs="宋体"/>
                <w:color w:val="auto"/>
                <w:kern w:val="0"/>
                <w:sz w:val="24"/>
                <w:highlight w:val="none"/>
                <w:lang w:eastAsia="zh-CN" w:bidi="ar"/>
              </w:rPr>
              <w:t>，得5分</w:t>
            </w:r>
            <w:r>
              <w:rPr>
                <w:rFonts w:hint="eastAsia" w:ascii="宋体" w:hAnsi="宋体" w:eastAsia="宋体" w:cs="宋体"/>
                <w:color w:val="auto"/>
                <w:kern w:val="0"/>
                <w:sz w:val="24"/>
                <w:highlight w:val="none"/>
                <w:lang w:bidi="ar"/>
              </w:rPr>
              <w:t>。</w:t>
            </w:r>
          </w:p>
          <w:p>
            <w:pPr>
              <w:widowControl/>
              <w:wordWrap w:val="0"/>
              <w:spacing w:line="32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【良】：训计划较为全面，覆盖主要技术岗位，内容具有针对性。培训目标清晰，课程设置基本合理，有相应的讲师安排和考核方式。计划可行，能满足项目基本运维需求，但深度或细节略有不足，得3分。</w:t>
            </w:r>
          </w:p>
          <w:p>
            <w:pPr>
              <w:widowControl/>
              <w:wordWrap w:val="0"/>
              <w:spacing w:line="32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【一般】：培训计划内容简单，仅覆盖部分岗位或基础内容，针对性一般。培训目标模糊，课程设置较为笼统，缺乏详细的讲师和考核安排。计划可行性一般，对人员能力提升作用有限，得1分。</w:t>
            </w:r>
          </w:p>
          <w:p>
            <w:pPr>
              <w:widowControl/>
              <w:wordWrap w:val="0"/>
              <w:spacing w:line="32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【差】：计划内容严重缺失、流于形式，完全未结合项目实际需求；或未提供任何培训计划，得0分。</w:t>
            </w:r>
          </w:p>
          <w:p>
            <w:pPr>
              <w:widowControl/>
              <w:wordWrap w:val="0"/>
              <w:spacing w:line="320" w:lineRule="exact"/>
              <w:jc w:val="left"/>
              <w:rPr>
                <w:rFonts w:hint="eastAsia" w:ascii="宋体" w:hAnsi="宋体" w:eastAsia="宋体" w:cs="宋体"/>
                <w:color w:val="auto"/>
                <w:sz w:val="24"/>
                <w:highlight w:val="none"/>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.2</w:t>
            </w:r>
          </w:p>
        </w:tc>
        <w:tc>
          <w:tcPr>
            <w:tcW w:w="2735" w:type="dxa"/>
            <w:tcBorders>
              <w:top w:val="nil"/>
              <w:left w:val="nil"/>
              <w:bottom w:val="single" w:color="auto" w:sz="4" w:space="0"/>
              <w:right w:val="single" w:color="auto" w:sz="4" w:space="0"/>
            </w:tcBorders>
            <w:shd w:val="clear" w:color="auto" w:fill="auto"/>
            <w:vAlign w:val="center"/>
          </w:tcPr>
          <w:p>
            <w:pPr>
              <w:widowControl/>
              <w:wordWrap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保修、售后服务措施及承诺</w:t>
            </w:r>
          </w:p>
        </w:tc>
        <w:tc>
          <w:tcPr>
            <w:tcW w:w="1168" w:type="dxa"/>
            <w:tcBorders>
              <w:top w:val="nil"/>
              <w:left w:val="nil"/>
              <w:bottom w:val="single" w:color="auto" w:sz="4" w:space="0"/>
              <w:right w:val="single" w:color="auto" w:sz="4" w:space="0"/>
            </w:tcBorders>
            <w:shd w:val="clear" w:color="auto" w:fill="auto"/>
            <w:vAlign w:val="center"/>
          </w:tcPr>
          <w:p>
            <w:pPr>
              <w:wordWrap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5</w:t>
            </w:r>
          </w:p>
        </w:tc>
        <w:tc>
          <w:tcPr>
            <w:tcW w:w="9424" w:type="dxa"/>
            <w:tcBorders>
              <w:top w:val="nil"/>
              <w:left w:val="nil"/>
              <w:bottom w:val="single" w:color="auto" w:sz="4" w:space="0"/>
              <w:right w:val="single" w:color="auto" w:sz="4" w:space="0"/>
            </w:tcBorders>
            <w:shd w:val="clear" w:color="auto" w:fill="auto"/>
            <w:vAlign w:val="center"/>
          </w:tcPr>
          <w:p>
            <w:pPr>
              <w:widowControl/>
              <w:wordWrap w:val="0"/>
              <w:spacing w:line="32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优</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保修与售后服务体系完善，响应迅速，承诺优越。 提供远超招标要求的保修期限和范围（如关键设备质保期更长），配备充足的本地化专业服务团队，7×24小时响应机制明确（如4小时内到场）。提供详细的运维手册、定期巡检、远程监控、备品备件供应、技术升级等增值服务承诺，方案具体、可行性强</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得5分。</w:t>
            </w:r>
          </w:p>
          <w:p>
            <w:pPr>
              <w:widowControl/>
              <w:wordWrap w:val="0"/>
              <w:spacing w:line="320" w:lineRule="exact"/>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【良】</w:t>
            </w:r>
            <w:r>
              <w:rPr>
                <w:rFonts w:hint="eastAsia" w:ascii="宋体" w:hAnsi="宋体" w:eastAsia="宋体" w:cs="宋体"/>
                <w:color w:val="auto"/>
                <w:kern w:val="0"/>
                <w:sz w:val="24"/>
                <w:highlight w:val="none"/>
                <w:lang w:eastAsia="zh-CN" w:bidi="ar"/>
              </w:rPr>
              <w:t>：保修与售后服务措施良好，承诺可靠。保修期限和范围满足或略高于招标要求，响应时间明确（如8小时内到场），有专业的服务团队和联系方式，提供了运维培训、定期回访、故障维修等基本服务承诺，内容较为具体，具备可行性，得4分。</w:t>
            </w:r>
          </w:p>
          <w:p>
            <w:pPr>
              <w:widowControl/>
              <w:wordWrap w:val="0"/>
              <w:spacing w:line="32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【一般】：保修与售后服务措施基本合格，但内容笼统。 保修条款仅满足招标最低要求，响应机制和承诺较为模糊（如“尽快处理”）。服务内容仅包含基本的故障维修，缺乏细节和增值服务，可行性一般，得3分。</w:t>
            </w:r>
          </w:p>
          <w:p>
            <w:pPr>
              <w:widowControl/>
              <w:wordWrap w:val="0"/>
              <w:spacing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bidi="ar"/>
              </w:rPr>
              <w:t>【差】：措施存在严重缺陷或未提供实质性承诺。 保修期限或范围不满足招标要求，未提供有效的响应机制或联系方式，服务承诺空洞、不可行；或未提供任何保修与售后服务方案，得0分。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D7D7D7"/>
            <w:vAlign w:val="center"/>
          </w:tcPr>
          <w:p>
            <w:pPr>
              <w:widowControl/>
              <w:jc w:val="center"/>
              <w:rPr>
                <w:rFonts w:hint="eastAsia" w:ascii="宋体" w:hAnsi="宋体" w:eastAsia="宋体" w:cs="宋体"/>
                <w:b/>
                <w:bCs/>
                <w:color w:val="auto"/>
                <w:sz w:val="24"/>
                <w:highlight w:val="none"/>
                <w:lang w:eastAsia="zh-CN" w:bidi="ar"/>
              </w:rPr>
            </w:pPr>
            <w:r>
              <w:rPr>
                <w:rFonts w:hint="eastAsia" w:ascii="宋体" w:hAnsi="宋体" w:eastAsia="宋体" w:cs="宋体"/>
                <w:b/>
                <w:bCs/>
                <w:color w:val="auto"/>
                <w:sz w:val="24"/>
                <w:highlight w:val="none"/>
                <w:lang w:val="en-US" w:eastAsia="zh-CN" w:bidi="ar"/>
              </w:rPr>
              <w:t>3</w:t>
            </w:r>
          </w:p>
        </w:tc>
        <w:tc>
          <w:tcPr>
            <w:tcW w:w="2735" w:type="dxa"/>
            <w:tcBorders>
              <w:top w:val="nil"/>
              <w:left w:val="nil"/>
              <w:bottom w:val="single" w:color="auto" w:sz="4" w:space="0"/>
              <w:right w:val="single" w:color="auto" w:sz="4" w:space="0"/>
            </w:tcBorders>
            <w:shd w:val="clear" w:color="auto" w:fill="D7D7D7"/>
            <w:vAlign w:val="center"/>
          </w:tcPr>
          <w:p>
            <w:pPr>
              <w:widowControl/>
              <w:jc w:val="center"/>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光伏组件</w:t>
            </w:r>
          </w:p>
        </w:tc>
        <w:tc>
          <w:tcPr>
            <w:tcW w:w="1168" w:type="dxa"/>
            <w:tcBorders>
              <w:top w:val="nil"/>
              <w:left w:val="nil"/>
              <w:bottom w:val="single" w:color="auto" w:sz="4" w:space="0"/>
              <w:right w:val="single" w:color="auto" w:sz="4" w:space="0"/>
            </w:tcBorders>
            <w:shd w:val="clear" w:color="auto" w:fill="D7D7D7"/>
            <w:vAlign w:val="center"/>
          </w:tcPr>
          <w:p>
            <w:pPr>
              <w:jc w:val="center"/>
              <w:rPr>
                <w:rFonts w:hint="eastAsia" w:ascii="宋体" w:hAnsi="宋体" w:eastAsia="宋体" w:cs="宋体"/>
                <w:b/>
                <w:bCs/>
                <w:color w:val="auto"/>
                <w:sz w:val="24"/>
                <w:highlight w:val="none"/>
                <w:lang w:bidi="ar"/>
              </w:rPr>
            </w:pPr>
            <w:r>
              <w:rPr>
                <w:rFonts w:hint="eastAsia" w:ascii="宋体" w:hAnsi="宋体" w:eastAsia="宋体" w:cs="宋体"/>
                <w:b/>
                <w:bCs/>
                <w:color w:val="auto"/>
                <w:sz w:val="24"/>
                <w:highlight w:val="none"/>
                <w:lang w:bidi="ar"/>
              </w:rPr>
              <w:t>20</w:t>
            </w:r>
          </w:p>
        </w:tc>
        <w:tc>
          <w:tcPr>
            <w:tcW w:w="9424" w:type="dxa"/>
            <w:tcBorders>
              <w:top w:val="nil"/>
              <w:left w:val="nil"/>
              <w:bottom w:val="single" w:color="auto" w:sz="4" w:space="0"/>
              <w:right w:val="single" w:color="auto" w:sz="4" w:space="0"/>
            </w:tcBorders>
            <w:shd w:val="clear" w:color="auto" w:fill="D7D7D7"/>
            <w:vAlign w:val="center"/>
          </w:tcPr>
          <w:p>
            <w:pPr>
              <w:widowControl/>
              <w:jc w:val="center"/>
              <w:rPr>
                <w:rFonts w:hint="eastAsia" w:ascii="宋体" w:hAnsi="宋体" w:eastAsia="宋体" w:cs="宋体"/>
                <w:color w:val="auto"/>
                <w:sz w:val="24"/>
                <w:highlight w:val="none"/>
                <w:lang w:bidi="ar"/>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.1</w:t>
            </w:r>
          </w:p>
        </w:tc>
        <w:tc>
          <w:tcPr>
            <w:tcW w:w="27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组件功差</w:t>
            </w:r>
          </w:p>
        </w:tc>
        <w:tc>
          <w:tcPr>
            <w:tcW w:w="1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w:t>
            </w:r>
          </w:p>
        </w:tc>
        <w:tc>
          <w:tcPr>
            <w:tcW w:w="9424"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承诺到货组件功率满足正偏差为1W得0分，正偏差为2W得4分，正偏差为3W及以上得6分。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.2</w:t>
            </w:r>
          </w:p>
        </w:tc>
        <w:tc>
          <w:tcPr>
            <w:tcW w:w="27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承诺的质保期</w:t>
            </w:r>
          </w:p>
        </w:tc>
        <w:tc>
          <w:tcPr>
            <w:tcW w:w="1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w:t>
            </w:r>
          </w:p>
        </w:tc>
        <w:tc>
          <w:tcPr>
            <w:tcW w:w="9424"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12年为0分，12年以上每年加1分，满分6分。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.3</w:t>
            </w:r>
          </w:p>
        </w:tc>
        <w:tc>
          <w:tcPr>
            <w:tcW w:w="27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接线盒及接头</w:t>
            </w:r>
          </w:p>
        </w:tc>
        <w:tc>
          <w:tcPr>
            <w:tcW w:w="1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p>
        </w:tc>
        <w:tc>
          <w:tcPr>
            <w:tcW w:w="9424"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原装MC4得2分，MC4兼容得0分。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.4</w:t>
            </w:r>
          </w:p>
        </w:tc>
        <w:tc>
          <w:tcPr>
            <w:tcW w:w="273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随机备品备件</w:t>
            </w:r>
          </w:p>
        </w:tc>
        <w:tc>
          <w:tcPr>
            <w:tcW w:w="1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w:t>
            </w:r>
          </w:p>
        </w:tc>
        <w:tc>
          <w:tcPr>
            <w:tcW w:w="9424"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备品备件数量以组件数量的0.1%为基准，每增加0.1%得2分，最高得6分。</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56" w:hRule="atLeast"/>
        </w:trPr>
        <w:tc>
          <w:tcPr>
            <w:tcW w:w="8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4"/>
                <w:highlight w:val="none"/>
              </w:rPr>
            </w:pPr>
          </w:p>
        </w:tc>
        <w:tc>
          <w:tcPr>
            <w:tcW w:w="27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合计</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45</w:t>
            </w:r>
          </w:p>
        </w:tc>
        <w:tc>
          <w:tcPr>
            <w:tcW w:w="942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sz w:val="24"/>
                <w:highlight w:val="none"/>
              </w:rPr>
            </w:pPr>
          </w:p>
        </w:tc>
      </w:tr>
    </w:tbl>
    <w:p>
      <w:pPr>
        <w:rPr>
          <w:rFonts w:hint="eastAsia" w:ascii="宋体" w:hAnsi="宋体" w:eastAsia="宋体" w:cs="宋体"/>
          <w:color w:val="auto"/>
          <w:highlight w:val="none"/>
        </w:rPr>
      </w:pPr>
    </w:p>
    <w:p>
      <w:pPr>
        <w:wordWrap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注：1、投标人根据上述评审条款编制相应的说明文档或提供相应的佐证资料。如因投标人没有按要求提供相关资料或资料显示不全、不清晰而导致其投标被评委扣分的，责任由投标人自负。</w:t>
      </w:r>
    </w:p>
    <w:p>
      <w:pPr>
        <w:numPr>
          <w:ilvl w:val="-1"/>
          <w:numId w:val="0"/>
        </w:numPr>
        <w:wordWrap w:val="0"/>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投标人技术分为各评委的总评分的算术平均值。</w:t>
      </w:r>
    </w:p>
    <w:p>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评委签名：                                                                  日期：</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wordWrap w:val="0"/>
        <w:spacing w:before="200" w:after="200"/>
        <w:jc w:val="center"/>
        <w:rPr>
          <w:rFonts w:hint="eastAsia" w:ascii="宋体" w:hAnsi="宋体" w:eastAsia="宋体" w:cs="宋体"/>
          <w:color w:val="auto"/>
          <w:highlight w:val="none"/>
        </w:rPr>
        <w:sectPr>
          <w:pgSz w:w="16838" w:h="11905" w:orient="landscape"/>
          <w:pgMar w:top="1304" w:right="1304" w:bottom="1304" w:left="1304" w:header="850" w:footer="992" w:gutter="0"/>
          <w:cols w:space="0" w:num="1"/>
          <w:docGrid w:linePitch="320" w:charSpace="0"/>
        </w:sectPr>
      </w:pPr>
    </w:p>
    <w:p>
      <w:pPr>
        <w:pStyle w:val="2"/>
        <w:widowControl/>
        <w:spacing w:line="240" w:lineRule="auto"/>
        <w:jc w:val="center"/>
        <w:rPr>
          <w:rFonts w:hint="eastAsia" w:ascii="宋体" w:hAnsi="宋体" w:eastAsia="宋体" w:cs="宋体"/>
          <w:color w:val="auto"/>
          <w:szCs w:val="21"/>
          <w:highlight w:val="none"/>
          <w:u w:val="single"/>
          <w:lang w:bidi="ar"/>
        </w:rPr>
      </w:pPr>
      <w:r>
        <w:rPr>
          <w:rFonts w:hint="eastAsia" w:ascii="宋体" w:hAnsi="宋体" w:eastAsia="宋体" w:cs="宋体"/>
          <w:color w:val="auto"/>
          <w:highlight w:val="none"/>
        </w:rPr>
        <w:tab/>
      </w:r>
      <w:bookmarkStart w:id="344" w:name="_Toc803"/>
      <w:r>
        <w:rPr>
          <w:rFonts w:hint="eastAsia" w:ascii="宋体" w:hAnsi="宋体" w:eastAsia="宋体" w:cs="宋体"/>
          <w:color w:val="auto"/>
          <w:sz w:val="36"/>
          <w:szCs w:val="36"/>
          <w:highlight w:val="none"/>
        </w:rPr>
        <w:t>第四章合同条款及格式</w:t>
      </w:r>
      <w:bookmarkEnd w:id="212"/>
      <w:bookmarkEnd w:id="344"/>
      <w:r>
        <w:rPr>
          <w:rFonts w:hint="eastAsia" w:ascii="宋体" w:hAnsi="宋体" w:eastAsia="宋体" w:cs="宋体"/>
          <w:color w:val="auto"/>
          <w:highlight w:val="none"/>
        </w:rPr>
        <w:tab/>
      </w:r>
    </w:p>
    <w:p>
      <w:pPr>
        <w:widowControl/>
        <w:jc w:val="left"/>
        <w:rPr>
          <w:rFonts w:hint="eastAsia" w:ascii="宋体" w:hAnsi="宋体" w:eastAsia="宋体" w:cs="宋体"/>
          <w:b/>
          <w:color w:val="auto"/>
          <w:szCs w:val="21"/>
          <w:highlight w:val="none"/>
          <w:u w:val="single"/>
          <w:lang w:bidi="ar"/>
        </w:rPr>
      </w:pPr>
    </w:p>
    <w:p>
      <w:pPr>
        <w:widowControl/>
        <w:wordWrap w:val="0"/>
        <w:spacing w:line="360" w:lineRule="auto"/>
        <w:jc w:val="center"/>
        <w:rPr>
          <w:rFonts w:hint="eastAsia" w:ascii="宋体" w:hAnsi="宋体" w:eastAsia="宋体" w:cs="宋体"/>
          <w:color w:val="auto"/>
          <w:sz w:val="36"/>
          <w:szCs w:val="36"/>
          <w:highlight w:val="none"/>
        </w:rPr>
      </w:pPr>
      <w:bookmarkStart w:id="345" w:name="_Toc443505842"/>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另册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36"/>
          <w:szCs w:val="36"/>
          <w:highlight w:val="none"/>
        </w:rPr>
        <w:br w:type="page"/>
      </w:r>
    </w:p>
    <w:p>
      <w:pPr>
        <w:pStyle w:val="2"/>
        <w:widowControl/>
        <w:numPr>
          <w:ilvl w:val="0"/>
          <w:numId w:val="3"/>
        </w:numPr>
        <w:wordWrap w:val="0"/>
        <w:spacing w:line="360" w:lineRule="auto"/>
        <w:jc w:val="center"/>
        <w:rPr>
          <w:rFonts w:hint="eastAsia" w:ascii="宋体" w:hAnsi="宋体" w:eastAsia="宋体" w:cs="宋体"/>
          <w:color w:val="auto"/>
          <w:sz w:val="36"/>
          <w:szCs w:val="36"/>
          <w:highlight w:val="none"/>
        </w:rPr>
      </w:pPr>
      <w:bookmarkStart w:id="346" w:name="_Toc3570"/>
      <w:r>
        <w:rPr>
          <w:rFonts w:hint="eastAsia" w:ascii="宋体" w:hAnsi="宋体" w:eastAsia="宋体" w:cs="宋体"/>
          <w:color w:val="auto"/>
          <w:sz w:val="36"/>
          <w:szCs w:val="36"/>
          <w:highlight w:val="none"/>
        </w:rPr>
        <w:t>发包人要求</w:t>
      </w:r>
      <w:bookmarkEnd w:id="345"/>
      <w:bookmarkEnd w:id="346"/>
    </w:p>
    <w:p>
      <w:pPr>
        <w:rPr>
          <w:rFonts w:hint="eastAsia"/>
          <w:color w:val="auto"/>
          <w:highlight w:val="none"/>
        </w:rPr>
      </w:pPr>
    </w:p>
    <w:p>
      <w:pPr>
        <w:jc w:val="center"/>
        <w:rPr>
          <w:rFonts w:hint="eastAsia"/>
          <w:color w:val="auto"/>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另册</w:t>
      </w:r>
      <w:r>
        <w:rPr>
          <w:rFonts w:hint="eastAsia" w:ascii="宋体" w:hAnsi="宋体" w:eastAsia="宋体" w:cs="宋体"/>
          <w:color w:val="auto"/>
          <w:sz w:val="28"/>
          <w:szCs w:val="28"/>
          <w:highlight w:val="none"/>
          <w:lang w:eastAsia="zh-CN"/>
        </w:rPr>
        <w:t>）</w:t>
      </w:r>
      <w:r>
        <w:rPr>
          <w:rFonts w:hint="eastAsia"/>
          <w:color w:val="auto"/>
          <w:highlight w:val="none"/>
        </w:rPr>
        <w:br w:type="page"/>
      </w:r>
    </w:p>
    <w:p>
      <w:pPr>
        <w:jc w:val="left"/>
        <w:rPr>
          <w:rFonts w:hint="eastAsia" w:ascii="宋体" w:hAnsi="宋体" w:eastAsia="宋体" w:cs="宋体"/>
          <w:b/>
          <w:bCs/>
          <w:color w:val="auto"/>
          <w:sz w:val="36"/>
          <w:szCs w:val="36"/>
          <w:highlight w:val="none"/>
        </w:rPr>
      </w:pPr>
    </w:p>
    <w:p>
      <w:pPr>
        <w:pStyle w:val="2"/>
        <w:widowControl/>
        <w:spacing w:line="240" w:lineRule="auto"/>
        <w:jc w:val="center"/>
        <w:rPr>
          <w:rFonts w:hint="eastAsia" w:ascii="宋体" w:hAnsi="宋体" w:eastAsia="宋体" w:cs="宋体"/>
          <w:color w:val="auto"/>
          <w:sz w:val="36"/>
          <w:szCs w:val="36"/>
          <w:highlight w:val="none"/>
        </w:rPr>
      </w:pPr>
      <w:bookmarkStart w:id="347" w:name="_Toc6545"/>
      <w:r>
        <w:rPr>
          <w:rFonts w:hint="eastAsia" w:ascii="宋体" w:hAnsi="宋体" w:eastAsia="宋体" w:cs="宋体"/>
          <w:color w:val="auto"/>
          <w:sz w:val="36"/>
          <w:szCs w:val="36"/>
          <w:highlight w:val="none"/>
        </w:rPr>
        <w:t>第六章 投标文件格式</w:t>
      </w:r>
      <w:bookmarkEnd w:id="347"/>
    </w:p>
    <w:p>
      <w:pPr>
        <w:wordWrap w:val="0"/>
        <w:adjustRightInd w:val="0"/>
        <w:snapToGrid w:val="0"/>
        <w:spacing w:line="360" w:lineRule="auto"/>
        <w:jc w:val="center"/>
        <w:outlineLvl w:val="1"/>
        <w:rPr>
          <w:rFonts w:hint="eastAsia" w:cs="宋体" w:asciiTheme="minorEastAsia" w:hAnsiTheme="minorEastAsia" w:eastAsiaTheme="minorEastAsia"/>
          <w:b/>
          <w:bCs/>
          <w:color w:val="auto"/>
          <w:sz w:val="28"/>
          <w:szCs w:val="28"/>
          <w:highlight w:val="none"/>
        </w:rPr>
      </w:pPr>
      <w:bookmarkStart w:id="348" w:name="_Toc30182"/>
      <w:r>
        <w:rPr>
          <w:rFonts w:hint="eastAsia" w:cs="宋体" w:asciiTheme="minorEastAsia" w:hAnsiTheme="minorEastAsia" w:eastAsiaTheme="minorEastAsia"/>
          <w:b/>
          <w:bCs/>
          <w:color w:val="auto"/>
          <w:sz w:val="28"/>
          <w:szCs w:val="28"/>
          <w:highlight w:val="none"/>
        </w:rPr>
        <w:t>投标人资格审查自查表</w:t>
      </w:r>
      <w:bookmarkEnd w:id="348"/>
    </w:p>
    <w:tbl>
      <w:tblPr>
        <w:tblStyle w:val="37"/>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861"/>
        <w:gridCol w:w="170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7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ordWrap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自查情况</w:t>
            </w:r>
          </w:p>
          <w:p>
            <w:pPr>
              <w:wordWrap w:val="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（满足/不满足）</w:t>
            </w:r>
          </w:p>
        </w:tc>
        <w:tc>
          <w:tcPr>
            <w:tcW w:w="1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ordWrap w:val="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实质性响应的内容所在位置（页码）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投标人参加投标的意思表达清楚，投标人代表被授权有效。</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autoSpaceDE w:val="0"/>
              <w:autoSpaceDN w:val="0"/>
              <w:adjustRightIn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bidi="ar"/>
              </w:rPr>
              <w:t>投标人拟委派</w:t>
            </w:r>
            <w:r>
              <w:rPr>
                <w:rFonts w:hint="eastAsia" w:ascii="宋体" w:hAnsi="宋体" w:eastAsia="宋体" w:cs="宋体"/>
                <w:color w:val="auto"/>
                <w:sz w:val="24"/>
                <w:highlight w:val="none"/>
                <w:lang w:val="en-US" w:eastAsia="zh-CN" w:bidi="ar"/>
              </w:rPr>
              <w:t>资质</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b/>
                <w:color w:val="auto"/>
                <w:sz w:val="24"/>
                <w:highlight w:val="none"/>
                <w:lang w:bidi="ar"/>
              </w:rPr>
            </w:pPr>
            <w:r>
              <w:rPr>
                <w:rFonts w:hint="eastAsia" w:ascii="宋体" w:hAnsi="宋体" w:eastAsia="宋体" w:cs="宋体"/>
                <w:color w:val="auto"/>
                <w:sz w:val="24"/>
                <w:highlight w:val="none"/>
                <w:lang w:bidi="ar"/>
              </w:rPr>
              <w:t>投标人拟委派人员</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投标人的</w:t>
            </w:r>
            <w:r>
              <w:rPr>
                <w:rFonts w:hint="eastAsia" w:ascii="宋体" w:hAnsi="宋体" w:eastAsia="宋体" w:cs="宋体"/>
                <w:color w:val="auto"/>
                <w:sz w:val="24"/>
                <w:highlight w:val="none"/>
                <w:lang w:val="en-US" w:eastAsia="zh-CN"/>
              </w:rPr>
              <w:t>业绩</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第二章“投标人须知”第1.4.1项规定</w:t>
            </w:r>
            <w:r>
              <w:rPr>
                <w:rFonts w:hint="eastAsia" w:ascii="宋体" w:hAnsi="宋体" w:eastAsia="宋体" w:cs="宋体"/>
                <w:color w:val="auto"/>
                <w:sz w:val="24"/>
                <w:highlight w:val="none"/>
                <w:lang w:eastAsia="zh-CN"/>
              </w:rPr>
              <w:t>。</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投标人已按第六章投标文件格式6的内容和格式签署盖章投标人声明。</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lang w:val="en-US" w:eastAsia="zh-CN"/>
              </w:rPr>
              <w:t>8</w:t>
            </w:r>
          </w:p>
        </w:tc>
        <w:tc>
          <w:tcPr>
            <w:tcW w:w="5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720"/>
              </w:tabs>
              <w:wordWrap w:val="0"/>
              <w:autoSpaceDE w:val="0"/>
              <w:autoSpaceDN w:val="0"/>
              <w:adjustRightInd w:val="0"/>
              <w:snapToGrid w:val="0"/>
              <w:spacing w:before="20" w:after="20"/>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本次招标接受联合体投标。</w:t>
            </w:r>
            <w:r>
              <w:rPr>
                <w:rFonts w:hint="eastAsia" w:ascii="宋体" w:hAnsi="宋体" w:eastAsia="宋体" w:cs="宋体"/>
                <w:color w:val="auto"/>
                <w:sz w:val="24"/>
                <w:highlight w:val="none"/>
                <w:lang w:val="en-US" w:eastAsia="zh-CN" w:bidi="ar"/>
              </w:rPr>
              <w:t>联合体</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第二章“投标人须知”第1.4.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项规定</w:t>
            </w:r>
            <w:r>
              <w:rPr>
                <w:rFonts w:hint="eastAsia" w:ascii="宋体" w:hAnsi="宋体" w:eastAsia="宋体" w:cs="宋体"/>
                <w:color w:val="auto"/>
                <w:sz w:val="24"/>
                <w:highlight w:val="none"/>
                <w:lang w:eastAsia="zh-CN"/>
              </w:rPr>
              <w:t>。</w:t>
            </w:r>
          </w:p>
        </w:tc>
        <w:tc>
          <w:tcPr>
            <w:tcW w:w="1704"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c>
          <w:tcPr>
            <w:tcW w:w="1762"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720"/>
              </w:tabs>
              <w:wordWrap w:val="0"/>
              <w:autoSpaceDE w:val="0"/>
              <w:autoSpaceDN w:val="0"/>
              <w:adjustRightInd w:val="0"/>
              <w:snapToGrid w:val="0"/>
              <w:jc w:val="left"/>
              <w:rPr>
                <w:rFonts w:hint="eastAsia" w:ascii="宋体" w:hAnsi="宋体" w:eastAsia="宋体" w:cs="宋体"/>
                <w:color w:val="auto"/>
                <w:kern w:val="0"/>
                <w:sz w:val="24"/>
                <w:highlight w:val="none"/>
              </w:rPr>
            </w:pPr>
          </w:p>
        </w:tc>
      </w:tr>
    </w:tbl>
    <w:p>
      <w:pPr>
        <w:widowControl/>
        <w:wordWrap w:val="0"/>
        <w:spacing w:line="360" w:lineRule="auto"/>
        <w:jc w:val="left"/>
        <w:rPr>
          <w:rFonts w:hint="eastAsia" w:ascii="宋体" w:hAnsi="宋体" w:eastAsia="宋体" w:cs="宋体"/>
          <w:b/>
          <w:bCs/>
          <w:color w:val="auto"/>
          <w:sz w:val="24"/>
          <w:highlight w:val="none"/>
        </w:rPr>
      </w:pPr>
    </w:p>
    <w:p>
      <w:pPr>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pPr>
        <w:wordWrap w:val="0"/>
        <w:adjustRightInd w:val="0"/>
        <w:snapToGrid w:val="0"/>
        <w:spacing w:line="360" w:lineRule="auto"/>
        <w:jc w:val="center"/>
        <w:outlineLvl w:val="1"/>
        <w:rPr>
          <w:rFonts w:hint="eastAsia" w:cs="宋体" w:asciiTheme="minorEastAsia" w:hAnsiTheme="minorEastAsia" w:eastAsiaTheme="minorEastAsia"/>
          <w:b/>
          <w:bCs/>
          <w:color w:val="auto"/>
          <w:sz w:val="28"/>
          <w:szCs w:val="28"/>
          <w:highlight w:val="none"/>
        </w:rPr>
      </w:pPr>
      <w:bookmarkStart w:id="349" w:name="_Toc22014"/>
      <w:bookmarkStart w:id="350" w:name="_Toc62725832"/>
      <w:bookmarkStart w:id="351" w:name="_Toc20555"/>
      <w:bookmarkStart w:id="352" w:name="_Toc18215"/>
      <w:bookmarkStart w:id="353" w:name="_Toc49436742"/>
      <w:bookmarkStart w:id="354" w:name="_Toc45640844"/>
      <w:bookmarkStart w:id="355" w:name="_Toc31215"/>
      <w:bookmarkStart w:id="356" w:name="_Toc20916"/>
      <w:bookmarkStart w:id="357" w:name="_Toc16571"/>
      <w:bookmarkStart w:id="358" w:name="_Toc28143"/>
      <w:bookmarkStart w:id="359" w:name="_Toc16242"/>
      <w:r>
        <w:rPr>
          <w:rFonts w:hint="eastAsia" w:cs="宋体" w:asciiTheme="minorEastAsia" w:hAnsiTheme="minorEastAsia" w:eastAsiaTheme="minorEastAsia"/>
          <w:b/>
          <w:bCs/>
          <w:color w:val="auto"/>
          <w:sz w:val="28"/>
          <w:szCs w:val="28"/>
          <w:highlight w:val="none"/>
        </w:rPr>
        <w:t>商务、技术标有效性审查自查表</w:t>
      </w:r>
      <w:bookmarkEnd w:id="349"/>
      <w:bookmarkEnd w:id="350"/>
      <w:bookmarkEnd w:id="351"/>
      <w:bookmarkEnd w:id="352"/>
      <w:bookmarkEnd w:id="353"/>
      <w:bookmarkEnd w:id="354"/>
      <w:bookmarkEnd w:id="355"/>
      <w:bookmarkEnd w:id="356"/>
      <w:bookmarkEnd w:id="357"/>
      <w:bookmarkEnd w:id="358"/>
      <w:bookmarkEnd w:id="359"/>
    </w:p>
    <w:tbl>
      <w:tblPr>
        <w:tblStyle w:val="37"/>
        <w:tblW w:w="9386"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5368"/>
        <w:gridCol w:w="180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序号</w:t>
            </w:r>
          </w:p>
        </w:tc>
        <w:tc>
          <w:tcPr>
            <w:tcW w:w="5368" w:type="dxa"/>
            <w:vAlign w:val="center"/>
          </w:tcPr>
          <w:p>
            <w:pPr>
              <w:widowControl/>
              <w:wordWrap w:val="0"/>
              <w:autoSpaceDE w:val="0"/>
              <w:autoSpaceDN w:val="0"/>
              <w:adjustRightInd w:val="0"/>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审查内容</w:t>
            </w:r>
          </w:p>
        </w:tc>
        <w:tc>
          <w:tcPr>
            <w:tcW w:w="1806" w:type="dxa"/>
            <w:vAlign w:val="center"/>
          </w:tcPr>
          <w:p>
            <w:pPr>
              <w:wordWrap w:val="0"/>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自查情况</w:t>
            </w:r>
          </w:p>
          <w:p>
            <w:pPr>
              <w:wordWrap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（满足/不满足）</w:t>
            </w:r>
          </w:p>
        </w:tc>
        <w:tc>
          <w:tcPr>
            <w:tcW w:w="1568" w:type="dxa"/>
            <w:vAlign w:val="center"/>
          </w:tcPr>
          <w:p>
            <w:pPr>
              <w:wordWrap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实质性响应的内容所在位置（页码）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5368"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按招标文件要求提供法定代表人证明书，如投标文件为委托代理人签署应同时附上法定代表人证明书和法定代表人授权委托书。法定代表人证明书和法定代表人授权委托书的签署和盖章符合第六章投标文件格式3和格式4要求。</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2</w:t>
            </w:r>
          </w:p>
        </w:tc>
        <w:tc>
          <w:tcPr>
            <w:tcW w:w="5368"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投标有效期满足招标文件要求；</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3</w:t>
            </w:r>
          </w:p>
        </w:tc>
        <w:tc>
          <w:tcPr>
            <w:tcW w:w="5368"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投标文件不存在：未按规定的格式填写，或主要内容不全，或关键字迹模糊、无法辨认的；</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4</w:t>
            </w:r>
          </w:p>
        </w:tc>
        <w:tc>
          <w:tcPr>
            <w:tcW w:w="5368"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按招标文件要求缴纳投标保证金；</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5</w:t>
            </w:r>
          </w:p>
        </w:tc>
        <w:tc>
          <w:tcPr>
            <w:tcW w:w="5368"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投标人不存在串通投标情形（串通投标情形以《中华人民共和国招标投标法实施条例》的规定为准）；</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6</w:t>
            </w:r>
          </w:p>
        </w:tc>
        <w:tc>
          <w:tcPr>
            <w:tcW w:w="5368" w:type="dxa"/>
            <w:vAlign w:val="center"/>
          </w:tcPr>
          <w:p>
            <w:pPr>
              <w:wordWrap w:val="0"/>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无其他招标文件或法规明确规定可以废标的其他情形。</w:t>
            </w:r>
          </w:p>
        </w:tc>
        <w:tc>
          <w:tcPr>
            <w:tcW w:w="1806"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6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bl>
    <w:p>
      <w:pPr>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pPr>
        <w:wordWrap w:val="0"/>
        <w:adjustRightInd w:val="0"/>
        <w:snapToGrid w:val="0"/>
        <w:spacing w:line="360" w:lineRule="auto"/>
        <w:jc w:val="center"/>
        <w:outlineLvl w:val="1"/>
        <w:rPr>
          <w:rFonts w:hint="eastAsia" w:cs="宋体" w:asciiTheme="minorEastAsia" w:hAnsiTheme="minorEastAsia" w:eastAsiaTheme="minorEastAsia"/>
          <w:b/>
          <w:bCs/>
          <w:color w:val="auto"/>
          <w:sz w:val="28"/>
          <w:szCs w:val="28"/>
          <w:highlight w:val="none"/>
        </w:rPr>
      </w:pPr>
      <w:bookmarkStart w:id="360" w:name="_Toc25696"/>
      <w:bookmarkStart w:id="361" w:name="_Toc31559"/>
      <w:bookmarkStart w:id="362" w:name="_Toc62725833"/>
      <w:bookmarkStart w:id="363" w:name="_Toc49436743"/>
      <w:bookmarkStart w:id="364" w:name="_Toc12975"/>
      <w:bookmarkStart w:id="365" w:name="_Toc7876"/>
      <w:bookmarkStart w:id="366" w:name="_Toc26448"/>
      <w:bookmarkStart w:id="367" w:name="_Toc16821"/>
      <w:bookmarkStart w:id="368" w:name="_Toc23212"/>
      <w:bookmarkStart w:id="369" w:name="_Toc9472"/>
      <w:bookmarkStart w:id="370" w:name="_Toc45640845"/>
      <w:r>
        <w:rPr>
          <w:rFonts w:hint="eastAsia" w:cs="宋体" w:asciiTheme="minorEastAsia" w:hAnsiTheme="minorEastAsia" w:eastAsiaTheme="minorEastAsia"/>
          <w:b/>
          <w:bCs/>
          <w:color w:val="auto"/>
          <w:sz w:val="28"/>
          <w:szCs w:val="28"/>
          <w:highlight w:val="none"/>
        </w:rPr>
        <w:t>经济标有效性审查自查表</w:t>
      </w:r>
      <w:bookmarkEnd w:id="360"/>
      <w:bookmarkEnd w:id="361"/>
      <w:bookmarkEnd w:id="362"/>
      <w:bookmarkEnd w:id="363"/>
      <w:bookmarkEnd w:id="364"/>
      <w:bookmarkEnd w:id="365"/>
      <w:bookmarkEnd w:id="366"/>
      <w:bookmarkEnd w:id="367"/>
      <w:bookmarkEnd w:id="368"/>
      <w:bookmarkEnd w:id="369"/>
      <w:bookmarkEnd w:id="370"/>
    </w:p>
    <w:tbl>
      <w:tblPr>
        <w:tblStyle w:val="37"/>
        <w:tblW w:w="922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262"/>
        <w:gridCol w:w="172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序号</w:t>
            </w:r>
          </w:p>
        </w:tc>
        <w:tc>
          <w:tcPr>
            <w:tcW w:w="5262" w:type="dxa"/>
            <w:vAlign w:val="center"/>
          </w:tcPr>
          <w:p>
            <w:pPr>
              <w:widowControl/>
              <w:wordWrap w:val="0"/>
              <w:autoSpaceDE w:val="0"/>
              <w:autoSpaceDN w:val="0"/>
              <w:adjustRightInd w:val="0"/>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审查内容</w:t>
            </w:r>
          </w:p>
        </w:tc>
        <w:tc>
          <w:tcPr>
            <w:tcW w:w="1728" w:type="dxa"/>
            <w:vAlign w:val="center"/>
          </w:tcPr>
          <w:p>
            <w:pPr>
              <w:wordWrap w:val="0"/>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自查情况</w:t>
            </w:r>
          </w:p>
          <w:p>
            <w:pPr>
              <w:wordWrap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（满足/不满足）</w:t>
            </w:r>
          </w:p>
        </w:tc>
        <w:tc>
          <w:tcPr>
            <w:tcW w:w="1578" w:type="dxa"/>
            <w:vAlign w:val="center"/>
          </w:tcPr>
          <w:p>
            <w:pPr>
              <w:wordWrap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实质性响应的内容所在位置（页码）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没有出现对本次招标提交了两份或两份以上内容不同的投标文件或报价，且未明确哪份投标文件或报价有效情况；</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投标报价没有高于</w:t>
            </w:r>
            <w:r>
              <w:rPr>
                <w:rFonts w:hint="eastAsia" w:cs="宋体" w:asciiTheme="minorEastAsia" w:hAnsiTheme="minorEastAsia" w:eastAsiaTheme="minorEastAsia"/>
                <w:color w:val="auto"/>
                <w:sz w:val="24"/>
                <w:highlight w:val="none"/>
              </w:rPr>
              <w:t>最高投标限价；</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投标报价没有低于企业成本（评标委员会认为投标人的报价明显低于其他通过有效性审查投标人的报价，又不能合理说明或者不能提供相关证明材料，评标委员会可认定该投标人低于成本报价的）；</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sz w:val="24"/>
                <w:highlight w:val="none"/>
              </w:rPr>
              <w:t>投标文件中未提交可变动价格，且无任何包含价格调整要求；</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投标文件不存在：未按规定的格式填写，或主要内容不全，或关键字迹模糊、无法辨认的；</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9" w:type="dxa"/>
            <w:vAlign w:val="center"/>
          </w:tcPr>
          <w:p>
            <w:pPr>
              <w:tabs>
                <w:tab w:val="left" w:pos="720"/>
              </w:tabs>
              <w:wordWrap w:val="0"/>
              <w:autoSpaceDE w:val="0"/>
              <w:autoSpaceDN w:val="0"/>
              <w:adjustRightInd w:val="0"/>
              <w:snapToGrid w:val="0"/>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w:t>
            </w:r>
          </w:p>
        </w:tc>
        <w:tc>
          <w:tcPr>
            <w:tcW w:w="5262" w:type="dxa"/>
            <w:vAlign w:val="center"/>
          </w:tcPr>
          <w:p>
            <w:pPr>
              <w:widowControl/>
              <w:wordWrap w:val="0"/>
              <w:autoSpaceDE w:val="0"/>
              <w:autoSpaceDN w:val="0"/>
              <w:adjustRightInd w:val="0"/>
              <w:spacing w:line="276" w:lineRule="auto"/>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不存在与其他投标人串通投标情形（串通投标情形以《中华人民共和国招标投标法实施条例》的规定为准）。</w:t>
            </w:r>
          </w:p>
        </w:tc>
        <w:tc>
          <w:tcPr>
            <w:tcW w:w="172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c>
          <w:tcPr>
            <w:tcW w:w="1578" w:type="dxa"/>
          </w:tcPr>
          <w:p>
            <w:pPr>
              <w:tabs>
                <w:tab w:val="left" w:pos="720"/>
              </w:tabs>
              <w:wordWrap w:val="0"/>
              <w:autoSpaceDE w:val="0"/>
              <w:autoSpaceDN w:val="0"/>
              <w:adjustRightInd w:val="0"/>
              <w:snapToGrid w:val="0"/>
              <w:jc w:val="left"/>
              <w:rPr>
                <w:rFonts w:hint="eastAsia" w:cs="宋体" w:asciiTheme="minorEastAsia" w:hAnsiTheme="minorEastAsia" w:eastAsiaTheme="minorEastAsia"/>
                <w:color w:val="auto"/>
                <w:kern w:val="0"/>
                <w:sz w:val="24"/>
                <w:highlight w:val="none"/>
              </w:rPr>
            </w:pPr>
          </w:p>
        </w:tc>
      </w:tr>
    </w:tbl>
    <w:p>
      <w:pPr>
        <w:pStyle w:val="36"/>
        <w:wordWrap w:val="0"/>
        <w:rPr>
          <w:rFonts w:hint="eastAsia" w:cs="宋体" w:asciiTheme="minorEastAsia" w:hAnsiTheme="minorEastAsia" w:eastAsiaTheme="minorEastAsia"/>
          <w:color w:val="auto"/>
          <w:highlight w:val="none"/>
        </w:rPr>
        <w:sectPr>
          <w:headerReference r:id="rId9" w:type="default"/>
          <w:footerReference r:id="rId10" w:type="default"/>
          <w:pgSz w:w="11905" w:h="16838"/>
          <w:pgMar w:top="1304" w:right="1417" w:bottom="1304" w:left="1417" w:header="850" w:footer="992" w:gutter="0"/>
          <w:cols w:space="0" w:num="1"/>
          <w:docGrid w:linePitch="319" w:charSpace="0"/>
        </w:sectPr>
      </w:pPr>
      <w:bookmarkStart w:id="371" w:name="_Toc10419"/>
      <w:bookmarkStart w:id="372" w:name="_Toc771"/>
      <w:bookmarkStart w:id="373" w:name="_Toc27130"/>
      <w:bookmarkStart w:id="374" w:name="_Toc49436744"/>
      <w:bookmarkStart w:id="375" w:name="_Toc19204333"/>
      <w:bookmarkStart w:id="376" w:name="_Toc2071"/>
      <w:bookmarkStart w:id="377" w:name="_Toc17234"/>
      <w:bookmarkStart w:id="378" w:name="_Toc62725834"/>
      <w:bookmarkStart w:id="379" w:name="_Toc17964"/>
      <w:bookmarkStart w:id="380" w:name="_Toc3791"/>
      <w:bookmarkStart w:id="381" w:name="_Toc45640846"/>
      <w:bookmarkStart w:id="382" w:name="_Toc19020"/>
    </w:p>
    <w:p>
      <w:pPr>
        <w:pStyle w:val="3"/>
        <w:wordWrap w:val="0"/>
        <w:spacing w:before="0" w:after="0" w:line="360" w:lineRule="auto"/>
        <w:jc w:val="center"/>
        <w:rPr>
          <w:rFonts w:hint="eastAsia" w:cs="宋体" w:asciiTheme="minorEastAsia" w:hAnsiTheme="minorEastAsia" w:eastAsiaTheme="minorEastAsia"/>
          <w:color w:val="auto"/>
          <w:sz w:val="24"/>
          <w:highlight w:val="none"/>
        </w:rPr>
      </w:pPr>
      <w:bookmarkStart w:id="383" w:name="_Toc32552"/>
      <w:r>
        <w:rPr>
          <w:rFonts w:hint="eastAsia" w:cs="宋体" w:asciiTheme="minorEastAsia" w:hAnsiTheme="minorEastAsia" w:eastAsiaTheme="minorEastAsia"/>
          <w:color w:val="auto"/>
          <w:highlight w:val="none"/>
        </w:rPr>
        <w:t>一、商务标投标文件格式</w:t>
      </w:r>
      <w:bookmarkEnd w:id="371"/>
      <w:bookmarkEnd w:id="372"/>
      <w:bookmarkEnd w:id="373"/>
      <w:bookmarkEnd w:id="374"/>
      <w:bookmarkEnd w:id="375"/>
      <w:bookmarkEnd w:id="376"/>
      <w:bookmarkEnd w:id="377"/>
      <w:bookmarkEnd w:id="378"/>
      <w:bookmarkEnd w:id="379"/>
      <w:bookmarkEnd w:id="380"/>
      <w:bookmarkEnd w:id="381"/>
      <w:bookmarkEnd w:id="382"/>
      <w:bookmarkEnd w:id="383"/>
    </w:p>
    <w:p>
      <w:pPr>
        <w:rPr>
          <w:rFonts w:hint="eastAsia" w:cs="宋体" w:asciiTheme="minorEastAsia" w:hAnsiTheme="minorEastAsia" w:eastAsiaTheme="minorEastAsia"/>
          <w:color w:val="auto"/>
          <w:sz w:val="24"/>
          <w:highlight w:val="none"/>
        </w:rPr>
      </w:pPr>
      <w:bookmarkStart w:id="384" w:name="_Toc318924493"/>
      <w:bookmarkStart w:id="385" w:name="_Toc16471"/>
      <w:bookmarkStart w:id="386" w:name="_Toc6284"/>
      <w:bookmarkStart w:id="387" w:name="_Toc62725835"/>
      <w:bookmarkStart w:id="388" w:name="_Toc30778"/>
      <w:bookmarkStart w:id="389" w:name="_Toc239311744"/>
      <w:bookmarkStart w:id="390" w:name="_Toc14954"/>
      <w:bookmarkStart w:id="391" w:name="_Toc6686"/>
      <w:bookmarkStart w:id="392" w:name="_Toc49436745"/>
      <w:bookmarkStart w:id="393" w:name="_Toc45640847"/>
      <w:bookmarkStart w:id="394" w:name="_Toc226209001"/>
      <w:bookmarkStart w:id="395" w:name="_Toc423593514"/>
      <w:bookmarkStart w:id="396" w:name="_Toc163337618"/>
      <w:bookmarkStart w:id="397" w:name="_Toc471463754"/>
      <w:bookmarkStart w:id="398" w:name="_Toc32284"/>
      <w:bookmarkStart w:id="399" w:name="_Toc422481184"/>
      <w:bookmarkStart w:id="400" w:name="_Toc471411955"/>
      <w:bookmarkStart w:id="401" w:name="_Toc239216029"/>
      <w:bookmarkStart w:id="402" w:name="_Toc337720089"/>
      <w:bookmarkStart w:id="403" w:name="_Toc21210"/>
      <w:bookmarkStart w:id="404" w:name="_Toc6989"/>
      <w:bookmarkStart w:id="405" w:name="_Toc19204334"/>
      <w:bookmarkStart w:id="406" w:name="_Toc423602840"/>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sz w:val="24"/>
          <w:highlight w:val="none"/>
        </w:rPr>
      </w:pPr>
    </w:p>
    <w:p>
      <w:pPr>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格式1：商务标封面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rPr>
          <w:rFonts w:hint="eastAsia" w:cs="宋体" w:asciiTheme="minorEastAsia" w:hAnsiTheme="minorEastAsia" w:eastAsiaTheme="minorEastAsia"/>
          <w:color w:val="auto"/>
          <w:sz w:val="30"/>
          <w:szCs w:val="30"/>
          <w:highlight w:val="none"/>
          <w:u w:val="single"/>
        </w:rPr>
      </w:pPr>
    </w:p>
    <w:p>
      <w:pPr>
        <w:pStyle w:val="99"/>
        <w:wordWrap w:val="0"/>
        <w:ind w:firstLine="0" w:firstLineChars="0"/>
        <w:jc w:val="center"/>
        <w:rPr>
          <w:rFonts w:hint="default" w:cs="宋体" w:asciiTheme="minorEastAsia" w:hAnsiTheme="minorEastAsia" w:eastAsiaTheme="minorEastAsia"/>
          <w:color w:val="auto"/>
          <w:sz w:val="30"/>
          <w:szCs w:val="30"/>
          <w:highlight w:val="none"/>
          <w:u w:val="single"/>
          <w:lang w:val="en-US" w:eastAsia="zh-CN"/>
        </w:rPr>
      </w:pPr>
      <w:r>
        <w:rPr>
          <w:rFonts w:hint="eastAsia" w:cs="宋体" w:asciiTheme="minorEastAsia" w:hAnsiTheme="minorEastAsia" w:eastAsiaTheme="minorEastAsia"/>
          <w:b/>
          <w:bCs/>
          <w:color w:val="auto"/>
          <w:spacing w:val="0"/>
          <w:sz w:val="48"/>
          <w:szCs w:val="48"/>
          <w:highlight w:val="none"/>
          <w:u w:val="single"/>
        </w:rPr>
        <w:t xml:space="preserve"> </w:t>
      </w:r>
      <w:r>
        <w:rPr>
          <w:rFonts w:hint="eastAsia" w:cs="宋体" w:asciiTheme="minorEastAsia" w:hAnsiTheme="minorEastAsia" w:eastAsiaTheme="minorEastAsia"/>
          <w:b/>
          <w:bCs/>
          <w:color w:val="auto"/>
          <w:spacing w:val="0"/>
          <w:sz w:val="48"/>
          <w:szCs w:val="48"/>
          <w:highlight w:val="none"/>
          <w:u w:val="single"/>
          <w:lang w:eastAsia="zh-CN"/>
        </w:rPr>
        <w:t>广州水投集团“水务+光伏”一体化节能改造项目（10.78兆瓦分布式光伏发电项目）设计-采购-施工总承包（EPC）（第二标段）</w:t>
      </w:r>
    </w:p>
    <w:p>
      <w:pPr>
        <w:pStyle w:val="137"/>
        <w:wordWrap w:val="0"/>
        <w:rPr>
          <w:rFonts w:hint="eastAsia" w:cs="宋体" w:asciiTheme="minorEastAsia" w:hAnsiTheme="minorEastAsia" w:eastAsiaTheme="minorEastAsia"/>
          <w:b w:val="0"/>
          <w:color w:val="auto"/>
          <w:highlight w:val="none"/>
          <w:u w:val="single"/>
        </w:rPr>
      </w:pPr>
      <w:r>
        <w:rPr>
          <w:rFonts w:hint="eastAsia" w:cs="宋体" w:asciiTheme="minorEastAsia" w:hAnsiTheme="minorEastAsia" w:eastAsiaTheme="minorEastAsia"/>
          <w:b w:val="0"/>
          <w:color w:val="auto"/>
          <w:highlight w:val="none"/>
        </w:rPr>
        <w:t>投标文件</w:t>
      </w:r>
    </w:p>
    <w:p>
      <w:pPr>
        <w:pStyle w:val="99"/>
        <w:wordWrap w:val="0"/>
        <w:ind w:firstLine="496"/>
        <w:rPr>
          <w:rFonts w:hint="eastAsia" w:cs="宋体" w:asciiTheme="minorEastAsia" w:hAnsiTheme="minorEastAsia" w:eastAsiaTheme="minorEastAsia"/>
          <w:color w:val="auto"/>
          <w:highlight w:val="none"/>
        </w:rPr>
      </w:pPr>
    </w:p>
    <w:p>
      <w:pPr>
        <w:pStyle w:val="138"/>
        <w:wordWrap w:val="0"/>
        <w:rPr>
          <w:rFonts w:hint="eastAsia" w:cs="宋体" w:asciiTheme="minorEastAsia" w:hAnsiTheme="minorEastAsia" w:eastAsiaTheme="minorEastAsia"/>
          <w:b w:val="0"/>
          <w:color w:val="auto"/>
          <w:highlight w:val="none"/>
        </w:rPr>
      </w:pPr>
      <w:r>
        <w:rPr>
          <w:rFonts w:hint="eastAsia" w:cs="宋体" w:asciiTheme="minorEastAsia" w:hAnsiTheme="minorEastAsia" w:eastAsiaTheme="minorEastAsia"/>
          <w:b w:val="0"/>
          <w:color w:val="auto"/>
          <w:highlight w:val="none"/>
        </w:rPr>
        <w:t>第一部分  商务标书</w:t>
      </w:r>
    </w:p>
    <w:p>
      <w:pPr>
        <w:pStyle w:val="138"/>
        <w:wordWrap w:val="0"/>
        <w:rPr>
          <w:rFonts w:hint="eastAsia" w:cs="宋体" w:asciiTheme="minorEastAsia" w:hAnsiTheme="minorEastAsia" w:eastAsiaTheme="minorEastAsia"/>
          <w:b w:val="0"/>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139"/>
        <w:wordWrap w:val="0"/>
        <w:ind w:firstLine="578"/>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投标人：</w:t>
      </w:r>
      <w:r>
        <w:rPr>
          <w:rFonts w:hint="eastAsia" w:cs="宋体" w:asciiTheme="minorEastAsia" w:hAnsiTheme="minorEastAsia" w:eastAsiaTheme="minorEastAsia"/>
          <w:b/>
          <w:color w:val="auto"/>
          <w:sz w:val="28"/>
          <w:szCs w:val="28"/>
          <w:highlight w:val="none"/>
          <w:u w:val="single"/>
        </w:rPr>
        <w:t xml:space="preserve">                       </w:t>
      </w:r>
      <w:r>
        <w:rPr>
          <w:rFonts w:hint="eastAsia" w:cs="宋体" w:asciiTheme="minorEastAsia" w:hAnsiTheme="minorEastAsia" w:eastAsiaTheme="minorEastAsia"/>
          <w:b/>
          <w:color w:val="auto"/>
          <w:sz w:val="28"/>
          <w:szCs w:val="28"/>
          <w:highlight w:val="none"/>
        </w:rPr>
        <w:t>（加盖公章）</w:t>
      </w:r>
    </w:p>
    <w:p>
      <w:pPr>
        <w:wordWrap w:val="0"/>
        <w:spacing w:line="480" w:lineRule="auto"/>
        <w:ind w:firstLine="562" w:firstLineChars="200"/>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法定代表人或其委托代理人：</w:t>
      </w:r>
      <w:r>
        <w:rPr>
          <w:rFonts w:hint="eastAsia" w:cs="宋体" w:asciiTheme="minorEastAsia" w:hAnsiTheme="minorEastAsia" w:eastAsiaTheme="minorEastAsia"/>
          <w:b/>
          <w:color w:val="auto"/>
          <w:sz w:val="28"/>
          <w:szCs w:val="28"/>
          <w:highlight w:val="none"/>
          <w:u w:val="single"/>
        </w:rPr>
        <w:t xml:space="preserve">             </w:t>
      </w:r>
      <w:r>
        <w:rPr>
          <w:rFonts w:hint="eastAsia" w:cs="宋体" w:asciiTheme="minorEastAsia" w:hAnsiTheme="minorEastAsia" w:eastAsiaTheme="minorEastAsia"/>
          <w:b/>
          <w:color w:val="auto"/>
          <w:sz w:val="28"/>
          <w:szCs w:val="28"/>
          <w:highlight w:val="none"/>
        </w:rPr>
        <w:t>（签字或盖章）</w:t>
      </w:r>
    </w:p>
    <w:p>
      <w:pPr>
        <w:pStyle w:val="139"/>
        <w:wordWrap w:val="0"/>
        <w:ind w:firstLine="578"/>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日  期：</w:t>
      </w:r>
    </w:p>
    <w:p>
      <w:pPr>
        <w:widowControl/>
        <w:jc w:val="left"/>
        <w:rPr>
          <w:rFonts w:hint="eastAsia" w:cs="宋体" w:asciiTheme="minorEastAsia" w:hAnsiTheme="minorEastAsia" w:eastAsiaTheme="minorEastAsia"/>
          <w:snapToGrid w:val="0"/>
          <w:color w:val="auto"/>
          <w:spacing w:val="4"/>
          <w:kern w:val="0"/>
          <w:sz w:val="28"/>
          <w:szCs w:val="28"/>
          <w:highlight w:val="none"/>
        </w:rPr>
      </w:pPr>
      <w:r>
        <w:rPr>
          <w:rFonts w:cs="宋体" w:asciiTheme="minorEastAsia" w:hAnsiTheme="minorEastAsia" w:eastAsiaTheme="minorEastAsia"/>
          <w:color w:val="auto"/>
          <w:sz w:val="28"/>
          <w:szCs w:val="28"/>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highlight w:val="none"/>
        </w:rPr>
      </w:pPr>
      <w:bookmarkStart w:id="407" w:name="_Toc3618"/>
      <w:bookmarkStart w:id="408" w:name="_Toc471411956"/>
      <w:bookmarkStart w:id="409" w:name="_Toc2030"/>
      <w:bookmarkStart w:id="410" w:name="_Toc49436746"/>
      <w:bookmarkStart w:id="411" w:name="_Toc26387"/>
      <w:bookmarkStart w:id="412" w:name="_Toc62725836"/>
      <w:bookmarkStart w:id="413" w:name="_Toc45640848"/>
      <w:bookmarkStart w:id="414" w:name="_Toc10320"/>
      <w:bookmarkStart w:id="415" w:name="_Toc25544"/>
      <w:bookmarkStart w:id="416" w:name="_Toc423593515"/>
      <w:bookmarkStart w:id="417" w:name="_Toc471463755"/>
      <w:bookmarkStart w:id="418" w:name="_Toc17758"/>
      <w:bookmarkStart w:id="419" w:name="_Toc19204335"/>
      <w:bookmarkStart w:id="420" w:name="_Toc11393"/>
      <w:bookmarkStart w:id="421" w:name="_Toc422481185"/>
      <w:bookmarkStart w:id="422" w:name="_Toc4810"/>
      <w:bookmarkStart w:id="423" w:name="_Toc423602841"/>
      <w:r>
        <w:rPr>
          <w:rFonts w:hint="eastAsia" w:cs="宋体" w:asciiTheme="minorEastAsia" w:hAnsiTheme="minorEastAsia" w:eastAsiaTheme="minorEastAsia"/>
          <w:color w:val="auto"/>
          <w:sz w:val="24"/>
          <w:highlight w:val="none"/>
        </w:rPr>
        <w:t>格式2：投标函格式</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投标函</w:t>
      </w:r>
    </w:p>
    <w:p>
      <w:pPr>
        <w:wordWrap w:val="0"/>
        <w:adjustRightInd w:val="0"/>
        <w:snapToGrid w:val="0"/>
        <w:spacing w:line="400" w:lineRule="exac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color w:val="auto"/>
          <w:sz w:val="24"/>
          <w:highlight w:val="none"/>
          <w:u w:val="single"/>
        </w:rPr>
        <w:t xml:space="preserve">           有限公司</w:t>
      </w:r>
    </w:p>
    <w:p>
      <w:pPr>
        <w:wordWrap w:val="0"/>
        <w:adjustRightInd w:val="0"/>
        <w:snapToGrid w:val="0"/>
        <w:spacing w:line="4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我方收到贵单位提供的项目编号为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hint="eastAsia" w:cs="宋体" w:asciiTheme="minorEastAsia" w:hAnsiTheme="minorEastAsia" w:eastAsiaTheme="minorEastAsia"/>
          <w:color w:val="auto"/>
          <w:sz w:val="24"/>
          <w:highlight w:val="none"/>
          <w:u w:val="single"/>
          <w:lang w:eastAsia="zh-CN"/>
        </w:rPr>
        <w:t>广州水投集团“水务+光伏”一体化节能改造项目（10.78兆瓦分布式光伏发电项目）设计-采购-施工总承包（EPC）（第二标段）</w:t>
      </w:r>
      <w:r>
        <w:rPr>
          <w:rFonts w:hint="eastAsia" w:cs="宋体" w:asciiTheme="minorEastAsia" w:hAnsiTheme="minorEastAsia" w:eastAsiaTheme="minorEastAsia"/>
          <w:color w:val="auto"/>
          <w:sz w:val="24"/>
          <w:highlight w:val="none"/>
        </w:rPr>
        <w:t>招标文件的全部内容，我方：</w:t>
      </w:r>
      <w:r>
        <w:rPr>
          <w:rFonts w:hint="eastAsia" w:cs="宋体" w:asciiTheme="minorEastAsia" w:hAnsiTheme="minorEastAsia" w:eastAsiaTheme="minorEastAsia"/>
          <w:color w:val="auto"/>
          <w:sz w:val="24"/>
          <w:highlight w:val="none"/>
          <w:u w:val="single"/>
        </w:rPr>
        <w:t>（投标人名称）</w:t>
      </w:r>
      <w:r>
        <w:rPr>
          <w:rFonts w:hint="eastAsia" w:cs="宋体" w:asciiTheme="minorEastAsia" w:hAnsiTheme="minorEastAsia" w:eastAsiaTheme="minorEastAsia"/>
          <w:color w:val="auto"/>
          <w:sz w:val="24"/>
          <w:highlight w:val="none"/>
        </w:rPr>
        <w:t>正式授权</w:t>
      </w:r>
      <w:r>
        <w:rPr>
          <w:rFonts w:hint="eastAsia" w:cs="宋体" w:asciiTheme="minorEastAsia" w:hAnsiTheme="minorEastAsia" w:eastAsiaTheme="minorEastAsia"/>
          <w:color w:val="auto"/>
          <w:sz w:val="24"/>
          <w:highlight w:val="none"/>
          <w:u w:val="single"/>
        </w:rPr>
        <w:t>（授权代表全名，职务）</w:t>
      </w:r>
      <w:r>
        <w:rPr>
          <w:rFonts w:hint="eastAsia" w:cs="宋体" w:asciiTheme="minorEastAsia" w:hAnsiTheme="minorEastAsia" w:eastAsiaTheme="minorEastAsia"/>
          <w:color w:val="auto"/>
          <w:sz w:val="24"/>
          <w:highlight w:val="none"/>
        </w:rPr>
        <w:t>代表我方进行有关本次投标的一切事宜。</w:t>
      </w:r>
    </w:p>
    <w:p>
      <w:pPr>
        <w:pStyle w:val="18"/>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我方已完全明白招标文件的所有条款要求，并重申以下几点：</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1.我方已决定参加：项目编号为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eastAsia="zh-CN"/>
        </w:rPr>
        <w:t>广州水投集团“水务+光伏”一体化节能改造项目（10.78兆瓦分布式光伏发电项目）设计-采购-施工总承包（EPC）（第二标段）</w:t>
      </w:r>
      <w:r>
        <w:rPr>
          <w:rFonts w:hint="eastAsia" w:cs="宋体" w:asciiTheme="minorEastAsia" w:hAnsiTheme="minorEastAsia" w:eastAsiaTheme="minorEastAsia"/>
          <w:color w:val="auto"/>
          <w:sz w:val="24"/>
          <w:highlight w:val="none"/>
        </w:rPr>
        <w:t>项目的投标，已详细研究了投标文件的所有内容包括澄清文件（如果有）和所有已收到的参考资料以及有关附件并完全明白, 我方放弃在此方面提出含糊意见或误解的一切权力。</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2.在研究了上述工程的施工合同条件、规范、图纸、参考</w:t>
      </w:r>
      <w:r>
        <w:rPr>
          <w:rFonts w:hint="eastAsia" w:cs="宋体" w:asciiTheme="minorEastAsia" w:hAnsiTheme="minorEastAsia" w:eastAsiaTheme="minorEastAsia"/>
          <w:color w:val="auto"/>
          <w:kern w:val="44"/>
          <w:sz w:val="24"/>
          <w:highlight w:val="none"/>
        </w:rPr>
        <w:t>设备材料清册、土建工程量清单</w:t>
      </w:r>
      <w:r>
        <w:rPr>
          <w:rFonts w:hint="eastAsia" w:cs="宋体" w:asciiTheme="minorEastAsia" w:hAnsiTheme="minorEastAsia" w:eastAsiaTheme="minorEastAsia"/>
          <w:color w:val="auto"/>
          <w:sz w:val="24"/>
          <w:highlight w:val="none"/>
        </w:rPr>
        <w:t>以及附件后，我们，即文末签名人，兹按经济标书的报价，或根据上述条件可能确定的其它金额。我们愿意按照招标文件中的一切要求，提供投标文件及技术服务，实施并完成上述工程并修补其任何缺陷。</w:t>
      </w:r>
    </w:p>
    <w:p>
      <w:pPr>
        <w:tabs>
          <w:tab w:val="left" w:pos="1440"/>
        </w:tabs>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3.如果我们的投标文件被接受，我们将履行招标文件中规定的每一项要求，按期、按质、按量完成合同规定的全部工程。</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4.我方同意按招标文件规定提交投标保证金。如果我们在本投标文件有效期内撤回投标文件；或在贵方发出中标通知书后的</w:t>
      </w:r>
      <w:r>
        <w:rPr>
          <w:rFonts w:hint="eastAsia" w:cs="宋体" w:asciiTheme="minorEastAsia" w:hAnsiTheme="minorEastAsia" w:eastAsiaTheme="minorEastAsia"/>
          <w:b/>
          <w:bCs/>
          <w:color w:val="auto"/>
          <w:sz w:val="24"/>
          <w:highlight w:val="none"/>
        </w:rPr>
        <w:t>30天内</w:t>
      </w:r>
      <w:r>
        <w:rPr>
          <w:rFonts w:hint="eastAsia" w:cs="宋体" w:asciiTheme="minorEastAsia" w:hAnsiTheme="minorEastAsia" w:eastAsiaTheme="minorEastAsia"/>
          <w:color w:val="auto"/>
          <w:sz w:val="24"/>
          <w:highlight w:val="none"/>
        </w:rPr>
        <w:t>未能或拒绝签订合同协议书，或未能提交履约担保，你方有权没收投标保证金，另选中标单位。</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5.如果我们中标，我们将保证按照你方认可的条件，按照投标报价的</w:t>
      </w:r>
      <w:r>
        <w:rPr>
          <w:rFonts w:hint="eastAsia" w:cs="宋体" w:asciiTheme="minorEastAsia" w:hAnsiTheme="minorEastAsia" w:eastAsiaTheme="minorEastAsia"/>
          <w:color w:val="auto"/>
          <w:sz w:val="24"/>
          <w:highlight w:val="none"/>
          <w:u w:val="single"/>
        </w:rPr>
        <w:t>10%</w:t>
      </w:r>
      <w:r>
        <w:rPr>
          <w:rFonts w:hint="eastAsia" w:cs="宋体" w:asciiTheme="minorEastAsia" w:hAnsiTheme="minorEastAsia" w:eastAsiaTheme="minorEastAsia"/>
          <w:color w:val="auto"/>
          <w:sz w:val="24"/>
          <w:highlight w:val="none"/>
        </w:rPr>
        <w:t>的金额提交履约担保。</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6.本投标文件的有效期为投标截止日后</w:t>
      </w:r>
      <w:r>
        <w:rPr>
          <w:rFonts w:hint="eastAsia" w:cs="宋体" w:asciiTheme="minorEastAsia" w:hAnsiTheme="minorEastAsia" w:eastAsiaTheme="minorEastAsia"/>
          <w:b/>
          <w:bCs/>
          <w:color w:val="auto"/>
          <w:sz w:val="24"/>
          <w:highlight w:val="none"/>
          <w:u w:val="single"/>
        </w:rPr>
        <w:t>180</w:t>
      </w:r>
      <w:r>
        <w:rPr>
          <w:rFonts w:hint="eastAsia" w:cs="宋体" w:asciiTheme="minorEastAsia" w:hAnsiTheme="minorEastAsia" w:eastAsiaTheme="minorEastAsia"/>
          <w:b/>
          <w:bCs/>
          <w:color w:val="auto"/>
          <w:sz w:val="24"/>
          <w:highlight w:val="none"/>
        </w:rPr>
        <w:t>日历天</w:t>
      </w:r>
      <w:r>
        <w:rPr>
          <w:rFonts w:hint="eastAsia" w:cs="宋体" w:asciiTheme="minorEastAsia" w:hAnsiTheme="minorEastAsia" w:eastAsiaTheme="minorEastAsia"/>
          <w:color w:val="auto"/>
          <w:sz w:val="24"/>
          <w:highlight w:val="none"/>
        </w:rPr>
        <w:t>内有效，如获中标权，有效期将延至合同终止日为止。</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7.在制定和执行一份正式合同协议书之前，本投标文件连同你方中标通知书，应构成我们双方之间有约束力的合同。</w:t>
      </w:r>
    </w:p>
    <w:p>
      <w:pPr>
        <w:wordWrap w:val="0"/>
        <w:adjustRightInd w:val="0"/>
        <w:snapToGrid w:val="0"/>
        <w:spacing w:line="40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8.我方理解贵方不一定接受最低报价或贵方可能收到的任何报价。</w:t>
      </w:r>
    </w:p>
    <w:p>
      <w:pPr>
        <w:wordWrap w:val="0"/>
        <w:adjustRightInd w:val="0"/>
        <w:snapToGrid w:val="0"/>
        <w:spacing w:line="400" w:lineRule="exact"/>
        <w:rPr>
          <w:rFonts w:hint="eastAsia" w:cs="宋体" w:asciiTheme="minorEastAsia" w:hAnsiTheme="minorEastAsia" w:eastAsiaTheme="minorEastAsia"/>
          <w:color w:val="auto"/>
          <w:sz w:val="24"/>
          <w:highlight w:val="none"/>
        </w:rPr>
      </w:pPr>
    </w:p>
    <w:p>
      <w:pPr>
        <w:wordWrap w:val="0"/>
        <w:adjustRightInd w:val="0"/>
        <w:snapToGrid w:val="0"/>
        <w:spacing w:line="400" w:lineRule="exact"/>
        <w:ind w:firstLine="5040" w:firstLineChars="2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投标人：（公章）</w:t>
      </w:r>
    </w:p>
    <w:p>
      <w:pPr>
        <w:wordWrap w:val="0"/>
        <w:adjustRightInd w:val="0"/>
        <w:snapToGrid w:val="0"/>
        <w:spacing w:line="400" w:lineRule="exact"/>
        <w:ind w:firstLine="3840" w:firstLineChars="16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法定代表人或其委托代理人：（签字或盖章）</w:t>
      </w:r>
    </w:p>
    <w:p>
      <w:pPr>
        <w:wordWrap w:val="0"/>
        <w:adjustRightInd w:val="0"/>
        <w:snapToGrid w:val="0"/>
        <w:spacing w:line="400" w:lineRule="exact"/>
        <w:ind w:firstLine="5040" w:firstLineChars="2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地址：              </w:t>
      </w:r>
    </w:p>
    <w:p>
      <w:pPr>
        <w:wordWrap w:val="0"/>
        <w:adjustRightInd w:val="0"/>
        <w:snapToGrid w:val="0"/>
        <w:spacing w:line="400" w:lineRule="exact"/>
        <w:ind w:firstLine="5040" w:firstLineChars="2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日期：20  年  月  日</w:t>
      </w:r>
      <w:bookmarkStart w:id="424" w:name="_Toc423593516"/>
      <w:bookmarkStart w:id="425" w:name="_Toc2867"/>
      <w:bookmarkStart w:id="426" w:name="_Toc423602842"/>
      <w:bookmarkStart w:id="427" w:name="_Toc49436747"/>
      <w:bookmarkStart w:id="428" w:name="_Toc45640849"/>
      <w:bookmarkStart w:id="429" w:name="_Toc422481186"/>
      <w:bookmarkStart w:id="430" w:name="_Toc29143"/>
      <w:bookmarkStart w:id="431" w:name="_Toc5019"/>
      <w:bookmarkStart w:id="432" w:name="_Toc11980"/>
      <w:bookmarkStart w:id="433" w:name="_Toc19204336"/>
      <w:bookmarkStart w:id="434" w:name="_Toc471411957"/>
      <w:bookmarkStart w:id="435" w:name="_Toc471463756"/>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436" w:name="_Toc11705"/>
      <w:bookmarkStart w:id="437" w:name="_Toc18284"/>
      <w:bookmarkStart w:id="438" w:name="_Toc26098"/>
      <w:r>
        <w:rPr>
          <w:rFonts w:hint="eastAsia" w:cs="宋体" w:asciiTheme="minorEastAsia" w:hAnsiTheme="minorEastAsia" w:eastAsiaTheme="minorEastAsia"/>
          <w:color w:val="auto"/>
          <w:sz w:val="24"/>
          <w:highlight w:val="none"/>
        </w:rPr>
        <w:t>格式3：法定代表人资格证明书</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法定代表人资格证明书</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单位名称：</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单位性质：</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地址：</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成立时间：</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经营年限：</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姓名：性别：年龄：职务：</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color w:val="auto"/>
          <w:sz w:val="24"/>
          <w:highlight w:val="none"/>
          <w:u w:val="single"/>
        </w:rPr>
        <w:t xml:space="preserve">   （投标人单位名称）           </w:t>
      </w:r>
      <w:r>
        <w:rPr>
          <w:rFonts w:hint="eastAsia" w:cs="宋体" w:asciiTheme="minorEastAsia" w:hAnsiTheme="minorEastAsia" w:eastAsiaTheme="minorEastAsia"/>
          <w:color w:val="auto"/>
          <w:sz w:val="24"/>
          <w:highlight w:val="none"/>
        </w:rPr>
        <w:t xml:space="preserve"> 的法定代表人。</w:t>
      </w:r>
    </w:p>
    <w:p>
      <w:pPr>
        <w:wordWrap w:val="0"/>
        <w:adjustRightInd w:val="0"/>
        <w:snapToGrid w:val="0"/>
        <w:spacing w:line="360" w:lineRule="auto"/>
        <w:ind w:firstLine="240" w:firstLineChars="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pPr>
        <w:wordWrap w:val="0"/>
        <w:spacing w:line="360" w:lineRule="exact"/>
        <w:ind w:firstLine="240" w:firstLineChars="1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附：法定代表人身份证扫描件</w:t>
      </w:r>
    </w:p>
    <w:p>
      <w:pPr>
        <w:wordWrap w:val="0"/>
        <w:adjustRightInd w:val="0"/>
        <w:snapToGrid w:val="0"/>
        <w:spacing w:line="360" w:lineRule="auto"/>
        <w:rPr>
          <w:rFonts w:hint="eastAsia" w:cs="宋体" w:asciiTheme="minorEastAsia" w:hAnsiTheme="minorEastAsia" w:eastAsiaTheme="minorEastAsia"/>
          <w:color w:val="auto"/>
          <w:sz w:val="20"/>
          <w:highlight w:val="none"/>
        </w:rPr>
      </w:pPr>
      <w:r>
        <w:rPr>
          <w:rFonts w:hint="eastAsia" w:cs="宋体" w:asciiTheme="minorEastAsia" w:hAnsiTheme="minorEastAsia" w:eastAsiaTheme="minorEastAsia"/>
          <w:color w:val="auto"/>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177800</wp:posOffset>
                </wp:positionV>
                <wp:extent cx="3726815" cy="2113915"/>
                <wp:effectExtent l="4445" t="4445" r="21590" b="15240"/>
                <wp:wrapNone/>
                <wp:docPr id="59" name="Flowchart: Alternate Process 2"/>
                <wp:cNvGraphicFramePr/>
                <a:graphic xmlns:a="http://schemas.openxmlformats.org/drawingml/2006/main">
                  <a:graphicData uri="http://schemas.microsoft.com/office/word/2010/wordprocessingShape">
                    <wps:wsp>
                      <wps:cNvSpPr/>
                      <wps:spPr>
                        <a:xfrm>
                          <a:off x="0" y="0"/>
                          <a:ext cx="372681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法定代表人身份证扫描件贴于此处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(请提供身份证扫描件正面)</w:t>
                            </w:r>
                          </w:p>
                          <w:p>
                            <w:pPr>
                              <w:jc w:val="center"/>
                              <w:rPr>
                                <w:rFonts w:hint="eastAsia"/>
                                <w:sz w:val="24"/>
                              </w:rPr>
                            </w:pPr>
                          </w:p>
                        </w:txbxContent>
                      </wps:txbx>
                      <wps:bodyPr upright="1"/>
                    </wps:wsp>
                  </a:graphicData>
                </a:graphic>
              </wp:anchor>
            </w:drawing>
          </mc:Choice>
          <mc:Fallback>
            <w:pict>
              <v:shape id="Flowchart: Alternate Process 2" o:spid="_x0000_s1026" o:spt="176" type="#_x0000_t176" style="position:absolute;left:0pt;margin-left:-0.75pt;margin-top:14pt;height:166.45pt;width:293.45pt;z-index:251660288;mso-width-relative:page;mso-height-relative:page;" fillcolor="#FFFFFF" filled="t" stroked="t" coordsize="21600,21600" o:gfxdata="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jQDE1wAAAAkBAAAPAAAAAAAAAAEA&#10;IAAAACIAAABkcnMvZG93bnJldi54bWxQSwECFAAUAAAACACHTuJAJUw6YhACAABkBAAADgAAAAAA&#10;AAABACAAAAAm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法定代表人身份证扫描件贴于此处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(请提供身份证扫描件正面)</w:t>
                      </w:r>
                    </w:p>
                    <w:p>
                      <w:pPr>
                        <w:jc w:val="center"/>
                        <w:rPr>
                          <w:rFonts w:hint="eastAsia"/>
                          <w:sz w:val="24"/>
                        </w:rPr>
                      </w:pPr>
                    </w:p>
                  </w:txbxContent>
                </v:textbox>
              </v:shape>
            </w:pict>
          </mc:Fallback>
        </mc:AlternateContent>
      </w: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r>
        <w:rPr>
          <w:rFonts w:hint="eastAsia" w:cs="宋体" w:asciiTheme="minorEastAsia" w:hAnsiTheme="minorEastAsia" w:eastAsiaTheme="minorEastAsia"/>
          <w:color w:val="auto"/>
          <w:sz w:val="36"/>
          <w:szCs w:val="36"/>
          <w:highlight w:val="none"/>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118745</wp:posOffset>
                </wp:positionV>
                <wp:extent cx="3761105" cy="2156460"/>
                <wp:effectExtent l="4445" t="4445" r="6350" b="10795"/>
                <wp:wrapNone/>
                <wp:docPr id="60" name="Flowchart: Alternate Process 5"/>
                <wp:cNvGraphicFramePr/>
                <a:graphic xmlns:a="http://schemas.openxmlformats.org/drawingml/2006/main">
                  <a:graphicData uri="http://schemas.microsoft.com/office/word/2010/wordprocessingShape">
                    <wps:wsp>
                      <wps:cNvSpPr/>
                      <wps:spPr>
                        <a:xfrm>
                          <a:off x="0" y="0"/>
                          <a:ext cx="3761105" cy="21564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法定代表人身份证扫描件贴于此处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(请提供身份证扫描件背面)</w:t>
                            </w:r>
                          </w:p>
                          <w:p>
                            <w:pPr>
                              <w:jc w:val="center"/>
                              <w:rPr>
                                <w:rFonts w:hint="eastAsia"/>
                                <w:szCs w:val="21"/>
                              </w:rPr>
                            </w:pPr>
                          </w:p>
                        </w:txbxContent>
                      </wps:txbx>
                      <wps:bodyPr upright="1"/>
                    </wps:wsp>
                  </a:graphicData>
                </a:graphic>
              </wp:anchor>
            </w:drawing>
          </mc:Choice>
          <mc:Fallback>
            <w:pict>
              <v:shape id="Flowchart: Alternate Process 5" o:spid="_x0000_s1026" o:spt="176" type="#_x0000_t176" style="position:absolute;left:0pt;margin-left:-3.45pt;margin-top:9.35pt;height:169.8pt;width:296.15pt;z-index:251661312;mso-width-relative:page;mso-height-relative:page;" fillcolor="#FFFFFF" filled="t" stroked="t" coordsize="21600,21600" o:gfxdata="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iVnj2AAAAAkBAAAPAAAAAAAAAAEA&#10;IAAAACIAAABkcnMvZG93bnJldi54bWxQSwECFAAUAAAACACHTuJAcjFAxw8CAABkBAAADgAAAAAA&#10;AAABACAAAAAnAQAAZHJzL2Uyb0RvYy54bWxQSwUGAAAAAAYABgBZAQAAqAUAAAAA&#10;">
                <v:fill on="t" focussize="0,0"/>
                <v:stroke color="#000000" joinstyle="miter"/>
                <v:imagedata o:title=""/>
                <o:lock v:ext="edit" aspectratio="f"/>
                <v:textbo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法定代表人身份证扫描件贴于此处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(请提供身份证扫描件背面)</w:t>
                      </w:r>
                    </w:p>
                    <w:p>
                      <w:pPr>
                        <w:jc w:val="center"/>
                        <w:rPr>
                          <w:rFonts w:hint="eastAsia"/>
                          <w:szCs w:val="21"/>
                        </w:rPr>
                      </w:pPr>
                    </w:p>
                  </w:txbxContent>
                </v:textbox>
              </v:shape>
            </w:pict>
          </mc:Fallback>
        </mc:AlternateContent>
      </w: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rPr>
          <w:rFonts w:hint="eastAsia" w:cs="宋体" w:asciiTheme="minorEastAsia" w:hAnsiTheme="minorEastAsia" w:eastAsiaTheme="minorEastAsia"/>
          <w:color w:val="auto"/>
          <w:sz w:val="20"/>
          <w:highlight w:val="none"/>
        </w:rPr>
      </w:pPr>
    </w:p>
    <w:p>
      <w:pPr>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 w:val="24"/>
          <w:highlight w:val="none"/>
        </w:rPr>
        <w:t xml:space="preserve"> 投标人：（公章）</w:t>
      </w:r>
    </w:p>
    <w:p>
      <w:pPr>
        <w:tabs>
          <w:tab w:val="left" w:pos="1440"/>
        </w:tabs>
        <w:wordWrap w:val="0"/>
        <w:adjustRightInd w:val="0"/>
        <w:snapToGrid w:val="0"/>
        <w:spacing w:line="360" w:lineRule="auto"/>
        <w:jc w:val="righ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日期：20  年  月  日</w:t>
      </w:r>
    </w:p>
    <w:p>
      <w:pPr>
        <w:wordWrap w:val="0"/>
        <w:adjustRightInd w:val="0"/>
        <w:snapToGrid w:val="0"/>
        <w:spacing w:line="360" w:lineRule="auto"/>
        <w:rPr>
          <w:rFonts w:hint="eastAsia" w:cs="宋体" w:asciiTheme="minorEastAsia" w:hAnsiTheme="minorEastAsia" w:eastAsiaTheme="minorEastAsia"/>
          <w:color w:val="auto"/>
          <w:sz w:val="24"/>
          <w:highlight w:val="none"/>
        </w:rPr>
      </w:pPr>
      <w:bookmarkStart w:id="439" w:name="_Toc9756"/>
      <w:bookmarkStart w:id="440" w:name="_Toc21356"/>
      <w:bookmarkStart w:id="441" w:name="_Toc5273"/>
      <w:bookmarkStart w:id="442" w:name="_Toc9901"/>
      <w:bookmarkStart w:id="443" w:name="_Toc45640850"/>
      <w:bookmarkStart w:id="444" w:name="_Toc62725837"/>
      <w:bookmarkStart w:id="445" w:name="_Toc22016"/>
      <w:bookmarkStart w:id="446" w:name="_Toc19204337"/>
      <w:bookmarkStart w:id="447" w:name="_Toc49436748"/>
      <w:bookmarkStart w:id="448" w:name="_Toc9483"/>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格式4：法定代表人授权委托书</w:t>
      </w:r>
      <w:bookmarkEnd w:id="439"/>
      <w:bookmarkEnd w:id="440"/>
      <w:bookmarkEnd w:id="441"/>
      <w:bookmarkEnd w:id="442"/>
      <w:bookmarkEnd w:id="443"/>
      <w:bookmarkEnd w:id="444"/>
      <w:bookmarkEnd w:id="445"/>
      <w:bookmarkEnd w:id="446"/>
      <w:bookmarkEnd w:id="447"/>
      <w:bookmarkEnd w:id="448"/>
    </w:p>
    <w:p>
      <w:pPr>
        <w:wordWrap w:val="0"/>
        <w:spacing w:after="180" w:afterLines="75" w:line="360" w:lineRule="exact"/>
        <w:jc w:val="center"/>
        <w:rPr>
          <w:rFonts w:hint="eastAsia" w:ascii="宋体" w:hAnsi="宋体" w:eastAsia="宋体" w:cs="宋体"/>
          <w:color w:val="auto"/>
          <w:szCs w:val="21"/>
          <w:highlight w:val="none"/>
        </w:rPr>
      </w:pPr>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法定代表人授权委托书</w:t>
      </w:r>
    </w:p>
    <w:p>
      <w:pPr>
        <w:wordWrap w:val="0"/>
        <w:adjustRightInd w:val="0"/>
        <w:snapToGrid w:val="0"/>
        <w:spacing w:line="360" w:lineRule="auto"/>
        <w:ind w:right="15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本授权委托书声明：我（姓名）系（投标单位名称）的法定代表人，现授权委托（姓名） 为我公司唯一代理人，以我公司的名义参加</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项目的投标活动。代理人代表我公司签署投标文件、开标、评标、进行合同谈判、签订合同和处理与之有关的一切事务，我公司均予以承认。代理人的签名真迹如本授权委托书末尾所示。</w:t>
      </w:r>
    </w:p>
    <w:p>
      <w:pPr>
        <w:pStyle w:val="21"/>
        <w:wordWrap w:val="0"/>
        <w:adjustRightInd w:val="0"/>
        <w:snapToGrid w:val="0"/>
        <w:spacing w:line="360" w:lineRule="auto"/>
        <w:ind w:left="0" w:leftChars="0" w:firstLine="480" w:firstLineChars="200"/>
        <w:rPr>
          <w:rFonts w:hint="eastAsia" w:cs="宋体" w:asciiTheme="minorEastAsia" w:hAnsiTheme="minorEastAsia" w:eastAsiaTheme="minorEastAsia"/>
          <w:color w:val="auto"/>
          <w:kern w:val="2"/>
          <w:sz w:val="24"/>
          <w:highlight w:val="none"/>
        </w:rPr>
      </w:pPr>
      <w:r>
        <w:rPr>
          <w:rFonts w:hint="eastAsia" w:cs="宋体" w:asciiTheme="minorEastAsia" w:hAnsiTheme="minorEastAsia" w:eastAsiaTheme="minorEastAsia"/>
          <w:color w:val="auto"/>
          <w:kern w:val="2"/>
          <w:sz w:val="24"/>
          <w:highlight w:val="none"/>
        </w:rPr>
        <w:t>代理人无权将代理权转委托。特此委托。</w:t>
      </w:r>
    </w:p>
    <w:p>
      <w:pPr>
        <w:wordWrap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附：法定代表人身份证明</w:t>
      </w:r>
    </w:p>
    <w:p>
      <w:pPr>
        <w:wordWrap w:val="0"/>
        <w:spacing w:line="44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投标人：（公章）</w:t>
      </w:r>
    </w:p>
    <w:p>
      <w:pPr>
        <w:wordWrap w:val="0"/>
        <w:spacing w:line="44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法定代表人：（签字或盖章）</w:t>
      </w:r>
    </w:p>
    <w:p>
      <w:pPr>
        <w:wordWrap w:val="0"/>
        <w:spacing w:line="44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委托代理人：（签字或盖章）</w:t>
      </w:r>
    </w:p>
    <w:p>
      <w:pPr>
        <w:wordWrap w:val="0"/>
        <w:spacing w:line="440" w:lineRule="exact"/>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委托代理人身份证号码：</w:t>
      </w:r>
    </w:p>
    <w:p>
      <w:pPr>
        <w:wordWrap w:val="0"/>
        <w:spacing w:line="44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联系方式（手机）：</w:t>
      </w:r>
    </w:p>
    <w:p>
      <w:pPr>
        <w:wordWrap w:val="0"/>
        <w:spacing w:line="440" w:lineRule="exact"/>
        <w:ind w:firstLine="2640" w:firstLineChars="1100"/>
        <w:jc w:val="right"/>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20  年  月  日</w:t>
      </w:r>
    </w:p>
    <w:p>
      <w:pPr>
        <w:wordWrap w:val="0"/>
        <w:spacing w:line="440" w:lineRule="exact"/>
        <w:jc w:val="center"/>
        <w:rPr>
          <w:rFonts w:hint="eastAsia" w:cs="宋体" w:asciiTheme="minorEastAsia" w:hAnsiTheme="minorEastAsia" w:eastAsiaTheme="minorEastAsia"/>
          <w:color w:val="auto"/>
          <w:szCs w:val="21"/>
          <w:highlight w:val="none"/>
        </w:rPr>
      </w:pPr>
    </w:p>
    <w:p>
      <w:pPr>
        <w:pStyle w:val="99"/>
        <w:wordWrap w:val="0"/>
        <w:ind w:firstLine="48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41275</wp:posOffset>
                </wp:positionV>
                <wp:extent cx="3510280" cy="1916430"/>
                <wp:effectExtent l="4445" t="5080" r="9525" b="21590"/>
                <wp:wrapNone/>
                <wp:docPr id="62" name="Flowchart: Alternate Process 4"/>
                <wp:cNvGraphicFramePr/>
                <a:graphic xmlns:a="http://schemas.openxmlformats.org/drawingml/2006/main">
                  <a:graphicData uri="http://schemas.microsoft.com/office/word/2010/wordprocessingShape">
                    <wps:wsp>
                      <wps:cNvSpPr/>
                      <wps:spPr>
                        <a:xfrm>
                          <a:off x="0" y="0"/>
                          <a:ext cx="3510280" cy="1916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法人授权代理人身份证扫描件贴于此处</w:t>
                            </w:r>
                          </w:p>
                          <w:p>
                            <w:pPr>
                              <w:jc w:val="center"/>
                              <w:rPr>
                                <w:rFonts w:hint="eastAsia" w:ascii="宋体" w:hAnsi="宋体" w:eastAsia="宋体" w:cs="宋体"/>
                                <w:sz w:val="24"/>
                              </w:rPr>
                            </w:pPr>
                          </w:p>
                          <w:p>
                            <w:pPr>
                              <w:spacing w:line="500" w:lineRule="exact"/>
                              <w:jc w:val="center"/>
                              <w:rPr>
                                <w:rFonts w:hint="eastAsia" w:ascii="宋体" w:hAnsi="宋体"/>
                                <w:b/>
                                <w:bCs/>
                                <w:color w:val="000000"/>
                                <w:sz w:val="24"/>
                              </w:rPr>
                            </w:pPr>
                            <w:r>
                              <w:rPr>
                                <w:rFonts w:hint="eastAsia" w:ascii="宋体" w:hAnsi="宋体" w:eastAsia="宋体" w:cs="宋体"/>
                                <w:b/>
                                <w:sz w:val="24"/>
                              </w:rPr>
                              <w:t>(请提供身份证扫描件正面</w:t>
                            </w:r>
                            <w:r>
                              <w:rPr>
                                <w:rFonts w:ascii="宋体" w:hAnsi="宋体"/>
                                <w:b/>
                                <w:sz w:val="24"/>
                              </w:rPr>
                              <w:t>)</w:t>
                            </w:r>
                          </w:p>
                          <w:p>
                            <w:pPr>
                              <w:jc w:val="center"/>
                              <w:rPr>
                                <w:rFonts w:hint="eastAsia"/>
                                <w:szCs w:val="21"/>
                              </w:rPr>
                            </w:pPr>
                          </w:p>
                        </w:txbxContent>
                      </wps:txbx>
                      <wps:bodyPr upright="1"/>
                    </wps:wsp>
                  </a:graphicData>
                </a:graphic>
              </wp:anchor>
            </w:drawing>
          </mc:Choice>
          <mc:Fallback>
            <w:pict>
              <v:shape id="Flowchart: Alternate Process 4" o:spid="_x0000_s1026" o:spt="176" type="#_x0000_t176" style="position:absolute;left:0pt;margin-left:0.5pt;margin-top:3.25pt;height:150.9pt;width:276.4pt;z-index:251662336;mso-width-relative:page;mso-height-relative:page;" fillcolor="#FFFFFF" filled="t" stroked="t" coordsize="21600,21600" o:gfxdata="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5Tdn1AAAAAcBAAAPAAAAAAAAAAEA&#10;IAAAACIAAABkcnMvZG93bnJldi54bWxQSwECFAAUAAAACACHTuJAu7kGkxMCAABkBAAADgAAAAAA&#10;AAABACAAAAAjAQAAZHJzL2Uyb0RvYy54bWxQSwUGAAAAAAYABgBZAQAAqAUAAAAA&#10;">
                <v:fill on="t" focussize="0,0"/>
                <v:stroke color="#000000" joinstyle="miter"/>
                <v:imagedata o:title=""/>
                <o:lock v:ext="edit" aspectratio="f"/>
                <v:textbo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法人授权代理人身份证扫描件贴于此处</w:t>
                      </w:r>
                    </w:p>
                    <w:p>
                      <w:pPr>
                        <w:jc w:val="center"/>
                        <w:rPr>
                          <w:rFonts w:hint="eastAsia" w:ascii="宋体" w:hAnsi="宋体" w:eastAsia="宋体" w:cs="宋体"/>
                          <w:sz w:val="24"/>
                        </w:rPr>
                      </w:pPr>
                    </w:p>
                    <w:p>
                      <w:pPr>
                        <w:spacing w:line="500" w:lineRule="exact"/>
                        <w:jc w:val="center"/>
                        <w:rPr>
                          <w:rFonts w:hint="eastAsia" w:ascii="宋体" w:hAnsi="宋体"/>
                          <w:b/>
                          <w:bCs/>
                          <w:color w:val="000000"/>
                          <w:sz w:val="24"/>
                        </w:rPr>
                      </w:pPr>
                      <w:r>
                        <w:rPr>
                          <w:rFonts w:hint="eastAsia" w:ascii="宋体" w:hAnsi="宋体" w:eastAsia="宋体" w:cs="宋体"/>
                          <w:b/>
                          <w:sz w:val="24"/>
                        </w:rPr>
                        <w:t>(请提供身份证扫描件正面</w:t>
                      </w:r>
                      <w:r>
                        <w:rPr>
                          <w:rFonts w:ascii="宋体" w:hAnsi="宋体"/>
                          <w:b/>
                          <w:sz w:val="24"/>
                        </w:rPr>
                        <w:t>)</w:t>
                      </w:r>
                    </w:p>
                    <w:p>
                      <w:pPr>
                        <w:jc w:val="center"/>
                        <w:rPr>
                          <w:rFonts w:hint="eastAsia"/>
                          <w:szCs w:val="21"/>
                        </w:rPr>
                      </w:pPr>
                    </w:p>
                  </w:txbxContent>
                </v:textbox>
              </v:shape>
            </w:pict>
          </mc:Fallback>
        </mc:AlternateContent>
      </w:r>
      <w:r>
        <w:rPr>
          <w:rFonts w:hint="eastAsia" w:cs="宋体" w:asciiTheme="minorEastAsia" w:hAnsiTheme="minorEastAsia" w:eastAsiaTheme="minor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-27940</wp:posOffset>
                </wp:positionH>
                <wp:positionV relativeFrom="paragraph">
                  <wp:posOffset>2101850</wp:posOffset>
                </wp:positionV>
                <wp:extent cx="3544570" cy="1954530"/>
                <wp:effectExtent l="4445" t="4445" r="13335" b="22225"/>
                <wp:wrapNone/>
                <wp:docPr id="77" name="Flowchart: Alternate Process 3"/>
                <wp:cNvGraphicFramePr/>
                <a:graphic xmlns:a="http://schemas.openxmlformats.org/drawingml/2006/main">
                  <a:graphicData uri="http://schemas.microsoft.com/office/word/2010/wordprocessingShape">
                    <wps:wsp>
                      <wps:cNvSpPr/>
                      <wps:spPr>
                        <a:xfrm>
                          <a:off x="0" y="0"/>
                          <a:ext cx="3544570" cy="19545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法人授权代理人身份证扫描件贴于此处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(请提供身份证扫描件背面)</w:t>
                            </w:r>
                          </w:p>
                          <w:p>
                            <w:pPr>
                              <w:jc w:val="center"/>
                              <w:rPr>
                                <w:rFonts w:hint="eastAsia"/>
                                <w:sz w:val="24"/>
                              </w:rPr>
                            </w:pPr>
                          </w:p>
                        </w:txbxContent>
                      </wps:txbx>
                      <wps:bodyPr upright="1"/>
                    </wps:wsp>
                  </a:graphicData>
                </a:graphic>
              </wp:anchor>
            </w:drawing>
          </mc:Choice>
          <mc:Fallback>
            <w:pict>
              <v:shape id="Flowchart: Alternate Process 3" o:spid="_x0000_s1026" o:spt="176" type="#_x0000_t176" style="position:absolute;left:0pt;margin-left:-2.2pt;margin-top:165.5pt;height:153.9pt;width:279.1pt;z-index:251663360;mso-width-relative:page;mso-height-relative:page;" fillcolor="#FFFFFF" filled="t" stroked="t" coordsize="21600,21600" o:gfxdata="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1b+TYAAAACgEAAA8AAAAA&#10;AAAAAQAgAAAAIgAAAGRycy9kb3ducmV2LnhtbFBLAQIUABQAAAAIAIdO4kCwO0jgFAIAAGQEAAAO&#10;AAAAAAAAAAEAIAAAACcBAABkcnMvZTJvRG9jLnhtbFBLBQYAAAAABgAGAFkBAACtBQAAAAA=&#10;">
                <v:fill on="t" focussize="0,0"/>
                <v:stroke color="#000000" joinstyle="miter"/>
                <v:imagedata o:title=""/>
                <o:lock v:ext="edit" aspectratio="f"/>
                <v:textbox>
                  <w:txbxContent>
                    <w:p>
                      <w:pPr>
                        <w:jc w:val="center"/>
                        <w:rPr>
                          <w:rFonts w:hint="eastAsia" w:hAnsi="宋体"/>
                          <w:sz w:val="24"/>
                        </w:rPr>
                      </w:pPr>
                    </w:p>
                    <w:p>
                      <w:pPr>
                        <w:jc w:val="center"/>
                        <w:rPr>
                          <w:rFonts w:hint="eastAsia" w:ascii="宋体" w:hAnsi="宋体" w:eastAsia="宋体" w:cs="宋体"/>
                          <w:sz w:val="24"/>
                        </w:rPr>
                      </w:pPr>
                      <w:r>
                        <w:rPr>
                          <w:rFonts w:hint="eastAsia" w:ascii="宋体" w:hAnsi="宋体" w:eastAsia="宋体" w:cs="宋体"/>
                          <w:sz w:val="24"/>
                        </w:rPr>
                        <w:t>法人授权代理人身份证扫描件贴于此处</w:t>
                      </w:r>
                    </w:p>
                    <w:p>
                      <w:pPr>
                        <w:jc w:val="center"/>
                        <w:rPr>
                          <w:rFonts w:hint="eastAsia" w:ascii="宋体" w:hAnsi="宋体" w:eastAsia="宋体" w:cs="宋体"/>
                          <w:sz w:val="24"/>
                        </w:rPr>
                      </w:pPr>
                    </w:p>
                    <w:p>
                      <w:pPr>
                        <w:spacing w:line="500" w:lineRule="exact"/>
                        <w:jc w:val="center"/>
                        <w:rPr>
                          <w:rFonts w:hint="eastAsia" w:ascii="宋体" w:hAnsi="宋体" w:eastAsia="宋体" w:cs="宋体"/>
                          <w:b/>
                          <w:bCs/>
                          <w:color w:val="000000"/>
                          <w:sz w:val="24"/>
                        </w:rPr>
                      </w:pPr>
                      <w:r>
                        <w:rPr>
                          <w:rFonts w:hint="eastAsia" w:ascii="宋体" w:hAnsi="宋体" w:eastAsia="宋体" w:cs="宋体"/>
                          <w:b/>
                          <w:sz w:val="24"/>
                        </w:rPr>
                        <w:t>(请提供身份证扫描件背面)</w:t>
                      </w:r>
                    </w:p>
                    <w:p>
                      <w:pPr>
                        <w:jc w:val="center"/>
                        <w:rPr>
                          <w:rFonts w:hint="eastAsia"/>
                          <w:sz w:val="24"/>
                        </w:rPr>
                      </w:pPr>
                    </w:p>
                  </w:txbxContent>
                </v:textbox>
              </v:shape>
            </w:pict>
          </mc:Fallback>
        </mc:AlternateContent>
      </w:r>
      <w:r>
        <w:rPr>
          <w:rFonts w:hint="eastAsia" w:cs="宋体" w:asciiTheme="minorEastAsia" w:hAnsiTheme="minorEastAsia" w:eastAsiaTheme="minorEastAsia"/>
          <w:color w:val="auto"/>
          <w:sz w:val="20"/>
          <w:szCs w:val="20"/>
          <w:highlight w:val="none"/>
        </w:rPr>
        <w:br w:type="page"/>
      </w:r>
      <w:bookmarkStart w:id="449" w:name="_Toc152042582"/>
      <w:bookmarkStart w:id="450" w:name="_Toc247527833"/>
      <w:bookmarkStart w:id="451" w:name="_Toc152045793"/>
      <w:bookmarkStart w:id="452" w:name="_Toc247514285"/>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453" w:name="_Toc62725838"/>
      <w:bookmarkStart w:id="454" w:name="_Toc14229"/>
      <w:bookmarkStart w:id="455" w:name="_Toc26765"/>
      <w:bookmarkStart w:id="456" w:name="_Toc27802"/>
      <w:bookmarkStart w:id="457" w:name="_Toc19204338"/>
      <w:bookmarkStart w:id="458" w:name="_Toc45640851"/>
      <w:bookmarkStart w:id="459" w:name="_Toc6869"/>
      <w:bookmarkStart w:id="460" w:name="_Toc28449"/>
      <w:bookmarkStart w:id="461" w:name="_Toc49436749"/>
      <w:bookmarkStart w:id="462" w:name="_Toc11813"/>
      <w:bookmarkStart w:id="463" w:name="_Toc12312"/>
      <w:r>
        <w:rPr>
          <w:rFonts w:hint="eastAsia" w:cs="宋体" w:asciiTheme="minorEastAsia" w:hAnsiTheme="minorEastAsia" w:eastAsiaTheme="minorEastAsia"/>
          <w:color w:val="auto"/>
          <w:sz w:val="24"/>
          <w:highlight w:val="none"/>
        </w:rPr>
        <w:t>格式5：</w:t>
      </w:r>
      <w:bookmarkEnd w:id="449"/>
      <w:bookmarkEnd w:id="450"/>
      <w:bookmarkEnd w:id="451"/>
      <w:bookmarkEnd w:id="452"/>
      <w:r>
        <w:rPr>
          <w:rFonts w:hint="eastAsia" w:cs="宋体" w:asciiTheme="minorEastAsia" w:hAnsiTheme="minorEastAsia" w:eastAsiaTheme="minorEastAsia"/>
          <w:color w:val="auto"/>
          <w:sz w:val="24"/>
          <w:highlight w:val="none"/>
        </w:rPr>
        <w:t>资格审查资料</w:t>
      </w:r>
      <w:bookmarkEnd w:id="453"/>
      <w:bookmarkEnd w:id="454"/>
      <w:bookmarkEnd w:id="455"/>
      <w:bookmarkEnd w:id="456"/>
      <w:bookmarkEnd w:id="457"/>
      <w:bookmarkEnd w:id="458"/>
      <w:bookmarkEnd w:id="459"/>
      <w:bookmarkEnd w:id="460"/>
      <w:bookmarkEnd w:id="461"/>
      <w:bookmarkEnd w:id="462"/>
      <w:bookmarkEnd w:id="463"/>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p>
    <w:p>
      <w:pPr>
        <w:numPr>
          <w:ilvl w:val="-1"/>
          <w:numId w:val="0"/>
        </w:numPr>
        <w:wordWrap w:val="0"/>
        <w:adjustRightInd w:val="0"/>
        <w:snapToGrid w:val="0"/>
        <w:spacing w:line="360" w:lineRule="auto"/>
        <w:ind w:firstLine="0" w:firstLineChars="0"/>
        <w:outlineLvl w:val="2"/>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Cs w:val="21"/>
          <w:highlight w:val="none"/>
        </w:rPr>
      </w:pPr>
      <w:bookmarkStart w:id="464" w:name="_Toc9497"/>
      <w:bookmarkStart w:id="465" w:name="_Toc423593517"/>
      <w:bookmarkStart w:id="466" w:name="_Toc31261"/>
      <w:bookmarkStart w:id="467" w:name="_Toc7182"/>
      <w:bookmarkStart w:id="468" w:name="_Toc19204339"/>
      <w:bookmarkStart w:id="469" w:name="_Toc471411958"/>
      <w:bookmarkStart w:id="470" w:name="_Toc49436750"/>
      <w:bookmarkStart w:id="471" w:name="_Toc471463757"/>
      <w:bookmarkStart w:id="472" w:name="_Toc16767"/>
      <w:bookmarkStart w:id="473" w:name="_Toc29818"/>
      <w:bookmarkStart w:id="474" w:name="_Toc423602843"/>
      <w:bookmarkStart w:id="475" w:name="_Toc422481187"/>
      <w:bookmarkStart w:id="476" w:name="_Toc45640852"/>
      <w:bookmarkStart w:id="477" w:name="_Toc14539"/>
      <w:bookmarkStart w:id="478" w:name="_Toc16327"/>
      <w:bookmarkStart w:id="479" w:name="_Toc62725839"/>
      <w:r>
        <w:rPr>
          <w:rFonts w:hint="eastAsia" w:cs="宋体" w:asciiTheme="minorEastAsia" w:hAnsiTheme="minorEastAsia" w:eastAsiaTheme="minorEastAsia"/>
          <w:color w:val="auto"/>
          <w:sz w:val="24"/>
          <w:highlight w:val="none"/>
        </w:rPr>
        <w:t>格式6：投标人声明</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投标人声明</w:t>
      </w:r>
    </w:p>
    <w:p>
      <w:pPr>
        <w:pStyle w:val="117"/>
        <w:wordWrap w:val="0"/>
        <w:spacing w:line="400" w:lineRule="exact"/>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本招标项目招标人及招标监管机构：</w:t>
      </w:r>
    </w:p>
    <w:p>
      <w:pPr>
        <w:pStyle w:val="117"/>
        <w:wordWrap w:val="0"/>
        <w:spacing w:line="400" w:lineRule="exact"/>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本公司就参加</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eastAsia="zh-CN"/>
        </w:rPr>
        <w:t>广州水投集团“水务+光伏”一体化节能改造项目（10.78兆瓦分布式光伏发电项目）设计-采购-施工总承包（EPC）（第二标段）</w:t>
      </w:r>
      <w:r>
        <w:rPr>
          <w:rFonts w:hint="eastAsia" w:cs="宋体" w:asciiTheme="minorEastAsia" w:hAnsiTheme="minorEastAsia" w:eastAsiaTheme="minorEastAsia"/>
          <w:color w:val="auto"/>
          <w:sz w:val="24"/>
          <w:szCs w:val="24"/>
          <w:highlight w:val="none"/>
          <w:u w:val="single"/>
        </w:rPr>
        <w:t>项目</w:t>
      </w:r>
      <w:r>
        <w:rPr>
          <w:rFonts w:hint="eastAsia" w:cs="宋体" w:asciiTheme="minorEastAsia" w:hAnsiTheme="minorEastAsia" w:eastAsiaTheme="minorEastAsia"/>
          <w:color w:val="auto"/>
          <w:sz w:val="24"/>
          <w:szCs w:val="24"/>
          <w:highlight w:val="none"/>
        </w:rPr>
        <w:t>投标工作，作出郑重声明：</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一、本公司保证投标报名材料及其后提供的一切材料都是真实的。</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二、本公司保证在本项目投标中不与其他单位围标、串标，不出让投标资格，不向招标人或评标委员会成员行贿。</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经理承诺在投标截止时间前三年内没有被人民法院判决犯有行贿罪的记录，没有被人民法院列入失信被执行人名单；在投标截止日期前三年内本公司没有弄虚作假骗取中标、围标串标行为（以行政主管部门或法院或检察院书面认定为准）。</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经理暂停投标报名二年。多次违规的，暂停投标报名二至三年，并提请资质审批部门降低或吊销企业资质、项目经理的建造师从业资格和专职安全员安全培训考核证书。</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五、本公司及其有隶属关系的机构没有参加本项目的设计、前期工作（已公开相关前期工作资料的除外）、招标文件编写、监理工作；本公司与承担本招标项目监理业务的单位没有隶属关系或其他利害关系。 </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六、本公司承诺，与本公司法定代表人（或单位负责人）为同一人或者本公司存在控股、管理关系的其他单位未参与投标，且中标后不转包或违法分包。</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七、本公司保证本项目拟派的项目经理和安全员没有在其他在建项目中任职。</w:t>
      </w:r>
    </w:p>
    <w:p>
      <w:pPr>
        <w:pStyle w:val="117"/>
        <w:spacing w:line="5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八、本公司没有被招标人或关联公司列入“不良供应商名单”并处于处罚期内。</w:t>
      </w:r>
    </w:p>
    <w:p>
      <w:pPr>
        <w:pStyle w:val="117"/>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本公司违反上述保证，或本声明陈述与事实不符，经查实，本公司愿意接受公开通报，承担由此带来的法律后果，并自愿停止参加招标人的招标投标活动二年。</w:t>
      </w:r>
    </w:p>
    <w:p>
      <w:pPr>
        <w:pStyle w:val="117"/>
        <w:wordWrap w:val="0"/>
        <w:spacing w:line="40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特此声明</w:t>
      </w:r>
    </w:p>
    <w:p>
      <w:pPr>
        <w:pStyle w:val="140"/>
        <w:wordWrap w:val="0"/>
        <w:spacing w:line="400" w:lineRule="exact"/>
        <w:ind w:left="0" w:right="-31" w:rightChars="-15" w:firstLine="6009" w:firstLineChars="2504"/>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声明企业：（公章）</w:t>
      </w:r>
    </w:p>
    <w:p>
      <w:pPr>
        <w:pStyle w:val="140"/>
        <w:wordWrap w:val="0"/>
        <w:spacing w:line="400" w:lineRule="exact"/>
        <w:ind w:left="0" w:right="-31" w:rightChars="-15" w:firstLine="6009" w:firstLineChars="2504"/>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法定代表人：（签字或盖章）</w:t>
      </w:r>
    </w:p>
    <w:p>
      <w:pPr>
        <w:pStyle w:val="140"/>
        <w:wordWrap w:val="0"/>
        <w:spacing w:line="400" w:lineRule="exact"/>
        <w:ind w:left="0" w:right="-31" w:rightChars="-15" w:firstLine="6009" w:firstLineChars="2504"/>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项目经理：（签字或盖章）</w:t>
      </w:r>
    </w:p>
    <w:p>
      <w:pPr>
        <w:pStyle w:val="117"/>
        <w:wordWrap w:val="0"/>
        <w:spacing w:line="400" w:lineRule="exact"/>
        <w:ind w:right="-31" w:rightChars="-15" w:firstLine="6009" w:firstLineChars="2504"/>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20  年  月  日</w:t>
      </w:r>
    </w:p>
    <w:p>
      <w:pPr>
        <w:outlineLvl w:val="2"/>
        <w:rPr>
          <w:rFonts w:hint="eastAsia" w:ascii="宋体" w:hAnsi="宋体" w:cs="宋体" w:eastAsiaTheme="minorEastAsia"/>
          <w:color w:val="auto"/>
          <w:kern w:val="0"/>
          <w:sz w:val="24"/>
          <w:highlight w:val="none"/>
        </w:rPr>
      </w:pPr>
      <w:r>
        <w:rPr>
          <w:rFonts w:hint="eastAsia" w:cs="宋体" w:asciiTheme="minorEastAsia" w:hAnsiTheme="minorEastAsia" w:eastAsiaTheme="minorEastAsia"/>
          <w:iCs/>
          <w:color w:val="auto"/>
          <w:sz w:val="24"/>
          <w:highlight w:val="none"/>
        </w:rPr>
        <w:br w:type="page"/>
      </w:r>
      <w:bookmarkStart w:id="480" w:name="_Toc399334155"/>
      <w:bookmarkStart w:id="481" w:name="_Toc471411959"/>
      <w:bookmarkStart w:id="482" w:name="_Toc423602844"/>
      <w:bookmarkStart w:id="483" w:name="_Toc398374401"/>
      <w:bookmarkStart w:id="484" w:name="_Toc423593518"/>
      <w:bookmarkStart w:id="485" w:name="_Toc398373986"/>
      <w:bookmarkStart w:id="486" w:name="_Toc422481188"/>
      <w:bookmarkStart w:id="487" w:name="_Toc471463758"/>
      <w:bookmarkStart w:id="488" w:name="_Toc398538900"/>
      <w:bookmarkStart w:id="489" w:name="_Toc7708"/>
      <w:bookmarkStart w:id="490" w:name="_Toc21866"/>
      <w:bookmarkStart w:id="491" w:name="_Toc24558"/>
      <w:bookmarkStart w:id="492" w:name="_Toc5020"/>
      <w:bookmarkStart w:id="493" w:name="_Toc30915"/>
      <w:bookmarkStart w:id="494" w:name="_Toc19204340"/>
      <w:r>
        <w:rPr>
          <w:rFonts w:hint="eastAsia" w:cs="宋体" w:asciiTheme="minorEastAsia" w:hAnsiTheme="minorEastAsia" w:eastAsiaTheme="minorEastAsia"/>
          <w:iCs/>
          <w:color w:val="auto"/>
          <w:sz w:val="24"/>
          <w:highlight w:val="none"/>
        </w:rPr>
        <w:t>格式7</w:t>
      </w:r>
      <w:r>
        <w:rPr>
          <w:rFonts w:hint="eastAsia" w:cs="宋体" w:asciiTheme="minorEastAsia" w:hAnsiTheme="minorEastAsia" w:eastAsiaTheme="minorEastAsia"/>
          <w:color w:val="auto"/>
          <w:sz w:val="24"/>
          <w:highlight w:val="none"/>
          <w:lang w:bidi="ar"/>
        </w:rPr>
        <w:t>：联合体协议书（如有）</w:t>
      </w:r>
    </w:p>
    <w:p>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pPr>
        <w:rPr>
          <w:rFonts w:hint="eastAsia" w:cs="宋体" w:asciiTheme="minorEastAsia" w:hAnsiTheme="minorEastAsia" w:eastAsiaTheme="minorEastAsia"/>
          <w:iCs/>
          <w:color w:val="auto"/>
          <w:sz w:val="24"/>
          <w:highlight w:val="none"/>
        </w:rPr>
      </w:pPr>
      <w:r>
        <w:rPr>
          <w:rFonts w:hint="eastAsia" w:ascii="宋体" w:hAnsi="宋体" w:eastAsia="宋体" w:cs="宋体"/>
          <w:color w:val="auto"/>
          <w:kern w:val="1"/>
          <w:sz w:val="24"/>
          <w:highlight w:val="none"/>
          <w:lang w:eastAsia="zh-CN" w:bidi="ar"/>
        </w:rPr>
        <w:t>（</w:t>
      </w:r>
      <w:r>
        <w:rPr>
          <w:rFonts w:hint="eastAsia" w:ascii="宋体" w:hAnsi="宋体" w:eastAsia="宋体" w:cs="宋体"/>
          <w:color w:val="auto"/>
          <w:kern w:val="1"/>
          <w:sz w:val="24"/>
          <w:highlight w:val="none"/>
          <w:lang w:val="en-US" w:eastAsia="zh-CN" w:bidi="ar"/>
        </w:rPr>
        <w:t>详见招标公告附件）</w:t>
      </w:r>
      <w:r>
        <w:rPr>
          <w:rFonts w:hint="eastAsia" w:cs="宋体" w:asciiTheme="minorEastAsia" w:hAnsiTheme="minorEastAsia" w:eastAsiaTheme="minorEastAsia"/>
          <w:iCs/>
          <w:color w:val="auto"/>
          <w:sz w:val="24"/>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格式8：</w:t>
      </w:r>
      <w:bookmarkEnd w:id="480"/>
      <w:bookmarkEnd w:id="481"/>
      <w:bookmarkEnd w:id="482"/>
      <w:bookmarkEnd w:id="483"/>
      <w:bookmarkEnd w:id="484"/>
      <w:bookmarkEnd w:id="485"/>
      <w:bookmarkEnd w:id="486"/>
      <w:bookmarkEnd w:id="487"/>
      <w:bookmarkEnd w:id="488"/>
      <w:r>
        <w:rPr>
          <w:rFonts w:hint="eastAsia" w:cs="宋体" w:asciiTheme="minorEastAsia" w:hAnsiTheme="minorEastAsia" w:eastAsiaTheme="minorEastAsia"/>
          <w:color w:val="auto"/>
          <w:sz w:val="24"/>
          <w:highlight w:val="none"/>
        </w:rPr>
        <w:t>投标保证金汇款声明函</w:t>
      </w:r>
      <w:bookmarkEnd w:id="489"/>
      <w:bookmarkEnd w:id="490"/>
      <w:bookmarkEnd w:id="491"/>
      <w:bookmarkEnd w:id="492"/>
      <w:bookmarkEnd w:id="493"/>
      <w:bookmarkEnd w:id="494"/>
    </w:p>
    <w:p>
      <w:p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①由广州交易集团有限公司代收投标保证金的，其缴纳情况以广州交易集团有限公司（广州公共资源交易中心）数据库记录的信息为准，可不附保证金凭证。（详见本招标文件第二章投标人须知前附表3.4.1）</w:t>
      </w:r>
    </w:p>
    <w:p>
      <w:p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②如采用保函或保险等形式提交的，银行保函或保险需开具给招标人（受益人也必须是招标人）。</w:t>
      </w:r>
      <w:r>
        <w:rPr>
          <w:rFonts w:hint="eastAsia" w:ascii="宋体" w:hAnsi="宋体" w:eastAsia="宋体" w:cs="宋体"/>
          <w:color w:val="auto"/>
          <w:sz w:val="24"/>
          <w:highlight w:val="none"/>
        </w:rPr>
        <w:t>纸质保函或保险等凭证必须在投标截止时间前15分钟内将原件单独密封（封口处加盖投标人单位公章）递交至开标室</w:t>
      </w:r>
      <w:r>
        <w:rPr>
          <w:rFonts w:hint="eastAsia" w:cs="宋体" w:asciiTheme="minorEastAsia" w:hAnsiTheme="minorEastAsia" w:eastAsiaTheme="minorEastAsia"/>
          <w:color w:val="auto"/>
          <w:sz w:val="24"/>
          <w:highlight w:val="none"/>
        </w:rPr>
        <w:t>。以保函或保险等形式递交的，其凭证的扫描件需放到投标文件中。</w:t>
      </w:r>
    </w:p>
    <w:p>
      <w:pPr>
        <w:wordWrap w:val="0"/>
        <w:adjustRightInd w:val="0"/>
        <w:snapToGrid w:val="0"/>
        <w:spacing w:line="360" w:lineRule="auto"/>
        <w:rPr>
          <w:rFonts w:hint="eastAsia" w:cs="宋体" w:asciiTheme="minorEastAsia" w:hAnsiTheme="minorEastAsia" w:eastAsiaTheme="minorEastAsia"/>
          <w:color w:val="auto"/>
          <w:szCs w:val="21"/>
          <w:highlight w:val="none"/>
        </w:rPr>
      </w:pPr>
      <w:bookmarkStart w:id="495" w:name="_Toc423593519"/>
      <w:bookmarkStart w:id="496" w:name="_Toc19204341"/>
      <w:bookmarkStart w:id="497" w:name="_Toc30045"/>
      <w:bookmarkStart w:id="498" w:name="_Toc471463759"/>
      <w:bookmarkStart w:id="499" w:name="_Toc422481189"/>
      <w:bookmarkStart w:id="500" w:name="_Toc471411960"/>
      <w:bookmarkStart w:id="501" w:name="_Toc423602845"/>
      <w:bookmarkStart w:id="502" w:name="_Toc21443"/>
      <w:bookmarkStart w:id="503" w:name="_Toc398374404"/>
      <w:bookmarkStart w:id="504" w:name="_Toc399334158"/>
      <w:bookmarkStart w:id="505" w:name="_Toc398373989"/>
      <w:bookmarkStart w:id="506" w:name="_Toc398538903"/>
      <w:r>
        <w:rPr>
          <w:rFonts w:hint="eastAsia" w:cs="宋体" w:asciiTheme="minorEastAsia" w:hAnsiTheme="minorEastAsia" w:eastAsiaTheme="minorEastAsia"/>
          <w:color w:val="auto"/>
          <w:szCs w:val="21"/>
          <w:highlight w:val="none"/>
        </w:rPr>
        <w:br w:type="page"/>
      </w:r>
      <w:r>
        <w:rPr>
          <w:rFonts w:hint="eastAsia" w:ascii="宋体" w:hAnsi="宋体" w:eastAsia="宋体" w:cs="宋体"/>
          <w:color w:val="auto"/>
          <w:sz w:val="24"/>
          <w:highlight w:val="none"/>
        </w:rPr>
        <w:t>采用银行保函（或保证保险、或专业担保公司担保）提交投标保证金的，纸质保函或保险等凭证必须在投标截止时间前15分钟内将原件单独密封（封口处加盖投标人单位公章）递交至开标室，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wordWrap/>
        <w:adjustRightInd/>
        <w:snapToGrid/>
        <w:spacing w:line="240" w:lineRule="auto"/>
        <w:outlineLvl w:val="9"/>
        <w:rPr>
          <w:rFonts w:hint="eastAsia" w:cs="宋体" w:asciiTheme="minorEastAsia" w:hAnsiTheme="minorEastAsia" w:eastAsiaTheme="minorEastAsia"/>
          <w:color w:val="auto"/>
          <w:sz w:val="24"/>
          <w:highlight w:val="none"/>
        </w:rPr>
      </w:pPr>
      <w:bookmarkStart w:id="507" w:name="_Toc13973"/>
      <w:bookmarkStart w:id="508" w:name="_Toc17994"/>
      <w:bookmarkStart w:id="509" w:name="_Toc21319"/>
      <w:bookmarkStart w:id="510" w:name="_Toc45640853"/>
      <w:bookmarkStart w:id="511" w:name="_Toc49436751"/>
      <w:bookmarkStart w:id="512" w:name="_Toc31678"/>
      <w:bookmarkStart w:id="513" w:name="_Toc62725840"/>
      <w:r>
        <w:rPr>
          <w:rFonts w:hint="eastAsia" w:cs="宋体" w:asciiTheme="minorEastAsia" w:hAnsiTheme="minorEastAsia" w:eastAsiaTheme="minorEastAsia"/>
          <w:color w:val="auto"/>
          <w:sz w:val="24"/>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格式9：商务条款偏差表</w:t>
      </w:r>
      <w:bookmarkEnd w:id="495"/>
      <w:bookmarkEnd w:id="496"/>
      <w:bookmarkEnd w:id="497"/>
      <w:bookmarkEnd w:id="498"/>
      <w:bookmarkEnd w:id="499"/>
      <w:bookmarkEnd w:id="500"/>
      <w:bookmarkEnd w:id="501"/>
      <w:bookmarkEnd w:id="502"/>
      <w:bookmarkEnd w:id="507"/>
      <w:bookmarkEnd w:id="508"/>
      <w:bookmarkEnd w:id="509"/>
      <w:bookmarkEnd w:id="510"/>
      <w:bookmarkEnd w:id="511"/>
      <w:bookmarkEnd w:id="512"/>
      <w:bookmarkEnd w:id="513"/>
    </w:p>
    <w:p>
      <w:pPr>
        <w:keepNext/>
        <w:keepLines/>
        <w:spacing w:before="120" w:beforeLines="50" w:after="120" w:afterLines="50" w:line="416" w:lineRule="auto"/>
        <w:jc w:val="center"/>
        <w:rPr>
          <w:rFonts w:hint="eastAsia" w:cs="宋体" w:asciiTheme="minorEastAsia" w:hAnsiTheme="minorEastAsia" w:eastAsiaTheme="minorEastAsia"/>
          <w:b/>
          <w:bCs/>
          <w:color w:val="auto"/>
          <w:sz w:val="24"/>
          <w:highlight w:val="none"/>
        </w:rPr>
      </w:pPr>
      <w:bookmarkStart w:id="514" w:name="_Toc49436752"/>
      <w:r>
        <w:rPr>
          <w:rFonts w:hint="eastAsia" w:cs="宋体" w:asciiTheme="minorEastAsia" w:hAnsiTheme="minorEastAsia" w:eastAsiaTheme="minorEastAsia"/>
          <w:b/>
          <w:bCs/>
          <w:color w:val="auto"/>
          <w:sz w:val="28"/>
          <w:szCs w:val="28"/>
          <w:highlight w:val="none"/>
        </w:rPr>
        <w:t>商务条款偏差表</w:t>
      </w:r>
      <w:bookmarkEnd w:id="514"/>
    </w:p>
    <w:bookmarkEnd w:id="503"/>
    <w:bookmarkEnd w:id="504"/>
    <w:bookmarkEnd w:id="505"/>
    <w:bookmarkEnd w:id="506"/>
    <w:p>
      <w:pPr>
        <w:wordWrap w:val="0"/>
        <w:snapToGrid w:val="0"/>
        <w:spacing w:line="360" w:lineRule="auto"/>
        <w:ind w:left="1162" w:hanging="1161" w:hangingChars="484"/>
        <w:rPr>
          <w:rFonts w:hint="eastAsia" w:cs="宋体" w:asciiTheme="minorEastAsia" w:hAnsiTheme="minorEastAsia" w:eastAsiaTheme="minorEastAsia"/>
          <w:color w:val="auto"/>
          <w:sz w:val="24"/>
          <w:highlight w:val="none"/>
          <w:u w:val="single"/>
          <w:lang w:eastAsia="zh-CN"/>
        </w:rPr>
      </w:pPr>
      <w:r>
        <w:rPr>
          <w:rFonts w:hint="eastAsia" w:cs="宋体" w:asciiTheme="minorEastAsia" w:hAnsiTheme="minorEastAsia" w:eastAsiaTheme="minorEastAsia"/>
          <w:color w:val="auto"/>
          <w:sz w:val="24"/>
          <w:highlight w:val="none"/>
        </w:rPr>
        <w:t>项目名称：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eastAsia="zh-CN"/>
        </w:rPr>
        <w:t>广州水投集团“水务+光伏”一体化节能改造项目（10.78兆瓦分布式光伏发电项目）设计-采购-施工总承包（EPC）（第二标段）</w:t>
      </w:r>
    </w:p>
    <w:p>
      <w:pPr>
        <w:wordWrap w:val="0"/>
        <w:snapToGrid w:val="0"/>
        <w:spacing w:line="360" w:lineRule="auto"/>
        <w:ind w:left="1162" w:hanging="1161" w:hangingChars="484"/>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p>
      <w:pPr>
        <w:rPr>
          <w:rFonts w:hint="eastAsia"/>
          <w:color w:val="auto"/>
          <w:highlight w:val="none"/>
        </w:rPr>
      </w:pPr>
    </w:p>
    <w:p>
      <w:pPr>
        <w:wordWrap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致：（招标人）、（招标代理） </w:t>
      </w:r>
    </w:p>
    <w:p>
      <w:p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我方在研究了本项目招标文件商务部分条款（包括合同条款及合同附件）和项目澄清修改文件（若有）后，在此提出我方投标文件的商务偏差（若有，详见下表）。</w:t>
      </w:r>
    </w:p>
    <w:p>
      <w:p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除下表所列的偏差外，我方承诺放弃在此方面提出含糊意见或误解的一切权利，招标人可以认为我方完全接受招标文件商务部分条款和项目澄清修改文件（若有）其他部分的约定。</w:t>
      </w:r>
    </w:p>
    <w:tbl>
      <w:tblPr>
        <w:tblStyle w:val="37"/>
        <w:tblW w:w="909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1"/>
        <w:gridCol w:w="1323"/>
        <w:gridCol w:w="1825"/>
        <w:gridCol w:w="2003"/>
        <w:gridCol w:w="2349"/>
        <w:gridCol w:w="79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招标文件条款号</w:t>
            </w:r>
          </w:p>
        </w:tc>
        <w:tc>
          <w:tcPr>
            <w:tcW w:w="1825"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招标文件条款</w:t>
            </w:r>
          </w:p>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内容</w:t>
            </w:r>
          </w:p>
        </w:tc>
        <w:tc>
          <w:tcPr>
            <w:tcW w:w="2003"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投标文件响应</w:t>
            </w:r>
          </w:p>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情况</w:t>
            </w:r>
          </w:p>
        </w:tc>
        <w:tc>
          <w:tcPr>
            <w:tcW w:w="2349"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提出偏差的理由</w:t>
            </w:r>
          </w:p>
        </w:tc>
        <w:tc>
          <w:tcPr>
            <w:tcW w:w="799"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cs="宋体" w:asciiTheme="minorEastAsia" w:hAnsiTheme="minorEastAsia" w:eastAsiaTheme="minorEastAsia"/>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cs="宋体" w:asciiTheme="minorEastAsia" w:hAnsiTheme="minorEastAsia" w:eastAsiaTheme="minorEastAsia"/>
                <w:color w:val="auto"/>
                <w:sz w:val="24"/>
                <w:highlight w:val="none"/>
              </w:rPr>
            </w:pPr>
          </w:p>
        </w:tc>
        <w:tc>
          <w:tcPr>
            <w:tcW w:w="200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cs="宋体" w:asciiTheme="minorEastAsia" w:hAnsiTheme="minorEastAsia" w:eastAsiaTheme="minorEastAsia"/>
                <w:color w:val="auto"/>
                <w:sz w:val="24"/>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cs="宋体" w:asciiTheme="minorEastAsia" w:hAnsiTheme="minorEastAsia" w:eastAsiaTheme="minorEastAsia"/>
                <w:color w:val="auto"/>
                <w:sz w:val="24"/>
                <w:highlight w:val="none"/>
              </w:rPr>
            </w:pPr>
          </w:p>
        </w:tc>
        <w:tc>
          <w:tcPr>
            <w:tcW w:w="79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00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34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79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00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34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79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00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34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79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182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003"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234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c>
          <w:tcPr>
            <w:tcW w:w="799"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hint="eastAsia" w:cs="宋体" w:asciiTheme="minorEastAsia" w:hAnsiTheme="minorEastAsia" w:eastAsiaTheme="minorEastAsia"/>
                <w:color w:val="auto"/>
                <w:sz w:val="24"/>
                <w:highlight w:val="none"/>
              </w:rPr>
            </w:pPr>
          </w:p>
        </w:tc>
      </w:tr>
    </w:tbl>
    <w:p>
      <w:pPr>
        <w:wordWrap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注：1.如投标人对招标文件商务部分条款（包括合同条款及合同附件）提出偏差，应在表格中清楚地指明修改后的条款及理由。</w:t>
      </w:r>
    </w:p>
    <w:p>
      <w:pPr>
        <w:numPr>
          <w:ilvl w:val="255"/>
          <w:numId w:val="0"/>
        </w:num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2.若所有条款无偏差，请在表格中“投标文件响应情况”首行注明“完全响应”，不能留空。</w:t>
      </w:r>
    </w:p>
    <w:p>
      <w:pPr>
        <w:pStyle w:val="36"/>
        <w:ind w:firstLine="0"/>
        <w:rPr>
          <w:rFonts w:hint="eastAsia" w:cs="宋体" w:asciiTheme="minorEastAsia" w:hAnsiTheme="minorEastAsia" w:eastAsiaTheme="minorEastAsia"/>
          <w:color w:val="auto"/>
          <w:sz w:val="24"/>
          <w:highlight w:val="none"/>
        </w:rPr>
      </w:pPr>
    </w:p>
    <w:p>
      <w:pPr>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投标人：（公章）</w:t>
      </w:r>
    </w:p>
    <w:p>
      <w:pPr>
        <w:wordWrap w:val="0"/>
        <w:adjustRightInd w:val="0"/>
        <w:snapToGrid w:val="0"/>
        <w:spacing w:line="360" w:lineRule="auto"/>
        <w:ind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或其委托代理人：（签字或盖章）</w:t>
      </w:r>
    </w:p>
    <w:p>
      <w:pPr>
        <w:tabs>
          <w:tab w:val="left" w:pos="1440"/>
        </w:tabs>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日期：20  年  月  日</w:t>
      </w:r>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br w:type="page"/>
      </w:r>
      <w:bookmarkStart w:id="515" w:name="_Toc3298"/>
      <w:bookmarkStart w:id="516" w:name="_Toc25038"/>
      <w:bookmarkStart w:id="517" w:name="_Toc5449"/>
      <w:bookmarkStart w:id="518" w:name="_Toc62725841"/>
      <w:bookmarkStart w:id="519" w:name="_Toc45640854"/>
      <w:bookmarkStart w:id="520" w:name="_Toc15367"/>
      <w:bookmarkStart w:id="521" w:name="_Toc3247"/>
      <w:bookmarkStart w:id="522" w:name="_Toc16729"/>
      <w:bookmarkStart w:id="523" w:name="_Toc19204342"/>
      <w:bookmarkStart w:id="524" w:name="_Toc49436753"/>
      <w:bookmarkStart w:id="525" w:name="_Toc31113"/>
      <w:r>
        <w:rPr>
          <w:rFonts w:hint="eastAsia" w:cs="宋体" w:asciiTheme="minorEastAsia" w:hAnsiTheme="minorEastAsia" w:eastAsiaTheme="minorEastAsia"/>
          <w:color w:val="auto"/>
          <w:sz w:val="24"/>
          <w:highlight w:val="none"/>
        </w:rPr>
        <w:t>格式10：财务状况</w:t>
      </w:r>
      <w:bookmarkEnd w:id="515"/>
      <w:bookmarkEnd w:id="516"/>
      <w:bookmarkEnd w:id="517"/>
      <w:bookmarkEnd w:id="518"/>
      <w:bookmarkEnd w:id="519"/>
      <w:bookmarkEnd w:id="520"/>
      <w:bookmarkEnd w:id="521"/>
      <w:bookmarkEnd w:id="522"/>
      <w:bookmarkEnd w:id="523"/>
      <w:bookmarkEnd w:id="524"/>
      <w:bookmarkEnd w:id="525"/>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财务状况</w:t>
      </w:r>
    </w:p>
    <w:tbl>
      <w:tblPr>
        <w:tblStyle w:val="37"/>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2374"/>
        <w:gridCol w:w="1334"/>
        <w:gridCol w:w="925"/>
        <w:gridCol w:w="927"/>
        <w:gridCol w:w="906"/>
        <w:gridCol w:w="947"/>
        <w:gridCol w:w="187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5000" w:type="pct"/>
            <w:gridSpan w:val="7"/>
            <w:tcBorders>
              <w:top w:val="single" w:color="auto" w:sz="6" w:space="0"/>
              <w:left w:val="single" w:color="auto" w:sz="6" w:space="0"/>
              <w:bottom w:val="single" w:color="auto" w:sz="6" w:space="0"/>
              <w:right w:val="single" w:color="auto" w:sz="6" w:space="0"/>
            </w:tcBorders>
            <w:vAlign w:val="center"/>
          </w:tcPr>
          <w:p>
            <w:pPr>
              <w:wordWrap w:val="0"/>
              <w:spacing w:before="120" w:beforeLines="50"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广州水务环保技术有限公司</w:t>
            </w:r>
            <w:r>
              <w:rPr>
                <w:rFonts w:hint="eastAsia" w:cs="宋体" w:asciiTheme="minorEastAsia" w:hAnsiTheme="minorEastAsia" w:eastAsiaTheme="minorEastAsia"/>
                <w:color w:val="auto"/>
                <w:sz w:val="24"/>
                <w:highlight w:val="none"/>
              </w:rPr>
              <w:t>：</w:t>
            </w:r>
          </w:p>
          <w:p>
            <w:pPr>
              <w:wordWrap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我方在此声明：我方对本表下述所填信息的是准确的、真实的、符合客观事实的、不存在虚假成份。若我方违反上述声明，愿承担与此相关的一切责任。</w:t>
            </w:r>
          </w:p>
          <w:p>
            <w:pPr>
              <w:wordWrap w:val="0"/>
              <w:spacing w:line="360" w:lineRule="auto"/>
              <w:rPr>
                <w:rFonts w:hint="eastAsia" w:cs="宋体" w:asciiTheme="minorEastAsia" w:hAnsiTheme="minorEastAsia" w:eastAsiaTheme="minorEastAsia"/>
                <w:color w:val="auto"/>
                <w:sz w:val="24"/>
                <w:highlight w:val="none"/>
              </w:rPr>
            </w:pPr>
          </w:p>
          <w:p>
            <w:pPr>
              <w:wordWrap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投 标 人：（公章）</w:t>
            </w:r>
          </w:p>
          <w:p>
            <w:pPr>
              <w:wordWrap w:val="0"/>
              <w:spacing w:line="360" w:lineRule="auto"/>
              <w:jc w:val="righ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法定代表人或其委托代理人：（签字或盖章）</w:t>
            </w:r>
          </w:p>
          <w:p>
            <w:pPr>
              <w:wordWrap w:val="0"/>
              <w:spacing w:line="360" w:lineRule="auto"/>
              <w:jc w:val="center"/>
              <w:rPr>
                <w:rFonts w:hint="eastAsia" w:cs="宋体" w:asciiTheme="minorEastAsia" w:hAnsiTheme="minorEastAsia" w:eastAsiaTheme="minorEastAsia"/>
                <w:smallCaps/>
                <w:color w:val="auto"/>
                <w:szCs w:val="21"/>
                <w:highlight w:val="none"/>
              </w:rPr>
            </w:pPr>
            <w:r>
              <w:rPr>
                <w:rFonts w:hint="eastAsia" w:cs="宋体" w:asciiTheme="minorEastAsia" w:hAnsiTheme="minorEastAsia" w:eastAsiaTheme="minorEastAsia"/>
                <w:color w:val="auto"/>
                <w:sz w:val="24"/>
                <w:highlight w:val="none"/>
              </w:rPr>
              <w:t xml:space="preserve">                            日    期：           </w:t>
            </w:r>
            <w:r>
              <w:rPr>
                <w:rFonts w:hint="eastAsia" w:cs="宋体" w:asciiTheme="minorEastAsia" w:hAnsiTheme="minorEastAsia" w:eastAsiaTheme="minorEastAsia"/>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638" w:hRule="atLeast"/>
          <w:jc w:val="center"/>
        </w:trPr>
        <w:tc>
          <w:tcPr>
            <w:tcW w:w="5000" w:type="pct"/>
            <w:gridSpan w:val="7"/>
            <w:tcBorders>
              <w:top w:val="single" w:color="auto" w:sz="6" w:space="0"/>
              <w:left w:val="single" w:color="auto" w:sz="6" w:space="0"/>
              <w:bottom w:val="single" w:color="auto" w:sz="6" w:space="0"/>
              <w:right w:val="single" w:color="auto" w:sz="6" w:space="0"/>
            </w:tcBorders>
            <w:vAlign w:val="center"/>
          </w:tcPr>
          <w:p>
            <w:pPr>
              <w:wordWrap w:val="0"/>
              <w:ind w:right="42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bCs/>
                <w:snapToGrid w:val="0"/>
                <w:color w:val="auto"/>
                <w:spacing w:val="4"/>
                <w:sz w:val="28"/>
                <w:szCs w:val="28"/>
                <w:highlight w:val="none"/>
              </w:rPr>
              <w:t>财务状况表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1278" w:type="pct"/>
            <w:vMerge w:val="restart"/>
            <w:tcBorders>
              <w:top w:val="single" w:color="auto" w:sz="6" w:space="0"/>
              <w:left w:val="single" w:color="auto" w:sz="6" w:space="0"/>
              <w:bottom w:val="single" w:color="auto" w:sz="6" w:space="0"/>
              <w:right w:val="single" w:color="auto" w:sz="6" w:space="0"/>
            </w:tcBorders>
            <w:vAlign w:val="center"/>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1、资产状况</w:t>
            </w:r>
          </w:p>
        </w:tc>
        <w:tc>
          <w:tcPr>
            <w:tcW w:w="12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法定资本：   万元</w:t>
            </w:r>
          </w:p>
        </w:tc>
        <w:tc>
          <w:tcPr>
            <w:tcW w:w="98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tc>
        <w:tc>
          <w:tcPr>
            <w:tcW w:w="15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1278" w:type="pct"/>
            <w:vMerge w:val="continue"/>
            <w:tcBorders>
              <w:top w:val="single" w:color="auto" w:sz="6" w:space="0"/>
              <w:left w:val="single" w:color="auto" w:sz="6" w:space="0"/>
              <w:bottom w:val="single" w:color="auto" w:sz="6" w:space="0"/>
              <w:right w:val="single" w:color="auto" w:sz="6" w:space="0"/>
            </w:tcBorders>
            <w:vAlign w:val="center"/>
          </w:tcPr>
          <w:p>
            <w:pPr>
              <w:widowControl/>
              <w:wordWrap w:val="0"/>
              <w:jc w:val="left"/>
              <w:rPr>
                <w:rFonts w:hint="eastAsia" w:ascii="宋体" w:hAnsi="宋体" w:eastAsia="宋体" w:cs="宋体"/>
                <w:color w:val="auto"/>
                <w:sz w:val="24"/>
                <w:highlight w:val="none"/>
              </w:rPr>
            </w:pPr>
          </w:p>
        </w:tc>
        <w:tc>
          <w:tcPr>
            <w:tcW w:w="12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已发行股本：  万元</w:t>
            </w:r>
          </w:p>
        </w:tc>
        <w:tc>
          <w:tcPr>
            <w:tcW w:w="98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5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smallCaps/>
                <w:color w:val="auto"/>
                <w:sz w:val="24"/>
                <w:highlight w:val="none"/>
              </w:rPr>
            </w:pPr>
            <w:r>
              <w:rPr>
                <w:rFonts w:hint="eastAsia" w:ascii="宋体" w:hAnsi="宋体" w:eastAsia="宋体" w:cs="宋体"/>
                <w:color w:val="auto"/>
                <w:sz w:val="24"/>
                <w:highlight w:val="none"/>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1278" w:type="pct"/>
            <w:vMerge w:val="restart"/>
            <w:tcBorders>
              <w:top w:val="single" w:color="auto" w:sz="6" w:space="0"/>
              <w:left w:val="single" w:color="auto" w:sz="6" w:space="0"/>
              <w:bottom w:val="single" w:color="auto" w:sz="6" w:space="0"/>
              <w:right w:val="single" w:color="auto" w:sz="6" w:space="0"/>
            </w:tcBorders>
            <w:vAlign w:val="center"/>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2、负债总额</w:t>
            </w:r>
          </w:p>
        </w:tc>
        <w:tc>
          <w:tcPr>
            <w:tcW w:w="1216" w:type="pct"/>
            <w:gridSpan w:val="2"/>
            <w:vMerge w:val="restart"/>
            <w:tcBorders>
              <w:top w:val="single" w:color="auto" w:sz="6" w:space="0"/>
              <w:left w:val="single" w:color="auto" w:sz="6" w:space="0"/>
              <w:bottom w:val="single" w:color="auto" w:sz="6" w:space="0"/>
              <w:right w:val="single" w:color="auto" w:sz="6" w:space="0"/>
            </w:tcBorders>
            <w:vAlign w:val="center"/>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c>
          <w:tcPr>
            <w:tcW w:w="98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smallCaps/>
                <w:color w:val="auto"/>
                <w:sz w:val="24"/>
                <w:highlight w:val="none"/>
              </w:rPr>
            </w:pPr>
            <w:r>
              <w:rPr>
                <w:rFonts w:hint="eastAsia" w:ascii="宋体" w:hAnsi="宋体" w:eastAsia="宋体" w:cs="宋体"/>
                <w:color w:val="auto"/>
                <w:sz w:val="24"/>
                <w:highlight w:val="none"/>
              </w:rPr>
              <w:t>长期负债</w:t>
            </w:r>
          </w:p>
        </w:tc>
        <w:tc>
          <w:tcPr>
            <w:tcW w:w="15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smallCaps/>
                <w:color w:val="auto"/>
                <w:sz w:val="24"/>
                <w:highlight w:val="none"/>
              </w:rPr>
            </w:pPr>
            <w:r>
              <w:rPr>
                <w:rFonts w:hint="eastAsia" w:ascii="宋体" w:hAnsi="宋体" w:eastAsia="宋体" w:cs="宋体"/>
                <w:color w:val="auto"/>
                <w:sz w:val="24"/>
                <w:highlight w:val="none"/>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1278" w:type="pct"/>
            <w:vMerge w:val="continue"/>
            <w:tcBorders>
              <w:top w:val="single" w:color="auto" w:sz="6" w:space="0"/>
              <w:left w:val="single" w:color="auto" w:sz="6" w:space="0"/>
              <w:bottom w:val="single" w:color="auto" w:sz="6" w:space="0"/>
              <w:right w:val="single" w:color="auto" w:sz="6" w:space="0"/>
            </w:tcBorders>
            <w:vAlign w:val="center"/>
          </w:tcPr>
          <w:p>
            <w:pPr>
              <w:widowControl/>
              <w:wordWrap w:val="0"/>
              <w:jc w:val="left"/>
              <w:rPr>
                <w:rFonts w:hint="eastAsia" w:ascii="宋体" w:hAnsi="宋体" w:eastAsia="宋体" w:cs="宋体"/>
                <w:color w:val="auto"/>
                <w:sz w:val="24"/>
                <w:highlight w:val="none"/>
              </w:rPr>
            </w:pPr>
          </w:p>
        </w:tc>
        <w:tc>
          <w:tcPr>
            <w:tcW w:w="1216" w:type="pct"/>
            <w:gridSpan w:val="2"/>
            <w:vMerge w:val="continue"/>
            <w:tcBorders>
              <w:top w:val="single" w:color="auto" w:sz="6" w:space="0"/>
              <w:left w:val="single" w:color="auto" w:sz="6" w:space="0"/>
              <w:bottom w:val="single" w:color="auto" w:sz="6" w:space="0"/>
              <w:right w:val="single" w:color="auto" w:sz="6" w:space="0"/>
            </w:tcBorders>
            <w:vAlign w:val="center"/>
          </w:tcPr>
          <w:p>
            <w:pPr>
              <w:widowControl/>
              <w:wordWrap w:val="0"/>
              <w:jc w:val="left"/>
              <w:rPr>
                <w:rFonts w:hint="eastAsia" w:ascii="宋体" w:hAnsi="宋体" w:eastAsia="宋体" w:cs="宋体"/>
                <w:color w:val="auto"/>
                <w:sz w:val="24"/>
                <w:highlight w:val="none"/>
              </w:rPr>
            </w:pPr>
          </w:p>
        </w:tc>
        <w:tc>
          <w:tcPr>
            <w:tcW w:w="98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流动负债</w:t>
            </w:r>
          </w:p>
        </w:tc>
        <w:tc>
          <w:tcPr>
            <w:tcW w:w="1516"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jc w:val="center"/>
        </w:trPr>
        <w:tc>
          <w:tcPr>
            <w:tcW w:w="5000" w:type="pct"/>
            <w:gridSpan w:val="7"/>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年每年财务概况：</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份</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2</w:t>
            </w: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smallCaps/>
                <w:color w:val="auto"/>
                <w:sz w:val="24"/>
                <w:highlight w:val="none"/>
                <w:lang w:eastAsia="zh-CN"/>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3</w:t>
            </w: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smallCaps/>
                <w:color w:val="auto"/>
                <w:sz w:val="24"/>
                <w:highlight w:val="none"/>
                <w:lang w:eastAsia="zh-CN"/>
              </w:rPr>
            </w:pPr>
            <w:r>
              <w:rPr>
                <w:rFonts w:hint="eastAsia" w:ascii="宋体" w:hAnsi="宋体" w:eastAsia="宋体" w:cs="宋体"/>
                <w:smallCaps/>
                <w:color w:val="auto"/>
                <w:sz w:val="24"/>
                <w:highlight w:val="none"/>
              </w:rPr>
              <w:t>202</w:t>
            </w:r>
            <w:r>
              <w:rPr>
                <w:rFonts w:hint="eastAsia" w:ascii="宋体" w:hAnsi="宋体" w:eastAsia="宋体" w:cs="宋体"/>
                <w:smallCaps/>
                <w:color w:val="auto"/>
                <w:sz w:val="24"/>
                <w:highlight w:val="none"/>
                <w:lang w:val="en-US" w:eastAsia="zh-CN"/>
              </w:rPr>
              <w:t>4</w:t>
            </w: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三年平均</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资产总额(万元)</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营业收入(万元)</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营业收入增长率（%）</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利润总额(万元)</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净利润（万元）</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jc w:val="center"/>
        </w:trPr>
        <w:tc>
          <w:tcPr>
            <w:tcW w:w="127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资产负债率</w:t>
            </w:r>
          </w:p>
        </w:tc>
        <w:tc>
          <w:tcPr>
            <w:tcW w:w="718" w:type="pct"/>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7" w:type="pct"/>
            <w:gridSpan w:val="2"/>
            <w:tcBorders>
              <w:top w:val="single" w:color="auto" w:sz="6" w:space="0"/>
              <w:left w:val="single" w:color="auto" w:sz="6"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998" w:type="pct"/>
            <w:gridSpan w:val="2"/>
            <w:tcBorders>
              <w:top w:val="single" w:color="auto" w:sz="6" w:space="0"/>
              <w:left w:val="single" w:color="auto" w:sz="6" w:space="0"/>
              <w:bottom w:val="single" w:color="auto" w:sz="6" w:space="0"/>
              <w:right w:val="single" w:color="auto" w:sz="4" w:space="0"/>
            </w:tcBorders>
          </w:tcPr>
          <w:p>
            <w:pPr>
              <w:wordWrap w:val="0"/>
              <w:spacing w:after="120" w:afterLines="50" w:line="400" w:lineRule="exact"/>
              <w:jc w:val="center"/>
              <w:rPr>
                <w:rFonts w:hint="eastAsia" w:ascii="宋体" w:hAnsi="宋体" w:eastAsia="宋体" w:cs="宋体"/>
                <w:b/>
                <w:bCs/>
                <w:color w:val="auto"/>
                <w:sz w:val="24"/>
                <w:highlight w:val="none"/>
              </w:rPr>
            </w:pPr>
          </w:p>
        </w:tc>
        <w:tc>
          <w:tcPr>
            <w:tcW w:w="1007" w:type="pct"/>
            <w:tcBorders>
              <w:top w:val="single" w:color="auto" w:sz="6" w:space="0"/>
              <w:left w:val="single" w:color="auto" w:sz="4" w:space="0"/>
              <w:bottom w:val="single" w:color="auto" w:sz="6" w:space="0"/>
              <w:right w:val="single" w:color="auto" w:sz="6" w:space="0"/>
            </w:tcBorders>
          </w:tcPr>
          <w:p>
            <w:pPr>
              <w:wordWrap w:val="0"/>
              <w:spacing w:after="120" w:afterLines="50" w:line="400" w:lineRule="exact"/>
              <w:jc w:val="center"/>
              <w:rPr>
                <w:rFonts w:hint="eastAsia" w:ascii="宋体" w:hAnsi="宋体" w:eastAsia="宋体" w:cs="宋体"/>
                <w:b/>
                <w:bCs/>
                <w:color w:val="auto"/>
                <w:sz w:val="24"/>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1321" w:hRule="atLeast"/>
          <w:jc w:val="center"/>
        </w:trPr>
        <w:tc>
          <w:tcPr>
            <w:tcW w:w="5000" w:type="pct"/>
            <w:gridSpan w:val="7"/>
            <w:tcBorders>
              <w:top w:val="single" w:color="auto" w:sz="6" w:space="0"/>
              <w:left w:val="single" w:color="auto" w:sz="6" w:space="0"/>
              <w:bottom w:val="single" w:color="auto" w:sz="6" w:space="0"/>
              <w:right w:val="single" w:color="auto" w:sz="6" w:space="0"/>
            </w:tcBorders>
          </w:tcPr>
          <w:p>
            <w:pPr>
              <w:wordWrap w:val="0"/>
              <w:spacing w:before="120" w:beforeLines="5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本表后附：</w:t>
            </w:r>
          </w:p>
          <w:p>
            <w:pPr>
              <w:wordWrap w:val="0"/>
              <w:spacing w:line="360" w:lineRule="auto"/>
              <w:rPr>
                <w:rFonts w:hint="eastAsia" w:ascii="宋体" w:hAnsi="宋体" w:eastAsia="宋体" w:cs="宋体"/>
                <w:smallCaps/>
                <w:color w:val="auto"/>
                <w:sz w:val="24"/>
                <w:highlight w:val="none"/>
              </w:rPr>
            </w:pP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年、202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年、202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经第三方会计师事务所审计的财务报表（含资产负债表、损益表（或利润）、现金流量表）和其他投标人认为有用的财务资料的扫描件。</w:t>
            </w:r>
          </w:p>
        </w:tc>
      </w:tr>
    </w:tbl>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526" w:name="_Toc19204343"/>
      <w:bookmarkStart w:id="527" w:name="_Toc29615"/>
      <w:bookmarkStart w:id="528" w:name="_Toc514145008"/>
      <w:r>
        <w:rPr>
          <w:rFonts w:hint="eastAsia" w:cs="宋体" w:asciiTheme="minorEastAsia" w:hAnsiTheme="minorEastAsia" w:eastAsiaTheme="minorEastAsia"/>
          <w:color w:val="auto"/>
          <w:sz w:val="24"/>
          <w:highlight w:val="none"/>
        </w:rPr>
        <w:br w:type="page"/>
      </w:r>
      <w:bookmarkStart w:id="529" w:name="_Toc31183"/>
      <w:bookmarkStart w:id="530" w:name="_Toc49436754"/>
      <w:bookmarkStart w:id="531" w:name="_Toc62725842"/>
      <w:bookmarkStart w:id="532" w:name="_Toc12550"/>
      <w:bookmarkStart w:id="533" w:name="_Toc21768"/>
      <w:bookmarkStart w:id="534" w:name="_Toc45640855"/>
      <w:bookmarkStart w:id="535" w:name="_Toc10923"/>
      <w:r>
        <w:rPr>
          <w:rFonts w:hint="eastAsia" w:cs="宋体" w:asciiTheme="minorEastAsia" w:hAnsiTheme="minorEastAsia" w:eastAsiaTheme="minorEastAsia"/>
          <w:color w:val="auto"/>
          <w:sz w:val="24"/>
          <w:highlight w:val="none"/>
        </w:rPr>
        <w:t>格式11：拟派项目经理、设计负责人及项目团队</w:t>
      </w:r>
      <w:bookmarkEnd w:id="526"/>
      <w:bookmarkEnd w:id="527"/>
      <w:bookmarkEnd w:id="528"/>
      <w:bookmarkEnd w:id="529"/>
      <w:bookmarkEnd w:id="530"/>
      <w:bookmarkEnd w:id="531"/>
      <w:bookmarkEnd w:id="532"/>
      <w:bookmarkEnd w:id="533"/>
      <w:bookmarkEnd w:id="534"/>
      <w:bookmarkEnd w:id="535"/>
    </w:p>
    <w:p>
      <w:pPr>
        <w:tabs>
          <w:tab w:val="left" w:pos="284"/>
        </w:tabs>
        <w:wordWrap w:val="0"/>
        <w:autoSpaceDE w:val="0"/>
        <w:spacing w:line="44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1）拟任项目经理的简历表</w:t>
      </w:r>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拟任项目经理的简历表</w:t>
      </w:r>
    </w:p>
    <w:p>
      <w:pPr>
        <w:tabs>
          <w:tab w:val="left" w:pos="284"/>
        </w:tabs>
        <w:wordWrap w:val="0"/>
        <w:autoSpaceDE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广州水投集团“水务+光伏”一体化节能改造项目（10.78兆瓦分布式光伏发电项目）设计-采购-施工总承包（EPC）（第二标段）</w:t>
      </w:r>
    </w:p>
    <w:p>
      <w:pPr>
        <w:tabs>
          <w:tab w:val="left" w:pos="284"/>
        </w:tabs>
        <w:wordWrap w:val="0"/>
        <w:autoSpaceDE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06"/>
        <w:gridCol w:w="1543"/>
        <w:gridCol w:w="1543"/>
        <w:gridCol w:w="166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执业资格证名称</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执业资格证编号</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执业资格证等级</w:t>
            </w: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从事项目经理年限</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rPr>
                <w:rFonts w:hint="eastAsia" w:ascii="宋体" w:hAnsi="宋体" w:eastAsia="宋体" w:cs="宋体"/>
                <w:color w:val="auto"/>
                <w:sz w:val="24"/>
                <w:highlight w:val="none"/>
              </w:rPr>
            </w:pPr>
          </w:p>
          <w:p>
            <w:pPr>
              <w:tabs>
                <w:tab w:val="left" w:pos="284"/>
              </w:tabs>
              <w:wordWrap w:val="0"/>
              <w:autoSpaceDE w:val="0"/>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项目经理级别</w:t>
            </w: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及建设规模</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承包范围</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在该项目中的任职</w:t>
            </w: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开工、竣工</w:t>
            </w:r>
          </w:p>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jc w:val="center"/>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7"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rPr>
                <w:rFonts w:hint="eastAsia" w:ascii="宋体" w:hAnsi="宋体" w:eastAsia="宋体" w:cs="宋体"/>
                <w:color w:val="auto"/>
                <w:sz w:val="24"/>
                <w:highlight w:val="none"/>
              </w:rPr>
            </w:pPr>
          </w:p>
        </w:tc>
      </w:tr>
    </w:tbl>
    <w:p>
      <w:pPr>
        <w:wordWrap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注：1、投标人应附上拟任项目经理的任职证明、身份证、技术职称资格证书、执业资格证明、毕业证等的扫描件。</w:t>
      </w:r>
    </w:p>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2、投标人需提供①合同关键页扫描件，合同关键页包括合同首页、签字盖章页和主要内容页；</w:t>
      </w:r>
    </w:p>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②提供项目已并网证明，已并网证明包括且仅限于以下之一：国家电监会文件、供电文件、工程启动移交签收书、移交鉴定书、投产证明、验收（竣工）报告。</w:t>
      </w:r>
    </w:p>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所提供业绩为联合体承担业绩，则投标人一方须是设计责任方或施工责任方，且须提供联合体协议扫描件。业绩时间以并网时间或竣工验收时间为准。且业绩证明材料上能显示该业绩项目经理姓名，否则不得分。</w:t>
      </w:r>
    </w:p>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4、投标人应准备好所有证明材料原件，如评委提出需核对原件内容，须在要求时间内及时提供。</w:t>
      </w:r>
    </w:p>
    <w:p>
      <w:pPr>
        <w:wordWrap w:val="0"/>
        <w:adjustRightInd w:val="0"/>
        <w:snapToGrid w:val="0"/>
        <w:spacing w:line="440" w:lineRule="exact"/>
        <w:jc w:val="center"/>
        <w:rPr>
          <w:rFonts w:hint="eastAsia" w:ascii="宋体" w:hAnsi="宋体" w:eastAsia="宋体" w:cs="宋体"/>
          <w:color w:val="auto"/>
          <w:sz w:val="24"/>
          <w:highlight w:val="none"/>
        </w:rPr>
      </w:pPr>
      <w:bookmarkStart w:id="536" w:name="_Toc369336939"/>
      <w:r>
        <w:rPr>
          <w:rFonts w:hint="eastAsia" w:ascii="宋体" w:hAnsi="宋体" w:eastAsia="宋体" w:cs="宋体"/>
          <w:color w:val="auto"/>
          <w:sz w:val="24"/>
          <w:highlight w:val="none"/>
        </w:rPr>
        <w:t xml:space="preserve">                                              投标人：（公章）</w:t>
      </w:r>
    </w:p>
    <w:p>
      <w:pPr>
        <w:pStyle w:val="36"/>
        <w:spacing w:after="0" w:line="44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法定代表人或其委托代理人：（签字或盖章）</w:t>
      </w:r>
    </w:p>
    <w:p>
      <w:pPr>
        <w:spacing w:line="440" w:lineRule="exact"/>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highlight w:val="none"/>
        </w:rPr>
        <w:t xml:space="preserve">                                            日期：20  年  月  日</w:t>
      </w:r>
    </w:p>
    <w:p>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pP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2）拟任设计负责人的简历表</w:t>
      </w:r>
      <w:bookmarkEnd w:id="536"/>
    </w:p>
    <w:p>
      <w:pPr>
        <w:wordWrap w:val="0"/>
        <w:spacing w:after="180" w:afterLines="75" w:line="360" w:lineRule="exact"/>
        <w:jc w:val="center"/>
        <w:rPr>
          <w:rFonts w:hint="eastAsia" w:ascii="宋体" w:hAnsi="宋体" w:eastAsia="宋体" w:cs="宋体"/>
          <w:color w:val="auto"/>
          <w:sz w:val="24"/>
          <w:highlight w:val="none"/>
        </w:rPr>
      </w:pPr>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拟任设计负责人的简历表</w:t>
      </w:r>
    </w:p>
    <w:p>
      <w:pPr>
        <w:wordWrap w:val="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项目名称：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eastAsia="zh-CN"/>
        </w:rPr>
        <w:t>广州水投集团“水务+光伏”一体化节能改造项目（10.78兆瓦分布式光伏发电项目）设计-采购-施工总承包（EPC）（第二标段）</w:t>
      </w:r>
    </w:p>
    <w:p>
      <w:pPr>
        <w:wordWrap w:val="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tbl>
      <w:tblPr>
        <w:tblStyle w:val="3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42"/>
        <w:gridCol w:w="1542"/>
        <w:gridCol w:w="1542"/>
        <w:gridCol w:w="1645"/>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30"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姓名</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性别</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年龄</w:t>
            </w:r>
          </w:p>
        </w:tc>
        <w:tc>
          <w:tcPr>
            <w:tcW w:w="789"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30"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职务</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技术职称</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学历</w:t>
            </w:r>
          </w:p>
        </w:tc>
        <w:tc>
          <w:tcPr>
            <w:tcW w:w="789"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0"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执业资格证名称</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执业资格证编号</w:t>
            </w:r>
          </w:p>
        </w:tc>
        <w:tc>
          <w:tcPr>
            <w:tcW w:w="831"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执业资格证等级</w:t>
            </w:r>
          </w:p>
        </w:tc>
        <w:tc>
          <w:tcPr>
            <w:tcW w:w="789" w:type="pct"/>
            <w:tcBorders>
              <w:top w:val="single" w:color="auto" w:sz="4" w:space="0"/>
              <w:left w:val="single" w:color="auto" w:sz="4" w:space="0"/>
              <w:bottom w:val="single" w:color="auto" w:sz="4" w:space="0"/>
              <w:right w:val="single" w:color="auto" w:sz="4" w:space="0"/>
            </w:tcBorders>
          </w:tcPr>
          <w:p>
            <w:pPr>
              <w:tabs>
                <w:tab w:val="left" w:pos="284"/>
              </w:tabs>
              <w:wordWrap w:val="0"/>
              <w:autoSpaceDE w:val="0"/>
              <w:spacing w:line="440" w:lineRule="exact"/>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adjustRightInd w:val="0"/>
              <w:snapToGrid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设计主要负责人的业绩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0"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建设单位</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及建设规模</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承包范围</w:t>
            </w: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在该项目中的任职</w:t>
            </w:r>
          </w:p>
        </w:tc>
        <w:tc>
          <w:tcPr>
            <w:tcW w:w="886"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开工、竣工日期</w:t>
            </w:r>
          </w:p>
        </w:tc>
        <w:tc>
          <w:tcPr>
            <w:tcW w:w="789"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9" w:type="pct"/>
          <w:trHeight w:val="578" w:hRule="atLeast"/>
        </w:trPr>
        <w:tc>
          <w:tcPr>
            <w:tcW w:w="830"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0"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789"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0"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789"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0"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886"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c>
          <w:tcPr>
            <w:tcW w:w="789"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cs="宋体" w:asciiTheme="minorEastAsia" w:hAnsiTheme="minorEastAsia" w:eastAsiaTheme="minorEastAsia"/>
                <w:color w:val="auto"/>
                <w:sz w:val="24"/>
                <w:highlight w:val="none"/>
              </w:rPr>
            </w:pPr>
          </w:p>
        </w:tc>
      </w:tr>
    </w:tbl>
    <w:p>
      <w:pPr>
        <w:wordWrap w:val="0"/>
        <w:spacing w:line="44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注：1、投标人应附上拟任项目设计负责人的任职证明、身份证、技术职称资格证书、执业资格证明、毕业证等的扫描件。</w:t>
      </w:r>
    </w:p>
    <w:p>
      <w:pPr>
        <w:wordWrap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wordWrap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3、如所提供业绩为联合体承担业绩，则投标人一方须是设计责任方或施工责任方，且须提供联合体协议扫描件。业绩时间以并网时间或竣工验收时间为准。</w:t>
      </w:r>
      <w:r>
        <w:rPr>
          <w:rFonts w:hint="eastAsia" w:ascii="宋体" w:hAnsi="宋体" w:eastAsia="宋体" w:cs="宋体"/>
          <w:color w:val="auto"/>
          <w:sz w:val="24"/>
          <w:highlight w:val="none"/>
        </w:rPr>
        <w:t>且业绩证明材料上能显示该业绩设计负责人姓名，否则不得分</w:t>
      </w:r>
    </w:p>
    <w:p>
      <w:pPr>
        <w:wordWrap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4、投标人应准备好所有证明材料原件，如评委提出需核对原件内容，须在要求时间内及时提供。</w:t>
      </w:r>
    </w:p>
    <w:p>
      <w:pPr>
        <w:wordWrap w:val="0"/>
        <w:adjustRightInd w:val="0"/>
        <w:snapToGrid w:val="0"/>
        <w:spacing w:line="440" w:lineRule="exact"/>
        <w:ind w:right="420" w:firstLine="5280" w:firstLineChars="2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投标人：（公章）</w:t>
      </w:r>
    </w:p>
    <w:p>
      <w:pPr>
        <w:pStyle w:val="36"/>
        <w:spacing w:after="0" w:line="440" w:lineRule="exact"/>
        <w:jc w:val="righ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法定代表人或其委托代理人：（签字或盖章）</w:t>
      </w:r>
    </w:p>
    <w:p>
      <w:pPr>
        <w:spacing w:line="4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4"/>
          <w:highlight w:val="none"/>
        </w:rPr>
        <w:t xml:space="preserve">                                            日期：20  年  月  日</w:t>
      </w:r>
    </w:p>
    <w:p>
      <w:pPr>
        <w:numPr>
          <w:ilvl w:val="255"/>
          <w:numId w:val="0"/>
        </w:numP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p>
    <w:p>
      <w:pPr>
        <w:numPr>
          <w:ilvl w:val="255"/>
          <w:numId w:val="0"/>
        </w:numPr>
        <w:outlineLvl w:val="3"/>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3）项目管理人员简历表</w:t>
      </w:r>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项目管理人员简历表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626"/>
        <w:gridCol w:w="1591"/>
        <w:gridCol w:w="1543"/>
        <w:gridCol w:w="164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3"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57"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86"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53"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57"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86"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6"/>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已完（主要为类似工程）工程项目情况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876"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857"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831"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在该项目中的任职</w:t>
            </w:r>
          </w:p>
        </w:tc>
        <w:tc>
          <w:tcPr>
            <w:tcW w:w="886"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开、竣工程日期</w:t>
            </w:r>
          </w:p>
        </w:tc>
        <w:tc>
          <w:tcPr>
            <w:tcW w:w="794" w:type="pct"/>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57"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8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57"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8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57"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8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57"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8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pct"/>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87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57"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31"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886"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c>
          <w:tcPr>
            <w:tcW w:w="794" w:type="pct"/>
            <w:vAlign w:val="center"/>
          </w:tcPr>
          <w:p>
            <w:pPr>
              <w:keepNext/>
              <w:keepLines/>
              <w:tabs>
                <w:tab w:val="left" w:pos="284"/>
              </w:tabs>
              <w:wordWrap w:val="0"/>
              <w:autoSpaceDE w:val="0"/>
              <w:spacing w:line="440" w:lineRule="exact"/>
              <w:jc w:val="center"/>
              <w:rPr>
                <w:rFonts w:hint="eastAsia" w:ascii="宋体" w:hAnsi="宋体" w:eastAsia="宋体" w:cs="宋体"/>
                <w:b/>
                <w:bCs/>
                <w:color w:val="auto"/>
                <w:sz w:val="24"/>
                <w:highlight w:val="none"/>
              </w:rPr>
            </w:pPr>
          </w:p>
        </w:tc>
      </w:tr>
    </w:tbl>
    <w:p>
      <w:pPr>
        <w:wordWrap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注：1、投标人应附上项目管理人员的身份证、技术职称资格证书、毕业证等资料的扫描件。</w:t>
      </w:r>
    </w:p>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2、应提供能够证明其确系担任所列工程职务的有关证明文件的扫描件，如施工合同、工程竣工验收证书、获奖证书等，这些文件里应显示项目管理人员的姓名或签名。</w:t>
      </w:r>
    </w:p>
    <w:p>
      <w:pPr>
        <w:tabs>
          <w:tab w:val="left" w:pos="1440"/>
        </w:tabs>
        <w:wordWrap w:val="0"/>
        <w:spacing w:line="440" w:lineRule="exact"/>
        <w:ind w:firstLine="480" w:firstLineChars="200"/>
        <w:rPr>
          <w:rFonts w:hint="eastAsia" w:ascii="宋体" w:hAnsi="宋体" w:eastAsia="宋体" w:cs="宋体"/>
          <w:color w:val="auto"/>
          <w:sz w:val="24"/>
          <w:highlight w:val="none"/>
        </w:rPr>
      </w:pPr>
    </w:p>
    <w:p>
      <w:pPr>
        <w:wordWrap w:val="0"/>
        <w:adjustRightInd w:val="0"/>
        <w:snapToGrid w:val="0"/>
        <w:spacing w:line="440" w:lineRule="exact"/>
        <w:jc w:val="right"/>
        <w:rPr>
          <w:rFonts w:hint="eastAsia" w:ascii="宋体" w:hAnsi="宋体" w:eastAsia="宋体" w:cs="宋体"/>
          <w:color w:val="auto"/>
          <w:sz w:val="24"/>
          <w:highlight w:val="none"/>
        </w:rPr>
      </w:pPr>
      <w:bookmarkStart w:id="537" w:name="_Toc248682805"/>
    </w:p>
    <w:p>
      <w:pPr>
        <w:wordWrap w:val="0"/>
        <w:adjustRightInd w:val="0"/>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投标人：（公章）</w:t>
      </w:r>
    </w:p>
    <w:p>
      <w:pPr>
        <w:pStyle w:val="36"/>
        <w:spacing w:after="0" w:line="44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法定代表人或其委托代理人：（签字或盖章）</w:t>
      </w:r>
    </w:p>
    <w:p>
      <w:pPr>
        <w:tabs>
          <w:tab w:val="left" w:pos="1440"/>
        </w:tabs>
        <w:wordWrap w:val="0"/>
        <w:adjustRightInd w:val="0"/>
        <w:snapToGrid w:val="0"/>
        <w:spacing w:line="440" w:lineRule="exact"/>
        <w:jc w:val="center"/>
        <w:rPr>
          <w:rFonts w:hint="eastAsia" w:cs="宋体" w:asciiTheme="minorEastAsia" w:hAnsiTheme="minorEastAsia" w:eastAsiaTheme="minorEastAsia"/>
          <w:color w:val="auto"/>
          <w:sz w:val="24"/>
          <w:highlight w:val="none"/>
        </w:rPr>
      </w:pPr>
      <w:r>
        <w:rPr>
          <w:rFonts w:hint="eastAsia" w:ascii="宋体" w:hAnsi="宋体" w:eastAsia="宋体" w:cs="宋体"/>
          <w:color w:val="auto"/>
          <w:sz w:val="24"/>
          <w:highlight w:val="none"/>
        </w:rPr>
        <w:t xml:space="preserve">                       日期：20  年  月  日</w:t>
      </w:r>
    </w:p>
    <w:p>
      <w:pPr>
        <w:widowControl/>
        <w:wordWrap w:val="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pPr>
        <w:tabs>
          <w:tab w:val="left" w:pos="1440"/>
        </w:tabs>
        <w:wordWrap w:val="0"/>
        <w:spacing w:line="360" w:lineRule="auto"/>
        <w:rPr>
          <w:rFonts w:hint="eastAsia"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24"/>
          <w:highlight w:val="none"/>
        </w:rPr>
        <w:t>4</w:t>
      </w:r>
      <w:r>
        <w:rPr>
          <w:rFonts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拟投入本项目的主要施工管理人员表</w:t>
      </w:r>
    </w:p>
    <w:p>
      <w:pPr>
        <w:numPr>
          <w:ilvl w:val="255"/>
          <w:numId w:val="0"/>
        </w:numPr>
        <w:rPr>
          <w:rFonts w:hint="eastAsia"/>
          <w:color w:val="auto"/>
          <w:highlight w:val="none"/>
        </w:rPr>
      </w:pPr>
    </w:p>
    <w:p>
      <w:pPr>
        <w:pStyle w:val="99"/>
        <w:wordWrap w:val="0"/>
        <w:spacing w:after="180" w:afterLines="75"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拟投入本项目的主要施工管理人员表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218"/>
        <w:gridCol w:w="1068"/>
        <w:gridCol w:w="1068"/>
        <w:gridCol w:w="1068"/>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2" w:type="pct"/>
            <w:gridSpan w:val="2"/>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ind w:firstLine="720" w:firstLineChars="3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575"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575"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575"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9"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主要资历、经验及承担的项目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总部</w:t>
            </w: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1、项目主管</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2、其他人员</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restar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w:t>
            </w: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1、项目经理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2、项目副经理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3、项目总工程师</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4、各专业施工负责人</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5、质量管理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6、材料管理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7、计划管理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8、安全管理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left"/>
              <w:rPr>
                <w:rFonts w:hint="eastAsia" w:ascii="宋体" w:hAnsi="宋体" w:eastAsia="宋体" w:cs="宋体"/>
                <w:color w:val="auto"/>
                <w:sz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pPr>
              <w:tabs>
                <w:tab w:val="left" w:pos="284"/>
              </w:tabs>
              <w:wordWrap w:val="0"/>
              <w:autoSpaceDE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9、施工管理</w:t>
            </w: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c>
          <w:tcPr>
            <w:tcW w:w="1689" w:type="pct"/>
            <w:tcBorders>
              <w:top w:val="single" w:color="auto" w:sz="4" w:space="0"/>
              <w:left w:val="single" w:color="auto" w:sz="4" w:space="0"/>
              <w:bottom w:val="single" w:color="auto" w:sz="4" w:space="0"/>
              <w:right w:val="single" w:color="auto" w:sz="4" w:space="0"/>
            </w:tcBorders>
            <w:vAlign w:val="center"/>
          </w:tcPr>
          <w:p>
            <w:pPr>
              <w:keepNext/>
              <w:keepLines/>
              <w:tabs>
                <w:tab w:val="left" w:pos="284"/>
              </w:tabs>
              <w:wordWrap w:val="0"/>
              <w:autoSpaceDE w:val="0"/>
              <w:spacing w:line="440" w:lineRule="exact"/>
              <w:jc w:val="center"/>
              <w:rPr>
                <w:rFonts w:hint="eastAsia" w:ascii="宋体" w:hAnsi="宋体" w:eastAsia="宋体" w:cs="宋体"/>
                <w:color w:val="auto"/>
                <w:sz w:val="24"/>
                <w:highlight w:val="none"/>
              </w:rPr>
            </w:pPr>
          </w:p>
        </w:tc>
      </w:tr>
    </w:tbl>
    <w:p>
      <w:pPr>
        <w:wordWrap w:val="0"/>
        <w:adjustRightInd w:val="0"/>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ordWrap w:val="0"/>
        <w:adjustRightInd w:val="0"/>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投标人：（公章）</w:t>
      </w:r>
    </w:p>
    <w:p>
      <w:pPr>
        <w:pStyle w:val="36"/>
        <w:spacing w:after="0" w:line="44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法定代表人或其委托代理人：（签字或盖章）</w:t>
      </w:r>
    </w:p>
    <w:p>
      <w:pPr>
        <w:tabs>
          <w:tab w:val="left" w:pos="1440"/>
        </w:tabs>
        <w:wordWrap w:val="0"/>
        <w:adjustRightInd w:val="0"/>
        <w:snapToGrid w:val="0"/>
        <w:spacing w:line="440" w:lineRule="exact"/>
        <w:jc w:val="center"/>
        <w:rPr>
          <w:rFonts w:hint="eastAsia" w:cs="宋体" w:asciiTheme="minorEastAsia" w:hAnsiTheme="minorEastAsia" w:eastAsiaTheme="minorEastAsia"/>
          <w:color w:val="auto"/>
          <w:sz w:val="24"/>
          <w:highlight w:val="none"/>
        </w:rPr>
      </w:pPr>
      <w:r>
        <w:rPr>
          <w:rFonts w:hint="eastAsia" w:ascii="宋体" w:hAnsi="宋体" w:eastAsia="宋体" w:cs="宋体"/>
          <w:color w:val="auto"/>
          <w:sz w:val="24"/>
          <w:highlight w:val="none"/>
        </w:rPr>
        <w:t xml:space="preserve">                        日期：20  年  月  日</w:t>
      </w:r>
    </w:p>
    <w:p>
      <w:pPr>
        <w:widowControl/>
        <w:wordWrap w:val="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538" w:name="_Toc45640856"/>
      <w:bookmarkStart w:id="539" w:name="_Toc11972"/>
      <w:bookmarkStart w:id="540" w:name="_Toc27747"/>
      <w:bookmarkStart w:id="541" w:name="_Toc49436755"/>
      <w:bookmarkStart w:id="542" w:name="_Toc4442"/>
      <w:bookmarkStart w:id="543" w:name="_Toc28237"/>
      <w:bookmarkStart w:id="544" w:name="_Toc19204344"/>
      <w:bookmarkStart w:id="545" w:name="_Toc62725843"/>
      <w:bookmarkStart w:id="546" w:name="_Toc3678"/>
      <w:bookmarkStart w:id="547" w:name="_Toc1036"/>
      <w:bookmarkStart w:id="548" w:name="_Toc12640"/>
      <w:bookmarkStart w:id="549" w:name="_Toc5584"/>
      <w:r>
        <w:rPr>
          <w:rFonts w:hint="eastAsia" w:cs="宋体" w:asciiTheme="minorEastAsia" w:hAnsiTheme="minorEastAsia" w:eastAsiaTheme="minorEastAsia"/>
          <w:color w:val="auto"/>
          <w:sz w:val="24"/>
          <w:highlight w:val="none"/>
        </w:rPr>
        <w:t>格式12：</w:t>
      </w:r>
      <w:bookmarkStart w:id="550" w:name="_Toc248682807"/>
      <w:r>
        <w:rPr>
          <w:rFonts w:hint="eastAsia" w:cs="宋体" w:asciiTheme="minorEastAsia" w:hAnsiTheme="minorEastAsia" w:eastAsiaTheme="minorEastAsia"/>
          <w:color w:val="auto"/>
          <w:sz w:val="24"/>
          <w:highlight w:val="none"/>
        </w:rPr>
        <w:t>类似业绩表</w:t>
      </w:r>
      <w:bookmarkEnd w:id="538"/>
      <w:bookmarkEnd w:id="539"/>
      <w:bookmarkEnd w:id="540"/>
      <w:bookmarkEnd w:id="541"/>
      <w:bookmarkEnd w:id="542"/>
      <w:bookmarkEnd w:id="543"/>
      <w:bookmarkEnd w:id="544"/>
      <w:bookmarkEnd w:id="545"/>
      <w:bookmarkEnd w:id="546"/>
      <w:bookmarkEnd w:id="547"/>
      <w:bookmarkEnd w:id="548"/>
      <w:bookmarkEnd w:id="549"/>
      <w:bookmarkEnd w:id="550"/>
    </w:p>
    <w:p>
      <w:pPr>
        <w:rPr>
          <w:rFonts w:hint="eastAsia" w:cs="宋体" w:asciiTheme="minorEastAsia" w:hAnsiTheme="minorEastAsia" w:eastAsiaTheme="minorEastAsia"/>
          <w:color w:val="auto"/>
          <w:highlight w:val="none"/>
        </w:rPr>
      </w:pPr>
    </w:p>
    <w:p>
      <w:pPr>
        <w:pStyle w:val="99"/>
        <w:wordWrap w:val="0"/>
        <w:spacing w:line="360" w:lineRule="exact"/>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lang w:bidi="ar"/>
        </w:rPr>
        <w:t>类似</w:t>
      </w:r>
      <w:r>
        <w:rPr>
          <w:rFonts w:hint="eastAsia" w:cs="宋体" w:asciiTheme="minorEastAsia" w:hAnsiTheme="minorEastAsia" w:eastAsiaTheme="minorEastAsia"/>
          <w:b/>
          <w:bCs/>
          <w:color w:val="auto"/>
          <w:sz w:val="28"/>
          <w:szCs w:val="28"/>
          <w:highlight w:val="none"/>
        </w:rPr>
        <w:t>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10"/>
        <w:gridCol w:w="2377"/>
        <w:gridCol w:w="1209"/>
        <w:gridCol w:w="1257"/>
        <w:gridCol w:w="127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86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12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客户名称</w:t>
            </w:r>
          </w:p>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（联系人、联系方式）</w:t>
            </w:r>
          </w:p>
        </w:tc>
        <w:tc>
          <w:tcPr>
            <w:tcW w:w="651"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（MWp）</w:t>
            </w:r>
          </w:p>
        </w:tc>
        <w:tc>
          <w:tcPr>
            <w:tcW w:w="67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供货时间（年）</w:t>
            </w:r>
          </w:p>
        </w:tc>
        <w:tc>
          <w:tcPr>
            <w:tcW w:w="685"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项目地点</w:t>
            </w:r>
          </w:p>
        </w:tc>
        <w:tc>
          <w:tcPr>
            <w:tcW w:w="456"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12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456"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12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456"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合计</w:t>
            </w:r>
          </w:p>
        </w:tc>
        <w:tc>
          <w:tcPr>
            <w:tcW w:w="1280"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c>
          <w:tcPr>
            <w:tcW w:w="456" w:type="pct"/>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int="eastAsia" w:ascii="宋体" w:hAnsi="宋体" w:eastAsia="宋体" w:cs="宋体"/>
                <w:color w:val="auto"/>
                <w:kern w:val="0"/>
                <w:sz w:val="24"/>
                <w:highlight w:val="none"/>
              </w:rPr>
            </w:pPr>
          </w:p>
        </w:tc>
      </w:tr>
    </w:tbl>
    <w:p>
      <w:pPr>
        <w:wordWrap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w:t>
      </w:r>
      <w:r>
        <w:rPr>
          <w:rFonts w:hint="eastAsia" w:ascii="宋体" w:hAnsi="宋体" w:eastAsia="宋体" w:cs="宋体"/>
          <w:color w:val="auto"/>
          <w:sz w:val="24"/>
          <w:highlight w:val="none"/>
          <w:lang w:bidi="ar"/>
        </w:rPr>
        <w:t>投标人</w:t>
      </w:r>
      <w:r>
        <w:rPr>
          <w:rFonts w:hint="eastAsia" w:ascii="宋体" w:hAnsi="宋体" w:eastAsia="宋体" w:cs="宋体"/>
          <w:color w:val="auto"/>
          <w:sz w:val="24"/>
          <w:highlight w:val="none"/>
          <w:lang w:val="en-US" w:eastAsia="zh-CN"/>
        </w:rPr>
        <w:t>根据</w:t>
      </w:r>
      <w:r>
        <w:rPr>
          <w:rFonts w:hint="eastAsia" w:ascii="宋体" w:hAnsi="宋体" w:eastAsia="宋体" w:cs="宋体"/>
          <w:color w:val="auto"/>
          <w:sz w:val="24"/>
          <w:highlight w:val="none"/>
          <w:lang w:bidi="ar"/>
        </w:rPr>
        <w:t>资格审查或商务评审中提及的</w:t>
      </w:r>
      <w:r>
        <w:rPr>
          <w:rFonts w:hint="eastAsia" w:ascii="宋体" w:hAnsi="宋体" w:eastAsia="宋体" w:cs="宋体"/>
          <w:color w:val="auto"/>
          <w:sz w:val="24"/>
          <w:highlight w:val="none"/>
        </w:rPr>
        <w:t>业绩</w:t>
      </w:r>
      <w:r>
        <w:rPr>
          <w:rFonts w:hint="eastAsia" w:ascii="宋体" w:hAnsi="宋体" w:eastAsia="宋体" w:cs="宋体"/>
          <w:color w:val="auto"/>
          <w:sz w:val="24"/>
          <w:highlight w:val="none"/>
          <w:lang w:val="en-US" w:eastAsia="zh-CN"/>
        </w:rPr>
        <w:t>要求提供</w:t>
      </w:r>
      <w:r>
        <w:rPr>
          <w:rFonts w:hint="eastAsia" w:ascii="宋体" w:hAnsi="宋体" w:eastAsia="宋体" w:cs="宋体"/>
          <w:color w:val="auto"/>
          <w:sz w:val="24"/>
          <w:highlight w:val="none"/>
        </w:rPr>
        <w:t>。</w:t>
      </w:r>
    </w:p>
    <w:p>
      <w:pPr>
        <w:wordWrap w:val="0"/>
        <w:spacing w:line="440" w:lineRule="exact"/>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、表格可以扩展。</w:t>
      </w:r>
    </w:p>
    <w:p>
      <w:pPr>
        <w:pStyle w:val="36"/>
        <w:spacing w:after="0" w:line="440" w:lineRule="exact"/>
        <w:ind w:firstLine="0"/>
        <w:rPr>
          <w:rFonts w:hint="eastAsia" w:ascii="宋体" w:hAnsi="宋体" w:cs="宋体"/>
          <w:color w:val="auto"/>
          <w:sz w:val="24"/>
          <w:highlight w:val="none"/>
        </w:rPr>
      </w:pPr>
    </w:p>
    <w:p>
      <w:pPr>
        <w:wordWrap w:val="0"/>
        <w:spacing w:line="440" w:lineRule="exact"/>
        <w:ind w:right="420" w:firstLine="427" w:firstLineChars="178"/>
        <w:rPr>
          <w:rFonts w:hint="eastAsia" w:cs="宋体" w:asciiTheme="minorEastAsia" w:hAnsiTheme="minorEastAsia" w:eastAsiaTheme="minorEastAsia"/>
          <w:color w:val="auto"/>
          <w:szCs w:val="21"/>
          <w:highlight w:val="none"/>
        </w:rPr>
      </w:pPr>
      <w:r>
        <w:rPr>
          <w:rFonts w:hint="eastAsia" w:ascii="宋体" w:hAnsi="宋体" w:eastAsia="宋体" w:cs="宋体"/>
          <w:color w:val="auto"/>
          <w:sz w:val="24"/>
          <w:highlight w:val="none"/>
        </w:rPr>
        <w:t>我方在此声明：我方对本表所填信息的是准确的、真实的、符合客观事实的、不存在虚假成份。若我方违反上述声明，愿承担与此相关的一切责任。</w:t>
      </w:r>
    </w:p>
    <w:p>
      <w:pPr>
        <w:pStyle w:val="36"/>
        <w:wordWrap w:val="0"/>
        <w:ind w:right="420" w:firstLine="373" w:firstLineChars="178"/>
        <w:rPr>
          <w:rFonts w:hint="eastAsia" w:cs="宋体" w:asciiTheme="minorEastAsia" w:hAnsiTheme="minorEastAsia" w:eastAsiaTheme="minorEastAsia"/>
          <w:color w:val="auto"/>
          <w:highlight w:val="none"/>
        </w:rPr>
      </w:pPr>
    </w:p>
    <w:p>
      <w:pPr>
        <w:pStyle w:val="36"/>
        <w:wordWrap w:val="0"/>
        <w:ind w:right="420" w:firstLine="427" w:firstLineChars="178"/>
        <w:rPr>
          <w:rFonts w:hint="eastAsia" w:cs="宋体" w:asciiTheme="minorEastAsia" w:hAnsiTheme="minorEastAsia" w:eastAsiaTheme="minorEastAsia"/>
          <w:color w:val="auto"/>
          <w:sz w:val="24"/>
          <w:highlight w:val="none"/>
        </w:rPr>
      </w:pPr>
    </w:p>
    <w:p>
      <w:pPr>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投标人：（公章）</w:t>
      </w:r>
    </w:p>
    <w:p>
      <w:pPr>
        <w:pStyle w:val="36"/>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法定代表人或其委托代理人：（签字或盖章）</w:t>
      </w:r>
    </w:p>
    <w:p>
      <w:pPr>
        <w:tabs>
          <w:tab w:val="left" w:pos="1440"/>
        </w:tabs>
        <w:wordWrap w:val="0"/>
        <w:adjustRightInd w:val="0"/>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日期：20  年  月  日</w:t>
      </w:r>
    </w:p>
    <w:p>
      <w:pPr>
        <w:wordWrap w:val="0"/>
        <w:adjustRightInd w:val="0"/>
        <w:snapToGrid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pPr>
        <w:wordWrap w:val="0"/>
        <w:adjustRightInd w:val="0"/>
        <w:snapToGrid w:val="0"/>
        <w:spacing w:line="360" w:lineRule="auto"/>
        <w:outlineLvl w:val="2"/>
        <w:rPr>
          <w:rFonts w:hint="eastAsia" w:cs="宋体" w:asciiTheme="minorEastAsia" w:hAnsiTheme="minorEastAsia" w:eastAsiaTheme="minorEastAsia"/>
          <w:color w:val="auto"/>
          <w:szCs w:val="21"/>
          <w:highlight w:val="none"/>
        </w:rPr>
      </w:pPr>
      <w:bookmarkStart w:id="551" w:name="_Toc17521"/>
      <w:bookmarkStart w:id="552" w:name="_Toc22427"/>
      <w:bookmarkStart w:id="553" w:name="_Toc15854"/>
      <w:bookmarkStart w:id="554" w:name="_Toc62725844"/>
      <w:bookmarkStart w:id="555" w:name="_Toc20482"/>
      <w:bookmarkStart w:id="556" w:name="_Toc49436756"/>
      <w:bookmarkStart w:id="557" w:name="_Toc45640857"/>
      <w:bookmarkStart w:id="558" w:name="_Toc6944"/>
      <w:bookmarkStart w:id="559" w:name="_Toc19204345"/>
      <w:bookmarkStart w:id="560" w:name="_Toc3548"/>
      <w:r>
        <w:rPr>
          <w:rFonts w:hint="eastAsia" w:cs="宋体" w:asciiTheme="minorEastAsia" w:hAnsiTheme="minorEastAsia" w:eastAsiaTheme="minorEastAsia"/>
          <w:color w:val="auto"/>
          <w:sz w:val="24"/>
          <w:highlight w:val="none"/>
        </w:rPr>
        <w:t>格式13：</w:t>
      </w:r>
      <w:bookmarkEnd w:id="537"/>
      <w:r>
        <w:rPr>
          <w:rFonts w:hint="eastAsia" w:cs="宋体" w:asciiTheme="minorEastAsia" w:hAnsiTheme="minorEastAsia" w:eastAsiaTheme="minorEastAsia"/>
          <w:color w:val="auto"/>
          <w:sz w:val="24"/>
          <w:highlight w:val="none"/>
        </w:rPr>
        <w:t>招标文件要求提供的其他材料</w:t>
      </w:r>
      <w:bookmarkEnd w:id="551"/>
      <w:bookmarkEnd w:id="552"/>
      <w:bookmarkEnd w:id="553"/>
      <w:bookmarkEnd w:id="554"/>
      <w:bookmarkEnd w:id="555"/>
      <w:bookmarkEnd w:id="556"/>
      <w:bookmarkEnd w:id="557"/>
      <w:bookmarkEnd w:id="558"/>
      <w:bookmarkEnd w:id="559"/>
      <w:bookmarkEnd w:id="560"/>
    </w:p>
    <w:p>
      <w:pPr>
        <w:pStyle w:val="99"/>
        <w:wordWrap w:val="0"/>
        <w:spacing w:after="180" w:afterLines="75" w:line="240" w:lineRule="auto"/>
        <w:ind w:firstLine="0" w:firstLineChars="0"/>
        <w:jc w:val="center"/>
        <w:rPr>
          <w:rFonts w:hint="eastAsia" w:cs="宋体" w:asciiTheme="minorEastAsia" w:hAnsiTheme="minorEastAsia" w:eastAsiaTheme="minorEastAsia"/>
          <w:b/>
          <w:bCs/>
          <w:color w:val="auto"/>
          <w:sz w:val="28"/>
          <w:szCs w:val="28"/>
          <w:highlight w:val="none"/>
        </w:rPr>
      </w:pPr>
    </w:p>
    <w:p>
      <w:pPr>
        <w:widowControl/>
        <w:wordWrap w:val="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p>
    <w:p>
      <w:pPr>
        <w:pStyle w:val="3"/>
        <w:wordWrap w:val="0"/>
        <w:spacing w:line="416" w:lineRule="auto"/>
        <w:jc w:val="center"/>
        <w:rPr>
          <w:rFonts w:hint="eastAsia" w:cs="宋体" w:asciiTheme="minorEastAsia" w:hAnsiTheme="minorEastAsia" w:eastAsiaTheme="minorEastAsia"/>
          <w:color w:val="auto"/>
          <w:highlight w:val="none"/>
        </w:rPr>
      </w:pPr>
      <w:bookmarkStart w:id="561" w:name="_Toc62725845"/>
      <w:bookmarkStart w:id="562" w:name="_Toc13554"/>
      <w:bookmarkStart w:id="563" w:name="_Toc25795"/>
      <w:bookmarkStart w:id="564" w:name="_Toc471463760"/>
      <w:bookmarkStart w:id="565" w:name="_Toc45640859"/>
      <w:bookmarkStart w:id="566" w:name="_Toc27017"/>
      <w:bookmarkStart w:id="567" w:name="_Toc829"/>
      <w:bookmarkStart w:id="568" w:name="_Toc17435"/>
      <w:bookmarkStart w:id="569" w:name="_Toc3019"/>
      <w:bookmarkStart w:id="570" w:name="_Toc423602846"/>
      <w:bookmarkStart w:id="571" w:name="_Toc12233"/>
      <w:bookmarkStart w:id="572" w:name="_Toc49436757"/>
      <w:bookmarkStart w:id="573" w:name="_Toc19204346"/>
      <w:bookmarkStart w:id="574" w:name="_Toc24479"/>
      <w:r>
        <w:rPr>
          <w:rFonts w:hint="eastAsia" w:cs="宋体" w:asciiTheme="minorEastAsia" w:hAnsiTheme="minorEastAsia" w:eastAsiaTheme="minorEastAsia"/>
          <w:color w:val="auto"/>
          <w:highlight w:val="none"/>
        </w:rPr>
        <w:t>二、技术标投标文件格式</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575" w:name="_Toc27225"/>
      <w:bookmarkStart w:id="576" w:name="_Toc45640860"/>
      <w:bookmarkStart w:id="577" w:name="_Toc4495"/>
      <w:bookmarkStart w:id="578" w:name="_Toc471463761"/>
      <w:bookmarkStart w:id="579" w:name="_Toc7482"/>
      <w:bookmarkStart w:id="580" w:name="_Toc423593521"/>
      <w:bookmarkStart w:id="581" w:name="_Toc422481191"/>
      <w:bookmarkStart w:id="582" w:name="_Toc471411962"/>
      <w:bookmarkStart w:id="583" w:name="_Toc24104"/>
      <w:bookmarkStart w:id="584" w:name="_Toc423602847"/>
      <w:bookmarkStart w:id="585" w:name="_Toc49436758"/>
      <w:bookmarkStart w:id="586" w:name="_Toc62725846"/>
      <w:bookmarkStart w:id="587" w:name="_Toc12076"/>
      <w:bookmarkStart w:id="588" w:name="_Toc19204347"/>
      <w:bookmarkStart w:id="589" w:name="_Toc10397"/>
      <w:r>
        <w:rPr>
          <w:rFonts w:hint="eastAsia" w:cs="宋体" w:asciiTheme="minorEastAsia" w:hAnsiTheme="minorEastAsia" w:eastAsiaTheme="minorEastAsia"/>
          <w:color w:val="auto"/>
          <w:sz w:val="24"/>
          <w:highlight w:val="none"/>
        </w:rPr>
        <w:t>格式14：技术标封面</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pStyle w:val="99"/>
        <w:wordWrap w:val="0"/>
        <w:ind w:firstLine="0" w:firstLineChars="0"/>
        <w:jc w:val="center"/>
        <w:rPr>
          <w:rFonts w:hint="eastAsia" w:cs="宋体" w:asciiTheme="minorEastAsia" w:hAnsiTheme="minorEastAsia" w:eastAsiaTheme="minorEastAsia"/>
          <w:color w:val="auto"/>
          <w:highlight w:val="none"/>
        </w:rPr>
      </w:pPr>
      <w:bookmarkStart w:id="590" w:name="_Toc19204348"/>
      <w:bookmarkStart w:id="591" w:name="_Toc2792"/>
      <w:bookmarkStart w:id="592" w:name="_Toc423593522"/>
      <w:bookmarkStart w:id="593" w:name="_Toc471463762"/>
      <w:bookmarkStart w:id="594" w:name="_Toc471411963"/>
      <w:bookmarkStart w:id="595" w:name="_Toc423602848"/>
      <w:bookmarkStart w:id="596" w:name="_Toc422481192"/>
    </w:p>
    <w:p>
      <w:pPr>
        <w:pStyle w:val="99"/>
        <w:wordWrap w:val="0"/>
        <w:ind w:firstLine="0" w:firstLineChars="0"/>
        <w:jc w:val="center"/>
        <w:rPr>
          <w:rFonts w:hint="eastAsia" w:cs="宋体" w:asciiTheme="minorEastAsia" w:hAnsiTheme="minorEastAsia" w:eastAsiaTheme="minorEastAsia"/>
          <w:color w:val="auto"/>
          <w:highlight w:val="none"/>
        </w:rPr>
      </w:pPr>
    </w:p>
    <w:p>
      <w:pPr>
        <w:pStyle w:val="138"/>
        <w:wordWrap w:val="0"/>
        <w:rPr>
          <w:rFonts w:hint="eastAsia" w:cs="宋体" w:asciiTheme="minorEastAsia" w:hAnsiTheme="minorEastAsia" w:eastAsiaTheme="minorEastAsia"/>
          <w:b w:val="0"/>
          <w:color w:val="auto"/>
          <w:sz w:val="44"/>
          <w:szCs w:val="44"/>
          <w:highlight w:val="none"/>
        </w:rPr>
      </w:pPr>
      <w:r>
        <w:rPr>
          <w:rFonts w:hint="eastAsia" w:cs="宋体" w:asciiTheme="minorEastAsia" w:hAnsiTheme="minorEastAsia" w:eastAsiaTheme="minorEastAsia"/>
          <w:b w:val="0"/>
          <w:color w:val="auto"/>
          <w:sz w:val="44"/>
          <w:szCs w:val="44"/>
          <w:highlight w:val="none"/>
          <w:u w:val="single"/>
          <w:lang w:val="zh-CN"/>
        </w:rPr>
        <w:t xml:space="preserve"> 广州水投集团“水务+光伏”一体化节能改造项目（10.78兆瓦分布式光伏发电项目）设计-采购-施工总承包（EPC）（第二标段）</w:t>
      </w:r>
    </w:p>
    <w:p>
      <w:pPr>
        <w:pStyle w:val="99"/>
        <w:wordWrap w:val="0"/>
        <w:ind w:firstLine="0" w:firstLineChars="0"/>
        <w:jc w:val="center"/>
        <w:rPr>
          <w:rFonts w:hint="eastAsia" w:cs="宋体" w:asciiTheme="minorEastAsia" w:hAnsiTheme="minorEastAsia" w:eastAsiaTheme="minorEastAsia"/>
          <w:color w:val="auto"/>
          <w:sz w:val="30"/>
          <w:szCs w:val="30"/>
          <w:highlight w:val="none"/>
          <w:u w:val="single"/>
        </w:rPr>
      </w:pPr>
    </w:p>
    <w:p>
      <w:pPr>
        <w:pStyle w:val="99"/>
        <w:wordWrap w:val="0"/>
        <w:ind w:firstLine="0" w:firstLineChars="0"/>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sz w:val="30"/>
          <w:szCs w:val="30"/>
          <w:highlight w:val="none"/>
          <w:u w:val="single"/>
        </w:rPr>
      </w:pPr>
      <w:r>
        <w:rPr>
          <w:rFonts w:hint="eastAsia" w:cs="宋体" w:asciiTheme="minorEastAsia" w:hAnsiTheme="minorEastAsia" w:eastAsiaTheme="minorEastAsia"/>
          <w:color w:val="auto"/>
          <w:sz w:val="84"/>
          <w:szCs w:val="84"/>
          <w:highlight w:val="none"/>
        </w:rPr>
        <w:t>投标文件</w:t>
      </w:r>
    </w:p>
    <w:p>
      <w:pPr>
        <w:pStyle w:val="99"/>
        <w:wordWrap w:val="0"/>
        <w:ind w:firstLine="496"/>
        <w:rPr>
          <w:rFonts w:hint="eastAsia" w:cs="宋体" w:asciiTheme="minorEastAsia" w:hAnsiTheme="minorEastAsia" w:eastAsiaTheme="minorEastAsia"/>
          <w:color w:val="auto"/>
          <w:highlight w:val="none"/>
        </w:rPr>
      </w:pPr>
    </w:p>
    <w:p>
      <w:pPr>
        <w:pStyle w:val="138"/>
        <w:wordWrap w:val="0"/>
        <w:rPr>
          <w:rFonts w:hint="eastAsia" w:cs="宋体" w:asciiTheme="minorEastAsia" w:hAnsiTheme="minorEastAsia" w:eastAsiaTheme="minorEastAsia"/>
          <w:b w:val="0"/>
          <w:color w:val="auto"/>
          <w:highlight w:val="none"/>
        </w:rPr>
      </w:pPr>
      <w:r>
        <w:rPr>
          <w:rFonts w:hint="eastAsia" w:cs="宋体" w:asciiTheme="minorEastAsia" w:hAnsiTheme="minorEastAsia" w:eastAsiaTheme="minorEastAsia"/>
          <w:b w:val="0"/>
          <w:color w:val="auto"/>
          <w:highlight w:val="none"/>
        </w:rPr>
        <w:t>第二部分  技术标书</w:t>
      </w:r>
    </w:p>
    <w:p>
      <w:pPr>
        <w:pStyle w:val="138"/>
        <w:wordWrap w:val="0"/>
        <w:rPr>
          <w:rFonts w:hint="eastAsia" w:cs="宋体" w:asciiTheme="minorEastAsia" w:hAnsiTheme="minorEastAsia" w:eastAsiaTheme="minorEastAsia"/>
          <w:b w:val="0"/>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139"/>
        <w:wordWrap w:val="0"/>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投标人：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（加盖公章）</w:t>
      </w:r>
    </w:p>
    <w:p>
      <w:pPr>
        <w:pStyle w:val="139"/>
        <w:wordWrap w:val="0"/>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法定代表人或其委托代理人：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（签字或盖章）</w:t>
      </w:r>
    </w:p>
    <w:p>
      <w:pPr>
        <w:pStyle w:val="139"/>
        <w:wordWrap w:val="0"/>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日  期：</w:t>
      </w:r>
    </w:p>
    <w:p>
      <w:pPr>
        <w:wordWrap w:val="0"/>
        <w:adjustRightInd w:val="0"/>
        <w:snapToGrid w:val="0"/>
        <w:spacing w:line="360" w:lineRule="auto"/>
        <w:outlineLvl w:val="2"/>
        <w:rPr>
          <w:rFonts w:hint="eastAsia" w:cs="宋体" w:asciiTheme="minorEastAsia" w:hAnsiTheme="minorEastAsia" w:eastAsiaTheme="minorEastAsia"/>
          <w:color w:val="auto"/>
          <w:szCs w:val="21"/>
          <w:highlight w:val="none"/>
        </w:rPr>
      </w:pPr>
      <w:bookmarkStart w:id="597" w:name="_Toc45640861"/>
      <w:bookmarkStart w:id="598" w:name="_Toc19577"/>
      <w:bookmarkStart w:id="599" w:name="_Toc62725847"/>
      <w:bookmarkStart w:id="600" w:name="_Toc15808"/>
      <w:bookmarkStart w:id="601" w:name="_Toc5317"/>
      <w:bookmarkStart w:id="602" w:name="_Toc7435"/>
      <w:bookmarkStart w:id="603" w:name="_Toc21940"/>
      <w:bookmarkStart w:id="604" w:name="_Toc8584"/>
      <w:bookmarkStart w:id="605" w:name="_Toc49436759"/>
      <w:bookmarkStart w:id="606" w:name="_Toc31265"/>
      <w:r>
        <w:rPr>
          <w:rFonts w:hint="eastAsia" w:cs="宋体" w:asciiTheme="minorEastAsia" w:hAnsiTheme="minorEastAsia" w:eastAsiaTheme="minorEastAsia"/>
          <w:color w:val="auto"/>
          <w:sz w:val="24"/>
          <w:highlight w:val="none"/>
        </w:rPr>
        <w:t>格式15：技术投标书</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jc w:val="center"/>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投标人根据技术部分评审要求编制，格式自拟</w:t>
      </w:r>
      <w:r>
        <w:rPr>
          <w:rFonts w:hint="eastAsia" w:cs="宋体" w:asciiTheme="minorEastAsia" w:hAnsiTheme="minorEastAsia" w:eastAsiaTheme="minorEastAsia"/>
          <w:color w:val="auto"/>
          <w:sz w:val="24"/>
          <w:highlight w:val="none"/>
          <w:lang w:eastAsia="zh-CN"/>
        </w:rPr>
        <w:t>）</w:t>
      </w:r>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3"/>
        <w:wordWrap w:val="0"/>
        <w:spacing w:line="416" w:lineRule="auto"/>
        <w:jc w:val="center"/>
        <w:rPr>
          <w:rFonts w:hint="eastAsia" w:cs="宋体" w:asciiTheme="minorEastAsia" w:hAnsiTheme="minorEastAsia" w:eastAsiaTheme="minorEastAsia"/>
          <w:color w:val="auto"/>
          <w:highlight w:val="none"/>
        </w:rPr>
      </w:pPr>
      <w:bookmarkStart w:id="607" w:name="_Toc247527835"/>
      <w:bookmarkStart w:id="608" w:name="_Toc247514287"/>
      <w:bookmarkStart w:id="609" w:name="_Toc152042584"/>
      <w:bookmarkStart w:id="610" w:name="_Toc152045795"/>
      <w:bookmarkStart w:id="611" w:name="_Toc144974863"/>
      <w:bookmarkStart w:id="612" w:name="_Toc62725855"/>
      <w:bookmarkStart w:id="613" w:name="_Toc21010"/>
      <w:bookmarkStart w:id="614" w:name="_Toc45640868"/>
      <w:bookmarkStart w:id="615" w:name="_Toc30965"/>
      <w:bookmarkStart w:id="616" w:name="_Toc49436768"/>
      <w:bookmarkStart w:id="617" w:name="_Toc10769"/>
      <w:bookmarkStart w:id="618" w:name="_Toc19204354"/>
      <w:bookmarkStart w:id="619" w:name="_Toc28"/>
      <w:bookmarkStart w:id="620" w:name="_Toc18051"/>
      <w:bookmarkStart w:id="621" w:name="_Toc23740"/>
      <w:bookmarkStart w:id="622" w:name="_Toc528"/>
      <w:bookmarkStart w:id="623" w:name="_Toc23619"/>
      <w:r>
        <w:rPr>
          <w:rFonts w:hint="eastAsia" w:cs="宋体" w:asciiTheme="minorEastAsia" w:hAnsiTheme="minorEastAsia" w:eastAsiaTheme="minorEastAsia"/>
          <w:color w:val="auto"/>
          <w:highlight w:val="none"/>
        </w:rPr>
        <w:t>三、经济标</w:t>
      </w:r>
      <w:bookmarkEnd w:id="607"/>
      <w:bookmarkEnd w:id="608"/>
      <w:bookmarkEnd w:id="609"/>
      <w:bookmarkEnd w:id="610"/>
      <w:bookmarkEnd w:id="611"/>
      <w:r>
        <w:rPr>
          <w:rFonts w:hint="eastAsia" w:cs="宋体" w:asciiTheme="minorEastAsia" w:hAnsiTheme="minorEastAsia" w:eastAsiaTheme="minorEastAsia"/>
          <w:color w:val="auto"/>
          <w:highlight w:val="none"/>
        </w:rPr>
        <w:t>投标文件格式</w:t>
      </w:r>
      <w:bookmarkEnd w:id="612"/>
      <w:bookmarkEnd w:id="613"/>
      <w:bookmarkEnd w:id="614"/>
      <w:bookmarkEnd w:id="615"/>
      <w:bookmarkEnd w:id="616"/>
      <w:bookmarkEnd w:id="617"/>
      <w:bookmarkEnd w:id="618"/>
      <w:bookmarkEnd w:id="619"/>
      <w:bookmarkEnd w:id="620"/>
      <w:bookmarkEnd w:id="621"/>
      <w:bookmarkEnd w:id="622"/>
      <w:bookmarkEnd w:id="623"/>
    </w:p>
    <w:p>
      <w:pPr>
        <w:wordWrap w:val="0"/>
        <w:adjustRightInd w:val="0"/>
        <w:snapToGrid w:val="0"/>
        <w:spacing w:line="360" w:lineRule="auto"/>
        <w:outlineLvl w:val="2"/>
        <w:rPr>
          <w:rFonts w:hint="eastAsia" w:cs="宋体" w:asciiTheme="minorEastAsia" w:hAnsiTheme="minorEastAsia" w:eastAsiaTheme="minorEastAsia"/>
          <w:color w:val="auto"/>
          <w:sz w:val="24"/>
          <w:highlight w:val="none"/>
        </w:rPr>
      </w:pPr>
      <w:bookmarkStart w:id="624" w:name="_Toc13806"/>
      <w:bookmarkStart w:id="625" w:name="_Toc19204355"/>
      <w:bookmarkStart w:id="626" w:name="_Toc5404"/>
      <w:bookmarkStart w:id="627" w:name="_Toc25463"/>
      <w:bookmarkStart w:id="628" w:name="_Toc28858"/>
      <w:bookmarkStart w:id="629" w:name="_Toc28537"/>
      <w:bookmarkStart w:id="630" w:name="_Toc45640869"/>
      <w:bookmarkStart w:id="631" w:name="_Toc62725856"/>
      <w:bookmarkStart w:id="632" w:name="_Toc237"/>
      <w:bookmarkStart w:id="633" w:name="_Toc21808"/>
      <w:bookmarkStart w:id="634" w:name="_Toc49436769"/>
      <w:bookmarkStart w:id="635" w:name="_Toc488417500"/>
      <w:bookmarkStart w:id="636" w:name="_Toc376424991"/>
      <w:bookmarkStart w:id="637" w:name="_Toc25231"/>
      <w:bookmarkStart w:id="638" w:name="_Toc25240"/>
      <w:bookmarkStart w:id="639" w:name="_Toc2886"/>
      <w:bookmarkStart w:id="640" w:name="_Toc484703423"/>
      <w:bookmarkStart w:id="641" w:name="_Toc9776"/>
      <w:r>
        <w:rPr>
          <w:rFonts w:hint="eastAsia" w:cs="宋体" w:asciiTheme="minorEastAsia" w:hAnsiTheme="minorEastAsia" w:eastAsiaTheme="minorEastAsia"/>
          <w:color w:val="auto"/>
          <w:sz w:val="24"/>
          <w:highlight w:val="none"/>
        </w:rPr>
        <w:t>格式</w:t>
      </w:r>
      <w:r>
        <w:rPr>
          <w:rFonts w:hint="eastAsia" w:cs="宋体" w:asciiTheme="minorEastAsia" w:hAnsiTheme="minorEastAsia" w:eastAsiaTheme="minorEastAsia"/>
          <w:color w:val="auto"/>
          <w:sz w:val="24"/>
          <w:highlight w:val="none"/>
          <w:lang w:val="en-US" w:eastAsia="zh-CN"/>
        </w:rPr>
        <w:t>16</w:t>
      </w:r>
      <w:r>
        <w:rPr>
          <w:rFonts w:hint="eastAsia" w:cs="宋体" w:asciiTheme="minorEastAsia" w:hAnsiTheme="minorEastAsia" w:eastAsiaTheme="minorEastAsia"/>
          <w:color w:val="auto"/>
          <w:sz w:val="24"/>
          <w:highlight w:val="none"/>
        </w:rPr>
        <w:t>：经济标封面</w:t>
      </w:r>
      <w:bookmarkEnd w:id="624"/>
      <w:bookmarkEnd w:id="625"/>
      <w:bookmarkEnd w:id="626"/>
      <w:bookmarkEnd w:id="627"/>
      <w:bookmarkEnd w:id="628"/>
      <w:bookmarkEnd w:id="629"/>
      <w:bookmarkEnd w:id="630"/>
      <w:bookmarkEnd w:id="631"/>
      <w:bookmarkEnd w:id="632"/>
      <w:bookmarkEnd w:id="633"/>
      <w:bookmarkEnd w:id="634"/>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 w:val="44"/>
          <w:szCs w:val="44"/>
          <w:highlight w:val="none"/>
          <w:u w:val="single"/>
          <w:lang w:val="zh-CN"/>
        </w:rPr>
        <w:t xml:space="preserve"> 广州水投集团“水务+光伏”一体化节能改造项目（10.78兆瓦分布式光伏发电项目）设计-采购-施工总承包（EPC）（第二标段）</w:t>
      </w:r>
    </w:p>
    <w:p>
      <w:pPr>
        <w:pStyle w:val="99"/>
        <w:wordWrap w:val="0"/>
        <w:ind w:firstLine="0" w:firstLineChars="0"/>
        <w:jc w:val="center"/>
        <w:rPr>
          <w:rFonts w:hint="eastAsia" w:cs="宋体" w:asciiTheme="minorEastAsia" w:hAnsiTheme="minorEastAsia" w:eastAsiaTheme="minorEastAsia"/>
          <w:color w:val="auto"/>
          <w:highlight w:val="none"/>
        </w:rPr>
      </w:pPr>
    </w:p>
    <w:p>
      <w:pPr>
        <w:pStyle w:val="137"/>
        <w:wordWrap w:val="0"/>
        <w:rPr>
          <w:rFonts w:hint="eastAsia" w:cs="宋体" w:asciiTheme="minorEastAsia" w:hAnsiTheme="minorEastAsia" w:eastAsiaTheme="minorEastAsia"/>
          <w:b w:val="0"/>
          <w:color w:val="auto"/>
          <w:highlight w:val="none"/>
        </w:rPr>
      </w:pPr>
    </w:p>
    <w:p>
      <w:pPr>
        <w:pStyle w:val="137"/>
        <w:wordWrap w:val="0"/>
        <w:rPr>
          <w:rFonts w:hint="eastAsia" w:cs="宋体" w:asciiTheme="minorEastAsia" w:hAnsiTheme="minorEastAsia" w:eastAsiaTheme="minorEastAsia"/>
          <w:b w:val="0"/>
          <w:color w:val="auto"/>
          <w:highlight w:val="none"/>
        </w:rPr>
      </w:pPr>
      <w:r>
        <w:rPr>
          <w:rFonts w:hint="eastAsia" w:cs="宋体" w:asciiTheme="minorEastAsia" w:hAnsiTheme="minorEastAsia" w:eastAsiaTheme="minorEastAsia"/>
          <w:b w:val="0"/>
          <w:color w:val="auto"/>
          <w:highlight w:val="none"/>
        </w:rPr>
        <w:t>投标文件</w:t>
      </w:r>
    </w:p>
    <w:p>
      <w:pPr>
        <w:pStyle w:val="99"/>
        <w:wordWrap w:val="0"/>
        <w:ind w:firstLine="496"/>
        <w:rPr>
          <w:rFonts w:hint="eastAsia" w:cs="宋体" w:asciiTheme="minorEastAsia" w:hAnsiTheme="minorEastAsia" w:eastAsiaTheme="minorEastAsia"/>
          <w:color w:val="auto"/>
          <w:highlight w:val="none"/>
        </w:rPr>
      </w:pPr>
    </w:p>
    <w:p>
      <w:pPr>
        <w:pStyle w:val="138"/>
        <w:wordWrap w:val="0"/>
        <w:rPr>
          <w:rFonts w:hint="eastAsia" w:cs="宋体" w:asciiTheme="minorEastAsia" w:hAnsiTheme="minorEastAsia" w:eastAsiaTheme="minorEastAsia"/>
          <w:b w:val="0"/>
          <w:color w:val="auto"/>
          <w:highlight w:val="none"/>
        </w:rPr>
      </w:pPr>
      <w:r>
        <w:rPr>
          <w:rFonts w:hint="eastAsia" w:cs="宋体" w:asciiTheme="minorEastAsia" w:hAnsiTheme="minorEastAsia" w:eastAsiaTheme="minorEastAsia"/>
          <w:b w:val="0"/>
          <w:color w:val="auto"/>
          <w:highlight w:val="none"/>
        </w:rPr>
        <w:t>第三部分  经济标书</w:t>
      </w:r>
    </w:p>
    <w:p>
      <w:pPr>
        <w:pStyle w:val="99"/>
        <w:wordWrap w:val="0"/>
        <w:ind w:firstLine="0" w:firstLineChars="0"/>
        <w:jc w:val="both"/>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99"/>
        <w:wordWrap w:val="0"/>
        <w:ind w:firstLine="0" w:firstLineChars="0"/>
        <w:jc w:val="center"/>
        <w:rPr>
          <w:rFonts w:hint="eastAsia" w:cs="宋体" w:asciiTheme="minorEastAsia" w:hAnsiTheme="minorEastAsia" w:eastAsiaTheme="minorEastAsia"/>
          <w:color w:val="auto"/>
          <w:highlight w:val="none"/>
        </w:rPr>
      </w:pPr>
    </w:p>
    <w:p>
      <w:pPr>
        <w:pStyle w:val="139"/>
        <w:wordWrap w:val="0"/>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投标人：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（加盖公章）</w:t>
      </w:r>
    </w:p>
    <w:p>
      <w:pPr>
        <w:pStyle w:val="139"/>
        <w:wordWrap w:val="0"/>
        <w:spacing w:line="480" w:lineRule="auto"/>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法定代表人或其委托代理人：</w:t>
      </w:r>
      <w:r>
        <w:rPr>
          <w:rFonts w:hint="eastAsia" w:cs="宋体"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8"/>
          <w:szCs w:val="28"/>
          <w:highlight w:val="none"/>
        </w:rPr>
        <w:t>（签字或盖章）</w:t>
      </w:r>
    </w:p>
    <w:p>
      <w:pPr>
        <w:pStyle w:val="139"/>
        <w:wordWrap w:val="0"/>
        <w:ind w:firstLine="576"/>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日  期：</w:t>
      </w:r>
    </w:p>
    <w:p>
      <w:pPr>
        <w:numPr>
          <w:ilvl w:val="255"/>
          <w:numId w:val="0"/>
        </w:numPr>
        <w:rPr>
          <w:rFonts w:hint="eastAsia" w:cs="宋体" w:asciiTheme="minorEastAsia" w:hAnsiTheme="minorEastAsia" w:eastAsiaTheme="minorEastAsia"/>
          <w:b/>
          <w:color w:val="auto"/>
          <w:sz w:val="28"/>
          <w:szCs w:val="28"/>
          <w:highlight w:val="none"/>
        </w:rPr>
      </w:pPr>
      <w:bookmarkStart w:id="642" w:name="_Toc27560"/>
      <w:bookmarkStart w:id="643" w:name="_Toc16210"/>
      <w:bookmarkStart w:id="644" w:name="_Toc62725857"/>
      <w:bookmarkStart w:id="645" w:name="_Toc45640870"/>
      <w:bookmarkStart w:id="646" w:name="_Toc12570"/>
      <w:bookmarkStart w:id="647" w:name="_Toc11802"/>
      <w:bookmarkStart w:id="648" w:name="_Toc49436770"/>
      <w:bookmarkStart w:id="649" w:name="_Toc552"/>
      <w:bookmarkStart w:id="650" w:name="_Toc19204356"/>
      <w:r>
        <w:rPr>
          <w:rFonts w:hint="eastAsia" w:cs="宋体" w:asciiTheme="minorEastAsia" w:hAnsiTheme="minorEastAsia" w:eastAsiaTheme="minorEastAsia"/>
          <w:b/>
          <w:color w:val="auto"/>
          <w:sz w:val="28"/>
          <w:szCs w:val="28"/>
          <w:highlight w:val="none"/>
        </w:rPr>
        <w:br w:type="page"/>
      </w:r>
    </w:p>
    <w:p>
      <w:pPr>
        <w:numPr>
          <w:ilvl w:val="0"/>
          <w:numId w:val="4"/>
        </w:numPr>
        <w:wordWrap w:val="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报价要求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 各表中的供货范围和工作范围按工程设计、设备材料、建筑安装、技术服务等大项内容分列，各系统或项目的分表分项内容须与技术部分的供货范围和工作范围相对应。如评委认为投标人报价存在重大缺漏项或标准不符事项，评标委员会有权按本次招标其它投标人相应项目的最高报价或最新相同或类似设备合同价格或估价折算,调整评标价格,若中标则以投标总价为合同价，投标报价中缺漏的供货范围和工作范围内容须无偿提供。投标人如有不属于招标文件要求的招标范围内容的，评标时不予核减，投标人如中标，合同总价相应减除该部分内容。</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1.2 报价币种为人民币，进口部分也应以人民币报价。</w:t>
      </w:r>
    </w:p>
    <w:p>
      <w:pPr>
        <w:numPr>
          <w:ilvl w:val="255"/>
          <w:numId w:val="0"/>
        </w:num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1.3 投标报价按装机容量</w:t>
      </w:r>
      <w:r>
        <w:rPr>
          <w:rFonts w:hint="eastAsia" w:cs="宋体" w:asciiTheme="minorEastAsia" w:hAnsiTheme="minorEastAsia" w:eastAsiaTheme="minorEastAsia"/>
          <w:color w:val="auto"/>
          <w:kern w:val="0"/>
          <w:sz w:val="24"/>
          <w:highlight w:val="none"/>
          <w:u w:val="single"/>
          <w:lang w:val="en-US" w:eastAsia="zh-CN"/>
        </w:rPr>
        <w:t>4.83MWp</w:t>
      </w:r>
      <w:r>
        <w:rPr>
          <w:rFonts w:hint="eastAsia" w:cs="宋体" w:asciiTheme="minorEastAsia" w:hAnsiTheme="minorEastAsia" w:eastAsiaTheme="minorEastAsia"/>
          <w:color w:val="auto"/>
          <w:kern w:val="0"/>
          <w:sz w:val="24"/>
          <w:highlight w:val="none"/>
        </w:rPr>
        <w:t>进行报价。</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1.4 报价由投标人结合自身情况确定。</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1.5 报价按第一卷第四章规定的付款条件进行报价。</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1.6 报价应注明日期、有效期和签章要求。</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1.7 分包与外购的设备或部件（含进口部分），投标人应根据</w:t>
      </w:r>
      <w:r>
        <w:rPr>
          <w:rFonts w:hint="eastAsia" w:cs="宋体" w:asciiTheme="minorEastAsia" w:hAnsiTheme="minorEastAsia" w:eastAsiaTheme="minorEastAsia"/>
          <w:color w:val="auto"/>
          <w:kern w:val="0"/>
          <w:sz w:val="24"/>
          <w:highlight w:val="none"/>
          <w:lang w:eastAsia="zh-CN"/>
        </w:rPr>
        <w:t>第五章发包人要求</w:t>
      </w:r>
      <w:r>
        <w:rPr>
          <w:rFonts w:hint="eastAsia" w:cs="宋体" w:asciiTheme="minorEastAsia" w:hAnsiTheme="minorEastAsia" w:eastAsiaTheme="minorEastAsia"/>
          <w:color w:val="auto"/>
          <w:kern w:val="0"/>
          <w:sz w:val="24"/>
          <w:highlight w:val="none"/>
        </w:rPr>
        <w:t>第</w:t>
      </w:r>
      <w:r>
        <w:rPr>
          <w:rFonts w:hint="eastAsia" w:cs="宋体" w:asciiTheme="minorEastAsia" w:hAnsiTheme="minorEastAsia" w:eastAsiaTheme="minorEastAsia"/>
          <w:color w:val="auto"/>
          <w:kern w:val="0"/>
          <w:sz w:val="24"/>
          <w:highlight w:val="none"/>
          <w:lang w:val="en-US" w:eastAsia="zh-CN"/>
        </w:rPr>
        <w:t>二节</w:t>
      </w:r>
      <w:r>
        <w:rPr>
          <w:rFonts w:hint="eastAsia" w:cs="宋体" w:asciiTheme="minorEastAsia" w:hAnsiTheme="minorEastAsia" w:eastAsiaTheme="minorEastAsia"/>
          <w:color w:val="auto"/>
          <w:kern w:val="0"/>
          <w:sz w:val="24"/>
          <w:highlight w:val="none"/>
        </w:rPr>
        <w:t>第</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条技术要求所规定的相关品牌进行报价。所有设备投标人应提供符合招标文件和相关工业标准的功能齐全的优质产品，对于招标文件未推荐厂商的设备或部件，招标人有选择除投标人推荐的厂家以外的其他厂家的权利，但总价不变。</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1.8 同一设备要求按进口和国产分别报价或者材质要求不同等情况造成同一设备有两个或两个以上价格时，均以高价计入投标总价。在合同履行期间，发包人有权选择厂商或材质，如发包人选择了非最高报价厂商或材料，则承包人应将价差退还发包人。</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1.9 培训费不能为“免费”，计入投标总价。</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1.10 运杂费计入设备报价中。</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1.11 随机备品备件（安装、调试期间和质保期内需要的备品备件，该部分备品备件必须足够保证系统在正常运行条件下有效运行至FAC签署日）报价（计入总价）。</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1.12 投标人应对分项报价表分别进行报价，并汇总形成投标报价。</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 xml:space="preserve">1.13 </w:t>
      </w:r>
      <w:r>
        <w:rPr>
          <w:rFonts w:hint="eastAsia" w:cs="宋体" w:asciiTheme="minorEastAsia" w:hAnsiTheme="minorEastAsia" w:eastAsiaTheme="minorEastAsia"/>
          <w:color w:val="auto"/>
          <w:kern w:val="0"/>
          <w:sz w:val="24"/>
          <w:highlight w:val="none"/>
          <w:lang w:eastAsia="zh-CN"/>
        </w:rPr>
        <w:t>安全文明施工措施费</w:t>
      </w:r>
      <w:r>
        <w:rPr>
          <w:rFonts w:hint="eastAsia" w:cs="宋体" w:asciiTheme="minorEastAsia" w:hAnsiTheme="minorEastAsia" w:eastAsiaTheme="minorEastAsia"/>
          <w:color w:val="auto"/>
          <w:kern w:val="0"/>
          <w:sz w:val="24"/>
          <w:highlight w:val="none"/>
        </w:rPr>
        <w:t>，以招标人公布的统一价格进行填报，该报价不得作为竞争性费用。</w:t>
      </w:r>
      <w:r>
        <w:rPr>
          <w:rFonts w:hint="eastAsia" w:cs="宋体" w:asciiTheme="minorEastAsia" w:hAnsiTheme="minorEastAsia" w:eastAsiaTheme="minorEastAsia"/>
          <w:color w:val="auto"/>
          <w:kern w:val="0"/>
          <w:sz w:val="24"/>
          <w:highlight w:val="none"/>
          <w:lang w:eastAsia="zh-CN"/>
        </w:rPr>
        <w:t>安全文明施工措施费</w:t>
      </w:r>
      <w:r>
        <w:rPr>
          <w:rFonts w:hint="eastAsia" w:cs="宋体" w:asciiTheme="minorEastAsia" w:hAnsiTheme="minorEastAsia" w:eastAsiaTheme="minorEastAsia"/>
          <w:color w:val="auto"/>
          <w:kern w:val="0"/>
          <w:sz w:val="24"/>
          <w:highlight w:val="none"/>
        </w:rPr>
        <w:t>专款专用。</w:t>
      </w:r>
    </w:p>
    <w:p>
      <w:pPr>
        <w:wordWrap w:val="0"/>
        <w:autoSpaceDE w:val="0"/>
        <w:autoSpaceDN w:val="0"/>
        <w:adjustRightInd w:val="0"/>
        <w:spacing w:line="440" w:lineRule="exact"/>
        <w:ind w:firstLine="480" w:firstLineChars="200"/>
        <w:jc w:val="left"/>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color w:val="auto"/>
          <w:kern w:val="0"/>
          <w:sz w:val="24"/>
          <w:highlight w:val="none"/>
        </w:rPr>
        <w:t xml:space="preserve">1.14 </w:t>
      </w:r>
      <w:r>
        <w:rPr>
          <w:rFonts w:hint="eastAsia" w:cs="宋体" w:asciiTheme="minorEastAsia" w:hAnsiTheme="minorEastAsia" w:eastAsiaTheme="minorEastAsia"/>
          <w:color w:val="auto"/>
          <w:kern w:val="0"/>
          <w:sz w:val="24"/>
          <w:highlight w:val="none"/>
          <w:lang w:val="en-US" w:eastAsia="zh-CN"/>
        </w:rPr>
        <w:t>暂列金额、</w:t>
      </w:r>
      <w:r>
        <w:rPr>
          <w:rFonts w:hint="eastAsia" w:cs="宋体" w:asciiTheme="minorEastAsia" w:hAnsiTheme="minorEastAsia" w:eastAsiaTheme="minorEastAsia"/>
          <w:color w:val="auto"/>
          <w:kern w:val="0"/>
          <w:sz w:val="24"/>
          <w:highlight w:val="none"/>
        </w:rPr>
        <w:t>暂估价项目以招标人公布的统一价格进行填报，该报价不得作为竞争性费用。</w:t>
      </w:r>
      <w:r>
        <w:rPr>
          <w:rFonts w:hint="eastAsia" w:cs="宋体" w:asciiTheme="minorEastAsia" w:hAnsiTheme="minorEastAsia" w:eastAsiaTheme="minorEastAsia"/>
          <w:b/>
          <w:color w:val="auto"/>
          <w:sz w:val="28"/>
          <w:szCs w:val="28"/>
          <w:highlight w:val="none"/>
        </w:rPr>
        <w:br w:type="page"/>
      </w:r>
    </w:p>
    <w:p>
      <w:pPr>
        <w:wordWrap w:val="0"/>
        <w:rPr>
          <w:rFonts w:hint="eastAsia" w:cs="宋体" w:asciiTheme="minorEastAsia" w:hAnsiTheme="minorEastAsia" w:eastAsiaTheme="minorEastAsia"/>
          <w:b/>
          <w:color w:val="auto"/>
          <w:sz w:val="28"/>
          <w:szCs w:val="28"/>
          <w:highlight w:val="none"/>
        </w:rPr>
        <w:sectPr>
          <w:pgSz w:w="11905" w:h="16838"/>
          <w:pgMar w:top="1304" w:right="1417" w:bottom="1304" w:left="1417" w:header="850" w:footer="992" w:gutter="0"/>
          <w:cols w:space="0" w:num="1"/>
          <w:docGrid w:linePitch="319" w:charSpace="0"/>
        </w:sectPr>
      </w:pPr>
    </w:p>
    <w:p>
      <w:pPr>
        <w:wordWrap w:val="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2、报价表</w:t>
      </w:r>
    </w:p>
    <w:p>
      <w:pPr>
        <w:rPr>
          <w:rFonts w:hint="eastAsia" w:cs="宋体" w:asciiTheme="minorEastAsia" w:hAnsiTheme="minorEastAsia" w:eastAsiaTheme="minorEastAsia"/>
          <w:b/>
          <w:color w:val="auto"/>
          <w:sz w:val="24"/>
          <w:highlight w:val="none"/>
        </w:rPr>
      </w:pPr>
      <w:bookmarkStart w:id="651" w:name="_Toc49436772"/>
      <w:bookmarkStart w:id="652" w:name="_Toc45640872"/>
      <w:r>
        <w:rPr>
          <w:rFonts w:hint="eastAsia" w:cs="宋体" w:asciiTheme="minorEastAsia" w:hAnsiTheme="minorEastAsia" w:eastAsiaTheme="minorEastAsia"/>
          <w:b/>
          <w:color w:val="auto"/>
          <w:sz w:val="24"/>
          <w:highlight w:val="none"/>
        </w:rPr>
        <w:t>2-1投标报价一览表</w:t>
      </w:r>
      <w:bookmarkEnd w:id="651"/>
      <w:bookmarkEnd w:id="652"/>
    </w:p>
    <w:p>
      <w:pPr>
        <w:pStyle w:val="99"/>
        <w:wordWrap w:val="0"/>
        <w:spacing w:after="180" w:afterLines="75" w:line="240" w:lineRule="auto"/>
        <w:ind w:firstLine="0" w:firstLineChars="0"/>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投标报价一览表</w:t>
      </w:r>
    </w:p>
    <w:p>
      <w:pPr>
        <w:wordWrap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广州水投集团“水务+光伏”一体化节能改造项目（10.78兆瓦分布式光伏发电项目）设计-采购-施工总承包（EPC）（第二标段）</w:t>
      </w:r>
    </w:p>
    <w:p>
      <w:pPr>
        <w:pStyle w:val="36"/>
        <w:wordWrap w:val="0"/>
        <w:snapToGrid w:val="0"/>
        <w:spacing w:after="0"/>
        <w:ind w:firstLine="0"/>
        <w:rPr>
          <w:rFonts w:hint="eastAsia" w:ascii="宋体" w:hAnsi="宋体" w:cs="宋体"/>
          <w:color w:val="auto"/>
          <w:szCs w:val="21"/>
          <w:highlight w:val="none"/>
        </w:rPr>
      </w:pPr>
      <w:r>
        <w:rPr>
          <w:rFonts w:hint="eastAsia" w:ascii="宋体" w:hAnsi="宋体" w:cs="宋体"/>
          <w:color w:val="auto"/>
          <w:szCs w:val="21"/>
          <w:highlight w:val="none"/>
        </w:rPr>
        <w:t>项目编号：</w:t>
      </w:r>
    </w:p>
    <w:p>
      <w:pPr>
        <w:pStyle w:val="36"/>
        <w:wordWrap w:val="0"/>
        <w:snapToGrid w:val="0"/>
        <w:spacing w:after="0"/>
        <w:ind w:firstLine="0"/>
        <w:jc w:val="right"/>
        <w:rPr>
          <w:rFonts w:hint="eastAsia" w:ascii="宋体" w:hAnsi="宋体" w:cs="宋体"/>
          <w:color w:val="auto"/>
          <w:szCs w:val="21"/>
          <w:highlight w:val="none"/>
        </w:rPr>
      </w:pPr>
      <w:r>
        <w:rPr>
          <w:rFonts w:hint="eastAsia" w:ascii="宋体" w:hAnsi="宋体" w:cs="宋体"/>
          <w:color w:val="auto"/>
          <w:szCs w:val="21"/>
          <w:highlight w:val="none"/>
        </w:rPr>
        <w:t>货币单位：</w:t>
      </w:r>
      <w:r>
        <w:rPr>
          <w:rFonts w:hint="eastAsia" w:ascii="宋体" w:hAnsi="宋体" w:cs="宋体"/>
          <w:color w:val="auto"/>
          <w:kern w:val="0"/>
          <w:szCs w:val="21"/>
          <w:highlight w:val="none"/>
        </w:rPr>
        <w:t>人民币/元</w:t>
      </w:r>
    </w:p>
    <w:tbl>
      <w:tblPr>
        <w:tblStyle w:val="38"/>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417"/>
        <w:gridCol w:w="2723"/>
        <w:gridCol w:w="2097"/>
        <w:gridCol w:w="2520"/>
        <w:gridCol w:w="13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653" w:type="dxa"/>
            <w:vAlign w:val="center"/>
          </w:tcPr>
          <w:p>
            <w:pPr>
              <w:pStyle w:val="36"/>
              <w:spacing w:after="0" w:line="240" w:lineRule="auto"/>
              <w:ind w:firstLine="0"/>
              <w:jc w:val="center"/>
              <w:rPr>
                <w:rFonts w:hint="eastAsia" w:ascii="宋体" w:hAnsi="宋体" w:cs="宋体"/>
                <w:color w:val="auto"/>
                <w:sz w:val="24"/>
                <w:highlight w:val="none"/>
              </w:rPr>
            </w:pPr>
            <w:r>
              <w:rPr>
                <w:rFonts w:hint="eastAsia" w:ascii="宋体" w:hAnsi="宋体" w:cs="宋体"/>
                <w:color w:val="auto"/>
                <w:sz w:val="24"/>
                <w:highlight w:val="none"/>
              </w:rPr>
              <w:t>报价内容</w:t>
            </w:r>
          </w:p>
        </w:tc>
        <w:tc>
          <w:tcPr>
            <w:tcW w:w="2417" w:type="dxa"/>
            <w:vAlign w:val="center"/>
          </w:tcPr>
          <w:p>
            <w:pPr>
              <w:wordWrap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报价（含税）</w:t>
            </w:r>
          </w:p>
        </w:tc>
        <w:tc>
          <w:tcPr>
            <w:tcW w:w="2723" w:type="dxa"/>
            <w:vAlign w:val="center"/>
          </w:tcPr>
          <w:p>
            <w:pPr>
              <w:wordWrap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含税）</w:t>
            </w:r>
          </w:p>
        </w:tc>
        <w:tc>
          <w:tcPr>
            <w:tcW w:w="2097" w:type="dxa"/>
            <w:vAlign w:val="center"/>
          </w:tcPr>
          <w:p>
            <w:pPr>
              <w:pStyle w:val="36"/>
              <w:spacing w:after="0" w:line="240" w:lineRule="auto"/>
              <w:ind w:firstLine="0"/>
              <w:jc w:val="center"/>
              <w:rPr>
                <w:rFonts w:hint="eastAsia" w:ascii="宋体" w:hAnsi="宋体" w:cs="宋体"/>
                <w:color w:val="auto"/>
                <w:sz w:val="24"/>
                <w:highlight w:val="none"/>
              </w:rPr>
            </w:pPr>
            <w:r>
              <w:rPr>
                <w:rFonts w:hint="eastAsia" w:ascii="宋体" w:hAnsi="宋体" w:cs="宋体"/>
                <w:color w:val="auto"/>
                <w:sz w:val="24"/>
                <w:highlight w:val="none"/>
              </w:rPr>
              <w:t>投标单价（含税）</w:t>
            </w:r>
          </w:p>
        </w:tc>
        <w:tc>
          <w:tcPr>
            <w:tcW w:w="2520" w:type="dxa"/>
            <w:vAlign w:val="center"/>
          </w:tcPr>
          <w:p>
            <w:pPr>
              <w:pStyle w:val="36"/>
              <w:spacing w:after="0" w:line="240" w:lineRule="auto"/>
              <w:ind w:left="0" w:leftChars="0" w:firstLine="0" w:firstLineChars="0"/>
              <w:jc w:val="center"/>
              <w:rPr>
                <w:rFonts w:hint="eastAsia" w:ascii="宋体" w:hAnsi="宋体" w:cs="宋体"/>
                <w:color w:val="auto"/>
                <w:sz w:val="24"/>
                <w:highlight w:val="none"/>
              </w:rPr>
            </w:pPr>
            <w:r>
              <w:rPr>
                <w:rFonts w:hint="eastAsia" w:ascii="宋体" w:hAnsi="宋体" w:cs="宋体"/>
                <w:color w:val="auto"/>
                <w:sz w:val="24"/>
                <w:highlight w:val="none"/>
              </w:rPr>
              <w:t>投标单价（</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含税）</w:t>
            </w:r>
          </w:p>
        </w:tc>
        <w:tc>
          <w:tcPr>
            <w:tcW w:w="1340" w:type="dxa"/>
            <w:vAlign w:val="center"/>
          </w:tcPr>
          <w:p>
            <w:pPr>
              <w:pStyle w:val="36"/>
              <w:spacing w:after="0" w:line="240" w:lineRule="auto"/>
              <w:ind w:firstLine="0"/>
              <w:jc w:val="center"/>
              <w:rPr>
                <w:rFonts w:hint="eastAsia" w:ascii="宋体" w:hAnsi="宋体" w:cs="宋体"/>
                <w:color w:val="auto"/>
                <w:sz w:val="24"/>
                <w:highlight w:val="none"/>
              </w:rPr>
            </w:pPr>
            <w:r>
              <w:rPr>
                <w:rFonts w:hint="eastAsia" w:ascii="宋体" w:hAnsi="宋体" w:cs="宋体"/>
                <w:color w:val="auto"/>
                <w:sz w:val="24"/>
                <w:highlight w:val="none"/>
              </w:rPr>
              <w:t>工期</w:t>
            </w:r>
          </w:p>
        </w:tc>
        <w:tc>
          <w:tcPr>
            <w:tcW w:w="990" w:type="dxa"/>
            <w:vAlign w:val="center"/>
          </w:tcPr>
          <w:p>
            <w:pPr>
              <w:pStyle w:val="36"/>
              <w:spacing w:after="0" w:line="240" w:lineRule="auto"/>
              <w:ind w:firstLine="0"/>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653" w:type="dxa"/>
            <w:vAlign w:val="center"/>
          </w:tcPr>
          <w:p>
            <w:pPr>
              <w:wordWrap w:val="0"/>
              <w:snapToGrid w:val="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广州水投集团“水务+光伏”一体化节能改造项目（10.78兆瓦分布式光伏发电项目）设计-采购-施工总承包（EPC）（第二标段）</w:t>
            </w:r>
          </w:p>
        </w:tc>
        <w:tc>
          <w:tcPr>
            <w:tcW w:w="2417" w:type="dxa"/>
            <w:vAlign w:val="center"/>
          </w:tcPr>
          <w:p>
            <w:pPr>
              <w:pStyle w:val="36"/>
              <w:spacing w:after="0" w:line="240" w:lineRule="auto"/>
              <w:ind w:firstLine="0"/>
              <w:jc w:val="left"/>
              <w:rPr>
                <w:rFonts w:hint="eastAsia" w:ascii="宋体" w:hAnsi="宋体" w:cs="宋体"/>
                <w:color w:val="auto"/>
                <w:sz w:val="24"/>
                <w:highlight w:val="none"/>
              </w:rPr>
            </w:pPr>
            <w:r>
              <w:rPr>
                <w:rFonts w:hint="eastAsia" w:ascii="宋体" w:hAnsi="宋体" w:cs="宋体"/>
                <w:color w:val="auto"/>
                <w:sz w:val="24"/>
                <w:highlight w:val="none"/>
              </w:rPr>
              <w:t>小写：</w:t>
            </w:r>
          </w:p>
          <w:p>
            <w:pPr>
              <w:pStyle w:val="36"/>
              <w:spacing w:after="0" w:line="240" w:lineRule="auto"/>
              <w:ind w:firstLine="0"/>
              <w:jc w:val="left"/>
              <w:rPr>
                <w:rFonts w:hint="eastAsia" w:ascii="宋体" w:hAnsi="宋体" w:cs="宋体"/>
                <w:color w:val="auto"/>
                <w:sz w:val="24"/>
                <w:highlight w:val="none"/>
              </w:rPr>
            </w:pPr>
            <w:r>
              <w:rPr>
                <w:rFonts w:hint="eastAsia" w:ascii="宋体" w:hAnsi="宋体" w:cs="宋体"/>
                <w:color w:val="auto"/>
                <w:sz w:val="24"/>
                <w:highlight w:val="none"/>
              </w:rPr>
              <w:t>大写：</w:t>
            </w:r>
          </w:p>
        </w:tc>
        <w:tc>
          <w:tcPr>
            <w:tcW w:w="2723" w:type="dxa"/>
            <w:vAlign w:val="center"/>
          </w:tcPr>
          <w:p>
            <w:pPr>
              <w:pStyle w:val="36"/>
              <w:spacing w:after="0" w:line="240" w:lineRule="auto"/>
              <w:ind w:firstLine="0"/>
              <w:jc w:val="left"/>
              <w:rPr>
                <w:rFonts w:hint="eastAsia" w:ascii="宋体" w:hAnsi="宋体" w:cs="宋体"/>
                <w:color w:val="auto"/>
                <w:sz w:val="24"/>
                <w:highlight w:val="none"/>
              </w:rPr>
            </w:pPr>
            <w:r>
              <w:rPr>
                <w:rFonts w:hint="eastAsia" w:ascii="宋体" w:hAnsi="宋体" w:cs="宋体"/>
                <w:color w:val="auto"/>
                <w:sz w:val="24"/>
                <w:highlight w:val="none"/>
              </w:rPr>
              <w:t>小写：</w:t>
            </w:r>
          </w:p>
          <w:p>
            <w:pPr>
              <w:pStyle w:val="36"/>
              <w:spacing w:after="0" w:line="240" w:lineRule="auto"/>
              <w:ind w:left="0" w:leftChars="0" w:firstLine="0" w:firstLineChars="0"/>
              <w:jc w:val="left"/>
              <w:rPr>
                <w:rFonts w:hint="eastAsia" w:ascii="宋体" w:hAnsi="宋体" w:cs="宋体"/>
                <w:color w:val="auto"/>
                <w:sz w:val="24"/>
                <w:highlight w:val="none"/>
              </w:rPr>
            </w:pPr>
            <w:r>
              <w:rPr>
                <w:rFonts w:hint="eastAsia" w:ascii="宋体" w:hAnsi="宋体" w:cs="宋体"/>
                <w:color w:val="auto"/>
                <w:sz w:val="24"/>
                <w:highlight w:val="none"/>
              </w:rPr>
              <w:t>大写：</w:t>
            </w:r>
          </w:p>
        </w:tc>
        <w:tc>
          <w:tcPr>
            <w:tcW w:w="2097" w:type="dxa"/>
            <w:vAlign w:val="center"/>
          </w:tcPr>
          <w:p>
            <w:pPr>
              <w:pStyle w:val="36"/>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元/瓦</w:t>
            </w:r>
          </w:p>
        </w:tc>
        <w:tc>
          <w:tcPr>
            <w:tcW w:w="2520" w:type="dxa"/>
            <w:vAlign w:val="center"/>
          </w:tcPr>
          <w:p>
            <w:pPr>
              <w:pStyle w:val="36"/>
              <w:ind w:left="0" w:leftChars="0" w:firstLine="420" w:firstLineChars="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元/瓦</w:t>
            </w:r>
          </w:p>
        </w:tc>
        <w:tc>
          <w:tcPr>
            <w:tcW w:w="1340" w:type="dxa"/>
            <w:vAlign w:val="center"/>
          </w:tcPr>
          <w:p>
            <w:pPr>
              <w:pStyle w:val="36"/>
              <w:spacing w:after="0" w:line="240" w:lineRule="auto"/>
              <w:ind w:firstLine="0"/>
              <w:jc w:val="left"/>
              <w:rPr>
                <w:rFonts w:hint="eastAsia" w:ascii="宋体" w:hAnsi="宋体" w:cs="宋体"/>
                <w:color w:val="auto"/>
                <w:sz w:val="24"/>
                <w:highlight w:val="none"/>
              </w:rPr>
            </w:pPr>
          </w:p>
        </w:tc>
        <w:tc>
          <w:tcPr>
            <w:tcW w:w="990" w:type="dxa"/>
            <w:vAlign w:val="center"/>
          </w:tcPr>
          <w:p>
            <w:pPr>
              <w:pStyle w:val="36"/>
              <w:spacing w:after="0" w:line="240" w:lineRule="auto"/>
              <w:ind w:left="241" w:leftChars="-4" w:hanging="249" w:hangingChars="104"/>
              <w:jc w:val="left"/>
              <w:rPr>
                <w:rFonts w:hint="eastAsia" w:ascii="宋体" w:hAnsi="宋体" w:cs="宋体"/>
                <w:color w:val="auto"/>
                <w:sz w:val="24"/>
                <w:highlight w:val="none"/>
              </w:rPr>
            </w:pPr>
          </w:p>
        </w:tc>
      </w:tr>
    </w:tbl>
    <w:p>
      <w:pPr>
        <w:numPr>
          <w:ilvl w:val="255"/>
          <w:numId w:val="0"/>
        </w:numPr>
        <w:wordWrap w:val="0"/>
        <w:autoSpaceDE w:val="0"/>
        <w:autoSpaceDN w:val="0"/>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注：1、投标总</w:t>
      </w:r>
      <w:r>
        <w:rPr>
          <w:rFonts w:hint="eastAsia" w:ascii="宋体" w:hAnsi="宋体" w:eastAsia="宋体" w:cs="宋体"/>
          <w:color w:val="auto"/>
          <w:kern w:val="0"/>
          <w:sz w:val="24"/>
          <w:highlight w:val="none"/>
          <w:lang w:val="en-US" w:eastAsia="zh-CN"/>
        </w:rPr>
        <w:t>报</w:t>
      </w:r>
      <w:r>
        <w:rPr>
          <w:rFonts w:hint="eastAsia" w:ascii="宋体" w:hAnsi="宋体" w:eastAsia="宋体" w:cs="宋体"/>
          <w:color w:val="auto"/>
          <w:kern w:val="0"/>
          <w:sz w:val="24"/>
          <w:highlight w:val="none"/>
        </w:rPr>
        <w:t>价保留</w:t>
      </w:r>
      <w:r>
        <w:rPr>
          <w:rFonts w:hint="eastAsia" w:ascii="宋体" w:hAnsi="宋体" w:eastAsia="宋体" w:cs="宋体"/>
          <w:b/>
          <w:color w:val="auto"/>
          <w:kern w:val="0"/>
          <w:sz w:val="24"/>
          <w:highlight w:val="none"/>
          <w:u w:val="single"/>
        </w:rPr>
        <w:t>小数点后两位</w:t>
      </w:r>
      <w:r>
        <w:rPr>
          <w:rFonts w:hint="eastAsia" w:ascii="宋体" w:hAnsi="宋体" w:eastAsia="宋体" w:cs="宋体"/>
          <w:color w:val="auto"/>
          <w:kern w:val="0"/>
          <w:sz w:val="24"/>
          <w:highlight w:val="none"/>
        </w:rPr>
        <w:t>；投标单价保留</w:t>
      </w:r>
      <w:r>
        <w:rPr>
          <w:rFonts w:hint="eastAsia" w:ascii="宋体" w:hAnsi="宋体" w:eastAsia="宋体" w:cs="宋体"/>
          <w:b/>
          <w:color w:val="auto"/>
          <w:kern w:val="0"/>
          <w:sz w:val="24"/>
          <w:highlight w:val="none"/>
          <w:u w:val="single"/>
        </w:rPr>
        <w:t>小数点后四位</w:t>
      </w:r>
      <w:r>
        <w:rPr>
          <w:rFonts w:hint="eastAsia" w:ascii="宋体" w:hAnsi="宋体" w:eastAsia="宋体" w:cs="宋体"/>
          <w:color w:val="auto"/>
          <w:kern w:val="0"/>
          <w:sz w:val="24"/>
          <w:highlight w:val="none"/>
        </w:rPr>
        <w:t>，第五位四舍五入。</w:t>
      </w:r>
    </w:p>
    <w:p>
      <w:pPr>
        <w:numPr>
          <w:ilvl w:val="255"/>
          <w:numId w:val="0"/>
        </w:numPr>
        <w:wordWrap w:val="0"/>
        <w:autoSpaceDE w:val="0"/>
        <w:autoSpaceDN w:val="0"/>
        <w:adjustRightIn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2、投标单价须与“2-2 分项报价汇总表”对应的“投标单价”金额一致。</w:t>
      </w:r>
    </w:p>
    <w:p>
      <w:pPr>
        <w:numPr>
          <w:ilvl w:val="255"/>
          <w:numId w:val="0"/>
        </w:numPr>
        <w:wordWrap w:val="0"/>
        <w:autoSpaceDE w:val="0"/>
        <w:autoSpaceDN w:val="0"/>
        <w:adjustRightIn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b/>
          <w:bCs/>
          <w:color w:val="auto"/>
          <w:kern w:val="0"/>
          <w:sz w:val="24"/>
          <w:highlight w:val="none"/>
        </w:rPr>
        <w:t>投标人必须按报价表规定容量报价</w:t>
      </w:r>
      <w:r>
        <w:rPr>
          <w:rFonts w:hint="eastAsia" w:ascii="宋体" w:hAnsi="宋体" w:eastAsia="宋体" w:cs="宋体"/>
          <w:color w:val="auto"/>
          <w:kern w:val="0"/>
          <w:sz w:val="24"/>
          <w:highlight w:val="none"/>
        </w:rPr>
        <w:t>。</w:t>
      </w:r>
    </w:p>
    <w:p>
      <w:pPr>
        <w:adjustRightInd w:val="0"/>
        <w:snapToGrid w:val="0"/>
        <w:ind w:firstLine="2100" w:firstLineChars="1000"/>
        <w:jc w:val="center"/>
        <w:rPr>
          <w:rFonts w:hint="eastAsia" w:ascii="宋体" w:hAnsi="宋体" w:cs="宋体"/>
          <w:color w:val="auto"/>
          <w:szCs w:val="21"/>
          <w:highlight w:val="none"/>
        </w:rPr>
      </w:pPr>
    </w:p>
    <w:p>
      <w:pPr>
        <w:adjustRightInd w:val="0"/>
        <w:snapToGrid w:val="0"/>
        <w:ind w:firstLine="2100" w:firstLineChars="10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adjustRightInd w:val="0"/>
        <w:snapToGrid w:val="0"/>
        <w:ind w:firstLine="2100" w:firstLineChars="1000"/>
        <w:jc w:val="center"/>
        <w:rPr>
          <w:rFonts w:hint="eastAsia" w:ascii="宋体" w:hAnsi="宋体" w:eastAsia="宋体" w:cs="宋体"/>
          <w:color w:val="auto"/>
          <w:sz w:val="24"/>
          <w:highlight w:val="none"/>
        </w:rPr>
      </w:pPr>
      <w:r>
        <w:rPr>
          <w:rFonts w:hint="eastAsia" w:ascii="宋体" w:hAnsi="宋体" w:cs="宋体"/>
          <w:color w:val="auto"/>
          <w:szCs w:val="21"/>
          <w:highlight w:val="none"/>
        </w:rPr>
        <w:t xml:space="preserve">            </w:t>
      </w:r>
      <w:r>
        <w:rPr>
          <w:rFonts w:hint="eastAsia" w:ascii="宋体" w:hAnsi="宋体" w:eastAsia="宋体" w:cs="宋体"/>
          <w:color w:val="auto"/>
          <w:sz w:val="24"/>
          <w:highlight w:val="none"/>
        </w:rPr>
        <w:t xml:space="preserve">投标人：（公章）                                                                </w:t>
      </w:r>
    </w:p>
    <w:p>
      <w:pPr>
        <w:pStyle w:val="36"/>
        <w:spacing w:after="0"/>
        <w:ind w:firstLine="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法定代表人或其委托代理人：（签字或盖章）</w:t>
      </w:r>
    </w:p>
    <w:p>
      <w:pPr>
        <w:tabs>
          <w:tab w:val="left" w:pos="1440"/>
        </w:tabs>
        <w:adjustRightInd w:val="0"/>
        <w:snapToGrid w:val="0"/>
        <w:ind w:firstLine="7920" w:firstLineChars="3300"/>
        <w:rPr>
          <w:rFonts w:hint="eastAsia" w:cs="宋体" w:asciiTheme="minorEastAsia" w:hAnsiTheme="minorEastAsia" w:eastAsiaTheme="minorEastAsia"/>
          <w:b/>
          <w:bCs/>
          <w:color w:val="auto"/>
          <w:szCs w:val="21"/>
          <w:highlight w:val="none"/>
        </w:rPr>
      </w:pPr>
      <w:r>
        <w:rPr>
          <w:rFonts w:hint="eastAsia" w:ascii="宋体" w:hAnsi="宋体" w:eastAsia="宋体" w:cs="宋体"/>
          <w:color w:val="auto"/>
          <w:sz w:val="24"/>
          <w:highlight w:val="none"/>
        </w:rPr>
        <w:t>日  期：20 年  月  日</w:t>
      </w:r>
      <w:r>
        <w:rPr>
          <w:rFonts w:hint="eastAsia" w:ascii="宋体" w:hAnsi="宋体" w:cs="宋体"/>
          <w:color w:val="auto"/>
          <w:szCs w:val="21"/>
          <w:highlight w:val="none"/>
        </w:rPr>
        <w:t xml:space="preserve">         </w:t>
      </w:r>
      <w:bookmarkStart w:id="653" w:name="_Toc45640873"/>
      <w:bookmarkStart w:id="654" w:name="_Toc49436773"/>
    </w:p>
    <w:p>
      <w:pPr>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br w:type="page"/>
      </w:r>
    </w:p>
    <w:p>
      <w:pPr>
        <w:wordWrap w:val="0"/>
        <w:spacing w:line="360" w:lineRule="auto"/>
        <w:rPr>
          <w:rFonts w:hint="eastAsia" w:cs="宋体" w:asciiTheme="minorEastAsia" w:hAnsiTheme="minorEastAsia" w:eastAsiaTheme="minorEastAsia"/>
          <w:b/>
          <w:bCs/>
          <w:color w:val="auto"/>
          <w:szCs w:val="21"/>
          <w:highlight w:val="none"/>
        </w:rPr>
        <w:sectPr>
          <w:pgSz w:w="16838" w:h="11905" w:orient="landscape"/>
          <w:pgMar w:top="1417" w:right="1304" w:bottom="1417" w:left="1304" w:header="850" w:footer="992" w:gutter="0"/>
          <w:cols w:space="0" w:num="1"/>
          <w:docGrid w:linePitch="323" w:charSpace="0"/>
        </w:sectPr>
      </w:pPr>
    </w:p>
    <w:p>
      <w:pPr>
        <w:wordWrap w:val="0"/>
        <w:spacing w:line="360" w:lineRule="auto"/>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2-2分项报价汇总表</w:t>
      </w:r>
    </w:p>
    <w:p>
      <w:pPr>
        <w:wordWrap w:val="0"/>
        <w:snapToGrid w:val="0"/>
        <w:ind w:left="1016" w:hanging="1016" w:hangingChars="484"/>
        <w:rPr>
          <w:rFonts w:hint="eastAsia" w:cs="宋体" w:asciiTheme="minorEastAsia" w:hAnsiTheme="minorEastAsia" w:eastAsiaTheme="minorEastAsia"/>
          <w:color w:val="auto"/>
          <w:szCs w:val="21"/>
          <w:highlight w:val="none"/>
        </w:rPr>
      </w:pPr>
    </w:p>
    <w:bookmarkEnd w:id="653"/>
    <w:bookmarkEnd w:id="654"/>
    <w:p>
      <w:pPr>
        <w:pStyle w:val="99"/>
        <w:wordWrap w:val="0"/>
        <w:spacing w:line="440" w:lineRule="exact"/>
        <w:ind w:firstLine="0" w:firstLineChars="0"/>
        <w:jc w:val="center"/>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b/>
          <w:bCs/>
          <w:color w:val="auto"/>
          <w:sz w:val="28"/>
          <w:szCs w:val="28"/>
          <w:highlight w:val="none"/>
        </w:rPr>
        <w:t>分项报价汇总表</w:t>
      </w:r>
    </w:p>
    <w:p>
      <w:pPr>
        <w:wordWrap w:val="0"/>
        <w:snapToGrid w:val="0"/>
        <w:ind w:left="1016" w:hanging="1016" w:hangingChars="484"/>
        <w:rPr>
          <w:rFonts w:hint="eastAsia" w:cs="宋体" w:asciiTheme="minorEastAsia" w:hAnsiTheme="minorEastAsia" w:eastAsiaTheme="minorEastAsia"/>
          <w:color w:val="auto"/>
          <w:szCs w:val="21"/>
          <w:highlight w:val="none"/>
        </w:rPr>
      </w:pPr>
    </w:p>
    <w:p>
      <w:pPr>
        <w:wordWrap w:val="0"/>
        <w:snapToGrid w:val="0"/>
        <w:ind w:left="1016" w:hanging="1016" w:hangingChars="484"/>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项目名称：</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lang w:eastAsia="zh-CN"/>
        </w:rPr>
        <w:t>广州水投集团“水务+光伏”一体化节能改造项目（10.78兆瓦分布式光伏发电项目）设计-采购-施工总承包（EPC）（第二标段）</w:t>
      </w:r>
    </w:p>
    <w:p>
      <w:pPr>
        <w:ind w:left="1016" w:hanging="1016" w:hangingChars="484"/>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项目编号: </w:t>
      </w:r>
    </w:p>
    <w:tbl>
      <w:tblPr>
        <w:tblStyle w:val="178"/>
        <w:tblW w:w="9291"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263"/>
        <w:gridCol w:w="3655"/>
        <w:gridCol w:w="3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81" w:type="dxa"/>
            <w:noWrap w:val="0"/>
            <w:vAlign w:val="top"/>
          </w:tcPr>
          <w:p>
            <w:pPr>
              <w:widowControl w:val="0"/>
              <w:spacing w:before="182" w:line="229" w:lineRule="auto"/>
              <w:ind w:left="186"/>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序号</w:t>
            </w:r>
          </w:p>
        </w:tc>
        <w:tc>
          <w:tcPr>
            <w:tcW w:w="1263" w:type="dxa"/>
            <w:noWrap w:val="0"/>
            <w:vAlign w:val="top"/>
          </w:tcPr>
          <w:p>
            <w:pPr>
              <w:widowControl w:val="0"/>
              <w:spacing w:before="182" w:line="228" w:lineRule="auto"/>
              <w:ind w:left="218"/>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项目内容</w:t>
            </w:r>
          </w:p>
        </w:tc>
        <w:tc>
          <w:tcPr>
            <w:tcW w:w="3655" w:type="dxa"/>
            <w:noWrap w:val="0"/>
            <w:vAlign w:val="top"/>
          </w:tcPr>
          <w:p>
            <w:pPr>
              <w:widowControl w:val="0"/>
              <w:spacing w:before="182" w:line="226" w:lineRule="auto"/>
              <w:ind w:left="1414"/>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投标报价</w:t>
            </w:r>
          </w:p>
        </w:tc>
        <w:tc>
          <w:tcPr>
            <w:tcW w:w="3592" w:type="dxa"/>
            <w:noWrap w:val="0"/>
            <w:vAlign w:val="top"/>
          </w:tcPr>
          <w:p>
            <w:pPr>
              <w:widowControl w:val="0"/>
              <w:spacing w:before="182" w:line="229" w:lineRule="auto"/>
              <w:ind w:left="1594"/>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781" w:type="dxa"/>
            <w:noWrap w:val="0"/>
            <w:vAlign w:val="center"/>
          </w:tcPr>
          <w:p>
            <w:pPr>
              <w:widowControl w:val="0"/>
              <w:spacing w:before="65" w:line="189" w:lineRule="auto"/>
              <w:ind w:left="358"/>
              <w:jc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w:t>
            </w:r>
          </w:p>
        </w:tc>
        <w:tc>
          <w:tcPr>
            <w:tcW w:w="1263" w:type="dxa"/>
            <w:noWrap w:val="0"/>
            <w:vAlign w:val="center"/>
          </w:tcPr>
          <w:p>
            <w:pPr>
              <w:widowControl w:val="0"/>
              <w:spacing w:before="0" w:line="360" w:lineRule="auto"/>
              <w:ind w:left="0" w:right="0" w:firstLine="0"/>
              <w:jc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每瓦单价报价</w:t>
            </w:r>
          </w:p>
        </w:tc>
        <w:tc>
          <w:tcPr>
            <w:tcW w:w="3655" w:type="dxa"/>
            <w:noWrap w:val="0"/>
            <w:vAlign w:val="center"/>
          </w:tcPr>
          <w:p>
            <w:pPr>
              <w:widowControl w:val="0"/>
              <w:spacing w:before="65" w:line="417" w:lineRule="auto"/>
              <w:ind w:left="118" w:right="105" w:firstLine="4"/>
              <w:jc w:val="both"/>
              <w:rPr>
                <w:rFonts w:hint="eastAsia"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         元/瓦（含税）</w:t>
            </w:r>
          </w:p>
          <w:p>
            <w:pPr>
              <w:widowControl w:val="0"/>
              <w:spacing w:before="65" w:line="417" w:lineRule="auto"/>
              <w:ind w:left="118" w:right="105" w:firstLine="4"/>
              <w:jc w:val="both"/>
              <w:rPr>
                <w:rFonts w:hint="eastAsia"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         元/瓦（不含税）</w:t>
            </w:r>
          </w:p>
        </w:tc>
        <w:tc>
          <w:tcPr>
            <w:tcW w:w="3592" w:type="dxa"/>
            <w:noWrap w:val="0"/>
            <w:vAlign w:val="center"/>
          </w:tcPr>
          <w:p>
            <w:pPr>
              <w:widowControl w:val="0"/>
              <w:spacing w:before="65" w:line="268" w:lineRule="exact"/>
              <w:ind w:left="1343"/>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position w:val="0"/>
                <w:sz w:val="24"/>
                <w:szCs w:val="24"/>
                <w:highlight w:val="none"/>
                <w:u w:val="none"/>
                <w:lang w:val="en-US" w:eastAsia="zh-CN" w:bidi="ar"/>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781" w:type="dxa"/>
            <w:noWrap w:val="0"/>
            <w:vAlign w:val="center"/>
          </w:tcPr>
          <w:p>
            <w:pPr>
              <w:widowControl w:val="0"/>
              <w:spacing w:before="65" w:line="189" w:lineRule="auto"/>
              <w:ind w:left="345"/>
              <w:jc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2</w:t>
            </w:r>
          </w:p>
        </w:tc>
        <w:tc>
          <w:tcPr>
            <w:tcW w:w="1263" w:type="dxa"/>
            <w:noWrap w:val="0"/>
            <w:vAlign w:val="center"/>
          </w:tcPr>
          <w:p>
            <w:pPr>
              <w:widowControl w:val="0"/>
              <w:spacing w:before="0" w:line="360" w:lineRule="auto"/>
              <w:ind w:left="0" w:right="0" w:firstLine="0"/>
              <w:jc w:val="center"/>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投标总价报价</w:t>
            </w:r>
          </w:p>
        </w:tc>
        <w:tc>
          <w:tcPr>
            <w:tcW w:w="3655" w:type="dxa"/>
            <w:noWrap w:val="0"/>
            <w:vAlign w:val="center"/>
          </w:tcPr>
          <w:p>
            <w:pPr>
              <w:widowControl w:val="0"/>
              <w:spacing w:before="65" w:line="417" w:lineRule="auto"/>
              <w:ind w:left="118" w:right="105" w:firstLine="4"/>
              <w:jc w:val="both"/>
              <w:rPr>
                <w:rFonts w:hint="eastAsia"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         元（含税）</w:t>
            </w:r>
          </w:p>
          <w:p>
            <w:pPr>
              <w:widowControl w:val="0"/>
              <w:spacing w:before="65" w:line="417" w:lineRule="auto"/>
              <w:ind w:left="123" w:right="625"/>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         元（不含税）</w:t>
            </w:r>
          </w:p>
        </w:tc>
        <w:tc>
          <w:tcPr>
            <w:tcW w:w="3592" w:type="dxa"/>
            <w:noWrap w:val="0"/>
            <w:vAlign w:val="center"/>
          </w:tcPr>
          <w:p>
            <w:pPr>
              <w:widowControl w:val="0"/>
              <w:spacing w:before="290" w:line="279" w:lineRule="auto"/>
              <w:ind w:left="115" w:right="212" w:firstLine="2"/>
              <w:jc w:val="both"/>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投标总价报价=暂定光伏组件装机容量（</w:t>
            </w:r>
            <w:bookmarkStart w:id="655" w:name="OLE_LINK5"/>
            <w:r>
              <w:rPr>
                <w:rFonts w:hint="eastAsia" w:ascii="宋体" w:hAnsi="宋体" w:eastAsia="宋体" w:cs="宋体"/>
                <w:color w:val="auto"/>
                <w:sz w:val="24"/>
                <w:highlight w:val="none"/>
                <w:lang w:eastAsia="zh-CN"/>
              </w:rPr>
              <w:t>4830000.00</w:t>
            </w:r>
            <w:r>
              <w:rPr>
                <w:rFonts w:hint="eastAsia" w:ascii="宋体" w:hAnsi="宋体" w:eastAsia="宋体" w:cs="宋体"/>
                <w:color w:val="auto"/>
                <w:sz w:val="24"/>
                <w:highlight w:val="none"/>
                <w:lang w:val="en-US" w:eastAsia="zh-CN"/>
              </w:rPr>
              <w:t>瓦</w:t>
            </w:r>
            <w:bookmarkEnd w:id="655"/>
            <w:r>
              <w:rPr>
                <w:rFonts w:hint="eastAsia" w:ascii="宋体" w:hAnsi="宋体" w:eastAsia="宋体" w:cs="宋体"/>
                <w:color w:val="auto"/>
                <w:spacing w:val="0"/>
                <w:kern w:val="0"/>
                <w:sz w:val="24"/>
                <w:szCs w:val="24"/>
                <w:highlight w:val="none"/>
                <w:u w:val="none"/>
                <w:lang w:val="en-US" w:eastAsia="zh-CN" w:bidi="ar"/>
              </w:rPr>
              <w:t>）×每瓦单价+</w:t>
            </w:r>
            <w:r>
              <w:rPr>
                <w:rFonts w:hint="eastAsia" w:ascii="宋体" w:hAnsi="宋体" w:eastAsia="宋体" w:cs="宋体"/>
                <w:color w:val="auto"/>
                <w:kern w:val="0"/>
                <w:sz w:val="24"/>
                <w:highlight w:val="none"/>
                <w:u w:val="none"/>
                <w:lang w:bidi="ar"/>
              </w:rPr>
              <w:t>暂列金</w:t>
            </w:r>
            <w:r>
              <w:rPr>
                <w:rFonts w:hint="eastAsia" w:ascii="宋体" w:hAnsi="宋体" w:eastAsia="宋体" w:cs="宋体"/>
                <w:color w:val="auto"/>
                <w:kern w:val="0"/>
                <w:sz w:val="24"/>
                <w:highlight w:val="none"/>
                <w:u w:val="none"/>
                <w:lang w:eastAsia="zh-CN" w:bidi="ar"/>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81" w:type="dxa"/>
            <w:noWrap w:val="0"/>
            <w:vAlign w:val="center"/>
          </w:tcPr>
          <w:p>
            <w:pPr>
              <w:widowControl w:val="0"/>
              <w:spacing w:before="65" w:line="189" w:lineRule="auto"/>
              <w:ind w:left="242"/>
              <w:jc w:val="center"/>
              <w:rPr>
                <w:rFonts w:hint="default"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2.1</w:t>
            </w:r>
          </w:p>
        </w:tc>
        <w:tc>
          <w:tcPr>
            <w:tcW w:w="1263" w:type="dxa"/>
            <w:noWrap w:val="0"/>
            <w:vAlign w:val="center"/>
          </w:tcPr>
          <w:p>
            <w:pPr>
              <w:widowControl w:val="0"/>
              <w:spacing w:before="0" w:line="360" w:lineRule="auto"/>
              <w:ind w:left="0" w:right="0" w:firstLine="0"/>
              <w:jc w:val="center"/>
              <w:rPr>
                <w:rFonts w:hint="default"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暂列金额</w:t>
            </w:r>
          </w:p>
        </w:tc>
        <w:tc>
          <w:tcPr>
            <w:tcW w:w="3655" w:type="dxa"/>
            <w:noWrap w:val="0"/>
            <w:vAlign w:val="center"/>
          </w:tcPr>
          <w:p>
            <w:pPr>
              <w:widowControl w:val="0"/>
              <w:spacing w:before="0" w:line="360" w:lineRule="auto"/>
              <w:ind w:left="125" w:right="624"/>
              <w:jc w:val="both"/>
              <w:rPr>
                <w:rFonts w:hint="eastAsia"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w:t>
            </w:r>
            <w:r>
              <w:rPr>
                <w:rFonts w:hint="eastAsia" w:ascii="宋体" w:hAnsi="宋体" w:eastAsia="宋体" w:cs="宋体"/>
                <w:color w:val="auto"/>
                <w:kern w:val="0"/>
                <w:sz w:val="24"/>
                <w:highlight w:val="none"/>
                <w:u w:val="none"/>
                <w:lang w:bidi="ar"/>
              </w:rPr>
              <w:t>564521.93</w:t>
            </w:r>
            <w:r>
              <w:rPr>
                <w:rFonts w:hint="eastAsia" w:ascii="宋体" w:hAnsi="宋体" w:eastAsia="宋体" w:cs="宋体"/>
                <w:color w:val="auto"/>
                <w:spacing w:val="0"/>
                <w:kern w:val="0"/>
                <w:sz w:val="24"/>
                <w:szCs w:val="24"/>
                <w:highlight w:val="none"/>
                <w:u w:val="none"/>
                <w:lang w:val="en-US" w:eastAsia="zh-CN" w:bidi="ar"/>
              </w:rPr>
              <w:t>元（含税）</w:t>
            </w:r>
          </w:p>
          <w:p>
            <w:pPr>
              <w:widowControl w:val="0"/>
              <w:spacing w:before="0" w:line="360" w:lineRule="auto"/>
              <w:ind w:left="125" w:right="624"/>
              <w:jc w:val="both"/>
              <w:rPr>
                <w:rFonts w:hint="eastAsia" w:ascii="宋体" w:hAnsi="宋体" w:eastAsia="宋体" w:cs="宋体"/>
                <w:color w:val="auto"/>
                <w:spacing w:val="0"/>
                <w:kern w:val="0"/>
                <w:sz w:val="24"/>
                <w:szCs w:val="24"/>
                <w:highlight w:val="none"/>
                <w:u w:val="none"/>
                <w:lang w:val="en-US" w:eastAsia="zh-CN" w:bidi="ar"/>
              </w:rPr>
            </w:pPr>
            <w:r>
              <w:rPr>
                <w:rFonts w:hint="eastAsia" w:ascii="宋体" w:hAnsi="宋体" w:eastAsia="宋体" w:cs="宋体"/>
                <w:color w:val="auto"/>
                <w:spacing w:val="0"/>
                <w:kern w:val="0"/>
                <w:sz w:val="24"/>
                <w:szCs w:val="24"/>
                <w:highlight w:val="none"/>
                <w:u w:val="none"/>
                <w:lang w:val="en-US" w:eastAsia="zh-CN" w:bidi="ar"/>
              </w:rPr>
              <w:t>¥</w:t>
            </w:r>
            <w:r>
              <w:rPr>
                <w:rFonts w:hint="eastAsia" w:ascii="宋体" w:hAnsi="宋体" w:eastAsia="宋体" w:cs="宋体"/>
                <w:color w:val="auto"/>
                <w:kern w:val="0"/>
                <w:sz w:val="24"/>
                <w:highlight w:val="none"/>
                <w:u w:val="none"/>
                <w:lang w:bidi="ar"/>
              </w:rPr>
              <w:t>517910.03</w:t>
            </w:r>
            <w:r>
              <w:rPr>
                <w:rFonts w:hint="eastAsia" w:ascii="宋体" w:hAnsi="宋体" w:eastAsia="宋体" w:cs="宋体"/>
                <w:color w:val="auto"/>
                <w:spacing w:val="0"/>
                <w:kern w:val="0"/>
                <w:sz w:val="24"/>
                <w:szCs w:val="24"/>
                <w:highlight w:val="none"/>
                <w:u w:val="none"/>
                <w:lang w:val="en-US" w:eastAsia="zh-CN" w:bidi="ar"/>
              </w:rPr>
              <w:t>元（不含税）</w:t>
            </w:r>
          </w:p>
        </w:tc>
        <w:tc>
          <w:tcPr>
            <w:tcW w:w="3592" w:type="dxa"/>
            <w:noWrap w:val="0"/>
            <w:vAlign w:val="center"/>
          </w:tcPr>
          <w:p>
            <w:pPr>
              <w:widowControl w:val="0"/>
              <w:spacing w:before="19" w:line="274" w:lineRule="auto"/>
              <w:ind w:left="118" w:right="215" w:hanging="3"/>
              <w:jc w:val="both"/>
              <w:rPr>
                <w:rFonts w:hint="default" w:ascii="宋体" w:hAnsi="宋体" w:eastAsia="宋体" w:cs="宋体"/>
                <w:color w:val="auto"/>
                <w:spacing w:val="0"/>
                <w:kern w:val="0"/>
                <w:sz w:val="24"/>
                <w:szCs w:val="24"/>
                <w:highlight w:val="none"/>
                <w:u w:val="none"/>
                <w:lang w:val="en-US" w:eastAsia="zh-CN" w:bidi="ar"/>
              </w:rPr>
            </w:pPr>
          </w:p>
        </w:tc>
      </w:tr>
    </w:tbl>
    <w:p>
      <w:pPr>
        <w:wordWrap w:val="0"/>
        <w:adjustRightInd w:val="0"/>
        <w:snapToGrid w:val="0"/>
        <w:jc w:val="both"/>
        <w:rPr>
          <w:rFonts w:hint="default" w:ascii="宋体" w:hAnsi="宋体" w:eastAsia="宋体" w:cs="宋体"/>
          <w:color w:val="auto"/>
          <w:sz w:val="24"/>
          <w:highlight w:val="none"/>
          <w:lang w:val="en-US" w:eastAsia="zh-CN"/>
        </w:rPr>
      </w:pPr>
    </w:p>
    <w:p>
      <w:pPr>
        <w:wordWrap w:val="0"/>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pPr>
        <w:pStyle w:val="36"/>
        <w:spacing w:after="0"/>
        <w:ind w:firstLine="4320" w:firstLineChars="1800"/>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法定代表人或其委托代理人：（签字或盖章）</w:t>
      </w:r>
    </w:p>
    <w:p>
      <w:pPr>
        <w:widowControl/>
        <w:adjustRightInd w:val="0"/>
        <w:snapToGrid w:val="0"/>
        <w:jc w:val="righ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日  期：20 年  月  日</w:t>
      </w:r>
    </w:p>
    <w:sectPr>
      <w:pgSz w:w="11905" w:h="16838"/>
      <w:pgMar w:top="1304" w:right="1417" w:bottom="1304" w:left="1417" w:header="850" w:footer="992" w:gutter="0"/>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p>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pPr>
      <w:pStyle w:val="2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8F4EF"/>
    <w:multiLevelType w:val="singleLevel"/>
    <w:tmpl w:val="B5A8F4EF"/>
    <w:lvl w:ilvl="0" w:tentative="0">
      <w:start w:val="2"/>
      <w:numFmt w:val="decimal"/>
      <w:suff w:val="nothing"/>
      <w:lvlText w:val="%1、"/>
      <w:lvlJc w:val="left"/>
    </w:lvl>
  </w:abstractNum>
  <w:abstractNum w:abstractNumId="1">
    <w:nsid w:val="F07B2F7B"/>
    <w:multiLevelType w:val="singleLevel"/>
    <w:tmpl w:val="F07B2F7B"/>
    <w:lvl w:ilvl="0" w:tentative="0">
      <w:start w:val="1"/>
      <w:numFmt w:val="decimal"/>
      <w:suff w:val="nothing"/>
      <w:lvlText w:val="%1、"/>
      <w:lvlJc w:val="left"/>
    </w:lvl>
  </w:abstractNum>
  <w:abstractNum w:abstractNumId="2">
    <w:nsid w:val="0C850DE2"/>
    <w:multiLevelType w:val="multilevel"/>
    <w:tmpl w:val="0C850DE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383761"/>
    <w:multiLevelType w:val="singleLevel"/>
    <w:tmpl w:val="43383761"/>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zdiZWViYTYxYWNlNjg5YTZkN2EzOWZjMGY4NT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527"/>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5A7C"/>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376F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3EBA"/>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169D"/>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3CFC"/>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66A25"/>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2287"/>
    <w:rsid w:val="00923D6C"/>
    <w:rsid w:val="00926861"/>
    <w:rsid w:val="00930221"/>
    <w:rsid w:val="009304BA"/>
    <w:rsid w:val="00931695"/>
    <w:rsid w:val="00933C5C"/>
    <w:rsid w:val="009342D3"/>
    <w:rsid w:val="00934B4C"/>
    <w:rsid w:val="00935B88"/>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37F0"/>
    <w:rsid w:val="00983C06"/>
    <w:rsid w:val="00985DED"/>
    <w:rsid w:val="0098663F"/>
    <w:rsid w:val="00986921"/>
    <w:rsid w:val="00987107"/>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56E8"/>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3EF"/>
    <w:rsid w:val="00F15829"/>
    <w:rsid w:val="00F1589C"/>
    <w:rsid w:val="00F16ED7"/>
    <w:rsid w:val="00F211EF"/>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D7A5F"/>
    <w:rsid w:val="00FE01F6"/>
    <w:rsid w:val="00FE1E6A"/>
    <w:rsid w:val="00FE1F19"/>
    <w:rsid w:val="00FE6668"/>
    <w:rsid w:val="00FE679E"/>
    <w:rsid w:val="00FF1E92"/>
    <w:rsid w:val="00FF4890"/>
    <w:rsid w:val="00FF5019"/>
    <w:rsid w:val="00FF598E"/>
    <w:rsid w:val="00FF6737"/>
    <w:rsid w:val="010720EA"/>
    <w:rsid w:val="01320882"/>
    <w:rsid w:val="013B1B71"/>
    <w:rsid w:val="01601664"/>
    <w:rsid w:val="01641992"/>
    <w:rsid w:val="0198778B"/>
    <w:rsid w:val="01CE508C"/>
    <w:rsid w:val="02051475"/>
    <w:rsid w:val="02096085"/>
    <w:rsid w:val="021567F9"/>
    <w:rsid w:val="02257D82"/>
    <w:rsid w:val="025247C6"/>
    <w:rsid w:val="02884B00"/>
    <w:rsid w:val="028F3102"/>
    <w:rsid w:val="02A42F6B"/>
    <w:rsid w:val="02A7460D"/>
    <w:rsid w:val="02BE2DC1"/>
    <w:rsid w:val="02D72B61"/>
    <w:rsid w:val="02EC6817"/>
    <w:rsid w:val="03074F1A"/>
    <w:rsid w:val="030C63B9"/>
    <w:rsid w:val="03C91942"/>
    <w:rsid w:val="03E826AE"/>
    <w:rsid w:val="03F21830"/>
    <w:rsid w:val="041B1368"/>
    <w:rsid w:val="044D7027"/>
    <w:rsid w:val="04783CE0"/>
    <w:rsid w:val="048B1329"/>
    <w:rsid w:val="04CF4409"/>
    <w:rsid w:val="04E24067"/>
    <w:rsid w:val="04F17C07"/>
    <w:rsid w:val="05181C88"/>
    <w:rsid w:val="051A4E46"/>
    <w:rsid w:val="05380854"/>
    <w:rsid w:val="053D4F00"/>
    <w:rsid w:val="057A1C51"/>
    <w:rsid w:val="059C3EB4"/>
    <w:rsid w:val="059E3651"/>
    <w:rsid w:val="05AF3AE1"/>
    <w:rsid w:val="05BB27B5"/>
    <w:rsid w:val="05F47AC2"/>
    <w:rsid w:val="060A1EF5"/>
    <w:rsid w:val="063F2930"/>
    <w:rsid w:val="06440ED3"/>
    <w:rsid w:val="06E577B0"/>
    <w:rsid w:val="06F2736A"/>
    <w:rsid w:val="073360BD"/>
    <w:rsid w:val="075A073E"/>
    <w:rsid w:val="07C37CC9"/>
    <w:rsid w:val="07D90EE6"/>
    <w:rsid w:val="08304AA5"/>
    <w:rsid w:val="08423F00"/>
    <w:rsid w:val="088151ED"/>
    <w:rsid w:val="089B05E1"/>
    <w:rsid w:val="08C41B8A"/>
    <w:rsid w:val="08D95D13"/>
    <w:rsid w:val="08EB716D"/>
    <w:rsid w:val="08F3398D"/>
    <w:rsid w:val="091353BF"/>
    <w:rsid w:val="091F2D84"/>
    <w:rsid w:val="095758E5"/>
    <w:rsid w:val="09CD7A9F"/>
    <w:rsid w:val="09DE67B4"/>
    <w:rsid w:val="0A133981"/>
    <w:rsid w:val="0A1B473E"/>
    <w:rsid w:val="0A4270CD"/>
    <w:rsid w:val="0A5F6474"/>
    <w:rsid w:val="0A734BAC"/>
    <w:rsid w:val="0AC91CFB"/>
    <w:rsid w:val="0AE66349"/>
    <w:rsid w:val="0B220721"/>
    <w:rsid w:val="0B226786"/>
    <w:rsid w:val="0B6F15BF"/>
    <w:rsid w:val="0B8024C5"/>
    <w:rsid w:val="0B8C18C2"/>
    <w:rsid w:val="0BED0F30"/>
    <w:rsid w:val="0C1C35C4"/>
    <w:rsid w:val="0C33672F"/>
    <w:rsid w:val="0C4575AE"/>
    <w:rsid w:val="0C505991"/>
    <w:rsid w:val="0C5E3129"/>
    <w:rsid w:val="0C874BD2"/>
    <w:rsid w:val="0CA37527"/>
    <w:rsid w:val="0CC66073"/>
    <w:rsid w:val="0CD04E93"/>
    <w:rsid w:val="0CD56AC8"/>
    <w:rsid w:val="0D1370B5"/>
    <w:rsid w:val="0D1D4D7C"/>
    <w:rsid w:val="0D464BE0"/>
    <w:rsid w:val="0D630E72"/>
    <w:rsid w:val="0D685AFD"/>
    <w:rsid w:val="0DA9386A"/>
    <w:rsid w:val="0E393C10"/>
    <w:rsid w:val="0E5D0CCC"/>
    <w:rsid w:val="0E8C4A31"/>
    <w:rsid w:val="0E9C60D7"/>
    <w:rsid w:val="0EC61773"/>
    <w:rsid w:val="0EC66989"/>
    <w:rsid w:val="0ED24CA8"/>
    <w:rsid w:val="0EDA3A35"/>
    <w:rsid w:val="0EE0262F"/>
    <w:rsid w:val="0EE6498E"/>
    <w:rsid w:val="0F195F53"/>
    <w:rsid w:val="0F517C3F"/>
    <w:rsid w:val="0F5421F2"/>
    <w:rsid w:val="0F617F00"/>
    <w:rsid w:val="0FA7748E"/>
    <w:rsid w:val="0FBC7020"/>
    <w:rsid w:val="0FCC1C1F"/>
    <w:rsid w:val="0FFE192B"/>
    <w:rsid w:val="100B212D"/>
    <w:rsid w:val="109F43E2"/>
    <w:rsid w:val="10A417FE"/>
    <w:rsid w:val="10AD4798"/>
    <w:rsid w:val="10BA7CF7"/>
    <w:rsid w:val="10E13783"/>
    <w:rsid w:val="10E55F00"/>
    <w:rsid w:val="11032488"/>
    <w:rsid w:val="110B7C6A"/>
    <w:rsid w:val="11493D02"/>
    <w:rsid w:val="11517E1E"/>
    <w:rsid w:val="116236C0"/>
    <w:rsid w:val="116F44C2"/>
    <w:rsid w:val="11836814"/>
    <w:rsid w:val="118F25E3"/>
    <w:rsid w:val="11BF4FEC"/>
    <w:rsid w:val="12450788"/>
    <w:rsid w:val="124631BC"/>
    <w:rsid w:val="12495CFE"/>
    <w:rsid w:val="12527D3F"/>
    <w:rsid w:val="127C3DC5"/>
    <w:rsid w:val="12946E22"/>
    <w:rsid w:val="12956335"/>
    <w:rsid w:val="12DF71ED"/>
    <w:rsid w:val="12FD4018"/>
    <w:rsid w:val="132632F9"/>
    <w:rsid w:val="13306418"/>
    <w:rsid w:val="13837CE2"/>
    <w:rsid w:val="13A051C1"/>
    <w:rsid w:val="13A93065"/>
    <w:rsid w:val="13B71004"/>
    <w:rsid w:val="13E05562"/>
    <w:rsid w:val="14027317"/>
    <w:rsid w:val="14123441"/>
    <w:rsid w:val="142D2812"/>
    <w:rsid w:val="14563D81"/>
    <w:rsid w:val="149033CF"/>
    <w:rsid w:val="149965FC"/>
    <w:rsid w:val="14D63F97"/>
    <w:rsid w:val="14DD7001"/>
    <w:rsid w:val="150B09C2"/>
    <w:rsid w:val="152220A4"/>
    <w:rsid w:val="154B0A80"/>
    <w:rsid w:val="159A6AB5"/>
    <w:rsid w:val="15DE663A"/>
    <w:rsid w:val="15E36674"/>
    <w:rsid w:val="160C496F"/>
    <w:rsid w:val="161B68B8"/>
    <w:rsid w:val="16243CDF"/>
    <w:rsid w:val="162C65A8"/>
    <w:rsid w:val="17024492"/>
    <w:rsid w:val="1709349A"/>
    <w:rsid w:val="1724649F"/>
    <w:rsid w:val="174D4FAD"/>
    <w:rsid w:val="17975248"/>
    <w:rsid w:val="179A048A"/>
    <w:rsid w:val="17D27BE9"/>
    <w:rsid w:val="17D62327"/>
    <w:rsid w:val="17D97B71"/>
    <w:rsid w:val="17E113EC"/>
    <w:rsid w:val="1811656C"/>
    <w:rsid w:val="18250571"/>
    <w:rsid w:val="18491A3E"/>
    <w:rsid w:val="1860513A"/>
    <w:rsid w:val="18605C4B"/>
    <w:rsid w:val="18710E62"/>
    <w:rsid w:val="188370AD"/>
    <w:rsid w:val="18F05E6A"/>
    <w:rsid w:val="19016592"/>
    <w:rsid w:val="19035003"/>
    <w:rsid w:val="190C6787"/>
    <w:rsid w:val="191B2AB1"/>
    <w:rsid w:val="192D201F"/>
    <w:rsid w:val="193A5D1F"/>
    <w:rsid w:val="19620BB5"/>
    <w:rsid w:val="19746FB9"/>
    <w:rsid w:val="19C83DDC"/>
    <w:rsid w:val="19CC0318"/>
    <w:rsid w:val="1A6226A4"/>
    <w:rsid w:val="1A624EA1"/>
    <w:rsid w:val="1ABB07E3"/>
    <w:rsid w:val="1AC64530"/>
    <w:rsid w:val="1ACA1123"/>
    <w:rsid w:val="1AF343B1"/>
    <w:rsid w:val="1B18425B"/>
    <w:rsid w:val="1B254EFD"/>
    <w:rsid w:val="1B7150FD"/>
    <w:rsid w:val="1B777AC9"/>
    <w:rsid w:val="1B7D4159"/>
    <w:rsid w:val="1BAF61F0"/>
    <w:rsid w:val="1BE0151C"/>
    <w:rsid w:val="1BE31EF1"/>
    <w:rsid w:val="1C005D3C"/>
    <w:rsid w:val="1C095610"/>
    <w:rsid w:val="1C8221F8"/>
    <w:rsid w:val="1CB7502C"/>
    <w:rsid w:val="1CD35F20"/>
    <w:rsid w:val="1D251260"/>
    <w:rsid w:val="1D2F643D"/>
    <w:rsid w:val="1D372FE3"/>
    <w:rsid w:val="1DAF01F9"/>
    <w:rsid w:val="1E386E56"/>
    <w:rsid w:val="1E4569AA"/>
    <w:rsid w:val="1E9E4931"/>
    <w:rsid w:val="1EA6313D"/>
    <w:rsid w:val="1EBF4CB8"/>
    <w:rsid w:val="1F251EEF"/>
    <w:rsid w:val="1F4D6155"/>
    <w:rsid w:val="1FC13304"/>
    <w:rsid w:val="1FD9150A"/>
    <w:rsid w:val="1FDC7BDF"/>
    <w:rsid w:val="20186005"/>
    <w:rsid w:val="202F16C0"/>
    <w:rsid w:val="205A1347"/>
    <w:rsid w:val="209B3A9C"/>
    <w:rsid w:val="20BD0454"/>
    <w:rsid w:val="20DC65FD"/>
    <w:rsid w:val="20F12E19"/>
    <w:rsid w:val="20FF44F4"/>
    <w:rsid w:val="214D4ED1"/>
    <w:rsid w:val="21534A02"/>
    <w:rsid w:val="216079C2"/>
    <w:rsid w:val="21B0725E"/>
    <w:rsid w:val="21D334CB"/>
    <w:rsid w:val="21F01A82"/>
    <w:rsid w:val="22014393"/>
    <w:rsid w:val="220F3117"/>
    <w:rsid w:val="22302C79"/>
    <w:rsid w:val="224A27E1"/>
    <w:rsid w:val="224B4691"/>
    <w:rsid w:val="227C15EA"/>
    <w:rsid w:val="22A23693"/>
    <w:rsid w:val="23097A44"/>
    <w:rsid w:val="233C68DC"/>
    <w:rsid w:val="233D3073"/>
    <w:rsid w:val="234D7A5A"/>
    <w:rsid w:val="235C2485"/>
    <w:rsid w:val="235C493F"/>
    <w:rsid w:val="237B5FDA"/>
    <w:rsid w:val="23A239B4"/>
    <w:rsid w:val="23D70C99"/>
    <w:rsid w:val="23F545F6"/>
    <w:rsid w:val="24033DFB"/>
    <w:rsid w:val="24242236"/>
    <w:rsid w:val="24332F21"/>
    <w:rsid w:val="24713BE1"/>
    <w:rsid w:val="247C4DE0"/>
    <w:rsid w:val="247E23FB"/>
    <w:rsid w:val="248A6FAE"/>
    <w:rsid w:val="24977834"/>
    <w:rsid w:val="249F5C9B"/>
    <w:rsid w:val="24E96A10"/>
    <w:rsid w:val="251F4F3F"/>
    <w:rsid w:val="25302162"/>
    <w:rsid w:val="253A1B89"/>
    <w:rsid w:val="253B28B5"/>
    <w:rsid w:val="25496A4A"/>
    <w:rsid w:val="25502AC4"/>
    <w:rsid w:val="25570222"/>
    <w:rsid w:val="25637F44"/>
    <w:rsid w:val="256F3843"/>
    <w:rsid w:val="258B6BB6"/>
    <w:rsid w:val="25D042BB"/>
    <w:rsid w:val="25F35B50"/>
    <w:rsid w:val="26061115"/>
    <w:rsid w:val="268E37D0"/>
    <w:rsid w:val="26AE415D"/>
    <w:rsid w:val="26CA28D7"/>
    <w:rsid w:val="26E43171"/>
    <w:rsid w:val="26EF1BA9"/>
    <w:rsid w:val="26F75B57"/>
    <w:rsid w:val="270F0B3F"/>
    <w:rsid w:val="27184E1A"/>
    <w:rsid w:val="27206942"/>
    <w:rsid w:val="2728014B"/>
    <w:rsid w:val="273A4BE0"/>
    <w:rsid w:val="27534058"/>
    <w:rsid w:val="27555DB6"/>
    <w:rsid w:val="278304B3"/>
    <w:rsid w:val="279C0092"/>
    <w:rsid w:val="279F65E2"/>
    <w:rsid w:val="27CD0FC5"/>
    <w:rsid w:val="27EF792F"/>
    <w:rsid w:val="280777BA"/>
    <w:rsid w:val="280E4839"/>
    <w:rsid w:val="282C47B2"/>
    <w:rsid w:val="2863607A"/>
    <w:rsid w:val="289712DD"/>
    <w:rsid w:val="289E7AE9"/>
    <w:rsid w:val="28A365DD"/>
    <w:rsid w:val="28BB12C3"/>
    <w:rsid w:val="294F5895"/>
    <w:rsid w:val="29922DD0"/>
    <w:rsid w:val="29E57616"/>
    <w:rsid w:val="2A0C7D82"/>
    <w:rsid w:val="2A443FBA"/>
    <w:rsid w:val="2A9D312F"/>
    <w:rsid w:val="2AE4257B"/>
    <w:rsid w:val="2AED2E4B"/>
    <w:rsid w:val="2AED5A5D"/>
    <w:rsid w:val="2AFC4894"/>
    <w:rsid w:val="2B05215D"/>
    <w:rsid w:val="2B1578BF"/>
    <w:rsid w:val="2B1A1B65"/>
    <w:rsid w:val="2B334728"/>
    <w:rsid w:val="2B5A081A"/>
    <w:rsid w:val="2B5C74FD"/>
    <w:rsid w:val="2B823E54"/>
    <w:rsid w:val="2B8A30C8"/>
    <w:rsid w:val="2B9E012B"/>
    <w:rsid w:val="2BE61D13"/>
    <w:rsid w:val="2BF02704"/>
    <w:rsid w:val="2C1A1BB0"/>
    <w:rsid w:val="2C1C548E"/>
    <w:rsid w:val="2C472AA5"/>
    <w:rsid w:val="2C4B1BB9"/>
    <w:rsid w:val="2C5C4F9A"/>
    <w:rsid w:val="2C7A2656"/>
    <w:rsid w:val="2CA839BD"/>
    <w:rsid w:val="2CD70D08"/>
    <w:rsid w:val="2D030405"/>
    <w:rsid w:val="2D286E61"/>
    <w:rsid w:val="2D3F3CBD"/>
    <w:rsid w:val="2D4271D6"/>
    <w:rsid w:val="2D490945"/>
    <w:rsid w:val="2D8C16BB"/>
    <w:rsid w:val="2DAD5F43"/>
    <w:rsid w:val="2DCE2C4F"/>
    <w:rsid w:val="2DD609B8"/>
    <w:rsid w:val="2DF22473"/>
    <w:rsid w:val="2DF45575"/>
    <w:rsid w:val="2E29321A"/>
    <w:rsid w:val="2E293698"/>
    <w:rsid w:val="2E36308C"/>
    <w:rsid w:val="2E725511"/>
    <w:rsid w:val="2E8F5944"/>
    <w:rsid w:val="2EAD6023"/>
    <w:rsid w:val="2F3C0268"/>
    <w:rsid w:val="2F737704"/>
    <w:rsid w:val="2F7B2070"/>
    <w:rsid w:val="2F9E5F1A"/>
    <w:rsid w:val="2FD00080"/>
    <w:rsid w:val="2FF71002"/>
    <w:rsid w:val="30031353"/>
    <w:rsid w:val="300E238D"/>
    <w:rsid w:val="303B10A0"/>
    <w:rsid w:val="3048116A"/>
    <w:rsid w:val="305765BF"/>
    <w:rsid w:val="3078676B"/>
    <w:rsid w:val="307D4EB1"/>
    <w:rsid w:val="30BF653A"/>
    <w:rsid w:val="30C160B1"/>
    <w:rsid w:val="31006B9C"/>
    <w:rsid w:val="312A7037"/>
    <w:rsid w:val="316A603C"/>
    <w:rsid w:val="3194663F"/>
    <w:rsid w:val="319B494E"/>
    <w:rsid w:val="31B24E09"/>
    <w:rsid w:val="32084778"/>
    <w:rsid w:val="322D4829"/>
    <w:rsid w:val="323F5AB5"/>
    <w:rsid w:val="32906725"/>
    <w:rsid w:val="32BE08D1"/>
    <w:rsid w:val="32EB6B78"/>
    <w:rsid w:val="338973E0"/>
    <w:rsid w:val="3392223A"/>
    <w:rsid w:val="33AE25D9"/>
    <w:rsid w:val="340D4665"/>
    <w:rsid w:val="34733E90"/>
    <w:rsid w:val="349D20E7"/>
    <w:rsid w:val="34E83B65"/>
    <w:rsid w:val="34F72094"/>
    <w:rsid w:val="35204553"/>
    <w:rsid w:val="352111BD"/>
    <w:rsid w:val="35221B72"/>
    <w:rsid w:val="35350CFE"/>
    <w:rsid w:val="35460F4B"/>
    <w:rsid w:val="355E6877"/>
    <w:rsid w:val="35C77DDA"/>
    <w:rsid w:val="35E47E54"/>
    <w:rsid w:val="362F3D70"/>
    <w:rsid w:val="366A022E"/>
    <w:rsid w:val="367F4CF7"/>
    <w:rsid w:val="368F2A60"/>
    <w:rsid w:val="36960E8D"/>
    <w:rsid w:val="369711FA"/>
    <w:rsid w:val="369F1E77"/>
    <w:rsid w:val="36DB04EE"/>
    <w:rsid w:val="36E00227"/>
    <w:rsid w:val="371145A0"/>
    <w:rsid w:val="376A36BE"/>
    <w:rsid w:val="379B66E6"/>
    <w:rsid w:val="379E4095"/>
    <w:rsid w:val="37B5253B"/>
    <w:rsid w:val="37D02CA8"/>
    <w:rsid w:val="37DA04F1"/>
    <w:rsid w:val="383E64EC"/>
    <w:rsid w:val="38441C50"/>
    <w:rsid w:val="385B7B6E"/>
    <w:rsid w:val="38957A2E"/>
    <w:rsid w:val="38EA61BD"/>
    <w:rsid w:val="3959064B"/>
    <w:rsid w:val="398E72F8"/>
    <w:rsid w:val="39A42853"/>
    <w:rsid w:val="39AC0BF8"/>
    <w:rsid w:val="39F56226"/>
    <w:rsid w:val="3A25789A"/>
    <w:rsid w:val="3A2A3EAE"/>
    <w:rsid w:val="3A2D2318"/>
    <w:rsid w:val="3A2E6ACE"/>
    <w:rsid w:val="3A4C4353"/>
    <w:rsid w:val="3A957D9C"/>
    <w:rsid w:val="3ABF57FE"/>
    <w:rsid w:val="3AD07104"/>
    <w:rsid w:val="3ADB72B3"/>
    <w:rsid w:val="3AE72C77"/>
    <w:rsid w:val="3AFD2D19"/>
    <w:rsid w:val="3B135BD0"/>
    <w:rsid w:val="3B27011C"/>
    <w:rsid w:val="3B8E7C08"/>
    <w:rsid w:val="3BA02D24"/>
    <w:rsid w:val="3BD504B5"/>
    <w:rsid w:val="3BE56DCF"/>
    <w:rsid w:val="3C065462"/>
    <w:rsid w:val="3C391255"/>
    <w:rsid w:val="3C6109FB"/>
    <w:rsid w:val="3C78767C"/>
    <w:rsid w:val="3C8264C3"/>
    <w:rsid w:val="3C9D3B59"/>
    <w:rsid w:val="3CB0452E"/>
    <w:rsid w:val="3D161EF8"/>
    <w:rsid w:val="3D284D67"/>
    <w:rsid w:val="3D4F1F25"/>
    <w:rsid w:val="3D501FF7"/>
    <w:rsid w:val="3D601977"/>
    <w:rsid w:val="3DBE1F55"/>
    <w:rsid w:val="3E16487A"/>
    <w:rsid w:val="3E373866"/>
    <w:rsid w:val="3E4F522E"/>
    <w:rsid w:val="3E5521A5"/>
    <w:rsid w:val="3E6C7521"/>
    <w:rsid w:val="3E76217F"/>
    <w:rsid w:val="3E89317B"/>
    <w:rsid w:val="3E8D7BAE"/>
    <w:rsid w:val="3E94136F"/>
    <w:rsid w:val="3ED10746"/>
    <w:rsid w:val="3EED5197"/>
    <w:rsid w:val="3F2302D3"/>
    <w:rsid w:val="3F3A0585"/>
    <w:rsid w:val="3F3E2AF1"/>
    <w:rsid w:val="3F4D09D4"/>
    <w:rsid w:val="3F514D57"/>
    <w:rsid w:val="3F5D5ECC"/>
    <w:rsid w:val="3F732727"/>
    <w:rsid w:val="3F8D4AA0"/>
    <w:rsid w:val="3FC059C6"/>
    <w:rsid w:val="3FD414E4"/>
    <w:rsid w:val="404D5DD7"/>
    <w:rsid w:val="404F49DD"/>
    <w:rsid w:val="405C1C05"/>
    <w:rsid w:val="408F7E07"/>
    <w:rsid w:val="40DC6E16"/>
    <w:rsid w:val="41083BE8"/>
    <w:rsid w:val="41B17DDE"/>
    <w:rsid w:val="41B22288"/>
    <w:rsid w:val="42310C02"/>
    <w:rsid w:val="42476F08"/>
    <w:rsid w:val="42DC2FC1"/>
    <w:rsid w:val="42F16122"/>
    <w:rsid w:val="431F427A"/>
    <w:rsid w:val="434073ED"/>
    <w:rsid w:val="437C6B27"/>
    <w:rsid w:val="43DA7698"/>
    <w:rsid w:val="441E453E"/>
    <w:rsid w:val="445F0076"/>
    <w:rsid w:val="44696141"/>
    <w:rsid w:val="447E165E"/>
    <w:rsid w:val="4490400C"/>
    <w:rsid w:val="44BC6155"/>
    <w:rsid w:val="44FD1140"/>
    <w:rsid w:val="4517361C"/>
    <w:rsid w:val="452A4F2D"/>
    <w:rsid w:val="4538762D"/>
    <w:rsid w:val="454014A8"/>
    <w:rsid w:val="455720F4"/>
    <w:rsid w:val="45594965"/>
    <w:rsid w:val="459A21D6"/>
    <w:rsid w:val="45B14F63"/>
    <w:rsid w:val="45C0690C"/>
    <w:rsid w:val="45CD457D"/>
    <w:rsid w:val="45F74A72"/>
    <w:rsid w:val="45F976B1"/>
    <w:rsid w:val="46345DC3"/>
    <w:rsid w:val="46413279"/>
    <w:rsid w:val="46476EB4"/>
    <w:rsid w:val="4649417D"/>
    <w:rsid w:val="46571B40"/>
    <w:rsid w:val="46AA319F"/>
    <w:rsid w:val="46DF2A9C"/>
    <w:rsid w:val="471343EC"/>
    <w:rsid w:val="477D591E"/>
    <w:rsid w:val="47AD32B4"/>
    <w:rsid w:val="47B0577C"/>
    <w:rsid w:val="47C53DAE"/>
    <w:rsid w:val="47C666DA"/>
    <w:rsid w:val="4835347D"/>
    <w:rsid w:val="486D5474"/>
    <w:rsid w:val="488C32A4"/>
    <w:rsid w:val="489E3831"/>
    <w:rsid w:val="48B35B29"/>
    <w:rsid w:val="491C647D"/>
    <w:rsid w:val="495315E2"/>
    <w:rsid w:val="49B8776F"/>
    <w:rsid w:val="49D34935"/>
    <w:rsid w:val="49E445A8"/>
    <w:rsid w:val="49EA198F"/>
    <w:rsid w:val="49F53DE3"/>
    <w:rsid w:val="49FD26A6"/>
    <w:rsid w:val="4A084C9C"/>
    <w:rsid w:val="4A096BEA"/>
    <w:rsid w:val="4A0A26D2"/>
    <w:rsid w:val="4A1065F5"/>
    <w:rsid w:val="4A1F5029"/>
    <w:rsid w:val="4A5F1150"/>
    <w:rsid w:val="4A7409F7"/>
    <w:rsid w:val="4A7D5E56"/>
    <w:rsid w:val="4ABF238A"/>
    <w:rsid w:val="4AE1094D"/>
    <w:rsid w:val="4AE32362"/>
    <w:rsid w:val="4B126A98"/>
    <w:rsid w:val="4B687449"/>
    <w:rsid w:val="4B747568"/>
    <w:rsid w:val="4B8A3C17"/>
    <w:rsid w:val="4BA53406"/>
    <w:rsid w:val="4BB23986"/>
    <w:rsid w:val="4BE716CC"/>
    <w:rsid w:val="4BF141AB"/>
    <w:rsid w:val="4BF64F24"/>
    <w:rsid w:val="4C0653F1"/>
    <w:rsid w:val="4C22480D"/>
    <w:rsid w:val="4C4F349E"/>
    <w:rsid w:val="4C5267E9"/>
    <w:rsid w:val="4C5E47B6"/>
    <w:rsid w:val="4C735AEC"/>
    <w:rsid w:val="4C826B62"/>
    <w:rsid w:val="4C9A3473"/>
    <w:rsid w:val="4CDA7E87"/>
    <w:rsid w:val="4D2E321B"/>
    <w:rsid w:val="4D3032B0"/>
    <w:rsid w:val="4D4C3211"/>
    <w:rsid w:val="4D4F4D32"/>
    <w:rsid w:val="4DB16B4C"/>
    <w:rsid w:val="4DC95FB1"/>
    <w:rsid w:val="4DE12FE0"/>
    <w:rsid w:val="4DFB7CF7"/>
    <w:rsid w:val="4E0964B9"/>
    <w:rsid w:val="4E203BD3"/>
    <w:rsid w:val="4E402390"/>
    <w:rsid w:val="4E5B1088"/>
    <w:rsid w:val="4E5D78F2"/>
    <w:rsid w:val="4E5E0236"/>
    <w:rsid w:val="4E6722B4"/>
    <w:rsid w:val="4EA57CFD"/>
    <w:rsid w:val="4EB124A8"/>
    <w:rsid w:val="4EDB781E"/>
    <w:rsid w:val="4F1E505A"/>
    <w:rsid w:val="4F2C4D32"/>
    <w:rsid w:val="4F7D4B65"/>
    <w:rsid w:val="4F7F4A0A"/>
    <w:rsid w:val="4F867008"/>
    <w:rsid w:val="4F976BC5"/>
    <w:rsid w:val="4FC769C8"/>
    <w:rsid w:val="4FE0580F"/>
    <w:rsid w:val="500B3A00"/>
    <w:rsid w:val="506B3521"/>
    <w:rsid w:val="5081613B"/>
    <w:rsid w:val="5085634A"/>
    <w:rsid w:val="509D288F"/>
    <w:rsid w:val="50A53A53"/>
    <w:rsid w:val="50C56058"/>
    <w:rsid w:val="50C91E93"/>
    <w:rsid w:val="51046E45"/>
    <w:rsid w:val="514C30F0"/>
    <w:rsid w:val="514D1287"/>
    <w:rsid w:val="514D4038"/>
    <w:rsid w:val="51CE7F6F"/>
    <w:rsid w:val="51DE43E7"/>
    <w:rsid w:val="51F044B7"/>
    <w:rsid w:val="51F301ED"/>
    <w:rsid w:val="51F44508"/>
    <w:rsid w:val="524A5DE9"/>
    <w:rsid w:val="52507425"/>
    <w:rsid w:val="525946A5"/>
    <w:rsid w:val="527164ED"/>
    <w:rsid w:val="528D0464"/>
    <w:rsid w:val="52A33709"/>
    <w:rsid w:val="52BB6C5F"/>
    <w:rsid w:val="52D2277D"/>
    <w:rsid w:val="52D42C1A"/>
    <w:rsid w:val="531B3C4A"/>
    <w:rsid w:val="53307055"/>
    <w:rsid w:val="533C14BD"/>
    <w:rsid w:val="533D6B93"/>
    <w:rsid w:val="53405AB2"/>
    <w:rsid w:val="534443F2"/>
    <w:rsid w:val="53D77148"/>
    <w:rsid w:val="53D85C9D"/>
    <w:rsid w:val="540003B6"/>
    <w:rsid w:val="54165D8F"/>
    <w:rsid w:val="541C1A2E"/>
    <w:rsid w:val="54222737"/>
    <w:rsid w:val="54361D08"/>
    <w:rsid w:val="54391E20"/>
    <w:rsid w:val="543D5452"/>
    <w:rsid w:val="545051A3"/>
    <w:rsid w:val="547D71E3"/>
    <w:rsid w:val="54854997"/>
    <w:rsid w:val="548D72DA"/>
    <w:rsid w:val="54A6246A"/>
    <w:rsid w:val="54BD6B1B"/>
    <w:rsid w:val="54E73B77"/>
    <w:rsid w:val="54FD6EA7"/>
    <w:rsid w:val="550453DC"/>
    <w:rsid w:val="5507770E"/>
    <w:rsid w:val="550D7D22"/>
    <w:rsid w:val="55307BF2"/>
    <w:rsid w:val="55623863"/>
    <w:rsid w:val="557C390F"/>
    <w:rsid w:val="559A4016"/>
    <w:rsid w:val="559F3346"/>
    <w:rsid w:val="55A5721D"/>
    <w:rsid w:val="55DD606E"/>
    <w:rsid w:val="566437FD"/>
    <w:rsid w:val="56784A1A"/>
    <w:rsid w:val="56827347"/>
    <w:rsid w:val="569413BD"/>
    <w:rsid w:val="56BD080C"/>
    <w:rsid w:val="56FF2F39"/>
    <w:rsid w:val="57024AB7"/>
    <w:rsid w:val="572E0EF1"/>
    <w:rsid w:val="57426E91"/>
    <w:rsid w:val="57463CBB"/>
    <w:rsid w:val="57A32B90"/>
    <w:rsid w:val="57B126B0"/>
    <w:rsid w:val="57B868E8"/>
    <w:rsid w:val="57D9735C"/>
    <w:rsid w:val="57EC26B1"/>
    <w:rsid w:val="5805660A"/>
    <w:rsid w:val="58104FB5"/>
    <w:rsid w:val="58853AF2"/>
    <w:rsid w:val="589838D5"/>
    <w:rsid w:val="589D08D7"/>
    <w:rsid w:val="58A046A0"/>
    <w:rsid w:val="58F33F11"/>
    <w:rsid w:val="59176F1B"/>
    <w:rsid w:val="5938296C"/>
    <w:rsid w:val="595C213E"/>
    <w:rsid w:val="59AC2ED6"/>
    <w:rsid w:val="59C65211"/>
    <w:rsid w:val="59E427F0"/>
    <w:rsid w:val="59E909D9"/>
    <w:rsid w:val="5A003EB6"/>
    <w:rsid w:val="5A1A3653"/>
    <w:rsid w:val="5A1E1249"/>
    <w:rsid w:val="5A22286F"/>
    <w:rsid w:val="5A250E62"/>
    <w:rsid w:val="5A437C34"/>
    <w:rsid w:val="5A951598"/>
    <w:rsid w:val="5A9C1F63"/>
    <w:rsid w:val="5AF22FD2"/>
    <w:rsid w:val="5B2038C5"/>
    <w:rsid w:val="5B316865"/>
    <w:rsid w:val="5B49137F"/>
    <w:rsid w:val="5B5F6045"/>
    <w:rsid w:val="5B601713"/>
    <w:rsid w:val="5B7F66AA"/>
    <w:rsid w:val="5B852C25"/>
    <w:rsid w:val="5BF6510B"/>
    <w:rsid w:val="5C0D79AA"/>
    <w:rsid w:val="5C0E2003"/>
    <w:rsid w:val="5C5E00B3"/>
    <w:rsid w:val="5C6178B0"/>
    <w:rsid w:val="5C665BB7"/>
    <w:rsid w:val="5C716710"/>
    <w:rsid w:val="5C765164"/>
    <w:rsid w:val="5C892E40"/>
    <w:rsid w:val="5CA76E09"/>
    <w:rsid w:val="5CAF0C9F"/>
    <w:rsid w:val="5CB103A9"/>
    <w:rsid w:val="5CD64696"/>
    <w:rsid w:val="5CFA4828"/>
    <w:rsid w:val="5D642494"/>
    <w:rsid w:val="5D8E6038"/>
    <w:rsid w:val="5DA81A0A"/>
    <w:rsid w:val="5DDC2FC5"/>
    <w:rsid w:val="5DFC16A0"/>
    <w:rsid w:val="5E0039F2"/>
    <w:rsid w:val="5E4717C6"/>
    <w:rsid w:val="5E483ED0"/>
    <w:rsid w:val="5F011B27"/>
    <w:rsid w:val="5F1B4C75"/>
    <w:rsid w:val="5F2A52B5"/>
    <w:rsid w:val="5F5F0E9C"/>
    <w:rsid w:val="5FA31799"/>
    <w:rsid w:val="5FBF6E08"/>
    <w:rsid w:val="5FCD1E6C"/>
    <w:rsid w:val="5FD163AE"/>
    <w:rsid w:val="5FE12440"/>
    <w:rsid w:val="5FFA37A6"/>
    <w:rsid w:val="602A0F00"/>
    <w:rsid w:val="606C3BBD"/>
    <w:rsid w:val="60727A06"/>
    <w:rsid w:val="609E1CA4"/>
    <w:rsid w:val="60A53897"/>
    <w:rsid w:val="60A64631"/>
    <w:rsid w:val="60E7487B"/>
    <w:rsid w:val="60EB32DD"/>
    <w:rsid w:val="61264971"/>
    <w:rsid w:val="61271964"/>
    <w:rsid w:val="6144420F"/>
    <w:rsid w:val="61462B9E"/>
    <w:rsid w:val="616B46CF"/>
    <w:rsid w:val="61776447"/>
    <w:rsid w:val="61831D8F"/>
    <w:rsid w:val="61AA1046"/>
    <w:rsid w:val="62014DF0"/>
    <w:rsid w:val="6251043A"/>
    <w:rsid w:val="62876162"/>
    <w:rsid w:val="62A2516D"/>
    <w:rsid w:val="62CD46D7"/>
    <w:rsid w:val="62F9055D"/>
    <w:rsid w:val="63063812"/>
    <w:rsid w:val="632D4FA8"/>
    <w:rsid w:val="6341248F"/>
    <w:rsid w:val="63786152"/>
    <w:rsid w:val="63A15300"/>
    <w:rsid w:val="63AC0304"/>
    <w:rsid w:val="63B16DFD"/>
    <w:rsid w:val="63C25579"/>
    <w:rsid w:val="63E14714"/>
    <w:rsid w:val="63E652D2"/>
    <w:rsid w:val="63F7410E"/>
    <w:rsid w:val="64073956"/>
    <w:rsid w:val="640F4D55"/>
    <w:rsid w:val="64133D4F"/>
    <w:rsid w:val="64482E90"/>
    <w:rsid w:val="64F15894"/>
    <w:rsid w:val="64FF7246"/>
    <w:rsid w:val="65021846"/>
    <w:rsid w:val="65105929"/>
    <w:rsid w:val="65150F36"/>
    <w:rsid w:val="6529410F"/>
    <w:rsid w:val="65295232"/>
    <w:rsid w:val="653171EE"/>
    <w:rsid w:val="65433E22"/>
    <w:rsid w:val="654376DE"/>
    <w:rsid w:val="654C59E2"/>
    <w:rsid w:val="654C69FF"/>
    <w:rsid w:val="6551339F"/>
    <w:rsid w:val="65513A77"/>
    <w:rsid w:val="65746DD1"/>
    <w:rsid w:val="65A061AA"/>
    <w:rsid w:val="65C634F9"/>
    <w:rsid w:val="65F9679A"/>
    <w:rsid w:val="65FF6A62"/>
    <w:rsid w:val="66152075"/>
    <w:rsid w:val="665044E2"/>
    <w:rsid w:val="66847317"/>
    <w:rsid w:val="66B64EAC"/>
    <w:rsid w:val="66C55ECE"/>
    <w:rsid w:val="671464E6"/>
    <w:rsid w:val="6715556E"/>
    <w:rsid w:val="67225003"/>
    <w:rsid w:val="672E70E3"/>
    <w:rsid w:val="677F6056"/>
    <w:rsid w:val="67A04E62"/>
    <w:rsid w:val="67D26C5B"/>
    <w:rsid w:val="67F5111B"/>
    <w:rsid w:val="68131BB1"/>
    <w:rsid w:val="68272800"/>
    <w:rsid w:val="683B0D6C"/>
    <w:rsid w:val="683E3013"/>
    <w:rsid w:val="684D477B"/>
    <w:rsid w:val="68B656C0"/>
    <w:rsid w:val="68D711B3"/>
    <w:rsid w:val="68F006D0"/>
    <w:rsid w:val="69146280"/>
    <w:rsid w:val="69195592"/>
    <w:rsid w:val="69270DE2"/>
    <w:rsid w:val="69987C4C"/>
    <w:rsid w:val="69AB3B8F"/>
    <w:rsid w:val="69E9377F"/>
    <w:rsid w:val="69F46F05"/>
    <w:rsid w:val="69F46F13"/>
    <w:rsid w:val="69F77045"/>
    <w:rsid w:val="6A065FAB"/>
    <w:rsid w:val="6A0B76FE"/>
    <w:rsid w:val="6A0D0F0D"/>
    <w:rsid w:val="6A12564F"/>
    <w:rsid w:val="6A451B0C"/>
    <w:rsid w:val="6A846729"/>
    <w:rsid w:val="6AE3541B"/>
    <w:rsid w:val="6AED1828"/>
    <w:rsid w:val="6B026798"/>
    <w:rsid w:val="6B5D570B"/>
    <w:rsid w:val="6BAD464E"/>
    <w:rsid w:val="6BDB5825"/>
    <w:rsid w:val="6BEB43A0"/>
    <w:rsid w:val="6C456822"/>
    <w:rsid w:val="6C4F1FEB"/>
    <w:rsid w:val="6C5B0D5A"/>
    <w:rsid w:val="6C835585"/>
    <w:rsid w:val="6C9C62EF"/>
    <w:rsid w:val="6CFB0696"/>
    <w:rsid w:val="6D152F39"/>
    <w:rsid w:val="6D5E5AE7"/>
    <w:rsid w:val="6D8A33E6"/>
    <w:rsid w:val="6D8E6C84"/>
    <w:rsid w:val="6E64367A"/>
    <w:rsid w:val="6E7A0073"/>
    <w:rsid w:val="6E7D016D"/>
    <w:rsid w:val="6E9404C0"/>
    <w:rsid w:val="6EBF2DF5"/>
    <w:rsid w:val="6F123851"/>
    <w:rsid w:val="6F633F1F"/>
    <w:rsid w:val="6F6B1B80"/>
    <w:rsid w:val="6F7E775B"/>
    <w:rsid w:val="6F8868AA"/>
    <w:rsid w:val="6F90788D"/>
    <w:rsid w:val="6F936CE8"/>
    <w:rsid w:val="6F970DF0"/>
    <w:rsid w:val="6FBC771B"/>
    <w:rsid w:val="6FEF5CBA"/>
    <w:rsid w:val="7041320F"/>
    <w:rsid w:val="70481E65"/>
    <w:rsid w:val="705176AE"/>
    <w:rsid w:val="707B1314"/>
    <w:rsid w:val="70A05304"/>
    <w:rsid w:val="710875DB"/>
    <w:rsid w:val="7141162A"/>
    <w:rsid w:val="715105FA"/>
    <w:rsid w:val="71E061E4"/>
    <w:rsid w:val="7213050A"/>
    <w:rsid w:val="722A2E38"/>
    <w:rsid w:val="723E077B"/>
    <w:rsid w:val="72420433"/>
    <w:rsid w:val="724E66D4"/>
    <w:rsid w:val="72963A55"/>
    <w:rsid w:val="72B83806"/>
    <w:rsid w:val="72EC47A5"/>
    <w:rsid w:val="73180B71"/>
    <w:rsid w:val="7367665C"/>
    <w:rsid w:val="737E242F"/>
    <w:rsid w:val="738942C4"/>
    <w:rsid w:val="73964333"/>
    <w:rsid w:val="74080FC6"/>
    <w:rsid w:val="743C75FE"/>
    <w:rsid w:val="74410E1D"/>
    <w:rsid w:val="747D7DBD"/>
    <w:rsid w:val="749C5E06"/>
    <w:rsid w:val="74AC5FB0"/>
    <w:rsid w:val="74AF0C78"/>
    <w:rsid w:val="74B414D4"/>
    <w:rsid w:val="74BF6F78"/>
    <w:rsid w:val="74CE5C15"/>
    <w:rsid w:val="74D97FA7"/>
    <w:rsid w:val="750A17B6"/>
    <w:rsid w:val="750C0792"/>
    <w:rsid w:val="750D0EED"/>
    <w:rsid w:val="75B369EC"/>
    <w:rsid w:val="75C47947"/>
    <w:rsid w:val="75D5078B"/>
    <w:rsid w:val="75E4641C"/>
    <w:rsid w:val="75FA3CD3"/>
    <w:rsid w:val="762A3631"/>
    <w:rsid w:val="763E3952"/>
    <w:rsid w:val="76620714"/>
    <w:rsid w:val="767073CE"/>
    <w:rsid w:val="76B178AE"/>
    <w:rsid w:val="76B40D47"/>
    <w:rsid w:val="76CC7158"/>
    <w:rsid w:val="771479EA"/>
    <w:rsid w:val="778F194C"/>
    <w:rsid w:val="77C72CEA"/>
    <w:rsid w:val="77CE269B"/>
    <w:rsid w:val="77D97B64"/>
    <w:rsid w:val="77DA64AE"/>
    <w:rsid w:val="7842377D"/>
    <w:rsid w:val="78866794"/>
    <w:rsid w:val="78C85924"/>
    <w:rsid w:val="78EB07CC"/>
    <w:rsid w:val="78F44DDC"/>
    <w:rsid w:val="790A45A6"/>
    <w:rsid w:val="79C07611"/>
    <w:rsid w:val="79CD761F"/>
    <w:rsid w:val="79F92898"/>
    <w:rsid w:val="7A006C5E"/>
    <w:rsid w:val="7A7D3002"/>
    <w:rsid w:val="7A911354"/>
    <w:rsid w:val="7AB918D7"/>
    <w:rsid w:val="7ABC2437"/>
    <w:rsid w:val="7AD65B35"/>
    <w:rsid w:val="7B246638"/>
    <w:rsid w:val="7B3B0608"/>
    <w:rsid w:val="7B42766E"/>
    <w:rsid w:val="7B5B6577"/>
    <w:rsid w:val="7B6C26E5"/>
    <w:rsid w:val="7B8A5F6C"/>
    <w:rsid w:val="7BC0030B"/>
    <w:rsid w:val="7BEC7811"/>
    <w:rsid w:val="7C4D598D"/>
    <w:rsid w:val="7C593088"/>
    <w:rsid w:val="7CB33D27"/>
    <w:rsid w:val="7D25780C"/>
    <w:rsid w:val="7D2844C0"/>
    <w:rsid w:val="7D393C95"/>
    <w:rsid w:val="7DD20D5D"/>
    <w:rsid w:val="7DE50EC8"/>
    <w:rsid w:val="7E8A07BD"/>
    <w:rsid w:val="7E9B3FC3"/>
    <w:rsid w:val="7EB6521F"/>
    <w:rsid w:val="7EC72DC7"/>
    <w:rsid w:val="7EDA6808"/>
    <w:rsid w:val="7F0D037D"/>
    <w:rsid w:val="7F183F6F"/>
    <w:rsid w:val="7F1A2503"/>
    <w:rsid w:val="7F1A6910"/>
    <w:rsid w:val="7F1F6296"/>
    <w:rsid w:val="7F2C5109"/>
    <w:rsid w:val="7F3C2C50"/>
    <w:rsid w:val="7F440F26"/>
    <w:rsid w:val="7F470C2D"/>
    <w:rsid w:val="7F485C5B"/>
    <w:rsid w:val="7F58050B"/>
    <w:rsid w:val="7FC07339"/>
    <w:rsid w:val="7FC659EA"/>
    <w:rsid w:val="7FCC75CF"/>
    <w:rsid w:val="7FCE289A"/>
    <w:rsid w:val="7FE3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link w:val="52"/>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6"/>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64"/>
    <w:qFormat/>
    <w:uiPriority w:val="99"/>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167"/>
    <w:qFormat/>
    <w:uiPriority w:val="99"/>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99"/>
    <w:pPr>
      <w:ind w:firstLine="420" w:firstLineChars="200"/>
    </w:pPr>
    <w:rPr>
      <w:rFonts w:ascii="Times New Roman" w:hAnsi="Times New Roman" w:eastAsia="宋体" w:cs="Times New Roman"/>
      <w:szCs w:val="21"/>
    </w:rPr>
  </w:style>
  <w:style w:type="paragraph" w:styleId="9">
    <w:name w:val="Document Map"/>
    <w:basedOn w:val="1"/>
    <w:link w:val="61"/>
    <w:semiHidden/>
    <w:qFormat/>
    <w:uiPriority w:val="0"/>
    <w:pPr>
      <w:shd w:val="clear" w:color="auto" w:fill="000080"/>
    </w:pPr>
    <w:rPr>
      <w:kern w:val="0"/>
      <w:sz w:val="2"/>
      <w:szCs w:val="20"/>
    </w:rPr>
  </w:style>
  <w:style w:type="paragraph" w:styleId="10">
    <w:name w:val="annotation text"/>
    <w:basedOn w:val="1"/>
    <w:link w:val="62"/>
    <w:qFormat/>
    <w:uiPriority w:val="99"/>
    <w:pPr>
      <w:jc w:val="left"/>
    </w:pPr>
    <w:rPr>
      <w:rFonts w:ascii="Times New Roman" w:hAnsi="Times New Roman" w:eastAsia="宋体" w:cs="Times New Roman"/>
      <w:szCs w:val="21"/>
    </w:rPr>
  </w:style>
  <w:style w:type="paragraph" w:styleId="11">
    <w:name w:val="Body Text 3"/>
    <w:basedOn w:val="1"/>
    <w:link w:val="63"/>
    <w:qFormat/>
    <w:uiPriority w:val="99"/>
    <w:rPr>
      <w:rFonts w:ascii="宋体"/>
      <w:sz w:val="24"/>
      <w:szCs w:val="20"/>
    </w:rPr>
  </w:style>
  <w:style w:type="paragraph" w:styleId="12">
    <w:name w:val="Body Text"/>
    <w:basedOn w:val="1"/>
    <w:next w:val="13"/>
    <w:link w:val="174"/>
    <w:qFormat/>
    <w:uiPriority w:val="99"/>
    <w:pPr>
      <w:spacing w:after="120"/>
    </w:pPr>
  </w:style>
  <w:style w:type="paragraph" w:styleId="13">
    <w:name w:val="Body Text 2"/>
    <w:basedOn w:val="1"/>
    <w:link w:val="67"/>
    <w:qFormat/>
    <w:uiPriority w:val="99"/>
    <w:rPr>
      <w:rFonts w:ascii="宋体" w:hAnsi="宋体"/>
      <w:kern w:val="0"/>
      <w:sz w:val="24"/>
      <w:u w:val="single"/>
    </w:rPr>
  </w:style>
  <w:style w:type="paragraph" w:styleId="14">
    <w:name w:val="Body Text Indent"/>
    <w:basedOn w:val="1"/>
    <w:next w:val="15"/>
    <w:link w:val="58"/>
    <w:qFormat/>
    <w:uiPriority w:val="99"/>
    <w:pPr>
      <w:spacing w:after="120"/>
      <w:ind w:left="420" w:leftChars="200"/>
    </w:pPr>
  </w:style>
  <w:style w:type="paragraph" w:styleId="15">
    <w:name w:val="toc 9"/>
    <w:basedOn w:val="1"/>
    <w:next w:val="1"/>
    <w:unhideWhenUsed/>
    <w:qFormat/>
    <w:uiPriority w:val="39"/>
    <w:pPr>
      <w:ind w:left="3360" w:leftChars="1600"/>
    </w:pPr>
    <w:rPr>
      <w:rFonts w:ascii="Calibri" w:hAnsi="Calibri"/>
      <w:szCs w:val="22"/>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qFormat/>
    <w:uiPriority w:val="39"/>
    <w:pPr>
      <w:ind w:left="840" w:leftChars="400"/>
    </w:pPr>
    <w:rPr>
      <w:rFonts w:ascii="Times New Roman" w:hAnsi="Times New Roman" w:eastAsia="宋体" w:cs="Times New Roman"/>
      <w:szCs w:val="21"/>
    </w:rPr>
  </w:style>
  <w:style w:type="paragraph" w:styleId="18">
    <w:name w:val="Plain Text"/>
    <w:basedOn w:val="1"/>
    <w:link w:val="64"/>
    <w:qFormat/>
    <w:uiPriority w:val="99"/>
    <w:rPr>
      <w:rFonts w:ascii="宋体" w:hAnsi="Courier New"/>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4"/>
    <w:qFormat/>
    <w:uiPriority w:val="0"/>
    <w:pPr>
      <w:ind w:left="100" w:leftChars="2500"/>
    </w:pPr>
    <w:rPr>
      <w:rFonts w:ascii="Calibri" w:hAnsi="Calibri"/>
      <w:szCs w:val="22"/>
    </w:rPr>
  </w:style>
  <w:style w:type="paragraph" w:styleId="21">
    <w:name w:val="Body Text Indent 2"/>
    <w:basedOn w:val="1"/>
    <w:unhideWhenUsed/>
    <w:qFormat/>
    <w:uiPriority w:val="0"/>
    <w:pPr>
      <w:spacing w:after="120" w:line="480" w:lineRule="auto"/>
      <w:ind w:left="420" w:leftChars="200"/>
    </w:pPr>
    <w:rPr>
      <w:kern w:val="0"/>
      <w:sz w:val="20"/>
    </w:rPr>
  </w:style>
  <w:style w:type="paragraph" w:styleId="22">
    <w:name w:val="Balloon Text"/>
    <w:basedOn w:val="1"/>
    <w:link w:val="65"/>
    <w:semiHidden/>
    <w:qFormat/>
    <w:uiPriority w:val="0"/>
    <w:rPr>
      <w:sz w:val="18"/>
      <w:szCs w:val="18"/>
    </w:rPr>
  </w:style>
  <w:style w:type="paragraph" w:styleId="23">
    <w:name w:val="footer"/>
    <w:basedOn w:val="1"/>
    <w:link w:val="66"/>
    <w:qFormat/>
    <w:uiPriority w:val="99"/>
    <w:pPr>
      <w:tabs>
        <w:tab w:val="center" w:pos="4153"/>
        <w:tab w:val="right" w:pos="8306"/>
      </w:tabs>
      <w:snapToGrid w:val="0"/>
      <w:jc w:val="left"/>
    </w:pPr>
    <w:rPr>
      <w:sz w:val="18"/>
    </w:rPr>
  </w:style>
  <w:style w:type="paragraph" w:styleId="24">
    <w:name w:val="envelope return"/>
    <w:basedOn w:val="1"/>
    <w:qFormat/>
    <w:uiPriority w:val="99"/>
    <w:pPr>
      <w:snapToGrid w:val="0"/>
    </w:pPr>
    <w:rPr>
      <w:rFonts w:ascii="Arial" w:hAnsi="Arial" w:cs="Arial"/>
    </w:rPr>
  </w:style>
  <w:style w:type="paragraph" w:styleId="25">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qFormat/>
    <w:uiPriority w:val="39"/>
    <w:pPr>
      <w:spacing w:before="120" w:after="120"/>
      <w:jc w:val="left"/>
    </w:pPr>
    <w:rPr>
      <w:b/>
      <w:bCs/>
      <w:caps/>
      <w:sz w:val="20"/>
      <w:szCs w:val="20"/>
    </w:rPr>
  </w:style>
  <w:style w:type="paragraph" w:styleId="27">
    <w:name w:val="toc 4"/>
    <w:basedOn w:val="1"/>
    <w:next w:val="1"/>
    <w:unhideWhenUsed/>
    <w:qFormat/>
    <w:uiPriority w:val="39"/>
    <w:pPr>
      <w:ind w:left="1260" w:leftChars="600"/>
    </w:pPr>
    <w:rPr>
      <w:rFonts w:ascii="Calibri" w:hAnsi="Calibri"/>
      <w:szCs w:val="22"/>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toc 2"/>
    <w:basedOn w:val="1"/>
    <w:next w:val="1"/>
    <w:qFormat/>
    <w:uiPriority w:val="39"/>
    <w:pPr>
      <w:ind w:left="420" w:leftChars="200"/>
    </w:pPr>
    <w:rPr>
      <w:rFonts w:ascii="Times New Roman" w:hAnsi="Times New Roman" w:eastAsia="宋体" w:cs="Times New Roman"/>
      <w:szCs w:val="21"/>
    </w:r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next w:val="1"/>
    <w:link w:val="176"/>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0"/>
    <w:next w:val="10"/>
    <w:semiHidden/>
    <w:qFormat/>
    <w:uiPriority w:val="0"/>
    <w:rPr>
      <w:b/>
      <w:bCs/>
    </w:rPr>
  </w:style>
  <w:style w:type="paragraph" w:styleId="35">
    <w:name w:val="Body Text First Indent"/>
    <w:basedOn w:val="12"/>
    <w:next w:val="1"/>
    <w:link w:val="68"/>
    <w:qFormat/>
    <w:uiPriority w:val="0"/>
    <w:pPr>
      <w:spacing w:line="312" w:lineRule="auto"/>
      <w:ind w:firstLine="420"/>
    </w:pPr>
  </w:style>
  <w:style w:type="paragraph" w:styleId="36">
    <w:name w:val="Body Text First Indent 2"/>
    <w:basedOn w:val="14"/>
    <w:next w:val="1"/>
    <w:link w:val="166"/>
    <w:qFormat/>
    <w:uiPriority w:val="99"/>
    <w:pPr>
      <w:adjustRightInd w:val="0"/>
      <w:spacing w:line="360" w:lineRule="auto"/>
      <w:ind w:left="0" w:leftChars="0" w:firstLine="420"/>
      <w:textAlignment w:val="baseline"/>
    </w:pPr>
    <w:rPr>
      <w:rFonts w:ascii="Times New Roman" w:hAnsi="Times New Roman" w:eastAsia="宋体"/>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basedOn w:val="39"/>
    <w:qFormat/>
    <w:uiPriority w:val="99"/>
    <w:rPr>
      <w:rFonts w:hint="eastAsia" w:ascii="微软雅黑" w:hAnsi="微软雅黑" w:eastAsia="微软雅黑" w:cs="微软雅黑"/>
      <w:color w:val="337AB7"/>
      <w:u w:val="none"/>
    </w:rPr>
  </w:style>
  <w:style w:type="character" w:styleId="43">
    <w:name w:val="HTML Definition"/>
    <w:basedOn w:val="39"/>
    <w:qFormat/>
    <w:uiPriority w:val="0"/>
    <w:rPr>
      <w:i/>
    </w:rPr>
  </w:style>
  <w:style w:type="character" w:styleId="44">
    <w:name w:val="Hyperlink"/>
    <w:basedOn w:val="39"/>
    <w:qFormat/>
    <w:uiPriority w:val="99"/>
    <w:rPr>
      <w:rFonts w:hint="eastAsia" w:ascii="微软雅黑" w:hAnsi="微软雅黑" w:eastAsia="微软雅黑" w:cs="微软雅黑"/>
      <w:color w:val="337AB7"/>
      <w:u w:val="none"/>
    </w:rPr>
  </w:style>
  <w:style w:type="character" w:styleId="45">
    <w:name w:val="HTML Code"/>
    <w:basedOn w:val="39"/>
    <w:qFormat/>
    <w:uiPriority w:val="0"/>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HTML Keyboard"/>
    <w:basedOn w:val="39"/>
    <w:qFormat/>
    <w:uiPriority w:val="0"/>
    <w:rPr>
      <w:rFonts w:ascii="Consolas" w:hAnsi="Consolas" w:eastAsia="Consolas" w:cs="Consolas"/>
      <w:color w:val="FFFFFF"/>
      <w:sz w:val="21"/>
      <w:szCs w:val="21"/>
      <w:shd w:val="clear" w:color="auto" w:fill="333333"/>
    </w:rPr>
  </w:style>
  <w:style w:type="character" w:styleId="48">
    <w:name w:val="HTML Sample"/>
    <w:basedOn w:val="39"/>
    <w:qFormat/>
    <w:uiPriority w:val="0"/>
    <w:rPr>
      <w:rFonts w:hint="default" w:ascii="Consolas" w:hAnsi="Consolas" w:eastAsia="Consolas" w:cs="Consolas"/>
      <w:sz w:val="21"/>
      <w:szCs w:val="21"/>
    </w:rPr>
  </w:style>
  <w:style w:type="paragraph" w:customStyle="1" w:styleId="49">
    <w:name w:val="Default"/>
    <w:basedOn w:val="1"/>
    <w:next w:val="8"/>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50">
    <w:name w:val="font31"/>
    <w:basedOn w:val="39"/>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字符"/>
    <w:link w:val="2"/>
    <w:qFormat/>
    <w:locked/>
    <w:uiPriority w:val="99"/>
    <w:rPr>
      <w:rFonts w:eastAsia="宋体"/>
      <w:b/>
      <w:bCs/>
      <w:kern w:val="44"/>
      <w:sz w:val="44"/>
      <w:szCs w:val="44"/>
      <w:lang w:val="en-US" w:eastAsia="zh-CN" w:bidi="ar-SA"/>
    </w:rPr>
  </w:style>
  <w:style w:type="character" w:customStyle="1" w:styleId="53">
    <w:name w:val="title21"/>
    <w:basedOn w:val="39"/>
    <w:qFormat/>
    <w:uiPriority w:val="0"/>
  </w:style>
  <w:style w:type="character" w:customStyle="1" w:styleId="54">
    <w:name w:val="日期 字符"/>
    <w:link w:val="20"/>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字符"/>
    <w:link w:val="3"/>
    <w:qFormat/>
    <w:locked/>
    <w:uiPriority w:val="99"/>
    <w:rPr>
      <w:rFonts w:ascii="Arial" w:hAnsi="Arial" w:eastAsia="黑体"/>
      <w:b/>
      <w:bCs/>
      <w:kern w:val="2"/>
      <w:sz w:val="32"/>
      <w:szCs w:val="32"/>
      <w:lang w:val="en-US" w:eastAsia="zh-CN" w:bidi="ar-SA"/>
    </w:rPr>
  </w:style>
  <w:style w:type="character" w:customStyle="1" w:styleId="57">
    <w:name w:val="font51"/>
    <w:basedOn w:val="39"/>
    <w:qFormat/>
    <w:uiPriority w:val="0"/>
    <w:rPr>
      <w:rFonts w:hint="default" w:ascii="Times New Roman" w:hAnsi="Times New Roman" w:cs="Times New Roman"/>
      <w:color w:val="000000"/>
      <w:sz w:val="18"/>
      <w:szCs w:val="18"/>
      <w:u w:val="none"/>
    </w:rPr>
  </w:style>
  <w:style w:type="character" w:customStyle="1" w:styleId="58">
    <w:name w:val="正文文本缩进 字符"/>
    <w:link w:val="14"/>
    <w:qFormat/>
    <w:uiPriority w:val="99"/>
    <w:rPr>
      <w:rFonts w:ascii="Times New Roman" w:hAnsi="Times New Roman" w:cs="Times New Roman"/>
      <w:kern w:val="2"/>
      <w:sz w:val="21"/>
      <w:szCs w:val="24"/>
    </w:rPr>
  </w:style>
  <w:style w:type="character" w:customStyle="1" w:styleId="59">
    <w:name w:val="页眉 字符"/>
    <w:link w:val="25"/>
    <w:qFormat/>
    <w:locked/>
    <w:uiPriority w:val="99"/>
    <w:rPr>
      <w:rFonts w:eastAsia="宋体"/>
      <w:kern w:val="2"/>
      <w:sz w:val="18"/>
      <w:szCs w:val="24"/>
      <w:lang w:val="en-US" w:eastAsia="zh-CN" w:bidi="ar-SA"/>
    </w:rPr>
  </w:style>
  <w:style w:type="character" w:customStyle="1" w:styleId="60">
    <w:name w:val="标题 3 字符"/>
    <w:qFormat/>
    <w:locked/>
    <w:uiPriority w:val="99"/>
    <w:rPr>
      <w:rFonts w:ascii="黑体" w:hAnsi="宋体" w:eastAsia="黑体"/>
      <w:bCs/>
      <w:kern w:val="2"/>
      <w:sz w:val="28"/>
      <w:szCs w:val="28"/>
      <w:lang w:val="en-US" w:eastAsia="zh-CN" w:bidi="ar-SA"/>
    </w:rPr>
  </w:style>
  <w:style w:type="character" w:customStyle="1" w:styleId="61">
    <w:name w:val="文档结构图 字符"/>
    <w:link w:val="9"/>
    <w:semiHidden/>
    <w:qFormat/>
    <w:locked/>
    <w:uiPriority w:val="0"/>
    <w:rPr>
      <w:rFonts w:eastAsia="宋体"/>
      <w:sz w:val="2"/>
      <w:lang w:val="en-US" w:eastAsia="zh-CN" w:bidi="ar-SA"/>
    </w:rPr>
  </w:style>
  <w:style w:type="character" w:customStyle="1" w:styleId="62">
    <w:name w:val="批注文字 字符"/>
    <w:link w:val="10"/>
    <w:qFormat/>
    <w:uiPriority w:val="99"/>
    <w:rPr>
      <w:kern w:val="2"/>
      <w:sz w:val="21"/>
      <w:szCs w:val="24"/>
    </w:rPr>
  </w:style>
  <w:style w:type="character" w:customStyle="1" w:styleId="63">
    <w:name w:val="正文文本 3 字符"/>
    <w:link w:val="11"/>
    <w:qFormat/>
    <w:uiPriority w:val="99"/>
    <w:rPr>
      <w:rFonts w:ascii="宋体" w:hAnsi="Times New Roman" w:cs="Times New Roman"/>
      <w:kern w:val="2"/>
      <w:sz w:val="24"/>
    </w:rPr>
  </w:style>
  <w:style w:type="character" w:customStyle="1" w:styleId="64">
    <w:name w:val="纯文本 字符1"/>
    <w:link w:val="18"/>
    <w:qFormat/>
    <w:uiPriority w:val="0"/>
    <w:rPr>
      <w:rFonts w:ascii="宋体" w:hAnsi="Courier New" w:eastAsia="宋体"/>
      <w:kern w:val="2"/>
      <w:sz w:val="21"/>
      <w:szCs w:val="24"/>
      <w:lang w:val="en-US" w:eastAsia="zh-CN" w:bidi="ar-SA"/>
    </w:rPr>
  </w:style>
  <w:style w:type="character" w:customStyle="1" w:styleId="65">
    <w:name w:val="批注框文本 字符"/>
    <w:link w:val="22"/>
    <w:semiHidden/>
    <w:qFormat/>
    <w:locked/>
    <w:uiPriority w:val="0"/>
    <w:rPr>
      <w:rFonts w:eastAsia="宋体"/>
      <w:kern w:val="2"/>
      <w:sz w:val="18"/>
      <w:szCs w:val="18"/>
      <w:lang w:val="en-US" w:eastAsia="zh-CN" w:bidi="ar-SA"/>
    </w:rPr>
  </w:style>
  <w:style w:type="character" w:customStyle="1" w:styleId="66">
    <w:name w:val="页脚 字符"/>
    <w:link w:val="23"/>
    <w:qFormat/>
    <w:locked/>
    <w:uiPriority w:val="99"/>
    <w:rPr>
      <w:rFonts w:eastAsia="宋体"/>
      <w:kern w:val="2"/>
      <w:sz w:val="18"/>
      <w:szCs w:val="24"/>
      <w:lang w:val="en-US" w:eastAsia="zh-CN" w:bidi="ar-SA"/>
    </w:rPr>
  </w:style>
  <w:style w:type="character" w:customStyle="1" w:styleId="67">
    <w:name w:val="正文文本 2 字符"/>
    <w:link w:val="13"/>
    <w:qFormat/>
    <w:locked/>
    <w:uiPriority w:val="99"/>
    <w:rPr>
      <w:rFonts w:ascii="宋体" w:hAnsi="宋体" w:eastAsia="宋体"/>
      <w:sz w:val="24"/>
      <w:szCs w:val="24"/>
      <w:u w:val="single"/>
      <w:lang w:val="en-US" w:eastAsia="zh-CN" w:bidi="ar-SA"/>
    </w:rPr>
  </w:style>
  <w:style w:type="character" w:customStyle="1" w:styleId="68">
    <w:name w:val="正文文本首行缩进 字符"/>
    <w:link w:val="35"/>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99"/>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39"/>
    <w:qFormat/>
    <w:uiPriority w:val="0"/>
  </w:style>
  <w:style w:type="character" w:customStyle="1" w:styleId="73">
    <w:name w:val="font91"/>
    <w:basedOn w:val="39"/>
    <w:qFormat/>
    <w:uiPriority w:val="0"/>
    <w:rPr>
      <w:rFonts w:hint="eastAsia" w:ascii="宋体" w:hAnsi="宋体" w:eastAsia="宋体" w:cs="宋体"/>
      <w:color w:val="000000"/>
      <w:sz w:val="18"/>
      <w:szCs w:val="18"/>
      <w:u w:val="none"/>
      <w:vertAlign w:val="superscript"/>
    </w:rPr>
  </w:style>
  <w:style w:type="character" w:customStyle="1" w:styleId="74">
    <w:name w:val="font11"/>
    <w:basedOn w:val="39"/>
    <w:qFormat/>
    <w:uiPriority w:val="0"/>
    <w:rPr>
      <w:rFonts w:hint="eastAsia" w:ascii="宋体" w:hAnsi="宋体" w:eastAsia="宋体" w:cs="宋体"/>
      <w:b/>
      <w:color w:val="000000"/>
      <w:sz w:val="18"/>
      <w:szCs w:val="18"/>
      <w:u w:val="none"/>
    </w:rPr>
  </w:style>
  <w:style w:type="character" w:customStyle="1" w:styleId="75">
    <w:name w:val="font21"/>
    <w:basedOn w:val="39"/>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39"/>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39"/>
    <w:qFormat/>
    <w:uiPriority w:val="0"/>
    <w:rPr>
      <w:rFonts w:hint="eastAsia" w:ascii="宋体" w:hAnsi="宋体" w:eastAsia="宋体" w:cs="宋体"/>
      <w:color w:val="000000"/>
      <w:sz w:val="18"/>
      <w:szCs w:val="18"/>
      <w:u w:val="none"/>
    </w:rPr>
  </w:style>
  <w:style w:type="character" w:customStyle="1" w:styleId="89">
    <w:name w:val="font41"/>
    <w:basedOn w:val="39"/>
    <w:qFormat/>
    <w:uiPriority w:val="0"/>
    <w:rPr>
      <w:rFonts w:hint="eastAsia" w:ascii="宋体" w:hAnsi="宋体" w:eastAsia="宋体" w:cs="宋体"/>
      <w:color w:val="000000"/>
      <w:sz w:val="18"/>
      <w:szCs w:val="18"/>
      <w:u w:val="none"/>
    </w:rPr>
  </w:style>
  <w:style w:type="character" w:customStyle="1" w:styleId="90">
    <w:name w:val="font81"/>
    <w:basedOn w:val="39"/>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2"/>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2"/>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4"/>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1"/>
    <w:basedOn w:val="1"/>
    <w:qFormat/>
    <w:uiPriority w:val="0"/>
    <w:rPr>
      <w:rFonts w:ascii="Times New Roman" w:hAnsi="Times New Roman" w:eastAsia="宋体" w:cs="Times New Roman"/>
      <w:szCs w:val="21"/>
    </w:rPr>
  </w:style>
  <w:style w:type="paragraph" w:customStyle="1" w:styleId="128">
    <w:name w:val="_Style 424"/>
    <w:basedOn w:val="1"/>
    <w:qFormat/>
    <w:uiPriority w:val="0"/>
    <w:pPr>
      <w:ind w:firstLine="420" w:firstLineChars="200"/>
    </w:pPr>
    <w:rPr>
      <w:rFonts w:ascii="Times New Roman" w:hAnsi="Times New Roman" w:eastAsia="宋体" w:cs="Times New Roman"/>
      <w:szCs w:val="21"/>
    </w:rPr>
  </w:style>
  <w:style w:type="paragraph" w:customStyle="1" w:styleId="129">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YH  表格"/>
    <w:basedOn w:val="1"/>
    <w:next w:val="1"/>
    <w:qFormat/>
    <w:uiPriority w:val="0"/>
    <w:pPr>
      <w:jc w:val="center"/>
    </w:pPr>
    <w:rPr>
      <w:rFonts w:ascii="Times New Roman"/>
      <w:sz w:val="20"/>
      <w:szCs w:val="22"/>
    </w:rPr>
  </w:style>
  <w:style w:type="paragraph" w:customStyle="1" w:styleId="131">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2">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3">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4">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5">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6">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7">
    <w:name w:val="封一"/>
    <w:basedOn w:val="99"/>
    <w:next w:val="99"/>
    <w:qFormat/>
    <w:uiPriority w:val="0"/>
    <w:pPr>
      <w:ind w:firstLine="0" w:firstLineChars="0"/>
      <w:jc w:val="center"/>
    </w:pPr>
    <w:rPr>
      <w:rFonts w:eastAsia="黑体"/>
      <w:b/>
      <w:sz w:val="84"/>
      <w:szCs w:val="84"/>
    </w:rPr>
  </w:style>
  <w:style w:type="paragraph" w:customStyle="1" w:styleId="138">
    <w:name w:val="封二"/>
    <w:basedOn w:val="99"/>
    <w:next w:val="99"/>
    <w:qFormat/>
    <w:uiPriority w:val="0"/>
    <w:pPr>
      <w:ind w:firstLine="0" w:firstLineChars="0"/>
      <w:jc w:val="center"/>
    </w:pPr>
    <w:rPr>
      <w:rFonts w:eastAsia="黑体"/>
      <w:b/>
      <w:sz w:val="36"/>
      <w:szCs w:val="36"/>
    </w:rPr>
  </w:style>
  <w:style w:type="paragraph" w:customStyle="1" w:styleId="139">
    <w:name w:val="封四"/>
    <w:basedOn w:val="99"/>
    <w:next w:val="99"/>
    <w:qFormat/>
    <w:uiPriority w:val="0"/>
    <w:pPr>
      <w:jc w:val="left"/>
    </w:pPr>
    <w:rPr>
      <w:sz w:val="30"/>
      <w:szCs w:val="30"/>
    </w:rPr>
  </w:style>
  <w:style w:type="paragraph" w:customStyle="1" w:styleId="140">
    <w:name w:val="发文落款"/>
    <w:basedOn w:val="117"/>
    <w:qFormat/>
    <w:uiPriority w:val="0"/>
    <w:pPr>
      <w:ind w:left="4094" w:right="607" w:firstLine="0"/>
      <w:jc w:val="center"/>
    </w:pPr>
  </w:style>
  <w:style w:type="paragraph" w:customStyle="1" w:styleId="141">
    <w:name w:val="修订1"/>
    <w:hidden/>
    <w:unhideWhenUsed/>
    <w:qFormat/>
    <w:uiPriority w:val="99"/>
    <w:rPr>
      <w:rFonts w:ascii="等线" w:hAnsi="等线" w:eastAsia="等线" w:cs="等线"/>
      <w:kern w:val="2"/>
      <w:sz w:val="21"/>
      <w:szCs w:val="24"/>
      <w:lang w:val="en-US" w:eastAsia="zh-CN" w:bidi="ar-SA"/>
    </w:rPr>
  </w:style>
  <w:style w:type="character" w:customStyle="1" w:styleId="142">
    <w:name w:val="标题 3 字符1"/>
    <w:qFormat/>
    <w:uiPriority w:val="0"/>
    <w:rPr>
      <w:rFonts w:ascii="黑体" w:hAnsi="黑体" w:eastAsia="宋体" w:cs="Times New Roman"/>
      <w:bCs/>
      <w:kern w:val="0"/>
      <w:sz w:val="21"/>
      <w:szCs w:val="28"/>
    </w:rPr>
  </w:style>
  <w:style w:type="paragraph" w:customStyle="1" w:styleId="143">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4">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5">
    <w:name w:val="修订2"/>
    <w:hidden/>
    <w:unhideWhenUsed/>
    <w:qFormat/>
    <w:uiPriority w:val="99"/>
    <w:rPr>
      <w:rFonts w:ascii="等线" w:hAnsi="等线" w:eastAsia="等线" w:cs="等线"/>
      <w:kern w:val="2"/>
      <w:sz w:val="21"/>
      <w:szCs w:val="24"/>
      <w:lang w:val="en-US" w:eastAsia="zh-CN" w:bidi="ar-SA"/>
    </w:rPr>
  </w:style>
  <w:style w:type="character" w:customStyle="1" w:styleId="146">
    <w:name w:val="15"/>
    <w:basedOn w:val="39"/>
    <w:qFormat/>
    <w:uiPriority w:val="0"/>
    <w:rPr>
      <w:rFonts w:hint="default" w:ascii="微软雅黑" w:hAnsi="微软雅黑" w:eastAsia="微软雅黑" w:cs="微软雅黑"/>
      <w:color w:val="000000"/>
      <w:sz w:val="20"/>
      <w:szCs w:val="20"/>
    </w:rPr>
  </w:style>
  <w:style w:type="character" w:customStyle="1" w:styleId="147">
    <w:name w:val="标题 3 字符2"/>
    <w:qFormat/>
    <w:uiPriority w:val="0"/>
    <w:rPr>
      <w:rFonts w:ascii="黑体" w:hAnsi="黑体" w:eastAsia="宋体" w:cs="Times New Roman"/>
      <w:bCs/>
      <w:kern w:val="0"/>
      <w:sz w:val="21"/>
      <w:szCs w:val="28"/>
    </w:rPr>
  </w:style>
  <w:style w:type="paragraph" w:customStyle="1" w:styleId="148">
    <w:name w:val="修订3"/>
    <w:hidden/>
    <w:unhideWhenUsed/>
    <w:qFormat/>
    <w:uiPriority w:val="99"/>
    <w:rPr>
      <w:rFonts w:ascii="等线" w:hAnsi="等线" w:eastAsia="等线" w:cs="等线"/>
      <w:kern w:val="2"/>
      <w:sz w:val="21"/>
      <w:szCs w:val="24"/>
      <w:lang w:val="en-US" w:eastAsia="zh-CN" w:bidi="ar-SA"/>
    </w:rPr>
  </w:style>
  <w:style w:type="paragraph" w:customStyle="1" w:styleId="149">
    <w:name w:val="正文首行缩进 21"/>
    <w:basedOn w:val="14"/>
    <w:next w:val="1"/>
    <w:qFormat/>
    <w:uiPriority w:val="0"/>
    <w:rPr>
      <w:rFonts w:cs="宋体"/>
      <w:szCs w:val="21"/>
    </w:rPr>
  </w:style>
  <w:style w:type="character" w:customStyle="1" w:styleId="150">
    <w:name w:val="标题 3 字符3"/>
    <w:qFormat/>
    <w:uiPriority w:val="0"/>
    <w:rPr>
      <w:rFonts w:ascii="黑体" w:hAnsi="黑体" w:eastAsia="宋体" w:cs="Times New Roman"/>
      <w:bCs/>
      <w:kern w:val="0"/>
      <w:sz w:val="21"/>
      <w:szCs w:val="28"/>
    </w:rPr>
  </w:style>
  <w:style w:type="paragraph" w:customStyle="1" w:styleId="151">
    <w:name w:val="修订4"/>
    <w:hidden/>
    <w:unhideWhenUsed/>
    <w:qFormat/>
    <w:uiPriority w:val="99"/>
    <w:rPr>
      <w:rFonts w:ascii="等线" w:hAnsi="等线" w:eastAsia="等线" w:cs="等线"/>
      <w:kern w:val="2"/>
      <w:sz w:val="21"/>
      <w:szCs w:val="24"/>
      <w:lang w:val="en-US" w:eastAsia="zh-CN" w:bidi="ar-SA"/>
    </w:rPr>
  </w:style>
  <w:style w:type="paragraph" w:customStyle="1" w:styleId="152">
    <w:name w:val="修订5"/>
    <w:hidden/>
    <w:unhideWhenUsed/>
    <w:qFormat/>
    <w:uiPriority w:val="99"/>
    <w:rPr>
      <w:rFonts w:ascii="等线" w:hAnsi="等线" w:eastAsia="等线" w:cs="等线"/>
      <w:kern w:val="2"/>
      <w:sz w:val="21"/>
      <w:szCs w:val="24"/>
      <w:lang w:val="en-US" w:eastAsia="zh-CN" w:bidi="ar-SA"/>
    </w:rPr>
  </w:style>
  <w:style w:type="character" w:customStyle="1" w:styleId="153">
    <w:name w:val="标题 3 字符4"/>
    <w:qFormat/>
    <w:uiPriority w:val="0"/>
    <w:rPr>
      <w:rFonts w:ascii="黑体" w:hAnsi="黑体" w:eastAsia="宋体" w:cs="Times New Roman"/>
      <w:bCs/>
      <w:kern w:val="0"/>
      <w:sz w:val="21"/>
      <w:szCs w:val="28"/>
    </w:rPr>
  </w:style>
  <w:style w:type="paragraph" w:customStyle="1" w:styleId="154">
    <w:name w:val="列出段落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5">
    <w:name w:val="10"/>
    <w:basedOn w:val="39"/>
    <w:qFormat/>
    <w:uiPriority w:val="0"/>
    <w:rPr>
      <w:rFonts w:hint="default" w:ascii="Times New Roman" w:hAnsi="Times New Roman" w:cs="Times New Roman"/>
    </w:rPr>
  </w:style>
  <w:style w:type="paragraph" w:customStyle="1" w:styleId="156">
    <w:name w:val="修订6"/>
    <w:hidden/>
    <w:unhideWhenUsed/>
    <w:qFormat/>
    <w:uiPriority w:val="99"/>
    <w:rPr>
      <w:rFonts w:ascii="等线" w:hAnsi="等线" w:eastAsia="等线" w:cs="等线"/>
      <w:kern w:val="2"/>
      <w:sz w:val="21"/>
      <w:szCs w:val="24"/>
      <w:lang w:val="en-US" w:eastAsia="zh-CN" w:bidi="ar-SA"/>
    </w:rPr>
  </w:style>
  <w:style w:type="character" w:customStyle="1" w:styleId="157">
    <w:name w:val="18"/>
    <w:basedOn w:val="39"/>
    <w:qFormat/>
    <w:uiPriority w:val="0"/>
    <w:rPr>
      <w:rFonts w:hint="default" w:ascii="Times New Roman" w:hAnsi="Times New Roman" w:cs="Times New Roman"/>
      <w:sz w:val="21"/>
      <w:szCs w:val="21"/>
    </w:rPr>
  </w:style>
  <w:style w:type="character" w:customStyle="1" w:styleId="158">
    <w:name w:val="17"/>
    <w:basedOn w:val="39"/>
    <w:qFormat/>
    <w:uiPriority w:val="0"/>
    <w:rPr>
      <w:rFonts w:hint="default" w:ascii="Tahoma" w:hAnsi="Tahoma" w:eastAsia="Tahoma" w:cs="Tahoma"/>
      <w:color w:val="333333"/>
      <w:sz w:val="22"/>
      <w:szCs w:val="22"/>
    </w:rPr>
  </w:style>
  <w:style w:type="character" w:customStyle="1" w:styleId="159">
    <w:name w:val="16"/>
    <w:basedOn w:val="39"/>
    <w:qFormat/>
    <w:uiPriority w:val="0"/>
    <w:rPr>
      <w:rFonts w:hint="eastAsia" w:ascii="黑体" w:hAnsi="宋体" w:eastAsia="宋体" w:cs="Times New Roman"/>
      <w:bCs/>
      <w:sz w:val="21"/>
      <w:szCs w:val="21"/>
    </w:rPr>
  </w:style>
  <w:style w:type="paragraph" w:customStyle="1" w:styleId="160">
    <w:name w:val="样式9 21"/>
    <w:basedOn w:val="1"/>
    <w:qFormat/>
    <w:uiPriority w:val="0"/>
    <w:pPr>
      <w:autoSpaceDE w:val="0"/>
      <w:autoSpaceDN w:val="0"/>
      <w:adjustRightInd w:val="0"/>
      <w:spacing w:line="360" w:lineRule="auto"/>
      <w:ind w:firstLine="560" w:firstLineChars="200"/>
      <w:jc w:val="left"/>
    </w:pPr>
    <w:rPr>
      <w:rFonts w:ascii="Calibri" w:hAnsi="Calibri" w:eastAsia="宋体" w:cs="Times New Roman"/>
      <w:kern w:val="0"/>
      <w:sz w:val="24"/>
    </w:rPr>
  </w:style>
  <w:style w:type="character" w:customStyle="1" w:styleId="161">
    <w:name w:val="标题 3 字符5"/>
    <w:qFormat/>
    <w:uiPriority w:val="0"/>
    <w:rPr>
      <w:rFonts w:ascii="黑体" w:hAnsi="黑体" w:eastAsia="宋体" w:cs="Times New Roman"/>
      <w:bCs/>
      <w:kern w:val="0"/>
      <w:sz w:val="21"/>
      <w:szCs w:val="28"/>
    </w:rPr>
  </w:style>
  <w:style w:type="paragraph" w:customStyle="1" w:styleId="162">
    <w:name w:val="修订7"/>
    <w:hidden/>
    <w:unhideWhenUsed/>
    <w:qFormat/>
    <w:uiPriority w:val="99"/>
    <w:rPr>
      <w:rFonts w:ascii="等线" w:hAnsi="等线" w:eastAsia="等线" w:cs="等线"/>
      <w:kern w:val="2"/>
      <w:sz w:val="21"/>
      <w:szCs w:val="24"/>
      <w:lang w:val="en-US" w:eastAsia="zh-CN" w:bidi="ar-SA"/>
    </w:rPr>
  </w:style>
  <w:style w:type="paragraph" w:customStyle="1" w:styleId="163">
    <w:name w:val="样式 首行缩进:  2 字符"/>
    <w:basedOn w:val="1"/>
    <w:qFormat/>
    <w:uiPriority w:val="0"/>
    <w:pPr>
      <w:ind w:firstLine="420" w:firstLineChars="200"/>
    </w:pPr>
    <w:rPr>
      <w:sz w:val="24"/>
      <w:szCs w:val="20"/>
    </w:rPr>
  </w:style>
  <w:style w:type="character" w:customStyle="1" w:styleId="164">
    <w:name w:val="标题 3 字符6"/>
    <w:link w:val="4"/>
    <w:qFormat/>
    <w:uiPriority w:val="0"/>
    <w:rPr>
      <w:rFonts w:ascii="黑体" w:hAnsi="黑体" w:eastAsia="宋体" w:cs="Times New Roman"/>
      <w:bCs/>
      <w:kern w:val="0"/>
      <w:sz w:val="21"/>
      <w:szCs w:val="28"/>
    </w:rPr>
  </w:style>
  <w:style w:type="paragraph" w:customStyle="1" w:styleId="165">
    <w:name w:val="Revision"/>
    <w:hidden/>
    <w:unhideWhenUsed/>
    <w:qFormat/>
    <w:uiPriority w:val="99"/>
    <w:rPr>
      <w:rFonts w:ascii="等线" w:hAnsi="等线" w:eastAsia="等线" w:cs="等线"/>
      <w:kern w:val="2"/>
      <w:sz w:val="21"/>
      <w:szCs w:val="24"/>
      <w:lang w:val="en-US" w:eastAsia="zh-CN" w:bidi="ar-SA"/>
    </w:rPr>
  </w:style>
  <w:style w:type="character" w:customStyle="1" w:styleId="166">
    <w:name w:val="正文文本首行缩进 2 字符"/>
    <w:basedOn w:val="58"/>
    <w:link w:val="36"/>
    <w:qFormat/>
    <w:uiPriority w:val="99"/>
    <w:rPr>
      <w:rFonts w:ascii="Times New Roman" w:hAnsi="Times New Roman" w:cs="等线"/>
      <w:kern w:val="2"/>
      <w:sz w:val="21"/>
      <w:szCs w:val="24"/>
    </w:rPr>
  </w:style>
  <w:style w:type="character" w:customStyle="1" w:styleId="167">
    <w:name w:val="标题 4 字符"/>
    <w:basedOn w:val="39"/>
    <w:link w:val="5"/>
    <w:qFormat/>
    <w:uiPriority w:val="99"/>
    <w:rPr>
      <w:rFonts w:ascii="Arial" w:hAnsi="Arial" w:eastAsia="黑体" w:cs="等线"/>
      <w:b/>
      <w:bCs/>
      <w:kern w:val="2"/>
      <w:sz w:val="28"/>
      <w:szCs w:val="28"/>
    </w:rPr>
  </w:style>
  <w:style w:type="paragraph" w:customStyle="1" w:styleId="168">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9">
    <w:name w:val="目录 21"/>
    <w:basedOn w:val="1"/>
    <w:next w:val="1"/>
    <w:semiHidden/>
    <w:qFormat/>
    <w:uiPriority w:val="0"/>
    <w:pPr>
      <w:spacing w:before="100" w:beforeAutospacing="1" w:after="100" w:afterAutospacing="1"/>
      <w:ind w:left="420" w:leftChars="200"/>
    </w:pPr>
    <w:rPr>
      <w:rFonts w:ascii="Times New Roman" w:hAnsi="Times New Roman" w:eastAsia="宋体" w:cs="Times New Roman"/>
      <w:szCs w:val="21"/>
    </w:rPr>
  </w:style>
  <w:style w:type="paragraph" w:customStyle="1" w:styleId="170">
    <w:name w:val="目录 91"/>
    <w:basedOn w:val="1"/>
    <w:next w:val="1"/>
    <w:qFormat/>
    <w:uiPriority w:val="0"/>
    <w:pPr>
      <w:spacing w:before="100" w:beforeAutospacing="1" w:after="100" w:afterAutospacing="1"/>
      <w:ind w:left="1680"/>
      <w:jc w:val="left"/>
    </w:pPr>
    <w:rPr>
      <w:rFonts w:ascii="Times New Roman" w:hAnsi="Times New Roman" w:eastAsia="宋体" w:cs="Times New Roman"/>
      <w:sz w:val="18"/>
      <w:szCs w:val="18"/>
    </w:rPr>
  </w:style>
  <w:style w:type="paragraph" w:customStyle="1" w:styleId="171">
    <w:name w:val="正文首行缩进 22"/>
    <w:basedOn w:val="14"/>
    <w:next w:val="1"/>
    <w:qFormat/>
    <w:uiPriority w:val="0"/>
    <w:pPr>
      <w:spacing w:before="100" w:beforeAutospacing="1"/>
      <w:ind w:firstLine="420" w:firstLineChars="200"/>
    </w:pPr>
    <w:rPr>
      <w:rFonts w:ascii="Times New Roman" w:hAnsi="Times New Roman" w:eastAsia="宋体" w:cs="Times New Roman"/>
      <w:szCs w:val="21"/>
    </w:rPr>
  </w:style>
  <w:style w:type="paragraph" w:customStyle="1" w:styleId="172">
    <w:name w:val="目录 31"/>
    <w:basedOn w:val="1"/>
    <w:next w:val="1"/>
    <w:semiHidden/>
    <w:qFormat/>
    <w:uiPriority w:val="0"/>
    <w:pPr>
      <w:spacing w:before="100" w:beforeAutospacing="1" w:after="100" w:afterAutospacing="1"/>
      <w:ind w:left="840" w:leftChars="400"/>
    </w:pPr>
    <w:rPr>
      <w:rFonts w:ascii="Times New Roman" w:hAnsi="Times New Roman" w:eastAsia="宋体" w:cs="Times New Roman"/>
      <w:szCs w:val="21"/>
    </w:rPr>
  </w:style>
  <w:style w:type="paragraph" w:customStyle="1" w:styleId="173">
    <w:name w:val="目录 11"/>
    <w:basedOn w:val="1"/>
    <w:next w:val="1"/>
    <w:qFormat/>
    <w:uiPriority w:val="0"/>
    <w:pPr>
      <w:spacing w:before="120" w:after="120"/>
      <w:jc w:val="left"/>
    </w:pPr>
    <w:rPr>
      <w:rFonts w:ascii="Times New Roman" w:hAnsi="Times New Roman" w:eastAsia="宋体" w:cs="Times New Roman"/>
      <w:b/>
      <w:bCs/>
      <w:caps/>
      <w:sz w:val="20"/>
      <w:szCs w:val="20"/>
    </w:rPr>
  </w:style>
  <w:style w:type="character" w:customStyle="1" w:styleId="174">
    <w:name w:val="正文文本 字符"/>
    <w:basedOn w:val="39"/>
    <w:link w:val="12"/>
    <w:qFormat/>
    <w:uiPriority w:val="99"/>
    <w:rPr>
      <w:rFonts w:ascii="等线" w:hAnsi="等线" w:eastAsia="等线" w:cs="等线"/>
      <w:kern w:val="2"/>
      <w:sz w:val="21"/>
      <w:szCs w:val="24"/>
    </w:rPr>
  </w:style>
  <w:style w:type="paragraph" w:customStyle="1" w:styleId="175">
    <w:name w:val="正文首行缩进1"/>
    <w:basedOn w:val="12"/>
    <w:next w:val="1"/>
    <w:qFormat/>
    <w:uiPriority w:val="0"/>
    <w:pPr>
      <w:spacing w:before="100" w:beforeAutospacing="1" w:line="312" w:lineRule="auto"/>
      <w:ind w:firstLine="420"/>
    </w:pPr>
    <w:rPr>
      <w:rFonts w:ascii="Calibri" w:hAnsi="Calibri" w:eastAsia="宋体" w:cs="Times New Roman"/>
      <w:kern w:val="0"/>
      <w:sz w:val="20"/>
      <w:szCs w:val="20"/>
    </w:rPr>
  </w:style>
  <w:style w:type="character" w:customStyle="1" w:styleId="176">
    <w:name w:val="标题 字符"/>
    <w:basedOn w:val="39"/>
    <w:link w:val="33"/>
    <w:qFormat/>
    <w:uiPriority w:val="99"/>
    <w:rPr>
      <w:rFonts w:ascii="Arial" w:hAnsi="Arial" w:eastAsia="等线" w:cs="等线"/>
      <w:b/>
      <w:sz w:val="32"/>
    </w:rPr>
  </w:style>
  <w:style w:type="table" w:customStyle="1" w:styleId="177">
    <w:name w:val="网格型1"/>
    <w:basedOn w:val="37"/>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31355</Words>
  <Characters>33113</Characters>
  <Lines>12990</Lines>
  <Paragraphs>13343</Paragraphs>
  <TotalTime>43</TotalTime>
  <ScaleCrop>false</ScaleCrop>
  <LinksUpToDate>false</LinksUpToDate>
  <CharactersWithSpaces>33883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张杰</cp:lastModifiedBy>
  <cp:lastPrinted>2025-08-28T05:17:00Z</cp:lastPrinted>
  <dcterms:modified xsi:type="dcterms:W3CDTF">2025-09-26T03:10:58Z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43D5525820C7497F928DB46297956CE7_13</vt:lpwstr>
  </property>
  <property fmtid="{D5CDD505-2E9C-101B-9397-08002B2CF9AE}" pid="4" name="KSOTemplateDocerSaveRecord">
    <vt:lpwstr>eyJoZGlkIjoiMjRlNDg4NDVhZGM3NjI5YjcxNDBlNzdkY2JmZjU2YzQiLCJ1c2VySWQiOiIxNDYxNTQ3MTE0In0=</vt:lpwstr>
  </property>
</Properties>
</file>