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0585C">
      <w:pPr>
        <w:jc w:val="center"/>
        <w:rPr>
          <w:rFonts w:hint="eastAsia" w:ascii="宋体" w:hAnsi="宋体" w:eastAsia="宋体" w:cs="宋体"/>
          <w:b/>
          <w:bCs/>
          <w:color w:val="auto"/>
          <w:sz w:val="52"/>
          <w:szCs w:val="52"/>
          <w:highlight w:val="none"/>
          <w:u w:val="single"/>
        </w:rPr>
      </w:pPr>
      <w:bookmarkStart w:id="0" w:name="_Toc3523"/>
      <w:bookmarkStart w:id="1" w:name="_Toc247513933"/>
      <w:bookmarkStart w:id="2" w:name="_Toc247527534"/>
    </w:p>
    <w:p w14:paraId="44BBA8FF">
      <w:pPr>
        <w:spacing w:line="600" w:lineRule="auto"/>
        <w:jc w:val="center"/>
        <w:rPr>
          <w:rFonts w:hint="eastAsia" w:ascii="宋体" w:hAnsi="宋体" w:eastAsia="宋体" w:cs="宋体"/>
          <w:color w:val="auto"/>
          <w:sz w:val="52"/>
          <w:szCs w:val="52"/>
          <w:highlight w:val="none"/>
          <w:u w:val="none"/>
          <w:lang w:eastAsia="zh-CN"/>
        </w:rPr>
      </w:pPr>
      <w:r>
        <w:rPr>
          <w:rFonts w:hint="eastAsia" w:ascii="宋体" w:hAnsi="宋体" w:eastAsia="宋体" w:cs="宋体"/>
          <w:color w:val="auto"/>
          <w:sz w:val="48"/>
          <w:szCs w:val="48"/>
          <w:highlight w:val="none"/>
          <w:u w:val="none"/>
          <w:lang w:eastAsia="zh-CN"/>
        </w:rPr>
        <w:t>石碁镇海傍村旧市场拆除重建工程勘察设计施工总承包（EPC）</w:t>
      </w:r>
    </w:p>
    <w:p w14:paraId="21B15FC9">
      <w:pPr>
        <w:rPr>
          <w:rFonts w:hint="eastAsia" w:ascii="宋体" w:hAnsi="宋体" w:eastAsia="宋体" w:cs="宋体"/>
          <w:color w:val="auto"/>
          <w:sz w:val="52"/>
          <w:szCs w:val="52"/>
          <w:highlight w:val="none"/>
        </w:rPr>
      </w:pPr>
    </w:p>
    <w:p w14:paraId="30CB348C">
      <w:pPr>
        <w:rPr>
          <w:rFonts w:hint="eastAsia" w:ascii="宋体" w:hAnsi="宋体" w:eastAsia="宋体" w:cs="宋体"/>
          <w:color w:val="auto"/>
          <w:sz w:val="52"/>
          <w:szCs w:val="52"/>
          <w:highlight w:val="none"/>
        </w:rPr>
      </w:pPr>
    </w:p>
    <w:p w14:paraId="300A6132">
      <w:pPr>
        <w:rPr>
          <w:rFonts w:hint="eastAsia" w:ascii="宋体" w:hAnsi="宋体" w:eastAsia="宋体" w:cs="宋体"/>
          <w:color w:val="auto"/>
          <w:sz w:val="52"/>
          <w:szCs w:val="52"/>
          <w:highlight w:val="none"/>
        </w:rPr>
      </w:pPr>
    </w:p>
    <w:p w14:paraId="2682EB67">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pacing w:val="81"/>
          <w:kern w:val="0"/>
          <w:sz w:val="96"/>
          <w:szCs w:val="52"/>
          <w:highlight w:val="none"/>
        </w:rPr>
        <w:t>招标公</w:t>
      </w:r>
      <w:r>
        <w:rPr>
          <w:rFonts w:hint="eastAsia" w:ascii="宋体" w:hAnsi="宋体" w:eastAsia="宋体" w:cs="宋体"/>
          <w:b/>
          <w:bCs/>
          <w:color w:val="auto"/>
          <w:spacing w:val="-1"/>
          <w:kern w:val="0"/>
          <w:sz w:val="96"/>
          <w:szCs w:val="52"/>
          <w:highlight w:val="none"/>
        </w:rPr>
        <w:t>告</w:t>
      </w:r>
    </w:p>
    <w:p w14:paraId="597A4856">
      <w:pPr>
        <w:spacing w:line="400" w:lineRule="exact"/>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lang w:val="en-US" w:eastAsia="zh-CN"/>
        </w:rPr>
        <w:t xml:space="preserve"> </w:t>
      </w:r>
    </w:p>
    <w:p w14:paraId="15E2B7DA">
      <w:pPr>
        <w:spacing w:line="400" w:lineRule="exact"/>
        <w:rPr>
          <w:rFonts w:hint="eastAsia" w:ascii="宋体" w:hAnsi="宋体" w:eastAsia="宋体" w:cs="宋体"/>
          <w:color w:val="auto"/>
          <w:szCs w:val="21"/>
          <w:highlight w:val="none"/>
        </w:rPr>
      </w:pPr>
    </w:p>
    <w:p w14:paraId="1C82E04F">
      <w:pPr>
        <w:spacing w:line="400" w:lineRule="exact"/>
        <w:rPr>
          <w:rFonts w:hint="eastAsia" w:ascii="宋体" w:hAnsi="宋体" w:eastAsia="宋体" w:cs="宋体"/>
          <w:color w:val="auto"/>
          <w:szCs w:val="21"/>
          <w:highlight w:val="none"/>
        </w:rPr>
      </w:pPr>
    </w:p>
    <w:p w14:paraId="3F820F09">
      <w:pPr>
        <w:spacing w:line="400" w:lineRule="exact"/>
        <w:rPr>
          <w:rFonts w:hint="eastAsia" w:ascii="宋体" w:hAnsi="宋体" w:eastAsia="宋体" w:cs="宋体"/>
          <w:color w:val="auto"/>
          <w:szCs w:val="21"/>
          <w:highlight w:val="none"/>
        </w:rPr>
      </w:pPr>
    </w:p>
    <w:p w14:paraId="3739F3E3">
      <w:pPr>
        <w:spacing w:line="400" w:lineRule="exact"/>
        <w:rPr>
          <w:rFonts w:hint="eastAsia" w:ascii="宋体" w:hAnsi="宋体" w:eastAsia="宋体" w:cs="宋体"/>
          <w:color w:val="auto"/>
          <w:szCs w:val="21"/>
          <w:highlight w:val="none"/>
        </w:rPr>
      </w:pPr>
    </w:p>
    <w:p w14:paraId="74394E3D">
      <w:pPr>
        <w:pStyle w:val="10"/>
        <w:rPr>
          <w:rFonts w:hint="eastAsia"/>
          <w:highlight w:val="none"/>
        </w:rPr>
      </w:pPr>
    </w:p>
    <w:p w14:paraId="077B7BBB">
      <w:pPr>
        <w:spacing w:line="400" w:lineRule="exact"/>
        <w:rPr>
          <w:rFonts w:hint="eastAsia" w:ascii="宋体" w:hAnsi="宋体" w:eastAsia="宋体" w:cs="宋体"/>
          <w:color w:val="auto"/>
          <w:szCs w:val="21"/>
          <w:highlight w:val="none"/>
        </w:rPr>
      </w:pPr>
    </w:p>
    <w:p w14:paraId="7DBBC477">
      <w:pPr>
        <w:spacing w:line="400" w:lineRule="exact"/>
        <w:rPr>
          <w:rFonts w:hint="eastAsia" w:ascii="宋体" w:hAnsi="宋体" w:eastAsia="宋体" w:cs="宋体"/>
          <w:color w:val="auto"/>
          <w:szCs w:val="21"/>
          <w:highlight w:val="none"/>
        </w:rPr>
      </w:pPr>
    </w:p>
    <w:p w14:paraId="7663094B">
      <w:pPr>
        <w:spacing w:line="400" w:lineRule="exact"/>
        <w:rPr>
          <w:rFonts w:hint="eastAsia" w:ascii="宋体" w:hAnsi="宋体" w:eastAsia="宋体" w:cs="宋体"/>
          <w:color w:val="auto"/>
          <w:szCs w:val="21"/>
          <w:highlight w:val="none"/>
        </w:rPr>
      </w:pPr>
    </w:p>
    <w:p w14:paraId="1D25EC04">
      <w:pPr>
        <w:spacing w:line="400" w:lineRule="exact"/>
        <w:rPr>
          <w:rFonts w:hint="eastAsia" w:ascii="宋体" w:hAnsi="宋体" w:eastAsia="宋体" w:cs="宋体"/>
          <w:color w:val="auto"/>
          <w:szCs w:val="21"/>
          <w:highlight w:val="none"/>
        </w:rPr>
      </w:pPr>
    </w:p>
    <w:p w14:paraId="67621DDC">
      <w:pPr>
        <w:spacing w:line="276" w:lineRule="auto"/>
        <w:ind w:left="0" w:leftChars="0" w:firstLine="1478" w:firstLineChars="528"/>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u w:val="single"/>
          <w:lang w:eastAsia="zh-CN"/>
        </w:rPr>
        <w:t>广州市番禺区石碁镇海傍村股份合作经济社</w:t>
      </w:r>
      <w:r>
        <w:rPr>
          <w:rFonts w:hint="eastAsia" w:ascii="宋体" w:hAnsi="宋体" w:eastAsia="宋体" w:cs="宋体"/>
          <w:color w:val="auto"/>
          <w:sz w:val="28"/>
          <w:szCs w:val="28"/>
          <w:highlight w:val="none"/>
        </w:rPr>
        <w:t>（盖章）</w:t>
      </w:r>
    </w:p>
    <w:p w14:paraId="74504DFE">
      <w:pPr>
        <w:spacing w:line="276" w:lineRule="auto"/>
        <w:ind w:left="0" w:leftChars="0" w:firstLine="1478" w:firstLineChars="528"/>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w:t>
      </w:r>
      <w:r>
        <w:rPr>
          <w:rFonts w:hint="eastAsia" w:ascii="宋体" w:hAnsi="宋体" w:eastAsia="宋体" w:cs="宋体"/>
          <w:color w:val="auto"/>
          <w:sz w:val="28"/>
          <w:szCs w:val="28"/>
          <w:highlight w:val="none"/>
          <w:u w:val="single"/>
          <w:lang w:eastAsia="zh-CN"/>
        </w:rPr>
        <w:t>广东弘海实业发展有限公司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4C27DC61">
      <w:pPr>
        <w:spacing w:line="276" w:lineRule="auto"/>
        <w:ind w:left="0" w:leftChars="0" w:firstLine="1478" w:firstLineChars="528"/>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p>
    <w:p w14:paraId="64BD02DA">
      <w:pPr>
        <w:spacing w:line="400" w:lineRule="exact"/>
        <w:jc w:val="center"/>
        <w:rPr>
          <w:rFonts w:hint="eastAsia" w:ascii="宋体" w:hAnsi="宋体" w:eastAsia="宋体" w:cs="宋体"/>
          <w:color w:val="auto"/>
          <w:szCs w:val="21"/>
          <w:highlight w:val="none"/>
        </w:rPr>
        <w:sectPr>
          <w:footerReference r:id="rId3" w:type="default"/>
          <w:pgSz w:w="11906" w:h="16838"/>
          <w:pgMar w:top="1418" w:right="1134" w:bottom="1418" w:left="1134" w:header="851" w:footer="992" w:gutter="0"/>
          <w:pgNumType w:start="1"/>
          <w:cols w:space="720" w:num="1"/>
          <w:titlePg/>
          <w:docGrid w:type="lines" w:linePitch="312" w:charSpace="0"/>
        </w:sectPr>
      </w:pPr>
    </w:p>
    <w:bookmarkEnd w:id="0"/>
    <w:bookmarkEnd w:id="1"/>
    <w:bookmarkEnd w:id="2"/>
    <w:p w14:paraId="6E24057B">
      <w:pPr>
        <w:spacing w:line="440" w:lineRule="exact"/>
        <w:jc w:val="center"/>
        <w:rPr>
          <w:rFonts w:hint="eastAsia" w:ascii="宋体" w:hAnsi="宋体" w:eastAsia="宋体" w:cs="宋体"/>
          <w:b/>
          <w:bCs/>
          <w:color w:val="auto"/>
          <w:sz w:val="32"/>
          <w:szCs w:val="21"/>
          <w:highlight w:val="none"/>
          <w:lang w:eastAsia="zh-CN"/>
        </w:rPr>
      </w:pPr>
      <w:r>
        <w:rPr>
          <w:rFonts w:hint="eastAsia" w:ascii="宋体" w:hAnsi="宋体" w:eastAsia="宋体" w:cs="宋体"/>
          <w:b/>
          <w:bCs/>
          <w:color w:val="auto"/>
          <w:sz w:val="32"/>
          <w:szCs w:val="21"/>
          <w:highlight w:val="none"/>
          <w:lang w:eastAsia="zh-CN"/>
        </w:rPr>
        <w:t>石碁镇海傍村旧市场拆除重建工程勘察设计施工总承包（EPC）</w:t>
      </w:r>
    </w:p>
    <w:p w14:paraId="19B601D4">
      <w:pPr>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 w:val="32"/>
          <w:szCs w:val="21"/>
          <w:highlight w:val="none"/>
        </w:rPr>
        <w:t>招标公告</w:t>
      </w:r>
    </w:p>
    <w:p w14:paraId="7CCD1462">
      <w:pPr>
        <w:pStyle w:val="3"/>
        <w:pageBreakBefore w:val="0"/>
        <w:autoSpaceDE/>
        <w:autoSpaceDN/>
        <w:bidi w:val="0"/>
        <w:spacing w:before="156" w:beforeLines="50" w:after="156" w:afterLines="50" w:line="348" w:lineRule="auto"/>
        <w:textAlignment w:val="auto"/>
        <w:rPr>
          <w:rFonts w:hint="eastAsia" w:ascii="宋体" w:hAnsi="宋体" w:eastAsia="宋体" w:cs="宋体"/>
          <w:color w:val="auto"/>
          <w:sz w:val="24"/>
          <w:szCs w:val="24"/>
          <w:highlight w:val="none"/>
        </w:rPr>
      </w:pPr>
      <w:bookmarkStart w:id="3" w:name="_Toc20242"/>
      <w:bookmarkStart w:id="4" w:name="_Toc247513934"/>
      <w:bookmarkStart w:id="5" w:name="_Toc247527535"/>
      <w:bookmarkStart w:id="6" w:name="_Toc144974480"/>
      <w:bookmarkStart w:id="7" w:name="_Toc152042288"/>
      <w:bookmarkStart w:id="8" w:name="_Toc152045512"/>
      <w:r>
        <w:rPr>
          <w:rFonts w:hint="eastAsia" w:ascii="宋体" w:hAnsi="宋体" w:eastAsia="宋体" w:cs="宋体"/>
          <w:color w:val="auto"/>
          <w:sz w:val="24"/>
          <w:szCs w:val="24"/>
          <w:highlight w:val="none"/>
        </w:rPr>
        <w:t>1.招标条件</w:t>
      </w:r>
      <w:bookmarkEnd w:id="3"/>
      <w:bookmarkEnd w:id="4"/>
      <w:bookmarkEnd w:id="5"/>
      <w:bookmarkEnd w:id="6"/>
      <w:bookmarkEnd w:id="7"/>
      <w:bookmarkEnd w:id="8"/>
    </w:p>
    <w:p w14:paraId="47EBA47F">
      <w:pPr>
        <w:pageBreakBefore w:val="0"/>
        <w:autoSpaceDE/>
        <w:autoSpaceDN/>
        <w:bidi w:val="0"/>
        <w:spacing w:line="34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本招标项目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石碁镇海傍村旧市场拆除重建工程勘察设计施工总承包（EPC）</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rPr>
        <w:t>广东省企业投资项目备案证(</w:t>
      </w:r>
      <w:r>
        <w:rPr>
          <w:rFonts w:hint="eastAsia" w:ascii="宋体" w:hAnsi="宋体" w:eastAsia="宋体" w:cs="宋体"/>
          <w:color w:val="auto"/>
          <w:sz w:val="24"/>
          <w:szCs w:val="24"/>
          <w:highlight w:val="none"/>
          <w:u w:val="single"/>
          <w:lang w:val="en-US" w:eastAsia="zh-CN"/>
        </w:rPr>
        <w:t>2410-440113-04-01-504653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批准建设，建设资金来自</w:t>
      </w:r>
      <w:r>
        <w:rPr>
          <w:rFonts w:hint="eastAsia" w:ascii="宋体" w:hAnsi="宋体" w:eastAsia="宋体" w:cs="宋体"/>
          <w:color w:val="auto"/>
          <w:sz w:val="24"/>
          <w:szCs w:val="24"/>
          <w:highlight w:val="none"/>
          <w:u w:val="single"/>
        </w:rPr>
        <w:t>自筹</w:t>
      </w:r>
      <w:r>
        <w:rPr>
          <w:rFonts w:hint="eastAsia" w:ascii="宋体" w:hAnsi="宋体" w:eastAsia="宋体" w:cs="宋体"/>
          <w:color w:val="auto"/>
          <w:sz w:val="24"/>
          <w:szCs w:val="24"/>
          <w:highlight w:val="none"/>
          <w:u w:val="single"/>
          <w:lang w:val="en-US" w:eastAsia="zh-CN"/>
        </w:rPr>
        <w:t xml:space="preserve">资金 </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lang w:eastAsia="zh-CN"/>
        </w:rPr>
        <w:t>广州市番禺区石碁镇海傍村股份合作经济社</w:t>
      </w:r>
      <w:r>
        <w:rPr>
          <w:rFonts w:hint="eastAsia" w:ascii="宋体" w:hAnsi="宋体" w:eastAsia="宋体" w:cs="宋体"/>
          <w:color w:val="auto"/>
          <w:sz w:val="24"/>
          <w:szCs w:val="24"/>
          <w:highlight w:val="none"/>
        </w:rPr>
        <w:t>。项目已具备招标条件，现对该项目的</w:t>
      </w:r>
      <w:r>
        <w:rPr>
          <w:rFonts w:hint="eastAsia" w:ascii="宋体" w:hAnsi="宋体" w:eastAsia="宋体" w:cs="宋体"/>
          <w:color w:val="auto"/>
          <w:sz w:val="24"/>
          <w:szCs w:val="24"/>
          <w:highlight w:val="none"/>
          <w:u w:val="single"/>
        </w:rPr>
        <w:t>勘察设计施工总承包</w:t>
      </w:r>
      <w:r>
        <w:rPr>
          <w:rFonts w:hint="eastAsia" w:ascii="宋体" w:hAnsi="宋体" w:eastAsia="宋体" w:cs="宋体"/>
          <w:color w:val="auto"/>
          <w:sz w:val="24"/>
          <w:szCs w:val="24"/>
          <w:highlight w:val="none"/>
          <w:u w:val="single"/>
          <w:lang w:eastAsia="zh-CN"/>
        </w:rPr>
        <w:t>(EPC)</w:t>
      </w:r>
      <w:r>
        <w:rPr>
          <w:rFonts w:hint="eastAsia" w:ascii="宋体" w:hAnsi="宋体" w:eastAsia="宋体" w:cs="宋体"/>
          <w:color w:val="auto"/>
          <w:sz w:val="24"/>
          <w:szCs w:val="24"/>
          <w:highlight w:val="none"/>
        </w:rPr>
        <w:t>进行公开招标。</w:t>
      </w:r>
    </w:p>
    <w:p w14:paraId="6CAD1ABA">
      <w:pPr>
        <w:pStyle w:val="3"/>
        <w:pageBreakBefore w:val="0"/>
        <w:autoSpaceDE/>
        <w:autoSpaceDN/>
        <w:bidi w:val="0"/>
        <w:spacing w:before="156" w:beforeLines="50" w:after="156" w:afterLines="50" w:line="348" w:lineRule="auto"/>
        <w:textAlignment w:val="auto"/>
        <w:rPr>
          <w:rFonts w:hint="eastAsia" w:ascii="宋体" w:hAnsi="宋体" w:eastAsia="宋体" w:cs="宋体"/>
          <w:color w:val="auto"/>
          <w:sz w:val="24"/>
          <w:szCs w:val="24"/>
          <w:highlight w:val="none"/>
        </w:rPr>
      </w:pPr>
      <w:bookmarkStart w:id="9" w:name="_Toc152045513"/>
      <w:bookmarkStart w:id="10" w:name="_Toc247513935"/>
      <w:bookmarkStart w:id="11" w:name="_Toc3054"/>
      <w:bookmarkStart w:id="12" w:name="_Toc144974481"/>
      <w:bookmarkStart w:id="13" w:name="_Toc152042289"/>
      <w:bookmarkStart w:id="14" w:name="_Toc247527536"/>
      <w:r>
        <w:rPr>
          <w:rFonts w:hint="eastAsia" w:ascii="宋体" w:hAnsi="宋体" w:eastAsia="宋体" w:cs="宋体"/>
          <w:color w:val="auto"/>
          <w:sz w:val="24"/>
          <w:szCs w:val="24"/>
          <w:highlight w:val="none"/>
        </w:rPr>
        <w:t>2.项目概况与招标范围</w:t>
      </w:r>
      <w:bookmarkEnd w:id="9"/>
      <w:bookmarkEnd w:id="10"/>
      <w:bookmarkEnd w:id="11"/>
      <w:bookmarkEnd w:id="12"/>
      <w:bookmarkEnd w:id="13"/>
      <w:bookmarkEnd w:id="14"/>
    </w:p>
    <w:p w14:paraId="67366DE9">
      <w:pPr>
        <w:pageBreakBefore w:val="0"/>
        <w:autoSpaceDE/>
        <w:autoSpaceDN/>
        <w:bidi w:val="0"/>
        <w:spacing w:line="348" w:lineRule="auto"/>
        <w:ind w:firstLine="484" w:firstLineChars="202"/>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2.1工程名称：</w:t>
      </w:r>
      <w:r>
        <w:rPr>
          <w:rFonts w:hint="eastAsia" w:ascii="宋体" w:hAnsi="宋体" w:eastAsia="宋体" w:cs="宋体"/>
          <w:color w:val="auto"/>
          <w:sz w:val="24"/>
          <w:szCs w:val="24"/>
          <w:highlight w:val="none"/>
          <w:u w:val="single"/>
          <w:lang w:eastAsia="zh-CN"/>
        </w:rPr>
        <w:t>石碁镇海傍村旧市场拆除重建工程勘察设计施工总承包（EPC）</w:t>
      </w:r>
    </w:p>
    <w:p w14:paraId="72EB070C">
      <w:pPr>
        <w:pageBreakBefore w:val="0"/>
        <w:autoSpaceDE/>
        <w:autoSpaceDN/>
        <w:bidi w:val="0"/>
        <w:spacing w:line="348" w:lineRule="auto"/>
        <w:ind w:firstLine="484" w:firstLineChars="202"/>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2.2工程建设地点：</w:t>
      </w:r>
      <w:r>
        <w:rPr>
          <w:rFonts w:hint="eastAsia" w:ascii="宋体" w:hAnsi="宋体" w:eastAsia="宋体" w:cs="宋体"/>
          <w:color w:val="auto"/>
          <w:sz w:val="24"/>
          <w:szCs w:val="24"/>
          <w:highlight w:val="none"/>
          <w:u w:val="single"/>
          <w:lang w:eastAsia="zh-CN"/>
        </w:rPr>
        <w:t>项目用地位于广州市</w:t>
      </w:r>
      <w:r>
        <w:rPr>
          <w:rFonts w:hint="eastAsia" w:ascii="宋体" w:hAnsi="宋体" w:eastAsia="宋体" w:cs="宋体"/>
          <w:color w:val="auto"/>
          <w:sz w:val="24"/>
          <w:szCs w:val="24"/>
          <w:highlight w:val="none"/>
          <w:u w:val="single"/>
          <w:lang w:val="en-US" w:eastAsia="zh-CN"/>
        </w:rPr>
        <w:t>番禺区</w:t>
      </w:r>
      <w:r>
        <w:rPr>
          <w:rFonts w:hint="eastAsia" w:ascii="宋体" w:hAnsi="宋体" w:eastAsia="宋体" w:cs="宋体"/>
          <w:color w:val="auto"/>
          <w:sz w:val="24"/>
          <w:szCs w:val="24"/>
          <w:highlight w:val="none"/>
          <w:u w:val="single"/>
          <w:lang w:eastAsia="zh-CN"/>
        </w:rPr>
        <w:t>石碁镇海傍村。</w:t>
      </w:r>
    </w:p>
    <w:p w14:paraId="18E0C00D">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2.3工程建设规模：</w:t>
      </w:r>
      <w:r>
        <w:rPr>
          <w:rFonts w:hint="eastAsia" w:ascii="宋体" w:hAnsi="宋体" w:eastAsia="宋体" w:cs="宋体"/>
          <w:color w:val="auto"/>
          <w:sz w:val="24"/>
          <w:szCs w:val="24"/>
          <w:highlight w:val="none"/>
          <w:u w:val="single"/>
          <w:lang w:val="en-US" w:eastAsia="zh-CN"/>
        </w:rPr>
        <w:t>项目总用地面积为 3172.72m2 ，综合市场1幢，总建筑面积约9069.15m2，地上5层，面积约6334.50m2 ，地下1层，面积约2734.65m2。</w:t>
      </w:r>
      <w:r>
        <w:rPr>
          <w:rFonts w:hint="eastAsia" w:ascii="宋体" w:hAnsi="宋体" w:eastAsia="宋体" w:cs="宋体"/>
          <w:color w:val="auto"/>
          <w:sz w:val="24"/>
          <w:szCs w:val="24"/>
          <w:highlight w:val="none"/>
          <w:u w:val="single"/>
          <w:lang w:val="zh-CN" w:eastAsia="zh-CN"/>
        </w:rPr>
        <w:t>最终以政府相关部门批复为准</w:t>
      </w:r>
      <w:r>
        <w:rPr>
          <w:rFonts w:hint="eastAsia" w:ascii="宋体" w:hAnsi="宋体" w:eastAsia="宋体" w:cs="宋体"/>
          <w:color w:val="auto"/>
          <w:sz w:val="24"/>
          <w:szCs w:val="24"/>
          <w:highlight w:val="none"/>
          <w:u w:val="single"/>
          <w:lang w:eastAsia="zh-CN"/>
        </w:rPr>
        <w:t>。</w:t>
      </w:r>
    </w:p>
    <w:p w14:paraId="3B8F8B5D">
      <w:pPr>
        <w:pageBreakBefore w:val="0"/>
        <w:autoSpaceDE/>
        <w:autoSpaceDN/>
        <w:bidi w:val="0"/>
        <w:spacing w:line="348" w:lineRule="auto"/>
        <w:ind w:firstLine="484" w:firstLineChars="20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2.4计划工期：</w:t>
      </w:r>
      <w:r>
        <w:rPr>
          <w:rFonts w:hint="eastAsia" w:ascii="宋体" w:hAnsi="宋体" w:eastAsia="宋体" w:cs="宋体"/>
          <w:color w:val="auto"/>
          <w:sz w:val="24"/>
          <w:szCs w:val="24"/>
          <w:highlight w:val="none"/>
          <w:u w:val="single"/>
        </w:rPr>
        <w:t>暂定总工期为</w:t>
      </w:r>
      <w:r>
        <w:rPr>
          <w:rFonts w:hint="eastAsia" w:ascii="宋体" w:hAnsi="宋体" w:eastAsia="宋体" w:cs="宋体"/>
          <w:color w:val="auto"/>
          <w:sz w:val="24"/>
          <w:szCs w:val="24"/>
          <w:highlight w:val="none"/>
          <w:u w:val="single"/>
          <w:lang w:val="en-US" w:eastAsia="zh-CN"/>
        </w:rPr>
        <w:t>490</w:t>
      </w:r>
      <w:r>
        <w:rPr>
          <w:rFonts w:hint="eastAsia" w:ascii="宋体" w:hAnsi="宋体" w:eastAsia="宋体" w:cs="宋体"/>
          <w:color w:val="auto"/>
          <w:sz w:val="24"/>
          <w:szCs w:val="24"/>
          <w:highlight w:val="none"/>
          <w:u w:val="single"/>
        </w:rPr>
        <w:t>个日历天</w:t>
      </w:r>
    </w:p>
    <w:p w14:paraId="73FC3D1E">
      <w:pPr>
        <w:pageBreakBefore w:val="0"/>
        <w:autoSpaceDE/>
        <w:autoSpaceDN/>
        <w:bidi w:val="0"/>
        <w:spacing w:line="348"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2.4.1勘察工期：</w:t>
      </w:r>
      <w:r>
        <w:rPr>
          <w:rFonts w:hint="eastAsia" w:ascii="宋体" w:hAnsi="宋体" w:eastAsia="宋体" w:cs="宋体"/>
          <w:color w:val="auto"/>
          <w:sz w:val="24"/>
          <w:szCs w:val="24"/>
          <w:highlight w:val="none"/>
          <w:u w:val="single"/>
          <w:lang w:val="en-US" w:eastAsia="zh-CN"/>
        </w:rPr>
        <w:t xml:space="preserve">30 </w:t>
      </w:r>
      <w:r>
        <w:rPr>
          <w:rFonts w:hint="eastAsia" w:ascii="宋体" w:hAnsi="宋体" w:eastAsia="宋体" w:cs="宋体"/>
          <w:color w:val="auto"/>
          <w:sz w:val="24"/>
          <w:szCs w:val="24"/>
          <w:highlight w:val="none"/>
        </w:rPr>
        <w:t>日历天，具体开始工作日期以招标人书面通知为准。</w:t>
      </w:r>
    </w:p>
    <w:p w14:paraId="45EC29D6">
      <w:pPr>
        <w:pageBreakBefore w:val="0"/>
        <w:autoSpaceDE/>
        <w:autoSpaceDN/>
        <w:bidi w:val="0"/>
        <w:spacing w:line="348"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2.4.1设计工期：</w:t>
      </w:r>
      <w:r>
        <w:rPr>
          <w:rFonts w:hint="eastAsia" w:ascii="宋体" w:hAnsi="宋体" w:eastAsia="宋体" w:cs="宋体"/>
          <w:color w:val="auto"/>
          <w:sz w:val="24"/>
          <w:szCs w:val="24"/>
          <w:highlight w:val="none"/>
          <w:u w:val="single"/>
          <w:lang w:val="en-US" w:eastAsia="zh-CN"/>
        </w:rPr>
        <w:t xml:space="preserve">60 </w:t>
      </w:r>
      <w:r>
        <w:rPr>
          <w:rFonts w:hint="eastAsia" w:ascii="宋体" w:hAnsi="宋体" w:eastAsia="宋体" w:cs="宋体"/>
          <w:color w:val="auto"/>
          <w:sz w:val="24"/>
          <w:szCs w:val="24"/>
          <w:highlight w:val="none"/>
        </w:rPr>
        <w:t>日历天，具体开始工作日期以招标人书面通知为准。</w:t>
      </w:r>
    </w:p>
    <w:p w14:paraId="064DA809">
      <w:pPr>
        <w:pageBreakBefore w:val="0"/>
        <w:autoSpaceDE/>
        <w:autoSpaceDN/>
        <w:bidi w:val="0"/>
        <w:spacing w:line="348"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2.4.2施工工期：</w:t>
      </w:r>
      <w:r>
        <w:rPr>
          <w:rFonts w:hint="eastAsia" w:ascii="宋体" w:hAnsi="宋体" w:eastAsia="宋体" w:cs="宋体"/>
          <w:color w:val="auto"/>
          <w:sz w:val="24"/>
          <w:szCs w:val="24"/>
          <w:highlight w:val="none"/>
          <w:u w:val="single"/>
          <w:lang w:val="en-US" w:eastAsia="zh-CN"/>
        </w:rPr>
        <w:t>400</w:t>
      </w:r>
      <w:r>
        <w:rPr>
          <w:rFonts w:hint="eastAsia" w:ascii="宋体" w:hAnsi="宋体" w:eastAsia="宋体" w:cs="宋体"/>
          <w:color w:val="auto"/>
          <w:sz w:val="24"/>
          <w:szCs w:val="24"/>
          <w:highlight w:val="none"/>
        </w:rPr>
        <w:t>日历天，具体开工日期以</w:t>
      </w:r>
      <w:r>
        <w:rPr>
          <w:rFonts w:hint="eastAsia" w:ascii="宋体" w:hAnsi="宋体" w:eastAsia="宋体" w:cs="宋体"/>
          <w:color w:val="auto"/>
          <w:sz w:val="24"/>
          <w:szCs w:val="24"/>
          <w:highlight w:val="none"/>
          <w:lang w:val="en-US" w:eastAsia="zh-CN"/>
        </w:rPr>
        <w:t>具备开工条件，</w:t>
      </w:r>
      <w:r>
        <w:rPr>
          <w:rFonts w:hint="eastAsia" w:ascii="宋体" w:hAnsi="宋体" w:eastAsia="宋体" w:cs="宋体"/>
          <w:color w:val="auto"/>
          <w:sz w:val="24"/>
          <w:szCs w:val="24"/>
          <w:highlight w:val="none"/>
        </w:rPr>
        <w:t>招标人发出的进场通知书之日起计算为准。</w:t>
      </w:r>
    </w:p>
    <w:p w14:paraId="4FDF2E0F">
      <w:pPr>
        <w:pageBreakBefore w:val="0"/>
        <w:autoSpaceDE/>
        <w:autoSpaceDN/>
        <w:bidi w:val="0"/>
        <w:spacing w:line="348"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2.5招标范围，包括以下内容：</w:t>
      </w:r>
    </w:p>
    <w:p w14:paraId="5E68596F">
      <w:pPr>
        <w:pageBreakBefore w:val="0"/>
        <w:autoSpaceDE/>
        <w:autoSpaceDN/>
        <w:bidi w:val="0"/>
        <w:spacing w:line="348"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2.5.1标段划分：</w:t>
      </w:r>
      <w:r>
        <w:rPr>
          <w:rFonts w:hint="eastAsia" w:ascii="宋体" w:hAnsi="宋体" w:eastAsia="宋体" w:cs="宋体"/>
          <w:color w:val="auto"/>
          <w:sz w:val="24"/>
          <w:szCs w:val="24"/>
          <w:highlight w:val="none"/>
          <w:u w:val="single"/>
        </w:rPr>
        <w:t>本招标项目划分为1个标段。</w:t>
      </w:r>
    </w:p>
    <w:p w14:paraId="221C15CE">
      <w:pPr>
        <w:pStyle w:val="7"/>
        <w:pageBreakBefore w:val="0"/>
        <w:tabs>
          <w:tab w:val="left" w:pos="3566"/>
        </w:tabs>
        <w:kinsoku w:val="0"/>
        <w:overflowPunct w:val="0"/>
        <w:autoSpaceDE/>
        <w:autoSpaceDN/>
        <w:bidi w:val="0"/>
        <w:spacing w:line="348" w:lineRule="auto"/>
        <w:ind w:left="0" w:right="110" w:firstLine="484" w:firstLineChars="20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2.5.2招标</w:t>
      </w:r>
      <w:r>
        <w:rPr>
          <w:rFonts w:hint="eastAsia" w:eastAsia="宋体" w:cs="宋体"/>
          <w:color w:val="auto"/>
          <w:sz w:val="24"/>
          <w:szCs w:val="24"/>
          <w:highlight w:val="none"/>
          <w:lang w:val="en-US" w:eastAsia="zh-CN"/>
        </w:rPr>
        <w:t>范围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 xml:space="preserve">总承包范围：完成本项目勘察、设计、施工、工程总承包管理、工程竣工验收、移交的勘察设计施工总承包、工程保修，配合发包人办理报建、报批、相关部门概算、结（决）算审核、配合发包人的审计和审计的调查、项目建设阶段全过程的综合协调等工作（具体以勘察设计任务书和合同约定为准）。具体包括但不限于以下事项： </w:t>
      </w:r>
    </w:p>
    <w:p w14:paraId="78E1AC4C">
      <w:pPr>
        <w:pStyle w:val="7"/>
        <w:pageBreakBefore w:val="0"/>
        <w:tabs>
          <w:tab w:val="left" w:pos="3566"/>
        </w:tabs>
        <w:kinsoku w:val="0"/>
        <w:overflowPunct w:val="0"/>
        <w:autoSpaceDE/>
        <w:autoSpaceDN/>
        <w:bidi w:val="0"/>
        <w:spacing w:line="348" w:lineRule="auto"/>
        <w:ind w:left="0" w:right="110" w:firstLine="484" w:firstLineChars="20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勘察内容：</w:t>
      </w:r>
      <w:r>
        <w:rPr>
          <w:rFonts w:hint="eastAsia" w:ascii="宋体" w:hAnsi="宋体" w:eastAsia="宋体" w:cs="宋体"/>
          <w:color w:val="auto"/>
          <w:sz w:val="24"/>
          <w:szCs w:val="24"/>
          <w:highlight w:val="none"/>
          <w:u w:val="single"/>
        </w:rPr>
        <w:t>完成本项目规划红线图范围及周边所需的所有勘察工作(具体范围根据场地情况确定)，包括但不限于岩土工程</w:t>
      </w:r>
      <w:r>
        <w:rPr>
          <w:rFonts w:hint="eastAsia" w:ascii="宋体" w:hAnsi="宋体" w:eastAsia="宋体" w:cs="宋体"/>
          <w:color w:val="auto"/>
          <w:sz w:val="24"/>
          <w:szCs w:val="24"/>
          <w:highlight w:val="none"/>
          <w:u w:val="single"/>
          <w:lang w:val="en-US" w:eastAsia="zh-CN"/>
        </w:rPr>
        <w:t>初步</w:t>
      </w:r>
      <w:r>
        <w:rPr>
          <w:rFonts w:hint="eastAsia" w:ascii="宋体" w:hAnsi="宋体" w:eastAsia="宋体" w:cs="宋体"/>
          <w:color w:val="auto"/>
          <w:sz w:val="24"/>
          <w:szCs w:val="24"/>
          <w:highlight w:val="none"/>
          <w:u w:val="single"/>
        </w:rPr>
        <w:t>勘察、详细勘察、工程物探、工程测量等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并</w:t>
      </w:r>
      <w:r>
        <w:rPr>
          <w:rFonts w:hint="eastAsia" w:ascii="宋体" w:hAnsi="宋体" w:eastAsia="宋体" w:cs="宋体"/>
          <w:color w:val="auto"/>
          <w:sz w:val="24"/>
          <w:szCs w:val="24"/>
          <w:highlight w:val="none"/>
          <w:u w:val="single"/>
        </w:rPr>
        <w:t>提交</w:t>
      </w:r>
      <w:r>
        <w:rPr>
          <w:rFonts w:hint="eastAsia" w:ascii="宋体" w:hAnsi="宋体" w:eastAsia="宋体" w:cs="宋体"/>
          <w:color w:val="auto"/>
          <w:sz w:val="24"/>
          <w:szCs w:val="24"/>
          <w:highlight w:val="none"/>
          <w:u w:val="single"/>
          <w:lang w:val="en-US" w:eastAsia="zh-CN"/>
        </w:rPr>
        <w:t>符合要求的</w:t>
      </w:r>
      <w:r>
        <w:rPr>
          <w:rFonts w:hint="eastAsia" w:ascii="宋体" w:hAnsi="宋体" w:eastAsia="宋体" w:cs="宋体"/>
          <w:color w:val="auto"/>
          <w:sz w:val="24"/>
          <w:szCs w:val="24"/>
          <w:highlight w:val="none"/>
          <w:u w:val="single"/>
        </w:rPr>
        <w:t>勘察成果文件。</w:t>
      </w:r>
    </w:p>
    <w:p w14:paraId="4667E17D">
      <w:pPr>
        <w:pStyle w:val="7"/>
        <w:pageBreakBefore w:val="0"/>
        <w:tabs>
          <w:tab w:val="left" w:pos="3566"/>
        </w:tabs>
        <w:kinsoku w:val="0"/>
        <w:overflowPunct w:val="0"/>
        <w:autoSpaceDE/>
        <w:autoSpaceDN/>
        <w:bidi w:val="0"/>
        <w:spacing w:line="348" w:lineRule="auto"/>
        <w:ind w:left="0" w:right="110" w:firstLine="484" w:firstLineChars="20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设计内容：</w:t>
      </w:r>
      <w:r>
        <w:rPr>
          <w:rFonts w:hint="eastAsia" w:ascii="宋体" w:hAnsi="宋体" w:eastAsia="宋体" w:cs="宋体"/>
          <w:color w:val="auto"/>
          <w:sz w:val="24"/>
          <w:szCs w:val="24"/>
          <w:highlight w:val="none"/>
          <w:u w:val="single"/>
        </w:rPr>
        <w:t>①设计范围及内容（包括但不限于）：</w:t>
      </w:r>
      <w:r>
        <w:rPr>
          <w:rFonts w:hint="eastAsia" w:ascii="宋体" w:hAnsi="宋体" w:eastAsia="宋体" w:cs="宋体"/>
          <w:color w:val="auto"/>
          <w:sz w:val="24"/>
          <w:szCs w:val="24"/>
          <w:highlight w:val="none"/>
          <w:u w:val="single"/>
          <w:lang w:val="en-US" w:eastAsia="zh-CN"/>
        </w:rPr>
        <w:t>方案设计深化、</w:t>
      </w:r>
      <w:r>
        <w:rPr>
          <w:rFonts w:hint="eastAsia" w:ascii="宋体" w:hAnsi="宋体" w:eastAsia="宋体" w:cs="宋体"/>
          <w:color w:val="auto"/>
          <w:sz w:val="24"/>
          <w:szCs w:val="24"/>
          <w:highlight w:val="none"/>
          <w:u w:val="single"/>
        </w:rPr>
        <w:t>初步设计及概算、施工图设计、</w:t>
      </w:r>
      <w:r>
        <w:rPr>
          <w:rFonts w:hint="eastAsia" w:ascii="宋体" w:hAnsi="宋体" w:eastAsia="宋体" w:cs="宋体"/>
          <w:color w:val="auto"/>
          <w:sz w:val="24"/>
          <w:szCs w:val="24"/>
          <w:highlight w:val="none"/>
          <w:u w:val="single"/>
          <w:lang w:val="en-US" w:eastAsia="zh-CN"/>
        </w:rPr>
        <w:t>设计变更、</w:t>
      </w:r>
      <w:r>
        <w:rPr>
          <w:rFonts w:hint="eastAsia" w:ascii="宋体" w:hAnsi="宋体" w:eastAsia="宋体" w:cs="宋体"/>
          <w:color w:val="auto"/>
          <w:sz w:val="24"/>
          <w:szCs w:val="24"/>
          <w:highlight w:val="none"/>
          <w:u w:val="single"/>
        </w:rPr>
        <w:t>竣工图编制等；负责设计报批及配合施工图审查等咨询工作；配合施工验收工作；施工阶段的现场指导与监督方案优化及设计变更；；②设计其他服务：a.全过程设计服务及协调工作；b.负责根据建设要求组织各项专家评审，并承担相应的专家评审费用；c.负责该项目各行业各阶段设计成果报批时相关部门收取的电子数据报批格式转换和验证、以及符合相应用地、规划、施工的设计图，配合初步设计审查。</w:t>
      </w:r>
    </w:p>
    <w:p w14:paraId="597D7A19">
      <w:pPr>
        <w:pageBreakBefore w:val="0"/>
        <w:autoSpaceDE/>
        <w:autoSpaceDN/>
        <w:bidi w:val="0"/>
        <w:spacing w:line="348" w:lineRule="auto"/>
        <w:ind w:firstLine="480" w:firstLineChars="200"/>
        <w:textAlignment w:val="auto"/>
        <w:rPr>
          <w:rFonts w:hint="eastAsia" w:ascii="宋体" w:hAnsi="宋体" w:eastAsia="宋体" w:cs="宋体"/>
          <w:color w:val="auto"/>
          <w:kern w:val="0"/>
          <w:sz w:val="24"/>
          <w:szCs w:val="24"/>
          <w:highlight w:val="none"/>
          <w:u w:val="single"/>
          <w:lang w:val="en-US" w:eastAsia="zh-CN" w:bidi="ar-SA"/>
        </w:rPr>
      </w:pPr>
      <w:bookmarkStart w:id="15" w:name="_Toc363571538"/>
      <w:bookmarkEnd w:id="15"/>
      <w:bookmarkStart w:id="16" w:name="_Toc176921262"/>
      <w:bookmarkEnd w:id="16"/>
      <w:bookmarkStart w:id="17" w:name="_Toc179860352"/>
      <w:bookmarkEnd w:id="17"/>
      <w:bookmarkStart w:id="18" w:name="_Toc176857813"/>
      <w:bookmarkEnd w:id="18"/>
      <w:bookmarkStart w:id="19" w:name="_Toc176925093"/>
      <w:bookmarkEnd w:id="19"/>
      <w:bookmarkStart w:id="20" w:name="_Toc23488"/>
      <w:bookmarkEnd w:id="20"/>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施工内容：</w:t>
      </w:r>
      <w:r>
        <w:rPr>
          <w:rFonts w:hint="eastAsia" w:ascii="宋体" w:hAnsi="宋体" w:eastAsia="宋体" w:cs="宋体"/>
          <w:color w:val="auto"/>
          <w:kern w:val="0"/>
          <w:sz w:val="24"/>
          <w:szCs w:val="24"/>
          <w:highlight w:val="none"/>
          <w:u w:val="single"/>
          <w:lang w:val="en-US" w:eastAsia="zh-CN" w:bidi="ar-SA"/>
        </w:rPr>
        <w:t>①按发包人提供的招标文件、招标答疑文件及勘察、设计、施工总承包（EPC)合同、经批复的施工图纸</w:t>
      </w:r>
      <w:r>
        <w:rPr>
          <w:rFonts w:hint="eastAsia" w:ascii="宋体" w:hAnsi="宋体" w:eastAsia="宋体" w:cs="宋体"/>
          <w:color w:val="auto"/>
          <w:sz w:val="24"/>
          <w:szCs w:val="24"/>
          <w:highlight w:val="none"/>
          <w:u w:val="single"/>
        </w:rPr>
        <w:t>，承包本工程</w:t>
      </w:r>
      <w:r>
        <w:rPr>
          <w:rFonts w:hint="eastAsia" w:ascii="宋体" w:hAnsi="宋体" w:eastAsia="宋体" w:cs="宋体"/>
          <w:color w:val="auto"/>
          <w:sz w:val="24"/>
          <w:szCs w:val="24"/>
          <w:highlight w:val="none"/>
          <w:u w:val="single"/>
          <w:lang w:val="en-US" w:eastAsia="zh-CN"/>
        </w:rPr>
        <w:t>全部</w:t>
      </w:r>
      <w:r>
        <w:rPr>
          <w:rFonts w:hint="eastAsia" w:ascii="宋体" w:hAnsi="宋体" w:eastAsia="宋体" w:cs="宋体"/>
          <w:color w:val="auto"/>
          <w:sz w:val="24"/>
          <w:szCs w:val="24"/>
          <w:highlight w:val="none"/>
          <w:u w:val="single"/>
        </w:rPr>
        <w:t>施工</w:t>
      </w:r>
      <w:r>
        <w:rPr>
          <w:rFonts w:hint="eastAsia" w:ascii="宋体" w:hAnsi="宋体" w:eastAsia="宋体" w:cs="宋体"/>
          <w:color w:val="auto"/>
          <w:sz w:val="24"/>
          <w:szCs w:val="24"/>
          <w:highlight w:val="none"/>
          <w:u w:val="single"/>
          <w:lang w:val="en-US" w:eastAsia="zh-CN"/>
        </w:rPr>
        <w:t>工作；</w:t>
      </w:r>
      <w:r>
        <w:rPr>
          <w:rFonts w:hint="eastAsia" w:ascii="宋体" w:hAnsi="宋体" w:eastAsia="宋体" w:cs="宋体"/>
          <w:color w:val="auto"/>
          <w:kern w:val="0"/>
          <w:sz w:val="24"/>
          <w:szCs w:val="24"/>
          <w:highlight w:val="none"/>
          <w:u w:val="single"/>
          <w:lang w:val="en-US" w:eastAsia="zh-CN" w:bidi="ar-SA"/>
        </w:rPr>
        <w:t>②负责施工图预算、竣工结算的编制工作，配合发包人对概算、预算和结算的审核及审计工作；③施工总承包管理配合服务：即对发包人另外发包或发包人与承包人联合招标的其它专业工程以及发包人直接供应的材料设备实施总承包管理、协调、配合服务，总承包服务费由各投标人在投标报价时综合考虑，发包人不另行支付，也不能以任何理由向各专业工程承包人收取。同时，承包人须按国家、地方、行业规定以及发包人要求的工程措施、安全措施、文明措施对项目进行工程设计施工总承包管理，作为联合体主办方负责项目勘察、设计、施工总协调工作及工程涉及的其它协调工作；④负责或配合办理工程开工及验收所需的各项手续；⑤组织本项目的验收备案和工程资料汇总及整理归档工作。</w:t>
      </w:r>
    </w:p>
    <w:p w14:paraId="1C56AA1C">
      <w:pPr>
        <w:pageBreakBefore w:val="0"/>
        <w:autoSpaceDE/>
        <w:autoSpaceDN/>
        <w:bidi w:val="0"/>
        <w:spacing w:line="348" w:lineRule="auto"/>
        <w:ind w:firstLine="480" w:firstLineChars="200"/>
        <w:textAlignment w:val="auto"/>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lang w:val="en-US" w:eastAsia="zh-CN" w:bidi="ar-SA"/>
        </w:rPr>
        <w:t>具体承包范围、工作内容、承包方式、限额设计的要求详见合同要求。</w:t>
      </w:r>
    </w:p>
    <w:p w14:paraId="69D32427">
      <w:pPr>
        <w:pageBreakBefore w:val="0"/>
        <w:autoSpaceDE/>
        <w:autoSpaceDN/>
        <w:bidi w:val="0"/>
        <w:spacing w:line="348"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前期服务机构说明</w:t>
      </w:r>
    </w:p>
    <w:p w14:paraId="0497A033">
      <w:pPr>
        <w:pageBreakBefore w:val="0"/>
        <w:autoSpaceDE/>
        <w:autoSpaceDN/>
        <w:bidi w:val="0"/>
        <w:spacing w:line="348"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.1本次招标前期服务机构为：</w:t>
      </w:r>
      <w:r>
        <w:rPr>
          <w:rFonts w:hint="eastAsia" w:ascii="宋体" w:hAnsi="宋体" w:eastAsia="宋体" w:cs="宋体"/>
          <w:color w:val="000000"/>
          <w:sz w:val="24"/>
          <w:szCs w:val="24"/>
          <w:highlight w:val="none"/>
          <w:u w:val="single"/>
          <w:lang w:val="en-US" w:eastAsia="zh-CN"/>
        </w:rPr>
        <w:t>广州广大至禾建筑设计有限公司（代建单位）、广东国仕工程咨询有限公司（方案设计单位）</w:t>
      </w:r>
    </w:p>
    <w:p w14:paraId="27855B0C">
      <w:pPr>
        <w:pageBreakBefore w:val="0"/>
        <w:autoSpaceDE/>
        <w:autoSpaceDN/>
        <w:bidi w:val="0"/>
        <w:spacing w:line="348"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最高投标限价</w:t>
      </w:r>
    </w:p>
    <w:p w14:paraId="4C63C1BB">
      <w:pPr>
        <w:pageBreakBefore w:val="0"/>
        <w:wordWrap w:val="0"/>
        <w:autoSpaceDE/>
        <w:autoSpaceDN/>
        <w:bidi w:val="0"/>
        <w:spacing w:line="348" w:lineRule="auto"/>
        <w:ind w:left="0" w:leftChars="0" w:firstLine="417" w:firstLineChars="174"/>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本次招标最高投标限价为人民</w:t>
      </w:r>
      <w:bookmarkStart w:id="21" w:name="_Hlk146034830"/>
      <w:r>
        <w:rPr>
          <w:rFonts w:hint="eastAsia" w:ascii="宋体" w:hAnsi="宋体" w:eastAsia="宋体" w:cs="宋体"/>
          <w:color w:val="000000"/>
          <w:sz w:val="24"/>
          <w:szCs w:val="24"/>
          <w:highlight w:val="none"/>
        </w:rPr>
        <w:t>币</w:t>
      </w:r>
      <w:r>
        <w:rPr>
          <w:rFonts w:hint="eastAsia" w:ascii="宋体" w:hAnsi="宋体" w:eastAsia="宋体" w:cs="宋体"/>
          <w:b/>
          <w:bCs/>
          <w:color w:val="000000"/>
          <w:sz w:val="24"/>
          <w:szCs w:val="24"/>
          <w:highlight w:val="none"/>
          <w:u w:val="single"/>
          <w:lang w:val="en-US" w:eastAsia="zh-CN"/>
        </w:rPr>
        <w:t>3744.60</w:t>
      </w:r>
      <w:r>
        <w:rPr>
          <w:rFonts w:hint="eastAsia" w:ascii="宋体" w:hAnsi="宋体" w:eastAsia="宋体" w:cs="宋体"/>
          <w:b/>
          <w:bCs/>
          <w:color w:val="000000"/>
          <w:sz w:val="24"/>
          <w:szCs w:val="24"/>
          <w:highlight w:val="none"/>
        </w:rPr>
        <w:t>万元</w:t>
      </w:r>
      <w:bookmarkEnd w:id="21"/>
      <w:r>
        <w:rPr>
          <w:rFonts w:hint="eastAsia" w:ascii="宋体" w:hAnsi="宋体" w:eastAsia="宋体" w:cs="宋体"/>
          <w:color w:val="000000"/>
          <w:sz w:val="24"/>
          <w:szCs w:val="24"/>
          <w:highlight w:val="none"/>
        </w:rPr>
        <w:t>，其中：勘察费最高投标限价为人民币</w:t>
      </w:r>
    </w:p>
    <w:p w14:paraId="40D88CCE">
      <w:pPr>
        <w:pageBreakBefore w:val="0"/>
        <w:wordWrap w:val="0"/>
        <w:autoSpaceDE/>
        <w:autoSpaceDN/>
        <w:bidi w:val="0"/>
        <w:spacing w:line="348" w:lineRule="auto"/>
        <w:ind w:left="0" w:leftChars="0" w:firstLine="419" w:firstLineChars="174"/>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u w:val="single"/>
          <w:lang w:val="en-US" w:eastAsia="zh-CN"/>
        </w:rPr>
        <w:t>31.15</w:t>
      </w:r>
      <w:r>
        <w:rPr>
          <w:rFonts w:hint="eastAsia" w:ascii="宋体" w:hAnsi="宋体" w:eastAsia="宋体" w:cs="宋体"/>
          <w:b/>
          <w:bCs/>
          <w:color w:val="000000"/>
          <w:sz w:val="24"/>
          <w:szCs w:val="24"/>
          <w:highlight w:val="none"/>
        </w:rPr>
        <w:t>万元</w:t>
      </w:r>
      <w:r>
        <w:rPr>
          <w:rFonts w:hint="eastAsia" w:ascii="宋体" w:hAnsi="宋体" w:eastAsia="宋体" w:cs="宋体"/>
          <w:color w:val="000000"/>
          <w:sz w:val="24"/>
          <w:szCs w:val="24"/>
          <w:highlight w:val="none"/>
        </w:rPr>
        <w:t>；设计费最高投标限价为人民币</w:t>
      </w:r>
      <w:r>
        <w:rPr>
          <w:rFonts w:hint="eastAsia" w:ascii="宋体" w:hAnsi="宋体" w:eastAsia="宋体" w:cs="宋体"/>
          <w:b/>
          <w:bCs/>
          <w:color w:val="000000"/>
          <w:sz w:val="24"/>
          <w:szCs w:val="24"/>
          <w:highlight w:val="none"/>
          <w:u w:val="single"/>
          <w:lang w:val="en-US" w:eastAsia="zh-CN"/>
        </w:rPr>
        <w:t>102.15</w:t>
      </w:r>
      <w:r>
        <w:rPr>
          <w:rFonts w:hint="eastAsia" w:ascii="宋体" w:hAnsi="宋体" w:eastAsia="宋体" w:cs="宋体"/>
          <w:b/>
          <w:bCs/>
          <w:color w:val="000000"/>
          <w:sz w:val="24"/>
          <w:szCs w:val="24"/>
          <w:highlight w:val="none"/>
        </w:rPr>
        <w:t>万元</w:t>
      </w:r>
      <w:r>
        <w:rPr>
          <w:rFonts w:hint="eastAsia" w:ascii="宋体" w:hAnsi="宋体" w:eastAsia="宋体" w:cs="宋体"/>
          <w:color w:val="000000"/>
          <w:sz w:val="24"/>
          <w:szCs w:val="24"/>
          <w:highlight w:val="none"/>
        </w:rPr>
        <w:t>；建安工程费最高投标限价为人民币</w:t>
      </w:r>
      <w:r>
        <w:rPr>
          <w:rFonts w:hint="eastAsia" w:ascii="宋体" w:hAnsi="宋体" w:eastAsia="宋体" w:cs="宋体"/>
          <w:b/>
          <w:bCs/>
          <w:color w:val="000000"/>
          <w:sz w:val="24"/>
          <w:szCs w:val="24"/>
          <w:highlight w:val="none"/>
          <w:u w:val="single"/>
          <w:lang w:val="en-US" w:eastAsia="zh-CN"/>
        </w:rPr>
        <w:t>3611.30</w:t>
      </w:r>
      <w:r>
        <w:rPr>
          <w:rFonts w:hint="eastAsia" w:ascii="宋体" w:hAnsi="宋体" w:eastAsia="宋体" w:cs="宋体"/>
          <w:b/>
          <w:bCs/>
          <w:color w:val="000000"/>
          <w:sz w:val="24"/>
          <w:szCs w:val="24"/>
          <w:highlight w:val="none"/>
        </w:rPr>
        <w:t>万元</w:t>
      </w:r>
      <w:r>
        <w:rPr>
          <w:rFonts w:hint="eastAsia" w:ascii="宋体" w:hAnsi="宋体" w:eastAsia="宋体" w:cs="宋体"/>
          <w:color w:val="000000"/>
          <w:sz w:val="24"/>
          <w:szCs w:val="24"/>
          <w:highlight w:val="none"/>
        </w:rPr>
        <w:t>。</w:t>
      </w:r>
    </w:p>
    <w:p w14:paraId="035BBA4D">
      <w:pPr>
        <w:pageBreakBefore w:val="0"/>
        <w:autoSpaceDE/>
        <w:autoSpaceDN/>
        <w:bidi w:val="0"/>
        <w:spacing w:line="34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注：1.投标人未按要求报价或投标报价（含投标总报价、勘察费报价、设计费报价、建安工程费报价）超过上述相应最高投标限价的为无效标。</w:t>
      </w:r>
    </w:p>
    <w:p w14:paraId="6EF62826">
      <w:pPr>
        <w:pStyle w:val="10"/>
        <w:pageBreakBefore w:val="0"/>
        <w:autoSpaceDE/>
        <w:autoSpaceDN/>
        <w:bidi w:val="0"/>
        <w:spacing w:line="348" w:lineRule="auto"/>
        <w:ind w:firstLine="484" w:firstLineChars="20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2.设计投标经济补偿：本工程不设投标补偿，投标费用由投标人自理（包括但不限于未中标的投标单位的设计方案，初步设计的设计费用等）。</w:t>
      </w:r>
    </w:p>
    <w:p w14:paraId="46138614">
      <w:pPr>
        <w:pStyle w:val="10"/>
        <w:pageBreakBefore w:val="0"/>
        <w:autoSpaceDE/>
        <w:autoSpaceDN/>
        <w:bidi w:val="0"/>
        <w:spacing w:line="348" w:lineRule="auto"/>
        <w:ind w:firstLine="484" w:firstLineChars="20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3.本工程实行全过程限额设计和施工，限额投资。工程变更需经过招标人审定后方可实施。</w:t>
      </w:r>
    </w:p>
    <w:p w14:paraId="5D7379DF">
      <w:pPr>
        <w:pStyle w:val="5"/>
        <w:pageBreakBefore w:val="0"/>
        <w:autoSpaceDE/>
        <w:autoSpaceDN/>
        <w:bidi w:val="0"/>
        <w:spacing w:line="348"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质量要求：</w:t>
      </w:r>
    </w:p>
    <w:p w14:paraId="722AF7D4">
      <w:pPr>
        <w:pStyle w:val="5"/>
        <w:pageBreakBefore w:val="0"/>
        <w:autoSpaceDE/>
        <w:autoSpaceDN/>
        <w:bidi w:val="0"/>
        <w:spacing w:line="348" w:lineRule="auto"/>
        <w:ind w:firstLine="480"/>
        <w:textAlignment w:val="auto"/>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sz w:val="24"/>
          <w:szCs w:val="24"/>
          <w:highlight w:val="none"/>
        </w:rPr>
        <w:t>勘察标准：</w:t>
      </w:r>
      <w:r>
        <w:rPr>
          <w:rFonts w:hint="eastAsia" w:ascii="宋体" w:hAnsi="宋体" w:eastAsia="宋体" w:cs="宋体"/>
          <w:color w:val="000000"/>
          <w:kern w:val="2"/>
          <w:sz w:val="24"/>
          <w:szCs w:val="24"/>
          <w:highlight w:val="none"/>
          <w:u w:val="single"/>
          <w:lang w:val="en-US" w:eastAsia="zh-CN" w:bidi="ar-SA"/>
        </w:rPr>
        <w:t>符合国家、行业、地方相关强制性标准的要求。</w:t>
      </w:r>
    </w:p>
    <w:p w14:paraId="46DEE12B">
      <w:pPr>
        <w:pStyle w:val="5"/>
        <w:pageBreakBefore w:val="0"/>
        <w:autoSpaceDE/>
        <w:autoSpaceDN/>
        <w:bidi w:val="0"/>
        <w:spacing w:line="348"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设计标准：</w:t>
      </w:r>
      <w:r>
        <w:rPr>
          <w:rFonts w:hint="eastAsia" w:ascii="宋体" w:hAnsi="宋体" w:eastAsia="宋体" w:cs="宋体"/>
          <w:color w:val="000000"/>
          <w:kern w:val="2"/>
          <w:sz w:val="24"/>
          <w:szCs w:val="24"/>
          <w:highlight w:val="none"/>
          <w:u w:val="single"/>
          <w:lang w:val="en-US" w:eastAsia="zh-CN" w:bidi="ar-SA"/>
        </w:rPr>
        <w:t>符合国家、行业、地方相关强制性标准的要求。</w:t>
      </w:r>
    </w:p>
    <w:p w14:paraId="012B2D05">
      <w:pPr>
        <w:pStyle w:val="5"/>
        <w:pageBreakBefore w:val="0"/>
        <w:autoSpaceDE/>
        <w:autoSpaceDN/>
        <w:bidi w:val="0"/>
        <w:spacing w:line="348"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施工标准：</w:t>
      </w:r>
      <w:r>
        <w:rPr>
          <w:rFonts w:hint="eastAsia" w:ascii="宋体" w:hAnsi="宋体" w:eastAsia="宋体" w:cs="宋体"/>
          <w:color w:val="000000"/>
          <w:kern w:val="2"/>
          <w:sz w:val="24"/>
          <w:szCs w:val="24"/>
          <w:highlight w:val="none"/>
          <w:u w:val="single"/>
          <w:lang w:val="en-US" w:eastAsia="zh-CN" w:bidi="ar-SA"/>
        </w:rPr>
        <w:t>符合设计施工图纸要求和国家、省、市相关法律法规规定要求及行业颁发的工程质量标准，达到合格等级。</w:t>
      </w:r>
    </w:p>
    <w:p w14:paraId="01996DDF">
      <w:pPr>
        <w:pStyle w:val="3"/>
        <w:pageBreakBefore w:val="0"/>
        <w:autoSpaceDE/>
        <w:autoSpaceDN/>
        <w:bidi w:val="0"/>
        <w:spacing w:before="156" w:beforeLines="50" w:after="156" w:afterLines="50" w:line="348" w:lineRule="auto"/>
        <w:textAlignment w:val="auto"/>
        <w:rPr>
          <w:rFonts w:hint="eastAsia" w:ascii="宋体" w:hAnsi="宋体" w:eastAsia="宋体" w:cs="宋体"/>
          <w:color w:val="auto"/>
          <w:sz w:val="24"/>
          <w:szCs w:val="24"/>
          <w:highlight w:val="none"/>
        </w:rPr>
      </w:pPr>
      <w:bookmarkStart w:id="22" w:name="_Toc28785"/>
      <w:bookmarkStart w:id="23" w:name="_Toc152042290"/>
      <w:bookmarkStart w:id="24" w:name="_Toc144974482"/>
      <w:bookmarkStart w:id="25" w:name="_Toc247513936"/>
      <w:bookmarkStart w:id="26" w:name="_Toc247527537"/>
      <w:bookmarkStart w:id="27" w:name="_Toc152045514"/>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投标人资格要求</w:t>
      </w:r>
      <w:bookmarkEnd w:id="22"/>
      <w:bookmarkEnd w:id="23"/>
      <w:bookmarkEnd w:id="24"/>
      <w:bookmarkEnd w:id="25"/>
      <w:bookmarkEnd w:id="26"/>
      <w:bookmarkEnd w:id="27"/>
    </w:p>
    <w:p w14:paraId="4908A22B">
      <w:pPr>
        <w:pageBreakBefore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3.1投标人（联合体投标的，由联合体中主办方代表联合体授权）参加投标的意思表达清楚，投标人代表被授权有效。</w:t>
      </w:r>
    </w:p>
    <w:p w14:paraId="52C713A2">
      <w:pPr>
        <w:pageBreakBefore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3.2投标人具有独立法人资格，投标人（联合体投标的，联合体各方均提供）持有工商行政管理部门核发的法人营业执照，按国家法律经营。</w:t>
      </w:r>
    </w:p>
    <w:p w14:paraId="743AEA74">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3.3投标人（若联合体投标，由联合体中承接施工任务的单位提供）持有建设行政主管部门颁发的安全生产许可证。</w:t>
      </w:r>
    </w:p>
    <w:p w14:paraId="54A6196E">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3.4投标人同时具有承接本项目所需的建设行政主管部门颁发的以下企业资质证书：</w:t>
      </w:r>
    </w:p>
    <w:p w14:paraId="2769F056">
      <w:pPr>
        <w:pageBreakBefore w:val="0"/>
        <w:autoSpaceDE/>
        <w:autoSpaceDN/>
        <w:bidi w:val="0"/>
        <w:spacing w:line="348" w:lineRule="auto"/>
        <w:ind w:firstLine="540" w:firstLineChars="22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.1工程勘察资质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满足以下任意一种资质情况</w:t>
      </w:r>
      <w:r>
        <w:rPr>
          <w:rFonts w:hint="eastAsia" w:ascii="宋体" w:hAnsi="宋体" w:eastAsia="宋体" w:cs="宋体"/>
          <w:b/>
          <w:bCs/>
          <w:color w:val="auto"/>
          <w:sz w:val="24"/>
          <w:szCs w:val="24"/>
          <w:highlight w:val="none"/>
        </w:rPr>
        <w:t>：</w:t>
      </w:r>
    </w:p>
    <w:p w14:paraId="4ECB78EF">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（1）工程勘察综合甲级资质；</w:t>
      </w:r>
    </w:p>
    <w:p w14:paraId="3238476C">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（2）具有工程勘察专业类（岩土工程）乙级（或以上）资质和工程勘察（工程测量）专业类乙级（或以上）资质； </w:t>
      </w:r>
    </w:p>
    <w:p w14:paraId="1647BD6E">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（3）具有工程勘察专业类（岩土工程）（分项）岩土工程勘察乙级（或以上）资质和工程勘察（工程测量）专业类乙级（或以上）资质。</w:t>
      </w:r>
    </w:p>
    <w:p w14:paraId="7286842E">
      <w:pPr>
        <w:pageBreakBefore w:val="0"/>
        <w:autoSpaceDE/>
        <w:autoSpaceDN/>
        <w:bidi w:val="0"/>
        <w:spacing w:line="348" w:lineRule="auto"/>
        <w:ind w:firstLine="540" w:firstLineChars="22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3.4.2工程设计资质，满足以下任意一种资质情况：</w:t>
      </w:r>
    </w:p>
    <w:p w14:paraId="10BF7AD1">
      <w:pPr>
        <w:pageBreakBefore w:val="0"/>
        <w:widowControl/>
        <w:autoSpaceDE/>
        <w:autoSpaceDN/>
        <w:bidi w:val="0"/>
        <w:adjustRightInd w:val="0"/>
        <w:snapToGrid w:val="0"/>
        <w:spacing w:line="348"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具有工程设计综合甲级资质；</w:t>
      </w:r>
    </w:p>
    <w:p w14:paraId="61FCB276">
      <w:pPr>
        <w:pageBreakBefore w:val="0"/>
        <w:widowControl/>
        <w:autoSpaceDE/>
        <w:autoSpaceDN/>
        <w:bidi w:val="0"/>
        <w:adjustRightInd w:val="0"/>
        <w:snapToGrid w:val="0"/>
        <w:spacing w:line="348"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具有工程设计建筑行业</w:t>
      </w:r>
      <w:r>
        <w:rPr>
          <w:rFonts w:hint="eastAsia" w:ascii="宋体" w:hAnsi="宋体" w:eastAsia="宋体" w:cs="宋体"/>
          <w:color w:val="000000"/>
          <w:sz w:val="24"/>
          <w:szCs w:val="24"/>
          <w:highlight w:val="none"/>
          <w:u w:val="single"/>
          <w:lang w:val="en-US" w:eastAsia="zh-CN"/>
        </w:rPr>
        <w:t>乙</w:t>
      </w:r>
      <w:r>
        <w:rPr>
          <w:rFonts w:hint="eastAsia" w:ascii="宋体" w:hAnsi="宋体" w:eastAsia="宋体" w:cs="宋体"/>
          <w:color w:val="000000"/>
          <w:sz w:val="24"/>
          <w:szCs w:val="24"/>
          <w:highlight w:val="none"/>
          <w:u w:val="single"/>
        </w:rPr>
        <w:t>级（或以上）资质；</w:t>
      </w:r>
    </w:p>
    <w:p w14:paraId="05E81D60">
      <w:pPr>
        <w:pageBreakBefore w:val="0"/>
        <w:widowControl/>
        <w:autoSpaceDE/>
        <w:autoSpaceDN/>
        <w:bidi w:val="0"/>
        <w:adjustRightInd w:val="0"/>
        <w:snapToGrid w:val="0"/>
        <w:spacing w:line="348"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具有工程设计建筑行业（建筑工程）专业</w:t>
      </w:r>
      <w:r>
        <w:rPr>
          <w:rFonts w:hint="eastAsia" w:ascii="宋体" w:hAnsi="宋体" w:eastAsia="宋体" w:cs="宋体"/>
          <w:color w:val="000000"/>
          <w:sz w:val="24"/>
          <w:szCs w:val="24"/>
          <w:highlight w:val="none"/>
          <w:u w:val="single"/>
          <w:lang w:val="en-US" w:eastAsia="zh-CN"/>
        </w:rPr>
        <w:t>乙</w:t>
      </w:r>
      <w:r>
        <w:rPr>
          <w:rFonts w:hint="eastAsia" w:ascii="宋体" w:hAnsi="宋体" w:eastAsia="宋体" w:cs="宋体"/>
          <w:color w:val="000000"/>
          <w:sz w:val="24"/>
          <w:szCs w:val="24"/>
          <w:highlight w:val="none"/>
          <w:u w:val="single"/>
        </w:rPr>
        <w:t>级（或以上）资质；</w:t>
      </w:r>
    </w:p>
    <w:p w14:paraId="3EA92ED2">
      <w:pPr>
        <w:pageBreakBefore w:val="0"/>
        <w:widowControl/>
        <w:autoSpaceDE/>
        <w:autoSpaceDN/>
        <w:bidi w:val="0"/>
        <w:adjustRightInd w:val="0"/>
        <w:snapToGrid w:val="0"/>
        <w:spacing w:line="348"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具有建筑设计事务所资质；</w:t>
      </w:r>
    </w:p>
    <w:p w14:paraId="7E029566">
      <w:pPr>
        <w:pageBreakBefore w:val="0"/>
        <w:widowControl/>
        <w:autoSpaceDE/>
        <w:autoSpaceDN/>
        <w:bidi w:val="0"/>
        <w:adjustRightInd w:val="0"/>
        <w:snapToGrid w:val="0"/>
        <w:spacing w:line="348"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香港企业满足参加设计部分投标的，须在广东省住房和城乡建设主管部门备案且备案业务满足招标资格要求的。</w:t>
      </w:r>
    </w:p>
    <w:p w14:paraId="4140244F">
      <w:pPr>
        <w:pStyle w:val="35"/>
        <w:pageBreakBefore w:val="0"/>
        <w:autoSpaceDE/>
        <w:autoSpaceDN/>
        <w:bidi w:val="0"/>
        <w:adjustRightInd w:val="0"/>
        <w:snapToGrid w:val="0"/>
        <w:spacing w:line="348" w:lineRule="auto"/>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2020〕1号）的规定，香港企业参加勘察、设计投标的，须在广东省住房和城乡建设主管部门备案且备案业务满足招标资格要求的。</w:t>
      </w:r>
    </w:p>
    <w:p w14:paraId="39E2563B">
      <w:pPr>
        <w:pStyle w:val="35"/>
        <w:pageBreakBefore w:val="0"/>
        <w:autoSpaceDE/>
        <w:autoSpaceDN/>
        <w:bidi w:val="0"/>
        <w:adjustRightInd w:val="0"/>
        <w:snapToGrid w:val="0"/>
        <w:spacing w:line="348" w:lineRule="auto"/>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1BC468F8">
      <w:pPr>
        <w:pStyle w:val="35"/>
        <w:pageBreakBefore w:val="0"/>
        <w:autoSpaceDE/>
        <w:autoSpaceDN/>
        <w:bidi w:val="0"/>
        <w:adjustRightInd w:val="0"/>
        <w:snapToGrid w:val="0"/>
        <w:spacing w:line="348" w:lineRule="auto"/>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1）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28C1F54B">
      <w:pPr>
        <w:pageBreakBefore w:val="0"/>
        <w:widowControl/>
        <w:autoSpaceDE/>
        <w:autoSpaceDN/>
        <w:bidi w:val="0"/>
        <w:adjustRightInd w:val="0"/>
        <w:snapToGrid w:val="0"/>
        <w:spacing w:line="348"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2338649D">
      <w:pPr>
        <w:pageBreakBefore w:val="0"/>
        <w:autoSpaceDE/>
        <w:autoSpaceDN/>
        <w:bidi w:val="0"/>
        <w:spacing w:line="348" w:lineRule="auto"/>
        <w:ind w:firstLine="482" w:firstLineChars="200"/>
        <w:textAlignment w:val="auto"/>
        <w:rPr>
          <w:rFonts w:hint="eastAsia" w:ascii="宋体" w:hAnsi="宋体" w:eastAsia="宋体" w:cs="宋体"/>
          <w:sz w:val="24"/>
          <w:szCs w:val="24"/>
          <w:highlight w:val="none"/>
          <w:u w:val="singl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.3施工资质：</w:t>
      </w:r>
      <w:r>
        <w:rPr>
          <w:rFonts w:hint="eastAsia" w:ascii="宋体" w:hAnsi="宋体" w:eastAsia="宋体" w:cs="宋体"/>
          <w:sz w:val="24"/>
          <w:szCs w:val="24"/>
          <w:highlight w:val="none"/>
          <w:u w:val="single"/>
        </w:rPr>
        <w:t>具备建筑工程施工总承包</w:t>
      </w:r>
      <w:r>
        <w:rPr>
          <w:rFonts w:hint="eastAsia" w:ascii="宋体" w:hAnsi="宋体" w:eastAsia="宋体" w:cs="宋体"/>
          <w:sz w:val="24"/>
          <w:szCs w:val="24"/>
          <w:highlight w:val="none"/>
          <w:u w:val="single"/>
          <w:lang w:val="en-US" w:eastAsia="zh-CN"/>
        </w:rPr>
        <w:t>三</w:t>
      </w:r>
      <w:r>
        <w:rPr>
          <w:rFonts w:hint="eastAsia" w:ascii="宋体" w:hAnsi="宋体" w:eastAsia="宋体" w:cs="宋体"/>
          <w:sz w:val="24"/>
          <w:szCs w:val="24"/>
          <w:highlight w:val="none"/>
          <w:u w:val="single"/>
        </w:rPr>
        <w:t>级（或以上）资质，并具有建设行政主管部门颁发的安全生产许可证。如投标人的企业资质是根据2020年11月30日发布的《住房和城乡建设部关于印发建设工程企业资质管理制度改革方案的通知》（建市〔2020〕94号）办理的，则施工资质相应要求如下：具有建设行政主管部门颁发的施工综合资质或建筑工程施工总承包乙级或以上资质，企业资质证书须由建设行政主管部门颁发且在有效期内的。）</w:t>
      </w:r>
    </w:p>
    <w:p w14:paraId="35459A4D">
      <w:pPr>
        <w:pageBreakBefore w:val="0"/>
        <w:autoSpaceDE/>
        <w:autoSpaceDN/>
        <w:bidi w:val="0"/>
        <w:spacing w:line="348"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1FBA2BEB">
      <w:pPr>
        <w:pageBreakBefore w:val="0"/>
        <w:autoSpaceDE/>
        <w:autoSpaceDN/>
        <w:bidi w:val="0"/>
        <w:spacing w:line="348"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②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3C5D0B1D">
      <w:pPr>
        <w:pageBreakBefore w:val="0"/>
        <w:autoSpaceDE/>
        <w:autoSpaceDN/>
        <w:bidi w:val="0"/>
        <w:spacing w:line="348" w:lineRule="auto"/>
        <w:ind w:firstLine="540" w:firstLineChars="22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3.5主要负责人资格要求：</w:t>
      </w:r>
    </w:p>
    <w:p w14:paraId="46C53DC6">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3.5.1</w:t>
      </w:r>
      <w:r>
        <w:rPr>
          <w:rFonts w:hint="eastAsia" w:ascii="宋体" w:hAnsi="宋体" w:eastAsia="宋体" w:cs="宋体"/>
          <w:b/>
          <w:bCs/>
          <w:color w:val="auto"/>
          <w:sz w:val="24"/>
          <w:szCs w:val="24"/>
          <w:highlight w:val="none"/>
          <w:u w:val="none"/>
          <w:lang w:val="en-US" w:eastAsia="zh-CN"/>
        </w:rPr>
        <w:t>勘察负责人</w:t>
      </w:r>
      <w:r>
        <w:rPr>
          <w:rFonts w:hint="eastAsia" w:ascii="宋体" w:hAnsi="宋体" w:eastAsia="宋体" w:cs="宋体"/>
          <w:color w:val="auto"/>
          <w:sz w:val="24"/>
          <w:szCs w:val="24"/>
          <w:highlight w:val="none"/>
        </w:rPr>
        <w:t>（若联合体投标，</w:t>
      </w:r>
      <w:r>
        <w:rPr>
          <w:rFonts w:hint="eastAsia" w:ascii="宋体" w:hAnsi="宋体" w:eastAsia="宋体" w:cs="宋体"/>
          <w:color w:val="auto"/>
          <w:sz w:val="24"/>
          <w:szCs w:val="24"/>
          <w:highlight w:val="none"/>
          <w:u w:val="none"/>
        </w:rPr>
        <w:t>由联合体中承接</w:t>
      </w:r>
      <w:r>
        <w:rPr>
          <w:rFonts w:hint="eastAsia" w:ascii="宋体" w:hAnsi="宋体" w:eastAsia="宋体" w:cs="宋体"/>
          <w:color w:val="auto"/>
          <w:sz w:val="24"/>
          <w:szCs w:val="24"/>
          <w:highlight w:val="none"/>
          <w:u w:val="none"/>
          <w:lang w:val="en-US" w:eastAsia="zh-CN"/>
        </w:rPr>
        <w:t>勘察</w:t>
      </w:r>
      <w:r>
        <w:rPr>
          <w:rFonts w:hint="eastAsia" w:ascii="宋体" w:hAnsi="宋体" w:eastAsia="宋体" w:cs="宋体"/>
          <w:color w:val="auto"/>
          <w:sz w:val="24"/>
          <w:szCs w:val="24"/>
          <w:highlight w:val="none"/>
          <w:u w:val="none"/>
        </w:rPr>
        <w:t>任务的单位提供）要求：</w:t>
      </w:r>
      <w:r>
        <w:rPr>
          <w:rFonts w:hint="eastAsia" w:ascii="宋体" w:hAnsi="宋体" w:eastAsia="宋体" w:cs="宋体"/>
          <w:color w:val="auto"/>
          <w:sz w:val="24"/>
          <w:szCs w:val="24"/>
          <w:highlight w:val="none"/>
          <w:u w:val="single"/>
          <w:lang w:val="en-US" w:eastAsia="zh-CN"/>
        </w:rPr>
        <w:t>具备地质勘察工程相关专业中级工程师(或以上)职称</w:t>
      </w:r>
      <w:r>
        <w:rPr>
          <w:rFonts w:hint="eastAsia" w:ascii="宋体" w:hAnsi="宋体" w:eastAsia="宋体" w:cs="宋体"/>
          <w:color w:val="auto"/>
          <w:sz w:val="24"/>
          <w:szCs w:val="24"/>
          <w:highlight w:val="none"/>
          <w:u w:val="single"/>
        </w:rPr>
        <w:t>或在广东省住房和城乡建设主管部门备案且备案的业务范围符合本招标项目对</w:t>
      </w:r>
      <w:r>
        <w:rPr>
          <w:rFonts w:hint="eastAsia" w:ascii="宋体" w:hAnsi="宋体" w:eastAsia="宋体" w:cs="宋体"/>
          <w:color w:val="auto"/>
          <w:sz w:val="24"/>
          <w:szCs w:val="24"/>
          <w:highlight w:val="none"/>
          <w:u w:val="single"/>
          <w:lang w:val="en-US" w:eastAsia="zh-CN"/>
        </w:rPr>
        <w:t>勘察</w:t>
      </w:r>
      <w:r>
        <w:rPr>
          <w:rFonts w:hint="eastAsia" w:ascii="宋体" w:hAnsi="宋体" w:eastAsia="宋体" w:cs="宋体"/>
          <w:color w:val="auto"/>
          <w:sz w:val="24"/>
          <w:szCs w:val="24"/>
          <w:highlight w:val="none"/>
          <w:u w:val="single"/>
        </w:rPr>
        <w:t>负责人要求的香港专业人士。</w:t>
      </w:r>
    </w:p>
    <w:p w14:paraId="6228EFFA">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rPr>
        <w:t>设计负责人</w:t>
      </w:r>
      <w:r>
        <w:rPr>
          <w:rFonts w:hint="eastAsia" w:ascii="宋体" w:hAnsi="宋体" w:eastAsia="宋体" w:cs="宋体"/>
          <w:color w:val="auto"/>
          <w:sz w:val="24"/>
          <w:szCs w:val="24"/>
          <w:highlight w:val="none"/>
        </w:rPr>
        <w:t>（若联合体投标的，由联合体中承接设计任务的单位提供）要求：</w:t>
      </w:r>
      <w:r>
        <w:rPr>
          <w:rFonts w:hint="eastAsia" w:ascii="宋体" w:hAnsi="宋体" w:eastAsia="宋体" w:cs="宋体"/>
          <w:color w:val="auto"/>
          <w:sz w:val="24"/>
          <w:szCs w:val="24"/>
          <w:highlight w:val="none"/>
          <w:u w:val="single"/>
          <w:lang w:val="en-US" w:eastAsia="zh-CN"/>
        </w:rPr>
        <w:t>具备二</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或以上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注册建筑师，或在广东省住房和城乡建设主管部门备案且备案的业务范围符合本招标项目对设计负责人要求的香港专业人士。</w:t>
      </w:r>
    </w:p>
    <w:p w14:paraId="4FB00748">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70F4E828">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u w:val="single"/>
        </w:rPr>
        <w:t>（兼施工项目负责人，若为联合体投标，由联合体中承接</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任务的单位提供）</w:t>
      </w:r>
      <w:r>
        <w:rPr>
          <w:rFonts w:hint="eastAsia" w:ascii="宋体" w:hAnsi="宋体" w:eastAsia="宋体" w:cs="宋体"/>
          <w:color w:val="auto"/>
          <w:sz w:val="24"/>
          <w:szCs w:val="24"/>
          <w:highlight w:val="none"/>
          <w:u w:val="single"/>
          <w:lang w:val="en-US" w:eastAsia="zh-CN"/>
        </w:rPr>
        <w:t>要求：</w:t>
      </w:r>
      <w:r>
        <w:rPr>
          <w:rFonts w:hint="eastAsia" w:ascii="宋体" w:hAnsi="宋体" w:eastAsia="宋体" w:cs="宋体"/>
          <w:color w:val="auto"/>
          <w:sz w:val="24"/>
          <w:szCs w:val="24"/>
          <w:highlight w:val="none"/>
          <w:u w:val="single"/>
        </w:rPr>
        <w:t>具备建筑工程专业</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级（或以上）注册建造师资格；持有项目负责人在有效期内的安全生产考核合格证书（B类），或建筑施工企业项目负责人安全生产考核合格证书。</w:t>
      </w:r>
    </w:p>
    <w:p w14:paraId="4EABC38F">
      <w:pPr>
        <w:pStyle w:val="35"/>
        <w:pageBreakBefore w:val="0"/>
        <w:autoSpaceDE/>
        <w:autoSpaceDN/>
        <w:bidi w:val="0"/>
        <w:adjustRightInd w:val="0"/>
        <w:snapToGrid w:val="0"/>
        <w:spacing w:line="348" w:lineRule="auto"/>
        <w:ind w:firstLine="540"/>
        <w:textAlignment w:val="auto"/>
        <w:rPr>
          <w:rFonts w:hint="eastAsia" w:ascii="宋体" w:hAnsi="宋体" w:eastAsia="宋体" w:cs="宋体"/>
          <w:b w:val="0"/>
          <w:bCs/>
          <w:color w:val="000000"/>
          <w:sz w:val="24"/>
          <w:szCs w:val="24"/>
          <w:highlight w:val="none"/>
          <w:u w:val="single"/>
        </w:rPr>
      </w:pPr>
      <w:r>
        <w:rPr>
          <w:rFonts w:hint="eastAsia" w:ascii="宋体" w:hAnsi="宋体" w:eastAsia="宋体" w:cs="宋体"/>
          <w:color w:val="000000"/>
          <w:sz w:val="24"/>
          <w:szCs w:val="24"/>
          <w:highlight w:val="none"/>
          <w:u w:val="single"/>
        </w:rPr>
        <w:t>注：</w:t>
      </w:r>
      <w:r>
        <w:rPr>
          <w:rFonts w:hint="eastAsia" w:ascii="宋体" w:hAnsi="宋体" w:eastAsia="宋体" w:cs="宋体"/>
          <w:b w:val="0"/>
          <w:bCs/>
          <w:color w:val="000000"/>
          <w:sz w:val="24"/>
          <w:szCs w:val="24"/>
          <w:highlight w:val="none"/>
          <w:u w:val="single"/>
        </w:rPr>
        <w:t>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675BF9A1">
      <w:pPr>
        <w:pStyle w:val="5"/>
        <w:pageBreakBefore w:val="0"/>
        <w:autoSpaceDE/>
        <w:autoSpaceDN/>
        <w:bidi w:val="0"/>
        <w:spacing w:line="348" w:lineRule="auto"/>
        <w:ind w:firstLine="480"/>
        <w:textAlignment w:val="auto"/>
        <w:rPr>
          <w:rFonts w:hint="eastAsia" w:ascii="宋体" w:hAnsi="宋体" w:eastAsia="宋体" w:cs="宋体"/>
          <w:bCs/>
          <w:color w:val="000000"/>
          <w:sz w:val="24"/>
          <w:szCs w:val="24"/>
          <w:highlight w:val="none"/>
          <w:u w:val="single"/>
        </w:rPr>
      </w:pPr>
      <w:r>
        <w:rPr>
          <w:rFonts w:hint="eastAsia" w:ascii="宋体" w:hAnsi="宋体" w:eastAsia="宋体" w:cs="宋体"/>
          <w:b w:val="0"/>
          <w:bCs/>
          <w:color w:val="000000"/>
          <w:sz w:val="24"/>
          <w:szCs w:val="24"/>
          <w:highlight w:val="none"/>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3E3D13A">
      <w:pPr>
        <w:pStyle w:val="5"/>
        <w:pageBreakBefore w:val="0"/>
        <w:autoSpaceDE/>
        <w:autoSpaceDN/>
        <w:bidi w:val="0"/>
        <w:spacing w:line="348" w:lineRule="auto"/>
        <w:ind w:firstLine="484" w:firstLineChars="202"/>
        <w:textAlignment w:val="auto"/>
        <w:rPr>
          <w:rFonts w:hint="eastAsia" w:ascii="宋体" w:hAnsi="宋体" w:eastAsia="宋体" w:cs="宋体"/>
          <w:color w:val="000000"/>
          <w:sz w:val="24"/>
          <w:szCs w:val="24"/>
          <w:highlight w:val="none"/>
          <w:u w:val="single"/>
        </w:rPr>
      </w:pPr>
      <w:r>
        <w:rPr>
          <w:rFonts w:hint="eastAsia" w:ascii="宋体" w:hAnsi="宋体" w:eastAsia="宋体" w:cs="宋体"/>
          <w:b w:val="0"/>
          <w:bCs/>
          <w:color w:val="000000"/>
          <w:sz w:val="24"/>
          <w:szCs w:val="24"/>
          <w:highlight w:val="none"/>
          <w:u w:val="singl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554B1FB">
      <w:pPr>
        <w:pStyle w:val="5"/>
        <w:pageBreakBefore w:val="0"/>
        <w:autoSpaceDE/>
        <w:autoSpaceDN/>
        <w:bidi w:val="0"/>
        <w:spacing w:line="348" w:lineRule="auto"/>
        <w:ind w:firstLine="484" w:firstLineChars="202"/>
        <w:textAlignment w:val="auto"/>
        <w:rPr>
          <w:rFonts w:hint="eastAsia" w:ascii="宋体" w:hAnsi="宋体" w:eastAsia="宋体" w:cs="宋体"/>
          <w:color w:val="000000"/>
          <w:sz w:val="24"/>
          <w:szCs w:val="24"/>
          <w:highlight w:val="none"/>
          <w:u w:val="single"/>
        </w:rPr>
      </w:pPr>
      <w:r>
        <w:rPr>
          <w:rFonts w:hint="eastAsia" w:ascii="宋体" w:hAnsi="宋体" w:eastAsia="宋体" w:cs="宋体"/>
          <w:bCs/>
          <w:color w:val="000000"/>
          <w:sz w:val="24"/>
          <w:szCs w:val="24"/>
          <w:highlight w:val="none"/>
          <w:u w:val="single"/>
          <w:lang w:val="en-US" w:eastAsia="zh-CN"/>
        </w:rPr>
        <w:t>③</w:t>
      </w:r>
      <w:r>
        <w:rPr>
          <w:rFonts w:hint="eastAsia" w:ascii="宋体" w:hAnsi="宋体" w:eastAsia="宋体" w:cs="宋体"/>
          <w:color w:val="000000"/>
          <w:sz w:val="24"/>
          <w:szCs w:val="24"/>
          <w:highlight w:val="none"/>
          <w:u w:val="single"/>
        </w:rPr>
        <w:t>项目负责人在任职期间不得担任专职安全员，专职安全员在任职期间也不得担任项目负责人，项目负责人、技术负责人和专职安全员不为同一人。</w:t>
      </w:r>
    </w:p>
    <w:p w14:paraId="034AF6B3">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p>
    <w:p w14:paraId="7B173086">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4</w:t>
      </w:r>
      <w:r>
        <w:rPr>
          <w:rFonts w:hint="eastAsia" w:ascii="宋体" w:hAnsi="宋体" w:eastAsia="宋体" w:cs="宋体"/>
          <w:b/>
          <w:bCs/>
          <w:color w:val="auto"/>
          <w:sz w:val="24"/>
          <w:szCs w:val="24"/>
          <w:highlight w:val="none"/>
        </w:rPr>
        <w:t>技术负责人</w:t>
      </w:r>
      <w:r>
        <w:rPr>
          <w:rFonts w:hint="eastAsia" w:ascii="宋体" w:hAnsi="宋体" w:eastAsia="宋体" w:cs="宋体"/>
          <w:color w:val="auto"/>
          <w:sz w:val="24"/>
          <w:szCs w:val="24"/>
          <w:highlight w:val="none"/>
        </w:rPr>
        <w:t>（若联合体投标，</w:t>
      </w:r>
      <w:r>
        <w:rPr>
          <w:rFonts w:hint="eastAsia" w:ascii="宋体" w:hAnsi="宋体" w:eastAsia="宋体" w:cs="宋体"/>
          <w:color w:val="auto"/>
          <w:sz w:val="24"/>
          <w:szCs w:val="24"/>
          <w:highlight w:val="none"/>
          <w:u w:val="none"/>
        </w:rPr>
        <w:t>由联合体中承接</w:t>
      </w:r>
      <w:r>
        <w:rPr>
          <w:rFonts w:hint="eastAsia" w:ascii="宋体" w:hAnsi="宋体" w:eastAsia="宋体" w:cs="宋体"/>
          <w:color w:val="auto"/>
          <w:sz w:val="24"/>
          <w:szCs w:val="24"/>
          <w:highlight w:val="none"/>
          <w:u w:val="none"/>
          <w:lang w:val="en-US" w:eastAsia="zh-CN"/>
        </w:rPr>
        <w:t>施工</w:t>
      </w:r>
      <w:r>
        <w:rPr>
          <w:rFonts w:hint="eastAsia" w:ascii="宋体" w:hAnsi="宋体" w:eastAsia="宋体" w:cs="宋体"/>
          <w:color w:val="auto"/>
          <w:sz w:val="24"/>
          <w:szCs w:val="24"/>
          <w:highlight w:val="none"/>
          <w:u w:val="none"/>
        </w:rPr>
        <w:t>任务的单位提供</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u w:val="single"/>
          <w:lang w:val="en-US" w:eastAsia="zh-CN"/>
        </w:rPr>
        <w:t>具备</w:t>
      </w:r>
      <w:r>
        <w:rPr>
          <w:rFonts w:hint="eastAsia" w:ascii="宋体" w:hAnsi="宋体" w:eastAsia="宋体" w:cs="宋体"/>
          <w:color w:val="auto"/>
          <w:sz w:val="24"/>
          <w:szCs w:val="24"/>
          <w:highlight w:val="none"/>
          <w:u w:val="single"/>
        </w:rPr>
        <w:t>建筑工程相关专业</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rPr>
        <w:t>级工程师或以上技术职称。</w:t>
      </w:r>
    </w:p>
    <w:p w14:paraId="27EA3181">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3.5.5 </w:t>
      </w:r>
      <w:r>
        <w:rPr>
          <w:rFonts w:hint="eastAsia" w:ascii="宋体" w:hAnsi="宋体" w:eastAsia="宋体" w:cs="宋体"/>
          <w:b/>
          <w:bCs/>
          <w:color w:val="auto"/>
          <w:sz w:val="24"/>
          <w:szCs w:val="24"/>
          <w:highlight w:val="none"/>
        </w:rPr>
        <w:t>专职安全员</w:t>
      </w:r>
      <w:r>
        <w:rPr>
          <w:rFonts w:hint="eastAsia" w:ascii="宋体" w:hAnsi="宋体" w:eastAsia="宋体" w:cs="宋体"/>
          <w:color w:val="auto"/>
          <w:sz w:val="24"/>
          <w:szCs w:val="24"/>
          <w:highlight w:val="none"/>
        </w:rPr>
        <w:t>（若联合体投标，</w:t>
      </w:r>
      <w:r>
        <w:rPr>
          <w:rFonts w:hint="eastAsia" w:ascii="宋体" w:hAnsi="宋体" w:eastAsia="宋体" w:cs="宋体"/>
          <w:color w:val="auto"/>
          <w:sz w:val="24"/>
          <w:szCs w:val="24"/>
          <w:highlight w:val="none"/>
          <w:u w:val="none"/>
        </w:rPr>
        <w:t>由联合体中承接</w:t>
      </w:r>
      <w:r>
        <w:rPr>
          <w:rFonts w:hint="eastAsia" w:ascii="宋体" w:hAnsi="宋体" w:eastAsia="宋体" w:cs="宋体"/>
          <w:color w:val="auto"/>
          <w:sz w:val="24"/>
          <w:szCs w:val="24"/>
          <w:highlight w:val="none"/>
          <w:u w:val="none"/>
          <w:lang w:val="en-US" w:eastAsia="zh-CN"/>
        </w:rPr>
        <w:t>施工</w:t>
      </w:r>
      <w:r>
        <w:rPr>
          <w:rFonts w:hint="eastAsia" w:ascii="宋体" w:hAnsi="宋体" w:eastAsia="宋体" w:cs="宋体"/>
          <w:color w:val="auto"/>
          <w:sz w:val="24"/>
          <w:szCs w:val="24"/>
          <w:highlight w:val="none"/>
          <w:u w:val="none"/>
        </w:rPr>
        <w:t>任务的单位提供</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u w:val="single"/>
        </w:rPr>
        <w:t>须持有在有效期内的安全生产考核合格证书（C类）或建筑施工企业专职安全生产管理人员安全生产考核合格证书（C3）。</w:t>
      </w:r>
    </w:p>
    <w:p w14:paraId="01100332">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投标人已按照附件一的内容签署盖章的《投标人</w:t>
      </w:r>
      <w:r>
        <w:rPr>
          <w:rFonts w:hint="eastAsia" w:ascii="宋体" w:hAnsi="宋体" w:eastAsia="宋体" w:cs="宋体"/>
          <w:color w:val="auto"/>
          <w:sz w:val="24"/>
          <w:szCs w:val="24"/>
          <w:highlight w:val="none"/>
          <w:lang w:val="en-US" w:eastAsia="zh-CN"/>
        </w:rPr>
        <w:t>申请人</w:t>
      </w:r>
      <w:r>
        <w:rPr>
          <w:rFonts w:hint="eastAsia" w:ascii="宋体" w:hAnsi="宋体" w:eastAsia="宋体" w:cs="宋体"/>
          <w:color w:val="auto"/>
          <w:sz w:val="24"/>
          <w:szCs w:val="24"/>
          <w:highlight w:val="none"/>
        </w:rPr>
        <w:t>声明》。</w:t>
      </w:r>
    </w:p>
    <w:p w14:paraId="280E3FC7">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关于联合体投标：本次招</w:t>
      </w:r>
      <w:r>
        <w:rPr>
          <w:rFonts w:hint="eastAsia" w:ascii="宋体" w:hAnsi="宋体" w:eastAsia="宋体" w:cs="宋体"/>
          <w:b w:val="0"/>
          <w:bCs w:val="0"/>
          <w:color w:val="auto"/>
          <w:sz w:val="24"/>
          <w:szCs w:val="24"/>
          <w:highlight w:val="none"/>
        </w:rPr>
        <w:t>标</w:t>
      </w:r>
      <w:r>
        <w:rPr>
          <w:rFonts w:hint="eastAsia" w:ascii="宋体" w:hAnsi="宋体" w:eastAsia="宋体" w:cs="宋体"/>
          <w:b w:val="0"/>
          <w:bCs w:val="0"/>
          <w:color w:val="auto"/>
          <w:sz w:val="24"/>
          <w:szCs w:val="24"/>
          <w:highlight w:val="none"/>
          <w:u w:val="none"/>
        </w:rPr>
        <w:t>接受</w:t>
      </w:r>
      <w:r>
        <w:rPr>
          <w:rFonts w:hint="eastAsia" w:ascii="宋体" w:hAnsi="宋体" w:eastAsia="宋体" w:cs="宋体"/>
          <w:b w:val="0"/>
          <w:bCs w:val="0"/>
          <w:color w:val="auto"/>
          <w:sz w:val="24"/>
          <w:szCs w:val="24"/>
          <w:highlight w:val="none"/>
        </w:rPr>
        <w:t>联</w:t>
      </w:r>
      <w:r>
        <w:rPr>
          <w:rFonts w:hint="eastAsia" w:ascii="宋体" w:hAnsi="宋体" w:eastAsia="宋体" w:cs="宋体"/>
          <w:color w:val="auto"/>
          <w:sz w:val="24"/>
          <w:szCs w:val="24"/>
          <w:highlight w:val="none"/>
        </w:rPr>
        <w:t>合体投标。联合体投标的，应满足下列要求：</w:t>
      </w:r>
    </w:p>
    <w:p w14:paraId="5383C8AC">
      <w:pPr>
        <w:pageBreakBefore w:val="0"/>
        <w:shd w:val="clear" w:color="auto" w:fill="FFFFFF"/>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.1允许联合体投标，只接受最多由3家单位（即1家勘察单位、1家设计单位、1家施工单位）组成的联合体</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single"/>
          <w:lang w:eastAsia="zh-CN"/>
        </w:rPr>
        <w:t>联合体中</w:t>
      </w:r>
      <w:r>
        <w:rPr>
          <w:rFonts w:hint="eastAsia" w:ascii="宋体" w:hAnsi="宋体" w:eastAsia="宋体" w:cs="宋体"/>
          <w:b/>
          <w:bCs/>
          <w:color w:val="auto"/>
          <w:sz w:val="24"/>
          <w:szCs w:val="24"/>
          <w:highlight w:val="none"/>
          <w:u w:val="single"/>
        </w:rPr>
        <w:t>应以承担施工任务的一方为主办方</w:t>
      </w:r>
      <w:r>
        <w:rPr>
          <w:rFonts w:hint="eastAsia" w:ascii="宋体" w:hAnsi="宋体" w:eastAsia="宋体" w:cs="宋体"/>
          <w:color w:val="auto"/>
          <w:sz w:val="24"/>
          <w:szCs w:val="24"/>
          <w:highlight w:val="none"/>
        </w:rPr>
        <w:t>，并签定联合体共同投标协议书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附件二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。联合体共同投标协议书应明确约定各方拟承担的工作和责任。由同一专业的单位组成的联合体，按照资质等级较低的单位确定资质等级。</w:t>
      </w:r>
    </w:p>
    <w:p w14:paraId="5BE72725">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u w:val="single"/>
        </w:rPr>
        <w:t>投标人拟任本工程</w:t>
      </w:r>
      <w:r>
        <w:rPr>
          <w:rFonts w:hint="eastAsia" w:ascii="宋体" w:hAnsi="宋体" w:eastAsia="宋体" w:cs="宋体"/>
          <w:b/>
          <w:bCs/>
          <w:color w:val="auto"/>
          <w:sz w:val="24"/>
          <w:szCs w:val="24"/>
          <w:highlight w:val="none"/>
          <w:u w:val="single"/>
          <w:lang w:val="en-US" w:eastAsia="zh-CN"/>
        </w:rPr>
        <w:t>勘察负责人、</w:t>
      </w:r>
      <w:r>
        <w:rPr>
          <w:rFonts w:hint="eastAsia" w:ascii="宋体" w:hAnsi="宋体" w:eastAsia="宋体" w:cs="宋体"/>
          <w:b/>
          <w:bCs/>
          <w:color w:val="auto"/>
          <w:sz w:val="24"/>
          <w:szCs w:val="24"/>
          <w:highlight w:val="none"/>
          <w:u w:val="single"/>
        </w:rPr>
        <w:t>设计负责人、项目负责人</w:t>
      </w:r>
      <w:r>
        <w:rPr>
          <w:rFonts w:hint="eastAsia" w:ascii="宋体" w:hAnsi="宋体" w:eastAsia="宋体" w:cs="宋体"/>
          <w:b/>
          <w:bCs/>
          <w:color w:val="auto"/>
          <w:sz w:val="24"/>
          <w:szCs w:val="24"/>
          <w:highlight w:val="none"/>
          <w:u w:val="single"/>
          <w:lang w:val="en-US" w:eastAsia="zh-CN"/>
        </w:rPr>
        <w:t>、技术负责人、</w:t>
      </w:r>
      <w:r>
        <w:rPr>
          <w:rFonts w:hint="eastAsia" w:ascii="宋体" w:hAnsi="宋体" w:eastAsia="宋体" w:cs="宋体"/>
          <w:b/>
          <w:bCs/>
          <w:color w:val="auto"/>
          <w:sz w:val="24"/>
          <w:szCs w:val="24"/>
          <w:highlight w:val="none"/>
          <w:u w:val="single"/>
        </w:rPr>
        <w:t>专职安全员必须是联合体中对应分工成员的正式员工。以上人员不得重复兼任。</w:t>
      </w:r>
    </w:p>
    <w:p w14:paraId="18A2F344">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联合体的资格条件按联合体任务分工进行评审，其中工程勘察资质、勘察负责人以承接勘察任务的成员单位为准；工程设计资质、设计负责人以承接设计任务的成员单位为准；施工单位资质、安全生产许可证以承接施工任务的施工方为准；项目负责人、技术负责人、专职安全员以承接施工任务的主办方为准</w:t>
      </w:r>
      <w:r>
        <w:rPr>
          <w:rFonts w:hint="eastAsia" w:ascii="宋体" w:hAnsi="宋体" w:eastAsia="宋体" w:cs="宋体"/>
          <w:color w:val="auto"/>
          <w:sz w:val="24"/>
          <w:szCs w:val="24"/>
          <w:highlight w:val="none"/>
          <w:lang w:eastAsia="zh-CN"/>
        </w:rPr>
        <w:t>。</w:t>
      </w:r>
    </w:p>
    <w:p w14:paraId="6FE415BF">
      <w:pPr>
        <w:pageBreakBefore w:val="0"/>
        <w:autoSpaceDE/>
        <w:autoSpaceDN/>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.4联合体各方不得再以自己名义单独或加入其他联合体参加本项目的投标。</w:t>
      </w:r>
    </w:p>
    <w:p w14:paraId="533E7922">
      <w:pPr>
        <w:pageBreakBefore w:val="0"/>
        <w:autoSpaceDE/>
        <w:autoSpaceDN/>
        <w:bidi w:val="0"/>
        <w:spacing w:line="348" w:lineRule="auto"/>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资格审查前，投标人（含联合体各方）须在广州市住房和城乡建设局建立企业信用档案，拟担任本工程</w:t>
      </w:r>
      <w:r>
        <w:rPr>
          <w:rFonts w:hint="eastAsia" w:ascii="宋体" w:hAnsi="宋体" w:eastAsia="宋体" w:cs="宋体"/>
          <w:color w:val="auto"/>
          <w:sz w:val="24"/>
          <w:szCs w:val="24"/>
          <w:highlight w:val="none"/>
          <w:lang w:val="en-US" w:eastAsia="zh-CN"/>
        </w:rPr>
        <w:t>勘察负责人、</w:t>
      </w:r>
      <w:r>
        <w:rPr>
          <w:rFonts w:hint="eastAsia" w:ascii="宋体" w:hAnsi="宋体" w:eastAsia="宋体" w:cs="宋体"/>
          <w:color w:val="auto"/>
          <w:sz w:val="24"/>
          <w:szCs w:val="24"/>
          <w:highlight w:val="none"/>
        </w:rPr>
        <w:t>设计负责人、项目负责人</w:t>
      </w:r>
      <w:r>
        <w:rPr>
          <w:rFonts w:hint="eastAsia" w:ascii="宋体" w:hAnsi="宋体" w:eastAsia="宋体" w:cs="宋体"/>
          <w:color w:val="auto"/>
          <w:sz w:val="24"/>
          <w:szCs w:val="24"/>
          <w:highlight w:val="none"/>
          <w:lang w:val="en-US" w:eastAsia="zh-CN"/>
        </w:rPr>
        <w:t>、技术负责人、</w:t>
      </w:r>
      <w:r>
        <w:rPr>
          <w:rFonts w:hint="eastAsia" w:ascii="宋体" w:hAnsi="宋体" w:eastAsia="宋体" w:cs="宋体"/>
          <w:color w:val="auto"/>
          <w:sz w:val="24"/>
          <w:szCs w:val="24"/>
          <w:highlight w:val="none"/>
        </w:rPr>
        <w:t>专职安全员须是本企业信用档案中的在册人员。企业信用档案取自投标截止时间投标人在信用管理平台的信息，投标人无需提交相关资料，若招标人延长递交投标文件截止时间，信用档案信息的评审时点也相应延长。（信用档案办理详见《广州市住建行业信用管理平台施工企业信息录入指引》http://zfcj.gz.gov.cn/zwgk/zsdwxxgkzl/gzsjzyglfwzx/bszy）。</w:t>
      </w:r>
    </w:p>
    <w:p w14:paraId="39784824">
      <w:pPr>
        <w:pageBreakBefore w:val="0"/>
        <w:autoSpaceDE/>
        <w:autoSpaceDN/>
        <w:bidi w:val="0"/>
        <w:spacing w:line="348" w:lineRule="auto"/>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含联合体各方）未出现以下情形：与其它投标人（含联合体各方）的单位负责人为同一人或者存在控股、管理关系的（按投标人提供的《投标申请人声明》相应的内容进行评审）。如不同投标申请人（含联合体各方）出现单位负责人为同一人或者存在控股、管理关系的情形，则否决其投标。</w:t>
      </w:r>
    </w:p>
    <w:p w14:paraId="1EF785E4">
      <w:pPr>
        <w:pageBreakBefore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投标人（含联合体各方）未被列入拖欠农民工工资失信联合惩戒对象名单。（投标人无需提供资料，资格审查时，根据广州交易集团有限公司（广州公共资源交易中心）交易系统比对结果为准）</w:t>
      </w:r>
    </w:p>
    <w:p w14:paraId="7808C665">
      <w:pPr>
        <w:pageBreakBefore w:val="0"/>
        <w:autoSpaceDE/>
        <w:autoSpaceDN/>
        <w:bidi w:val="0"/>
        <w:spacing w:line="348"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注：未在招标公告“3.投标人资格要求”单列的资审合格条件，不作为资审不合格的依据。</w:t>
      </w:r>
    </w:p>
    <w:p w14:paraId="69847963">
      <w:pPr>
        <w:pStyle w:val="3"/>
        <w:pageBreakBefore w:val="0"/>
        <w:autoSpaceDE/>
        <w:autoSpaceDN/>
        <w:bidi w:val="0"/>
        <w:spacing w:line="348" w:lineRule="auto"/>
        <w:textAlignment w:val="auto"/>
        <w:rPr>
          <w:rFonts w:hint="eastAsia" w:ascii="宋体" w:hAnsi="宋体" w:eastAsia="宋体" w:cs="宋体"/>
          <w:color w:val="auto"/>
          <w:sz w:val="24"/>
          <w:szCs w:val="24"/>
          <w:highlight w:val="none"/>
        </w:rPr>
      </w:pPr>
      <w:bookmarkStart w:id="28" w:name="_Toc247513937"/>
      <w:bookmarkStart w:id="29" w:name="_Toc247527538"/>
      <w:bookmarkStart w:id="30" w:name="_Toc22868"/>
      <w:bookmarkStart w:id="31" w:name="_Toc144974483"/>
      <w:bookmarkStart w:id="32" w:name="_Toc152042291"/>
      <w:bookmarkStart w:id="33" w:name="_Toc152045515"/>
      <w:r>
        <w:rPr>
          <w:rFonts w:hint="eastAsia" w:ascii="宋体" w:hAnsi="宋体" w:eastAsia="宋体" w:cs="宋体"/>
          <w:color w:val="auto"/>
          <w:sz w:val="24"/>
          <w:szCs w:val="24"/>
          <w:highlight w:val="none"/>
        </w:rPr>
        <w:t>4. 招标文件的获取</w:t>
      </w:r>
      <w:bookmarkEnd w:id="28"/>
      <w:bookmarkEnd w:id="29"/>
      <w:bookmarkEnd w:id="30"/>
      <w:bookmarkEnd w:id="31"/>
      <w:bookmarkEnd w:id="32"/>
      <w:bookmarkEnd w:id="33"/>
    </w:p>
    <w:p w14:paraId="46F5586D">
      <w:pPr>
        <w:pageBreakBefore w:val="0"/>
        <w:autoSpaceDE/>
        <w:autoSpaceDN/>
        <w:bidi w:val="0"/>
        <w:spacing w:line="348" w:lineRule="auto"/>
        <w:ind w:firstLine="480"/>
        <w:textAlignment w:val="auto"/>
        <w:rPr>
          <w:rFonts w:hint="eastAsia" w:ascii="宋体" w:hAnsi="宋体" w:eastAsia="宋体" w:cs="宋体"/>
          <w:color w:val="auto"/>
          <w:sz w:val="24"/>
          <w:szCs w:val="24"/>
          <w:highlight w:val="none"/>
        </w:rPr>
      </w:pPr>
      <w:bookmarkStart w:id="34" w:name="_Toc247527539"/>
      <w:bookmarkStart w:id="35" w:name="_Toc152045516"/>
      <w:bookmarkStart w:id="36" w:name="_Toc247513938"/>
      <w:bookmarkStart w:id="37" w:name="_Toc152042292"/>
      <w:bookmarkStart w:id="38" w:name="_Toc25682"/>
      <w:bookmarkStart w:id="39" w:name="_Toc144974484"/>
      <w:r>
        <w:rPr>
          <w:rFonts w:hint="eastAsia" w:ascii="宋体" w:hAnsi="宋体" w:eastAsia="宋体" w:cs="宋体"/>
          <w:color w:val="auto"/>
          <w:sz w:val="24"/>
          <w:szCs w:val="24"/>
          <w:highlight w:val="none"/>
        </w:rPr>
        <w:t xml:space="preserve">4.1凡有意参加投标者，请于 </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月 </w:t>
      </w:r>
      <w:r>
        <w:rPr>
          <w:rFonts w:hint="eastAsia" w:ascii="宋体" w:hAnsi="宋体" w:eastAsia="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 xml:space="preserve"> 日</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分至202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（北京时间，下同），登录：</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lang w:val="en-US" w:eastAsia="zh-CN"/>
        </w:rPr>
        <w:t>网站</w:t>
      </w:r>
      <w:r>
        <w:rPr>
          <w:rFonts w:hint="eastAsia" w:ascii="宋体" w:hAnsi="宋体" w:eastAsia="宋体" w:cs="宋体"/>
          <w:color w:val="auto"/>
          <w:sz w:val="24"/>
          <w:szCs w:val="24"/>
          <w:highlight w:val="none"/>
        </w:rPr>
        <w:t xml:space="preserve">下载电子招标文件。     </w:t>
      </w:r>
    </w:p>
    <w:p w14:paraId="7DF9211D">
      <w:pPr>
        <w:pageBreakBefore w:val="0"/>
        <w:autoSpaceDE/>
        <w:autoSpaceDN/>
        <w:bidi w:val="0"/>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注：本项目招标文件随招标公告一并在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网站发布。招标文件一经在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发布，视为送达给投标人。</w:t>
      </w:r>
    </w:p>
    <w:p w14:paraId="5D63FA53">
      <w:pPr>
        <w:pageBreakBefore w:val="0"/>
        <w:widowControl/>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项目资格审查方式：本工程采用全流程电子化资格后审方式，由评标委员会负责对投标人的资格进行审查，评标时只对通过资格审查的投标人进行下一阶段的评审。满足资格审查合格条件的投标人不足3名或经评审通过初步评审的投标人少于3人时招标失败。招标人分析招标失败原因，修正招标方案，报有关管理部门核准后，重新组织招标。</w:t>
      </w:r>
    </w:p>
    <w:p w14:paraId="2098729E">
      <w:pPr>
        <w:pageBreakBefore w:val="0"/>
        <w:tabs>
          <w:tab w:val="left" w:pos="7513"/>
        </w:tabs>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注：电子招投标操作流程详见</w:t>
      </w:r>
      <w:r>
        <w:rPr>
          <w:rFonts w:hint="eastAsia" w:ascii="宋体" w:hAnsi="宋体" w:eastAsia="宋体" w:cs="宋体"/>
          <w:bCs/>
          <w:color w:val="auto"/>
          <w:sz w:val="24"/>
          <w:szCs w:val="24"/>
          <w:highlight w:val="none"/>
          <w:u w:val="single"/>
          <w:lang w:eastAsia="zh-CN"/>
        </w:rPr>
        <w:t>广州交易集团有限公司（广州公共资源交易中心）</w:t>
      </w:r>
      <w:r>
        <w:rPr>
          <w:rFonts w:hint="eastAsia" w:ascii="宋体" w:hAnsi="宋体" w:eastAsia="宋体" w:cs="宋体"/>
          <w:bCs/>
          <w:color w:val="auto"/>
          <w:sz w:val="24"/>
          <w:szCs w:val="24"/>
          <w:highlight w:val="none"/>
          <w:u w:val="single"/>
        </w:rPr>
        <w:t>网站</w:t>
      </w:r>
      <w:r>
        <w:rPr>
          <w:rFonts w:hint="eastAsia" w:ascii="宋体" w:hAnsi="宋体" w:eastAsia="宋体" w:cs="宋体"/>
          <w:color w:val="auto"/>
          <w:sz w:val="24"/>
          <w:szCs w:val="24"/>
          <w:highlight w:val="none"/>
        </w:rPr>
        <w:t>发布的最新版操作指引。</w:t>
      </w:r>
    </w:p>
    <w:p w14:paraId="535D641E">
      <w:pPr>
        <w:pageBreakBefore w:val="0"/>
        <w:widowControl/>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4.2.1资格审查结果将在</w:t>
      </w:r>
      <w:r>
        <w:rPr>
          <w:rFonts w:hint="eastAsia" w:ascii="宋体" w:hAnsi="宋体" w:eastAsia="宋体" w:cs="宋体"/>
          <w:bCs/>
          <w:color w:val="auto"/>
          <w:sz w:val="24"/>
          <w:szCs w:val="24"/>
          <w:highlight w:val="none"/>
          <w:u w:val="single"/>
          <w:lang w:eastAsia="zh-CN"/>
        </w:rPr>
        <w:t>广州交易集团有限公司（广州公共资源交易中心）</w:t>
      </w:r>
      <w:r>
        <w:rPr>
          <w:rFonts w:hint="eastAsia" w:ascii="宋体" w:hAnsi="宋体" w:eastAsia="宋体" w:cs="宋体"/>
          <w:bCs/>
          <w:color w:val="auto"/>
          <w:sz w:val="24"/>
          <w:szCs w:val="24"/>
          <w:highlight w:val="none"/>
          <w:u w:val="single"/>
        </w:rPr>
        <w:t>网站</w:t>
      </w:r>
      <w:r>
        <w:rPr>
          <w:rFonts w:hint="eastAsia" w:ascii="宋体" w:hAnsi="宋体" w:eastAsia="宋体" w:cs="宋体"/>
          <w:color w:val="auto"/>
          <w:sz w:val="24"/>
          <w:szCs w:val="24"/>
          <w:highlight w:val="none"/>
          <w:u w:val="single"/>
        </w:rPr>
        <w:t>和广东省招标投标监管网公示，公示时间不得少于3日。</w:t>
      </w:r>
    </w:p>
    <w:p w14:paraId="7169C6FF">
      <w:pPr>
        <w:pStyle w:val="3"/>
        <w:pageBreakBefore w:val="0"/>
        <w:autoSpaceDE/>
        <w:autoSpaceDN/>
        <w:bidi w:val="0"/>
        <w:spacing w:line="34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发布招标公告、递交投标文件时间、开标时间</w:t>
      </w:r>
      <w:bookmarkEnd w:id="34"/>
      <w:bookmarkEnd w:id="35"/>
      <w:bookmarkEnd w:id="36"/>
      <w:bookmarkEnd w:id="37"/>
      <w:bookmarkEnd w:id="38"/>
      <w:bookmarkEnd w:id="39"/>
    </w:p>
    <w:p w14:paraId="23462858">
      <w:pPr>
        <w:pageBreakBefore w:val="0"/>
        <w:autoSpaceDE/>
        <w:autoSpaceDN/>
        <w:bidi w:val="0"/>
        <w:spacing w:line="348" w:lineRule="auto"/>
        <w:ind w:firstLine="480"/>
        <w:textAlignment w:val="auto"/>
        <w:rPr>
          <w:rFonts w:hint="eastAsia" w:ascii="宋体" w:hAnsi="宋体" w:eastAsia="宋体" w:cs="宋体"/>
          <w:color w:val="auto"/>
          <w:sz w:val="24"/>
          <w:szCs w:val="24"/>
          <w:highlight w:val="none"/>
          <w:u w:val="single"/>
        </w:rPr>
      </w:pPr>
      <w:bookmarkStart w:id="40" w:name="_Toc247527540"/>
      <w:bookmarkStart w:id="41" w:name="_Toc247513939"/>
      <w:bookmarkStart w:id="42" w:name="_Toc6035"/>
      <w:bookmarkStart w:id="43" w:name="_Toc157499355"/>
      <w:r>
        <w:rPr>
          <w:rFonts w:hint="eastAsia" w:ascii="宋体" w:hAnsi="宋体" w:eastAsia="宋体" w:cs="宋体"/>
          <w:color w:val="auto"/>
          <w:kern w:val="0"/>
          <w:sz w:val="24"/>
          <w:szCs w:val="24"/>
          <w:highlight w:val="none"/>
          <w:shd w:val="clear" w:color="auto" w:fill="FFFFFF"/>
          <w:lang w:bidi="ar"/>
        </w:rPr>
        <w:t>5.1</w:t>
      </w:r>
      <w:r>
        <w:rPr>
          <w:rFonts w:hint="eastAsia" w:ascii="宋体" w:hAnsi="宋体" w:eastAsia="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sz w:val="24"/>
          <w:szCs w:val="24"/>
          <w:highlight w:val="none"/>
        </w:rPr>
        <w:t>发布招标公告开始日期（含本日）为</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分。</w:t>
      </w:r>
    </w:p>
    <w:p w14:paraId="2CFE05BB">
      <w:pPr>
        <w:pageBreakBefore w:val="0"/>
        <w:autoSpaceDE/>
        <w:autoSpaceDN/>
        <w:bidi w:val="0"/>
        <w:spacing w:line="348" w:lineRule="auto"/>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发布招标公告截止日期（含本日）为</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p>
    <w:p w14:paraId="7FAD715A">
      <w:pPr>
        <w:pageBreakBefore w:val="0"/>
        <w:autoSpaceDE/>
        <w:autoSpaceDN/>
        <w:bidi w:val="0"/>
        <w:spacing w:line="348" w:lineRule="auto"/>
        <w:ind w:firstLine="482"/>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w:t>
      </w:r>
    </w:p>
    <w:p w14:paraId="68456886">
      <w:pPr>
        <w:pageBreakBefore w:val="0"/>
        <w:widowControl/>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shd w:val="clear" w:color="auto" w:fill="FFFFFF"/>
          <w:lang w:bidi="ar"/>
        </w:rPr>
        <w:t>5.2</w:t>
      </w:r>
      <w:r>
        <w:rPr>
          <w:rFonts w:hint="eastAsia" w:ascii="宋体" w:hAnsi="宋体" w:eastAsia="宋体" w:cs="宋体"/>
          <w:color w:val="auto"/>
          <w:sz w:val="24"/>
          <w:szCs w:val="24"/>
          <w:highlight w:val="none"/>
        </w:rPr>
        <w:t>递交投标文件起始时间：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 xml:space="preserve"> 日</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single"/>
          <w:lang w:eastAsia="zh-CN"/>
        </w:rPr>
        <w:t>。</w:t>
      </w:r>
    </w:p>
    <w:p w14:paraId="744C31B7">
      <w:pPr>
        <w:pageBreakBefore w:val="0"/>
        <w:widowControl/>
        <w:autoSpaceDE/>
        <w:autoSpaceDN/>
        <w:bidi w:val="0"/>
        <w:adjustRightInd w:val="0"/>
        <w:snapToGrid w:val="0"/>
        <w:spacing w:line="348" w:lineRule="auto"/>
        <w:ind w:left="0" w:leftChars="0" w:firstLine="2318" w:firstLineChars="9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 xml:space="preserve"> 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p>
    <w:p w14:paraId="64364314">
      <w:pPr>
        <w:pageBreakBefore w:val="0"/>
        <w:autoSpaceDE/>
        <w:autoSpaceDN/>
        <w:bidi w:val="0"/>
        <w:spacing w:line="348" w:lineRule="auto"/>
        <w:ind w:left="105" w:leftChars="50" w:firstLine="431" w:firstLineChars="174"/>
        <w:textAlignment w:val="auto"/>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pacing w:val="4"/>
          <w:kern w:val="0"/>
          <w:sz w:val="24"/>
          <w:szCs w:val="24"/>
          <w:highlight w:val="none"/>
          <w:shd w:val="clear" w:color="auto" w:fill="FFFFFF"/>
          <w:lang w:bidi="ar"/>
        </w:rPr>
        <w:t>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pacing w:val="4"/>
          <w:kern w:val="0"/>
          <w:sz w:val="24"/>
          <w:szCs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pacing w:val="4"/>
          <w:kern w:val="0"/>
          <w:sz w:val="24"/>
          <w:szCs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szCs w:val="24"/>
          <w:highlight w:val="none"/>
          <w:u w:val="single"/>
          <w:shd w:val="clear" w:color="auto" w:fill="FFFFFF"/>
          <w:lang w:bidi="ar"/>
        </w:rPr>
        <w:t>广</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pacing w:val="4"/>
          <w:kern w:val="0"/>
          <w:sz w:val="24"/>
          <w:szCs w:val="24"/>
          <w:highlight w:val="none"/>
          <w:u w:val="single"/>
          <w:shd w:val="clear" w:color="auto" w:fill="FFFFFF"/>
          <w:lang w:bidi="ar"/>
        </w:rPr>
        <w:t>（网址：http://www.gzggzy.cn）。</w:t>
      </w:r>
    </w:p>
    <w:p w14:paraId="39FA1D10">
      <w:pPr>
        <w:pageBreakBefore w:val="0"/>
        <w:autoSpaceDE/>
        <w:autoSpaceDN/>
        <w:bidi w:val="0"/>
        <w:spacing w:line="348" w:lineRule="auto"/>
        <w:ind w:left="115" w:leftChars="55" w:firstLine="420" w:firstLineChars="175"/>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5.3递交电子投标文件备用光盘或u盘时间：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kern w:val="0"/>
          <w:sz w:val="24"/>
          <w:szCs w:val="24"/>
          <w:highlight w:val="none"/>
          <w:u w:val="single"/>
          <w:shd w:val="clear" w:color="auto" w:fill="FFFFFF"/>
          <w:lang w:bidi="ar"/>
        </w:rPr>
        <w:t>年</w:t>
      </w:r>
      <w:r>
        <w:rPr>
          <w:rFonts w:hint="eastAsia" w:ascii="宋体" w:hAnsi="宋体" w:eastAsia="宋体" w:cs="宋体"/>
          <w:color w:val="auto"/>
          <w:kern w:val="0"/>
          <w:sz w:val="24"/>
          <w:szCs w:val="24"/>
          <w:highlight w:val="none"/>
          <w:u w:val="single"/>
          <w:shd w:val="clear" w:color="auto" w:fill="FFFFFF"/>
          <w:lang w:val="en-US" w:eastAsia="zh-CN" w:bidi="ar"/>
        </w:rPr>
        <w:t>10</w:t>
      </w:r>
      <w:r>
        <w:rPr>
          <w:rFonts w:hint="eastAsia" w:ascii="宋体" w:hAnsi="宋体" w:eastAsia="宋体" w:cs="宋体"/>
          <w:color w:val="auto"/>
          <w:kern w:val="0"/>
          <w:sz w:val="24"/>
          <w:szCs w:val="24"/>
          <w:highlight w:val="none"/>
          <w:u w:val="single"/>
          <w:shd w:val="clear" w:color="auto" w:fill="FFFFFF"/>
          <w:lang w:bidi="ar"/>
        </w:rPr>
        <w:t>月</w:t>
      </w:r>
      <w:r>
        <w:rPr>
          <w:rFonts w:hint="eastAsia" w:ascii="宋体" w:hAnsi="宋体" w:eastAsia="宋体" w:cs="宋体"/>
          <w:color w:val="auto"/>
          <w:kern w:val="0"/>
          <w:sz w:val="24"/>
          <w:szCs w:val="24"/>
          <w:highlight w:val="none"/>
          <w:u w:val="single"/>
          <w:shd w:val="clear" w:color="auto" w:fill="FFFFFF"/>
          <w:lang w:val="en-US" w:eastAsia="zh-CN" w:bidi="ar"/>
        </w:rPr>
        <w:t>16</w:t>
      </w:r>
      <w:r>
        <w:rPr>
          <w:rFonts w:hint="eastAsia" w:ascii="宋体" w:hAnsi="宋体" w:eastAsia="宋体" w:cs="宋体"/>
          <w:color w:val="auto"/>
          <w:kern w:val="0"/>
          <w:sz w:val="24"/>
          <w:szCs w:val="24"/>
          <w:highlight w:val="none"/>
          <w:u w:val="single"/>
          <w:shd w:val="clear" w:color="auto" w:fill="FFFFFF"/>
          <w:lang w:bidi="ar"/>
        </w:rPr>
        <w:t>日</w:t>
      </w:r>
      <w:r>
        <w:rPr>
          <w:rFonts w:hint="eastAsia" w:ascii="宋体" w:hAnsi="宋体" w:eastAsia="宋体" w:cs="宋体"/>
          <w:color w:val="auto"/>
          <w:kern w:val="0"/>
          <w:sz w:val="24"/>
          <w:szCs w:val="24"/>
          <w:highlight w:val="none"/>
          <w:u w:val="single"/>
          <w:shd w:val="clear" w:color="auto" w:fill="FFFFFF"/>
          <w:lang w:val="en-US" w:eastAsia="zh-CN" w:bidi="ar"/>
        </w:rPr>
        <w:t>14</w:t>
      </w:r>
      <w:r>
        <w:rPr>
          <w:rFonts w:hint="eastAsia" w:ascii="宋体" w:hAnsi="宋体" w:eastAsia="宋体" w:cs="宋体"/>
          <w:color w:val="auto"/>
          <w:kern w:val="0"/>
          <w:sz w:val="24"/>
          <w:szCs w:val="24"/>
          <w:highlight w:val="none"/>
          <w:u w:val="single"/>
          <w:shd w:val="clear" w:color="auto" w:fill="FFFFFF"/>
          <w:lang w:bidi="ar"/>
        </w:rPr>
        <w:t>时</w:t>
      </w:r>
      <w:r>
        <w:rPr>
          <w:rFonts w:hint="eastAsia" w:ascii="宋体" w:hAnsi="宋体" w:eastAsia="宋体" w:cs="宋体"/>
          <w:color w:val="auto"/>
          <w:kern w:val="0"/>
          <w:sz w:val="24"/>
          <w:szCs w:val="24"/>
          <w:highlight w:val="none"/>
          <w:u w:val="single"/>
          <w:shd w:val="clear" w:color="auto" w:fill="FFFFFF"/>
          <w:lang w:val="en-US" w:eastAsia="zh-CN" w:bidi="ar"/>
        </w:rPr>
        <w:t>45</w:t>
      </w:r>
      <w:r>
        <w:rPr>
          <w:rFonts w:hint="eastAsia" w:ascii="宋体" w:hAnsi="宋体" w:eastAsia="宋体" w:cs="宋体"/>
          <w:color w:val="auto"/>
          <w:kern w:val="0"/>
          <w:sz w:val="24"/>
          <w:szCs w:val="24"/>
          <w:highlight w:val="none"/>
          <w:u w:val="single"/>
          <w:shd w:val="clear" w:color="auto" w:fill="FFFFFF"/>
          <w:lang w:bidi="ar"/>
        </w:rPr>
        <w:t>分</w:t>
      </w:r>
      <w:r>
        <w:rPr>
          <w:rFonts w:hint="eastAsia" w:ascii="宋体" w:hAnsi="宋体" w:eastAsia="宋体" w:cs="宋体"/>
          <w:color w:val="auto"/>
          <w:kern w:val="0"/>
          <w:sz w:val="24"/>
          <w:szCs w:val="24"/>
          <w:highlight w:val="none"/>
          <w:shd w:val="clear" w:color="auto" w:fill="FFFFFF"/>
          <w:lang w:bidi="ar"/>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kern w:val="0"/>
          <w:sz w:val="24"/>
          <w:szCs w:val="24"/>
          <w:highlight w:val="none"/>
          <w:u w:val="single"/>
          <w:shd w:val="clear" w:color="auto" w:fill="FFFFFF"/>
          <w:lang w:bidi="ar"/>
        </w:rPr>
        <w:t>年</w:t>
      </w:r>
      <w:r>
        <w:rPr>
          <w:rFonts w:hint="eastAsia" w:ascii="宋体" w:hAnsi="宋体" w:eastAsia="宋体" w:cs="宋体"/>
          <w:color w:val="auto"/>
          <w:kern w:val="0"/>
          <w:sz w:val="24"/>
          <w:szCs w:val="24"/>
          <w:highlight w:val="none"/>
          <w:u w:val="single"/>
          <w:shd w:val="clear" w:color="auto" w:fill="FFFFFF"/>
          <w:lang w:val="en-US" w:eastAsia="zh-CN" w:bidi="ar"/>
        </w:rPr>
        <w:t>10</w:t>
      </w:r>
      <w:r>
        <w:rPr>
          <w:rFonts w:hint="eastAsia" w:ascii="宋体" w:hAnsi="宋体" w:eastAsia="宋体" w:cs="宋体"/>
          <w:color w:val="auto"/>
          <w:kern w:val="0"/>
          <w:sz w:val="24"/>
          <w:szCs w:val="24"/>
          <w:highlight w:val="none"/>
          <w:u w:val="single"/>
          <w:shd w:val="clear" w:color="auto" w:fill="FFFFFF"/>
          <w:lang w:bidi="ar"/>
        </w:rPr>
        <w:t>月</w:t>
      </w:r>
      <w:r>
        <w:rPr>
          <w:rFonts w:hint="eastAsia" w:ascii="宋体" w:hAnsi="宋体" w:eastAsia="宋体" w:cs="宋体"/>
          <w:color w:val="auto"/>
          <w:kern w:val="0"/>
          <w:sz w:val="24"/>
          <w:szCs w:val="24"/>
          <w:highlight w:val="none"/>
          <w:u w:val="single"/>
          <w:shd w:val="clear" w:color="auto" w:fill="FFFFFF"/>
          <w:lang w:val="en-US" w:eastAsia="zh-CN" w:bidi="ar"/>
        </w:rPr>
        <w:t>16</w:t>
      </w:r>
      <w:r>
        <w:rPr>
          <w:rFonts w:hint="eastAsia" w:ascii="宋体" w:hAnsi="宋体" w:eastAsia="宋体" w:cs="宋体"/>
          <w:color w:val="auto"/>
          <w:kern w:val="0"/>
          <w:sz w:val="24"/>
          <w:szCs w:val="24"/>
          <w:highlight w:val="none"/>
          <w:u w:val="single"/>
          <w:shd w:val="clear" w:color="auto" w:fill="FFFFFF"/>
          <w:lang w:bidi="ar"/>
        </w:rPr>
        <w:t>日</w:t>
      </w:r>
      <w:r>
        <w:rPr>
          <w:rFonts w:hint="eastAsia" w:ascii="宋体" w:hAnsi="宋体" w:eastAsia="宋体" w:cs="宋体"/>
          <w:color w:val="auto"/>
          <w:kern w:val="0"/>
          <w:sz w:val="24"/>
          <w:szCs w:val="24"/>
          <w:highlight w:val="none"/>
          <w:u w:val="single"/>
          <w:shd w:val="clear" w:color="auto" w:fill="FFFFFF"/>
          <w:lang w:val="en-US" w:eastAsia="zh-CN" w:bidi="ar"/>
        </w:rPr>
        <w:t>15</w:t>
      </w:r>
      <w:r>
        <w:rPr>
          <w:rFonts w:hint="eastAsia" w:ascii="宋体" w:hAnsi="宋体" w:eastAsia="宋体" w:cs="宋体"/>
          <w:color w:val="auto"/>
          <w:kern w:val="0"/>
          <w:sz w:val="24"/>
          <w:szCs w:val="24"/>
          <w:highlight w:val="none"/>
          <w:u w:val="single"/>
          <w:shd w:val="clear" w:color="auto" w:fill="FFFFFF"/>
          <w:lang w:bidi="ar"/>
        </w:rPr>
        <w:t>时</w:t>
      </w:r>
      <w:r>
        <w:rPr>
          <w:rFonts w:hint="eastAsia" w:ascii="宋体" w:hAnsi="宋体" w:eastAsia="宋体" w:cs="宋体"/>
          <w:color w:val="auto"/>
          <w:kern w:val="0"/>
          <w:sz w:val="24"/>
          <w:szCs w:val="24"/>
          <w:highlight w:val="none"/>
          <w:u w:val="single"/>
          <w:shd w:val="clear" w:color="auto" w:fill="FFFFFF"/>
          <w:lang w:val="en-US" w:eastAsia="zh-CN" w:bidi="ar"/>
        </w:rPr>
        <w:t>00</w:t>
      </w:r>
      <w:r>
        <w:rPr>
          <w:rFonts w:hint="eastAsia" w:ascii="宋体" w:hAnsi="宋体" w:eastAsia="宋体" w:cs="宋体"/>
          <w:color w:val="auto"/>
          <w:kern w:val="0"/>
          <w:sz w:val="24"/>
          <w:szCs w:val="24"/>
          <w:highlight w:val="none"/>
          <w:u w:val="single"/>
          <w:shd w:val="clear" w:color="auto" w:fill="FFFFFF"/>
          <w:lang w:bidi="ar"/>
        </w:rPr>
        <w:t>分</w:t>
      </w:r>
      <w:r>
        <w:rPr>
          <w:rFonts w:hint="eastAsia" w:ascii="宋体" w:hAnsi="宋体" w:eastAsia="宋体" w:cs="宋体"/>
          <w:color w:val="auto"/>
          <w:kern w:val="0"/>
          <w:sz w:val="24"/>
          <w:szCs w:val="24"/>
          <w:highlight w:val="none"/>
          <w:shd w:val="clear" w:color="auto" w:fill="FFFFFF"/>
          <w:lang w:bidi="ar"/>
        </w:rPr>
        <w:t>，递交地点：</w:t>
      </w:r>
      <w:r>
        <w:rPr>
          <w:rFonts w:hint="eastAsia" w:ascii="宋体" w:hAnsi="宋体" w:eastAsia="宋体" w:cs="宋体"/>
          <w:color w:val="auto"/>
          <w:kern w:val="0"/>
          <w:sz w:val="24"/>
          <w:szCs w:val="24"/>
          <w:highlight w:val="none"/>
          <w:u w:val="single"/>
          <w:shd w:val="clear" w:color="auto" w:fill="FFFFFF"/>
          <w:lang w:bidi="ar"/>
        </w:rPr>
        <w:t>本项目具体的招投标活动日程安排及场地安排以</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u w:val="single"/>
          <w:shd w:val="clear" w:color="auto" w:fill="FFFFFF"/>
          <w:lang w:bidi="ar"/>
        </w:rPr>
        <w:t>网站中“建设工程”→“项目查询（日程安排、答疑纪要）”公布的为准</w:t>
      </w:r>
      <w:r>
        <w:rPr>
          <w:rFonts w:hint="eastAsia" w:ascii="宋体" w:hAnsi="宋体" w:eastAsia="宋体" w:cs="宋体"/>
          <w:color w:val="auto"/>
          <w:kern w:val="0"/>
          <w:sz w:val="24"/>
          <w:szCs w:val="24"/>
          <w:highlight w:val="none"/>
          <w:shd w:val="clear" w:color="auto" w:fill="FFFFFF"/>
          <w:lang w:bidi="ar"/>
        </w:rPr>
        <w:t>。电子光盘或u盘需按规定封装。投标人在将数据刻录到光盘或u盘之后，投标前自行检查文件是否可以读取。</w:t>
      </w:r>
    </w:p>
    <w:p w14:paraId="55B1FC83">
      <w:pPr>
        <w:pageBreakBefore w:val="0"/>
        <w:autoSpaceDE/>
        <w:autoSpaceDN/>
        <w:bidi w:val="0"/>
        <w:spacing w:line="348" w:lineRule="auto"/>
        <w:ind w:firstLine="537" w:firstLineChars="224"/>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5.4</w:t>
      </w:r>
      <w:r>
        <w:rPr>
          <w:rFonts w:hint="eastAsia" w:ascii="宋体" w:hAnsi="宋体" w:eastAsia="宋体" w:cs="宋体"/>
          <w:color w:val="auto"/>
          <w:sz w:val="24"/>
          <w:szCs w:val="24"/>
          <w:highlight w:val="none"/>
        </w:rPr>
        <w:t>开标开始时间：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bookmarkStart w:id="54" w:name="_GoBack"/>
      <w:bookmarkEnd w:id="54"/>
    </w:p>
    <w:p w14:paraId="4CFCF83F">
      <w:pPr>
        <w:pageBreakBefore w:val="0"/>
        <w:autoSpaceDE/>
        <w:autoSpaceDN/>
        <w:bidi w:val="0"/>
        <w:spacing w:line="348" w:lineRule="auto"/>
        <w:ind w:firstLine="897" w:firstLineChars="374"/>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地点：</w:t>
      </w:r>
      <w:r>
        <w:rPr>
          <w:rFonts w:hint="eastAsia" w:ascii="宋体" w:hAnsi="宋体" w:eastAsia="宋体" w:cs="宋体"/>
          <w:color w:val="auto"/>
          <w:kern w:val="0"/>
          <w:sz w:val="24"/>
          <w:szCs w:val="24"/>
          <w:highlight w:val="none"/>
          <w:u w:val="single"/>
          <w:shd w:val="clear" w:color="auto" w:fill="FFFFFF"/>
          <w:lang w:bidi="ar"/>
        </w:rPr>
        <w:t>本项目具体的招投标活动日程安排及场地安排以</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u w:val="single"/>
          <w:shd w:val="clear" w:color="auto" w:fill="FFFFFF"/>
          <w:lang w:bidi="ar"/>
        </w:rPr>
        <w:t>网站中“建设工程”→“项目查询（日程安排、答疑纪要）”公布的为准</w:t>
      </w:r>
      <w:r>
        <w:rPr>
          <w:rFonts w:hint="eastAsia" w:ascii="宋体" w:hAnsi="宋体" w:eastAsia="宋体" w:cs="宋体"/>
          <w:color w:val="auto"/>
          <w:kern w:val="0"/>
          <w:sz w:val="24"/>
          <w:szCs w:val="24"/>
          <w:highlight w:val="none"/>
          <w:shd w:val="clear" w:color="auto" w:fill="FFFFFF"/>
          <w:lang w:bidi="ar"/>
        </w:rPr>
        <w:t>。</w:t>
      </w:r>
    </w:p>
    <w:p w14:paraId="516568E1">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bidi="ar"/>
        </w:rPr>
        <w:t>5.5</w:t>
      </w:r>
      <w:r>
        <w:rPr>
          <w:rFonts w:hint="eastAsia" w:ascii="宋体" w:hAnsi="宋体" w:eastAsia="宋体" w:cs="宋体"/>
          <w:color w:val="auto"/>
          <w:sz w:val="24"/>
          <w:szCs w:val="24"/>
          <w:highlight w:val="none"/>
        </w:rPr>
        <w:t>递交投标文件截止时间与开标时间是否有变化，请密切留意补充公告和招标答疑中的相关信息。递交投标文件截止时间后，开标时间因故推迟的，相关评标信息仍以原递交投标文件截止时间的信息为准。</w:t>
      </w:r>
    </w:p>
    <w:p w14:paraId="25C3452E">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bidi="ar"/>
        </w:rPr>
        <w:t>5.6</w:t>
      </w:r>
      <w:bookmarkStart w:id="44" w:name="_Toc515033015"/>
      <w:bookmarkEnd w:id="44"/>
      <w:r>
        <w:rPr>
          <w:rFonts w:hint="eastAsia" w:ascii="宋体" w:hAnsi="宋体" w:eastAsia="宋体" w:cs="宋体"/>
          <w:color w:val="auto"/>
          <w:sz w:val="24"/>
          <w:szCs w:val="24"/>
          <w:highlight w:val="none"/>
        </w:rPr>
        <w:t>投标文件全部采用电子文档，投标人按招标文件要求提交投标文件。若投标文件中的部分内容要求取自</w:t>
      </w:r>
      <w:r>
        <w:rPr>
          <w:rFonts w:hint="eastAsia" w:ascii="宋体" w:hAnsi="宋体" w:eastAsia="宋体" w:cs="宋体"/>
          <w:color w:val="auto"/>
          <w:sz w:val="24"/>
          <w:szCs w:val="24"/>
          <w:highlight w:val="none"/>
          <w:u w:val="single"/>
        </w:rPr>
        <w:t>广州市住建行业信用管理平台</w:t>
      </w:r>
      <w:r>
        <w:rPr>
          <w:rFonts w:hint="eastAsia" w:ascii="宋体" w:hAnsi="宋体" w:eastAsia="宋体" w:cs="宋体"/>
          <w:color w:val="auto"/>
          <w:sz w:val="24"/>
          <w:szCs w:val="24"/>
          <w:highlight w:val="none"/>
        </w:rPr>
        <w:t>的，则投标人选择平台中记录的该部分上传件将被视为投标人递交投标文件的一部分，不需重复提交。评标委员会对该部分资料的审查将以递交投标文件截止时间在</w:t>
      </w:r>
      <w:r>
        <w:rPr>
          <w:rFonts w:hint="eastAsia" w:ascii="宋体" w:hAnsi="宋体" w:eastAsia="宋体" w:cs="宋体"/>
          <w:color w:val="auto"/>
          <w:sz w:val="24"/>
          <w:szCs w:val="24"/>
          <w:highlight w:val="none"/>
          <w:u w:val="single"/>
        </w:rPr>
        <w:t>广州市住建行业信用管理平台</w:t>
      </w:r>
      <w:r>
        <w:rPr>
          <w:rFonts w:hint="eastAsia" w:ascii="宋体" w:hAnsi="宋体" w:eastAsia="宋体" w:cs="宋体"/>
          <w:color w:val="auto"/>
          <w:sz w:val="24"/>
          <w:szCs w:val="24"/>
          <w:highlight w:val="none"/>
        </w:rPr>
        <w:t>内上传件为依据。若招标人延长递交投标文件截止时间的，以上资料的评审时点也相应延长。投标人应及时维护其在</w:t>
      </w:r>
      <w:r>
        <w:rPr>
          <w:rFonts w:hint="eastAsia" w:ascii="宋体" w:hAnsi="宋体" w:eastAsia="宋体" w:cs="宋体"/>
          <w:color w:val="auto"/>
          <w:sz w:val="24"/>
          <w:szCs w:val="24"/>
          <w:highlight w:val="none"/>
          <w:u w:val="single"/>
        </w:rPr>
        <w:t>广州市住建行业信用管理平台</w:t>
      </w:r>
      <w:r>
        <w:rPr>
          <w:rFonts w:hint="eastAsia" w:ascii="宋体" w:hAnsi="宋体" w:eastAsia="宋体" w:cs="宋体"/>
          <w:color w:val="auto"/>
          <w:sz w:val="24"/>
          <w:szCs w:val="24"/>
          <w:highlight w:val="none"/>
        </w:rPr>
        <w:t>登记的信息及上传件，确保各项信息及上传件在有效期内。</w:t>
      </w:r>
    </w:p>
    <w:p w14:paraId="682FBE7C">
      <w:pPr>
        <w:pageBreakBefore w:val="0"/>
        <w:autoSpaceDE/>
        <w:autoSpaceDN/>
        <w:bidi w:val="0"/>
        <w:spacing w:line="348"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发布公告的媒介</w:t>
      </w:r>
      <w:bookmarkEnd w:id="40"/>
      <w:bookmarkEnd w:id="41"/>
      <w:bookmarkEnd w:id="42"/>
      <w:bookmarkEnd w:id="43"/>
    </w:p>
    <w:p w14:paraId="39668E68">
      <w:pPr>
        <w:pageBreakBefore w:val="0"/>
        <w:widowControl/>
        <w:shd w:val="clear" w:color="auto" w:fill="FFFFFF"/>
        <w:autoSpaceDE/>
        <w:autoSpaceDN/>
        <w:bidi w:val="0"/>
        <w:spacing w:line="348" w:lineRule="auto"/>
        <w:ind w:firstLine="537" w:firstLineChars="22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本次招标公告同时在</w:t>
      </w:r>
      <w:r>
        <w:rPr>
          <w:rFonts w:hint="eastAsia" w:ascii="宋体" w:hAnsi="宋体" w:eastAsia="宋体" w:cs="宋体"/>
          <w:bCs/>
          <w:color w:val="auto"/>
          <w:sz w:val="24"/>
          <w:szCs w:val="24"/>
          <w:highlight w:val="none"/>
          <w:u w:val="single"/>
          <w:lang w:eastAsia="zh-CN"/>
        </w:rPr>
        <w:t>广州交易集团有限公司（广州公共资源交易中心）</w:t>
      </w:r>
      <w:r>
        <w:rPr>
          <w:rFonts w:hint="eastAsia" w:ascii="宋体" w:hAnsi="宋体" w:eastAsia="宋体" w:cs="宋体"/>
          <w:bCs/>
          <w:color w:val="auto"/>
          <w:sz w:val="24"/>
          <w:szCs w:val="24"/>
          <w:highlight w:val="none"/>
          <w:u w:val="single"/>
        </w:rPr>
        <w:t>网站（网址：http://www.gzggzy.cn）、广东省招标投标监管网(网址：http://zbtb.gd.gov.cn)、中国招标投标公共服务平台（网址：http://www.cebpubservice.com）</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番禺区集体经济组织三资管理平台（https://nclqyj.panyu.gd.cn/pyqt/#/index）</w:t>
      </w:r>
      <w:r>
        <w:rPr>
          <w:rFonts w:hint="eastAsia" w:ascii="宋体" w:hAnsi="宋体" w:eastAsia="宋体" w:cs="宋体"/>
          <w:bCs/>
          <w:color w:val="auto"/>
          <w:sz w:val="24"/>
          <w:szCs w:val="24"/>
          <w:highlight w:val="none"/>
        </w:rPr>
        <w:t>上发布。本公告的修改、补充，在</w:t>
      </w:r>
      <w:r>
        <w:rPr>
          <w:rFonts w:hint="eastAsia" w:ascii="宋体" w:hAnsi="宋体" w:eastAsia="宋体" w:cs="宋体"/>
          <w:bCs/>
          <w:color w:val="auto"/>
          <w:sz w:val="24"/>
          <w:szCs w:val="24"/>
          <w:highlight w:val="none"/>
          <w:u w:val="single"/>
          <w:lang w:eastAsia="zh-CN"/>
        </w:rPr>
        <w:t>广州交易集团有限公司（广州公共资源交易中心）</w:t>
      </w:r>
      <w:r>
        <w:rPr>
          <w:rFonts w:hint="eastAsia" w:ascii="宋体" w:hAnsi="宋体" w:eastAsia="宋体" w:cs="宋体"/>
          <w:bCs/>
          <w:color w:val="auto"/>
          <w:sz w:val="24"/>
          <w:szCs w:val="24"/>
          <w:highlight w:val="none"/>
          <w:u w:val="single"/>
        </w:rPr>
        <w:t>网站和广东省招标投标监管网</w:t>
      </w:r>
      <w:r>
        <w:rPr>
          <w:rFonts w:hint="eastAsia" w:ascii="宋体" w:hAnsi="宋体" w:eastAsia="宋体" w:cs="宋体"/>
          <w:bCs/>
          <w:color w:val="auto"/>
          <w:sz w:val="24"/>
          <w:szCs w:val="24"/>
          <w:highlight w:val="none"/>
        </w:rPr>
        <w:t>发布。</w:t>
      </w:r>
    </w:p>
    <w:p w14:paraId="0F056585">
      <w:pPr>
        <w:pStyle w:val="3"/>
        <w:pageBreakBefore w:val="0"/>
        <w:autoSpaceDE/>
        <w:autoSpaceDN/>
        <w:bidi w:val="0"/>
        <w:spacing w:line="34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7.联系方式</w:t>
      </w:r>
    </w:p>
    <w:p w14:paraId="29BAD3BE">
      <w:pPr>
        <w:pStyle w:val="35"/>
        <w:pageBreakBefore w:val="0"/>
        <w:widowControl/>
        <w:autoSpaceDE/>
        <w:autoSpaceDN/>
        <w:bidi w:val="0"/>
        <w:spacing w:line="348" w:lineRule="auto"/>
        <w:ind w:left="420" w:hanging="480" w:hangingChars="200"/>
        <w:textAlignment w:val="auto"/>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招 标 人：</w:t>
      </w:r>
      <w:r>
        <w:rPr>
          <w:rFonts w:hint="eastAsia" w:ascii="宋体" w:hAnsi="宋体" w:eastAsia="宋体" w:cs="宋体"/>
          <w:color w:val="auto"/>
          <w:kern w:val="2"/>
          <w:sz w:val="24"/>
          <w:szCs w:val="24"/>
          <w:highlight w:val="none"/>
          <w:u w:val="single"/>
          <w:lang w:eastAsia="zh-CN"/>
        </w:rPr>
        <w:t>广州市番禺区石碁镇海傍村股份合作经济社</w:t>
      </w:r>
    </w:p>
    <w:p w14:paraId="6575EDCD">
      <w:pPr>
        <w:pStyle w:val="35"/>
        <w:pageBreakBefore w:val="0"/>
        <w:widowControl/>
        <w:autoSpaceDE/>
        <w:autoSpaceDN/>
        <w:bidi w:val="0"/>
        <w:spacing w:line="348" w:lineRule="auto"/>
        <w:ind w:left="420" w:hanging="480" w:hanging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lang w:val="en-US" w:eastAsia="zh-CN"/>
        </w:rPr>
        <w:t>广州市</w:t>
      </w:r>
      <w:r>
        <w:rPr>
          <w:rFonts w:hint="eastAsia" w:ascii="宋体" w:hAnsi="宋体" w:eastAsia="宋体"/>
          <w:color w:val="auto"/>
          <w:sz w:val="24"/>
          <w:highlight w:val="none"/>
          <w:u w:val="single"/>
          <w:lang w:val="zh-CN"/>
        </w:rPr>
        <w:t>番禺区石碁镇海涌路海傍村段15号</w:t>
      </w:r>
    </w:p>
    <w:p w14:paraId="2E25E902">
      <w:pPr>
        <w:pStyle w:val="35"/>
        <w:pageBreakBefore w:val="0"/>
        <w:widowControl/>
        <w:autoSpaceDE/>
        <w:autoSpaceDN/>
        <w:bidi w:val="0"/>
        <w:spacing w:line="348" w:lineRule="auto"/>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联 系 人：</w:t>
      </w:r>
      <w:r>
        <w:rPr>
          <w:rFonts w:hint="eastAsia" w:ascii="宋体" w:hAnsi="宋体" w:eastAsia="宋体" w:cs="宋体"/>
          <w:color w:val="auto"/>
          <w:kern w:val="2"/>
          <w:sz w:val="24"/>
          <w:szCs w:val="24"/>
          <w:highlight w:val="none"/>
          <w:u w:val="single"/>
          <w:lang w:val="en-US" w:eastAsia="zh-CN"/>
        </w:rPr>
        <w:t xml:space="preserve"> 黎生 </w:t>
      </w:r>
      <w:r>
        <w:rPr>
          <w:rFonts w:hint="eastAsia" w:ascii="宋体" w:hAnsi="宋体" w:eastAsia="宋体" w:cs="宋体"/>
          <w:color w:val="auto"/>
          <w:kern w:val="2"/>
          <w:sz w:val="24"/>
          <w:szCs w:val="24"/>
          <w:highlight w:val="none"/>
        </w:rPr>
        <w:t xml:space="preserve">  电话：</w:t>
      </w:r>
      <w:r>
        <w:rPr>
          <w:rFonts w:hint="eastAsia" w:ascii="宋体" w:hAnsi="宋体" w:eastAsia="宋体"/>
          <w:color w:val="auto"/>
          <w:sz w:val="24"/>
          <w:highlight w:val="none"/>
          <w:u w:val="single"/>
          <w:lang w:val="en-US" w:eastAsia="zh-CN"/>
        </w:rPr>
        <w:t>020-</w:t>
      </w:r>
      <w:r>
        <w:rPr>
          <w:rFonts w:hint="eastAsia" w:ascii="宋体" w:hAnsi="宋体" w:eastAsia="宋体"/>
          <w:color w:val="auto"/>
          <w:sz w:val="24"/>
          <w:highlight w:val="none"/>
          <w:u w:val="single"/>
          <w:lang w:eastAsia="zh-CN"/>
        </w:rPr>
        <w:t>34558968</w:t>
      </w:r>
    </w:p>
    <w:p w14:paraId="62355BF7">
      <w:pPr>
        <w:pStyle w:val="35"/>
        <w:pageBreakBefore w:val="0"/>
        <w:widowControl/>
        <w:autoSpaceDE/>
        <w:autoSpaceDN/>
        <w:bidi w:val="0"/>
        <w:spacing w:line="348" w:lineRule="auto"/>
        <w:ind w:left="420" w:hanging="480" w:hangingChars="200"/>
        <w:textAlignment w:val="auto"/>
        <w:rPr>
          <w:rFonts w:hint="eastAsia" w:ascii="宋体" w:hAnsi="宋体" w:eastAsia="宋体" w:cs="宋体"/>
          <w:color w:val="auto"/>
          <w:kern w:val="2"/>
          <w:sz w:val="24"/>
          <w:szCs w:val="24"/>
          <w:highlight w:val="none"/>
        </w:rPr>
      </w:pPr>
    </w:p>
    <w:p w14:paraId="3CDFA25E">
      <w:pPr>
        <w:pStyle w:val="35"/>
        <w:pageBreakBefore w:val="0"/>
        <w:widowControl/>
        <w:autoSpaceDE/>
        <w:autoSpaceDN/>
        <w:bidi w:val="0"/>
        <w:spacing w:line="348" w:lineRule="auto"/>
        <w:ind w:left="420" w:hanging="480" w:hanging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招标代理机构：</w:t>
      </w:r>
      <w:r>
        <w:rPr>
          <w:rFonts w:hint="eastAsia" w:ascii="宋体" w:hAnsi="宋体" w:eastAsia="宋体" w:cs="宋体"/>
          <w:color w:val="auto"/>
          <w:kern w:val="2"/>
          <w:sz w:val="24"/>
          <w:szCs w:val="24"/>
          <w:highlight w:val="none"/>
          <w:u w:val="single"/>
          <w:lang w:eastAsia="zh-CN"/>
        </w:rPr>
        <w:t>广东弘海实业发展有限公司</w:t>
      </w:r>
      <w:r>
        <w:rPr>
          <w:rFonts w:hint="eastAsia" w:ascii="宋体" w:hAnsi="宋体" w:eastAsia="宋体" w:cs="宋体"/>
          <w:color w:val="auto"/>
          <w:kern w:val="2"/>
          <w:sz w:val="24"/>
          <w:szCs w:val="24"/>
          <w:highlight w:val="none"/>
          <w:u w:val="single"/>
        </w:rPr>
        <w:t xml:space="preserve"> </w:t>
      </w:r>
    </w:p>
    <w:p w14:paraId="37525E0F">
      <w:pPr>
        <w:pStyle w:val="35"/>
        <w:pageBreakBefore w:val="0"/>
        <w:widowControl/>
        <w:autoSpaceDE/>
        <w:autoSpaceDN/>
        <w:bidi w:val="0"/>
        <w:spacing w:line="348" w:lineRule="auto"/>
        <w:ind w:left="420" w:hanging="480" w:hangingChars="200"/>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lang w:eastAsia="zh-CN"/>
        </w:rPr>
        <w:t>广州市番禺区大石街富石路315号4梯717-722房</w:t>
      </w:r>
    </w:p>
    <w:p w14:paraId="0A959392">
      <w:pPr>
        <w:pStyle w:val="35"/>
        <w:pageBreakBefore w:val="0"/>
        <w:widowControl/>
        <w:autoSpaceDE/>
        <w:autoSpaceDN/>
        <w:bidi w:val="0"/>
        <w:spacing w:line="348" w:lineRule="auto"/>
        <w:ind w:left="420" w:hanging="480" w:hangingChars="200"/>
        <w:textAlignment w:val="auto"/>
        <w:rPr>
          <w:rFonts w:hint="default" w:ascii="宋体" w:hAnsi="宋体" w:eastAsia="宋体" w:cs="宋体"/>
          <w:color w:val="auto"/>
          <w:kern w:val="2"/>
          <w:sz w:val="24"/>
          <w:szCs w:val="24"/>
          <w:highlight w:val="none"/>
          <w:u w:val="single"/>
          <w:lang w:val="en-US"/>
        </w:rPr>
      </w:pPr>
      <w:r>
        <w:rPr>
          <w:rFonts w:hint="eastAsia" w:ascii="宋体" w:hAnsi="宋体" w:eastAsia="宋体" w:cs="宋体"/>
          <w:color w:val="auto"/>
          <w:kern w:val="2"/>
          <w:sz w:val="24"/>
          <w:szCs w:val="24"/>
          <w:highlight w:val="none"/>
        </w:rPr>
        <w:t>联 系 人：</w:t>
      </w:r>
      <w:r>
        <w:rPr>
          <w:rFonts w:hint="eastAsia" w:ascii="宋体" w:hAnsi="宋体" w:eastAsia="宋体" w:cs="宋体"/>
          <w:color w:val="auto"/>
          <w:kern w:val="2"/>
          <w:sz w:val="24"/>
          <w:szCs w:val="24"/>
          <w:highlight w:val="none"/>
          <w:u w:val="single"/>
          <w:lang w:val="en-US" w:eastAsia="zh-CN"/>
        </w:rPr>
        <w:t xml:space="preserve"> 钟工 </w:t>
      </w:r>
      <w:r>
        <w:rPr>
          <w:rFonts w:hint="eastAsia" w:ascii="宋体" w:hAnsi="宋体" w:eastAsia="宋体" w:cs="宋体"/>
          <w:color w:val="auto"/>
          <w:kern w:val="2"/>
          <w:sz w:val="24"/>
          <w:szCs w:val="24"/>
          <w:highlight w:val="none"/>
        </w:rPr>
        <w:t xml:space="preserve">  电话：</w:t>
      </w:r>
      <w:r>
        <w:rPr>
          <w:rFonts w:hint="eastAsia" w:ascii="宋体" w:hAnsi="宋体" w:eastAsia="宋体" w:cs="宋体"/>
          <w:sz w:val="24"/>
          <w:szCs w:val="24"/>
          <w:highlight w:val="none"/>
          <w:u w:val="single"/>
          <w:lang w:val="en-US" w:eastAsia="zh-CN"/>
        </w:rPr>
        <w:t>13631408636</w:t>
      </w:r>
    </w:p>
    <w:p w14:paraId="53B8237F">
      <w:pPr>
        <w:pStyle w:val="35"/>
        <w:pageBreakBefore w:val="0"/>
        <w:widowControl/>
        <w:autoSpaceDE/>
        <w:autoSpaceDN/>
        <w:bidi w:val="0"/>
        <w:spacing w:line="348" w:lineRule="auto"/>
        <w:ind w:left="420" w:hanging="480" w:hangingChars="200"/>
        <w:textAlignment w:val="auto"/>
        <w:rPr>
          <w:rFonts w:hint="eastAsia" w:ascii="宋体" w:hAnsi="宋体" w:eastAsia="宋体" w:cs="宋体"/>
          <w:color w:val="auto"/>
          <w:kern w:val="2"/>
          <w:sz w:val="24"/>
          <w:szCs w:val="24"/>
          <w:highlight w:val="none"/>
        </w:rPr>
      </w:pPr>
    </w:p>
    <w:p w14:paraId="01792CB9">
      <w:pPr>
        <w:pStyle w:val="35"/>
        <w:pageBreakBefore w:val="0"/>
        <w:widowControl/>
        <w:autoSpaceDE/>
        <w:autoSpaceDN/>
        <w:bidi w:val="0"/>
        <w:spacing w:line="348" w:lineRule="auto"/>
        <w:ind w:firstLine="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异议受理部门：</w:t>
      </w:r>
      <w:r>
        <w:rPr>
          <w:rFonts w:hint="eastAsia" w:ascii="宋体" w:hAnsi="宋体" w:eastAsia="宋体" w:cs="宋体"/>
          <w:color w:val="auto"/>
          <w:kern w:val="2"/>
          <w:sz w:val="24"/>
          <w:szCs w:val="24"/>
          <w:highlight w:val="none"/>
          <w:u w:val="single"/>
          <w:lang w:eastAsia="zh-CN"/>
        </w:rPr>
        <w:t>广州市番禺区石碁镇海傍村股份合作经济社</w:t>
      </w:r>
    </w:p>
    <w:p w14:paraId="2C5068CA">
      <w:pPr>
        <w:pStyle w:val="35"/>
        <w:pageBreakBefore w:val="0"/>
        <w:widowControl/>
        <w:autoSpaceDE/>
        <w:autoSpaceDN/>
        <w:bidi w:val="0"/>
        <w:spacing w:line="348" w:lineRule="auto"/>
        <w:ind w:firstLine="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olor w:val="auto"/>
          <w:sz w:val="24"/>
          <w:highlight w:val="none"/>
          <w:u w:val="single"/>
          <w:lang w:val="zh-CN"/>
        </w:rPr>
        <w:t>番禺区石碁镇海涌路海傍村段15号</w:t>
      </w:r>
    </w:p>
    <w:p w14:paraId="28D965BF">
      <w:pPr>
        <w:pStyle w:val="35"/>
        <w:pageBreakBefore w:val="0"/>
        <w:widowControl/>
        <w:autoSpaceDE/>
        <w:autoSpaceDN/>
        <w:bidi w:val="0"/>
        <w:spacing w:line="348" w:lineRule="auto"/>
        <w:ind w:firstLine="0"/>
        <w:textAlignment w:val="auto"/>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rPr>
        <w:t>电话：</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olor w:val="auto"/>
          <w:sz w:val="24"/>
          <w:highlight w:val="none"/>
          <w:u w:val="single"/>
          <w:lang w:val="en-US" w:eastAsia="zh-CN"/>
        </w:rPr>
        <w:t>020-</w:t>
      </w:r>
      <w:r>
        <w:rPr>
          <w:rFonts w:hint="eastAsia" w:ascii="宋体" w:hAnsi="宋体" w:eastAsia="宋体"/>
          <w:color w:val="auto"/>
          <w:sz w:val="24"/>
          <w:highlight w:val="none"/>
          <w:u w:val="single"/>
          <w:lang w:eastAsia="zh-CN"/>
        </w:rPr>
        <w:t>34558968</w:t>
      </w:r>
      <w:r>
        <w:rPr>
          <w:rFonts w:hint="eastAsia" w:ascii="宋体" w:hAnsi="宋体" w:eastAsia="宋体" w:cs="宋体"/>
          <w:color w:val="auto"/>
          <w:kern w:val="2"/>
          <w:sz w:val="24"/>
          <w:szCs w:val="24"/>
          <w:highlight w:val="none"/>
          <w:u w:val="single"/>
          <w:lang w:val="en-US" w:eastAsia="zh-CN"/>
        </w:rPr>
        <w:t xml:space="preserve"> </w:t>
      </w:r>
    </w:p>
    <w:p w14:paraId="6A08912B">
      <w:pPr>
        <w:pStyle w:val="35"/>
        <w:pageBreakBefore w:val="0"/>
        <w:widowControl/>
        <w:autoSpaceDE/>
        <w:autoSpaceDN/>
        <w:bidi w:val="0"/>
        <w:spacing w:line="348" w:lineRule="auto"/>
        <w:ind w:firstLine="0"/>
        <w:textAlignment w:val="auto"/>
        <w:rPr>
          <w:rFonts w:hint="eastAsia" w:ascii="宋体" w:hAnsi="宋体" w:eastAsia="宋体" w:cs="宋体"/>
          <w:color w:val="auto"/>
          <w:kern w:val="2"/>
          <w:sz w:val="24"/>
          <w:szCs w:val="24"/>
          <w:highlight w:val="none"/>
        </w:rPr>
      </w:pPr>
    </w:p>
    <w:p w14:paraId="47836F46">
      <w:pPr>
        <w:pStyle w:val="35"/>
        <w:pageBreakBefore w:val="0"/>
        <w:widowControl/>
        <w:autoSpaceDE/>
        <w:autoSpaceDN/>
        <w:bidi w:val="0"/>
        <w:spacing w:line="348" w:lineRule="auto"/>
        <w:ind w:firstLine="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招标监督机构：</w:t>
      </w:r>
      <w:r>
        <w:rPr>
          <w:rFonts w:hint="eastAsia" w:ascii="宋体" w:hAnsi="宋体" w:eastAsia="宋体" w:cs="宋体"/>
          <w:color w:val="auto"/>
          <w:kern w:val="2"/>
          <w:sz w:val="24"/>
          <w:szCs w:val="24"/>
          <w:highlight w:val="none"/>
          <w:u w:val="single"/>
          <w:lang w:eastAsia="zh-CN"/>
        </w:rPr>
        <w:t>广州市番禺区石碁镇海傍村股份合作经济社</w:t>
      </w:r>
    </w:p>
    <w:p w14:paraId="0BB2D7AD">
      <w:pPr>
        <w:pageBreakBefore w:val="0"/>
        <w:topLinePunct/>
        <w:autoSpaceDE/>
        <w:autoSpaceDN/>
        <w:bidi w:val="0"/>
        <w:spacing w:line="348"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监管电话：</w:t>
      </w:r>
      <w:r>
        <w:rPr>
          <w:rFonts w:hint="eastAsia" w:ascii="宋体" w:hAnsi="宋体" w:eastAsia="宋体"/>
          <w:color w:val="auto"/>
          <w:sz w:val="24"/>
          <w:highlight w:val="none"/>
          <w:u w:val="single"/>
          <w:lang w:val="en-US" w:eastAsia="zh-CN"/>
        </w:rPr>
        <w:t>020-</w:t>
      </w:r>
      <w:r>
        <w:rPr>
          <w:rFonts w:hint="eastAsia" w:ascii="宋体" w:hAnsi="宋体" w:eastAsia="宋体"/>
          <w:color w:val="auto"/>
          <w:sz w:val="24"/>
          <w:highlight w:val="none"/>
          <w:u w:val="single"/>
          <w:lang w:eastAsia="zh-CN"/>
        </w:rPr>
        <w:t>34558968</w:t>
      </w:r>
    </w:p>
    <w:p w14:paraId="66F06D97">
      <w:pPr>
        <w:pageBreakBefore w:val="0"/>
        <w:topLinePunct/>
        <w:autoSpaceDE/>
        <w:autoSpaceDN/>
        <w:bidi w:val="0"/>
        <w:spacing w:line="34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olor w:val="auto"/>
          <w:sz w:val="24"/>
          <w:highlight w:val="none"/>
          <w:u w:val="single"/>
          <w:lang w:val="zh-CN"/>
        </w:rPr>
        <w:t>番禺区石碁镇海涌路海傍村段15号</w:t>
      </w:r>
    </w:p>
    <w:p w14:paraId="18C5E2A5">
      <w:pPr>
        <w:pStyle w:val="3"/>
        <w:pageBreakBefore w:val="0"/>
        <w:autoSpaceDE/>
        <w:autoSpaceDN/>
        <w:bidi w:val="0"/>
        <w:spacing w:line="348" w:lineRule="auto"/>
        <w:textAlignment w:val="auto"/>
        <w:rPr>
          <w:rFonts w:hint="eastAsia" w:ascii="宋体" w:hAnsi="宋体" w:eastAsia="宋体" w:cs="宋体"/>
          <w:color w:val="auto"/>
          <w:sz w:val="24"/>
          <w:szCs w:val="24"/>
          <w:highlight w:val="none"/>
        </w:rPr>
      </w:pPr>
      <w:bookmarkStart w:id="45" w:name="_Toc20885"/>
      <w:r>
        <w:rPr>
          <w:rFonts w:hint="eastAsia" w:ascii="宋体" w:hAnsi="宋体" w:eastAsia="宋体" w:cs="宋体"/>
          <w:color w:val="auto"/>
          <w:sz w:val="24"/>
          <w:szCs w:val="24"/>
          <w:highlight w:val="none"/>
        </w:rPr>
        <w:t>8. 其他</w:t>
      </w:r>
      <w:bookmarkEnd w:id="45"/>
    </w:p>
    <w:p w14:paraId="6687E664">
      <w:pPr>
        <w:pStyle w:val="3"/>
        <w:pageBreakBefore w:val="0"/>
        <w:autoSpaceDE/>
        <w:autoSpaceDN/>
        <w:bidi w:val="0"/>
        <w:spacing w:after="0" w:line="348" w:lineRule="auto"/>
        <w:ind w:left="10" w:leftChars="5" w:firstLine="360" w:firstLineChars="15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8.1通过形式评审、资格评审、响应性评审的有效投标人不足3名时为招标失败。招标人分析招标失败原因，修正招标方案，重新组织招标。</w:t>
      </w:r>
    </w:p>
    <w:p w14:paraId="55C4D2A4">
      <w:pPr>
        <w:pageBreakBefore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r>
        <w:rPr>
          <w:rFonts w:hint="eastAsia" w:ascii="宋体" w:hAnsi="宋体" w:eastAsia="宋体" w:cs="宋体"/>
          <w:b/>
          <w:bCs/>
          <w:color w:val="auto"/>
          <w:sz w:val="24"/>
          <w:szCs w:val="24"/>
          <w:highlight w:val="none"/>
        </w:rPr>
        <w:t>本工程实行限额设计施工，限额投资。</w:t>
      </w:r>
      <w:r>
        <w:rPr>
          <w:rFonts w:hint="eastAsia" w:ascii="宋体" w:hAnsi="宋体" w:eastAsia="宋体" w:cs="宋体"/>
          <w:color w:val="auto"/>
          <w:sz w:val="24"/>
          <w:szCs w:val="24"/>
          <w:highlight w:val="none"/>
        </w:rPr>
        <w:t>本工程结算金额不得超过经有权审核部门审批的相应的概算金额。</w:t>
      </w:r>
    </w:p>
    <w:p w14:paraId="123B4B4E">
      <w:pPr>
        <w:pageBreakBefore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8.3投标人须保证其提供的投标登记资料及投标资料的真实性，招标人有权在招标的任何阶段进行调查和核实，一旦发现虚假，将上报建设管理部门及相关部门严肃查处。</w:t>
      </w:r>
    </w:p>
    <w:p w14:paraId="1A5F936C">
      <w:pPr>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附件一：                   </w:t>
      </w:r>
    </w:p>
    <w:p w14:paraId="2720356B">
      <w:pPr>
        <w:jc w:val="center"/>
        <w:rPr>
          <w:b/>
          <w:color w:val="000000"/>
          <w:sz w:val="44"/>
          <w:szCs w:val="44"/>
          <w:highlight w:val="none"/>
        </w:rPr>
      </w:pPr>
      <w:bookmarkStart w:id="46" w:name="_Toc416358163"/>
      <w:bookmarkStart w:id="47" w:name="_Toc266881405"/>
      <w:bookmarkStart w:id="48" w:name="_Toc245024005"/>
      <w:bookmarkStart w:id="49" w:name="_Toc416357992"/>
      <w:bookmarkStart w:id="50" w:name="_Toc253143224"/>
      <w:bookmarkStart w:id="51" w:name="_Toc249845977"/>
      <w:bookmarkStart w:id="52" w:name="_Toc249846232"/>
      <w:bookmarkStart w:id="53" w:name="_Toc266093553"/>
      <w:r>
        <w:rPr>
          <w:rFonts w:hint="eastAsia"/>
          <w:b/>
          <w:color w:val="000000"/>
          <w:kern w:val="0"/>
          <w:sz w:val="44"/>
          <w:szCs w:val="44"/>
          <w:highlight w:val="none"/>
        </w:rPr>
        <w:t>投标申请人</w:t>
      </w:r>
      <w:r>
        <w:rPr>
          <w:rFonts w:hint="eastAsia"/>
          <w:b/>
          <w:color w:val="000000"/>
          <w:sz w:val="44"/>
          <w:szCs w:val="44"/>
          <w:highlight w:val="none"/>
        </w:rPr>
        <w:t>声明</w:t>
      </w:r>
      <w:bookmarkEnd w:id="46"/>
      <w:bookmarkEnd w:id="47"/>
      <w:bookmarkEnd w:id="48"/>
      <w:bookmarkEnd w:id="49"/>
      <w:bookmarkEnd w:id="50"/>
      <w:bookmarkEnd w:id="51"/>
      <w:bookmarkEnd w:id="52"/>
      <w:bookmarkEnd w:id="53"/>
    </w:p>
    <w:p w14:paraId="0A28FB1A">
      <w:pPr>
        <w:jc w:val="center"/>
        <w:rPr>
          <w:b/>
          <w:color w:val="000000"/>
          <w:sz w:val="44"/>
          <w:szCs w:val="44"/>
          <w:highlight w:val="none"/>
        </w:rPr>
      </w:pPr>
    </w:p>
    <w:p w14:paraId="504EA52A">
      <w:pPr>
        <w:pStyle w:val="35"/>
        <w:spacing w:line="480" w:lineRule="auto"/>
        <w:ind w:firstLine="0"/>
        <w:rPr>
          <w:rFonts w:ascii="宋体" w:hAnsi="宋体" w:eastAsia="宋体"/>
          <w:sz w:val="21"/>
          <w:szCs w:val="21"/>
          <w:highlight w:val="none"/>
        </w:rPr>
      </w:pPr>
      <w:r>
        <w:rPr>
          <w:rFonts w:hint="eastAsia" w:ascii="宋体" w:hAnsi="宋体" w:eastAsia="宋体"/>
          <w:sz w:val="21"/>
          <w:szCs w:val="21"/>
          <w:highlight w:val="none"/>
        </w:rPr>
        <w:t>广州市住房和城乡建设局、本招标项目招标人及招标监管机构：</w:t>
      </w:r>
    </w:p>
    <w:p w14:paraId="1D3656D1">
      <w:pPr>
        <w:pStyle w:val="35"/>
        <w:spacing w:line="480" w:lineRule="auto"/>
        <w:rPr>
          <w:rFonts w:ascii="宋体" w:hAnsi="宋体" w:eastAsia="宋体"/>
          <w:sz w:val="21"/>
          <w:szCs w:val="21"/>
          <w:highlight w:val="none"/>
        </w:rPr>
      </w:pPr>
      <w:r>
        <w:rPr>
          <w:rFonts w:hint="eastAsia" w:ascii="宋体" w:hAnsi="宋体" w:eastAsia="宋体"/>
          <w:sz w:val="21"/>
          <w:szCs w:val="21"/>
          <w:highlight w:val="none"/>
        </w:rPr>
        <w:t>本公司就参加</w:t>
      </w:r>
      <w:r>
        <w:rPr>
          <w:rFonts w:ascii="宋体" w:hAnsi="宋体" w:eastAsia="宋体"/>
          <w:sz w:val="21"/>
          <w:szCs w:val="21"/>
          <w:highlight w:val="none"/>
          <w:u w:val="single"/>
        </w:rPr>
        <w:t xml:space="preserve">                        </w:t>
      </w:r>
      <w:r>
        <w:rPr>
          <w:rFonts w:hint="eastAsia" w:ascii="宋体" w:hAnsi="宋体" w:eastAsia="宋体"/>
          <w:sz w:val="21"/>
          <w:szCs w:val="21"/>
          <w:highlight w:val="none"/>
        </w:rPr>
        <w:t>投标工作，作出郑重声明：</w:t>
      </w:r>
    </w:p>
    <w:p w14:paraId="4F1B3EF0">
      <w:pPr>
        <w:pStyle w:val="35"/>
        <w:spacing w:line="480" w:lineRule="auto"/>
        <w:rPr>
          <w:rFonts w:ascii="宋体" w:hAnsi="宋体" w:eastAsia="宋体"/>
          <w:sz w:val="21"/>
          <w:szCs w:val="21"/>
          <w:highlight w:val="none"/>
        </w:rPr>
      </w:pPr>
      <w:r>
        <w:rPr>
          <w:rFonts w:hint="eastAsia" w:ascii="宋体" w:hAnsi="宋体" w:eastAsia="宋体"/>
          <w:sz w:val="21"/>
          <w:szCs w:val="21"/>
          <w:highlight w:val="none"/>
        </w:rPr>
        <w:t>一、本公司保证资格预审申请文件及其后提供的一切材料都是真实的。如我司成为本项目中标候选人，我司同意并授权招标人将我司投标文件商务部分文件的人员、业绩、奖项等资料进行公开。</w:t>
      </w:r>
    </w:p>
    <w:p w14:paraId="0B2BCB4F">
      <w:pPr>
        <w:pStyle w:val="35"/>
        <w:spacing w:line="480" w:lineRule="auto"/>
        <w:rPr>
          <w:rFonts w:ascii="宋体" w:hAnsi="宋体" w:eastAsia="宋体"/>
          <w:sz w:val="21"/>
          <w:szCs w:val="21"/>
          <w:highlight w:val="none"/>
        </w:rPr>
      </w:pPr>
      <w:r>
        <w:rPr>
          <w:rFonts w:hint="eastAsia" w:ascii="宋体" w:hAnsi="宋体" w:eastAsia="宋体"/>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DD77A62">
      <w:pPr>
        <w:pStyle w:val="35"/>
        <w:spacing w:line="480" w:lineRule="auto"/>
        <w:rPr>
          <w:rFonts w:ascii="宋体" w:hAnsi="宋体" w:eastAsia="宋体"/>
          <w:sz w:val="21"/>
          <w:szCs w:val="21"/>
          <w:highlight w:val="none"/>
        </w:rPr>
      </w:pPr>
      <w:r>
        <w:rPr>
          <w:rFonts w:hint="eastAsia" w:ascii="宋体" w:hAnsi="宋体" w:eastAsia="宋体"/>
          <w:sz w:val="21"/>
          <w:szCs w:val="21"/>
          <w:highlight w:val="none"/>
        </w:rPr>
        <w:t>三、本公司不存在下列情形之一：</w:t>
      </w:r>
    </w:p>
    <w:p w14:paraId="268C9993">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（一）为招标人不具有独立法人资格的附属机构（单位）；</w:t>
      </w:r>
    </w:p>
    <w:p w14:paraId="25F2597B">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（二）为本标段前期准备提供设计或咨询服务或者与本项目设计人或提供咨询服务的机构存在附属关系的；</w:t>
      </w:r>
    </w:p>
    <w:p w14:paraId="6D9FEC25">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（三）为本标段监理人或者与本标段监理人存在隶属关系或者其他利害关系；</w:t>
      </w:r>
    </w:p>
    <w:p w14:paraId="3487FCC0">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（四）为本标段的代建人；</w:t>
      </w:r>
    </w:p>
    <w:p w14:paraId="7F920623">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（五）为本标段提供招标代理服务的；</w:t>
      </w:r>
    </w:p>
    <w:p w14:paraId="35C524DF">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（六）与本标段的监理人或代建人或招标代理机构同为一个法定代表人的；</w:t>
      </w:r>
    </w:p>
    <w:p w14:paraId="32AB360F">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（七）与本标段的监理人或代建人或招标代理机构互相控股或参股的；</w:t>
      </w:r>
    </w:p>
    <w:p w14:paraId="69CD12C7">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（八）与本标段的监理人或代建人或招标代理机构相互任职或工作的；</w:t>
      </w:r>
    </w:p>
    <w:p w14:paraId="0F410664">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（九）与本标段的检测机构有隶属关系或者其他利害关系；</w:t>
      </w:r>
    </w:p>
    <w:p w14:paraId="380B02E4">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 xml:space="preserve">（十）与招标人存在利害关系且可能影响招标公正性； </w:t>
      </w:r>
    </w:p>
    <w:p w14:paraId="3F749B16">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（十一）被依法暂停或取消投标资格的；（</w:t>
      </w:r>
      <w:r>
        <w:rPr>
          <w:rFonts w:hint="eastAsia" w:ascii="宋体" w:hAnsi="宋体" w:eastAsia="宋体"/>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sz w:val="21"/>
          <w:szCs w:val="21"/>
          <w:highlight w:val="none"/>
        </w:rPr>
        <w:t xml:space="preserve">） </w:t>
      </w:r>
    </w:p>
    <w:p w14:paraId="4371E7F0">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（十二）被责令停产停业、暂扣或者吊销许可证、暂扣或者吊销执照的（</w:t>
      </w:r>
      <w:r>
        <w:rPr>
          <w:rFonts w:hint="eastAsia" w:ascii="宋体" w:hAnsi="宋体" w:eastAsia="宋体"/>
          <w:sz w:val="21"/>
          <w:szCs w:val="21"/>
          <w:highlight w:val="none"/>
          <w:lang w:val="zh-CN"/>
        </w:rPr>
        <w:t>本项事实应当以根据《中华人民共和国行政处罚法》依法作出并已经生效的行政处罚决定为认定依据。</w:t>
      </w:r>
      <w:r>
        <w:rPr>
          <w:rFonts w:hint="eastAsia" w:ascii="宋体" w:hAnsi="宋体" w:eastAsia="宋体"/>
          <w:sz w:val="21"/>
          <w:szCs w:val="21"/>
          <w:highlight w:val="none"/>
        </w:rPr>
        <w:t>）；</w:t>
      </w:r>
    </w:p>
    <w:p w14:paraId="0ACA31A7">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（十三）进入清算程序，或被宣布破产，或其他丧失履约能力的情形；</w:t>
      </w:r>
    </w:p>
    <w:p w14:paraId="7E613BB4">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（十四）在最近三年内有严重违约或重大工程质量问题的；（</w:t>
      </w:r>
      <w:r>
        <w:rPr>
          <w:rFonts w:hint="eastAsia" w:ascii="宋体" w:hAnsi="宋体" w:eastAsia="宋体"/>
          <w:sz w:val="21"/>
          <w:szCs w:val="21"/>
          <w:highlight w:val="none"/>
          <w:lang w:val="zh-CN"/>
        </w:rPr>
        <w:t>“严重违约”事实应当以</w:t>
      </w:r>
      <w:r>
        <w:rPr>
          <w:rFonts w:hint="eastAsia" w:ascii="宋体" w:hAnsi="宋体" w:eastAsia="宋体"/>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692792C">
      <w:pPr>
        <w:pStyle w:val="35"/>
        <w:spacing w:line="48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（十五）法律法规规定的其他情形。</w:t>
      </w:r>
    </w:p>
    <w:p w14:paraId="02757F0D">
      <w:pPr>
        <w:pStyle w:val="35"/>
        <w:spacing w:line="480" w:lineRule="auto"/>
        <w:ind w:firstLine="422" w:firstLineChars="200"/>
        <w:rPr>
          <w:rFonts w:ascii="宋体" w:hAnsi="宋体" w:eastAsia="宋体"/>
          <w:sz w:val="21"/>
          <w:szCs w:val="21"/>
          <w:highlight w:val="none"/>
        </w:rPr>
      </w:pPr>
      <w:r>
        <w:rPr>
          <w:rFonts w:hint="eastAsia" w:ascii="宋体" w:hAnsi="宋体" w:eastAsia="宋体"/>
          <w:b/>
          <w:bCs/>
          <w:sz w:val="21"/>
          <w:szCs w:val="21"/>
          <w:highlight w:val="none"/>
        </w:rPr>
        <w:t>四、</w:t>
      </w:r>
      <w:r>
        <w:rPr>
          <w:rFonts w:hint="eastAsia" w:ascii="宋体" w:hAnsi="宋体" w:eastAsia="宋体"/>
          <w:sz w:val="21"/>
          <w:szCs w:val="21"/>
          <w:highlight w:val="none"/>
        </w:rPr>
        <w:t>本公司保证：本项目拟派的项目负责人</w:t>
      </w:r>
      <w:r>
        <w:rPr>
          <w:rFonts w:hint="eastAsia" w:ascii="宋体" w:hAnsi="宋体" w:eastAsia="宋体"/>
          <w:b/>
          <w:bCs/>
          <w:sz w:val="21"/>
          <w:szCs w:val="21"/>
          <w:highlight w:val="none"/>
        </w:rPr>
        <w:t>在提交资格预审申请文件截止时</w:t>
      </w:r>
      <w:r>
        <w:rPr>
          <w:rFonts w:hint="eastAsia" w:ascii="宋体" w:hAnsi="宋体" w:eastAsia="宋体"/>
          <w:sz w:val="21"/>
          <w:szCs w:val="21"/>
          <w:highlight w:val="none"/>
        </w:rPr>
        <w:t>没有在其他在建项目中任施工单位项目负责人。</w:t>
      </w:r>
    </w:p>
    <w:p w14:paraId="5C4318F3">
      <w:pPr>
        <w:pStyle w:val="35"/>
        <w:spacing w:line="480" w:lineRule="auto"/>
        <w:ind w:firstLine="422" w:firstLineChars="200"/>
        <w:rPr>
          <w:rFonts w:ascii="宋体" w:hAnsi="宋体" w:eastAsia="宋体"/>
          <w:b/>
          <w:bCs/>
          <w:sz w:val="21"/>
          <w:szCs w:val="21"/>
          <w:highlight w:val="none"/>
        </w:rPr>
      </w:pPr>
      <w:r>
        <w:rPr>
          <w:rFonts w:hint="eastAsia" w:ascii="宋体" w:hAnsi="宋体" w:eastAsia="宋体"/>
          <w:b/>
          <w:bCs/>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7CD42C28">
      <w:pPr>
        <w:pStyle w:val="35"/>
        <w:spacing w:line="480" w:lineRule="auto"/>
        <w:ind w:firstLine="422" w:firstLineChars="200"/>
        <w:rPr>
          <w:rFonts w:ascii="宋体" w:hAnsi="宋体" w:eastAsia="宋体"/>
          <w:sz w:val="21"/>
          <w:szCs w:val="21"/>
          <w:highlight w:val="none"/>
        </w:rPr>
      </w:pPr>
      <w:r>
        <w:rPr>
          <w:rFonts w:hint="eastAsia" w:ascii="宋体" w:hAnsi="宋体" w:eastAsia="宋体"/>
          <w:b/>
          <w:bCs/>
          <w:sz w:val="21"/>
          <w:szCs w:val="21"/>
          <w:highlight w:val="none"/>
        </w:rPr>
        <w:t>六、</w:t>
      </w:r>
      <w:r>
        <w:rPr>
          <w:rFonts w:hint="eastAsia" w:ascii="宋体" w:hAnsi="宋体" w:eastAsia="宋体"/>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DA192D7">
      <w:pPr>
        <w:pStyle w:val="35"/>
        <w:spacing w:line="480" w:lineRule="auto"/>
        <w:ind w:left="0" w:leftChars="0" w:firstLine="422" w:firstLineChars="200"/>
        <w:rPr>
          <w:rFonts w:ascii="宋体" w:hAnsi="宋体" w:eastAsia="宋体"/>
          <w:sz w:val="21"/>
          <w:szCs w:val="21"/>
          <w:highlight w:val="none"/>
        </w:rPr>
      </w:pPr>
      <w:r>
        <w:rPr>
          <w:rFonts w:hint="eastAsia" w:ascii="宋体" w:hAnsi="宋体" w:eastAsia="宋体"/>
          <w:b/>
          <w:bCs/>
          <w:sz w:val="21"/>
          <w:szCs w:val="21"/>
          <w:highlight w:val="none"/>
        </w:rPr>
        <w:t>七、</w:t>
      </w:r>
      <w:r>
        <w:rPr>
          <w:rFonts w:hint="eastAsia" w:ascii="宋体" w:hAnsi="宋体" w:eastAsia="宋体"/>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A1D028C">
      <w:pPr>
        <w:pStyle w:val="35"/>
        <w:spacing w:line="480" w:lineRule="auto"/>
        <w:ind w:left="0" w:leftChars="0" w:firstLine="422" w:firstLineChars="200"/>
        <w:rPr>
          <w:rFonts w:ascii="宋体" w:hAnsi="宋体" w:eastAsia="宋体"/>
          <w:sz w:val="21"/>
          <w:szCs w:val="21"/>
          <w:highlight w:val="none"/>
        </w:rPr>
      </w:pPr>
      <w:r>
        <w:rPr>
          <w:rFonts w:hint="eastAsia" w:ascii="宋体" w:hAnsi="宋体" w:eastAsia="宋体"/>
          <w:b/>
          <w:bCs/>
          <w:sz w:val="21"/>
          <w:szCs w:val="21"/>
          <w:highlight w:val="none"/>
        </w:rPr>
        <w:t>八、</w:t>
      </w:r>
      <w:r>
        <w:rPr>
          <w:rFonts w:hint="eastAsia" w:ascii="宋体" w:hAnsi="宋体" w:eastAsia="宋体"/>
          <w:sz w:val="21"/>
          <w:szCs w:val="21"/>
          <w:highlight w:val="none"/>
        </w:rPr>
        <w:t>本公司承诺，切实落实《住房城乡建设部</w:t>
      </w:r>
      <w:r>
        <w:rPr>
          <w:rFonts w:ascii="宋体" w:hAnsi="宋体" w:eastAsia="宋体"/>
          <w:sz w:val="21"/>
          <w:szCs w:val="21"/>
          <w:highlight w:val="none"/>
        </w:rPr>
        <w:t xml:space="preserve"> 人力资源社会保障部关于印发建筑工人实名管理办法（试行）的通知》（建市〔2019〕18号）、《广东省建设工程领域工人工资支付专用账户管理办法》（粤人社规〔2018〕14号）、</w:t>
      </w:r>
      <w:r>
        <w:rPr>
          <w:rFonts w:hint="eastAsia" w:ascii="宋体" w:hAnsi="宋体" w:eastAsia="宋体"/>
          <w:sz w:val="21"/>
          <w:szCs w:val="21"/>
          <w:highlight w:val="none"/>
        </w:rPr>
        <w:t>《广州市住房和城乡建设局关于印发</w:t>
      </w:r>
      <w:r>
        <w:rPr>
          <w:rFonts w:ascii="宋体" w:hAnsi="宋体" w:eastAsia="宋体"/>
          <w:sz w:val="21"/>
          <w:szCs w:val="21"/>
          <w:highlight w:val="none"/>
        </w:rPr>
        <w:t>&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w:t>
      </w:r>
      <w:r>
        <w:rPr>
          <w:rFonts w:hint="eastAsia" w:ascii="宋体" w:hAnsi="宋体" w:eastAsia="宋体"/>
          <w:sz w:val="21"/>
          <w:szCs w:val="21"/>
          <w:highlight w:val="none"/>
        </w:rPr>
        <w:t>8</w:t>
      </w:r>
      <w:r>
        <w:rPr>
          <w:rFonts w:ascii="宋体" w:hAnsi="宋体" w:eastAsia="宋体"/>
          <w:sz w:val="21"/>
          <w:szCs w:val="21"/>
          <w:highlight w:val="none"/>
        </w:rPr>
        <w:t>〕183号）、《广州市住房和城乡建设委员会关于转发&lt;广东省住房和城乡建设厅关</w:t>
      </w:r>
      <w:r>
        <w:rPr>
          <w:rFonts w:hint="eastAsia" w:ascii="宋体" w:hAnsi="宋体" w:eastAsia="宋体"/>
          <w:sz w:val="21"/>
          <w:szCs w:val="21"/>
          <w:highlight w:val="none"/>
        </w:rPr>
        <w:t>于房屋建筑和市政基础设施工程用工实名管理暂行办法</w:t>
      </w:r>
      <w:r>
        <w:rPr>
          <w:rFonts w:ascii="宋体" w:hAnsi="宋体" w:eastAsia="宋体"/>
          <w:sz w:val="21"/>
          <w:szCs w:val="21"/>
          <w:highlight w:val="none"/>
        </w:rPr>
        <w:t>&gt;的通知》（穗建筑〔2018〕981号）等关于用工实名制和工人工资支付分账管理的各项规定。</w:t>
      </w:r>
      <w:r>
        <w:rPr>
          <w:rFonts w:hint="eastAsia" w:ascii="宋体" w:hAnsi="宋体" w:eastAsia="宋体"/>
          <w:sz w:val="21"/>
          <w:szCs w:val="21"/>
          <w:highlight w:val="none"/>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4F2D6D05">
      <w:pPr>
        <w:pStyle w:val="35"/>
        <w:spacing w:line="480" w:lineRule="auto"/>
        <w:ind w:left="0" w:leftChars="0" w:firstLine="422" w:firstLineChars="200"/>
        <w:rPr>
          <w:rFonts w:ascii="宋体" w:hAnsi="宋体" w:eastAsia="宋体"/>
          <w:sz w:val="21"/>
          <w:szCs w:val="21"/>
          <w:highlight w:val="none"/>
        </w:rPr>
      </w:pPr>
      <w:r>
        <w:rPr>
          <w:rFonts w:hint="eastAsia" w:ascii="宋体" w:hAnsi="宋体" w:eastAsia="宋体"/>
          <w:b/>
          <w:bCs/>
          <w:sz w:val="21"/>
          <w:szCs w:val="21"/>
          <w:highlight w:val="none"/>
        </w:rPr>
        <w:t>九、</w:t>
      </w:r>
      <w:r>
        <w:rPr>
          <w:rFonts w:hint="eastAsia" w:ascii="宋体" w:hAnsi="宋体" w:eastAsia="宋体"/>
          <w:sz w:val="21"/>
          <w:szCs w:val="21"/>
          <w:highlight w:val="none"/>
        </w:rPr>
        <w:t>与本公司单位负责人为同一人或者与本公司存在控股、管理关系的其他单位包括：</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。（注：本条由投标申请人如实填写，如有，应列出全部满足资格预审公告资质要求的相关单位的名称；如无，则填写“无”。）</w:t>
      </w:r>
    </w:p>
    <w:p w14:paraId="2DA199C9">
      <w:pPr>
        <w:pStyle w:val="35"/>
        <w:spacing w:line="480" w:lineRule="auto"/>
        <w:ind w:left="0" w:leftChars="0" w:firstLine="422" w:firstLineChars="200"/>
        <w:rPr>
          <w:rFonts w:ascii="宋体" w:hAnsi="宋体" w:eastAsia="宋体"/>
          <w:sz w:val="21"/>
          <w:szCs w:val="21"/>
          <w:highlight w:val="none"/>
        </w:rPr>
      </w:pPr>
      <w:r>
        <w:rPr>
          <w:rFonts w:hint="eastAsia" w:ascii="宋体" w:hAnsi="宋体" w:eastAsia="宋体"/>
          <w:b/>
          <w:bCs/>
          <w:sz w:val="21"/>
          <w:szCs w:val="21"/>
          <w:highlight w:val="none"/>
        </w:rPr>
        <w:t>十、</w:t>
      </w:r>
      <w:r>
        <w:rPr>
          <w:rFonts w:hint="eastAsia" w:ascii="宋体" w:hAnsi="宋体" w:eastAsia="宋体"/>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3B5D849C">
      <w:pPr>
        <w:pStyle w:val="35"/>
        <w:spacing w:line="480" w:lineRule="auto"/>
        <w:ind w:left="0" w:leftChars="0" w:firstLine="422" w:firstLineChars="200"/>
        <w:rPr>
          <w:rFonts w:ascii="宋体" w:hAnsi="宋体" w:eastAsia="宋体"/>
          <w:sz w:val="21"/>
          <w:szCs w:val="21"/>
          <w:highlight w:val="none"/>
        </w:rPr>
      </w:pPr>
      <w:r>
        <w:rPr>
          <w:rFonts w:hint="eastAsia" w:ascii="宋体" w:hAnsi="宋体" w:eastAsia="宋体"/>
          <w:b/>
          <w:bCs/>
          <w:sz w:val="21"/>
          <w:szCs w:val="21"/>
          <w:highlight w:val="none"/>
        </w:rPr>
        <w:t>十一、</w:t>
      </w:r>
      <w:r>
        <w:rPr>
          <w:rFonts w:hint="eastAsia" w:ascii="宋体" w:hAnsi="宋体" w:eastAsia="宋体"/>
          <w:sz w:val="21"/>
          <w:szCs w:val="21"/>
          <w:highlight w:val="none"/>
        </w:rPr>
        <w:t>本公司承诺，中标后将按招标人要求，积极响应广州市关于投身“百千万工程”的号召，主动参与建筑业结对帮扶。</w:t>
      </w:r>
    </w:p>
    <w:p w14:paraId="0C6EA794">
      <w:pPr>
        <w:pStyle w:val="35"/>
        <w:spacing w:line="480" w:lineRule="auto"/>
        <w:ind w:firstLine="422" w:firstLineChars="200"/>
        <w:rPr>
          <w:rFonts w:ascii="宋体" w:hAnsi="宋体" w:eastAsia="宋体"/>
          <w:sz w:val="21"/>
          <w:szCs w:val="21"/>
          <w:highlight w:val="none"/>
        </w:rPr>
      </w:pPr>
      <w:r>
        <w:rPr>
          <w:rFonts w:hint="eastAsia" w:ascii="宋体" w:hAnsi="宋体" w:eastAsia="宋体"/>
          <w:b/>
          <w:bCs/>
          <w:sz w:val="21"/>
          <w:szCs w:val="21"/>
          <w:highlight w:val="none"/>
        </w:rPr>
        <w:t>十二</w:t>
      </w:r>
      <w:r>
        <w:rPr>
          <w:rFonts w:hint="eastAsia" w:ascii="宋体" w:hAnsi="宋体" w:eastAsia="宋体"/>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83757D1">
      <w:pPr>
        <w:pStyle w:val="35"/>
        <w:spacing w:line="480" w:lineRule="auto"/>
        <w:ind w:firstLine="422" w:firstLineChars="200"/>
        <w:rPr>
          <w:rFonts w:ascii="宋体" w:hAnsi="宋体" w:eastAsia="宋体"/>
          <w:b/>
          <w:sz w:val="21"/>
          <w:szCs w:val="21"/>
          <w:highlight w:val="none"/>
        </w:rPr>
      </w:pPr>
      <w:r>
        <w:rPr>
          <w:rFonts w:hint="eastAsia" w:ascii="宋体" w:hAnsi="宋体" w:eastAsia="宋体"/>
          <w:b/>
          <w:bCs/>
          <w:sz w:val="21"/>
          <w:szCs w:val="21"/>
          <w:highlight w:val="none"/>
        </w:rPr>
        <w:t>十三</w:t>
      </w:r>
      <w:r>
        <w:rPr>
          <w:rFonts w:hint="eastAsia" w:ascii="宋体" w:hAnsi="宋体" w:eastAsia="宋体"/>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0631A68">
      <w:pPr>
        <w:pStyle w:val="35"/>
        <w:spacing w:line="480" w:lineRule="auto"/>
        <w:rPr>
          <w:rFonts w:ascii="宋体" w:hAnsi="宋体" w:eastAsia="宋体"/>
          <w:sz w:val="21"/>
          <w:szCs w:val="21"/>
          <w:highlight w:val="none"/>
        </w:rPr>
      </w:pPr>
      <w:r>
        <w:rPr>
          <w:rFonts w:hint="eastAsia" w:ascii="宋体" w:hAnsi="宋体" w:eastAsia="宋体"/>
          <w:sz w:val="21"/>
          <w:szCs w:val="21"/>
          <w:highlight w:val="none"/>
        </w:rPr>
        <w:t>特此声明</w:t>
      </w:r>
    </w:p>
    <w:p w14:paraId="4DC888CE">
      <w:pPr>
        <w:pStyle w:val="37"/>
        <w:spacing w:line="480" w:lineRule="auto"/>
        <w:ind w:left="629" w:right="1449"/>
        <w:jc w:val="both"/>
        <w:rPr>
          <w:rFonts w:ascii="宋体" w:hAnsi="宋体" w:eastAsia="宋体"/>
          <w:sz w:val="21"/>
          <w:szCs w:val="21"/>
          <w:highlight w:val="none"/>
        </w:rPr>
      </w:pPr>
      <w:r>
        <w:rPr>
          <w:rFonts w:hint="eastAsia" w:ascii="宋体" w:hAnsi="宋体" w:eastAsia="宋体"/>
          <w:sz w:val="21"/>
          <w:szCs w:val="21"/>
          <w:highlight w:val="none"/>
        </w:rPr>
        <w:t xml:space="preserve">   </w:t>
      </w:r>
      <w:r>
        <w:rPr>
          <w:rFonts w:ascii="宋体" w:hAnsi="宋体" w:eastAsia="宋体"/>
          <w:sz w:val="21"/>
          <w:szCs w:val="21"/>
          <w:highlight w:val="none"/>
        </w:rPr>
        <w:t xml:space="preserve">          </w:t>
      </w:r>
      <w:r>
        <w:rPr>
          <w:rFonts w:hint="eastAsia" w:ascii="宋体" w:hAnsi="宋体" w:eastAsia="宋体"/>
          <w:sz w:val="21"/>
          <w:szCs w:val="21"/>
          <w:highlight w:val="none"/>
        </w:rPr>
        <w:t xml:space="preserve">            声明企业：</w:t>
      </w:r>
    </w:p>
    <w:p w14:paraId="02EE9152">
      <w:pPr>
        <w:pStyle w:val="35"/>
        <w:spacing w:line="480" w:lineRule="auto"/>
        <w:ind w:right="1179" w:firstLine="0"/>
        <w:rPr>
          <w:rFonts w:ascii="宋体" w:hAnsi="宋体" w:eastAsia="宋体"/>
          <w:sz w:val="21"/>
          <w:szCs w:val="21"/>
          <w:highlight w:val="none"/>
        </w:rPr>
      </w:pPr>
      <w:r>
        <w:rPr>
          <w:rFonts w:hint="eastAsia" w:ascii="宋体" w:hAnsi="宋体" w:eastAsia="宋体"/>
          <w:sz w:val="21"/>
          <w:szCs w:val="21"/>
          <w:highlight w:val="none"/>
        </w:rPr>
        <w:t xml:space="preserve">                             法定代表人签字：</w:t>
      </w:r>
    </w:p>
    <w:p w14:paraId="28314F14">
      <w:pPr>
        <w:pStyle w:val="35"/>
        <w:spacing w:line="480" w:lineRule="auto"/>
        <w:ind w:right="1179" w:firstLine="0"/>
        <w:rPr>
          <w:rFonts w:ascii="宋体" w:hAnsi="宋体" w:eastAsia="宋体"/>
          <w:sz w:val="21"/>
          <w:szCs w:val="21"/>
          <w:highlight w:val="none"/>
        </w:rPr>
      </w:pPr>
      <w:r>
        <w:rPr>
          <w:rFonts w:hint="eastAsia" w:ascii="宋体" w:hAnsi="宋体" w:eastAsia="宋体"/>
          <w:sz w:val="21"/>
          <w:szCs w:val="21"/>
          <w:highlight w:val="none"/>
        </w:rPr>
        <w:t xml:space="preserve">                             项目负责人签字:</w:t>
      </w:r>
    </w:p>
    <w:p w14:paraId="5EEC7142">
      <w:pPr>
        <w:pStyle w:val="35"/>
        <w:spacing w:line="480" w:lineRule="auto"/>
        <w:ind w:right="1179" w:firstLine="0"/>
        <w:rPr>
          <w:rFonts w:ascii="宋体" w:hAnsi="宋体" w:eastAsia="宋体"/>
          <w:sz w:val="21"/>
          <w:szCs w:val="21"/>
          <w:highlight w:val="none"/>
        </w:rPr>
      </w:pPr>
      <w:r>
        <w:rPr>
          <w:rFonts w:hint="eastAsia" w:ascii="宋体" w:hAnsi="宋体" w:eastAsia="宋体"/>
          <w:sz w:val="21"/>
          <w:szCs w:val="21"/>
          <w:highlight w:val="none"/>
        </w:rPr>
        <w:t xml:space="preserve">                             技术负责人签字：</w:t>
      </w:r>
    </w:p>
    <w:p w14:paraId="5BAFF620">
      <w:pPr>
        <w:pStyle w:val="35"/>
        <w:spacing w:line="480" w:lineRule="auto"/>
        <w:ind w:right="879" w:firstLine="1890" w:firstLineChars="900"/>
        <w:jc w:val="right"/>
        <w:rPr>
          <w:rFonts w:ascii="宋体" w:hAnsi="宋体" w:eastAsia="宋体"/>
          <w:sz w:val="21"/>
          <w:szCs w:val="21"/>
          <w:highlight w:val="none"/>
        </w:rPr>
      </w:pPr>
      <w:r>
        <w:rPr>
          <w:rFonts w:hint="eastAsia" w:ascii="宋体" w:hAnsi="宋体" w:eastAsia="宋体"/>
          <w:sz w:val="21"/>
          <w:szCs w:val="21"/>
          <w:highlight w:val="none"/>
        </w:rPr>
        <w:t>年</w:t>
      </w:r>
      <w:r>
        <w:rPr>
          <w:rFonts w:ascii="宋体" w:hAnsi="宋体" w:eastAsia="宋体"/>
          <w:sz w:val="21"/>
          <w:szCs w:val="21"/>
          <w:highlight w:val="none"/>
        </w:rPr>
        <w:t xml:space="preserve">   </w:t>
      </w:r>
      <w:r>
        <w:rPr>
          <w:rFonts w:hint="eastAsia" w:ascii="宋体" w:hAnsi="宋体" w:eastAsia="宋体"/>
          <w:sz w:val="21"/>
          <w:szCs w:val="21"/>
          <w:highlight w:val="none"/>
        </w:rPr>
        <w:t>月</w:t>
      </w:r>
      <w:r>
        <w:rPr>
          <w:rFonts w:ascii="宋体" w:hAnsi="宋体" w:eastAsia="宋体"/>
          <w:sz w:val="21"/>
          <w:szCs w:val="21"/>
          <w:highlight w:val="none"/>
        </w:rPr>
        <w:t xml:space="preserve">   </w:t>
      </w:r>
      <w:r>
        <w:rPr>
          <w:rFonts w:hint="eastAsia" w:ascii="宋体" w:hAnsi="宋体" w:eastAsia="宋体"/>
          <w:sz w:val="21"/>
          <w:szCs w:val="21"/>
          <w:highlight w:val="none"/>
        </w:rPr>
        <w:t>日</w:t>
      </w:r>
    </w:p>
    <w:p w14:paraId="160FA290">
      <w:pPr>
        <w:spacing w:line="480" w:lineRule="auto"/>
        <w:rPr>
          <w:rFonts w:ascii="宋体" w:hAnsi="宋体"/>
          <w:color w:val="000000"/>
          <w:szCs w:val="21"/>
          <w:highlight w:val="none"/>
        </w:rPr>
      </w:pPr>
      <w:r>
        <w:rPr>
          <w:rFonts w:hint="eastAsia" w:ascii="宋体" w:hAnsi="宋体"/>
          <w:color w:val="000000"/>
          <w:szCs w:val="21"/>
          <w:highlight w:val="none"/>
        </w:rPr>
        <w:t xml:space="preserve">                                                      </w:t>
      </w:r>
    </w:p>
    <w:p w14:paraId="7BF93395">
      <w:pPr>
        <w:pStyle w:val="35"/>
        <w:spacing w:line="276" w:lineRule="auto"/>
        <w:ind w:left="0" w:leftChars="0" w:right="-52"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注：招标人应当要求投标人的</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项目负责人和技术负责人签字。联合体投标的，“声明企业”一栏填写联合体各方的单位全称【格式表示为：(主)XXXX公司(成)XXXX公司</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(主)XXXX公司(成)XXXX公司(成)XXXX公司】，由联合体主办方签字或盖章即可。</w:t>
      </w:r>
    </w:p>
    <w:p w14:paraId="25D87AB4">
      <w:pPr>
        <w:pStyle w:val="35"/>
        <w:spacing w:line="240" w:lineRule="auto"/>
        <w:ind w:right="-46" w:firstLine="0"/>
        <w:rPr>
          <w:rFonts w:hint="eastAsia" w:ascii="宋体" w:hAnsi="宋体" w:eastAsia="宋体" w:cs="宋体"/>
          <w:b w:val="0"/>
          <w:bCs w:val="0"/>
          <w:color w:val="auto"/>
          <w:kern w:val="2"/>
          <w:sz w:val="21"/>
          <w:szCs w:val="21"/>
          <w:highlight w:val="none"/>
        </w:rPr>
      </w:pPr>
    </w:p>
    <w:p w14:paraId="22EA6B2A">
      <w:pPr>
        <w:pStyle w:val="35"/>
        <w:spacing w:line="240" w:lineRule="auto"/>
        <w:ind w:right="-46" w:firstLine="0"/>
        <w:rPr>
          <w:rFonts w:hint="eastAsia" w:ascii="宋体" w:hAnsi="宋体" w:eastAsia="宋体" w:cs="宋体"/>
          <w:b w:val="0"/>
          <w:bCs w:val="0"/>
          <w:color w:val="auto"/>
          <w:kern w:val="2"/>
          <w:sz w:val="21"/>
          <w:szCs w:val="21"/>
          <w:highlight w:val="none"/>
        </w:rPr>
      </w:pPr>
    </w:p>
    <w:p w14:paraId="3F69EF51">
      <w:pPr>
        <w:pStyle w:val="35"/>
        <w:spacing w:line="240" w:lineRule="auto"/>
        <w:ind w:right="-46" w:firstLine="0"/>
        <w:rPr>
          <w:rFonts w:hint="eastAsia" w:ascii="宋体" w:hAnsi="宋体" w:eastAsia="宋体" w:cs="宋体"/>
          <w:b w:val="0"/>
          <w:bCs w:val="0"/>
          <w:color w:val="auto"/>
          <w:kern w:val="2"/>
          <w:sz w:val="21"/>
          <w:szCs w:val="21"/>
          <w:highlight w:val="none"/>
        </w:rPr>
      </w:pPr>
    </w:p>
    <w:p w14:paraId="22DD90D0">
      <w:pPr>
        <w:pStyle w:val="35"/>
        <w:spacing w:line="240" w:lineRule="auto"/>
        <w:ind w:right="-46" w:firstLine="0"/>
        <w:rPr>
          <w:rFonts w:hint="eastAsia" w:ascii="宋体" w:hAnsi="宋体" w:eastAsia="宋体" w:cs="宋体"/>
          <w:b w:val="0"/>
          <w:bCs w:val="0"/>
          <w:color w:val="auto"/>
          <w:kern w:val="2"/>
          <w:sz w:val="21"/>
          <w:szCs w:val="21"/>
          <w:highlight w:val="none"/>
        </w:rPr>
      </w:pPr>
    </w:p>
    <w:p w14:paraId="4E677E15">
      <w:pPr>
        <w:pStyle w:val="35"/>
        <w:spacing w:line="240" w:lineRule="auto"/>
        <w:ind w:right="-46" w:firstLine="0"/>
        <w:rPr>
          <w:rFonts w:hint="eastAsia" w:ascii="宋体" w:hAnsi="宋体" w:eastAsia="宋体" w:cs="宋体"/>
          <w:b w:val="0"/>
          <w:bCs w:val="0"/>
          <w:color w:val="auto"/>
          <w:kern w:val="2"/>
          <w:sz w:val="21"/>
          <w:szCs w:val="21"/>
          <w:highlight w:val="none"/>
        </w:rPr>
      </w:pPr>
    </w:p>
    <w:p w14:paraId="52AE612D">
      <w:pPr>
        <w:pStyle w:val="35"/>
        <w:spacing w:line="240" w:lineRule="auto"/>
        <w:ind w:right="-46" w:firstLine="0"/>
        <w:rPr>
          <w:rFonts w:hint="eastAsia" w:ascii="宋体" w:hAnsi="宋体" w:eastAsia="宋体" w:cs="宋体"/>
          <w:b w:val="0"/>
          <w:bCs w:val="0"/>
          <w:color w:val="auto"/>
          <w:kern w:val="2"/>
          <w:sz w:val="21"/>
          <w:szCs w:val="21"/>
          <w:highlight w:val="none"/>
        </w:rPr>
      </w:pPr>
    </w:p>
    <w:p w14:paraId="66BD3C1C">
      <w:pPr>
        <w:pStyle w:val="35"/>
        <w:spacing w:line="240" w:lineRule="auto"/>
        <w:ind w:right="-46" w:firstLine="0"/>
        <w:rPr>
          <w:rFonts w:hint="eastAsia" w:ascii="宋体" w:hAnsi="宋体" w:eastAsia="宋体" w:cs="宋体"/>
          <w:b w:val="0"/>
          <w:bCs w:val="0"/>
          <w:color w:val="auto"/>
          <w:kern w:val="2"/>
          <w:sz w:val="21"/>
          <w:szCs w:val="21"/>
          <w:highlight w:val="none"/>
        </w:rPr>
      </w:pPr>
    </w:p>
    <w:p w14:paraId="639D863F">
      <w:pPr>
        <w:pStyle w:val="35"/>
        <w:spacing w:line="240" w:lineRule="auto"/>
        <w:ind w:right="-46" w:firstLine="0"/>
        <w:rPr>
          <w:rFonts w:hint="eastAsia" w:ascii="宋体" w:hAnsi="宋体" w:eastAsia="宋体" w:cs="宋体"/>
          <w:b w:val="0"/>
          <w:bCs w:val="0"/>
          <w:color w:val="auto"/>
          <w:kern w:val="2"/>
          <w:sz w:val="21"/>
          <w:szCs w:val="21"/>
          <w:highlight w:val="none"/>
        </w:rPr>
      </w:pPr>
    </w:p>
    <w:p w14:paraId="6D062F13">
      <w:pPr>
        <w:pStyle w:val="35"/>
        <w:spacing w:line="240" w:lineRule="auto"/>
        <w:ind w:right="-46" w:firstLine="0"/>
        <w:rPr>
          <w:rFonts w:hint="eastAsia" w:ascii="宋体" w:hAnsi="宋体" w:eastAsia="宋体" w:cs="宋体"/>
          <w:b w:val="0"/>
          <w:bCs w:val="0"/>
          <w:color w:val="auto"/>
          <w:kern w:val="2"/>
          <w:sz w:val="21"/>
          <w:szCs w:val="21"/>
          <w:highlight w:val="none"/>
        </w:rPr>
      </w:pPr>
    </w:p>
    <w:p w14:paraId="1F2CC566">
      <w:pPr>
        <w:pStyle w:val="35"/>
        <w:spacing w:line="240" w:lineRule="auto"/>
        <w:ind w:right="-46" w:firstLine="0"/>
        <w:rPr>
          <w:rFonts w:hint="eastAsia" w:ascii="宋体" w:hAnsi="宋体" w:eastAsia="宋体" w:cs="宋体"/>
          <w:b w:val="0"/>
          <w:bCs w:val="0"/>
          <w:color w:val="auto"/>
          <w:kern w:val="2"/>
          <w:sz w:val="21"/>
          <w:szCs w:val="21"/>
          <w:highlight w:val="none"/>
        </w:rPr>
      </w:pPr>
    </w:p>
    <w:p w14:paraId="1D0EAA68">
      <w:pPr>
        <w:pStyle w:val="35"/>
        <w:spacing w:line="240" w:lineRule="auto"/>
        <w:ind w:right="-46" w:firstLine="0"/>
        <w:rPr>
          <w:rFonts w:hint="eastAsia" w:ascii="宋体" w:hAnsi="宋体" w:eastAsia="宋体" w:cs="宋体"/>
          <w:b w:val="0"/>
          <w:bCs w:val="0"/>
          <w:color w:val="auto"/>
          <w:kern w:val="2"/>
          <w:sz w:val="21"/>
          <w:szCs w:val="21"/>
          <w:highlight w:val="none"/>
        </w:rPr>
      </w:pPr>
    </w:p>
    <w:p w14:paraId="1A41F717">
      <w:pPr>
        <w:pStyle w:val="35"/>
        <w:spacing w:line="240" w:lineRule="auto"/>
        <w:ind w:right="-46" w:firstLine="0"/>
        <w:rPr>
          <w:rFonts w:hint="eastAsia" w:ascii="宋体" w:hAnsi="宋体" w:eastAsia="宋体" w:cs="宋体"/>
          <w:b w:val="0"/>
          <w:bCs w:val="0"/>
          <w:color w:val="auto"/>
          <w:kern w:val="2"/>
          <w:sz w:val="21"/>
          <w:szCs w:val="21"/>
          <w:highlight w:val="none"/>
        </w:rPr>
      </w:pPr>
    </w:p>
    <w:p w14:paraId="58DC313A">
      <w:pPr>
        <w:pStyle w:val="35"/>
        <w:spacing w:line="240" w:lineRule="auto"/>
        <w:ind w:right="-46" w:firstLine="0"/>
        <w:rPr>
          <w:rFonts w:hint="eastAsia" w:ascii="宋体" w:hAnsi="宋体" w:eastAsia="宋体" w:cs="宋体"/>
          <w:b w:val="0"/>
          <w:bCs w:val="0"/>
          <w:color w:val="auto"/>
          <w:kern w:val="2"/>
          <w:sz w:val="21"/>
          <w:szCs w:val="21"/>
          <w:highlight w:val="none"/>
        </w:rPr>
      </w:pPr>
    </w:p>
    <w:p w14:paraId="7A06D03F">
      <w:pPr>
        <w:pStyle w:val="35"/>
        <w:spacing w:line="240" w:lineRule="auto"/>
        <w:ind w:right="-46" w:firstLine="0"/>
        <w:rPr>
          <w:rFonts w:hint="eastAsia" w:ascii="宋体" w:hAnsi="宋体" w:eastAsia="宋体" w:cs="宋体"/>
          <w:b w:val="0"/>
          <w:bCs w:val="0"/>
          <w:color w:val="auto"/>
          <w:kern w:val="2"/>
          <w:sz w:val="21"/>
          <w:szCs w:val="21"/>
          <w:highlight w:val="none"/>
        </w:rPr>
      </w:pPr>
    </w:p>
    <w:p w14:paraId="11E36A8B">
      <w:pPr>
        <w:pStyle w:val="35"/>
        <w:spacing w:line="240" w:lineRule="auto"/>
        <w:ind w:right="-46" w:firstLine="0"/>
        <w:rPr>
          <w:rFonts w:hint="eastAsia" w:ascii="宋体" w:hAnsi="宋体" w:eastAsia="宋体" w:cs="宋体"/>
          <w:b w:val="0"/>
          <w:bCs w:val="0"/>
          <w:color w:val="auto"/>
          <w:kern w:val="2"/>
          <w:sz w:val="21"/>
          <w:szCs w:val="21"/>
          <w:highlight w:val="none"/>
        </w:rPr>
      </w:pPr>
    </w:p>
    <w:p w14:paraId="1234B1DA">
      <w:pPr>
        <w:pStyle w:val="35"/>
        <w:spacing w:line="240" w:lineRule="auto"/>
        <w:ind w:right="-46" w:firstLine="0"/>
        <w:rPr>
          <w:rFonts w:hint="eastAsia" w:ascii="宋体" w:hAnsi="宋体" w:eastAsia="宋体" w:cs="宋体"/>
          <w:b w:val="0"/>
          <w:bCs w:val="0"/>
          <w:color w:val="auto"/>
          <w:kern w:val="2"/>
          <w:sz w:val="21"/>
          <w:szCs w:val="21"/>
          <w:highlight w:val="none"/>
        </w:rPr>
      </w:pPr>
    </w:p>
    <w:p w14:paraId="4000CD09">
      <w:pPr>
        <w:pStyle w:val="35"/>
        <w:spacing w:line="240" w:lineRule="auto"/>
        <w:ind w:right="-46" w:firstLine="0"/>
        <w:rPr>
          <w:rFonts w:hint="eastAsia" w:ascii="宋体" w:hAnsi="宋体" w:eastAsia="宋体" w:cs="宋体"/>
          <w:b w:val="0"/>
          <w:bCs w:val="0"/>
          <w:color w:val="auto"/>
          <w:kern w:val="2"/>
          <w:sz w:val="21"/>
          <w:szCs w:val="21"/>
          <w:highlight w:val="none"/>
        </w:rPr>
      </w:pPr>
    </w:p>
    <w:p w14:paraId="64196B2E">
      <w:pPr>
        <w:pStyle w:val="35"/>
        <w:spacing w:line="240" w:lineRule="auto"/>
        <w:ind w:right="-46" w:firstLine="0"/>
        <w:rPr>
          <w:rFonts w:ascii="宋体" w:hAnsi="宋体"/>
          <w:b w:val="0"/>
          <w:bCs w:val="0"/>
          <w:color w:val="auto"/>
          <w:sz w:val="24"/>
          <w:highlight w:val="none"/>
        </w:rPr>
      </w:pPr>
      <w:r>
        <w:rPr>
          <w:rFonts w:hint="eastAsia" w:ascii="宋体" w:hAnsi="宋体" w:eastAsia="宋体" w:cs="宋体"/>
          <w:b w:val="0"/>
          <w:bCs w:val="0"/>
          <w:color w:val="auto"/>
          <w:kern w:val="2"/>
          <w:sz w:val="21"/>
          <w:szCs w:val="21"/>
          <w:highlight w:val="none"/>
        </w:rPr>
        <w:t>附件二：</w:t>
      </w:r>
      <w:r>
        <w:rPr>
          <w:rFonts w:hint="eastAsia"/>
          <w:b w:val="0"/>
          <w:bCs w:val="0"/>
          <w:color w:val="auto"/>
          <w:highlight w:val="none"/>
        </w:rPr>
        <w:t xml:space="preserve"> </w:t>
      </w:r>
    </w:p>
    <w:p w14:paraId="119A94D1">
      <w:pPr>
        <w:pStyle w:val="35"/>
        <w:spacing w:line="240" w:lineRule="auto"/>
        <w:ind w:right="-46" w:firstLine="0"/>
        <w:jc w:val="center"/>
        <w:rPr>
          <w:rFonts w:ascii="宋体" w:eastAsia="宋体"/>
          <w:b/>
          <w:color w:val="auto"/>
          <w:highlight w:val="none"/>
        </w:rPr>
      </w:pPr>
      <w:r>
        <w:rPr>
          <w:rFonts w:hint="eastAsia" w:ascii="宋体" w:eastAsia="宋体"/>
          <w:b/>
          <w:color w:val="auto"/>
          <w:highlight w:val="none"/>
        </w:rPr>
        <w:t>联合体</w:t>
      </w:r>
      <w:r>
        <w:rPr>
          <w:rFonts w:hint="eastAsia" w:ascii="宋体" w:eastAsia="宋体"/>
          <w:b/>
          <w:color w:val="auto"/>
          <w:highlight w:val="none"/>
          <w:lang w:val="en-US" w:eastAsia="zh-CN"/>
        </w:rPr>
        <w:t>共同投标</w:t>
      </w:r>
      <w:r>
        <w:rPr>
          <w:rFonts w:hint="eastAsia" w:ascii="宋体" w:eastAsia="宋体"/>
          <w:b/>
          <w:color w:val="auto"/>
          <w:highlight w:val="none"/>
        </w:rPr>
        <w:t>协议书</w:t>
      </w:r>
    </w:p>
    <w:p w14:paraId="000CC2FA">
      <w:pPr>
        <w:spacing w:line="400" w:lineRule="exact"/>
        <w:ind w:firstLine="480"/>
        <w:rPr>
          <w:color w:val="auto"/>
          <w:szCs w:val="21"/>
          <w:highlight w:val="none"/>
        </w:rPr>
      </w:pPr>
    </w:p>
    <w:p w14:paraId="3A532D32">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［联合体主办方单位名称、联合体各成员单位名称］</w:t>
      </w:r>
      <w:r>
        <w:rPr>
          <w:rFonts w:hint="eastAsia" w:ascii="宋体" w:hAnsi="宋体" w:eastAsia="宋体" w:cs="宋体"/>
          <w:color w:val="auto"/>
          <w:sz w:val="21"/>
          <w:szCs w:val="21"/>
          <w:highlight w:val="none"/>
        </w:rPr>
        <w:t>自愿组成联合体，共同参加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投标。现就联合体投标事宜订立如下协议。</w:t>
      </w:r>
    </w:p>
    <w:p w14:paraId="42E4D2BA">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（施工方单位名称）</w:t>
      </w:r>
      <w:r>
        <w:rPr>
          <w:rFonts w:hint="eastAsia" w:ascii="宋体" w:hAnsi="宋体" w:eastAsia="宋体" w:cs="宋体"/>
          <w:color w:val="auto"/>
          <w:sz w:val="21"/>
          <w:szCs w:val="21"/>
          <w:highlight w:val="none"/>
        </w:rPr>
        <w:t>为联合体主办方。</w:t>
      </w:r>
    </w:p>
    <w:p w14:paraId="05035264">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343FA302">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3、联合体将严格按照招标文件的各项要求，递交投标文件，履行合同，并对外承担相应责任。</w:t>
      </w:r>
    </w:p>
    <w:p w14:paraId="0DAD38F3">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4、联合体各成员单位内部的职责分工如下：</w:t>
      </w:r>
    </w:p>
    <w:p w14:paraId="49122E8A">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（联合体主办方施工单位名称）</w:t>
      </w:r>
      <w:r>
        <w:rPr>
          <w:rFonts w:hint="eastAsia" w:ascii="宋体" w:hAnsi="宋体" w:eastAsia="宋体" w:cs="宋体"/>
          <w:color w:val="auto"/>
          <w:sz w:val="21"/>
          <w:szCs w:val="21"/>
          <w:highlight w:val="none"/>
        </w:rPr>
        <w:t>：作为联合体的主办方（兼总负责方）负责本工程的施工及牵头工作。联合体其他相关方违约时，主办方应承担连带责任，具体按合同要求。</w:t>
      </w:r>
    </w:p>
    <w:p w14:paraId="23874BDC">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（勘察单位名称）</w:t>
      </w:r>
      <w:r>
        <w:rPr>
          <w:rFonts w:hint="eastAsia" w:ascii="宋体" w:hAnsi="宋体" w:eastAsia="宋体" w:cs="宋体"/>
          <w:color w:val="auto"/>
          <w:sz w:val="21"/>
          <w:szCs w:val="21"/>
          <w:highlight w:val="none"/>
        </w:rPr>
        <w:t>：主要负责本工程的勘察工作，具体按合同要求。</w:t>
      </w:r>
    </w:p>
    <w:p w14:paraId="4C7183F6">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（设计单位名称）</w:t>
      </w:r>
      <w:r>
        <w:rPr>
          <w:rFonts w:hint="eastAsia" w:ascii="宋体" w:hAnsi="宋体" w:eastAsia="宋体" w:cs="宋体"/>
          <w:color w:val="auto"/>
          <w:sz w:val="21"/>
          <w:szCs w:val="21"/>
          <w:highlight w:val="none"/>
        </w:rPr>
        <w:t>：主要负责本工程的设计工作，具体按合同要求。</w:t>
      </w:r>
    </w:p>
    <w:p w14:paraId="7340FCFC">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5、本协议书自签署之日起生效，合同履行完毕后自动失效。 </w:t>
      </w:r>
    </w:p>
    <w:p w14:paraId="4231674C">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主办方名称：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91A2795">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6040A862">
      <w:pPr>
        <w:pStyle w:val="10"/>
        <w:keepNext w:val="0"/>
        <w:keepLines w:val="0"/>
        <w:pageBreakBefore w:val="0"/>
        <w:widowControl w:val="0"/>
        <w:kinsoku/>
        <w:wordWrap/>
        <w:overflowPunct/>
        <w:autoSpaceDE/>
        <w:autoSpaceDN/>
        <w:bidi w:val="0"/>
        <w:spacing w:line="360" w:lineRule="auto"/>
        <w:ind w:firstLine="482"/>
        <w:textAlignment w:val="auto"/>
        <w:rPr>
          <w:rFonts w:hint="eastAsia" w:ascii="宋体" w:hAnsi="宋体" w:eastAsia="宋体" w:cs="宋体"/>
          <w:color w:val="auto"/>
          <w:sz w:val="21"/>
          <w:szCs w:val="21"/>
          <w:highlight w:val="none"/>
        </w:rPr>
      </w:pPr>
    </w:p>
    <w:p w14:paraId="5BA0EFB4">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08F4E33">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7E558E8C">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p>
    <w:p w14:paraId="03FD0C7D">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42C3BDD">
      <w:pPr>
        <w:keepNext w:val="0"/>
        <w:keepLines w:val="0"/>
        <w:pageBreakBefore w:val="0"/>
        <w:widowControl w:val="0"/>
        <w:kinsoku/>
        <w:wordWrap/>
        <w:overflowPunct/>
        <w:topLinePunct/>
        <w:autoSpaceDE/>
        <w:autoSpaceDN/>
        <w:bidi w:val="0"/>
        <w:adjustRightInd w:val="0"/>
        <w:snapToGrid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13AE7637">
      <w:pPr>
        <w:keepNext w:val="0"/>
        <w:keepLines w:val="0"/>
        <w:pageBreakBefore w:val="0"/>
        <w:widowControl w:val="0"/>
        <w:kinsoku/>
        <w:wordWrap/>
        <w:overflowPunct/>
        <w:topLinePunct/>
        <w:autoSpaceDE/>
        <w:autoSpaceDN/>
        <w:bidi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33E327CB">
      <w:pPr>
        <w:keepNext w:val="0"/>
        <w:keepLines w:val="0"/>
        <w:pageBreakBefore w:val="0"/>
        <w:widowControl w:val="0"/>
        <w:kinsoku/>
        <w:wordWrap/>
        <w:overflowPunct/>
        <w:autoSpaceDE/>
        <w:autoSpaceDN/>
        <w:bidi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注：1、单独投标的，无需提交本协议书。2.本格式仅供参考，投标人可根据实际情况自行调整。</w:t>
      </w:r>
    </w:p>
    <w:p w14:paraId="003DF9DA">
      <w:pPr>
        <w:pStyle w:val="35"/>
        <w:spacing w:line="276" w:lineRule="auto"/>
        <w:ind w:right="-52" w:firstLine="0"/>
        <w:rPr>
          <w:rFonts w:hint="eastAsia" w:ascii="宋体" w:hAnsi="宋体" w:eastAsia="宋体" w:cs="宋体"/>
          <w:color w:val="auto"/>
          <w:sz w:val="21"/>
          <w:szCs w:val="21"/>
          <w:highlight w:val="none"/>
        </w:rPr>
      </w:pPr>
    </w:p>
    <w:p w14:paraId="25FF4B9C">
      <w:pPr>
        <w:pStyle w:val="6"/>
        <w:rPr>
          <w:rFonts w:hint="eastAsia"/>
          <w:color w:val="auto"/>
          <w:highlight w:val="none"/>
        </w:rPr>
      </w:pPr>
    </w:p>
    <w:sectPr>
      <w:pgSz w:w="11906" w:h="16838"/>
      <w:pgMar w:top="1440" w:right="1266" w:bottom="1440"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B71FF">
    <w:pPr>
      <w:pStyle w:val="13"/>
      <w:jc w:val="center"/>
    </w:pPr>
    <w:r>
      <w:fldChar w:fldCharType="begin"/>
    </w:r>
    <w:r>
      <w:instrText xml:space="preserve">PAGE   \* MERGEFORMAT</w:instrText>
    </w:r>
    <w:r>
      <w:fldChar w:fldCharType="separate"/>
    </w:r>
    <w:r>
      <w:rPr>
        <w:lang w:val="zh-CN" w:eastAsia="zh-CN"/>
      </w:rPr>
      <w:t>14</w:t>
    </w:r>
    <w:r>
      <w:rPr>
        <w:lang w:val="zh-CN"/>
      </w:rPr>
      <w:fldChar w:fldCharType="end"/>
    </w:r>
  </w:p>
  <w:p w14:paraId="41025636">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mYyZjUzMzIwYWYxYWIwZDcyOWNiNjUyYWYxMTAifQ=="/>
    <w:docVar w:name="KSO_WPS_MARK_KEY" w:val="022141cf-08c9-443c-b178-0ab7d89dda46"/>
  </w:docVars>
  <w:rsids>
    <w:rsidRoot w:val="00172A27"/>
    <w:rsid w:val="00000DFB"/>
    <w:rsid w:val="0000181F"/>
    <w:rsid w:val="00005D37"/>
    <w:rsid w:val="0000748A"/>
    <w:rsid w:val="00014616"/>
    <w:rsid w:val="00023B58"/>
    <w:rsid w:val="00024093"/>
    <w:rsid w:val="00025C29"/>
    <w:rsid w:val="000273A3"/>
    <w:rsid w:val="0003526D"/>
    <w:rsid w:val="00042005"/>
    <w:rsid w:val="00042A35"/>
    <w:rsid w:val="00043BFE"/>
    <w:rsid w:val="00043EA5"/>
    <w:rsid w:val="000543E8"/>
    <w:rsid w:val="00057253"/>
    <w:rsid w:val="00060030"/>
    <w:rsid w:val="0006107B"/>
    <w:rsid w:val="000663AC"/>
    <w:rsid w:val="000729DC"/>
    <w:rsid w:val="00090274"/>
    <w:rsid w:val="0009158D"/>
    <w:rsid w:val="00097764"/>
    <w:rsid w:val="00097CFA"/>
    <w:rsid w:val="000A2195"/>
    <w:rsid w:val="000A40C1"/>
    <w:rsid w:val="000B15CF"/>
    <w:rsid w:val="000B1CA1"/>
    <w:rsid w:val="000B47F5"/>
    <w:rsid w:val="000C5C6E"/>
    <w:rsid w:val="000C7F58"/>
    <w:rsid w:val="000D09D0"/>
    <w:rsid w:val="000D6E3E"/>
    <w:rsid w:val="000E4EE3"/>
    <w:rsid w:val="000E798A"/>
    <w:rsid w:val="000F17CD"/>
    <w:rsid w:val="000F18BF"/>
    <w:rsid w:val="000F2607"/>
    <w:rsid w:val="000F4DB1"/>
    <w:rsid w:val="000F5521"/>
    <w:rsid w:val="000F5B0D"/>
    <w:rsid w:val="00102142"/>
    <w:rsid w:val="00105599"/>
    <w:rsid w:val="00110E3C"/>
    <w:rsid w:val="0011173A"/>
    <w:rsid w:val="00114CF6"/>
    <w:rsid w:val="0012134B"/>
    <w:rsid w:val="00121F73"/>
    <w:rsid w:val="00125A31"/>
    <w:rsid w:val="00125E2E"/>
    <w:rsid w:val="00125E55"/>
    <w:rsid w:val="00130D37"/>
    <w:rsid w:val="00137949"/>
    <w:rsid w:val="0014104D"/>
    <w:rsid w:val="00142974"/>
    <w:rsid w:val="00147B31"/>
    <w:rsid w:val="00147D95"/>
    <w:rsid w:val="001511F7"/>
    <w:rsid w:val="00154CB0"/>
    <w:rsid w:val="0015765A"/>
    <w:rsid w:val="00157AC5"/>
    <w:rsid w:val="00163935"/>
    <w:rsid w:val="00165F84"/>
    <w:rsid w:val="00166AC8"/>
    <w:rsid w:val="00167C2B"/>
    <w:rsid w:val="00171B74"/>
    <w:rsid w:val="00183F22"/>
    <w:rsid w:val="00184D93"/>
    <w:rsid w:val="00186F99"/>
    <w:rsid w:val="00193795"/>
    <w:rsid w:val="001948CB"/>
    <w:rsid w:val="001A1F52"/>
    <w:rsid w:val="001A23B7"/>
    <w:rsid w:val="001A2E9A"/>
    <w:rsid w:val="001A4E03"/>
    <w:rsid w:val="001A612A"/>
    <w:rsid w:val="001B55C9"/>
    <w:rsid w:val="001C0259"/>
    <w:rsid w:val="001C0846"/>
    <w:rsid w:val="001C368F"/>
    <w:rsid w:val="001C51D1"/>
    <w:rsid w:val="001D1558"/>
    <w:rsid w:val="001D17F0"/>
    <w:rsid w:val="001D3F70"/>
    <w:rsid w:val="001E2C3E"/>
    <w:rsid w:val="001E3700"/>
    <w:rsid w:val="001E3782"/>
    <w:rsid w:val="001E5F9E"/>
    <w:rsid w:val="001F4911"/>
    <w:rsid w:val="001F4DF2"/>
    <w:rsid w:val="001F5DA5"/>
    <w:rsid w:val="002017DD"/>
    <w:rsid w:val="0020555C"/>
    <w:rsid w:val="00212EF4"/>
    <w:rsid w:val="002174B8"/>
    <w:rsid w:val="002202B5"/>
    <w:rsid w:val="00221204"/>
    <w:rsid w:val="00230423"/>
    <w:rsid w:val="00233E11"/>
    <w:rsid w:val="00237632"/>
    <w:rsid w:val="0024368B"/>
    <w:rsid w:val="002508F7"/>
    <w:rsid w:val="002514CB"/>
    <w:rsid w:val="00266687"/>
    <w:rsid w:val="00271717"/>
    <w:rsid w:val="002846C7"/>
    <w:rsid w:val="00285537"/>
    <w:rsid w:val="00290B13"/>
    <w:rsid w:val="00293379"/>
    <w:rsid w:val="00293826"/>
    <w:rsid w:val="00297D7F"/>
    <w:rsid w:val="002A0A7A"/>
    <w:rsid w:val="002A41E6"/>
    <w:rsid w:val="002A4466"/>
    <w:rsid w:val="002B1206"/>
    <w:rsid w:val="002B1E1E"/>
    <w:rsid w:val="002B5FDE"/>
    <w:rsid w:val="002B75F6"/>
    <w:rsid w:val="002C0005"/>
    <w:rsid w:val="002C0FA6"/>
    <w:rsid w:val="002C68BB"/>
    <w:rsid w:val="002D6764"/>
    <w:rsid w:val="002E1D2C"/>
    <w:rsid w:val="002E484A"/>
    <w:rsid w:val="002E51ED"/>
    <w:rsid w:val="002E56CC"/>
    <w:rsid w:val="002F013A"/>
    <w:rsid w:val="002F283B"/>
    <w:rsid w:val="002F4E50"/>
    <w:rsid w:val="002F606B"/>
    <w:rsid w:val="002F7093"/>
    <w:rsid w:val="00302329"/>
    <w:rsid w:val="00305043"/>
    <w:rsid w:val="00316F91"/>
    <w:rsid w:val="003176FB"/>
    <w:rsid w:val="003259FF"/>
    <w:rsid w:val="00326566"/>
    <w:rsid w:val="00326D8B"/>
    <w:rsid w:val="00331340"/>
    <w:rsid w:val="00340800"/>
    <w:rsid w:val="003435E2"/>
    <w:rsid w:val="0034415B"/>
    <w:rsid w:val="00345EA5"/>
    <w:rsid w:val="00352DAB"/>
    <w:rsid w:val="00355794"/>
    <w:rsid w:val="0035648F"/>
    <w:rsid w:val="00364DA6"/>
    <w:rsid w:val="0036667E"/>
    <w:rsid w:val="003672B3"/>
    <w:rsid w:val="0037150C"/>
    <w:rsid w:val="003748AF"/>
    <w:rsid w:val="00383266"/>
    <w:rsid w:val="0038339A"/>
    <w:rsid w:val="0038418B"/>
    <w:rsid w:val="00393D6A"/>
    <w:rsid w:val="003954B9"/>
    <w:rsid w:val="00396482"/>
    <w:rsid w:val="00396570"/>
    <w:rsid w:val="003A0C14"/>
    <w:rsid w:val="003A3FEF"/>
    <w:rsid w:val="003A5C31"/>
    <w:rsid w:val="003B0AF7"/>
    <w:rsid w:val="003B2177"/>
    <w:rsid w:val="003C02FF"/>
    <w:rsid w:val="003C2581"/>
    <w:rsid w:val="003D3DB0"/>
    <w:rsid w:val="003D4404"/>
    <w:rsid w:val="003D50CB"/>
    <w:rsid w:val="003D5B53"/>
    <w:rsid w:val="003D7DF1"/>
    <w:rsid w:val="003E14D8"/>
    <w:rsid w:val="003E3FA5"/>
    <w:rsid w:val="003E7E00"/>
    <w:rsid w:val="003F16F0"/>
    <w:rsid w:val="003F1C29"/>
    <w:rsid w:val="003F2F3B"/>
    <w:rsid w:val="003F5D54"/>
    <w:rsid w:val="004033CD"/>
    <w:rsid w:val="004109D1"/>
    <w:rsid w:val="004160FD"/>
    <w:rsid w:val="0041639B"/>
    <w:rsid w:val="004243E0"/>
    <w:rsid w:val="00425210"/>
    <w:rsid w:val="00427CCE"/>
    <w:rsid w:val="0043077C"/>
    <w:rsid w:val="0043325E"/>
    <w:rsid w:val="004343B9"/>
    <w:rsid w:val="00434FBA"/>
    <w:rsid w:val="00436D1F"/>
    <w:rsid w:val="00441102"/>
    <w:rsid w:val="00444944"/>
    <w:rsid w:val="00446D4F"/>
    <w:rsid w:val="004471C9"/>
    <w:rsid w:val="0044796A"/>
    <w:rsid w:val="004523B7"/>
    <w:rsid w:val="00453D40"/>
    <w:rsid w:val="00453FBB"/>
    <w:rsid w:val="0046288D"/>
    <w:rsid w:val="004652DF"/>
    <w:rsid w:val="00474068"/>
    <w:rsid w:val="0048482B"/>
    <w:rsid w:val="00491BB6"/>
    <w:rsid w:val="00495EA7"/>
    <w:rsid w:val="00496D5A"/>
    <w:rsid w:val="004A120C"/>
    <w:rsid w:val="004A6667"/>
    <w:rsid w:val="004B01FB"/>
    <w:rsid w:val="004B18C0"/>
    <w:rsid w:val="004B274E"/>
    <w:rsid w:val="004B4600"/>
    <w:rsid w:val="004B5C4D"/>
    <w:rsid w:val="004C4B15"/>
    <w:rsid w:val="004C6881"/>
    <w:rsid w:val="004C706D"/>
    <w:rsid w:val="004D517F"/>
    <w:rsid w:val="004E42F3"/>
    <w:rsid w:val="004E6FB5"/>
    <w:rsid w:val="004F768B"/>
    <w:rsid w:val="0051542F"/>
    <w:rsid w:val="00520B66"/>
    <w:rsid w:val="00523194"/>
    <w:rsid w:val="0052420B"/>
    <w:rsid w:val="0053054A"/>
    <w:rsid w:val="00535E93"/>
    <w:rsid w:val="005364E5"/>
    <w:rsid w:val="0053792B"/>
    <w:rsid w:val="00542C6A"/>
    <w:rsid w:val="005446AA"/>
    <w:rsid w:val="0054722C"/>
    <w:rsid w:val="005514A0"/>
    <w:rsid w:val="005600B3"/>
    <w:rsid w:val="005618D4"/>
    <w:rsid w:val="00562A3B"/>
    <w:rsid w:val="00570125"/>
    <w:rsid w:val="005707E1"/>
    <w:rsid w:val="00572C1B"/>
    <w:rsid w:val="00583DB1"/>
    <w:rsid w:val="005866E9"/>
    <w:rsid w:val="00592952"/>
    <w:rsid w:val="005A21E2"/>
    <w:rsid w:val="005A3E4D"/>
    <w:rsid w:val="005A4F47"/>
    <w:rsid w:val="005B6E63"/>
    <w:rsid w:val="005C0E2C"/>
    <w:rsid w:val="005C17BE"/>
    <w:rsid w:val="005C1B44"/>
    <w:rsid w:val="005C367F"/>
    <w:rsid w:val="005C7C00"/>
    <w:rsid w:val="005D37B2"/>
    <w:rsid w:val="005D37FC"/>
    <w:rsid w:val="005E17BA"/>
    <w:rsid w:val="005E4070"/>
    <w:rsid w:val="005E4F17"/>
    <w:rsid w:val="005F55B2"/>
    <w:rsid w:val="006076DC"/>
    <w:rsid w:val="00607B61"/>
    <w:rsid w:val="006126FE"/>
    <w:rsid w:val="006209B6"/>
    <w:rsid w:val="00624DD9"/>
    <w:rsid w:val="006310F1"/>
    <w:rsid w:val="00634913"/>
    <w:rsid w:val="006352CF"/>
    <w:rsid w:val="00640943"/>
    <w:rsid w:val="006444A2"/>
    <w:rsid w:val="00650F65"/>
    <w:rsid w:val="00653032"/>
    <w:rsid w:val="00653C7D"/>
    <w:rsid w:val="006562DA"/>
    <w:rsid w:val="006564C1"/>
    <w:rsid w:val="00661190"/>
    <w:rsid w:val="006630B2"/>
    <w:rsid w:val="00671E89"/>
    <w:rsid w:val="00677D91"/>
    <w:rsid w:val="006838D7"/>
    <w:rsid w:val="00697689"/>
    <w:rsid w:val="006A357E"/>
    <w:rsid w:val="006A4E38"/>
    <w:rsid w:val="006A7295"/>
    <w:rsid w:val="006B246F"/>
    <w:rsid w:val="006B5641"/>
    <w:rsid w:val="006B6D8A"/>
    <w:rsid w:val="006C2603"/>
    <w:rsid w:val="006C4641"/>
    <w:rsid w:val="006C478A"/>
    <w:rsid w:val="006C7368"/>
    <w:rsid w:val="006D3620"/>
    <w:rsid w:val="006D7B2D"/>
    <w:rsid w:val="006E0A1D"/>
    <w:rsid w:val="006F2C3D"/>
    <w:rsid w:val="0070675E"/>
    <w:rsid w:val="00715515"/>
    <w:rsid w:val="00720CDB"/>
    <w:rsid w:val="00722339"/>
    <w:rsid w:val="00737AC9"/>
    <w:rsid w:val="00743658"/>
    <w:rsid w:val="00745292"/>
    <w:rsid w:val="00750F9B"/>
    <w:rsid w:val="00752D14"/>
    <w:rsid w:val="00753F78"/>
    <w:rsid w:val="0075416A"/>
    <w:rsid w:val="007620E6"/>
    <w:rsid w:val="0076373C"/>
    <w:rsid w:val="0076466B"/>
    <w:rsid w:val="00765114"/>
    <w:rsid w:val="00774D8D"/>
    <w:rsid w:val="00775569"/>
    <w:rsid w:val="00780BF2"/>
    <w:rsid w:val="007879F9"/>
    <w:rsid w:val="007A241E"/>
    <w:rsid w:val="007A5230"/>
    <w:rsid w:val="007B3CE5"/>
    <w:rsid w:val="007B6068"/>
    <w:rsid w:val="007B6C5A"/>
    <w:rsid w:val="007B735A"/>
    <w:rsid w:val="007C06FE"/>
    <w:rsid w:val="007C170C"/>
    <w:rsid w:val="007C1B03"/>
    <w:rsid w:val="007C3F26"/>
    <w:rsid w:val="007C422A"/>
    <w:rsid w:val="007C4B8A"/>
    <w:rsid w:val="007C53C4"/>
    <w:rsid w:val="007C5FAC"/>
    <w:rsid w:val="007C676B"/>
    <w:rsid w:val="007C734D"/>
    <w:rsid w:val="007D4346"/>
    <w:rsid w:val="007D5650"/>
    <w:rsid w:val="007D5C3F"/>
    <w:rsid w:val="007D73CE"/>
    <w:rsid w:val="007E1DA4"/>
    <w:rsid w:val="007E2CD1"/>
    <w:rsid w:val="007E31C0"/>
    <w:rsid w:val="007E3D1B"/>
    <w:rsid w:val="007F6AEF"/>
    <w:rsid w:val="007F6B06"/>
    <w:rsid w:val="007F76E3"/>
    <w:rsid w:val="00800CB5"/>
    <w:rsid w:val="00814691"/>
    <w:rsid w:val="00821999"/>
    <w:rsid w:val="00823801"/>
    <w:rsid w:val="0082531D"/>
    <w:rsid w:val="00831BD9"/>
    <w:rsid w:val="008418DB"/>
    <w:rsid w:val="0084413D"/>
    <w:rsid w:val="008472BD"/>
    <w:rsid w:val="00852D0E"/>
    <w:rsid w:val="008577F4"/>
    <w:rsid w:val="00860E68"/>
    <w:rsid w:val="00863D1A"/>
    <w:rsid w:val="008648FF"/>
    <w:rsid w:val="00866821"/>
    <w:rsid w:val="0087212B"/>
    <w:rsid w:val="008722C1"/>
    <w:rsid w:val="00873725"/>
    <w:rsid w:val="00877407"/>
    <w:rsid w:val="008823E5"/>
    <w:rsid w:val="00882F45"/>
    <w:rsid w:val="00884E60"/>
    <w:rsid w:val="008872DF"/>
    <w:rsid w:val="008A173C"/>
    <w:rsid w:val="008A1B2E"/>
    <w:rsid w:val="008A32D7"/>
    <w:rsid w:val="008A43C8"/>
    <w:rsid w:val="008A5097"/>
    <w:rsid w:val="008A76D8"/>
    <w:rsid w:val="008A7C60"/>
    <w:rsid w:val="008C0F5D"/>
    <w:rsid w:val="008C173B"/>
    <w:rsid w:val="008C2AEB"/>
    <w:rsid w:val="008C4347"/>
    <w:rsid w:val="008D1113"/>
    <w:rsid w:val="008D14A0"/>
    <w:rsid w:val="008D2B3F"/>
    <w:rsid w:val="008F2FA1"/>
    <w:rsid w:val="008F5F05"/>
    <w:rsid w:val="00902864"/>
    <w:rsid w:val="0091313C"/>
    <w:rsid w:val="00915A4C"/>
    <w:rsid w:val="0092240C"/>
    <w:rsid w:val="009243D6"/>
    <w:rsid w:val="00926A7E"/>
    <w:rsid w:val="00930C32"/>
    <w:rsid w:val="00931496"/>
    <w:rsid w:val="00932FD8"/>
    <w:rsid w:val="00941FFA"/>
    <w:rsid w:val="009438DA"/>
    <w:rsid w:val="00943F86"/>
    <w:rsid w:val="00951978"/>
    <w:rsid w:val="00963659"/>
    <w:rsid w:val="009645DD"/>
    <w:rsid w:val="00965911"/>
    <w:rsid w:val="0098081A"/>
    <w:rsid w:val="00980B12"/>
    <w:rsid w:val="009859F5"/>
    <w:rsid w:val="00986648"/>
    <w:rsid w:val="009930C4"/>
    <w:rsid w:val="00993F7D"/>
    <w:rsid w:val="00995EFF"/>
    <w:rsid w:val="009A21D1"/>
    <w:rsid w:val="009A2572"/>
    <w:rsid w:val="009A40CF"/>
    <w:rsid w:val="009A5D96"/>
    <w:rsid w:val="009A6A96"/>
    <w:rsid w:val="009B4E51"/>
    <w:rsid w:val="009B5758"/>
    <w:rsid w:val="009B59D8"/>
    <w:rsid w:val="009B6055"/>
    <w:rsid w:val="009B6DC6"/>
    <w:rsid w:val="009C25E9"/>
    <w:rsid w:val="009C29D4"/>
    <w:rsid w:val="009C4999"/>
    <w:rsid w:val="009C5B44"/>
    <w:rsid w:val="009D0480"/>
    <w:rsid w:val="009D0CDA"/>
    <w:rsid w:val="009D2938"/>
    <w:rsid w:val="009D5B68"/>
    <w:rsid w:val="009E522D"/>
    <w:rsid w:val="009E6102"/>
    <w:rsid w:val="009E69CA"/>
    <w:rsid w:val="009E6A3A"/>
    <w:rsid w:val="009F0059"/>
    <w:rsid w:val="009F04FF"/>
    <w:rsid w:val="009F4782"/>
    <w:rsid w:val="00A020A9"/>
    <w:rsid w:val="00A07D10"/>
    <w:rsid w:val="00A11E45"/>
    <w:rsid w:val="00A12CCF"/>
    <w:rsid w:val="00A1396B"/>
    <w:rsid w:val="00A151E8"/>
    <w:rsid w:val="00A1686E"/>
    <w:rsid w:val="00A21355"/>
    <w:rsid w:val="00A220C4"/>
    <w:rsid w:val="00A24070"/>
    <w:rsid w:val="00A34695"/>
    <w:rsid w:val="00A4295E"/>
    <w:rsid w:val="00A56169"/>
    <w:rsid w:val="00A63576"/>
    <w:rsid w:val="00A67807"/>
    <w:rsid w:val="00A72464"/>
    <w:rsid w:val="00A73E5C"/>
    <w:rsid w:val="00A748EE"/>
    <w:rsid w:val="00A761CE"/>
    <w:rsid w:val="00A7775E"/>
    <w:rsid w:val="00A777C7"/>
    <w:rsid w:val="00A8154E"/>
    <w:rsid w:val="00A8339A"/>
    <w:rsid w:val="00A941F9"/>
    <w:rsid w:val="00AA0E50"/>
    <w:rsid w:val="00AA6694"/>
    <w:rsid w:val="00AA69AA"/>
    <w:rsid w:val="00AB0338"/>
    <w:rsid w:val="00AB1FD6"/>
    <w:rsid w:val="00AB2C19"/>
    <w:rsid w:val="00AB4999"/>
    <w:rsid w:val="00AB4C8F"/>
    <w:rsid w:val="00AC350F"/>
    <w:rsid w:val="00AC4902"/>
    <w:rsid w:val="00AD03FC"/>
    <w:rsid w:val="00AD2E23"/>
    <w:rsid w:val="00AD3CE8"/>
    <w:rsid w:val="00AD6154"/>
    <w:rsid w:val="00AD7625"/>
    <w:rsid w:val="00AE0985"/>
    <w:rsid w:val="00AF1B2E"/>
    <w:rsid w:val="00AF3A28"/>
    <w:rsid w:val="00B059B7"/>
    <w:rsid w:val="00B07994"/>
    <w:rsid w:val="00B10082"/>
    <w:rsid w:val="00B100E1"/>
    <w:rsid w:val="00B264D6"/>
    <w:rsid w:val="00B416CE"/>
    <w:rsid w:val="00B43898"/>
    <w:rsid w:val="00B44439"/>
    <w:rsid w:val="00B46655"/>
    <w:rsid w:val="00B46DF4"/>
    <w:rsid w:val="00B503CB"/>
    <w:rsid w:val="00B552C5"/>
    <w:rsid w:val="00B556E2"/>
    <w:rsid w:val="00B605ED"/>
    <w:rsid w:val="00B60DBF"/>
    <w:rsid w:val="00B67FAF"/>
    <w:rsid w:val="00B70E42"/>
    <w:rsid w:val="00B759DB"/>
    <w:rsid w:val="00B7730F"/>
    <w:rsid w:val="00B83DDA"/>
    <w:rsid w:val="00B86A5A"/>
    <w:rsid w:val="00B87856"/>
    <w:rsid w:val="00B917F6"/>
    <w:rsid w:val="00B92AAC"/>
    <w:rsid w:val="00B9631E"/>
    <w:rsid w:val="00B966ED"/>
    <w:rsid w:val="00BA3999"/>
    <w:rsid w:val="00BA6D57"/>
    <w:rsid w:val="00BB5E4C"/>
    <w:rsid w:val="00BC0EFD"/>
    <w:rsid w:val="00BD1334"/>
    <w:rsid w:val="00BD3518"/>
    <w:rsid w:val="00BD4638"/>
    <w:rsid w:val="00BE06AA"/>
    <w:rsid w:val="00BE6909"/>
    <w:rsid w:val="00BF3673"/>
    <w:rsid w:val="00BF3C09"/>
    <w:rsid w:val="00BF512A"/>
    <w:rsid w:val="00BF5675"/>
    <w:rsid w:val="00BF734E"/>
    <w:rsid w:val="00C0051B"/>
    <w:rsid w:val="00C042C3"/>
    <w:rsid w:val="00C056F0"/>
    <w:rsid w:val="00C11AD9"/>
    <w:rsid w:val="00C14754"/>
    <w:rsid w:val="00C14801"/>
    <w:rsid w:val="00C225E3"/>
    <w:rsid w:val="00C25394"/>
    <w:rsid w:val="00C309CA"/>
    <w:rsid w:val="00C30BDC"/>
    <w:rsid w:val="00C40A06"/>
    <w:rsid w:val="00C50BC8"/>
    <w:rsid w:val="00C57EB0"/>
    <w:rsid w:val="00C63B67"/>
    <w:rsid w:val="00C81BD5"/>
    <w:rsid w:val="00C84833"/>
    <w:rsid w:val="00C921F2"/>
    <w:rsid w:val="00C96F66"/>
    <w:rsid w:val="00C972AF"/>
    <w:rsid w:val="00CA7FC5"/>
    <w:rsid w:val="00CB11CD"/>
    <w:rsid w:val="00CB15E7"/>
    <w:rsid w:val="00CB241D"/>
    <w:rsid w:val="00CB4665"/>
    <w:rsid w:val="00CB47C9"/>
    <w:rsid w:val="00CB707B"/>
    <w:rsid w:val="00CD52DD"/>
    <w:rsid w:val="00CD6DBA"/>
    <w:rsid w:val="00CE5D0D"/>
    <w:rsid w:val="00CF0461"/>
    <w:rsid w:val="00D0129A"/>
    <w:rsid w:val="00D06508"/>
    <w:rsid w:val="00D115A0"/>
    <w:rsid w:val="00D11DE3"/>
    <w:rsid w:val="00D174F6"/>
    <w:rsid w:val="00D22226"/>
    <w:rsid w:val="00D2602D"/>
    <w:rsid w:val="00D27E3B"/>
    <w:rsid w:val="00D32306"/>
    <w:rsid w:val="00D3534E"/>
    <w:rsid w:val="00D41E8D"/>
    <w:rsid w:val="00D44C94"/>
    <w:rsid w:val="00D54A95"/>
    <w:rsid w:val="00D60092"/>
    <w:rsid w:val="00D62EB7"/>
    <w:rsid w:val="00D7083B"/>
    <w:rsid w:val="00D7173C"/>
    <w:rsid w:val="00D72B63"/>
    <w:rsid w:val="00D753E6"/>
    <w:rsid w:val="00D76AC2"/>
    <w:rsid w:val="00D802E3"/>
    <w:rsid w:val="00D822C6"/>
    <w:rsid w:val="00D82EF0"/>
    <w:rsid w:val="00D86C79"/>
    <w:rsid w:val="00D94D09"/>
    <w:rsid w:val="00D97B15"/>
    <w:rsid w:val="00DA0B23"/>
    <w:rsid w:val="00DA42E6"/>
    <w:rsid w:val="00DA563B"/>
    <w:rsid w:val="00DA6073"/>
    <w:rsid w:val="00DA7F88"/>
    <w:rsid w:val="00DB440A"/>
    <w:rsid w:val="00DB4C0B"/>
    <w:rsid w:val="00DB53A1"/>
    <w:rsid w:val="00DC2F7E"/>
    <w:rsid w:val="00DC40A6"/>
    <w:rsid w:val="00DE6157"/>
    <w:rsid w:val="00DF10D5"/>
    <w:rsid w:val="00DF3E17"/>
    <w:rsid w:val="00DF593B"/>
    <w:rsid w:val="00DF6E3A"/>
    <w:rsid w:val="00E07183"/>
    <w:rsid w:val="00E211F0"/>
    <w:rsid w:val="00E2146B"/>
    <w:rsid w:val="00E2497F"/>
    <w:rsid w:val="00E30D27"/>
    <w:rsid w:val="00E31ACB"/>
    <w:rsid w:val="00E34F96"/>
    <w:rsid w:val="00E43D6A"/>
    <w:rsid w:val="00E47CBE"/>
    <w:rsid w:val="00E535B7"/>
    <w:rsid w:val="00E564C0"/>
    <w:rsid w:val="00E57BE5"/>
    <w:rsid w:val="00E616A2"/>
    <w:rsid w:val="00E62FC9"/>
    <w:rsid w:val="00E658CE"/>
    <w:rsid w:val="00E6711A"/>
    <w:rsid w:val="00E72E63"/>
    <w:rsid w:val="00E74671"/>
    <w:rsid w:val="00E74A15"/>
    <w:rsid w:val="00E753E7"/>
    <w:rsid w:val="00E7701E"/>
    <w:rsid w:val="00E83CED"/>
    <w:rsid w:val="00E8483D"/>
    <w:rsid w:val="00E870FD"/>
    <w:rsid w:val="00E902A2"/>
    <w:rsid w:val="00E95FAD"/>
    <w:rsid w:val="00E97EDA"/>
    <w:rsid w:val="00EA0885"/>
    <w:rsid w:val="00EA3CB9"/>
    <w:rsid w:val="00EA5659"/>
    <w:rsid w:val="00EA6334"/>
    <w:rsid w:val="00EB1C3B"/>
    <w:rsid w:val="00EB1E91"/>
    <w:rsid w:val="00EB5B79"/>
    <w:rsid w:val="00EC0C77"/>
    <w:rsid w:val="00ED10CB"/>
    <w:rsid w:val="00ED1CA1"/>
    <w:rsid w:val="00ED7CCD"/>
    <w:rsid w:val="00EF2832"/>
    <w:rsid w:val="00F0130A"/>
    <w:rsid w:val="00F02ABA"/>
    <w:rsid w:val="00F050AF"/>
    <w:rsid w:val="00F06A26"/>
    <w:rsid w:val="00F06B0F"/>
    <w:rsid w:val="00F1014E"/>
    <w:rsid w:val="00F1184D"/>
    <w:rsid w:val="00F17727"/>
    <w:rsid w:val="00F17A9F"/>
    <w:rsid w:val="00F218E2"/>
    <w:rsid w:val="00F21B8B"/>
    <w:rsid w:val="00F27742"/>
    <w:rsid w:val="00F306B3"/>
    <w:rsid w:val="00F308C8"/>
    <w:rsid w:val="00F405E6"/>
    <w:rsid w:val="00F41DA4"/>
    <w:rsid w:val="00F431C2"/>
    <w:rsid w:val="00F451E6"/>
    <w:rsid w:val="00F469CE"/>
    <w:rsid w:val="00F504E0"/>
    <w:rsid w:val="00F57907"/>
    <w:rsid w:val="00F62E3E"/>
    <w:rsid w:val="00F66C0F"/>
    <w:rsid w:val="00F70704"/>
    <w:rsid w:val="00F7241E"/>
    <w:rsid w:val="00F74150"/>
    <w:rsid w:val="00F80375"/>
    <w:rsid w:val="00F8213C"/>
    <w:rsid w:val="00F931C3"/>
    <w:rsid w:val="00F93C92"/>
    <w:rsid w:val="00F94E8D"/>
    <w:rsid w:val="00F97D23"/>
    <w:rsid w:val="00FA03A1"/>
    <w:rsid w:val="00FA05ED"/>
    <w:rsid w:val="00FA1E6E"/>
    <w:rsid w:val="00FA1EB5"/>
    <w:rsid w:val="00FA2BAE"/>
    <w:rsid w:val="00FA3046"/>
    <w:rsid w:val="00FA5E83"/>
    <w:rsid w:val="00FB288F"/>
    <w:rsid w:val="00FB4A2A"/>
    <w:rsid w:val="00FB4F5E"/>
    <w:rsid w:val="00FB590F"/>
    <w:rsid w:val="00FB6273"/>
    <w:rsid w:val="00FB68CF"/>
    <w:rsid w:val="00FC5E64"/>
    <w:rsid w:val="00FC6F43"/>
    <w:rsid w:val="00FD0456"/>
    <w:rsid w:val="00FD2D16"/>
    <w:rsid w:val="00FD3DDF"/>
    <w:rsid w:val="00FE2A43"/>
    <w:rsid w:val="00FE4B2E"/>
    <w:rsid w:val="00FE4E67"/>
    <w:rsid w:val="00FE5BF6"/>
    <w:rsid w:val="00FF1146"/>
    <w:rsid w:val="00FF161F"/>
    <w:rsid w:val="00FF3A7E"/>
    <w:rsid w:val="014019BF"/>
    <w:rsid w:val="01441B3C"/>
    <w:rsid w:val="016C04F7"/>
    <w:rsid w:val="018108E4"/>
    <w:rsid w:val="019B1B31"/>
    <w:rsid w:val="01F215FD"/>
    <w:rsid w:val="0206557D"/>
    <w:rsid w:val="02906F11"/>
    <w:rsid w:val="02D212D8"/>
    <w:rsid w:val="03755336"/>
    <w:rsid w:val="03F6229A"/>
    <w:rsid w:val="042B0C9B"/>
    <w:rsid w:val="043C71CD"/>
    <w:rsid w:val="04681B31"/>
    <w:rsid w:val="04E377CC"/>
    <w:rsid w:val="050107D6"/>
    <w:rsid w:val="059A2221"/>
    <w:rsid w:val="05D47A06"/>
    <w:rsid w:val="06015BED"/>
    <w:rsid w:val="06F37A6F"/>
    <w:rsid w:val="06F90833"/>
    <w:rsid w:val="07392C24"/>
    <w:rsid w:val="075A189C"/>
    <w:rsid w:val="07BD1EC4"/>
    <w:rsid w:val="07F91465"/>
    <w:rsid w:val="091F3694"/>
    <w:rsid w:val="0AE10952"/>
    <w:rsid w:val="0AF52007"/>
    <w:rsid w:val="0B9C2A5E"/>
    <w:rsid w:val="0C6A579D"/>
    <w:rsid w:val="0C7B73C4"/>
    <w:rsid w:val="0C881072"/>
    <w:rsid w:val="0D6B65B1"/>
    <w:rsid w:val="0DC55F3C"/>
    <w:rsid w:val="0E0B1A41"/>
    <w:rsid w:val="0E3444B5"/>
    <w:rsid w:val="0F2D6F84"/>
    <w:rsid w:val="0F54217A"/>
    <w:rsid w:val="0FAD0DC6"/>
    <w:rsid w:val="10377185"/>
    <w:rsid w:val="103C085C"/>
    <w:rsid w:val="10665E3A"/>
    <w:rsid w:val="10945E1E"/>
    <w:rsid w:val="10C7659F"/>
    <w:rsid w:val="110208CA"/>
    <w:rsid w:val="11330B1A"/>
    <w:rsid w:val="1199183A"/>
    <w:rsid w:val="121F14F1"/>
    <w:rsid w:val="12314884"/>
    <w:rsid w:val="128316EA"/>
    <w:rsid w:val="13383413"/>
    <w:rsid w:val="13F23CC4"/>
    <w:rsid w:val="14204E08"/>
    <w:rsid w:val="143C490D"/>
    <w:rsid w:val="15CA4511"/>
    <w:rsid w:val="162C3F30"/>
    <w:rsid w:val="16F45869"/>
    <w:rsid w:val="17B52FA4"/>
    <w:rsid w:val="181205D8"/>
    <w:rsid w:val="18C03412"/>
    <w:rsid w:val="19046EFB"/>
    <w:rsid w:val="1947663A"/>
    <w:rsid w:val="19621440"/>
    <w:rsid w:val="1A5A7703"/>
    <w:rsid w:val="1B222279"/>
    <w:rsid w:val="1B6341CC"/>
    <w:rsid w:val="1BE0210A"/>
    <w:rsid w:val="1CA727EC"/>
    <w:rsid w:val="1D2066FA"/>
    <w:rsid w:val="1DE773FB"/>
    <w:rsid w:val="1E3B3326"/>
    <w:rsid w:val="1E6E3A7C"/>
    <w:rsid w:val="1EFA4DC5"/>
    <w:rsid w:val="1F4A7BEC"/>
    <w:rsid w:val="1FBB7C70"/>
    <w:rsid w:val="2014251E"/>
    <w:rsid w:val="205F7B4A"/>
    <w:rsid w:val="210112AE"/>
    <w:rsid w:val="220B1CB9"/>
    <w:rsid w:val="225337F2"/>
    <w:rsid w:val="22736A7A"/>
    <w:rsid w:val="2277734E"/>
    <w:rsid w:val="230C5CE8"/>
    <w:rsid w:val="23103A10"/>
    <w:rsid w:val="252736C9"/>
    <w:rsid w:val="25433B5F"/>
    <w:rsid w:val="2546467E"/>
    <w:rsid w:val="26903D5A"/>
    <w:rsid w:val="28041D01"/>
    <w:rsid w:val="284E5F99"/>
    <w:rsid w:val="28C634A1"/>
    <w:rsid w:val="28D17380"/>
    <w:rsid w:val="28EA61A8"/>
    <w:rsid w:val="29873395"/>
    <w:rsid w:val="29C67C85"/>
    <w:rsid w:val="2A494852"/>
    <w:rsid w:val="2A97058D"/>
    <w:rsid w:val="2A9A1B11"/>
    <w:rsid w:val="2AC71585"/>
    <w:rsid w:val="2D562997"/>
    <w:rsid w:val="2DB870B5"/>
    <w:rsid w:val="2DF23491"/>
    <w:rsid w:val="2F2F481A"/>
    <w:rsid w:val="2F53487E"/>
    <w:rsid w:val="2F9916D4"/>
    <w:rsid w:val="2FA84FEB"/>
    <w:rsid w:val="303202C7"/>
    <w:rsid w:val="30C63CC4"/>
    <w:rsid w:val="30D4393D"/>
    <w:rsid w:val="30DE0FAA"/>
    <w:rsid w:val="311356ED"/>
    <w:rsid w:val="314B174B"/>
    <w:rsid w:val="31557642"/>
    <w:rsid w:val="317D2761"/>
    <w:rsid w:val="32343217"/>
    <w:rsid w:val="329B4993"/>
    <w:rsid w:val="32FF2075"/>
    <w:rsid w:val="33D86286"/>
    <w:rsid w:val="34000040"/>
    <w:rsid w:val="340D714F"/>
    <w:rsid w:val="34D02565"/>
    <w:rsid w:val="35116C0D"/>
    <w:rsid w:val="359D6AD2"/>
    <w:rsid w:val="36073127"/>
    <w:rsid w:val="36C65B48"/>
    <w:rsid w:val="372413FB"/>
    <w:rsid w:val="37557003"/>
    <w:rsid w:val="37EA37B0"/>
    <w:rsid w:val="38031982"/>
    <w:rsid w:val="382E5678"/>
    <w:rsid w:val="38DA1A0F"/>
    <w:rsid w:val="38E46C01"/>
    <w:rsid w:val="38EA0B96"/>
    <w:rsid w:val="390D6328"/>
    <w:rsid w:val="39931628"/>
    <w:rsid w:val="39AA0517"/>
    <w:rsid w:val="39F20F5E"/>
    <w:rsid w:val="3A1A4D37"/>
    <w:rsid w:val="3A6E6AC9"/>
    <w:rsid w:val="3A867E2D"/>
    <w:rsid w:val="3BA03231"/>
    <w:rsid w:val="3BA34C1F"/>
    <w:rsid w:val="3C7C1490"/>
    <w:rsid w:val="3D2146F0"/>
    <w:rsid w:val="3D346863"/>
    <w:rsid w:val="3DD27E02"/>
    <w:rsid w:val="3F1E7077"/>
    <w:rsid w:val="3FD33FA2"/>
    <w:rsid w:val="40063075"/>
    <w:rsid w:val="400A6CD0"/>
    <w:rsid w:val="40153700"/>
    <w:rsid w:val="41347595"/>
    <w:rsid w:val="416449F7"/>
    <w:rsid w:val="42627F48"/>
    <w:rsid w:val="42906C16"/>
    <w:rsid w:val="42946C56"/>
    <w:rsid w:val="429A4CAC"/>
    <w:rsid w:val="42B67E7E"/>
    <w:rsid w:val="42D14326"/>
    <w:rsid w:val="43147396"/>
    <w:rsid w:val="433B2F41"/>
    <w:rsid w:val="44716B65"/>
    <w:rsid w:val="448E4C5F"/>
    <w:rsid w:val="44D84F15"/>
    <w:rsid w:val="44FF13E9"/>
    <w:rsid w:val="45107094"/>
    <w:rsid w:val="45D02C75"/>
    <w:rsid w:val="45EE7250"/>
    <w:rsid w:val="47543636"/>
    <w:rsid w:val="477632BC"/>
    <w:rsid w:val="47E474EA"/>
    <w:rsid w:val="487F7862"/>
    <w:rsid w:val="48CC54C6"/>
    <w:rsid w:val="49002CF4"/>
    <w:rsid w:val="492C0E65"/>
    <w:rsid w:val="4A1166AB"/>
    <w:rsid w:val="4A1B6602"/>
    <w:rsid w:val="4C227D0B"/>
    <w:rsid w:val="4C642D2C"/>
    <w:rsid w:val="4D0B618C"/>
    <w:rsid w:val="4D347533"/>
    <w:rsid w:val="507153A5"/>
    <w:rsid w:val="51DD7ACF"/>
    <w:rsid w:val="530C595A"/>
    <w:rsid w:val="53277D99"/>
    <w:rsid w:val="533113DD"/>
    <w:rsid w:val="53957DC2"/>
    <w:rsid w:val="53AA2830"/>
    <w:rsid w:val="540C486D"/>
    <w:rsid w:val="542C367D"/>
    <w:rsid w:val="544E4259"/>
    <w:rsid w:val="555764DE"/>
    <w:rsid w:val="55803C7C"/>
    <w:rsid w:val="55D16F06"/>
    <w:rsid w:val="55F1036E"/>
    <w:rsid w:val="5694615A"/>
    <w:rsid w:val="57272DF4"/>
    <w:rsid w:val="576D54E8"/>
    <w:rsid w:val="583764D9"/>
    <w:rsid w:val="586B4169"/>
    <w:rsid w:val="58822015"/>
    <w:rsid w:val="58CA7BFC"/>
    <w:rsid w:val="58FC58DC"/>
    <w:rsid w:val="59802ABF"/>
    <w:rsid w:val="5A4F5DAB"/>
    <w:rsid w:val="5A5624AA"/>
    <w:rsid w:val="5A5867BC"/>
    <w:rsid w:val="5A82638B"/>
    <w:rsid w:val="5B380598"/>
    <w:rsid w:val="5B59119F"/>
    <w:rsid w:val="5B9111C9"/>
    <w:rsid w:val="5BC546FD"/>
    <w:rsid w:val="5BCF42E5"/>
    <w:rsid w:val="5CF15CC8"/>
    <w:rsid w:val="5D3E76B6"/>
    <w:rsid w:val="5D465377"/>
    <w:rsid w:val="5D5510D1"/>
    <w:rsid w:val="5DAC518D"/>
    <w:rsid w:val="5DB92BD0"/>
    <w:rsid w:val="5EB6477F"/>
    <w:rsid w:val="5F7A0F76"/>
    <w:rsid w:val="5FAD68BB"/>
    <w:rsid w:val="5FE17094"/>
    <w:rsid w:val="601A1448"/>
    <w:rsid w:val="602B4590"/>
    <w:rsid w:val="603A27D5"/>
    <w:rsid w:val="60896E9B"/>
    <w:rsid w:val="612F6730"/>
    <w:rsid w:val="618A0545"/>
    <w:rsid w:val="61EF04FA"/>
    <w:rsid w:val="62E20AC4"/>
    <w:rsid w:val="634B193A"/>
    <w:rsid w:val="64AC2938"/>
    <w:rsid w:val="64D30CB5"/>
    <w:rsid w:val="654A6ED0"/>
    <w:rsid w:val="65541890"/>
    <w:rsid w:val="663C2C67"/>
    <w:rsid w:val="67AC4971"/>
    <w:rsid w:val="680C7D4A"/>
    <w:rsid w:val="684C1AF0"/>
    <w:rsid w:val="6884144A"/>
    <w:rsid w:val="68D40F6C"/>
    <w:rsid w:val="691517D9"/>
    <w:rsid w:val="69AA1404"/>
    <w:rsid w:val="6A3A2854"/>
    <w:rsid w:val="6A741D7E"/>
    <w:rsid w:val="6AC547D7"/>
    <w:rsid w:val="6B75602F"/>
    <w:rsid w:val="6B850EAA"/>
    <w:rsid w:val="6BC92283"/>
    <w:rsid w:val="6C0C1E82"/>
    <w:rsid w:val="6DDB7D59"/>
    <w:rsid w:val="6E4404BD"/>
    <w:rsid w:val="6E905735"/>
    <w:rsid w:val="6FE02F83"/>
    <w:rsid w:val="700B6704"/>
    <w:rsid w:val="70E12F7A"/>
    <w:rsid w:val="71EF3CF1"/>
    <w:rsid w:val="724B49F4"/>
    <w:rsid w:val="726E049A"/>
    <w:rsid w:val="729B6E99"/>
    <w:rsid w:val="73236A19"/>
    <w:rsid w:val="73391B8A"/>
    <w:rsid w:val="733E101B"/>
    <w:rsid w:val="75D82DED"/>
    <w:rsid w:val="769938E1"/>
    <w:rsid w:val="76E740F2"/>
    <w:rsid w:val="77111A74"/>
    <w:rsid w:val="77757724"/>
    <w:rsid w:val="77A6577E"/>
    <w:rsid w:val="77F66098"/>
    <w:rsid w:val="785E0573"/>
    <w:rsid w:val="78972217"/>
    <w:rsid w:val="78DE72FD"/>
    <w:rsid w:val="7AB518C7"/>
    <w:rsid w:val="7B0A3979"/>
    <w:rsid w:val="7B811F45"/>
    <w:rsid w:val="7B935003"/>
    <w:rsid w:val="7BF3508C"/>
    <w:rsid w:val="7C4D4D94"/>
    <w:rsid w:val="7C5F1B5A"/>
    <w:rsid w:val="7CAB2FF1"/>
    <w:rsid w:val="7CAB594D"/>
    <w:rsid w:val="7CB56976"/>
    <w:rsid w:val="7CBE7070"/>
    <w:rsid w:val="7D2A7C3E"/>
    <w:rsid w:val="7D2E57D6"/>
    <w:rsid w:val="7D426FD6"/>
    <w:rsid w:val="7D4F42C3"/>
    <w:rsid w:val="7F536794"/>
    <w:rsid w:val="7FD001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0"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b/>
      <w:bCs/>
      <w:kern w:val="0"/>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99"/>
    <w:pPr>
      <w:ind w:left="1400" w:leftChars="1400"/>
    </w:pPr>
  </w:style>
  <w:style w:type="paragraph" w:styleId="5">
    <w:name w:val="Normal Indent"/>
    <w:basedOn w:val="1"/>
    <w:qFormat/>
    <w:uiPriority w:val="0"/>
    <w:pPr>
      <w:ind w:firstLine="420"/>
    </w:pPr>
    <w:rPr>
      <w:rFonts w:ascii="Times New Roman" w:hAnsi="Times New Roman"/>
      <w:szCs w:val="20"/>
    </w:rPr>
  </w:style>
  <w:style w:type="paragraph" w:styleId="6">
    <w:name w:val="annotation text"/>
    <w:basedOn w:val="1"/>
    <w:link w:val="26"/>
    <w:unhideWhenUsed/>
    <w:qFormat/>
    <w:uiPriority w:val="99"/>
    <w:pPr>
      <w:jc w:val="left"/>
    </w:pPr>
  </w:style>
  <w:style w:type="paragraph" w:styleId="7">
    <w:name w:val="Body Text"/>
    <w:basedOn w:val="1"/>
    <w:link w:val="27"/>
    <w:unhideWhenUsed/>
    <w:qFormat/>
    <w:uiPriority w:val="1"/>
    <w:pPr>
      <w:ind w:left="520"/>
    </w:pPr>
    <w:rPr>
      <w:rFonts w:ascii="宋体" w:hAnsi="宋体"/>
      <w:kern w:val="0"/>
      <w:sz w:val="20"/>
    </w:rPr>
  </w:style>
  <w:style w:type="paragraph" w:styleId="8">
    <w:name w:val="Body Text Indent"/>
    <w:basedOn w:val="1"/>
    <w:next w:val="9"/>
    <w:qFormat/>
    <w:uiPriority w:val="0"/>
    <w:pPr>
      <w:ind w:firstLine="570"/>
    </w:pPr>
    <w:rPr>
      <w:sz w:val="28"/>
    </w:rPr>
  </w:style>
  <w:style w:type="paragraph" w:styleId="9">
    <w:name w:val="envelope return"/>
    <w:basedOn w:val="1"/>
    <w:qFormat/>
    <w:uiPriority w:val="99"/>
    <w:pPr>
      <w:snapToGrid w:val="0"/>
    </w:pPr>
    <w:rPr>
      <w:rFonts w:ascii="Arial" w:hAnsi="Arial" w:cs="Arial"/>
    </w:rPr>
  </w:style>
  <w:style w:type="paragraph" w:styleId="10">
    <w:name w:val="Plain Text"/>
    <w:basedOn w:val="1"/>
    <w:next w:val="1"/>
    <w:link w:val="28"/>
    <w:qFormat/>
    <w:uiPriority w:val="0"/>
    <w:rPr>
      <w:rFonts w:ascii="Courier New" w:hAnsi="Courier New"/>
      <w:kern w:val="0"/>
      <w:sz w:val="20"/>
      <w:szCs w:val="20"/>
    </w:rPr>
  </w:style>
  <w:style w:type="paragraph" w:styleId="11">
    <w:name w:val="Date"/>
    <w:basedOn w:val="1"/>
    <w:next w:val="1"/>
    <w:link w:val="29"/>
    <w:unhideWhenUsed/>
    <w:qFormat/>
    <w:uiPriority w:val="99"/>
    <w:pPr>
      <w:ind w:left="100" w:leftChars="2500"/>
    </w:pPr>
  </w:style>
  <w:style w:type="paragraph" w:styleId="12">
    <w:name w:val="Balloon Text"/>
    <w:basedOn w:val="1"/>
    <w:link w:val="30"/>
    <w:unhideWhenUsed/>
    <w:qFormat/>
    <w:uiPriority w:val="99"/>
    <w:rPr>
      <w:sz w:val="18"/>
      <w:szCs w:val="18"/>
    </w:rPr>
  </w:style>
  <w:style w:type="paragraph" w:styleId="13">
    <w:name w:val="footer"/>
    <w:basedOn w:val="1"/>
    <w:link w:val="31"/>
    <w:qFormat/>
    <w:uiPriority w:val="99"/>
    <w:pPr>
      <w:tabs>
        <w:tab w:val="center" w:pos="4153"/>
        <w:tab w:val="right" w:pos="8306"/>
      </w:tabs>
      <w:snapToGrid w:val="0"/>
      <w:jc w:val="left"/>
    </w:pPr>
    <w:rPr>
      <w:rFonts w:eastAsia="宋体"/>
      <w:kern w:val="0"/>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2"/>
    <w:basedOn w:val="1"/>
    <w:next w:val="1"/>
    <w:qFormat/>
    <w:uiPriority w:val="0"/>
    <w:pPr>
      <w:ind w:left="420" w:leftChars="200"/>
    </w:pPr>
  </w:style>
  <w:style w:type="paragraph" w:styleId="16">
    <w:name w:val="Normal (Web)"/>
    <w:basedOn w:val="1"/>
    <w:unhideWhenUsed/>
    <w:qFormat/>
    <w:uiPriority w:val="99"/>
    <w:rPr>
      <w:sz w:val="24"/>
    </w:rPr>
  </w:style>
  <w:style w:type="paragraph" w:styleId="17">
    <w:name w:val="annotation subject"/>
    <w:basedOn w:val="6"/>
    <w:next w:val="6"/>
    <w:link w:val="33"/>
    <w:unhideWhenUsed/>
    <w:qFormat/>
    <w:uiPriority w:val="0"/>
  </w:style>
  <w:style w:type="paragraph" w:styleId="18">
    <w:name w:val="Body Text First Indent 2"/>
    <w:basedOn w:val="8"/>
    <w:qFormat/>
    <w:uiPriority w:val="0"/>
    <w:pPr>
      <w:ind w:firstLine="960" w:firstLineChars="200"/>
    </w:pPr>
    <w:rPr>
      <w:sz w:val="24"/>
      <w:szCs w:val="20"/>
    </w:rPr>
  </w:style>
  <w:style w:type="character" w:styleId="21">
    <w:name w:val="page number"/>
    <w:qFormat/>
    <w:uiPriority w:val="0"/>
  </w:style>
  <w:style w:type="character" w:styleId="22">
    <w:name w:val="Hyperlink"/>
    <w:unhideWhenUsed/>
    <w:qFormat/>
    <w:uiPriority w:val="99"/>
    <w:rPr>
      <w:color w:val="0000FF"/>
      <w:u w:val="single"/>
    </w:rPr>
  </w:style>
  <w:style w:type="character" w:styleId="23">
    <w:name w:val="annotation reference"/>
    <w:unhideWhenUsed/>
    <w:qFormat/>
    <w:uiPriority w:val="99"/>
    <w:rPr>
      <w:sz w:val="21"/>
      <w:szCs w:val="21"/>
    </w:rPr>
  </w:style>
  <w:style w:type="paragraph" w:customStyle="1" w:styleId="24">
    <w:name w:val="BodyText"/>
    <w:basedOn w:val="1"/>
    <w:qFormat/>
    <w:uiPriority w:val="0"/>
    <w:pPr>
      <w:spacing w:after="120"/>
    </w:pPr>
    <w:rPr>
      <w:rFonts w:ascii="Times New Roman" w:hAnsi="Times New Roman"/>
      <w:kern w:val="0"/>
      <w:sz w:val="20"/>
      <w:szCs w:val="20"/>
    </w:rPr>
  </w:style>
  <w:style w:type="character" w:customStyle="1" w:styleId="25">
    <w:name w:val="标题 2 Char"/>
    <w:link w:val="3"/>
    <w:qFormat/>
    <w:uiPriority w:val="0"/>
    <w:rPr>
      <w:rFonts w:ascii="Arial" w:hAnsi="Arial" w:eastAsia="黑体" w:cs="Times New Roman"/>
      <w:b/>
      <w:bCs/>
      <w:sz w:val="32"/>
      <w:szCs w:val="32"/>
    </w:rPr>
  </w:style>
  <w:style w:type="character" w:customStyle="1" w:styleId="26">
    <w:name w:val="批注文字 Char"/>
    <w:link w:val="6"/>
    <w:qFormat/>
    <w:uiPriority w:val="99"/>
    <w:rPr>
      <w:rFonts w:ascii="等线" w:hAnsi="等线" w:eastAsia="等线" w:cs="Times New Roman"/>
      <w:kern w:val="2"/>
      <w:sz w:val="21"/>
      <w:szCs w:val="24"/>
    </w:rPr>
  </w:style>
  <w:style w:type="character" w:customStyle="1" w:styleId="27">
    <w:name w:val="正文文本 Char"/>
    <w:link w:val="7"/>
    <w:qFormat/>
    <w:uiPriority w:val="1"/>
    <w:rPr>
      <w:rFonts w:ascii="宋体" w:hAnsi="宋体" w:eastAsia="等线" w:cs="Times New Roman"/>
      <w:szCs w:val="24"/>
    </w:rPr>
  </w:style>
  <w:style w:type="character" w:customStyle="1" w:styleId="28">
    <w:name w:val="纯文本 Char"/>
    <w:link w:val="10"/>
    <w:qFormat/>
    <w:uiPriority w:val="0"/>
    <w:rPr>
      <w:rFonts w:ascii="Courier New" w:hAnsi="Courier New" w:eastAsia="等线" w:cs="Times New Roman"/>
      <w:szCs w:val="20"/>
    </w:rPr>
  </w:style>
  <w:style w:type="character" w:customStyle="1" w:styleId="29">
    <w:name w:val="日期 Char"/>
    <w:link w:val="11"/>
    <w:semiHidden/>
    <w:qFormat/>
    <w:uiPriority w:val="99"/>
    <w:rPr>
      <w:rFonts w:ascii="等线" w:hAnsi="等线" w:eastAsia="等线" w:cs="Times New Roman"/>
      <w:kern w:val="2"/>
      <w:sz w:val="21"/>
      <w:szCs w:val="24"/>
    </w:rPr>
  </w:style>
  <w:style w:type="character" w:customStyle="1" w:styleId="30">
    <w:name w:val="批注框文本 Char"/>
    <w:link w:val="12"/>
    <w:semiHidden/>
    <w:qFormat/>
    <w:uiPriority w:val="99"/>
    <w:rPr>
      <w:rFonts w:ascii="等线" w:hAnsi="等线" w:eastAsia="等线" w:cs="Times New Roman"/>
      <w:kern w:val="2"/>
      <w:sz w:val="18"/>
      <w:szCs w:val="18"/>
    </w:rPr>
  </w:style>
  <w:style w:type="character" w:customStyle="1" w:styleId="31">
    <w:name w:val="页脚 Char"/>
    <w:link w:val="13"/>
    <w:qFormat/>
    <w:uiPriority w:val="99"/>
    <w:rPr>
      <w:rFonts w:ascii="等线" w:hAnsi="等线" w:eastAsia="宋体" w:cs="Times New Roman"/>
      <w:sz w:val="18"/>
      <w:szCs w:val="18"/>
    </w:rPr>
  </w:style>
  <w:style w:type="character" w:customStyle="1" w:styleId="32">
    <w:name w:val="页眉 Char"/>
    <w:link w:val="14"/>
    <w:qFormat/>
    <w:uiPriority w:val="99"/>
    <w:rPr>
      <w:rFonts w:ascii="等线" w:hAnsi="等线" w:eastAsia="等线" w:cs="Times New Roman"/>
      <w:sz w:val="18"/>
      <w:szCs w:val="18"/>
    </w:rPr>
  </w:style>
  <w:style w:type="character" w:customStyle="1" w:styleId="33">
    <w:name w:val="批注主题 Char"/>
    <w:link w:val="17"/>
    <w:qFormat/>
    <w:uiPriority w:val="0"/>
    <w:rPr>
      <w:rFonts w:ascii="等线" w:hAnsi="等线" w:eastAsia="等线" w:cs="Times New Roman"/>
      <w:kern w:val="2"/>
      <w:sz w:val="21"/>
      <w:szCs w:val="24"/>
    </w:rPr>
  </w:style>
  <w:style w:type="paragraph" w:customStyle="1" w:styleId="34">
    <w:name w:val="Heading2"/>
    <w:basedOn w:val="1"/>
    <w:next w:val="1"/>
    <w:qFormat/>
    <w:uiPriority w:val="0"/>
    <w:pPr>
      <w:keepNext/>
      <w:keepLines/>
      <w:widowControl w:val="0"/>
      <w:spacing w:before="260" w:after="260" w:line="412" w:lineRule="auto"/>
    </w:pPr>
    <w:rPr>
      <w:rFonts w:ascii="Arial" w:hAnsi="Arial" w:eastAsia="黑体"/>
      <w:kern w:val="0"/>
      <w:sz w:val="32"/>
      <w:szCs w:val="32"/>
    </w:r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6">
    <w:name w:val="Revision"/>
    <w:unhideWhenUsed/>
    <w:qFormat/>
    <w:uiPriority w:val="99"/>
    <w:rPr>
      <w:rFonts w:ascii="等线" w:hAnsi="等线" w:eastAsia="等线" w:cs="Times New Roman"/>
      <w:kern w:val="2"/>
      <w:sz w:val="21"/>
      <w:szCs w:val="24"/>
      <w:lang w:val="en-US" w:eastAsia="zh-CN" w:bidi="ar-SA"/>
    </w:rPr>
  </w:style>
  <w:style w:type="paragraph" w:customStyle="1" w:styleId="37">
    <w:name w:val="发文落款"/>
    <w:basedOn w:val="35"/>
    <w:qFormat/>
    <w:uiPriority w:val="0"/>
    <w:pPr>
      <w:ind w:left="4094" w:right="607" w:firstLine="0"/>
      <w:jc w:val="center"/>
    </w:pPr>
  </w:style>
  <w:style w:type="paragraph" w:customStyle="1" w:styleId="38">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sz w:val="24"/>
    </w:rPr>
  </w:style>
  <w:style w:type="paragraph" w:customStyle="1" w:styleId="39">
    <w:name w:val="样式 宋体 行距: 1.5 倍行距"/>
    <w:basedOn w:val="1"/>
    <w:qFormat/>
    <w:uiPriority w:val="99"/>
    <w:pPr>
      <w:jc w:val="center"/>
    </w:pPr>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15</Pages>
  <Words>10538</Words>
  <Characters>11287</Characters>
  <Lines>93</Lines>
  <Paragraphs>26</Paragraphs>
  <TotalTime>74</TotalTime>
  <ScaleCrop>false</ScaleCrop>
  <LinksUpToDate>false</LinksUpToDate>
  <CharactersWithSpaces>11811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2023-11-24T02:54:00Z</dcterms:created>
  <dc:creator>广州建筑工程监理有限公司</dc:creator>
  <cp:lastModifiedBy>在晴朗的一天出发</cp:lastModifiedBy>
  <cp:lastPrinted>2023-11-24T02:28:00Z</cp:lastPrinted>
  <dcterms:modified xsi:type="dcterms:W3CDTF">2025-09-25T08:06:41Z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D3A3B75A71C148279181D8F7B6F6D7B5_13</vt:lpwstr>
  </property>
  <property fmtid="{D5CDD505-2E9C-101B-9397-08002B2CF9AE}" pid="4" name="KSOTemplateDocerSaveRecord">
    <vt:lpwstr>eyJoZGlkIjoiNjlhMGVhZGNjMDNlMzhiZmJjOGVkYzdlZjMxNDdhZDIiLCJ1c2VySWQiOiI3MDE2NjI1NjIifQ==</vt:lpwstr>
  </property>
</Properties>
</file>