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904E3">
      <w:pPr>
        <w:pStyle w:val="6"/>
        <w:keepNext w:val="0"/>
        <w:keepLines w:val="0"/>
        <w:pageBreakBefore w:val="0"/>
        <w:kinsoku/>
        <w:wordWrap/>
        <w:overflowPunct/>
        <w:topLinePunct w:val="0"/>
        <w:autoSpaceDE/>
        <w:autoSpaceDN/>
        <w:bidi w:val="0"/>
        <w:spacing w:line="360" w:lineRule="auto"/>
        <w:jc w:val="center"/>
        <w:textAlignment w:val="auto"/>
        <w:rPr>
          <w:rFonts w:hint="eastAsia" w:eastAsia="宋体"/>
          <w:sz w:val="36"/>
          <w:szCs w:val="36"/>
          <w:u w:val="none"/>
          <w:lang w:eastAsia="zh-CN"/>
        </w:rPr>
        <w:sectPr>
          <w:footerReference r:id="rId3" w:type="even"/>
          <w:endnotePr>
            <w:numFmt w:val="decimal"/>
          </w:endnotePr>
          <w:pgSz w:w="11906" w:h="16838"/>
          <w:pgMar w:top="1440" w:right="1134" w:bottom="1440" w:left="1134" w:header="851" w:footer="992" w:gutter="0"/>
          <w:cols w:space="720" w:num="1"/>
          <w:docGrid w:type="lines" w:linePitch="312" w:charSpace="0"/>
        </w:sectPr>
      </w:pPr>
      <w:r>
        <w:rPr>
          <w:rFonts w:hint="eastAsia" w:eastAsia="宋体"/>
          <w:sz w:val="36"/>
          <w:szCs w:val="36"/>
          <w:u w:val="none"/>
          <w:lang w:eastAsia="zh-CN"/>
        </w:rPr>
        <w:drawing>
          <wp:anchor distT="0" distB="0" distL="114300" distR="114300" simplePos="0" relativeHeight="251659264" behindDoc="0" locked="0" layoutInCell="1" allowOverlap="1">
            <wp:simplePos x="0" y="0"/>
            <wp:positionH relativeFrom="column">
              <wp:posOffset>-703580</wp:posOffset>
            </wp:positionH>
            <wp:positionV relativeFrom="paragraph">
              <wp:posOffset>-915670</wp:posOffset>
            </wp:positionV>
            <wp:extent cx="7567930" cy="10660380"/>
            <wp:effectExtent l="0" t="0" r="6350" b="7620"/>
            <wp:wrapNone/>
            <wp:docPr id="1" name="图片 1" descr="封面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2"/>
                    <pic:cNvPicPr>
                      <a:picLocks noChangeAspect="1"/>
                    </pic:cNvPicPr>
                  </pic:nvPicPr>
                  <pic:blipFill>
                    <a:blip r:embed="rId6"/>
                    <a:stretch>
                      <a:fillRect/>
                    </a:stretch>
                  </pic:blipFill>
                  <pic:spPr>
                    <a:xfrm>
                      <a:off x="0" y="0"/>
                      <a:ext cx="7567930" cy="10660380"/>
                    </a:xfrm>
                    <a:prstGeom prst="rect">
                      <a:avLst/>
                    </a:prstGeom>
                  </pic:spPr>
                </pic:pic>
              </a:graphicData>
            </a:graphic>
          </wp:anchor>
        </w:drawing>
      </w:r>
    </w:p>
    <w:p w14:paraId="43008AA7">
      <w:pPr>
        <w:pStyle w:val="6"/>
        <w:keepNext w:val="0"/>
        <w:keepLines w:val="0"/>
        <w:pageBreakBefore w:val="0"/>
        <w:kinsoku/>
        <w:wordWrap/>
        <w:overflowPunct/>
        <w:topLinePunct w:val="0"/>
        <w:autoSpaceDE/>
        <w:autoSpaceDN/>
        <w:bidi w:val="0"/>
        <w:spacing w:line="360" w:lineRule="auto"/>
        <w:jc w:val="center"/>
        <w:textAlignment w:val="auto"/>
        <w:rPr>
          <w:rFonts w:hint="eastAsia" w:eastAsia="宋体"/>
          <w:b/>
          <w:bCs/>
          <w:sz w:val="44"/>
          <w:szCs w:val="44"/>
          <w:u w:val="none"/>
          <w:lang w:eastAsia="zh-CN"/>
        </w:rPr>
      </w:pPr>
      <w:r>
        <w:rPr>
          <w:rFonts w:hint="eastAsia"/>
          <w:b/>
          <w:bCs/>
          <w:sz w:val="44"/>
          <w:szCs w:val="44"/>
          <w:u w:val="none"/>
          <w:lang w:eastAsia="zh-CN"/>
        </w:rPr>
        <w:t>番禺区石碁镇富怡路周边市政基础设施改造工程</w:t>
      </w:r>
    </w:p>
    <w:p w14:paraId="65394051">
      <w:pPr>
        <w:pStyle w:val="6"/>
        <w:keepNext w:val="0"/>
        <w:keepLines w:val="0"/>
        <w:pageBreakBefore w:val="0"/>
        <w:kinsoku/>
        <w:wordWrap/>
        <w:overflowPunct/>
        <w:topLinePunct w:val="0"/>
        <w:autoSpaceDE/>
        <w:autoSpaceDN/>
        <w:bidi w:val="0"/>
        <w:spacing w:line="360" w:lineRule="auto"/>
        <w:jc w:val="center"/>
        <w:textAlignment w:val="auto"/>
        <w:rPr>
          <w:b/>
          <w:bCs/>
          <w:sz w:val="44"/>
          <w:szCs w:val="44"/>
        </w:rPr>
      </w:pPr>
      <w:r>
        <w:rPr>
          <w:rFonts w:hint="eastAsia"/>
          <w:b/>
          <w:bCs/>
          <w:sz w:val="44"/>
          <w:szCs w:val="44"/>
          <w:u w:val="none"/>
        </w:rPr>
        <w:t>施工总承包项目招标公告</w:t>
      </w:r>
    </w:p>
    <w:p w14:paraId="5CCAEFEF">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根据</w:t>
      </w:r>
      <w:r>
        <w:rPr>
          <w:rFonts w:hint="eastAsia" w:ascii="宋体" w:hAnsi="宋体"/>
          <w:sz w:val="24"/>
          <w:szCs w:val="24"/>
          <w:u w:val="single"/>
        </w:rPr>
        <w:t>穗番发改投批〔202</w:t>
      </w:r>
      <w:r>
        <w:rPr>
          <w:rFonts w:hint="eastAsia" w:ascii="宋体" w:hAnsi="宋体"/>
          <w:sz w:val="24"/>
          <w:szCs w:val="24"/>
          <w:u w:val="single"/>
          <w:lang w:val="en-US" w:eastAsia="zh-CN"/>
        </w:rPr>
        <w:t>5</w:t>
      </w:r>
      <w:r>
        <w:rPr>
          <w:rFonts w:hint="eastAsia" w:ascii="宋体" w:hAnsi="宋体"/>
          <w:sz w:val="24"/>
          <w:szCs w:val="24"/>
          <w:u w:val="single"/>
        </w:rPr>
        <w:t>〕</w:t>
      </w:r>
      <w:r>
        <w:rPr>
          <w:rFonts w:hint="eastAsia" w:ascii="宋体" w:hAnsi="宋体"/>
          <w:sz w:val="24"/>
          <w:szCs w:val="24"/>
          <w:u w:val="single"/>
          <w:lang w:val="en-US" w:eastAsia="zh-CN"/>
        </w:rPr>
        <w:t>30</w:t>
      </w:r>
      <w:bookmarkStart w:id="0" w:name="_GoBack"/>
      <w:bookmarkEnd w:id="0"/>
      <w:r>
        <w:rPr>
          <w:rFonts w:hint="eastAsia" w:ascii="宋体" w:hAnsi="宋体"/>
          <w:sz w:val="24"/>
          <w:szCs w:val="24"/>
          <w:u w:val="single"/>
        </w:rPr>
        <w:t>号</w:t>
      </w:r>
      <w:r>
        <w:rPr>
          <w:rFonts w:hint="eastAsia" w:ascii="宋体" w:hAnsi="宋体"/>
          <w:sz w:val="24"/>
        </w:rPr>
        <w:t>批准，并且图纸和技术资料满足施工需要，</w:t>
      </w:r>
      <w:r>
        <w:rPr>
          <w:rFonts w:hint="eastAsia" w:ascii="宋体" w:hAnsi="宋体"/>
          <w:sz w:val="24"/>
          <w:u w:val="single"/>
          <w:lang w:eastAsia="zh-CN"/>
        </w:rPr>
        <w:t>广州市番禺区石碁镇人民政府</w:t>
      </w:r>
      <w:r>
        <w:rPr>
          <w:rFonts w:hint="eastAsia" w:ascii="宋体" w:hAnsi="宋体"/>
          <w:sz w:val="24"/>
        </w:rPr>
        <w:t>现对</w:t>
      </w:r>
      <w:r>
        <w:rPr>
          <w:rFonts w:hint="eastAsia" w:ascii="宋体" w:hAnsi="宋体" w:cs="宋体"/>
          <w:sz w:val="24"/>
          <w:u w:val="single"/>
          <w:lang w:eastAsia="zh-CN"/>
        </w:rPr>
        <w:t>番禺区石碁镇富怡路周边市政基础设施改造工程</w:t>
      </w:r>
      <w:r>
        <w:rPr>
          <w:rFonts w:hint="eastAsia" w:ascii="宋体" w:hAnsi="宋体"/>
          <w:sz w:val="24"/>
        </w:rPr>
        <w:t>施工进行施工</w:t>
      </w:r>
      <w:r>
        <w:rPr>
          <w:sz w:val="24"/>
        </w:rPr>
        <w:t>[</w:t>
      </w:r>
      <w:r>
        <w:rPr>
          <w:rFonts w:hint="eastAsia"/>
          <w:sz w:val="24"/>
        </w:rPr>
        <w:t>总承包</w:t>
      </w:r>
      <w:r>
        <w:rPr>
          <w:sz w:val="24"/>
        </w:rPr>
        <w:t>]</w:t>
      </w:r>
      <w:r>
        <w:rPr>
          <w:rFonts w:hint="eastAsia" w:ascii="宋体" w:hAnsi="宋体"/>
          <w:sz w:val="24"/>
        </w:rPr>
        <w:t>公开招标，选定承包人。</w:t>
      </w:r>
    </w:p>
    <w:p w14:paraId="751F85CF">
      <w:pPr>
        <w:keepNext w:val="0"/>
        <w:keepLines w:val="0"/>
        <w:pageBreakBefore w:val="0"/>
        <w:tabs>
          <w:tab w:val="center" w:pos="4415"/>
        </w:tabs>
        <w:kinsoku/>
        <w:wordWrap/>
        <w:overflowPunct/>
        <w:topLinePunct w:val="0"/>
        <w:autoSpaceDE/>
        <w:autoSpaceDN/>
        <w:bidi w:val="0"/>
        <w:spacing w:line="360" w:lineRule="auto"/>
        <w:ind w:firstLine="537" w:firstLineChars="224"/>
        <w:textAlignment w:val="auto"/>
        <w:rPr>
          <w:rFonts w:hint="eastAsia" w:ascii="宋体" w:hAnsi="宋体" w:eastAsia="宋体"/>
          <w:sz w:val="24"/>
          <w:u w:val="single"/>
          <w:lang w:eastAsia="zh-CN"/>
        </w:rPr>
      </w:pPr>
      <w:r>
        <w:rPr>
          <w:rFonts w:hint="eastAsia" w:ascii="宋体" w:hAnsi="宋体"/>
          <w:sz w:val="24"/>
        </w:rPr>
        <w:t>一、工程名称：</w:t>
      </w:r>
      <w:r>
        <w:rPr>
          <w:rFonts w:hint="eastAsia" w:ascii="宋体" w:hAnsi="宋体" w:cs="宋体"/>
          <w:sz w:val="24"/>
          <w:u w:val="single"/>
          <w:lang w:eastAsia="zh-CN"/>
        </w:rPr>
        <w:t>番禺区石碁镇富怡路周边市政基础设施改造工程</w:t>
      </w:r>
    </w:p>
    <w:p w14:paraId="6FC32967">
      <w:pPr>
        <w:keepNext w:val="0"/>
        <w:keepLines w:val="0"/>
        <w:pageBreakBefore w:val="0"/>
        <w:tabs>
          <w:tab w:val="center" w:pos="4415"/>
        </w:tabs>
        <w:kinsoku/>
        <w:wordWrap/>
        <w:overflowPunct/>
        <w:topLinePunct w:val="0"/>
        <w:autoSpaceDE/>
        <w:autoSpaceDN/>
        <w:bidi w:val="0"/>
        <w:spacing w:line="360" w:lineRule="auto"/>
        <w:ind w:firstLine="1017" w:firstLineChars="424"/>
        <w:textAlignment w:val="auto"/>
        <w:rPr>
          <w:rFonts w:ascii="宋体" w:hAnsi="宋体"/>
          <w:sz w:val="24"/>
          <w:u w:val="single"/>
        </w:rPr>
      </w:pPr>
      <w:r>
        <w:rPr>
          <w:rFonts w:hint="eastAsia" w:ascii="宋体"/>
          <w:sz w:val="24"/>
        </w:rPr>
        <w:t>项目代码：</w:t>
      </w:r>
      <w:r>
        <w:rPr>
          <w:rFonts w:hint="eastAsia" w:ascii="宋体" w:hAnsi="宋体" w:cs="宋体"/>
          <w:bCs/>
          <w:sz w:val="24"/>
          <w:u w:val="single"/>
        </w:rPr>
        <w:t>2503-440113-04-01-100803</w:t>
      </w:r>
    </w:p>
    <w:p w14:paraId="7E3DED07">
      <w:pPr>
        <w:keepNext w:val="0"/>
        <w:keepLines w:val="0"/>
        <w:pageBreakBefore w:val="0"/>
        <w:kinsoku/>
        <w:wordWrap/>
        <w:overflowPunct/>
        <w:topLinePunct w:val="0"/>
        <w:autoSpaceDE/>
        <w:autoSpaceDN/>
        <w:bidi w:val="0"/>
        <w:spacing w:line="360" w:lineRule="auto"/>
        <w:ind w:firstLine="537" w:firstLineChars="224"/>
        <w:textAlignment w:val="auto"/>
        <w:rPr>
          <w:rFonts w:hint="eastAsia" w:ascii="宋体" w:eastAsia="宋体"/>
          <w:sz w:val="24"/>
          <w:u w:val="single"/>
          <w:lang w:eastAsia="zh-CN"/>
        </w:rPr>
      </w:pPr>
      <w:r>
        <w:rPr>
          <w:rFonts w:hint="eastAsia" w:ascii="宋体" w:hAnsi="宋体"/>
          <w:sz w:val="24"/>
        </w:rPr>
        <w:t>二、招标单位：</w:t>
      </w:r>
      <w:r>
        <w:rPr>
          <w:rFonts w:hint="eastAsia" w:ascii="宋体" w:hAnsi="宋体"/>
          <w:sz w:val="24"/>
          <w:u w:val="single"/>
          <w:lang w:eastAsia="zh-CN"/>
        </w:rPr>
        <w:t>广州市番禺区石碁镇人民政府</w:t>
      </w:r>
    </w:p>
    <w:p w14:paraId="22E92FAB">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u w:val="single"/>
        </w:rPr>
      </w:pPr>
      <w:r>
        <w:rPr>
          <w:rFonts w:ascii="宋体" w:hAnsi="宋体"/>
          <w:sz w:val="24"/>
        </w:rPr>
        <w:t xml:space="preserve">    </w:t>
      </w:r>
      <w:r>
        <w:rPr>
          <w:rFonts w:hint="eastAsia" w:ascii="宋体" w:hAnsi="宋体"/>
          <w:sz w:val="24"/>
        </w:rPr>
        <w:t>联系人：</w:t>
      </w:r>
      <w:r>
        <w:rPr>
          <w:rFonts w:hint="eastAsia" w:ascii="宋体" w:hAnsi="宋体" w:cs="宋体"/>
          <w:sz w:val="24"/>
          <w:u w:val="single"/>
        </w:rPr>
        <w:t>何工</w:t>
      </w:r>
      <w:r>
        <w:rPr>
          <w:rFonts w:ascii="宋体" w:hAnsi="宋体"/>
          <w:sz w:val="24"/>
        </w:rPr>
        <w:t xml:space="preserve">    </w:t>
      </w:r>
      <w:r>
        <w:rPr>
          <w:rFonts w:hint="eastAsia" w:ascii="宋体" w:hAnsi="宋体"/>
          <w:sz w:val="24"/>
        </w:rPr>
        <w:t>联系电话：</w:t>
      </w:r>
      <w:r>
        <w:rPr>
          <w:rFonts w:hint="eastAsia" w:ascii="宋体" w:hAnsi="宋体" w:cs="宋体"/>
          <w:kern w:val="0"/>
          <w:sz w:val="24"/>
          <w:szCs w:val="24"/>
          <w:u w:val="single"/>
        </w:rPr>
        <w:t>020-84858121</w:t>
      </w:r>
    </w:p>
    <w:p w14:paraId="368F5BED">
      <w:pPr>
        <w:keepNext w:val="0"/>
        <w:keepLines w:val="0"/>
        <w:pageBreakBefore w:val="0"/>
        <w:kinsoku/>
        <w:wordWrap/>
        <w:overflowPunct/>
        <w:topLinePunct w:val="0"/>
        <w:autoSpaceDE/>
        <w:autoSpaceDN/>
        <w:bidi w:val="0"/>
        <w:spacing w:line="360" w:lineRule="auto"/>
        <w:ind w:firstLine="1015" w:firstLineChars="423"/>
        <w:textAlignment w:val="auto"/>
        <w:rPr>
          <w:rFonts w:hint="eastAsia" w:ascii="宋体" w:hAnsi="宋体" w:eastAsia="宋体"/>
          <w:sz w:val="24"/>
          <w:u w:val="single"/>
          <w:lang w:eastAsia="zh-CN"/>
        </w:rPr>
      </w:pPr>
      <w:r>
        <w:rPr>
          <w:rFonts w:hint="eastAsia" w:ascii="宋体" w:hAnsi="宋体"/>
          <w:sz w:val="24"/>
        </w:rPr>
        <w:t>联系地址：</w:t>
      </w:r>
      <w:r>
        <w:rPr>
          <w:rFonts w:hint="eastAsia" w:ascii="宋体" w:hAnsi="宋体" w:cs="宋体"/>
          <w:sz w:val="24"/>
          <w:u w:val="single"/>
        </w:rPr>
        <w:t xml:space="preserve"> </w:t>
      </w:r>
      <w:r>
        <w:rPr>
          <w:rFonts w:hint="eastAsia" w:ascii="宋体" w:hAnsi="宋体" w:cs="宋体"/>
          <w:sz w:val="24"/>
          <w:u w:val="single"/>
          <w:lang w:eastAsia="zh-CN"/>
        </w:rPr>
        <w:t>广州市番禺区石碁镇岐山南路8号</w:t>
      </w:r>
    </w:p>
    <w:p w14:paraId="4FE0FF99">
      <w:pPr>
        <w:keepNext w:val="0"/>
        <w:keepLines w:val="0"/>
        <w:pageBreakBefore w:val="0"/>
        <w:kinsoku/>
        <w:wordWrap/>
        <w:overflowPunct/>
        <w:topLinePunct w:val="0"/>
        <w:autoSpaceDE/>
        <w:autoSpaceDN/>
        <w:bidi w:val="0"/>
        <w:spacing w:line="360" w:lineRule="auto"/>
        <w:ind w:firstLine="1015" w:firstLineChars="423"/>
        <w:textAlignment w:val="auto"/>
        <w:rPr>
          <w:rFonts w:hint="eastAsia" w:ascii="宋体" w:eastAsia="宋体"/>
          <w:sz w:val="24"/>
          <w:u w:val="single"/>
          <w:lang w:eastAsia="zh-CN"/>
        </w:rPr>
      </w:pPr>
      <w:r>
        <w:rPr>
          <w:rFonts w:hint="eastAsia" w:ascii="宋体" w:hAnsi="宋体"/>
          <w:sz w:val="24"/>
        </w:rPr>
        <w:t>招标代理机构：</w:t>
      </w:r>
      <w:r>
        <w:rPr>
          <w:rFonts w:hint="eastAsia" w:ascii="宋体" w:hAnsi="宋体"/>
          <w:sz w:val="24"/>
          <w:u w:val="single"/>
          <w:lang w:eastAsia="zh-CN"/>
        </w:rPr>
        <w:t>钺法咨询有限公司</w:t>
      </w:r>
    </w:p>
    <w:p w14:paraId="15049CB6">
      <w:pPr>
        <w:keepNext w:val="0"/>
        <w:keepLines w:val="0"/>
        <w:pageBreakBefore w:val="0"/>
        <w:kinsoku/>
        <w:wordWrap/>
        <w:overflowPunct/>
        <w:topLinePunct w:val="0"/>
        <w:autoSpaceDE/>
        <w:autoSpaceDN/>
        <w:bidi w:val="0"/>
        <w:spacing w:line="360" w:lineRule="auto"/>
        <w:ind w:firstLine="1015" w:firstLineChars="423"/>
        <w:textAlignment w:val="auto"/>
        <w:rPr>
          <w:rFonts w:ascii="宋体" w:hAnsi="宋体"/>
          <w:sz w:val="24"/>
          <w:u w:val="single"/>
        </w:rPr>
      </w:pPr>
      <w:r>
        <w:rPr>
          <w:rFonts w:hint="eastAsia" w:ascii="宋体" w:hAnsi="宋体"/>
          <w:sz w:val="24"/>
        </w:rPr>
        <w:t>联系人：</w:t>
      </w:r>
      <w:r>
        <w:rPr>
          <w:rFonts w:hint="eastAsia" w:ascii="宋体" w:hAnsi="宋体"/>
          <w:sz w:val="24"/>
          <w:szCs w:val="24"/>
          <w:u w:val="single"/>
          <w:lang w:val="en-US" w:eastAsia="zh-CN"/>
        </w:rPr>
        <w:t>李</w:t>
      </w:r>
      <w:r>
        <w:rPr>
          <w:rFonts w:hint="eastAsia" w:ascii="宋体" w:hAnsi="宋体"/>
          <w:sz w:val="24"/>
          <w:szCs w:val="24"/>
          <w:u w:val="single"/>
        </w:rPr>
        <w:t>工</w:t>
      </w:r>
      <w:r>
        <w:rPr>
          <w:rFonts w:ascii="宋体" w:hAnsi="宋体"/>
          <w:sz w:val="24"/>
        </w:rPr>
        <w:t xml:space="preserve">   </w:t>
      </w:r>
      <w:r>
        <w:rPr>
          <w:rFonts w:hint="eastAsia" w:ascii="宋体" w:hAnsi="宋体"/>
          <w:sz w:val="24"/>
        </w:rPr>
        <w:t>联系电话：</w:t>
      </w:r>
      <w:r>
        <w:rPr>
          <w:rFonts w:hint="eastAsia" w:ascii="宋体" w:hAnsi="宋体"/>
          <w:sz w:val="24"/>
          <w:u w:val="single"/>
        </w:rPr>
        <w:t>020-89119819、4008738338</w:t>
      </w:r>
    </w:p>
    <w:p w14:paraId="3D95F9DF">
      <w:pPr>
        <w:keepNext w:val="0"/>
        <w:keepLines w:val="0"/>
        <w:pageBreakBefore w:val="0"/>
        <w:kinsoku/>
        <w:wordWrap/>
        <w:overflowPunct/>
        <w:topLinePunct w:val="0"/>
        <w:autoSpaceDE/>
        <w:autoSpaceDN/>
        <w:bidi w:val="0"/>
        <w:spacing w:line="360" w:lineRule="auto"/>
        <w:ind w:firstLine="1015" w:firstLineChars="423"/>
        <w:textAlignment w:val="auto"/>
        <w:rPr>
          <w:rFonts w:hint="eastAsia" w:eastAsia="宋体"/>
          <w:lang w:eastAsia="zh-CN"/>
        </w:rPr>
      </w:pPr>
      <w:r>
        <w:rPr>
          <w:rFonts w:hint="eastAsia" w:ascii="宋体" w:hAnsi="宋体"/>
          <w:sz w:val="24"/>
        </w:rPr>
        <w:t>联系地址：</w:t>
      </w:r>
      <w:r>
        <w:rPr>
          <w:rFonts w:hint="eastAsia" w:ascii="宋体" w:hAnsi="宋体"/>
          <w:sz w:val="24"/>
          <w:u w:val="single"/>
          <w:lang w:eastAsia="zh-CN"/>
        </w:rPr>
        <w:t>广州市海珠区新港东路90号</w:t>
      </w:r>
    </w:p>
    <w:p w14:paraId="3D69ED75">
      <w:pPr>
        <w:keepNext w:val="0"/>
        <w:keepLines w:val="0"/>
        <w:pageBreakBefore w:val="0"/>
        <w:kinsoku/>
        <w:wordWrap/>
        <w:overflowPunct/>
        <w:topLinePunct w:val="0"/>
        <w:autoSpaceDE/>
        <w:autoSpaceDN/>
        <w:bidi w:val="0"/>
        <w:spacing w:line="360" w:lineRule="auto"/>
        <w:ind w:firstLine="537" w:firstLineChars="224"/>
        <w:textAlignment w:val="auto"/>
        <w:rPr>
          <w:rFonts w:ascii="宋体"/>
          <w:sz w:val="24"/>
        </w:rPr>
      </w:pPr>
      <w:r>
        <w:rPr>
          <w:rFonts w:ascii="宋体" w:hAnsi="宋体"/>
          <w:sz w:val="24"/>
        </w:rPr>
        <w:t xml:space="preserve">    </w:t>
      </w:r>
      <w:r>
        <w:rPr>
          <w:rFonts w:hint="eastAsia" w:ascii="宋体" w:hAnsi="宋体"/>
          <w:sz w:val="24"/>
        </w:rPr>
        <w:t>招标监督机构：</w:t>
      </w:r>
      <w:r>
        <w:rPr>
          <w:rFonts w:hint="eastAsia" w:ascii="宋体" w:hAnsi="宋体" w:cs="宋体"/>
          <w:sz w:val="24"/>
          <w:u w:val="single"/>
        </w:rPr>
        <w:t>广州市番禺区建设工程招标管理办公室</w:t>
      </w:r>
    </w:p>
    <w:p w14:paraId="485234CF">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u w:val="single"/>
        </w:rPr>
      </w:pPr>
      <w:r>
        <w:rPr>
          <w:rFonts w:ascii="宋体" w:hAnsi="宋体"/>
          <w:sz w:val="24"/>
        </w:rPr>
        <w:t xml:space="preserve">    </w:t>
      </w:r>
      <w:r>
        <w:rPr>
          <w:rFonts w:hint="eastAsia" w:ascii="宋体" w:hAnsi="宋体"/>
          <w:sz w:val="24"/>
        </w:rPr>
        <w:t>监督电话：</w:t>
      </w:r>
      <w:r>
        <w:rPr>
          <w:rFonts w:hint="eastAsia" w:ascii="宋体" w:hAnsi="宋体" w:cs="宋体"/>
          <w:sz w:val="24"/>
          <w:u w:val="single"/>
        </w:rPr>
        <w:t>020-84892221</w:t>
      </w:r>
    </w:p>
    <w:p w14:paraId="643CF446">
      <w:pPr>
        <w:keepNext w:val="0"/>
        <w:keepLines w:val="0"/>
        <w:pageBreakBefore w:val="0"/>
        <w:kinsoku/>
        <w:wordWrap/>
        <w:overflowPunct/>
        <w:topLinePunct w:val="0"/>
        <w:autoSpaceDE/>
        <w:autoSpaceDN/>
        <w:bidi w:val="0"/>
        <w:spacing w:line="360" w:lineRule="auto"/>
        <w:ind w:firstLine="1017" w:firstLineChars="424"/>
        <w:textAlignment w:val="auto"/>
      </w:pPr>
      <w:r>
        <w:rPr>
          <w:rFonts w:hint="eastAsia" w:ascii="宋体" w:hAnsi="宋体"/>
          <w:sz w:val="24"/>
        </w:rPr>
        <w:t>联系地址：</w:t>
      </w:r>
      <w:r>
        <w:rPr>
          <w:rFonts w:hint="eastAsia" w:ascii="宋体" w:hAnsi="宋体" w:cs="宋体"/>
          <w:sz w:val="24"/>
          <w:szCs w:val="24"/>
          <w:u w:val="single"/>
        </w:rPr>
        <w:t>番禺区沙头街景观大道南7号建设局大楼二楼</w:t>
      </w:r>
    </w:p>
    <w:p w14:paraId="0752CF75">
      <w:pPr>
        <w:keepNext w:val="0"/>
        <w:keepLines w:val="0"/>
        <w:pageBreakBefore w:val="0"/>
        <w:numPr>
          <w:ilvl w:val="0"/>
          <w:numId w:val="1"/>
        </w:numPr>
        <w:kinsoku/>
        <w:wordWrap/>
        <w:overflowPunct/>
        <w:topLinePunct w:val="0"/>
        <w:autoSpaceDE/>
        <w:autoSpaceDN/>
        <w:bidi w:val="0"/>
        <w:spacing w:line="360" w:lineRule="auto"/>
        <w:ind w:firstLine="537" w:firstLineChars="224"/>
        <w:textAlignment w:val="auto"/>
        <w:rPr>
          <w:rFonts w:ascii="宋体" w:hAnsi="宋体" w:cs="宋体"/>
          <w:sz w:val="24"/>
          <w:szCs w:val="24"/>
          <w:u w:val="single"/>
        </w:rPr>
      </w:pPr>
      <w:r>
        <w:rPr>
          <w:rFonts w:hint="eastAsia" w:ascii="宋体" w:hAnsi="宋体"/>
          <w:sz w:val="24"/>
        </w:rPr>
        <w:t>建设地点：</w:t>
      </w:r>
      <w:r>
        <w:rPr>
          <w:rFonts w:hint="eastAsia" w:ascii="宋体" w:hAnsi="宋体" w:cs="宋体"/>
          <w:sz w:val="24"/>
          <w:szCs w:val="24"/>
          <w:u w:val="single"/>
          <w:lang w:eastAsia="zh-CN"/>
        </w:rPr>
        <w:t>广州市番禺区石碁镇</w:t>
      </w:r>
      <w:r>
        <w:rPr>
          <w:rFonts w:hint="eastAsia" w:ascii="宋体" w:hAnsi="宋体"/>
          <w:sz w:val="24"/>
          <w:u w:val="single"/>
        </w:rPr>
        <w:t>。</w:t>
      </w:r>
    </w:p>
    <w:p w14:paraId="43BBF3E9">
      <w:pPr>
        <w:keepNext w:val="0"/>
        <w:keepLines w:val="0"/>
        <w:pageBreakBefore w:val="0"/>
        <w:numPr>
          <w:ilvl w:val="0"/>
          <w:numId w:val="1"/>
        </w:numPr>
        <w:kinsoku/>
        <w:wordWrap/>
        <w:overflowPunct/>
        <w:topLinePunct w:val="0"/>
        <w:autoSpaceDE/>
        <w:autoSpaceDN/>
        <w:bidi w:val="0"/>
        <w:spacing w:line="360" w:lineRule="auto"/>
        <w:ind w:firstLine="537" w:firstLineChars="224"/>
        <w:textAlignment w:val="auto"/>
        <w:rPr>
          <w:rFonts w:ascii="宋体"/>
          <w:sz w:val="24"/>
        </w:rPr>
      </w:pPr>
      <w:r>
        <w:rPr>
          <w:rFonts w:hint="eastAsia" w:ascii="宋体" w:hAnsi="宋体"/>
          <w:sz w:val="24"/>
        </w:rPr>
        <w:t>项目概况</w:t>
      </w:r>
      <w:r>
        <w:rPr>
          <w:rFonts w:hint="eastAsia" w:ascii="宋体" w:hAnsi="宋体"/>
          <w:sz w:val="24"/>
          <w:highlight w:val="none"/>
        </w:rPr>
        <w:t>：</w:t>
      </w:r>
      <w:r>
        <w:rPr>
          <w:rFonts w:hint="eastAsia" w:ascii="宋体" w:hAnsi="宋体" w:cs="宋体"/>
          <w:sz w:val="24"/>
          <w:szCs w:val="20"/>
          <w:highlight w:val="none"/>
          <w:u w:val="single"/>
        </w:rPr>
        <w:t>该项目计划对番禺区石碁镇富怡路周边市政基础设施进行改造,长共约3.763千米,宽约11.5 ~30米不等。主要工程内容包括</w:t>
      </w:r>
      <w:r>
        <w:rPr>
          <w:rFonts w:hint="eastAsia" w:ascii="宋体" w:hAnsi="宋体" w:cs="宋体"/>
          <w:sz w:val="24"/>
          <w:szCs w:val="20"/>
          <w:highlight w:val="none"/>
          <w:u w:val="single"/>
          <w:lang w:eastAsia="zh-CN"/>
        </w:rPr>
        <w:t>：</w:t>
      </w:r>
      <w:r>
        <w:rPr>
          <w:rFonts w:hint="eastAsia" w:ascii="宋体" w:hAnsi="宋体" w:cs="宋体"/>
          <w:sz w:val="24"/>
          <w:szCs w:val="20"/>
          <w:highlight w:val="none"/>
          <w:u w:val="single"/>
        </w:rPr>
        <w:t>对富怡路及金龙路段进行机动车道路面病害处理，在原路面加铺沥青，更新人行道、路缘石，增设非机动车道，改造交通标志、交通标线，交通安全设施和雨水口</w:t>
      </w:r>
      <w:r>
        <w:rPr>
          <w:rFonts w:hint="eastAsia" w:ascii="宋体" w:hAnsi="宋体" w:cs="宋体"/>
          <w:sz w:val="24"/>
          <w:szCs w:val="20"/>
          <w:highlight w:val="none"/>
          <w:u w:val="single"/>
          <w:lang w:val="en-US" w:eastAsia="zh-CN"/>
        </w:rPr>
        <w:t>；</w:t>
      </w:r>
      <w:r>
        <w:rPr>
          <w:rFonts w:hint="eastAsia" w:ascii="宋体" w:hAnsi="宋体" w:cs="宋体"/>
          <w:sz w:val="24"/>
          <w:szCs w:val="20"/>
          <w:highlight w:val="none"/>
          <w:u w:val="single"/>
        </w:rPr>
        <w:t>更新提升龙基路、富豪街、商业街、置业街、荔新大街人行道和交通标志标线</w:t>
      </w:r>
      <w:r>
        <w:rPr>
          <w:rFonts w:hint="eastAsia" w:ascii="宋体" w:hAnsi="宋体" w:cs="宋体"/>
          <w:sz w:val="24"/>
          <w:szCs w:val="20"/>
          <w:highlight w:val="none"/>
          <w:u w:val="single"/>
          <w:lang w:val="en-US" w:eastAsia="zh-CN"/>
        </w:rPr>
        <w:t>；</w:t>
      </w:r>
      <w:r>
        <w:rPr>
          <w:rFonts w:hint="eastAsia" w:ascii="宋体" w:hAnsi="宋体" w:cs="宋体"/>
          <w:sz w:val="24"/>
          <w:szCs w:val="20"/>
          <w:highlight w:val="none"/>
          <w:u w:val="single"/>
        </w:rPr>
        <w:t>改造石碁镇岐山中路141号至岐山南路4号、岐山路（岐山南路至石碁人民医院路段）、石莲街（石碁人民医院至龙桥博街路段）、富怡路（小龙牌坊至莲塘新村莲新大街路段）等道路两侧架空及石碁城市广场周边架空通信线缆等；改造石碁镇富怡路（金龙路至海涌路路段）、金龙路（富怡路至金山小学路段）、龙基北路至龙基南路及周边社区监控工程等。具体工程需符合有关规定和要求。</w:t>
      </w:r>
      <w:r>
        <w:rPr>
          <w:rFonts w:hint="eastAsia" w:ascii="宋体" w:hAnsi="宋体" w:cs="宋体"/>
          <w:sz w:val="24"/>
          <w:szCs w:val="24"/>
          <w:highlight w:val="none"/>
          <w:u w:val="single"/>
        </w:rPr>
        <w:t>（具体工作内容详见施工设</w:t>
      </w:r>
      <w:r>
        <w:rPr>
          <w:rFonts w:hint="eastAsia" w:ascii="宋体" w:hAnsi="宋体" w:cs="宋体"/>
          <w:sz w:val="24"/>
          <w:szCs w:val="24"/>
          <w:u w:val="single"/>
        </w:rPr>
        <w:t>计图纸和工程量清单</w:t>
      </w:r>
      <w:r>
        <w:rPr>
          <w:rFonts w:hint="eastAsia" w:ascii="宋体" w:hAnsi="宋体" w:cs="宋体"/>
          <w:sz w:val="24"/>
          <w:szCs w:val="24"/>
          <w:u w:val="single"/>
          <w:lang w:val="en-US" w:eastAsia="zh-CN"/>
        </w:rPr>
        <w:t>及相关资料</w:t>
      </w:r>
      <w:r>
        <w:rPr>
          <w:rFonts w:hint="eastAsia" w:ascii="宋体" w:hAnsi="宋体" w:cs="宋体"/>
          <w:sz w:val="24"/>
          <w:szCs w:val="24"/>
          <w:u w:val="single"/>
        </w:rPr>
        <w:t>，如果工程量清单与图纸内容不一致的，以图纸内容为准）</w:t>
      </w:r>
      <w:r>
        <w:rPr>
          <w:rFonts w:hint="eastAsia" w:ascii="宋体" w:hAnsi="宋体"/>
          <w:sz w:val="24"/>
          <w:u w:val="single"/>
        </w:rPr>
        <w:t>。</w:t>
      </w:r>
    </w:p>
    <w:p w14:paraId="51691062">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五、标段划分及各标段招标内容、规模和最高投标限价：</w:t>
      </w:r>
    </w:p>
    <w:p w14:paraId="748F8904">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ascii="宋体" w:hAnsi="宋体" w:cs="宋体"/>
          <w:sz w:val="24"/>
          <w:szCs w:val="20"/>
          <w:u w:val="single"/>
        </w:rPr>
      </w:pPr>
      <w:r>
        <w:rPr>
          <w:rFonts w:hint="eastAsia" w:ascii="宋体" w:hAnsi="宋体" w:cs="宋体"/>
          <w:sz w:val="24"/>
          <w:szCs w:val="20"/>
        </w:rPr>
        <w:t>1、</w:t>
      </w:r>
      <w:r>
        <w:rPr>
          <w:rFonts w:hint="eastAsia" w:ascii="宋体" w:hAnsi="宋体" w:cs="宋体"/>
          <w:sz w:val="24"/>
          <w:szCs w:val="20"/>
          <w:u w:val="single"/>
        </w:rPr>
        <w:t>标段划分：只设1个标段。</w:t>
      </w:r>
    </w:p>
    <w:p w14:paraId="56C0ADB3">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hint="eastAsia" w:ascii="宋体" w:hAnsi="宋体" w:cs="宋体"/>
          <w:color w:val="auto"/>
          <w:sz w:val="24"/>
          <w:szCs w:val="20"/>
          <w:highlight w:val="none"/>
          <w:u w:val="single"/>
        </w:rPr>
      </w:pPr>
      <w:r>
        <w:rPr>
          <w:rFonts w:hint="eastAsia" w:ascii="宋体" w:hAnsi="宋体" w:cs="宋体"/>
          <w:sz w:val="24"/>
          <w:szCs w:val="20"/>
        </w:rPr>
        <w:t>2、</w:t>
      </w:r>
      <w:r>
        <w:rPr>
          <w:rFonts w:hint="eastAsia" w:ascii="宋体" w:hAnsi="宋体" w:cs="宋体"/>
          <w:sz w:val="24"/>
          <w:szCs w:val="20"/>
          <w:u w:val="single"/>
        </w:rPr>
        <w:t>招标内容：按</w:t>
      </w:r>
      <w:r>
        <w:rPr>
          <w:rFonts w:hint="eastAsia" w:ascii="宋体" w:hAnsi="宋体" w:cs="宋体"/>
          <w:sz w:val="24"/>
          <w:szCs w:val="20"/>
          <w:u w:val="single"/>
          <w:lang w:val="en-US" w:eastAsia="zh-CN"/>
        </w:rPr>
        <w:t>建设单位</w:t>
      </w:r>
      <w:r>
        <w:rPr>
          <w:rFonts w:hint="eastAsia" w:ascii="宋体" w:hAnsi="宋体" w:cs="宋体"/>
          <w:sz w:val="24"/>
          <w:szCs w:val="20"/>
          <w:u w:val="single"/>
        </w:rPr>
        <w:t>提供的招标公告、工程量清单、图纸及招标过程中所发出的相关文件要求，承包番禺区石碁镇富怡路周边市政基础设施改造工程施工总承包的全部内容，</w:t>
      </w:r>
      <w:r>
        <w:rPr>
          <w:rFonts w:hint="eastAsia" w:ascii="宋体" w:hAnsi="宋体" w:cs="宋体"/>
          <w:sz w:val="24"/>
          <w:szCs w:val="20"/>
          <w:u w:val="single"/>
          <w:lang w:val="en-US" w:eastAsia="zh-CN"/>
        </w:rPr>
        <w:t>中标单位</w:t>
      </w:r>
      <w:r>
        <w:rPr>
          <w:rFonts w:hint="eastAsia" w:ascii="宋体" w:hAnsi="宋体" w:cs="宋体"/>
          <w:sz w:val="24"/>
          <w:szCs w:val="20"/>
          <w:u w:val="single"/>
        </w:rPr>
        <w:t>需按</w:t>
      </w:r>
      <w:r>
        <w:rPr>
          <w:rFonts w:hint="eastAsia" w:ascii="宋体" w:hAnsi="宋体" w:cs="宋体"/>
          <w:sz w:val="24"/>
          <w:szCs w:val="20"/>
          <w:u w:val="single"/>
          <w:lang w:val="en-US" w:eastAsia="zh-CN"/>
        </w:rPr>
        <w:t>建设单位</w:t>
      </w:r>
      <w:r>
        <w:rPr>
          <w:rFonts w:hint="eastAsia" w:ascii="宋体" w:hAnsi="宋体" w:cs="宋体"/>
          <w:sz w:val="24"/>
          <w:szCs w:val="20"/>
          <w:u w:val="single"/>
        </w:rPr>
        <w:t>要求施工，根据现场实际情况施工，设计图纸有调整时，必须服从建设</w:t>
      </w:r>
      <w:r>
        <w:rPr>
          <w:rFonts w:hint="eastAsia" w:ascii="宋体" w:hAnsi="宋体" w:cs="宋体"/>
          <w:sz w:val="24"/>
          <w:szCs w:val="20"/>
          <w:u w:val="single"/>
          <w:lang w:val="en-US" w:eastAsia="zh-CN"/>
        </w:rPr>
        <w:t>单位</w:t>
      </w:r>
      <w:r>
        <w:rPr>
          <w:rFonts w:hint="eastAsia" w:ascii="宋体" w:hAnsi="宋体" w:cs="宋体"/>
          <w:sz w:val="24"/>
          <w:szCs w:val="20"/>
          <w:u w:val="single"/>
        </w:rPr>
        <w:t>要求调整，投标的风险由</w:t>
      </w:r>
      <w:r>
        <w:rPr>
          <w:rFonts w:hint="eastAsia" w:ascii="宋体" w:hAnsi="宋体" w:cs="宋体"/>
          <w:sz w:val="24"/>
          <w:szCs w:val="20"/>
          <w:u w:val="single"/>
          <w:lang w:val="en-US" w:eastAsia="zh-CN"/>
        </w:rPr>
        <w:t>中标单位</w:t>
      </w:r>
      <w:r>
        <w:rPr>
          <w:rFonts w:hint="eastAsia" w:ascii="宋体" w:hAnsi="宋体" w:cs="宋体"/>
          <w:sz w:val="24"/>
          <w:szCs w:val="20"/>
          <w:u w:val="single"/>
        </w:rPr>
        <w:t>承担。（具体以施工图纸及招标过程相关资料所含全部内容为准</w:t>
      </w:r>
      <w:r>
        <w:rPr>
          <w:rFonts w:hint="eastAsia" w:ascii="宋体" w:hAnsi="宋体" w:cs="宋体"/>
          <w:color w:val="auto"/>
          <w:sz w:val="24"/>
          <w:szCs w:val="20"/>
          <w:highlight w:val="none"/>
          <w:u w:val="single"/>
        </w:rPr>
        <w:t>）</w:t>
      </w:r>
    </w:p>
    <w:p w14:paraId="3B0E0828">
      <w:pPr>
        <w:keepNext w:val="0"/>
        <w:keepLines w:val="0"/>
        <w:pageBreakBefore w:val="0"/>
        <w:kinsoku/>
        <w:wordWrap/>
        <w:overflowPunct/>
        <w:topLinePunct w:val="0"/>
        <w:autoSpaceDE/>
        <w:autoSpaceDN/>
        <w:bidi w:val="0"/>
        <w:adjustRightInd w:val="0"/>
        <w:snapToGrid w:val="0"/>
        <w:spacing w:line="360" w:lineRule="auto"/>
        <w:ind w:firstLine="537" w:firstLineChars="224"/>
        <w:textAlignment w:val="auto"/>
        <w:rPr>
          <w:rFonts w:hint="eastAsia" w:ascii="宋体" w:hAnsi="宋体" w:eastAsia="宋体" w:cs="宋体"/>
          <w:color w:val="auto"/>
          <w:sz w:val="24"/>
          <w:szCs w:val="20"/>
          <w:highlight w:val="none"/>
          <w:u w:val="single"/>
          <w:lang w:eastAsia="zh-CN"/>
        </w:rPr>
      </w:pPr>
      <w:r>
        <w:rPr>
          <w:rFonts w:hint="eastAsia" w:ascii="宋体" w:hAnsi="宋体" w:cs="宋体"/>
          <w:color w:val="auto"/>
          <w:sz w:val="24"/>
          <w:szCs w:val="20"/>
          <w:highlight w:val="none"/>
          <w:u w:val="single"/>
        </w:rPr>
        <w:t>番禺区石碁镇富怡路周边市政基础设施改造工程包括通信工程、道路工程、交通工程和排水工程等分项工程，分项工程的施工顺序以建设单位的书面通知为准。合同履行过程中，可能会出现由于项目资金问题导致无法实施前述全部分项工程的情况，建设单位对能否实施前述全部分项工程不作任何保证，中标单位对此已清楚知悉，并自行承担由此产生的相关风险。若项目资金及其他客观情况导致建设单位无法全部实施前述工程,则建设单位有权选择实施其中某个分项工程，而其他分项工程不再实施，中标单位应予以配合，且不视为建设单位违约，中标单位不得追究建设单位任何责任，届时双方对实际实施的工程内容按合同约定进行结算。</w:t>
      </w:r>
      <w:r>
        <w:rPr>
          <w:rFonts w:hint="eastAsia" w:ascii="宋体" w:hAnsi="宋体" w:cs="宋体"/>
          <w:color w:val="auto"/>
          <w:sz w:val="24"/>
          <w:szCs w:val="20"/>
          <w:highlight w:val="none"/>
          <w:u w:val="single"/>
          <w:lang w:val="en-US" w:eastAsia="zh-CN"/>
        </w:rPr>
        <w:t>在前述建设单位要求实施的</w:t>
      </w:r>
      <w:r>
        <w:rPr>
          <w:rFonts w:hint="eastAsia" w:ascii="宋体" w:hAnsi="宋体" w:cs="宋体"/>
          <w:color w:val="auto"/>
          <w:sz w:val="24"/>
          <w:szCs w:val="20"/>
          <w:highlight w:val="none"/>
          <w:u w:val="single"/>
        </w:rPr>
        <w:t>分项工程</w:t>
      </w:r>
      <w:r>
        <w:rPr>
          <w:rFonts w:hint="eastAsia" w:ascii="宋体" w:hAnsi="宋体" w:cs="宋体"/>
          <w:color w:val="auto"/>
          <w:sz w:val="24"/>
          <w:szCs w:val="20"/>
          <w:highlight w:val="none"/>
          <w:u w:val="single"/>
          <w:lang w:val="en-US" w:eastAsia="zh-CN"/>
        </w:rPr>
        <w:t>结算完毕后</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建设单位有权单方面解除本合同</w:t>
      </w:r>
      <w:r>
        <w:rPr>
          <w:rFonts w:hint="eastAsia" w:ascii="宋体" w:hAnsi="宋体" w:cs="宋体"/>
          <w:color w:val="auto"/>
          <w:sz w:val="24"/>
          <w:szCs w:val="20"/>
          <w:highlight w:val="none"/>
          <w:u w:val="single"/>
        </w:rPr>
        <w:t>，中标单位应予以配合，且不视为建设单位违约，中标单位不得追究建设单位任何责任</w:t>
      </w:r>
      <w:r>
        <w:rPr>
          <w:rFonts w:hint="eastAsia" w:ascii="宋体" w:hAnsi="宋体" w:cs="宋体"/>
          <w:color w:val="auto"/>
          <w:sz w:val="24"/>
          <w:szCs w:val="20"/>
          <w:highlight w:val="none"/>
          <w:u w:val="single"/>
          <w:lang w:eastAsia="zh-CN"/>
        </w:rPr>
        <w:t>。</w:t>
      </w:r>
    </w:p>
    <w:p w14:paraId="379E70BA">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3、最高投标限价为</w:t>
      </w:r>
      <w:r>
        <w:rPr>
          <w:rFonts w:hint="eastAsia" w:ascii="宋体" w:hAnsi="宋体"/>
          <w:sz w:val="24"/>
          <w:lang w:eastAsia="zh-CN"/>
        </w:rPr>
        <w:t>：</w:t>
      </w:r>
      <w:r>
        <w:rPr>
          <w:rFonts w:hint="eastAsia" w:ascii="宋体" w:hAnsi="宋体"/>
          <w:sz w:val="24"/>
          <w:u w:val="single"/>
        </w:rPr>
        <w:t>24280501.58</w:t>
      </w:r>
      <w:r>
        <w:rPr>
          <w:rFonts w:hint="eastAsia" w:ascii="宋体" w:hAnsi="宋体"/>
          <w:sz w:val="24"/>
        </w:rPr>
        <w:t>元。</w:t>
      </w:r>
    </w:p>
    <w:p w14:paraId="7B4860B3">
      <w:pPr>
        <w:keepNext w:val="0"/>
        <w:keepLines w:val="0"/>
        <w:pageBreakBefore w:val="0"/>
        <w:kinsoku/>
        <w:wordWrap/>
        <w:overflowPunct/>
        <w:topLinePunct w:val="0"/>
        <w:autoSpaceDE/>
        <w:autoSpaceDN/>
        <w:bidi w:val="0"/>
        <w:spacing w:line="360" w:lineRule="auto"/>
        <w:ind w:firstLine="537" w:firstLineChars="224"/>
        <w:textAlignment w:val="auto"/>
        <w:rPr>
          <w:rFonts w:ascii="宋体"/>
          <w:sz w:val="24"/>
        </w:rPr>
      </w:pPr>
      <w:r>
        <w:rPr>
          <w:rFonts w:hint="eastAsia" w:ascii="宋体" w:hAnsi="宋体"/>
          <w:sz w:val="24"/>
        </w:rPr>
        <w:t>注：两个或两个以上标段的，应明确允许兼中或不兼中时，明确对项目负责人的数量要求。对于包含两个或两个以上专业的招标项目，应分别明确各专业对应的招标内容、规模和最高投标限价的专业组成费用。最高投标限价不得超过已批复的工程项目估算、概算中对应的金额。</w:t>
      </w:r>
    </w:p>
    <w:p w14:paraId="4B636409">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u w:val="single"/>
        </w:rPr>
      </w:pPr>
      <w:r>
        <w:rPr>
          <w:rFonts w:hint="eastAsia" w:ascii="宋体" w:hAnsi="宋体"/>
          <w:sz w:val="24"/>
        </w:rPr>
        <w:t>六、</w:t>
      </w:r>
      <w:r>
        <w:rPr>
          <w:rFonts w:hint="eastAsia" w:ascii="宋体" w:hAnsi="宋体" w:eastAsia="宋体"/>
          <w:sz w:val="24"/>
        </w:rPr>
        <w:t>资金</w:t>
      </w:r>
      <w:r>
        <w:rPr>
          <w:rFonts w:hint="eastAsia" w:ascii="宋体" w:hAnsi="宋体"/>
          <w:sz w:val="24"/>
        </w:rPr>
        <w:t>来源：</w:t>
      </w:r>
      <w:r>
        <w:rPr>
          <w:rFonts w:hint="eastAsia" w:ascii="宋体" w:hAnsi="宋体"/>
          <w:sz w:val="24"/>
          <w:lang w:val="en-US" w:eastAsia="zh-CN"/>
        </w:rPr>
        <w:t>番禺区石碁镇</w:t>
      </w:r>
      <w:r>
        <w:rPr>
          <w:rFonts w:hint="eastAsia" w:ascii="宋体" w:hAnsi="宋体"/>
          <w:sz w:val="24"/>
          <w:u w:val="single"/>
        </w:rPr>
        <w:t>财政资金</w:t>
      </w:r>
    </w:p>
    <w:p w14:paraId="00393EAD">
      <w:pPr>
        <w:keepNext w:val="0"/>
        <w:keepLines w:val="0"/>
        <w:pageBreakBefore w:val="0"/>
        <w:kinsoku/>
        <w:wordWrap/>
        <w:overflowPunct/>
        <w:topLinePunct w:val="0"/>
        <w:autoSpaceDE/>
        <w:autoSpaceDN/>
        <w:bidi w:val="0"/>
        <w:spacing w:line="360" w:lineRule="auto"/>
        <w:ind w:firstLine="537" w:firstLineChars="224"/>
        <w:textAlignment w:val="auto"/>
        <w:rPr>
          <w:rFonts w:ascii="宋体"/>
          <w:sz w:val="24"/>
        </w:rPr>
      </w:pPr>
      <w:r>
        <w:rPr>
          <w:rFonts w:hint="eastAsia" w:ascii="宋体" w:hAnsi="宋体"/>
          <w:sz w:val="24"/>
        </w:rPr>
        <w:t>注：</w:t>
      </w:r>
      <w:r>
        <w:rPr>
          <w:rFonts w:hint="eastAsia" w:ascii="宋体" w:hAnsi="宋体" w:eastAsia="宋体"/>
          <w:sz w:val="24"/>
        </w:rPr>
        <w:t>政府投资</w:t>
      </w:r>
      <w:r>
        <w:rPr>
          <w:rFonts w:hint="eastAsia" w:ascii="宋体" w:hAnsi="宋体"/>
          <w:sz w:val="24"/>
        </w:rPr>
        <w:t>项目一律不得以建筑业企业带资承包的方式进行建设。</w:t>
      </w:r>
    </w:p>
    <w:p w14:paraId="667B1042">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14:paraId="46FA6DCF">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hint="eastAsia" w:ascii="宋体" w:hAnsi="宋体"/>
          <w:sz w:val="24"/>
          <w:u w:val="single"/>
        </w:rPr>
        <w:t>2025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日至</w:t>
      </w:r>
      <w:r>
        <w:rPr>
          <w:rFonts w:hint="eastAsia" w:ascii="宋体" w:hAnsi="宋体"/>
          <w:sz w:val="24"/>
          <w:u w:val="single"/>
        </w:rPr>
        <w:t>2025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5AD31C3C">
      <w:pPr>
        <w:keepNext w:val="0"/>
        <w:keepLines w:val="0"/>
        <w:pageBreakBefore w:val="0"/>
        <w:kinsoku/>
        <w:wordWrap/>
        <w:overflowPunct/>
        <w:topLinePunct w:val="0"/>
        <w:autoSpaceDE/>
        <w:autoSpaceDN/>
        <w:bidi w:val="0"/>
        <w:spacing w:line="360" w:lineRule="auto"/>
        <w:ind w:firstLine="537" w:firstLineChars="224"/>
        <w:textAlignment w:val="auto"/>
        <w:rPr>
          <w:rFonts w:ascii="宋体" w:cs="宋体"/>
          <w:kern w:val="0"/>
          <w:sz w:val="24"/>
          <w:szCs w:val="24"/>
        </w:rPr>
      </w:pPr>
      <w:r>
        <w:rPr>
          <w:rFonts w:hint="eastAsia" w:ascii="宋体" w:hAnsi="宋体"/>
          <w:sz w:val="24"/>
        </w:rPr>
        <w:t>凡有意参加投标者，请登录</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网站下载电子招标文件。</w:t>
      </w:r>
    </w:p>
    <w:p w14:paraId="360D31FD">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cs="宋体"/>
          <w:kern w:val="0"/>
          <w:sz w:val="24"/>
          <w:szCs w:val="24"/>
        </w:rPr>
      </w:pPr>
      <w:r>
        <w:rPr>
          <w:rFonts w:hint="eastAsia" w:ascii="宋体" w:hAnsi="宋体" w:cs="宋体"/>
          <w:kern w:val="0"/>
          <w:sz w:val="24"/>
          <w:szCs w:val="24"/>
        </w:rPr>
        <w:t>注：发布</w:t>
      </w:r>
      <w:r>
        <w:rPr>
          <w:rFonts w:hint="eastAsia" w:ascii="宋体" w:hAnsi="宋体" w:eastAsia="宋体"/>
          <w:sz w:val="24"/>
        </w:rPr>
        <w:t>招标</w:t>
      </w:r>
      <w:r>
        <w:rPr>
          <w:rFonts w:hint="eastAsia" w:ascii="宋体" w:hAnsi="宋体" w:cs="宋体"/>
          <w:kern w:val="0"/>
          <w:sz w:val="24"/>
          <w:szCs w:val="24"/>
        </w:rPr>
        <w:t>公告的时间为招标公告发出之日起至投标截止时间止。</w:t>
      </w:r>
    </w:p>
    <w:p w14:paraId="0531F27A">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cs="宋体"/>
          <w:sz w:val="24"/>
          <w:szCs w:val="24"/>
        </w:rPr>
      </w:pPr>
      <w:r>
        <w:rPr>
          <w:rFonts w:hint="eastAsia" w:ascii="宋体" w:hAnsi="宋体" w:cs="宋体"/>
          <w:sz w:val="24"/>
          <w:szCs w:val="24"/>
        </w:rPr>
        <w:t>2、递交</w:t>
      </w:r>
      <w:r>
        <w:rPr>
          <w:rFonts w:hint="eastAsia" w:ascii="宋体" w:hAnsi="宋体" w:eastAsia="宋体" w:cs="宋体"/>
          <w:kern w:val="0"/>
          <w:sz w:val="24"/>
          <w:szCs w:val="24"/>
        </w:rPr>
        <w:t>投标</w:t>
      </w:r>
      <w:r>
        <w:rPr>
          <w:rFonts w:hint="eastAsia" w:ascii="宋体" w:hAnsi="宋体" w:cs="宋体"/>
          <w:sz w:val="24"/>
          <w:szCs w:val="24"/>
        </w:rPr>
        <w:t>文件起始时间：</w:t>
      </w:r>
      <w:r>
        <w:rPr>
          <w:rFonts w:hint="eastAsia" w:ascii="宋体" w:hAnsi="宋体"/>
          <w:sz w:val="24"/>
          <w:u w:val="single"/>
        </w:rPr>
        <w:t>2025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49A91095">
      <w:pPr>
        <w:keepNext w:val="0"/>
        <w:keepLines w:val="0"/>
        <w:pageBreakBefore w:val="0"/>
        <w:kinsoku/>
        <w:wordWrap/>
        <w:overflowPunct/>
        <w:topLinePunct w:val="0"/>
        <w:autoSpaceDE/>
        <w:autoSpaceDN/>
        <w:bidi w:val="0"/>
        <w:spacing w:line="360" w:lineRule="auto"/>
        <w:ind w:firstLine="2400" w:firstLineChars="1000"/>
        <w:textAlignment w:val="auto"/>
        <w:rPr>
          <w:rFonts w:ascii="宋体" w:hAnsi="宋体" w:cs="宋体"/>
          <w:sz w:val="24"/>
          <w:szCs w:val="24"/>
        </w:rPr>
      </w:pPr>
      <w:r>
        <w:rPr>
          <w:rFonts w:hint="eastAsia" w:ascii="宋体" w:hAnsi="宋体" w:cs="宋体"/>
          <w:sz w:val="24"/>
          <w:szCs w:val="24"/>
        </w:rPr>
        <w:t>截止时间：</w:t>
      </w:r>
      <w:r>
        <w:rPr>
          <w:rFonts w:hint="eastAsia" w:ascii="宋体" w:hAnsi="宋体"/>
          <w:sz w:val="24"/>
          <w:u w:val="single"/>
        </w:rPr>
        <w:t>2025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64CB5861">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cs="宋体"/>
          <w:sz w:val="24"/>
          <w:szCs w:val="24"/>
          <w:u w:val="single"/>
        </w:rPr>
      </w:pPr>
      <w:r>
        <w:rPr>
          <w:rFonts w:hint="eastAsia" w:ascii="宋体" w:hAnsi="宋体" w:cs="宋体"/>
          <w:sz w:val="24"/>
          <w:szCs w:val="24"/>
        </w:rPr>
        <w:t>3、开标</w:t>
      </w:r>
      <w:r>
        <w:rPr>
          <w:rFonts w:hint="eastAsia" w:ascii="宋体" w:hAnsi="宋体" w:eastAsia="宋体" w:cs="宋体"/>
          <w:kern w:val="0"/>
          <w:sz w:val="24"/>
          <w:szCs w:val="24"/>
        </w:rPr>
        <w:t>开始</w:t>
      </w:r>
      <w:r>
        <w:rPr>
          <w:rFonts w:hint="eastAsia" w:ascii="宋体" w:hAnsi="宋体" w:cs="宋体"/>
          <w:sz w:val="24"/>
          <w:szCs w:val="24"/>
        </w:rPr>
        <w:t>时间：</w:t>
      </w:r>
      <w:r>
        <w:rPr>
          <w:rFonts w:hint="eastAsia" w:ascii="宋体" w:hAnsi="宋体"/>
          <w:sz w:val="24"/>
          <w:u w:val="single"/>
        </w:rPr>
        <w:t>2025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688EA14B">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cs="宋体"/>
          <w:sz w:val="24"/>
          <w:szCs w:val="24"/>
        </w:rPr>
      </w:pPr>
      <w:r>
        <w:rPr>
          <w:rFonts w:hint="eastAsia" w:ascii="宋体" w:hAnsi="宋体" w:cs="宋体"/>
          <w:sz w:val="24"/>
          <w:szCs w:val="24"/>
        </w:rPr>
        <w:t>4、递交</w:t>
      </w:r>
      <w:r>
        <w:rPr>
          <w:rFonts w:hint="eastAsia" w:ascii="宋体" w:hAnsi="宋体" w:eastAsia="宋体" w:cs="宋体"/>
          <w:kern w:val="0"/>
          <w:sz w:val="24"/>
          <w:szCs w:val="24"/>
        </w:rPr>
        <w:t>投标</w:t>
      </w:r>
      <w:r>
        <w:rPr>
          <w:rFonts w:hint="eastAsia" w:ascii="宋体" w:hAnsi="宋体" w:cs="宋体"/>
          <w:sz w:val="24"/>
          <w:szCs w:val="24"/>
        </w:rPr>
        <w:t>文件截止时间与开标时间是否有变化，请密切留意招标答疑中的相关信息。递交投标文件截止时间后，开标时间因故推迟的，相关评标信息仍以原递交投标文件截止时间的信息为准。</w:t>
      </w:r>
    </w:p>
    <w:p w14:paraId="44C2546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sz w:val="24"/>
          <w:szCs w:val="24"/>
          <w:u w:val="single"/>
        </w:rPr>
      </w:pPr>
      <w:r>
        <w:rPr>
          <w:rFonts w:hint="eastAsia" w:ascii="宋体" w:hAnsi="宋体" w:cs="宋体"/>
          <w:sz w:val="24"/>
          <w:szCs w:val="24"/>
        </w:rPr>
        <w:t>5、</w:t>
      </w:r>
      <w:r>
        <w:rPr>
          <w:rFonts w:hint="eastAsia" w:ascii="宋体" w:hAnsi="宋体"/>
          <w:bCs/>
          <w:sz w:val="24"/>
        </w:rPr>
        <w:t>投标人通过</w:t>
      </w:r>
      <w:r>
        <w:rPr>
          <w:rFonts w:hint="eastAsia" w:ascii="宋体" w:hAnsi="宋体" w:cs="宋体"/>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ascii="宋体" w:hAnsi="宋体" w:cs="宋体"/>
          <w:sz w:val="24"/>
          <w:szCs w:val="24"/>
          <w:u w:val="single"/>
        </w:rPr>
        <w:t>广州交易集团有限公司（广州公共资源交易中心）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rFonts w:hint="eastAsia" w:ascii="宋体" w:hAnsi="宋体" w:cs="宋体"/>
          <w:sz w:val="24"/>
          <w:szCs w:val="24"/>
          <w:u w:val="single"/>
        </w:rPr>
        <w:t>广州交易集团有限公司（广州公共资源交易中心）网站</w:t>
      </w:r>
      <w:r>
        <w:rPr>
          <w:rFonts w:hint="eastAsia" w:ascii="宋体" w:hAnsi="宋体" w:cs="仿宋_GB2312"/>
          <w:sz w:val="24"/>
          <w:szCs w:val="24"/>
        </w:rPr>
        <w:t xml:space="preserve">。 </w:t>
      </w:r>
    </w:p>
    <w:p w14:paraId="5ACA506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cs="宋体"/>
          <w:kern w:val="0"/>
          <w:sz w:val="24"/>
          <w:szCs w:val="24"/>
        </w:rPr>
      </w:pPr>
      <w:r>
        <w:rPr>
          <w:rFonts w:hint="eastAsia" w:ascii="宋体" w:hAnsi="宋体" w:cs="宋体"/>
          <w:kern w:val="0"/>
          <w:sz w:val="24"/>
          <w:szCs w:val="24"/>
        </w:rPr>
        <w:t>八、招标</w:t>
      </w:r>
      <w:r>
        <w:rPr>
          <w:rFonts w:hint="eastAsia" w:ascii="宋体" w:hAnsi="宋体" w:eastAsia="宋体"/>
          <w:bCs/>
          <w:sz w:val="24"/>
        </w:rPr>
        <w:t>文件</w:t>
      </w:r>
      <w:r>
        <w:rPr>
          <w:rFonts w:hint="eastAsia" w:ascii="宋体" w:hAnsi="宋体" w:cs="宋体"/>
          <w:kern w:val="0"/>
          <w:sz w:val="24"/>
          <w:szCs w:val="24"/>
        </w:rPr>
        <w:t>获取方式：</w:t>
      </w:r>
    </w:p>
    <w:p w14:paraId="5CB4D2E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cs="宋体"/>
          <w:kern w:val="0"/>
          <w:sz w:val="24"/>
          <w:szCs w:val="24"/>
        </w:rPr>
      </w:pPr>
      <w:r>
        <w:rPr>
          <w:rFonts w:hint="eastAsia" w:ascii="宋体" w:hAnsi="宋体" w:cs="宋体"/>
          <w:kern w:val="0"/>
          <w:sz w:val="24"/>
          <w:szCs w:val="24"/>
        </w:rPr>
        <w:t>本项目招标</w:t>
      </w:r>
      <w:r>
        <w:rPr>
          <w:rFonts w:hint="eastAsia" w:ascii="宋体" w:hAnsi="宋体" w:eastAsia="宋体" w:cs="宋体"/>
          <w:kern w:val="0"/>
          <w:sz w:val="24"/>
          <w:szCs w:val="24"/>
        </w:rPr>
        <w:t>文件</w:t>
      </w:r>
      <w:r>
        <w:rPr>
          <w:rFonts w:hint="eastAsia" w:ascii="宋体" w:hAnsi="宋体" w:cs="宋体"/>
          <w:kern w:val="0"/>
          <w:sz w:val="24"/>
          <w:szCs w:val="24"/>
        </w:rPr>
        <w:t>随招标公告一并在</w:t>
      </w:r>
      <w:r>
        <w:rPr>
          <w:rFonts w:hint="eastAsia" w:ascii="宋体" w:hAnsi="宋体" w:cs="宋体"/>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cs="宋体"/>
          <w:sz w:val="24"/>
          <w:szCs w:val="24"/>
          <w:u w:val="single"/>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网站下载。</w:t>
      </w:r>
    </w:p>
    <w:p w14:paraId="0287D6B4">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九、投标人合格条件：</w:t>
      </w:r>
    </w:p>
    <w:p w14:paraId="2DD6F20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1、投标人参加投标的意思表达清楚，投标人代表被授权有效。</w:t>
      </w:r>
    </w:p>
    <w:p w14:paraId="7B4ECC9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2、投标人均具有独立法人资格，按国家法律经营。</w:t>
      </w:r>
    </w:p>
    <w:p w14:paraId="0D9A0BE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3、投标人均持有建设行政主管部门颁发的有效期内的企业资质证书及安全生产许可证；</w:t>
      </w:r>
    </w:p>
    <w:p w14:paraId="78EC52E3">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4、投标人应具备以下资质：</w:t>
      </w:r>
    </w:p>
    <w:p w14:paraId="594698C9">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rPr>
        <w:t>投标人具有承接本工程所需的市政公用工程施工总承包</w:t>
      </w:r>
      <w:r>
        <w:rPr>
          <w:rFonts w:hint="eastAsia" w:ascii="宋体" w:hAnsi="宋体" w:cs="宋体"/>
          <w:kern w:val="0"/>
          <w:sz w:val="24"/>
          <w:szCs w:val="24"/>
          <w:lang w:val="en-US" w:eastAsia="zh-CN"/>
        </w:rPr>
        <w:t>叁</w:t>
      </w:r>
      <w:r>
        <w:rPr>
          <w:rFonts w:hint="eastAsia" w:ascii="宋体" w:hAnsi="宋体" w:eastAsia="宋体" w:cs="宋体"/>
          <w:kern w:val="0"/>
          <w:sz w:val="24"/>
          <w:szCs w:val="24"/>
        </w:rPr>
        <w:t>级</w:t>
      </w:r>
      <w:r>
        <w:rPr>
          <w:rFonts w:hint="eastAsia" w:ascii="宋体" w:hAnsi="宋体" w:eastAsia="宋体" w:cs="宋体"/>
          <w:kern w:val="0"/>
          <w:sz w:val="24"/>
          <w:szCs w:val="24"/>
          <w:highlight w:val="none"/>
        </w:rPr>
        <w:t>（或以上）级别施工总承包资质或根据《住房城乡建设部办公厅关于做好有关建设工程企业资质证书换领和延续工作的通知》（建办市〔2023〕47号）的规定换领的市政公用工程施工总承包</w:t>
      </w:r>
      <w:r>
        <w:rPr>
          <w:rFonts w:hint="eastAsia" w:ascii="宋体" w:hAnsi="宋体" w:cs="宋体"/>
          <w:kern w:val="0"/>
          <w:sz w:val="24"/>
          <w:szCs w:val="24"/>
          <w:highlight w:val="none"/>
          <w:lang w:val="en-US" w:eastAsia="zh-CN"/>
        </w:rPr>
        <w:t>贰</w:t>
      </w:r>
      <w:r>
        <w:rPr>
          <w:rFonts w:hint="eastAsia" w:ascii="宋体" w:hAnsi="宋体" w:eastAsia="宋体" w:cs="宋体"/>
          <w:kern w:val="0"/>
          <w:sz w:val="24"/>
          <w:szCs w:val="24"/>
          <w:highlight w:val="none"/>
        </w:rPr>
        <w:t>级</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或以上</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施工总承包资质；</w:t>
      </w:r>
    </w:p>
    <w:p w14:paraId="1A0FE7F1">
      <w:pPr>
        <w:pStyle w:val="10"/>
        <w:keepNext w:val="0"/>
        <w:keepLines w:val="0"/>
        <w:pageBreakBefore w:val="0"/>
        <w:kinsoku/>
        <w:wordWrap/>
        <w:overflowPunct/>
        <w:topLinePunct w:val="0"/>
        <w:autoSpaceDE/>
        <w:autoSpaceDN/>
        <w:bidi w:val="0"/>
        <w:adjustRightInd w:val="0"/>
        <w:snapToGrid w:val="0"/>
        <w:spacing w:line="360" w:lineRule="auto"/>
        <w:ind w:firstLine="539"/>
        <w:textAlignment w:val="auto"/>
        <w:rPr>
          <w:rFonts w:ascii="宋体" w:hAnsi="宋体" w:eastAsia="宋体" w:cs="宋体"/>
          <w:color w:val="auto"/>
          <w:sz w:val="24"/>
          <w:szCs w:val="24"/>
        </w:rPr>
      </w:pPr>
      <w:r>
        <w:rPr>
          <w:rFonts w:hint="eastAsia" w:ascii="宋体" w:hAnsi="宋体" w:eastAsia="宋体"/>
          <w:color w:val="auto"/>
          <w:sz w:val="24"/>
          <w:szCs w:val="24"/>
          <w:u w:val="single"/>
        </w:rPr>
        <w:t>对应所设置资质要求的规模指标：</w:t>
      </w:r>
      <w:r>
        <w:rPr>
          <w:rFonts w:hint="eastAsia" w:ascii="宋体" w:hAnsi="宋体" w:eastAsia="宋体"/>
          <w:color w:val="auto"/>
          <w:sz w:val="24"/>
          <w:szCs w:val="24"/>
          <w:u w:val="single"/>
          <w:lang w:val="en-US" w:eastAsia="zh-CN"/>
        </w:rPr>
        <w:t>城市道路工程（不含快速路）</w:t>
      </w:r>
      <w:r>
        <w:rPr>
          <w:rFonts w:hint="eastAsia" w:ascii="宋体" w:hAnsi="宋体" w:eastAsia="宋体"/>
          <w:color w:val="auto"/>
          <w:sz w:val="24"/>
          <w:szCs w:val="24"/>
          <w:u w:val="single"/>
        </w:rPr>
        <w:t>。</w:t>
      </w:r>
    </w:p>
    <w:p w14:paraId="0E435C0D">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5.投标人拟担任本工程项目负责人的人员为：</w:t>
      </w:r>
      <w:r>
        <w:rPr>
          <w:rFonts w:ascii="宋体" w:hAnsi="宋体" w:cs="宋体"/>
          <w:sz w:val="24"/>
          <w:u w:val="single"/>
        </w:rPr>
        <w:t>市政公用工程专业</w:t>
      </w:r>
      <w:r>
        <w:rPr>
          <w:rFonts w:hint="eastAsia" w:ascii="宋体" w:hAnsi="宋体" w:cs="宋体"/>
          <w:sz w:val="24"/>
          <w:u w:val="single"/>
        </w:rPr>
        <w:t>二</w:t>
      </w:r>
      <w:r>
        <w:rPr>
          <w:rFonts w:ascii="宋体" w:hAnsi="宋体" w:cs="宋体"/>
          <w:sz w:val="24"/>
          <w:u w:val="single"/>
        </w:rPr>
        <w:t>级</w:t>
      </w:r>
      <w:r>
        <w:rPr>
          <w:rFonts w:hint="eastAsia" w:ascii="宋体" w:hAnsi="宋体" w:cs="宋体"/>
          <w:sz w:val="24"/>
          <w:u w:val="single"/>
        </w:rPr>
        <w:t>（或以上）</w:t>
      </w:r>
      <w:r>
        <w:rPr>
          <w:rFonts w:hint="eastAsia" w:ascii="宋体" w:hAnsi="宋体"/>
          <w:sz w:val="24"/>
        </w:rPr>
        <w:t>注册建造师，且必须为企业在岗人员，注册执业单位须与投标人登记时一致；</w:t>
      </w:r>
      <w:r>
        <w:rPr>
          <w:rFonts w:hint="eastAsia" w:ascii="宋体" w:hAnsi="宋体"/>
          <w:sz w:val="24"/>
          <w:szCs w:val="24"/>
        </w:rPr>
        <w:t>项目负责人持有安全生产考核合格证（B类）或建筑施工企业项目负责人安全生产考核合格证书；</w:t>
      </w:r>
    </w:p>
    <w:p w14:paraId="3524F983">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cs="宋体"/>
          <w:sz w:val="24"/>
        </w:rPr>
        <w:t>、</w:t>
      </w:r>
      <w:r>
        <w:rPr>
          <w:rFonts w:hint="eastAsia" w:ascii="宋体" w:hAnsi="宋体" w:cs="宋体"/>
          <w:sz w:val="24"/>
          <w:szCs w:val="24"/>
        </w:rPr>
        <w:t>《住房和城乡建设部关于印发建设工程企业资质管理制度改革方案的通知》（建市〔2020〕94号）</w:t>
      </w:r>
      <w:r>
        <w:rPr>
          <w:rFonts w:hint="eastAsia" w:ascii="宋体" w:hAnsi="宋体"/>
          <w:sz w:val="24"/>
        </w:rPr>
        <w:t>的要求设置。招标内容含有设计要求，且设计要求仅为深化设计的，在投标人的资质设置要求中，不允许设置设计资质。</w:t>
      </w:r>
    </w:p>
    <w:p w14:paraId="5E185C1C">
      <w:pPr>
        <w:pStyle w:val="4"/>
        <w:keepNext w:val="0"/>
        <w:keepLines w:val="0"/>
        <w:pageBreakBefore w:val="0"/>
        <w:kinsoku/>
        <w:wordWrap/>
        <w:overflowPunct/>
        <w:topLinePunct w:val="0"/>
        <w:autoSpaceDE/>
        <w:autoSpaceDN/>
        <w:bidi w:val="0"/>
        <w:spacing w:line="360" w:lineRule="auto"/>
        <w:ind w:firstLine="480" w:firstLineChars="200"/>
        <w:textAlignment w:val="auto"/>
        <w:rPr>
          <w:rFonts w:hAnsi="宋体"/>
          <w:sz w:val="24"/>
          <w:szCs w:val="22"/>
        </w:rPr>
      </w:pPr>
      <w:r>
        <w:rPr>
          <w:rFonts w:hint="eastAsia" w:hAnsi="宋体"/>
          <w:sz w:val="24"/>
          <w:szCs w:val="22"/>
        </w:rPr>
        <w:t>投标人还应当符合《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r>
        <w:rPr>
          <w:rFonts w:hint="eastAsia" w:hAnsi="宋体"/>
          <w:b/>
          <w:bCs/>
          <w:sz w:val="24"/>
          <w:szCs w:val="22"/>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13F762E3">
      <w:pPr>
        <w:pStyle w:val="4"/>
        <w:keepNext w:val="0"/>
        <w:keepLines w:val="0"/>
        <w:pageBreakBefore w:val="0"/>
        <w:kinsoku/>
        <w:wordWrap/>
        <w:overflowPunct/>
        <w:topLinePunct w:val="0"/>
        <w:autoSpaceDE/>
        <w:autoSpaceDN/>
        <w:bidi w:val="0"/>
        <w:spacing w:line="360" w:lineRule="auto"/>
        <w:ind w:firstLine="480" w:firstLineChars="200"/>
        <w:textAlignment w:val="auto"/>
        <w:rPr>
          <w:rFonts w:hAnsi="宋体"/>
          <w:sz w:val="24"/>
          <w:szCs w:val="22"/>
        </w:rPr>
      </w:pPr>
      <w:r>
        <w:rPr>
          <w:rFonts w:hint="eastAsia" w:hAnsi="宋体"/>
          <w:sz w:val="24"/>
          <w:szCs w:val="22"/>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069A079">
      <w:pPr>
        <w:pStyle w:val="4"/>
        <w:keepNext w:val="0"/>
        <w:keepLines w:val="0"/>
        <w:pageBreakBefore w:val="0"/>
        <w:kinsoku/>
        <w:wordWrap/>
        <w:overflowPunct/>
        <w:topLinePunct w:val="0"/>
        <w:autoSpaceDE/>
        <w:autoSpaceDN/>
        <w:bidi w:val="0"/>
        <w:spacing w:line="360" w:lineRule="auto"/>
        <w:ind w:firstLine="480" w:firstLineChars="200"/>
        <w:textAlignment w:val="auto"/>
        <w:rPr>
          <w:rFonts w:hAnsi="宋体"/>
          <w:sz w:val="24"/>
          <w:szCs w:val="22"/>
        </w:rPr>
      </w:pPr>
      <w:r>
        <w:rPr>
          <w:rFonts w:hint="eastAsia" w:hAnsi="宋体"/>
          <w:sz w:val="24"/>
          <w:szCs w:val="22"/>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8795017">
      <w:pPr>
        <w:pStyle w:val="4"/>
        <w:keepNext w:val="0"/>
        <w:keepLines w:val="0"/>
        <w:pageBreakBefore w:val="0"/>
        <w:kinsoku/>
        <w:wordWrap/>
        <w:overflowPunct/>
        <w:topLinePunct w:val="0"/>
        <w:autoSpaceDE/>
        <w:autoSpaceDN/>
        <w:bidi w:val="0"/>
        <w:spacing w:line="360" w:lineRule="auto"/>
        <w:ind w:firstLine="480" w:firstLineChars="200"/>
        <w:textAlignment w:val="auto"/>
        <w:rPr>
          <w:rFonts w:hAnsi="宋体"/>
          <w:sz w:val="24"/>
          <w:szCs w:val="22"/>
        </w:rPr>
      </w:pPr>
      <w:r>
        <w:rPr>
          <w:rFonts w:hint="eastAsia" w:hAnsi="宋体"/>
          <w:sz w:val="24"/>
          <w:szCs w:val="22"/>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1D59332A">
      <w:pPr>
        <w:keepNext w:val="0"/>
        <w:keepLines w:val="0"/>
        <w:pageBreakBefore w:val="0"/>
        <w:kinsoku/>
        <w:wordWrap/>
        <w:overflowPunct/>
        <w:topLinePunct w:val="0"/>
        <w:autoSpaceDE/>
        <w:autoSpaceDN/>
        <w:bidi w:val="0"/>
        <w:spacing w:line="360" w:lineRule="auto"/>
        <w:ind w:firstLine="537" w:firstLineChars="224"/>
        <w:textAlignment w:val="auto"/>
        <w:rPr>
          <w:rFonts w:ascii="宋体"/>
          <w:kern w:val="0"/>
          <w:sz w:val="24"/>
        </w:rPr>
      </w:pPr>
      <w:r>
        <w:rPr>
          <w:rFonts w:hint="eastAsia" w:ascii="宋体" w:hAnsi="宋体"/>
          <w:sz w:val="24"/>
          <w:szCs w:val="24"/>
          <w:lang w:val="en-US" w:eastAsia="zh-CN"/>
        </w:rPr>
        <w:t>6</w:t>
      </w:r>
      <w:r>
        <w:rPr>
          <w:rFonts w:hint="eastAsia" w:ascii="宋体" w:hAnsi="宋体"/>
          <w:kern w:val="0"/>
          <w:sz w:val="24"/>
        </w:rPr>
        <w:t>、拟配备的专职安全员不少于 1 人，</w:t>
      </w:r>
      <w:r>
        <w:rPr>
          <w:rFonts w:hint="eastAsia" w:ascii="宋体" w:hAnsi="宋体"/>
          <w:sz w:val="24"/>
          <w:szCs w:val="24"/>
        </w:rPr>
        <w:t>专职安全员须具有安全生产考核合格证（</w:t>
      </w:r>
      <w:r>
        <w:rPr>
          <w:rFonts w:ascii="宋体" w:hAnsi="宋体"/>
          <w:sz w:val="24"/>
          <w:szCs w:val="24"/>
        </w:rPr>
        <w:t>C</w:t>
      </w:r>
      <w:r>
        <w:rPr>
          <w:rFonts w:hint="eastAsia" w:ascii="宋体" w:hAnsi="宋体"/>
          <w:sz w:val="24"/>
          <w:szCs w:val="24"/>
        </w:rPr>
        <w:t>类）</w:t>
      </w:r>
      <w:r>
        <w:rPr>
          <w:rFonts w:hint="eastAsia" w:ascii="宋体" w:hAnsi="宋体"/>
          <w:kern w:val="0"/>
          <w:sz w:val="24"/>
        </w:rPr>
        <w:t>或建筑施工企业专职安全生产管理人员安全生产考核合格证书</w:t>
      </w:r>
      <w:r>
        <w:rPr>
          <w:rFonts w:hint="eastAsia" w:ascii="宋体" w:hAnsi="宋体" w:cs="宋体"/>
          <w:sz w:val="24"/>
          <w:szCs w:val="24"/>
        </w:rPr>
        <w:t>（C3类）</w:t>
      </w:r>
      <w:r>
        <w:rPr>
          <w:rFonts w:hint="eastAsia" w:ascii="宋体" w:hAnsi="宋体"/>
          <w:kern w:val="0"/>
          <w:sz w:val="24"/>
        </w:rPr>
        <w:t>。</w:t>
      </w:r>
    </w:p>
    <w:p w14:paraId="721C1DEC">
      <w:pPr>
        <w:keepNext w:val="0"/>
        <w:keepLines w:val="0"/>
        <w:pageBreakBefore w:val="0"/>
        <w:kinsoku/>
        <w:wordWrap/>
        <w:overflowPunct/>
        <w:topLinePunct w:val="0"/>
        <w:autoSpaceDE/>
        <w:autoSpaceDN/>
        <w:bidi w:val="0"/>
        <w:spacing w:line="360" w:lineRule="auto"/>
        <w:ind w:firstLine="537" w:firstLineChars="224"/>
        <w:textAlignment w:val="auto"/>
        <w:rPr>
          <w:rFonts w:ascii="宋体"/>
          <w:sz w:val="24"/>
        </w:rPr>
      </w:pPr>
      <w:r>
        <w:rPr>
          <w:rFonts w:hint="eastAsia" w:ascii="宋体" w:hAnsi="宋体"/>
          <w:sz w:val="24"/>
          <w:lang w:val="en-US" w:eastAsia="zh-CN"/>
        </w:rPr>
        <w:t>7</w:t>
      </w:r>
      <w:r>
        <w:rPr>
          <w:rFonts w:hint="eastAsia" w:ascii="宋体" w:hAnsi="宋体"/>
          <w:sz w:val="24"/>
        </w:rPr>
        <w:t>、投标人已按照附件一的内容签署盖章的投标人声明。</w:t>
      </w:r>
    </w:p>
    <w:p w14:paraId="3BEC6513">
      <w:pPr>
        <w:keepNext w:val="0"/>
        <w:keepLines w:val="0"/>
        <w:pageBreakBefore w:val="0"/>
        <w:kinsoku/>
        <w:wordWrap/>
        <w:overflowPunct/>
        <w:topLinePunct w:val="0"/>
        <w:autoSpaceDE/>
        <w:autoSpaceDN/>
        <w:bidi w:val="0"/>
        <w:spacing w:line="360" w:lineRule="auto"/>
        <w:ind w:firstLine="537" w:firstLineChars="224"/>
        <w:textAlignment w:val="auto"/>
        <w:rPr>
          <w:rFonts w:ascii="宋体"/>
          <w:sz w:val="24"/>
        </w:rPr>
      </w:pPr>
      <w:r>
        <w:rPr>
          <w:rFonts w:hint="eastAsia" w:ascii="宋体" w:hAnsi="宋体"/>
          <w:sz w:val="24"/>
          <w:lang w:val="en-US" w:eastAsia="zh-CN"/>
        </w:rPr>
        <w:t>8</w:t>
      </w:r>
      <w:r>
        <w:rPr>
          <w:rFonts w:hint="eastAsia" w:ascii="宋体" w:hAnsi="宋体"/>
          <w:sz w:val="24"/>
        </w:rPr>
        <w:t>、</w:t>
      </w:r>
      <w:r>
        <w:rPr>
          <w:rFonts w:hint="eastAsia" w:ascii="宋体" w:hAnsi="宋体"/>
          <w:sz w:val="24"/>
          <w:szCs w:val="24"/>
        </w:rPr>
        <w:t>关于联合体投标：</w:t>
      </w:r>
      <w:r>
        <w:rPr>
          <w:rFonts w:hint="eastAsia" w:ascii="宋体" w:hAnsi="宋体" w:cs="宋体"/>
          <w:sz w:val="24"/>
          <w:szCs w:val="24"/>
        </w:rPr>
        <w:t>本项目不接受联合体投标。</w:t>
      </w:r>
    </w:p>
    <w:p w14:paraId="7075617B">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rPr>
        <w:t>资格审查前，</w:t>
      </w:r>
      <w:r>
        <w:rPr>
          <w:rFonts w:hint="eastAsia" w:ascii="宋体" w:hAnsi="宋体" w:cs="宋体"/>
          <w:sz w:val="24"/>
          <w:szCs w:val="24"/>
          <w:u w:val="single"/>
        </w:rPr>
        <w:t>投标人须在广州公共资源交易中心办理信息登记等相关投标登记手续及拟担任本工程项目负责人、专职安全员须是本企业的在册人员且与广州公共资源交易中心办理信息登记一致。投标人须在资格审查前及时维护、更新本企业信息，及时上传相关证件，确保拟委派的所有人员、业绩等相关信息、证件等能有效且被使用，因投标人未及时维护、更新在广州交易集团有限公司(广州公共资源交易中心)内的信息，造成其资格审查不合格或不通过的，后果由投标人自行承担。</w:t>
      </w:r>
    </w:p>
    <w:p w14:paraId="2A67329C">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szCs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sz w:val="24"/>
          <w:szCs w:val="24"/>
          <w:u w:val="single"/>
        </w:rPr>
        <w:t>相关投标均无效</w:t>
      </w:r>
      <w:r>
        <w:rPr>
          <w:rFonts w:hint="eastAsia" w:ascii="宋体" w:hAnsi="宋体"/>
          <w:sz w:val="24"/>
          <w:szCs w:val="24"/>
        </w:rPr>
        <w:t>。</w:t>
      </w:r>
    </w:p>
    <w:p w14:paraId="033B28A6">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cs="宋体"/>
          <w:sz w:val="24"/>
          <w:szCs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w:t>
      </w:r>
      <w:r>
        <w:rPr>
          <w:rFonts w:hint="eastAsia" w:ascii="宋体" w:hAnsi="宋体" w:cs="宋体"/>
          <w:kern w:val="0"/>
          <w:sz w:val="24"/>
          <w:szCs w:val="24"/>
        </w:rPr>
        <w:t>在投标截止时间前，</w:t>
      </w:r>
      <w:r>
        <w:rPr>
          <w:rFonts w:hint="eastAsia" w:ascii="宋体" w:hAnsi="宋体" w:cs="宋体"/>
          <w:sz w:val="24"/>
          <w:szCs w:val="24"/>
          <w:u w:val="single"/>
        </w:rPr>
        <w:t>未被列入拖欠农民工工资失信联合惩戒对象名单。本项评审投标人无需提供资料，资格评审时按广州公共资源交易中心交易系统比对的结果进行评审</w:t>
      </w:r>
      <w:r>
        <w:rPr>
          <w:rFonts w:hint="eastAsia" w:ascii="宋体" w:hAnsi="宋体" w:cs="宋体"/>
          <w:sz w:val="24"/>
          <w:szCs w:val="24"/>
        </w:rPr>
        <w:t>。</w:t>
      </w:r>
    </w:p>
    <w:p w14:paraId="144A08B2">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cs="宋体"/>
          <w:kern w:val="0"/>
          <w:sz w:val="24"/>
          <w:szCs w:val="24"/>
          <w:u w:val="single"/>
        </w:rPr>
      </w:pPr>
      <w:r>
        <w:rPr>
          <w:rFonts w:hint="eastAsia" w:ascii="宋体" w:hAnsi="宋体" w:cs="宋体"/>
          <w:kern w:val="0"/>
          <w:sz w:val="24"/>
          <w:szCs w:val="24"/>
        </w:rPr>
        <w:t>1</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hint="eastAsia" w:ascii="宋体" w:hAnsi="宋体"/>
          <w:sz w:val="24"/>
        </w:rPr>
        <w:t>政府投资项目，在投标截止时间前，</w:t>
      </w:r>
      <w:r>
        <w:rPr>
          <w:rFonts w:ascii="宋体" w:hAnsi="宋体"/>
          <w:sz w:val="24"/>
        </w:rPr>
        <w:t>投标人未被列入“</w:t>
      </w:r>
      <w:r>
        <w:rPr>
          <w:rFonts w:hint="eastAsia" w:ascii="宋体" w:hAnsi="宋体"/>
          <w:sz w:val="24"/>
        </w:rPr>
        <w:t>失信被执行人</w:t>
      </w:r>
      <w:r>
        <w:rPr>
          <w:rFonts w:ascii="宋体" w:hAnsi="宋体"/>
          <w:sz w:val="24"/>
        </w:rPr>
        <w:t>”</w:t>
      </w:r>
      <w:r>
        <w:rPr>
          <w:rFonts w:hint="eastAsia" w:ascii="宋体" w:hAnsi="宋体"/>
          <w:sz w:val="24"/>
        </w:rPr>
        <w:t>名单。</w:t>
      </w:r>
    </w:p>
    <w:p w14:paraId="52DDEE44">
      <w:pPr>
        <w:spacing w:line="360" w:lineRule="auto"/>
        <w:ind w:firstLine="537" w:firstLineChars="224"/>
        <w:rPr>
          <w:rFonts w:hint="eastAsia" w:ascii="宋体" w:hAnsi="宋体" w:eastAsia="宋体"/>
          <w:sz w:val="24"/>
        </w:rPr>
      </w:pPr>
      <w:r>
        <w:rPr>
          <w:rFonts w:hint="eastAsia" w:ascii="宋体" w:hAnsi="宋体" w:eastAsia="宋体"/>
          <w:sz w:val="24"/>
        </w:rPr>
        <w:t>注：未在招标公告第九条单列的资审合格条件，不作为资审不合格的依据。</w:t>
      </w:r>
    </w:p>
    <w:p w14:paraId="62F22DC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cs="宋体"/>
          <w:sz w:val="24"/>
          <w:szCs w:val="24"/>
        </w:rPr>
      </w:pPr>
      <w:r>
        <w:rPr>
          <w:rFonts w:hint="eastAsia" w:ascii="宋体" w:hAnsi="宋体" w:cs="宋体"/>
          <w:sz w:val="24"/>
          <w:szCs w:val="24"/>
        </w:rPr>
        <w:t>十、资格审查方式：</w:t>
      </w:r>
    </w:p>
    <w:p w14:paraId="022ADF23">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ascii="宋体" w:cs="宋体"/>
          <w:sz w:val="24"/>
          <w:szCs w:val="24"/>
        </w:rPr>
      </w:pPr>
      <w:r>
        <w:rPr>
          <w:rFonts w:hint="eastAsia" w:ascii="宋体" w:hAnsi="宋体" w:cs="宋体"/>
          <w:sz w:val="24"/>
          <w:szCs w:val="24"/>
        </w:rPr>
        <w:t>本工程采用资格后审方式，由评标委员会负责资格审查。</w:t>
      </w:r>
    </w:p>
    <w:p w14:paraId="30EC648A">
      <w:pPr>
        <w:keepNext w:val="0"/>
        <w:keepLines w:val="0"/>
        <w:pageBreakBefore w:val="0"/>
        <w:kinsoku/>
        <w:wordWrap/>
        <w:overflowPunct/>
        <w:topLinePunct w:val="0"/>
        <w:autoSpaceDE/>
        <w:autoSpaceDN/>
        <w:bidi w:val="0"/>
        <w:snapToGrid w:val="0"/>
        <w:spacing w:line="360" w:lineRule="auto"/>
        <w:textAlignment w:val="auto"/>
        <w:rPr>
          <w:rFonts w:ascii="宋体" w:hAnsi="宋体"/>
          <w:sz w:val="24"/>
        </w:rPr>
      </w:pPr>
      <w:r>
        <w:rPr>
          <w:rFonts w:hint="eastAsia" w:ascii="宋体" w:hAnsi="宋体"/>
          <w:sz w:val="24"/>
        </w:rPr>
        <w:t xml:space="preserve">    十一、资格审查结果将在</w:t>
      </w:r>
      <w:r>
        <w:rPr>
          <w:sz w:val="24"/>
          <w:szCs w:val="24"/>
          <w:u w:val="single"/>
        </w:rPr>
        <w:t xml:space="preserve"> </w:t>
      </w:r>
      <w:r>
        <w:rPr>
          <w:rFonts w:hint="eastAsia"/>
          <w:sz w:val="24"/>
          <w:szCs w:val="24"/>
          <w:u w:val="single"/>
        </w:rPr>
        <w:t>广州公共资源交易中心（广州公共资源交易中心）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14:paraId="2B63C787">
      <w:pPr>
        <w:keepNext w:val="0"/>
        <w:keepLines w:val="0"/>
        <w:pageBreakBefore w:val="0"/>
        <w:kinsoku/>
        <w:wordWrap/>
        <w:overflowPunct/>
        <w:topLinePunct w:val="0"/>
        <w:autoSpaceDE/>
        <w:autoSpaceDN/>
        <w:bidi w:val="0"/>
        <w:snapToGrid w:val="0"/>
        <w:spacing w:line="360" w:lineRule="auto"/>
        <w:textAlignment w:val="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09167BC8">
      <w:pPr>
        <w:keepNext w:val="0"/>
        <w:keepLines w:val="0"/>
        <w:pageBreakBefore w:val="0"/>
        <w:kinsoku/>
        <w:wordWrap/>
        <w:overflowPunct/>
        <w:topLinePunct w:val="0"/>
        <w:autoSpaceDE/>
        <w:autoSpaceDN/>
        <w:bidi w:val="0"/>
        <w:spacing w:line="360" w:lineRule="auto"/>
        <w:ind w:firstLine="537" w:firstLineChars="224"/>
        <w:textAlignment w:val="auto"/>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C1EB8D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s="宋体"/>
          <w:sz w:val="24"/>
          <w:u w:val="single"/>
        </w:rPr>
      </w:pPr>
      <w:r>
        <w:rPr>
          <w:rFonts w:hint="eastAsia" w:ascii="宋体" w:hAnsi="宋体"/>
          <w:sz w:val="24"/>
        </w:rPr>
        <w:t>十四、</w:t>
      </w:r>
      <w:r>
        <w:rPr>
          <w:rFonts w:hint="eastAsia" w:ascii="宋体" w:hAnsi="宋体" w:cs="宋体"/>
          <w:sz w:val="24"/>
        </w:rPr>
        <w:t>投标文件全部采用电子文档，投标人按招标文件要求提交投标文件。</w:t>
      </w:r>
      <w:r>
        <w:rPr>
          <w:rFonts w:hint="eastAsia" w:ascii="宋体" w:hAnsi="宋体" w:cs="宋体"/>
          <w:sz w:val="24"/>
          <w:u w:val="single"/>
        </w:rPr>
        <w:t>若投标文件中的部分内容要求取自广州公共资源交易中心企业信息库的，则投标人选择平台中记录的该部分上传件将被视为投标人递交投标文件的一部分，投标人需提供相应的证明材料或扫描件以供核对。评标委员会对该部分资料的审查将以递交投标文件截止时间在广州公共资源交易中心企业信息库内上传件为依据。若招标人延长递交投标文件截止时间的，以上资料的评审时点也相应延长。投标人应及时维护其在广州公共资源交易中心企业信息库登记的信息及上传件，确保各项信息及上传件在有效期内。</w:t>
      </w:r>
    </w:p>
    <w:p w14:paraId="78BA462D">
      <w:pPr>
        <w:keepNext w:val="0"/>
        <w:keepLines w:val="0"/>
        <w:pageBreakBefore w:val="0"/>
        <w:kinsoku/>
        <w:wordWrap/>
        <w:overflowPunct/>
        <w:topLinePunct w:val="0"/>
        <w:autoSpaceDE/>
        <w:autoSpaceDN/>
        <w:bidi w:val="0"/>
        <w:spacing w:line="360" w:lineRule="auto"/>
        <w:ind w:firstLine="480" w:firstLineChars="200"/>
        <w:textAlignment w:val="auto"/>
        <w:rPr>
          <w:rFonts w:ascii="宋体"/>
          <w:sz w:val="24"/>
          <w:szCs w:val="24"/>
        </w:rPr>
      </w:pPr>
      <w:r>
        <w:rPr>
          <w:rFonts w:hint="eastAsia" w:ascii="宋体" w:hAnsi="宋体" w:cs="宋体"/>
          <w:sz w:val="24"/>
          <w:u w:val="singl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0A490F5F">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14:paraId="233C2405">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sz w:val="24"/>
          <w:u w:val="single"/>
          <w:lang w:eastAsia="zh-CN"/>
        </w:rPr>
      </w:pPr>
      <w:r>
        <w:rPr>
          <w:rFonts w:hint="eastAsia" w:ascii="宋体" w:hAnsi="宋体"/>
          <w:sz w:val="24"/>
        </w:rPr>
        <w:t>异议受理部门：</w:t>
      </w:r>
      <w:r>
        <w:rPr>
          <w:rFonts w:hint="eastAsia" w:ascii="宋体" w:hAnsi="宋体" w:cs="宋体"/>
          <w:sz w:val="24"/>
          <w:u w:val="single"/>
          <w:lang w:eastAsia="zh-CN"/>
        </w:rPr>
        <w:t>广州市番禺区石碁镇人民政府</w:t>
      </w:r>
    </w:p>
    <w:p w14:paraId="3430E08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sz w:val="24"/>
          <w:u w:val="single"/>
        </w:rPr>
      </w:pPr>
      <w:r>
        <w:rPr>
          <w:rFonts w:hint="eastAsia" w:ascii="宋体" w:hAnsi="宋体"/>
          <w:sz w:val="24"/>
        </w:rPr>
        <w:t>异议受理电话：</w:t>
      </w:r>
      <w:r>
        <w:rPr>
          <w:rFonts w:hint="eastAsia" w:ascii="宋体" w:hAnsi="宋体" w:cs="宋体"/>
          <w:sz w:val="24"/>
          <w:u w:val="single"/>
        </w:rPr>
        <w:t>020-84858121‬    联系人：何工</w:t>
      </w:r>
    </w:p>
    <w:p w14:paraId="710DDC52">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sz w:val="24"/>
          <w:u w:val="single"/>
          <w:lang w:eastAsia="zh-CN"/>
        </w:rPr>
      </w:pPr>
      <w:r>
        <w:rPr>
          <w:rFonts w:hint="eastAsia" w:ascii="宋体" w:hAnsi="宋体"/>
          <w:sz w:val="24"/>
        </w:rPr>
        <w:t>地址：</w:t>
      </w:r>
      <w:r>
        <w:rPr>
          <w:rFonts w:hint="eastAsia" w:ascii="宋体" w:hAnsi="宋体" w:cs="宋体"/>
          <w:sz w:val="24"/>
          <w:u w:val="single"/>
          <w:lang w:eastAsia="zh-CN"/>
        </w:rPr>
        <w:t>广州市番禺区石碁镇岐山南路8号</w:t>
      </w:r>
    </w:p>
    <w:p w14:paraId="1E56EF77">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sz w:val="24"/>
        </w:rPr>
      </w:pPr>
      <w:r>
        <w:rPr>
          <w:rFonts w:hint="eastAsia" w:ascii="宋体" w:hAnsi="宋体"/>
          <w:sz w:val="24"/>
        </w:rPr>
        <w:t>注：潜在投标人或利害关系人对本招标公告及招标文件有异议的，应当在招标投标相关法律法规规定的时间内（投标截止时间10日前）通过电子交易系统向招标人提出异议，具体按照电子招标投标交易平台相关指南进行操作。招标人应当在规定的异议答复期限内作出答复；作出答复前，应当暂停招标投标活动。招标人依法作出答复、发布招标文件澄清或者修改文件的，应当通过电子交易系统进行。作出答复前，应当暂停招标投标活动。</w:t>
      </w:r>
    </w:p>
    <w:p w14:paraId="550324C4">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sz w:val="24"/>
        </w:rPr>
      </w:pPr>
      <w:r>
        <w:rPr>
          <w:rFonts w:hint="eastAsia" w:ascii="宋体" w:hAnsi="宋体"/>
          <w:sz w:val="24"/>
        </w:rPr>
        <w:t>十六、本公告在广州交易集团有限公司（广州公共资源交易中心）（网址：http</w:t>
      </w:r>
      <w:r>
        <w:rPr>
          <w:rFonts w:hint="eastAsia" w:ascii="宋体" w:hAnsi="宋体"/>
          <w:sz w:val="24"/>
          <w:lang w:eastAsia="zh-CN"/>
        </w:rPr>
        <w:t>：</w:t>
      </w:r>
      <w:r>
        <w:rPr>
          <w:rFonts w:hint="eastAsia" w:ascii="宋体" w:hAnsi="宋体"/>
          <w:sz w:val="24"/>
        </w:rPr>
        <w:t>//www.gzggzy.cn）、广东省招标投标监管网（网址：https</w:t>
      </w:r>
      <w:r>
        <w:rPr>
          <w:rFonts w:hint="eastAsia" w:ascii="宋体" w:hAnsi="宋体"/>
          <w:sz w:val="24"/>
          <w:lang w:eastAsia="zh-CN"/>
        </w:rPr>
        <w:t>：</w:t>
      </w:r>
      <w:r>
        <w:rPr>
          <w:rFonts w:hint="eastAsia" w:ascii="宋体" w:hAnsi="宋体"/>
          <w:sz w:val="24"/>
        </w:rPr>
        <w:t>//zbtb.gd.gov.cn/）和中国招标投标公共服务平台（网址：http</w:t>
      </w:r>
      <w:r>
        <w:rPr>
          <w:rFonts w:hint="eastAsia" w:ascii="宋体" w:hAnsi="宋体"/>
          <w:sz w:val="24"/>
          <w:lang w:eastAsia="zh-CN"/>
        </w:rPr>
        <w:t>：</w:t>
      </w:r>
      <w:r>
        <w:rPr>
          <w:rFonts w:hint="eastAsia" w:ascii="宋体" w:hAnsi="宋体"/>
          <w:sz w:val="24"/>
        </w:rPr>
        <w:t>//www.cebpubservice.com/）发布，本公告的修改、补充，在广州交易集团有限公司（广州公共资源交易中心）发布。招标公告、公示信息的发布时间和内容，以在广东省招标投标监管网发布的为准。</w:t>
      </w:r>
    </w:p>
    <w:p w14:paraId="4E4F7498">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十七、招标公告网上发布时，同时发布招标文件、施工图纸、最高投标限价。本工程根据国家和省有关计价规范设置最高投标限价。招标公告发布之日起计算编制投标文件时间，编制投标文件的时间不得少于20天。招标人如需发布补充公告的，以最后发布的补充公告时间起计算编制投标文件时间。</w:t>
      </w:r>
      <w:r>
        <w:rPr>
          <w:rFonts w:hint="eastAsia" w:ascii="宋体" w:hAnsi="宋体"/>
          <w:sz w:val="24"/>
          <w:u w:val="single"/>
        </w:rPr>
        <w:t>招标人应综合考虑节假日因素，合理确定投标人编制投标文件所需要的时间，如遇春节、五一、十一等长假，建议招标人结合项目特点和实际需要适当延长备标期。</w:t>
      </w:r>
    </w:p>
    <w:p w14:paraId="56D06989">
      <w:pPr>
        <w:keepNext w:val="0"/>
        <w:keepLines w:val="0"/>
        <w:pageBreakBefore w:val="0"/>
        <w:kinsoku/>
        <w:wordWrap/>
        <w:overflowPunct/>
        <w:topLinePunct w:val="0"/>
        <w:autoSpaceDE/>
        <w:autoSpaceDN/>
        <w:bidi w:val="0"/>
        <w:spacing w:line="360" w:lineRule="auto"/>
        <w:ind w:firstLine="537" w:firstLineChars="224"/>
        <w:textAlignment w:val="auto"/>
        <w:rPr>
          <w:rFonts w:ascii="宋体"/>
          <w:sz w:val="24"/>
        </w:rPr>
      </w:pPr>
      <w:r>
        <w:rPr>
          <w:rFonts w:hint="eastAsia" w:ascii="宋体"/>
          <w:sz w:val="24"/>
        </w:rPr>
        <w:t>十八、《投诉处理决定书》和《行政处理决定书》在</w:t>
      </w:r>
      <w:r>
        <w:rPr>
          <w:rFonts w:hint="eastAsia" w:ascii="宋体" w:hAnsi="宋体"/>
          <w:sz w:val="24"/>
        </w:rPr>
        <w:t>广州市住房和城乡建设局</w:t>
      </w:r>
      <w:r>
        <w:rPr>
          <w:rFonts w:hint="eastAsia" w:ascii="宋体"/>
          <w:sz w:val="24"/>
        </w:rPr>
        <w:t>网站上公布的，视为送达其他与决定书有关的当事人。</w:t>
      </w:r>
    </w:p>
    <w:p w14:paraId="44D3AEFB">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十九、投标人在本项目招标人的工程项目中存在下列行为的，将被拒绝一定时期内参与招标人后续工程投标。（注：拒绝投标时限由招标人视严重程度确定，最低三个月起，自招标人发出通知之日起计）：</w:t>
      </w:r>
    </w:p>
    <w:p w14:paraId="70E804E4">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1.将中标工程转包或者违法分包的;</w:t>
      </w:r>
    </w:p>
    <w:p w14:paraId="28D13355">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2.在中标工程中不执行质量、安全生产相关规定的，造成质量或安全事故的；</w:t>
      </w:r>
    </w:p>
    <w:p w14:paraId="67A9C582">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u w:val="single"/>
        </w:rPr>
      </w:pPr>
      <w:r>
        <w:rPr>
          <w:rFonts w:hint="eastAsia" w:ascii="宋体" w:hAnsi="宋体"/>
          <w:sz w:val="24"/>
        </w:rPr>
        <w:t>3.出让投标资格的；</w:t>
      </w:r>
    </w:p>
    <w:p w14:paraId="2228D99E">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4.存在围标、串标情形的;</w:t>
      </w:r>
    </w:p>
    <w:p w14:paraId="45770E6A">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5.在投标文件中提供虚假材料的；</w:t>
      </w:r>
    </w:p>
    <w:p w14:paraId="18EC488E">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6.存在少放、不放业绩、奖项等客观评审资料，减少自身竞争力情形的；</w:t>
      </w:r>
    </w:p>
    <w:p w14:paraId="47CFF87F">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7.存在行贿情形的;</w:t>
      </w:r>
    </w:p>
    <w:p w14:paraId="388B1BA0">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8.拖欠农民工工资的；</w:t>
      </w:r>
    </w:p>
    <w:p w14:paraId="36AA6D66">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rPr>
      </w:pPr>
      <w:r>
        <w:rPr>
          <w:rFonts w:hint="eastAsia" w:ascii="宋体" w:hAnsi="宋体"/>
          <w:sz w:val="24"/>
        </w:rPr>
        <w:t>9.未按照国家、省、市有关建筑施工实名制管理和工人工资支付分账管理的规定执行，被行政监管部门处罚的；</w:t>
      </w:r>
    </w:p>
    <w:p w14:paraId="67ADD06D">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u w:val="single"/>
        </w:rPr>
      </w:pPr>
      <w:r>
        <w:rPr>
          <w:rFonts w:hint="eastAsia" w:ascii="宋体" w:hAnsi="宋体"/>
          <w:sz w:val="24"/>
          <w:u w:val="none"/>
        </w:rPr>
        <w:t>10.</w:t>
      </w:r>
      <w:r>
        <w:rPr>
          <w:rFonts w:hint="eastAsia" w:ascii="宋体"/>
          <w:sz w:val="24"/>
        </w:rPr>
        <w:t>中标人在项目实施过程中选取的专业分包单位或劳务企业或劳务班组长与投标时不一致的（如有）；</w:t>
      </w:r>
    </w:p>
    <w:p w14:paraId="5B78E728">
      <w:pPr>
        <w:keepNext w:val="0"/>
        <w:keepLines w:val="0"/>
        <w:pageBreakBefore w:val="0"/>
        <w:kinsoku/>
        <w:wordWrap/>
        <w:overflowPunct/>
        <w:topLinePunct w:val="0"/>
        <w:autoSpaceDE/>
        <w:autoSpaceDN/>
        <w:bidi w:val="0"/>
        <w:spacing w:line="360" w:lineRule="auto"/>
        <w:ind w:firstLine="537" w:firstLineChars="224"/>
        <w:textAlignment w:val="auto"/>
        <w:rPr>
          <w:rFonts w:ascii="宋体" w:hAnsi="宋体"/>
          <w:sz w:val="24"/>
          <w:u w:val="single"/>
        </w:rPr>
      </w:pPr>
      <w:r>
        <w:rPr>
          <w:rFonts w:hint="eastAsia" w:ascii="宋体" w:hAnsi="宋体"/>
          <w:sz w:val="24"/>
          <w:u w:val="single"/>
        </w:rPr>
        <w:t>1</w:t>
      </w:r>
      <w:r>
        <w:rPr>
          <w:rFonts w:hint="eastAsia" w:ascii="宋体" w:hAnsi="宋体"/>
          <w:sz w:val="24"/>
          <w:u w:val="single"/>
          <w:lang w:val="en-US" w:eastAsia="zh-CN"/>
        </w:rPr>
        <w:t>1</w:t>
      </w:r>
      <w:r>
        <w:rPr>
          <w:rFonts w:hint="eastAsia" w:ascii="宋体" w:hAnsi="宋体"/>
          <w:sz w:val="24"/>
          <w:u w:val="single"/>
        </w:rPr>
        <w:t xml:space="preserve">.中标人在递交招标文件之日起至本项目全部竣工验收完成期间，所委派的项目负责人和安全员在其他在建项目中任职的。  </w:t>
      </w:r>
    </w:p>
    <w:p w14:paraId="1A39ED92">
      <w:pPr>
        <w:pStyle w:val="4"/>
        <w:keepNext w:val="0"/>
        <w:keepLines w:val="0"/>
        <w:pageBreakBefore w:val="0"/>
        <w:kinsoku/>
        <w:wordWrap/>
        <w:overflowPunct/>
        <w:topLinePunct w:val="0"/>
        <w:autoSpaceDE/>
        <w:autoSpaceDN/>
        <w:bidi w:val="0"/>
        <w:spacing w:line="360" w:lineRule="auto"/>
        <w:textAlignment w:val="auto"/>
      </w:pPr>
    </w:p>
    <w:p w14:paraId="29E5C1E9">
      <w:pPr>
        <w:keepNext w:val="0"/>
        <w:keepLines w:val="0"/>
        <w:pageBreakBefore w:val="0"/>
        <w:kinsoku/>
        <w:wordWrap/>
        <w:overflowPunct/>
        <w:topLinePunct w:val="0"/>
        <w:autoSpaceDE/>
        <w:autoSpaceDN/>
        <w:bidi w:val="0"/>
        <w:spacing w:line="360" w:lineRule="auto"/>
        <w:ind w:right="1348" w:rightChars="642" w:firstLine="5760" w:firstLineChars="2400"/>
        <w:textAlignment w:val="auto"/>
        <w:rPr>
          <w:rFonts w:ascii="宋体" w:hAnsi="宋体"/>
          <w:sz w:val="24"/>
        </w:rPr>
      </w:pPr>
    </w:p>
    <w:p w14:paraId="592BBCE1">
      <w:pPr>
        <w:keepNext w:val="0"/>
        <w:keepLines w:val="0"/>
        <w:pageBreakBefore w:val="0"/>
        <w:kinsoku/>
        <w:wordWrap/>
        <w:overflowPunct/>
        <w:topLinePunct w:val="0"/>
        <w:autoSpaceDE/>
        <w:autoSpaceDN/>
        <w:bidi w:val="0"/>
        <w:spacing w:line="360" w:lineRule="auto"/>
        <w:ind w:right="1348" w:rightChars="642"/>
        <w:jc w:val="right"/>
        <w:textAlignment w:val="auto"/>
        <w:rPr>
          <w:rFonts w:hint="eastAsia" w:ascii="宋体" w:eastAsia="宋体"/>
          <w:sz w:val="24"/>
          <w:lang w:eastAsia="zh-CN"/>
        </w:rPr>
      </w:pPr>
      <w:r>
        <w:rPr>
          <w:rFonts w:hint="eastAsia" w:ascii="宋体" w:hAnsi="宋体"/>
          <w:sz w:val="24"/>
        </w:rPr>
        <w:t>招标人名称：</w:t>
      </w:r>
      <w:r>
        <w:rPr>
          <w:rFonts w:hint="eastAsia" w:ascii="宋体" w:hAnsi="宋体" w:cs="宋体"/>
          <w:sz w:val="24"/>
          <w:u w:val="single"/>
          <w:lang w:eastAsia="zh-CN"/>
        </w:rPr>
        <w:t>广州市番禺区石碁镇人民政府</w:t>
      </w:r>
    </w:p>
    <w:p w14:paraId="3DE30F93">
      <w:pPr>
        <w:keepNext w:val="0"/>
        <w:keepLines w:val="0"/>
        <w:pageBreakBefore w:val="0"/>
        <w:kinsoku/>
        <w:wordWrap/>
        <w:overflowPunct/>
        <w:topLinePunct w:val="0"/>
        <w:autoSpaceDE/>
        <w:autoSpaceDN/>
        <w:bidi w:val="0"/>
        <w:spacing w:line="360" w:lineRule="auto"/>
        <w:ind w:right="1348" w:rightChars="642"/>
        <w:jc w:val="right"/>
        <w:textAlignment w:val="auto"/>
        <w:rPr>
          <w:rFonts w:hint="eastAsia" w:ascii="宋体" w:eastAsia="宋体"/>
          <w:sz w:val="24"/>
          <w:lang w:eastAsia="zh-CN"/>
        </w:rPr>
      </w:pPr>
      <w:r>
        <w:rPr>
          <w:rFonts w:hint="eastAsia" w:ascii="宋体" w:hAnsi="宋体"/>
          <w:sz w:val="24"/>
        </w:rPr>
        <w:t>招标代理名称：</w:t>
      </w:r>
      <w:r>
        <w:rPr>
          <w:rFonts w:hint="eastAsia" w:ascii="宋体" w:hAnsi="宋体"/>
          <w:sz w:val="24"/>
          <w:u w:val="single"/>
          <w:lang w:eastAsia="zh-CN"/>
        </w:rPr>
        <w:t>钺法咨询有限公司</w:t>
      </w:r>
    </w:p>
    <w:p w14:paraId="06A951FF">
      <w:pPr>
        <w:keepNext w:val="0"/>
        <w:keepLines w:val="0"/>
        <w:pageBreakBefore w:val="0"/>
        <w:kinsoku/>
        <w:wordWrap/>
        <w:overflowPunct/>
        <w:topLinePunct w:val="0"/>
        <w:autoSpaceDE/>
        <w:autoSpaceDN/>
        <w:bidi w:val="0"/>
        <w:spacing w:line="360" w:lineRule="auto"/>
        <w:ind w:right="1348" w:rightChars="642" w:firstLine="4860" w:firstLineChars="2025"/>
        <w:jc w:val="right"/>
        <w:textAlignment w:val="auto"/>
        <w:rPr>
          <w:rFonts w:ascii="宋体"/>
          <w:sz w:val="24"/>
        </w:rPr>
      </w:pPr>
      <w:r>
        <w:rPr>
          <w:rFonts w:hint="eastAsia" w:ascii="宋体" w:hAnsi="宋体"/>
          <w:sz w:val="24"/>
          <w:u w:val="single"/>
        </w:rPr>
        <w:t>2025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7220A548">
      <w:pPr>
        <w:keepNext w:val="0"/>
        <w:keepLines w:val="0"/>
        <w:pageBreakBefore w:val="0"/>
        <w:kinsoku/>
        <w:wordWrap/>
        <w:overflowPunct/>
        <w:topLinePunct w:val="0"/>
        <w:autoSpaceDE/>
        <w:autoSpaceDN/>
        <w:bidi w:val="0"/>
        <w:spacing w:line="360" w:lineRule="auto"/>
        <w:ind w:firstLine="537" w:firstLineChars="224"/>
        <w:textAlignment w:val="auto"/>
        <w:rPr>
          <w:rFonts w:ascii="宋体"/>
          <w:sz w:val="24"/>
        </w:rPr>
        <w:sectPr>
          <w:footerReference r:id="rId4" w:type="default"/>
          <w:endnotePr>
            <w:numFmt w:val="decimal"/>
          </w:endnotePr>
          <w:pgSz w:w="11906" w:h="16838"/>
          <w:pgMar w:top="1440" w:right="1134" w:bottom="1440" w:left="1134" w:header="851" w:footer="992" w:gutter="0"/>
          <w:pgNumType w:start="1"/>
          <w:cols w:space="720" w:num="1"/>
          <w:docGrid w:type="lines" w:linePitch="312" w:charSpace="0"/>
        </w:sectPr>
      </w:pPr>
    </w:p>
    <w:p w14:paraId="250CFBC3">
      <w:pPr>
        <w:keepNext w:val="0"/>
        <w:keepLines w:val="0"/>
        <w:pageBreakBefore w:val="0"/>
        <w:kinsoku/>
        <w:wordWrap/>
        <w:overflowPunct/>
        <w:topLinePunct w:val="0"/>
        <w:autoSpaceDE/>
        <w:autoSpaceDN/>
        <w:bidi w:val="0"/>
        <w:adjustRightInd w:val="0"/>
        <w:snapToGrid w:val="0"/>
        <w:spacing w:line="360" w:lineRule="auto"/>
        <w:ind w:right="422" w:rightChars="201"/>
        <w:jc w:val="left"/>
        <w:textAlignment w:val="auto"/>
        <w:rPr>
          <w:sz w:val="44"/>
        </w:rPr>
      </w:pPr>
      <w:r>
        <w:rPr>
          <w:rFonts w:hint="eastAsia" w:ascii="宋体" w:hAnsi="宋体"/>
          <w:sz w:val="24"/>
        </w:rPr>
        <w:t>附件</w:t>
      </w:r>
      <w:r>
        <w:rPr>
          <w:rFonts w:hint="eastAsia" w:ascii="宋体" w:hAnsi="宋体"/>
          <w:sz w:val="24"/>
          <w:lang w:val="en-US" w:eastAsia="zh-CN"/>
        </w:rPr>
        <w:t>一</w:t>
      </w:r>
      <w:r>
        <w:rPr>
          <w:rFonts w:hint="eastAsia" w:ascii="宋体" w:hAnsi="宋体"/>
          <w:sz w:val="24"/>
        </w:rPr>
        <w:t>：</w:t>
      </w:r>
    </w:p>
    <w:p w14:paraId="5C6F25E6">
      <w:pPr>
        <w:keepNext w:val="0"/>
        <w:keepLines w:val="0"/>
        <w:pageBreakBefore w:val="0"/>
        <w:kinsoku/>
        <w:wordWrap/>
        <w:overflowPunct/>
        <w:topLinePunct w:val="0"/>
        <w:autoSpaceDE/>
        <w:autoSpaceDN/>
        <w:bidi w:val="0"/>
        <w:adjustRightInd w:val="0"/>
        <w:snapToGrid w:val="0"/>
        <w:spacing w:line="360" w:lineRule="auto"/>
        <w:jc w:val="center"/>
        <w:textAlignment w:val="auto"/>
        <w:rPr>
          <w:sz w:val="32"/>
          <w:szCs w:val="32"/>
        </w:rPr>
      </w:pPr>
      <w:r>
        <w:rPr>
          <w:rFonts w:hint="eastAsia"/>
          <w:kern w:val="0"/>
          <w:sz w:val="32"/>
          <w:szCs w:val="32"/>
        </w:rPr>
        <w:t>投标人</w:t>
      </w:r>
      <w:r>
        <w:rPr>
          <w:rFonts w:hint="eastAsia"/>
          <w:sz w:val="32"/>
          <w:szCs w:val="32"/>
        </w:rPr>
        <w:t>声明</w:t>
      </w:r>
    </w:p>
    <w:p w14:paraId="57A9F549">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广州市番禺区住房和城乡建设局、本招标项目招标人及招标监管机构：</w:t>
      </w:r>
    </w:p>
    <w:p w14:paraId="62B1E42A">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本公司就参加</w:t>
      </w:r>
      <w:r>
        <w:rPr>
          <w:rFonts w:hint="eastAsia" w:ascii="宋体" w:hAnsi="宋体" w:eastAsia="宋体" w:cs="宋体"/>
          <w:color w:val="auto"/>
          <w:sz w:val="21"/>
          <w:szCs w:val="21"/>
          <w:u w:val="single"/>
          <w:lang w:eastAsia="zh-CN"/>
        </w:rPr>
        <w:t>番禺区石碁镇富怡路周边市政基础设施改造工程施工总承包</w:t>
      </w:r>
      <w:r>
        <w:rPr>
          <w:rFonts w:hint="eastAsia" w:ascii="宋体" w:hAnsi="宋体" w:eastAsia="宋体" w:cs="宋体"/>
          <w:color w:val="auto"/>
          <w:sz w:val="21"/>
          <w:szCs w:val="21"/>
        </w:rPr>
        <w:t>投标工作，作出郑重声明：</w:t>
      </w:r>
    </w:p>
    <w:p w14:paraId="123CE447">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14:paraId="7C6A2E41">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u w:val="single"/>
        </w:rPr>
        <w:t>本公司承诺遵循公平、公正、公开、诚实信用原则，在本项目投标中诚信投标，</w:t>
      </w:r>
      <w:r>
        <w:rPr>
          <w:rFonts w:hint="eastAsia" w:ascii="宋体" w:hAnsi="宋体" w:eastAsia="宋体" w:cs="宋体"/>
          <w:color w:val="auto"/>
          <w:sz w:val="21"/>
          <w:szCs w:val="21"/>
        </w:rPr>
        <w:t>在本项目投标中不与其他单位围标、串标，不出让投标资格，不向招标人或评标委员会成员行贿</w:t>
      </w:r>
      <w:r>
        <w:rPr>
          <w:rFonts w:hint="eastAsia" w:ascii="宋体" w:hAnsi="宋体" w:eastAsia="宋体" w:cs="宋体"/>
          <w:color w:val="auto"/>
          <w:sz w:val="21"/>
          <w:szCs w:val="21"/>
          <w:u w:val="single"/>
        </w:rPr>
        <w:t>，不存在少放、不放业绩、奖项等客观评审资料，减少自身竞争力的情形，若存在以上情形的，将自愿接受被招标人列入拒绝投标名单，不能参与招标人后续招标项目的投标。</w:t>
      </w:r>
    </w:p>
    <w:p w14:paraId="167E1E29">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三、本公司不存在下列情形之一：</w:t>
      </w:r>
    </w:p>
    <w:p w14:paraId="217EBE03">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（一）为招标人不具有独立法人资格的附属机构（单位）；</w:t>
      </w:r>
    </w:p>
    <w:p w14:paraId="322615E5">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（二）为本标段前期准备提供设计或咨询服务或者与本项目设计人或提供咨询服务的机构存在附属关系的；</w:t>
      </w:r>
    </w:p>
    <w:p w14:paraId="0E4EF70A">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（三）为本标段监理人或者与本标段监理人存在隶属关系或者其他利害关系；</w:t>
      </w:r>
    </w:p>
    <w:p w14:paraId="4CDB5BA5">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（四）为本标段的代建人；</w:t>
      </w:r>
    </w:p>
    <w:p w14:paraId="474C9745">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（五）为本标段提供招标代理服务的；</w:t>
      </w:r>
    </w:p>
    <w:p w14:paraId="5488FD99">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（六）与本标段的监理人或代建人或招标代理机构同为一个法定代表人的；</w:t>
      </w:r>
    </w:p>
    <w:p w14:paraId="6EF7764E">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（七）与本标段的监理人或代建人或招标代理机构互相控股或参股的；</w:t>
      </w:r>
    </w:p>
    <w:p w14:paraId="751D0221">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（八）与本标段的监理人或代建人或招标代理机构相互任职或工作的；</w:t>
      </w:r>
    </w:p>
    <w:p w14:paraId="7F22D964">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（九）与本标段的检测机构有隶属关系或者其他利害关系；</w:t>
      </w:r>
    </w:p>
    <w:p w14:paraId="176FD864">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（十）与招标人存在利害关系且可能影响招标公正性； </w:t>
      </w:r>
    </w:p>
    <w:p w14:paraId="5E0F2BC3">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6CCF3AF7">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（十二）被责令停产停业、暂扣或者吊销许可证、暂扣或者吊销执照的（本项事实应当以根据《中华人民共和国行政处罚法》依法作出并已经生效的行政处罚决定为认定依据。）；</w:t>
      </w:r>
    </w:p>
    <w:p w14:paraId="47886F17">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（十三）进入清算程序，或被宣布破产，或其他丧失履约能力的情形；</w:t>
      </w:r>
    </w:p>
    <w:p w14:paraId="66DE3AC1">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4E3A30B">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（十五）法律法规规定的其他情形。</w:t>
      </w:r>
    </w:p>
    <w:p w14:paraId="6A923986">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四、本公司保证：本项目拟派的项目负责人没有在其他在建项目中任施工单位项目负责人，本项目拟派的专职安全员没有在其他在建项目中任职。</w:t>
      </w:r>
    </w:p>
    <w:p w14:paraId="03516A50">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2D630F7">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4589178">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七、本公司承诺，切实落实《广州市住房和城乡建设局关于印发&lt;广州市建筑施工实名制管理办法&gt;的通知》（穗建规字〔2020〕18号）、《广州市建设领域工人工资支付分账管理实施细则》（穗建规字〔2020〕37号）</w:t>
      </w:r>
      <w:r>
        <w:rPr>
          <w:rFonts w:hint="eastAsia" w:ascii="宋体" w:hAnsi="宋体" w:eastAsia="宋体" w:cs="宋体"/>
          <w:color w:val="auto"/>
          <w:sz w:val="21"/>
          <w:szCs w:val="21"/>
          <w:lang w:eastAsia="zh-CN"/>
        </w:rPr>
        <w:t>、《广州市住房和城乡建设局关于进一步规范落实实名制和工人工资分账管理的通知》、《广州市住房和城乡建设局 广州市人力资源和社会保障局关于加强房屋建筑工程实名制和保障农民工工资有关事项的通知》</w:t>
      </w:r>
      <w:r>
        <w:rPr>
          <w:rFonts w:hint="eastAsia" w:ascii="宋体" w:hAnsi="宋体" w:eastAsia="宋体" w:cs="宋体"/>
          <w:color w:val="auto"/>
          <w:sz w:val="21"/>
          <w:szCs w:val="21"/>
        </w:rPr>
        <w:t>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CC6C592">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八、与本公司单位负责人为同一人或者与本公司存在控股、管理关系的其他单位包括：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。（注：本条由投标人如实填写，如有，应列出全部满足招标公告资质要求的相关单位的名称；如无，则填写“无”。）</w:t>
      </w:r>
    </w:p>
    <w:p w14:paraId="433B2E18">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581C4DA1">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u w:val="single"/>
        </w:rPr>
        <w:t>本公司承诺，中标后将按招标人要求，积极响应广州市关于投身“百千万工程”的号召，主动参与建筑业结对帮扶。</w:t>
      </w:r>
    </w:p>
    <w:p w14:paraId="2E570F83">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4E6DACE">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十二、本公司承诺，中标后不委托近两年因伪造检测数据、出具虚假检测报告被各级建设行政主管部门或市场监督管理部门行政处罚或通报的检测单位负责本项目的检测工作。</w:t>
      </w:r>
    </w:p>
    <w:p w14:paraId="3B5ED838">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十三、本公司违反上述承诺，或本声明陈述与事实不符，经查实，本公司愿意接受公开的通报，</w:t>
      </w:r>
      <w:r>
        <w:rPr>
          <w:rFonts w:hint="eastAsia" w:ascii="宋体" w:hAnsi="宋体" w:eastAsia="宋体" w:cs="宋体"/>
          <w:b/>
          <w:bCs/>
          <w:color w:val="auto"/>
          <w:sz w:val="21"/>
          <w:szCs w:val="21"/>
        </w:rPr>
        <w:t>愿意按照广州市交通运输局有关信用评价管理有关规定，被记录为“不良交易行为信息”</w:t>
      </w:r>
      <w:r>
        <w:rPr>
          <w:rFonts w:hint="eastAsia" w:ascii="宋体" w:hAnsi="宋体" w:eastAsia="宋体" w:cs="宋体"/>
          <w:color w:val="auto"/>
          <w:sz w:val="21"/>
          <w:szCs w:val="21"/>
        </w:rPr>
        <w:t>，承担由此带来的法律后果</w:t>
      </w:r>
      <w:r>
        <w:rPr>
          <w:rFonts w:hint="eastAsia" w:ascii="宋体" w:hAnsi="宋体" w:eastAsia="宋体"/>
          <w:color w:val="auto"/>
          <w:sz w:val="24"/>
          <w:szCs w:val="24"/>
        </w:rPr>
        <w:t>。</w:t>
      </w:r>
    </w:p>
    <w:p w14:paraId="2306EFFD">
      <w:pPr>
        <w:pStyle w:val="10"/>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特此声明。</w:t>
      </w:r>
    </w:p>
    <w:p w14:paraId="6D2E6D9B">
      <w:pPr>
        <w:pStyle w:val="11"/>
        <w:keepNext w:val="0"/>
        <w:keepLines w:val="0"/>
        <w:pageBreakBefore w:val="0"/>
        <w:kinsoku/>
        <w:wordWrap/>
        <w:overflowPunct/>
        <w:topLinePunct w:val="0"/>
        <w:autoSpaceDE/>
        <w:autoSpaceDN/>
        <w:bidi w:val="0"/>
        <w:adjustRightInd w:val="0"/>
        <w:snapToGrid w:val="0"/>
        <w:spacing w:line="360" w:lineRule="auto"/>
        <w:ind w:left="0" w:right="0"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                                    声明企业：</w:t>
      </w:r>
    </w:p>
    <w:p w14:paraId="4FDA039C">
      <w:pPr>
        <w:pStyle w:val="10"/>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                                          法定代表人或授权代理人签字：</w:t>
      </w:r>
    </w:p>
    <w:p w14:paraId="51C18009">
      <w:pPr>
        <w:pStyle w:val="10"/>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项目负责人签字</w:t>
      </w:r>
      <w:r>
        <w:rPr>
          <w:rFonts w:hint="eastAsia" w:ascii="宋体" w:hAnsi="宋体" w:eastAsia="宋体" w:cs="宋体"/>
          <w:color w:val="auto"/>
          <w:sz w:val="21"/>
          <w:szCs w:val="21"/>
          <w:lang w:eastAsia="zh-CN"/>
        </w:rPr>
        <w:t>：</w:t>
      </w:r>
    </w:p>
    <w:p w14:paraId="2CD8865C">
      <w:pPr>
        <w:pStyle w:val="10"/>
        <w:keepNext w:val="0"/>
        <w:keepLines w:val="0"/>
        <w:pageBreakBefore w:val="0"/>
        <w:kinsoku/>
        <w:wordWrap/>
        <w:overflowPunct/>
        <w:topLinePunct w:val="0"/>
        <w:autoSpaceDE/>
        <w:autoSpaceDN/>
        <w:bidi w:val="0"/>
        <w:adjustRightInd w:val="0"/>
        <w:snapToGrid w:val="0"/>
        <w:spacing w:line="360" w:lineRule="auto"/>
        <w:ind w:right="0" w:firstLine="420" w:firstLineChars="200"/>
        <w:textAlignment w:val="auto"/>
        <w:rPr>
          <w:rFonts w:ascii="宋体" w:hAnsi="宋体" w:eastAsia="宋体" w:cs="宋体"/>
          <w:color w:val="auto"/>
          <w:sz w:val="21"/>
          <w:szCs w:val="21"/>
        </w:rPr>
      </w:pPr>
    </w:p>
    <w:p w14:paraId="1BB24E5A">
      <w:pPr>
        <w:pStyle w:val="10"/>
        <w:keepNext w:val="0"/>
        <w:keepLines w:val="0"/>
        <w:pageBreakBefore w:val="0"/>
        <w:kinsoku/>
        <w:wordWrap/>
        <w:overflowPunct/>
        <w:topLinePunct w:val="0"/>
        <w:autoSpaceDE/>
        <w:autoSpaceDN/>
        <w:bidi w:val="0"/>
        <w:adjustRightInd w:val="0"/>
        <w:snapToGrid w:val="0"/>
        <w:spacing w:line="360" w:lineRule="auto"/>
        <w:ind w:right="0" w:firstLine="420" w:firstLineChars="200"/>
        <w:jc w:val="left"/>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                        </w:t>
      </w:r>
    </w:p>
    <w:p w14:paraId="6C319D9E">
      <w:pPr>
        <w:pStyle w:val="10"/>
        <w:keepNext w:val="0"/>
        <w:keepLines w:val="0"/>
        <w:pageBreakBefore w:val="0"/>
        <w:kinsoku/>
        <w:wordWrap/>
        <w:overflowPunct/>
        <w:topLinePunct w:val="0"/>
        <w:autoSpaceDE/>
        <w:autoSpaceDN/>
        <w:bidi w:val="0"/>
        <w:adjustRightInd w:val="0"/>
        <w:snapToGrid w:val="0"/>
        <w:spacing w:line="360" w:lineRule="auto"/>
        <w:ind w:right="0" w:firstLine="420" w:firstLineChars="200"/>
        <w:jc w:val="right"/>
        <w:textAlignment w:val="auto"/>
        <w:rPr>
          <w:rFonts w:ascii="宋体" w:hAnsi="宋体" w:eastAsia="宋体" w:cs="宋体"/>
          <w:color w:val="auto"/>
          <w:sz w:val="21"/>
          <w:szCs w:val="21"/>
        </w:rPr>
      </w:pPr>
      <w:r>
        <w:rPr>
          <w:rFonts w:hint="eastAsia" w:ascii="宋体" w:hAnsi="宋体" w:eastAsia="宋体" w:cs="宋体"/>
          <w:color w:val="auto"/>
          <w:sz w:val="21"/>
          <w:szCs w:val="21"/>
        </w:rPr>
        <w:t>年   月   日</w:t>
      </w:r>
    </w:p>
    <w:p w14:paraId="01D0BE5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szCs w:val="21"/>
        </w:rPr>
        <w:t xml:space="preserve">                                                      </w:t>
      </w:r>
    </w:p>
    <w:p w14:paraId="0AE98ACC">
      <w:pPr>
        <w:pStyle w:val="3"/>
        <w:keepNext w:val="0"/>
        <w:keepLines w:val="0"/>
        <w:pageBreakBefore w:val="0"/>
        <w:kinsoku/>
        <w:wordWrap/>
        <w:overflowPunct/>
        <w:topLinePunct w:val="0"/>
        <w:autoSpaceDE/>
        <w:autoSpaceDN/>
        <w:bidi w:val="0"/>
        <w:spacing w:after="0" w:line="360" w:lineRule="auto"/>
        <w:ind w:firstLine="420" w:firstLineChars="200"/>
        <w:textAlignment w:val="auto"/>
        <w:rPr>
          <w:rFonts w:ascii="宋体" w:hAnsi="宋体" w:cs="宋体"/>
          <w:szCs w:val="21"/>
        </w:rPr>
      </w:pPr>
    </w:p>
    <w:p w14:paraId="3037ADED">
      <w:pPr>
        <w:pStyle w:val="3"/>
        <w:keepNext w:val="0"/>
        <w:keepLines w:val="0"/>
        <w:pageBreakBefore w:val="0"/>
        <w:kinsoku/>
        <w:wordWrap/>
        <w:overflowPunct/>
        <w:topLinePunct w:val="0"/>
        <w:autoSpaceDE/>
        <w:autoSpaceDN/>
        <w:bidi w:val="0"/>
        <w:spacing w:after="0" w:line="360" w:lineRule="auto"/>
        <w:ind w:firstLine="420" w:firstLineChars="200"/>
        <w:textAlignment w:val="auto"/>
        <w:rPr>
          <w:rFonts w:ascii="宋体" w:hAnsi="宋体" w:cs="宋体"/>
          <w:szCs w:val="21"/>
        </w:rPr>
      </w:pPr>
    </w:p>
    <w:p w14:paraId="1138C3F9">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ascii="宋体" w:hAnsi="宋体"/>
          <w:szCs w:val="21"/>
        </w:rPr>
      </w:pPr>
      <w:r>
        <w:rPr>
          <w:rFonts w:hint="eastAsia" w:ascii="宋体" w:hAnsi="宋体" w:cs="宋体"/>
          <w:szCs w:val="21"/>
        </w:rPr>
        <w:t>注：招标人应当要求投标人的法定代表人或授权代理人和项目负责人签字。</w:t>
      </w:r>
    </w:p>
    <w:p w14:paraId="14D15426">
      <w:pPr>
        <w:pStyle w:val="4"/>
        <w:keepNext w:val="0"/>
        <w:keepLines w:val="0"/>
        <w:pageBreakBefore w:val="0"/>
        <w:kinsoku/>
        <w:wordWrap/>
        <w:overflowPunct/>
        <w:topLinePunct w:val="0"/>
        <w:autoSpaceDE/>
        <w:autoSpaceDN/>
        <w:bidi w:val="0"/>
        <w:spacing w:line="360" w:lineRule="auto"/>
        <w:ind w:firstLine="420" w:firstLineChars="200"/>
        <w:textAlignment w:val="auto"/>
        <w:rPr>
          <w:rFonts w:hAnsi="宋体"/>
          <w:szCs w:val="21"/>
        </w:rPr>
      </w:pPr>
    </w:p>
    <w:p w14:paraId="0B4BA397">
      <w:pPr>
        <w:pStyle w:val="4"/>
        <w:keepNext w:val="0"/>
        <w:keepLines w:val="0"/>
        <w:pageBreakBefore w:val="0"/>
        <w:kinsoku/>
        <w:wordWrap/>
        <w:overflowPunct/>
        <w:topLinePunct w:val="0"/>
        <w:autoSpaceDE/>
        <w:autoSpaceDN/>
        <w:bidi w:val="0"/>
        <w:spacing w:line="360" w:lineRule="auto"/>
        <w:ind w:firstLine="420" w:firstLineChars="200"/>
        <w:textAlignment w:val="auto"/>
        <w:rPr>
          <w:rFonts w:hAnsi="宋体"/>
          <w:szCs w:val="21"/>
        </w:rPr>
      </w:pPr>
    </w:p>
    <w:p w14:paraId="675D64AD">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sz w:val="24"/>
        </w:rPr>
      </w:pPr>
    </w:p>
    <w:p w14:paraId="560DB20E">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szCs w:val="21"/>
        </w:rPr>
      </w:pPr>
      <w:r>
        <w:rPr>
          <w:rFonts w:ascii="宋体" w:hAnsi="宋体"/>
          <w:sz w:val="24"/>
        </w:rPr>
        <w:br w:type="page"/>
      </w:r>
      <w:r>
        <w:rPr>
          <w:rFonts w:hint="eastAsia" w:ascii="宋体" w:hAnsi="宋体"/>
          <w:sz w:val="24"/>
        </w:rPr>
        <w:t>附件</w:t>
      </w:r>
      <w:r>
        <w:rPr>
          <w:rFonts w:hint="eastAsia" w:ascii="宋体" w:hAnsi="宋体"/>
          <w:sz w:val="24"/>
          <w:lang w:val="en-US" w:eastAsia="zh-CN"/>
        </w:rPr>
        <w:t>二</w:t>
      </w:r>
      <w:r>
        <w:rPr>
          <w:rFonts w:hint="eastAsia" w:ascii="宋体" w:hAnsi="宋体"/>
          <w:sz w:val="24"/>
        </w:rPr>
        <w:t>：</w:t>
      </w:r>
    </w:p>
    <w:p w14:paraId="4D2CD42D">
      <w:pPr>
        <w:pStyle w:val="10"/>
        <w:keepNext w:val="0"/>
        <w:keepLines w:val="0"/>
        <w:pageBreakBefore w:val="0"/>
        <w:kinsoku/>
        <w:wordWrap/>
        <w:overflowPunct/>
        <w:topLinePunct w:val="0"/>
        <w:autoSpaceDE/>
        <w:autoSpaceDN/>
        <w:bidi w:val="0"/>
        <w:spacing w:line="360" w:lineRule="auto"/>
        <w:ind w:left="420" w:right="98" w:firstLine="0"/>
        <w:jc w:val="center"/>
        <w:textAlignment w:val="auto"/>
        <w:rPr>
          <w:rFonts w:ascii="宋体" w:hAnsi="宋体" w:eastAsia="宋体"/>
          <w:color w:val="auto"/>
          <w:sz w:val="36"/>
        </w:rPr>
      </w:pPr>
      <w:r>
        <w:rPr>
          <w:rFonts w:hint="eastAsia" w:ascii="宋体" w:hAnsi="宋体" w:eastAsia="宋体"/>
          <w:color w:val="auto"/>
          <w:szCs w:val="32"/>
        </w:rPr>
        <w:t>承诺书</w:t>
      </w:r>
    </w:p>
    <w:p w14:paraId="766C29DF">
      <w:pPr>
        <w:keepNext w:val="0"/>
        <w:keepLines w:val="0"/>
        <w:pageBreakBefore w:val="0"/>
        <w:widowControl/>
        <w:kinsoku/>
        <w:wordWrap/>
        <w:overflowPunct/>
        <w:topLinePunct w:val="0"/>
        <w:autoSpaceDE/>
        <w:autoSpaceDN/>
        <w:bidi w:val="0"/>
        <w:snapToGrid w:val="0"/>
        <w:spacing w:line="360" w:lineRule="auto"/>
        <w:ind w:firstLine="0" w:firstLineChars="0"/>
        <w:textAlignment w:val="auto"/>
        <w:rPr>
          <w:rFonts w:ascii="宋体" w:hAnsi="宋体" w:cs="宋体"/>
          <w:szCs w:val="21"/>
        </w:rPr>
      </w:pPr>
      <w:r>
        <w:rPr>
          <w:rFonts w:hint="eastAsia" w:ascii="宋体" w:hAnsi="宋体" w:cs="宋体"/>
          <w:szCs w:val="21"/>
        </w:rPr>
        <w:t>致</w:t>
      </w:r>
      <w:r>
        <w:rPr>
          <w:rFonts w:hint="eastAsia" w:ascii="宋体" w:hAnsi="宋体" w:cs="宋体"/>
          <w:szCs w:val="21"/>
          <w:lang w:eastAsia="zh-CN"/>
        </w:rPr>
        <w:t>广州市番禺区石碁镇人民政府</w:t>
      </w:r>
      <w:r>
        <w:rPr>
          <w:rFonts w:hint="eastAsia" w:ascii="宋体" w:hAnsi="宋体" w:cs="宋体"/>
          <w:szCs w:val="21"/>
        </w:rPr>
        <w:t>：</w:t>
      </w:r>
    </w:p>
    <w:p w14:paraId="7AEAD853">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若我方成为</w:t>
      </w:r>
      <w:r>
        <w:rPr>
          <w:rFonts w:hint="eastAsia" w:ascii="宋体" w:hAnsi="宋体" w:cs="宋体"/>
          <w:szCs w:val="21"/>
          <w:u w:val="single"/>
          <w:lang w:eastAsia="zh-CN"/>
        </w:rPr>
        <w:t>番禺区石碁镇富怡路周边市政基础设施改造工程施工总承包</w:t>
      </w:r>
      <w:r>
        <w:rPr>
          <w:rFonts w:hint="eastAsia" w:ascii="宋体" w:hAnsi="宋体" w:cs="宋体"/>
          <w:szCs w:val="21"/>
        </w:rPr>
        <w:t>的中标单位，我方郑重承诺，将切实完成以下工作，若不在限定时间内完成以下任何一项工作或承诺陈述与事实不符，可视为我方放弃本次中标资格，招标人可另择中标单位：</w:t>
      </w:r>
    </w:p>
    <w:p w14:paraId="2963B42A">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1.中标公示完后1个工作日内缴交交易服务费。</w:t>
      </w:r>
    </w:p>
    <w:p w14:paraId="6AAD702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2.招标人在广州公共资源交易网发布中标通知书，即视为我方确认收到中标通知书。我方收到中标通知书后2个工作日内提交按照招投标文件、答疑纪要及有关补充说明、通知拟写的合同稿及其电子文件给招标人。</w:t>
      </w:r>
    </w:p>
    <w:p w14:paraId="1955EA8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3.我单位合同签订负责人收到招标人已审定的合同正式稿后，5个工作日内签订合同并送给招标人。</w:t>
      </w:r>
    </w:p>
    <w:p w14:paraId="4AA33DA1">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4.招标人通知领取已签订的合同文件后2个工作日内领取合同文件。</w:t>
      </w:r>
    </w:p>
    <w:p w14:paraId="7411E12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5.我方承诺，在收到中标通知书并签订合同后 15 个日历天内向招标人缴交履约保证金或履约保函。</w:t>
      </w:r>
    </w:p>
    <w:p w14:paraId="5FD85D3F">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6.我方承诺，在收到中标通知书后3个工作日内向招标人提供可行的施工组织设计文件，且我方保证在工程施工中我方派出的工程技术管理人员及工人可满足本项目的需求，否则招标人可按合同的相关条款对我方进行处罚。</w:t>
      </w:r>
    </w:p>
    <w:p w14:paraId="0534BAA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7.我方承诺，本项目拟委派的项目负责人没有在其他在建项目中任施工单位项目负责人，本项目拟派的专职安全员没有在其他在建项目中任职。</w:t>
      </w:r>
    </w:p>
    <w:p w14:paraId="5AF14CCD">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pPr>
      <w:r>
        <w:rPr>
          <w:rFonts w:hint="eastAsia" w:ascii="宋体" w:hAnsi="宋体" w:cs="宋体"/>
          <w:szCs w:val="21"/>
        </w:rPr>
        <w:t>8.我方承诺，从本项目投标文件截止时间所在月份前6个月至投标文件截止时间前一天的时间段，我方的银行基本存款账户“未出现过被有权机关冻结”的情形。</w:t>
      </w:r>
    </w:p>
    <w:p w14:paraId="26683035">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9.我方承诺，严格按照上述1～6项要求办理相关工作，若不能按上述1～6项要求办理相关工作，及我方违反上述7～8项承诺内容或承诺陈述与事实不符，我方自动放弃中标人资格和同意接受相关条款处罚。</w:t>
      </w:r>
    </w:p>
    <w:p w14:paraId="177219F6">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szCs w:val="21"/>
        </w:rPr>
      </w:pPr>
      <w:r>
        <w:rPr>
          <w:rFonts w:hint="eastAsia" w:ascii="宋体" w:hAnsi="宋体" w:cs="宋体"/>
          <w:szCs w:val="21"/>
        </w:rPr>
        <w:t>10.合同签订负责人和项目负责人保持电话联系畅通。</w:t>
      </w:r>
    </w:p>
    <w:p w14:paraId="41D88C2C">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投标单位（盖公章）：</w:t>
      </w:r>
    </w:p>
    <w:p w14:paraId="11E6042E">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法定代表人（签字或盖章）：</w:t>
      </w:r>
    </w:p>
    <w:p w14:paraId="3E8782F7">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项目负责人（签名或盖章）：</w:t>
      </w:r>
    </w:p>
    <w:p w14:paraId="1DB2076D">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项目负责人联系电话：</w:t>
      </w:r>
    </w:p>
    <w:p w14:paraId="792C2610">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szCs w:val="21"/>
        </w:rPr>
      </w:pPr>
      <w:r>
        <w:rPr>
          <w:rFonts w:hint="eastAsia" w:ascii="宋体" w:hAnsi="宋体" w:cs="宋体"/>
          <w:szCs w:val="21"/>
        </w:rPr>
        <w:t>合同签订负责人（签名或盖章）：</w:t>
      </w:r>
    </w:p>
    <w:p w14:paraId="49474ADC">
      <w:pPr>
        <w:keepNext w:val="0"/>
        <w:keepLines w:val="0"/>
        <w:pageBreakBefore w:val="0"/>
        <w:kinsoku/>
        <w:wordWrap/>
        <w:overflowPunct/>
        <w:topLinePunct w:val="0"/>
        <w:autoSpaceDE/>
        <w:autoSpaceDN/>
        <w:bidi w:val="0"/>
        <w:spacing w:line="360" w:lineRule="auto"/>
        <w:ind w:firstLine="420" w:firstLineChars="200"/>
        <w:textAlignment w:val="auto"/>
      </w:pPr>
      <w:r>
        <w:rPr>
          <w:rFonts w:hint="eastAsia" w:ascii="宋体" w:hAnsi="宋体" w:cs="宋体"/>
          <w:szCs w:val="21"/>
        </w:rPr>
        <w:t>合同签订负责人联系电话：</w:t>
      </w:r>
    </w:p>
    <w:p w14:paraId="477BA1C9"/>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A2A6">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C6C764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9032">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11792B7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77D97"/>
    <w:multiLevelType w:val="singleLevel"/>
    <w:tmpl w:val="47C77D9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F4BAC"/>
    <w:rsid w:val="7500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3">
    <w:name w:val="Body Text"/>
    <w:basedOn w:val="1"/>
    <w:qFormat/>
    <w:uiPriority w:val="0"/>
    <w:pPr>
      <w:spacing w:after="120"/>
    </w:pPr>
    <w:rPr>
      <w:rFonts w:ascii="Times New Roman" w:hAnsi="Times New Roman"/>
      <w:szCs w:val="20"/>
    </w:rPr>
  </w:style>
  <w:style w:type="paragraph" w:styleId="4">
    <w:name w:val="Plain Text"/>
    <w:basedOn w:val="1"/>
    <w:next w:val="1"/>
    <w:qFormat/>
    <w:uiPriority w:val="0"/>
    <w:rPr>
      <w:rFonts w:ascii="宋体" w:hAnsi="Courier New"/>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Body Text 2"/>
    <w:basedOn w:val="1"/>
    <w:qFormat/>
    <w:uiPriority w:val="0"/>
    <w:rPr>
      <w:rFonts w:ascii="宋体" w:hAnsi="宋体"/>
      <w:szCs w:val="24"/>
      <w:u w:val="single"/>
    </w:rPr>
  </w:style>
  <w:style w:type="character" w:styleId="9">
    <w:name w:val="page number"/>
    <w:qFormat/>
    <w:uiPriority w:val="0"/>
    <w:rPr>
      <w:rFonts w:cs="Times New Roman"/>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
    <w:name w:val="发文落款"/>
    <w:basedOn w:val="10"/>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9360</Words>
  <Characters>9675</Characters>
  <Lines>0</Lines>
  <Paragraphs>0</Paragraphs>
  <TotalTime>61</TotalTime>
  <ScaleCrop>false</ScaleCrop>
  <LinksUpToDate>false</LinksUpToDate>
  <CharactersWithSpaces>10007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2025-09-23T07:09:54Z</dcterms:created>
  <dc:creator>Administrator</dc:creator>
  <cp:lastModifiedBy>阿May</cp:lastModifiedBy>
  <dcterms:modified xsi:type="dcterms:W3CDTF">2025-09-23T09:24:52Z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0FF04F7F4B6544E89AD17642A4E5ADAB_12</vt:lpwstr>
  </property>
</Properties>
</file>