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4C11">
      <w:pPr>
        <w:spacing w:after="312" w:afterLines="100"/>
        <w:jc w:val="center"/>
        <w:rPr>
          <w:rFonts w:hint="eastAsia" w:ascii="宋体" w:hAnsi="宋体"/>
          <w:b/>
          <w:sz w:val="48"/>
          <w:szCs w:val="48"/>
        </w:rPr>
      </w:pPr>
      <w:bookmarkStart w:id="0" w:name="_Toc444182759"/>
      <w:bookmarkStart w:id="1" w:name="_Toc9480"/>
    </w:p>
    <w:p w14:paraId="6412CE40">
      <w:pPr>
        <w:spacing w:after="312" w:afterLines="100"/>
        <w:jc w:val="center"/>
        <w:rPr>
          <w:rFonts w:hint="eastAsia" w:ascii="仿宋_GB2312" w:hAnsi="宋体" w:eastAsia="仿宋_GB2312"/>
          <w:b/>
          <w:bCs/>
          <w:sz w:val="56"/>
          <w:szCs w:val="56"/>
          <w:lang w:eastAsia="zh-CN"/>
        </w:rPr>
      </w:pPr>
      <w:r>
        <w:rPr>
          <w:rFonts w:hint="eastAsia" w:ascii="仿宋_GB2312" w:hAnsi="宋体" w:eastAsia="仿宋_GB2312" w:cs="Times New Roman"/>
          <w:b/>
          <w:bCs/>
          <w:sz w:val="56"/>
          <w:szCs w:val="56"/>
          <w:lang w:eastAsia="zh-CN"/>
        </w:rPr>
        <w:t>桂田天汇城（商业、服务业）</w:t>
      </w:r>
      <w:r>
        <w:rPr>
          <w:rFonts w:hint="eastAsia" w:ascii="仿宋_GB2312" w:hAnsi="宋体" w:eastAsia="仿宋_GB2312"/>
          <w:b/>
          <w:bCs/>
          <w:sz w:val="56"/>
          <w:szCs w:val="56"/>
          <w:lang w:eastAsia="zh-CN"/>
        </w:rPr>
        <w:t>项目</w:t>
      </w:r>
    </w:p>
    <w:p w14:paraId="3CE4A2C2">
      <w:pPr>
        <w:spacing w:after="312" w:afterLines="100"/>
        <w:jc w:val="center"/>
        <w:rPr>
          <w:rFonts w:hint="eastAsia" w:ascii="仿宋_GB2312" w:hAnsi="宋体" w:eastAsia="仿宋_GB2312"/>
          <w:b/>
          <w:bCs/>
          <w:sz w:val="56"/>
          <w:szCs w:val="56"/>
        </w:rPr>
      </w:pPr>
    </w:p>
    <w:p w14:paraId="407F47EA">
      <w:pPr>
        <w:spacing w:after="312" w:afterLines="100"/>
        <w:jc w:val="center"/>
        <w:rPr>
          <w:rFonts w:hint="eastAsia" w:ascii="仿宋_GB2312" w:hAnsi="宋体" w:eastAsia="仿宋_GB2312"/>
          <w:b/>
          <w:bCs/>
          <w:sz w:val="56"/>
          <w:szCs w:val="56"/>
        </w:rPr>
      </w:pPr>
      <w:r>
        <w:rPr>
          <w:rFonts w:hint="eastAsia" w:ascii="仿宋_GB2312" w:hAnsi="宋体" w:eastAsia="仿宋_GB2312"/>
          <w:b/>
          <w:bCs/>
          <w:sz w:val="56"/>
          <w:szCs w:val="56"/>
        </w:rPr>
        <w:t>勘察任务书</w:t>
      </w:r>
    </w:p>
    <w:p w14:paraId="6DF6AD9A">
      <w:pPr>
        <w:spacing w:after="312" w:afterLines="100"/>
        <w:jc w:val="center"/>
        <w:rPr>
          <w:rFonts w:hint="eastAsia" w:ascii="宋体" w:hAnsi="宋体"/>
          <w:b/>
          <w:sz w:val="84"/>
          <w:szCs w:val="84"/>
        </w:rPr>
      </w:pPr>
    </w:p>
    <w:p w14:paraId="2B6EE5BB">
      <w:pPr>
        <w:jc w:val="center"/>
        <w:rPr>
          <w:rFonts w:hint="eastAsia" w:ascii="宋体" w:hAnsi="宋体"/>
          <w:sz w:val="30"/>
        </w:rPr>
      </w:pPr>
    </w:p>
    <w:p w14:paraId="6EDAEB30">
      <w:pPr>
        <w:rPr>
          <w:rFonts w:hint="eastAsia" w:ascii="宋体" w:hAnsi="宋体"/>
        </w:rPr>
      </w:pPr>
    </w:p>
    <w:p w14:paraId="5F7D8972">
      <w:pPr>
        <w:pStyle w:val="4"/>
        <w:rPr>
          <w:rFonts w:hint="eastAsia"/>
          <w:lang w:val="en-US"/>
        </w:rPr>
      </w:pPr>
    </w:p>
    <w:p w14:paraId="6E0EC1BD">
      <w:pPr>
        <w:pStyle w:val="4"/>
        <w:rPr>
          <w:rFonts w:hint="eastAsia"/>
          <w:lang w:val="en-US"/>
        </w:rPr>
      </w:pPr>
    </w:p>
    <w:p w14:paraId="472B5C02">
      <w:pPr>
        <w:pStyle w:val="4"/>
        <w:rPr>
          <w:rFonts w:hint="eastAsia"/>
          <w:lang w:val="en-US"/>
        </w:rPr>
      </w:pPr>
    </w:p>
    <w:p w14:paraId="65758560">
      <w:pPr>
        <w:pStyle w:val="4"/>
        <w:rPr>
          <w:rFonts w:hint="eastAsia"/>
          <w:lang w:val="en-US"/>
        </w:rPr>
      </w:pPr>
    </w:p>
    <w:p w14:paraId="688AAD1B">
      <w:pPr>
        <w:pStyle w:val="4"/>
        <w:rPr>
          <w:rFonts w:hint="eastAsia"/>
          <w:lang w:val="en-US"/>
        </w:rPr>
      </w:pPr>
    </w:p>
    <w:p w14:paraId="2B1FE0F7">
      <w:pPr>
        <w:pStyle w:val="4"/>
        <w:rPr>
          <w:rFonts w:hint="eastAsia"/>
          <w:lang w:val="en-US"/>
        </w:rPr>
      </w:pPr>
    </w:p>
    <w:p w14:paraId="01063CC0">
      <w:pPr>
        <w:rPr>
          <w:rFonts w:hint="eastAsia" w:ascii="宋体" w:hAnsi="宋体"/>
        </w:rPr>
      </w:pPr>
    </w:p>
    <w:p w14:paraId="67553D22">
      <w:pPr>
        <w:rPr>
          <w:rFonts w:hint="eastAsia" w:ascii="宋体" w:hAnsi="宋体"/>
        </w:rPr>
      </w:pPr>
    </w:p>
    <w:p w14:paraId="4C1721B6">
      <w:pPr>
        <w:widowControl/>
        <w:jc w:val="left"/>
        <w:rPr>
          <w:rFonts w:hint="eastAsia" w:ascii="宋体" w:hAnsi="宋体"/>
        </w:rPr>
      </w:pPr>
      <w:r>
        <w:rPr>
          <w:rFonts w:ascii="宋体" w:hAnsi="宋体"/>
        </w:rPr>
        <w:br w:type="page"/>
      </w:r>
    </w:p>
    <w:p w14:paraId="54DA4719">
      <w:pPr>
        <w:rPr>
          <w:rFonts w:hint="eastAsia" w:ascii="宋体" w:hAnsi="宋体"/>
        </w:rPr>
      </w:pPr>
    </w:p>
    <w:p w14:paraId="2E7518B0">
      <w:pPr>
        <w:spacing w:line="500" w:lineRule="exact"/>
        <w:ind w:left="141" w:leftChars="67"/>
        <w:rPr>
          <w:rFonts w:hint="eastAsia" w:ascii="仿宋_GB2312" w:hAnsi="宋体" w:eastAsia="仿宋_GB2312"/>
          <w:b/>
          <w:bCs/>
          <w:sz w:val="24"/>
        </w:rPr>
      </w:pPr>
      <w:r>
        <w:rPr>
          <w:rFonts w:hint="eastAsia" w:ascii="仿宋_GB2312" w:hAnsi="宋体" w:eastAsia="仿宋_GB2312"/>
          <w:b/>
          <w:bCs/>
          <w:sz w:val="24"/>
        </w:rPr>
        <w:t>1勘察工作范围和内容</w:t>
      </w:r>
      <w:bookmarkEnd w:id="0"/>
      <w:bookmarkEnd w:id="1"/>
    </w:p>
    <w:p w14:paraId="29236719">
      <w:pPr>
        <w:spacing w:line="500" w:lineRule="exact"/>
        <w:ind w:firstLine="480" w:firstLineChars="200"/>
        <w:rPr>
          <w:rFonts w:ascii="仿宋_GB2312" w:hAnsi="宋体" w:eastAsia="仿宋_GB2312"/>
          <w:bCs/>
          <w:sz w:val="24"/>
        </w:rPr>
      </w:pPr>
      <w:r>
        <w:rPr>
          <w:rFonts w:hint="eastAsia" w:ascii="仿宋_GB2312" w:hAnsi="宋体" w:eastAsia="仿宋_GB2312"/>
          <w:bCs/>
          <w:sz w:val="24"/>
          <w:lang w:val="en-US" w:eastAsia="zh-CN"/>
        </w:rPr>
        <w:t>桂田天汇城（商业、服务业）</w:t>
      </w:r>
      <w:r>
        <w:rPr>
          <w:rFonts w:hint="eastAsia" w:ascii="仿宋_GB2312" w:hAnsi="宋体" w:eastAsia="仿宋_GB2312"/>
          <w:bCs/>
          <w:sz w:val="24"/>
          <w:lang w:eastAsia="zh-CN"/>
        </w:rPr>
        <w:t>项目</w:t>
      </w:r>
      <w:r>
        <w:rPr>
          <w:rFonts w:hint="eastAsia" w:ascii="仿宋_GB2312" w:hAnsi="宋体" w:eastAsia="仿宋_GB2312"/>
          <w:bCs/>
          <w:sz w:val="24"/>
        </w:rPr>
        <w:t>建设内容主要是</w:t>
      </w:r>
      <w:r>
        <w:rPr>
          <w:rFonts w:hint="eastAsia" w:ascii="仿宋_GB2312" w:hAnsi="宋体" w:eastAsia="仿宋_GB2312" w:cs="Times New Roman"/>
          <w:bCs/>
          <w:sz w:val="24"/>
        </w:rPr>
        <w:t>包括商业用房，写字楼（或酒店）用房，停车库及人防工程用房，配套建设室外道路广场、景观绿化等</w:t>
      </w:r>
      <w:r>
        <w:rPr>
          <w:rFonts w:hint="eastAsia" w:ascii="仿宋_GB2312" w:hAnsi="宋体" w:eastAsia="仿宋_GB2312"/>
          <w:bCs/>
          <w:sz w:val="24"/>
        </w:rPr>
        <w:t>。项目勘察等级为</w:t>
      </w:r>
      <w:r>
        <w:rPr>
          <w:rFonts w:hint="eastAsia" w:ascii="仿宋_GB2312" w:hAnsi="宋体" w:eastAsia="仿宋_GB2312"/>
          <w:bCs/>
          <w:sz w:val="24"/>
          <w:lang w:val="en-US" w:eastAsia="zh-CN"/>
        </w:rPr>
        <w:t xml:space="preserve">   </w:t>
      </w:r>
      <w:r>
        <w:rPr>
          <w:rFonts w:hint="eastAsia" w:ascii="仿宋_GB2312" w:hAnsi="宋体" w:eastAsia="仿宋_GB2312"/>
          <w:bCs/>
          <w:sz w:val="24"/>
        </w:rPr>
        <w:t>级。</w:t>
      </w:r>
    </w:p>
    <w:p w14:paraId="5D40DC0C">
      <w:pPr>
        <w:spacing w:line="500" w:lineRule="exact"/>
        <w:ind w:left="141" w:leftChars="67"/>
        <w:rPr>
          <w:rFonts w:hint="eastAsia" w:ascii="仿宋_GB2312" w:hAnsi="宋体" w:eastAsia="仿宋_GB2312"/>
          <w:b/>
          <w:sz w:val="24"/>
        </w:rPr>
      </w:pPr>
      <w:r>
        <w:rPr>
          <w:rFonts w:ascii="仿宋_GB2312" w:hAnsi="宋体" w:eastAsia="仿宋_GB2312"/>
          <w:b/>
          <w:sz w:val="24"/>
        </w:rPr>
        <w:t>1</w:t>
      </w:r>
      <w:r>
        <w:rPr>
          <w:rFonts w:hint="eastAsia" w:ascii="仿宋_GB2312" w:hAnsi="宋体" w:eastAsia="仿宋_GB2312"/>
          <w:b/>
          <w:sz w:val="24"/>
        </w:rPr>
        <w:t>.1勘察工作范围</w:t>
      </w:r>
    </w:p>
    <w:p w14:paraId="1C469679">
      <w:pPr>
        <w:spacing w:line="500" w:lineRule="exact"/>
        <w:ind w:left="141" w:leftChars="67" w:firstLine="720" w:firstLineChars="300"/>
        <w:rPr>
          <w:rFonts w:hint="eastAsia" w:ascii="仿宋_GB2312" w:hAnsi="宋体" w:eastAsia="仿宋_GB2312"/>
          <w:sz w:val="24"/>
        </w:rPr>
      </w:pPr>
      <w:r>
        <w:rPr>
          <w:rFonts w:hint="eastAsia" w:ascii="仿宋_GB2312" w:hAnsi="宋体" w:eastAsia="仿宋_GB2312" w:cs="Times New Roman"/>
          <w:bCs/>
          <w:sz w:val="24"/>
        </w:rPr>
        <w:t>本项目用地范围红线内及周边的全部勘察工作，具体根据实施项目需要确定。本次工程勘察包含初步勘察阶段、详细勘察阶段、施工勘察阶段（含超前钻）勘察工作内容包括但不限于地形测量、管线探测、岩土工程勘察、管波物探、波速测试、抽水试验、土壤氡检测等工作，正确反映工程地形、管线现状和工程地质及水文地质条件，提出岩土工程评价，为设计、施工提供依据。</w:t>
      </w:r>
    </w:p>
    <w:p w14:paraId="5B0758D4">
      <w:pPr>
        <w:spacing w:line="500" w:lineRule="exact"/>
        <w:ind w:left="141" w:leftChars="67"/>
        <w:rPr>
          <w:rFonts w:hint="eastAsia" w:ascii="仿宋_GB2312" w:hAnsi="宋体" w:eastAsia="仿宋_GB2312"/>
          <w:b/>
          <w:sz w:val="24"/>
        </w:rPr>
      </w:pPr>
      <w:r>
        <w:rPr>
          <w:rFonts w:hint="eastAsia" w:ascii="仿宋_GB2312" w:hAnsi="宋体" w:eastAsia="仿宋_GB2312"/>
          <w:b/>
          <w:sz w:val="24"/>
        </w:rPr>
        <w:t>1.2工程勘察工作程序</w:t>
      </w:r>
    </w:p>
    <w:p w14:paraId="43E791AF">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工程勘察按收集资料、现场踏勘、编写勘察大纲、地形测量、管线探测、勘探和原位测试、室内试验、资料分析整理和工程测量报告、管线探测报告、岩土工程勘察报告编制；成果提交及后期配合等工作程序。</w:t>
      </w:r>
    </w:p>
    <w:p w14:paraId="4E7DA7E3">
      <w:pPr>
        <w:pStyle w:val="2"/>
        <w:keepNext w:val="0"/>
        <w:keepLines w:val="0"/>
        <w:numPr>
          <w:ilvl w:val="0"/>
          <w:numId w:val="0"/>
        </w:numPr>
        <w:spacing w:line="415" w:lineRule="auto"/>
        <w:rPr>
          <w:rFonts w:hint="eastAsia" w:ascii="仿宋_GB2312" w:hAnsi="宋体" w:eastAsia="仿宋_GB2312"/>
          <w:sz w:val="24"/>
          <w:szCs w:val="24"/>
        </w:rPr>
      </w:pPr>
      <w:bookmarkStart w:id="2" w:name="_Toc394565595"/>
      <w:bookmarkStart w:id="3" w:name="_Toc444182763"/>
      <w:bookmarkStart w:id="4" w:name="_Toc20228"/>
      <w:r>
        <w:rPr>
          <w:rFonts w:ascii="仿宋_GB2312" w:hAnsi="宋体" w:eastAsia="仿宋_GB2312"/>
          <w:sz w:val="24"/>
          <w:szCs w:val="24"/>
        </w:rPr>
        <w:t>2</w:t>
      </w:r>
      <w:r>
        <w:rPr>
          <w:rFonts w:hint="eastAsia" w:ascii="仿宋_GB2312" w:hAnsi="宋体" w:eastAsia="仿宋_GB2312"/>
          <w:sz w:val="24"/>
          <w:szCs w:val="24"/>
        </w:rPr>
        <w:t>勘察</w:t>
      </w:r>
      <w:bookmarkEnd w:id="2"/>
      <w:r>
        <w:rPr>
          <w:rFonts w:hint="eastAsia" w:ascii="仿宋_GB2312" w:hAnsi="宋体" w:eastAsia="仿宋_GB2312"/>
          <w:sz w:val="24"/>
          <w:szCs w:val="24"/>
        </w:rPr>
        <w:t>要求</w:t>
      </w:r>
      <w:bookmarkEnd w:id="3"/>
      <w:bookmarkEnd w:id="4"/>
    </w:p>
    <w:p w14:paraId="54BB9252">
      <w:pPr>
        <w:pStyle w:val="13"/>
        <w:numPr>
          <w:ilvl w:val="0"/>
          <w:numId w:val="2"/>
        </w:numPr>
        <w:spacing w:line="500" w:lineRule="exact"/>
        <w:ind w:left="0" w:firstLine="425"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查明不良地质现象的成因、类型、分布范围、发展趋势及危害程度，并提出评价与整治所需的岩土技术参数和整治方案建议。</w:t>
      </w:r>
    </w:p>
    <w:p w14:paraId="2548E6FC">
      <w:pPr>
        <w:pStyle w:val="13"/>
        <w:numPr>
          <w:ilvl w:val="0"/>
          <w:numId w:val="2"/>
        </w:numPr>
        <w:spacing w:line="500" w:lineRule="exact"/>
        <w:ind w:left="0" w:firstLine="425"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查明场地各层岩土的类型、深度、分布、工程特性和变化规律，分析和评价地基的稳定性、均匀性和承载力，提供地基变形计算参数，预测建筑物的变形特征。</w:t>
      </w:r>
    </w:p>
    <w:p w14:paraId="78D215CE">
      <w:pPr>
        <w:pStyle w:val="13"/>
        <w:numPr>
          <w:ilvl w:val="0"/>
          <w:numId w:val="2"/>
        </w:numPr>
        <w:spacing w:line="500" w:lineRule="exact"/>
        <w:ind w:left="0" w:firstLine="425"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查明基岩岩性、构造、岩面变化、风化程度，确定其坚硬程度、完整程度和基本质量等级，判定有无洞穴、临空面、破碎岩体或软弱岩层。</w:t>
      </w:r>
    </w:p>
    <w:p w14:paraId="2E9B6BE2">
      <w:pPr>
        <w:pStyle w:val="13"/>
        <w:numPr>
          <w:ilvl w:val="0"/>
          <w:numId w:val="2"/>
        </w:numPr>
        <w:spacing w:line="500" w:lineRule="exact"/>
        <w:ind w:left="0" w:firstLine="425"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划分场地土类型和场地类别，划分对抗震有利、不利或危险的地段，分析预测地震效应，判别饱和砂土或饱和粉土的地震液化，确定各判别孔的液化指数和液化等级，且尚应根据各孔液化指数综合确定场地液化等级。确定场地抗震类别时应布置剪切波速测试孔，其深度应满足确定覆盖层厚度的要求。</w:t>
      </w:r>
    </w:p>
    <w:p w14:paraId="1B86943F">
      <w:pPr>
        <w:pStyle w:val="13"/>
        <w:numPr>
          <w:ilvl w:val="0"/>
          <w:numId w:val="2"/>
        </w:numPr>
        <w:spacing w:line="500" w:lineRule="exact"/>
        <w:ind w:left="0" w:firstLine="425"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对厚层软土分布区，应查明软土成层条件、应力历史、结构性、灵敏度等力学特性和排水条件；对抗震设防烈度等于或大于</w:t>
      </w:r>
      <w:r>
        <w:rPr>
          <w:rFonts w:ascii="仿宋_GB2312" w:hAnsi="宋体" w:eastAsia="仿宋_GB2312"/>
          <w:snapToGrid w:val="0"/>
          <w:kern w:val="0"/>
          <w:sz w:val="24"/>
        </w:rPr>
        <w:t>7</w:t>
      </w:r>
      <w:r>
        <w:rPr>
          <w:rFonts w:hint="eastAsia" w:ascii="仿宋_GB2312" w:hAnsi="宋体" w:eastAsia="仿宋_GB2312"/>
          <w:snapToGrid w:val="0"/>
          <w:kern w:val="0"/>
          <w:sz w:val="24"/>
        </w:rPr>
        <w:t>度的地区，尚应判别软土震陷的可能性和估算震陷量。</w:t>
      </w:r>
    </w:p>
    <w:p w14:paraId="14F1F1E2">
      <w:pPr>
        <w:pStyle w:val="13"/>
        <w:numPr>
          <w:ilvl w:val="0"/>
          <w:numId w:val="2"/>
        </w:numPr>
        <w:spacing w:line="440" w:lineRule="exact"/>
        <w:ind w:left="0" w:firstLine="426"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查明地下水的性质、补给条件、各土层的渗透性及水流量，提供降水设计所需的计算参数和方案建议。提供建筑物设计使用年限内作为抗浮计算依据的可能最高地下水位及其变化幅度。评价地下水对桩基设计和施工的影响，判定环境水和土对混凝土和金属材料的腐蚀性。</w:t>
      </w:r>
    </w:p>
    <w:p w14:paraId="20D91909">
      <w:pPr>
        <w:pStyle w:val="13"/>
        <w:numPr>
          <w:ilvl w:val="0"/>
          <w:numId w:val="2"/>
        </w:numPr>
        <w:spacing w:line="440" w:lineRule="exact"/>
        <w:ind w:left="0" w:firstLine="426"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查明埋藏的河道、沟浜、墓穴、防空洞和孤石等对工程不利的埋藏物。</w:t>
      </w:r>
    </w:p>
    <w:p w14:paraId="1AD0F1CF">
      <w:pPr>
        <w:pStyle w:val="13"/>
        <w:numPr>
          <w:ilvl w:val="0"/>
          <w:numId w:val="2"/>
        </w:numPr>
        <w:spacing w:line="440" w:lineRule="exact"/>
        <w:ind w:left="0" w:firstLine="426" w:firstLineChars="0"/>
        <w:rPr>
          <w:rFonts w:hint="eastAsia" w:ascii="仿宋_GB2312" w:hAnsi="宋体" w:eastAsia="仿宋_GB2312"/>
          <w:snapToGrid w:val="0"/>
          <w:kern w:val="0"/>
          <w:sz w:val="24"/>
        </w:rPr>
      </w:pPr>
      <w:r>
        <w:rPr>
          <w:rFonts w:hint="eastAsia" w:ascii="仿宋_GB2312" w:hAnsi="宋体" w:eastAsia="仿宋_GB2312"/>
          <w:snapToGrid w:val="0"/>
          <w:kern w:val="0"/>
          <w:sz w:val="24"/>
        </w:rPr>
        <w:t>场地土壤氡检测。</w:t>
      </w:r>
    </w:p>
    <w:p w14:paraId="43A22F02">
      <w:pPr>
        <w:pStyle w:val="2"/>
        <w:keepNext w:val="0"/>
        <w:keepLines w:val="0"/>
        <w:numPr>
          <w:ilvl w:val="0"/>
          <w:numId w:val="0"/>
        </w:numPr>
        <w:spacing w:line="415" w:lineRule="auto"/>
        <w:rPr>
          <w:rFonts w:hint="eastAsia" w:ascii="仿宋_GB2312" w:hAnsi="宋体" w:eastAsia="仿宋_GB2312"/>
          <w:sz w:val="24"/>
          <w:szCs w:val="24"/>
        </w:rPr>
      </w:pPr>
      <w:bookmarkStart w:id="5" w:name="_Toc444182764"/>
      <w:bookmarkStart w:id="6" w:name="_Toc394565596"/>
      <w:bookmarkStart w:id="7" w:name="_Toc26520"/>
      <w:r>
        <w:rPr>
          <w:rFonts w:hint="eastAsia" w:ascii="仿宋_GB2312" w:hAnsi="宋体" w:eastAsia="仿宋_GB2312"/>
          <w:sz w:val="24"/>
          <w:szCs w:val="24"/>
        </w:rPr>
        <w:t>3.勘察成果</w:t>
      </w:r>
      <w:bookmarkEnd w:id="5"/>
      <w:bookmarkEnd w:id="6"/>
      <w:bookmarkEnd w:id="7"/>
    </w:p>
    <w:p w14:paraId="3FF2372B">
      <w:pPr>
        <w:spacing w:line="500" w:lineRule="exact"/>
        <w:ind w:firstLine="480" w:firstLineChars="200"/>
        <w:rPr>
          <w:rFonts w:ascii="仿宋_GB2312" w:eastAsia="仿宋_GB2312"/>
          <w:sz w:val="24"/>
        </w:rPr>
      </w:pPr>
      <w:r>
        <w:rPr>
          <w:rFonts w:hint="eastAsia" w:ascii="仿宋_GB2312" w:eastAsia="仿宋_GB2312"/>
          <w:sz w:val="24"/>
        </w:rPr>
        <w:t>工程地质勘察报告应由报告正文、附图和附件组成。</w:t>
      </w:r>
    </w:p>
    <w:p w14:paraId="4A3B457C">
      <w:pPr>
        <w:pStyle w:val="13"/>
        <w:numPr>
          <w:ilvl w:val="0"/>
          <w:numId w:val="3"/>
        </w:numPr>
        <w:spacing w:line="500" w:lineRule="exact"/>
        <w:ind w:left="0" w:firstLine="426" w:firstLineChars="0"/>
        <w:rPr>
          <w:rFonts w:hint="eastAsia" w:ascii="仿宋_GB2312" w:hAnsi="宋体" w:eastAsia="仿宋_GB2312"/>
          <w:sz w:val="24"/>
        </w:rPr>
      </w:pPr>
      <w:r>
        <w:rPr>
          <w:rFonts w:hint="eastAsia" w:ascii="仿宋_GB2312" w:hAnsi="宋体" w:eastAsia="仿宋_GB2312"/>
          <w:sz w:val="24"/>
        </w:rPr>
        <w:t>岩土工程勘察报告，应在搜集已有资料，取得工程地质调查与测绘、勘探、测试和室内试验成果的基础上，根据勘察阶段、工程特点、设计方案、施工方法对勘察工作的要求进行岩土工程分析与评价，提供工程场地的工程地质及水文地质资料。</w:t>
      </w:r>
    </w:p>
    <w:p w14:paraId="5EE59038">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收集、分析区域地质资料，要求说明主要区域构造和地质特征，如断裂、石灰岩及洞穴、煤系地层及采空区的分布、特征等。</w:t>
      </w:r>
    </w:p>
    <w:p w14:paraId="27DA9CF2">
      <w:pPr>
        <w:pStyle w:val="13"/>
        <w:numPr>
          <w:ilvl w:val="0"/>
          <w:numId w:val="3"/>
        </w:numPr>
        <w:spacing w:line="500" w:lineRule="exact"/>
        <w:ind w:left="0" w:firstLine="426" w:firstLineChars="0"/>
        <w:rPr>
          <w:rFonts w:hint="eastAsia" w:ascii="仿宋_GB2312" w:hAnsi="宋体" w:eastAsia="仿宋_GB2312"/>
          <w:sz w:val="24"/>
        </w:rPr>
      </w:pPr>
      <w:r>
        <w:rPr>
          <w:rFonts w:hint="eastAsia" w:ascii="仿宋_GB2312" w:hAnsi="宋体" w:eastAsia="仿宋_GB2312"/>
          <w:sz w:val="24"/>
        </w:rPr>
        <w:t>对原位测试、室内试验等所得参数进行统计，提供样本数、最大值、最小值、平均值、标准差、变异系数和标准值，参加统计的样本数</w:t>
      </w:r>
      <w:r>
        <w:rPr>
          <w:rFonts w:ascii="仿宋_GB2312" w:hAnsi="宋体" w:eastAsia="仿宋_GB2312"/>
          <w:sz w:val="24"/>
        </w:rPr>
        <w:t>n</w:t>
      </w:r>
      <w:r>
        <w:rPr>
          <w:rFonts w:hint="eastAsia" w:ascii="仿宋_GB2312" w:hAnsi="宋体" w:eastAsia="仿宋_GB2312"/>
          <w:sz w:val="24"/>
        </w:rPr>
        <w:t>≥</w:t>
      </w:r>
      <w:r>
        <w:rPr>
          <w:rFonts w:ascii="仿宋_GB2312" w:hAnsi="宋体" w:eastAsia="仿宋_GB2312"/>
          <w:sz w:val="24"/>
        </w:rPr>
        <w:t>6</w:t>
      </w:r>
      <w:r>
        <w:rPr>
          <w:rFonts w:hint="eastAsia" w:ascii="仿宋_GB2312" w:hAnsi="宋体" w:eastAsia="仿宋_GB2312"/>
          <w:sz w:val="24"/>
        </w:rPr>
        <w:t>。</w:t>
      </w:r>
    </w:p>
    <w:p w14:paraId="08C3B946">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详细勘察阶段应综合分析区域地质资料，工程地质、水文地质资料及地质灾害资料，结合详勘揭示的情况提出工程措施建议。</w:t>
      </w:r>
    </w:p>
    <w:p w14:paraId="57A75F3C">
      <w:pPr>
        <w:pStyle w:val="13"/>
        <w:numPr>
          <w:ilvl w:val="0"/>
          <w:numId w:val="3"/>
        </w:numPr>
        <w:spacing w:line="500" w:lineRule="exact"/>
        <w:ind w:left="0" w:firstLine="426" w:firstLineChars="0"/>
        <w:rPr>
          <w:rFonts w:hint="eastAsia" w:ascii="仿宋" w:hAnsi="仿宋" w:eastAsia="仿宋"/>
          <w:sz w:val="24"/>
        </w:rPr>
      </w:pPr>
      <w:r>
        <w:rPr>
          <w:rFonts w:hint="eastAsia" w:ascii="仿宋" w:hAnsi="仿宋" w:eastAsia="仿宋"/>
          <w:sz w:val="24"/>
        </w:rPr>
        <w:t>根据试验统计结果、岩土特征工程经验（类比），按不同岩性的各岩土层提供如下建议值：岩石地基承载力特征值、土的承载力特征值的经验值、桩侧摩阻力特征值的经验值、桩的端阻力特征值的经验值、桩的极限侧阻力标准值、桩的极限端阻力标准值、土体与锚固体极限摩阻力标准值、岩石与锚固体极限摩阻力标准值、静止侧压力系数、土的泊松比、基底摩擦系数、边坡坡度高宽比允许值。</w:t>
      </w:r>
    </w:p>
    <w:p w14:paraId="4AFD7276">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勘察报告资料要求完整，内容可靠，条理清晰</w:t>
      </w:r>
      <w:r>
        <w:rPr>
          <w:rFonts w:ascii="仿宋_GB2312" w:eastAsia="仿宋_GB2312"/>
          <w:sz w:val="24"/>
        </w:rPr>
        <w:t>,</w:t>
      </w:r>
      <w:r>
        <w:rPr>
          <w:rFonts w:hint="eastAsia" w:ascii="仿宋_GB2312" w:eastAsia="仿宋_GB2312"/>
          <w:sz w:val="24"/>
        </w:rPr>
        <w:t>文字、表格、图件相符。</w:t>
      </w:r>
    </w:p>
    <w:p w14:paraId="781D07C2">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勘察报告包括文字部分、表格、图件。编制报告的具体要求，可参照执行中国工程建设标准化协会标准《岩土工程勘察报告编制标准》</w:t>
      </w:r>
      <w:r>
        <w:rPr>
          <w:rFonts w:ascii="仿宋_GB2312" w:eastAsia="仿宋_GB2312"/>
          <w:sz w:val="24"/>
        </w:rPr>
        <w:t>CECS 99-1998</w:t>
      </w:r>
      <w:r>
        <w:rPr>
          <w:rFonts w:hint="eastAsia" w:ascii="仿宋_GB2312" w:eastAsia="仿宋_GB2312"/>
          <w:sz w:val="24"/>
        </w:rPr>
        <w:t>的各项规定，以及住房和城乡建设部建质</w:t>
      </w:r>
      <w:r>
        <w:rPr>
          <w:rFonts w:ascii="仿宋_GB2312" w:eastAsia="仿宋_GB2312"/>
          <w:sz w:val="24"/>
        </w:rPr>
        <w:t>[2020]52</w:t>
      </w:r>
      <w:r>
        <w:rPr>
          <w:rFonts w:hint="eastAsia" w:ascii="仿宋_GB2312" w:eastAsia="仿宋_GB2312"/>
          <w:sz w:val="24"/>
        </w:rPr>
        <w:t>号：《房屋建筑和市政基础设施工程勘察文件编制深度规定》（</w:t>
      </w:r>
      <w:r>
        <w:rPr>
          <w:rFonts w:ascii="仿宋_GB2312" w:eastAsia="仿宋_GB2312"/>
          <w:sz w:val="24"/>
        </w:rPr>
        <w:t>2020</w:t>
      </w:r>
      <w:r>
        <w:rPr>
          <w:rFonts w:hint="eastAsia" w:ascii="仿宋_GB2312" w:eastAsia="仿宋_GB2312"/>
          <w:sz w:val="24"/>
        </w:rPr>
        <w:t>年版）。</w:t>
      </w:r>
    </w:p>
    <w:p w14:paraId="0CBF9717">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勘察报告的文字部分包括“岩土工程评价与工程措施建议”</w:t>
      </w:r>
      <w:r>
        <w:rPr>
          <w:rFonts w:ascii="仿宋_GB2312" w:eastAsia="仿宋_GB2312"/>
          <w:sz w:val="24"/>
        </w:rPr>
        <w:t>,</w:t>
      </w:r>
      <w:r>
        <w:rPr>
          <w:rFonts w:hint="eastAsia" w:ascii="仿宋_GB2312" w:eastAsia="仿宋_GB2312"/>
          <w:sz w:val="24"/>
        </w:rPr>
        <w:t>这部分的编制应执行国家标准《岩土工程勘察规范》（</w:t>
      </w:r>
      <w:r>
        <w:rPr>
          <w:rFonts w:ascii="仿宋_GB2312" w:eastAsia="仿宋_GB2312"/>
          <w:sz w:val="24"/>
        </w:rPr>
        <w:t>GB 50021</w:t>
      </w:r>
      <w:r>
        <w:rPr>
          <w:rFonts w:hint="eastAsia" w:ascii="仿宋_GB2312" w:eastAsia="仿宋_GB2312"/>
          <w:sz w:val="24"/>
        </w:rPr>
        <w:t>）第</w:t>
      </w:r>
      <w:r>
        <w:rPr>
          <w:rFonts w:ascii="仿宋_GB2312" w:eastAsia="仿宋_GB2312"/>
          <w:sz w:val="24"/>
        </w:rPr>
        <w:t>14</w:t>
      </w:r>
      <w:r>
        <w:rPr>
          <w:rFonts w:hint="eastAsia" w:ascii="仿宋_GB2312" w:eastAsia="仿宋_GB2312"/>
          <w:sz w:val="24"/>
        </w:rPr>
        <w:t>章“岩土工程分析评价和成果报告”。</w:t>
      </w:r>
    </w:p>
    <w:p w14:paraId="2D13F957">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勘察报告正文部分须评价不良地质作用对工程的影响。</w:t>
      </w:r>
    </w:p>
    <w:p w14:paraId="725149FB">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详勘报告应根据实测钻孔波速测试数据，按《建筑抗震设计规范》</w:t>
      </w:r>
      <w:r>
        <w:rPr>
          <w:rFonts w:ascii="仿宋_GB2312" w:eastAsia="仿宋_GB2312"/>
          <w:sz w:val="24"/>
        </w:rPr>
        <w:t>GB 50011-2010</w:t>
      </w:r>
      <w:r>
        <w:rPr>
          <w:rFonts w:hint="eastAsia" w:ascii="仿宋_GB2312" w:eastAsia="仿宋_GB2312"/>
          <w:sz w:val="24"/>
        </w:rPr>
        <w:t>及《中国地震动参数区划图》</w:t>
      </w:r>
      <w:r>
        <w:rPr>
          <w:rFonts w:ascii="仿宋_GB2312" w:eastAsia="仿宋_GB2312"/>
          <w:sz w:val="24"/>
        </w:rPr>
        <w:t>GB18306-2015</w:t>
      </w:r>
      <w:r>
        <w:rPr>
          <w:rFonts w:hint="eastAsia" w:ascii="仿宋_GB2312" w:eastAsia="仿宋_GB2312"/>
          <w:sz w:val="24"/>
        </w:rPr>
        <w:t>的相关规定，提供地震设计动参数。</w:t>
      </w:r>
    </w:p>
    <w:p w14:paraId="3390180C">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抗震设防区按设防烈度提供的液化地层资料。</w:t>
      </w:r>
    </w:p>
    <w:p w14:paraId="39F7538F">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对桩基工程岩土工程勘察报告应包括以下内容：</w:t>
      </w:r>
      <w:r>
        <w:rPr>
          <w:rFonts w:hint="eastAsia" w:ascii="仿宋" w:hAnsi="仿宋" w:eastAsia="仿宋"/>
          <w:sz w:val="24"/>
        </w:rPr>
        <w:t>①</w:t>
      </w:r>
      <w:r>
        <w:rPr>
          <w:rFonts w:hint="eastAsia" w:ascii="仿宋_GB2312" w:eastAsia="仿宋_GB2312"/>
          <w:sz w:val="24"/>
        </w:rPr>
        <w:t>提出估算的有关岩土的基桩侧阻力和端阻力；</w:t>
      </w:r>
      <w:r>
        <w:rPr>
          <w:rFonts w:hint="eastAsia" w:ascii="仿宋" w:hAnsi="仿宋" w:eastAsia="仿宋"/>
          <w:sz w:val="24"/>
        </w:rPr>
        <w:t>②</w:t>
      </w:r>
      <w:r>
        <w:rPr>
          <w:rFonts w:hint="eastAsia" w:ascii="仿宋_GB2312" w:eastAsia="仿宋_GB2312"/>
          <w:sz w:val="24"/>
        </w:rPr>
        <w:t>提供桩基沉降计算所需的各层岩土的变形参数（变形模量）；</w:t>
      </w:r>
      <w:r>
        <w:rPr>
          <w:rFonts w:hint="eastAsia" w:ascii="仿宋" w:hAnsi="仿宋" w:eastAsia="仿宋"/>
          <w:sz w:val="24"/>
        </w:rPr>
        <w:t>③</w:t>
      </w:r>
      <w:r>
        <w:rPr>
          <w:rFonts w:hint="eastAsia" w:ascii="仿宋_GB2312" w:eastAsia="仿宋_GB2312"/>
          <w:sz w:val="24"/>
        </w:rPr>
        <w:t>提供可选的桩基类型和桩端持力层和施工方法等建议；</w:t>
      </w:r>
      <w:r>
        <w:rPr>
          <w:rFonts w:hint="eastAsia" w:ascii="仿宋" w:hAnsi="仿宋" w:eastAsia="仿宋"/>
          <w:sz w:val="24"/>
        </w:rPr>
        <w:t>④</w:t>
      </w:r>
      <w:r>
        <w:rPr>
          <w:rFonts w:hint="eastAsia" w:ascii="仿宋_GB2312" w:eastAsia="仿宋_GB2312"/>
          <w:sz w:val="24"/>
        </w:rPr>
        <w:t>对欠固结土和有大面积堆载的工程，应分析桩侧产生负摩阻力的可能性及其对桩基承及其对环境的影响，成桩和挤土效应的影响，并提出保护措施的建议。</w:t>
      </w:r>
      <w:r>
        <w:rPr>
          <w:rFonts w:hint="eastAsia" w:ascii="仿宋" w:hAnsi="仿宋" w:eastAsia="仿宋"/>
          <w:sz w:val="24"/>
        </w:rPr>
        <w:t>⑤</w:t>
      </w:r>
      <w:r>
        <w:rPr>
          <w:rFonts w:hint="eastAsia" w:ascii="仿宋_GB2312" w:eastAsia="仿宋_GB2312"/>
          <w:sz w:val="24"/>
        </w:rPr>
        <w:t>持力层为倾斜地层，基岩面凹凸不平或岩土中有洞穴时，应评价桩的稳定性，并提出处理措施的建议。</w:t>
      </w:r>
      <w:r>
        <w:rPr>
          <w:rFonts w:hint="eastAsia" w:ascii="仿宋" w:hAnsi="仿宋" w:eastAsia="仿宋"/>
          <w:sz w:val="24"/>
        </w:rPr>
        <w:t>⑥</w:t>
      </w:r>
      <w:r>
        <w:rPr>
          <w:rFonts w:hint="eastAsia" w:ascii="仿宋_GB2312" w:eastAsia="仿宋_GB2312"/>
          <w:sz w:val="24"/>
        </w:rPr>
        <w:t>提供各岩土层等高线图。</w:t>
      </w:r>
      <w:r>
        <w:rPr>
          <w:rFonts w:ascii="仿宋_GB2312" w:eastAsia="仿宋_GB2312"/>
          <w:sz w:val="24"/>
        </w:rPr>
        <w:t xml:space="preserve"> </w:t>
      </w:r>
    </w:p>
    <w:p w14:paraId="604D6E90">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提出沉桩可能性分析意见、勘探点灌注桩施工中需要注意的事项、需要采取的工程措施，评估桩基施工对周围环境的影响，提出质量检测建议。</w:t>
      </w:r>
    </w:p>
    <w:p w14:paraId="15976D72">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基坑工程勘察部分应对以下内容进行分析，并提供有关技术参数和建议：</w:t>
      </w:r>
      <w:r>
        <w:rPr>
          <w:rFonts w:hint="eastAsia" w:ascii="仿宋" w:hAnsi="仿宋" w:eastAsia="仿宋"/>
          <w:sz w:val="24"/>
        </w:rPr>
        <w:t>①</w:t>
      </w:r>
      <w:r>
        <w:rPr>
          <w:rFonts w:hint="eastAsia" w:ascii="仿宋_GB2312" w:eastAsia="仿宋_GB2312"/>
          <w:sz w:val="24"/>
        </w:rPr>
        <w:t>边坡的局部稳定性、整体稳定性和坑底抗隆起稳定性；</w:t>
      </w:r>
      <w:r>
        <w:rPr>
          <w:rFonts w:hint="eastAsia" w:ascii="仿宋" w:hAnsi="仿宋" w:eastAsia="仿宋"/>
          <w:sz w:val="24"/>
        </w:rPr>
        <w:t>②</w:t>
      </w:r>
      <w:r>
        <w:rPr>
          <w:rFonts w:hint="eastAsia" w:ascii="仿宋_GB2312" w:eastAsia="仿宋_GB2312"/>
          <w:sz w:val="24"/>
        </w:rPr>
        <w:t>坑底和侧壁的渗透稳定性；</w:t>
      </w:r>
      <w:r>
        <w:rPr>
          <w:rFonts w:hint="eastAsia" w:ascii="仿宋" w:hAnsi="仿宋" w:eastAsia="仿宋"/>
          <w:sz w:val="24"/>
        </w:rPr>
        <w:t>③</w:t>
      </w:r>
      <w:r>
        <w:rPr>
          <w:rFonts w:hint="eastAsia" w:ascii="仿宋_GB2312" w:eastAsia="仿宋_GB2312"/>
          <w:sz w:val="24"/>
        </w:rPr>
        <w:t>挡土结构和边坡可能发生的变形；</w:t>
      </w:r>
      <w:r>
        <w:rPr>
          <w:rFonts w:hint="eastAsia" w:ascii="仿宋" w:hAnsi="仿宋" w:eastAsia="仿宋"/>
          <w:sz w:val="24"/>
        </w:rPr>
        <w:t>④</w:t>
      </w:r>
      <w:r>
        <w:rPr>
          <w:rFonts w:hint="eastAsia" w:ascii="仿宋_GB2312" w:eastAsia="仿宋_GB2312"/>
          <w:sz w:val="24"/>
        </w:rPr>
        <w:t>降水效果和降水对环境的影响；</w:t>
      </w:r>
      <w:r>
        <w:rPr>
          <w:rFonts w:hint="eastAsia" w:ascii="仿宋" w:hAnsi="仿宋" w:eastAsia="仿宋"/>
          <w:sz w:val="24"/>
        </w:rPr>
        <w:t>⑤</w:t>
      </w:r>
      <w:r>
        <w:rPr>
          <w:rFonts w:hint="eastAsia" w:ascii="仿宋_GB2312" w:eastAsia="仿宋_GB2312"/>
          <w:sz w:val="24"/>
        </w:rPr>
        <w:t>开挖和降水对邻近建筑物和地下设施的影响。且在勘察报告中应包括下列内容：</w:t>
      </w:r>
      <w:r>
        <w:rPr>
          <w:rFonts w:hint="eastAsia" w:ascii="仿宋" w:hAnsi="仿宋" w:eastAsia="仿宋"/>
          <w:sz w:val="24"/>
        </w:rPr>
        <w:t>①</w:t>
      </w:r>
      <w:r>
        <w:rPr>
          <w:rFonts w:hint="eastAsia" w:ascii="仿宋_GB2312" w:eastAsia="仿宋_GB2312"/>
          <w:sz w:val="24"/>
        </w:rPr>
        <w:t>与基坑开挖有关的场地条件、土质条件和工程条件；</w:t>
      </w:r>
      <w:r>
        <w:rPr>
          <w:rFonts w:hint="eastAsia" w:ascii="仿宋" w:hAnsi="仿宋" w:eastAsia="仿宋"/>
          <w:sz w:val="24"/>
        </w:rPr>
        <w:t>②</w:t>
      </w:r>
      <w:r>
        <w:rPr>
          <w:rFonts w:hint="eastAsia" w:ascii="仿宋_GB2312" w:eastAsia="仿宋_GB2312"/>
          <w:sz w:val="24"/>
        </w:rPr>
        <w:t>提出处理方式、计算参数和支护结构选型的建议；</w:t>
      </w:r>
      <w:r>
        <w:rPr>
          <w:rFonts w:hint="eastAsia" w:ascii="仿宋" w:hAnsi="仿宋" w:eastAsia="仿宋"/>
          <w:sz w:val="24"/>
        </w:rPr>
        <w:t>③</w:t>
      </w:r>
      <w:r>
        <w:rPr>
          <w:rFonts w:hint="eastAsia" w:ascii="仿宋_GB2312" w:eastAsia="仿宋_GB2312"/>
          <w:sz w:val="24"/>
        </w:rPr>
        <w:t>提出地下水控制方法、计算参数和施工控制的建议；</w:t>
      </w:r>
      <w:r>
        <w:rPr>
          <w:rFonts w:hint="eastAsia" w:ascii="仿宋" w:hAnsi="仿宋" w:eastAsia="仿宋"/>
          <w:sz w:val="24"/>
        </w:rPr>
        <w:t>④</w:t>
      </w:r>
      <w:r>
        <w:rPr>
          <w:rFonts w:hint="eastAsia" w:ascii="仿宋_GB2312" w:eastAsia="仿宋_GB2312"/>
          <w:sz w:val="24"/>
        </w:rPr>
        <w:t>提出施工方法和施工中可能遇到的问题的防治措施的建议；</w:t>
      </w:r>
      <w:r>
        <w:rPr>
          <w:rFonts w:hint="eastAsia" w:ascii="仿宋" w:hAnsi="仿宋" w:eastAsia="仿宋"/>
          <w:sz w:val="24"/>
        </w:rPr>
        <w:t>⑤</w:t>
      </w:r>
      <w:r>
        <w:rPr>
          <w:rFonts w:hint="eastAsia" w:ascii="仿宋_GB2312" w:eastAsia="仿宋_GB2312"/>
          <w:sz w:val="24"/>
        </w:rPr>
        <w:t>对施工阶段的环境保护和监测工作的建议。</w:t>
      </w:r>
    </w:p>
    <w:p w14:paraId="6D4E6DCD">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勘察报告的表格可包括插表与附表。插表是支持文字说明的表格，附表是汇总、统计各类岩土参数的表格。所有岩土参数均要求经过分类、汇总、统计之后列表表示，不能将实验室或外业作业的原始表格不加统计直接列入勘察报告之内。凡经过统计后得到的结果，均要求利用计算机内的统计功能列表。</w:t>
      </w:r>
    </w:p>
    <w:p w14:paraId="74D744EF">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勘察报告的图件可包括插图与附图。插图是支持文字说明的图件，附图是直接反映勘察成果的图件。图件内容包括：区域地质图、勘探点平面图、地质剖面图、抽水试验曲线图、勘探点柱状图、波速测试曲线图、岩心照片等。</w:t>
      </w:r>
    </w:p>
    <w:p w14:paraId="017C8195">
      <w:pPr>
        <w:pStyle w:val="13"/>
        <w:numPr>
          <w:ilvl w:val="0"/>
          <w:numId w:val="3"/>
        </w:numPr>
        <w:spacing w:line="500" w:lineRule="exact"/>
        <w:ind w:left="0" w:firstLine="426" w:firstLineChars="0"/>
        <w:rPr>
          <w:rFonts w:ascii="仿宋_GB2312" w:eastAsia="仿宋_GB2312"/>
          <w:sz w:val="24"/>
        </w:rPr>
      </w:pPr>
      <w:r>
        <w:rPr>
          <w:rFonts w:hint="eastAsia" w:ascii="仿宋_GB2312" w:eastAsia="仿宋_GB2312"/>
          <w:sz w:val="24"/>
        </w:rPr>
        <w:t>提供试验报告的原始资料，包括盖有</w:t>
      </w:r>
      <w:r>
        <w:rPr>
          <w:rFonts w:ascii="仿宋_GB2312" w:eastAsia="仿宋_GB2312"/>
          <w:sz w:val="24"/>
        </w:rPr>
        <w:t>CMA</w:t>
      </w:r>
      <w:r>
        <w:rPr>
          <w:rFonts w:hint="eastAsia" w:ascii="仿宋_GB2312" w:eastAsia="仿宋_GB2312"/>
          <w:sz w:val="24"/>
        </w:rPr>
        <w:t>章的所有岩、土、水试验统计图表复印件。试验报告原始资料应汇总并附于报告后。</w:t>
      </w:r>
    </w:p>
    <w:p w14:paraId="2083F53E">
      <w:pPr>
        <w:pStyle w:val="13"/>
        <w:numPr>
          <w:ilvl w:val="0"/>
          <w:numId w:val="3"/>
        </w:numPr>
        <w:spacing w:line="500" w:lineRule="exact"/>
        <w:ind w:left="0" w:firstLine="426" w:firstLineChars="0"/>
        <w:rPr>
          <w:rFonts w:hint="eastAsia" w:ascii="仿宋" w:hAnsi="仿宋" w:eastAsia="仿宋"/>
          <w:sz w:val="24"/>
        </w:rPr>
      </w:pPr>
      <w:r>
        <w:rPr>
          <w:rFonts w:hint="eastAsia" w:ascii="仿宋" w:hAnsi="仿宋" w:eastAsia="仿宋"/>
          <w:sz w:val="24"/>
        </w:rPr>
        <w:t>勘察报告提供成果还要满足《高层建筑岩土工程勘察规程（</w:t>
      </w:r>
      <w:r>
        <w:rPr>
          <w:rFonts w:ascii="仿宋" w:hAnsi="仿宋" w:eastAsia="仿宋"/>
          <w:sz w:val="24"/>
        </w:rPr>
        <w:t>JGJ72-2017</w:t>
      </w:r>
      <w:r>
        <w:rPr>
          <w:rFonts w:hint="eastAsia" w:ascii="仿宋" w:hAnsi="仿宋" w:eastAsia="仿宋"/>
          <w:sz w:val="24"/>
        </w:rPr>
        <w:t>）》及《岩土工程勘察规范（</w:t>
      </w:r>
      <w:r>
        <w:rPr>
          <w:rFonts w:ascii="仿宋" w:hAnsi="仿宋" w:eastAsia="仿宋"/>
          <w:sz w:val="24"/>
        </w:rPr>
        <w:t>GB50029-2009</w:t>
      </w:r>
      <w:r>
        <w:rPr>
          <w:rFonts w:hint="eastAsia" w:ascii="仿宋" w:hAnsi="仿宋" w:eastAsia="仿宋"/>
          <w:sz w:val="24"/>
        </w:rPr>
        <w:t>）》、《建筑基坑支护技术规程》（</w:t>
      </w:r>
      <w:r>
        <w:rPr>
          <w:rFonts w:ascii="仿宋" w:hAnsi="仿宋" w:eastAsia="仿宋"/>
          <w:sz w:val="24"/>
        </w:rPr>
        <w:t>JGJ120-2012</w:t>
      </w:r>
      <w:r>
        <w:rPr>
          <w:rFonts w:hint="eastAsia" w:ascii="仿宋" w:hAnsi="仿宋" w:eastAsia="仿宋"/>
          <w:sz w:val="24"/>
        </w:rPr>
        <w:t>）、</w:t>
      </w:r>
      <w:r>
        <w:rPr>
          <w:rFonts w:ascii="仿宋" w:hAnsi="仿宋" w:eastAsia="仿宋"/>
          <w:sz w:val="24"/>
        </w:rPr>
        <w:t>《民用建筑工程室内环境污染控制标准》 GB 50325-2020</w:t>
      </w:r>
      <w:r>
        <w:rPr>
          <w:rFonts w:hint="eastAsia" w:ascii="仿宋" w:hAnsi="仿宋" w:eastAsia="仿宋"/>
          <w:sz w:val="24"/>
        </w:rPr>
        <w:t>《城市工程地球物理探测标准》（</w:t>
      </w:r>
      <w:r>
        <w:rPr>
          <w:rFonts w:ascii="仿宋" w:hAnsi="仿宋" w:eastAsia="仿宋"/>
          <w:sz w:val="24"/>
        </w:rPr>
        <w:t>CJJ/T7-2017</w:t>
      </w:r>
      <w:r>
        <w:rPr>
          <w:rFonts w:hint="eastAsia" w:ascii="仿宋" w:hAnsi="仿宋" w:eastAsia="仿宋"/>
          <w:sz w:val="24"/>
        </w:rPr>
        <w:t>）等国家、行业相关规程规范要求。</w:t>
      </w:r>
    </w:p>
    <w:p w14:paraId="3E7EC0D5">
      <w:pPr>
        <w:pStyle w:val="13"/>
        <w:numPr>
          <w:ilvl w:val="0"/>
          <w:numId w:val="3"/>
        </w:numPr>
        <w:spacing w:line="500" w:lineRule="exact"/>
        <w:ind w:left="0" w:firstLine="426" w:firstLineChars="0"/>
        <w:rPr>
          <w:rFonts w:ascii="仿宋_GB2312" w:eastAsia="仿宋_GB2312"/>
          <w:sz w:val="24"/>
        </w:rPr>
      </w:pPr>
      <w:r>
        <w:rPr>
          <w:rFonts w:hint="eastAsia" w:ascii="仿宋" w:hAnsi="仿宋" w:eastAsia="仿宋"/>
          <w:sz w:val="24"/>
        </w:rPr>
        <w:t>工程测量、管线探测报告需满足《工程测量规范》（</w:t>
      </w:r>
      <w:r>
        <w:rPr>
          <w:rFonts w:ascii="仿宋" w:hAnsi="仿宋" w:eastAsia="仿宋"/>
          <w:sz w:val="24"/>
        </w:rPr>
        <w:t>GB50026-2016</w:t>
      </w:r>
      <w:r>
        <w:rPr>
          <w:rFonts w:hint="eastAsia" w:ascii="仿宋" w:hAnsi="仿宋" w:eastAsia="仿宋"/>
          <w:sz w:val="24"/>
        </w:rPr>
        <w:t>）；《卫星定位城市测量技术规范》（</w:t>
      </w:r>
      <w:r>
        <w:rPr>
          <w:rFonts w:ascii="仿宋" w:hAnsi="仿宋" w:eastAsia="仿宋"/>
          <w:sz w:val="24"/>
        </w:rPr>
        <w:t>CJJ/T 73-2019</w:t>
      </w:r>
      <w:r>
        <w:rPr>
          <w:rFonts w:hint="eastAsia" w:ascii="仿宋" w:hAnsi="仿宋" w:eastAsia="仿宋"/>
          <w:sz w:val="24"/>
        </w:rPr>
        <w:t>）、《城市地下管线探测技术规程》（</w:t>
      </w:r>
      <w:r>
        <w:rPr>
          <w:rFonts w:ascii="仿宋" w:hAnsi="仿宋" w:eastAsia="仿宋"/>
          <w:sz w:val="24"/>
        </w:rPr>
        <w:t>CJJ61-2017</w:t>
      </w:r>
      <w:r>
        <w:rPr>
          <w:rFonts w:hint="eastAsia" w:ascii="仿宋" w:hAnsi="仿宋" w:eastAsia="仿宋"/>
          <w:sz w:val="24"/>
        </w:rPr>
        <w:t>）、《城市工程地球物理探测标准》（</w:t>
      </w:r>
      <w:r>
        <w:rPr>
          <w:rFonts w:ascii="仿宋" w:hAnsi="仿宋" w:eastAsia="仿宋"/>
          <w:sz w:val="24"/>
        </w:rPr>
        <w:t>CJJ/T7-2017</w:t>
      </w:r>
      <w:r>
        <w:rPr>
          <w:rFonts w:hint="eastAsia" w:ascii="仿宋" w:hAnsi="仿宋" w:eastAsia="仿宋"/>
          <w:sz w:val="24"/>
        </w:rPr>
        <w:t>）、《广东省地下管线探测技术规程》（</w:t>
      </w:r>
      <w:r>
        <w:rPr>
          <w:rFonts w:ascii="仿宋" w:hAnsi="仿宋" w:eastAsia="仿宋"/>
          <w:sz w:val="24"/>
        </w:rPr>
        <w:t>DBJ/T15-134-2018</w:t>
      </w:r>
      <w:r>
        <w:rPr>
          <w:rFonts w:hint="eastAsia" w:ascii="仿宋" w:hAnsi="仿宋" w:eastAsia="仿宋"/>
          <w:sz w:val="24"/>
        </w:rPr>
        <w:t>）等国家、行业相关规程规范的要求。</w:t>
      </w:r>
    </w:p>
    <w:p w14:paraId="36DDF06B">
      <w:pPr>
        <w:pStyle w:val="2"/>
        <w:keepNext w:val="0"/>
        <w:keepLines w:val="0"/>
        <w:numPr>
          <w:ilvl w:val="0"/>
          <w:numId w:val="0"/>
        </w:numPr>
        <w:spacing w:before="0" w:after="0" w:line="500" w:lineRule="exact"/>
        <w:rPr>
          <w:rFonts w:hint="eastAsia" w:ascii="仿宋_GB2312" w:hAnsi="宋体" w:eastAsia="仿宋_GB2312"/>
          <w:bCs w:val="0"/>
          <w:sz w:val="24"/>
          <w:szCs w:val="24"/>
        </w:rPr>
      </w:pPr>
    </w:p>
    <w:p w14:paraId="3E8E3056">
      <w:pPr>
        <w:pStyle w:val="2"/>
        <w:keepNext w:val="0"/>
        <w:keepLines w:val="0"/>
        <w:numPr>
          <w:ilvl w:val="0"/>
          <w:numId w:val="0"/>
        </w:numPr>
        <w:spacing w:before="0" w:after="0" w:line="500" w:lineRule="exact"/>
        <w:rPr>
          <w:rFonts w:hint="eastAsia" w:ascii="仿宋_GB2312" w:hAnsi="宋体" w:eastAsia="仿宋_GB2312"/>
          <w:bCs w:val="0"/>
          <w:sz w:val="24"/>
          <w:szCs w:val="24"/>
        </w:rPr>
      </w:pPr>
      <w:r>
        <w:rPr>
          <w:rFonts w:ascii="仿宋_GB2312" w:hAnsi="宋体" w:eastAsia="仿宋_GB2312"/>
          <w:bCs w:val="0"/>
          <w:sz w:val="24"/>
          <w:szCs w:val="24"/>
        </w:rPr>
        <w:t>4</w:t>
      </w:r>
      <w:r>
        <w:rPr>
          <w:rFonts w:hint="eastAsia" w:ascii="仿宋_GB2312" w:hAnsi="宋体" w:eastAsia="仿宋_GB2312"/>
          <w:bCs w:val="0"/>
          <w:sz w:val="24"/>
          <w:szCs w:val="24"/>
        </w:rPr>
        <w:t>、其他</w:t>
      </w:r>
    </w:p>
    <w:p w14:paraId="74DE58CD">
      <w:pPr>
        <w:pStyle w:val="2"/>
        <w:keepNext w:val="0"/>
        <w:keepLines w:val="0"/>
        <w:numPr>
          <w:ilvl w:val="0"/>
          <w:numId w:val="0"/>
        </w:numPr>
        <w:spacing w:before="0" w:after="0" w:line="500" w:lineRule="exact"/>
        <w:ind w:firstLine="480" w:firstLineChars="200"/>
        <w:rPr>
          <w:rFonts w:hint="eastAsia" w:ascii="仿宋" w:hAnsi="仿宋" w:eastAsia="仿宋" w:cs="Times New Roman"/>
          <w:b w:val="0"/>
          <w:bCs w:val="0"/>
          <w:kern w:val="2"/>
          <w:sz w:val="24"/>
          <w:szCs w:val="24"/>
          <w:lang w:val="en-US" w:eastAsia="zh-CN" w:bidi="ar-SA"/>
        </w:rPr>
      </w:pPr>
      <w:bookmarkStart w:id="8" w:name="_GoBack"/>
      <w:r>
        <w:rPr>
          <w:rFonts w:hint="eastAsia" w:ascii="仿宋" w:hAnsi="仿宋" w:eastAsia="仿宋" w:cs="Times New Roman"/>
          <w:b w:val="0"/>
          <w:bCs w:val="0"/>
          <w:kern w:val="2"/>
          <w:sz w:val="24"/>
          <w:szCs w:val="24"/>
          <w:lang w:val="en-US" w:eastAsia="zh-CN" w:bidi="ar-SA"/>
        </w:rPr>
        <w:t>由于建筑规划方案仍在政府的审批中，地形测量及管线探测的工作范围原则为红线范围内及红线外扩</w:t>
      </w:r>
      <w:r>
        <w:rPr>
          <w:rFonts w:ascii="仿宋" w:hAnsi="仿宋" w:eastAsia="仿宋" w:cs="Times New Roman"/>
          <w:b w:val="0"/>
          <w:bCs w:val="0"/>
          <w:kern w:val="2"/>
          <w:sz w:val="24"/>
          <w:szCs w:val="24"/>
          <w:lang w:val="en-US" w:eastAsia="zh-CN" w:bidi="ar-SA"/>
        </w:rPr>
        <w:t>30</w:t>
      </w:r>
      <w:r>
        <w:rPr>
          <w:rFonts w:hint="eastAsia" w:ascii="仿宋" w:hAnsi="仿宋" w:eastAsia="仿宋" w:cs="Times New Roman"/>
          <w:b w:val="0"/>
          <w:bCs w:val="0"/>
          <w:kern w:val="2"/>
          <w:sz w:val="24"/>
          <w:szCs w:val="24"/>
          <w:lang w:val="en-US" w:eastAsia="zh-CN" w:bidi="ar-SA"/>
        </w:rPr>
        <w:t>米；各阶段的岩土工程勘察、波速测试、管波物探、抽水试验、土壤氡浓度检测等工作量布置及工作深度需根据阶段工作细化。</w:t>
      </w:r>
    </w:p>
    <w:bookmarkEnd w:i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1590E"/>
    <w:multiLevelType w:val="multilevel"/>
    <w:tmpl w:val="1561590E"/>
    <w:lvl w:ilvl="0" w:tentative="0">
      <w:start w:val="1"/>
      <w:numFmt w:val="decimal"/>
      <w:lvlText w:val="第%1章"/>
      <w:lvlJc w:val="left"/>
      <w:pPr>
        <w:tabs>
          <w:tab w:val="left" w:pos="3600"/>
        </w:tabs>
        <w:ind w:left="2952" w:hanging="432"/>
      </w:pPr>
      <w:rPr>
        <w:rFonts w:hint="eastAsia" w:ascii="黑体" w:hAnsi="Times New Roman" w:eastAsia="黑体" w:cs="Times New Roman"/>
        <w:i w:val="0"/>
        <w:iCs w:val="0"/>
        <w:caps w:val="0"/>
        <w:strike w:val="0"/>
        <w:dstrike w:val="0"/>
        <w:outline w:val="0"/>
        <w:shadow w:val="0"/>
        <w:emboss w:val="0"/>
        <w:imprint w:val="0"/>
        <w:vanish w:val="0"/>
        <w:spacing w:val="0"/>
        <w:position w:val="0"/>
        <w:sz w:val="32"/>
        <w:u w:val="none"/>
        <w:vertAlign w:val="baseline"/>
      </w:rPr>
    </w:lvl>
    <w:lvl w:ilvl="1" w:tentative="0">
      <w:start w:val="1"/>
      <w:numFmt w:val="decimal"/>
      <w:pStyle w:val="2"/>
      <w:lvlText w:val="%1.%2"/>
      <w:lvlJc w:val="left"/>
      <w:pPr>
        <w:tabs>
          <w:tab w:val="left" w:pos="540"/>
        </w:tabs>
        <w:ind w:left="540" w:firstLine="0"/>
      </w:pPr>
      <w:rPr>
        <w:rFonts w:hint="eastAsia" w:ascii="仿宋_GB2312" w:hAnsi="宋体" w:eastAsia="仿宋_GB2312"/>
        <w:b/>
        <w:sz w:val="24"/>
        <w:szCs w:val="24"/>
      </w:rPr>
    </w:lvl>
    <w:lvl w:ilvl="2" w:tentative="0">
      <w:start w:val="1"/>
      <w:numFmt w:val="decimal"/>
      <w:lvlText w:val="%1.%2.%3"/>
      <w:lvlJc w:val="left"/>
      <w:pPr>
        <w:tabs>
          <w:tab w:val="left" w:pos="1184"/>
        </w:tabs>
        <w:ind w:left="1184" w:hanging="284"/>
      </w:pPr>
      <w:rPr>
        <w:rFonts w:hint="eastAsia" w:ascii="宋体" w:hAnsi="宋体" w:eastAsia="宋体"/>
        <w:sz w:val="30"/>
        <w:szCs w:val="30"/>
      </w:rPr>
    </w:lvl>
    <w:lvl w:ilvl="3" w:tentative="0">
      <w:start w:val="1"/>
      <w:numFmt w:val="decimal"/>
      <w:lvlText w:val="%4)"/>
      <w:lvlJc w:val="left"/>
      <w:pPr>
        <w:tabs>
          <w:tab w:val="left" w:pos="1500"/>
        </w:tabs>
        <w:ind w:left="1500" w:hanging="420"/>
      </w:pPr>
      <w:rPr>
        <w:rFonts w:hint="eastAsia"/>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lvlText w:val="%5)"/>
      <w:lvlJc w:val="left"/>
      <w:pPr>
        <w:tabs>
          <w:tab w:val="left" w:pos="2580"/>
        </w:tabs>
        <w:ind w:left="2580" w:hanging="420"/>
      </w:pPr>
      <w:rPr>
        <w:rFonts w:hint="eastAsia"/>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2E2A3725"/>
    <w:multiLevelType w:val="multilevel"/>
    <w:tmpl w:val="2E2A37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D220FF"/>
    <w:multiLevelType w:val="multilevel"/>
    <w:tmpl w:val="55D220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09"/>
    <w:rsid w:val="000325AB"/>
    <w:rsid w:val="00076042"/>
    <w:rsid w:val="000C2C54"/>
    <w:rsid w:val="0010190D"/>
    <w:rsid w:val="00132614"/>
    <w:rsid w:val="00144F9A"/>
    <w:rsid w:val="00145F32"/>
    <w:rsid w:val="0015513E"/>
    <w:rsid w:val="001D6D47"/>
    <w:rsid w:val="0024688E"/>
    <w:rsid w:val="002820D6"/>
    <w:rsid w:val="002A533D"/>
    <w:rsid w:val="002C3334"/>
    <w:rsid w:val="00394D16"/>
    <w:rsid w:val="003A5AF0"/>
    <w:rsid w:val="003A6D2E"/>
    <w:rsid w:val="003E5EA7"/>
    <w:rsid w:val="0040412B"/>
    <w:rsid w:val="004049E8"/>
    <w:rsid w:val="004231B5"/>
    <w:rsid w:val="004D5456"/>
    <w:rsid w:val="00501B71"/>
    <w:rsid w:val="005C1CAD"/>
    <w:rsid w:val="00603011"/>
    <w:rsid w:val="006525CA"/>
    <w:rsid w:val="00654AC1"/>
    <w:rsid w:val="006606C8"/>
    <w:rsid w:val="006E381A"/>
    <w:rsid w:val="00724A3E"/>
    <w:rsid w:val="00750FC6"/>
    <w:rsid w:val="007D2166"/>
    <w:rsid w:val="007E3380"/>
    <w:rsid w:val="007F7E9F"/>
    <w:rsid w:val="00800668"/>
    <w:rsid w:val="008526CC"/>
    <w:rsid w:val="00864E3D"/>
    <w:rsid w:val="00881260"/>
    <w:rsid w:val="008D23C7"/>
    <w:rsid w:val="009736AB"/>
    <w:rsid w:val="00A81E0D"/>
    <w:rsid w:val="00A92406"/>
    <w:rsid w:val="00B25524"/>
    <w:rsid w:val="00B8325B"/>
    <w:rsid w:val="00BF575F"/>
    <w:rsid w:val="00C62309"/>
    <w:rsid w:val="00C823AF"/>
    <w:rsid w:val="00C867B0"/>
    <w:rsid w:val="00CA05C6"/>
    <w:rsid w:val="00CB37A6"/>
    <w:rsid w:val="00D55986"/>
    <w:rsid w:val="00DE4351"/>
    <w:rsid w:val="00E4432A"/>
    <w:rsid w:val="00E46684"/>
    <w:rsid w:val="00E54F8C"/>
    <w:rsid w:val="00E851BC"/>
    <w:rsid w:val="00E94F01"/>
    <w:rsid w:val="00F031D9"/>
    <w:rsid w:val="00F3257A"/>
    <w:rsid w:val="00F62C18"/>
    <w:rsid w:val="00F969A2"/>
    <w:rsid w:val="00FB7C40"/>
    <w:rsid w:val="00FD0232"/>
    <w:rsid w:val="00FD0B89"/>
    <w:rsid w:val="00FD3C3D"/>
    <w:rsid w:val="00FE6424"/>
    <w:rsid w:val="07EC19A3"/>
    <w:rsid w:val="2E626C04"/>
    <w:rsid w:val="35CC6239"/>
    <w:rsid w:val="687E54B3"/>
    <w:rsid w:val="6EA873D1"/>
    <w:rsid w:val="74BE4DDD"/>
    <w:rsid w:val="75212E02"/>
    <w:rsid w:val="760A6219"/>
    <w:rsid w:val="78FF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keepNext/>
      <w:keepLines/>
      <w:numPr>
        <w:ilvl w:val="1"/>
        <w:numId w:val="1"/>
      </w:numPr>
      <w:tabs>
        <w:tab w:val="left" w:pos="3600"/>
      </w:tabs>
      <w:spacing w:before="260" w:after="260"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Plain Text"/>
    <w:basedOn w:val="1"/>
    <w:link w:val="14"/>
    <w:qFormat/>
    <w:uiPriority w:val="0"/>
    <w:rPr>
      <w:rFonts w:ascii="宋体" w:hAnsi="宋体" w:cs="Courier New"/>
      <w:sz w:val="20"/>
      <w:szCs w:val="20"/>
      <w:lang w:val="zh-CN"/>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2 字符"/>
    <w:basedOn w:val="10"/>
    <w:link w:val="2"/>
    <w:qFormat/>
    <w:uiPriority w:val="0"/>
    <w:rPr>
      <w:rFonts w:ascii="Arial" w:hAnsi="Arial" w:eastAsia="黑体" w:cs="Times New Roman"/>
      <w:b/>
      <w:bCs/>
      <w:sz w:val="32"/>
      <w:szCs w:val="32"/>
    </w:rPr>
  </w:style>
  <w:style w:type="paragraph" w:styleId="13">
    <w:name w:val="List Paragraph"/>
    <w:basedOn w:val="1"/>
    <w:qFormat/>
    <w:uiPriority w:val="34"/>
    <w:pPr>
      <w:ind w:firstLine="420" w:firstLineChars="200"/>
    </w:pPr>
  </w:style>
  <w:style w:type="character" w:customStyle="1" w:styleId="14">
    <w:name w:val="纯文本 字符"/>
    <w:basedOn w:val="10"/>
    <w:link w:val="4"/>
    <w:qFormat/>
    <w:uiPriority w:val="0"/>
    <w:rPr>
      <w:rFonts w:ascii="宋体" w:hAnsi="宋体" w:eastAsia="宋体" w:cs="Courier New"/>
      <w:sz w:val="20"/>
      <w:szCs w:val="20"/>
      <w:lang w:val="zh-CN"/>
    </w:rPr>
  </w:style>
  <w:style w:type="character" w:customStyle="1" w:styleId="15">
    <w:name w:val="页眉 字符"/>
    <w:basedOn w:val="10"/>
    <w:link w:val="7"/>
    <w:qFormat/>
    <w:uiPriority w:val="99"/>
    <w:rPr>
      <w:rFonts w:ascii="Times New Roman" w:hAnsi="Times New Roman" w:eastAsia="宋体" w:cs="Times New Roman"/>
      <w:sz w:val="18"/>
      <w:szCs w:val="18"/>
    </w:rPr>
  </w:style>
  <w:style w:type="character" w:customStyle="1" w:styleId="16">
    <w:name w:val="页脚 字符"/>
    <w:basedOn w:val="10"/>
    <w:link w:val="6"/>
    <w:qFormat/>
    <w:uiPriority w:val="99"/>
    <w:rPr>
      <w:rFonts w:ascii="Times New Roman"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0"/>
    <w:link w:val="3"/>
    <w:semiHidden/>
    <w:qFormat/>
    <w:uiPriority w:val="99"/>
    <w:rPr>
      <w:rFonts w:ascii="Times New Roman" w:hAnsi="Times New Roman" w:eastAsia="宋体" w:cs="Times New Roman"/>
      <w:kern w:val="2"/>
      <w:sz w:val="21"/>
      <w:szCs w:val="24"/>
    </w:rPr>
  </w:style>
  <w:style w:type="character" w:customStyle="1" w:styleId="20">
    <w:name w:val="批注主题 字符"/>
    <w:basedOn w:val="19"/>
    <w:link w:val="8"/>
    <w:semiHidden/>
    <w:qFormat/>
    <w:uiPriority w:val="99"/>
    <w:rPr>
      <w:rFonts w:ascii="Times New Roman" w:hAnsi="Times New Roman" w:eastAsia="宋体" w:cs="Times New Roman"/>
      <w:b/>
      <w:bCs/>
      <w:kern w:val="2"/>
      <w:sz w:val="21"/>
      <w:szCs w:val="24"/>
    </w:rPr>
  </w:style>
  <w:style w:type="character" w:customStyle="1" w:styleId="21">
    <w:name w:val="批注框文本 字符"/>
    <w:basedOn w:val="10"/>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1BAB-E8CF-4794-91C2-31D132DAEE56}">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5</Pages>
  <Words>2835</Words>
  <Characters>2996</Characters>
  <Lines>22</Lines>
  <Paragraphs>6</Paragraphs>
  <TotalTime>3</TotalTime>
  <ScaleCrop>false</ScaleCrop>
  <LinksUpToDate>false</LinksUpToDate>
  <CharactersWithSpaces>3013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2024-09-03T03:23:00Z</dcterms:created>
  <dc:creator>wei luo</dc:creator>
  <cp:lastModifiedBy>零度°</cp:lastModifiedBy>
  <dcterms:modified xsi:type="dcterms:W3CDTF">2025-09-12T01:46:53Z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0865EEF06B614361BBE6D8DA611C5F55</vt:lpwstr>
  </property>
  <property fmtid="{D5CDD505-2E9C-101B-9397-08002B2CF9AE}" pid="4" name="KSOTemplateDocerSaveRecord">
    <vt:lpwstr>eyJoZGlkIjoiM2UwOGZhZjE4YjkyMzI5YmJjNTA2Y2Q2NWFjYWU1ZWQiLCJ1c2VySWQiOiI2ODc0ODI1NDcifQ==</vt:lpwstr>
  </property>
</Properties>
</file>