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18BBB">
      <w:pPr>
        <w:pStyle w:val="2"/>
        <w:spacing w:before="0" w:after="0" w:line="240" w:lineRule="auto"/>
        <w:jc w:val="center"/>
        <w:rPr>
          <w:rFonts w:hint="eastAsia" w:ascii="微软雅黑" w:hAnsi="微软雅黑" w:eastAsia="微软雅黑" w:cs="微软雅黑"/>
          <w:b/>
          <w:bCs/>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勘察设计任务书</w:t>
      </w:r>
    </w:p>
    <w:p w14:paraId="607BA5E9">
      <w:pPr>
        <w:pStyle w:val="2"/>
        <w:spacing w:before="0" w:after="0" w:line="240" w:lineRule="auto"/>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一、项目背景</w:t>
      </w:r>
    </w:p>
    <w:p w14:paraId="7C7469FB">
      <w:pPr>
        <w:pStyle w:val="6"/>
        <w:spacing w:line="240" w:lineRule="auto"/>
        <w:ind w:left="0" w:leftChars="0"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2016 年起实施的《广州市城市更新办法》创造性地提出“微改造”的城市更新模式，明确不再对老城区大拆大建，改为循序渐进的修复、活化、培育，让其保留生机，让老城老而不衰，魅力常在。</w:t>
      </w:r>
    </w:p>
    <w:p w14:paraId="4C62806D">
      <w:pPr>
        <w:pStyle w:val="6"/>
        <w:spacing w:line="240" w:lineRule="auto"/>
        <w:ind w:left="0" w:leftChars="0"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城镇老旧小区改造是重大民生和发展工程，是十四五时期实施城市更新行动工作重点之一。2023年，番禺区城市更新局印发《番禺区“十四五”期间老旧小区改造计划》，严格执行住房和城乡建设部《关于在实施城市更新行动中防止大拆大建问题的通知》(建科〔2021]63 号)要求，尊重人民群众意愿，以内涵集约、绿色低碳发展为路径，坚持“留改拆”并举、以保留利用提升为主，加强修缮改造，补齐城市短板，注重提升功能，增强城市活力。明确属地镇(街)作为我区老旧小区改造工作的第一责任主体和具体项目的实施主体，需统筹做好具体改造项目的全流程工作，整合各职能部门的改造资源，推进同步实施。</w:t>
      </w:r>
    </w:p>
    <w:p w14:paraId="1D63BC49">
      <w:pPr>
        <w:pStyle w:val="6"/>
        <w:spacing w:line="240" w:lineRule="auto"/>
        <w:ind w:left="0" w:leftChars="0"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《番禺区“十四五”期间老旧小区改造计划》将大石街富丽社区微改造项目（二期）纳入规划，开展项目改造工作。</w:t>
      </w:r>
    </w:p>
    <w:p w14:paraId="6CD35067">
      <w:pPr>
        <w:pStyle w:val="2"/>
        <w:spacing w:before="0" w:after="0" w:line="240" w:lineRule="auto"/>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二、项目概况</w:t>
      </w:r>
    </w:p>
    <w:p w14:paraId="5B6684C0">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1、工程名称：大石街富丽社区微改造项目（二期）勘察设计。</w:t>
      </w:r>
    </w:p>
    <w:p w14:paraId="7A7CBE13">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2、工程地点：广州市番禺区大石街富丽社区。</w:t>
      </w:r>
    </w:p>
    <w:p w14:paraId="3A5184D8">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3、工程建设内容及规模：项目改造红线面积约61331.8平方米，建筑占地面积约22616.5平方米，建筑总面积约177611.3平方米，建筑层数2至9层，建筑高度约25米。项目提升范围东至宾至路、西至爱华路、南至朝阳东路、北至宾至路，包含4个老旧小区：福宁园小区、</w:t>
      </w:r>
      <w:bookmarkStart w:id="7" w:name="_GoBack"/>
      <w:bookmarkEnd w:id="7"/>
      <w:r>
        <w:rPr>
          <w:rFonts w:hint="eastAsia" w:ascii="微软雅黑" w:hAnsi="微软雅黑" w:eastAsia="微软雅黑" w:cs="微软雅黑"/>
          <w:b w:val="0"/>
          <w:bCs w:val="0"/>
          <w:kern w:val="2"/>
          <w:sz w:val="24"/>
          <w:szCs w:val="24"/>
          <w:lang w:val="en-US" w:eastAsia="zh-CN" w:bidi="ar-SA"/>
        </w:rPr>
        <w:t>宾至路3-4栋、朝阳东路5、7、9栋及华贵大厦。建设内容改造内容主要包括房屋建筑本体共用部分和小区公共空间部分，包括但不限于楼栋门、楼道修缮、楼栋三线、外墙治理、楼栋消防设施、适老化设施、室外消防设施、小区道路、“三线”整治、照明设施、小区公共空间改造、小区道路铺装改造、小区绿化改造、宣传栏改造、更换排水管网，维修更换供水管网，建步行系统，维修完善人行安全设施，维修安装体育锻炼器械，公共部分雨污分流等；工程勘察工作内容包含[工程测量、工程物探（含管线探测）、地形实测（含1:500现状地形图实测）]。具体以项目施工图纸及合同相关要求为准。</w:t>
      </w:r>
    </w:p>
    <w:p w14:paraId="496FC1FB">
      <w:pPr>
        <w:pStyle w:val="4"/>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改造项目内容表（具体改造项目以各小区实际情况为准）：</w:t>
      </w:r>
    </w:p>
    <w:tbl>
      <w:tblPr>
        <w:tblStyle w:val="7"/>
        <w:tblpPr w:leftFromText="180" w:rightFromText="180" w:vertAnchor="text" w:horzAnchor="page" w:tblpX="1795" w:tblpY="637"/>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81"/>
        <w:gridCol w:w="1091"/>
        <w:gridCol w:w="6364"/>
      </w:tblGrid>
      <w:tr w14:paraId="0296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FB40A91">
            <w:pPr>
              <w:keepNext w:val="0"/>
              <w:keepLines w:val="0"/>
              <w:widowControl/>
              <w:suppressLineNumbers w:val="0"/>
              <w:spacing w:line="240" w:lineRule="auto"/>
              <w:jc w:val="left"/>
              <w:textAlignment w:val="center"/>
              <w:rPr>
                <w:rFonts w:hint="eastAsia" w:ascii="微软雅黑" w:hAnsi="微软雅黑" w:eastAsia="微软雅黑" w:cs="微软雅黑"/>
                <w:b/>
                <w:bCs/>
                <w:kern w:val="2"/>
                <w:sz w:val="22"/>
                <w:szCs w:val="22"/>
                <w:lang w:val="en-US" w:eastAsia="zh-CN" w:bidi="ar-SA"/>
              </w:rPr>
            </w:pPr>
            <w:r>
              <w:rPr>
                <w:rFonts w:hint="eastAsia" w:ascii="微软雅黑" w:hAnsi="微软雅黑" w:eastAsia="微软雅黑" w:cs="微软雅黑"/>
                <w:b/>
                <w:bCs/>
                <w:kern w:val="2"/>
                <w:sz w:val="22"/>
                <w:szCs w:val="22"/>
                <w:lang w:val="en-US" w:eastAsia="zh-CN" w:bidi="ar-SA"/>
              </w:rPr>
              <w:t>类别</w:t>
            </w:r>
          </w:p>
        </w:tc>
        <w:tc>
          <w:tcPr>
            <w:tcW w:w="447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75A30EC">
            <w:pPr>
              <w:keepNext w:val="0"/>
              <w:keepLines w:val="0"/>
              <w:widowControl/>
              <w:suppressLineNumbers w:val="0"/>
              <w:spacing w:line="240" w:lineRule="auto"/>
              <w:jc w:val="left"/>
              <w:textAlignment w:val="center"/>
              <w:rPr>
                <w:rFonts w:hint="eastAsia" w:ascii="微软雅黑" w:hAnsi="微软雅黑" w:eastAsia="微软雅黑" w:cs="微软雅黑"/>
                <w:b/>
                <w:bCs/>
                <w:kern w:val="2"/>
                <w:sz w:val="22"/>
                <w:szCs w:val="22"/>
                <w:lang w:val="en-US" w:eastAsia="zh-CN" w:bidi="ar-SA"/>
              </w:rPr>
            </w:pPr>
            <w:r>
              <w:rPr>
                <w:rFonts w:hint="eastAsia" w:ascii="微软雅黑" w:hAnsi="微软雅黑" w:eastAsia="微软雅黑" w:cs="微软雅黑"/>
                <w:b/>
                <w:bCs/>
                <w:kern w:val="2"/>
                <w:sz w:val="22"/>
                <w:szCs w:val="22"/>
                <w:lang w:val="en-US" w:eastAsia="zh-CN" w:bidi="ar-SA"/>
              </w:rPr>
              <w:t>改造内容</w:t>
            </w:r>
          </w:p>
        </w:tc>
      </w:tr>
      <w:tr w14:paraId="00F3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427D8BB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基础类</w:t>
            </w:r>
          </w:p>
        </w:tc>
        <w:tc>
          <w:tcPr>
            <w:tcW w:w="654" w:type="pct"/>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7A4ADAE6">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房屋建筑本体公用部分</w:t>
            </w: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1C09F7">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1、楼栋门</w:t>
            </w:r>
          </w:p>
        </w:tc>
      </w:tr>
      <w:tr w14:paraId="4A97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328D3D31">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16F8635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D3F6A1">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2、门禁系统</w:t>
            </w:r>
          </w:p>
        </w:tc>
      </w:tr>
      <w:tr w14:paraId="1380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67FB579C">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1DD5FC88">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1A5680">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3、楼道照明</w:t>
            </w:r>
          </w:p>
        </w:tc>
      </w:tr>
      <w:tr w14:paraId="20D8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278A3A81">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6B150235">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20982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4、楼道修缮</w:t>
            </w:r>
          </w:p>
        </w:tc>
      </w:tr>
      <w:tr w14:paraId="0A33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0DE9DCC9">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314D2B80">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8368AF">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5、楼栋三线</w:t>
            </w:r>
          </w:p>
        </w:tc>
      </w:tr>
      <w:tr w14:paraId="7345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36B3E0E2">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17E8C43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F9C694">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6、楼栋消防设施</w:t>
            </w:r>
          </w:p>
        </w:tc>
      </w:tr>
      <w:tr w14:paraId="454D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67FB3385">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5B12D0AB">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2C35C6">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7、楼栋供水设施</w:t>
            </w:r>
          </w:p>
        </w:tc>
      </w:tr>
      <w:tr w14:paraId="2E3F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6CF54F09">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23CCC6F1">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0FAFC0">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8、楼栋排水设施</w:t>
            </w:r>
          </w:p>
        </w:tc>
      </w:tr>
      <w:tr w14:paraId="0476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43562334">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495F0987">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860EA3">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9、屋面防水</w:t>
            </w:r>
          </w:p>
        </w:tc>
      </w:tr>
      <w:tr w14:paraId="1981B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5BF982A4">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6D7F084B">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C04655">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10、化粪池</w:t>
            </w:r>
          </w:p>
        </w:tc>
      </w:tr>
      <w:tr w14:paraId="1610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4B53A427">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5BF467E7">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060E35">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11、电气设施</w:t>
            </w:r>
          </w:p>
        </w:tc>
      </w:tr>
      <w:tr w14:paraId="7620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3F892426">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44B7CE7D">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DF254C">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12、外墙治理</w:t>
            </w:r>
          </w:p>
        </w:tc>
      </w:tr>
      <w:tr w14:paraId="6738D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0C7A7CB4">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014FEBC0">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51CCA9">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13、建筑户外构造构件</w:t>
            </w:r>
          </w:p>
        </w:tc>
      </w:tr>
      <w:tr w14:paraId="2DFA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06755CE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7F7AF1D7">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CB2536">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14、公用采光窗</w:t>
            </w:r>
          </w:p>
        </w:tc>
      </w:tr>
      <w:tr w14:paraId="69FA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360908D2">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614E887C">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978246">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15、防盗网</w:t>
            </w:r>
          </w:p>
        </w:tc>
      </w:tr>
      <w:tr w14:paraId="4EA7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7A06CB01">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7970D149">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0FE23C">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16、一户一水表</w:t>
            </w:r>
          </w:p>
        </w:tc>
      </w:tr>
      <w:tr w14:paraId="0436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730BC1B0">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4F8AB9E8">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6A0BFA">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17、一户一电表</w:t>
            </w:r>
          </w:p>
        </w:tc>
      </w:tr>
      <w:tr w14:paraId="029C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684CF95B">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488B477C">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B4A8F8">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18、管道燃气</w:t>
            </w:r>
          </w:p>
        </w:tc>
      </w:tr>
      <w:tr w14:paraId="03EF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3D5FD267">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57A70928">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6C7B30C">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19、适老化设施</w:t>
            </w:r>
          </w:p>
        </w:tc>
      </w:tr>
      <w:tr w14:paraId="3B16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1FAC025C">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538B04D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小区公共部分</w:t>
            </w: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315F73">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20、消防通道</w:t>
            </w:r>
          </w:p>
        </w:tc>
      </w:tr>
      <w:tr w14:paraId="4F25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4F44D674">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18925D5C">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4A9635">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21、室外消防设施</w:t>
            </w:r>
          </w:p>
        </w:tc>
      </w:tr>
      <w:tr w14:paraId="2AC0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57947D0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2EEFB64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E679194">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22、无障碍设施</w:t>
            </w:r>
          </w:p>
        </w:tc>
      </w:tr>
      <w:tr w14:paraId="0A19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58031189">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2DAB5103">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A5D8FD">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23、人行安全设施</w:t>
            </w:r>
          </w:p>
        </w:tc>
      </w:tr>
      <w:tr w14:paraId="3FF4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175E4978">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52BA0A2D">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EA38D1">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24、小区道路</w:t>
            </w:r>
          </w:p>
        </w:tc>
      </w:tr>
      <w:tr w14:paraId="3AB7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2D55B3C4">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70E269D9">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35ECD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25、地面铺装</w:t>
            </w:r>
          </w:p>
        </w:tc>
      </w:tr>
      <w:tr w14:paraId="50FF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12AE7883">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0C2D7016">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420419A">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26、垃圾分类</w:t>
            </w:r>
          </w:p>
        </w:tc>
      </w:tr>
      <w:tr w14:paraId="4C413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230E2A26">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14CE81D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C39279">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27、排水管网（非雨污分流）</w:t>
            </w:r>
          </w:p>
        </w:tc>
      </w:tr>
      <w:tr w14:paraId="75DCD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4632768D">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2D2CB080">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570D18">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28、监控设施</w:t>
            </w:r>
          </w:p>
        </w:tc>
      </w:tr>
      <w:tr w14:paraId="769C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640885C1">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6BEE39B3">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536B1B">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29、修缮围墙</w:t>
            </w:r>
          </w:p>
        </w:tc>
      </w:tr>
      <w:tr w14:paraId="3DBA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7371D8F5">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744F6ADC">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B7059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30、“三线”整治</w:t>
            </w:r>
          </w:p>
        </w:tc>
      </w:tr>
      <w:tr w14:paraId="4B52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4A734CD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7AA25545">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951240">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31、雨污分流</w:t>
            </w:r>
          </w:p>
        </w:tc>
      </w:tr>
      <w:tr w14:paraId="7D1B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66DB4647">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34BE4702">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8E1B70">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32、供电设施</w:t>
            </w:r>
          </w:p>
        </w:tc>
      </w:tr>
      <w:tr w14:paraId="4499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554028E5">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375C05F6">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EDAEA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33、供水管网</w:t>
            </w:r>
          </w:p>
        </w:tc>
      </w:tr>
      <w:tr w14:paraId="1032C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5693D7A">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完善类</w:t>
            </w:r>
          </w:p>
        </w:tc>
        <w:tc>
          <w:tcPr>
            <w:tcW w:w="65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59BAC5">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房屋建筑本体公用部分</w:t>
            </w: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37481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34、遮阳蓬</w:t>
            </w:r>
          </w:p>
        </w:tc>
      </w:tr>
      <w:tr w14:paraId="0102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51F3DBF">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B0973B">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80065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35、空调机位</w:t>
            </w:r>
          </w:p>
        </w:tc>
      </w:tr>
      <w:tr w14:paraId="5513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9D1E578">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DFABD1">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3FA3EC">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36、外立面整饰</w:t>
            </w:r>
          </w:p>
        </w:tc>
      </w:tr>
      <w:tr w14:paraId="0A28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05C3975">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15F518">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1FF6F8">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37、楼体绿化</w:t>
            </w:r>
          </w:p>
        </w:tc>
      </w:tr>
      <w:tr w14:paraId="77FB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DBB0461">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CF08AA">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01F5AA">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38、建筑节能改造</w:t>
            </w:r>
          </w:p>
        </w:tc>
      </w:tr>
      <w:tr w14:paraId="04C9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BEC79FF">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1D1A30">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9E12CA">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39、加装电梯</w:t>
            </w:r>
          </w:p>
        </w:tc>
      </w:tr>
      <w:tr w14:paraId="126A4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20BE247">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0A86CA">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2A3A55">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40、信报箱</w:t>
            </w:r>
          </w:p>
        </w:tc>
      </w:tr>
      <w:tr w14:paraId="7FEAF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9FD0200">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7F2B9A">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小区公共部分</w:t>
            </w: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5BA774">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41、照明设施</w:t>
            </w:r>
          </w:p>
        </w:tc>
      </w:tr>
      <w:tr w14:paraId="1034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DBCDDA5">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6B11D08">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36D2C6">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42、信息标识</w:t>
            </w:r>
          </w:p>
        </w:tc>
      </w:tr>
      <w:tr w14:paraId="3DD6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2766F5A">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269F6A">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379989">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43、公共晾晒设施</w:t>
            </w:r>
          </w:p>
        </w:tc>
      </w:tr>
      <w:tr w14:paraId="021F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C0E2373">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3E54EF">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3D3F36">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44、小区绿化</w:t>
            </w:r>
          </w:p>
        </w:tc>
      </w:tr>
      <w:tr w14:paraId="184CF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FF34CAD">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CBB6EB">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2BA1F4">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45、小区公共空间</w:t>
            </w:r>
          </w:p>
        </w:tc>
      </w:tr>
      <w:tr w14:paraId="3440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DC695C3">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B9C49D5">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1DA7A6">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46、小区入口</w:t>
            </w:r>
          </w:p>
        </w:tc>
      </w:tr>
      <w:tr w14:paraId="0FBA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2906461">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A18456">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35EA02">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47、景观小品</w:t>
            </w:r>
          </w:p>
        </w:tc>
      </w:tr>
      <w:tr w14:paraId="55AC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3D95278">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28E214">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067B54D">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48、儿童娱乐设施</w:t>
            </w:r>
          </w:p>
        </w:tc>
      </w:tr>
      <w:tr w14:paraId="5574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1A3755A">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893876">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18A83A">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49、非机动车泊位</w:t>
            </w:r>
          </w:p>
        </w:tc>
      </w:tr>
      <w:tr w14:paraId="70BF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972C4FA">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C4A4147">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23717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50、机动车泊位</w:t>
            </w:r>
          </w:p>
        </w:tc>
      </w:tr>
      <w:tr w14:paraId="7455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BA22534">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9F8E7B">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9FFA4B">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51、拆除违章建筑</w:t>
            </w:r>
          </w:p>
        </w:tc>
      </w:tr>
      <w:tr w14:paraId="2F39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4534EF9">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2FFE18">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B3E910">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52、充电桩</w:t>
            </w:r>
          </w:p>
        </w:tc>
      </w:tr>
      <w:tr w14:paraId="4F7F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023B249">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5A5D92">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627ED8">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53、快递设施</w:t>
            </w:r>
          </w:p>
        </w:tc>
      </w:tr>
      <w:tr w14:paraId="771D2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C5E419B">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AB9FDB">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52E369">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54、信息宣传栏</w:t>
            </w:r>
          </w:p>
        </w:tc>
      </w:tr>
      <w:tr w14:paraId="742D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1172F37">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提升类</w:t>
            </w:r>
          </w:p>
        </w:tc>
        <w:tc>
          <w:tcPr>
            <w:tcW w:w="65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D5667C">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小区公共部分</w:t>
            </w: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A0086C">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55、公服设施</w:t>
            </w:r>
          </w:p>
        </w:tc>
      </w:tr>
      <w:tr w14:paraId="2A10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EE40FF9">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383930">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63C4E7">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56、危房治理</w:t>
            </w:r>
          </w:p>
        </w:tc>
      </w:tr>
      <w:tr w14:paraId="00DE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E7FF43A">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EC65D7">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DF7545">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57、急救设施</w:t>
            </w:r>
          </w:p>
        </w:tc>
      </w:tr>
      <w:tr w14:paraId="39AC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0F0C5C3">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AE4B7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D1E39A">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58、智慧社区</w:t>
            </w:r>
          </w:p>
        </w:tc>
      </w:tr>
      <w:tr w14:paraId="45A3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8CAB39A">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816BA8">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0EA9F5">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59、建设海绵城市</w:t>
            </w:r>
          </w:p>
        </w:tc>
      </w:tr>
      <w:tr w14:paraId="3AB1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040489C">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6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1E6B1CD">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后期管养</w:t>
            </w:r>
          </w:p>
        </w:tc>
        <w:tc>
          <w:tcPr>
            <w:tcW w:w="3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B0C54D">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60、完善规范化物业管理</w:t>
            </w:r>
            <w:r>
              <w:rPr>
                <w:rFonts w:hint="eastAsia" w:ascii="微软雅黑" w:hAnsi="微软雅黑" w:eastAsia="微软雅黑" w:cs="微软雅黑"/>
                <w:b w:val="0"/>
                <w:bCs w:val="0"/>
                <w:kern w:val="2"/>
                <w:sz w:val="22"/>
                <w:szCs w:val="22"/>
                <w:lang w:val="en-US" w:eastAsia="zh-CN" w:bidi="ar-SA"/>
              </w:rPr>
              <w:br w:type="textWrapping"/>
            </w:r>
            <w:r>
              <w:rPr>
                <w:rFonts w:hint="eastAsia" w:ascii="微软雅黑" w:hAnsi="微软雅黑" w:eastAsia="微软雅黑" w:cs="微软雅黑"/>
                <w:b w:val="0"/>
                <w:bCs w:val="0"/>
                <w:kern w:val="2"/>
                <w:sz w:val="22"/>
                <w:szCs w:val="22"/>
                <w:lang w:val="en-US" w:eastAsia="zh-CN" w:bidi="ar-SA"/>
              </w:rPr>
              <w:t>（后续管理）</w:t>
            </w:r>
          </w:p>
        </w:tc>
      </w:tr>
      <w:tr w14:paraId="59BF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29"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F051105">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统筹类</w:t>
            </w:r>
          </w:p>
        </w:tc>
        <w:tc>
          <w:tcPr>
            <w:tcW w:w="4470"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C27759">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统筹地块项目实施</w:t>
            </w:r>
          </w:p>
        </w:tc>
      </w:tr>
      <w:tr w14:paraId="08E5C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2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B5A1875">
            <w:pPr>
              <w:spacing w:line="240" w:lineRule="auto"/>
              <w:jc w:val="both"/>
              <w:rPr>
                <w:rFonts w:hint="eastAsia" w:ascii="微软雅黑" w:hAnsi="微软雅黑" w:eastAsia="微软雅黑" w:cs="微软雅黑"/>
                <w:b w:val="0"/>
                <w:bCs w:val="0"/>
                <w:kern w:val="2"/>
                <w:sz w:val="22"/>
                <w:szCs w:val="22"/>
                <w:lang w:val="en-US" w:eastAsia="zh-CN" w:bidi="ar-SA"/>
              </w:rPr>
            </w:pPr>
          </w:p>
        </w:tc>
        <w:tc>
          <w:tcPr>
            <w:tcW w:w="4470"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F7E6D5">
            <w:pPr>
              <w:spacing w:line="240" w:lineRule="auto"/>
              <w:jc w:val="both"/>
              <w:rPr>
                <w:rFonts w:hint="eastAsia" w:ascii="微软雅黑" w:hAnsi="微软雅黑" w:eastAsia="微软雅黑" w:cs="微软雅黑"/>
                <w:b w:val="0"/>
                <w:bCs w:val="0"/>
                <w:kern w:val="2"/>
                <w:sz w:val="22"/>
                <w:szCs w:val="22"/>
                <w:lang w:val="en-US" w:eastAsia="zh-CN" w:bidi="ar-SA"/>
              </w:rPr>
            </w:pPr>
          </w:p>
        </w:tc>
      </w:tr>
    </w:tbl>
    <w:p w14:paraId="7DF1ECEC">
      <w:pPr>
        <w:pStyle w:val="2"/>
        <w:spacing w:before="0" w:after="0" w:line="240" w:lineRule="auto"/>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三、工程设计依据</w:t>
      </w:r>
    </w:p>
    <w:p w14:paraId="55A5673B">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1.《广州市城市总体规划（2017-2035）》；</w:t>
      </w:r>
    </w:p>
    <w:p w14:paraId="585DA05D">
      <w:pPr>
        <w:pStyle w:val="10"/>
        <w:numPr>
          <w:ilvl w:val="0"/>
          <w:numId w:val="0"/>
        </w:num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2.《广州市城市环境总体规划（2014-2030年）》；</w:t>
      </w:r>
    </w:p>
    <w:p w14:paraId="211D407C">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 xml:space="preserve">3.《广州市旧城更新改造规划纲要》； </w:t>
      </w:r>
    </w:p>
    <w:p w14:paraId="20714759">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4.《公园设计规范》（CJJ48-92）；</w:t>
      </w:r>
    </w:p>
    <w:p w14:paraId="1ACF5328">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5.《城市绿地设计规范》（GB50420-2007）；</w:t>
      </w:r>
    </w:p>
    <w:p w14:paraId="74EFAC61">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6.《城市道路绿化规划与设计规划》（CJJ75-97）；</w:t>
      </w:r>
    </w:p>
    <w:p w14:paraId="49BBB1C4">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7.《城市道路照明设计标准》（CJJ45-2006）；</w:t>
      </w:r>
    </w:p>
    <w:p w14:paraId="5AE214D5">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8.《建筑与小区雨水利用工程技术规范》（GB50400-2006）；</w:t>
      </w:r>
    </w:p>
    <w:p w14:paraId="518C7172">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9.《室外给水设计规范》（GB50013-2006）；</w:t>
      </w:r>
    </w:p>
    <w:p w14:paraId="780447B4">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10.《室外排水设计规范》（GB50014-2006）（2014年版）；</w:t>
      </w:r>
    </w:p>
    <w:p w14:paraId="17E8F4D1">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11.《民用建筑节水设计标准》（GB50555-2010）；</w:t>
      </w:r>
    </w:p>
    <w:p w14:paraId="34ACC857">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12.《城市电力规划规范》（GB50293-2014）；</w:t>
      </w:r>
    </w:p>
    <w:p w14:paraId="6C4D2BCB">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13.《民用建筑电气设计标准》 (GB 51348-2019 );</w:t>
      </w:r>
    </w:p>
    <w:p w14:paraId="65CC5239">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14.《无障碍设计规范》（GB50763-2012）；</w:t>
      </w:r>
    </w:p>
    <w:p w14:paraId="56E05743">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15.《城市公园规划及设计规范》（DBJ440100/T23-2009）；</w:t>
      </w:r>
    </w:p>
    <w:p w14:paraId="37E8C2D6">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16.《广东省城市绿化条例》(1999年)；</w:t>
      </w:r>
    </w:p>
    <w:p w14:paraId="0B7D90FC">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17.《广州市公园管理条例》（1997年）；</w:t>
      </w:r>
    </w:p>
    <w:p w14:paraId="3D707BE3">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18.《广州市海绵城市建设指标体系的通知》（穗水[2017]16号）</w:t>
      </w:r>
    </w:p>
    <w:p w14:paraId="2D73FF0C">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19.《城市古树名木保护管理办法》（2000）；</w:t>
      </w:r>
    </w:p>
    <w:p w14:paraId="56926A38">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20.《广州市城市家具建设操作手册》；</w:t>
      </w:r>
    </w:p>
    <w:p w14:paraId="18AD7EA3">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21.《广州市既有建筑外立面空调机罩整治指引》；</w:t>
      </w:r>
    </w:p>
    <w:p w14:paraId="42CE3496">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22.其他国家、省、市的相关政策、法规及规定等；</w:t>
      </w:r>
    </w:p>
    <w:p w14:paraId="1C16C0E7">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23.其他相关设计规范；</w:t>
      </w:r>
    </w:p>
    <w:p w14:paraId="720D3536">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24.建设单位提交的基础资料等；</w:t>
      </w:r>
    </w:p>
    <w:p w14:paraId="28648535">
      <w:pPr>
        <w:pStyle w:val="10"/>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25.本勘察设计任务书。</w:t>
      </w:r>
    </w:p>
    <w:p w14:paraId="3F87A8EE">
      <w:pPr>
        <w:adjustRightInd w:val="0"/>
        <w:snapToGrid w:val="0"/>
        <w:spacing w:line="360" w:lineRule="auto"/>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四、勘察设计任务</w:t>
      </w:r>
    </w:p>
    <w:p w14:paraId="13AED230">
      <w:pPr>
        <w:tabs>
          <w:tab w:val="left" w:pos="720"/>
        </w:tabs>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1.工作范围</w:t>
      </w:r>
    </w:p>
    <w:p w14:paraId="7420FB82">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范围内东至宾至路、西至爱华路、南至朝阳东路、北至宾至路，包含福宁园小区、宾至路3-4栋、朝阳东路5、7、9栋及华贵大厦四个小区。</w:t>
      </w:r>
    </w:p>
    <w:p w14:paraId="09493313">
      <w:pPr>
        <w:tabs>
          <w:tab w:val="left" w:pos="720"/>
        </w:tabs>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2.工作内容</w:t>
      </w:r>
    </w:p>
    <w:p w14:paraId="5A7F44ED">
      <w:pPr>
        <w:pStyle w:val="2"/>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完成本项目的全部勘察设计工作，具体如下：</w:t>
      </w:r>
    </w:p>
    <w:p w14:paraId="7B30E85B">
      <w:pPr>
        <w:pStyle w:val="2"/>
        <w:spacing w:before="0" w:after="0"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（1）勘察工作要求</w:t>
      </w:r>
    </w:p>
    <w:p w14:paraId="15C45346">
      <w:pPr>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①地形测量</w:t>
      </w:r>
    </w:p>
    <w:p w14:paraId="38E26861">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包括各类建筑物、构筑物、及其主要附属设施均应进行测绘。居民地、厂矿、机关、学校、医院、河流、道路等应按现有的名称标注。</w:t>
      </w:r>
    </w:p>
    <w:p w14:paraId="0D56BD41">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道路及其附属物应按实际形状测绘。已建道路应测量路肩边线、人行道侧石线、路面边线、绿化带和设施带边线，标注路面类型及不同类型的分界位置，桥梁建筑物等处测散点高程，并标出路面结构类型。</w:t>
      </w:r>
    </w:p>
    <w:p w14:paraId="36D0DD7A">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各种现状地物，如管线、高低压线、通讯线等应实测其支架或电杆的位置。高压线路应注明电压等级。</w:t>
      </w:r>
    </w:p>
    <w:p w14:paraId="1C0F4972">
      <w:pPr>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②地下管线测量</w:t>
      </w:r>
    </w:p>
    <w:p w14:paraId="1380C9A0">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地下管线探测需探明工程范围内地下管线的种类（雨、污水、给水、燃气、电力、通信等）、平面位置、埋深、管径、规格型号、窨井及雨水口位置及高程，以满足设计和施工对管线资料的需要。</w:t>
      </w:r>
    </w:p>
    <w:p w14:paraId="076371FA">
      <w:pPr>
        <w:pStyle w:val="6"/>
        <w:spacing w:line="240" w:lineRule="auto"/>
        <w:ind w:left="0" w:leftChars="0" w:firstLine="0" w:firstLineChars="0"/>
        <w:rPr>
          <w:rFonts w:hint="eastAsia" w:ascii="微软雅黑" w:hAnsi="微软雅黑" w:eastAsia="微软雅黑" w:cs="微软雅黑"/>
          <w:b w:val="0"/>
          <w:bCs w:val="0"/>
          <w:strike w:val="0"/>
          <w:dstrike w:val="0"/>
          <w:color w:val="auto"/>
          <w:kern w:val="2"/>
          <w:sz w:val="24"/>
          <w:szCs w:val="24"/>
          <w:lang w:val="en-US" w:eastAsia="zh-CN" w:bidi="ar-SA"/>
        </w:rPr>
      </w:pPr>
      <w:r>
        <w:rPr>
          <w:rFonts w:hint="eastAsia" w:ascii="微软雅黑" w:hAnsi="微软雅黑" w:eastAsia="微软雅黑" w:cs="微软雅黑"/>
          <w:b w:val="0"/>
          <w:bCs w:val="0"/>
          <w:strike w:val="0"/>
          <w:dstrike w:val="0"/>
          <w:color w:val="auto"/>
          <w:kern w:val="2"/>
          <w:sz w:val="24"/>
          <w:szCs w:val="24"/>
          <w:lang w:val="en-US" w:eastAsia="zh-CN" w:bidi="ar-SA"/>
        </w:rPr>
        <w:t>③局部地基：深化设计过程中，如出现局部结构或功能需求进行地基勘察，以具体方案和需求为准。</w:t>
      </w:r>
    </w:p>
    <w:p w14:paraId="01AE0638">
      <w:pPr>
        <w:pStyle w:val="2"/>
        <w:spacing w:before="0" w:after="0" w:line="240" w:lineRule="auto"/>
        <w:rPr>
          <w:rFonts w:hint="eastAsia" w:ascii="微软雅黑" w:hAnsi="微软雅黑" w:eastAsia="微软雅黑" w:cs="微软雅黑"/>
          <w:b w:val="0"/>
          <w:bCs w:val="0"/>
          <w:kern w:val="2"/>
          <w:sz w:val="24"/>
          <w:szCs w:val="24"/>
          <w:lang w:val="en-US" w:eastAsia="zh-CN" w:bidi="ar-SA"/>
        </w:rPr>
      </w:pPr>
      <w:bookmarkStart w:id="0" w:name="_Toc17636"/>
      <w:bookmarkStart w:id="1" w:name="_Toc518499860"/>
      <w:bookmarkStart w:id="2" w:name="_Toc13548"/>
      <w:r>
        <w:rPr>
          <w:rFonts w:hint="eastAsia" w:ascii="微软雅黑" w:hAnsi="微软雅黑" w:eastAsia="微软雅黑" w:cs="微软雅黑"/>
          <w:b w:val="0"/>
          <w:bCs w:val="0"/>
          <w:kern w:val="2"/>
          <w:sz w:val="24"/>
          <w:szCs w:val="24"/>
          <w:lang w:val="en-US" w:eastAsia="zh-CN" w:bidi="ar-SA"/>
        </w:rPr>
        <w:t>（2）设计工作要求</w:t>
      </w:r>
      <w:bookmarkEnd w:id="0"/>
      <w:bookmarkEnd w:id="1"/>
      <w:bookmarkEnd w:id="2"/>
    </w:p>
    <w:p w14:paraId="1EB76125">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各阶段的设计工作除遵照设计合同、项目建议书（含可研）、业主需求书、现行法律法规和规范标准、政府有关部门的规定和审批意见的有关规定等外，还需要做到招标人提出的下列设计要求（包括并不限于）。</w:t>
      </w:r>
    </w:p>
    <w:p w14:paraId="70A241D6">
      <w:pPr>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①建筑设计要求。提倡使用耐久性材料，不得使用影响安全的挂板作为装饰面板。走廊、过道、楼梯等与室外直接连通的部位，地面不应采用抛光砖等不适合岭南地区返潮、湿滑气候特点的材料。</w:t>
      </w:r>
    </w:p>
    <w:p w14:paraId="6D00E196">
      <w:pPr>
        <w:spacing w:line="240" w:lineRule="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②结构设计要求。包括设计范围内室外装修工程的结构设计与验算、室外景观与道路广场工程、构筑物的结构设计。</w:t>
      </w:r>
    </w:p>
    <w:p w14:paraId="0B197BC6">
      <w:pPr>
        <w:adjustRightInd w:val="0"/>
        <w:snapToGrid w:val="0"/>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③室外工程设计要求。</w:t>
      </w:r>
    </w:p>
    <w:p w14:paraId="3EF8ECE3">
      <w:pPr>
        <w:adjustRightInd w:val="0"/>
        <w:snapToGrid w:val="0"/>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室外广场：室外广场及道路铺装材质的选择要满足《广州市老旧小区微改造项目地面铺装材料选用指引》。</w:t>
      </w:r>
    </w:p>
    <w:p w14:paraId="33626E60">
      <w:pPr>
        <w:adjustRightInd w:val="0"/>
        <w:snapToGrid w:val="0"/>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室外管网：改造范围内室外管网新建工程及管线迁移、改造工程，包括水、电、燃气等的接入与迁移改造工程。做好改造范围内室外管网与市政管网接驳设计，满足使用需求，符合现行国家、省市相关规范。</w:t>
      </w:r>
    </w:p>
    <w:p w14:paraId="2681EA51">
      <w:pPr>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④给排水设计要求。</w:t>
      </w:r>
    </w:p>
    <w:p w14:paraId="42804F14">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给水系统：项目给水系统水源为城市自来水。</w:t>
      </w:r>
    </w:p>
    <w:p w14:paraId="5FB4915F">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排水系统：室内排水污废分流，室外排水雨污分流，雨水、污水分别接到市政雨水和污水管网，市政接驳点按《广州市排水设施设计条件咨询意见》接驳。排水需满足《广州市水务管理条例》、《广州市排水管理办法》、《广州市建设项目雨水径流控制管理办法》等法规的要求。其中医疗废水、厨房废水、生活废水经污水处理池处理后排入市政污水管网，污水排放应遵守国家有关环境保护的规定。若地块周边市政管网暂未完善的项目需设置污水处理系统，达到相关排放标准。</w:t>
      </w:r>
    </w:p>
    <w:p w14:paraId="76A5203E">
      <w:pPr>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⑤电气设计要求。</w:t>
      </w:r>
    </w:p>
    <w:p w14:paraId="504FC1A0">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室外照明：按照现行国家、省市相关规范。</w:t>
      </w:r>
    </w:p>
    <w:p w14:paraId="12593208">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照明灯具：灯具宜采用LED、太阳能等节能灯，室内应采用LED等节能灯。灯具照度满足规范相关要求及满足各功能需求的规划要求。</w:t>
      </w:r>
    </w:p>
    <w:p w14:paraId="1B7A52FC">
      <w:pPr>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⑥消防工程设计要求。</w:t>
      </w:r>
    </w:p>
    <w:p w14:paraId="1C02F3F5">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新建、修复室内消防水池和泵房，消火栓系统、自动喷淋系统、气体灭火系统、防排烟系统、灭火器具系统、自动报警系统等。</w:t>
      </w:r>
    </w:p>
    <w:p w14:paraId="6EEA3C85">
      <w:pPr>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⑦其它设计要求。</w:t>
      </w:r>
    </w:p>
    <w:p w14:paraId="36D0C351">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前期管线迁改设计。</w:t>
      </w:r>
    </w:p>
    <w:p w14:paraId="0CC1FF73">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管线综合平衡设计：各种专业设备、系统的管线在建筑物内、外的路由平衡设计(要求小管线、线槽做穿梁设计)，进行技术方案比选分析，所有管线不同平面、剖面画出具体定位，画至末端。</w:t>
      </w:r>
    </w:p>
    <w:p w14:paraId="125293A3">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室外交通组织设计：按照《无障碍设计规范》GB 50763-2012、《建筑设计防火规范》GB 50016-2014等相关规范开展室外交通组织流线设计。</w:t>
      </w:r>
    </w:p>
    <w:p w14:paraId="7FEDD1EC">
      <w:pPr>
        <w:pStyle w:val="2"/>
        <w:spacing w:before="0" w:after="0"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（3）造价工作要求</w:t>
      </w:r>
    </w:p>
    <w:p w14:paraId="72293512">
      <w:pPr>
        <w:pStyle w:val="3"/>
        <w:spacing w:before="0" w:after="0"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①编制合同涉及范围初步设计概算。配合初步设计概算送审工作。</w:t>
      </w:r>
    </w:p>
    <w:p w14:paraId="29747E1D">
      <w:pPr>
        <w:pStyle w:val="3"/>
        <w:spacing w:before="0" w:after="0"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②投标人除按合同要求做好工程投资控制外，还要做到以下要求：</w:t>
      </w:r>
    </w:p>
    <w:p w14:paraId="1387E486">
      <w:pPr>
        <w:adjustRightInd w:val="0"/>
        <w:snapToGrid w:val="0"/>
        <w:spacing w:line="240" w:lineRule="auto"/>
        <w:ind w:firstLine="480" w:firstLineChars="200"/>
        <w:outlineLvl w:val="3"/>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在不降低设计任务书中的主要设计指标的前提下，确保工程设计概算不超过政府主管部门核准的工程投资估算总额。</w:t>
      </w:r>
    </w:p>
    <w:p w14:paraId="595DF9DF">
      <w:pPr>
        <w:adjustRightInd w:val="0"/>
        <w:snapToGrid w:val="0"/>
        <w:spacing w:line="240" w:lineRule="auto"/>
        <w:ind w:firstLine="480" w:firstLineChars="200"/>
        <w:outlineLvl w:val="3"/>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编制的工程设计概算需满足财政评审部门评审的要求，造价成果文件误差控制不超过±10%。</w:t>
      </w:r>
    </w:p>
    <w:p w14:paraId="5E4398DB">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根据招标人的相关规定和要求进行工程设计概算的编制，概算文件中的开项必须齐全完整，造价指标必须准确，须满足工程投资控制的要求。</w:t>
      </w:r>
    </w:p>
    <w:p w14:paraId="0F53E22A">
      <w:pPr>
        <w:adjustRightInd w:val="0"/>
        <w:snapToGrid w:val="0"/>
        <w:spacing w:line="360" w:lineRule="auto"/>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五、改造原则</w:t>
      </w:r>
    </w:p>
    <w:p w14:paraId="65780A33">
      <w:pPr>
        <w:numPr>
          <w:ilvl w:val="0"/>
          <w:numId w:val="0"/>
        </w:num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设计单位应当按照《广东省建设工程设计管理条例》和相关标准开展设计工作，应当建立和健全设计质量保证体系，建立完善的勘察报告和设计文件的内部审查制度，加强设计全过程的质量控制，明确各阶段的责任人。</w:t>
      </w:r>
    </w:p>
    <w:p w14:paraId="696338FC">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1.以人为本，创新提升</w:t>
      </w:r>
    </w:p>
    <w:p w14:paraId="360EBE03">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坚持以人为本，遵循创新、协调、绿色、开放、共享发展理念，开展城市修补，完善小区功能，改善人居环境，营造干净整洁平安有序的城市环境，提升适宜居住、适宜创新创业的城市品质，打造“温暖、宜居”的居所。</w:t>
      </w:r>
    </w:p>
    <w:p w14:paraId="5C6230C3">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2.绿色低碳，持续发展</w:t>
      </w:r>
    </w:p>
    <w:p w14:paraId="235F3EF5">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以低碳绿色环保、地方特色、公众参与、保护城市历史文脉、可持续发展理念为指导，提升基础设施与公共服务设施建设，改善社区人居环境。</w:t>
      </w:r>
    </w:p>
    <w:p w14:paraId="59250081">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3.政府主导，社会参与</w:t>
      </w:r>
    </w:p>
    <w:p w14:paraId="4B0E2D07">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坚持政府在老旧小区微改造中的主导作用，强化统筹协调力度，加大财政资金投入；搭建社区居民议事平台，发动小区居民积极参与；建立多方共同参与机制，合力推进更新改造。</w:t>
      </w:r>
    </w:p>
    <w:p w14:paraId="2AE69E1A">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3.因地制宜，特色设计</w:t>
      </w:r>
    </w:p>
    <w:p w14:paraId="1A22E968">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考虑老旧小区建筑年代、街区肌理、居民意愿、文化、特色产业等因素进行设计。</w:t>
      </w:r>
    </w:p>
    <w:p w14:paraId="6F04B119">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4.连接联通，便民利民。</w:t>
      </w:r>
    </w:p>
    <w:p w14:paraId="6CA4134A">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提升公共空间的基础上，促进连接联通社区医疗、教育、交通、商业服务网点等重要节点，以居民生活便利为导向。</w:t>
      </w:r>
    </w:p>
    <w:p w14:paraId="16A452D3">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5.建管并重，标本兼治。</w:t>
      </w:r>
    </w:p>
    <w:p w14:paraId="2771258D">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实现自治管理和设施设备长效管养，巩固微改造成果。</w:t>
      </w:r>
    </w:p>
    <w:p w14:paraId="3CF9FDC8">
      <w:pPr>
        <w:adjustRightInd w:val="0"/>
        <w:snapToGrid w:val="0"/>
        <w:spacing w:line="360" w:lineRule="auto"/>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六、工作要求</w:t>
      </w:r>
    </w:p>
    <w:p w14:paraId="1F28B15C">
      <w:pPr>
        <w:spacing w:line="240" w:lineRule="auto"/>
        <w:ind w:firstLine="364" w:firstLineChars="152"/>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1.严格遵循限额设计要求，确保工程概算不得超出经批复的项目投资估算以及确保施工图预算不得超出经批复的工程概算相应金额。</w:t>
      </w:r>
    </w:p>
    <w:p w14:paraId="371B371C">
      <w:pPr>
        <w:spacing w:line="240" w:lineRule="auto"/>
        <w:ind w:firstLine="364" w:firstLineChars="152"/>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2.满足规范、标准的要求，并按地块现场实际情况开展设计</w:t>
      </w:r>
    </w:p>
    <w:p w14:paraId="407CA368">
      <w:pPr>
        <w:spacing w:line="240" w:lineRule="auto"/>
        <w:ind w:firstLine="364" w:firstLineChars="152"/>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应参考相关规范的要求，并满足现行国家相关设计的规范标准的要求及设计行业相关技术规范条文的要求，严格执行国家工程建设标准强制性条文等。应复核地块的现场情况，是否临近地铁，重要基础设施管线，与周边建筑物的关系等问题。</w:t>
      </w:r>
    </w:p>
    <w:p w14:paraId="699FEA92">
      <w:pPr>
        <w:spacing w:line="240" w:lineRule="auto"/>
        <w:ind w:firstLine="364" w:firstLineChars="152"/>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3.经济合理绿色美观原则</w:t>
      </w:r>
    </w:p>
    <w:p w14:paraId="59017EC6">
      <w:pPr>
        <w:spacing w:line="240" w:lineRule="auto"/>
        <w:ind w:firstLine="364" w:firstLineChars="152"/>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在保证方案的可实施和可操作性前提下，设计中需要定量分析的设计内容应通过计算，用数据说明其技术经济的合理性。同时应提供各阶段技术经济分析，以力求各阶段设计成果能充分体现设计优化的原则。</w:t>
      </w:r>
    </w:p>
    <w:p w14:paraId="31282643">
      <w:pPr>
        <w:spacing w:line="240" w:lineRule="auto"/>
        <w:ind w:firstLine="364" w:firstLineChars="152"/>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4.设计内容需符合《地方政府专项债券资金投向领域禁止类项目清单》的要求。</w:t>
      </w:r>
    </w:p>
    <w:p w14:paraId="295A4E66">
      <w:pPr>
        <w:pStyle w:val="11"/>
        <w:spacing w:line="240" w:lineRule="auto"/>
        <w:ind w:firstLine="240" w:firstLineChars="1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5.建议参考2021年4月27日发布的《广州市住房和城乡建设局关于印发广州市老旧小区改造内容及标准指引的通知》里面的建设标准进行改造设计。</w:t>
      </w:r>
    </w:p>
    <w:p w14:paraId="4C242D88">
      <w:pPr>
        <w:adjustRightInd w:val="0"/>
        <w:snapToGrid w:val="0"/>
        <w:spacing w:line="360" w:lineRule="auto"/>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七、勘察、设计工期要求</w:t>
      </w:r>
    </w:p>
    <w:p w14:paraId="152068FC">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按合同节点要求。</w:t>
      </w:r>
    </w:p>
    <w:p w14:paraId="5D6366F7">
      <w:pPr>
        <w:adjustRightInd w:val="0"/>
        <w:snapToGrid w:val="0"/>
        <w:spacing w:line="360" w:lineRule="auto"/>
        <w:rPr>
          <w:rFonts w:hint="eastAsia" w:ascii="微软雅黑" w:hAnsi="微软雅黑" w:eastAsia="微软雅黑" w:cs="微软雅黑"/>
          <w:b/>
          <w:bCs/>
          <w:kern w:val="2"/>
          <w:sz w:val="24"/>
          <w:szCs w:val="24"/>
          <w:lang w:val="en-US" w:eastAsia="zh-CN" w:bidi="ar-SA"/>
        </w:rPr>
      </w:pPr>
      <w:bookmarkStart w:id="3" w:name="_Toc19544"/>
      <w:bookmarkStart w:id="4" w:name="_Toc518499862"/>
      <w:r>
        <w:rPr>
          <w:rFonts w:hint="eastAsia" w:ascii="微软雅黑" w:hAnsi="微软雅黑" w:eastAsia="微软雅黑" w:cs="微软雅黑"/>
          <w:b/>
          <w:bCs/>
          <w:kern w:val="2"/>
          <w:sz w:val="24"/>
          <w:szCs w:val="24"/>
          <w:lang w:val="en-US" w:eastAsia="zh-CN" w:bidi="ar-SA"/>
        </w:rPr>
        <w:t>八、设计成果提交要求</w:t>
      </w:r>
      <w:bookmarkEnd w:id="3"/>
      <w:bookmarkEnd w:id="4"/>
    </w:p>
    <w:p w14:paraId="78F8E00C">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设计成果文件要求齐全、完整，内容、深度应符合规定，文字说明、图纸要准确清晰,各阶段设计应达到中华人民共和国建设部颁发的《建筑工程设计文件编制深度规定》、《市政公用工程设计文件编制深度规定》设计阶段深度。</w:t>
      </w:r>
      <w:bookmarkStart w:id="5" w:name="_Toc12021"/>
      <w:bookmarkStart w:id="6" w:name="_Toc518499864"/>
    </w:p>
    <w:p w14:paraId="61380EA7">
      <w:pPr>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（一）实施阶段设计成果要求</w:t>
      </w:r>
      <w:bookmarkEnd w:id="5"/>
      <w:bookmarkEnd w:id="6"/>
    </w:p>
    <w:p w14:paraId="5D0FF283">
      <w:pPr>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1、方案深化设计阶段</w:t>
      </w:r>
    </w:p>
    <w:p w14:paraId="14C4D405">
      <w:pPr>
        <w:spacing w:line="240" w:lineRule="auto"/>
        <w:ind w:firstLine="480" w:firstLineChars="200"/>
        <w:jc w:val="both"/>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①现状分析图</w:t>
      </w:r>
    </w:p>
    <w:p w14:paraId="761EF2BD">
      <w:pPr>
        <w:numPr>
          <w:ilvl w:val="0"/>
          <w:numId w:val="0"/>
        </w:numPr>
        <w:spacing w:line="240" w:lineRule="auto"/>
        <w:ind w:firstLine="480" w:firstLineChars="200"/>
        <w:jc w:val="both"/>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②总体平面图</w:t>
      </w:r>
    </w:p>
    <w:p w14:paraId="24D90613">
      <w:pPr>
        <w:numPr>
          <w:ilvl w:val="0"/>
          <w:numId w:val="0"/>
        </w:numPr>
        <w:spacing w:line="240" w:lineRule="auto"/>
        <w:ind w:firstLine="480" w:firstLineChars="200"/>
        <w:jc w:val="both"/>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③建筑及楼道改造效果图</w:t>
      </w:r>
    </w:p>
    <w:p w14:paraId="4D3ABF94">
      <w:pPr>
        <w:pStyle w:val="6"/>
        <w:spacing w:line="240" w:lineRule="auto"/>
        <w:ind w:left="0" w:leftChars="0" w:firstLine="480" w:firstLineChars="200"/>
        <w:jc w:val="both"/>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④ 社区公共部分重要景观节点总平面图及效果图</w:t>
      </w:r>
    </w:p>
    <w:p w14:paraId="5E0533B5">
      <w:pPr>
        <w:spacing w:line="240" w:lineRule="auto"/>
        <w:ind w:firstLine="480" w:firstLineChars="200"/>
        <w:jc w:val="both"/>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⑤铺装、装修、照明、运动器具、公共与市政服务设施等设计意向图</w:t>
      </w:r>
    </w:p>
    <w:p w14:paraId="660EFBD4">
      <w:pPr>
        <w:spacing w:line="240" w:lineRule="auto"/>
        <w:ind w:firstLine="480" w:firstLineChars="200"/>
        <w:jc w:val="both"/>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⑥ 设计说明书</w:t>
      </w:r>
    </w:p>
    <w:p w14:paraId="45171CC1">
      <w:pPr>
        <w:pStyle w:val="3"/>
        <w:spacing w:before="0" w:after="0"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2、初步设计阶段</w:t>
      </w:r>
    </w:p>
    <w:p w14:paraId="590CDE25">
      <w:pPr>
        <w:spacing w:line="240" w:lineRule="auto"/>
        <w:ind w:left="566"/>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①初步设计说明</w:t>
      </w:r>
    </w:p>
    <w:p w14:paraId="66C35F18">
      <w:pPr>
        <w:spacing w:line="240" w:lineRule="auto"/>
        <w:ind w:firstLine="600" w:firstLineChars="25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②初步设计图纸，主要包括：建筑、结构、给排水、电气及智能化、景观等专业。</w:t>
      </w:r>
    </w:p>
    <w:p w14:paraId="3E6974F8">
      <w:pPr>
        <w:spacing w:line="240" w:lineRule="auto"/>
        <w:ind w:left="-2" w:leftChars="-1" w:firstLine="600" w:firstLineChars="25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③项目概算</w:t>
      </w:r>
    </w:p>
    <w:p w14:paraId="5614F792">
      <w:pPr>
        <w:spacing w:line="240" w:lineRule="auto"/>
        <w:ind w:left="-2" w:leftChars="-1" w:firstLine="600" w:firstLineChars="25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④其它专项设计</w:t>
      </w:r>
    </w:p>
    <w:p w14:paraId="32CF1763">
      <w:pPr>
        <w:spacing w:line="240" w:lineRule="auto"/>
        <w:ind w:left="-2" w:leftChars="-1" w:firstLine="600" w:firstLineChars="25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⑤效果图及透视图</w:t>
      </w:r>
    </w:p>
    <w:p w14:paraId="0B65EF87">
      <w:pPr>
        <w:spacing w:line="240" w:lineRule="auto"/>
        <w:ind w:firstLine="583" w:firstLineChars="243"/>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⑥有关电子文档（含效果图、方案设计说明及图纸和概算等）</w:t>
      </w:r>
    </w:p>
    <w:p w14:paraId="67A2CFF9">
      <w:pPr>
        <w:spacing w:line="240" w:lineRule="auto"/>
        <w:ind w:left="-2" w:leftChars="-1" w:firstLine="600" w:firstLineChars="25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⑦主要材料样板</w:t>
      </w:r>
    </w:p>
    <w:p w14:paraId="3CA214BC">
      <w:pPr>
        <w:adjustRightInd w:val="0"/>
        <w:snapToGrid w:val="0"/>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注：乙方应向招标人提交初步方案设计成果文件图纸及文本文件6套、概算 6 份、效果图各一式6套、电子文档光盘1套、专业报建所需设计成果文件数量按报建要求提供；文件加盖设计单位出图章、注册建筑师章、各专业负责人、乙方签署。</w:t>
      </w:r>
    </w:p>
    <w:p w14:paraId="69F57022">
      <w:pPr>
        <w:pStyle w:val="3"/>
        <w:spacing w:before="0" w:after="0"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3、施工图设计阶段</w:t>
      </w:r>
    </w:p>
    <w:p w14:paraId="40DB610D">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①施工报建图：总平面图、平、立、剖面图，构造和主要材料说明，综合管线图等。</w:t>
      </w:r>
    </w:p>
    <w:p w14:paraId="6D4020B3">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②各专业图纸，主要包括：建筑、结构、给排水、电气及智能化、景观专业及各专项设计等。</w:t>
      </w:r>
    </w:p>
    <w:p w14:paraId="6DE4DDC3">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③设备材料表以及满足招投标要求的技术规格书。</w:t>
      </w:r>
    </w:p>
    <w:p w14:paraId="68250E64">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④完整版施工图。</w:t>
      </w:r>
    </w:p>
    <w:p w14:paraId="638C2B31">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⑤有关电子文档。</w:t>
      </w:r>
    </w:p>
    <w:p w14:paraId="1523B799">
      <w:pPr>
        <w:adjustRightInd w:val="0"/>
        <w:snapToGrid w:val="0"/>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注：乙方所提供的施工报建图份数按审批部门要求；乙方应向招标人提交施工图设计成果文件（文件及图纸）文本文件8套、电子文档光盘_1_套；文本文件加盖设计单位出图章、注册建筑师章。</w:t>
      </w:r>
    </w:p>
    <w:p w14:paraId="62B55EE1">
      <w:pPr>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4.其他要求（包含且不限于）</w:t>
      </w:r>
    </w:p>
    <w:p w14:paraId="78B06F99">
      <w:pPr>
        <w:spacing w:line="240" w:lineRule="auto"/>
        <w:ind w:left="56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①改造前后对比报告编制。</w:t>
      </w:r>
    </w:p>
    <w:p w14:paraId="56FE2975">
      <w:pPr>
        <w:pStyle w:val="6"/>
        <w:spacing w:line="240" w:lineRule="auto"/>
        <w:ind w:left="0" w:leftChars="0"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②项目前期摸查报告编制。报告包含但不限于项目概况、项目现状、周边市政条件、设计工作进展等。</w:t>
      </w:r>
    </w:p>
    <w:p w14:paraId="38D507D3">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③设计成果纸质版文件按合同有关规定提交。文本文件采用Microsoft office2003或以上的格式文件，图形文件采用DWG格式文件和JPG格式或SU模型。</w:t>
      </w:r>
    </w:p>
    <w:p w14:paraId="1A392DE9">
      <w:pPr>
        <w:spacing w:line="240" w:lineRule="auto"/>
        <w:rPr>
          <w:rFonts w:hint="eastAsia" w:ascii="微软雅黑" w:hAnsi="微软雅黑" w:eastAsia="微软雅黑" w:cs="微软雅黑"/>
          <w:b w:val="0"/>
          <w:bCs w:val="0"/>
          <w:kern w:val="2"/>
          <w:sz w:val="24"/>
          <w:szCs w:val="24"/>
          <w:lang w:val="en-US" w:eastAsia="zh-CN" w:bidi="ar-SA"/>
        </w:rPr>
      </w:pPr>
    </w:p>
    <w:p w14:paraId="09D35E28">
      <w:pPr>
        <w:pStyle w:val="11"/>
        <w:spacing w:line="240" w:lineRule="auto"/>
        <w:ind w:firstLine="240" w:firstLineChars="100"/>
        <w:rPr>
          <w:rFonts w:hint="eastAsia" w:ascii="微软雅黑" w:hAnsi="微软雅黑" w:eastAsia="微软雅黑" w:cs="微软雅黑"/>
          <w:b w:val="0"/>
          <w:bCs w:val="0"/>
          <w:kern w:val="2"/>
          <w:sz w:val="24"/>
          <w:szCs w:val="24"/>
          <w:lang w:val="en-US" w:eastAsia="zh-CN" w:bidi="ar-SA"/>
        </w:rPr>
      </w:pPr>
    </w:p>
    <w:p w14:paraId="0A525F1A">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p>
    <w:p w14:paraId="1DEC6A4F">
      <w:pPr>
        <w:spacing w:line="240" w:lineRule="auto"/>
        <w:rPr>
          <w:rFonts w:hint="eastAsia" w:ascii="微软雅黑" w:hAnsi="微软雅黑" w:eastAsia="微软雅黑" w:cs="微软雅黑"/>
          <w:b w:val="0"/>
          <w:bCs w:val="0"/>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Y2E1MzIyYTBhZWQ4YzY0NzcwOTRmYTk5MmRlYTYifQ=="/>
  </w:docVars>
  <w:rsids>
    <w:rsidRoot w:val="67D6063E"/>
    <w:rsid w:val="20721763"/>
    <w:rsid w:val="2626238D"/>
    <w:rsid w:val="280B2A12"/>
    <w:rsid w:val="2D2340E3"/>
    <w:rsid w:val="2E0F08CE"/>
    <w:rsid w:val="42FD4412"/>
    <w:rsid w:val="67D60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3">
    <w:name w:val="heading 4"/>
    <w:basedOn w:val="1"/>
    <w:next w:val="1"/>
    <w:qFormat/>
    <w:uiPriority w:val="0"/>
    <w:pPr>
      <w:keepNext/>
      <w:keepLines/>
      <w:spacing w:before="280" w:after="290" w:line="374" w:lineRule="auto"/>
      <w:outlineLvl w:val="3"/>
    </w:pPr>
    <w:rPr>
      <w:rFonts w:ascii="Arial" w:hAnsi="Arial" w:eastAsia="黑体"/>
      <w:b/>
      <w:bCs/>
      <w:kern w:val="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next w:val="1"/>
    <w:qFormat/>
    <w:uiPriority w:val="0"/>
    <w:pPr>
      <w:jc w:val="both"/>
    </w:pPr>
    <w:rPr>
      <w:rFonts w:ascii="宋体" w:hAnsi="Courier New" w:eastAsia="宋体"/>
      <w:kern w:val="2"/>
      <w:sz w:val="21"/>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2"/>
    <w:basedOn w:val="1"/>
    <w:next w:val="1"/>
    <w:unhideWhenUsed/>
    <w:qFormat/>
    <w:uiPriority w:val="39"/>
    <w:pPr>
      <w:ind w:left="420" w:leftChars="200"/>
    </w:pPr>
  </w:style>
  <w:style w:type="paragraph" w:customStyle="1" w:styleId="9">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
    <w:name w:val="正文+文字"/>
    <w:basedOn w:val="1"/>
    <w:qFormat/>
    <w:uiPriority w:val="99"/>
    <w:pPr>
      <w:spacing w:line="360" w:lineRule="auto"/>
      <w:ind w:firstLine="200" w:firstLineChars="200"/>
    </w:pPr>
    <w:rPr>
      <w:rFonts w:eastAsia="宋体"/>
      <w:sz w:val="24"/>
    </w:rPr>
  </w:style>
  <w:style w:type="paragraph" w:customStyle="1" w:styleId="11">
    <w:name w:val="正文缩进1"/>
    <w:basedOn w:val="1"/>
    <w:qFormat/>
    <w:uiPriority w:val="0"/>
    <w:pPr>
      <w:ind w:firstLine="420" w:firstLineChars="200"/>
    </w:pPr>
    <w:rPr>
      <w:rFonts w:ascii="Calibri" w:hAnsi="Calibri" w:eastAsia="宋体" w:cs="Times New Roman"/>
      <w:szCs w:val="22"/>
    </w:rPr>
  </w:style>
  <w:style w:type="paragraph" w:customStyle="1" w:styleId="12">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5074</Words>
  <Characters>5438</Characters>
  <Lines>0</Lines>
  <Paragraphs>0</Paragraphs>
  <TotalTime>6</TotalTime>
  <ScaleCrop>false</ScaleCrop>
  <LinksUpToDate>false</LinksUpToDate>
  <CharactersWithSpaces>5451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2025-07-21T06:15:00Z</dcterms:created>
  <dc:creator>Administrator</dc:creator>
  <cp:lastModifiedBy>zy</cp:lastModifiedBy>
  <cp:lastPrinted>2025-09-09T02:57:00Z</cp:lastPrinted>
  <dcterms:modified xsi:type="dcterms:W3CDTF">2025-09-22T10:06:47Z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A977776353544D958EAF6459EC685340_13</vt:lpwstr>
  </property>
  <property fmtid="{D5CDD505-2E9C-101B-9397-08002B2CF9AE}" pid="4" name="KSOTemplateDocerSaveRecord">
    <vt:lpwstr>eyJoZGlkIjoiYzcwMDU0MGM1YmYyZTg5NjEzZDFhNWExY2UwODY0ODQiLCJ1c2VySWQiOiI2NTc5Nzg1NDYifQ==</vt:lpwstr>
  </property>
</Properties>
</file>