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22A8A">
      <w:pPr>
        <w:spacing w:line="360" w:lineRule="auto"/>
        <w:jc w:val="left"/>
        <w:rPr>
          <w:rFonts w:ascii="Times New Roman" w:hAnsi="Times New Roman" w:eastAsia="华文中宋"/>
          <w:b/>
          <w:color w:val="000000"/>
          <w:sz w:val="48"/>
          <w:szCs w:val="48"/>
          <w:highlight w:val="none"/>
          <w:u w:val="single"/>
        </w:rPr>
      </w:pPr>
      <w:bookmarkStart w:id="131" w:name="_GoBack"/>
      <w:bookmarkEnd w:id="131"/>
      <w:r>
        <w:rPr>
          <w:rFonts w:hint="eastAsia" w:ascii="Times New Roman" w:hAnsi="Times New Roman" w:eastAsia="仿宋_GB2312"/>
          <w:bCs/>
          <w:color w:val="000000"/>
          <w:sz w:val="28"/>
          <w:szCs w:val="28"/>
          <w:highlight w:val="none"/>
        </w:rPr>
        <w:t>合同编号：</w:t>
      </w:r>
      <w:bookmarkStart w:id="0" w:name="mf_customNo_yzsystem_yzw_1"/>
      <w:r>
        <w:rPr>
          <w:rFonts w:hint="eastAsia" w:ascii="Times New Roman" w:hAnsi="Times New Roman" w:eastAsia="仿宋_GB2312"/>
          <w:bCs/>
          <w:color w:val="000000"/>
          <w:sz w:val="28"/>
          <w:szCs w:val="28"/>
          <w:highlight w:val="none"/>
          <w:u w:val="single"/>
        </w:rPr>
        <w:t>cscec-ht2-2025052608007</w:t>
      </w:r>
      <w:bookmarkEnd w:id="0"/>
      <w:r>
        <w:rPr>
          <w:rFonts w:hint="eastAsia" w:ascii="Times New Roman" w:hAnsi="Times New Roman" w:eastAsia="仿宋_GB2312"/>
          <w:bCs/>
          <w:color w:val="000000"/>
          <w:sz w:val="28"/>
          <w:szCs w:val="28"/>
          <w:highlight w:val="none"/>
          <w:u w:val="single"/>
        </w:rPr>
        <w:t xml:space="preserve">   </w:t>
      </w:r>
      <w:r>
        <w:rPr>
          <w:highlight w:val="none"/>
        </w:rPr>
        <mc:AlternateContent>
          <mc:Choice Requires="wps">
            <w:drawing>
              <wp:anchor distT="0" distB="0" distL="114300" distR="114300" simplePos="0" relativeHeight="251659264" behindDoc="0" locked="0" layoutInCell="1" allowOverlap="1">
                <wp:simplePos x="0" y="0"/>
                <wp:positionH relativeFrom="column">
                  <wp:posOffset>1270000</wp:posOffset>
                </wp:positionH>
                <wp:positionV relativeFrom="paragraph">
                  <wp:posOffset>1270000</wp:posOffset>
                </wp:positionV>
                <wp:extent cx="2540000" cy="1270000"/>
                <wp:effectExtent l="0" t="0" r="0" b="0"/>
                <wp:wrapNone/>
                <wp:docPr id="5" name="_x0000_s1025"/>
                <wp:cNvGraphicFramePr/>
                <a:graphic xmlns:a="http://schemas.openxmlformats.org/drawingml/2006/main">
                  <a:graphicData uri="http://schemas.microsoft.com/office/word/2010/wordprocessingShape">
                    <wps:wsp>
                      <wps:cNvSpPr/>
                      <wps:spPr bwMode="auto">
                        <a:xfrm>
                          <a:off x="0" y="0"/>
                          <a:ext cx="2540000" cy="1270000"/>
                        </a:xfrm>
                        <a:prstGeom prst="rect">
                          <a:avLst/>
                        </a:prstGeom>
                        <a:noFill/>
                        <a:ln>
                          <a:noFill/>
                        </a:ln>
                      </wps:spPr>
                      <wps:txbx>
                        <w:txbxContent>
                          <w:p w14:paraId="5AE149D6">
                            <w:pPr>
                              <w:jc w:val="center"/>
                              <w:rPr>
                                <w:rFonts w:ascii="Arial Black" w:hAnsi="Arial Black"/>
                                <w:color w:val="FFFFFF"/>
                                <w:sz w:val="72"/>
                                <w:szCs w:val="72"/>
                                <w14:textOutline w14:w="12700">
                                  <w14:solidFill>
                                    <w14:srgbClr w14:val="000000"/>
                                  </w14:solidFill>
                                  <w14:bevel/>
                                </w14:textOutline>
                                <w14:textFill>
                                  <w14:solidFill>
                                    <w14:srgbClr w14:val="FFFFFF">
                                      <w14:alpha w14:val="49803"/>
                                    </w14:srgbClr>
                                  </w14:solidFill>
                                </w14:textFill>
                              </w:rPr>
                            </w:pPr>
                          </w:p>
                        </w:txbxContent>
                      </wps:txbx>
                      <wps:bodyPr wrap="square" lIns="0" tIns="0" rIns="0" bIns="0" fromWordArt="1">
                        <a:prstTxWarp prst="textPlain">
                          <a:avLst>
                            <a:gd name="adj" fmla="val 50000"/>
                          </a:avLst>
                        </a:prstTxWarp>
                        <a:normAutofit/>
                      </wps:bodyPr>
                    </wps:wsp>
                  </a:graphicData>
                </a:graphic>
              </wp:anchor>
            </w:drawing>
          </mc:Choice>
          <mc:Fallback>
            <w:pict>
              <v:shape id="_x0000_s1025" o:spid="_x0000_s1026" o:spt="136" type="#_x0000_t136" style="position:absolute;left:0pt;margin-left:100pt;margin-top:100pt;height:100pt;width:200pt;z-index:251659264;mso-width-relative:page;mso-height-relative:page;" filled="f" stroked="f" coordsize="21600,21600" o:gfxdata="UEsDBAoAAAAAAIdO4kAAAAAAAAAAAAAAAAAEAAAAZHJzL1BLAwQUAAAACACHTuJAA9a/mdMAAAAL&#10;AQAADwAAAGRycy9kb3ducmV2LnhtbE2PQUvDQBCF74L/YRnBm920lCIxm4LS3qRgqnidZsckNDub&#10;7m6b+u+dCkVvb2Yeb75XLM+uVycKsfNsYDrJQBHX3nbcGHjfrh8eQcWEbLH3TAa+KcKyvL0pMLd+&#10;5Dc6ValREsIxRwNtSkOudaxbchgnfiCW25cPDpOModE24CjhrtezLFtohx3LhxYHemmp3ldHZ+Dg&#10;qs04W1dB4/5j9dzNI31uXo25v5tmT6ASndOfGS74gg6lMO38kW1UvQFJly7pKsSx+N3sDMwvQpeF&#10;/t+h/AFQSwMEFAAAAAgAh07iQO+Ykpb0AQAACgQAAA4AAABkcnMvZTJvRG9jLnhtbK1Ty27bMBC8&#10;F+g/ELzXko26LQTLQQAjRYE+AiRFjsGaIi0VfHVJW/Lfd0lJTppecqgOxO5yNZwZLjdXg9HsJDF0&#10;ztZ8uSg5k1a4prOHmv+8v3n3ibMQwTagnZU1P8vAr7Zv32x6X8mVa51uJDICsaHqfc3bGH1VFEG0&#10;0kBYOC8tbSqHBiKleCgahJ7QjS5WZfmh6B02Hp2QIVB1N27yCRFfA+iU6oTcOXE00sYRFaWGSJJC&#10;2/nAt5mtUlLEH0oFGZmuOSmNeaVDKN6ntdhuoDog+LYTEwV4DYUXmgx0lg69QO0gAjti9w+U6QS6&#10;4FRcCGeKUUh2hFQsyxfe3LXgZdZCVgd/MT38P1jx/XSLrGtqvubMgqELfxxK+h7Dslytkz+9DxW1&#10;3flbnLJAIdv331xD7XCMLksfFJpkAYliQ3b4fHFYDpEJKq7W7xM4Z4L2lquPOSHUAqr5d48hfpbO&#10;sBTUHOkKMzycvoY4ts4t6TTrbjqtqQ6Vtn8VCDNVisQ/MR6VxGE/TDL2rjmTkJ5uv+bh9xFQcqa/&#10;WLI3jcoc4Bzs50ChMw80xddIBJeZXaJ0PzwA+ol3JMm3eh6LTD6xOzSTy9D84kwZTdN2As3Wz5yY&#10;mon/E+qoDM01ua267EPSNUqYRNKIZCencU4z+DzPXU9PeP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9a/mdMAAAALAQAADwAAAAAAAAABACAAAAAiAAAAZHJzL2Rvd25yZXYueG1sUEsBAhQAFAAA&#10;AAgAh07iQO+Ykpb0AQAACgQAAA4AAAAAAAAAAQAgAAAAIgEAAGRycy9lMm9Eb2MueG1sUEsFBgAA&#10;AAAGAAYAWQEAAIgFAAAAAA==&#10;" adj="10800">
                <v:fill on="f" focussize="0,0"/>
                <v:stroke on="f"/>
                <v:imagedata o:title=""/>
                <o:lock v:ext="edit" aspectratio="f"/>
                <v:textpath on="f" fitpath="t" trim="t" xscale="f" string="" style="font-size:36pt;v-text-align:center;"/>
                <v:textbox inset="0mm,0mm,0mm,0mm">
                  <w:txbxContent>
                    <w:p w14:paraId="5AE149D6">
                      <w:pPr>
                        <w:jc w:val="center"/>
                        <w:rPr>
                          <w:rFonts w:ascii="Arial Black" w:hAnsi="Arial Black"/>
                          <w:color w:val="FFFFFF"/>
                          <w:sz w:val="72"/>
                          <w:szCs w:val="72"/>
                          <w14:textOutline w14:w="12700">
                            <w14:solidFill>
                              <w14:srgbClr w14:val="000000"/>
                            </w14:solidFill>
                            <w14:bevel/>
                          </w14:textOutline>
                          <w14:textFill>
                            <w14:solidFill>
                              <w14:srgbClr w14:val="FFFFFF">
                                <w14:alpha w14:val="49803"/>
                              </w14:srgbClr>
                            </w14:solidFill>
                          </w14:textFill>
                        </w:rPr>
                      </w:pPr>
                    </w:p>
                  </w:txbxContent>
                </v:textbox>
              </v:shape>
            </w:pict>
          </mc:Fallback>
        </mc:AlternateContent>
      </w:r>
    </w:p>
    <w:p w14:paraId="68AA6EC3">
      <w:pPr>
        <w:spacing w:line="360" w:lineRule="auto"/>
        <w:jc w:val="center"/>
        <w:rPr>
          <w:rFonts w:ascii="Times New Roman" w:hAnsi="Times New Roman" w:eastAsia="华文中宋"/>
          <w:b/>
          <w:color w:val="000000"/>
          <w:sz w:val="48"/>
          <w:szCs w:val="48"/>
          <w:highlight w:val="none"/>
        </w:rPr>
      </w:pPr>
    </w:p>
    <w:p w14:paraId="0895D8B7">
      <w:pPr>
        <w:spacing w:line="360" w:lineRule="auto"/>
        <w:jc w:val="center"/>
        <w:rPr>
          <w:rFonts w:ascii="Times New Roman" w:hAnsi="Times New Roman" w:eastAsia="华文中宋"/>
          <w:b/>
          <w:color w:val="000000"/>
          <w:sz w:val="48"/>
          <w:szCs w:val="48"/>
          <w:highlight w:val="none"/>
        </w:rPr>
      </w:pPr>
    </w:p>
    <w:p w14:paraId="22877261">
      <w:pPr>
        <w:spacing w:line="360" w:lineRule="auto"/>
        <w:jc w:val="center"/>
        <w:rPr>
          <w:rFonts w:ascii="Times New Roman" w:hAnsi="Times New Roman" w:eastAsia="华文中宋"/>
          <w:b/>
          <w:color w:val="000000"/>
          <w:sz w:val="48"/>
          <w:szCs w:val="48"/>
          <w:highlight w:val="none"/>
        </w:rPr>
      </w:pPr>
    </w:p>
    <w:p w14:paraId="2027110F">
      <w:pPr>
        <w:spacing w:line="360" w:lineRule="auto"/>
        <w:jc w:val="center"/>
        <w:rPr>
          <w:rFonts w:ascii="Times New Roman" w:hAnsi="Times New Roman" w:eastAsia="华文中宋"/>
          <w:b/>
          <w:color w:val="000000"/>
          <w:sz w:val="56"/>
          <w:szCs w:val="56"/>
          <w:highlight w:val="none"/>
        </w:rPr>
      </w:pPr>
      <w:r>
        <w:rPr>
          <w:rFonts w:ascii="Times New Roman" w:hAnsi="Times New Roman" w:eastAsia="华文中宋"/>
          <w:b/>
          <w:color w:val="000000"/>
          <w:sz w:val="56"/>
          <w:szCs w:val="56"/>
          <w:highlight w:val="none"/>
        </w:rPr>
        <w:t>建设工程施工</w:t>
      </w:r>
      <w:r>
        <w:rPr>
          <w:rFonts w:hint="eastAsia" w:ascii="Times New Roman" w:hAnsi="Times New Roman" w:eastAsia="华文中宋"/>
          <w:b/>
          <w:color w:val="000000"/>
          <w:sz w:val="56"/>
          <w:szCs w:val="56"/>
          <w:highlight w:val="none"/>
        </w:rPr>
        <w:t>分包</w:t>
      </w:r>
      <w:r>
        <w:rPr>
          <w:rFonts w:ascii="Times New Roman" w:hAnsi="Times New Roman" w:eastAsia="华文中宋"/>
          <w:b/>
          <w:color w:val="000000"/>
          <w:sz w:val="56"/>
          <w:szCs w:val="56"/>
          <w:highlight w:val="none"/>
        </w:rPr>
        <w:t>合同</w:t>
      </w:r>
      <w:r>
        <w:rPr>
          <w:rFonts w:ascii="Times New Roman" w:hAnsi="Times New Roman" w:eastAsia="华文中宋"/>
          <w:b/>
          <w:color w:val="000000"/>
          <w:sz w:val="56"/>
          <w:szCs w:val="56"/>
          <w:highlight w:val="none"/>
        </w:rPr>
        <w:br w:type="textWrapping"/>
      </w:r>
      <w:r>
        <w:rPr>
          <w:rFonts w:ascii="Times New Roman" w:hAnsi="Times New Roman" w:eastAsia="华文中宋"/>
          <w:b/>
          <w:color w:val="000000"/>
          <w:sz w:val="48"/>
          <w:szCs w:val="48"/>
          <w:highlight w:val="none"/>
        </w:rPr>
        <w:t>（</w:t>
      </w:r>
      <w:bookmarkStart w:id="1" w:name="mf_zhuanyeleixing_0f5fbcea-fbbe-4b98-937e-f97a04dbfb48_1"/>
      <w:r>
        <w:rPr>
          <w:rFonts w:hint="eastAsia" w:ascii="Times New Roman" w:hAnsi="Times New Roman" w:eastAsia="华文中宋"/>
          <w:b/>
          <w:color w:val="000000"/>
          <w:sz w:val="48"/>
          <w:szCs w:val="48"/>
          <w:highlight w:val="none"/>
          <w:u w:val="single"/>
        </w:rPr>
        <w:tab/>
      </w:r>
      <w:r>
        <w:rPr>
          <w:rFonts w:hint="eastAsia" w:ascii="Times New Roman" w:hAnsi="Times New Roman" w:eastAsia="华文中宋"/>
          <w:b/>
          <w:color w:val="000000"/>
          <w:sz w:val="48"/>
          <w:szCs w:val="48"/>
          <w:highlight w:val="none"/>
          <w:u w:val="single"/>
        </w:rPr>
        <w:tab/>
      </w:r>
      <w:r>
        <w:rPr>
          <w:rFonts w:hint="eastAsia" w:ascii="Times New Roman" w:hAnsi="Times New Roman" w:eastAsia="华文中宋"/>
          <w:b/>
          <w:color w:val="000000"/>
          <w:sz w:val="48"/>
          <w:szCs w:val="48"/>
          <w:highlight w:val="none"/>
          <w:u w:val="single"/>
        </w:rPr>
        <w:tab/>
      </w:r>
      <w:r>
        <w:rPr>
          <w:rFonts w:hint="eastAsia" w:ascii="Times New Roman" w:hAnsi="Times New Roman" w:eastAsia="华文中宋"/>
          <w:b/>
          <w:color w:val="000000"/>
          <w:sz w:val="48"/>
          <w:szCs w:val="48"/>
          <w:highlight w:val="none"/>
          <w:u w:val="single"/>
        </w:rPr>
        <w:tab/>
      </w:r>
      <w:r>
        <w:rPr>
          <w:rFonts w:hint="eastAsia" w:ascii="Times New Roman" w:hAnsi="Times New Roman" w:eastAsia="华文中宋"/>
          <w:b/>
          <w:color w:val="000000"/>
          <w:sz w:val="48"/>
          <w:szCs w:val="48"/>
          <w:highlight w:val="none"/>
          <w:u w:val="single"/>
        </w:rPr>
        <w:tab/>
      </w:r>
      <w:bookmarkEnd w:id="1"/>
      <w:r>
        <w:rPr>
          <w:rFonts w:hint="eastAsia" w:ascii="Times New Roman" w:hAnsi="Times New Roman" w:eastAsia="华文中宋"/>
          <w:b/>
          <w:color w:val="000000"/>
          <w:sz w:val="48"/>
          <w:szCs w:val="48"/>
          <w:highlight w:val="none"/>
        </w:rPr>
        <w:t>工程</w:t>
      </w:r>
      <w:r>
        <w:rPr>
          <w:rFonts w:ascii="Times New Roman" w:hAnsi="Times New Roman" w:eastAsia="华文中宋"/>
          <w:b/>
          <w:color w:val="000000"/>
          <w:sz w:val="48"/>
          <w:szCs w:val="48"/>
          <w:highlight w:val="none"/>
        </w:rPr>
        <w:t>）</w:t>
      </w:r>
    </w:p>
    <w:p w14:paraId="4275FD70">
      <w:pPr>
        <w:spacing w:line="360" w:lineRule="auto"/>
        <w:jc w:val="center"/>
        <w:rPr>
          <w:rFonts w:ascii="Times New Roman" w:hAnsi="Times New Roman" w:eastAsia="华文中宋"/>
          <w:b/>
          <w:color w:val="000000"/>
          <w:sz w:val="48"/>
          <w:szCs w:val="48"/>
          <w:highlight w:val="none"/>
        </w:rPr>
      </w:pPr>
    </w:p>
    <w:p w14:paraId="7D16E95D">
      <w:pPr>
        <w:spacing w:line="360" w:lineRule="auto"/>
        <w:jc w:val="center"/>
        <w:rPr>
          <w:rFonts w:ascii="Times New Roman" w:hAnsi="Times New Roman" w:eastAsia="华文中宋"/>
          <w:b/>
          <w:color w:val="000000"/>
          <w:sz w:val="48"/>
          <w:szCs w:val="48"/>
          <w:highlight w:val="none"/>
        </w:rPr>
      </w:pPr>
      <w:r>
        <w:rPr>
          <w:rFonts w:hint="eastAsia" w:ascii="Times New Roman" w:hAnsi="Times New Roman" w:eastAsia="楷体_GB2312"/>
          <w:b/>
          <w:color w:val="000000"/>
          <w:sz w:val="56"/>
          <w:szCs w:val="56"/>
          <w:highlight w:val="none"/>
        </w:rPr>
        <w:drawing>
          <wp:anchor distT="0" distB="0" distL="114300" distR="114300" simplePos="0" relativeHeight="251660288" behindDoc="1" locked="0" layoutInCell="1" allowOverlap="1">
            <wp:simplePos x="0" y="0"/>
            <wp:positionH relativeFrom="column">
              <wp:posOffset>1868805</wp:posOffset>
            </wp:positionH>
            <wp:positionV relativeFrom="paragraph">
              <wp:posOffset>177165</wp:posOffset>
            </wp:positionV>
            <wp:extent cx="1685925" cy="2352675"/>
            <wp:effectExtent l="0" t="0" r="9525" b="9525"/>
            <wp:wrapNone/>
            <wp:docPr id="6"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图片1"/>
                    <pic:cNvPicPr>
                      <a:picLocks noChangeAspect="1"/>
                    </pic:cNvPicPr>
                  </pic:nvPicPr>
                  <pic:blipFill>
                    <a:blip r:embed="rId9">
                      <a:clrChange>
                        <a:clrFrom>
                          <a:srgbClr val="FEFEFC">
                            <a:alpha val="99608"/>
                          </a:srgbClr>
                        </a:clrFrom>
                        <a:clrTo>
                          <a:srgbClr val="FEFEFC">
                            <a:alpha val="99608"/>
                            <a:alpha val="0"/>
                          </a:srgbClr>
                        </a:clrTo>
                      </a:clrChange>
                    </a:blip>
                    <a:stretch>
                      <a:fillRect/>
                    </a:stretch>
                  </pic:blipFill>
                  <pic:spPr>
                    <a:xfrm>
                      <a:off x="0" y="0"/>
                      <a:ext cx="1685925" cy="2352675"/>
                    </a:xfrm>
                    <a:prstGeom prst="rect">
                      <a:avLst/>
                    </a:prstGeom>
                  </pic:spPr>
                </pic:pic>
              </a:graphicData>
            </a:graphic>
          </wp:anchor>
        </w:drawing>
      </w:r>
    </w:p>
    <w:p w14:paraId="6896CA71">
      <w:pPr>
        <w:spacing w:line="360" w:lineRule="auto"/>
        <w:jc w:val="center"/>
        <w:rPr>
          <w:rFonts w:ascii="Times New Roman" w:hAnsi="Times New Roman" w:eastAsia="黑体"/>
          <w:b/>
          <w:color w:val="000000"/>
          <w:sz w:val="56"/>
          <w:szCs w:val="56"/>
          <w:highlight w:val="none"/>
        </w:rPr>
      </w:pPr>
    </w:p>
    <w:p w14:paraId="30BEF07D">
      <w:pPr>
        <w:spacing w:line="360" w:lineRule="auto"/>
        <w:jc w:val="center"/>
        <w:rPr>
          <w:rFonts w:ascii="Times New Roman" w:hAnsi="Times New Roman" w:eastAsia="楷体_GB2312"/>
          <w:b/>
          <w:color w:val="000000"/>
          <w:sz w:val="56"/>
          <w:szCs w:val="56"/>
          <w:highlight w:val="none"/>
        </w:rPr>
      </w:pPr>
    </w:p>
    <w:p w14:paraId="3AB98D2D">
      <w:pPr>
        <w:spacing w:line="360" w:lineRule="auto"/>
        <w:jc w:val="center"/>
        <w:rPr>
          <w:rFonts w:ascii="Times New Roman" w:hAnsi="Times New Roman" w:eastAsia="黑体"/>
          <w:b/>
          <w:color w:val="000000"/>
          <w:sz w:val="48"/>
          <w:szCs w:val="48"/>
          <w:highlight w:val="none"/>
        </w:rPr>
      </w:pPr>
    </w:p>
    <w:p w14:paraId="0BBA4D4D">
      <w:pPr>
        <w:spacing w:line="360" w:lineRule="auto"/>
        <w:jc w:val="center"/>
        <w:rPr>
          <w:rFonts w:ascii="Times New Roman" w:hAnsi="Times New Roman" w:eastAsia="华文中宋"/>
          <w:b/>
          <w:color w:val="000000"/>
          <w:sz w:val="48"/>
          <w:szCs w:val="48"/>
          <w:highlight w:val="none"/>
        </w:rPr>
      </w:pPr>
    </w:p>
    <w:p w14:paraId="610C5EEC">
      <w:pPr>
        <w:spacing w:line="360" w:lineRule="auto"/>
        <w:jc w:val="center"/>
        <w:rPr>
          <w:rFonts w:ascii="Times New Roman" w:hAnsi="Times New Roman" w:eastAsia="华文中宋"/>
          <w:b/>
          <w:color w:val="000000"/>
          <w:sz w:val="48"/>
          <w:szCs w:val="48"/>
          <w:highlight w:val="none"/>
        </w:rPr>
      </w:pPr>
    </w:p>
    <w:p w14:paraId="49CD46D9">
      <w:pPr>
        <w:spacing w:line="360" w:lineRule="auto"/>
        <w:ind w:firstLine="562"/>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工程名称：</w:t>
      </w:r>
      <w:r>
        <w:rPr>
          <w:rFonts w:hint="eastAsia" w:ascii="仿宋_GB2312" w:hAnsi="仿宋_GB2312" w:eastAsia="仿宋_GB2312" w:cs="仿宋_GB2312"/>
          <w:b/>
          <w:color w:val="000000"/>
          <w:sz w:val="28"/>
          <w:szCs w:val="28"/>
          <w:highlight w:val="none"/>
        </w:rPr>
        <w:t>【</w:t>
      </w:r>
      <w:bookmarkStart w:id="2" w:name="mf_xiangmumingcheng_9b5eeff3-c2ad-4cc3-bf2c-5e63b0922ee5_1"/>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2"/>
      <w:r>
        <w:rPr>
          <w:rFonts w:hint="eastAsia" w:ascii="仿宋_GB2312" w:hAnsi="仿宋_GB2312" w:eastAsia="仿宋_GB2312" w:cs="仿宋_GB2312"/>
          <w:b/>
          <w:color w:val="000000"/>
          <w:sz w:val="28"/>
          <w:szCs w:val="28"/>
          <w:highlight w:val="none"/>
        </w:rPr>
        <w:t>】</w:t>
      </w:r>
    </w:p>
    <w:p w14:paraId="1146A7E7">
      <w:pPr>
        <w:spacing w:line="360" w:lineRule="auto"/>
        <w:ind w:firstLine="562"/>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w:t>
      </w:r>
      <w:bookmarkStart w:id="3" w:name="mf_jiafang_22d9e010-013d-4067-9a84-ea14432fbc6f_1"/>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3"/>
      <w:r>
        <w:rPr>
          <w:rFonts w:hint="eastAsia" w:ascii="仿宋_GB2312" w:hAnsi="仿宋_GB2312" w:eastAsia="仿宋_GB2312" w:cs="仿宋_GB2312"/>
          <w:b/>
          <w:color w:val="000000"/>
          <w:sz w:val="28"/>
          <w:szCs w:val="28"/>
          <w:highlight w:val="none"/>
        </w:rPr>
        <w:t>】</w:t>
      </w:r>
    </w:p>
    <w:p w14:paraId="74E75CFE">
      <w:pPr>
        <w:spacing w:line="360" w:lineRule="auto"/>
        <w:ind w:firstLine="562"/>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w:t>
      </w:r>
      <w:bookmarkStart w:id="4" w:name="mf_yifangmaifangchuzufanggongyingfang_f27d5062-cfa7-44db-bc55-a59e9e707656_1"/>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4"/>
      <w:r>
        <w:rPr>
          <w:rFonts w:hint="eastAsia" w:ascii="仿宋_GB2312" w:hAnsi="仿宋_GB2312" w:eastAsia="仿宋_GB2312" w:cs="仿宋_GB2312"/>
          <w:b/>
          <w:color w:val="000000"/>
          <w:sz w:val="28"/>
          <w:szCs w:val="28"/>
          <w:highlight w:val="none"/>
        </w:rPr>
        <w:t>】</w:t>
      </w:r>
    </w:p>
    <w:p w14:paraId="5E6AE3E4">
      <w:pPr>
        <w:spacing w:line="360" w:lineRule="auto"/>
        <w:ind w:firstLine="562"/>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w:t>
      </w:r>
      <w:bookmarkStart w:id="5" w:name="mf_qiandingshijian_435e7a3b-ea5a-4486-996e-8c97831d45f4_1"/>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5"/>
      <w:r>
        <w:rPr>
          <w:rFonts w:hint="eastAsia" w:ascii="仿宋_GB2312" w:hAnsi="仿宋_GB2312" w:eastAsia="仿宋_GB2312" w:cs="仿宋_GB2312"/>
          <w:b/>
          <w:color w:val="000000"/>
          <w:sz w:val="28"/>
          <w:szCs w:val="28"/>
          <w:highlight w:val="none"/>
        </w:rPr>
        <w:t>】</w:t>
      </w:r>
    </w:p>
    <w:p w14:paraId="5A228699">
      <w:pPr>
        <w:spacing w:line="360" w:lineRule="auto"/>
        <w:ind w:firstLine="562"/>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bookmarkStart w:id="6" w:name="mf_qiandingdedian_99cdf702-15d4-42c0-a27e-1cc09775917f_1"/>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6"/>
      <w:r>
        <w:rPr>
          <w:rFonts w:hint="eastAsia" w:ascii="仿宋_GB2312" w:hAnsi="仿宋_GB2312" w:eastAsia="仿宋_GB2312" w:cs="仿宋_GB2312"/>
          <w:b/>
          <w:color w:val="000000"/>
          <w:sz w:val="28"/>
          <w:szCs w:val="28"/>
          <w:highlight w:val="none"/>
        </w:rPr>
        <w:t>】</w:t>
      </w:r>
    </w:p>
    <w:p w14:paraId="50834EED">
      <w:pPr>
        <w:spacing w:line="360" w:lineRule="auto"/>
        <w:jc w:val="center"/>
        <w:rPr>
          <w:rFonts w:ascii="华文中宋" w:hAnsi="华文中宋" w:eastAsia="华文中宋"/>
          <w:b/>
          <w:bCs/>
          <w:sz w:val="40"/>
          <w:szCs w:val="40"/>
          <w:highlight w:val="none"/>
        </w:rPr>
        <w:sectPr>
          <w:headerReference r:id="rId5" w:type="first"/>
          <w:headerReference r:id="rId3" w:type="default"/>
          <w:headerReference r:id="rId4" w:type="even"/>
          <w:type w:val="continuous"/>
          <w:pgSz w:w="11906" w:h="16838"/>
          <w:pgMar w:top="1440" w:right="1800" w:bottom="1440" w:left="1800" w:header="851" w:footer="992" w:gutter="0"/>
          <w:pgNumType w:start="1"/>
          <w:cols w:space="425" w:num="1"/>
        </w:sectPr>
      </w:pPr>
    </w:p>
    <w:p w14:paraId="432B61EC">
      <w:pPr>
        <w:pStyle w:val="205"/>
        <w:spacing w:before="0" w:after="0" w:line="360" w:lineRule="auto"/>
        <w:jc w:val="center"/>
        <w:rPr>
          <w:rFonts w:ascii="Times New Roman" w:hAnsi="Times New Roman" w:eastAsia="华文中宋"/>
          <w:sz w:val="40"/>
          <w:szCs w:val="40"/>
          <w:highlight w:val="none"/>
        </w:rPr>
      </w:pPr>
      <w:r>
        <w:rPr>
          <w:rFonts w:ascii="Times New Roman" w:hAnsi="Times New Roman" w:eastAsia="华文中宋"/>
          <w:sz w:val="40"/>
          <w:szCs w:val="40"/>
          <w:highlight w:val="none"/>
          <w:lang w:val="zh-CN"/>
        </w:rPr>
        <w:t>目</w:t>
      </w:r>
      <w:r>
        <w:rPr>
          <w:rFonts w:hint="eastAsia" w:ascii="Times New Roman" w:hAnsi="Times New Roman" w:eastAsia="华文中宋"/>
          <w:sz w:val="40"/>
          <w:szCs w:val="40"/>
          <w:highlight w:val="none"/>
          <w:lang w:val="zh-CN"/>
        </w:rPr>
        <w:t xml:space="preserve">  </w:t>
      </w:r>
      <w:r>
        <w:rPr>
          <w:rFonts w:ascii="Times New Roman" w:hAnsi="Times New Roman" w:eastAsia="华文中宋"/>
          <w:sz w:val="40"/>
          <w:szCs w:val="40"/>
          <w:highlight w:val="none"/>
          <w:lang w:val="zh-CN"/>
        </w:rPr>
        <w:t>录</w:t>
      </w:r>
      <w:r>
        <w:rPr>
          <w:highlight w:val="none"/>
        </w:rPr>
        <mc:AlternateContent>
          <mc:Choice Requires="wps">
            <w:drawing>
              <wp:anchor distT="0" distB="0" distL="114300" distR="114300" simplePos="0" relativeHeight="251661312" behindDoc="0" locked="0" layoutInCell="1" allowOverlap="1">
                <wp:simplePos x="0" y="0"/>
                <wp:positionH relativeFrom="column">
                  <wp:posOffset>1270000</wp:posOffset>
                </wp:positionH>
                <wp:positionV relativeFrom="paragraph">
                  <wp:posOffset>1270000</wp:posOffset>
                </wp:positionV>
                <wp:extent cx="2540000" cy="1270000"/>
                <wp:effectExtent l="0" t="0" r="0" b="0"/>
                <wp:wrapNone/>
                <wp:docPr id="7" name="_x0000_s1026"/>
                <wp:cNvGraphicFramePr/>
                <a:graphic xmlns:a="http://schemas.openxmlformats.org/drawingml/2006/main">
                  <a:graphicData uri="http://schemas.microsoft.com/office/word/2010/wordprocessingShape">
                    <wps:wsp>
                      <wps:cNvSpPr/>
                      <wps:spPr bwMode="auto">
                        <a:xfrm>
                          <a:off x="0" y="0"/>
                          <a:ext cx="2540000" cy="1270000"/>
                        </a:xfrm>
                        <a:prstGeom prst="rect">
                          <a:avLst/>
                        </a:prstGeom>
                        <a:noFill/>
                        <a:ln>
                          <a:noFill/>
                        </a:ln>
                      </wps:spPr>
                      <wps:txbx>
                        <w:txbxContent>
                          <w:p w14:paraId="391C66D5">
                            <w:pPr>
                              <w:jc w:val="center"/>
                              <w:rPr>
                                <w:rFonts w:ascii="Arial Black" w:hAnsi="Arial Black"/>
                                <w:color w:val="FFFFFF"/>
                                <w:sz w:val="72"/>
                                <w:szCs w:val="72"/>
                                <w14:textOutline w14:w="12700">
                                  <w14:solidFill>
                                    <w14:srgbClr w14:val="000000"/>
                                  </w14:solidFill>
                                  <w14:bevel/>
                                </w14:textOutline>
                                <w14:textFill>
                                  <w14:solidFill>
                                    <w14:srgbClr w14:val="FFFFFF">
                                      <w14:alpha w14:val="49803"/>
                                    </w14:srgbClr>
                                  </w14:solidFill>
                                </w14:textFill>
                              </w:rPr>
                            </w:pPr>
                          </w:p>
                        </w:txbxContent>
                      </wps:txbx>
                      <wps:bodyPr wrap="square" lIns="0" tIns="0" rIns="0" bIns="0" fromWordArt="1">
                        <a:prstTxWarp prst="textPlain">
                          <a:avLst>
                            <a:gd name="adj" fmla="val 50000"/>
                          </a:avLst>
                        </a:prstTxWarp>
                        <a:normAutofit/>
                      </wps:bodyPr>
                    </wps:wsp>
                  </a:graphicData>
                </a:graphic>
              </wp:anchor>
            </w:drawing>
          </mc:Choice>
          <mc:Fallback>
            <w:pict>
              <v:shape id="_x0000_s1026" o:spid="_x0000_s1026" o:spt="136" type="#_x0000_t136" style="position:absolute;left:0pt;margin-left:100pt;margin-top:100pt;height:100pt;width:200pt;z-index:251661312;mso-width-relative:page;mso-height-relative:page;" filled="f" stroked="f" coordsize="21600,21600" o:gfxdata="UEsDBAoAAAAAAIdO4kAAAAAAAAAAAAAAAAAEAAAAZHJzL1BLAwQUAAAACACHTuJAA9a/mdMAAAAL&#10;AQAADwAAAGRycy9kb3ducmV2LnhtbE2PQUvDQBCF74L/YRnBm920lCIxm4LS3qRgqnidZsckNDub&#10;7m6b+u+dCkVvb2Yeb75XLM+uVycKsfNsYDrJQBHX3nbcGHjfrh8eQcWEbLH3TAa+KcKyvL0pMLd+&#10;5Dc6ValREsIxRwNtSkOudaxbchgnfiCW25cPDpOModE24CjhrtezLFtohx3LhxYHemmp3ldHZ+Dg&#10;qs04W1dB4/5j9dzNI31uXo25v5tmT6ASndOfGS74gg6lMO38kW1UvQFJly7pKsSx+N3sDMwvQpeF&#10;/t+h/AFQSwMEFAAAAAgAh07iQI7XarT0AQAACgQAAA4AAABkcnMvZTJvRG9jLnhtbK1Ty27bMBC8&#10;F+g/ELzXko0mKQTLQQAjRYE+AiRFjsGaIi0VfHVJW/Lfd0lJTppecqgOxO5yNZwZLtfXg9HsKDF0&#10;ztZ8uSg5k1a4prP7mv98uP3wibMQwTagnZU1P8nArzfv3617X8mVa51uJDICsaHqfc3bGH1VFEG0&#10;0kBYOC8tbSqHBiKluC8ahJ7QjS5WZXlZ9A4bj07IEKi6HTf5hIhvAXRKdUJunTgYaeOIilJDJEmh&#10;7Xzgm8xWKSniD6WCjEzXnJTGvNIhFO/SWmzWUO0RfNuJiQK8hcIrTQY6S4eeobYQgR2w+wfKdAJd&#10;cCouhDPFKCQ7QiqW5Stv7lvwMmshq4M/mx7+H6z4frxD1jU1v+LMgqELfxpK+p7CslxdJn96Hypq&#10;u/d3OGWBQrbrv7mG2uEQXZY+KDTJAhLFhuzw6eywHCITVFxdfEzgnAnaW66uckKoBVTz7x5D/Cyd&#10;YSmoOdIVZng4fg1xbJ1b0mnW3XZaUx0qbf8qEGaqFIl/YjwqicNumGTsXHMiIT3dfs3D7wOg5Ex/&#10;sWRvGpU5wDnYzYFCZx5pim+QCC4zu0TpYXgE9BPvSJLv9DwWmXxit28ml6H5xZkymqbtCJpdvHBi&#10;aib+z6ijMjQ35Lbqsg9J1yhhEkkjkp2cxjnN4Ms8dz0/4c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9a/mdMAAAALAQAADwAAAAAAAAABACAAAAAiAAAAZHJzL2Rvd25yZXYueG1sUEsBAhQAFAAA&#10;AAgAh07iQI7XarT0AQAACgQAAA4AAAAAAAAAAQAgAAAAIgEAAGRycy9lMm9Eb2MueG1sUEsFBgAA&#10;AAAGAAYAWQEAAIgFAAAAAA==&#10;" adj="10800">
                <v:fill on="f" focussize="0,0"/>
                <v:stroke on="f"/>
                <v:imagedata o:title=""/>
                <o:lock v:ext="edit" aspectratio="f"/>
                <v:textpath on="f" fitpath="t" trim="t" xscale="f" string="" style="font-size:36pt;v-text-align:center;"/>
                <v:textbox inset="0mm,0mm,0mm,0mm">
                  <w:txbxContent>
                    <w:p w14:paraId="391C66D5">
                      <w:pPr>
                        <w:jc w:val="center"/>
                        <w:rPr>
                          <w:rFonts w:ascii="Arial Black" w:hAnsi="Arial Black"/>
                          <w:color w:val="FFFFFF"/>
                          <w:sz w:val="72"/>
                          <w:szCs w:val="72"/>
                          <w14:textOutline w14:w="12700">
                            <w14:solidFill>
                              <w14:srgbClr w14:val="000000"/>
                            </w14:solidFill>
                            <w14:bevel/>
                          </w14:textOutline>
                          <w14:textFill>
                            <w14:solidFill>
                              <w14:srgbClr w14:val="FFFFFF">
                                <w14:alpha w14:val="49803"/>
                              </w14:srgbClr>
                            </w14:solidFill>
                          </w14:textFill>
                        </w:rPr>
                      </w:pPr>
                    </w:p>
                  </w:txbxContent>
                </v:textbox>
              </v:shape>
            </w:pict>
          </mc:Fallback>
        </mc:AlternateContent>
      </w:r>
    </w:p>
    <w:p w14:paraId="01E1310D">
      <w:pPr>
        <w:pStyle w:val="20"/>
        <w:tabs>
          <w:tab w:val="right" w:leader="dot" w:pos="830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TOC \o "1-4" \h \z \u </w:instrText>
      </w:r>
      <w:r>
        <w:rPr>
          <w:rFonts w:ascii="Times New Roman" w:hAnsi="Times New Roman" w:eastAsia="仿宋_GB2312" w:cs="Times New Roman"/>
          <w:highlight w:val="none"/>
        </w:rPr>
        <w:fldChar w:fldCharType="separate"/>
      </w: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_Toc7388 </w:instrText>
      </w:r>
      <w:r>
        <w:rPr>
          <w:rFonts w:ascii="Times New Roman" w:hAnsi="Times New Roman" w:eastAsia="仿宋_GB2312" w:cs="Times New Roman"/>
          <w:highlight w:val="none"/>
        </w:rPr>
        <w:fldChar w:fldCharType="separate"/>
      </w:r>
      <w:r>
        <w:rPr>
          <w:rFonts w:ascii="华文中宋" w:hAnsi="华文中宋" w:eastAsia="华文中宋"/>
          <w:szCs w:val="40"/>
          <w:highlight w:val="none"/>
        </w:rPr>
        <w:t xml:space="preserve">第一部分 </w:t>
      </w:r>
      <w:r>
        <w:rPr>
          <w:rFonts w:hint="eastAsia" w:ascii="华文中宋" w:hAnsi="华文中宋" w:eastAsia="华文中宋"/>
          <w:szCs w:val="40"/>
          <w:highlight w:val="none"/>
        </w:rPr>
        <w:t xml:space="preserve"> </w:t>
      </w:r>
      <w:r>
        <w:rPr>
          <w:rFonts w:ascii="华文中宋" w:hAnsi="华文中宋" w:eastAsia="华文中宋"/>
          <w:szCs w:val="40"/>
          <w:highlight w:val="none"/>
        </w:rPr>
        <w:t>合同协议书</w:t>
      </w:r>
      <w:r>
        <w:tab/>
      </w:r>
      <w:r>
        <w:fldChar w:fldCharType="begin"/>
      </w:r>
      <w:r>
        <w:instrText xml:space="preserve"> PAGEREF _Toc7388 \h </w:instrText>
      </w:r>
      <w:r>
        <w:fldChar w:fldCharType="separate"/>
      </w:r>
      <w:r>
        <w:t>4</w:t>
      </w:r>
      <w:r>
        <w:fldChar w:fldCharType="end"/>
      </w:r>
      <w:r>
        <w:rPr>
          <w:rFonts w:ascii="Times New Roman" w:hAnsi="Times New Roman" w:eastAsia="仿宋_GB2312" w:cs="Times New Roman"/>
          <w:highlight w:val="none"/>
        </w:rPr>
        <w:fldChar w:fldCharType="end"/>
      </w:r>
    </w:p>
    <w:p w14:paraId="17D30A1F">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_Toc9281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一、工程概况</w:t>
      </w:r>
      <w:r>
        <w:tab/>
      </w:r>
      <w:r>
        <w:fldChar w:fldCharType="begin"/>
      </w:r>
      <w:r>
        <w:instrText xml:space="preserve"> PAGEREF _Toc9281 \h </w:instrText>
      </w:r>
      <w:r>
        <w:fldChar w:fldCharType="separate"/>
      </w:r>
      <w:r>
        <w:t>4</w:t>
      </w:r>
      <w:r>
        <w:fldChar w:fldCharType="end"/>
      </w:r>
      <w:r>
        <w:rPr>
          <w:rFonts w:ascii="Times New Roman" w:hAnsi="Times New Roman" w:eastAsia="仿宋_GB2312" w:cs="Times New Roman"/>
          <w:highlight w:val="none"/>
        </w:rPr>
        <w:fldChar w:fldCharType="end"/>
      </w:r>
    </w:p>
    <w:p w14:paraId="71DB8FE2">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_Toc14515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二、分包合同工期</w:t>
      </w:r>
      <w:r>
        <w:tab/>
      </w:r>
      <w:r>
        <w:fldChar w:fldCharType="begin"/>
      </w:r>
      <w:r>
        <w:instrText xml:space="preserve"> PAGEREF _Toc14515 \h </w:instrText>
      </w:r>
      <w:r>
        <w:fldChar w:fldCharType="separate"/>
      </w:r>
      <w:r>
        <w:t>5</w:t>
      </w:r>
      <w:r>
        <w:fldChar w:fldCharType="end"/>
      </w:r>
      <w:r>
        <w:rPr>
          <w:rFonts w:ascii="Times New Roman" w:hAnsi="Times New Roman" w:eastAsia="仿宋_GB2312" w:cs="Times New Roman"/>
          <w:highlight w:val="none"/>
        </w:rPr>
        <w:fldChar w:fldCharType="end"/>
      </w:r>
    </w:p>
    <w:p w14:paraId="229BFADB">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_Toc18924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三、质量、安全文明施工标准及创优目标</w:t>
      </w:r>
      <w:r>
        <w:tab/>
      </w:r>
      <w:r>
        <w:fldChar w:fldCharType="begin"/>
      </w:r>
      <w:r>
        <w:instrText xml:space="preserve"> PAGEREF _Toc18924 \h </w:instrText>
      </w:r>
      <w:r>
        <w:fldChar w:fldCharType="separate"/>
      </w:r>
      <w:r>
        <w:t>5</w:t>
      </w:r>
      <w:r>
        <w:fldChar w:fldCharType="end"/>
      </w:r>
      <w:r>
        <w:rPr>
          <w:rFonts w:ascii="Times New Roman" w:hAnsi="Times New Roman" w:eastAsia="仿宋_GB2312" w:cs="Times New Roman"/>
          <w:highlight w:val="none"/>
        </w:rPr>
        <w:fldChar w:fldCharType="end"/>
      </w:r>
    </w:p>
    <w:p w14:paraId="449AFBF3">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_Toc32585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四、签约合同价与合同价格形式</w:t>
      </w:r>
      <w:r>
        <w:tab/>
      </w:r>
      <w:r>
        <w:fldChar w:fldCharType="begin"/>
      </w:r>
      <w:r>
        <w:instrText xml:space="preserve"> PAGEREF _Toc32585 \h </w:instrText>
      </w:r>
      <w:r>
        <w:fldChar w:fldCharType="separate"/>
      </w:r>
      <w:r>
        <w:t>5</w:t>
      </w:r>
      <w:r>
        <w:fldChar w:fldCharType="end"/>
      </w:r>
      <w:r>
        <w:rPr>
          <w:rFonts w:ascii="Times New Roman" w:hAnsi="Times New Roman" w:eastAsia="仿宋_GB2312" w:cs="Times New Roman"/>
          <w:highlight w:val="none"/>
        </w:rPr>
        <w:fldChar w:fldCharType="end"/>
      </w:r>
    </w:p>
    <w:p w14:paraId="1FCECC1A">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_Toc26122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五、工程款支付</w:t>
      </w:r>
      <w:r>
        <w:tab/>
      </w:r>
      <w:r>
        <w:fldChar w:fldCharType="begin"/>
      </w:r>
      <w:r>
        <w:instrText xml:space="preserve"> PAGEREF _Toc26122 \h </w:instrText>
      </w:r>
      <w:r>
        <w:fldChar w:fldCharType="separate"/>
      </w:r>
      <w:r>
        <w:t>8</w:t>
      </w:r>
      <w:r>
        <w:fldChar w:fldCharType="end"/>
      </w:r>
      <w:r>
        <w:rPr>
          <w:rFonts w:ascii="Times New Roman" w:hAnsi="Times New Roman" w:eastAsia="仿宋_GB2312" w:cs="Times New Roman"/>
          <w:highlight w:val="none"/>
        </w:rPr>
        <w:fldChar w:fldCharType="end"/>
      </w:r>
    </w:p>
    <w:p w14:paraId="6A2A186C">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_Toc5997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六、增值税条款</w:t>
      </w:r>
      <w:r>
        <w:tab/>
      </w:r>
      <w:r>
        <w:fldChar w:fldCharType="begin"/>
      </w:r>
      <w:r>
        <w:instrText xml:space="preserve"> PAGEREF _Toc5997 \h </w:instrText>
      </w:r>
      <w:r>
        <w:fldChar w:fldCharType="separate"/>
      </w:r>
      <w:r>
        <w:t>9</w:t>
      </w:r>
      <w:r>
        <w:fldChar w:fldCharType="end"/>
      </w:r>
      <w:r>
        <w:rPr>
          <w:rFonts w:ascii="Times New Roman" w:hAnsi="Times New Roman" w:eastAsia="仿宋_GB2312" w:cs="Times New Roman"/>
          <w:highlight w:val="none"/>
        </w:rPr>
        <w:fldChar w:fldCharType="end"/>
      </w:r>
    </w:p>
    <w:p w14:paraId="667C60EE">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_Toc9153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七、材料供应</w:t>
      </w:r>
      <w:r>
        <w:tab/>
      </w:r>
      <w:r>
        <w:fldChar w:fldCharType="begin"/>
      </w:r>
      <w:r>
        <w:instrText xml:space="preserve"> PAGEREF _Toc9153 \h </w:instrText>
      </w:r>
      <w:r>
        <w:fldChar w:fldCharType="separate"/>
      </w:r>
      <w:r>
        <w:t>12</w:t>
      </w:r>
      <w:r>
        <w:fldChar w:fldCharType="end"/>
      </w:r>
      <w:r>
        <w:rPr>
          <w:rFonts w:ascii="Times New Roman" w:hAnsi="Times New Roman" w:eastAsia="仿宋_GB2312" w:cs="Times New Roman"/>
          <w:highlight w:val="none"/>
        </w:rPr>
        <w:fldChar w:fldCharType="end"/>
      </w:r>
    </w:p>
    <w:p w14:paraId="4BD8CB97">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_Toc26873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八、各类机械及安全防护用品供应</w:t>
      </w:r>
      <w:r>
        <w:tab/>
      </w:r>
      <w:r>
        <w:fldChar w:fldCharType="begin"/>
      </w:r>
      <w:r>
        <w:instrText xml:space="preserve"> PAGEREF _Toc26873 \h </w:instrText>
      </w:r>
      <w:r>
        <w:fldChar w:fldCharType="separate"/>
      </w:r>
      <w:r>
        <w:t>13</w:t>
      </w:r>
      <w:r>
        <w:fldChar w:fldCharType="end"/>
      </w:r>
      <w:r>
        <w:rPr>
          <w:rFonts w:ascii="Times New Roman" w:hAnsi="Times New Roman" w:eastAsia="仿宋_GB2312" w:cs="Times New Roman"/>
          <w:highlight w:val="none"/>
        </w:rPr>
        <w:fldChar w:fldCharType="end"/>
      </w:r>
    </w:p>
    <w:p w14:paraId="18F935CF">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_Toc14250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九、甲乙方代表</w:t>
      </w:r>
      <w:r>
        <w:tab/>
      </w:r>
      <w:r>
        <w:fldChar w:fldCharType="begin"/>
      </w:r>
      <w:r>
        <w:instrText xml:space="preserve"> PAGEREF _Toc14250 \h </w:instrText>
      </w:r>
      <w:r>
        <w:fldChar w:fldCharType="separate"/>
      </w:r>
      <w:r>
        <w:t>14</w:t>
      </w:r>
      <w:r>
        <w:fldChar w:fldCharType="end"/>
      </w:r>
      <w:r>
        <w:rPr>
          <w:rFonts w:ascii="Times New Roman" w:hAnsi="Times New Roman" w:eastAsia="仿宋_GB2312" w:cs="Times New Roman"/>
          <w:highlight w:val="none"/>
        </w:rPr>
        <w:fldChar w:fldCharType="end"/>
      </w:r>
    </w:p>
    <w:p w14:paraId="413FD620">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_Toc6589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十、合同文件构成及解释顺序</w:t>
      </w:r>
      <w:r>
        <w:tab/>
      </w:r>
      <w:r>
        <w:fldChar w:fldCharType="begin"/>
      </w:r>
      <w:r>
        <w:instrText xml:space="preserve"> PAGEREF _Toc6589 \h </w:instrText>
      </w:r>
      <w:r>
        <w:fldChar w:fldCharType="separate"/>
      </w:r>
      <w:r>
        <w:t>15</w:t>
      </w:r>
      <w:r>
        <w:fldChar w:fldCharType="end"/>
      </w:r>
      <w:r>
        <w:rPr>
          <w:rFonts w:ascii="Times New Roman" w:hAnsi="Times New Roman" w:eastAsia="仿宋_GB2312" w:cs="Times New Roman"/>
          <w:highlight w:val="none"/>
        </w:rPr>
        <w:fldChar w:fldCharType="end"/>
      </w:r>
    </w:p>
    <w:p w14:paraId="20AAB561">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_Toc19842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十一、乙方承诺</w:t>
      </w:r>
      <w:r>
        <w:tab/>
      </w:r>
      <w:r>
        <w:fldChar w:fldCharType="begin"/>
      </w:r>
      <w:r>
        <w:instrText xml:space="preserve"> PAGEREF _Toc19842 \h </w:instrText>
      </w:r>
      <w:r>
        <w:fldChar w:fldCharType="separate"/>
      </w:r>
      <w:r>
        <w:t>16</w:t>
      </w:r>
      <w:r>
        <w:fldChar w:fldCharType="end"/>
      </w:r>
      <w:r>
        <w:rPr>
          <w:rFonts w:ascii="Times New Roman" w:hAnsi="Times New Roman" w:eastAsia="仿宋_GB2312" w:cs="Times New Roman"/>
          <w:highlight w:val="none"/>
        </w:rPr>
        <w:fldChar w:fldCharType="end"/>
      </w:r>
    </w:p>
    <w:p w14:paraId="64B56C54">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_Toc5868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十二、工程保修缺陷责任</w:t>
      </w:r>
      <w:r>
        <w:tab/>
      </w:r>
      <w:r>
        <w:fldChar w:fldCharType="begin"/>
      </w:r>
      <w:r>
        <w:instrText xml:space="preserve"> PAGEREF _Toc5868 \h </w:instrText>
      </w:r>
      <w:r>
        <w:fldChar w:fldCharType="separate"/>
      </w:r>
      <w:r>
        <w:t>17</w:t>
      </w:r>
      <w:r>
        <w:fldChar w:fldCharType="end"/>
      </w:r>
      <w:r>
        <w:rPr>
          <w:rFonts w:ascii="Times New Roman" w:hAnsi="Times New Roman" w:eastAsia="仿宋_GB2312" w:cs="Times New Roman"/>
          <w:highlight w:val="none"/>
        </w:rPr>
        <w:fldChar w:fldCharType="end"/>
      </w:r>
    </w:p>
    <w:p w14:paraId="2573FAAF">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_Toc29810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十三、争议解决</w:t>
      </w:r>
      <w:r>
        <w:tab/>
      </w:r>
      <w:r>
        <w:fldChar w:fldCharType="begin"/>
      </w:r>
      <w:r>
        <w:instrText xml:space="preserve"> PAGEREF _Toc29810 \h </w:instrText>
      </w:r>
      <w:r>
        <w:fldChar w:fldCharType="separate"/>
      </w:r>
      <w:r>
        <w:t>17</w:t>
      </w:r>
      <w:r>
        <w:fldChar w:fldCharType="end"/>
      </w:r>
      <w:r>
        <w:rPr>
          <w:rFonts w:ascii="Times New Roman" w:hAnsi="Times New Roman" w:eastAsia="仿宋_GB2312" w:cs="Times New Roman"/>
          <w:highlight w:val="none"/>
        </w:rPr>
        <w:fldChar w:fldCharType="end"/>
      </w:r>
    </w:p>
    <w:p w14:paraId="022A50E6">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_Toc14019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十四、附则</w:t>
      </w:r>
      <w:r>
        <w:tab/>
      </w:r>
      <w:r>
        <w:fldChar w:fldCharType="begin"/>
      </w:r>
      <w:r>
        <w:instrText xml:space="preserve"> PAGEREF _Toc14019 \h </w:instrText>
      </w:r>
      <w:r>
        <w:fldChar w:fldCharType="separate"/>
      </w:r>
      <w:r>
        <w:t>17</w:t>
      </w:r>
      <w:r>
        <w:fldChar w:fldCharType="end"/>
      </w:r>
      <w:r>
        <w:rPr>
          <w:rFonts w:ascii="Times New Roman" w:hAnsi="Times New Roman" w:eastAsia="仿宋_GB2312" w:cs="Times New Roman"/>
          <w:highlight w:val="none"/>
        </w:rPr>
        <w:fldChar w:fldCharType="end"/>
      </w:r>
    </w:p>
    <w:p w14:paraId="0599700D">
      <w:pPr>
        <w:pStyle w:val="20"/>
        <w:tabs>
          <w:tab w:val="right" w:leader="dot" w:pos="830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_Toc1685 </w:instrText>
      </w:r>
      <w:r>
        <w:rPr>
          <w:rFonts w:ascii="Times New Roman" w:hAnsi="Times New Roman" w:eastAsia="仿宋_GB2312" w:cs="Times New Roman"/>
          <w:highlight w:val="none"/>
        </w:rPr>
        <w:fldChar w:fldCharType="separate"/>
      </w:r>
      <w:r>
        <w:rPr>
          <w:rFonts w:ascii="华文中宋" w:hAnsi="华文中宋" w:eastAsia="华文中宋"/>
          <w:szCs w:val="40"/>
          <w:highlight w:val="none"/>
        </w:rPr>
        <w:t>第二部分  合同条款</w:t>
      </w:r>
      <w:r>
        <w:tab/>
      </w:r>
      <w:r>
        <w:fldChar w:fldCharType="begin"/>
      </w:r>
      <w:r>
        <w:instrText xml:space="preserve"> PAGEREF _Toc1685 \h </w:instrText>
      </w:r>
      <w:r>
        <w:fldChar w:fldCharType="separate"/>
      </w:r>
      <w:r>
        <w:t>19</w:t>
      </w:r>
      <w:r>
        <w:fldChar w:fldCharType="end"/>
      </w:r>
      <w:r>
        <w:rPr>
          <w:rFonts w:ascii="Times New Roman" w:hAnsi="Times New Roman" w:eastAsia="仿宋_GB2312" w:cs="Times New Roman"/>
          <w:highlight w:val="none"/>
        </w:rPr>
        <w:fldChar w:fldCharType="end"/>
      </w:r>
    </w:p>
    <w:p w14:paraId="3ACF5B59">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_Toc7293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1. 一般约定</w:t>
      </w:r>
      <w:r>
        <w:tab/>
      </w:r>
      <w:r>
        <w:fldChar w:fldCharType="begin"/>
      </w:r>
      <w:r>
        <w:instrText xml:space="preserve"> PAGEREF _Toc7293 \h </w:instrText>
      </w:r>
      <w:r>
        <w:fldChar w:fldCharType="separate"/>
      </w:r>
      <w:r>
        <w:t>19</w:t>
      </w:r>
      <w:r>
        <w:fldChar w:fldCharType="end"/>
      </w:r>
      <w:r>
        <w:rPr>
          <w:rFonts w:ascii="Times New Roman" w:hAnsi="Times New Roman" w:eastAsia="仿宋_GB2312" w:cs="Times New Roman"/>
          <w:highlight w:val="none"/>
        </w:rPr>
        <w:fldChar w:fldCharType="end"/>
      </w:r>
    </w:p>
    <w:p w14:paraId="14B64A18">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_Toc11681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2. 甲方</w:t>
      </w:r>
      <w:r>
        <w:tab/>
      </w:r>
      <w:r>
        <w:fldChar w:fldCharType="begin"/>
      </w:r>
      <w:r>
        <w:instrText xml:space="preserve"> PAGEREF _Toc11681 \h </w:instrText>
      </w:r>
      <w:r>
        <w:fldChar w:fldCharType="separate"/>
      </w:r>
      <w:r>
        <w:t>21</w:t>
      </w:r>
      <w:r>
        <w:fldChar w:fldCharType="end"/>
      </w:r>
      <w:r>
        <w:rPr>
          <w:rFonts w:ascii="Times New Roman" w:hAnsi="Times New Roman" w:eastAsia="仿宋_GB2312" w:cs="Times New Roman"/>
          <w:highlight w:val="none"/>
        </w:rPr>
        <w:fldChar w:fldCharType="end"/>
      </w:r>
    </w:p>
    <w:p w14:paraId="23023174">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_Toc6353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3. 乙方</w:t>
      </w:r>
      <w:r>
        <w:tab/>
      </w:r>
      <w:r>
        <w:fldChar w:fldCharType="begin"/>
      </w:r>
      <w:r>
        <w:instrText xml:space="preserve"> PAGEREF _Toc6353 \h </w:instrText>
      </w:r>
      <w:r>
        <w:fldChar w:fldCharType="separate"/>
      </w:r>
      <w:r>
        <w:t>23</w:t>
      </w:r>
      <w:r>
        <w:fldChar w:fldCharType="end"/>
      </w:r>
      <w:r>
        <w:rPr>
          <w:rFonts w:ascii="Times New Roman" w:hAnsi="Times New Roman" w:eastAsia="仿宋_GB2312" w:cs="Times New Roman"/>
          <w:highlight w:val="none"/>
        </w:rPr>
        <w:fldChar w:fldCharType="end"/>
      </w:r>
    </w:p>
    <w:p w14:paraId="4E65402D">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_Toc30173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4. 分包作业人员</w:t>
      </w:r>
      <w:r>
        <w:tab/>
      </w:r>
      <w:r>
        <w:fldChar w:fldCharType="begin"/>
      </w:r>
      <w:r>
        <w:instrText xml:space="preserve"> PAGEREF _Toc30173 \h </w:instrText>
      </w:r>
      <w:r>
        <w:fldChar w:fldCharType="separate"/>
      </w:r>
      <w:r>
        <w:t>29</w:t>
      </w:r>
      <w:r>
        <w:fldChar w:fldCharType="end"/>
      </w:r>
      <w:r>
        <w:rPr>
          <w:rFonts w:ascii="Times New Roman" w:hAnsi="Times New Roman" w:eastAsia="仿宋_GB2312" w:cs="Times New Roman"/>
          <w:highlight w:val="none"/>
        </w:rPr>
        <w:fldChar w:fldCharType="end"/>
      </w:r>
    </w:p>
    <w:p w14:paraId="7C27FFEE">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_Toc21396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5. 作业安全与环境保护</w:t>
      </w:r>
      <w:r>
        <w:tab/>
      </w:r>
      <w:r>
        <w:fldChar w:fldCharType="begin"/>
      </w:r>
      <w:r>
        <w:instrText xml:space="preserve"> PAGEREF _Toc21396 \h </w:instrText>
      </w:r>
      <w:r>
        <w:fldChar w:fldCharType="separate"/>
      </w:r>
      <w:r>
        <w:t>32</w:t>
      </w:r>
      <w:r>
        <w:fldChar w:fldCharType="end"/>
      </w:r>
      <w:r>
        <w:rPr>
          <w:rFonts w:ascii="Times New Roman" w:hAnsi="Times New Roman" w:eastAsia="仿宋_GB2312" w:cs="Times New Roman"/>
          <w:highlight w:val="none"/>
        </w:rPr>
        <w:fldChar w:fldCharType="end"/>
      </w:r>
    </w:p>
    <w:p w14:paraId="152186F6">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_Toc10701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6. 作业期限及进度</w:t>
      </w:r>
      <w:r>
        <w:tab/>
      </w:r>
      <w:r>
        <w:fldChar w:fldCharType="begin"/>
      </w:r>
      <w:r>
        <w:instrText xml:space="preserve"> PAGEREF _Toc10701 \h </w:instrText>
      </w:r>
      <w:r>
        <w:fldChar w:fldCharType="separate"/>
      </w:r>
      <w:r>
        <w:t>36</w:t>
      </w:r>
      <w:r>
        <w:fldChar w:fldCharType="end"/>
      </w:r>
      <w:r>
        <w:rPr>
          <w:rFonts w:ascii="Times New Roman" w:hAnsi="Times New Roman" w:eastAsia="仿宋_GB2312" w:cs="Times New Roman"/>
          <w:highlight w:val="none"/>
        </w:rPr>
        <w:fldChar w:fldCharType="end"/>
      </w:r>
    </w:p>
    <w:p w14:paraId="58440752">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_Toc12085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7. 机具、设备及材料供应</w:t>
      </w:r>
      <w:r>
        <w:tab/>
      </w:r>
      <w:r>
        <w:fldChar w:fldCharType="begin"/>
      </w:r>
      <w:r>
        <w:instrText xml:space="preserve"> PAGEREF _Toc12085 \h </w:instrText>
      </w:r>
      <w:r>
        <w:fldChar w:fldCharType="separate"/>
      </w:r>
      <w:r>
        <w:t>39</w:t>
      </w:r>
      <w:r>
        <w:fldChar w:fldCharType="end"/>
      </w:r>
      <w:r>
        <w:rPr>
          <w:rFonts w:ascii="Times New Roman" w:hAnsi="Times New Roman" w:eastAsia="仿宋_GB2312" w:cs="Times New Roman"/>
          <w:highlight w:val="none"/>
        </w:rPr>
        <w:fldChar w:fldCharType="end"/>
      </w:r>
    </w:p>
    <w:p w14:paraId="285DDC04">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_Toc17467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8. 分包作业变化</w:t>
      </w:r>
      <w:r>
        <w:tab/>
      </w:r>
      <w:r>
        <w:fldChar w:fldCharType="begin"/>
      </w:r>
      <w:r>
        <w:instrText xml:space="preserve"> PAGEREF _Toc17467 \h </w:instrText>
      </w:r>
      <w:r>
        <w:fldChar w:fldCharType="separate"/>
      </w:r>
      <w:r>
        <w:t>40</w:t>
      </w:r>
      <w:r>
        <w:fldChar w:fldCharType="end"/>
      </w:r>
      <w:r>
        <w:rPr>
          <w:rFonts w:ascii="Times New Roman" w:hAnsi="Times New Roman" w:eastAsia="仿宋_GB2312" w:cs="Times New Roman"/>
          <w:highlight w:val="none"/>
        </w:rPr>
        <w:fldChar w:fldCharType="end"/>
      </w:r>
    </w:p>
    <w:p w14:paraId="48170CE6">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_Toc7454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9. 分包作业价格调整</w:t>
      </w:r>
      <w:r>
        <w:tab/>
      </w:r>
      <w:r>
        <w:fldChar w:fldCharType="begin"/>
      </w:r>
      <w:r>
        <w:instrText xml:space="preserve"> PAGEREF _Toc7454 \h </w:instrText>
      </w:r>
      <w:r>
        <w:fldChar w:fldCharType="separate"/>
      </w:r>
      <w:r>
        <w:t>42</w:t>
      </w:r>
      <w:r>
        <w:fldChar w:fldCharType="end"/>
      </w:r>
      <w:r>
        <w:rPr>
          <w:rFonts w:ascii="Times New Roman" w:hAnsi="Times New Roman" w:eastAsia="仿宋_GB2312" w:cs="Times New Roman"/>
          <w:highlight w:val="none"/>
        </w:rPr>
        <w:fldChar w:fldCharType="end"/>
      </w:r>
    </w:p>
    <w:p w14:paraId="1283C120">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_Toc29572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10. 合同价格形式</w:t>
      </w:r>
      <w:r>
        <w:tab/>
      </w:r>
      <w:r>
        <w:fldChar w:fldCharType="begin"/>
      </w:r>
      <w:r>
        <w:instrText xml:space="preserve"> PAGEREF _Toc29572 \h </w:instrText>
      </w:r>
      <w:r>
        <w:fldChar w:fldCharType="separate"/>
      </w:r>
      <w:r>
        <w:t>43</w:t>
      </w:r>
      <w:r>
        <w:fldChar w:fldCharType="end"/>
      </w:r>
      <w:r>
        <w:rPr>
          <w:rFonts w:ascii="Times New Roman" w:hAnsi="Times New Roman" w:eastAsia="仿宋_GB2312" w:cs="Times New Roman"/>
          <w:highlight w:val="none"/>
        </w:rPr>
        <w:fldChar w:fldCharType="end"/>
      </w:r>
    </w:p>
    <w:p w14:paraId="5B781FE0">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_Toc4690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11. 分包作业计量与支付</w:t>
      </w:r>
      <w:r>
        <w:tab/>
      </w:r>
      <w:r>
        <w:fldChar w:fldCharType="begin"/>
      </w:r>
      <w:r>
        <w:instrText xml:space="preserve"> PAGEREF _Toc4690 \h </w:instrText>
      </w:r>
      <w:r>
        <w:fldChar w:fldCharType="separate"/>
      </w:r>
      <w:r>
        <w:t>43</w:t>
      </w:r>
      <w:r>
        <w:fldChar w:fldCharType="end"/>
      </w:r>
      <w:r>
        <w:rPr>
          <w:rFonts w:ascii="Times New Roman" w:hAnsi="Times New Roman" w:eastAsia="仿宋_GB2312" w:cs="Times New Roman"/>
          <w:highlight w:val="none"/>
        </w:rPr>
        <w:fldChar w:fldCharType="end"/>
      </w:r>
    </w:p>
    <w:p w14:paraId="491035A6">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_Toc16468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12. 验收与交付</w:t>
      </w:r>
      <w:r>
        <w:tab/>
      </w:r>
      <w:r>
        <w:fldChar w:fldCharType="begin"/>
      </w:r>
      <w:r>
        <w:instrText xml:space="preserve"> PAGEREF _Toc16468 \h </w:instrText>
      </w:r>
      <w:r>
        <w:fldChar w:fldCharType="separate"/>
      </w:r>
      <w:r>
        <w:t>43</w:t>
      </w:r>
      <w:r>
        <w:fldChar w:fldCharType="end"/>
      </w:r>
      <w:r>
        <w:rPr>
          <w:rFonts w:ascii="Times New Roman" w:hAnsi="Times New Roman" w:eastAsia="仿宋_GB2312" w:cs="Times New Roman"/>
          <w:highlight w:val="none"/>
        </w:rPr>
        <w:fldChar w:fldCharType="end"/>
      </w:r>
    </w:p>
    <w:p w14:paraId="5C776630">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_Toc1466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13. 分包作业结算与支付</w:t>
      </w:r>
      <w:r>
        <w:tab/>
      </w:r>
      <w:r>
        <w:fldChar w:fldCharType="begin"/>
      </w:r>
      <w:r>
        <w:instrText xml:space="preserve"> PAGEREF _Toc1466 \h </w:instrText>
      </w:r>
      <w:r>
        <w:fldChar w:fldCharType="separate"/>
      </w:r>
      <w:r>
        <w:t>45</w:t>
      </w:r>
      <w:r>
        <w:fldChar w:fldCharType="end"/>
      </w:r>
      <w:r>
        <w:rPr>
          <w:rFonts w:ascii="Times New Roman" w:hAnsi="Times New Roman" w:eastAsia="仿宋_GB2312" w:cs="Times New Roman"/>
          <w:highlight w:val="none"/>
        </w:rPr>
        <w:fldChar w:fldCharType="end"/>
      </w:r>
    </w:p>
    <w:p w14:paraId="1B0427CD">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_Toc15156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14. 违约</w:t>
      </w:r>
      <w:r>
        <w:tab/>
      </w:r>
      <w:r>
        <w:fldChar w:fldCharType="begin"/>
      </w:r>
      <w:r>
        <w:instrText xml:space="preserve"> PAGEREF _Toc15156 \h </w:instrText>
      </w:r>
      <w:r>
        <w:fldChar w:fldCharType="separate"/>
      </w:r>
      <w:r>
        <w:t>47</w:t>
      </w:r>
      <w:r>
        <w:fldChar w:fldCharType="end"/>
      </w:r>
      <w:r>
        <w:rPr>
          <w:rFonts w:ascii="Times New Roman" w:hAnsi="Times New Roman" w:eastAsia="仿宋_GB2312" w:cs="Times New Roman"/>
          <w:highlight w:val="none"/>
        </w:rPr>
        <w:fldChar w:fldCharType="end"/>
      </w:r>
    </w:p>
    <w:p w14:paraId="4246296D">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_Toc28150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15. 不可抗力</w:t>
      </w:r>
      <w:r>
        <w:tab/>
      </w:r>
      <w:r>
        <w:fldChar w:fldCharType="begin"/>
      </w:r>
      <w:r>
        <w:instrText xml:space="preserve"> PAGEREF _Toc28150 \h </w:instrText>
      </w:r>
      <w:r>
        <w:fldChar w:fldCharType="separate"/>
      </w:r>
      <w:r>
        <w:t>48</w:t>
      </w:r>
      <w:r>
        <w:fldChar w:fldCharType="end"/>
      </w:r>
      <w:r>
        <w:rPr>
          <w:rFonts w:ascii="Times New Roman" w:hAnsi="Times New Roman" w:eastAsia="仿宋_GB2312" w:cs="Times New Roman"/>
          <w:highlight w:val="none"/>
        </w:rPr>
        <w:fldChar w:fldCharType="end"/>
      </w:r>
    </w:p>
    <w:p w14:paraId="68CD5B1A">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_Toc28565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16. 保险</w:t>
      </w:r>
      <w:r>
        <w:tab/>
      </w:r>
      <w:r>
        <w:fldChar w:fldCharType="begin"/>
      </w:r>
      <w:r>
        <w:instrText xml:space="preserve"> PAGEREF _Toc28565 \h </w:instrText>
      </w:r>
      <w:r>
        <w:fldChar w:fldCharType="separate"/>
      </w:r>
      <w:r>
        <w:t>49</w:t>
      </w:r>
      <w:r>
        <w:fldChar w:fldCharType="end"/>
      </w:r>
      <w:r>
        <w:rPr>
          <w:rFonts w:ascii="Times New Roman" w:hAnsi="Times New Roman" w:eastAsia="仿宋_GB2312" w:cs="Times New Roman"/>
          <w:highlight w:val="none"/>
        </w:rPr>
        <w:fldChar w:fldCharType="end"/>
      </w:r>
    </w:p>
    <w:p w14:paraId="4F9996A9">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_Toc8885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17. 配合索赔</w:t>
      </w:r>
      <w:r>
        <w:tab/>
      </w:r>
      <w:r>
        <w:fldChar w:fldCharType="begin"/>
      </w:r>
      <w:r>
        <w:instrText xml:space="preserve"> PAGEREF _Toc8885 \h </w:instrText>
      </w:r>
      <w:r>
        <w:fldChar w:fldCharType="separate"/>
      </w:r>
      <w:r>
        <w:t>50</w:t>
      </w:r>
      <w:r>
        <w:fldChar w:fldCharType="end"/>
      </w:r>
      <w:r>
        <w:rPr>
          <w:rFonts w:ascii="Times New Roman" w:hAnsi="Times New Roman" w:eastAsia="仿宋_GB2312" w:cs="Times New Roman"/>
          <w:highlight w:val="none"/>
        </w:rPr>
        <w:fldChar w:fldCharType="end"/>
      </w:r>
    </w:p>
    <w:p w14:paraId="54005BBB">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_Toc4168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18. 合同解除</w:t>
      </w:r>
      <w:r>
        <w:tab/>
      </w:r>
      <w:r>
        <w:fldChar w:fldCharType="begin"/>
      </w:r>
      <w:r>
        <w:instrText xml:space="preserve"> PAGEREF _Toc4168 \h </w:instrText>
      </w:r>
      <w:r>
        <w:fldChar w:fldCharType="separate"/>
      </w:r>
      <w:r>
        <w:t>50</w:t>
      </w:r>
      <w:r>
        <w:fldChar w:fldCharType="end"/>
      </w:r>
      <w:r>
        <w:rPr>
          <w:rFonts w:ascii="Times New Roman" w:hAnsi="Times New Roman" w:eastAsia="仿宋_GB2312" w:cs="Times New Roman"/>
          <w:highlight w:val="none"/>
        </w:rPr>
        <w:fldChar w:fldCharType="end"/>
      </w:r>
    </w:p>
    <w:p w14:paraId="33130633">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_Toc26087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19. 知识产权</w:t>
      </w:r>
      <w:r>
        <w:tab/>
      </w:r>
      <w:r>
        <w:fldChar w:fldCharType="begin"/>
      </w:r>
      <w:r>
        <w:instrText xml:space="preserve"> PAGEREF _Toc26087 \h </w:instrText>
      </w:r>
      <w:r>
        <w:fldChar w:fldCharType="separate"/>
      </w:r>
      <w:r>
        <w:t>52</w:t>
      </w:r>
      <w:r>
        <w:fldChar w:fldCharType="end"/>
      </w:r>
      <w:r>
        <w:rPr>
          <w:rFonts w:ascii="Times New Roman" w:hAnsi="Times New Roman" w:eastAsia="仿宋_GB2312" w:cs="Times New Roman"/>
          <w:highlight w:val="none"/>
        </w:rPr>
        <w:fldChar w:fldCharType="end"/>
      </w:r>
    </w:p>
    <w:p w14:paraId="1F2A00B2">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_Toc12405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rPr>
        <w:t>20. 其他约定</w:t>
      </w:r>
      <w:r>
        <w:tab/>
      </w:r>
      <w:r>
        <w:fldChar w:fldCharType="begin"/>
      </w:r>
      <w:r>
        <w:instrText xml:space="preserve"> PAGEREF _Toc12405 \h </w:instrText>
      </w:r>
      <w:r>
        <w:fldChar w:fldCharType="separate"/>
      </w:r>
      <w:r>
        <w:t>53</w:t>
      </w:r>
      <w:r>
        <w:fldChar w:fldCharType="end"/>
      </w:r>
      <w:r>
        <w:rPr>
          <w:rFonts w:ascii="Times New Roman" w:hAnsi="Times New Roman" w:eastAsia="仿宋_GB2312" w:cs="Times New Roman"/>
          <w:highlight w:val="none"/>
        </w:rPr>
        <w:fldChar w:fldCharType="end"/>
      </w:r>
    </w:p>
    <w:p w14:paraId="5D31CADD">
      <w:pPr>
        <w:pStyle w:val="30"/>
        <w:tabs>
          <w:tab w:val="right" w:leader="dot" w:pos="8306"/>
          <w:tab w:val="clear" w:pos="1890"/>
          <w:tab w:val="clear" w:pos="8296"/>
        </w:tabs>
      </w:pPr>
      <w:r>
        <w:rPr>
          <w:rFonts w:ascii="Times New Roman" w:hAnsi="Times New Roman" w:eastAsia="仿宋_GB2312" w:cs="Times New Roman"/>
          <w:highlight w:val="none"/>
        </w:rPr>
        <w:fldChar w:fldCharType="begin"/>
      </w:r>
      <w:r>
        <w:rPr>
          <w:rFonts w:ascii="Times New Roman" w:hAnsi="Times New Roman" w:eastAsia="仿宋_GB2312" w:cs="Times New Roman"/>
          <w:highlight w:val="none"/>
        </w:rPr>
        <w:instrText xml:space="preserve"> HYPERLINK \l _Toc15161 </w:instrText>
      </w:r>
      <w:r>
        <w:rPr>
          <w:rFonts w:ascii="Times New Roman" w:hAnsi="Times New Roman" w:eastAsia="仿宋_GB2312" w:cs="Times New Roman"/>
          <w:highlight w:val="none"/>
        </w:rPr>
        <w:fldChar w:fldCharType="separate"/>
      </w:r>
      <w:r>
        <w:rPr>
          <w:rFonts w:hint="eastAsia" w:ascii="黑体" w:hAnsi="黑体" w:eastAsia="黑体" w:cs="黑体"/>
          <w:bCs/>
          <w:highlight w:val="none"/>
          <w:lang w:val="en-US" w:eastAsia="zh-CN"/>
        </w:rPr>
        <w:t>21 附件</w:t>
      </w:r>
      <w:r>
        <w:tab/>
      </w:r>
      <w:r>
        <w:fldChar w:fldCharType="begin"/>
      </w:r>
      <w:r>
        <w:instrText xml:space="preserve"> PAGEREF _Toc15161 \h </w:instrText>
      </w:r>
      <w:r>
        <w:fldChar w:fldCharType="separate"/>
      </w:r>
      <w:r>
        <w:t>53</w:t>
      </w:r>
      <w:r>
        <w:fldChar w:fldCharType="end"/>
      </w:r>
      <w:r>
        <w:rPr>
          <w:rFonts w:ascii="Times New Roman" w:hAnsi="Times New Roman" w:eastAsia="仿宋_GB2312" w:cs="Times New Roman"/>
          <w:highlight w:val="none"/>
        </w:rPr>
        <w:fldChar w:fldCharType="end"/>
      </w:r>
    </w:p>
    <w:p w14:paraId="658BE8A7">
      <w:pPr>
        <w:pStyle w:val="30"/>
        <w:tabs>
          <w:tab w:val="right" w:leader="dot" w:pos="8306"/>
          <w:tab w:val="clear" w:pos="1890"/>
          <w:tab w:val="clear" w:pos="8296"/>
        </w:tabs>
        <w:rPr>
          <w:rFonts w:hint="eastAsia" w:ascii="黑体" w:hAnsi="黑体" w:eastAsia="黑体" w:cs="黑体"/>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_Toc13716 </w:instrText>
      </w:r>
      <w:r>
        <w:rPr>
          <w:rFonts w:hint="eastAsia" w:ascii="黑体" w:hAnsi="黑体" w:eastAsia="黑体" w:cs="黑体"/>
          <w:highlight w:val="none"/>
        </w:rPr>
        <w:fldChar w:fldCharType="separate"/>
      </w:r>
      <w:r>
        <w:rPr>
          <w:rFonts w:hint="eastAsia" w:ascii="黑体" w:hAnsi="黑体" w:eastAsia="黑体" w:cs="黑体"/>
          <w:highlight w:val="none"/>
        </w:rPr>
        <w:t>附件1 工程量清单与计价表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_Toc13716 \h </w:instrText>
      </w:r>
      <w:r>
        <w:rPr>
          <w:rFonts w:hint="eastAsia" w:ascii="黑体" w:hAnsi="黑体" w:eastAsia="黑体" w:cs="黑体"/>
        </w:rPr>
        <w:fldChar w:fldCharType="separate"/>
      </w:r>
      <w:r>
        <w:rPr>
          <w:rFonts w:hint="eastAsia" w:ascii="黑体" w:hAnsi="黑体" w:eastAsia="黑体" w:cs="黑体"/>
        </w:rPr>
        <w:t>55</w:t>
      </w:r>
      <w:r>
        <w:rPr>
          <w:rFonts w:hint="eastAsia" w:ascii="黑体" w:hAnsi="黑体" w:eastAsia="黑体" w:cs="黑体"/>
        </w:rPr>
        <w:fldChar w:fldCharType="end"/>
      </w:r>
      <w:r>
        <w:rPr>
          <w:rFonts w:hint="eastAsia" w:ascii="黑体" w:hAnsi="黑体" w:eastAsia="黑体" w:cs="黑体"/>
          <w:highlight w:val="none"/>
        </w:rPr>
        <w:fldChar w:fldCharType="end"/>
      </w:r>
    </w:p>
    <w:p w14:paraId="39AF3C94">
      <w:pPr>
        <w:pStyle w:val="30"/>
        <w:tabs>
          <w:tab w:val="right" w:leader="dot" w:pos="8306"/>
          <w:tab w:val="clear" w:pos="1890"/>
          <w:tab w:val="clear" w:pos="8296"/>
        </w:tabs>
        <w:rPr>
          <w:rFonts w:hint="eastAsia" w:ascii="黑体" w:hAnsi="黑体" w:eastAsia="黑体" w:cs="黑体"/>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_Toc10431 </w:instrText>
      </w:r>
      <w:r>
        <w:rPr>
          <w:rFonts w:hint="eastAsia" w:ascii="黑体" w:hAnsi="黑体" w:eastAsia="黑体" w:cs="黑体"/>
          <w:highlight w:val="none"/>
        </w:rPr>
        <w:fldChar w:fldCharType="separate"/>
      </w:r>
      <w:r>
        <w:rPr>
          <w:rFonts w:hint="eastAsia" w:ascii="黑体" w:hAnsi="黑体" w:eastAsia="黑体" w:cs="黑体"/>
          <w:highlight w:val="none"/>
          <w:lang w:val="en-US" w:eastAsia="zh-CN"/>
        </w:rPr>
        <w:t>附件2  授权委托书（甲方）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_Toc10431 \h </w:instrText>
      </w:r>
      <w:r>
        <w:rPr>
          <w:rFonts w:hint="eastAsia" w:ascii="黑体" w:hAnsi="黑体" w:eastAsia="黑体" w:cs="黑体"/>
        </w:rPr>
        <w:fldChar w:fldCharType="separate"/>
      </w:r>
      <w:r>
        <w:rPr>
          <w:rFonts w:hint="eastAsia" w:ascii="黑体" w:hAnsi="黑体" w:eastAsia="黑体" w:cs="黑体"/>
        </w:rPr>
        <w:t>56</w:t>
      </w:r>
      <w:r>
        <w:rPr>
          <w:rFonts w:hint="eastAsia" w:ascii="黑体" w:hAnsi="黑体" w:eastAsia="黑体" w:cs="黑体"/>
        </w:rPr>
        <w:fldChar w:fldCharType="end"/>
      </w:r>
      <w:r>
        <w:rPr>
          <w:rFonts w:hint="eastAsia" w:ascii="黑体" w:hAnsi="黑体" w:eastAsia="黑体" w:cs="黑体"/>
          <w:highlight w:val="none"/>
        </w:rPr>
        <w:fldChar w:fldCharType="end"/>
      </w:r>
    </w:p>
    <w:p w14:paraId="1F564CB3">
      <w:pPr>
        <w:pStyle w:val="30"/>
        <w:tabs>
          <w:tab w:val="right" w:leader="dot" w:pos="8306"/>
          <w:tab w:val="clear" w:pos="1890"/>
          <w:tab w:val="clear" w:pos="8296"/>
        </w:tabs>
        <w:rPr>
          <w:rFonts w:hint="eastAsia" w:ascii="黑体" w:hAnsi="黑体" w:eastAsia="黑体" w:cs="黑体"/>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_Toc20986 </w:instrText>
      </w:r>
      <w:r>
        <w:rPr>
          <w:rFonts w:hint="eastAsia" w:ascii="黑体" w:hAnsi="黑体" w:eastAsia="黑体" w:cs="黑体"/>
          <w:highlight w:val="none"/>
        </w:rPr>
        <w:fldChar w:fldCharType="separate"/>
      </w:r>
      <w:r>
        <w:rPr>
          <w:rFonts w:hint="eastAsia" w:ascii="黑体" w:hAnsi="黑体" w:eastAsia="黑体" w:cs="黑体"/>
          <w:highlight w:val="none"/>
        </w:rPr>
        <w:t>附件3  授 权 委 托 书（乙方）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_Toc20986 \h </w:instrText>
      </w:r>
      <w:r>
        <w:rPr>
          <w:rFonts w:hint="eastAsia" w:ascii="黑体" w:hAnsi="黑体" w:eastAsia="黑体" w:cs="黑体"/>
        </w:rPr>
        <w:fldChar w:fldCharType="separate"/>
      </w:r>
      <w:r>
        <w:rPr>
          <w:rFonts w:hint="eastAsia" w:ascii="黑体" w:hAnsi="黑体" w:eastAsia="黑体" w:cs="黑体"/>
        </w:rPr>
        <w:t>57</w:t>
      </w:r>
      <w:r>
        <w:rPr>
          <w:rFonts w:hint="eastAsia" w:ascii="黑体" w:hAnsi="黑体" w:eastAsia="黑体" w:cs="黑体"/>
        </w:rPr>
        <w:fldChar w:fldCharType="end"/>
      </w:r>
      <w:r>
        <w:rPr>
          <w:rFonts w:hint="eastAsia" w:ascii="黑体" w:hAnsi="黑体" w:eastAsia="黑体" w:cs="黑体"/>
          <w:highlight w:val="none"/>
        </w:rPr>
        <w:fldChar w:fldCharType="end"/>
      </w:r>
    </w:p>
    <w:p w14:paraId="12EB24DA">
      <w:pPr>
        <w:pStyle w:val="30"/>
        <w:tabs>
          <w:tab w:val="right" w:leader="dot" w:pos="8306"/>
          <w:tab w:val="clear" w:pos="1890"/>
          <w:tab w:val="clear" w:pos="8296"/>
        </w:tabs>
        <w:rPr>
          <w:rFonts w:hint="eastAsia" w:ascii="黑体" w:hAnsi="黑体" w:eastAsia="黑体" w:cs="黑体"/>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_Toc4545 </w:instrText>
      </w:r>
      <w:r>
        <w:rPr>
          <w:rFonts w:hint="eastAsia" w:ascii="黑体" w:hAnsi="黑体" w:eastAsia="黑体" w:cs="黑体"/>
          <w:highlight w:val="none"/>
        </w:rPr>
        <w:fldChar w:fldCharType="separate"/>
      </w:r>
      <w:r>
        <w:rPr>
          <w:rFonts w:hint="eastAsia" w:ascii="黑体" w:hAnsi="黑体" w:eastAsia="黑体" w:cs="黑体"/>
          <w:highlight w:val="none"/>
        </w:rPr>
        <w:t>附件4  乙方现场管理人员名单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_Toc4545 \h </w:instrText>
      </w:r>
      <w:r>
        <w:rPr>
          <w:rFonts w:hint="eastAsia" w:ascii="黑体" w:hAnsi="黑体" w:eastAsia="黑体" w:cs="黑体"/>
        </w:rPr>
        <w:fldChar w:fldCharType="separate"/>
      </w:r>
      <w:r>
        <w:rPr>
          <w:rFonts w:hint="eastAsia" w:ascii="黑体" w:hAnsi="黑体" w:eastAsia="黑体" w:cs="黑体"/>
        </w:rPr>
        <w:t>58</w:t>
      </w:r>
      <w:r>
        <w:rPr>
          <w:rFonts w:hint="eastAsia" w:ascii="黑体" w:hAnsi="黑体" w:eastAsia="黑体" w:cs="黑体"/>
        </w:rPr>
        <w:fldChar w:fldCharType="end"/>
      </w:r>
      <w:r>
        <w:rPr>
          <w:rFonts w:hint="eastAsia" w:ascii="黑体" w:hAnsi="黑体" w:eastAsia="黑体" w:cs="黑体"/>
          <w:highlight w:val="none"/>
        </w:rPr>
        <w:fldChar w:fldCharType="end"/>
      </w:r>
    </w:p>
    <w:p w14:paraId="056D11BD">
      <w:pPr>
        <w:pStyle w:val="30"/>
        <w:tabs>
          <w:tab w:val="right" w:leader="dot" w:pos="8306"/>
          <w:tab w:val="clear" w:pos="1890"/>
          <w:tab w:val="clear" w:pos="8296"/>
        </w:tabs>
        <w:rPr>
          <w:rFonts w:hint="eastAsia" w:ascii="黑体" w:hAnsi="黑体" w:eastAsia="黑体" w:cs="黑体"/>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_Toc5363 </w:instrText>
      </w:r>
      <w:r>
        <w:rPr>
          <w:rFonts w:hint="eastAsia" w:ascii="黑体" w:hAnsi="黑体" w:eastAsia="黑体" w:cs="黑体"/>
          <w:highlight w:val="none"/>
        </w:rPr>
        <w:fldChar w:fldCharType="separate"/>
      </w:r>
      <w:r>
        <w:rPr>
          <w:rFonts w:hint="eastAsia" w:ascii="黑体" w:hAnsi="黑体" w:eastAsia="黑体" w:cs="黑体"/>
          <w:highlight w:val="none"/>
        </w:rPr>
        <w:t>附件</w:t>
      </w:r>
      <w:r>
        <w:rPr>
          <w:rFonts w:hint="eastAsia" w:ascii="黑体" w:hAnsi="黑体" w:eastAsia="黑体" w:cs="黑体"/>
          <w:highlight w:val="none"/>
          <w:lang w:val="en-US" w:eastAsia="zh-CN"/>
        </w:rPr>
        <w:t>5</w:t>
      </w:r>
      <w:r>
        <w:rPr>
          <w:rFonts w:hint="eastAsia" w:ascii="黑体" w:hAnsi="黑体" w:eastAsia="黑体" w:cs="黑体"/>
          <w:highlight w:val="none"/>
        </w:rPr>
        <w:t xml:space="preserve">  </w:t>
      </w:r>
      <w:r>
        <w:rPr>
          <w:rFonts w:hint="eastAsia" w:ascii="黑体" w:hAnsi="黑体" w:eastAsia="黑体" w:cs="黑体"/>
          <w:highlight w:val="none"/>
          <w:lang w:val="en-US" w:eastAsia="zh-CN"/>
        </w:rPr>
        <w:t xml:space="preserve"> </w:t>
      </w:r>
      <w:r>
        <w:rPr>
          <w:rFonts w:hint="eastAsia" w:ascii="黑体" w:hAnsi="黑体" w:eastAsia="黑体" w:cs="黑体"/>
          <w:highlight w:val="none"/>
        </w:rPr>
        <w:t>项目廉政合同书</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_Toc5363 \h </w:instrText>
      </w:r>
      <w:r>
        <w:rPr>
          <w:rFonts w:hint="eastAsia" w:ascii="黑体" w:hAnsi="黑体" w:eastAsia="黑体" w:cs="黑体"/>
        </w:rPr>
        <w:fldChar w:fldCharType="separate"/>
      </w:r>
      <w:r>
        <w:rPr>
          <w:rFonts w:hint="eastAsia" w:ascii="黑体" w:hAnsi="黑体" w:eastAsia="黑体" w:cs="黑体"/>
        </w:rPr>
        <w:t>59</w:t>
      </w:r>
      <w:r>
        <w:rPr>
          <w:rFonts w:hint="eastAsia" w:ascii="黑体" w:hAnsi="黑体" w:eastAsia="黑体" w:cs="黑体"/>
        </w:rPr>
        <w:fldChar w:fldCharType="end"/>
      </w:r>
      <w:r>
        <w:rPr>
          <w:rFonts w:hint="eastAsia" w:ascii="黑体" w:hAnsi="黑体" w:eastAsia="黑体" w:cs="黑体"/>
          <w:highlight w:val="none"/>
        </w:rPr>
        <w:fldChar w:fldCharType="end"/>
      </w:r>
    </w:p>
    <w:p w14:paraId="0FB046D6">
      <w:pPr>
        <w:pStyle w:val="30"/>
        <w:tabs>
          <w:tab w:val="right" w:leader="dot" w:pos="8306"/>
          <w:tab w:val="clear" w:pos="1890"/>
          <w:tab w:val="clear" w:pos="8296"/>
        </w:tabs>
        <w:rPr>
          <w:rFonts w:hint="eastAsia" w:ascii="黑体" w:hAnsi="黑体" w:eastAsia="黑体" w:cs="黑体"/>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_Toc9466 </w:instrText>
      </w:r>
      <w:r>
        <w:rPr>
          <w:rFonts w:hint="eastAsia" w:ascii="黑体" w:hAnsi="黑体" w:eastAsia="黑体" w:cs="黑体"/>
          <w:highlight w:val="none"/>
        </w:rPr>
        <w:fldChar w:fldCharType="separate"/>
      </w:r>
      <w:r>
        <w:rPr>
          <w:rFonts w:hint="eastAsia" w:ascii="黑体" w:hAnsi="黑体" w:eastAsia="黑体" w:cs="黑体"/>
          <w:highlight w:val="none"/>
        </w:rPr>
        <w:t>附件</w:t>
      </w:r>
      <w:r>
        <w:rPr>
          <w:rFonts w:hint="eastAsia" w:ascii="黑体" w:hAnsi="黑体" w:eastAsia="黑体" w:cs="黑体"/>
          <w:highlight w:val="none"/>
          <w:lang w:val="en-US" w:eastAsia="zh-CN"/>
        </w:rPr>
        <w:t>6</w:t>
      </w:r>
      <w:r>
        <w:rPr>
          <w:rFonts w:hint="eastAsia" w:ascii="黑体" w:hAnsi="黑体" w:eastAsia="黑体" w:cs="黑体"/>
          <w:highlight w:val="none"/>
        </w:rPr>
        <w:t xml:space="preserve">  工程质量专项管理协议书</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_Toc9466 \h </w:instrText>
      </w:r>
      <w:r>
        <w:rPr>
          <w:rFonts w:hint="eastAsia" w:ascii="黑体" w:hAnsi="黑体" w:eastAsia="黑体" w:cs="黑体"/>
        </w:rPr>
        <w:fldChar w:fldCharType="separate"/>
      </w:r>
      <w:r>
        <w:rPr>
          <w:rFonts w:hint="eastAsia" w:ascii="黑体" w:hAnsi="黑体" w:eastAsia="黑体" w:cs="黑体"/>
        </w:rPr>
        <w:t>61</w:t>
      </w:r>
      <w:r>
        <w:rPr>
          <w:rFonts w:hint="eastAsia" w:ascii="黑体" w:hAnsi="黑体" w:eastAsia="黑体" w:cs="黑体"/>
        </w:rPr>
        <w:fldChar w:fldCharType="end"/>
      </w:r>
      <w:r>
        <w:rPr>
          <w:rFonts w:hint="eastAsia" w:ascii="黑体" w:hAnsi="黑体" w:eastAsia="黑体" w:cs="黑体"/>
          <w:highlight w:val="none"/>
        </w:rPr>
        <w:fldChar w:fldCharType="end"/>
      </w:r>
    </w:p>
    <w:p w14:paraId="2A8D1CDA">
      <w:pPr>
        <w:pStyle w:val="30"/>
        <w:tabs>
          <w:tab w:val="right" w:leader="dot" w:pos="8306"/>
          <w:tab w:val="clear" w:pos="1890"/>
          <w:tab w:val="clear" w:pos="8296"/>
        </w:tabs>
        <w:rPr>
          <w:rFonts w:hint="eastAsia" w:ascii="黑体" w:hAnsi="黑体" w:eastAsia="黑体" w:cs="黑体"/>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_Toc17535 </w:instrText>
      </w:r>
      <w:r>
        <w:rPr>
          <w:rFonts w:hint="eastAsia" w:ascii="黑体" w:hAnsi="黑体" w:eastAsia="黑体" w:cs="黑体"/>
          <w:highlight w:val="none"/>
        </w:rPr>
        <w:fldChar w:fldCharType="separate"/>
      </w:r>
      <w:r>
        <w:rPr>
          <w:rFonts w:hint="eastAsia" w:ascii="黑体" w:hAnsi="黑体" w:eastAsia="黑体" w:cs="黑体"/>
          <w:highlight w:val="none"/>
        </w:rPr>
        <w:t>附件</w:t>
      </w:r>
      <w:r>
        <w:rPr>
          <w:rFonts w:hint="eastAsia" w:ascii="黑体" w:hAnsi="黑体" w:eastAsia="黑体" w:cs="黑体"/>
          <w:highlight w:val="none"/>
          <w:lang w:val="en-US" w:eastAsia="zh-CN"/>
        </w:rPr>
        <w:t>7</w:t>
      </w:r>
      <w:r>
        <w:rPr>
          <w:rFonts w:hint="eastAsia" w:ascii="黑体" w:hAnsi="黑体" w:eastAsia="黑体" w:cs="黑体"/>
          <w:highlight w:val="none"/>
        </w:rPr>
        <w:t xml:space="preserve">  施工现场安全生产管理协议</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_Toc17535 \h </w:instrText>
      </w:r>
      <w:r>
        <w:rPr>
          <w:rFonts w:hint="eastAsia" w:ascii="黑体" w:hAnsi="黑体" w:eastAsia="黑体" w:cs="黑体"/>
        </w:rPr>
        <w:fldChar w:fldCharType="separate"/>
      </w:r>
      <w:r>
        <w:rPr>
          <w:rFonts w:hint="eastAsia" w:ascii="黑体" w:hAnsi="黑体" w:eastAsia="黑体" w:cs="黑体"/>
        </w:rPr>
        <w:t>68</w:t>
      </w:r>
      <w:r>
        <w:rPr>
          <w:rFonts w:hint="eastAsia" w:ascii="黑体" w:hAnsi="黑体" w:eastAsia="黑体" w:cs="黑体"/>
        </w:rPr>
        <w:fldChar w:fldCharType="end"/>
      </w:r>
      <w:r>
        <w:rPr>
          <w:rFonts w:hint="eastAsia" w:ascii="黑体" w:hAnsi="黑体" w:eastAsia="黑体" w:cs="黑体"/>
          <w:highlight w:val="none"/>
        </w:rPr>
        <w:fldChar w:fldCharType="end"/>
      </w:r>
    </w:p>
    <w:p w14:paraId="262E67E0">
      <w:pPr>
        <w:pStyle w:val="30"/>
        <w:tabs>
          <w:tab w:val="right" w:leader="dot" w:pos="8306"/>
          <w:tab w:val="clear" w:pos="1890"/>
          <w:tab w:val="clear" w:pos="8296"/>
        </w:tabs>
        <w:rPr>
          <w:rFonts w:hint="eastAsia" w:ascii="黑体" w:hAnsi="黑体" w:eastAsia="黑体" w:cs="黑体"/>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_Toc25040 </w:instrText>
      </w:r>
      <w:r>
        <w:rPr>
          <w:rFonts w:hint="eastAsia" w:ascii="黑体" w:hAnsi="黑体" w:eastAsia="黑体" w:cs="黑体"/>
          <w:highlight w:val="none"/>
        </w:rPr>
        <w:fldChar w:fldCharType="separate"/>
      </w:r>
      <w:r>
        <w:rPr>
          <w:rFonts w:hint="eastAsia" w:ascii="黑体" w:hAnsi="黑体" w:eastAsia="黑体" w:cs="黑体"/>
          <w:highlight w:val="none"/>
        </w:rPr>
        <w:t>附件</w:t>
      </w:r>
      <w:r>
        <w:rPr>
          <w:rFonts w:hint="eastAsia" w:ascii="黑体" w:hAnsi="黑体" w:eastAsia="黑体" w:cs="黑体"/>
          <w:highlight w:val="none"/>
          <w:lang w:val="en-US" w:eastAsia="zh-CN"/>
        </w:rPr>
        <w:t>8</w:t>
      </w:r>
      <w:r>
        <w:rPr>
          <w:rFonts w:hint="eastAsia" w:ascii="黑体" w:hAnsi="黑体" w:eastAsia="黑体" w:cs="黑体"/>
          <w:highlight w:val="none"/>
        </w:rPr>
        <w:t xml:space="preserve">  </w:t>
      </w:r>
      <w:r>
        <w:rPr>
          <w:rFonts w:hint="eastAsia" w:ascii="黑体" w:hAnsi="黑体" w:eastAsia="黑体" w:cs="黑体"/>
          <w:highlight w:val="none"/>
          <w:lang w:val="zh-CN"/>
        </w:rPr>
        <w:t>项目后勤管理协议</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_Toc25040 \h </w:instrText>
      </w:r>
      <w:r>
        <w:rPr>
          <w:rFonts w:hint="eastAsia" w:ascii="黑体" w:hAnsi="黑体" w:eastAsia="黑体" w:cs="黑体"/>
        </w:rPr>
        <w:fldChar w:fldCharType="separate"/>
      </w:r>
      <w:r>
        <w:rPr>
          <w:rFonts w:hint="eastAsia" w:ascii="黑体" w:hAnsi="黑体" w:eastAsia="黑体" w:cs="黑体"/>
        </w:rPr>
        <w:t>77</w:t>
      </w:r>
      <w:r>
        <w:rPr>
          <w:rFonts w:hint="eastAsia" w:ascii="黑体" w:hAnsi="黑体" w:eastAsia="黑体" w:cs="黑体"/>
        </w:rPr>
        <w:fldChar w:fldCharType="end"/>
      </w:r>
      <w:r>
        <w:rPr>
          <w:rFonts w:hint="eastAsia" w:ascii="黑体" w:hAnsi="黑体" w:eastAsia="黑体" w:cs="黑体"/>
          <w:highlight w:val="none"/>
        </w:rPr>
        <w:fldChar w:fldCharType="end"/>
      </w:r>
    </w:p>
    <w:p w14:paraId="0B062E74">
      <w:pPr>
        <w:pStyle w:val="30"/>
        <w:tabs>
          <w:tab w:val="right" w:leader="dot" w:pos="8306"/>
          <w:tab w:val="clear" w:pos="1890"/>
          <w:tab w:val="clear" w:pos="8296"/>
        </w:tabs>
        <w:rPr>
          <w:rFonts w:hint="eastAsia" w:ascii="黑体" w:hAnsi="黑体" w:eastAsia="黑体" w:cs="黑体"/>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_Toc5678 </w:instrText>
      </w:r>
      <w:r>
        <w:rPr>
          <w:rFonts w:hint="eastAsia" w:ascii="黑体" w:hAnsi="黑体" w:eastAsia="黑体" w:cs="黑体"/>
          <w:highlight w:val="none"/>
        </w:rPr>
        <w:fldChar w:fldCharType="separate"/>
      </w:r>
      <w:r>
        <w:rPr>
          <w:rFonts w:hint="eastAsia" w:ascii="黑体" w:hAnsi="黑体" w:eastAsia="黑体" w:cs="黑体"/>
          <w:highlight w:val="none"/>
        </w:rPr>
        <w:t>附件</w:t>
      </w:r>
      <w:r>
        <w:rPr>
          <w:rFonts w:hint="eastAsia" w:ascii="黑体" w:hAnsi="黑体" w:eastAsia="黑体" w:cs="黑体"/>
          <w:highlight w:val="none"/>
          <w:lang w:val="en-US" w:eastAsia="zh-CN"/>
        </w:rPr>
        <w:t>9</w:t>
      </w:r>
      <w:r>
        <w:rPr>
          <w:rFonts w:hint="eastAsia" w:ascii="黑体" w:hAnsi="黑体" w:eastAsia="黑体" w:cs="黑体"/>
          <w:highlight w:val="none"/>
        </w:rPr>
        <w:t xml:space="preserve"> </w:t>
      </w:r>
      <w:r>
        <w:rPr>
          <w:rFonts w:hint="eastAsia" w:ascii="黑体" w:hAnsi="黑体" w:eastAsia="黑体" w:cs="黑体"/>
          <w:highlight w:val="none"/>
          <w:lang w:val="en-US" w:eastAsia="zh-CN"/>
        </w:rPr>
        <w:t xml:space="preserve"> </w:t>
      </w:r>
      <w:r>
        <w:rPr>
          <w:rFonts w:hint="eastAsia" w:ascii="黑体" w:hAnsi="黑体" w:eastAsia="黑体" w:cs="黑体"/>
          <w:highlight w:val="none"/>
        </w:rPr>
        <w:t>质量保修书</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_Toc5678 \h </w:instrText>
      </w:r>
      <w:r>
        <w:rPr>
          <w:rFonts w:hint="eastAsia" w:ascii="黑体" w:hAnsi="黑体" w:eastAsia="黑体" w:cs="黑体"/>
        </w:rPr>
        <w:fldChar w:fldCharType="separate"/>
      </w:r>
      <w:r>
        <w:rPr>
          <w:rFonts w:hint="eastAsia" w:ascii="黑体" w:hAnsi="黑体" w:eastAsia="黑体" w:cs="黑体"/>
        </w:rPr>
        <w:t>80</w:t>
      </w:r>
      <w:r>
        <w:rPr>
          <w:rFonts w:hint="eastAsia" w:ascii="黑体" w:hAnsi="黑体" w:eastAsia="黑体" w:cs="黑体"/>
        </w:rPr>
        <w:fldChar w:fldCharType="end"/>
      </w:r>
      <w:r>
        <w:rPr>
          <w:rFonts w:hint="eastAsia" w:ascii="黑体" w:hAnsi="黑体" w:eastAsia="黑体" w:cs="黑体"/>
          <w:highlight w:val="none"/>
        </w:rPr>
        <w:fldChar w:fldCharType="end"/>
      </w:r>
    </w:p>
    <w:p w14:paraId="55EC7A67">
      <w:pPr>
        <w:pStyle w:val="30"/>
        <w:tabs>
          <w:tab w:val="right" w:leader="dot" w:pos="8306"/>
          <w:tab w:val="clear" w:pos="1890"/>
          <w:tab w:val="clear" w:pos="8296"/>
        </w:tabs>
        <w:rPr>
          <w:rFonts w:hint="eastAsia" w:ascii="黑体" w:hAnsi="黑体" w:eastAsia="黑体" w:cs="黑体"/>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_Toc5198 </w:instrText>
      </w:r>
      <w:r>
        <w:rPr>
          <w:rFonts w:hint="eastAsia" w:ascii="黑体" w:hAnsi="黑体" w:eastAsia="黑体" w:cs="黑体"/>
          <w:highlight w:val="none"/>
        </w:rPr>
        <w:fldChar w:fldCharType="separate"/>
      </w:r>
      <w:r>
        <w:rPr>
          <w:rFonts w:hint="eastAsia" w:ascii="黑体" w:hAnsi="黑体" w:eastAsia="黑体" w:cs="黑体"/>
          <w:highlight w:val="none"/>
        </w:rPr>
        <w:t>附件1</w:t>
      </w:r>
      <w:r>
        <w:rPr>
          <w:rFonts w:hint="eastAsia" w:ascii="黑体" w:hAnsi="黑体" w:eastAsia="黑体" w:cs="黑体"/>
          <w:highlight w:val="none"/>
          <w:lang w:val="en-US" w:eastAsia="zh-CN"/>
        </w:rPr>
        <w:t>0</w:t>
      </w:r>
      <w:r>
        <w:rPr>
          <w:rFonts w:hint="eastAsia" w:ascii="黑体" w:hAnsi="黑体" w:eastAsia="黑体" w:cs="黑体"/>
          <w:highlight w:val="none"/>
        </w:rPr>
        <w:t xml:space="preserve"> </w:t>
      </w:r>
      <w:r>
        <w:rPr>
          <w:rFonts w:hint="eastAsia" w:ascii="黑体" w:hAnsi="黑体" w:eastAsia="黑体" w:cs="黑体"/>
          <w:highlight w:val="none"/>
          <w:lang w:val="en-US" w:eastAsia="zh-CN"/>
        </w:rPr>
        <w:t xml:space="preserve"> </w:t>
      </w:r>
      <w:r>
        <w:rPr>
          <w:rFonts w:hint="eastAsia" w:ascii="黑体" w:hAnsi="黑体" w:eastAsia="黑体" w:cs="黑体"/>
          <w:highlight w:val="none"/>
        </w:rPr>
        <w:t>农民工工资委托支付协议</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_Toc5198 \h </w:instrText>
      </w:r>
      <w:r>
        <w:rPr>
          <w:rFonts w:hint="eastAsia" w:ascii="黑体" w:hAnsi="黑体" w:eastAsia="黑体" w:cs="黑体"/>
        </w:rPr>
        <w:fldChar w:fldCharType="separate"/>
      </w:r>
      <w:r>
        <w:rPr>
          <w:rFonts w:hint="eastAsia" w:ascii="黑体" w:hAnsi="黑体" w:eastAsia="黑体" w:cs="黑体"/>
        </w:rPr>
        <w:t>83</w:t>
      </w:r>
      <w:r>
        <w:rPr>
          <w:rFonts w:hint="eastAsia" w:ascii="黑体" w:hAnsi="黑体" w:eastAsia="黑体" w:cs="黑体"/>
        </w:rPr>
        <w:fldChar w:fldCharType="end"/>
      </w:r>
      <w:r>
        <w:rPr>
          <w:rFonts w:hint="eastAsia" w:ascii="黑体" w:hAnsi="黑体" w:eastAsia="黑体" w:cs="黑体"/>
          <w:highlight w:val="none"/>
        </w:rPr>
        <w:fldChar w:fldCharType="end"/>
      </w:r>
    </w:p>
    <w:p w14:paraId="0BF539CE">
      <w:pPr>
        <w:pStyle w:val="30"/>
        <w:tabs>
          <w:tab w:val="right" w:leader="dot" w:pos="8306"/>
          <w:tab w:val="clear" w:pos="1890"/>
          <w:tab w:val="clear" w:pos="8296"/>
        </w:tabs>
        <w:rPr>
          <w:rFonts w:hint="eastAsia" w:ascii="黑体" w:hAnsi="黑体" w:eastAsia="黑体" w:cs="黑体"/>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_Toc18356 </w:instrText>
      </w:r>
      <w:r>
        <w:rPr>
          <w:rFonts w:hint="eastAsia" w:ascii="黑体" w:hAnsi="黑体" w:eastAsia="黑体" w:cs="黑体"/>
          <w:highlight w:val="none"/>
        </w:rPr>
        <w:fldChar w:fldCharType="separate"/>
      </w:r>
      <w:r>
        <w:rPr>
          <w:rFonts w:hint="eastAsia" w:ascii="黑体" w:hAnsi="黑体" w:eastAsia="黑体" w:cs="黑体"/>
          <w:highlight w:val="none"/>
        </w:rPr>
        <w:t>附件1</w:t>
      </w:r>
      <w:r>
        <w:rPr>
          <w:rFonts w:hint="eastAsia" w:ascii="黑体" w:hAnsi="黑体" w:eastAsia="黑体" w:cs="黑体"/>
          <w:highlight w:val="none"/>
          <w:lang w:val="en-US" w:eastAsia="zh-CN"/>
        </w:rPr>
        <w:t>1</w:t>
      </w:r>
      <w:r>
        <w:rPr>
          <w:rFonts w:hint="eastAsia" w:ascii="黑体" w:hAnsi="黑体" w:eastAsia="黑体" w:cs="黑体"/>
          <w:highlight w:val="none"/>
        </w:rPr>
        <w:t xml:space="preserve"> </w:t>
      </w:r>
      <w:r>
        <w:rPr>
          <w:rFonts w:hint="eastAsia" w:ascii="黑体" w:hAnsi="黑体" w:eastAsia="黑体" w:cs="黑体"/>
          <w:highlight w:val="none"/>
          <w:lang w:val="en-US" w:eastAsia="zh-CN"/>
        </w:rPr>
        <w:t xml:space="preserve"> </w:t>
      </w:r>
      <w:r>
        <w:rPr>
          <w:rFonts w:hint="eastAsia" w:ascii="黑体" w:hAnsi="黑体" w:eastAsia="黑体" w:cs="黑体"/>
          <w:highlight w:val="none"/>
        </w:rPr>
        <w:t>施工现场消防安全管理协议</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_Toc18356 \h </w:instrText>
      </w:r>
      <w:r>
        <w:rPr>
          <w:rFonts w:hint="eastAsia" w:ascii="黑体" w:hAnsi="黑体" w:eastAsia="黑体" w:cs="黑体"/>
        </w:rPr>
        <w:fldChar w:fldCharType="separate"/>
      </w:r>
      <w:r>
        <w:rPr>
          <w:rFonts w:hint="eastAsia" w:ascii="黑体" w:hAnsi="黑体" w:eastAsia="黑体" w:cs="黑体"/>
        </w:rPr>
        <w:t>87</w:t>
      </w:r>
      <w:r>
        <w:rPr>
          <w:rFonts w:hint="eastAsia" w:ascii="黑体" w:hAnsi="黑体" w:eastAsia="黑体" w:cs="黑体"/>
        </w:rPr>
        <w:fldChar w:fldCharType="end"/>
      </w:r>
      <w:r>
        <w:rPr>
          <w:rFonts w:hint="eastAsia" w:ascii="黑体" w:hAnsi="黑体" w:eastAsia="黑体" w:cs="黑体"/>
          <w:highlight w:val="none"/>
        </w:rPr>
        <w:fldChar w:fldCharType="end"/>
      </w:r>
    </w:p>
    <w:p w14:paraId="63F87218">
      <w:pPr>
        <w:pStyle w:val="30"/>
        <w:tabs>
          <w:tab w:val="right" w:leader="dot" w:pos="8306"/>
          <w:tab w:val="clear" w:pos="1890"/>
          <w:tab w:val="clear" w:pos="8296"/>
        </w:tabs>
        <w:rPr>
          <w:rFonts w:hint="eastAsia" w:ascii="黑体" w:hAnsi="黑体" w:eastAsia="黑体" w:cs="黑体"/>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_Toc26083 </w:instrText>
      </w:r>
      <w:r>
        <w:rPr>
          <w:rFonts w:hint="eastAsia" w:ascii="黑体" w:hAnsi="黑体" w:eastAsia="黑体" w:cs="黑体"/>
          <w:highlight w:val="none"/>
        </w:rPr>
        <w:fldChar w:fldCharType="separate"/>
      </w:r>
      <w:r>
        <w:rPr>
          <w:rFonts w:hint="eastAsia" w:ascii="黑体" w:hAnsi="黑体" w:eastAsia="黑体" w:cs="黑体"/>
          <w:highlight w:val="none"/>
        </w:rPr>
        <w:t>附件1</w:t>
      </w:r>
      <w:r>
        <w:rPr>
          <w:rFonts w:hint="eastAsia" w:ascii="黑体" w:hAnsi="黑体" w:eastAsia="黑体" w:cs="黑体"/>
          <w:highlight w:val="none"/>
          <w:lang w:val="en-US" w:eastAsia="zh-CN"/>
        </w:rPr>
        <w:t>2</w:t>
      </w:r>
      <w:r>
        <w:rPr>
          <w:rFonts w:hint="eastAsia" w:ascii="黑体" w:hAnsi="黑体" w:eastAsia="黑体" w:cs="黑体"/>
          <w:highlight w:val="none"/>
        </w:rPr>
        <w:t xml:space="preserve">  施工现场临时用电安全管理协议</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_Toc26083 \h </w:instrText>
      </w:r>
      <w:r>
        <w:rPr>
          <w:rFonts w:hint="eastAsia" w:ascii="黑体" w:hAnsi="黑体" w:eastAsia="黑体" w:cs="黑体"/>
        </w:rPr>
        <w:fldChar w:fldCharType="separate"/>
      </w:r>
      <w:r>
        <w:rPr>
          <w:rFonts w:hint="eastAsia" w:ascii="黑体" w:hAnsi="黑体" w:eastAsia="黑体" w:cs="黑体"/>
        </w:rPr>
        <w:t>91</w:t>
      </w:r>
      <w:r>
        <w:rPr>
          <w:rFonts w:hint="eastAsia" w:ascii="黑体" w:hAnsi="黑体" w:eastAsia="黑体" w:cs="黑体"/>
        </w:rPr>
        <w:fldChar w:fldCharType="end"/>
      </w:r>
      <w:r>
        <w:rPr>
          <w:rFonts w:hint="eastAsia" w:ascii="黑体" w:hAnsi="黑体" w:eastAsia="黑体" w:cs="黑体"/>
          <w:highlight w:val="none"/>
        </w:rPr>
        <w:fldChar w:fldCharType="end"/>
      </w:r>
    </w:p>
    <w:p w14:paraId="0902B48D">
      <w:pPr>
        <w:pStyle w:val="30"/>
        <w:tabs>
          <w:tab w:val="right" w:leader="dot" w:pos="8306"/>
          <w:tab w:val="clear" w:pos="1890"/>
          <w:tab w:val="clear" w:pos="8296"/>
        </w:tabs>
        <w:rPr>
          <w:rFonts w:hint="eastAsia" w:ascii="黑体" w:hAnsi="黑体" w:eastAsia="黑体" w:cs="黑体"/>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_Toc23840 </w:instrText>
      </w:r>
      <w:r>
        <w:rPr>
          <w:rFonts w:hint="eastAsia" w:ascii="黑体" w:hAnsi="黑体" w:eastAsia="黑体" w:cs="黑体"/>
          <w:highlight w:val="none"/>
        </w:rPr>
        <w:fldChar w:fldCharType="separate"/>
      </w:r>
      <w:r>
        <w:rPr>
          <w:rFonts w:hint="eastAsia" w:ascii="黑体" w:hAnsi="黑体" w:eastAsia="黑体" w:cs="黑体"/>
          <w:highlight w:val="none"/>
          <w:lang w:val="en-US" w:eastAsia="zh-CN"/>
        </w:rPr>
        <w:t>附件13：建筑安装工程主要物资损耗率控制目标清单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_Toc23840 \h </w:instrText>
      </w:r>
      <w:r>
        <w:rPr>
          <w:rFonts w:hint="eastAsia" w:ascii="黑体" w:hAnsi="黑体" w:eastAsia="黑体" w:cs="黑体"/>
        </w:rPr>
        <w:fldChar w:fldCharType="separate"/>
      </w:r>
      <w:r>
        <w:rPr>
          <w:rFonts w:hint="eastAsia" w:ascii="黑体" w:hAnsi="黑体" w:eastAsia="黑体" w:cs="黑体"/>
        </w:rPr>
        <w:t>93</w:t>
      </w:r>
      <w:r>
        <w:rPr>
          <w:rFonts w:hint="eastAsia" w:ascii="黑体" w:hAnsi="黑体" w:eastAsia="黑体" w:cs="黑体"/>
        </w:rPr>
        <w:fldChar w:fldCharType="end"/>
      </w:r>
      <w:r>
        <w:rPr>
          <w:rFonts w:hint="eastAsia" w:ascii="黑体" w:hAnsi="黑体" w:eastAsia="黑体" w:cs="黑体"/>
          <w:highlight w:val="none"/>
        </w:rPr>
        <w:fldChar w:fldCharType="end"/>
      </w:r>
    </w:p>
    <w:p w14:paraId="7F64B43A">
      <w:pPr>
        <w:pStyle w:val="30"/>
        <w:tabs>
          <w:tab w:val="right" w:leader="dot" w:pos="8306"/>
          <w:tab w:val="clear" w:pos="1890"/>
          <w:tab w:val="clear" w:pos="8296"/>
        </w:tabs>
        <w:rPr>
          <w:rFonts w:hint="eastAsia" w:ascii="黑体" w:hAnsi="黑体" w:eastAsia="黑体" w:cs="黑体"/>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_Toc20795 </w:instrText>
      </w:r>
      <w:r>
        <w:rPr>
          <w:rFonts w:hint="eastAsia" w:ascii="黑体" w:hAnsi="黑体" w:eastAsia="黑体" w:cs="黑体"/>
          <w:highlight w:val="none"/>
        </w:rPr>
        <w:fldChar w:fldCharType="separate"/>
      </w:r>
      <w:r>
        <w:rPr>
          <w:rFonts w:hint="eastAsia" w:ascii="黑体" w:hAnsi="黑体" w:eastAsia="黑体" w:cs="黑体"/>
          <w:highlight w:val="none"/>
        </w:rPr>
        <w:t>附件1</w:t>
      </w:r>
      <w:r>
        <w:rPr>
          <w:rFonts w:hint="eastAsia" w:ascii="黑体" w:hAnsi="黑体" w:eastAsia="黑体" w:cs="黑体"/>
          <w:highlight w:val="none"/>
          <w:lang w:val="en-US" w:eastAsia="zh-CN"/>
        </w:rPr>
        <w:t>4</w:t>
      </w:r>
      <w:r>
        <w:rPr>
          <w:rFonts w:hint="eastAsia" w:ascii="黑体" w:hAnsi="黑体" w:eastAsia="黑体" w:cs="黑体"/>
          <w:highlight w:val="none"/>
        </w:rPr>
        <w:t xml:space="preserve">  承  诺  书</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_Toc20795 \h </w:instrText>
      </w:r>
      <w:r>
        <w:rPr>
          <w:rFonts w:hint="eastAsia" w:ascii="黑体" w:hAnsi="黑体" w:eastAsia="黑体" w:cs="黑体"/>
        </w:rPr>
        <w:fldChar w:fldCharType="separate"/>
      </w:r>
      <w:r>
        <w:rPr>
          <w:rFonts w:hint="eastAsia" w:ascii="黑体" w:hAnsi="黑体" w:eastAsia="黑体" w:cs="黑体"/>
        </w:rPr>
        <w:t>95</w:t>
      </w:r>
      <w:r>
        <w:rPr>
          <w:rFonts w:hint="eastAsia" w:ascii="黑体" w:hAnsi="黑体" w:eastAsia="黑体" w:cs="黑体"/>
        </w:rPr>
        <w:fldChar w:fldCharType="end"/>
      </w:r>
      <w:r>
        <w:rPr>
          <w:rFonts w:hint="eastAsia" w:ascii="黑体" w:hAnsi="黑体" w:eastAsia="黑体" w:cs="黑体"/>
          <w:highlight w:val="none"/>
        </w:rPr>
        <w:fldChar w:fldCharType="end"/>
      </w:r>
    </w:p>
    <w:p w14:paraId="0EC0C93D">
      <w:pPr>
        <w:pStyle w:val="30"/>
        <w:tabs>
          <w:tab w:val="right" w:leader="dot" w:pos="8306"/>
          <w:tab w:val="clear" w:pos="1890"/>
          <w:tab w:val="clear" w:pos="8296"/>
        </w:tabs>
        <w:rPr>
          <w:rFonts w:hint="eastAsia" w:ascii="黑体" w:hAnsi="黑体" w:eastAsia="黑体" w:cs="黑体"/>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_Toc14822 </w:instrText>
      </w:r>
      <w:r>
        <w:rPr>
          <w:rFonts w:hint="eastAsia" w:ascii="黑体" w:hAnsi="黑体" w:eastAsia="黑体" w:cs="黑体"/>
          <w:highlight w:val="none"/>
        </w:rPr>
        <w:fldChar w:fldCharType="separate"/>
      </w:r>
      <w:r>
        <w:rPr>
          <w:rFonts w:hint="eastAsia" w:ascii="黑体" w:hAnsi="黑体" w:eastAsia="黑体" w:cs="黑体"/>
          <w:highlight w:val="none"/>
        </w:rPr>
        <w:t>附件1</w:t>
      </w:r>
      <w:r>
        <w:rPr>
          <w:rFonts w:hint="eastAsia" w:ascii="黑体" w:hAnsi="黑体" w:eastAsia="黑体" w:cs="黑体"/>
          <w:highlight w:val="none"/>
          <w:lang w:val="en-US" w:eastAsia="zh-CN"/>
        </w:rPr>
        <w:t>5  项目部现场管理制度</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_Toc14822 \h </w:instrText>
      </w:r>
      <w:r>
        <w:rPr>
          <w:rFonts w:hint="eastAsia" w:ascii="黑体" w:hAnsi="黑体" w:eastAsia="黑体" w:cs="黑体"/>
        </w:rPr>
        <w:fldChar w:fldCharType="separate"/>
      </w:r>
      <w:r>
        <w:rPr>
          <w:rFonts w:hint="eastAsia" w:ascii="黑体" w:hAnsi="黑体" w:eastAsia="黑体" w:cs="黑体"/>
        </w:rPr>
        <w:t>97</w:t>
      </w:r>
      <w:r>
        <w:rPr>
          <w:rFonts w:hint="eastAsia" w:ascii="黑体" w:hAnsi="黑体" w:eastAsia="黑体" w:cs="黑体"/>
        </w:rPr>
        <w:fldChar w:fldCharType="end"/>
      </w:r>
      <w:r>
        <w:rPr>
          <w:rFonts w:hint="eastAsia" w:ascii="黑体" w:hAnsi="黑体" w:eastAsia="黑体" w:cs="黑体"/>
          <w:highlight w:val="none"/>
        </w:rPr>
        <w:fldChar w:fldCharType="end"/>
      </w:r>
    </w:p>
    <w:p w14:paraId="0D096726">
      <w:pPr>
        <w:pStyle w:val="30"/>
        <w:tabs>
          <w:tab w:val="right" w:leader="dot" w:pos="8306"/>
          <w:tab w:val="clear" w:pos="1890"/>
          <w:tab w:val="clear" w:pos="8296"/>
        </w:tabs>
        <w:rPr>
          <w:rFonts w:hint="eastAsia" w:ascii="黑体" w:hAnsi="黑体" w:eastAsia="黑体" w:cs="黑体"/>
          <w:highlight w:val="none"/>
          <w14:ligatures w14: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_Toc14822 </w:instrText>
      </w:r>
      <w:r>
        <w:rPr>
          <w:rFonts w:hint="eastAsia" w:ascii="黑体" w:hAnsi="黑体" w:eastAsia="黑体" w:cs="黑体"/>
          <w:highlight w:val="none"/>
        </w:rPr>
        <w:fldChar w:fldCharType="separate"/>
      </w:r>
      <w:r>
        <w:rPr>
          <w:rFonts w:hint="eastAsia" w:ascii="黑体" w:hAnsi="黑体" w:eastAsia="黑体" w:cs="黑体"/>
          <w:highlight w:val="none"/>
        </w:rPr>
        <w:t>附件1</w:t>
      </w:r>
      <w:r>
        <w:rPr>
          <w:rFonts w:hint="eastAsia" w:ascii="黑体" w:hAnsi="黑体" w:eastAsia="黑体" w:cs="黑体"/>
          <w:highlight w:val="none"/>
          <w:lang w:val="en-US" w:eastAsia="zh-CN"/>
        </w:rPr>
        <w:t>6  预付款退款保函（见索即付）</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_Toc14822 \h </w:instrText>
      </w:r>
      <w:r>
        <w:rPr>
          <w:rFonts w:hint="eastAsia" w:ascii="黑体" w:hAnsi="黑体" w:eastAsia="黑体" w:cs="黑体"/>
          <w:highlight w:val="none"/>
        </w:rPr>
        <w:fldChar w:fldCharType="separate"/>
      </w:r>
      <w:r>
        <w:rPr>
          <w:rFonts w:hint="eastAsia" w:ascii="黑体" w:hAnsi="黑体" w:eastAsia="黑体" w:cs="黑体"/>
          <w:highlight w:val="none"/>
        </w:rPr>
        <w:t>98</w:t>
      </w:r>
      <w:r>
        <w:rPr>
          <w:rFonts w:hint="eastAsia" w:ascii="黑体" w:hAnsi="黑体" w:eastAsia="黑体" w:cs="黑体"/>
          <w:highlight w:val="none"/>
        </w:rPr>
        <w:fldChar w:fldCharType="end"/>
      </w:r>
      <w:r>
        <w:rPr>
          <w:rFonts w:hint="eastAsia" w:ascii="黑体" w:hAnsi="黑体" w:eastAsia="黑体" w:cs="黑体"/>
          <w:highlight w:val="none"/>
        </w:rPr>
        <w:fldChar w:fldCharType="end"/>
      </w:r>
    </w:p>
    <w:p w14:paraId="7FB56E71">
      <w:pPr>
        <w:pStyle w:val="30"/>
        <w:tabs>
          <w:tab w:val="right" w:leader="dot" w:pos="8306"/>
          <w:tab w:val="clear" w:pos="1890"/>
          <w:tab w:val="clear" w:pos="8296"/>
        </w:tabs>
        <w:rPr>
          <w:rFonts w:hint="eastAsia" w:ascii="黑体" w:hAnsi="黑体" w:eastAsia="黑体" w:cs="黑体"/>
          <w:highlight w:val="none"/>
          <w14:ligatures w14: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_Toc31140 </w:instrText>
      </w:r>
      <w:r>
        <w:rPr>
          <w:rFonts w:hint="eastAsia" w:ascii="黑体" w:hAnsi="黑体" w:eastAsia="黑体" w:cs="黑体"/>
          <w:highlight w:val="none"/>
        </w:rPr>
        <w:fldChar w:fldCharType="separate"/>
      </w:r>
      <w:r>
        <w:rPr>
          <w:rFonts w:hint="eastAsia" w:ascii="黑体" w:hAnsi="黑体" w:eastAsia="黑体" w:cs="黑体"/>
          <w:highlight w:val="none"/>
          <w:lang w:val="en-US" w:eastAsia="zh-CN"/>
        </w:rPr>
        <w:t>附件17  履约保函（见索即付）</w:t>
      </w:r>
      <w:r>
        <w:rPr>
          <w:rFonts w:hint="eastAsia" w:ascii="黑体" w:hAnsi="黑体" w:eastAsia="黑体" w:cs="黑体"/>
          <w:highlight w:val="none"/>
        </w:rPr>
        <w:tab/>
      </w:r>
      <w:r>
        <w:rPr>
          <w:rFonts w:hint="eastAsia" w:ascii="黑体" w:hAnsi="黑体" w:eastAsia="黑体" w:cs="黑体"/>
          <w:highlight w:val="none"/>
        </w:rPr>
        <w:t>103</w:t>
      </w:r>
      <w:r>
        <w:rPr>
          <w:rFonts w:hint="eastAsia" w:ascii="黑体" w:hAnsi="黑体" w:eastAsia="黑体" w:cs="黑体"/>
          <w:highlight w:val="none"/>
        </w:rPr>
        <w:fldChar w:fldCharType="end"/>
      </w:r>
    </w:p>
    <w:p w14:paraId="2E67AF4E">
      <w:pPr>
        <w:pStyle w:val="30"/>
        <w:tabs>
          <w:tab w:val="right" w:leader="dot" w:pos="8306"/>
          <w:tab w:val="clear" w:pos="1890"/>
          <w:tab w:val="clear" w:pos="8296"/>
        </w:tabs>
        <w:rPr>
          <w:rFonts w:hint="eastAsia" w:ascii="黑体" w:hAnsi="黑体" w:eastAsia="黑体" w:cs="黑体"/>
          <w:highlight w:val="none"/>
          <w14:ligatures w14:val="none"/>
        </w:rPr>
      </w:pPr>
      <w:r>
        <w:rPr>
          <w:rFonts w:hint="eastAsia" w:ascii="黑体" w:hAnsi="黑体" w:eastAsia="黑体" w:cs="黑体"/>
          <w:highlight w:val="none"/>
          <w:lang w:val="en-US" w:eastAsia="zh-CN"/>
        </w:rPr>
        <w:t>附件18  公告</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_Toc31140 \h </w:instrText>
      </w:r>
      <w:r>
        <w:rPr>
          <w:rFonts w:hint="eastAsia" w:ascii="黑体" w:hAnsi="黑体" w:eastAsia="黑体" w:cs="黑体"/>
          <w:highlight w:val="none"/>
        </w:rPr>
        <w:fldChar w:fldCharType="separate"/>
      </w:r>
      <w:r>
        <w:rPr>
          <w:rFonts w:hint="eastAsia" w:ascii="黑体" w:hAnsi="黑体" w:eastAsia="黑体" w:cs="黑体"/>
          <w:highlight w:val="none"/>
        </w:rPr>
        <w:t>105</w:t>
      </w:r>
      <w:r>
        <w:rPr>
          <w:rFonts w:hint="eastAsia" w:ascii="黑体" w:hAnsi="黑体" w:eastAsia="黑体" w:cs="黑体"/>
          <w:highlight w:val="none"/>
        </w:rPr>
        <w:fldChar w:fldCharType="end"/>
      </w:r>
    </w:p>
    <w:p w14:paraId="59209AA4">
      <w:pPr>
        <w:pStyle w:val="30"/>
        <w:tabs>
          <w:tab w:val="right" w:leader="dot" w:pos="8306"/>
          <w:tab w:val="clear" w:pos="1890"/>
          <w:tab w:val="clear" w:pos="8296"/>
        </w:tabs>
        <w:rPr>
          <w:rFonts w:hint="eastAsia" w:ascii="黑体" w:hAnsi="黑体" w:eastAsia="黑体" w:cs="黑体"/>
          <w:highlight w:val="none"/>
          <w14:ligatures w14:val="none"/>
        </w:rPr>
      </w:pPr>
      <w:r>
        <w:rPr>
          <w:rFonts w:ascii="Times New Roman" w:hAnsi="Times New Roman" w:eastAsia="仿宋_GB2312" w:cs="Times New Roman"/>
          <w:highlight w:val="none"/>
        </w:rPr>
        <w:fldChar w:fldCharType="end"/>
      </w:r>
    </w:p>
    <w:p w14:paraId="09FC63E1">
      <w:pPr>
        <w:pStyle w:val="5"/>
        <w:spacing w:line="480" w:lineRule="exact"/>
        <w:jc w:val="center"/>
        <w:rPr>
          <w:rFonts w:ascii="华文中宋" w:hAnsi="华文中宋" w:eastAsia="华文中宋"/>
          <w:sz w:val="40"/>
          <w:szCs w:val="40"/>
          <w:highlight w:val="none"/>
          <w:u w:val="none"/>
        </w:rPr>
        <w:sectPr>
          <w:footerReference r:id="rId6" w:type="default"/>
          <w:pgSz w:w="11906" w:h="16838"/>
          <w:pgMar w:top="1440" w:right="1800" w:bottom="1440" w:left="1800" w:header="851" w:footer="992" w:gutter="0"/>
          <w:pgNumType w:start="1"/>
          <w:cols w:space="425" w:num="1"/>
        </w:sectPr>
      </w:pPr>
    </w:p>
    <w:p w14:paraId="04E77BD7">
      <w:pPr>
        <w:pStyle w:val="5"/>
        <w:spacing w:line="480" w:lineRule="exact"/>
        <w:jc w:val="center"/>
        <w:rPr>
          <w:rFonts w:ascii="Times New Roman" w:hAnsi="Times New Roman" w:eastAsia="华文中宋"/>
          <w:b w:val="0"/>
          <w:color w:val="000000"/>
          <w:sz w:val="40"/>
          <w:szCs w:val="40"/>
          <w:highlight w:val="none"/>
        </w:rPr>
      </w:pPr>
      <w:r>
        <w:rPr>
          <w:rFonts w:ascii="华文中宋" w:hAnsi="华文中宋" w:eastAsia="华文中宋"/>
          <w:sz w:val="40"/>
          <w:szCs w:val="40"/>
          <w:highlight w:val="none"/>
          <w:u w:val="none"/>
        </w:rPr>
        <w:t xml:space="preserve">第一部分 </w:t>
      </w:r>
      <w:r>
        <w:rPr>
          <w:rFonts w:hint="eastAsia" w:ascii="华文中宋" w:hAnsi="华文中宋" w:eastAsia="华文中宋"/>
          <w:sz w:val="40"/>
          <w:szCs w:val="40"/>
          <w:highlight w:val="none"/>
          <w:u w:val="none"/>
        </w:rPr>
        <w:t xml:space="preserve"> </w:t>
      </w:r>
      <w:r>
        <w:rPr>
          <w:rFonts w:ascii="华文中宋" w:hAnsi="华文中宋" w:eastAsia="华文中宋"/>
          <w:sz w:val="40"/>
          <w:szCs w:val="40"/>
          <w:highlight w:val="none"/>
          <w:u w:val="none"/>
        </w:rPr>
        <w:t>合同协议书</w:t>
      </w:r>
    </w:p>
    <w:p w14:paraId="1AFC5ED3">
      <w:pPr>
        <w:spacing w:line="480" w:lineRule="exact"/>
        <w:ind w:firstLine="562"/>
        <w:rPr>
          <w:rFonts w:ascii="仿宋_GB2312" w:hAnsi="仿宋_GB2312" w:eastAsia="仿宋_GB2312" w:cs="仿宋_GB2312"/>
          <w:b/>
          <w:color w:val="000000"/>
          <w:sz w:val="28"/>
          <w:szCs w:val="28"/>
          <w:highlight w:val="none"/>
          <w:u w:val="none"/>
        </w:rPr>
      </w:pPr>
      <w:r>
        <w:rPr>
          <w:rFonts w:hint="eastAsia" w:ascii="仿宋_GB2312" w:hAnsi="仿宋_GB2312" w:eastAsia="仿宋_GB2312" w:cs="仿宋_GB2312"/>
          <w:b/>
          <w:color w:val="000000"/>
          <w:sz w:val="28"/>
          <w:szCs w:val="28"/>
          <w:highlight w:val="none"/>
          <w:u w:val="none"/>
        </w:rPr>
        <w:t>承包人（全称）：【</w:t>
      </w:r>
      <w:bookmarkStart w:id="7" w:name="mf_jiafang_22d9e010-013d-4067-9a84-ea14432fbc6f_2"/>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7"/>
      <w:r>
        <w:rPr>
          <w:rFonts w:hint="eastAsia" w:ascii="仿宋_GB2312" w:hAnsi="仿宋_GB2312" w:eastAsia="仿宋_GB2312" w:cs="仿宋_GB2312"/>
          <w:b/>
          <w:color w:val="000000"/>
          <w:sz w:val="28"/>
          <w:szCs w:val="28"/>
          <w:highlight w:val="none"/>
          <w:u w:val="none"/>
        </w:rPr>
        <w:t>】（以下简称甲方）</w:t>
      </w:r>
    </w:p>
    <w:p w14:paraId="1B9E986B">
      <w:pPr>
        <w:spacing w:line="480" w:lineRule="exact"/>
        <w:ind w:firstLine="562"/>
        <w:rPr>
          <w:rFonts w:ascii="仿宋_GB2312" w:hAnsi="仿宋_GB2312" w:eastAsia="仿宋_GB2312" w:cs="仿宋_GB2312"/>
          <w:b/>
          <w:color w:val="000000"/>
          <w:sz w:val="28"/>
          <w:szCs w:val="28"/>
          <w:highlight w:val="none"/>
          <w:u w:val="single"/>
        </w:rPr>
      </w:pPr>
      <w:r>
        <w:rPr>
          <w:rFonts w:hint="eastAsia" w:ascii="仿宋_GB2312" w:hAnsi="仿宋_GB2312" w:eastAsia="仿宋_GB2312" w:cs="仿宋_GB2312"/>
          <w:b/>
          <w:color w:val="000000"/>
          <w:sz w:val="28"/>
          <w:szCs w:val="28"/>
          <w:highlight w:val="none"/>
          <w:u w:val="none"/>
        </w:rPr>
        <w:t>分包人（全称）：【</w:t>
      </w:r>
      <w:bookmarkStart w:id="8" w:name="mf_yifangmaifangchuzufanggongyingfang_f27d5062-cfa7-44db-bc55-a59e9e707656_2"/>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8"/>
      <w:r>
        <w:rPr>
          <w:rFonts w:hint="eastAsia" w:ascii="仿宋_GB2312" w:hAnsi="仿宋_GB2312" w:eastAsia="仿宋_GB2312" w:cs="仿宋_GB2312"/>
          <w:b/>
          <w:color w:val="000000"/>
          <w:sz w:val="28"/>
          <w:szCs w:val="28"/>
          <w:highlight w:val="none"/>
          <w:u w:val="none"/>
        </w:rPr>
        <w:t>】（以下简称乙方）</w:t>
      </w:r>
    </w:p>
    <w:p w14:paraId="76C07535">
      <w:pPr>
        <w:spacing w:line="480" w:lineRule="exact"/>
        <w:ind w:firstLine="560"/>
        <w:rPr>
          <w:rFonts w:ascii="Times New Roman" w:hAnsi="Times New Roman" w:eastAsia="仿宋_GB2312"/>
          <w:color w:val="000000"/>
          <w:sz w:val="28"/>
          <w:szCs w:val="28"/>
          <w:highlight w:val="none"/>
        </w:rPr>
      </w:pPr>
    </w:p>
    <w:p w14:paraId="59C70082">
      <w:pPr>
        <w:spacing w:line="480" w:lineRule="exact"/>
        <w:ind w:firstLine="560"/>
        <w:rPr>
          <w:rFonts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rPr>
        <w:t>鉴于乙方已对【</w:t>
      </w:r>
      <w:bookmarkStart w:id="9" w:name="mf_zhuanyeleixing_0f5fbcea-fbbe-4b98-937e-f97a04dbfb48_2"/>
      <w:r>
        <w:rPr>
          <w:rFonts w:hint="eastAsia" w:ascii="Times New Roman" w:hAnsi="Times New Roman" w:eastAsia="仿宋_GB2312"/>
          <w:color w:val="000000"/>
          <w:sz w:val="28"/>
          <w:szCs w:val="28"/>
          <w:highlight w:val="none"/>
          <w:u w:val="single"/>
        </w:rPr>
        <w:tab/>
      </w:r>
      <w:r>
        <w:rPr>
          <w:rFonts w:hint="eastAsia" w:ascii="Times New Roman" w:hAnsi="Times New Roman" w:eastAsia="仿宋_GB2312"/>
          <w:color w:val="000000"/>
          <w:sz w:val="28"/>
          <w:szCs w:val="28"/>
          <w:highlight w:val="none"/>
          <w:u w:val="single"/>
        </w:rPr>
        <w:tab/>
      </w:r>
      <w:r>
        <w:rPr>
          <w:rFonts w:hint="eastAsia" w:ascii="Times New Roman" w:hAnsi="Times New Roman" w:eastAsia="仿宋_GB2312"/>
          <w:color w:val="000000"/>
          <w:sz w:val="28"/>
          <w:szCs w:val="28"/>
          <w:highlight w:val="none"/>
          <w:u w:val="single"/>
        </w:rPr>
        <w:tab/>
      </w:r>
      <w:r>
        <w:rPr>
          <w:rFonts w:hint="eastAsia" w:ascii="Times New Roman" w:hAnsi="Times New Roman" w:eastAsia="仿宋_GB2312"/>
          <w:color w:val="000000"/>
          <w:sz w:val="28"/>
          <w:szCs w:val="28"/>
          <w:highlight w:val="none"/>
          <w:u w:val="single"/>
        </w:rPr>
        <w:tab/>
      </w:r>
      <w:r>
        <w:rPr>
          <w:rFonts w:hint="eastAsia" w:ascii="Times New Roman" w:hAnsi="Times New Roman" w:eastAsia="仿宋_GB2312"/>
          <w:color w:val="000000"/>
          <w:sz w:val="28"/>
          <w:szCs w:val="28"/>
          <w:highlight w:val="none"/>
          <w:u w:val="single"/>
        </w:rPr>
        <w:tab/>
      </w:r>
      <w:bookmarkEnd w:id="9"/>
      <w:r>
        <w:rPr>
          <w:rFonts w:hint="eastAsia" w:ascii="Times New Roman" w:hAnsi="Times New Roman" w:eastAsia="仿宋_GB2312"/>
          <w:color w:val="000000"/>
          <w:sz w:val="28"/>
          <w:szCs w:val="28"/>
          <w:highlight w:val="none"/>
        </w:rPr>
        <w:t>】工程现场环境、地质条件及所有有关资料进行了全面细致勘查和研究，已对工程施工所有相关图纸进行了详细研究和计算，并已对甲方有关项目管理制度规定充分了解并认可，根据《中华人民共和国民法典》《中华人民共和国建筑法》《中华人民共和国招标投标法》及有关法律规定，遵循平等、自愿、公平和诚实信用的原则，双方就分包工程分包作业承包事项协商一致，达成如下协议，双方共同遵守。</w:t>
      </w:r>
    </w:p>
    <w:p w14:paraId="42853665">
      <w:pPr>
        <w:pStyle w:val="6"/>
        <w:ind w:left="0" w:firstLine="562"/>
        <w:rPr>
          <w:rFonts w:hint="eastAsia" w:ascii="黑体" w:hAnsi="黑体" w:eastAsia="黑体" w:cs="黑体"/>
          <w:b/>
          <w:bCs/>
          <w:color w:val="000000"/>
          <w:highlight w:val="none"/>
        </w:rPr>
      </w:pPr>
      <w:r>
        <w:rPr>
          <w:rFonts w:hint="eastAsia" w:ascii="黑体" w:hAnsi="黑体" w:eastAsia="黑体" w:cs="黑体"/>
          <w:b/>
          <w:bCs/>
          <w:color w:val="000000"/>
          <w:highlight w:val="none"/>
          <w:u w:val="none"/>
        </w:rPr>
        <w:t>一、工程概况</w:t>
      </w:r>
    </w:p>
    <w:p w14:paraId="1DE39695">
      <w:pPr>
        <w:spacing w:line="480" w:lineRule="exact"/>
        <w:ind w:firstLine="562"/>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b/>
          <w:color w:val="000000"/>
          <w:sz w:val="28"/>
          <w:szCs w:val="28"/>
          <w:highlight w:val="none"/>
        </w:rPr>
        <w:t>1.</w:t>
      </w:r>
      <w:r>
        <w:rPr>
          <w:rFonts w:ascii="仿宋_GB2312" w:hAnsi="仿宋_GB2312" w:eastAsia="仿宋_GB2312" w:cs="仿宋_GB2312"/>
          <w:b/>
          <w:color w:val="000000"/>
          <w:sz w:val="28"/>
          <w:szCs w:val="28"/>
          <w:highlight w:val="none"/>
        </w:rPr>
        <w:t xml:space="preserve">1 </w:t>
      </w:r>
      <w:r>
        <w:rPr>
          <w:rFonts w:hint="eastAsia" w:ascii="仿宋_GB2312" w:hAnsi="仿宋_GB2312" w:eastAsia="仿宋_GB2312" w:cs="仿宋_GB2312"/>
          <w:b/>
          <w:color w:val="000000"/>
          <w:sz w:val="28"/>
          <w:szCs w:val="28"/>
          <w:highlight w:val="none"/>
        </w:rPr>
        <w:t>工程名称</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b/>
          <w:color w:val="000000"/>
          <w:sz w:val="28"/>
          <w:szCs w:val="28"/>
          <w:highlight w:val="none"/>
        </w:rPr>
        <w:t>【</w:t>
      </w:r>
      <w:bookmarkStart w:id="10" w:name="mf_xiangmumingcheng_9b5eeff3-c2ad-4cc3-bf2c-5e63b0922ee5_2"/>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10"/>
      <w:r>
        <w:rPr>
          <w:rFonts w:hint="eastAsia" w:ascii="仿宋_GB2312" w:hAnsi="仿宋_GB2312" w:eastAsia="仿宋_GB2312" w:cs="仿宋_GB2312"/>
          <w:b/>
          <w:color w:val="000000"/>
          <w:sz w:val="28"/>
          <w:szCs w:val="28"/>
          <w:highlight w:val="none"/>
        </w:rPr>
        <w:t>】</w:t>
      </w:r>
    </w:p>
    <w:p w14:paraId="6BC6C5A7">
      <w:pPr>
        <w:spacing w:line="480" w:lineRule="exact"/>
        <w:ind w:firstLine="562"/>
        <w:rPr>
          <w:rFonts w:ascii="仿宋_GB2312" w:hAnsi="仿宋_GB2312" w:eastAsia="仿宋_GB2312" w:cs="仿宋_GB2312"/>
          <w:bCs/>
          <w:color w:val="000000"/>
          <w:sz w:val="28"/>
          <w:szCs w:val="28"/>
          <w:highlight w:val="none"/>
        </w:rPr>
      </w:pPr>
      <w:r>
        <w:rPr>
          <w:rFonts w:ascii="仿宋_GB2312" w:hAnsi="仿宋_GB2312" w:eastAsia="仿宋_GB2312" w:cs="仿宋_GB2312"/>
          <w:b/>
          <w:color w:val="000000"/>
          <w:sz w:val="28"/>
          <w:szCs w:val="28"/>
          <w:highlight w:val="none"/>
        </w:rPr>
        <w:t xml:space="preserve">1.2 </w:t>
      </w:r>
      <w:r>
        <w:rPr>
          <w:rFonts w:hint="eastAsia" w:ascii="仿宋_GB2312" w:hAnsi="仿宋_GB2312" w:eastAsia="仿宋_GB2312" w:cs="仿宋_GB2312"/>
          <w:b/>
          <w:color w:val="000000"/>
          <w:sz w:val="28"/>
          <w:szCs w:val="28"/>
          <w:highlight w:val="none"/>
        </w:rPr>
        <w:t>工程地点</w:t>
      </w:r>
      <w:r>
        <w:rPr>
          <w:rFonts w:hint="eastAsia" w:ascii="仿宋_GB2312" w:hAnsi="仿宋_GB2312" w:eastAsia="仿宋_GB2312" w:cs="仿宋_GB2312"/>
          <w:bCs/>
          <w:color w:val="000000"/>
          <w:sz w:val="28"/>
          <w:szCs w:val="28"/>
          <w:highlight w:val="none"/>
        </w:rPr>
        <w:t>：</w:t>
      </w:r>
      <w:r>
        <w:rPr>
          <w:rFonts w:hint="eastAsia" w:ascii="仿宋_GB2312" w:hAnsi="仿宋_GB2312" w:eastAsia="仿宋_GB2312" w:cs="仿宋_GB2312"/>
          <w:b/>
          <w:color w:val="000000"/>
          <w:sz w:val="28"/>
          <w:szCs w:val="28"/>
          <w:highlight w:val="none"/>
        </w:rPr>
        <w:t>【</w:t>
      </w:r>
      <w:bookmarkStart w:id="11" w:name="mf_fenbaogongchengdedian_206519df-edf9-4752-a162-7d257521f4f2_1"/>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11"/>
      <w:r>
        <w:rPr>
          <w:rFonts w:hint="eastAsia" w:ascii="仿宋_GB2312" w:hAnsi="仿宋_GB2312" w:eastAsia="仿宋_GB2312" w:cs="仿宋_GB2312"/>
          <w:b/>
          <w:color w:val="000000"/>
          <w:sz w:val="28"/>
          <w:szCs w:val="28"/>
          <w:highlight w:val="none"/>
        </w:rPr>
        <w:t>】</w:t>
      </w:r>
    </w:p>
    <w:p w14:paraId="6BC65CFE">
      <w:pPr>
        <w:spacing w:line="480" w:lineRule="exact"/>
        <w:ind w:firstLine="562"/>
        <w:rPr>
          <w:rFonts w:ascii="仿宋_GB2312" w:hAnsi="仿宋_GB2312" w:eastAsia="仿宋_GB2312" w:cs="仿宋_GB2312"/>
          <w:bCs/>
          <w:color w:val="000000"/>
          <w:sz w:val="28"/>
          <w:szCs w:val="28"/>
          <w:highlight w:val="none"/>
        </w:rPr>
      </w:pPr>
      <w:r>
        <w:rPr>
          <w:rFonts w:ascii="仿宋_GB2312" w:hAnsi="仿宋_GB2312" w:eastAsia="仿宋_GB2312" w:cs="仿宋_GB2312"/>
          <w:b/>
          <w:color w:val="000000"/>
          <w:sz w:val="28"/>
          <w:szCs w:val="28"/>
          <w:highlight w:val="none"/>
        </w:rPr>
        <w:t xml:space="preserve">1.3 </w:t>
      </w:r>
      <w:r>
        <w:rPr>
          <w:rFonts w:hint="eastAsia" w:ascii="仿宋_GB2312" w:hAnsi="仿宋_GB2312" w:eastAsia="仿宋_GB2312" w:cs="仿宋_GB2312"/>
          <w:b/>
          <w:color w:val="000000"/>
          <w:sz w:val="28"/>
          <w:szCs w:val="28"/>
          <w:highlight w:val="none"/>
        </w:rPr>
        <w:t>工程结构</w:t>
      </w:r>
      <w:r>
        <w:rPr>
          <w:rFonts w:hint="eastAsia" w:ascii="仿宋_GB2312" w:hAnsi="仿宋_GB2312" w:eastAsia="仿宋_GB2312" w:cs="仿宋_GB2312"/>
          <w:bCs/>
          <w:color w:val="000000"/>
          <w:sz w:val="28"/>
          <w:szCs w:val="28"/>
          <w:highlight w:val="none"/>
        </w:rPr>
        <w:t>：</w:t>
      </w:r>
      <w:r>
        <w:rPr>
          <w:rFonts w:hint="eastAsia" w:ascii="仿宋_GB2312" w:hAnsi="仿宋_GB2312" w:eastAsia="仿宋_GB2312" w:cs="仿宋_GB2312"/>
          <w:b/>
          <w:color w:val="000000"/>
          <w:sz w:val="28"/>
          <w:szCs w:val="28"/>
          <w:highlight w:val="none"/>
        </w:rPr>
        <w:t>【</w:t>
      </w:r>
      <w:bookmarkStart w:id="12" w:name="mf_gongchengjiegouxingshi_227ed5fd-80f5-414c-babe-f8a83b4bb752_1"/>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12"/>
      <w:r>
        <w:rPr>
          <w:rFonts w:hint="eastAsia" w:ascii="仿宋_GB2312" w:hAnsi="仿宋_GB2312" w:eastAsia="仿宋_GB2312" w:cs="仿宋_GB2312"/>
          <w:b/>
          <w:color w:val="000000"/>
          <w:sz w:val="28"/>
          <w:szCs w:val="28"/>
          <w:highlight w:val="none"/>
        </w:rPr>
        <w:t>】</w:t>
      </w:r>
    </w:p>
    <w:p w14:paraId="6AF9F03E">
      <w:pPr>
        <w:spacing w:line="480" w:lineRule="exact"/>
        <w:ind w:firstLine="562"/>
        <w:rPr>
          <w:rFonts w:ascii="仿宋_GB2312" w:hAnsi="仿宋_GB2312" w:eastAsia="仿宋_GB2312" w:cs="仿宋_GB2312"/>
          <w:bCs/>
          <w:color w:val="FF0000"/>
          <w:sz w:val="28"/>
          <w:szCs w:val="28"/>
          <w:highlight w:val="none"/>
        </w:rPr>
      </w:pPr>
      <w:r>
        <w:rPr>
          <w:rFonts w:ascii="仿宋_GB2312" w:hAnsi="仿宋_GB2312" w:eastAsia="仿宋_GB2312" w:cs="仿宋_GB2312"/>
          <w:b/>
          <w:color w:val="000000"/>
          <w:sz w:val="28"/>
          <w:szCs w:val="28"/>
          <w:highlight w:val="none"/>
        </w:rPr>
        <w:t xml:space="preserve">1.4 </w:t>
      </w:r>
      <w:r>
        <w:rPr>
          <w:rFonts w:hint="eastAsia" w:ascii="仿宋_GB2312" w:hAnsi="仿宋_GB2312" w:eastAsia="仿宋_GB2312" w:cs="仿宋_GB2312"/>
          <w:b/>
          <w:color w:val="000000"/>
          <w:sz w:val="28"/>
          <w:szCs w:val="28"/>
          <w:highlight w:val="none"/>
        </w:rPr>
        <w:t>分包工程承包范围</w:t>
      </w:r>
      <w:r>
        <w:rPr>
          <w:rFonts w:hint="eastAsia" w:ascii="仿宋_GB2312" w:hAnsi="仿宋_GB2312" w:eastAsia="仿宋_GB2312" w:cs="仿宋_GB2312"/>
          <w:bCs/>
          <w:color w:val="000000"/>
          <w:sz w:val="28"/>
          <w:szCs w:val="28"/>
          <w:highlight w:val="none"/>
        </w:rPr>
        <w:t>：本工程范围内的【</w:t>
      </w:r>
      <w:bookmarkStart w:id="13" w:name="mf_zhuanyeleixing_0f5fbcea-fbbe-4b98-937e-f97a04dbfb48_3"/>
      <w:r>
        <w:rPr>
          <w:rFonts w:hint="eastAsia" w:ascii="仿宋_GB2312" w:hAnsi="仿宋_GB2312" w:eastAsia="仿宋_GB2312" w:cs="仿宋_GB2312"/>
          <w:bCs/>
          <w:color w:val="000000"/>
          <w:sz w:val="28"/>
          <w:szCs w:val="28"/>
          <w:highlight w:val="none"/>
          <w:u w:val="single"/>
        </w:rPr>
        <w:tab/>
      </w:r>
      <w:r>
        <w:rPr>
          <w:rFonts w:hint="eastAsia" w:ascii="仿宋_GB2312" w:hAnsi="仿宋_GB2312" w:eastAsia="仿宋_GB2312" w:cs="仿宋_GB2312"/>
          <w:bCs/>
          <w:color w:val="000000"/>
          <w:sz w:val="28"/>
          <w:szCs w:val="28"/>
          <w:highlight w:val="none"/>
          <w:u w:val="single"/>
        </w:rPr>
        <w:tab/>
      </w:r>
      <w:r>
        <w:rPr>
          <w:rFonts w:hint="eastAsia" w:ascii="仿宋_GB2312" w:hAnsi="仿宋_GB2312" w:eastAsia="仿宋_GB2312" w:cs="仿宋_GB2312"/>
          <w:bCs/>
          <w:color w:val="000000"/>
          <w:sz w:val="28"/>
          <w:szCs w:val="28"/>
          <w:highlight w:val="none"/>
          <w:u w:val="single"/>
        </w:rPr>
        <w:tab/>
      </w:r>
      <w:r>
        <w:rPr>
          <w:rFonts w:hint="eastAsia" w:ascii="仿宋_GB2312" w:hAnsi="仿宋_GB2312" w:eastAsia="仿宋_GB2312" w:cs="仿宋_GB2312"/>
          <w:bCs/>
          <w:color w:val="000000"/>
          <w:sz w:val="28"/>
          <w:szCs w:val="28"/>
          <w:highlight w:val="none"/>
          <w:u w:val="single"/>
        </w:rPr>
        <w:tab/>
      </w:r>
      <w:r>
        <w:rPr>
          <w:rFonts w:hint="eastAsia" w:ascii="仿宋_GB2312" w:hAnsi="仿宋_GB2312" w:eastAsia="仿宋_GB2312" w:cs="仿宋_GB2312"/>
          <w:bCs/>
          <w:color w:val="000000"/>
          <w:sz w:val="28"/>
          <w:szCs w:val="28"/>
          <w:highlight w:val="none"/>
          <w:u w:val="single"/>
        </w:rPr>
        <w:tab/>
      </w:r>
      <w:bookmarkEnd w:id="13"/>
      <w:r>
        <w:rPr>
          <w:rFonts w:hint="eastAsia" w:ascii="仿宋_GB2312" w:hAnsi="仿宋_GB2312" w:eastAsia="仿宋_GB2312" w:cs="仿宋_GB2312"/>
          <w:bCs/>
          <w:color w:val="000000"/>
          <w:sz w:val="28"/>
          <w:szCs w:val="28"/>
          <w:highlight w:val="none"/>
        </w:rPr>
        <w:t>工程专业分包】（以下简称本分包工程）。施工范围及数量为暂定，实际施工过程中有可能存在承包人根据实际施工情况增加或减少分包人的施工内容。</w:t>
      </w:r>
    </w:p>
    <w:p w14:paraId="199782B0">
      <w:pPr>
        <w:spacing w:line="480" w:lineRule="exact"/>
        <w:ind w:firstLine="562"/>
        <w:rPr>
          <w:rFonts w:ascii="仿宋_GB2312" w:hAnsi="仿宋_GB2312" w:eastAsia="仿宋_GB2312" w:cs="仿宋_GB2312"/>
          <w:bCs/>
          <w:sz w:val="28"/>
          <w:szCs w:val="28"/>
          <w:highlight w:val="none"/>
        </w:rPr>
      </w:pPr>
      <w:r>
        <w:rPr>
          <w:rFonts w:ascii="仿宋_GB2312" w:hAnsi="仿宋_GB2312" w:eastAsia="仿宋_GB2312" w:cs="仿宋_GB2312"/>
          <w:b/>
          <w:sz w:val="28"/>
          <w:szCs w:val="28"/>
          <w:highlight w:val="none"/>
        </w:rPr>
        <w:t xml:space="preserve">1.5 </w:t>
      </w:r>
      <w:r>
        <w:rPr>
          <w:rFonts w:hint="eastAsia" w:ascii="仿宋_GB2312" w:hAnsi="仿宋_GB2312" w:eastAsia="仿宋_GB2312" w:cs="仿宋_GB2312"/>
          <w:b/>
          <w:sz w:val="28"/>
          <w:szCs w:val="28"/>
          <w:highlight w:val="none"/>
        </w:rPr>
        <w:t>分包模式</w:t>
      </w:r>
      <w:r>
        <w:rPr>
          <w:rFonts w:hint="eastAsia" w:ascii="仿宋_GB2312" w:hAnsi="仿宋_GB2312" w:eastAsia="仿宋_GB2312" w:cs="仿宋_GB2312"/>
          <w:bCs/>
          <w:sz w:val="28"/>
          <w:szCs w:val="28"/>
          <w:highlight w:val="none"/>
        </w:rPr>
        <w:t>：专业分包。</w:t>
      </w:r>
    </w:p>
    <w:p w14:paraId="200B9205">
      <w:pPr>
        <w:spacing w:line="480" w:lineRule="exact"/>
        <w:ind w:firstLine="562"/>
        <w:rPr>
          <w:rFonts w:ascii="仿宋_GB2312" w:hAnsi="仿宋_GB2312" w:eastAsia="仿宋_GB2312" w:cs="仿宋_GB2312"/>
          <w:color w:val="000000"/>
          <w:sz w:val="28"/>
          <w:szCs w:val="28"/>
          <w:highlight w:val="none"/>
        </w:rPr>
      </w:pPr>
      <w:r>
        <w:rPr>
          <w:rFonts w:ascii="仿宋_GB2312" w:hAnsi="仿宋_GB2312" w:eastAsia="仿宋_GB2312" w:cs="仿宋_GB2312"/>
          <w:b/>
          <w:sz w:val="28"/>
          <w:szCs w:val="28"/>
          <w:highlight w:val="none"/>
        </w:rPr>
        <w:t xml:space="preserve">1.6 </w:t>
      </w:r>
      <w:r>
        <w:rPr>
          <w:rFonts w:hint="eastAsia" w:ascii="仿宋_GB2312" w:hAnsi="仿宋_GB2312" w:eastAsia="仿宋_GB2312" w:cs="仿宋_GB2312"/>
          <w:b/>
          <w:sz w:val="28"/>
          <w:szCs w:val="28"/>
          <w:highlight w:val="none"/>
        </w:rPr>
        <w:t>分包工作内容</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val="en-US" w:eastAsia="zh-CN"/>
        </w:rPr>
        <w:t>包括但不限于本项目的</w:t>
      </w:r>
      <w:r>
        <w:rPr>
          <w:rFonts w:hint="eastAsia" w:ascii="仿宋_GB2312" w:hAnsi="仿宋_GB2312" w:eastAsia="仿宋_GB2312" w:cs="仿宋_GB2312"/>
          <w:bCs/>
          <w:sz w:val="28"/>
          <w:szCs w:val="28"/>
          <w:highlight w:val="none"/>
          <w:u w:val="single"/>
          <w:lang w:val="en-US" w:eastAsia="zh-CN"/>
        </w:rPr>
        <w:tab/>
      </w:r>
      <w:bookmarkStart w:id="14" w:name="mf_fenbaogongzuoneirong_20b890c0-1fa2-4dab-8678-aad97b2750ed_1"/>
      <w:r>
        <w:rPr>
          <w:rFonts w:hint="eastAsia" w:ascii="仿宋_GB2312" w:hAnsi="仿宋_GB2312" w:eastAsia="仿宋_GB2312" w:cs="仿宋_GB2312"/>
          <w:bCs/>
          <w:sz w:val="28"/>
          <w:szCs w:val="28"/>
          <w:highlight w:val="none"/>
          <w:u w:val="single"/>
          <w:lang w:val="en-US" w:eastAsia="zh-CN"/>
        </w:rPr>
        <w:tab/>
      </w:r>
      <w:r>
        <w:rPr>
          <w:rFonts w:hint="eastAsia" w:ascii="仿宋_GB2312" w:hAnsi="仿宋_GB2312" w:eastAsia="仿宋_GB2312" w:cs="仿宋_GB2312"/>
          <w:bCs/>
          <w:sz w:val="28"/>
          <w:szCs w:val="28"/>
          <w:highlight w:val="none"/>
          <w:u w:val="single"/>
          <w:lang w:val="en-US" w:eastAsia="zh-CN"/>
        </w:rPr>
        <w:tab/>
      </w:r>
      <w:r>
        <w:rPr>
          <w:rFonts w:hint="eastAsia" w:ascii="仿宋_GB2312" w:hAnsi="仿宋_GB2312" w:eastAsia="仿宋_GB2312" w:cs="仿宋_GB2312"/>
          <w:bCs/>
          <w:sz w:val="28"/>
          <w:szCs w:val="28"/>
          <w:highlight w:val="none"/>
          <w:u w:val="single"/>
          <w:lang w:val="en-US" w:eastAsia="zh-CN"/>
        </w:rPr>
        <w:tab/>
      </w:r>
      <w:r>
        <w:rPr>
          <w:rFonts w:hint="eastAsia" w:ascii="仿宋_GB2312" w:hAnsi="仿宋_GB2312" w:eastAsia="仿宋_GB2312" w:cs="仿宋_GB2312"/>
          <w:bCs/>
          <w:sz w:val="28"/>
          <w:szCs w:val="28"/>
          <w:highlight w:val="none"/>
          <w:u w:val="single"/>
          <w:lang w:val="en-US" w:eastAsia="zh-CN"/>
        </w:rPr>
        <w:tab/>
      </w:r>
      <w:r>
        <w:rPr>
          <w:rFonts w:hint="eastAsia" w:ascii="仿宋_GB2312" w:hAnsi="仿宋_GB2312" w:eastAsia="仿宋_GB2312" w:cs="仿宋_GB2312"/>
          <w:bCs/>
          <w:sz w:val="28"/>
          <w:szCs w:val="28"/>
          <w:highlight w:val="none"/>
          <w:u w:val="single"/>
          <w:lang w:val="en-US" w:eastAsia="zh-CN"/>
        </w:rPr>
        <w:tab/>
      </w:r>
      <w:bookmarkEnd w:id="14"/>
      <w:r>
        <w:rPr>
          <w:rFonts w:hint="eastAsia" w:ascii="仿宋_GB2312" w:hAnsi="仿宋_GB2312" w:eastAsia="仿宋_GB2312" w:cs="仿宋_GB2312"/>
          <w:bCs/>
          <w:sz w:val="28"/>
          <w:szCs w:val="28"/>
          <w:highlight w:val="none"/>
          <w:lang w:val="en-US" w:eastAsia="zh-CN"/>
        </w:rPr>
        <w:t>工程的材料供应、安装、协调、管理、第三方检测费、消防检测费、深化设计费（含BIM）质检、工程资料编制、满足规范竣工验收及缺陷修复、成品保护等服务的分包工程。</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rPr>
        <w:t>具体包括交付施工图、制造、供应、送交、安装、修补缺陷、测试、调校、试用、提供备用件、竣工图、完成档案验收以及保修期的免费维修等工作时所需的一切必要工作。除甲方供应的主要材料设备之外，乙方负责自行提供必要的配件、标志牌、构件、设备及施工中所需的一切附带杂项零件和劳务，无论此类零件及其他是否详列于本合同文件中；以及本合同约定的与综合机电安装有关的其他工作。具体内容详见工程量清单综合单价表。】</w:t>
      </w:r>
    </w:p>
    <w:p w14:paraId="29DDF767">
      <w:pPr>
        <w:pStyle w:val="6"/>
        <w:ind w:left="0" w:firstLine="562"/>
        <w:rPr>
          <w:rFonts w:hint="eastAsia" w:ascii="仿宋_GB2312" w:hAnsi="仿宋_GB2312" w:eastAsia="仿宋_GB2312" w:cs="仿宋_GB2312"/>
          <w:b/>
          <w:bCs/>
          <w:color w:val="C00000"/>
          <w:highlight w:val="none"/>
        </w:rPr>
      </w:pPr>
      <w:r>
        <w:rPr>
          <w:rFonts w:hint="eastAsia" w:ascii="黑体" w:hAnsi="黑体" w:eastAsia="黑体" w:cs="黑体"/>
          <w:b/>
          <w:bCs/>
          <w:color w:val="000000"/>
          <w:highlight w:val="none"/>
          <w:u w:val="none"/>
        </w:rPr>
        <w:t>二、分包合同工期</w:t>
      </w:r>
    </w:p>
    <w:p w14:paraId="53FC531F">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计划开工日期：</w:t>
      </w:r>
      <w:bookmarkStart w:id="15" w:name="mf_jihuakaigongriqi_c234ec79-5c52-4c84-839f-2cab25d00141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15"/>
      <w:r>
        <w:rPr>
          <w:rFonts w:hint="eastAsia" w:ascii="仿宋_GB2312" w:hAnsi="仿宋_GB2312" w:eastAsia="仿宋_GB2312" w:cs="仿宋_GB2312"/>
          <w:color w:val="000000"/>
          <w:sz w:val="28"/>
          <w:szCs w:val="28"/>
          <w:highlight w:val="none"/>
        </w:rPr>
        <w:t>（此为暂定时间，具体以甲方发出的进场通知单为准）。</w:t>
      </w:r>
    </w:p>
    <w:p w14:paraId="0B7DB4F8">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计划完工日期：</w:t>
      </w:r>
      <w:bookmarkStart w:id="16" w:name="mf_jihuajungongriqi_902a7ac2-4c02-47db-a77e-53667806a866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16"/>
      <w:r>
        <w:rPr>
          <w:rFonts w:hint="eastAsia" w:ascii="仿宋_GB2312" w:hAnsi="仿宋_GB2312" w:eastAsia="仿宋_GB2312" w:cs="仿宋_GB2312"/>
          <w:color w:val="000000"/>
          <w:sz w:val="28"/>
          <w:szCs w:val="28"/>
          <w:highlight w:val="none"/>
        </w:rPr>
        <w:t>（以本分包工程最终通过验收时间为准）。</w:t>
      </w:r>
    </w:p>
    <w:p w14:paraId="31B915AB">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合同工期总日历天数：</w:t>
      </w:r>
      <w:r>
        <w:rPr>
          <w:rFonts w:hint="eastAsia" w:ascii="仿宋_GB2312" w:hAnsi="仿宋_GB2312" w:eastAsia="仿宋_GB2312" w:cs="仿宋_GB2312"/>
          <w:b/>
          <w:color w:val="000000"/>
          <w:sz w:val="28"/>
          <w:szCs w:val="28"/>
          <w:highlight w:val="none"/>
        </w:rPr>
        <w:t>【</w:t>
      </w:r>
      <w:bookmarkStart w:id="17" w:name="mf_hetonggongqi_a888565c-3ec8-4b53-9625-e6d99b547708_1"/>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17"/>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color w:val="000000"/>
          <w:sz w:val="28"/>
          <w:szCs w:val="28"/>
          <w:highlight w:val="none"/>
        </w:rPr>
        <w:t>天。合同工期总日历天数与根据前述计划开工、完工日期计算的天数不一致的，以合同工期总日历天数为准。</w:t>
      </w:r>
    </w:p>
    <w:p w14:paraId="6D6E20C3">
      <w:pPr>
        <w:spacing w:line="480" w:lineRule="exact"/>
        <w:ind w:firstLine="560"/>
        <w:rPr>
          <w:rFonts w:ascii="仿宋_GB2312" w:hAnsi="仿宋_GB2312" w:eastAsia="仿宋_GB2312" w:cs="仿宋_GB2312"/>
          <w:color w:val="FF0000"/>
          <w:sz w:val="28"/>
          <w:szCs w:val="28"/>
          <w:highlight w:val="none"/>
        </w:rPr>
      </w:pPr>
      <w:r>
        <w:rPr>
          <w:rFonts w:hint="eastAsia" w:ascii="仿宋_GB2312" w:hAnsi="仿宋_GB2312" w:eastAsia="仿宋_GB2312" w:cs="仿宋_GB2312"/>
          <w:color w:val="000000"/>
          <w:sz w:val="28"/>
          <w:szCs w:val="28"/>
          <w:highlight w:val="none"/>
        </w:rPr>
        <w:t>本分包合同工期已综合考虑法定节假日（特别是中秋、春节等重要节假日）、非极端不利天气、中高考、两会及其他政府会议、农忙、扰民与民扰、城管管制、甲方或建设方或政府部门领导检查、观摩、工地现状、空气污染预警、环保政策要求、交叉施工、配合施工的等待时间等对工期产生的影响，乙方承诺不因此类原因提出任何有关的工期和费用索赔。</w:t>
      </w:r>
    </w:p>
    <w:p w14:paraId="4B2CDA4D">
      <w:pPr>
        <w:pStyle w:val="6"/>
        <w:ind w:left="0" w:firstLine="562"/>
        <w:rPr>
          <w:rFonts w:hint="eastAsia" w:ascii="仿宋_GB2312" w:hAnsi="仿宋_GB2312" w:eastAsia="仿宋_GB2312" w:cs="仿宋_GB2312"/>
          <w:b/>
          <w:bCs/>
          <w:color w:val="C00000"/>
          <w:highlight w:val="none"/>
        </w:rPr>
      </w:pPr>
      <w:r>
        <w:rPr>
          <w:rFonts w:hint="eastAsia" w:ascii="黑体" w:hAnsi="黑体" w:eastAsia="黑体" w:cs="黑体"/>
          <w:b/>
          <w:bCs/>
          <w:color w:val="000000"/>
          <w:highlight w:val="none"/>
          <w:u w:val="none"/>
        </w:rPr>
        <w:t>三、质量、安全文明施工标准及创优目标</w:t>
      </w:r>
    </w:p>
    <w:p w14:paraId="3CF0497C">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3.1质量标准：【</w:t>
      </w:r>
      <w:bookmarkStart w:id="18" w:name="mf_zhiliangbiaozhun_b66e0c99-823f-4c82-8678-441dd2da5b61_1"/>
      <w:r>
        <w:rPr>
          <w:rFonts w:ascii="仿宋_GB2312" w:hAnsi="仿宋_GB2312" w:eastAsia="仿宋_GB2312" w:cs="仿宋_GB2312"/>
          <w:color w:val="000000"/>
          <w:sz w:val="28"/>
          <w:szCs w:val="28"/>
          <w:highlight w:val="none"/>
          <w:u w:val="single"/>
        </w:rPr>
        <w:t>合格</w:t>
      </w:r>
      <w:bookmarkEnd w:id="18"/>
      <w:r>
        <w:rPr>
          <w:rFonts w:hint="eastAsia" w:ascii="仿宋_GB2312" w:hAnsi="仿宋_GB2312" w:eastAsia="仿宋_GB2312" w:cs="仿宋_GB2312"/>
          <w:color w:val="000000"/>
          <w:sz w:val="28"/>
          <w:szCs w:val="28"/>
          <w:highlight w:val="none"/>
        </w:rPr>
        <w:t>】，创优要求：【</w:t>
      </w:r>
      <w:bookmarkStart w:id="19" w:name="mf_zhiliangchuangyoumubiao_b137beb1-e077-4d05-bd26-cab05b33c83e_1"/>
      <w:r>
        <w:rPr>
          <w:rFonts w:ascii="仿宋_GB2312" w:hAnsi="仿宋_GB2312" w:eastAsia="仿宋_GB2312" w:cs="仿宋_GB2312"/>
          <w:color w:val="000000"/>
          <w:sz w:val="28"/>
          <w:szCs w:val="28"/>
          <w:highlight w:val="none"/>
          <w:u w:val="single"/>
        </w:rPr>
        <w:tab/>
      </w:r>
      <w:r>
        <w:rPr>
          <w:rFonts w:ascii="仿宋_GB2312" w:hAnsi="仿宋_GB2312" w:eastAsia="仿宋_GB2312" w:cs="仿宋_GB2312"/>
          <w:color w:val="000000"/>
          <w:sz w:val="28"/>
          <w:szCs w:val="28"/>
          <w:highlight w:val="none"/>
          <w:u w:val="single"/>
        </w:rPr>
        <w:tab/>
      </w:r>
      <w:r>
        <w:rPr>
          <w:rFonts w:ascii="仿宋_GB2312" w:hAnsi="仿宋_GB2312" w:eastAsia="仿宋_GB2312" w:cs="仿宋_GB2312"/>
          <w:color w:val="000000"/>
          <w:sz w:val="28"/>
          <w:szCs w:val="28"/>
          <w:highlight w:val="none"/>
          <w:u w:val="single"/>
        </w:rPr>
        <w:tab/>
      </w:r>
      <w:r>
        <w:rPr>
          <w:rFonts w:ascii="仿宋_GB2312" w:hAnsi="仿宋_GB2312" w:eastAsia="仿宋_GB2312" w:cs="仿宋_GB2312"/>
          <w:color w:val="000000"/>
          <w:sz w:val="28"/>
          <w:szCs w:val="28"/>
          <w:highlight w:val="none"/>
          <w:u w:val="single"/>
        </w:rPr>
        <w:tab/>
      </w:r>
      <w:r>
        <w:rPr>
          <w:rFonts w:ascii="仿宋_GB2312" w:hAnsi="仿宋_GB2312" w:eastAsia="仿宋_GB2312" w:cs="仿宋_GB2312"/>
          <w:color w:val="000000"/>
          <w:sz w:val="28"/>
          <w:szCs w:val="28"/>
          <w:highlight w:val="none"/>
          <w:u w:val="single"/>
        </w:rPr>
        <w:tab/>
      </w:r>
      <w:bookmarkEnd w:id="19"/>
      <w:r>
        <w:rPr>
          <w:rFonts w:hint="eastAsia" w:ascii="仿宋_GB2312" w:hAnsi="仿宋_GB2312" w:eastAsia="仿宋_GB2312" w:cs="仿宋_GB2312"/>
          <w:color w:val="000000"/>
          <w:sz w:val="28"/>
          <w:szCs w:val="28"/>
          <w:highlight w:val="none"/>
        </w:rPr>
        <w:t>】，并符合【</w:t>
      </w:r>
      <w:bookmarkStart w:id="20" w:name="mf_chuangyoumubiaoqita_500fc6c2-fc0e-493b-9658-bedc5125b25b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20"/>
      <w:r>
        <w:rPr>
          <w:rFonts w:hint="eastAsia" w:ascii="仿宋_GB2312" w:hAnsi="仿宋_GB2312" w:eastAsia="仿宋_GB2312" w:cs="仿宋_GB2312"/>
          <w:color w:val="000000"/>
          <w:sz w:val="28"/>
          <w:szCs w:val="28"/>
          <w:highlight w:val="none"/>
        </w:rPr>
        <w:t>】标准。因创优创奖所发生的费用均已包含在合同价款中，结算时不再另行调整。</w:t>
      </w:r>
    </w:p>
    <w:p w14:paraId="3F78E74F">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3.2安全生产、文明施工达到JGJ59-2011合格要求。杜绝重伤死亡事故，控制轻伤事故，轻伤率【2】‰以内；杜绝机械设备事故、火灾事故和公共安全事故、防止职业病发生；创优目标：【</w:t>
      </w:r>
      <w:bookmarkStart w:id="21" w:name="mf_anquanchuangyou_b17f1f74-c2f0-4606-9420-89fc6ab02e60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21"/>
      <w:r>
        <w:rPr>
          <w:rFonts w:hint="eastAsia" w:ascii="仿宋_GB2312" w:hAnsi="仿宋_GB2312" w:eastAsia="仿宋_GB2312" w:cs="仿宋_GB2312"/>
          <w:color w:val="000000"/>
          <w:sz w:val="28"/>
          <w:szCs w:val="28"/>
          <w:highlight w:val="none"/>
        </w:rPr>
        <w:t xml:space="preserve">】 </w:t>
      </w:r>
    </w:p>
    <w:p w14:paraId="05FAD045">
      <w:pPr>
        <w:pStyle w:val="6"/>
        <w:ind w:left="0" w:firstLine="562"/>
        <w:rPr>
          <w:rFonts w:hint="eastAsia" w:ascii="仿宋_GB2312" w:hAnsi="仿宋_GB2312" w:eastAsia="仿宋_GB2312" w:cs="仿宋_GB2312"/>
          <w:b/>
          <w:bCs/>
          <w:color w:val="C00000"/>
          <w:highlight w:val="none"/>
        </w:rPr>
      </w:pPr>
      <w:r>
        <w:rPr>
          <w:rFonts w:hint="eastAsia" w:ascii="黑体" w:hAnsi="黑体" w:eastAsia="黑体" w:cs="黑体"/>
          <w:b/>
          <w:bCs/>
          <w:color w:val="000000"/>
          <w:highlight w:val="none"/>
          <w:u w:val="none"/>
        </w:rPr>
        <w:t>四、签约合同价与合同价格形式</w:t>
      </w:r>
    </w:p>
    <w:p w14:paraId="197DB280">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4</w:t>
      </w:r>
      <w:r>
        <w:rPr>
          <w:rFonts w:hint="eastAsia" w:ascii="仿宋_GB2312" w:hAnsi="仿宋_GB2312" w:eastAsia="仿宋_GB2312" w:cs="仿宋_GB2312"/>
          <w:color w:val="000000"/>
          <w:sz w:val="28"/>
          <w:szCs w:val="28"/>
          <w:highlight w:val="none"/>
        </w:rPr>
        <w:t>.</w:t>
      </w:r>
      <w:r>
        <w:rPr>
          <w:rFonts w:ascii="仿宋_GB2312" w:hAnsi="仿宋_GB2312" w:eastAsia="仿宋_GB2312" w:cs="仿宋_GB2312"/>
          <w:color w:val="000000"/>
          <w:sz w:val="28"/>
          <w:szCs w:val="28"/>
          <w:highlight w:val="none"/>
        </w:rPr>
        <w:t xml:space="preserve">1 </w:t>
      </w:r>
      <w:r>
        <w:rPr>
          <w:rFonts w:hint="eastAsia" w:ascii="仿宋_GB2312" w:hAnsi="仿宋_GB2312" w:eastAsia="仿宋_GB2312" w:cs="仿宋_GB2312"/>
          <w:color w:val="000000"/>
          <w:sz w:val="28"/>
          <w:szCs w:val="28"/>
          <w:highlight w:val="none"/>
        </w:rPr>
        <w:t>签约合同价（含增值税）为：暂定人民币（大写）</w:t>
      </w:r>
      <w:r>
        <w:rPr>
          <w:rFonts w:hint="eastAsia" w:ascii="仿宋_GB2312" w:hAnsi="仿宋_GB2312" w:eastAsia="仿宋_GB2312" w:cs="仿宋_GB2312"/>
          <w:b/>
          <w:color w:val="000000"/>
          <w:sz w:val="28"/>
          <w:szCs w:val="28"/>
          <w:highlight w:val="none"/>
        </w:rPr>
        <w:t>【</w:t>
      </w:r>
      <w:bookmarkStart w:id="22" w:name="mf_hetongjinehanshuixiaoxie_ace6850a-966b-44a2-91e3-5d5faf3c31a7_1"/>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22"/>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color w:val="000000"/>
          <w:sz w:val="28"/>
          <w:szCs w:val="28"/>
          <w:highlight w:val="none"/>
        </w:rPr>
        <w:t>（</w:t>
      </w:r>
      <w:r>
        <w:rPr>
          <w:rFonts w:ascii="Calibri" w:hAnsi="Calibri" w:eastAsia="仿宋_GB2312" w:cs="Calibri"/>
          <w:color w:val="000000"/>
          <w:sz w:val="28"/>
          <w:szCs w:val="28"/>
          <w:highlight w:val="none"/>
        </w:rPr>
        <w:t>¥</w:t>
      </w:r>
      <w:r>
        <w:rPr>
          <w:rFonts w:hint="eastAsia" w:ascii="仿宋_GB2312" w:hAnsi="仿宋_GB2312" w:eastAsia="仿宋_GB2312" w:cs="仿宋_GB2312"/>
          <w:b/>
          <w:color w:val="000000"/>
          <w:sz w:val="28"/>
          <w:szCs w:val="28"/>
          <w:highlight w:val="none"/>
        </w:rPr>
        <w:t>【</w:t>
      </w:r>
      <w:bookmarkStart w:id="23" w:name="mf_hetongjinehanshuixiaoxie_ace6850a-966b-44a2-91e3-5d5faf3c31a7_2"/>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23"/>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color w:val="000000"/>
          <w:sz w:val="28"/>
          <w:szCs w:val="28"/>
          <w:highlight w:val="none"/>
        </w:rPr>
        <w:t>）。此合同价为暂定价，最终以甲方确认的实际结算值为准。其中，不含增值税合同价款为人民币（大写）【</w:t>
      </w:r>
      <w:bookmarkStart w:id="24" w:name="mf_buhanshuizongjiaxiaoxie_6a909a34-a01e-4170-bfa0-a46886618b68_2"/>
      <w:r>
        <w:rPr>
          <w:rFonts w:ascii="仿宋_GB2312" w:hAnsi="仿宋_GB2312" w:eastAsia="仿宋_GB2312" w:cs="仿宋_GB2312"/>
          <w:color w:val="000000"/>
          <w:sz w:val="28"/>
          <w:szCs w:val="28"/>
          <w:highlight w:val="none"/>
          <w:u w:val="single"/>
        </w:rPr>
        <w:tab/>
      </w:r>
      <w:r>
        <w:rPr>
          <w:rFonts w:ascii="仿宋_GB2312" w:hAnsi="仿宋_GB2312" w:eastAsia="仿宋_GB2312" w:cs="仿宋_GB2312"/>
          <w:color w:val="000000"/>
          <w:sz w:val="28"/>
          <w:szCs w:val="28"/>
          <w:highlight w:val="none"/>
          <w:u w:val="single"/>
        </w:rPr>
        <w:tab/>
      </w:r>
      <w:r>
        <w:rPr>
          <w:rFonts w:ascii="仿宋_GB2312" w:hAnsi="仿宋_GB2312" w:eastAsia="仿宋_GB2312" w:cs="仿宋_GB2312"/>
          <w:color w:val="000000"/>
          <w:sz w:val="28"/>
          <w:szCs w:val="28"/>
          <w:highlight w:val="none"/>
          <w:u w:val="single"/>
        </w:rPr>
        <w:tab/>
      </w:r>
      <w:bookmarkEnd w:id="24"/>
      <w:r>
        <w:rPr>
          <w:rFonts w:hint="eastAsia" w:ascii="仿宋_GB2312" w:hAnsi="仿宋_GB2312" w:eastAsia="仿宋_GB2312" w:cs="仿宋_GB2312"/>
          <w:color w:val="000000"/>
          <w:sz w:val="28"/>
          <w:szCs w:val="28"/>
          <w:highlight w:val="none"/>
        </w:rPr>
        <w:t>】（</w:t>
      </w:r>
      <w:r>
        <w:rPr>
          <w:rFonts w:ascii="Calibri" w:hAnsi="Calibri" w:eastAsia="仿宋_GB2312" w:cs="Calibri"/>
          <w:color w:val="000000"/>
          <w:sz w:val="28"/>
          <w:szCs w:val="28"/>
          <w:highlight w:val="none"/>
        </w:rPr>
        <w:t>¥</w:t>
      </w:r>
      <w:r>
        <w:rPr>
          <w:rFonts w:hint="eastAsia" w:ascii="仿宋_GB2312" w:hAnsi="仿宋_GB2312" w:eastAsia="仿宋_GB2312" w:cs="仿宋_GB2312"/>
          <w:color w:val="000000"/>
          <w:sz w:val="28"/>
          <w:szCs w:val="28"/>
          <w:highlight w:val="none"/>
        </w:rPr>
        <w:t>【</w:t>
      </w:r>
      <w:bookmarkStart w:id="25" w:name="mf_buhanshuizongjiaxiaoxie_6a909a34-a01e-4170-bfa0-a46886618b68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25"/>
      <w:r>
        <w:rPr>
          <w:rFonts w:hint="eastAsia" w:ascii="仿宋_GB2312" w:hAnsi="仿宋_GB2312" w:eastAsia="仿宋_GB2312" w:cs="仿宋_GB2312"/>
          <w:color w:val="000000"/>
          <w:sz w:val="28"/>
          <w:szCs w:val="28"/>
          <w:highlight w:val="none"/>
        </w:rPr>
        <w:t>】），增值税为人民币（大写）【</w:t>
      </w:r>
      <w:bookmarkStart w:id="26" w:name="mf_zengzhishuixiaoxie_80874369-f814-431c-b836-f82a580bcd91_3"/>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26"/>
      <w:r>
        <w:rPr>
          <w:rFonts w:hint="eastAsia" w:ascii="仿宋_GB2312" w:hAnsi="仿宋_GB2312" w:eastAsia="仿宋_GB2312" w:cs="仿宋_GB2312"/>
          <w:color w:val="000000"/>
          <w:sz w:val="28"/>
          <w:szCs w:val="28"/>
          <w:highlight w:val="none"/>
        </w:rPr>
        <w:t>】（</w:t>
      </w:r>
      <w:r>
        <w:rPr>
          <w:rFonts w:ascii="Calibri" w:hAnsi="Calibri" w:eastAsia="仿宋_GB2312" w:cs="Calibri"/>
          <w:color w:val="000000"/>
          <w:sz w:val="28"/>
          <w:szCs w:val="28"/>
          <w:highlight w:val="none"/>
        </w:rPr>
        <w:t>¥</w:t>
      </w:r>
      <w:r>
        <w:rPr>
          <w:rFonts w:hint="eastAsia" w:ascii="仿宋_GB2312" w:hAnsi="仿宋_GB2312" w:eastAsia="仿宋_GB2312" w:cs="仿宋_GB2312"/>
          <w:color w:val="000000"/>
          <w:sz w:val="28"/>
          <w:szCs w:val="28"/>
          <w:highlight w:val="none"/>
        </w:rPr>
        <w:t>【</w:t>
      </w:r>
      <w:bookmarkStart w:id="27" w:name="mf_zengzhishuixiaoxie_80874369-f814-431c-b836-f82a580bcd91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27"/>
      <w:r>
        <w:rPr>
          <w:rFonts w:hint="eastAsia" w:ascii="仿宋_GB2312" w:hAnsi="仿宋_GB2312" w:eastAsia="仿宋_GB2312" w:cs="仿宋_GB2312"/>
          <w:color w:val="000000"/>
          <w:sz w:val="28"/>
          <w:szCs w:val="28"/>
          <w:highlight w:val="none"/>
        </w:rPr>
        <w:t>】），税率【</w:t>
      </w:r>
      <w:r>
        <w:rPr>
          <w:rFonts w:hint="eastAsia" w:ascii="仿宋_GB2312" w:hAnsi="仿宋_GB2312" w:eastAsia="仿宋_GB2312" w:cs="仿宋_GB2312"/>
          <w:color w:val="000000"/>
          <w:sz w:val="28"/>
          <w:szCs w:val="28"/>
          <w:highlight w:val="none"/>
          <w:u w:val="single"/>
        </w:rPr>
        <w:tab/>
      </w:r>
      <w:bookmarkStart w:id="28" w:name="mf_zengzhishuishuilv_6ca0685e-3345-4e4c-89ff-d9fb701c3294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28"/>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rPr>
        <w:t>】。其中不含税人工费为：人民币（大写）               【</w:t>
      </w:r>
      <w:bookmarkStart w:id="29" w:name="mf_buhanshuirengongfeidaxie_9270cfec-0ea6-4703-bdd4-d7a77638e52b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29"/>
      <w:r>
        <w:rPr>
          <w:rFonts w:hint="eastAsia" w:ascii="仿宋_GB2312" w:hAnsi="仿宋_GB2312" w:eastAsia="仿宋_GB2312" w:cs="仿宋_GB2312"/>
          <w:color w:val="000000"/>
          <w:sz w:val="28"/>
          <w:szCs w:val="28"/>
          <w:highlight w:val="none"/>
        </w:rPr>
        <w:t>】（¥【</w:t>
      </w:r>
      <w:bookmarkStart w:id="30" w:name="mf_buhanshuirengongfeixiaoxie_dc2a8aad-b316-46df-b21a-c8aa86e0c135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30"/>
      <w:r>
        <w:rPr>
          <w:rFonts w:hint="eastAsia" w:ascii="仿宋_GB2312" w:hAnsi="仿宋_GB2312" w:eastAsia="仿宋_GB2312" w:cs="仿宋_GB2312"/>
          <w:color w:val="000000"/>
          <w:sz w:val="28"/>
          <w:szCs w:val="28"/>
          <w:highlight w:val="none"/>
        </w:rPr>
        <w:t>】元）；不含税安全文明施工费为：人民币（大写）【</w:t>
      </w:r>
      <w:bookmarkStart w:id="31" w:name="mf_buhanshuianquanwenmingshigongfeidaxie_e2f953fd-1065-497a-9317-e6ed07634448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31"/>
      <w:r>
        <w:rPr>
          <w:rFonts w:hint="eastAsia" w:ascii="仿宋_GB2312" w:hAnsi="仿宋_GB2312" w:eastAsia="仿宋_GB2312" w:cs="仿宋_GB2312"/>
          <w:color w:val="000000"/>
          <w:sz w:val="28"/>
          <w:szCs w:val="28"/>
          <w:highlight w:val="none"/>
        </w:rPr>
        <w:t>】（¥【</w:t>
      </w:r>
      <w:bookmarkStart w:id="32" w:name="mf_buhanshuianquanwenmingshigongfeixiaoxie_972ee388-8dec-4651-95c1-ec82abf11d67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32"/>
      <w:r>
        <w:rPr>
          <w:rFonts w:hint="eastAsia" w:ascii="仿宋_GB2312" w:hAnsi="仿宋_GB2312" w:eastAsia="仿宋_GB2312" w:cs="仿宋_GB2312"/>
          <w:color w:val="000000"/>
          <w:sz w:val="28"/>
          <w:szCs w:val="28"/>
          <w:highlight w:val="none"/>
        </w:rPr>
        <w:t>】元）。</w:t>
      </w:r>
    </w:p>
    <w:p w14:paraId="0D87A78B">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本合同约定的不含税价格不因国家税率变化而变化，在合同履行期间，如遇国家的税率调整，则价税合计的价格相应调整，以开具发票时间为准。</w:t>
      </w:r>
    </w:p>
    <w:p w14:paraId="0CC1F96E">
      <w:pPr>
        <w:pageBreakBefore w:val="0"/>
        <w:spacing w:line="480" w:lineRule="exact"/>
        <w:ind w:firstLine="56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 合同价格形式：本合同采用【固定综合单价】，具体单价详见后附工程量清单与计价表（以下简称综合单价表）。</w:t>
      </w:r>
    </w:p>
    <w:p w14:paraId="3B8E78CA">
      <w:pPr>
        <w:pageBreakBefore w:val="0"/>
        <w:spacing w:line="480" w:lineRule="exact"/>
        <w:ind w:firstLine="56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当期结算工程价款=结算实际完成工程量×清单</w:t>
      </w:r>
      <w:r>
        <w:rPr>
          <w:rFonts w:hint="eastAsia" w:ascii="仿宋_GB2312" w:hAnsi="仿宋_GB2312" w:eastAsia="仿宋_GB2312" w:cs="仿宋_GB2312"/>
          <w:sz w:val="28"/>
          <w:szCs w:val="28"/>
          <w:highlight w:val="none"/>
          <w:lang w:val="en-US" w:eastAsia="zh-CN"/>
        </w:rPr>
        <w:t>综合单</w:t>
      </w:r>
      <w:r>
        <w:rPr>
          <w:rFonts w:hint="eastAsia" w:ascii="仿宋_GB2312" w:hAnsi="仿宋_GB2312" w:eastAsia="仿宋_GB2312" w:cs="仿宋_GB2312"/>
          <w:sz w:val="28"/>
          <w:szCs w:val="28"/>
          <w:highlight w:val="none"/>
        </w:rPr>
        <w:t>价±</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现场签证+</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奖励－</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罚款－</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代扣款+增值税。</w:t>
      </w:r>
    </w:p>
    <w:p w14:paraId="6D268C67">
      <w:pPr>
        <w:pageBreakBefore w:val="0"/>
        <w:spacing w:line="480" w:lineRule="exact"/>
        <w:ind w:firstLine="56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实际完成工程量=施工图纸计算工程量±设计变更工程量±</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书面通知或方案变更工程量。</w:t>
      </w:r>
    </w:p>
    <w:p w14:paraId="0004D5AB">
      <w:pPr>
        <w:pageBreakBefore w:val="0"/>
        <w:spacing w:line="480" w:lineRule="exact"/>
        <w:ind w:firstLine="560"/>
        <w:jc w:val="both"/>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甲方代扣款：</w:t>
      </w:r>
      <w:r>
        <w:rPr>
          <w:rFonts w:hint="eastAsia" w:ascii="仿宋_GB2312" w:hAnsi="仿宋_GB2312" w:eastAsia="仿宋_GB2312" w:cs="仿宋_GB2312"/>
          <w:sz w:val="28"/>
          <w:szCs w:val="28"/>
          <w:highlight w:val="none"/>
        </w:rPr>
        <w:t>本分包工程</w:t>
      </w:r>
      <w:r>
        <w:rPr>
          <w:rFonts w:hint="eastAsia" w:ascii="仿宋_GB2312" w:hAnsi="仿宋_GB2312" w:eastAsia="仿宋_GB2312" w:cs="仿宋_GB2312"/>
          <w:sz w:val="28"/>
          <w:szCs w:val="28"/>
          <w:highlight w:val="none"/>
          <w:lang w:val="en-US" w:eastAsia="zh-CN"/>
        </w:rPr>
        <w:t>甲方代扣款</w:t>
      </w:r>
      <w:r>
        <w:rPr>
          <w:rFonts w:hint="eastAsia" w:ascii="仿宋_GB2312" w:hAnsi="仿宋_GB2312" w:eastAsia="仿宋_GB2312" w:cs="仿宋_GB2312"/>
          <w:sz w:val="28"/>
          <w:szCs w:val="28"/>
          <w:highlight w:val="none"/>
        </w:rPr>
        <w:t>施工水电使用费由乙方承担，</w:t>
      </w:r>
      <w:r>
        <w:rPr>
          <w:rFonts w:hint="eastAsia" w:ascii="仿宋_GB2312" w:hAnsi="仿宋_GB2312" w:eastAsia="仿宋_GB2312" w:cs="仿宋_GB2312"/>
          <w:sz w:val="28"/>
          <w:szCs w:val="28"/>
          <w:highlight w:val="none"/>
          <w:lang w:val="en-US" w:eastAsia="zh-CN"/>
        </w:rPr>
        <w:t>按合同协议书4.4.2条约定执行</w:t>
      </w:r>
      <w:r>
        <w:rPr>
          <w:rFonts w:hint="eastAsia" w:ascii="仿宋_GB2312" w:hAnsi="仿宋_GB2312" w:eastAsia="仿宋_GB2312" w:cs="仿宋_GB2312"/>
          <w:sz w:val="28"/>
          <w:szCs w:val="28"/>
          <w:highlight w:val="none"/>
        </w:rPr>
        <w:t>。</w:t>
      </w:r>
    </w:p>
    <w:p w14:paraId="4867C849">
      <w:pPr>
        <w:pageBreakBefore w:val="0"/>
        <w:spacing w:line="480" w:lineRule="exact"/>
        <w:ind w:firstLine="56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综合单价表中不含税综合单价包含但不限于：</w:t>
      </w:r>
    </w:p>
    <w:p w14:paraId="49EA7ECE">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①人工费、材料费（甲供材除外）、小型机械费、管理费、利润、除增值税外的其他全部税费（包括但不限于城市建设维护税、教育费附加及地方教育费附加、个人所得税、合同印花税、企业所得税、车船使用税以及国家和地方规定的所有税费）；</w:t>
      </w:r>
    </w:p>
    <w:p w14:paraId="76559CEE">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②设备进退场及场外运输费用、材料和设备的场内水平运输及二次及多次倒运费用、二次进场费、专用工具费、缺陷修复费、成品保护费、水电费、措施费（如文明管理、工完场清</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垃圾清运、现场二次及多次搭拆施工用架子及吊篮、后期服务等费用）、施工降效费、超高费、运输费（含运输保险费）、所有材料、设备检测及工程验收费用</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深化设计费、保证工期的抢工费及其他增加费；</w:t>
      </w:r>
    </w:p>
    <w:p w14:paraId="7DD35E82">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③外经证办理费用、进入工程所在地备案费用、意外人身保险等所有保险费、承包范围内的材料检测及检验试验配合费、第三方检测、验收配合费、配合供电局验收、确保项目通电、消防验收、竣工验收等的措施费用</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图纸报审、专项施工方案编制费用、专项施工方案专家评审及审批的费用</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安全监督费用、地下障碍物清除费用、交通费、保洁费、风险费用、协调及完成本分包工作内容的安全费用、技术费用、措施费用、乙方自有人员（包括管理人员及劳务工人）的养老保险、工伤保险、医疗保险、失业保险、生育保险、住房公积金、危险作业意外伤害保险及当地政府部门规定的其他险种等与完成本分包工程相关的全部费用；</w:t>
      </w:r>
    </w:p>
    <w:p w14:paraId="67361187">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④因疫情常态化防控发生的各种防疫费用。</w:t>
      </w:r>
    </w:p>
    <w:p w14:paraId="516EFE89">
      <w:pPr>
        <w:spacing w:line="480" w:lineRule="exact"/>
        <w:ind w:firstLine="560"/>
        <w:rPr>
          <w:rFonts w:ascii="仿宋_GB2312" w:hAnsi="仿宋_GB2312" w:eastAsia="仿宋_GB2312" w:cs="仿宋_GB2312"/>
          <w:color w:val="FF0000"/>
          <w:sz w:val="28"/>
          <w:szCs w:val="28"/>
          <w:highlight w:val="none"/>
        </w:rPr>
      </w:pPr>
      <w:r>
        <w:rPr>
          <w:rFonts w:ascii="仿宋_GB2312" w:hAnsi="仿宋_GB2312" w:eastAsia="仿宋_GB2312" w:cs="仿宋_GB2312"/>
          <w:color w:val="000000"/>
          <w:sz w:val="28"/>
          <w:szCs w:val="28"/>
          <w:highlight w:val="none"/>
        </w:rPr>
        <w:t xml:space="preserve">4.3 </w:t>
      </w:r>
      <w:r>
        <w:rPr>
          <w:rFonts w:hint="eastAsia" w:ascii="仿宋_GB2312" w:hAnsi="仿宋_GB2312" w:eastAsia="仿宋_GB2312" w:cs="仿宋_GB2312"/>
          <w:sz w:val="28"/>
          <w:szCs w:val="28"/>
          <w:highlight w:val="none"/>
        </w:rPr>
        <w:t>工程量计算规则：【按承包人施工图纸计算工程量（仅计算净量，即图纸标注的尺寸，不考虑任何计算规则提出的图纸尺寸以外的增加），图纸范围内固定综合单价，工程量据实结算，若施工图发生变更，经承包人确认后，分包方按变更图施工，结算量根据变更图纸对应调整】。</w:t>
      </w:r>
    </w:p>
    <w:p w14:paraId="447F520D">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 xml:space="preserve">4.4 </w:t>
      </w:r>
      <w:r>
        <w:rPr>
          <w:rFonts w:hint="eastAsia" w:ascii="仿宋_GB2312" w:hAnsi="仿宋_GB2312" w:eastAsia="仿宋_GB2312" w:cs="仿宋_GB2312"/>
          <w:color w:val="000000"/>
          <w:sz w:val="28"/>
          <w:szCs w:val="28"/>
          <w:highlight w:val="none"/>
        </w:rPr>
        <w:t>其他</w:t>
      </w:r>
    </w:p>
    <w:p w14:paraId="58A363A0">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w:t>
      </w:r>
      <w:r>
        <w:rPr>
          <w:rFonts w:ascii="仿宋_GB2312" w:hAnsi="仿宋_GB2312" w:eastAsia="仿宋_GB2312" w:cs="仿宋_GB2312"/>
          <w:color w:val="000000"/>
          <w:sz w:val="28"/>
          <w:szCs w:val="28"/>
          <w:highlight w:val="none"/>
        </w:rPr>
        <w:t xml:space="preserve">.4.1 </w:t>
      </w:r>
      <w:r>
        <w:rPr>
          <w:rFonts w:hint="eastAsia" w:ascii="仿宋_GB2312" w:hAnsi="仿宋_GB2312" w:eastAsia="仿宋_GB2312" w:cs="仿宋_GB2312"/>
          <w:color w:val="000000"/>
          <w:sz w:val="28"/>
          <w:szCs w:val="28"/>
          <w:highlight w:val="none"/>
        </w:rPr>
        <w:t>所有应由乙方向行政管理部门交纳的费用、人员进出场费用和相关手续费用及其他费用均由乙方承担并自行缴纳。本合同中的所有税费，由乙方按照国家相应规定自行缴纳。乙方人员（包括管理人员和劳务工人）的养老保险、工伤保险、医疗保险、失业保险、生育保险、住房公积金、危险作业意外伤害保险及政府部门规定的其他险种等全部费用由乙方承担并自行缴纳。</w:t>
      </w:r>
    </w:p>
    <w:p w14:paraId="7F04ECC7">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w:t>
      </w:r>
      <w:r>
        <w:rPr>
          <w:rFonts w:ascii="仿宋_GB2312" w:hAnsi="仿宋_GB2312" w:eastAsia="仿宋_GB2312" w:cs="仿宋_GB2312"/>
          <w:color w:val="000000"/>
          <w:sz w:val="28"/>
          <w:szCs w:val="28"/>
          <w:highlight w:val="none"/>
        </w:rPr>
        <w:t xml:space="preserve">.4.2 </w:t>
      </w:r>
      <w:r>
        <w:rPr>
          <w:rFonts w:hint="eastAsia" w:ascii="仿宋_GB2312" w:hAnsi="仿宋_GB2312" w:eastAsia="仿宋_GB2312" w:cs="仿宋_GB2312"/>
          <w:color w:val="000000"/>
          <w:sz w:val="28"/>
          <w:szCs w:val="28"/>
          <w:highlight w:val="none"/>
        </w:rPr>
        <w:t>甲方代扣款其中乙方水电使用费用约定：</w:t>
      </w:r>
    </w:p>
    <w:p w14:paraId="322AFAEE">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乙方进场前由甲方准备并安装水表、电表（必要的一级配电箱及二级配电箱配套），甲方负责监督管理，并抄表计数。本分包工程施工水电使用费由乙方承担，按</w:t>
      </w:r>
      <w:r>
        <w:rPr>
          <w:rFonts w:hint="eastAsia" w:ascii="仿宋_GB2312" w:hAnsi="仿宋_GB2312" w:eastAsia="仿宋_GB2312" w:cs="仿宋_GB2312"/>
          <w:color w:val="000000"/>
          <w:sz w:val="28"/>
          <w:szCs w:val="28"/>
          <w:highlight w:val="none"/>
          <w:lang w:eastAsia="zh-CN"/>
        </w:rPr>
        <w:t>【</w:t>
      </w:r>
      <w:bookmarkStart w:id="33" w:name="mf_shuidianfei_859b3fcf-7fef-4702-bcc7-8deb4d02e3d5_1"/>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bookmarkEnd w:id="33"/>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方式计算并扣除。</w:t>
      </w:r>
    </w:p>
    <w:p w14:paraId="3493EB20">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1、水电费：按（合同内结算总价+合同外结算总价）*1%（结算总价不计扣款）扣除；</w:t>
      </w:r>
    </w:p>
    <w:p w14:paraId="21E7E733">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2、水电费挂表据实计取；</w:t>
      </w:r>
    </w:p>
    <w:p w14:paraId="116F25D9">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3、不扣除。</w:t>
      </w:r>
    </w:p>
    <w:p w14:paraId="3E145322">
      <w:pPr>
        <w:spacing w:line="480" w:lineRule="exact"/>
        <w:ind w:firstLine="560"/>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none"/>
        </w:rPr>
        <w:t>4、其他：</w:t>
      </w:r>
      <w:bookmarkStart w:id="34" w:name="mf_shuidianfeiqita_aaa827cf-081b-45b2-ac13-b9ca63719c5d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34"/>
    </w:p>
    <w:p w14:paraId="15464B0C">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乙方食宿自理，若乙方在项目住宿则按照总包项目标准缴纳房屋租赁费，夫妻间按一半扣除；卫生费100元/间/月；甲方不提供床板床架、空调。乙方生活区及办公区水电费按挂表据实扣款(如未单独设水电表，则参考生活区总表，由甲方负责统计每月水电消耗，按乙方使用房间数均摊)，电费单价、水费单价以总包单位收费标准为准。若工人宿舍为外租房，水电设施由乙方自行解决，乙方按时交纳水电费并承担因房屋租赁引起的一切责任。</w:t>
      </w:r>
    </w:p>
    <w:p w14:paraId="6A9E92B6">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4.4.3</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合同备案时所需的一切费用已包含在综合单价中。本合同签订后乙方应负责办理本合同备案事宜，如因乙方合同备案不及时导致乙方无法提供发票或提供的发票无法抵扣甲方已经缴纳的税金、施工手续无法正常办理等问题，造成甲方损失的，乙方应承担给甲方造成的损失并支付【</w:t>
      </w:r>
      <w:r>
        <w:rPr>
          <w:rFonts w:hint="eastAsia" w:ascii="仿宋_GB2312" w:hAnsi="仿宋_GB2312" w:eastAsia="仿宋_GB2312" w:cs="仿宋_GB2312"/>
          <w:color w:val="000000"/>
          <w:sz w:val="28"/>
          <w:szCs w:val="28"/>
          <w:highlight w:val="none"/>
          <w:lang w:val="en-US" w:eastAsia="zh-CN"/>
        </w:rPr>
        <w:t>20000</w:t>
      </w:r>
      <w:r>
        <w:rPr>
          <w:rFonts w:hint="eastAsia" w:ascii="仿宋_GB2312" w:hAnsi="仿宋_GB2312" w:eastAsia="仿宋_GB2312" w:cs="仿宋_GB2312"/>
          <w:color w:val="000000"/>
          <w:sz w:val="28"/>
          <w:szCs w:val="28"/>
          <w:highlight w:val="none"/>
        </w:rPr>
        <w:t>】元惩罚性违约金。</w:t>
      </w:r>
    </w:p>
    <w:p w14:paraId="157760E8">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4.4.4</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安全生产费用已包含在签约合同价中。乙方相应安全生产费用投入：</w:t>
      </w:r>
    </w:p>
    <w:p w14:paraId="5BAC49E9">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①铁路工程、城市轨道交通工程为3%；</w:t>
      </w:r>
    </w:p>
    <w:p w14:paraId="52ED0C89">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②房屋建筑工程、水利水电工程、电力工程、市政公用工程为2.5%；</w:t>
      </w:r>
    </w:p>
    <w:p w14:paraId="4A2A4CFD">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③冶炼工程、机电安装工程、化工石油工程、港口与航道工程、通信工程为2%；</w:t>
      </w:r>
    </w:p>
    <w:p w14:paraId="438F7B9B">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④公路工程为1.5%。</w:t>
      </w:r>
    </w:p>
    <w:p w14:paraId="78B81E4D">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若地方政府计提标准高于上述要求的，参照地方要求执行。</w:t>
      </w:r>
    </w:p>
    <w:p w14:paraId="19122344">
      <w:pPr>
        <w:pStyle w:val="6"/>
        <w:ind w:left="0" w:firstLine="562"/>
        <w:rPr>
          <w:rFonts w:hint="eastAsia" w:ascii="仿宋_GB2312" w:hAnsi="仿宋_GB2312" w:eastAsia="仿宋_GB2312" w:cs="仿宋_GB2312"/>
          <w:b w:val="0"/>
          <w:bCs w:val="0"/>
          <w:color w:val="C00000"/>
          <w:highlight w:val="none"/>
        </w:rPr>
      </w:pPr>
      <w:r>
        <w:rPr>
          <w:rFonts w:hint="eastAsia" w:ascii="黑体" w:hAnsi="黑体" w:eastAsia="黑体" w:cs="黑体"/>
          <w:b/>
          <w:bCs/>
          <w:color w:val="000000"/>
          <w:highlight w:val="none"/>
          <w:u w:val="none"/>
        </w:rPr>
        <w:t>五、工程款支付</w:t>
      </w:r>
    </w:p>
    <w:p w14:paraId="0A6A8B4B">
      <w:pPr>
        <w:spacing w:line="480" w:lineRule="exact"/>
        <w:ind w:firstLine="560"/>
        <w:rPr>
          <w:rFonts w:hint="eastAsia"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 xml:space="preserve">5.1 </w:t>
      </w:r>
      <w:r>
        <w:rPr>
          <w:rFonts w:hint="eastAsia" w:ascii="仿宋_GB2312" w:hAnsi="仿宋_GB2312" w:eastAsia="仿宋_GB2312" w:cs="仿宋_GB2312"/>
          <w:color w:val="000000"/>
          <w:sz w:val="28"/>
          <w:szCs w:val="28"/>
          <w:highlight w:val="none"/>
        </w:rPr>
        <w:t>预付款：</w:t>
      </w:r>
    </w:p>
    <w:p w14:paraId="7269E254">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预付款支付比例为：甲方按签约合同价【</w:t>
      </w:r>
      <w:r>
        <w:rPr>
          <w:rFonts w:hint="eastAsia" w:ascii="仿宋_GB2312" w:hAnsi="仿宋_GB2312" w:eastAsia="仿宋_GB2312" w:cs="仿宋_GB2312"/>
          <w:color w:val="000000"/>
          <w:sz w:val="28"/>
          <w:szCs w:val="28"/>
          <w:highlight w:val="none"/>
          <w:u w:val="single"/>
        </w:rPr>
        <w:tab/>
      </w:r>
      <w:bookmarkStart w:id="35" w:name="mf_yufukuanbili1_2584d0ea-fb4b-4db1-891e-704a0ec8fd0c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35"/>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rPr>
        <w:t>】%或【</w:t>
      </w:r>
      <w:r>
        <w:rPr>
          <w:rFonts w:hint="eastAsia" w:ascii="仿宋_GB2312" w:hAnsi="仿宋_GB2312" w:eastAsia="仿宋_GB2312" w:cs="仿宋_GB2312"/>
          <w:color w:val="000000"/>
          <w:sz w:val="28"/>
          <w:szCs w:val="28"/>
          <w:highlight w:val="none"/>
          <w:u w:val="single"/>
        </w:rPr>
        <w:tab/>
      </w:r>
      <w:bookmarkStart w:id="36" w:name="mf_yufukuanjine1_a35af7b4-ce16-499a-bd18-b0fb7e4e4b12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36"/>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rPr>
        <w:t>】元支付预付款。</w:t>
      </w:r>
    </w:p>
    <w:p w14:paraId="6FD5BF2A">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支付时间为：签订合同、监管协议以及提供保函、增值税发票之后。预付款支付之前，分包人需向承包人提供与预付款同等金额的合规增值税发票和预付款银行保函。预付款保函开立银行应为国有银行或股份制上市商业银行。保函形式应为见索即付保函。</w:t>
      </w:r>
    </w:p>
    <w:p w14:paraId="11D01753">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抵扣方式为：【</w:t>
      </w:r>
      <w:bookmarkStart w:id="37" w:name="mf_yufukuandikoufangshi_daa65a50-167a-44e1-84fc-48895f70be7d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37"/>
      <w:r>
        <w:rPr>
          <w:rFonts w:hint="eastAsia" w:ascii="仿宋_GB2312" w:hAnsi="仿宋_GB2312" w:eastAsia="仿宋_GB2312" w:cs="仿宋_GB2312"/>
          <w:color w:val="000000"/>
          <w:sz w:val="28"/>
          <w:szCs w:val="28"/>
          <w:highlight w:val="none"/>
        </w:rPr>
        <w:t>】。</w:t>
      </w:r>
    </w:p>
    <w:p w14:paraId="6F155B8A">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预付款扣回方式为：预付款以冲抵工程进度款的方式陆续扣回，扣回金额为【</w:t>
      </w:r>
      <w:bookmarkStart w:id="38" w:name="mf_yufukuankouhuijinefangshi_03866cfb-2eca-4f12-9c0c-99050542dcac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38"/>
      <w:r>
        <w:rPr>
          <w:rFonts w:hint="eastAsia" w:ascii="仿宋_GB2312" w:hAnsi="仿宋_GB2312" w:eastAsia="仿宋_GB2312" w:cs="仿宋_GB2312"/>
          <w:color w:val="000000"/>
          <w:sz w:val="28"/>
          <w:szCs w:val="28"/>
          <w:highlight w:val="none"/>
        </w:rPr>
        <w:t>】办理过程结算（即【</w:t>
      </w:r>
      <w:bookmarkStart w:id="39" w:name="mf_yufukuankouhuijinefangshi_03866cfb-2eca-4f12-9c0c-99050542dcac_3"/>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39"/>
      <w:r>
        <w:rPr>
          <w:rFonts w:hint="eastAsia" w:ascii="仿宋_GB2312" w:hAnsi="仿宋_GB2312" w:eastAsia="仿宋_GB2312" w:cs="仿宋_GB2312"/>
          <w:color w:val="000000"/>
          <w:sz w:val="28"/>
          <w:szCs w:val="28"/>
          <w:highlight w:val="none"/>
        </w:rPr>
        <w:t>】产值）的【</w:t>
      </w:r>
      <w:bookmarkStart w:id="40" w:name="mf_yufukuankouhuibili_8899c7ab-bb6c-4726-9e65-c247cb0aafcb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40"/>
      <w:r>
        <w:rPr>
          <w:rFonts w:hint="eastAsia" w:ascii="仿宋_GB2312" w:hAnsi="仿宋_GB2312" w:eastAsia="仿宋_GB2312" w:cs="仿宋_GB2312"/>
          <w:color w:val="000000"/>
          <w:sz w:val="28"/>
          <w:szCs w:val="28"/>
          <w:highlight w:val="none"/>
        </w:rPr>
        <w:t>】，扣回时间为每月结算完毕后，在最后一期过程结算后一次性扣除剩余预付款。</w:t>
      </w:r>
    </w:p>
    <w:p w14:paraId="1A66E4B3">
      <w:pPr>
        <w:spacing w:line="480" w:lineRule="exact"/>
        <w:ind w:firstLine="560"/>
        <w:rPr>
          <w:rFonts w:hint="eastAsia"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 xml:space="preserve">5.2 </w:t>
      </w:r>
      <w:r>
        <w:rPr>
          <w:rFonts w:hint="eastAsia" w:ascii="仿宋_GB2312" w:hAnsi="仿宋_GB2312" w:eastAsia="仿宋_GB2312" w:cs="仿宋_GB2312"/>
          <w:color w:val="000000"/>
          <w:sz w:val="28"/>
          <w:szCs w:val="28"/>
          <w:highlight w:val="none"/>
        </w:rPr>
        <w:t>本工程支付方式适用第【</w:t>
      </w:r>
      <w:bookmarkStart w:id="41" w:name="mf_shuzixuanze10yineizhengshu_1f8f5958-9e87-4df4-92cc-45c6cad32bf3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41"/>
      <w:r>
        <w:rPr>
          <w:rFonts w:hint="eastAsia" w:ascii="仿宋_GB2312" w:hAnsi="仿宋_GB2312" w:eastAsia="仿宋_GB2312" w:cs="仿宋_GB2312"/>
          <w:color w:val="000000"/>
          <w:sz w:val="28"/>
          <w:szCs w:val="28"/>
          <w:highlight w:val="none"/>
        </w:rPr>
        <w:t>】条。</w:t>
      </w:r>
    </w:p>
    <w:p w14:paraId="5E6FE512">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5.2.1</w:t>
      </w:r>
      <w:r>
        <w:rPr>
          <w:rFonts w:hint="eastAsia" w:ascii="仿宋_GB2312" w:hAnsi="仿宋_GB2312" w:eastAsia="仿宋_GB2312" w:cs="仿宋_GB2312"/>
          <w:color w:val="000000"/>
          <w:sz w:val="28"/>
          <w:szCs w:val="28"/>
          <w:highlight w:val="none"/>
        </w:rPr>
        <w:t>：进度款：按月度支付工程款，月度付款比例为：【</w:t>
      </w:r>
      <w:bookmarkStart w:id="42" w:name="mf_yuedufukuanbili_1855cb66-9f4d-4df0-9aa9-ec01e167782c_1"/>
      <w:r>
        <w:rPr>
          <w:rFonts w:hint="eastAsia" w:ascii="仿宋_GB2312" w:hAnsi="仿宋_GB2312" w:eastAsia="仿宋_GB2312" w:cs="仿宋_GB2312"/>
          <w:color w:val="000000"/>
          <w:sz w:val="28"/>
          <w:szCs w:val="28"/>
          <w:highlight w:val="none"/>
          <w:u w:val="single"/>
        </w:rPr>
        <w:t>70</w:t>
      </w:r>
      <w:bookmarkEnd w:id="42"/>
      <w:r>
        <w:rPr>
          <w:rFonts w:hint="eastAsia" w:ascii="仿宋_GB2312" w:hAnsi="仿宋_GB2312" w:eastAsia="仿宋_GB2312" w:cs="仿宋_GB2312"/>
          <w:color w:val="000000"/>
          <w:sz w:val="28"/>
          <w:szCs w:val="28"/>
          <w:highlight w:val="none"/>
        </w:rPr>
        <w:t>】%。甲方依据有效的月度结算书，在次月扣除甲方代付的农民工工资、乙方违约处罚金额等代扣款项后支付。</w:t>
      </w:r>
    </w:p>
    <w:p w14:paraId="79D04B74">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结算款：本分包工程完工验收合格且经甲方项目部初审完成后，依照初审结算定案表，乙方提供结算值100%的增值税发票，扣除甲方代付的农民工工资、乙方违约处罚等金额后付至甲方初审额的【</w:t>
      </w:r>
      <w:bookmarkStart w:id="43" w:name="mf_gongchengwangongyanshouhegehoufukuanbili_0c996bfe-f90d-4c32-bc8d-72767fd073ee_3"/>
      <w:r>
        <w:rPr>
          <w:rFonts w:hint="eastAsia" w:ascii="仿宋_GB2312" w:hAnsi="仿宋_GB2312" w:eastAsia="仿宋_GB2312" w:cs="仿宋_GB2312"/>
          <w:color w:val="000000"/>
          <w:sz w:val="28"/>
          <w:szCs w:val="28"/>
          <w:highlight w:val="none"/>
          <w:u w:val="single"/>
        </w:rPr>
        <w:t>80</w:t>
      </w:r>
      <w:bookmarkEnd w:id="43"/>
      <w:r>
        <w:rPr>
          <w:rFonts w:hint="eastAsia" w:ascii="仿宋_GB2312" w:hAnsi="仿宋_GB2312" w:eastAsia="仿宋_GB2312" w:cs="仿宋_GB2312"/>
          <w:color w:val="000000"/>
          <w:sz w:val="28"/>
          <w:szCs w:val="28"/>
          <w:highlight w:val="none"/>
        </w:rPr>
        <w:t>】。分包结算经甲方公司终审定案后第三个月付至【</w:t>
      </w:r>
      <w:bookmarkStart w:id="44" w:name="mf_banlizuizhongjiesuansangeyuehouzhifubili_1466edf2-b466-43d7-a9c3-ff621feabd52_3"/>
      <w:r>
        <w:rPr>
          <w:rFonts w:hint="eastAsia" w:ascii="仿宋_GB2312" w:hAnsi="仿宋_GB2312" w:eastAsia="仿宋_GB2312" w:cs="仿宋_GB2312"/>
          <w:color w:val="000000"/>
          <w:sz w:val="28"/>
          <w:szCs w:val="28"/>
          <w:highlight w:val="none"/>
          <w:u w:val="single"/>
        </w:rPr>
        <w:t>85</w:t>
      </w:r>
      <w:bookmarkEnd w:id="44"/>
      <w:r>
        <w:rPr>
          <w:rFonts w:hint="eastAsia" w:ascii="仿宋_GB2312" w:hAnsi="仿宋_GB2312" w:eastAsia="仿宋_GB2312" w:cs="仿宋_GB2312"/>
          <w:color w:val="000000"/>
          <w:sz w:val="28"/>
          <w:szCs w:val="28"/>
          <w:highlight w:val="none"/>
        </w:rPr>
        <w:t>%】。最终结算满一年且【整体工程】竣工验收合格交付业主后第三个月付至【</w:t>
      </w:r>
      <w:bookmarkStart w:id="45" w:name="mf_fukuanbilijungongyanshouhegesangeyuenei_8530e48f-b0db-4d65-9b05-897e122a90e3_3"/>
      <w:r>
        <w:rPr>
          <w:rFonts w:hint="eastAsia" w:ascii="仿宋_GB2312" w:hAnsi="仿宋_GB2312" w:eastAsia="仿宋_GB2312" w:cs="仿宋_GB2312"/>
          <w:color w:val="000000"/>
          <w:sz w:val="28"/>
          <w:szCs w:val="28"/>
          <w:highlight w:val="none"/>
          <w:u w:val="single"/>
        </w:rPr>
        <w:t>97</w:t>
      </w:r>
      <w:bookmarkEnd w:id="45"/>
      <w:r>
        <w:rPr>
          <w:rFonts w:hint="eastAsia" w:ascii="仿宋_GB2312" w:hAnsi="仿宋_GB2312" w:eastAsia="仿宋_GB2312" w:cs="仿宋_GB2312"/>
          <w:color w:val="000000"/>
          <w:sz w:val="28"/>
          <w:szCs w:val="28"/>
          <w:highlight w:val="none"/>
        </w:rPr>
        <w:t>%】。</w:t>
      </w:r>
    </w:p>
    <w:p w14:paraId="5CCEC751">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保修金：剩余</w:t>
      </w:r>
      <w:r>
        <w:rPr>
          <w:rFonts w:hint="eastAsia" w:ascii="仿宋_GB2312" w:hAnsi="仿宋_GB2312" w:eastAsia="仿宋_GB2312" w:cs="仿宋_GB2312"/>
          <w:color w:val="000000"/>
          <w:sz w:val="28"/>
          <w:szCs w:val="28"/>
          <w:highlight w:val="none"/>
          <w:lang w:eastAsia="zh-CN"/>
        </w:rPr>
        <w:t>【</w:t>
      </w:r>
      <w:bookmarkStart w:id="46" w:name="mf_zhibaojinbili_a83e4532-eacb-46e9-a34a-a003b37dd847_1"/>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w:t>
      </w:r>
      <w:bookmarkEnd w:id="46"/>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作为质保金。</w:t>
      </w:r>
      <w:r>
        <w:rPr>
          <w:rFonts w:hint="eastAsia" w:ascii="仿宋_GB2312" w:hAnsi="仿宋_GB2312" w:eastAsia="仿宋_GB2312" w:cs="仿宋_GB2312"/>
          <w:sz w:val="28"/>
          <w:szCs w:val="28"/>
          <w:highlight w:val="none"/>
          <w:u w:val="none"/>
        </w:rPr>
        <w:t>自本项目【整体工程/分包工程】竣工验收合格满【保修期】后，工程无任何质量缺陷，【28】天内无息支付</w:t>
      </w:r>
      <w:r>
        <w:rPr>
          <w:rFonts w:hint="eastAsia" w:ascii="仿宋_GB2312" w:hAnsi="仿宋_GB2312" w:eastAsia="仿宋_GB2312" w:cs="仿宋_GB2312"/>
          <w:color w:val="000000"/>
          <w:sz w:val="28"/>
          <w:szCs w:val="28"/>
          <w:highlight w:val="none"/>
        </w:rPr>
        <w:t>。</w:t>
      </w:r>
    </w:p>
    <w:p w14:paraId="2C858416">
      <w:pPr>
        <w:spacing w:line="480" w:lineRule="exact"/>
        <w:ind w:firstLine="56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5.2.2：其他付款方式：【</w:t>
      </w:r>
      <w:bookmarkStart w:id="47" w:name="mf_qitafukuanfangshier_2d176af5-2ce2-4965-af82-e44bdf6c0c21_1"/>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bookmarkEnd w:id="47"/>
      <w:r>
        <w:rPr>
          <w:rFonts w:hint="eastAsia" w:ascii="仿宋_GB2312" w:hAnsi="仿宋_GB2312" w:eastAsia="仿宋_GB2312" w:cs="仿宋_GB2312"/>
          <w:color w:val="000000"/>
          <w:sz w:val="28"/>
          <w:szCs w:val="28"/>
          <w:highlight w:val="none"/>
          <w:lang w:val="en-US" w:eastAsia="zh-CN"/>
        </w:rPr>
        <w:t>】。</w:t>
      </w:r>
    </w:p>
    <w:p w14:paraId="171C4C46">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5.</w:t>
      </w:r>
      <w:r>
        <w:rPr>
          <w:rFonts w:hint="eastAsia" w:ascii="仿宋_GB2312" w:hAnsi="仿宋_GB2312" w:eastAsia="仿宋_GB2312" w:cs="仿宋_GB2312"/>
          <w:color w:val="000000"/>
          <w:sz w:val="28"/>
          <w:szCs w:val="28"/>
          <w:highlight w:val="none"/>
          <w:lang w:val="en-US" w:eastAsia="zh-CN"/>
        </w:rPr>
        <w:t>3</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支付方式：乙方同意甲方采用【包括但不限于银行承兑汇票、商业承兑汇票、应付账款反向保理等】的支付方式或其他合法有效的付款方式（【</w:t>
      </w:r>
      <w:r>
        <w:rPr>
          <w:rFonts w:hint="eastAsia" w:ascii="仿宋_GB2312" w:hAnsi="仿宋_GB2312" w:eastAsia="仿宋_GB2312" w:cs="仿宋_GB2312"/>
          <w:color w:val="000000"/>
          <w:sz w:val="28"/>
          <w:szCs w:val="28"/>
          <w:highlight w:val="none"/>
          <w:lang w:val="en-US" w:eastAsia="zh-CN"/>
        </w:rPr>
        <w:t>乙</w:t>
      </w:r>
      <w:r>
        <w:rPr>
          <w:rFonts w:hint="eastAsia" w:ascii="仿宋_GB2312" w:hAnsi="仿宋_GB2312" w:eastAsia="仿宋_GB2312" w:cs="仿宋_GB2312"/>
          <w:color w:val="000000"/>
          <w:sz w:val="28"/>
          <w:szCs w:val="28"/>
          <w:highlight w:val="none"/>
        </w:rPr>
        <w:t>】方承担全部贴息费用和手续费）。</w:t>
      </w:r>
    </w:p>
    <w:p w14:paraId="5E8454C4">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5.</w:t>
      </w:r>
      <w:r>
        <w:rPr>
          <w:rFonts w:hint="eastAsia" w:ascii="仿宋_GB2312" w:hAnsi="仿宋_GB2312" w:eastAsia="仿宋_GB2312" w:cs="仿宋_GB2312"/>
          <w:color w:val="000000"/>
          <w:sz w:val="28"/>
          <w:szCs w:val="28"/>
          <w:highlight w:val="none"/>
          <w:lang w:val="en-US" w:eastAsia="zh-CN"/>
        </w:rPr>
        <w:t>4</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每期报量经甲方审核确认后3日内，乙方按合同约定税率开具双方确认的结算金额的合法有效且票面信息准确的增值税专用发票（包含税务机关代开），否则甲方有权拒绝付款且免于承担任何责任，乙方还应继续履行合同义务。甲方在收到乙方增值税专用发票且经验证合法有效后开始走付款审批流程，付款审批流程完成后付款。如因乙方未及时开具发票，甲方可拒绝付款，并不承担逾期付款责任。</w:t>
      </w:r>
    </w:p>
    <w:p w14:paraId="5C546366">
      <w:pPr>
        <w:spacing w:line="480" w:lineRule="exact"/>
        <w:ind w:firstLine="560"/>
        <w:rPr>
          <w:rFonts w:hint="eastAsia"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5.</w:t>
      </w:r>
      <w:r>
        <w:rPr>
          <w:rFonts w:hint="eastAsia" w:ascii="仿宋_GB2312" w:hAnsi="仿宋_GB2312" w:eastAsia="仿宋_GB2312" w:cs="仿宋_GB2312"/>
          <w:color w:val="000000"/>
          <w:sz w:val="28"/>
          <w:szCs w:val="28"/>
          <w:highlight w:val="none"/>
          <w:lang w:val="en-US" w:eastAsia="zh-CN"/>
        </w:rPr>
        <w:t>5</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本合同关于甲方付款违约的具体责任：甲方应按照合同约定及时向乙方支付合同价款，若因甲方资金不到位，乙方同意给予甲方【60】日的宽限期，宽限期内不视为甲方违约。超过宽限期仍未支付的，乙方可向甲方主张自宽限期结束后的违约金；违约金以逾期支付的价款为基数，自宽限期结束之日起至甲方支付逾期价款之日止，按【同期全国银行间同业拆借中心公布的1年期存款市场报价利率(LPR)】向乙方计付，逾期支付违约金的上限为逾期支付金额的【5】%，不再额外支付任何利息。</w:t>
      </w:r>
    </w:p>
    <w:p w14:paraId="2FF2D948">
      <w:pPr>
        <w:spacing w:line="480" w:lineRule="exact"/>
        <w:ind w:firstLine="560"/>
        <w:rPr>
          <w:rFonts w:ascii="仿宋_GB2312" w:hAnsi="仿宋_GB2312" w:eastAsia="仿宋_GB2312" w:cs="仿宋_GB2312"/>
          <w:color w:val="FF0000"/>
          <w:sz w:val="28"/>
          <w:szCs w:val="28"/>
          <w:highlight w:val="none"/>
        </w:rPr>
      </w:pPr>
      <w:r>
        <w:rPr>
          <w:rFonts w:hint="eastAsia" w:ascii="仿宋_GB2312" w:hAnsi="仿宋_GB2312" w:eastAsia="仿宋_GB2312" w:cs="仿宋_GB2312"/>
          <w:color w:val="000000"/>
          <w:sz w:val="28"/>
          <w:szCs w:val="28"/>
          <w:highlight w:val="none"/>
        </w:rPr>
        <w:t>5.6 未经甲方书面同意，乙方在本合同项下的债务债权不得转让给第三人，不得擅自将乙方对甲方的债权向金融机构或其他第三方进行质押，否则乙方需向甲方支付转让金额的【10】%的违约金，如不足以弥补甲方损失，则乙方还应赔偿甲方的损失。</w:t>
      </w:r>
    </w:p>
    <w:p w14:paraId="0E07D65C">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六、增值税条款</w:t>
      </w:r>
    </w:p>
    <w:p w14:paraId="07ED1042">
      <w:pPr>
        <w:ind w:firstLine="562"/>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u w:val="none"/>
        </w:rPr>
        <w:t>6.1 双方基本信息</w:t>
      </w:r>
    </w:p>
    <w:p w14:paraId="786EC5BD">
      <w:pPr>
        <w:spacing w:line="480" w:lineRule="exact"/>
        <w:ind w:firstLine="56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甲方纳税人基本信息：</w:t>
      </w:r>
    </w:p>
    <w:p w14:paraId="43F80C39">
      <w:pPr>
        <w:spacing w:line="480" w:lineRule="exact"/>
        <w:ind w:firstLine="560"/>
        <w:jc w:val="left"/>
        <w:rPr>
          <w:rFonts w:hint="eastAsia" w:ascii="仿宋_GB2312" w:hAnsi="仿宋_GB2312" w:eastAsia="仿宋_GB2312" w:cs="仿宋_GB2312"/>
          <w:sz w:val="28"/>
          <w:szCs w:val="28"/>
          <w:highlight w:val="yellow"/>
        </w:rPr>
      </w:pPr>
      <w:bookmarkStart w:id="48" w:name="mf_jiafangnashuirenxinxi_5e6b6227-2fe2-4daf-ac47-f3b6b7e9fe20_1"/>
      <w:r>
        <w:rPr>
          <w:rFonts w:hint="eastAsia" w:ascii="仿宋_GB2312" w:hAnsi="仿宋_GB2312" w:eastAsia="仿宋_GB2312" w:cs="仿宋_GB2312"/>
          <w:sz w:val="28"/>
          <w:szCs w:val="28"/>
          <w:highlight w:val="none"/>
          <w:u w:val="single"/>
          <w:lang w:val="en-US" w:eastAsia="zh-CN"/>
        </w:rPr>
        <w:tab/>
      </w:r>
      <w:r>
        <w:rPr>
          <w:rFonts w:hint="eastAsia" w:ascii="仿宋_GB2312" w:hAnsi="仿宋_GB2312" w:eastAsia="仿宋_GB2312" w:cs="仿宋_GB2312"/>
          <w:sz w:val="28"/>
          <w:szCs w:val="28"/>
          <w:highlight w:val="none"/>
          <w:u w:val="single"/>
          <w:lang w:val="en-US" w:eastAsia="zh-CN"/>
        </w:rPr>
        <w:tab/>
      </w:r>
      <w:r>
        <w:rPr>
          <w:rFonts w:hint="eastAsia" w:ascii="仿宋_GB2312" w:hAnsi="仿宋_GB2312" w:eastAsia="仿宋_GB2312" w:cs="仿宋_GB2312"/>
          <w:sz w:val="28"/>
          <w:szCs w:val="28"/>
          <w:highlight w:val="none"/>
          <w:u w:val="single"/>
          <w:lang w:val="en-US" w:eastAsia="zh-CN"/>
        </w:rPr>
        <w:tab/>
      </w:r>
      <w:r>
        <w:rPr>
          <w:rFonts w:hint="eastAsia" w:ascii="仿宋_GB2312" w:hAnsi="仿宋_GB2312" w:eastAsia="仿宋_GB2312" w:cs="仿宋_GB2312"/>
          <w:sz w:val="28"/>
          <w:szCs w:val="28"/>
          <w:highlight w:val="none"/>
          <w:u w:val="single"/>
          <w:lang w:val="en-US" w:eastAsia="zh-CN"/>
        </w:rPr>
        <w:tab/>
      </w:r>
      <w:r>
        <w:rPr>
          <w:rFonts w:hint="eastAsia" w:ascii="仿宋_GB2312" w:hAnsi="仿宋_GB2312" w:eastAsia="仿宋_GB2312" w:cs="仿宋_GB2312"/>
          <w:sz w:val="28"/>
          <w:szCs w:val="28"/>
          <w:highlight w:val="none"/>
          <w:u w:val="single"/>
          <w:lang w:val="en-US" w:eastAsia="zh-CN"/>
        </w:rPr>
        <w:tab/>
      </w:r>
      <w:bookmarkEnd w:id="48"/>
    </w:p>
    <w:p w14:paraId="3C37CCE7">
      <w:pPr>
        <w:spacing w:line="480" w:lineRule="exact"/>
        <w:ind w:firstLine="56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乙方纳税人基本信息：   </w:t>
      </w:r>
    </w:p>
    <w:p w14:paraId="7FA50A92">
      <w:pPr>
        <w:spacing w:line="480" w:lineRule="exact"/>
        <w:ind w:firstLine="560"/>
        <w:rPr>
          <w:rFonts w:hint="eastAsia" w:ascii="仿宋_GB2312" w:hAnsi="仿宋_GB2312" w:eastAsia="仿宋_GB2312" w:cs="仿宋_GB2312"/>
          <w:sz w:val="28"/>
          <w:szCs w:val="28"/>
          <w:highlight w:val="none"/>
          <w:u w:val="single"/>
          <w:lang w:val="en-US" w:eastAsia="zh-CN"/>
        </w:rPr>
      </w:pPr>
      <w:bookmarkStart w:id="49" w:name="mf_yifangnashuirenxinxi_539b3fa1-2dd6-448e-bb19-cefa903769cf_1"/>
      <w:r>
        <w:rPr>
          <w:rFonts w:hint="eastAsia" w:ascii="仿宋_GB2312" w:hAnsi="仿宋_GB2312" w:eastAsia="仿宋_GB2312" w:cs="仿宋_GB2312"/>
          <w:sz w:val="28"/>
          <w:szCs w:val="28"/>
          <w:highlight w:val="none"/>
          <w:u w:val="single"/>
          <w:lang w:val="en-US" w:eastAsia="zh-CN"/>
        </w:rPr>
        <w:tab/>
      </w:r>
      <w:r>
        <w:rPr>
          <w:rFonts w:hint="eastAsia" w:ascii="仿宋_GB2312" w:hAnsi="仿宋_GB2312" w:eastAsia="仿宋_GB2312" w:cs="仿宋_GB2312"/>
          <w:sz w:val="28"/>
          <w:szCs w:val="28"/>
          <w:highlight w:val="none"/>
          <w:u w:val="single"/>
          <w:lang w:val="en-US" w:eastAsia="zh-CN"/>
        </w:rPr>
        <w:tab/>
      </w:r>
      <w:r>
        <w:rPr>
          <w:rFonts w:hint="eastAsia" w:ascii="仿宋_GB2312" w:hAnsi="仿宋_GB2312" w:eastAsia="仿宋_GB2312" w:cs="仿宋_GB2312"/>
          <w:sz w:val="28"/>
          <w:szCs w:val="28"/>
          <w:highlight w:val="none"/>
          <w:u w:val="single"/>
          <w:lang w:val="en-US" w:eastAsia="zh-CN"/>
        </w:rPr>
        <w:tab/>
      </w:r>
      <w:r>
        <w:rPr>
          <w:rFonts w:hint="eastAsia" w:ascii="仿宋_GB2312" w:hAnsi="仿宋_GB2312" w:eastAsia="仿宋_GB2312" w:cs="仿宋_GB2312"/>
          <w:sz w:val="28"/>
          <w:szCs w:val="28"/>
          <w:highlight w:val="none"/>
          <w:u w:val="single"/>
          <w:lang w:val="en-US" w:eastAsia="zh-CN"/>
        </w:rPr>
        <w:tab/>
      </w:r>
      <w:r>
        <w:rPr>
          <w:rFonts w:hint="eastAsia" w:ascii="仿宋_GB2312" w:hAnsi="仿宋_GB2312" w:eastAsia="仿宋_GB2312" w:cs="仿宋_GB2312"/>
          <w:sz w:val="28"/>
          <w:szCs w:val="28"/>
          <w:highlight w:val="none"/>
          <w:u w:val="single"/>
          <w:lang w:val="en-US" w:eastAsia="zh-CN"/>
        </w:rPr>
        <w:tab/>
      </w:r>
      <w:bookmarkEnd w:id="49"/>
    </w:p>
    <w:p w14:paraId="42BD5D60">
      <w:pPr>
        <w:spacing w:line="480" w:lineRule="exact"/>
        <w:ind w:firstLine="560"/>
        <w:rPr>
          <w:rFonts w:hint="eastAsia" w:ascii="仿宋_GB2312" w:hAnsi="仿宋_GB2312" w:eastAsia="仿宋_GB2312" w:cs="仿宋_GB2312"/>
          <w:sz w:val="28"/>
          <w:szCs w:val="28"/>
          <w:highlight w:val="yellow"/>
          <w:u w:val="single"/>
        </w:rPr>
      </w:pPr>
      <w:bookmarkStart w:id="50" w:name="mf_fenbaonashuizige_0742dfdf-1066-48f7-a6ec-7a98a7965360_1"/>
      <w:r>
        <w:rPr>
          <w:rFonts w:hint="eastAsia" w:ascii="仿宋_GB2312" w:hAnsi="仿宋_GB2312" w:eastAsia="仿宋_GB2312" w:cs="仿宋_GB2312"/>
          <w:sz w:val="28"/>
          <w:szCs w:val="28"/>
          <w:highlight w:val="none"/>
          <w:u w:val="single"/>
          <w:lang w:val="en-US" w:eastAsia="zh-CN"/>
        </w:rPr>
        <w:t>乙方纳税人资格：</w:t>
      </w:r>
      <w:r>
        <w:rPr>
          <w:rFonts w:hint="eastAsia" w:ascii="仿宋_GB2312" w:hAnsi="仿宋_GB2312" w:eastAsia="仿宋_GB2312" w:cs="仿宋_GB2312"/>
          <w:sz w:val="28"/>
          <w:szCs w:val="28"/>
          <w:highlight w:val="none"/>
          <w:u w:val="single"/>
          <w:lang w:val="en-US" w:eastAsia="zh-CN"/>
        </w:rPr>
        <w:tab/>
      </w:r>
      <w:r>
        <w:rPr>
          <w:rFonts w:hint="eastAsia" w:ascii="仿宋_GB2312" w:hAnsi="仿宋_GB2312" w:eastAsia="仿宋_GB2312" w:cs="仿宋_GB2312"/>
          <w:sz w:val="28"/>
          <w:szCs w:val="28"/>
          <w:highlight w:val="none"/>
          <w:u w:val="single"/>
          <w:lang w:val="en-US" w:eastAsia="zh-CN"/>
        </w:rPr>
        <w:tab/>
      </w:r>
      <w:r>
        <w:rPr>
          <w:rFonts w:hint="eastAsia" w:ascii="仿宋_GB2312" w:hAnsi="仿宋_GB2312" w:eastAsia="仿宋_GB2312" w:cs="仿宋_GB2312"/>
          <w:sz w:val="28"/>
          <w:szCs w:val="28"/>
          <w:highlight w:val="none"/>
          <w:u w:val="single"/>
          <w:lang w:val="en-US" w:eastAsia="zh-CN"/>
        </w:rPr>
        <w:tab/>
      </w:r>
      <w:r>
        <w:rPr>
          <w:rFonts w:hint="eastAsia" w:ascii="仿宋_GB2312" w:hAnsi="仿宋_GB2312" w:eastAsia="仿宋_GB2312" w:cs="仿宋_GB2312"/>
          <w:sz w:val="28"/>
          <w:szCs w:val="28"/>
          <w:highlight w:val="none"/>
          <w:u w:val="single"/>
          <w:lang w:val="en-US" w:eastAsia="zh-CN"/>
        </w:rPr>
        <w:tab/>
      </w:r>
      <w:r>
        <w:rPr>
          <w:rFonts w:hint="eastAsia" w:ascii="仿宋_GB2312" w:hAnsi="仿宋_GB2312" w:eastAsia="仿宋_GB2312" w:cs="仿宋_GB2312"/>
          <w:sz w:val="28"/>
          <w:szCs w:val="28"/>
          <w:highlight w:val="none"/>
          <w:u w:val="single"/>
          <w:lang w:val="en-US" w:eastAsia="zh-CN"/>
        </w:rPr>
        <w:tab/>
      </w:r>
      <w:bookmarkEnd w:id="50"/>
    </w:p>
    <w:p w14:paraId="345AD245">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6.1.1</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任何一方如上述信息发生变更，应提前10日以书面方式通知另一方。乙方在开具发票前，需向甲方确认上述开票信息，否则，由于乙方未向甲方确认导致开票信息与实际不符，造成发票无法抵扣等问题，全部责任由乙方承担，并赔偿甲方相应损失。</w:t>
      </w:r>
    </w:p>
    <w:p w14:paraId="585D5DEE">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6.1.2</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乙方开具的增值税专用发票应保证信息完整、内容规范，备注栏按甲方给定信息备注清楚，否则退回重开；乙方开具增值税发票后，次月必须在税务网进行抄税，未经甲方事先书面同意，乙方不得擅自将已向甲方开具的增值税发票作废。若乙方擅自作废发票，需向甲方承担作废发票金额2%的违约金并承担因擅自作废给甲方造成的所有责任及损失。</w:t>
      </w:r>
    </w:p>
    <w:p w14:paraId="1FF701D6">
      <w:pPr>
        <w:spacing w:line="480" w:lineRule="exact"/>
        <w:ind w:firstLine="562"/>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u w:val="none"/>
        </w:rPr>
        <w:t>6.2 本合同所涉应税行为计税方法</w:t>
      </w:r>
    </w:p>
    <w:p w14:paraId="688F1DBC">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一般计税方法</w:t>
      </w:r>
    </w:p>
    <w:p w14:paraId="0DB353F0">
      <w:pPr>
        <w:spacing w:line="480" w:lineRule="exact"/>
        <w:ind w:firstLine="562"/>
        <w:rPr>
          <w:rFonts w:hint="eastAsia" w:ascii="黑体" w:hAnsi="黑体" w:eastAsia="黑体" w:cs="黑体"/>
          <w:b/>
          <w:bCs/>
          <w:color w:val="000000"/>
          <w:sz w:val="28"/>
          <w:szCs w:val="28"/>
          <w:highlight w:val="none"/>
        </w:rPr>
      </w:pPr>
      <w:r>
        <w:rPr>
          <w:rFonts w:hint="eastAsia" w:ascii="黑体" w:hAnsi="黑体" w:eastAsia="黑体" w:cs="黑体"/>
          <w:b/>
          <w:bCs/>
          <w:color w:val="000000"/>
          <w:sz w:val="28"/>
          <w:szCs w:val="28"/>
          <w:highlight w:val="none"/>
        </w:rPr>
        <w:t>6.3 发票及其他相关信息</w:t>
      </w:r>
    </w:p>
    <w:p w14:paraId="6B0FFA34">
      <w:pPr>
        <w:spacing w:line="480" w:lineRule="exact"/>
        <w:ind w:firstLine="560"/>
        <w:rPr>
          <w:rFonts w:hint="eastAsia"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6.3.1</w:t>
      </w:r>
      <w:r>
        <w:rPr>
          <w:rFonts w:hint="eastAsia" w:ascii="仿宋_GB2312" w:hAnsi="仿宋_GB2312" w:eastAsia="仿宋_GB2312" w:cs="仿宋_GB2312"/>
          <w:color w:val="000000"/>
          <w:sz w:val="28"/>
          <w:szCs w:val="28"/>
          <w:highlight w:val="none"/>
        </w:rPr>
        <w:t xml:space="preserve"> 每次乙方在甲方付款前必须提供符合国家现行税法规定的合法有效与结算金额等额增值税发票，甲乙双方一致确认提供发票为主合同义务而非附随义务，若乙方未按要求提供发票，甲方有权暂停付款。乙方应在开票之日起7天内将发票送达甲方指定人员【</w:t>
      </w:r>
      <w:bookmarkStart w:id="51" w:name="mf_fapiaosongdarenyuanxingming_61d4f8b6-0523-49e0-a5a1-98de87a4e5f1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51"/>
      <w:r>
        <w:rPr>
          <w:rFonts w:hint="eastAsia" w:ascii="仿宋_GB2312" w:hAnsi="仿宋_GB2312" w:eastAsia="仿宋_GB2312" w:cs="仿宋_GB2312"/>
          <w:color w:val="000000"/>
          <w:sz w:val="28"/>
          <w:szCs w:val="28"/>
          <w:highlight w:val="none"/>
        </w:rPr>
        <w:t>】，甲方指定人员签收发票的日期为发票的送达日期。</w:t>
      </w:r>
    </w:p>
    <w:p w14:paraId="634E1262">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6.3.2</w:t>
      </w:r>
      <w:r>
        <w:rPr>
          <w:rFonts w:hint="eastAsia" w:ascii="仿宋_GB2312" w:hAnsi="仿宋_GB2312" w:eastAsia="仿宋_GB2312" w:cs="仿宋_GB2312"/>
          <w:color w:val="000000"/>
          <w:sz w:val="28"/>
          <w:szCs w:val="28"/>
          <w:highlight w:val="none"/>
        </w:rPr>
        <w:t xml:space="preserve"> </w:t>
      </w:r>
      <w:r>
        <w:rPr>
          <w:rFonts w:ascii="仿宋_GB2312" w:hAnsi="仿宋_GB2312" w:eastAsia="仿宋_GB2312" w:cs="仿宋_GB2312"/>
          <w:color w:val="000000"/>
          <w:sz w:val="28"/>
          <w:szCs w:val="28"/>
          <w:highlight w:val="none"/>
        </w:rPr>
        <w:t>乙方在向甲方请款时，应根据甲方确认的结算金额开具合法、有效、完整、准确的增值税（</w:t>
      </w:r>
      <w:bookmarkStart w:id="52" w:name="mf_fapiaoleixingxuanxiangzhuanyongputong_c8126a8f-569a-4b51-bfc2-2d73de1ca63a_1"/>
      <w:r>
        <w:rPr>
          <w:rFonts w:ascii="仿宋_GB2312" w:hAnsi="仿宋_GB2312" w:eastAsia="仿宋_GB2312" w:cs="仿宋_GB2312"/>
          <w:color w:val="000000"/>
          <w:sz w:val="28"/>
          <w:szCs w:val="28"/>
          <w:highlight w:val="none"/>
          <w:u w:val="single"/>
        </w:rPr>
        <w:tab/>
      </w:r>
      <w:r>
        <w:rPr>
          <w:rFonts w:ascii="仿宋_GB2312" w:hAnsi="仿宋_GB2312" w:eastAsia="仿宋_GB2312" w:cs="仿宋_GB2312"/>
          <w:color w:val="000000"/>
          <w:sz w:val="28"/>
          <w:szCs w:val="28"/>
          <w:highlight w:val="none"/>
          <w:u w:val="single"/>
        </w:rPr>
        <w:tab/>
      </w:r>
      <w:r>
        <w:rPr>
          <w:rFonts w:ascii="仿宋_GB2312" w:hAnsi="仿宋_GB2312" w:eastAsia="仿宋_GB2312" w:cs="仿宋_GB2312"/>
          <w:color w:val="000000"/>
          <w:sz w:val="28"/>
          <w:szCs w:val="28"/>
          <w:highlight w:val="none"/>
          <w:u w:val="single"/>
        </w:rPr>
        <w:tab/>
      </w:r>
      <w:r>
        <w:rPr>
          <w:rFonts w:ascii="仿宋_GB2312" w:hAnsi="仿宋_GB2312" w:eastAsia="仿宋_GB2312" w:cs="仿宋_GB2312"/>
          <w:color w:val="000000"/>
          <w:sz w:val="28"/>
          <w:szCs w:val="28"/>
          <w:highlight w:val="none"/>
          <w:u w:val="single"/>
        </w:rPr>
        <w:tab/>
      </w:r>
      <w:r>
        <w:rPr>
          <w:rFonts w:ascii="仿宋_GB2312" w:hAnsi="仿宋_GB2312" w:eastAsia="仿宋_GB2312" w:cs="仿宋_GB2312"/>
          <w:color w:val="000000"/>
          <w:sz w:val="28"/>
          <w:szCs w:val="28"/>
          <w:highlight w:val="none"/>
          <w:u w:val="single"/>
        </w:rPr>
        <w:tab/>
      </w:r>
      <w:bookmarkEnd w:id="52"/>
      <w:r>
        <w:rPr>
          <w:rFonts w:ascii="仿宋_GB2312" w:hAnsi="仿宋_GB2312" w:eastAsia="仿宋_GB2312" w:cs="仿宋_GB2312"/>
          <w:color w:val="000000"/>
          <w:sz w:val="28"/>
          <w:szCs w:val="28"/>
          <w:highlight w:val="none"/>
        </w:rPr>
        <w:t>）发票。全部联次一次打印，内容完全一致，发票抵扣联、发票联加盖发票专用章。</w:t>
      </w:r>
    </w:p>
    <w:p w14:paraId="4C3EB951">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若乙方为小规模纳税人，且勾选增值税专用发票的，则乙方需提供由税务机关代开的增值税专用发票。</w:t>
      </w:r>
    </w:p>
    <w:p w14:paraId="09F6B2F4">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若乙方为一般纳税人的，应当在开具发票、请款之前向甲方提供一般纳税人认定表。</w:t>
      </w:r>
    </w:p>
    <w:p w14:paraId="7883CE68">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若汇总开具增值税专用发票的，则乙方需同时提供防伪税控系统开具的《销售货物或提供应税劳务清单》，并加盖发票专用章。</w:t>
      </w:r>
    </w:p>
    <w:p w14:paraId="13EBB6A1">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6.3.3</w:t>
      </w:r>
      <w:r>
        <w:rPr>
          <w:rFonts w:hint="eastAsia" w:ascii="仿宋_GB2312" w:hAnsi="仿宋_GB2312" w:eastAsia="仿宋_GB2312" w:cs="仿宋_GB2312"/>
          <w:color w:val="000000"/>
          <w:sz w:val="28"/>
          <w:szCs w:val="28"/>
          <w:highlight w:val="none"/>
        </w:rPr>
        <w:t xml:space="preserve"> </w:t>
      </w:r>
      <w:r>
        <w:rPr>
          <w:rFonts w:ascii="仿宋_GB2312" w:hAnsi="仿宋_GB2312" w:eastAsia="仿宋_GB2312" w:cs="仿宋_GB2312"/>
          <w:color w:val="000000"/>
          <w:sz w:val="28"/>
          <w:szCs w:val="28"/>
          <w:highlight w:val="none"/>
        </w:rPr>
        <w:t>乙方提供发票不符合法律法规规范性文件规定或不符合合同约定开具、送达、认证、抵扣增值税发票的情形：</w:t>
      </w:r>
    </w:p>
    <w:p w14:paraId="580FF4EC">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（1）开具虚假发票的（如：虚开增值税发票，开具伪造、变造的增值税发票）；</w:t>
      </w:r>
    </w:p>
    <w:p w14:paraId="2EB0C2DF">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（2）开具发票种类错误的（如：增值税专用发票开成增值税普通发票）；</w:t>
      </w:r>
    </w:p>
    <w:p w14:paraId="61C91487">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（3）开具发票上记载的信息错误的（如：双方基本信息、发票号码、开票时间、金额、税率、税额等错误；字迹不清，压线、错格；项目</w:t>
      </w:r>
      <w:r>
        <w:rPr>
          <w:rFonts w:hint="eastAsia" w:ascii="仿宋_GB2312" w:hAnsi="仿宋_GB2312" w:eastAsia="仿宋_GB2312" w:cs="仿宋_GB2312"/>
          <w:color w:val="000000"/>
          <w:sz w:val="28"/>
          <w:szCs w:val="28"/>
          <w:highlight w:val="none"/>
        </w:rPr>
        <w:t>名称</w:t>
      </w:r>
      <w:r>
        <w:rPr>
          <w:rFonts w:ascii="仿宋_GB2312" w:hAnsi="仿宋_GB2312" w:eastAsia="仿宋_GB2312" w:cs="仿宋_GB2312"/>
          <w:color w:val="000000"/>
          <w:sz w:val="28"/>
          <w:szCs w:val="28"/>
          <w:highlight w:val="none"/>
        </w:rPr>
        <w:t>不齐全；缺少发票专用章；备注栏遗漏填写等）；</w:t>
      </w:r>
    </w:p>
    <w:p w14:paraId="1489F793">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（4）因迟延送达增值税专用发票导致甲方不能认证、抵扣的；</w:t>
      </w:r>
    </w:p>
    <w:p w14:paraId="02EB0D1D">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（5）因开具虚假增值税专用发票导致甲方不能认证、抵扣的；</w:t>
      </w:r>
    </w:p>
    <w:p w14:paraId="308723E5">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（6）因开具的增值税专用发票上记载的信息错误导致甲方不能认证、抵扣的；</w:t>
      </w:r>
    </w:p>
    <w:p w14:paraId="11266956">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（7）汇总开具增值税专用发票时，未一并提供防伪税控系统开具的《销售货物或提供应税劳务清单》的，或提供的《销售货物或提供应税劳务清单》上未加盖发票专用章的；</w:t>
      </w:r>
    </w:p>
    <w:p w14:paraId="11DE3104">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（8）其他违反法律法规规范性文件规定或合同约定开具的增值税发票的。</w:t>
      </w:r>
    </w:p>
    <w:p w14:paraId="227AF0E0">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6.3.4 甲方若同时遗失增值税专用发票联和抵扣联，则乙方应为甲方提供加盖销售方发票专用章的相应发票记账联复印件作为增值税进项税的抵扣凭证或记账凭证。甲方若丢失抵扣联、发票联其中之一的，可用另外一联复印件，无需乙方提供记账联复印件。</w:t>
      </w:r>
    </w:p>
    <w:p w14:paraId="187FE5D2">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6.3.5 甲方根据本合同约定从当期分包工程款中扣除了乙方的违约金、损失赔偿、代扣代缴费用等款项的，乙方应按扣除后的当期分包工程款金额开具增值税发票。</w:t>
      </w:r>
    </w:p>
    <w:p w14:paraId="1F5BB394">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本合同中约定的甲方向乙方支付的违约金为含税金额，在甲方支付违约金前，乙方应根据协议书第四条约定的增值税率或征收率，向甲方开具增值税发票。</w:t>
      </w:r>
    </w:p>
    <w:p w14:paraId="47A325F3">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6.3.6 违约责任</w:t>
      </w:r>
    </w:p>
    <w:p w14:paraId="4D695B7D">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（1）若乙方开具或提供的或税务机关代开的增值税发票存在</w:t>
      </w:r>
      <w:r>
        <w:rPr>
          <w:rFonts w:hint="eastAsia" w:ascii="仿宋_GB2312" w:hAnsi="仿宋_GB2312" w:eastAsia="仿宋_GB2312" w:cs="仿宋_GB2312"/>
          <w:color w:val="000000"/>
          <w:sz w:val="28"/>
          <w:szCs w:val="28"/>
          <w:highlight w:val="none"/>
        </w:rPr>
        <w:t>合同协议书</w:t>
      </w:r>
      <w:r>
        <w:rPr>
          <w:rFonts w:ascii="仿宋_GB2312" w:hAnsi="仿宋_GB2312" w:eastAsia="仿宋_GB2312" w:cs="仿宋_GB2312"/>
          <w:color w:val="000000"/>
          <w:sz w:val="28"/>
          <w:szCs w:val="28"/>
          <w:highlight w:val="none"/>
        </w:rPr>
        <w:t>第6.3.3款约定情形之一的，则甲方有权拒收增值税发票，并有权暂停支付相应款项直到甲方收到符合要求的增值税发票之日止。甲方拒收发票或暂停支付款项等行为，不视为违约，且乙方不得以此为由中止履行合同约定的义务。乙方在甲方拒收发票之日起7日内重新开具或提供符合要求的增值税发票并送达甲方。若因甲方原因提供错误开票信息的，甲方应在拒收的同时向乙方提供正确开票信息。</w:t>
      </w:r>
    </w:p>
    <w:p w14:paraId="6EF8DD23">
      <w:pPr>
        <w:spacing w:line="480" w:lineRule="exact"/>
        <w:ind w:firstLine="560"/>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（2）若乙方开具或提供的增值税专用发票存在</w:t>
      </w:r>
      <w:r>
        <w:rPr>
          <w:rFonts w:hint="eastAsia" w:ascii="仿宋_GB2312" w:hAnsi="仿宋_GB2312" w:eastAsia="仿宋_GB2312" w:cs="仿宋_GB2312"/>
          <w:color w:val="000000"/>
          <w:sz w:val="28"/>
          <w:szCs w:val="28"/>
          <w:highlight w:val="none"/>
        </w:rPr>
        <w:t>合同协议书</w:t>
      </w:r>
      <w:r>
        <w:rPr>
          <w:rFonts w:ascii="仿宋_GB2312" w:hAnsi="仿宋_GB2312" w:eastAsia="仿宋_GB2312" w:cs="仿宋_GB2312"/>
          <w:color w:val="000000"/>
          <w:sz w:val="28"/>
          <w:szCs w:val="28"/>
          <w:highlight w:val="none"/>
        </w:rPr>
        <w:t>第6.3.3款约定情形之一的，除适用</w:t>
      </w:r>
      <w:r>
        <w:rPr>
          <w:rFonts w:hint="eastAsia" w:ascii="仿宋_GB2312" w:hAnsi="仿宋_GB2312" w:eastAsia="仿宋_GB2312" w:cs="仿宋_GB2312"/>
          <w:color w:val="000000"/>
          <w:sz w:val="28"/>
          <w:szCs w:val="28"/>
          <w:highlight w:val="none"/>
        </w:rPr>
        <w:t>合同协议书</w:t>
      </w:r>
      <w:r>
        <w:rPr>
          <w:rFonts w:ascii="仿宋_GB2312" w:hAnsi="仿宋_GB2312" w:eastAsia="仿宋_GB2312" w:cs="仿宋_GB2312"/>
          <w:color w:val="000000"/>
          <w:sz w:val="28"/>
          <w:szCs w:val="28"/>
          <w:highlight w:val="none"/>
        </w:rPr>
        <w:t>第6.3.6（1）款约定外，乙方还应按甲方要求采取其他补救措施，同时，</w:t>
      </w:r>
      <w:r>
        <w:rPr>
          <w:rFonts w:hint="eastAsia" w:ascii="仿宋_GB2312" w:hAnsi="仿宋_GB2312" w:eastAsia="仿宋_GB2312" w:cs="仿宋_GB2312"/>
          <w:color w:val="000000"/>
          <w:sz w:val="28"/>
          <w:szCs w:val="28"/>
          <w:highlight w:val="none"/>
        </w:rPr>
        <w:t>甲方有权要求乙方支付应付发票对应金额的【</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】%或【</w:t>
      </w:r>
      <w:r>
        <w:rPr>
          <w:rFonts w:hint="eastAsia" w:ascii="仿宋_GB2312" w:hAnsi="仿宋_GB2312" w:eastAsia="仿宋_GB2312" w:cs="仿宋_GB2312"/>
          <w:color w:val="000000"/>
          <w:sz w:val="28"/>
          <w:szCs w:val="28"/>
          <w:highlight w:val="none"/>
          <w:lang w:val="en-US" w:eastAsia="zh-CN"/>
        </w:rPr>
        <w:t>10000</w:t>
      </w:r>
      <w:r>
        <w:rPr>
          <w:rFonts w:hint="eastAsia" w:ascii="仿宋_GB2312" w:hAnsi="仿宋_GB2312" w:eastAsia="仿宋_GB2312" w:cs="仿宋_GB2312"/>
          <w:color w:val="000000"/>
          <w:sz w:val="28"/>
          <w:szCs w:val="28"/>
          <w:highlight w:val="none"/>
        </w:rPr>
        <w:t>】元的惩罚性违约金，并赔偿甲方损失，因甲方原因造成开票信息错误的除外。</w:t>
      </w:r>
    </w:p>
    <w:p w14:paraId="1D489F09">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（3）若乙方开具或提供的增值税专用发票发生合同协议书第6.3.3款的情形超过3次，或给甲方造成重大损失的，则乙方除按合同协议书第6.3.6（2）款约定承担责任外，甲方有权单方解除本合同。</w:t>
      </w:r>
    </w:p>
    <w:p w14:paraId="79E08F85">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（4）由于乙方的不规范涉税行为导致甲方受到税务局协查并给甲方造成涉税风险和损失的，乙方应承担甲方全部损失，甲方有权单方解除本合同。</w:t>
      </w:r>
    </w:p>
    <w:p w14:paraId="5FEAC26F">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6371E97C">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（6）乙方向甲方提供其他增值税扣税凭证的，均适用于本合同协议书中第六条有关增值税专用发票的约定。</w:t>
      </w:r>
    </w:p>
    <w:p w14:paraId="165EBD90">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乙方过程中开具发票的总金额不作为双方结算的金额，最终结算金额根据合同约定的时间和方式由双方确定。若过程结算开票金额大于最终结算金额或因最终结算审减导致已开票金额大于最终结算开票金额，超出最终结算开票金额部分发票成本由乙方自行承担，不予退票或补偿。</w:t>
      </w:r>
    </w:p>
    <w:p w14:paraId="361E317E">
      <w:pPr>
        <w:pStyle w:val="6"/>
        <w:ind w:left="0" w:firstLine="562"/>
        <w:rPr>
          <w:rFonts w:hint="eastAsia" w:ascii="仿宋_GB2312" w:hAnsi="仿宋_GB2312" w:eastAsia="仿宋_GB2312" w:cs="仿宋_GB2312"/>
          <w:b w:val="0"/>
          <w:bCs w:val="0"/>
          <w:highlight w:val="none"/>
        </w:rPr>
      </w:pPr>
      <w:r>
        <w:rPr>
          <w:rFonts w:hint="eastAsia" w:ascii="黑体" w:hAnsi="黑体" w:eastAsia="黑体" w:cs="黑体"/>
          <w:b/>
          <w:bCs/>
          <w:highlight w:val="none"/>
          <w:u w:val="none"/>
        </w:rPr>
        <w:t>七、材料供应</w:t>
      </w:r>
    </w:p>
    <w:p w14:paraId="7DA6C1E9">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甲方按计划提供以下材料：【进场后由项目部据实提供】。乙方限额领料，材料如超出甲方约定（如甲方无约定，则执行工程所在地相应定额标准），则超领部分由乙方全部赔偿，价格按甲方购买价格加价【10】%计取，在进度款或结算款中扣除。</w:t>
      </w:r>
    </w:p>
    <w:p w14:paraId="000AE767">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7.1.1</w:t>
      </w:r>
      <w:r>
        <w:rPr>
          <w:rFonts w:hint="eastAsia" w:ascii="仿宋_GB2312" w:hAnsi="仿宋_GB2312" w:eastAsia="仿宋_GB2312" w:cs="仿宋_GB2312"/>
          <w:color w:val="000000"/>
          <w:sz w:val="28"/>
          <w:szCs w:val="28"/>
          <w:highlight w:val="none"/>
        </w:rPr>
        <w:t>由甲方提供的材料在进出场时，乙方必须参与验收，否则，以甲方与供应商双方确认的数量为准。甲方供应的材料的质量、品种、规格、型号应符合设计要求，货到后甲乙双方共同验收合格后，办理领用手续，由乙方自行保管使用，相关费用已包含在合同综合单价中。乙方未参加验收的，视为同意甲方的验收结果。</w:t>
      </w:r>
    </w:p>
    <w:p w14:paraId="0F855B96">
      <w:pPr>
        <w:spacing w:line="480" w:lineRule="exact"/>
        <w:ind w:firstLine="56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7.1.2甲供材核算：双方对甲供材按【月】进行核算，工程完工后【28】天内双方完成全部领用材料对账、核算。乙方承担甲供材超量费用的计算方法：[乙方实际领用数量-结算工程量*（1+合同约定的损耗率）]*材料单价。其中甲供材的损耗率：【损耗率详见附件13建筑安装工程主要物资损耗率控制目标清单】，材料单价为施工期间乙方领用材料的加权平均价，上述价格均为不含税价。乙方限额领料，材料如超出甲方约定，由乙方全部赔偿，并按甲供材超量费用的【10%】计取违约金，在进度款或结算款中扣除。</w:t>
      </w:r>
    </w:p>
    <w:p w14:paraId="208E8D8A">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7.2</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乙方供料：除7.1条约定甲方按计划供料外的所有材料由乙方自行提供，包括但不限于【零星材料、辅材、低值易耗品等，不包括主要建筑材料、周转材料和大中型施工机械设备等】。费用包含在合同综合单价中。</w:t>
      </w:r>
    </w:p>
    <w:p w14:paraId="56E614B0">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7.2.1</w:t>
      </w:r>
      <w:r>
        <w:rPr>
          <w:rFonts w:ascii="仿宋_GB2312" w:hAnsi="仿宋_GB2312" w:eastAsia="仿宋_GB2312" w:cs="仿宋_GB2312"/>
          <w:color w:val="000000"/>
          <w:sz w:val="28"/>
          <w:szCs w:val="28"/>
          <w:highlight w:val="none"/>
        </w:rPr>
        <w:t>对于乙供材料，乙方负责原材料进场后的抽检和试验，在材料进场后，必须进行物资报验，报甲方进行复验，相关检测费用均已包含在综合单价内，甲方复验不免除乙方应承担的质量责任。对于甲方自建试验室或外委产生的检测费用从乙方的计量款中扣除。</w:t>
      </w:r>
    </w:p>
    <w:p w14:paraId="5E583CCA">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7.2.2</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乙方对自供材料的质量负责，材料品牌需在采购前向甲方报备，根据技术要求和有关规定需要合格证、质量保证书和准用证等证件的，证件必须随货同行，货到后将证件交给甲方，据以进行质量验收，证件齐全、质量合格的材料方能用于工程。如在施工过程中发现材料质量不合格，乙方除负责更换合格材料外，还应承担签约合同价【</w:t>
      </w:r>
      <w:r>
        <w:rPr>
          <w:rFonts w:hint="eastAsia" w:ascii="仿宋_GB2312" w:hAnsi="仿宋_GB2312" w:eastAsia="仿宋_GB2312" w:cs="仿宋_GB2312"/>
          <w:color w:val="000000"/>
          <w:sz w:val="28"/>
          <w:szCs w:val="28"/>
          <w:highlight w:val="none"/>
          <w:lang w:val="en-US" w:eastAsia="zh-CN"/>
        </w:rPr>
        <w:t>10</w:t>
      </w:r>
      <w:r>
        <w:rPr>
          <w:rFonts w:hint="eastAsia" w:ascii="仿宋_GB2312" w:hAnsi="仿宋_GB2312" w:eastAsia="仿宋_GB2312" w:cs="仿宋_GB2312"/>
          <w:color w:val="000000"/>
          <w:sz w:val="28"/>
          <w:szCs w:val="28"/>
          <w:highlight w:val="none"/>
        </w:rPr>
        <w:t>】%的惩罚性违约金及因此给甲方造成的全部损失。</w:t>
      </w:r>
    </w:p>
    <w:p w14:paraId="4D1CFCAC">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7.2.3</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对于乙方供应材料，若乙方无法按期提供</w:t>
      </w:r>
      <w:r>
        <w:rPr>
          <w:rFonts w:hint="eastAsia" w:ascii="仿宋_GB2312" w:hAnsi="仿宋_GB2312" w:eastAsia="仿宋_GB2312" w:cs="仿宋_GB2312"/>
          <w:color w:val="000000"/>
          <w:sz w:val="28"/>
          <w:szCs w:val="28"/>
          <w:highlight w:val="none"/>
          <w:lang w:val="en-US" w:eastAsia="zh-CN"/>
        </w:rPr>
        <w:t>或</w:t>
      </w:r>
      <w:r>
        <w:rPr>
          <w:rFonts w:hint="eastAsia" w:ascii="仿宋_GB2312" w:hAnsi="仿宋_GB2312" w:eastAsia="仿宋_GB2312" w:cs="仿宋_GB2312"/>
          <w:color w:val="000000"/>
          <w:sz w:val="28"/>
          <w:szCs w:val="28"/>
          <w:highlight w:val="none"/>
        </w:rPr>
        <w:t>拒绝提供，则由甲方代购，按照甲方购买价格加价【</w:t>
      </w:r>
      <w:r>
        <w:rPr>
          <w:rFonts w:hint="eastAsia" w:ascii="仿宋_GB2312" w:hAnsi="仿宋_GB2312" w:eastAsia="仿宋_GB2312" w:cs="仿宋_GB2312"/>
          <w:color w:val="000000"/>
          <w:sz w:val="28"/>
          <w:szCs w:val="28"/>
          <w:highlight w:val="none"/>
          <w:lang w:val="en-US" w:eastAsia="zh-CN"/>
        </w:rPr>
        <w:t>110</w:t>
      </w:r>
      <w:r>
        <w:rPr>
          <w:rFonts w:hint="eastAsia" w:ascii="仿宋_GB2312" w:hAnsi="仿宋_GB2312" w:eastAsia="仿宋_GB2312" w:cs="仿宋_GB2312"/>
          <w:color w:val="000000"/>
          <w:sz w:val="28"/>
          <w:szCs w:val="28"/>
          <w:highlight w:val="none"/>
        </w:rPr>
        <w:t>】%从乙方当期工程款中扣除。</w:t>
      </w:r>
    </w:p>
    <w:p w14:paraId="27B7EF25">
      <w:pPr>
        <w:pStyle w:val="6"/>
        <w:ind w:left="0" w:firstLine="562"/>
        <w:rPr>
          <w:rFonts w:hint="eastAsia" w:ascii="仿宋_GB2312" w:hAnsi="仿宋_GB2312" w:eastAsia="仿宋_GB2312" w:cs="仿宋_GB2312"/>
          <w:b w:val="0"/>
          <w:bCs w:val="0"/>
          <w:color w:val="C00000"/>
          <w:highlight w:val="none"/>
        </w:rPr>
      </w:pPr>
      <w:r>
        <w:rPr>
          <w:rFonts w:hint="eastAsia" w:ascii="黑体" w:hAnsi="黑体" w:eastAsia="黑体" w:cs="黑体"/>
          <w:b/>
          <w:bCs/>
          <w:highlight w:val="none"/>
          <w:u w:val="none"/>
        </w:rPr>
        <w:t>八、各类机械及安全防护用品供应</w:t>
      </w:r>
    </w:p>
    <w:p w14:paraId="044F0FE6">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8.1</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甲方提供机械：【进场后由项目部据实提供】</w:t>
      </w:r>
    </w:p>
    <w:p w14:paraId="2B66CFC8">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8.1.1</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甲方人员操作的机械由甲方派相关专业人员跟班操作、管理、维修、保养、保管，乙方不准擅自操作。甲方交由乙方人员操作的机械，乙方办理接管手续，负责日常的保养、保管。乙方要严格执行操作规程，保证设备良好状态。施工任务完成后进行盘点、清理、刷油，并交还甲方。如有保管不善或使用不当造成丢失、损坏，乙方负责修理或照价赔偿。</w:t>
      </w:r>
    </w:p>
    <w:p w14:paraId="39A8DAED">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8.1.2</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由甲方提供给乙方使用的机械在进出场时，乙方必须参与验收，确认数量及运行状态，否则，以甲方确认为准。</w:t>
      </w:r>
    </w:p>
    <w:p w14:paraId="52E63876">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8.1.3</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甲方提供的大型机械，如遇特殊情况提前拆除或维修、不同作业区因工期问题造成某作业区一定时间内无法使用甲方提供的大型机械而临时增加的垂直运输机械费、施工现场存在少量覆盖盲区情况，甲方应在合理期限内提前通知乙方，由乙方自行解决物料搬运问题，甲方不补偿相应费用。</w:t>
      </w:r>
    </w:p>
    <w:p w14:paraId="1746A5FA">
      <w:pPr>
        <w:spacing w:line="480" w:lineRule="exact"/>
        <w:ind w:firstLine="560"/>
        <w:rPr>
          <w:rFonts w:ascii="仿宋_GB2312" w:eastAsia="仿宋_GB2312" w:hAnsiTheme="minorEastAsia" w:cstheme="minorEastAsia"/>
          <w:strike/>
          <w:sz w:val="28"/>
          <w:szCs w:val="28"/>
          <w:highlight w:val="none"/>
        </w:rPr>
      </w:pPr>
      <w:r>
        <w:rPr>
          <w:rFonts w:hint="eastAsia" w:ascii="仿宋_GB2312" w:eastAsia="仿宋_GB2312" w:hAnsiTheme="minorEastAsia" w:cstheme="minorEastAsia"/>
          <w:sz w:val="28"/>
          <w:szCs w:val="28"/>
          <w:highlight w:val="none"/>
        </w:rPr>
        <w:t>8.2</w:t>
      </w:r>
      <w:r>
        <w:rPr>
          <w:rFonts w:ascii="仿宋_GB2312" w:eastAsia="仿宋_GB2312" w:hAnsiTheme="minorEastAsia" w:cstheme="minorEastAsia"/>
          <w:sz w:val="28"/>
          <w:szCs w:val="28"/>
          <w:highlight w:val="none"/>
        </w:rPr>
        <w:t xml:space="preserve"> </w:t>
      </w:r>
      <w:r>
        <w:rPr>
          <w:rFonts w:hint="eastAsia" w:ascii="仿宋_GB2312" w:eastAsia="仿宋_GB2312" w:hAnsiTheme="minorEastAsia" w:cstheme="minorEastAsia"/>
          <w:sz w:val="28"/>
          <w:szCs w:val="28"/>
          <w:highlight w:val="none"/>
        </w:rPr>
        <w:t>乙方提供机械机</w:t>
      </w:r>
      <w:r>
        <w:rPr>
          <w:rFonts w:hint="eastAsia" w:ascii="仿宋_GB2312" w:eastAsia="仿宋_GB2312" w:hAnsiTheme="minorEastAsia" w:cstheme="minorEastAsia"/>
          <w:b w:val="0"/>
          <w:bCs/>
          <w:sz w:val="28"/>
          <w:szCs w:val="28"/>
          <w:highlight w:val="none"/>
        </w:rPr>
        <w:t>具</w:t>
      </w:r>
      <w:r>
        <w:rPr>
          <w:rFonts w:hint="eastAsia" w:ascii="仿宋_GB2312" w:eastAsia="仿宋_GB2312" w:hAnsiTheme="minorEastAsia" w:cstheme="minorEastAsia"/>
          <w:sz w:val="28"/>
          <w:szCs w:val="28"/>
          <w:highlight w:val="none"/>
        </w:rPr>
        <w:t>：【除8.1条约定甲供机械之外的所有机械及机具、手头工具及劳保用品等均由乙方供应】，费用包含在合同综合单价中。</w:t>
      </w:r>
    </w:p>
    <w:p w14:paraId="05122F50">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8.3</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安全防护用品：乙方必须为施工现场自有人员配备必需的安全防护用品。乙方配备的安全防护用品使用性能或质量必须符合国家主管部门及行业规范、标准要求，另外安全防护用品外观、样式、规格、型号须符合甲方安全管理要求。</w:t>
      </w:r>
    </w:p>
    <w:p w14:paraId="6F86A73A">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【施工现场特种劳动防护用品（包括三宝一器：安全帽、安全带、安全网，漏触电保护器）及锁扣、钢丝绳由甲方统一采购、统一发放、统一管理，费用由甲方从乙方工程款中代付代扣】</w:t>
      </w:r>
    </w:p>
    <w:p w14:paraId="171AF141">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九、甲乙方代表</w:t>
      </w:r>
    </w:p>
    <w:p w14:paraId="23EE01F4">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9.1</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甲方现场代表：【</w:t>
      </w:r>
      <w:bookmarkStart w:id="53" w:name="mf_jiafangshoujianren_f47b10d8-de63-4758-8c6f-ee2728516594_3"/>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53"/>
      <w:r>
        <w:rPr>
          <w:rFonts w:hint="eastAsia" w:ascii="仿宋_GB2312" w:hAnsi="仿宋_GB2312" w:eastAsia="仿宋_GB2312" w:cs="仿宋_GB2312"/>
          <w:color w:val="000000"/>
          <w:sz w:val="28"/>
          <w:szCs w:val="28"/>
          <w:highlight w:val="none"/>
        </w:rPr>
        <w:t>】，联系电话：【</w:t>
      </w:r>
      <w:bookmarkStart w:id="54" w:name="mf_jiafangshoujianrenlianxidianhua_979b7cf1-aa61-4201-8c37-dfbd0600d2f8_3"/>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54"/>
      <w:r>
        <w:rPr>
          <w:rFonts w:hint="eastAsia" w:ascii="仿宋_GB2312" w:hAnsi="仿宋_GB2312" w:eastAsia="仿宋_GB2312" w:cs="仿宋_GB2312"/>
          <w:color w:val="000000"/>
          <w:sz w:val="28"/>
          <w:szCs w:val="28"/>
          <w:highlight w:val="none"/>
        </w:rPr>
        <w:t>】其职责权限详见附件2《甲方项目经理授权委托书》。在合同履行过程中，在承包人项目经理权限范围内的所有联系函、会议纪要、现场单据、签证索赔等文件资料，经其签字后方具备法律效力，其他任何人员的签字均无效。</w:t>
      </w:r>
    </w:p>
    <w:p w14:paraId="538E31E5">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9.2</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乙方现场代表：【</w:t>
      </w:r>
      <w:bookmarkStart w:id="55" w:name="mf_yifangxianchangdaibiao_d5260af5-a98f-414c-88a6-0cf55b9a01d3_1"/>
      <w:r>
        <w:rPr>
          <w:rFonts w:ascii="仿宋_GB2312" w:hAnsi="仿宋_GB2312" w:eastAsia="仿宋_GB2312" w:cs="仿宋_GB2312"/>
          <w:color w:val="000000"/>
          <w:sz w:val="28"/>
          <w:szCs w:val="28"/>
          <w:highlight w:val="none"/>
          <w:u w:val="single"/>
        </w:rPr>
        <w:tab/>
      </w:r>
      <w:r>
        <w:rPr>
          <w:rFonts w:ascii="仿宋_GB2312" w:hAnsi="仿宋_GB2312" w:eastAsia="仿宋_GB2312" w:cs="仿宋_GB2312"/>
          <w:color w:val="000000"/>
          <w:sz w:val="28"/>
          <w:szCs w:val="28"/>
          <w:highlight w:val="none"/>
          <w:u w:val="single"/>
        </w:rPr>
        <w:tab/>
      </w:r>
      <w:r>
        <w:rPr>
          <w:rFonts w:ascii="仿宋_GB2312" w:hAnsi="仿宋_GB2312" w:eastAsia="仿宋_GB2312" w:cs="仿宋_GB2312"/>
          <w:color w:val="000000"/>
          <w:sz w:val="28"/>
          <w:szCs w:val="28"/>
          <w:highlight w:val="none"/>
          <w:u w:val="single"/>
        </w:rPr>
        <w:tab/>
      </w:r>
      <w:r>
        <w:rPr>
          <w:rFonts w:ascii="仿宋_GB2312" w:hAnsi="仿宋_GB2312" w:eastAsia="仿宋_GB2312" w:cs="仿宋_GB2312"/>
          <w:color w:val="000000"/>
          <w:sz w:val="28"/>
          <w:szCs w:val="28"/>
          <w:highlight w:val="none"/>
          <w:u w:val="single"/>
        </w:rPr>
        <w:tab/>
      </w:r>
      <w:r>
        <w:rPr>
          <w:rFonts w:ascii="仿宋_GB2312" w:hAnsi="仿宋_GB2312" w:eastAsia="仿宋_GB2312" w:cs="仿宋_GB2312"/>
          <w:color w:val="000000"/>
          <w:sz w:val="28"/>
          <w:szCs w:val="28"/>
          <w:highlight w:val="none"/>
          <w:u w:val="single"/>
        </w:rPr>
        <w:tab/>
      </w:r>
      <w:bookmarkEnd w:id="55"/>
      <w:r>
        <w:rPr>
          <w:rFonts w:hint="eastAsia" w:ascii="仿宋_GB2312" w:hAnsi="仿宋_GB2312" w:eastAsia="仿宋_GB2312" w:cs="仿宋_GB2312"/>
          <w:color w:val="000000"/>
          <w:sz w:val="28"/>
          <w:szCs w:val="28"/>
          <w:highlight w:val="none"/>
        </w:rPr>
        <w:t>】，联系电话：【</w:t>
      </w:r>
      <w:bookmarkStart w:id="56" w:name="mf_yifangxianchangfuzerendianhua_2a046d42-8e06-41c4-a90c-d94737888753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56"/>
      <w:r>
        <w:rPr>
          <w:rFonts w:hint="eastAsia" w:ascii="仿宋_GB2312" w:hAnsi="仿宋_GB2312" w:eastAsia="仿宋_GB2312" w:cs="仿宋_GB2312"/>
          <w:color w:val="000000"/>
          <w:sz w:val="28"/>
          <w:szCs w:val="28"/>
          <w:highlight w:val="none"/>
        </w:rPr>
        <w:t>】，安全考核证书 ： 【</w:t>
      </w:r>
      <w:bookmarkStart w:id="57" w:name="mf_yifangxianchangdaibiaoanquankaohezhengshu_f9ef34f4-a0f9-4c21-923c-d5451fd32106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57"/>
      <w:r>
        <w:rPr>
          <w:rFonts w:hint="eastAsia" w:ascii="仿宋_GB2312" w:hAnsi="仿宋_GB2312" w:eastAsia="仿宋_GB2312" w:cs="仿宋_GB2312"/>
          <w:color w:val="000000"/>
          <w:sz w:val="28"/>
          <w:szCs w:val="28"/>
          <w:highlight w:val="none"/>
        </w:rPr>
        <w:t>】 ，有效期限【</w:t>
      </w:r>
      <w:bookmarkStart w:id="58" w:name="mf_fenbaorenxiangmujinglianquankaohezhengshuyouxiaoshijian_c0ecc470-5d62-4cda-95a2-b9d0802f4d94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58"/>
      <w:r>
        <w:rPr>
          <w:rFonts w:hint="eastAsia" w:ascii="仿宋_GB2312" w:hAnsi="仿宋_GB2312" w:eastAsia="仿宋_GB2312" w:cs="仿宋_GB2312"/>
          <w:color w:val="000000"/>
          <w:sz w:val="28"/>
          <w:szCs w:val="28"/>
          <w:highlight w:val="none"/>
        </w:rPr>
        <w:t>】，电子邮箱：【</w:t>
      </w:r>
      <w:bookmarkStart w:id="59" w:name="mf_yifangshouquanweituorendianziyouxiang_82e83661-859f-4b73-8642-241563416f4b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59"/>
      <w:r>
        <w:rPr>
          <w:rFonts w:hint="eastAsia" w:ascii="仿宋_GB2312" w:hAnsi="仿宋_GB2312" w:eastAsia="仿宋_GB2312" w:cs="仿宋_GB2312"/>
          <w:color w:val="000000"/>
          <w:sz w:val="28"/>
          <w:szCs w:val="28"/>
          <w:highlight w:val="none"/>
        </w:rPr>
        <w:t>】，必须持有授权委托书，代表乙方【履行合同，负责施工管理、签署任何文件、处理与工程有关的所有事务等】，乙方承担乙方现场代表行为的全部法律后果。</w:t>
      </w:r>
    </w:p>
    <w:p w14:paraId="2729B245">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9.3</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乙方指定下列账户为收款账户，甲方采用转账方式付款时，应支付至下列账户。如乙方变更收款账户，应提前1</w:t>
      </w:r>
      <w:r>
        <w:rPr>
          <w:rFonts w:ascii="仿宋_GB2312" w:hAnsi="仿宋_GB2312" w:eastAsia="仿宋_GB2312" w:cs="仿宋_GB2312"/>
          <w:color w:val="000000"/>
          <w:sz w:val="28"/>
          <w:szCs w:val="28"/>
          <w:highlight w:val="none"/>
        </w:rPr>
        <w:t>5</w:t>
      </w:r>
      <w:r>
        <w:rPr>
          <w:rFonts w:hint="eastAsia" w:ascii="仿宋_GB2312" w:hAnsi="仿宋_GB2312" w:eastAsia="仿宋_GB2312" w:cs="仿宋_GB2312"/>
          <w:color w:val="000000"/>
          <w:sz w:val="28"/>
          <w:szCs w:val="28"/>
          <w:highlight w:val="none"/>
        </w:rPr>
        <w:t>天以上书面通知甲方，否则甲方有权暂缓付款。乙方指定收款账户为：</w:t>
      </w:r>
    </w:p>
    <w:p w14:paraId="04B43B0C">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开户名：【</w:t>
      </w:r>
      <w:bookmarkStart w:id="60" w:name="mf_yifangshoukuandanweimingcheng_ba6b4e0c-ae2b-4e4b-8172-c3aa7cd6b779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60"/>
      <w:r>
        <w:rPr>
          <w:rFonts w:hint="eastAsia" w:ascii="仿宋_GB2312" w:hAnsi="仿宋_GB2312" w:eastAsia="仿宋_GB2312" w:cs="仿宋_GB2312"/>
          <w:color w:val="000000"/>
          <w:sz w:val="28"/>
          <w:szCs w:val="28"/>
          <w:highlight w:val="none"/>
        </w:rPr>
        <w:t>】</w:t>
      </w:r>
    </w:p>
    <w:p w14:paraId="6128DAA2">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开户行：【</w:t>
      </w:r>
      <w:bookmarkStart w:id="61" w:name="mf_yifangkaihuxing_f197aec7-a938-4a48-badd-9451b687e06c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61"/>
      <w:r>
        <w:rPr>
          <w:rFonts w:hint="eastAsia" w:ascii="仿宋_GB2312" w:hAnsi="仿宋_GB2312" w:eastAsia="仿宋_GB2312" w:cs="仿宋_GB2312"/>
          <w:color w:val="000000"/>
          <w:sz w:val="28"/>
          <w:szCs w:val="28"/>
          <w:highlight w:val="none"/>
        </w:rPr>
        <w:t>】</w:t>
      </w:r>
    </w:p>
    <w:p w14:paraId="24EE9490">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账  号：【</w:t>
      </w:r>
      <w:bookmarkStart w:id="62" w:name="mf_yifangshoukuanzhanghuyinxingzhanghao_188ab7f3-8a3a-4c94-926f-0445626dba31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62"/>
      <w:r>
        <w:rPr>
          <w:rFonts w:hint="eastAsia" w:ascii="仿宋_GB2312" w:hAnsi="仿宋_GB2312" w:eastAsia="仿宋_GB2312" w:cs="仿宋_GB2312"/>
          <w:color w:val="000000"/>
          <w:sz w:val="28"/>
          <w:szCs w:val="28"/>
          <w:highlight w:val="none"/>
        </w:rPr>
        <w:t>】</w:t>
      </w:r>
    </w:p>
    <w:p w14:paraId="7427C89A">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十、合同文件构成及解释顺序</w:t>
      </w:r>
    </w:p>
    <w:p w14:paraId="380B7AED">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本协议书与下列文件一起构成合同文件：</w:t>
      </w:r>
    </w:p>
    <w:p w14:paraId="13534C40">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（1）合同协议书；</w:t>
      </w:r>
    </w:p>
    <w:p w14:paraId="4CF25EC8">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（2）本合同条款及承诺书等合同附件；</w:t>
      </w:r>
    </w:p>
    <w:p w14:paraId="088D9935">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（3）中标通知书（如有）；</w:t>
      </w:r>
    </w:p>
    <w:p w14:paraId="207668DF">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（4）技术标准和要求；</w:t>
      </w:r>
    </w:p>
    <w:p w14:paraId="60FA1AAD">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（5）图纸；</w:t>
      </w:r>
    </w:p>
    <w:p w14:paraId="748A7425">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（6）已标价的工程量清单与计价表；</w:t>
      </w:r>
    </w:p>
    <w:p w14:paraId="60278FF5">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（7）往来资料；</w:t>
      </w:r>
    </w:p>
    <w:p w14:paraId="3127F747">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（8）甲方的招标文件；</w:t>
      </w:r>
    </w:p>
    <w:p w14:paraId="479FA146">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ascii="仿宋_GB2312" w:hAnsi="仿宋_GB2312" w:eastAsia="仿宋_GB2312" w:cs="仿宋_GB2312"/>
          <w:color w:val="000000"/>
          <w:sz w:val="28"/>
          <w:szCs w:val="28"/>
          <w:highlight w:val="none"/>
        </w:rPr>
        <w:t>9</w:t>
      </w:r>
      <w:r>
        <w:rPr>
          <w:rFonts w:hint="eastAsia" w:ascii="仿宋_GB2312" w:hAnsi="仿宋_GB2312" w:eastAsia="仿宋_GB2312" w:cs="仿宋_GB2312"/>
          <w:color w:val="000000"/>
          <w:sz w:val="28"/>
          <w:szCs w:val="28"/>
          <w:highlight w:val="none"/>
        </w:rPr>
        <w:t>）甲方现场管理制度及要求；</w:t>
      </w:r>
    </w:p>
    <w:p w14:paraId="3E81BA4A">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ascii="仿宋_GB2312" w:hAnsi="仿宋_GB2312" w:eastAsia="仿宋_GB2312" w:cs="仿宋_GB2312"/>
          <w:color w:val="000000"/>
          <w:sz w:val="28"/>
          <w:szCs w:val="28"/>
          <w:highlight w:val="none"/>
        </w:rPr>
        <w:t>10</w:t>
      </w:r>
      <w:r>
        <w:rPr>
          <w:rFonts w:hint="eastAsia" w:ascii="仿宋_GB2312" w:hAnsi="仿宋_GB2312" w:eastAsia="仿宋_GB2312" w:cs="仿宋_GB2312"/>
          <w:color w:val="000000"/>
          <w:sz w:val="28"/>
          <w:szCs w:val="28"/>
          <w:highlight w:val="none"/>
        </w:rPr>
        <w:t>）乙方的投标文件（价格除外）。</w:t>
      </w:r>
    </w:p>
    <w:p w14:paraId="535805C6">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在合同订立及履行过程中形成的与合同有关的文件均为合同文件的组成部分。</w:t>
      </w:r>
    </w:p>
    <w:p w14:paraId="291AD7E1">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上述各项合同文件中包括合同当事人就该项合同文件所做出的补充和修改，属于同一类型内容的文件应以最新签署的为准。</w:t>
      </w:r>
    </w:p>
    <w:p w14:paraId="0923F4D7">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组成合同的各项文件应互相解释，互为说明。本合同约定解释合同文件的优先顺序同上述排列次序，在合同订立及履行过程中形成的与合同有关的文件根据其性质确定优先解释顺序。</w:t>
      </w:r>
    </w:p>
    <w:p w14:paraId="297AAE17">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十一、乙方承诺</w:t>
      </w:r>
    </w:p>
    <w:p w14:paraId="4BCA249C">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11.1</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按照法律规定及合同约定组织完成分包工作，确保分包作业质量和安全，不进行转包及再分包，并按时足额向分包作业人员发放工资。</w:t>
      </w:r>
    </w:p>
    <w:p w14:paraId="2BB9049D">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11.2</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完成总承包合同中与本分包工程有关的甲方所有义务，并承担总承包合同中关于本分包工程的质量、安全、经济等连带责任。</w:t>
      </w:r>
    </w:p>
    <w:p w14:paraId="5F68C848">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11.3按照甲方要求积极使用全国劳务实名制平台、相关方系统，并配置专（兼）职管理员进行日常管理维护，承认全国劳务实名制平台、相关方系统及手持终端系统相关文件及相关数据具有法律效力。</w:t>
      </w:r>
    </w:p>
    <w:p w14:paraId="1C877D2E">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11.4乙方应当积极维护甲方名誉，不得以甲方及甲方关联公司名义发布自媒体作品，接受媒体、建设单位、行政机关、司法机关等第三方的采访、调查、问询等，或通过其他形式发表言论。</w:t>
      </w:r>
    </w:p>
    <w:p w14:paraId="591130F7">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11.5</w:t>
      </w:r>
      <w:r>
        <w:rPr>
          <w:rFonts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rPr>
        <w:t>根据《保障农民工工资支付条例》第1</w:t>
      </w:r>
      <w:r>
        <w:rPr>
          <w:rFonts w:ascii="仿宋_GB2312" w:hAnsi="仿宋_GB2312" w:eastAsia="仿宋_GB2312" w:cs="仿宋_GB2312"/>
          <w:color w:val="000000"/>
          <w:sz w:val="28"/>
          <w:szCs w:val="28"/>
          <w:highlight w:val="none"/>
        </w:rPr>
        <w:t>5</w:t>
      </w:r>
      <w:r>
        <w:rPr>
          <w:rFonts w:hint="eastAsia" w:ascii="仿宋_GB2312" w:hAnsi="仿宋_GB2312" w:eastAsia="仿宋_GB2312" w:cs="仿宋_GB2312"/>
          <w:color w:val="000000"/>
          <w:sz w:val="28"/>
          <w:szCs w:val="28"/>
          <w:highlight w:val="none"/>
        </w:rPr>
        <w:t>条规定，乙方应当按照工资支付周期编制书面工资支付台账，并至少保存3年。书面工资支付台账应当包括乙方名称，支付周期，支付日期，支付对象姓名、身份证号码、联系方式，工作时间，应发工资项目及数额，代扣、代缴、扣除项目和数额，实发工资数额，银行代发工资凭证或者农民工签字等内容。乙方在甲方支付每笔工程款后【7】天内，需将上述资料复印件加盖乙方公章后提交至甲方存档，如未编制书面工资支付台账且未在期限内提交工资发放凭证，乙方需向甲方承担签约合同价【</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】%/次的违约责任。</w:t>
      </w:r>
    </w:p>
    <w:p w14:paraId="6FC7EC9E">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如因乙方原因导致甲方及甲方关联公司名誉受损的，除应支付违约金外，还应赔偿甲方因此而遭受的全部损失，以及甲方为恢复名誉而支付的差旅费、诉讼费、律师费等，并应在事件发生后【24小时】内通过具有全国影响力的主流媒体公开向甲方道歉并澄清相关事实。</w:t>
      </w:r>
    </w:p>
    <w:p w14:paraId="7EB654CB">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上述违约金及赔偿金，甲方有权从乙方缴纳的全部履约保证金或履约保函中直接扣除，也可从任何一笔应支付乙方的工程款中直接扣除，乙方对此知悉并同意，且甲方有权解除合同，解除合同造成的全部损失由乙方承担。</w:t>
      </w:r>
    </w:p>
    <w:p w14:paraId="610CFA6A">
      <w:pPr>
        <w:pStyle w:val="6"/>
        <w:ind w:left="0" w:firstLine="562"/>
        <w:rPr>
          <w:rFonts w:hint="eastAsia" w:ascii="仿宋_GB2312" w:hAnsi="仿宋_GB2312" w:eastAsia="仿宋_GB2312" w:cs="仿宋_GB2312"/>
          <w:b/>
          <w:bCs/>
          <w:color w:val="C00000"/>
          <w:highlight w:val="none"/>
        </w:rPr>
      </w:pPr>
      <w:r>
        <w:rPr>
          <w:rFonts w:hint="eastAsia" w:ascii="黑体" w:hAnsi="黑体" w:eastAsia="黑体" w:cs="黑体"/>
          <w:b/>
          <w:bCs/>
          <w:highlight w:val="none"/>
          <w:u w:val="none"/>
        </w:rPr>
        <w:t>十二、工程保修缺陷责任</w:t>
      </w:r>
    </w:p>
    <w:p w14:paraId="2737F92B">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按《建设工程质量管理条例》执行。在正常使用条件下，本工程保修期限为【</w:t>
      </w:r>
      <w:bookmarkStart w:id="63" w:name="mf_zhiliangbaoxiuqinianxian_684a8c72-8086-465a-a230-c40cef7cd4e8_1"/>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bookmarkEnd w:id="63"/>
      <w:r>
        <w:rPr>
          <w:rFonts w:hint="eastAsia" w:ascii="仿宋_GB2312" w:hAnsi="仿宋_GB2312" w:eastAsia="仿宋_GB2312" w:cs="仿宋_GB2312"/>
          <w:color w:val="000000"/>
          <w:sz w:val="28"/>
          <w:szCs w:val="28"/>
          <w:highlight w:val="none"/>
        </w:rPr>
        <w:t>】，自【整体工程】竣工验收合格之日起计算。</w:t>
      </w:r>
    </w:p>
    <w:p w14:paraId="1EFC6D24">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质保金的返还：自【整体工程】竣工验收合格之日起满【</w:t>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bookmarkStart w:id="64" w:name="mf_zhiliangbaoxiuqinianxian_684a8c72-8086-465a-a230-c40cef7cd4e8_2"/>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bookmarkEnd w:id="64"/>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rPr>
        <w:t>】年，工程无任何质量缺陷，【</w:t>
      </w:r>
      <w:r>
        <w:rPr>
          <w:rFonts w:hint="eastAsia" w:ascii="仿宋_GB2312" w:hAnsi="仿宋_GB2312" w:eastAsia="仿宋_GB2312" w:cs="仿宋_GB2312"/>
          <w:color w:val="000000"/>
          <w:sz w:val="28"/>
          <w:szCs w:val="28"/>
          <w:highlight w:val="none"/>
          <w:lang w:val="en-US" w:eastAsia="zh-CN"/>
        </w:rPr>
        <w:t>28</w:t>
      </w:r>
      <w:r>
        <w:rPr>
          <w:rFonts w:hint="eastAsia" w:ascii="仿宋_GB2312" w:hAnsi="仿宋_GB2312" w:eastAsia="仿宋_GB2312" w:cs="仿宋_GB2312"/>
          <w:color w:val="000000"/>
          <w:sz w:val="28"/>
          <w:szCs w:val="28"/>
          <w:highlight w:val="none"/>
        </w:rPr>
        <w:t>】日内支付完毕（保修金不计利息）。</w:t>
      </w:r>
    </w:p>
    <w:p w14:paraId="0C5AED41">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如该工程在保修期内出现质量问题，乙方在接到甲方维修通知后应当在24小时内派人前往维修处理。如乙方未能按照约定履行维修义务，甲方可自行组织人员维修，所产生的维修费用全部由乙方承担，甲方有权在乙方的质保金中扣除，并要求乙方承担维修费用【</w:t>
      </w:r>
      <w:r>
        <w:rPr>
          <w:rFonts w:hint="eastAsia" w:ascii="仿宋_GB2312" w:hAnsi="仿宋_GB2312" w:eastAsia="仿宋_GB2312" w:cs="仿宋_GB2312"/>
          <w:color w:val="000000"/>
          <w:sz w:val="28"/>
          <w:szCs w:val="28"/>
          <w:highlight w:val="none"/>
          <w:lang w:val="en-US" w:eastAsia="zh-CN"/>
        </w:rPr>
        <w:t>20</w:t>
      </w:r>
      <w:r>
        <w:rPr>
          <w:rFonts w:hint="eastAsia" w:ascii="仿宋_GB2312" w:hAnsi="仿宋_GB2312" w:eastAsia="仿宋_GB2312" w:cs="仿宋_GB2312"/>
          <w:color w:val="000000"/>
          <w:sz w:val="28"/>
          <w:szCs w:val="28"/>
          <w:highlight w:val="none"/>
        </w:rPr>
        <w:t>】%的违约金，不足部分及因乙方拒绝维修导致额外的损失，甲方将继续向乙方追偿。</w:t>
      </w:r>
    </w:p>
    <w:p w14:paraId="1B254AAD">
      <w:pPr>
        <w:pStyle w:val="6"/>
        <w:ind w:left="0" w:firstLine="562"/>
        <w:rPr>
          <w:rFonts w:hint="eastAsia" w:ascii="仿宋_GB2312" w:hAnsi="仿宋_GB2312" w:eastAsia="仿宋_GB2312" w:cs="仿宋_GB2312"/>
          <w:b w:val="0"/>
          <w:bCs w:val="0"/>
          <w:color w:val="C00000"/>
          <w:highlight w:val="none"/>
        </w:rPr>
      </w:pPr>
      <w:r>
        <w:rPr>
          <w:rFonts w:hint="eastAsia" w:ascii="黑体" w:hAnsi="黑体" w:eastAsia="黑体" w:cs="黑体"/>
          <w:b/>
          <w:bCs/>
          <w:highlight w:val="none"/>
          <w:u w:val="none"/>
        </w:rPr>
        <w:t>十三、争议解决</w:t>
      </w:r>
    </w:p>
    <w:p w14:paraId="78948731">
      <w:pPr>
        <w:spacing w:line="480" w:lineRule="exact"/>
        <w:ind w:firstLine="560"/>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各方同意因本合同引起或与之相关的任何争议、纠纷或权利主张，双方可先行通过和解方式解决。和解不成时，提交武汉仲裁与调解促进会进行调解。调解成功的相关文书可提交武汉仲裁委员会，按照专设的简易程序确认仲裁并出具裁决书。和解、调解不成时，采用下列第【①】种争议解决方式，并自行承担本方发生的律师费、差旅费、保函费等相关费用：</w:t>
      </w:r>
    </w:p>
    <w:p w14:paraId="7F453CAB">
      <w:pPr>
        <w:spacing w:line="480" w:lineRule="exact"/>
        <w:ind w:firstLine="560"/>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①向【武汉】仲裁委员会申请仲裁;</w:t>
      </w:r>
    </w:p>
    <w:p w14:paraId="041C0A50">
      <w:pPr>
        <w:spacing w:line="480" w:lineRule="exact"/>
        <w:ind w:firstLine="56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eastAsia="zh-CN"/>
        </w:rPr>
        <w:t>②向【    】人民法院提起诉讼。</w:t>
      </w:r>
    </w:p>
    <w:p w14:paraId="4BA8F16F">
      <w:pPr>
        <w:pStyle w:val="6"/>
        <w:ind w:left="0" w:firstLine="562"/>
        <w:rPr>
          <w:rFonts w:hint="eastAsia" w:ascii="黑体" w:hAnsi="黑体" w:eastAsia="黑体" w:cs="黑体"/>
          <w:b/>
          <w:bCs/>
          <w:color w:val="000000"/>
          <w:highlight w:val="none"/>
        </w:rPr>
      </w:pPr>
      <w:r>
        <w:rPr>
          <w:rFonts w:hint="eastAsia" w:ascii="黑体" w:hAnsi="黑体" w:eastAsia="黑体" w:cs="黑体"/>
          <w:b/>
          <w:bCs/>
          <w:color w:val="000000"/>
          <w:highlight w:val="none"/>
          <w:u w:val="none"/>
        </w:rPr>
        <w:t>十四、附则</w:t>
      </w:r>
    </w:p>
    <w:p w14:paraId="7F74B14E">
      <w:pPr>
        <w:spacing w:line="480" w:lineRule="exact"/>
        <w:ind w:firstLine="56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1．合同订立时间：</w:t>
      </w:r>
      <w:bookmarkStart w:id="65" w:name="mf_qiandingshijian_435e7a3b-ea5a-4486-996e-8c97831d45f4_2"/>
      <w:r>
        <w:rPr>
          <w:rFonts w:hint="eastAsia" w:ascii="仿宋_GB2312" w:hAnsi="仿宋_GB2312" w:eastAsia="仿宋_GB2312" w:cs="仿宋_GB2312"/>
          <w:bCs/>
          <w:color w:val="000000"/>
          <w:sz w:val="28"/>
          <w:szCs w:val="28"/>
          <w:highlight w:val="none"/>
          <w:u w:val="single"/>
        </w:rPr>
        <w:tab/>
      </w:r>
      <w:r>
        <w:rPr>
          <w:rFonts w:hint="eastAsia" w:ascii="仿宋_GB2312" w:hAnsi="仿宋_GB2312" w:eastAsia="仿宋_GB2312" w:cs="仿宋_GB2312"/>
          <w:bCs/>
          <w:color w:val="000000"/>
          <w:sz w:val="28"/>
          <w:szCs w:val="28"/>
          <w:highlight w:val="none"/>
          <w:u w:val="single"/>
        </w:rPr>
        <w:tab/>
      </w:r>
      <w:r>
        <w:rPr>
          <w:rFonts w:hint="eastAsia" w:ascii="仿宋_GB2312" w:hAnsi="仿宋_GB2312" w:eastAsia="仿宋_GB2312" w:cs="仿宋_GB2312"/>
          <w:bCs/>
          <w:color w:val="000000"/>
          <w:sz w:val="28"/>
          <w:szCs w:val="28"/>
          <w:highlight w:val="none"/>
          <w:u w:val="single"/>
        </w:rPr>
        <w:tab/>
      </w:r>
      <w:r>
        <w:rPr>
          <w:rFonts w:hint="eastAsia" w:ascii="仿宋_GB2312" w:hAnsi="仿宋_GB2312" w:eastAsia="仿宋_GB2312" w:cs="仿宋_GB2312"/>
          <w:bCs/>
          <w:color w:val="000000"/>
          <w:sz w:val="28"/>
          <w:szCs w:val="28"/>
          <w:highlight w:val="none"/>
          <w:u w:val="single"/>
        </w:rPr>
        <w:tab/>
      </w:r>
      <w:r>
        <w:rPr>
          <w:rFonts w:hint="eastAsia" w:ascii="仿宋_GB2312" w:hAnsi="仿宋_GB2312" w:eastAsia="仿宋_GB2312" w:cs="仿宋_GB2312"/>
          <w:bCs/>
          <w:color w:val="000000"/>
          <w:sz w:val="28"/>
          <w:szCs w:val="28"/>
          <w:highlight w:val="none"/>
          <w:u w:val="single"/>
        </w:rPr>
        <w:tab/>
      </w:r>
      <w:bookmarkEnd w:id="65"/>
    </w:p>
    <w:p w14:paraId="5AD09EFE">
      <w:pPr>
        <w:spacing w:line="480" w:lineRule="exact"/>
        <w:ind w:firstLine="56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2．合同订立地点：【</w:t>
      </w:r>
      <w:bookmarkStart w:id="66" w:name="mf_qiandingdedian_99cdf702-15d4-42c0-a27e-1cc09775917f_2"/>
      <w:r>
        <w:rPr>
          <w:rFonts w:hint="eastAsia" w:ascii="仿宋_GB2312" w:hAnsi="仿宋_GB2312" w:eastAsia="仿宋_GB2312" w:cs="仿宋_GB2312"/>
          <w:bCs/>
          <w:color w:val="000000"/>
          <w:sz w:val="28"/>
          <w:szCs w:val="28"/>
          <w:highlight w:val="none"/>
          <w:u w:val="single"/>
        </w:rPr>
        <w:tab/>
      </w:r>
      <w:r>
        <w:rPr>
          <w:rFonts w:hint="eastAsia" w:ascii="仿宋_GB2312" w:hAnsi="仿宋_GB2312" w:eastAsia="仿宋_GB2312" w:cs="仿宋_GB2312"/>
          <w:bCs/>
          <w:color w:val="000000"/>
          <w:sz w:val="28"/>
          <w:szCs w:val="28"/>
          <w:highlight w:val="none"/>
          <w:u w:val="single"/>
        </w:rPr>
        <w:tab/>
      </w:r>
      <w:r>
        <w:rPr>
          <w:rFonts w:hint="eastAsia" w:ascii="仿宋_GB2312" w:hAnsi="仿宋_GB2312" w:eastAsia="仿宋_GB2312" w:cs="仿宋_GB2312"/>
          <w:bCs/>
          <w:color w:val="000000"/>
          <w:sz w:val="28"/>
          <w:szCs w:val="28"/>
          <w:highlight w:val="none"/>
          <w:u w:val="single"/>
        </w:rPr>
        <w:tab/>
      </w:r>
      <w:r>
        <w:rPr>
          <w:rFonts w:hint="eastAsia" w:ascii="仿宋_GB2312" w:hAnsi="仿宋_GB2312" w:eastAsia="仿宋_GB2312" w:cs="仿宋_GB2312"/>
          <w:bCs/>
          <w:color w:val="000000"/>
          <w:sz w:val="28"/>
          <w:szCs w:val="28"/>
          <w:highlight w:val="none"/>
          <w:u w:val="single"/>
        </w:rPr>
        <w:tab/>
      </w:r>
      <w:r>
        <w:rPr>
          <w:rFonts w:hint="eastAsia" w:ascii="仿宋_GB2312" w:hAnsi="仿宋_GB2312" w:eastAsia="仿宋_GB2312" w:cs="仿宋_GB2312"/>
          <w:bCs/>
          <w:color w:val="000000"/>
          <w:sz w:val="28"/>
          <w:szCs w:val="28"/>
          <w:highlight w:val="none"/>
          <w:u w:val="single"/>
        </w:rPr>
        <w:tab/>
      </w:r>
      <w:bookmarkEnd w:id="66"/>
      <w:r>
        <w:rPr>
          <w:rFonts w:hint="eastAsia" w:ascii="仿宋_GB2312" w:hAnsi="仿宋_GB2312" w:eastAsia="仿宋_GB2312" w:cs="仿宋_GB2312"/>
          <w:bCs/>
          <w:color w:val="000000"/>
          <w:sz w:val="28"/>
          <w:szCs w:val="28"/>
          <w:highlight w:val="none"/>
        </w:rPr>
        <w:t>】</w:t>
      </w:r>
    </w:p>
    <w:p w14:paraId="75966349">
      <w:pPr>
        <w:spacing w:line="480" w:lineRule="exact"/>
        <w:ind w:firstLine="56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3．本合同采用下列第【</w:t>
      </w:r>
      <w:r>
        <w:rPr>
          <w:rFonts w:hint="eastAsia" w:ascii="仿宋_GB2312" w:hAnsi="仿宋_GB2312" w:eastAsia="仿宋_GB2312" w:cs="仿宋_GB2312"/>
          <w:bCs/>
          <w:color w:val="000000"/>
          <w:sz w:val="28"/>
          <w:szCs w:val="28"/>
          <w:highlight w:val="none"/>
          <w:lang w:val="en-US" w:eastAsia="zh-CN"/>
        </w:rPr>
        <w:t>2</w:t>
      </w:r>
      <w:r>
        <w:rPr>
          <w:rFonts w:hint="eastAsia" w:ascii="仿宋_GB2312" w:hAnsi="仿宋_GB2312" w:eastAsia="仿宋_GB2312" w:cs="仿宋_GB2312"/>
          <w:bCs/>
          <w:color w:val="000000"/>
          <w:sz w:val="28"/>
          <w:szCs w:val="28"/>
          <w:highlight w:val="none"/>
        </w:rPr>
        <w:t>】种方式签订：</w:t>
      </w:r>
    </w:p>
    <w:p w14:paraId="1E0B1773">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Cs/>
          <w:color w:val="000000"/>
          <w:sz w:val="28"/>
          <w:szCs w:val="28"/>
          <w:highlight w:val="none"/>
        </w:rPr>
        <w:t>（1）本合同自双方签字并盖章后生效，一式【</w:t>
      </w:r>
      <w:r>
        <w:rPr>
          <w:rFonts w:hint="eastAsia" w:ascii="仿宋_GB2312" w:hAnsi="仿宋_GB2312" w:eastAsia="仿宋_GB2312" w:cs="仿宋_GB2312"/>
          <w:bCs/>
          <w:color w:val="000000"/>
          <w:sz w:val="28"/>
          <w:szCs w:val="28"/>
          <w:highlight w:val="none"/>
          <w:lang w:val="en-US" w:eastAsia="zh-CN"/>
        </w:rPr>
        <w:t>肆</w:t>
      </w:r>
      <w:r>
        <w:rPr>
          <w:rFonts w:hint="eastAsia" w:ascii="仿宋_GB2312" w:hAnsi="仿宋_GB2312" w:eastAsia="仿宋_GB2312" w:cs="仿宋_GB2312"/>
          <w:bCs/>
          <w:color w:val="000000"/>
          <w:sz w:val="28"/>
          <w:szCs w:val="28"/>
          <w:highlight w:val="none"/>
        </w:rPr>
        <w:t>】份，甲方执【叁】份，乙方执【壹】份，每份具有同等法律效力。</w:t>
      </w:r>
    </w:p>
    <w:p w14:paraId="68CE36EE">
      <w:pPr>
        <w:spacing w:line="480" w:lineRule="exact"/>
        <w:ind w:firstLine="560"/>
        <w:rPr>
          <w:rFonts w:ascii="仿宋_GB2312" w:hAnsi="仿宋_GB2312" w:eastAsia="仿宋_GB2312" w:cs="仿宋_GB2312"/>
          <w:color w:val="000000"/>
          <w:sz w:val="28"/>
          <w:szCs w:val="28"/>
          <w:highlight w:val="none"/>
        </w:rPr>
      </w:pPr>
      <w:r>
        <w:rPr>
          <w:rFonts w:hint="eastAsia" w:ascii="仿宋_GB2312" w:hAnsi="仿宋_GB2312" w:eastAsia="仿宋_GB2312" w:cs="仿宋_GB2312"/>
          <w:bCs/>
          <w:color w:val="000000"/>
          <w:sz w:val="28"/>
          <w:szCs w:val="28"/>
          <w:highlight w:val="none"/>
        </w:rPr>
        <w:t>（2）本合同采用电子签章签署生效。根据《中华人民共和国民法典》、《中华人民共和国电子签名法》等相关法律、法规，双方一致认可在【</w:t>
      </w:r>
      <w:r>
        <w:rPr>
          <w:rFonts w:hint="eastAsia" w:ascii="仿宋_GB2312" w:hAnsi="仿宋_GB2312" w:eastAsia="仿宋_GB2312" w:cs="仿宋_GB2312"/>
          <w:bCs/>
          <w:color w:val="000000"/>
          <w:sz w:val="28"/>
          <w:szCs w:val="28"/>
          <w:highlight w:val="none"/>
          <w:lang w:val="en-US" w:eastAsia="zh-CN"/>
        </w:rPr>
        <w:t>云筑网</w:t>
      </w:r>
      <w:r>
        <w:rPr>
          <w:rFonts w:hint="eastAsia" w:ascii="仿宋_GB2312" w:hAnsi="仿宋_GB2312" w:eastAsia="仿宋_GB2312" w:cs="仿宋_GB2312"/>
          <w:bCs/>
          <w:color w:val="000000"/>
          <w:sz w:val="28"/>
          <w:szCs w:val="28"/>
          <w:highlight w:val="none"/>
        </w:rPr>
        <w:t>】平台（网址：【https://www.yzw.cn/】）使用电子印章签署合同为其真实意思表示，且确保在该平台注册时，使用的企业信息和个人相关信息真实有效，并且自觉遵守国家法律法规和甲方在该平台的合同签约流程。甲、乙双方加签有效的电子签章，且乙方法定代表人或授权委托人加签有效电子签章方生效。</w:t>
      </w:r>
    </w:p>
    <w:p w14:paraId="2A1287F5">
      <w:pPr>
        <w:spacing w:line="480" w:lineRule="exact"/>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以下无正文）</w:t>
      </w:r>
    </w:p>
    <w:p w14:paraId="3413B6A4">
      <w:pPr>
        <w:spacing w:line="480" w:lineRule="exact"/>
        <w:rPr>
          <w:rFonts w:ascii="仿宋_GB2312" w:hAnsi="仿宋_GB2312" w:eastAsia="仿宋_GB2312" w:cs="仿宋_GB2312"/>
          <w:color w:val="C00000"/>
          <w:sz w:val="28"/>
          <w:szCs w:val="28"/>
          <w:highlight w:val="none"/>
        </w:rPr>
      </w:pPr>
    </w:p>
    <w:p w14:paraId="0CC0802F">
      <w:pPr>
        <w:pStyle w:val="2"/>
        <w:rPr>
          <w:highlight w:val="none"/>
        </w:rPr>
      </w:pPr>
    </w:p>
    <w:p w14:paraId="3E217257">
      <w:pPr>
        <w:spacing w:line="480" w:lineRule="exact"/>
        <w:ind w:firstLine="56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甲方：【盖章】                 乙方：【盖章】</w:t>
      </w:r>
    </w:p>
    <w:p w14:paraId="3537B074">
      <w:pPr>
        <w:spacing w:line="480" w:lineRule="exact"/>
        <w:ind w:firstLine="560"/>
        <w:rPr>
          <w:rFonts w:ascii="仿宋_GB2312" w:hAnsi="仿宋_GB2312" w:eastAsia="仿宋_GB2312" w:cs="仿宋_GB2312"/>
          <w:bCs/>
          <w:color w:val="000000"/>
          <w:sz w:val="28"/>
          <w:szCs w:val="28"/>
          <w:highlight w:val="none"/>
        </w:rPr>
      </w:pPr>
    </w:p>
    <w:p w14:paraId="4ED8941C">
      <w:pPr>
        <w:spacing w:line="480" w:lineRule="exact"/>
        <w:ind w:firstLine="56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 xml:space="preserve">法定代表人或其委托代理人：   </w:t>
      </w:r>
      <w:r>
        <w:rPr>
          <w:rFonts w:ascii="仿宋_GB2312" w:hAnsi="仿宋_GB2312" w:eastAsia="仿宋_GB2312" w:cs="仿宋_GB2312"/>
          <w:bCs/>
          <w:color w:val="000000"/>
          <w:sz w:val="28"/>
          <w:szCs w:val="28"/>
          <w:highlight w:val="none"/>
        </w:rPr>
        <w:t xml:space="preserve">  </w:t>
      </w:r>
      <w:r>
        <w:rPr>
          <w:rFonts w:hint="eastAsia" w:ascii="仿宋_GB2312" w:hAnsi="仿宋_GB2312" w:eastAsia="仿宋_GB2312" w:cs="仿宋_GB2312"/>
          <w:bCs/>
          <w:color w:val="000000"/>
          <w:sz w:val="28"/>
          <w:szCs w:val="28"/>
          <w:highlight w:val="none"/>
        </w:rPr>
        <w:t>法定代表人或其委托代理人：</w:t>
      </w:r>
    </w:p>
    <w:p w14:paraId="517F3D50">
      <w:pPr>
        <w:spacing w:line="480" w:lineRule="exact"/>
        <w:ind w:firstLine="56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【签字】                      【签字】</w:t>
      </w:r>
    </w:p>
    <w:p w14:paraId="55ADECE6">
      <w:pPr>
        <w:spacing w:line="480" w:lineRule="exact"/>
        <w:ind w:firstLine="56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 xml:space="preserve">甲方现场代表：                乙方现场代表：                       </w:t>
      </w:r>
    </w:p>
    <w:p w14:paraId="50B5E6AD">
      <w:pPr>
        <w:spacing w:line="480" w:lineRule="exact"/>
        <w:ind w:firstLine="560"/>
        <w:rPr>
          <w:rFonts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【签字】                      【签字】</w:t>
      </w:r>
    </w:p>
    <w:p w14:paraId="4B539E48">
      <w:pPr>
        <w:spacing w:line="480" w:lineRule="exact"/>
        <w:ind w:firstLine="560"/>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 xml:space="preserve">日  期：【    】               日  期：【 </w:t>
      </w:r>
      <w:r>
        <w:rPr>
          <w:rFonts w:ascii="仿宋_GB2312" w:hAnsi="仿宋_GB2312" w:eastAsia="仿宋_GB2312" w:cs="仿宋_GB2312"/>
          <w:bCs/>
          <w:color w:val="000000"/>
          <w:sz w:val="28"/>
          <w:szCs w:val="28"/>
          <w:highlight w:val="none"/>
        </w:rPr>
        <w:t xml:space="preserve">   </w:t>
      </w:r>
      <w:r>
        <w:rPr>
          <w:rFonts w:hint="eastAsia" w:ascii="仿宋_GB2312" w:hAnsi="仿宋_GB2312" w:eastAsia="仿宋_GB2312" w:cs="仿宋_GB2312"/>
          <w:bCs/>
          <w:color w:val="000000"/>
          <w:sz w:val="28"/>
          <w:szCs w:val="28"/>
          <w:highlight w:val="none"/>
        </w:rPr>
        <w:t>】</w:t>
      </w:r>
    </w:p>
    <w:p w14:paraId="54893CB5">
      <w:pPr>
        <w:pStyle w:val="2"/>
        <w:rPr>
          <w:rFonts w:hint="eastAsia"/>
        </w:rPr>
      </w:pPr>
    </w:p>
    <w:p w14:paraId="49CB0029">
      <w:pPr>
        <w:pStyle w:val="2"/>
        <w:rPr>
          <w:rFonts w:hint="eastAsia" w:ascii="仿宋_GB2312" w:hAnsi="仿宋_GB2312" w:eastAsia="仿宋_GB2312" w:cs="仿宋_GB2312"/>
          <w:bCs/>
          <w:color w:val="000000"/>
          <w:sz w:val="28"/>
          <w:szCs w:val="28"/>
          <w:highlight w:val="none"/>
        </w:rPr>
        <w:sectPr>
          <w:footerReference r:id="rId7" w:type="default"/>
          <w:pgSz w:w="11906" w:h="16838"/>
          <w:pgMar w:top="1440" w:right="1800" w:bottom="1440" w:left="1800" w:header="851" w:footer="992" w:gutter="0"/>
          <w:cols w:space="425" w:num="1"/>
        </w:sectPr>
      </w:pPr>
    </w:p>
    <w:p w14:paraId="1398D378">
      <w:pPr>
        <w:pStyle w:val="5"/>
        <w:spacing w:line="480" w:lineRule="exact"/>
        <w:jc w:val="center"/>
        <w:rPr>
          <w:rFonts w:ascii="华文中宋" w:hAnsi="华文中宋" w:eastAsia="华文中宋"/>
          <w:sz w:val="40"/>
          <w:szCs w:val="40"/>
          <w:highlight w:val="none"/>
          <w:u w:val="none"/>
        </w:rPr>
      </w:pPr>
      <w:r>
        <w:rPr>
          <w:rFonts w:ascii="华文中宋" w:hAnsi="华文中宋" w:eastAsia="华文中宋"/>
          <w:sz w:val="40"/>
          <w:szCs w:val="40"/>
          <w:highlight w:val="none"/>
          <w:u w:val="none"/>
        </w:rPr>
        <w:t>第二部分  合同条款</w:t>
      </w:r>
      <w:r>
        <w:rPr>
          <w:highlight w:val="none"/>
          <w:u w:val="none"/>
        </w:rPr>
        <mc:AlternateContent>
          <mc:Choice Requires="wps">
            <w:drawing>
              <wp:anchor distT="0" distB="0" distL="114300" distR="114300" simplePos="0" relativeHeight="251663360" behindDoc="0" locked="0" layoutInCell="1" allowOverlap="1">
                <wp:simplePos x="0" y="0"/>
                <wp:positionH relativeFrom="column">
                  <wp:posOffset>1270000</wp:posOffset>
                </wp:positionH>
                <wp:positionV relativeFrom="paragraph">
                  <wp:posOffset>1270000</wp:posOffset>
                </wp:positionV>
                <wp:extent cx="2540000" cy="1270000"/>
                <wp:effectExtent l="0" t="0" r="0" b="0"/>
                <wp:wrapNone/>
                <wp:docPr id="8" name="_x0000_s1028"/>
                <wp:cNvGraphicFramePr/>
                <a:graphic xmlns:a="http://schemas.openxmlformats.org/drawingml/2006/main">
                  <a:graphicData uri="http://schemas.microsoft.com/office/word/2010/wordprocessingShape">
                    <wps:wsp>
                      <wps:cNvSpPr/>
                      <wps:spPr bwMode="auto">
                        <a:xfrm>
                          <a:off x="0" y="0"/>
                          <a:ext cx="2540000" cy="1270000"/>
                        </a:xfrm>
                        <a:prstGeom prst="rect">
                          <a:avLst/>
                        </a:prstGeom>
                        <a:noFill/>
                        <a:ln>
                          <a:noFill/>
                        </a:ln>
                      </wps:spPr>
                      <wps:txbx>
                        <w:txbxContent>
                          <w:p w14:paraId="2EF10ACE">
                            <w:pPr>
                              <w:jc w:val="center"/>
                              <w:rPr>
                                <w:rFonts w:ascii="Arial Black" w:hAnsi="Arial Black"/>
                                <w:color w:val="FFFFFF"/>
                                <w:sz w:val="72"/>
                                <w:szCs w:val="72"/>
                                <w14:textOutline w14:w="12700">
                                  <w14:solidFill>
                                    <w14:srgbClr w14:val="000000"/>
                                  </w14:solidFill>
                                  <w14:bevel/>
                                </w14:textOutline>
                                <w14:textFill>
                                  <w14:solidFill>
                                    <w14:srgbClr w14:val="FFFFFF">
                                      <w14:alpha w14:val="49803"/>
                                    </w14:srgbClr>
                                  </w14:solidFill>
                                </w14:textFill>
                              </w:rPr>
                            </w:pPr>
                          </w:p>
                        </w:txbxContent>
                      </wps:txbx>
                      <wps:bodyPr wrap="square" lIns="0" tIns="0" rIns="0" bIns="0" fromWordArt="1">
                        <a:prstTxWarp prst="textPlain">
                          <a:avLst>
                            <a:gd name="adj" fmla="val 50000"/>
                          </a:avLst>
                        </a:prstTxWarp>
                        <a:normAutofit/>
                      </wps:bodyPr>
                    </wps:wsp>
                  </a:graphicData>
                </a:graphic>
              </wp:anchor>
            </w:drawing>
          </mc:Choice>
          <mc:Fallback>
            <w:pict>
              <v:shape id="_x0000_s1028" o:spid="_x0000_s1026" o:spt="136" type="#_x0000_t136" style="position:absolute;left:0pt;margin-left:100pt;margin-top:100pt;height:100pt;width:200pt;z-index:251663360;mso-width-relative:page;mso-height-relative:page;" filled="f" stroked="f" coordsize="21600,21600" o:gfxdata="UEsDBAoAAAAAAIdO4kAAAAAAAAAAAAAAAAAEAAAAZHJzL1BLAwQUAAAACACHTuJAA9a/mdMAAAAL&#10;AQAADwAAAGRycy9kb3ducmV2LnhtbE2PQUvDQBCF74L/YRnBm920lCIxm4LS3qRgqnidZsckNDub&#10;7m6b+u+dCkVvb2Yeb75XLM+uVycKsfNsYDrJQBHX3nbcGHjfrh8eQcWEbLH3TAa+KcKyvL0pMLd+&#10;5Dc6ValREsIxRwNtSkOudaxbchgnfiCW25cPDpOModE24CjhrtezLFtohx3LhxYHemmp3ldHZ+Dg&#10;qs04W1dB4/5j9dzNI31uXo25v5tmT6ASndOfGS74gg6lMO38kW1UvQFJly7pKsSx+N3sDMwvQpeF&#10;/t+h/AFQSwMEFAAAAAgAh07iQEMb1BH0AQAACgQAAA4AAABkcnMvZTJvRG9jLnhtbK1TTW/bMAy9&#10;D9h/EHRf7ATrVhhxigJBhwH7KNAWPRaMLMUe9DVKiZ1/P0q206679DAfDJKin957pNdXg9HsKDF0&#10;ztZ8uSg5k1a4prP7mj/c33y45CxEsA1oZ2XNTzLwq837d+veV3LlWqcbiYxAbKh6X/M2Rl8VRRCt&#10;NBAWzktLh8qhgUgp7osGoSd0o4tVWX4qeoeNRydkCFTdjod8QsS3ADqlOiG3ThyMtHFERakhkqTQ&#10;dj7wTWarlBTxp1JBRqZrTkpjftMlFO/Su9isodoj+LYTEwV4C4VXmgx0li49Q20hAjtg9w+U6QS6&#10;4FRcCGeKUUh2hFQsy1fe3LXgZdZCVgd/Nj38P1jx43iLrGtqTmO3YGjgT0NJz1NYlqvL5E/vQ0Vt&#10;d/4WpyxQyHb9d9dQOxyiy9IHhSZZQKLYkB0+nR2WQ2SCiquLjwmcM0Fny9XnnBBqAdX8uccQv0hn&#10;WApqjjTCDA/HbyGOrXNLus26m05rqkOl7V8FwkyVIvFPjEclcdgNk4yda04kpKfp1zz8PgBKzvRX&#10;S/amVZkDnIPdHCh05pG2+BqJ4DKzS5Tuh0dAP/GOJPlWz2uRySd2+2ZyGZpfnCmjaduOoNnFCyem&#10;ZuL/jDoqQ3NNbqsu+5B0jRImkbQi2clpndMOvsxz1/MvvP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9a/mdMAAAALAQAADwAAAAAAAAABACAAAAAiAAAAZHJzL2Rvd25yZXYueG1sUEsBAhQAFAAA&#10;AAgAh07iQEMb1BH0AQAACgQAAA4AAAAAAAAAAQAgAAAAIgEAAGRycy9lMm9Eb2MueG1sUEsFBgAA&#10;AAAGAAYAWQEAAIgFAAAAAA==&#10;" adj="10800">
                <v:fill on="f" focussize="0,0"/>
                <v:stroke on="f"/>
                <v:imagedata o:title=""/>
                <o:lock v:ext="edit" aspectratio="f"/>
                <v:textpath on="f" fitpath="t" trim="t" xscale="f" string="" style="font-size:36pt;v-text-align:center;"/>
                <v:textbox inset="0mm,0mm,0mm,0mm">
                  <w:txbxContent>
                    <w:p w14:paraId="2EF10ACE">
                      <w:pPr>
                        <w:jc w:val="center"/>
                        <w:rPr>
                          <w:rFonts w:ascii="Arial Black" w:hAnsi="Arial Black"/>
                          <w:color w:val="FFFFFF"/>
                          <w:sz w:val="72"/>
                          <w:szCs w:val="72"/>
                          <w14:textOutline w14:w="12700">
                            <w14:solidFill>
                              <w14:srgbClr w14:val="000000"/>
                            </w14:solidFill>
                            <w14:bevel/>
                          </w14:textOutline>
                          <w14:textFill>
                            <w14:solidFill>
                              <w14:srgbClr w14:val="FFFFFF">
                                <w14:alpha w14:val="49803"/>
                              </w14:srgbClr>
                            </w14:solidFill>
                          </w14:textFill>
                        </w:rPr>
                      </w:pPr>
                    </w:p>
                  </w:txbxContent>
                </v:textbox>
              </v:shape>
            </w:pict>
          </mc:Fallback>
        </mc:AlternateContent>
      </w:r>
    </w:p>
    <w:p w14:paraId="4AC7A445">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1. 一般约定</w:t>
      </w:r>
    </w:p>
    <w:p w14:paraId="7456BA01">
      <w:pPr>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u w:val="none"/>
        </w:rPr>
        <w:t>1.1 词语定义与解释</w:t>
      </w:r>
    </w:p>
    <w:p w14:paraId="2062499A">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1.1.1 建设单位：指本工程的建设单位，即整体工程开发单位。</w:t>
      </w:r>
    </w:p>
    <w:p w14:paraId="4B75C282">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1.1.2 监理：指建设单位聘请的整体工程的监理单位。</w:t>
      </w:r>
    </w:p>
    <w:p w14:paraId="05253174">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1.1.3 甲方：指本分包工程的承包人，亦为整体工程的总承包人。</w:t>
      </w:r>
    </w:p>
    <w:p w14:paraId="7E3C5164">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1.1.4 乙方：指本分包工程的分包人，即分包施工单位。</w:t>
      </w:r>
    </w:p>
    <w:p w14:paraId="606D4D5D">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1.1.5 总承包合同：甲方与建设单位签订的整体工程的总承包合同。</w:t>
      </w:r>
    </w:p>
    <w:p w14:paraId="570A21E3">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1.1.6 整体工程：即总承包合同中甲方作为总承包单位所对应的工程。</w:t>
      </w:r>
    </w:p>
    <w:p w14:paraId="61DBCFFD">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1.1.7 分包工程：本合同约定的乙方承包范围内的所有工程。</w:t>
      </w:r>
    </w:p>
    <w:p w14:paraId="6E2A9D78">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1.1.8 签约合同价：是指甲方和乙方在合同协议书中确定的总金额。</w:t>
      </w:r>
    </w:p>
    <w:p w14:paraId="2A7FE8B4">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1.1.9 合同价款：指合同协议书中约定并依据合同约定调整后的价款。</w:t>
      </w:r>
    </w:p>
    <w:p w14:paraId="3E19BD9E">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1.1.10 日、天：本文所述之“日”“天”均指日历日。</w:t>
      </w:r>
    </w:p>
    <w:p w14:paraId="7FCAECFF">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1.2 标准和规范</w:t>
      </w:r>
    </w:p>
    <w:p w14:paraId="095B60C5">
      <w:pPr>
        <w:spacing w:line="480" w:lineRule="exact"/>
        <w:ind w:firstLine="560"/>
        <w:rPr>
          <w:rFonts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rPr>
        <w:t>适用标准、规范：按施工合同有关约定，按国家现行的《建筑工程施工质量验收统一标准》《建筑工程施工质量评价标准》、现行建筑工程施工质量验收规范、施工技术标准及规范、总承包合同中约定的其他标准及规范执行。</w:t>
      </w:r>
    </w:p>
    <w:p w14:paraId="77341104">
      <w:pPr>
        <w:spacing w:line="480" w:lineRule="exact"/>
        <w:ind w:firstLine="560"/>
        <w:rPr>
          <w:rFonts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rPr>
        <w:t>本分包工程没有相应标准、规范的，由甲方向乙方提出施工技术要求，乙方按约定的时间和要求提出施工工艺，经甲方书面认可后执行，乙方应对其提出的施工工艺承担全部责任。</w:t>
      </w:r>
    </w:p>
    <w:p w14:paraId="38013C21">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1.3 图纸</w:t>
      </w:r>
    </w:p>
    <w:p w14:paraId="328FB923">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1.3.1 甲方向乙方提供纸质施工图纸【</w:t>
      </w:r>
      <w:r>
        <w:rPr>
          <w:rFonts w:hint="eastAsia" w:ascii="仿宋_GB2312" w:hAnsi="仿宋_GB2312" w:eastAsia="仿宋_GB2312" w:cs="仿宋_GB2312"/>
          <w:color w:val="000000"/>
          <w:sz w:val="28"/>
          <w:szCs w:val="28"/>
          <w:highlight w:val="none"/>
          <w:lang w:val="en-US" w:eastAsia="zh-CN"/>
        </w:rPr>
        <w:t>壹</w:t>
      </w:r>
      <w:r>
        <w:rPr>
          <w:rFonts w:hint="eastAsia" w:ascii="仿宋_GB2312" w:hAnsi="仿宋_GB2312" w:eastAsia="仿宋_GB2312" w:cs="仿宋_GB2312"/>
          <w:color w:val="000000"/>
          <w:sz w:val="28"/>
          <w:szCs w:val="28"/>
          <w:highlight w:val="none"/>
        </w:rPr>
        <w:t>】套或电子图纸，边设计边施工的工程分期提供图纸。</w:t>
      </w:r>
    </w:p>
    <w:p w14:paraId="7475BF66">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1.3.2 甲方有权随时向乙方发出为使工程合理及正确施工、竣工以及保修所需的补充图纸和指示，乙方应执行该等补充图纸和指示，并受其约束。</w:t>
      </w:r>
    </w:p>
    <w:p w14:paraId="6AEB266C">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1.3.3 乙方不能将甲方提供的图纸挪作他用，乙方施工完毕需将纸质图纸完整交回甲方。</w:t>
      </w:r>
    </w:p>
    <w:p w14:paraId="4B99D26A">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1.3.4 乙方应认真核查甲方所提供的施工图纸，有义务指出甲方提供施工图纸中可能存在的缺陷和遗漏并在施工之前将发现的图纸上错漏及时通知甲方，避免造成损失，否则，在施工过程中因乙方的职责未尽而导致的变更不予增加费用，建设单位和甲方事先书面同意增加的除外。</w:t>
      </w:r>
    </w:p>
    <w:p w14:paraId="68DD6014">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1.3.5 对施工图纸的保密要求：乙方可以为了实现合同目的而复制、使用工程图纸、规范及其他构成分包合同的任何性质的或与分包合同相关的资料和信息，但不能用于与合同无关的其他事项。未经甲方书面同意，乙方不得为了合同以外的目的而复制、使用上述文件或将之转让、泄露给任何第三方。乙方应负责分包工程范围内图纸的保密工作，乙方的保密义务在分包合同终止后，应当继续履行。</w:t>
      </w:r>
    </w:p>
    <w:p w14:paraId="6A20DE07">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1.4 联络</w:t>
      </w:r>
    </w:p>
    <w:p w14:paraId="262C19BC">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1.4.1 与合同有关的通知、指令等文件，可通过【邮件、信函、直接送达】等方式送达。双方确认以下送达信息：</w:t>
      </w:r>
    </w:p>
    <w:p w14:paraId="26914FDB">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甲方：收件人【</w:t>
      </w:r>
      <w:bookmarkStart w:id="67" w:name="mf_jiafangshoujianren_f47b10d8-de63-4758-8c6f-ee2728516594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67"/>
      <w:r>
        <w:rPr>
          <w:rFonts w:hint="eastAsia" w:ascii="仿宋_GB2312" w:hAnsi="仿宋_GB2312" w:eastAsia="仿宋_GB2312" w:cs="仿宋_GB2312"/>
          <w:color w:val="000000"/>
          <w:sz w:val="28"/>
          <w:szCs w:val="28"/>
          <w:highlight w:val="none"/>
        </w:rPr>
        <w:t>】，联系电话【</w:t>
      </w:r>
      <w:bookmarkStart w:id="68" w:name="mf_jiafangshoujianrenlianxidianhua_979b7cf1-aa61-4201-8c37-dfbd0600d2f8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68"/>
      <w:r>
        <w:rPr>
          <w:rFonts w:hint="eastAsia" w:ascii="仿宋_GB2312" w:hAnsi="仿宋_GB2312" w:eastAsia="仿宋_GB2312" w:cs="仿宋_GB2312"/>
          <w:color w:val="000000"/>
          <w:sz w:val="28"/>
          <w:szCs w:val="28"/>
          <w:highlight w:val="none"/>
        </w:rPr>
        <w:t>】，电子邮箱【</w:t>
      </w:r>
      <w:bookmarkStart w:id="69" w:name="mf_jiafangshoujianrendianziyouxiang_5acbee13-bf82-44df-b75d-ac5c359cd4d4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69"/>
      <w:r>
        <w:rPr>
          <w:rFonts w:hint="eastAsia" w:ascii="仿宋_GB2312" w:hAnsi="仿宋_GB2312" w:eastAsia="仿宋_GB2312" w:cs="仿宋_GB2312"/>
          <w:color w:val="000000"/>
          <w:sz w:val="28"/>
          <w:szCs w:val="28"/>
          <w:highlight w:val="none"/>
        </w:rPr>
        <w:t>】，地址【</w:t>
      </w:r>
      <w:bookmarkStart w:id="70" w:name="mf_jiafangshoujianrentongxundezhi_c4eda901-cc13-46f3-89aa-66ef4a6b0062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70"/>
      <w:r>
        <w:rPr>
          <w:rFonts w:hint="eastAsia" w:ascii="仿宋_GB2312" w:hAnsi="仿宋_GB2312" w:eastAsia="仿宋_GB2312" w:cs="仿宋_GB2312"/>
          <w:color w:val="000000"/>
          <w:sz w:val="28"/>
          <w:szCs w:val="28"/>
          <w:highlight w:val="none"/>
        </w:rPr>
        <w:t>】。</w:t>
      </w:r>
    </w:p>
    <w:p w14:paraId="7971CF52">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乙方：收件人【</w:t>
      </w:r>
      <w:bookmarkStart w:id="71" w:name="mf_yifangshoujianren_e1967c59-0fe8-4282-85d5-b36309bbbe00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71"/>
      <w:r>
        <w:rPr>
          <w:rFonts w:hint="eastAsia" w:ascii="仿宋_GB2312" w:hAnsi="仿宋_GB2312" w:eastAsia="仿宋_GB2312" w:cs="仿宋_GB2312"/>
          <w:color w:val="000000"/>
          <w:sz w:val="28"/>
          <w:szCs w:val="28"/>
          <w:highlight w:val="none"/>
        </w:rPr>
        <w:t>】，联系电话【</w:t>
      </w:r>
      <w:bookmarkStart w:id="72" w:name="mf_yifangshoujianrenlianxidianhua_a9944884-4d47-4eb0-9394-51a9c7a67c3a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72"/>
      <w:r>
        <w:rPr>
          <w:rFonts w:hint="eastAsia" w:ascii="仿宋_GB2312" w:hAnsi="仿宋_GB2312" w:eastAsia="仿宋_GB2312" w:cs="仿宋_GB2312"/>
          <w:color w:val="000000"/>
          <w:sz w:val="28"/>
          <w:szCs w:val="28"/>
          <w:highlight w:val="none"/>
        </w:rPr>
        <w:t>】，电子邮箱【</w:t>
      </w:r>
      <w:bookmarkStart w:id="73" w:name="mf_yifangshoujianrendianziyouxiang_35cef545-41b7-44c4-82f8-a3e0025a511d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73"/>
      <w:r>
        <w:rPr>
          <w:rFonts w:hint="eastAsia" w:ascii="仿宋_GB2312" w:hAnsi="仿宋_GB2312" w:eastAsia="仿宋_GB2312" w:cs="仿宋_GB2312"/>
          <w:color w:val="000000"/>
          <w:sz w:val="28"/>
          <w:szCs w:val="28"/>
          <w:highlight w:val="none"/>
        </w:rPr>
        <w:t>】，地址【</w:t>
      </w:r>
      <w:bookmarkStart w:id="74" w:name="mf_yifangshoujianrendezhi_ff952f4c-2d03-497d-bcd2-e32316cb1559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74"/>
      <w:r>
        <w:rPr>
          <w:rFonts w:hint="eastAsia" w:ascii="仿宋_GB2312" w:hAnsi="仿宋_GB2312" w:eastAsia="仿宋_GB2312" w:cs="仿宋_GB2312"/>
          <w:color w:val="000000"/>
          <w:sz w:val="28"/>
          <w:szCs w:val="28"/>
          <w:highlight w:val="none"/>
        </w:rPr>
        <w:t>】。</w:t>
      </w:r>
    </w:p>
    <w:p w14:paraId="0C429596">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1.4.2 一方通过电子邮箱发送文件的，文件到达对方邮箱即视为送达，送达时间为电子邮件到达对方邮箱地址时间；一方通过信函邮寄送达的，则信函寄出后的第三个工作日或收件人实际签收日（以先到的时间为准）视为送达；一方选择直接送达的，则递交时视为送达，即使邮件邮寄至上述地址被拒收或无人签收。</w:t>
      </w:r>
    </w:p>
    <w:p w14:paraId="1F87DF9E">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1.4.3 双方承诺，因本协议的履行或争议解决，上述联系人和联系方式为有效的联系方式，各项通知均应当向上述联系、联系方式送达。在诉讼、仲裁中，上述联系人、联系方式亦为有效的送达地址，向上述地址的送达即为有效送达，即使发生拒收、退信等事件。</w:t>
      </w:r>
    </w:p>
    <w:p w14:paraId="0DE4AA8D">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1.4.4 上述联系信息发生变更的，变更方应当及时通知对方；在对方收到变更通知之前，对方当事人或者仲裁、司法机构已经向原联系人、联系方式进行的通知，视为有效通知。</w:t>
      </w:r>
    </w:p>
    <w:p w14:paraId="56126AE9">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1.5 保密</w:t>
      </w:r>
    </w:p>
    <w:p w14:paraId="70C840FD">
      <w:pPr>
        <w:spacing w:line="480" w:lineRule="exact"/>
        <w:ind w:firstLine="560"/>
        <w:rPr>
          <w:rFonts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rPr>
        <w:t>乙方对在订立和履行合同过程中知悉的甲方的商业秘密、技术秘密，以及甲方明确要求保密的其他信息，负有保密责任。</w:t>
      </w:r>
    </w:p>
    <w:p w14:paraId="50052B9B">
      <w:pPr>
        <w:spacing w:line="480" w:lineRule="exact"/>
        <w:ind w:firstLine="560"/>
        <w:rPr>
          <w:rFonts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rPr>
        <w:t>除法律规定或合同条款另有约定外，未经甲方事先书面同意，乙方不得将甲方提供的图纸、文件以及声明需要保密的资料信息等商业秘密、技术秘密泄露给第三方。</w:t>
      </w:r>
    </w:p>
    <w:p w14:paraId="523F6AF6">
      <w:pPr>
        <w:spacing w:line="480" w:lineRule="exact"/>
        <w:ind w:firstLine="560"/>
        <w:rPr>
          <w:rFonts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rPr>
        <w:t>如乙方泄露或者在本合同以外使用该商业秘密、技术秘密等保密信息，应向甲方支付签</w:t>
      </w:r>
      <w:r>
        <w:rPr>
          <w:rFonts w:hint="eastAsia" w:ascii="仿宋_GB2312" w:hAnsi="Times New Roman" w:eastAsia="仿宋_GB2312"/>
          <w:color w:val="000000"/>
          <w:sz w:val="28"/>
          <w:szCs w:val="28"/>
          <w:highlight w:val="none"/>
        </w:rPr>
        <w:t>约合同价【</w:t>
      </w:r>
      <w:r>
        <w:rPr>
          <w:rFonts w:hint="eastAsia" w:ascii="仿宋_GB2312" w:hAnsi="Times New Roman" w:eastAsia="仿宋_GB2312"/>
          <w:color w:val="000000"/>
          <w:sz w:val="28"/>
          <w:szCs w:val="28"/>
          <w:highlight w:val="none"/>
          <w:lang w:val="en-US" w:eastAsia="zh-CN"/>
        </w:rPr>
        <w:t>5</w:t>
      </w:r>
      <w:r>
        <w:rPr>
          <w:rFonts w:hint="eastAsia" w:ascii="仿宋_GB2312" w:hAnsi="Times New Roman" w:eastAsia="仿宋_GB2312"/>
          <w:color w:val="000000"/>
          <w:sz w:val="28"/>
          <w:szCs w:val="28"/>
          <w:highlight w:val="none"/>
        </w:rPr>
        <w:t>】%的违</w:t>
      </w:r>
      <w:r>
        <w:rPr>
          <w:rFonts w:hint="eastAsia" w:ascii="Times New Roman" w:hAnsi="Times New Roman" w:eastAsia="仿宋_GB2312"/>
          <w:color w:val="000000"/>
          <w:sz w:val="28"/>
          <w:szCs w:val="28"/>
          <w:highlight w:val="none"/>
        </w:rPr>
        <w:t>约金，并赔偿甲方因此遭受的全部损失。</w:t>
      </w:r>
    </w:p>
    <w:p w14:paraId="3F77C36A">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2. 甲方</w:t>
      </w:r>
    </w:p>
    <w:p w14:paraId="7116A418">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2.1 分包作业现场和工作条件</w:t>
      </w:r>
    </w:p>
    <w:p w14:paraId="2A5DB54F">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2.1.</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 xml:space="preserve"> 甲方负责提供分包作业所需要的分包作业条件，包括：</w:t>
      </w:r>
    </w:p>
    <w:p w14:paraId="4B3D56D4">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将作业所需的用水、电力、通讯线路等必需的条件接至分包作业现场内，水电能源接驳点由甲方提供，由乙方在甲方现有的设备上接驳，水电接驳点与乙方设备连接的人工材料机械等全部费用由乙方自行承担且已包含在综合单价中。施工用电用水由甲方提供至二级配电箱及供水立管（乙方应充分了解本工程二级配电箱及供水立管接驳点，施工时不得以任何理由要求甲方再次布置二级箱及临时水接驳点）；</w:t>
      </w:r>
    </w:p>
    <w:p w14:paraId="3EC6803F">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（2）向乙方提供分包作业所需要的进入分包作业现场的交通条件；</w:t>
      </w:r>
    </w:p>
    <w:p w14:paraId="0DC7D0A3">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（3）向乙方提供分包作业所需的工程地质和地下管网线路资料，乙方不得以地质和管网资料不准确为由进行索赔；</w:t>
      </w:r>
    </w:p>
    <w:p w14:paraId="6E6E9A09">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（4）完成办理分包作业所需的各种证件、批件等手续，乙方予以配合，但涉及乙方需依法自行办理的手续除外。</w:t>
      </w:r>
    </w:p>
    <w:p w14:paraId="3C45DB62">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2.1.</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 xml:space="preserve"> 甲方的一般义务：</w:t>
      </w:r>
    </w:p>
    <w:p w14:paraId="77C4B40F">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（1）负责统一规划现场的平面布置，确定临设、工地出入口、标志的安置、材料堆放、安全、消防、文明施工设施的位置；</w:t>
      </w:r>
    </w:p>
    <w:p w14:paraId="761950EF">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（2）负责工程测量基准点的定位、沉降观测，组织乙方人员进行图纸会审和技术交底，提供经建设单位批准的施工组织设计，统一安排技术档案资料的收集、整理，办理交工验收；</w:t>
      </w:r>
    </w:p>
    <w:p w14:paraId="4F59D36F">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（3）提供标高、定位的基准点、线；</w:t>
      </w:r>
    </w:p>
    <w:p w14:paraId="1968500C">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（4）负责工程的整体进度及各分包单位的进度协调，负责有关工程会议，协调各协同单位施工中出现的矛盾；</w:t>
      </w:r>
    </w:p>
    <w:p w14:paraId="4DC6790A">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（5）负责与建设单位、监理、设计等单位和有关部门的工作联系，协调现场有关单位的关系；</w:t>
      </w:r>
    </w:p>
    <w:p w14:paraId="546D14F6">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（6）制定项目管理目标、安排施工总进度计划，实施对工程质量、安全、工期、文明施工的控制、监督和验收；</w:t>
      </w:r>
    </w:p>
    <w:p w14:paraId="2D4A2173">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随时检查乙方施工设备的运行、材料保管使用情况，检查乙方现场管理人员和操作人员的有效证件及持证上岗情况。当乙方工作达不到合同约定的标准时，甲方有权要求乙方进行整改、返修，并追究相应的违约责任；</w:t>
      </w:r>
    </w:p>
    <w:p w14:paraId="138ECE50">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（8）负责审核乙方编制的分包报量及材料计划、进度计划等，并办理款项支付；</w:t>
      </w:r>
    </w:p>
    <w:p w14:paraId="51F64258">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（9）负责施工现场的CI标准的设计、检查，监督现场各单位落实CI标准；</w:t>
      </w:r>
    </w:p>
    <w:p w14:paraId="60CEEBDF">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（10）协调处理施工场地周围地下管线和临近建筑物（含文物保护建筑物）、古树名木、文物的保护工作；</w:t>
      </w:r>
    </w:p>
    <w:p w14:paraId="4293E560">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（11）负责甲供材试件或试块的制作、保管、养护及送试工作，乙方配合。</w:t>
      </w:r>
    </w:p>
    <w:p w14:paraId="08E8B674">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2.2 甲方现场代表</w:t>
      </w:r>
    </w:p>
    <w:p w14:paraId="64D085C1">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2.2.1 甲方现场代表负责现场管理工作，履行合同约定的职责。</w:t>
      </w:r>
    </w:p>
    <w:p w14:paraId="4839A51B">
      <w:pPr>
        <w:spacing w:line="480" w:lineRule="exact"/>
        <w:ind w:firstLine="560"/>
        <w:rPr>
          <w:rFonts w:ascii="Times New Roman" w:hAnsi="Times New Roman" w:eastAsia="仿宋_GB2312"/>
          <w:color w:val="000000"/>
          <w:sz w:val="28"/>
          <w:szCs w:val="28"/>
          <w:highlight w:val="none"/>
        </w:rPr>
      </w:pPr>
      <w:r>
        <w:rPr>
          <w:rFonts w:hint="eastAsia" w:ascii="仿宋_GB2312" w:hAnsi="仿宋_GB2312" w:eastAsia="仿宋_GB2312" w:cs="仿宋_GB2312"/>
          <w:color w:val="000000"/>
          <w:sz w:val="28"/>
          <w:szCs w:val="28"/>
          <w:highlight w:val="none"/>
        </w:rPr>
        <w:t>2.2.2 甲方现场代表有权要求乙方调离不作为或不称职的管理人员，乙方应在【7】日内按照甲方现场代表要求予以撤换。否则，视为乙方违约，甲方有权据此解除合同。</w:t>
      </w:r>
    </w:p>
    <w:p w14:paraId="399CA924">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3. 乙方</w:t>
      </w:r>
    </w:p>
    <w:p w14:paraId="7FDAA4BB">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3.1 乙方的一般义务</w:t>
      </w:r>
    </w:p>
    <w:p w14:paraId="7CC789F2">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3.1.1 乙方在履行合同过程中应遵守法律和工程建设标准规范，并履行以下义务，相关费用已包含在合同综合单价中：</w:t>
      </w:r>
    </w:p>
    <w:p w14:paraId="63A50935">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（1）按照合同、图纸、标准和规范、有关技术要求、甲方指令、各类交底组织分包作业人员进场作业，并负责工作面范围内的成品保护工作。</w:t>
      </w:r>
    </w:p>
    <w:p w14:paraId="4DC6EE8B">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（2）承担由于自身原因造成的质量缺陷、工期延误等责任。</w:t>
      </w:r>
    </w:p>
    <w:p w14:paraId="1AC9F310">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（3）履行总承包合同中与分包工作有关的义务，但分包合同明确约定应由甲方履行的义务除外。</w:t>
      </w:r>
    </w:p>
    <w:p w14:paraId="7D007B5B">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必须配备完全胜任本工程及甲方要求的包括专职安全管理员、质量管理员等在内的项目管理班子，服从甲方的管理，负责对工程进度、质量、劳动力调配、安全及职工生活安排等具体事项的具体管理；所有管理人员及特殊工种必须持证上岗，将证件复印件交甲方备案，并确保证件的真实、有效，否则视为乙方违约，每发现一人次乙方应支付违约金【</w:t>
      </w:r>
      <w:r>
        <w:rPr>
          <w:rFonts w:hint="eastAsia" w:ascii="仿宋_GB2312" w:hAnsi="仿宋_GB2312" w:eastAsia="仿宋_GB2312" w:cs="仿宋_GB2312"/>
          <w:color w:val="000000"/>
          <w:sz w:val="28"/>
          <w:szCs w:val="28"/>
          <w:highlight w:val="none"/>
          <w:lang w:val="en-US" w:eastAsia="zh-CN"/>
        </w:rPr>
        <w:t>2000</w:t>
      </w:r>
      <w:r>
        <w:rPr>
          <w:rFonts w:hint="eastAsia" w:ascii="仿宋_GB2312" w:hAnsi="仿宋_GB2312" w:eastAsia="仿宋_GB2312" w:cs="仿宋_GB2312"/>
          <w:color w:val="000000"/>
          <w:sz w:val="28"/>
          <w:szCs w:val="28"/>
          <w:highlight w:val="none"/>
        </w:rPr>
        <w:t>】元，超过【</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】人次，视为乙方严重违约且无履约能力，甲方可单方解除合同。</w:t>
      </w:r>
    </w:p>
    <w:p w14:paraId="67C2B047">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（5）对本合同承包范围内的分包作业向甲方负责，全部施工任务必须组织自有力量完成，严禁转包、挂靠和再分包。否则一经发现，乙方应承担签约合同价【</w:t>
      </w:r>
      <w:r>
        <w:rPr>
          <w:rFonts w:hint="eastAsia" w:ascii="仿宋_GB2312" w:hAnsi="仿宋_GB2312" w:eastAsia="仿宋_GB2312" w:cs="仿宋_GB2312"/>
          <w:color w:val="000000"/>
          <w:sz w:val="28"/>
          <w:szCs w:val="28"/>
          <w:highlight w:val="none"/>
          <w:lang w:val="en-US" w:eastAsia="zh-CN"/>
        </w:rPr>
        <w:t>20</w:t>
      </w:r>
      <w:r>
        <w:rPr>
          <w:rFonts w:hint="eastAsia" w:ascii="仿宋_GB2312" w:hAnsi="仿宋_GB2312" w:eastAsia="仿宋_GB2312" w:cs="仿宋_GB2312"/>
          <w:color w:val="000000"/>
          <w:sz w:val="28"/>
          <w:szCs w:val="28"/>
          <w:highlight w:val="none"/>
        </w:rPr>
        <w:t>】%的惩罚性违约金并赔偿甲方所有的损失（包括但不限于诉讼费、律师费、行政处罚等），且甲方有权单方解除合同。</w:t>
      </w:r>
    </w:p>
    <w:p w14:paraId="3177AA9B">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未经甲方书面授权，不得擅自与建设单位及有关部门发生工作上的联系，严禁在对外任何事务中签署甲方及甲方关联公司单位名称或简称等字样的落款，每发现一次乙方承担【</w:t>
      </w:r>
      <w:r>
        <w:rPr>
          <w:rFonts w:hint="eastAsia" w:ascii="仿宋_GB2312" w:hAnsi="仿宋_GB2312" w:eastAsia="仿宋_GB2312" w:cs="仿宋_GB2312"/>
          <w:color w:val="000000"/>
          <w:sz w:val="28"/>
          <w:szCs w:val="28"/>
          <w:highlight w:val="none"/>
          <w:lang w:val="en-US" w:eastAsia="zh-CN"/>
        </w:rPr>
        <w:t>20000</w:t>
      </w:r>
      <w:r>
        <w:rPr>
          <w:rFonts w:hint="eastAsia" w:ascii="仿宋_GB2312" w:hAnsi="仿宋_GB2312" w:eastAsia="仿宋_GB2312" w:cs="仿宋_GB2312"/>
          <w:color w:val="000000"/>
          <w:sz w:val="28"/>
          <w:szCs w:val="28"/>
          <w:highlight w:val="none"/>
        </w:rPr>
        <w:t>】元的违约金并赔偿所有损失。</w:t>
      </w:r>
    </w:p>
    <w:p w14:paraId="49E46A0A">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（6）参加甲方或建设单位主持的图纸预审、技术交底、安全教育培训、安全技术交底；严格按施工图纸、设计说明、国家及当地有关标准和规范、建筑工程质量检验评定标准精心施工。</w:t>
      </w:r>
    </w:p>
    <w:p w14:paraId="478FAC08">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遵守国家法律法规、当地政策文件及甲方有关施工现场管理的各项管理制度，按当地主管部门规定办理应由乙方负责的各项手续。接受甲方、建设单位及有关部门的管理、检查和监督，与现场各单位做好协调配合。</w:t>
      </w:r>
    </w:p>
    <w:p w14:paraId="78B5F951">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（8）负责完成本分包工程的有关施工方案的编制，报甲方批准后严格实施（施工方案不作为结算及合同价款调整依据）。</w:t>
      </w:r>
    </w:p>
    <w:p w14:paraId="25564557">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（9）根据甲方编制的施工组织设计及总进度计划要求，开始作业前【7天】提交主要工序施工方案及施工进度计划，【每月】提交下期施工劳务计划、材料需求计划确保总工期的要求。</w:t>
      </w:r>
    </w:p>
    <w:p w14:paraId="3574918C">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（10）乙方应配备具有与承揽工程范围相适应专业技术水平的专职测量人员及经过校定且校定证书在有效期内的测量仪器，根据甲方提供的标高、定位的基准点线，具体负责承包范围内的测量、放线、定位工作。</w:t>
      </w:r>
    </w:p>
    <w:p w14:paraId="2F6AF46B">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对甲方的指令应迅速执行，如未按照甲方要求执行，除赔偿甲方所有损失外，须承担【1000】元/次违约金。乙方在收到甲方催促执行的书面通知后【12】小时内仍未执行，甲方可另行委托他人执行，费用由甲方与第三方确认即可，并由乙方按确认费用的110%承担，从应付乙方款项中扣除(不足部分，由乙方补足)。</w:t>
      </w:r>
    </w:p>
    <w:p w14:paraId="61BB9E35">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（12）认真做好施工日志和隐蔽工程等原始记录工作，完整、清晰、详细准确地记录和积累资料，及时将符合甲方要求的完整的经济技术资料提供给甲方，并配合甲方进行整理归档工作。</w:t>
      </w:r>
    </w:p>
    <w:p w14:paraId="4BDEFD0E">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（13）做好施工场地周围建筑物、构筑物、地下管线的保护工作，如因乙方原因造成损坏，乙方承担由此造成的经济损失（包括行政主管部门的行政罚款）。</w:t>
      </w:r>
    </w:p>
    <w:p w14:paraId="68533EDD">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14）负责施工现场的垃圾清理、堆放、装车工作，做到工完场清。乙方现场必须派专人负责乙方自行完成工作范围内施工垃圾的清理工作，并负责装车运输到甲方指定位置，必须做到每日工完场清。若乙方未做到工完场清，甲方将委托他人代为清理（清理产生的乙方材料丢失由乙方自负），清理产生的费用由乙方承担，在付款时直接自乙方的应得款项中扣除。</w:t>
      </w:r>
    </w:p>
    <w:p w14:paraId="296E27CF">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（15）工程完工后，乙方自用工具、机械和设备应及时清运出场，并负责清理本工程项目的标志、污斑、指印、油污和脏污等，达到交工前的清理标准。</w:t>
      </w:r>
    </w:p>
    <w:p w14:paraId="24FA3DB6">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（16）负责工作面范围内半成品、成品的保护工作，承担修复责任。参与交工验收，并负责修复质量缺陷，直至满足交工验收质量标准。</w:t>
      </w:r>
    </w:p>
    <w:p w14:paraId="756AA539">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（17）建设单位对甲方的各项要求和标准均是乙方应履行的义务。乙方应无条件服从和执行甲方、建设单位、监理所提出的整改要求。</w:t>
      </w:r>
    </w:p>
    <w:p w14:paraId="3B7B1356">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（18）如乙方认为甲方违约或存在乙方需要索赔的事项，应在事件发生后【7天】内向甲方提出书面报告及支撑资料，逾期视为乙方放弃索赔权利，将无权得到任何赔偿或补偿。</w:t>
      </w:r>
    </w:p>
    <w:p w14:paraId="5D50734B">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（19）在施工过程中，若乙方擅自停工，视为乙方违约，除承担停工给甲方造成的损失外，另承担【</w:t>
      </w:r>
      <w:r>
        <w:rPr>
          <w:rFonts w:hint="eastAsia" w:ascii="仿宋_GB2312" w:hAnsi="仿宋_GB2312" w:eastAsia="仿宋_GB2312" w:cs="仿宋_GB2312"/>
          <w:color w:val="000000"/>
          <w:sz w:val="28"/>
          <w:szCs w:val="28"/>
          <w:highlight w:val="none"/>
          <w:lang w:val="en-US" w:eastAsia="zh-CN"/>
        </w:rPr>
        <w:t>10000</w:t>
      </w:r>
      <w:r>
        <w:rPr>
          <w:rFonts w:hint="eastAsia" w:ascii="仿宋_GB2312" w:hAnsi="仿宋_GB2312" w:eastAsia="仿宋_GB2312" w:cs="仿宋_GB2312"/>
          <w:color w:val="000000"/>
          <w:sz w:val="28"/>
          <w:szCs w:val="28"/>
          <w:highlight w:val="none"/>
        </w:rPr>
        <w:t>】元/天的违约金，停工超过【5天】甲方可单方解除合同，乙方需向甲方承担本合同签约合同价【</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】%的违约金。</w:t>
      </w:r>
    </w:p>
    <w:p w14:paraId="1073D8BC">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（20）乙方现场必须派专人负责工人生活区保洁工作，如经甲方、监理检查不符合现场管理规定，乙方除限期整改外，须承担【</w:t>
      </w:r>
      <w:r>
        <w:rPr>
          <w:rFonts w:hint="eastAsia" w:ascii="仿宋_GB2312" w:hAnsi="仿宋_GB2312" w:eastAsia="仿宋_GB2312" w:cs="仿宋_GB2312"/>
          <w:color w:val="000000"/>
          <w:sz w:val="28"/>
          <w:szCs w:val="28"/>
          <w:highlight w:val="none"/>
          <w:lang w:val="en-US" w:eastAsia="zh-CN"/>
        </w:rPr>
        <w:t>2000</w:t>
      </w:r>
      <w:r>
        <w:rPr>
          <w:rFonts w:hint="eastAsia" w:ascii="仿宋_GB2312" w:hAnsi="仿宋_GB2312" w:eastAsia="仿宋_GB2312" w:cs="仿宋_GB2312"/>
          <w:color w:val="000000"/>
          <w:sz w:val="28"/>
          <w:szCs w:val="28"/>
          <w:highlight w:val="none"/>
        </w:rPr>
        <w:t>】元/次的惩罚性违约金。</w:t>
      </w:r>
    </w:p>
    <w:p w14:paraId="2D3CE079">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（21）甲方另行分包的工程，乙方应积极配合，做好与其他分包穿插及配合施工。</w:t>
      </w:r>
    </w:p>
    <w:p w14:paraId="76B1AFA8">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22）施工过程中按甲方要求对施工现场临时设施、工作面、工人生活区、现场内外临时道路等进行清理，对模板、周转料具等分类整理、码放，迎接相关检查。若乙方未做到或无故拖延，甲方将委托他人代为清理，清理产生的费用由乙方承担，在付款时直接自乙方的应得款项中扣除。</w:t>
      </w:r>
    </w:p>
    <w:p w14:paraId="36C421E9">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（23）配合甲方进行绿色施工管理。</w:t>
      </w:r>
    </w:p>
    <w:p w14:paraId="4CED8258">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24）因施工需拆除安全防护装置或设施的，经甲方批准后方准实施，并在施工完成后负责恢复。作业面内存在交叉施工作业时，做好与相关单位的协调工作，并负责本单位施工区域交叉作业安全防护设置工作。乙方未做到或无故拖延，甲方将委托他人代为执行，期间因防护不到位发生生产安全事故或产生其他损失的，由乙方承担，相关费用或损失在付款时直接自乙方的应得款项中扣除。</w:t>
      </w:r>
    </w:p>
    <w:p w14:paraId="73327137">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25）乙方负责工作面范围内“四口”“五临边”安全防护安装、维护工作。临时安全防护的标准需满足相关规范、标准及甲方要求。需安装定型化防护设施的，在其未安装到位前，乙方负责相应区域临时防护设施的安装。无甲方允许不得私自拆除安全防护范围内的防护措施，否则造成的后果由乙方承担。</w:t>
      </w:r>
    </w:p>
    <w:p w14:paraId="627EEFD7">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（26）保证施工中使用的各类中小型设备、移动式操作平台、临时消防器材、辅助设施或工具的安全性能，确保其安全防护设施、装置安全可靠。</w:t>
      </w:r>
    </w:p>
    <w:p w14:paraId="612ACADC">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（27）乙方施工中应杜绝“十项零容忍安全隐患”的发生，对甲方提出的安全隐患整改意见应在规定的期限内整改完成并组织回复。安全隐患整改不及时，甲方有权依照相关管理规定对乙方进行处罚。</w:t>
      </w:r>
    </w:p>
    <w:p w14:paraId="6E2FDAD0">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28）按照国家法律法规要求，乙方配合甲方做好农民工工资分账制管理工作，工程款与人工费分开核算。乙方配合甲方进行项目施工现场实名制管理工作，按月编制农民工工资发放表并报送甲方审核后从农民工工资专用账户代发农民工工资。</w:t>
      </w:r>
    </w:p>
    <w:p w14:paraId="1BF8109E">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（29）本协议履行期间，若因乙方与其合作方的债务纠纷出现合作方向甲方追索情形，乙方应承担因此对甲方造成的所有损失并按签约合同价【</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】%或【</w:t>
      </w:r>
      <w:r>
        <w:rPr>
          <w:rFonts w:hint="eastAsia" w:ascii="仿宋_GB2312" w:hAnsi="仿宋_GB2312" w:eastAsia="仿宋_GB2312" w:cs="仿宋_GB2312"/>
          <w:color w:val="000000"/>
          <w:sz w:val="28"/>
          <w:szCs w:val="28"/>
          <w:highlight w:val="none"/>
          <w:lang w:val="en-US" w:eastAsia="zh-CN"/>
        </w:rPr>
        <w:t>100000</w:t>
      </w:r>
      <w:r>
        <w:rPr>
          <w:rFonts w:hint="eastAsia" w:ascii="仿宋_GB2312" w:hAnsi="仿宋_GB2312" w:eastAsia="仿宋_GB2312" w:cs="仿宋_GB2312"/>
          <w:color w:val="000000"/>
          <w:sz w:val="28"/>
          <w:szCs w:val="28"/>
          <w:highlight w:val="none"/>
        </w:rPr>
        <w:t>】元/次进行赔偿。</w:t>
      </w:r>
    </w:p>
    <w:p w14:paraId="3049D362">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（30）乙方应与其雇用人员签订雇佣合同按时发放工资，不得无故拖欠或克扣所雇用人员工资。</w:t>
      </w:r>
    </w:p>
    <w:p w14:paraId="391BD8D2">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（31）对于乙方所雇用的工人出现的伤亡事故或损失，应由乙方自行负责，包括伤亡或损失的索赔、诉讼、损害赔偿及其他费用。</w:t>
      </w:r>
    </w:p>
    <w:p w14:paraId="2E60135F">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（32）乙方应当清楚地预计到施工期间对外界可能产生的必需的不可能避免的干扰，并为此保证主动努力减少这些干扰对外界的影响，且应当积极主动与外界进行协调。</w:t>
      </w:r>
    </w:p>
    <w:p w14:paraId="4EF390DE">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（33）按法律规定和合同约定采取施工安全和环境保护措施，办理工伤保险，确保工程及人员、材料、设备和设施的安全。</w:t>
      </w:r>
    </w:p>
    <w:p w14:paraId="02F13CD7">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34）在进行合同约定的各项工作时，不得侵害他人使用公用道路、水源、市政管网等公共设施的权利，避免对邻近的公共设施产生干扰。乙方占用或使用他人的施工场地，影响他人作业或生活的，应承担相应责任。</w:t>
      </w:r>
    </w:p>
    <w:p w14:paraId="3436A82D">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35）乙方应按照分包合同的约定，对分包工程进行深化设计（分包合同有约定时）、施工、竣工和保修。乙方在审阅分包合同和（或）总承包合同的相关内容时，或在分包合同的施工中，如发现分包工程的设计或工程建设标准、技术要求存在错误、遗漏、失误或其他缺陷，应立即通知甲方。</w:t>
      </w:r>
    </w:p>
    <w:p w14:paraId="75F30F77">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3.1.2 未经甲方书面准许，乙方不得擅自调整和撤走进驻工地人员。私自调整进驻工地人员，所导致的经济损失由乙方负责，除承担因此造成的损失外，每发现一次处以【</w:t>
      </w:r>
      <w:r>
        <w:rPr>
          <w:rFonts w:hint="eastAsia" w:ascii="仿宋_GB2312" w:hAnsi="仿宋_GB2312" w:eastAsia="仿宋_GB2312" w:cs="仿宋_GB2312"/>
          <w:color w:val="000000"/>
          <w:sz w:val="28"/>
          <w:szCs w:val="28"/>
          <w:highlight w:val="none"/>
          <w:lang w:val="en-US" w:eastAsia="zh-CN"/>
        </w:rPr>
        <w:t>5000</w:t>
      </w:r>
      <w:r>
        <w:rPr>
          <w:rFonts w:hint="eastAsia" w:ascii="仿宋_GB2312" w:hAnsi="仿宋_GB2312" w:eastAsia="仿宋_GB2312" w:cs="仿宋_GB2312"/>
          <w:color w:val="000000"/>
          <w:sz w:val="28"/>
          <w:szCs w:val="28"/>
          <w:highlight w:val="none"/>
        </w:rPr>
        <w:t>】元惩罚性违约金。</w:t>
      </w:r>
    </w:p>
    <w:p w14:paraId="1B20A566">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3.1.3 乙方对甲方指令持有异议，应在收到指令后的【24小时】内提出书面报告，逾期视为认可。</w:t>
      </w:r>
    </w:p>
    <w:p w14:paraId="6E5015DC">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3.1.4 乙方投标书中承诺的人员及现场委托的负责人非经甲方事先书面同意不得擅自更换。如乙方擅自更换前述人员，甲方有权解除合同，甲方解除合同的，乙方需向甲方支付签约合同价【</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】%的违约金。乙方现场代表外出办事需向甲方请假，未经批准擅自离开工地的，承担【</w:t>
      </w:r>
      <w:r>
        <w:rPr>
          <w:rFonts w:hint="eastAsia" w:ascii="仿宋_GB2312" w:hAnsi="仿宋_GB2312" w:eastAsia="仿宋_GB2312" w:cs="仿宋_GB2312"/>
          <w:color w:val="000000"/>
          <w:sz w:val="28"/>
          <w:szCs w:val="28"/>
          <w:highlight w:val="none"/>
          <w:lang w:val="en-US" w:eastAsia="zh-CN"/>
        </w:rPr>
        <w:t>800</w:t>
      </w:r>
      <w:r>
        <w:rPr>
          <w:rFonts w:hint="eastAsia" w:ascii="仿宋_GB2312" w:hAnsi="仿宋_GB2312" w:eastAsia="仿宋_GB2312" w:cs="仿宋_GB2312"/>
          <w:color w:val="000000"/>
          <w:sz w:val="28"/>
          <w:szCs w:val="28"/>
          <w:highlight w:val="none"/>
        </w:rPr>
        <w:t>】元/天的违约金，其他管理人员承担【</w:t>
      </w:r>
      <w:r>
        <w:rPr>
          <w:rFonts w:hint="eastAsia" w:ascii="仿宋_GB2312" w:hAnsi="仿宋_GB2312" w:eastAsia="仿宋_GB2312" w:cs="仿宋_GB2312"/>
          <w:color w:val="000000"/>
          <w:sz w:val="28"/>
          <w:szCs w:val="28"/>
          <w:highlight w:val="none"/>
          <w:lang w:val="en-US" w:eastAsia="zh-CN"/>
        </w:rPr>
        <w:t>300</w:t>
      </w:r>
      <w:r>
        <w:rPr>
          <w:rFonts w:hint="eastAsia" w:ascii="仿宋_GB2312" w:hAnsi="仿宋_GB2312" w:eastAsia="仿宋_GB2312" w:cs="仿宋_GB2312"/>
          <w:color w:val="000000"/>
          <w:sz w:val="28"/>
          <w:szCs w:val="28"/>
          <w:highlight w:val="none"/>
        </w:rPr>
        <w:t>】元/天的违约金。</w:t>
      </w:r>
    </w:p>
    <w:p w14:paraId="5D31DE77">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3.1.5 乙方已知晓本合同的付款条件，乙方不得以任何理由向甲方提出超出本合同支付条款以外的任何工程款的支付请求。</w:t>
      </w:r>
    </w:p>
    <w:p w14:paraId="4E6F39C4">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3.2 乙方现场代表</w:t>
      </w:r>
    </w:p>
    <w:p w14:paraId="2392DAF8">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3.2.1 乙方现场代表代表乙方进行合同履行及施工管理、签署文件和处理与工程有关的所有事务等，行使合同约定的权利，履行合同约定的职责。乙方无条件接受现场代表的行为后果。</w:t>
      </w:r>
    </w:p>
    <w:p w14:paraId="7A63A1F1">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3.2.2 乙方现场代表必须保证长驻施工现场，并保证通讯畅通，乙方代表需按时参加甲方组织的各项会议、交底、教育等，如有事需及时请假，未经甲方允许擅自不参加，每次承担【</w:t>
      </w:r>
      <w:r>
        <w:rPr>
          <w:rFonts w:hint="eastAsia" w:ascii="仿宋_GB2312" w:hAnsi="仿宋_GB2312" w:eastAsia="仿宋_GB2312" w:cs="仿宋_GB2312"/>
          <w:color w:val="000000"/>
          <w:sz w:val="28"/>
          <w:szCs w:val="28"/>
          <w:highlight w:val="none"/>
          <w:lang w:val="en-US" w:eastAsia="zh-CN"/>
        </w:rPr>
        <w:t>200</w:t>
      </w:r>
      <w:r>
        <w:rPr>
          <w:rFonts w:hint="eastAsia" w:ascii="仿宋_GB2312" w:hAnsi="仿宋_GB2312" w:eastAsia="仿宋_GB2312" w:cs="仿宋_GB2312"/>
          <w:color w:val="000000"/>
          <w:sz w:val="28"/>
          <w:szCs w:val="28"/>
          <w:highlight w:val="none"/>
        </w:rPr>
        <w:t>】元的罚款，累计计算。乙方的现场代表每月在工地不少于【</w:t>
      </w:r>
      <w:r>
        <w:rPr>
          <w:rFonts w:hint="eastAsia" w:ascii="仿宋_GB2312" w:hAnsi="仿宋_GB2312" w:eastAsia="仿宋_GB2312" w:cs="仿宋_GB2312"/>
          <w:color w:val="000000"/>
          <w:sz w:val="28"/>
          <w:szCs w:val="28"/>
          <w:highlight w:val="none"/>
          <w:lang w:val="en-US" w:eastAsia="zh-CN"/>
        </w:rPr>
        <w:t>24</w:t>
      </w:r>
      <w:r>
        <w:rPr>
          <w:rFonts w:hint="eastAsia" w:ascii="仿宋_GB2312" w:hAnsi="仿宋_GB2312" w:eastAsia="仿宋_GB2312" w:cs="仿宋_GB2312"/>
          <w:color w:val="000000"/>
          <w:sz w:val="28"/>
          <w:szCs w:val="28"/>
          <w:highlight w:val="none"/>
        </w:rPr>
        <w:t>】天，每少一天，乙方应承担【</w:t>
      </w:r>
      <w:r>
        <w:rPr>
          <w:rFonts w:hint="eastAsia" w:ascii="仿宋_GB2312" w:hAnsi="仿宋_GB2312" w:eastAsia="仿宋_GB2312" w:cs="仿宋_GB2312"/>
          <w:color w:val="000000"/>
          <w:sz w:val="28"/>
          <w:szCs w:val="28"/>
          <w:highlight w:val="none"/>
          <w:lang w:val="en-US" w:eastAsia="zh-CN"/>
        </w:rPr>
        <w:t>10000</w:t>
      </w:r>
      <w:r>
        <w:rPr>
          <w:rFonts w:hint="eastAsia" w:ascii="仿宋_GB2312" w:hAnsi="仿宋_GB2312" w:eastAsia="仿宋_GB2312" w:cs="仿宋_GB2312"/>
          <w:color w:val="000000"/>
          <w:sz w:val="28"/>
          <w:szCs w:val="28"/>
          <w:highlight w:val="none"/>
        </w:rPr>
        <w:t>】元/天的违约金，累计计算。</w:t>
      </w:r>
    </w:p>
    <w:p w14:paraId="17241FEE">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3.2.3 乙方现场代表应按甲方批准的施工组织设计或施工方案和依据合同发出的指令、指示组织施工。在情况紧急无法与甲方现场代表联系的情况下，可采取保证工程和人员生命、财产安全的紧急措施，并在采取措施后【</w:t>
      </w:r>
      <w:r>
        <w:rPr>
          <w:rFonts w:hint="eastAsia" w:ascii="仿宋_GB2312" w:hAnsi="仿宋_GB2312" w:eastAsia="仿宋_GB2312" w:cs="仿宋_GB2312"/>
          <w:color w:val="000000"/>
          <w:sz w:val="28"/>
          <w:szCs w:val="28"/>
          <w:highlight w:val="none"/>
          <w:lang w:val="en-US" w:eastAsia="zh-CN"/>
        </w:rPr>
        <w:t>24</w:t>
      </w:r>
      <w:r>
        <w:rPr>
          <w:rFonts w:hint="eastAsia" w:ascii="仿宋_GB2312" w:hAnsi="仿宋_GB2312" w:eastAsia="仿宋_GB2312" w:cs="仿宋_GB2312"/>
          <w:color w:val="000000"/>
          <w:sz w:val="28"/>
          <w:szCs w:val="28"/>
          <w:highlight w:val="none"/>
        </w:rPr>
        <w:t>】小时内向甲方提交书面报告。</w:t>
      </w:r>
    </w:p>
    <w:p w14:paraId="70530C28">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3.2.4 乙方现场代表接甲方现场代表通知要求撤换人员后，立即将该人员调离现场，交回有关证件，未经甲方现场代表书面许可，不可再将此人员调入工地。否则，每发生一次，应向甲方支付违约金【</w:t>
      </w:r>
      <w:r>
        <w:rPr>
          <w:rFonts w:hint="eastAsia" w:ascii="仿宋_GB2312" w:hAnsi="仿宋_GB2312" w:eastAsia="仿宋_GB2312" w:cs="仿宋_GB2312"/>
          <w:color w:val="000000"/>
          <w:sz w:val="28"/>
          <w:szCs w:val="28"/>
          <w:highlight w:val="none"/>
          <w:lang w:val="en-US" w:eastAsia="zh-CN"/>
        </w:rPr>
        <w:t>1000</w:t>
      </w:r>
      <w:r>
        <w:rPr>
          <w:rFonts w:hint="eastAsia" w:ascii="仿宋_GB2312" w:hAnsi="仿宋_GB2312" w:eastAsia="仿宋_GB2312" w:cs="仿宋_GB2312"/>
          <w:color w:val="000000"/>
          <w:sz w:val="28"/>
          <w:szCs w:val="28"/>
          <w:highlight w:val="none"/>
        </w:rPr>
        <w:t>】元，甲方可单方解除合同。</w:t>
      </w:r>
    </w:p>
    <w:p w14:paraId="68EAEF2E">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3.2.5 乙方现场代表应是乙方正式聘用的员工，保证其代表权限无权利瑕疵。</w:t>
      </w:r>
    </w:p>
    <w:p w14:paraId="244BCCCB">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3.3 乙方管理人员</w:t>
      </w:r>
    </w:p>
    <w:p w14:paraId="522C321C">
      <w:pPr>
        <w:spacing w:line="480" w:lineRule="exact"/>
        <w:ind w:firstLine="560"/>
        <w:rPr>
          <w:rFonts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rPr>
        <w:t>乙方在合同签订时提供一份乙方施工现场管理人员名单（详见附件</w:t>
      </w:r>
      <w:r>
        <w:rPr>
          <w:rFonts w:ascii="Times New Roman" w:hAnsi="Times New Roman" w:eastAsia="仿宋_GB2312"/>
          <w:color w:val="000000"/>
          <w:sz w:val="28"/>
          <w:szCs w:val="28"/>
          <w:highlight w:val="none"/>
        </w:rPr>
        <w:t>4</w:t>
      </w:r>
      <w:r>
        <w:rPr>
          <w:rFonts w:hint="eastAsia" w:ascii="Times New Roman" w:hAnsi="Times New Roman" w:eastAsia="仿宋_GB2312"/>
          <w:color w:val="000000"/>
          <w:sz w:val="28"/>
          <w:szCs w:val="28"/>
          <w:highlight w:val="none"/>
        </w:rPr>
        <w:t>）。在合同签订时提供项目现场代表、技术负责人、质量负责人、安全负责人的劳动合同、养老保险及工资发放凭证，同时提供身份证复印件（双面复印）及岗位证书复印件，其中养老保险及工资发放凭证在合同履行期间每季度提供一次且确保真实、有效，直至合同履行完成，否则，甲方有权单方解除合同。</w:t>
      </w:r>
    </w:p>
    <w:p w14:paraId="3EC0AE05">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3.4 履约担保</w:t>
      </w:r>
    </w:p>
    <w:p w14:paraId="1ED3DDE0">
      <w:pPr>
        <w:spacing w:line="480" w:lineRule="exact"/>
        <w:ind w:firstLine="560"/>
        <w:jc w:val="left"/>
        <w:rPr>
          <w:rFonts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rPr>
        <w:t>履约担保采用以下第【</w:t>
      </w:r>
      <w:bookmarkStart w:id="75" w:name="mf_lvyuedanbaofangshixuanxiang12_3b5e198a-e578-46a1-b5c0-6fa3f5d47805_1"/>
      <w:r>
        <w:rPr>
          <w:rFonts w:hint="eastAsia" w:ascii="Times New Roman" w:hAnsi="Times New Roman" w:eastAsia="仿宋_GB2312"/>
          <w:color w:val="000000"/>
          <w:sz w:val="28"/>
          <w:szCs w:val="28"/>
          <w:highlight w:val="none"/>
          <w:u w:val="single"/>
        </w:rPr>
        <w:tab/>
      </w:r>
      <w:r>
        <w:rPr>
          <w:rFonts w:hint="eastAsia" w:ascii="Times New Roman" w:hAnsi="Times New Roman" w:eastAsia="仿宋_GB2312"/>
          <w:color w:val="000000"/>
          <w:sz w:val="28"/>
          <w:szCs w:val="28"/>
          <w:highlight w:val="none"/>
          <w:u w:val="single"/>
        </w:rPr>
        <w:tab/>
      </w:r>
      <w:r>
        <w:rPr>
          <w:rFonts w:hint="eastAsia" w:ascii="Times New Roman" w:hAnsi="Times New Roman" w:eastAsia="仿宋_GB2312"/>
          <w:color w:val="000000"/>
          <w:sz w:val="28"/>
          <w:szCs w:val="28"/>
          <w:highlight w:val="none"/>
          <w:u w:val="single"/>
        </w:rPr>
        <w:tab/>
      </w:r>
      <w:r>
        <w:rPr>
          <w:rFonts w:hint="eastAsia" w:ascii="Times New Roman" w:hAnsi="Times New Roman" w:eastAsia="仿宋_GB2312"/>
          <w:color w:val="000000"/>
          <w:sz w:val="28"/>
          <w:szCs w:val="28"/>
          <w:highlight w:val="none"/>
          <w:u w:val="single"/>
        </w:rPr>
        <w:tab/>
      </w:r>
      <w:r>
        <w:rPr>
          <w:rFonts w:hint="eastAsia" w:ascii="Times New Roman" w:hAnsi="Times New Roman" w:eastAsia="仿宋_GB2312"/>
          <w:color w:val="000000"/>
          <w:sz w:val="28"/>
          <w:szCs w:val="28"/>
          <w:highlight w:val="none"/>
          <w:u w:val="single"/>
        </w:rPr>
        <w:tab/>
      </w:r>
      <w:bookmarkEnd w:id="75"/>
      <w:r>
        <w:rPr>
          <w:rFonts w:hint="eastAsia" w:ascii="Times New Roman" w:hAnsi="Times New Roman" w:eastAsia="仿宋_GB2312"/>
          <w:color w:val="000000"/>
          <w:sz w:val="28"/>
          <w:szCs w:val="28"/>
          <w:highlight w:val="none"/>
        </w:rPr>
        <w:t>】种方式。</w:t>
      </w:r>
    </w:p>
    <w:p w14:paraId="4085859F">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（1）独立、不可撤销、见索即付的银行保函。</w:t>
      </w:r>
    </w:p>
    <w:p w14:paraId="6FEF9005">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（2）履约保证金，缴纳方式【</w:t>
      </w:r>
      <w:r>
        <w:rPr>
          <w:rFonts w:hint="eastAsia" w:ascii="仿宋_GB2312" w:hAnsi="仿宋_GB2312" w:eastAsia="仿宋_GB2312" w:cs="仿宋_GB2312"/>
          <w:color w:val="000000"/>
          <w:sz w:val="28"/>
          <w:szCs w:val="28"/>
          <w:highlight w:val="none"/>
          <w:lang w:val="en-US" w:eastAsia="zh-CN"/>
        </w:rPr>
        <w:t>银行转账</w:t>
      </w:r>
      <w:r>
        <w:rPr>
          <w:rFonts w:hint="eastAsia" w:ascii="仿宋_GB2312" w:hAnsi="仿宋_GB2312" w:eastAsia="仿宋_GB2312" w:cs="仿宋_GB2312"/>
          <w:color w:val="000000"/>
          <w:sz w:val="28"/>
          <w:szCs w:val="28"/>
          <w:highlight w:val="none"/>
        </w:rPr>
        <w:t>】。</w:t>
      </w:r>
    </w:p>
    <w:p w14:paraId="6204C7FB">
      <w:pPr>
        <w:spacing w:line="480" w:lineRule="exact"/>
        <w:ind w:firstLine="560"/>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color w:val="000000"/>
          <w:sz w:val="28"/>
          <w:szCs w:val="28"/>
          <w:highlight w:val="none"/>
        </w:rPr>
        <w:t>（3）其他</w:t>
      </w:r>
      <w:r>
        <w:rPr>
          <w:rFonts w:hint="eastAsia" w:ascii="仿宋_GB2312" w:hAnsi="仿宋_GB2312" w:eastAsia="仿宋_GB2312" w:cs="仿宋_GB2312"/>
          <w:color w:val="000000"/>
          <w:sz w:val="28"/>
          <w:szCs w:val="28"/>
          <w:highlight w:val="none"/>
          <w:lang w:val="en-US" w:eastAsia="zh-CN"/>
        </w:rPr>
        <w:t>方式：已合作【</w:t>
      </w:r>
      <w:bookmarkStart w:id="76" w:name="mf_lvyuedanbaoqitafangshi_40c69a2d-2dc9-467a-87d4-4d0ef00773bd_1"/>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bookmarkEnd w:id="76"/>
      <w:r>
        <w:rPr>
          <w:rFonts w:hint="eastAsia" w:ascii="仿宋_GB2312" w:hAnsi="仿宋_GB2312" w:eastAsia="仿宋_GB2312" w:cs="仿宋_GB2312"/>
          <w:color w:val="000000"/>
          <w:sz w:val="28"/>
          <w:szCs w:val="28"/>
          <w:highlight w:val="none"/>
          <w:lang w:val="en-US" w:eastAsia="zh-CN"/>
        </w:rPr>
        <w:t>】项目的合同应付欠款抵扣；</w:t>
      </w:r>
    </w:p>
    <w:p w14:paraId="2E34C8A9">
      <w:pPr>
        <w:spacing w:line="480" w:lineRule="exact"/>
        <w:ind w:firstLine="56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履约担保的金额：签约合同价的【</w:t>
      </w:r>
      <w:bookmarkStart w:id="77" w:name="mf_lvyuebaozhengjinbilie_6dcb5f77-e6d4-46ba-9963-ac2859261245_1"/>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r>
        <w:rPr>
          <w:rFonts w:hint="eastAsia" w:ascii="仿宋_GB2312" w:hAnsi="仿宋_GB2312" w:eastAsia="仿宋_GB2312" w:cs="仿宋_GB2312"/>
          <w:color w:val="000000"/>
          <w:sz w:val="28"/>
          <w:szCs w:val="28"/>
          <w:highlight w:val="none"/>
          <w:u w:val="single"/>
          <w:lang w:val="en-US" w:eastAsia="zh-CN"/>
        </w:rPr>
        <w:tab/>
      </w:r>
      <w:bookmarkEnd w:id="77"/>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eastAsia="zh-CN"/>
        </w:rPr>
        <w:t>（按照甲方评级，履约担保的金额，A级分供商缴纳合同总额的1%，或年缴纳100万元；B级分供商缴纳合同总额的2%,或年缴纳150万元；C级分供商缴纳合同总额的5%）</w:t>
      </w:r>
    </w:p>
    <w:p w14:paraId="4BD9E397">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履约担保的提交时间：乙方应在合同签订后【</w:t>
      </w:r>
      <w:r>
        <w:rPr>
          <w:rFonts w:hint="eastAsia" w:ascii="仿宋_GB2312" w:hAnsi="仿宋_GB2312" w:eastAsia="仿宋_GB2312" w:cs="仿宋_GB2312"/>
          <w:color w:val="000000"/>
          <w:sz w:val="28"/>
          <w:szCs w:val="28"/>
          <w:highlight w:val="none"/>
          <w:lang w:val="en-US" w:eastAsia="zh-CN"/>
        </w:rPr>
        <w:t>14</w:t>
      </w:r>
      <w:r>
        <w:rPr>
          <w:rFonts w:hint="eastAsia" w:ascii="仿宋_GB2312" w:hAnsi="仿宋_GB2312" w:eastAsia="仿宋_GB2312" w:cs="仿宋_GB2312"/>
          <w:color w:val="000000"/>
          <w:sz w:val="28"/>
          <w:szCs w:val="28"/>
          <w:highlight w:val="none"/>
        </w:rPr>
        <w:t>】天内，向甲方提交履约担保，否则进度款不予支付。</w:t>
      </w:r>
    </w:p>
    <w:p w14:paraId="0B40D4D2">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履约担保的退还，按照【</w:t>
      </w:r>
      <w:bookmarkStart w:id="78" w:name="mf_lvyuebaozhengjintuihaifangshi_4148292d-079b-4953-a51e-4b626548d3f1_1"/>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r>
        <w:rPr>
          <w:rFonts w:hint="eastAsia" w:ascii="仿宋_GB2312" w:hAnsi="仿宋_GB2312" w:eastAsia="仿宋_GB2312" w:cs="仿宋_GB2312"/>
          <w:color w:val="000000"/>
          <w:sz w:val="28"/>
          <w:szCs w:val="28"/>
          <w:highlight w:val="none"/>
          <w:u w:val="single"/>
        </w:rPr>
        <w:tab/>
      </w:r>
      <w:bookmarkEnd w:id="78"/>
      <w:r>
        <w:rPr>
          <w:rFonts w:hint="eastAsia" w:ascii="仿宋_GB2312" w:hAnsi="仿宋_GB2312" w:eastAsia="仿宋_GB2312" w:cs="仿宋_GB2312"/>
          <w:color w:val="000000"/>
          <w:sz w:val="28"/>
          <w:szCs w:val="28"/>
          <w:highlight w:val="none"/>
        </w:rPr>
        <w:t>】执行：</w:t>
      </w:r>
    </w:p>
    <w:p w14:paraId="22AFE18F">
      <w:pPr>
        <w:spacing w:line="480" w:lineRule="exact"/>
        <w:ind w:firstLine="560"/>
        <w:jc w:val="left"/>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lang w:eastAsia="zh-CN"/>
        </w:rPr>
        <w:t>）施工工作内容完成符合合格条件，完工退场后。</w:t>
      </w:r>
    </w:p>
    <w:p w14:paraId="69AE3B8C">
      <w:pPr>
        <w:spacing w:line="480" w:lineRule="exact"/>
        <w:ind w:firstLine="560"/>
        <w:jc w:val="left"/>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lang w:eastAsia="zh-CN"/>
        </w:rPr>
        <w:t>）最终结算办理完成后；</w:t>
      </w:r>
    </w:p>
    <w:p w14:paraId="7749FECB">
      <w:pPr>
        <w:spacing w:line="480" w:lineRule="exact"/>
        <w:ind w:firstLine="560"/>
        <w:jc w:val="left"/>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lang w:eastAsia="zh-CN"/>
        </w:rPr>
        <w:t>）单项工程验收合格后；</w:t>
      </w:r>
    </w:p>
    <w:p w14:paraId="1D7038D2">
      <w:pPr>
        <w:spacing w:line="480" w:lineRule="exact"/>
        <w:ind w:firstLine="560"/>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（4）在单项工程竣工验收合格后；</w:t>
      </w:r>
    </w:p>
    <w:p w14:paraId="6AE7874F">
      <w:pPr>
        <w:spacing w:line="480" w:lineRule="exact"/>
        <w:ind w:firstLine="560"/>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（5）其它。</w:t>
      </w:r>
    </w:p>
    <w:p w14:paraId="66D8B375">
      <w:pPr>
        <w:spacing w:line="480" w:lineRule="exact"/>
        <w:ind w:firstLine="560"/>
        <w:jc w:val="both"/>
        <w:rPr>
          <w:rFonts w:hint="eastAsia" w:ascii="仿宋_GB2312" w:hAnsi="仿宋_GB2312" w:eastAsia="仿宋_GB2312" w:cs="仿宋_GB2312"/>
          <w:color w:val="000000"/>
          <w:sz w:val="28"/>
          <w:szCs w:val="28"/>
          <w:highlight w:val="none"/>
          <w:lang w:eastAsia="zh-CN"/>
          <w14:ligatures w14:val="none"/>
        </w:rPr>
      </w:pPr>
      <w:r>
        <w:rPr>
          <w:rFonts w:hint="eastAsia" w:ascii="仿宋_GB2312" w:hAnsi="仿宋_GB2312" w:eastAsia="仿宋_GB2312" w:cs="仿宋_GB2312"/>
          <w:color w:val="000000"/>
          <w:sz w:val="28"/>
          <w:szCs w:val="28"/>
          <w:highlight w:val="none"/>
          <w:lang w:eastAsia="zh-CN"/>
        </w:rPr>
        <w:t>当乙方未按约定履行合同而发生违约行为时，乙方应承担的违约金及因违约对甲方所造成的损失金额，甲方有权无条件从履约担保中扣除违约金及相关损失并通知乙方，乙方有义务在接到上述通知后【7】天内将履约担保恢复到原金额。当乙方需承担的违约金及造成甲方的损失金额超出履约担保金额时，甲方有权就超出数额向乙方追偿。乙方【履行完本合同工作内容经甲方验收合格，且办理退场手续后，扣除乙方违约金及应扣款项后】无息返还履约保证金。</w:t>
      </w:r>
    </w:p>
    <w:p w14:paraId="442F26BA">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履约担保有效期的延长：在本分包工程竣工验收合格之前，乙方应保证履约担保持续有效。若分包工程尚未竣工验收，则乙方应在履约担保期满前【28】天内延长履约担保的有效期，直至分包工程竣工验收合格。</w:t>
      </w:r>
    </w:p>
    <w:p w14:paraId="373A02CF">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4. 分包作业人员</w:t>
      </w:r>
    </w:p>
    <w:p w14:paraId="1A214B0C">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4.1 签订书面劳动合同</w:t>
      </w:r>
    </w:p>
    <w:p w14:paraId="49227178">
      <w:pPr>
        <w:spacing w:line="480" w:lineRule="exact"/>
        <w:ind w:firstLine="560"/>
        <w:rPr>
          <w:rFonts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rPr>
        <w:t>乙方应当与分包作业人员签订书面劳动合同（或协议书），并在工人进场前将劳动合同报甲方备案（甲方有签订实名制管理平台电子合同要求的，乙方需无条件配合执行）。在劳动合同（或协议书）中应明确工资支付方式、支付标准（不低于当地最低工资标准）及工资支付日期等条款，工人工资约定内容要便于计量和支付。</w:t>
      </w:r>
    </w:p>
    <w:p w14:paraId="68889465">
      <w:pPr>
        <w:spacing w:line="480" w:lineRule="exact"/>
        <w:ind w:firstLine="560"/>
        <w:rPr>
          <w:rFonts w:hint="eastAsia" w:ascii="仿宋_GB2312" w:hAnsi="仿宋_GB2312" w:eastAsia="仿宋_GB2312" w:cs="仿宋_GB2312"/>
          <w:color w:val="000000"/>
          <w:sz w:val="28"/>
          <w:szCs w:val="28"/>
          <w:highlight w:val="none"/>
        </w:rPr>
      </w:pPr>
      <w:r>
        <w:rPr>
          <w:rFonts w:hint="eastAsia" w:ascii="Times New Roman" w:hAnsi="Times New Roman" w:eastAsia="仿宋_GB2312"/>
          <w:color w:val="000000"/>
          <w:sz w:val="28"/>
          <w:szCs w:val="28"/>
          <w:highlight w:val="none"/>
        </w:rPr>
        <w:t>乙方应建立职工花名册并办理劳动备案；要全面实行农民工实名制管理制度，建立劳动计酬手册，记录施工现场作业农民工的身份信息、劳动考勤、工资结算等信息。同时，乙方应每月向甲方提供上月所有分包作业人员的劳动合同签署情况、出勤情况、人员变动情况书面记录及本人</w:t>
      </w:r>
      <w:r>
        <w:rPr>
          <w:rFonts w:hint="eastAsia" w:ascii="仿宋_GB2312" w:hAnsi="仿宋_GB2312" w:eastAsia="仿宋_GB2312" w:cs="仿宋_GB2312"/>
          <w:color w:val="000000"/>
          <w:sz w:val="28"/>
          <w:szCs w:val="28"/>
          <w:highlight w:val="none"/>
        </w:rPr>
        <w:t>签字确认的工资支付书面记录。除上述书面记录用工行为外，乙方承诺在本工程不存在其他劳务用工行为。</w:t>
      </w:r>
    </w:p>
    <w:p w14:paraId="51F8026B">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若发现乙方未与工人签订劳动用工合同或者签订劳动合同不真实，乙方承担【</w:t>
      </w:r>
      <w:r>
        <w:rPr>
          <w:rFonts w:hint="eastAsia" w:ascii="仿宋_GB2312" w:hAnsi="仿宋_GB2312" w:eastAsia="仿宋_GB2312" w:cs="仿宋_GB2312"/>
          <w:color w:val="000000"/>
          <w:sz w:val="28"/>
          <w:szCs w:val="28"/>
          <w:highlight w:val="none"/>
          <w:lang w:val="en-US" w:eastAsia="zh-CN"/>
        </w:rPr>
        <w:t>30000</w:t>
      </w:r>
      <w:r>
        <w:rPr>
          <w:rFonts w:hint="eastAsia" w:ascii="仿宋_GB2312" w:hAnsi="仿宋_GB2312" w:eastAsia="仿宋_GB2312" w:cs="仿宋_GB2312"/>
          <w:color w:val="000000"/>
          <w:sz w:val="28"/>
          <w:szCs w:val="28"/>
          <w:highlight w:val="none"/>
        </w:rPr>
        <w:t>】元/人次违约金并赔偿因此给甲方造成的损失（包括但不限于诉讼费、律师费、行政处罚等），乙方同意甲方在工程进度款中扣除，甲方有权单方解除合同。</w:t>
      </w:r>
    </w:p>
    <w:p w14:paraId="718F45AE">
      <w:pPr>
        <w:spacing w:line="480" w:lineRule="exact"/>
        <w:ind w:firstLine="560"/>
        <w:rPr>
          <w:rFonts w:ascii="Times New Roman" w:hAnsi="Times New Roman" w:eastAsia="仿宋_GB2312"/>
          <w:color w:val="000000"/>
          <w:sz w:val="28"/>
          <w:szCs w:val="28"/>
          <w:highlight w:val="none"/>
        </w:rPr>
      </w:pPr>
      <w:r>
        <w:rPr>
          <w:rFonts w:hint="eastAsia" w:ascii="仿宋_GB2312" w:hAnsi="仿宋_GB2312" w:eastAsia="仿宋_GB2312" w:cs="仿宋_GB2312"/>
          <w:color w:val="000000"/>
          <w:sz w:val="28"/>
          <w:szCs w:val="28"/>
          <w:highlight w:val="none"/>
        </w:rPr>
        <w:t>意外伤害保险缴纳后，乙方须将保单原件扫描并加盖公章后交甲方留存；乙方为每位劳务工人提供的意外伤害保险保额不得低于50万元。如乙方未购买保险的，甲方有权代为购买，并</w:t>
      </w:r>
      <w:r>
        <w:rPr>
          <w:rFonts w:hint="eastAsia" w:ascii="Times New Roman" w:hAnsi="Times New Roman" w:eastAsia="仿宋_GB2312"/>
          <w:color w:val="000000"/>
          <w:sz w:val="28"/>
          <w:szCs w:val="28"/>
          <w:highlight w:val="none"/>
        </w:rPr>
        <w:t>在进度款中扣除相关费用。</w:t>
      </w:r>
    </w:p>
    <w:p w14:paraId="01B80D2E">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4.2 支付分包作业人员工资</w:t>
      </w:r>
    </w:p>
    <w:p w14:paraId="55158315">
      <w:pPr>
        <w:spacing w:line="480" w:lineRule="exact"/>
        <w:ind w:firstLine="560"/>
        <w:rPr>
          <w:rFonts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rPr>
        <w:t>乙方必须严格执行甲方的门禁制度，为每个劳务工人办理门禁卡（人脸识别），每次进出施工现场刷卡/刷脸考勤。乙方在支付工人工资时，应以甲方门禁系统考核结果作为依据编制表格，发放工资。乙方应当依据劳动合同每月按时足额支付分包作业人员工资并支付法定社会保险，分包作业人员工资不得低于工程所在地最低工资标准，并于收到甲方支付的工程款后10日内向甲方提供支付劳务工人工资的回执单。否则，甲方有权暂停支付乙方工程款。</w:t>
      </w:r>
    </w:p>
    <w:p w14:paraId="08878399">
      <w:pPr>
        <w:spacing w:line="480" w:lineRule="exact"/>
        <w:ind w:firstLine="560"/>
        <w:rPr>
          <w:rFonts w:hint="eastAsia" w:ascii="仿宋_GB2312" w:hAnsi="仿宋_GB2312" w:eastAsia="仿宋_GB2312" w:cs="仿宋_GB2312"/>
          <w:color w:val="000000"/>
          <w:sz w:val="28"/>
          <w:szCs w:val="28"/>
          <w:highlight w:val="none"/>
        </w:rPr>
      </w:pPr>
      <w:r>
        <w:rPr>
          <w:rFonts w:hint="eastAsia" w:ascii="Times New Roman" w:hAnsi="Times New Roman" w:eastAsia="仿宋_GB2312"/>
          <w:color w:val="000000"/>
          <w:sz w:val="28"/>
          <w:szCs w:val="28"/>
          <w:highlight w:val="none"/>
        </w:rPr>
        <w:t>如乙方未按照约定及时支付分包作业人员工资，出现经济纠纷事件，干扰甲方正常工作，乙方应及时解决。经甲方催告（包括口头催告）后半天内仍不履行义务，在第三方证明或相关政府部门要求下甲方可行使特别付款权，使用未付工程款代乙方支付工人工资。乙方同意支付金额参照甲方考勤记录和工资标准。甲方可通过银行打入工人工资卡或者现场以现金方式支付。乙方认可银行打款记录或者现场领取签字记录作为甲方代付依据。如甲方代付的金额超出本合同项下甲方应付乙方的工程款，甲方有权从其与乙方签订的其他经济类合同项下</w:t>
      </w:r>
      <w:r>
        <w:rPr>
          <w:rFonts w:hint="eastAsia" w:ascii="仿宋_GB2312" w:hAnsi="仿宋_GB2312" w:eastAsia="仿宋_GB2312" w:cs="仿宋_GB2312"/>
          <w:color w:val="000000"/>
          <w:sz w:val="28"/>
          <w:szCs w:val="28"/>
          <w:highlight w:val="none"/>
        </w:rPr>
        <w:t>的应付款项中直接扣除，乙方不得提出任何异议。</w:t>
      </w:r>
    </w:p>
    <w:p w14:paraId="522DA687">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乙方未如期支付分包作业人员工资及法定社会保险费用，导致分包作业人员投诉、上访或引发纠纷的或影响甲方及甲方项目正常工作的，甲方可单方面解除合同，同时乙方承担【</w:t>
      </w:r>
      <w:r>
        <w:rPr>
          <w:rFonts w:hint="eastAsia" w:ascii="仿宋_GB2312" w:hAnsi="仿宋_GB2312" w:eastAsia="仿宋_GB2312" w:cs="仿宋_GB2312"/>
          <w:color w:val="000000"/>
          <w:sz w:val="28"/>
          <w:szCs w:val="28"/>
          <w:highlight w:val="none"/>
          <w:lang w:val="en-US" w:eastAsia="zh-CN"/>
        </w:rPr>
        <w:t>20000</w:t>
      </w:r>
      <w:r>
        <w:rPr>
          <w:rFonts w:hint="eastAsia" w:ascii="仿宋_GB2312" w:hAnsi="仿宋_GB2312" w:eastAsia="仿宋_GB2312" w:cs="仿宋_GB2312"/>
          <w:color w:val="000000"/>
          <w:sz w:val="28"/>
          <w:szCs w:val="28"/>
          <w:highlight w:val="none"/>
        </w:rPr>
        <w:t>】元/次的违约金，如果违约金不足以弥补甲方损失的，乙方还应承担赔偿责任。</w:t>
      </w:r>
    </w:p>
    <w:p w14:paraId="314790E1">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 xml:space="preserve">4.3 分包作业人员管理 </w:t>
      </w:r>
    </w:p>
    <w:p w14:paraId="20CBB1F9">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4.3.1 乙方应当根据甲方编制的施工组织设计，编制与施工组织设计相适应的劳动力安排计划，劳动力安排计划应当包括分包作业人员数量、工种、进场时间、退场时间以及劳务费支付计划等，劳动力安排计划应当经甲方批准后实施。</w:t>
      </w:r>
    </w:p>
    <w:p w14:paraId="61C847D5">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4.3.2 乙方应当组织具有相应资格证书和符合本合同分包作业要求的分包作业人员投入工作。</w:t>
      </w:r>
    </w:p>
    <w:p w14:paraId="4704E4A9">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4.3.3 甲方有权随时检查分包作业人员的有效证件及持证上岗情况。特种作业人员必须按照有关规定取得相应职业资格证书，并保证人证合一，否则甲方有权禁止未获得相应资格证书的特种作业人员进入分包作业现场，并对乙方处以【</w:t>
      </w:r>
      <w:r>
        <w:rPr>
          <w:rFonts w:hint="eastAsia" w:ascii="仿宋_GB2312" w:hAnsi="仿宋_GB2312" w:eastAsia="仿宋_GB2312" w:cs="仿宋_GB2312"/>
          <w:color w:val="000000"/>
          <w:sz w:val="28"/>
          <w:szCs w:val="28"/>
          <w:highlight w:val="none"/>
          <w:lang w:val="en-US" w:eastAsia="zh-CN"/>
        </w:rPr>
        <w:t>5000</w:t>
      </w:r>
      <w:r>
        <w:rPr>
          <w:rFonts w:hint="eastAsia" w:ascii="仿宋_GB2312" w:hAnsi="仿宋_GB2312" w:eastAsia="仿宋_GB2312" w:cs="仿宋_GB2312"/>
          <w:color w:val="000000"/>
          <w:sz w:val="28"/>
          <w:szCs w:val="28"/>
          <w:highlight w:val="none"/>
        </w:rPr>
        <w:t>】元/人次惩罚性违约金。</w:t>
      </w:r>
    </w:p>
    <w:p w14:paraId="76BAD607">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4.3.4 甲方要求撤换违章作业的分包作业人员时，乙方应当立即撤换。乙方无正当理由拒绝撤换的，应承担违约金【</w:t>
      </w:r>
      <w:r>
        <w:rPr>
          <w:rFonts w:hint="eastAsia" w:ascii="仿宋_GB2312" w:hAnsi="仿宋_GB2312" w:eastAsia="仿宋_GB2312" w:cs="仿宋_GB2312"/>
          <w:color w:val="000000"/>
          <w:sz w:val="28"/>
          <w:szCs w:val="28"/>
          <w:highlight w:val="none"/>
          <w:lang w:val="en-US" w:eastAsia="zh-CN"/>
        </w:rPr>
        <w:t>2000</w:t>
      </w:r>
      <w:r>
        <w:rPr>
          <w:rFonts w:hint="eastAsia" w:ascii="仿宋_GB2312" w:hAnsi="仿宋_GB2312" w:eastAsia="仿宋_GB2312" w:cs="仿宋_GB2312"/>
          <w:color w:val="000000"/>
          <w:sz w:val="28"/>
          <w:szCs w:val="28"/>
          <w:highlight w:val="none"/>
        </w:rPr>
        <w:t>】元/人次。</w:t>
      </w:r>
    </w:p>
    <w:p w14:paraId="5FFA6696">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4.3.5 乙方应当对分包作业人员进行实名制管理，包括但不限于进出场管理、登记造册管理、工资支付管理以及各种证照的办理。乙方在进场前提供所有人员花名册，并提供：身份证、暂住证、健康证、上岗证等复印件，其费用由乙方自行承担。</w:t>
      </w:r>
    </w:p>
    <w:p w14:paraId="2757FD06">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4.3.6 乙方加强劳务用工管理，执行工程所在地建筑企业用工的有关规定。</w:t>
      </w:r>
    </w:p>
    <w:p w14:paraId="4AB96CD6">
      <w:pPr>
        <w:spacing w:line="480" w:lineRule="exact"/>
        <w:ind w:firstLine="560"/>
        <w:rPr>
          <w:rFonts w:ascii="Times New Roman" w:hAnsi="Times New Roman" w:eastAsia="仿宋_GB2312"/>
          <w:color w:val="000000"/>
          <w:sz w:val="28"/>
          <w:szCs w:val="28"/>
          <w:highlight w:val="none"/>
        </w:rPr>
      </w:pPr>
      <w:r>
        <w:rPr>
          <w:rFonts w:hint="eastAsia" w:ascii="仿宋_GB2312" w:hAnsi="仿宋_GB2312" w:eastAsia="仿宋_GB2312" w:cs="仿宋_GB2312"/>
          <w:color w:val="000000"/>
          <w:sz w:val="28"/>
          <w:szCs w:val="28"/>
          <w:highlight w:val="none"/>
        </w:rPr>
        <w:t>4.3.7 乙方任何危险作业活动必须经甲方批准后方准实施。</w:t>
      </w:r>
    </w:p>
    <w:p w14:paraId="634839D3">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5. 作业安全与环境保护</w:t>
      </w:r>
    </w:p>
    <w:p w14:paraId="674735B6">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5.1 作业安全</w:t>
      </w:r>
    </w:p>
    <w:p w14:paraId="19E4DFBE">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5.1.1 乙方应按照建质〔2008〕91号文件规定配备专职安全管理人员，现场施工人员在50人以下的，应当配备1名专职安全生产管理人员；50人-200人的，应当配备2名专职安全生产管理人员；200人及以上的，应当配备3名及以上专职安全生产管理人员，并根据所承担的分部分项工程施工危险实际情况增加，不得少于工程施工人员总人数的5‰。（专业承包单位应当配置至少1人，并根据所承担的分部分项工程的工程量和施工危险程度增加）。</w:t>
      </w:r>
    </w:p>
    <w:p w14:paraId="25572DC1">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专职安全管理人员配备不足的，限【3】日内改正，逾期没有改正的，每缺少1人，每天承担违约金【</w:t>
      </w:r>
      <w:r>
        <w:rPr>
          <w:rFonts w:hint="eastAsia" w:ascii="仿宋_GB2312" w:hAnsi="仿宋_GB2312" w:eastAsia="仿宋_GB2312" w:cs="仿宋_GB2312"/>
          <w:color w:val="000000"/>
          <w:sz w:val="28"/>
          <w:szCs w:val="28"/>
          <w:highlight w:val="none"/>
          <w:lang w:val="en-US" w:eastAsia="zh-CN"/>
        </w:rPr>
        <w:t>1000</w:t>
      </w:r>
      <w:r>
        <w:rPr>
          <w:rFonts w:hint="eastAsia" w:ascii="仿宋_GB2312" w:hAnsi="仿宋_GB2312" w:eastAsia="仿宋_GB2312" w:cs="仿宋_GB2312"/>
          <w:color w:val="000000"/>
          <w:sz w:val="28"/>
          <w:szCs w:val="28"/>
          <w:highlight w:val="none"/>
        </w:rPr>
        <w:t>】元；甲方、乙方专职安全管理人员集中办公，办公地点由甲方指定，甲方每月对乙方专职安全管理人员到岗情况及工作质量进行考核，缺勤费用及违约金从当月工程报量中予以扣除。</w:t>
      </w:r>
    </w:p>
    <w:p w14:paraId="640609AA">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5.1.2 乙方应明确拒绝甲方违反工程建设安全生产有关管理规定的指示。</w:t>
      </w:r>
    </w:p>
    <w:p w14:paraId="095FFB0F">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5.1.3 乙方应遵守工程建设安全生产有关管理规定，严格按安全标准进行作业，并随时接受行业安全检查人员依法实施的监督检查，采取必要的安全防护措施，消除事故隐患。</w:t>
      </w:r>
    </w:p>
    <w:p w14:paraId="210FF453">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5.1.4 乙方应遵守国家现行的《中华人民共和国安全生产法》《中华人民共和国建筑法》《中华人民共和国劳动法》《安全生产许可证条例》《建设工程安全生产管理条例》等有关安全生产的法律法规，严格执行《建筑安全施工检查标准》JGJ59—2011等标准、规程、规范。</w:t>
      </w:r>
    </w:p>
    <w:p w14:paraId="680F2CD1">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5.1.5 乙方必须接受甲方管理人员对施工现场安全生产的指导、监督，服从甲方管理人员的指挥。</w:t>
      </w:r>
    </w:p>
    <w:p w14:paraId="126F36E2">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5.1.6 乙方应配合甲方建立安全保证体系。</w:t>
      </w:r>
    </w:p>
    <w:p w14:paraId="7B16D23B">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5.1.7 乙方应在所招用农民工进场前组织对农民工的进场的三级安全教育，教育内容不限于安全生产教育、合理合法维权方法及上述有关内容，要积极组织相关考试，并将教育情况、考试情况录入劳务实名制管理平台，并配合甲方项目部做好入场教育。</w:t>
      </w:r>
    </w:p>
    <w:p w14:paraId="6DB28A31">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乙方每日进入施工现场前，必须进行班前教育。</w:t>
      </w:r>
    </w:p>
    <w:p w14:paraId="3930E891">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乙方应接受甲方对安全教育的监督，并配合甲方自行组织的教育活动开展。</w:t>
      </w:r>
    </w:p>
    <w:p w14:paraId="2470A6A4">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乙方班组长应参加甲方组织的周安全教育和警示教育。</w:t>
      </w:r>
    </w:p>
    <w:p w14:paraId="0B56A049">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5.1.8 乙方随时接受并配合甲方对安全措施落实执行情况的检查、并按照甲方要求对检查出的问题进行整改，落实到人。</w:t>
      </w:r>
    </w:p>
    <w:p w14:paraId="2A148C32">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5.1.9 乙方要配合甲方落实好“进入施工现场必须佩戴安全帽”，可能涉及高处作业人员应佩戴安全带、每日组织班前安全教育活动、“行为安全之星”评选等管理制度或措施。</w:t>
      </w:r>
    </w:p>
    <w:p w14:paraId="41733D80">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5.1.10 乙方需严格落实十项“零容忍”安全隐患及其他相关安全管理制度。严格按照甲方关于重大危险源管控的相关要求，遵守重大危险源管控流程，做好危险源日常管理。</w:t>
      </w:r>
    </w:p>
    <w:p w14:paraId="22E55425">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5.1.11 若乙方未执行5.1.2-5.1.10的任一约定，每发现一次乙方需向甲方支付【</w:t>
      </w:r>
      <w:r>
        <w:rPr>
          <w:rFonts w:hint="eastAsia" w:ascii="仿宋_GB2312" w:hAnsi="仿宋_GB2312" w:eastAsia="仿宋_GB2312" w:cs="仿宋_GB2312"/>
          <w:color w:val="000000"/>
          <w:sz w:val="28"/>
          <w:szCs w:val="28"/>
          <w:highlight w:val="none"/>
          <w:lang w:val="en-US" w:eastAsia="zh-CN"/>
        </w:rPr>
        <w:t>1000</w:t>
      </w:r>
      <w:r>
        <w:rPr>
          <w:rFonts w:hint="eastAsia" w:ascii="仿宋_GB2312" w:hAnsi="仿宋_GB2312" w:eastAsia="仿宋_GB2312" w:cs="仿宋_GB2312"/>
          <w:color w:val="000000"/>
          <w:sz w:val="28"/>
          <w:szCs w:val="28"/>
          <w:highlight w:val="none"/>
        </w:rPr>
        <w:t>】元惩罚性违约金。</w:t>
      </w:r>
    </w:p>
    <w:p w14:paraId="42206D5A">
      <w:pPr>
        <w:spacing w:line="480" w:lineRule="exact"/>
        <w:ind w:firstLine="560"/>
        <w:rPr>
          <w:rFonts w:ascii="Times New Roman" w:hAnsi="Times New Roman" w:eastAsia="仿宋_GB2312"/>
          <w:color w:val="000000"/>
          <w:sz w:val="28"/>
          <w:szCs w:val="28"/>
          <w:highlight w:val="none"/>
        </w:rPr>
      </w:pPr>
      <w:r>
        <w:rPr>
          <w:rFonts w:hint="eastAsia" w:ascii="仿宋_GB2312" w:hAnsi="仿宋_GB2312" w:eastAsia="仿宋_GB2312" w:cs="仿宋_GB2312"/>
          <w:color w:val="000000"/>
          <w:sz w:val="28"/>
          <w:szCs w:val="28"/>
          <w:highlight w:val="none"/>
        </w:rPr>
        <w:t>5.1.12 如在本工程中发生安全事故，应立即向甲方报告，并做出书面记录或影像资料，重大事故按规定上报有关部门，如因乙方未及时报告，导致甲方被行政部门问责或被连带起诉，每发生一次乙方需向甲方支付违约金【</w:t>
      </w:r>
      <w:r>
        <w:rPr>
          <w:rFonts w:hint="eastAsia" w:ascii="仿宋_GB2312" w:hAnsi="仿宋_GB2312" w:eastAsia="仿宋_GB2312" w:cs="仿宋_GB2312"/>
          <w:color w:val="000000"/>
          <w:sz w:val="28"/>
          <w:szCs w:val="28"/>
          <w:highlight w:val="none"/>
          <w:lang w:val="en-US" w:eastAsia="zh-CN"/>
        </w:rPr>
        <w:t>50000</w:t>
      </w:r>
      <w:r>
        <w:rPr>
          <w:rFonts w:hint="eastAsia" w:ascii="仿宋_GB2312" w:hAnsi="仿宋_GB2312" w:eastAsia="仿宋_GB2312" w:cs="仿宋_GB2312"/>
          <w:color w:val="000000"/>
          <w:sz w:val="28"/>
          <w:szCs w:val="28"/>
          <w:highlight w:val="none"/>
        </w:rPr>
        <w:t>】元。事故发生后，乙方应全力出人出资组织抢救，防止事态扩大，并支付抢救、医疗、赔偿金等相关费用，做好受害方安抚工作。若乙方不及时支付费用，在任何第三方证明下，甲方可先行垫付，该费用从应付款项中扣除。且每发生一次按垫付数额的【</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】倍向甲方支付违约金，如果违约金不足以弥补甲方损失的，乙方还应承担赔偿责任。</w:t>
      </w:r>
    </w:p>
    <w:p w14:paraId="1A2885C1">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5.2 职业健康</w:t>
      </w:r>
    </w:p>
    <w:p w14:paraId="27746FDA">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5.2.1 乙方应按法律规定安排分包作业人员的劳动和休息时间，保证其雇佣人员享有休息和休假的权利。</w:t>
      </w:r>
    </w:p>
    <w:p w14:paraId="3ECA3AA4">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5.2.2 如果甲方提供住宿，则甲方应为乙方雇用的分包作业人员提供必要的临建板房。甲方应按工程所在地行政管理机关的标准和要求对分包作业人员的宿舍和食堂进行管理。</w:t>
      </w:r>
    </w:p>
    <w:p w14:paraId="42AB38A9">
      <w:pPr>
        <w:spacing w:line="480" w:lineRule="exact"/>
        <w:ind w:firstLine="560"/>
        <w:rPr>
          <w:rFonts w:ascii="Times New Roman" w:hAnsi="Times New Roman" w:eastAsia="仿宋_GB2312"/>
          <w:color w:val="000000"/>
          <w:sz w:val="28"/>
          <w:szCs w:val="28"/>
          <w:highlight w:val="none"/>
        </w:rPr>
      </w:pPr>
      <w:r>
        <w:rPr>
          <w:rFonts w:hint="eastAsia" w:ascii="仿宋_GB2312" w:hAnsi="仿宋_GB2312" w:eastAsia="仿宋_GB2312" w:cs="仿宋_GB2312"/>
          <w:color w:val="000000"/>
          <w:sz w:val="28"/>
          <w:szCs w:val="28"/>
          <w:highlight w:val="none"/>
        </w:rPr>
        <w:t>5.2.3 乙方应按照行政管理机关的要求为外来务工人员办理暂住证等一切所需证件。</w:t>
      </w:r>
    </w:p>
    <w:p w14:paraId="3B0EF03F">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5.3 环境保护</w:t>
      </w:r>
    </w:p>
    <w:p w14:paraId="79F02B50">
      <w:pPr>
        <w:spacing w:line="480" w:lineRule="exact"/>
        <w:ind w:firstLine="560"/>
        <w:rPr>
          <w:rFonts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rPr>
        <w:t>在合同履行期间，乙方应采取合理措施保护分包作业现场环境。对分包作业过程中可能引起的大气、水、噪音以及固体废物等污染采取具体可行的防范措施，确保符合甲方的环境管理体系目标和要求。乙方应当遵守甲方关于分包作业现场环境保护的要求。</w:t>
      </w:r>
    </w:p>
    <w:p w14:paraId="1381AC13">
      <w:pPr>
        <w:spacing w:line="480" w:lineRule="exact"/>
        <w:ind w:firstLine="560"/>
        <w:rPr>
          <w:rFonts w:ascii="Times New Roman" w:hAnsi="Times New Roman" w:eastAsia="仿宋_GB2312"/>
          <w:color w:val="000000"/>
          <w:sz w:val="28"/>
          <w:szCs w:val="28"/>
          <w:highlight w:val="none"/>
        </w:rPr>
      </w:pPr>
      <w:r>
        <w:rPr>
          <w:rFonts w:hint="eastAsia" w:ascii="Times New Roman" w:hAnsi="Times New Roman" w:eastAsia="仿宋_GB2312"/>
          <w:color w:val="000000"/>
          <w:sz w:val="28"/>
          <w:szCs w:val="28"/>
          <w:highlight w:val="none"/>
        </w:rPr>
        <w:t>乙方应承担因其原因引起的环境污染侵权损害赔偿责任，因上述环境污染引起纠纷而导致分包作业暂停的，由此增加的费用和（或）延误的工期由乙方承担。</w:t>
      </w:r>
    </w:p>
    <w:p w14:paraId="5CA60D2B">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5.4 文明施工</w:t>
      </w:r>
    </w:p>
    <w:p w14:paraId="785A4BB9">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乙方应严格执行建设主管部门及环保、环卫、消防等有关部门对施工现场管理的规定及甲方的有关管理制度和CI标化工地标准，确保现场管理达标，创造标化工地。</w:t>
      </w:r>
    </w:p>
    <w:p w14:paraId="2A6E589B">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（1）按甲方的统一规划搭设临时设施，分类整齐堆放材料、机具，挂牌标识。</w:t>
      </w:r>
    </w:p>
    <w:p w14:paraId="60EC720A">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（2）按标化工地要求完成场地硬化覆盖，设置标牌，做好现场美化，做到每天工完场清，保持现场整洁。</w:t>
      </w:r>
    </w:p>
    <w:p w14:paraId="54D5F691">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乙方进场后，派专人负责工作面及生活区卫生清理工作，并将垃圾清理装车运输到甲方指定位置满足甲方项目管理要求。否则，甲方有权安排其他人完成此项工作，相关费用由乙方承担。负责施工现场的垃圾清理、堆放、装车工作，做到工完场清。</w:t>
      </w:r>
    </w:p>
    <w:p w14:paraId="47328040">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（4）乙方施工现场人员服装，由甲方统一提供样式，或由甲方统一订制，费用由乙方承担。乙方应做好生活区管理，做好自身责任区的治安保卫工作。</w:t>
      </w:r>
    </w:p>
    <w:p w14:paraId="730031D6">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（5）按甲方要求设置消防设施，负责乙方材料加工区、堆场、动火作业现场等区域的消防设施的费用。乙方负责该消防设施的维护、保管，损坏照价赔偿。</w:t>
      </w:r>
    </w:p>
    <w:p w14:paraId="0A9FC6AA">
      <w:pPr>
        <w:spacing w:line="480" w:lineRule="exact"/>
        <w:ind w:firstLine="560"/>
        <w:rPr>
          <w:rFonts w:ascii="Times New Roman" w:hAnsi="Times New Roman" w:eastAsia="仿宋_GB2312"/>
          <w:color w:val="000000"/>
          <w:sz w:val="28"/>
          <w:szCs w:val="28"/>
          <w:highlight w:val="none"/>
        </w:rPr>
      </w:pPr>
      <w:r>
        <w:rPr>
          <w:rFonts w:hint="eastAsia" w:ascii="仿宋_GB2312" w:hAnsi="仿宋_GB2312" w:eastAsia="仿宋_GB2312" w:cs="仿宋_GB2312"/>
          <w:color w:val="000000"/>
          <w:sz w:val="28"/>
          <w:szCs w:val="28"/>
          <w:highlight w:val="none"/>
        </w:rPr>
        <w:t>（6）因乙方原因文明施工、标化工地达不到要求，甲方有权要求乙方赔偿全部损失，并从乙方进度款中扣除安全文明施工费。</w:t>
      </w:r>
    </w:p>
    <w:p w14:paraId="7A0FEF7B">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5.5 绿色施工</w:t>
      </w:r>
    </w:p>
    <w:p w14:paraId="2FF48A56">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乙方必须遵守国家、当地政府部门的有关绿色施工的规定、标准和要求，定期对自有管理人员及劳务工人进行绿色施工法规、技术知识培训等，并接受相关单位的监督管理。</w:t>
      </w:r>
    </w:p>
    <w:p w14:paraId="55FA1DFC">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乙方应按照相关行政管理规定，建立绿色施工组织架构和绿色施工管理体系，设专人负责绿色施工管理工作，责任落实到人，并保证有效运行，真正做到“四节一环保”即：节水、节能、节地、节材和环境保护。</w:t>
      </w:r>
    </w:p>
    <w:p w14:paraId="35FEE414">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（1）建筑余料应合理使用：施工现场建筑余料要合理利用，如混凝土用于制作路牙石，预制过梁等，钢筋制作马镫，定位筋等；</w:t>
      </w:r>
    </w:p>
    <w:p w14:paraId="3796525C">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（2）板材、块材等下脚料和撒落混凝土及砂浆应科学利用：下脚料等分规格后合理进行利用；</w:t>
      </w:r>
    </w:p>
    <w:p w14:paraId="6442BB36">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（3）混凝土养护和砂浆搅拌用水应合理，应有节水措施：混凝土养护宜采用覆膜养护或喷雾养护等节水措施；</w:t>
      </w:r>
    </w:p>
    <w:p w14:paraId="75A70F52">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（4）管网和用水器具不应有渗漏：对管网及用水器具要定期进行检查维修；</w:t>
      </w:r>
    </w:p>
    <w:p w14:paraId="300CB3DE">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（5）对施工现场的生产、生活、办公和主要耗能施工设备应设有节能的控制措施：主要耗能设备要有自动控制等相关控制措施，避免造成能源浪费；</w:t>
      </w:r>
    </w:p>
    <w:p w14:paraId="0F9A17DD">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（6）国家、行业、地方政府明令淘汰的施工设备、机具和产品不应使用：施工现场严禁使用国家明令淘汰的用能设备及生产工艺；</w:t>
      </w:r>
    </w:p>
    <w:p w14:paraId="3CE09699">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（7）应采用节能型设施：现场临电设备、小型机具、照明灯具等应采用带有国家能源效率标识的产品；</w:t>
      </w:r>
    </w:p>
    <w:p w14:paraId="361DBE93">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（8）临时用电应设置合理，管理制度应齐全并应落实到位：施工现场临时用电要规范，制定相关管理制度，有专人负责；</w:t>
      </w:r>
    </w:p>
    <w:p w14:paraId="1B31B81E">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（9）应采用能源利用效率高的施工机械设备：现场施工应选用功率与负载相匹配的施工机械设备；</w:t>
      </w:r>
    </w:p>
    <w:p w14:paraId="19155B3D">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（10）施工机具资源应共享：合理进行施工平面布置，塔吊、加工厂等要充分考虑多区域共同利用；</w:t>
      </w:r>
    </w:p>
    <w:p w14:paraId="61CE4DDF">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（11）应定期监控重点耗能设备的能源利用情况，并有记录：塔吊、施工电梯等重点耗能设备要单独安装电表；</w:t>
      </w:r>
    </w:p>
    <w:p w14:paraId="5DFB649B">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（12）建筑材料的选用应缩短运输距离，减少能源消耗：500km以内的建筑材料用量占施工使用的建筑材料总重量的70%以上；</w:t>
      </w:r>
    </w:p>
    <w:p w14:paraId="01F45A53">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（13）应采用能耗少的施工工艺：改进施工工艺，节能降耗。如采用逆作法等，降低扬尘及噪音、减少材料消耗、避免使用大型设备能源；</w:t>
      </w:r>
    </w:p>
    <w:p w14:paraId="07027C4E">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（14）应合理安排施工工序和施工进度：在既定施工目标条件下，做到均衡施工、流水施工。特别要避免突击赶工期造成的无序施工、人力物力财力浪费等现象。</w:t>
      </w:r>
    </w:p>
    <w:p w14:paraId="200431ED">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6. 作业期限及进度</w:t>
      </w:r>
    </w:p>
    <w:p w14:paraId="2589A40F">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6.1 分包作业方案</w:t>
      </w:r>
    </w:p>
    <w:p w14:paraId="39CA8A53">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6.1.1 甲方负责编制施工组织设计，在分包作业过程中，施工组织设计修订的，甲方应及时通知乙方。</w:t>
      </w:r>
    </w:p>
    <w:p w14:paraId="1F4464A4">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6.1.2 乙方应当根据甲方要求及施工组织设计，编制及修订分包作业方案，分包作业方案应包括施工安排、施工进度计划、施工准备与资源配置计划、施工方法及工艺技术、各项管理计划（绿色施工、进度、质量、安全、成品保护等）、应急预案等。乙方应于开工前【7】天提供分包作业方案。如乙方未按甲方要求提供作业方案，甲方有权暂停支付进度款。</w:t>
      </w:r>
    </w:p>
    <w:p w14:paraId="21D98446">
      <w:pPr>
        <w:spacing w:line="480" w:lineRule="exact"/>
        <w:ind w:firstLine="562"/>
        <w:rPr>
          <w:rFonts w:ascii="Times New Roman" w:hAnsi="Times New Roman" w:eastAsia="仿宋_GB2312"/>
          <w:color w:val="000000"/>
          <w:sz w:val="28"/>
          <w:szCs w:val="28"/>
          <w:highlight w:val="none"/>
        </w:rPr>
      </w:pPr>
      <w:r>
        <w:rPr>
          <w:rFonts w:hint="eastAsia" w:ascii="黑体" w:hAnsi="黑体" w:eastAsia="黑体" w:cs="黑体"/>
          <w:b/>
          <w:bCs w:val="0"/>
          <w:color w:val="000000"/>
          <w:sz w:val="28"/>
          <w:szCs w:val="28"/>
          <w:highlight w:val="none"/>
        </w:rPr>
        <w:t>6.2 开始工作</w:t>
      </w:r>
    </w:p>
    <w:p w14:paraId="3D6D83EC">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6.2.1 分包作业准备</w:t>
      </w:r>
    </w:p>
    <w:p w14:paraId="20412C4C">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合同当事人应按约定完成如下分包作业准备工作：</w:t>
      </w:r>
    </w:p>
    <w:p w14:paraId="352753B8">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（1）甲方负责工程测量定位、沉降观测、技术交底，组织图纸会审。</w:t>
      </w:r>
    </w:p>
    <w:p w14:paraId="66456175">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（2）乙方应根据施工组织设计及分包作业方案，组织分包作业人员。</w:t>
      </w:r>
    </w:p>
    <w:p w14:paraId="1CE14486">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6.2.2 分包作业通知</w:t>
      </w:r>
    </w:p>
    <w:p w14:paraId="3445AD2E">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合同当事人应按照法律规定和合同约定获得分包作业所需的许可。甲方应在计划开始工作日期【7】天前向乙方发出分包作业通知，作业期限自分包作业通知中载明的开始工作日期起算。</w:t>
      </w:r>
    </w:p>
    <w:p w14:paraId="57B059FB">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6.3 作业期限延误</w:t>
      </w:r>
    </w:p>
    <w:p w14:paraId="66CDD4FD">
      <w:pPr>
        <w:spacing w:line="480" w:lineRule="exact"/>
        <w:ind w:firstLine="56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6.3.1 工期顺延</w:t>
      </w:r>
    </w:p>
    <w:p w14:paraId="6D15239D">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合同履行期间，因下列原因之一造成工期延误的，乙方有权要求工期相应顺延：</w:t>
      </w:r>
    </w:p>
    <w:p w14:paraId="7969465D">
      <w:pPr>
        <w:spacing w:line="480" w:lineRule="exact"/>
        <w:ind w:firstLine="56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（1）建设单位书面认可的工期延误；</w:t>
      </w:r>
    </w:p>
    <w:p w14:paraId="65F749D5">
      <w:pPr>
        <w:spacing w:line="480" w:lineRule="exact"/>
        <w:ind w:firstLine="560"/>
        <w:rPr>
          <w:rFonts w:hint="eastAsia" w:ascii="仿宋_GB2312" w:hAnsi="仿宋_GB2312" w:eastAsia="仿宋_GB2312" w:cs="仿宋_GB2312"/>
          <w:color w:val="C00000"/>
          <w:sz w:val="28"/>
          <w:szCs w:val="28"/>
          <w:highlight w:val="none"/>
        </w:rPr>
      </w:pPr>
      <w:r>
        <w:rPr>
          <w:rFonts w:hint="eastAsia" w:ascii="仿宋_GB2312" w:hAnsi="仿宋_GB2312" w:eastAsia="仿宋_GB2312" w:cs="仿宋_GB2312"/>
          <w:color w:val="000000"/>
          <w:sz w:val="28"/>
          <w:szCs w:val="28"/>
          <w:highlight w:val="none"/>
        </w:rPr>
        <w:t>（2）因不可抗力或甲方原因导致乙方不能正常施工，并经甲方【</w:t>
      </w:r>
      <w:r>
        <w:rPr>
          <w:rFonts w:hint="eastAsia" w:ascii="仿宋_GB2312" w:hAnsi="仿宋_GB2312" w:eastAsia="仿宋_GB2312" w:cs="仿宋_GB2312"/>
          <w:color w:val="auto"/>
          <w:sz w:val="28"/>
          <w:szCs w:val="28"/>
          <w:highlight w:val="none"/>
        </w:rPr>
        <w:t>项目经理、项目总工、项目生产经理、项目商务经理</w:t>
      </w:r>
      <w:r>
        <w:rPr>
          <w:rFonts w:hint="eastAsia" w:ascii="仿宋_GB2312" w:hAnsi="仿宋_GB2312" w:eastAsia="仿宋_GB2312" w:cs="仿宋_GB2312"/>
          <w:color w:val="000000"/>
          <w:sz w:val="28"/>
          <w:szCs w:val="28"/>
          <w:highlight w:val="none"/>
        </w:rPr>
        <w:t>】共同书面确认。</w:t>
      </w:r>
    </w:p>
    <w:p w14:paraId="26391B24">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6.3.2 工期顺延的申请</w:t>
      </w:r>
    </w:p>
    <w:p w14:paraId="03D5F439">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当第6.3.1款所述事件发生后，乙方应在【5】日内以书面形式向甲方提交要求延期的通知，并在前述事件结束后【5】日内提交详细报告。逾期未提交要求延期的通知或详细报告，则视为乙方放弃索赔工期的权利。</w:t>
      </w:r>
    </w:p>
    <w:p w14:paraId="4D3F044E">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甲方应在收到乙方发出要求延期的通知或提交详细报告后的【14】日内，要求乙方进一步补充顺延工期的资料或确认顺延工期的天数。若乙方未在【5】日内补充要求的资料，则视为乙方放弃索赔工期的权利。</w:t>
      </w:r>
    </w:p>
    <w:p w14:paraId="3E2F535A">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6.3.3 节点工期</w:t>
      </w:r>
    </w:p>
    <w:p w14:paraId="672C6AA7">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甲方根据合同约定工期编制节点工期，乙方必须严格按照甲方制定的节点工期要求组织施工，甲乙双方在合同中约定工程节点工期。</w:t>
      </w:r>
    </w:p>
    <w:p w14:paraId="368A4668">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6.3.4 因甲方原因导致作业期限延误</w:t>
      </w:r>
    </w:p>
    <w:p w14:paraId="052C886B">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因甲方原因未按计划开始工作日期开始工作的，甲方应按实际开始工作日期顺延作业期限，确保实际作业期限不低于合同约定的作业总日历天数。</w:t>
      </w:r>
    </w:p>
    <w:p w14:paraId="2E37F9B3">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6.3.5 因乙方原因导致作业期限延误</w:t>
      </w:r>
    </w:p>
    <w:p w14:paraId="2575D8F3">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因乙方原因造成节点工期或者分包合同工期延误的，乙方承担签约合同价【</w:t>
      </w:r>
      <w:r>
        <w:rPr>
          <w:rFonts w:hint="eastAsia" w:ascii="仿宋_GB2312" w:hAnsi="仿宋_GB2312" w:eastAsia="仿宋_GB2312" w:cs="仿宋_GB2312"/>
          <w:sz w:val="28"/>
          <w:szCs w:val="28"/>
          <w:highlight w:val="none"/>
          <w:lang w:val="en-US" w:eastAsia="zh-CN"/>
        </w:rPr>
        <w:t>0.2</w:t>
      </w:r>
      <w:r>
        <w:rPr>
          <w:rFonts w:hint="eastAsia" w:ascii="仿宋_GB2312" w:hAnsi="仿宋_GB2312" w:eastAsia="仿宋_GB2312" w:cs="仿宋_GB2312"/>
          <w:sz w:val="28"/>
          <w:szCs w:val="28"/>
          <w:highlight w:val="none"/>
        </w:rPr>
        <w:t>】%/天的逾期违约金，如发生节点工期延误，逾期违约金于当期进度款扣除，乙方采取赶工措施满足计划工期节点后，经甲方确认后返还。乙方支付逾期违约金后，不免除乙方继续完成分包作业及整改的义务。如果节点工期延误超过【</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】天或分包合同工期延误超过【</w:t>
      </w:r>
      <w:r>
        <w:rPr>
          <w:rFonts w:hint="eastAsia" w:ascii="仿宋_GB2312" w:hAnsi="仿宋_GB2312" w:eastAsia="仿宋_GB2312" w:cs="仿宋_GB2312"/>
          <w:sz w:val="28"/>
          <w:szCs w:val="28"/>
          <w:highlight w:val="none"/>
          <w:lang w:val="en-US" w:eastAsia="zh-CN"/>
        </w:rPr>
        <w:t>14</w:t>
      </w:r>
      <w:r>
        <w:rPr>
          <w:rFonts w:hint="eastAsia" w:ascii="仿宋_GB2312" w:hAnsi="仿宋_GB2312" w:eastAsia="仿宋_GB2312" w:cs="仿宋_GB2312"/>
          <w:sz w:val="28"/>
          <w:szCs w:val="28"/>
          <w:highlight w:val="none"/>
        </w:rPr>
        <w:t>】天，甲方有权单方解除合同，且乙方须向甲方支付签约合同价【</w:t>
      </w:r>
      <w:r>
        <w:rPr>
          <w:rFonts w:hint="eastAsia" w:ascii="仿宋_GB2312" w:hAnsi="仿宋_GB2312" w:eastAsia="仿宋_GB2312" w:cs="仿宋_GB2312"/>
          <w:sz w:val="28"/>
          <w:szCs w:val="28"/>
          <w:highlight w:val="none"/>
          <w:lang w:val="en-US" w:eastAsia="zh-CN"/>
        </w:rPr>
        <w:t>20</w:t>
      </w:r>
      <w:r>
        <w:rPr>
          <w:rFonts w:hint="eastAsia" w:ascii="仿宋_GB2312" w:hAnsi="仿宋_GB2312" w:eastAsia="仿宋_GB2312" w:cs="仿宋_GB2312"/>
          <w:sz w:val="28"/>
          <w:szCs w:val="28"/>
          <w:highlight w:val="none"/>
        </w:rPr>
        <w:t>】%的违约金。</w:t>
      </w:r>
    </w:p>
    <w:p w14:paraId="7E24CB38">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6.4 分包作业暂停</w:t>
      </w:r>
    </w:p>
    <w:p w14:paraId="7CD810C6">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由于政策变化、扬尘治理、不可抗力以及建设单位或甲乙双方原因等导致工程停建或缓建，使合同不能连续履行，乙方应妥善做好已完工程和已进场材料、设备的保护和移交工作，按甲方要求将自带机械和人员撤出施工现场；如需继续施工到安全部位的，乙方应按甲方指令将工程施工到安全部位。甲方应为乙方撤出现场提供必要的条件，及时做好已完工程的结算，并按合同约定支付已完工程款。</w:t>
      </w:r>
    </w:p>
    <w:p w14:paraId="1BAE50E1">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当工程具备复工条件时，甲方向乙方发出复工通知后，乙方应按照复工通知的要求复工，乙方应当无条件复工，超过【15】天乙方仍未复工的，甲方有权解除合同并要求乙方承担违约责任。</w:t>
      </w:r>
    </w:p>
    <w:p w14:paraId="45D6593A">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在乙方没有全面履行完此分包合同义务之前，甲方与建设单位合同解除，甲方应当及时通知乙方，乙方接到通知后应尽快与甲方协商，解除或调整分包合同的内容，乙方及时做好已完工程的结算。无法施工的剩余分包内容工程，乙方放弃主张可得利益等权利。</w:t>
      </w:r>
    </w:p>
    <w:p w14:paraId="2C594C17">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6.5 工作配合</w:t>
      </w:r>
    </w:p>
    <w:p w14:paraId="4E8CA798">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6.5.1 乙方按约定完成分包作业，必须由甲方或甲方的其他分包方配合时，甲方应配合乙方工作或协助乙方获得该其他分包方的配合。</w:t>
      </w:r>
    </w:p>
    <w:p w14:paraId="6F59FDA7">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6.5.2 甲方或甲方的其他分包方的工作必须由乙方配合时，乙方应按甲方的指示予以配合，否则由此造成的损失由乙方承担，并承担【</w:t>
      </w:r>
      <w:r>
        <w:rPr>
          <w:rFonts w:hint="eastAsia" w:ascii="仿宋_GB2312" w:hAnsi="仿宋_GB2312" w:eastAsia="仿宋_GB2312" w:cs="仿宋_GB2312"/>
          <w:sz w:val="28"/>
          <w:szCs w:val="28"/>
          <w:highlight w:val="none"/>
          <w:lang w:val="en-US" w:eastAsia="zh-CN"/>
        </w:rPr>
        <w:t>10000</w:t>
      </w:r>
      <w:r>
        <w:rPr>
          <w:rFonts w:hint="eastAsia" w:ascii="仿宋_GB2312" w:hAnsi="仿宋_GB2312" w:eastAsia="仿宋_GB2312" w:cs="仿宋_GB2312"/>
          <w:sz w:val="28"/>
          <w:szCs w:val="28"/>
          <w:highlight w:val="none"/>
        </w:rPr>
        <w:t>】元/次的违约金。</w:t>
      </w:r>
    </w:p>
    <w:p w14:paraId="4B8197A8">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7. 机具、设备及材料供应</w:t>
      </w:r>
    </w:p>
    <w:p w14:paraId="2256BC45">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7.1 机具、设备和材料供应计划</w:t>
      </w:r>
    </w:p>
    <w:p w14:paraId="332A8486">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7.1.1</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乙方应在收到甲方提供的施工组织设计之日起【14】天内，向甲方提交机具、设备、材料供应计划。供应计划经甲方确认后，乙方应按供应计划要求的品种、规格、型号、质量、数量和供应时间等组织货源并及时运入场地。</w:t>
      </w:r>
    </w:p>
    <w:p w14:paraId="598F109B">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7.1.</w:t>
      </w:r>
      <w:r>
        <w:rPr>
          <w:rFonts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rPr>
        <w:t xml:space="preserve"> 甲方提供的机具、设备应在安装调试完毕，确认运行良好后交付乙方使用，在进出场时，乙方必须参与验收。</w:t>
      </w:r>
    </w:p>
    <w:p w14:paraId="316214EB">
      <w:pPr>
        <w:spacing w:line="480" w:lineRule="exact"/>
        <w:ind w:firstLine="56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 xml:space="preserve">7.1.3 </w:t>
      </w:r>
      <w:r>
        <w:rPr>
          <w:rFonts w:hint="eastAsia" w:ascii="仿宋_GB2312" w:hAnsi="仿宋_GB2312" w:eastAsia="仿宋_GB2312" w:cs="仿宋_GB2312"/>
          <w:sz w:val="28"/>
          <w:szCs w:val="28"/>
          <w:highlight w:val="none"/>
        </w:rPr>
        <w:t>甲方提供的材料在进场时应由乙方负责验收，如材料的品种、规格、型号、质量、数量不符合要求，乙方应在验收时提出，否则，视为乙方认可甲方提供的材料符合要求，如果乙方再行提出其他要求，由此增加的费用和（或）延误的期限均由乙方承担。</w:t>
      </w:r>
    </w:p>
    <w:p w14:paraId="14EA6457">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7.2 大型机械、主要材料和周转性材料</w:t>
      </w:r>
    </w:p>
    <w:p w14:paraId="17ED81DC">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大型机械、主要材料和周转性材料供应具体详见协议书中约定。</w:t>
      </w:r>
    </w:p>
    <w:p w14:paraId="55739F67">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乙方材料验收人员需提供乙方单位的授权委托书，此委托书由甲方保存。</w:t>
      </w:r>
    </w:p>
    <w:p w14:paraId="139CD118">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供应的材料设备属甲方所有，只供本合同分包作业范围内工程专用，乙方不能挪作他用或擅自处理（包括边角余料）。施工节余材料，废旧材料、边角余料由乙方负责回收至指定地点，归甲方所有,若乙方不按照甲方要求送回至甲方指定地点，甲方将以采购价上浮【</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】%的价格调拨给乙方，或由乙方承担甲方自行收回所使用的机械、人工等费用。</w:t>
      </w:r>
    </w:p>
    <w:p w14:paraId="46A40538">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甲方供料由乙方按进度计划提前【20】天报材料进场计划，甲方按审定的计划供应。因计划不及时、不准确，造成乙方停工、窝工责任由乙方承担。</w:t>
      </w:r>
    </w:p>
    <w:p w14:paraId="47FDD7E8">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7.3 低值易耗材料和小型机械</w:t>
      </w:r>
    </w:p>
    <w:p w14:paraId="420EBEED">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低值易耗材料和小型机械供应，详见协议书中约定。除甲方供应外，分包作业所需的其他低值易耗零星材料及小型机械，均由乙方自行提供。</w:t>
      </w:r>
    </w:p>
    <w:p w14:paraId="5013DDE6">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7.4 乙方的保管义务</w:t>
      </w:r>
    </w:p>
    <w:p w14:paraId="061B29DC">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应妥善保管、合理使用甲方供应的机具、设备、材料，并接受甲方随时检查其机具、设备、材料的保管、使用情况，保管费用由乙方承担。因乙方保管不善、不合理使用造成机具、设备、材料丢失、损毁的，乙方应负责赔偿，并承担因此造成的作业期限延误等责任。</w:t>
      </w:r>
    </w:p>
    <w:p w14:paraId="4D721935">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7.5 甲方供应设备、材料的合理损耗</w:t>
      </w:r>
    </w:p>
    <w:p w14:paraId="13636DF1">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甲方提供设备及供应材料，乙方本合同约定损耗的范围内对设备、材料进行合理使用。超出约定损耗率范围之外的设备、材料用量，由乙方全部赔偿</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详见附件13：建筑安装工程主要物资损耗率控制目标清单</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，价格按甲方购买价格加价10%计取，在进度款中扣除。</w:t>
      </w:r>
    </w:p>
    <w:p w14:paraId="1F17285C">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8. 分包作业变化</w:t>
      </w:r>
    </w:p>
    <w:p w14:paraId="4D01A5E7">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8.1 分包作业变化的情形</w:t>
      </w:r>
    </w:p>
    <w:p w14:paraId="72D56F3A">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按照甲方发出的设计变更通知及有关要求，进行施工，未经甲方事先书面同意，乙方不得擅自调整分包作业范围。由乙方擅自变更或未按照甲方设计变更通知进行施工造成的费用增加和由此导致甲方的直接损失，由乙方承担，延误的工期不予顺延。</w:t>
      </w:r>
    </w:p>
    <w:p w14:paraId="6789F004">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8.2 分包作业变化的通知</w:t>
      </w:r>
    </w:p>
    <w:p w14:paraId="2AF91D07">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施工中如发生对原工作内容进行变更，甲方应提前【</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】天以书面形式向乙方发出变更通知，并提供变更的相应图纸和说明。</w:t>
      </w:r>
    </w:p>
    <w:p w14:paraId="613ECE44">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应依据自己的专业性提出合理化建议。乙方提出合理化建议的，应向甲方提交合理化建议说明，说明建议的内容、理由以及实施该建议对合同价格和工期的影响。甲方应在收到乙方的合理化建议后【7】天内审批完毕。合理化建议经甲方批准的，甲方应及时发出变更通知。</w:t>
      </w:r>
    </w:p>
    <w:p w14:paraId="06038778">
      <w:pPr>
        <w:spacing w:line="480" w:lineRule="exact"/>
        <w:ind w:firstLine="562"/>
        <w:jc w:val="left"/>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8.3 分包作业变化估价</w:t>
      </w:r>
    </w:p>
    <w:p w14:paraId="2DBDD263">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8.3.1 分包作业变化估价原则</w:t>
      </w:r>
    </w:p>
    <w:p w14:paraId="19798F02">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①已标价工程量清单或预算书有相同项目的，按照相同项目单价认定；</w:t>
      </w:r>
    </w:p>
    <w:p w14:paraId="2D6849EA">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②已标价工程量清单或预算书中无相同项目，但有类似项目的，参照类似项目的单价认定；</w:t>
      </w:r>
    </w:p>
    <w:p w14:paraId="57685CC2">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③合同中既无可执行的，又没有类似参照执行的，由乙方报送费用，甲方审核确认。</w:t>
      </w:r>
    </w:p>
    <w:p w14:paraId="3A312220">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8.3.2 分包作业变化估价程序</w:t>
      </w:r>
    </w:p>
    <w:p w14:paraId="0043E3FF">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当分包作业变化且合同中没有相应实物的合同单价或者其他原因造成需要办理经济签证时，严格按照甲方程序办理签证。</w:t>
      </w:r>
    </w:p>
    <w:p w14:paraId="4F5B5FF6">
      <w:pPr>
        <w:pageBreakBefore w:val="0"/>
        <w:widowControl/>
        <w:spacing w:line="480" w:lineRule="exact"/>
        <w:ind w:firstLine="560"/>
        <w:jc w:val="both"/>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（1）分包签证使用甲方分包签证管理流程进行审核审批，包括但不限于零星点工、零星工程、CI工程、零星机械使用、材料搬运卸货等。</w:t>
      </w:r>
    </w:p>
    <w:p w14:paraId="51E70C25">
      <w:pPr>
        <w:pageBreakBefore w:val="0"/>
        <w:widowControl/>
        <w:spacing w:line="480" w:lineRule="exact"/>
        <w:ind w:firstLine="56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（2）按照先审批指令单后施工的原则，分包签证必须下达指令单、申报和审批。要求一事一签，签证资料必须</w:t>
      </w:r>
      <w:r>
        <w:rPr>
          <w:rFonts w:hint="eastAsia" w:ascii="仿宋_GB2312" w:hAnsi="仿宋_GB2312" w:eastAsia="仿宋_GB2312" w:cs="仿宋_GB2312"/>
          <w:sz w:val="28"/>
          <w:szCs w:val="28"/>
          <w:highlight w:val="none"/>
          <w:lang w:val="en-US" w:eastAsia="zh-CN"/>
        </w:rPr>
        <w:t>按甲方结算管理部门要求</w:t>
      </w:r>
      <w:r>
        <w:rPr>
          <w:rFonts w:hint="eastAsia" w:ascii="仿宋_GB2312" w:hAnsi="仿宋_GB2312" w:eastAsia="仿宋_GB2312" w:cs="仿宋_GB2312"/>
          <w:sz w:val="28"/>
          <w:szCs w:val="28"/>
          <w:highlight w:val="none"/>
        </w:rPr>
        <w:t>组成，缺一不可，否则视为无效签证。</w:t>
      </w:r>
    </w:p>
    <w:p w14:paraId="576FE3C0">
      <w:pPr>
        <w:pageBreakBefore w:val="0"/>
        <w:widowControl/>
        <w:spacing w:line="480" w:lineRule="exact"/>
        <w:ind w:firstLine="560"/>
        <w:jc w:val="both"/>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（3）签证必须注明工作量、工作时间、工作人数，若指令事件可以按工程量计算，则需附图，附图须经甲方签证经办人、商务经理、项目总工三人签字确认。</w:t>
      </w:r>
    </w:p>
    <w:p w14:paraId="2F725C11">
      <w:pPr>
        <w:pageBreakBefore w:val="0"/>
        <w:widowControl/>
        <w:spacing w:line="480" w:lineRule="exact"/>
        <w:ind w:firstLine="560"/>
        <w:jc w:val="both"/>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（4）签证作为分包结算依据。</w:t>
      </w:r>
    </w:p>
    <w:p w14:paraId="67FB475A">
      <w:pPr>
        <w:pageBreakBefore w:val="0"/>
        <w:widowControl/>
        <w:spacing w:line="480" w:lineRule="exact"/>
        <w:ind w:firstLine="560"/>
        <w:jc w:val="both"/>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结算时，甲方有权扣除不符合本合同约定的分包经济签证及无效签证，除上述约定外，无效签证如下：未附指令单的签证单；签字不全的签证单；签证内容与指令单内容不符的签证单；指令内容模糊指令单等。</w:t>
      </w:r>
    </w:p>
    <w:p w14:paraId="1D4928F5">
      <w:pPr>
        <w:pageBreakBefore w:val="0"/>
        <w:widowControl/>
        <w:spacing w:line="480" w:lineRule="exact"/>
        <w:ind w:firstLine="560"/>
        <w:jc w:val="both"/>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（6）单份一次</w:t>
      </w:r>
      <w:r>
        <w:rPr>
          <w:rFonts w:hint="eastAsia" w:ascii="仿宋_GB2312" w:hAnsi="仿宋_GB2312" w:eastAsia="仿宋_GB2312" w:cs="仿宋_GB2312"/>
          <w:sz w:val="28"/>
          <w:szCs w:val="28"/>
          <w:highlight w:val="none"/>
          <w:lang w:val="en-US" w:eastAsia="zh-CN"/>
        </w:rPr>
        <w:t>签证</w:t>
      </w:r>
      <w:r>
        <w:rPr>
          <w:rFonts w:hint="eastAsia" w:ascii="仿宋_GB2312" w:hAnsi="仿宋_GB2312" w:eastAsia="仿宋_GB2312" w:cs="仿宋_GB2312"/>
          <w:sz w:val="28"/>
          <w:szCs w:val="28"/>
          <w:highlight w:val="none"/>
        </w:rPr>
        <w:t>增加工作内容、改变合同单价、合同单价没有</w:t>
      </w:r>
      <w:r>
        <w:rPr>
          <w:rFonts w:hint="eastAsia" w:ascii="仿宋_GB2312" w:hAnsi="仿宋_GB2312" w:eastAsia="仿宋_GB2312" w:cs="仿宋_GB2312"/>
          <w:sz w:val="28"/>
          <w:szCs w:val="28"/>
          <w:highlight w:val="none"/>
          <w:lang w:val="en-US" w:eastAsia="zh-CN"/>
        </w:rPr>
        <w:t>等原因</w:t>
      </w:r>
      <w:r>
        <w:rPr>
          <w:rFonts w:hint="eastAsia" w:ascii="仿宋_GB2312" w:hAnsi="仿宋_GB2312" w:eastAsia="仿宋_GB2312" w:cs="仿宋_GB2312"/>
          <w:sz w:val="28"/>
          <w:szCs w:val="28"/>
          <w:highlight w:val="none"/>
        </w:rPr>
        <w:t>涉及金额大于</w:t>
      </w:r>
      <w:r>
        <w:rPr>
          <w:rFonts w:hint="eastAsia" w:ascii="仿宋_GB2312" w:hAnsi="仿宋_GB2312" w:eastAsia="仿宋_GB2312" w:cs="仿宋_GB2312"/>
          <w:sz w:val="28"/>
          <w:szCs w:val="28"/>
          <w:highlight w:val="none"/>
          <w:lang w:val="en-US" w:eastAsia="zh-CN"/>
        </w:rPr>
        <w:t>一定额度的，根据甲方授权，由相应额度层级人员</w:t>
      </w:r>
      <w:r>
        <w:rPr>
          <w:rFonts w:hint="eastAsia" w:ascii="仿宋_GB2312" w:hAnsi="仿宋_GB2312" w:eastAsia="仿宋_GB2312" w:cs="仿宋_GB2312"/>
          <w:sz w:val="28"/>
          <w:szCs w:val="28"/>
          <w:highlight w:val="none"/>
        </w:rPr>
        <w:t>审批。</w:t>
      </w:r>
    </w:p>
    <w:p w14:paraId="5FEED2B1">
      <w:pPr>
        <w:pageBreakBefore w:val="0"/>
        <w:widowControl/>
        <w:spacing w:line="480" w:lineRule="exact"/>
        <w:ind w:firstLine="560"/>
        <w:jc w:val="both"/>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（7）发生签证事件后</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天内办理签证手续，否则视为</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放弃，不予办理。</w:t>
      </w:r>
    </w:p>
    <w:p w14:paraId="36E11A14">
      <w:pPr>
        <w:pageBreakBefore w:val="0"/>
        <w:widowControl/>
        <w:spacing w:line="480" w:lineRule="exact"/>
        <w:ind w:firstLine="560"/>
        <w:jc w:val="both"/>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（8）所有项目分包经济签证实行月清月结制度，每月必须保证清理一次，次月形成上月签证结算台账，台账由甲方现场代表、项目商务经理联签，乙方的授权委托人签字并加盖印章确认。</w:t>
      </w:r>
    </w:p>
    <w:p w14:paraId="05767C10">
      <w:pPr>
        <w:pStyle w:val="2"/>
        <w:rPr>
          <w:highlight w:val="none"/>
        </w:rPr>
      </w:pPr>
      <w:r>
        <w:rPr>
          <w:rFonts w:hint="eastAsia" w:ascii="仿宋_GB2312" w:hAnsi="仿宋_GB2312" w:eastAsia="仿宋_GB2312" w:cs="仿宋_GB2312"/>
          <w:sz w:val="28"/>
          <w:szCs w:val="28"/>
          <w:highlight w:val="none"/>
        </w:rPr>
        <w:t>（9）未从线上办理的签证无效，纸质签证一律不作为结算依据。</w:t>
      </w:r>
    </w:p>
    <w:p w14:paraId="0826564E">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w:t>
      </w:r>
      <w:r>
        <w:rPr>
          <w:rFonts w:ascii="仿宋_GB2312" w:hAnsi="仿宋_GB2312" w:eastAsia="仿宋_GB2312" w:cs="仿宋_GB2312"/>
          <w:sz w:val="28"/>
          <w:szCs w:val="28"/>
          <w:highlight w:val="none"/>
        </w:rPr>
        <w:t xml:space="preserve">.3.3 </w:t>
      </w:r>
      <w:r>
        <w:rPr>
          <w:rFonts w:hint="eastAsia" w:ascii="仿宋_GB2312" w:hAnsi="仿宋_GB2312" w:eastAsia="仿宋_GB2312" w:cs="仿宋_GB2312"/>
          <w:sz w:val="28"/>
          <w:szCs w:val="28"/>
          <w:highlight w:val="none"/>
        </w:rPr>
        <w:t>变更费用的支付</w:t>
      </w:r>
    </w:p>
    <w:p w14:paraId="097651DC">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合同外的增减部分在依据充足情况下，随中间进度报量一并提交。签证金额的支付时间由双方另行约定。</w:t>
      </w:r>
    </w:p>
    <w:p w14:paraId="3C6BC932">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8.4 分包作业变化引起的作业期限调整</w:t>
      </w:r>
    </w:p>
    <w:p w14:paraId="0DBF4884">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由甲方原因造成的变更导致合同价款的增加，由甲方承担，延误的工期相应顺延；因变更减少工程量，合同价款应相应减少，工期相应调整。</w:t>
      </w:r>
    </w:p>
    <w:p w14:paraId="56B5A6E8">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由乙方原因造成的变更费用和由此导致甲方的直接损失，由乙方承担，延误的工期不予顺延。</w:t>
      </w:r>
    </w:p>
    <w:p w14:paraId="7A504300">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8.5 临时性用工劳务</w:t>
      </w:r>
    </w:p>
    <w:p w14:paraId="6EECDDC9">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临时性用工劳务是指未包括在合同约定的分包作业范围之内的零星用工。甲方要求乙方提供临时性用工劳务的，甲方应当提前向乙方发出指示，乙方应当按照甲方的指示按时组织分包作业人员进场。临时性用工结束后，乙方提交结算时应提供所涉及全部工人的工人工资付清证明资料及承诺书，否则甲方不予认可，如发生工人工资纠纷，乙方自行承担相应责任。</w:t>
      </w:r>
    </w:p>
    <w:p w14:paraId="6D1759CE">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9. 分包作业价格调整</w:t>
      </w:r>
    </w:p>
    <w:p w14:paraId="373DC1FB">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合同分包作业价格由乙方根据自身企业情况确定，包干单价是乙方结合图纸、现场条件、招标文件及附件合同、国家现行的材料工艺标准规范、工程规范和技术说明、甲方与建设单位的总承包合同等综合进行理解所确定的单价，已考虑一切风险因素。任何情况下，乙方在投标前已勘察现场及熟悉施工图纸等，实际施工时不能以对现场或图纸不熟，或者以清单未描述或内容描述不全面等为由要求调整合同单价，也不因施工期内市场材料价格、人工价格、政府收费、政府政策性调整等因素造成价格的变动而要求调整单价，且乙方已综合考虑由于甲方或建设单位图纸变更对合同单价造成的影响，及由于甲方要求施工工程量增加或减少对招标工程量及合同总造价的影响，综合单价（含税）均不得以任何理由要求调整。合同一经签订，乙方应诚信履约。</w:t>
      </w:r>
    </w:p>
    <w:p w14:paraId="005B683D">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10. 合同价格形式</w:t>
      </w:r>
    </w:p>
    <w:p w14:paraId="2A897BA4">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详见协议书中约定。</w:t>
      </w:r>
    </w:p>
    <w:p w14:paraId="6C07D70A">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11. 分包作业计量与支付</w:t>
      </w:r>
    </w:p>
    <w:p w14:paraId="4C5892D4">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11.1 分包作业的计量</w:t>
      </w:r>
    </w:p>
    <w:p w14:paraId="6B868C2D">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11.1.1 计量原则和计量周期</w:t>
      </w:r>
    </w:p>
    <w:p w14:paraId="175B2FAC">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分包作业工作量计算规则详见合同协议书。</w:t>
      </w:r>
    </w:p>
    <w:p w14:paraId="49552709">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11.1.2 计量程序</w:t>
      </w:r>
    </w:p>
    <w:p w14:paraId="665651DD">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（1）乙方每月【</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】日向甲方上报已完工程量计算书，并填报《分包报量审核报告》，并经甲方项目商务部审核后仅可用于支付工程进度款，不得作为最终结算的依据。</w:t>
      </w:r>
    </w:p>
    <w:p w14:paraId="2258304B">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（2）乙方所报工程量为上月【11】日至本月【10】日完成的工作内容，必须有乙方现场代表签字、盖章，过程付款资料及报量单均应连续编号。</w:t>
      </w:r>
    </w:p>
    <w:p w14:paraId="1543871F">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（3）乙方每月报量中的安全措施费，可根据月度考核情况单独计量，由项目安全工程师、专业工程师、安全总监、商务经理、甲方现场代表进行审核，按乙方实际投入情况计取费用。</w:t>
      </w:r>
    </w:p>
    <w:p w14:paraId="76BB6D1D">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（4）如分包计量超过签约合同价【</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】的，应及时签订补充协议，如不签订补充协议，增加部分不予计量。</w:t>
      </w:r>
    </w:p>
    <w:p w14:paraId="7589C95E">
      <w:pPr>
        <w:spacing w:line="480" w:lineRule="exact"/>
        <w:ind w:firstLine="560"/>
      </w:pPr>
      <w:r>
        <w:rPr>
          <w:rFonts w:hint="eastAsia" w:ascii="仿宋_GB2312" w:hAnsi="仿宋_GB2312" w:eastAsia="仿宋_GB2312" w:cs="仿宋_GB2312"/>
          <w:sz w:val="28"/>
          <w:szCs w:val="28"/>
          <w:highlight w:val="none"/>
        </w:rPr>
        <w:t>11.1.4月结月清</w:t>
      </w:r>
    </w:p>
    <w:p w14:paraId="598A35F3">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进场后60个日历天内（合同签订和进场时间取较早时间点开始计算），项目部与乙方对合同内工程量进行核对，双方书面签字确认后报两级总部成本管理部备案存档，并签订总价包干协议。如因乙方原因未按期完成合同内工程量锁定工作的，或刻意拖延核量时间，甲方有权将应付款比例在合同约定比例的基础上再乘【80%】。经项目部发催告函限定时间之后拒不配合完成工程量核对确认的，以两级总部审核备案的工程量为准，若存在量差、错漏部分，视为乙方主动放弃权利，后续不再以任何形式向项目提报，该部分费用及责任由乙方自行承担，项目部有权不受理。</w:t>
      </w:r>
    </w:p>
    <w:p w14:paraId="0A9BE463">
      <w:pPr>
        <w:spacing w:line="480" w:lineRule="exact"/>
        <w:ind w:firstLine="562"/>
        <w:rPr>
          <w:rFonts w:ascii="仿宋_GB2312" w:hAnsi="仿宋_GB2312" w:eastAsia="仿宋_GB2312" w:cs="仿宋_GB2312"/>
          <w:sz w:val="28"/>
          <w:szCs w:val="28"/>
          <w:highlight w:val="none"/>
        </w:rPr>
      </w:pPr>
      <w:r>
        <w:rPr>
          <w:rFonts w:hint="eastAsia" w:ascii="黑体" w:hAnsi="黑体" w:eastAsia="黑体" w:cs="黑体"/>
          <w:b/>
          <w:bCs w:val="0"/>
          <w:color w:val="000000"/>
          <w:sz w:val="28"/>
          <w:szCs w:val="28"/>
          <w:highlight w:val="none"/>
        </w:rPr>
        <w:t>11.2 合同价款支付</w:t>
      </w:r>
    </w:p>
    <w:p w14:paraId="71BB2912">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具体支付比例及支付方式详见协议书中约定。</w:t>
      </w:r>
    </w:p>
    <w:p w14:paraId="44AF302A">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12. 验收与交付</w:t>
      </w:r>
    </w:p>
    <w:p w14:paraId="15D06003">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12.1 分包作业质量</w:t>
      </w:r>
    </w:p>
    <w:p w14:paraId="1BBFA614">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12.1.1 乙方应确保所完成分包作业符合合同约定的质量标准。甲方有作业规范要求的，乙方的分包作业还应当满足甲方的作业规范要求。</w:t>
      </w:r>
    </w:p>
    <w:p w14:paraId="5328C451">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12.1.2 甲方有权随时对乙方实施的分包作业进行监督检查，确保分包作业质量，并对存在的质量隐患提出整改要求，乙方应当及时完成整改。</w:t>
      </w:r>
    </w:p>
    <w:p w14:paraId="2ADF8743">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12.2 参加检验与验收</w:t>
      </w:r>
    </w:p>
    <w:p w14:paraId="5CF83210">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乙方应按照甲方的书面指示，参加与其分包作业有关的分部分项工程的验收，并承担相应部分的整改责任。</w:t>
      </w:r>
    </w:p>
    <w:p w14:paraId="12157E94">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12.2.1</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质量检查：乙方应当建立质量管理体系，坚持自检、互检、交接检制度，并为检验提供便利条件，随时接受甲方现场代表和委派人员以及各级质检部门的检查、检验，并按要求返工、修改，承担由自身原因导致的返工、修改费用。</w:t>
      </w:r>
    </w:p>
    <w:p w14:paraId="4089F530">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12.2.2</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隐蔽工程验收：乙方应在自检合格后，验收【48】小时前通知甲方组织验收，经监理公司验收合格，在验收记录签字后方可进行隐蔽和继续施工。如验收不符合质量要求，乙方应按验收提出的整改意见进行返修自检，合格后重新通知验收，返修费用乙方承担，工期不予顺延。未经验收不得自行隐蔽，如有自行隐蔽，乙方必须按照甲方或有关单位的验收要求剥露和开口及恢复，并承担因此发生的全部费用及损失，工期不予顺延。</w:t>
      </w:r>
    </w:p>
    <w:p w14:paraId="054835E1">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12.2.3</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交工验收：乙方承担的任务全部完成，经初验达到约定的质量标准后，由甲方约请建设单位验收，经验收合格，评定质量等级。交工验收书签字后，办理工程移交。如质量达不到要求，乙方应对所施工部分存在的问题按验收提出的意见返修，并在限定的期限内完成，再通知验收，直到符合质量要求为止。乙方承担因此发生的全部经济损失和工期延误责任。</w:t>
      </w:r>
    </w:p>
    <w:p w14:paraId="4296EBCD">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12.2.4</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分包工程质量应达到设计图纸要求及约定的标准和质量目标。如图纸、国家及当地政府的施工验收规范、标准、建设单位的指令之间有差异和不一致的，乙方应取得甲方的书面认可后，以质量要求较严者为施工依据。</w:t>
      </w:r>
    </w:p>
    <w:p w14:paraId="379B130C">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12.3 完工日期的确定</w:t>
      </w:r>
    </w:p>
    <w:p w14:paraId="56FF7A2F">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12.3.1 乙方完成全部分包作业后，应向甲方提交完工报告，通知甲方验收。分包作业经甲方验收合格的，以验收合格之日起为本分包工程完工日期。</w:t>
      </w:r>
    </w:p>
    <w:p w14:paraId="0F69B771">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12.3.2 总包工程竣工且经建设单位验收合格的，视为乙方的分包作业质量符合合同约定的要求。</w:t>
      </w:r>
    </w:p>
    <w:p w14:paraId="4E4C3394">
      <w:pPr>
        <w:spacing w:line="480" w:lineRule="exact"/>
        <w:ind w:firstLine="562"/>
        <w:rPr>
          <w:rFonts w:ascii="仿宋_GB2312" w:hAnsi="仿宋_GB2312" w:eastAsia="仿宋_GB2312" w:cs="仿宋_GB2312"/>
          <w:sz w:val="28"/>
          <w:szCs w:val="28"/>
          <w:highlight w:val="none"/>
        </w:rPr>
      </w:pPr>
      <w:r>
        <w:rPr>
          <w:rFonts w:hint="eastAsia" w:ascii="黑体" w:hAnsi="黑体" w:eastAsia="黑体" w:cs="黑体"/>
          <w:b/>
          <w:bCs w:val="0"/>
          <w:color w:val="000000"/>
          <w:sz w:val="28"/>
          <w:szCs w:val="28"/>
          <w:highlight w:val="none"/>
        </w:rPr>
        <w:t>12.4 分包作业整改</w:t>
      </w:r>
    </w:p>
    <w:p w14:paraId="036E5489">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与建设单位间的隐蔽工程验收、分部分项工程验收以及工程竣工验收表明分包作业质量不合格时，乙方应负责无偿整改，作业期限不予延长，并承担由此导致的甲方的全部损失。若乙方接到甲方整改通知单后【24小时】内未进行整改，甲方有权委托第三方完成，此部分费用由乙方承担并对乙方处以【</w:t>
      </w:r>
      <w:r>
        <w:rPr>
          <w:rFonts w:hint="eastAsia" w:ascii="仿宋_GB2312" w:hAnsi="仿宋_GB2312" w:eastAsia="仿宋_GB2312" w:cs="仿宋_GB2312"/>
          <w:sz w:val="28"/>
          <w:szCs w:val="28"/>
          <w:highlight w:val="none"/>
          <w:lang w:val="en-US" w:eastAsia="zh-CN"/>
        </w:rPr>
        <w:t>10000</w:t>
      </w:r>
      <w:r>
        <w:rPr>
          <w:rFonts w:hint="eastAsia" w:ascii="仿宋_GB2312" w:hAnsi="仿宋_GB2312" w:eastAsia="仿宋_GB2312" w:cs="仿宋_GB2312"/>
          <w:sz w:val="28"/>
          <w:szCs w:val="28"/>
          <w:highlight w:val="none"/>
        </w:rPr>
        <w:t>】元惩罚性违约金。</w:t>
      </w:r>
    </w:p>
    <w:p w14:paraId="50214C20">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12.5 分包作业交付</w:t>
      </w:r>
    </w:p>
    <w:p w14:paraId="4966D323">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分包作业经验收合格后，乙方应当按照甲方指示及时将该分包作业交付甲方，不得以双方存在争议为由拒绝将该分包作业交付甲方。</w:t>
      </w:r>
    </w:p>
    <w:p w14:paraId="156F368C">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13. 分包作业结算与支付</w:t>
      </w:r>
    </w:p>
    <w:p w14:paraId="48D3C282">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13.1 结算的申报</w:t>
      </w:r>
    </w:p>
    <w:p w14:paraId="463113DA">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除合同协议书另有约定外，乙方应自分包工程竣工验收合格后【</w:t>
      </w:r>
      <w:r>
        <w:rPr>
          <w:rFonts w:hint="eastAsia" w:ascii="仿宋_GB2312" w:hAnsi="仿宋_GB2312" w:eastAsia="仿宋_GB2312" w:cs="仿宋_GB2312"/>
          <w:sz w:val="28"/>
          <w:szCs w:val="28"/>
          <w:highlight w:val="none"/>
          <w:lang w:val="en-US" w:eastAsia="zh-CN"/>
        </w:rPr>
        <w:t>14</w:t>
      </w:r>
      <w:r>
        <w:rPr>
          <w:rFonts w:hint="eastAsia" w:ascii="仿宋_GB2312" w:hAnsi="仿宋_GB2312" w:eastAsia="仿宋_GB2312" w:cs="仿宋_GB2312"/>
          <w:sz w:val="28"/>
          <w:szCs w:val="28"/>
          <w:highlight w:val="none"/>
        </w:rPr>
        <w:t>】天内，根据要求向甲方申报完工结算资料（包括书面版本和电子版本），同时提供变更通知单、工程签证单、乙方自购主材确认单以及合同约定的其他资料等依据。</w:t>
      </w:r>
    </w:p>
    <w:p w14:paraId="7D6B363A">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13.2 结算的审核</w:t>
      </w:r>
    </w:p>
    <w:p w14:paraId="6336422F">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13.2.1 除合同协议书另有约定外，甲方应在以下期限内完成对乙方结算资料的审核，并由双方签署《分包完工结算书》（结算书）：</w:t>
      </w:r>
    </w:p>
    <w:p w14:paraId="61523D67">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（1）甲方收到乙方的结算资料后【28】天内，或者</w:t>
      </w:r>
    </w:p>
    <w:p w14:paraId="410AE944">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（2）在建设单位对甲方的结算资料审核之后的【28】天内。</w:t>
      </w:r>
    </w:p>
    <w:p w14:paraId="5506E9E6">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《分包完工结算书》由甲方项目商务部初审后上报甲方分公司商务中心/成本管理部审核。</w:t>
      </w:r>
    </w:p>
    <w:p w14:paraId="7DA1727A">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双方特别约定：双方工作人员的过程中核对的数据不视为甲方对乙方结算金额的确认，以甲方最终审定的金额为准。</w:t>
      </w:r>
    </w:p>
    <w:p w14:paraId="6CACD390">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13.2.2 结算审核报告应当扣减以下金额：</w:t>
      </w:r>
    </w:p>
    <w:p w14:paraId="77D290A4">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①施工所需水、电费用。</w:t>
      </w:r>
    </w:p>
    <w:p w14:paraId="7266DFE4">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②地方各种政策性收费：按甲方实际代扣代缴为准。</w:t>
      </w:r>
    </w:p>
    <w:p w14:paraId="7E5B6977">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③乙方承担的各项罚款及违约金。</w:t>
      </w:r>
    </w:p>
    <w:p w14:paraId="7931660C">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④乙方施工的安防用品、工作服等，以实际领取数量及甲方采购价为准（如有）。</w:t>
      </w:r>
    </w:p>
    <w:p w14:paraId="34A35D48">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⑤甲方根据合同应当扣除的其他款项。</w:t>
      </w:r>
    </w:p>
    <w:p w14:paraId="7E77961A">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根据本条应扣减的项目，如双方无法达成一致的，根据争议解决办法解决。</w:t>
      </w:r>
    </w:p>
    <w:p w14:paraId="34672F30">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13.3 结算的异议</w:t>
      </w:r>
    </w:p>
    <w:p w14:paraId="6235D272">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13.3.1 甲方对乙方提交的完工结算资料有异议的，有权要求乙方在规定的时间内进行修正和提供补充资料，乙方应提交修正后的结算资料。</w:t>
      </w:r>
    </w:p>
    <w:p w14:paraId="426C274A">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13.3.2 乙方对甲方的审核结果有异议的，应在接到审核结果后的【7】天内向甲方提出书面意见，甲方据此进行核实，经甲方核定后的计量结果为最终结果。若乙方不认可甲方核定的最终结果的，有异议部分按约定的争议解决方式处理；若乙方未在接到审核结果后的【14】天内提出异议的，即视为确认甲方的审核结果，并作为双方的最终结算金额。</w:t>
      </w:r>
    </w:p>
    <w:p w14:paraId="0D273938">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13.3.3 乙方如未在规定时间内提供完整的工程竣工结算资料，经甲方催促后【14】天内仍未提供或没有明确答复，甲方有权根据已有资料进行审查并确定双方的最终结算金额，该结算金额对乙方具有约束力，乙方无权再提出疑义，由此带来的全部责任和后果由乙方自负。</w:t>
      </w:r>
    </w:p>
    <w:p w14:paraId="052E7075">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13.4 结算款的支付</w:t>
      </w:r>
    </w:p>
    <w:p w14:paraId="50C7B7C5">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除在协议书中另有约定外，在满足以下全部条件后的【30】天内，以后到者为准，甲方向乙方支付至合同结算价的【97】%，同时扣除乙方应付的其他款项以及质保金：</w:t>
      </w:r>
    </w:p>
    <w:p w14:paraId="64402C7A">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（1）工程经建设单位整体竣工验收合格出具工程竣工验收报告或者办理竣工备案；</w:t>
      </w:r>
    </w:p>
    <w:p w14:paraId="7E2D58C8">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（2）双方完成确认《完工结算审核报告》；</w:t>
      </w:r>
    </w:p>
    <w:p w14:paraId="79E3A4B5">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（3）甲方收到乙方开具的有效的增值税发票。</w:t>
      </w:r>
    </w:p>
    <w:p w14:paraId="4FE92F95">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13.5 其他</w:t>
      </w:r>
    </w:p>
    <w:p w14:paraId="0ED0B982">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13.5.1 乙方施工过程中，由于自行施工部分安全、质量或其他问题达不到甲方要求，甲方在过程中签发的涉及到经济问题的罚款单或联系单，甲方有权在进度款中扣除该费用。</w:t>
      </w:r>
    </w:p>
    <w:p w14:paraId="414C3F7C">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13.5.2 乙方提交甲方的月进度报量结算书及最终结算书须资料详实、数据准确。乙方提交最终结算书时，应当提供所有工人工资付清证明资料及承诺书作为附件，否则甲方不予认可。</w:t>
      </w:r>
    </w:p>
    <w:p w14:paraId="5BB52C4D">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13.5.3 若乙方拒绝甲方的工作安排，只选择部分施工的分项进行施工，则视为乙方违约，甲方可单方面解除合同，并对已施工部分按照【70】%与乙方进行结算。</w:t>
      </w:r>
    </w:p>
    <w:p w14:paraId="0029C666">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13.3 结算的异议</w:t>
      </w:r>
    </w:p>
    <w:p w14:paraId="66AF65A2">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rPr>
        <w:t>.3.1</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甲方对乙方提交的完工结算资料有异议的，有权要求乙方在规定的时间内进行修正和提供补充资料，乙方应提交修正后的结算资料。</w:t>
      </w:r>
    </w:p>
    <w:p w14:paraId="5037E78D">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rPr>
        <w:t>.3.2</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乙方对甲方的审核结果有异议的，应在接到审核结果后的【</w:t>
      </w:r>
      <w:r>
        <w:rPr>
          <w:rFonts w:hint="eastAsia" w:ascii="仿宋_GB2312" w:hAnsi="仿宋_GB2312" w:eastAsia="仿宋_GB2312" w:cs="仿宋_GB2312"/>
          <w:sz w:val="28"/>
          <w:szCs w:val="28"/>
          <w:highlight w:val="none"/>
          <w:lang w:val="en-US" w:eastAsia="zh-CN"/>
        </w:rPr>
        <w:t>14</w:t>
      </w:r>
      <w:r>
        <w:rPr>
          <w:rFonts w:hint="eastAsia" w:ascii="仿宋_GB2312" w:hAnsi="仿宋_GB2312" w:eastAsia="仿宋_GB2312" w:cs="仿宋_GB2312"/>
          <w:sz w:val="28"/>
          <w:szCs w:val="28"/>
          <w:highlight w:val="none"/>
        </w:rPr>
        <w:t>】天内向甲方提出书面意见，甲方据此进行核实，经甲方核定后的计量结果为最终结果。若乙方不认可甲方核定的最终结果的，有异议部分按约定的争议解决方式处理；若乙方未在接到审核结果后的【1</w:t>
      </w:r>
      <w:r>
        <w:rPr>
          <w:rFonts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t>】天内提出异议的，即视为确认甲方的审核结果，并作为双方的最终结算金额。</w:t>
      </w:r>
    </w:p>
    <w:p w14:paraId="18B52E2E">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rPr>
        <w:t>.3.3</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乙方如未在规定时间内提供完整的工程竣工结算资料，经甲方催促后【14】天内仍未提供或没有明确答复，甲方有权根据已有资料进行审查并确定双方的最终结算金额，该结算金额对乙方具有约束力，乙方无权再提出异议，由此带来的全部责任和后果由乙方自负。</w:t>
      </w:r>
    </w:p>
    <w:p w14:paraId="65138E2D">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13.4 结算款的支付</w:t>
      </w:r>
    </w:p>
    <w:p w14:paraId="77436545">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除在协议书中另有约定外，在满足以下全部条件后的【</w:t>
      </w:r>
      <w:r>
        <w:rPr>
          <w:rFonts w:hint="eastAsia" w:ascii="仿宋_GB2312" w:hAnsi="仿宋_GB2312" w:eastAsia="仿宋_GB2312" w:cs="仿宋_GB2312"/>
          <w:sz w:val="28"/>
          <w:szCs w:val="28"/>
          <w:highlight w:val="none"/>
          <w:lang w:val="en-US" w:eastAsia="zh-CN"/>
        </w:rPr>
        <w:t>90</w:t>
      </w:r>
      <w:r>
        <w:rPr>
          <w:rFonts w:hint="eastAsia" w:ascii="仿宋_GB2312" w:hAnsi="仿宋_GB2312" w:eastAsia="仿宋_GB2312" w:cs="仿宋_GB2312"/>
          <w:sz w:val="28"/>
          <w:szCs w:val="28"/>
          <w:highlight w:val="none"/>
        </w:rPr>
        <w:t>】天</w:t>
      </w:r>
      <w:r>
        <w:rPr>
          <w:rFonts w:hint="eastAsia" w:ascii="仿宋_GB2312" w:hAnsi="仿宋_GB2312" w:eastAsia="仿宋_GB2312" w:cs="仿宋_GB2312"/>
          <w:sz w:val="28"/>
          <w:szCs w:val="28"/>
          <w:highlight w:val="none"/>
          <w:lang w:val="en-US" w:eastAsia="zh-CN"/>
        </w:rPr>
        <w:t>后</w:t>
      </w:r>
      <w:r>
        <w:rPr>
          <w:rFonts w:hint="eastAsia" w:ascii="仿宋_GB2312" w:hAnsi="仿宋_GB2312" w:eastAsia="仿宋_GB2312" w:cs="仿宋_GB2312"/>
          <w:sz w:val="28"/>
          <w:szCs w:val="28"/>
          <w:highlight w:val="none"/>
        </w:rPr>
        <w:t>，以后到者为准，甲方向乙方支付合同结算价的【</w:t>
      </w:r>
      <w:r>
        <w:rPr>
          <w:rFonts w:hint="eastAsia" w:ascii="仿宋_GB2312" w:hAnsi="仿宋_GB2312" w:eastAsia="仿宋_GB2312" w:cs="仿宋_GB2312"/>
          <w:sz w:val="28"/>
          <w:szCs w:val="28"/>
          <w:highlight w:val="none"/>
          <w:lang w:val="en-US" w:eastAsia="zh-CN"/>
        </w:rPr>
        <w:t>97</w:t>
      </w:r>
      <w:r>
        <w:rPr>
          <w:rFonts w:hint="eastAsia" w:ascii="仿宋_GB2312" w:hAnsi="仿宋_GB2312" w:eastAsia="仿宋_GB2312" w:cs="仿宋_GB2312"/>
          <w:sz w:val="28"/>
          <w:szCs w:val="28"/>
          <w:highlight w:val="none"/>
        </w:rPr>
        <w:t>】%，同时扣除乙方应付的其他款项以及质保金：</w:t>
      </w:r>
    </w:p>
    <w:p w14:paraId="70DF5D3C">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（1）整体工程竣工验收合格交付业主后第三个月；</w:t>
      </w:r>
    </w:p>
    <w:p w14:paraId="58BD4253">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（2）双方完成确认最终结算满一年；</w:t>
      </w:r>
    </w:p>
    <w:p w14:paraId="26B02090">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（3）甲方收到乙方开具的有效的增值税发票。</w:t>
      </w:r>
    </w:p>
    <w:p w14:paraId="23CF9EF6">
      <w:pPr>
        <w:spacing w:line="480" w:lineRule="exact"/>
        <w:ind w:firstLine="562"/>
        <w:rPr>
          <w:rFonts w:hint="eastAsia" w:ascii="黑体" w:hAnsi="黑体" w:eastAsia="黑体" w:cs="黑体"/>
          <w:b/>
          <w:bCs w:val="0"/>
          <w:color w:val="000000"/>
          <w:sz w:val="28"/>
          <w:szCs w:val="28"/>
          <w:highlight w:val="none"/>
        </w:rPr>
      </w:pPr>
      <w:r>
        <w:rPr>
          <w:rFonts w:hint="eastAsia" w:ascii="黑体" w:hAnsi="黑体" w:eastAsia="黑体" w:cs="黑体"/>
          <w:b/>
          <w:bCs w:val="0"/>
          <w:color w:val="000000"/>
          <w:sz w:val="28"/>
          <w:szCs w:val="28"/>
          <w:highlight w:val="none"/>
        </w:rPr>
        <w:t>13.5 其他</w:t>
      </w:r>
    </w:p>
    <w:p w14:paraId="193F32A3">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w:t>
      </w:r>
      <w:r>
        <w:rPr>
          <w:rFonts w:ascii="仿宋_GB2312" w:hAnsi="仿宋_GB2312" w:eastAsia="仿宋_GB2312" w:cs="仿宋_GB2312"/>
          <w:sz w:val="28"/>
          <w:szCs w:val="28"/>
          <w:highlight w:val="none"/>
        </w:rPr>
        <w:t xml:space="preserve">5.1 </w:t>
      </w:r>
      <w:r>
        <w:rPr>
          <w:rFonts w:hint="eastAsia" w:ascii="仿宋_GB2312" w:hAnsi="仿宋_GB2312" w:eastAsia="仿宋_GB2312" w:cs="仿宋_GB2312"/>
          <w:sz w:val="28"/>
          <w:szCs w:val="28"/>
          <w:highlight w:val="none"/>
        </w:rPr>
        <w:t>乙方施工过程中，由于自行施工部分安全、质量或其他问题达不到甲方要求，甲方在过程中签发的涉及经济问题的罚款单或联系单，甲方有权在进度款中扣除该费用。</w:t>
      </w:r>
    </w:p>
    <w:p w14:paraId="51F0D2D8">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w:t>
      </w:r>
      <w:r>
        <w:rPr>
          <w:rFonts w:ascii="仿宋_GB2312" w:hAnsi="仿宋_GB2312" w:eastAsia="仿宋_GB2312" w:cs="仿宋_GB2312"/>
          <w:sz w:val="28"/>
          <w:szCs w:val="28"/>
          <w:highlight w:val="none"/>
        </w:rPr>
        <w:t xml:space="preserve">5.2 </w:t>
      </w:r>
      <w:r>
        <w:rPr>
          <w:rFonts w:hint="eastAsia" w:ascii="仿宋_GB2312" w:hAnsi="仿宋_GB2312" w:eastAsia="仿宋_GB2312" w:cs="仿宋_GB2312"/>
          <w:sz w:val="28"/>
          <w:szCs w:val="28"/>
          <w:highlight w:val="none"/>
        </w:rPr>
        <w:t>乙方提交甲方的月进度报量结算书及最终结算书须资料详实、数据准确。乙方提交最终结算书时，应当提供所有工人工资付清证明资料及承诺书作为附件，否则甲方不予认可。</w:t>
      </w:r>
    </w:p>
    <w:p w14:paraId="3D64DB78">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13.5</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3</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若乙方拒绝甲方的工作安排，只选择部分施工的分项进行施工，则视为乙方违约，甲方可单方面解除合同，并对已施工部分按照【70】%与乙方进行结算。</w:t>
      </w:r>
    </w:p>
    <w:p w14:paraId="0A383DA1">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14. 违约</w:t>
      </w:r>
    </w:p>
    <w:p w14:paraId="52150C9C">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14.1</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甲乙双方均应按照本合同的约定全面履行相应的义务，给对方造成损失的，应赔偿相应损失，并按照本合同约定支付违约金。</w:t>
      </w:r>
    </w:p>
    <w:p w14:paraId="3714B5CD">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14.2</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因乙方原因导致工程质量达不到约定的标准，乙方应向甲方支付签约合同价【</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】%的违约金，并承担因此给甲方造成的全部损失。</w:t>
      </w:r>
    </w:p>
    <w:p w14:paraId="17F16D0B">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14.3乙方在施工过程中，若达不到甲方要求（包括履约能力、工期等任何约定），或甲方单方解除合同的通知送达之日，乙方必须无条件退场，如拒不退场，按照【</w:t>
      </w:r>
      <w:r>
        <w:rPr>
          <w:rFonts w:hint="eastAsia" w:ascii="仿宋_GB2312" w:hAnsi="仿宋_GB2312" w:eastAsia="仿宋_GB2312" w:cs="仿宋_GB2312"/>
          <w:sz w:val="28"/>
          <w:szCs w:val="28"/>
          <w:highlight w:val="none"/>
          <w:lang w:val="en-US" w:eastAsia="zh-CN"/>
        </w:rPr>
        <w:t>50000</w:t>
      </w:r>
      <w:r>
        <w:rPr>
          <w:rFonts w:hint="eastAsia" w:ascii="仿宋_GB2312" w:hAnsi="仿宋_GB2312" w:eastAsia="仿宋_GB2312" w:cs="仿宋_GB2312"/>
          <w:sz w:val="28"/>
          <w:szCs w:val="28"/>
          <w:highlight w:val="none"/>
        </w:rPr>
        <w:t>】元/天承担违约金并赔偿甲方的全部损失。如果发生甲方有权单方解除合同情形，则自甲方向乙方约定的通信地址或电子邮箱发出通知之日，双方合同解除。</w:t>
      </w:r>
    </w:p>
    <w:p w14:paraId="53CEE3FE">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14.4因乙方原因未达到甲方要求的【市级/省级安全文明施工标准】，乙方向甲方支付签约合同价【</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】%的违约金，并承担因此给甲方造成的全部损失。安全文明工地建设参照当地主管部门的有关标准验收，用工等费用已包含在乙方报价中。</w:t>
      </w:r>
    </w:p>
    <w:p w14:paraId="220517DE">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14.5</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除非双方协议将合同终止或解除，另一方要求违约方继续履行合同时，违约方在承担有关责任后仍应继续履行合同。</w:t>
      </w:r>
    </w:p>
    <w:p w14:paraId="6F1F0597">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14.6</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乙方在合同履行期间，应该按照甲方要求，【在甲方招标平台云筑网（https：//www.yzw.cn/）中】完成工程量的填报，否则，甲方有权在乙方的工程款中每次扣除【</w:t>
      </w:r>
      <w:r>
        <w:rPr>
          <w:rFonts w:hint="eastAsia" w:ascii="仿宋_GB2312" w:hAnsi="仿宋_GB2312" w:eastAsia="仿宋_GB2312" w:cs="仿宋_GB2312"/>
          <w:sz w:val="28"/>
          <w:szCs w:val="28"/>
          <w:highlight w:val="none"/>
          <w:lang w:val="en-US" w:eastAsia="zh-CN"/>
        </w:rPr>
        <w:t>1000</w:t>
      </w:r>
      <w:r>
        <w:rPr>
          <w:rFonts w:hint="eastAsia" w:ascii="仿宋_GB2312" w:hAnsi="仿宋_GB2312" w:eastAsia="仿宋_GB2312" w:cs="仿宋_GB2312"/>
          <w:sz w:val="28"/>
          <w:szCs w:val="28"/>
          <w:highlight w:val="none"/>
        </w:rPr>
        <w:t>】元作为违约金。</w:t>
      </w:r>
    </w:p>
    <w:p w14:paraId="3C3FEA99">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14.7</w:t>
      </w:r>
      <w:r>
        <w:rPr>
          <w:rFonts w:ascii="仿宋_GB2312" w:hAnsi="仿宋_GB2312" w:eastAsia="仿宋_GB2312" w:cs="仿宋_GB2312"/>
          <w:sz w:val="28"/>
          <w:szCs w:val="28"/>
          <w:highlight w:val="none"/>
        </w:rPr>
        <w:t xml:space="preserve"> 如乙方放弃工程，或明确表示不愿继续按照合同履行其义务的意向；或不能有效管理，难以保证工程质量和进度，将导致合同目的不能实现，甲方均可以单方解除合同。扣除已发生产值的【30】%或履约保证金（二者取最高）作为违约金，如按上述标准扣除的违约金不足以覆盖甲方损失的，甲方有权就不足部分进行追偿。</w:t>
      </w:r>
    </w:p>
    <w:p w14:paraId="322BD84F">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14.8若乙方的供货商、员工、民工向法院提起诉讼、劳动仲裁、向相关部门投诉举报，给甲方造成媒体曝光、工人上访、聚众闹事、被政府相关部门通报等负面影响，乙方应承担签约合同价【</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】%的违约金，且甲方有权选择解除合同。</w:t>
      </w:r>
    </w:p>
    <w:p w14:paraId="1E802BE9">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w:t>
      </w:r>
      <w:r>
        <w:rPr>
          <w:rFonts w:ascii="仿宋_GB2312" w:hAnsi="仿宋_GB2312" w:eastAsia="仿宋_GB2312" w:cs="仿宋_GB2312"/>
          <w:sz w:val="28"/>
          <w:szCs w:val="28"/>
          <w:highlight w:val="none"/>
        </w:rPr>
        <w:t>9</w:t>
      </w:r>
      <w:r>
        <w:rPr>
          <w:rFonts w:hint="eastAsia" w:ascii="仿宋_GB2312" w:hAnsi="仿宋_GB2312" w:eastAsia="仿宋_GB2312" w:cs="仿宋_GB2312"/>
          <w:sz w:val="28"/>
          <w:szCs w:val="28"/>
          <w:highlight w:val="none"/>
        </w:rPr>
        <w:t>本合同所确定的承包范围的工作内容，乙方应无条件完成。如因乙方原因某部分施工不能满足合同要求，甲方有权另作发包，并且乙方需向甲方支付未完成部分合同造价的【</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】%作为违约金。</w:t>
      </w:r>
    </w:p>
    <w:p w14:paraId="3FC10A11">
      <w:pPr>
        <w:spacing w:line="48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w:t>
      </w:r>
      <w:r>
        <w:rPr>
          <w:rFonts w:ascii="仿宋_GB2312" w:hAnsi="仿宋_GB2312" w:eastAsia="仿宋_GB2312" w:cs="仿宋_GB2312"/>
          <w:sz w:val="28"/>
          <w:szCs w:val="28"/>
          <w:highlight w:val="none"/>
        </w:rPr>
        <w:t>10</w:t>
      </w:r>
      <w:r>
        <w:rPr>
          <w:rFonts w:hint="eastAsia" w:ascii="仿宋_GB2312" w:hAnsi="仿宋_GB2312" w:eastAsia="仿宋_GB2312" w:cs="仿宋_GB2312"/>
          <w:sz w:val="28"/>
          <w:szCs w:val="28"/>
          <w:highlight w:val="none"/>
        </w:rPr>
        <w:t>本分包工程实施过程中出现交叉施工时应注意现场的文明施工及成品保护，上道工序应为下道工序创造良好的施工条件，下道工序要注意保护上道工序的成品和半成品。任何交叉作业中因乙方管理不善或出于恶意行为而导致的返工、返修、工期延误等损害或损失均由乙方承担。</w:t>
      </w:r>
    </w:p>
    <w:p w14:paraId="3E30EDCD">
      <w:pPr>
        <w:pBdr>
          <w:top w:val="none" w:color="000000" w:sz="0" w:space="0"/>
          <w:left w:val="none" w:color="000000" w:sz="0" w:space="0"/>
          <w:bottom w:val="none" w:color="000000" w:sz="0" w:space="0"/>
          <w:right w:val="none" w:color="000000" w:sz="0" w:space="0"/>
        </w:pBdr>
        <w:spacing w:line="276" w:lineRule="auto"/>
        <w:ind w:left="0" w:right="0" w:firstLine="0"/>
        <w:jc w:val="both"/>
        <w:rPr>
          <w:sz w:val="22"/>
        </w:rPr>
      </w:pPr>
      <w:r>
        <w:rPr>
          <w:rFonts w:hint="eastAsia" w:ascii="仿宋_GB2312" w:hAnsi="仿宋_GB2312" w:eastAsia="仿宋_GB2312" w:cs="仿宋_GB2312"/>
          <w:sz w:val="28"/>
          <w:szCs w:val="28"/>
          <w:highlight w:val="none"/>
        </w:rPr>
        <w:t xml:space="preserve">    14.11</w:t>
      </w:r>
      <w:r>
        <w:rPr>
          <w:rFonts w:ascii="仿宋_GB2312" w:hAnsi="仿宋_GB2312" w:eastAsia="仿宋_GB2312" w:cs="仿宋_GB2312"/>
          <w:b w:val="0"/>
          <w:bCs w:val="0"/>
          <w:color w:val="000000"/>
          <w:sz w:val="28"/>
          <w:szCs w:val="28"/>
        </w:rPr>
        <w:t>乙方供应的材料设备交接安装完毕后，</w:t>
      </w:r>
      <w:r>
        <w:rPr>
          <w:rFonts w:ascii="FangSong_GB2312" w:hAnsi="FangSong_GB2312" w:eastAsia="FangSong_GB2312" w:cs="FangSong_GB2312"/>
          <w:color w:val="000000"/>
          <w:sz w:val="28"/>
        </w:rPr>
        <w:t>乙方不得以任何理由、任何方式自行控制或关停材料设备，包括并不限于远程控制、本地控制、更改账户、更改密码、控制权限、人为控制等一切造成材料设备不能正常使用的方式。否则产生的一切责任及损失由乙方承担，并向甲方支付总货款【10%】的违约金。如该违约金不足以覆盖给甲方造成的损失，甲方有权按照实际损失金额主张赔偿，相关款项可直接从乙方应付款项中扣除。</w:t>
      </w:r>
    </w:p>
    <w:p w14:paraId="02C05A47">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15. 不可抗力</w:t>
      </w:r>
    </w:p>
    <w:p w14:paraId="25714947">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15.1</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本合同所定不可抗力是指合同当事人在签订合同时不可预见，在合同履行过程中不可避免且不能克服的自然灾害和社会性突发事件，包括但不限于地震、海啸、瘟疫、骚乱、戒严、暴动、战争等。</w:t>
      </w:r>
    </w:p>
    <w:p w14:paraId="0886C6C9">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15.2</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乙方认为某一事件已构成不可抗力并影响其正常履行义务，则此事件发生时，应立即通知甲方，并立即采取必要的措施，防止损失的进一步扩大。不可抗力事件发生后【</w:t>
      </w:r>
      <w:r>
        <w:rPr>
          <w:rFonts w:ascii="仿宋_GB2312" w:hAnsi="仿宋_GB2312" w:eastAsia="仿宋_GB2312" w:cs="仿宋_GB2312"/>
          <w:sz w:val="28"/>
          <w:szCs w:val="28"/>
          <w:highlight w:val="none"/>
        </w:rPr>
        <w:t>48</w:t>
      </w:r>
      <w:r>
        <w:rPr>
          <w:rFonts w:hint="eastAsia" w:ascii="仿宋_GB2312" w:hAnsi="仿宋_GB2312" w:eastAsia="仿宋_GB2312" w:cs="仿宋_GB2312"/>
          <w:sz w:val="28"/>
          <w:szCs w:val="28"/>
          <w:highlight w:val="none"/>
        </w:rPr>
        <w:t>小时】内乙方向甲方通报受害情况和损失情况，及预计清理和修复的费用，逾期提出的甲方不予认可。不可抗力持续发生，乙方应每日报告一次受害情况，直到不可抗力结束。甲方应对受害处理提供必要的条件，并负责处理工作的组织、指挥。不可抗力发生后，乙方未采取有效措施控制灾害而发生的损失由乙方承担。</w:t>
      </w:r>
    </w:p>
    <w:p w14:paraId="089BB701">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15.2.1</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因不可抗力，由甲方、乙方各自承担自身的人员伤亡、机械设备和材料的损坏、停工等造成的损失；</w:t>
      </w:r>
    </w:p>
    <w:p w14:paraId="2B1A5920">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15.2.2</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工程自身的损害、因工程损害导致第三人伤亡、工程清理维修费由乙方配合甲方与建设单位协商处理；</w:t>
      </w:r>
    </w:p>
    <w:p w14:paraId="7E8E9C2A">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15.2.3</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在得到建设单位/监理对整体/分包工程的工期顺延许可后，分包工程延误的工期相应顺延；</w:t>
      </w:r>
    </w:p>
    <w:p w14:paraId="29F20795">
      <w:pPr>
        <w:spacing w:line="480" w:lineRule="exact"/>
        <w:ind w:firstLine="560"/>
        <w:rPr>
          <w:rFonts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5.2.4</w:t>
      </w:r>
      <w:r>
        <w:rPr>
          <w:rFonts w:hint="eastAsia" w:ascii="仿宋_GB2312" w:hAnsi="仿宋_GB2312" w:eastAsia="仿宋_GB2312" w:cs="仿宋_GB2312"/>
          <w:sz w:val="28"/>
          <w:szCs w:val="28"/>
          <w:highlight w:val="none"/>
        </w:rPr>
        <w:t>停工期间，乙方应甲方要求留在施工场地的必要的管理人员及保卫人员的费用由甲方承担；</w:t>
      </w:r>
    </w:p>
    <w:p w14:paraId="402E7232">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 xml:space="preserve">5.3 </w:t>
      </w:r>
      <w:r>
        <w:rPr>
          <w:rFonts w:hint="eastAsia" w:ascii="仿宋_GB2312" w:hAnsi="仿宋_GB2312" w:eastAsia="仿宋_GB2312" w:cs="仿宋_GB2312"/>
          <w:sz w:val="28"/>
          <w:szCs w:val="28"/>
          <w:highlight w:val="none"/>
        </w:rPr>
        <w:t>因单次不可抗力导致合同无法履行连续超过【</w:t>
      </w:r>
      <w:r>
        <w:rPr>
          <w:rFonts w:hint="eastAsia" w:ascii="仿宋_GB2312" w:hAnsi="仿宋_GB2312" w:eastAsia="仿宋_GB2312" w:cs="仿宋_GB2312"/>
          <w:sz w:val="28"/>
          <w:szCs w:val="28"/>
          <w:highlight w:val="none"/>
          <w:lang w:val="en-US" w:eastAsia="zh-CN"/>
        </w:rPr>
        <w:t>90</w:t>
      </w:r>
      <w:r>
        <w:rPr>
          <w:rFonts w:hint="eastAsia" w:ascii="仿宋_GB2312" w:hAnsi="仿宋_GB2312" w:eastAsia="仿宋_GB2312" w:cs="仿宋_GB2312"/>
          <w:sz w:val="28"/>
          <w:szCs w:val="28"/>
          <w:highlight w:val="none"/>
        </w:rPr>
        <w:t>】天或累计超过【</w:t>
      </w:r>
      <w:r>
        <w:rPr>
          <w:rFonts w:hint="eastAsia" w:ascii="仿宋_GB2312" w:hAnsi="仿宋_GB2312" w:eastAsia="仿宋_GB2312" w:cs="仿宋_GB2312"/>
          <w:sz w:val="28"/>
          <w:szCs w:val="28"/>
          <w:highlight w:val="none"/>
          <w:lang w:val="en-US" w:eastAsia="zh-CN"/>
        </w:rPr>
        <w:t>120</w:t>
      </w:r>
      <w:r>
        <w:rPr>
          <w:rFonts w:hint="eastAsia" w:ascii="仿宋_GB2312" w:hAnsi="仿宋_GB2312" w:eastAsia="仿宋_GB2312" w:cs="仿宋_GB2312"/>
          <w:sz w:val="28"/>
          <w:szCs w:val="28"/>
          <w:highlight w:val="none"/>
        </w:rPr>
        <w:t>】天的，甲乙双方均有权解除合同。合同解除后，双方应就已完工程的计量、验收、估价、以及结算与付款等善后事宜达成补充协议。</w:t>
      </w:r>
    </w:p>
    <w:p w14:paraId="39568218">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16. 保险</w:t>
      </w:r>
    </w:p>
    <w:p w14:paraId="1581F55B">
      <w:pPr>
        <w:spacing w:line="480" w:lineRule="exact"/>
        <w:ind w:firstLine="562"/>
        <w:rPr>
          <w:rFonts w:ascii="黑体" w:hAnsi="黑体" w:eastAsia="黑体" w:cs="仿宋_GB2312"/>
          <w:b/>
          <w:bCs/>
          <w:sz w:val="28"/>
          <w:szCs w:val="28"/>
          <w:highlight w:val="none"/>
        </w:rPr>
      </w:pPr>
      <w:r>
        <w:rPr>
          <w:rFonts w:hint="eastAsia" w:ascii="黑体" w:hAnsi="黑体" w:eastAsia="黑体" w:cs="仿宋_GB2312"/>
          <w:b/>
          <w:bCs/>
          <w:sz w:val="28"/>
          <w:szCs w:val="28"/>
          <w:highlight w:val="none"/>
        </w:rPr>
        <w:t>1</w:t>
      </w:r>
      <w:r>
        <w:rPr>
          <w:rFonts w:ascii="黑体" w:hAnsi="黑体" w:eastAsia="黑体" w:cs="仿宋_GB2312"/>
          <w:b/>
          <w:bCs/>
          <w:sz w:val="28"/>
          <w:szCs w:val="28"/>
          <w:highlight w:val="none"/>
        </w:rPr>
        <w:t xml:space="preserve">6.1 </w:t>
      </w:r>
      <w:r>
        <w:rPr>
          <w:rFonts w:hint="eastAsia" w:ascii="黑体" w:hAnsi="黑体" w:eastAsia="黑体" w:cs="仿宋_GB2312"/>
          <w:b/>
          <w:bCs/>
          <w:sz w:val="28"/>
          <w:szCs w:val="28"/>
          <w:highlight w:val="none"/>
        </w:rPr>
        <w:t>乙方应办理的保险</w:t>
      </w:r>
    </w:p>
    <w:p w14:paraId="0201E939">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 xml:space="preserve">6.1.1 </w:t>
      </w:r>
      <w:r>
        <w:rPr>
          <w:rFonts w:hint="eastAsia" w:ascii="仿宋_GB2312" w:hAnsi="仿宋_GB2312" w:eastAsia="仿宋_GB2312" w:cs="仿宋_GB2312"/>
          <w:sz w:val="28"/>
          <w:szCs w:val="28"/>
          <w:highlight w:val="none"/>
        </w:rPr>
        <w:t>乙方应当在合同签订进场施工前为其履行合同雇用的全部人员办理工伤保险，缴纳工伤保险费，并为其在施工现场的全部施工人员办理意外伤害保险，属于国家规定的高危行业、领域的生产经营单位，应当投保安全生产责任保险，并为施工场地内自有人员生命财产、运至施工场内用于分包工程的材料和待安装设备以及施工机械设备办理保险，支付保险费用。包括但不限于：</w:t>
      </w:r>
    </w:p>
    <w:p w14:paraId="20A41F4D">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（1）应对其自身在分包工程现场的全部雇员的人身安全及自有机械设备等财产办理保险；</w:t>
      </w:r>
    </w:p>
    <w:p w14:paraId="1E9566AF">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（2）乙方雇用的任何员工或其他人员的任何意外事故或伤害所引起损失由乙方承担。</w:t>
      </w:r>
    </w:p>
    <w:p w14:paraId="54969728">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 xml:space="preserve">6.1.2 </w:t>
      </w:r>
      <w:r>
        <w:rPr>
          <w:rFonts w:hint="eastAsia" w:ascii="仿宋_GB2312" w:hAnsi="仿宋_GB2312" w:eastAsia="仿宋_GB2312" w:cs="仿宋_GB2312"/>
          <w:sz w:val="28"/>
          <w:szCs w:val="28"/>
          <w:highlight w:val="none"/>
        </w:rPr>
        <w:t>乙方应保持保单的有效性，并按照甲方的要求，在本分包合同履约期间，妥善保存此保单及保险费付款收据，并在甲方要求的情况下立即向甲方出示投保单和保险单。如果乙方未按约定办理上述保险且在甲方提醒后仍未办理，甲方可代为办理保险，并从应支付乙方工程款中扣除相应金额。</w:t>
      </w:r>
    </w:p>
    <w:p w14:paraId="3734584F">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16.1.</w:t>
      </w:r>
      <w:r>
        <w:rPr>
          <w:rFonts w:ascii="仿宋_GB2312" w:hAnsi="仿宋_GB2312" w:eastAsia="仿宋_GB2312" w:cs="仿宋_GB2312"/>
          <w:sz w:val="28"/>
          <w:szCs w:val="28"/>
          <w:highlight w:val="none"/>
        </w:rPr>
        <w:t xml:space="preserve">3 </w:t>
      </w:r>
      <w:r>
        <w:rPr>
          <w:rFonts w:hint="eastAsia" w:ascii="仿宋_GB2312" w:hAnsi="仿宋_GB2312" w:eastAsia="仿宋_GB2312" w:cs="仿宋_GB2312"/>
          <w:sz w:val="28"/>
          <w:szCs w:val="28"/>
          <w:highlight w:val="none"/>
        </w:rPr>
        <w:t>保险费用已包含在乙方的合同价款中，乙方自行缴纳。</w:t>
      </w:r>
    </w:p>
    <w:p w14:paraId="2BD76919">
      <w:pPr>
        <w:spacing w:line="480" w:lineRule="exact"/>
        <w:ind w:firstLine="562"/>
        <w:rPr>
          <w:rFonts w:ascii="黑体" w:hAnsi="黑体" w:eastAsia="黑体" w:cs="仿宋_GB2312"/>
          <w:b/>
          <w:bCs/>
          <w:sz w:val="28"/>
          <w:szCs w:val="28"/>
          <w:highlight w:val="none"/>
        </w:rPr>
      </w:pPr>
      <w:r>
        <w:rPr>
          <w:rFonts w:hint="eastAsia" w:ascii="黑体" w:hAnsi="黑体" w:eastAsia="黑体" w:cs="仿宋_GB2312"/>
          <w:b/>
          <w:bCs/>
          <w:sz w:val="28"/>
          <w:szCs w:val="28"/>
          <w:highlight w:val="none"/>
        </w:rPr>
        <w:t>16.2 保险事故的处理</w:t>
      </w:r>
    </w:p>
    <w:p w14:paraId="0A85D416">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保险事故发生时，甲方和乙方有责任采取必要的措施，避免损失扩大。</w:t>
      </w:r>
    </w:p>
    <w:p w14:paraId="0985CD5F">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17. 配合索赔</w:t>
      </w:r>
    </w:p>
    <w:p w14:paraId="0954D22C">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17.1</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甲方根据总承包合同向建设单位递交索赔意向通知或其他资料时，乙方应予以积极配合，并出示相应资料。</w:t>
      </w:r>
    </w:p>
    <w:p w14:paraId="3AA9169E">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17.2</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在分包作业实施过程中甲方认为可以根据总承包合同向建设单位提起索赔的，主张追加付款和（或）延长作业期限，乙方应予以配合，否则将承担甲方的损失。</w:t>
      </w:r>
    </w:p>
    <w:p w14:paraId="2813EA46">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17.3</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乙方根据甲方要求出示的相关索赔资料及建设单位的回复意见等均不作为甲乙双方结算的依据。</w:t>
      </w:r>
    </w:p>
    <w:p w14:paraId="4F5C0104">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18. 合同解除</w:t>
      </w:r>
    </w:p>
    <w:p w14:paraId="215E03F3">
      <w:pPr>
        <w:spacing w:line="480" w:lineRule="exact"/>
        <w:ind w:firstLine="562"/>
        <w:rPr>
          <w:rFonts w:ascii="黑体" w:hAnsi="黑体" w:eastAsia="黑体" w:cs="仿宋_GB2312"/>
          <w:b/>
          <w:bCs/>
          <w:sz w:val="28"/>
          <w:szCs w:val="28"/>
          <w:highlight w:val="none"/>
        </w:rPr>
      </w:pPr>
      <w:r>
        <w:rPr>
          <w:rFonts w:ascii="黑体" w:hAnsi="黑体" w:eastAsia="黑体" w:cs="仿宋_GB2312"/>
          <w:b/>
          <w:bCs/>
          <w:sz w:val="28"/>
          <w:szCs w:val="28"/>
          <w:highlight w:val="none"/>
        </w:rPr>
        <w:t>18</w:t>
      </w:r>
      <w:r>
        <w:rPr>
          <w:rFonts w:hint="eastAsia" w:ascii="黑体" w:hAnsi="黑体" w:eastAsia="黑体" w:cs="仿宋_GB2312"/>
          <w:b/>
          <w:bCs/>
          <w:sz w:val="28"/>
          <w:szCs w:val="28"/>
          <w:highlight w:val="none"/>
        </w:rPr>
        <w:t>.1</w:t>
      </w:r>
      <w:r>
        <w:rPr>
          <w:rFonts w:ascii="黑体" w:hAnsi="黑体" w:eastAsia="黑体" w:cs="仿宋_GB2312"/>
          <w:b/>
          <w:bCs/>
          <w:sz w:val="28"/>
          <w:szCs w:val="28"/>
          <w:highlight w:val="none"/>
        </w:rPr>
        <w:t xml:space="preserve"> </w:t>
      </w:r>
      <w:r>
        <w:rPr>
          <w:rFonts w:hint="eastAsia" w:ascii="黑体" w:hAnsi="黑体" w:eastAsia="黑体" w:cs="仿宋_GB2312"/>
          <w:b/>
          <w:bCs/>
          <w:sz w:val="28"/>
          <w:szCs w:val="28"/>
          <w:highlight w:val="none"/>
        </w:rPr>
        <w:t>分包合同解除事由</w:t>
      </w:r>
    </w:p>
    <w:p w14:paraId="51933F35">
      <w:pPr>
        <w:spacing w:line="480" w:lineRule="exact"/>
        <w:ind w:firstLine="56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18</w:t>
      </w:r>
      <w:r>
        <w:rPr>
          <w:rFonts w:hint="eastAsia" w:ascii="仿宋_GB2312" w:hAnsi="仿宋_GB2312" w:eastAsia="仿宋_GB2312" w:cs="仿宋_GB2312"/>
          <w:sz w:val="28"/>
          <w:szCs w:val="28"/>
          <w:highlight w:val="none"/>
        </w:rPr>
        <w:t>.1.1</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如乙方出现以下违约行为，甲方可发出书面指令要求其立即纠正并承担违约所造成的损失：</w:t>
      </w:r>
    </w:p>
    <w:p w14:paraId="270521CC">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（1）在竣工之前，没有合理原因，完全搁置工程停止施工；</w:t>
      </w:r>
    </w:p>
    <w:p w14:paraId="62E17FD0">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（2）拒绝执行甲方要求其修补缺陷或更换不适用的材料和（或）物品等的书面通知；</w:t>
      </w:r>
    </w:p>
    <w:p w14:paraId="3F7E1F1E">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（3）未经甲方许可，乙方擅自将其承包的分包工程转包或再分包；</w:t>
      </w:r>
    </w:p>
    <w:p w14:paraId="28C95B90">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（4）因乙方原因拖延工期，未能在约定的工期内或分段工期内完成分包工程或其中任何区段的工作； </w:t>
      </w:r>
    </w:p>
    <w:p w14:paraId="35F3F1F4">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（5）因乙方原因工程质量达不到本分包合同约定的质量标准和质量目标；</w:t>
      </w:r>
    </w:p>
    <w:p w14:paraId="76634350">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（6）合同中约定的其他违约行为。</w:t>
      </w:r>
    </w:p>
    <w:p w14:paraId="3B19C2DF">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 xml:space="preserve">8.1.2 </w:t>
      </w:r>
      <w:r>
        <w:rPr>
          <w:rFonts w:hint="eastAsia" w:ascii="仿宋_GB2312" w:hAnsi="仿宋_GB2312" w:eastAsia="仿宋_GB2312" w:cs="仿宋_GB2312"/>
          <w:sz w:val="28"/>
          <w:szCs w:val="28"/>
          <w:highlight w:val="none"/>
        </w:rPr>
        <w:t>如乙方在接到甲方发出的书面指令后仍继续1</w:t>
      </w:r>
      <w:r>
        <w:rPr>
          <w:rFonts w:ascii="仿宋_GB2312" w:hAnsi="仿宋_GB2312" w:eastAsia="仿宋_GB2312" w:cs="仿宋_GB2312"/>
          <w:sz w:val="28"/>
          <w:szCs w:val="28"/>
          <w:highlight w:val="none"/>
        </w:rPr>
        <w:t>8.1.1</w:t>
      </w:r>
      <w:r>
        <w:rPr>
          <w:rFonts w:hint="eastAsia" w:ascii="仿宋_GB2312" w:hAnsi="仿宋_GB2312" w:eastAsia="仿宋_GB2312" w:cs="仿宋_GB2312"/>
          <w:sz w:val="28"/>
          <w:szCs w:val="28"/>
          <w:highlight w:val="none"/>
        </w:rPr>
        <w:t>中的违约行为，或该违约行为再次发生，甲方可选择行使如下权利：</w:t>
      </w:r>
    </w:p>
    <w:p w14:paraId="35C14077">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（1）以书面形式通知乙方解除本分包合同；</w:t>
      </w:r>
    </w:p>
    <w:p w14:paraId="6D1920FF">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（2）将分包工程中的部分内容交由其他单位完成，相关费用由甲方从分包工程价款中扣除，由此给甲方造成的额外成本由乙方承担。</w:t>
      </w:r>
    </w:p>
    <w:p w14:paraId="063C2D06">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18.1.</w:t>
      </w:r>
      <w:r>
        <w:rPr>
          <w:rFonts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rPr>
        <w:t xml:space="preserve"> 不论何种原因导致甲方与建设单位之间的总包合同解除时，甲方与乙方之间的分包合同同时无条件解除。所发生的费用由甲、乙双方另行协商并签订补充协议。</w:t>
      </w:r>
    </w:p>
    <w:p w14:paraId="527622B5">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18.1.</w:t>
      </w:r>
      <w:r>
        <w:rPr>
          <w:rFonts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t xml:space="preserve"> 如果乙方发生破产、解散、关闭等已不能实际履行分包合同义务的情形，甲方可在通知乙方后，解除本分包合同。</w:t>
      </w:r>
    </w:p>
    <w:p w14:paraId="3959CB94">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18.1.</w:t>
      </w:r>
      <w:r>
        <w:rPr>
          <w:rFonts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t xml:space="preserve"> 因不可抗力发生导致全部分包合同的履行成为不可能时，甲方、乙方均有权解除合同。</w:t>
      </w:r>
    </w:p>
    <w:p w14:paraId="53493833">
      <w:pPr>
        <w:spacing w:line="480" w:lineRule="exact"/>
        <w:ind w:firstLine="562"/>
        <w:rPr>
          <w:rFonts w:ascii="仿宋_GB2312" w:hAnsi="仿宋_GB2312" w:eastAsia="仿宋_GB2312" w:cs="仿宋_GB2312"/>
          <w:sz w:val="28"/>
          <w:szCs w:val="28"/>
          <w:highlight w:val="none"/>
        </w:rPr>
      </w:pPr>
      <w:r>
        <w:rPr>
          <w:rFonts w:hint="eastAsia" w:ascii="黑体" w:hAnsi="黑体" w:eastAsia="黑体" w:cs="仿宋_GB2312"/>
          <w:b/>
          <w:bCs/>
          <w:sz w:val="28"/>
          <w:szCs w:val="28"/>
          <w:highlight w:val="none"/>
        </w:rPr>
        <w:t>18.2 分包合同解除后各自的权利和责任</w:t>
      </w:r>
      <w:r>
        <w:rPr>
          <w:rFonts w:hint="eastAsia" w:ascii="仿宋_GB2312" w:hAnsi="仿宋_GB2312" w:eastAsia="仿宋_GB2312" w:cs="仿宋_GB2312"/>
          <w:sz w:val="28"/>
          <w:szCs w:val="28"/>
          <w:highlight w:val="none"/>
        </w:rPr>
        <w:t xml:space="preserve"> </w:t>
      </w:r>
    </w:p>
    <w:p w14:paraId="288C629A">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如因本合同第18.1.1条款约定的解除情形发生，甲方和乙方应具有以下权利和责任： </w:t>
      </w:r>
    </w:p>
    <w:p w14:paraId="31EEA299">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（1）甲方可雇佣其他单位进行并完成分包工程；</w:t>
      </w:r>
    </w:p>
    <w:p w14:paraId="5DD58EFA">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（2）分包合同解除后【</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】天内，经甲方同意，乙方可将用于本分包工程的任何材料、设备和其他物品的采购供货协议和租赁协议等转让给甲方或乙方的继任者；</w:t>
      </w:r>
    </w:p>
    <w:p w14:paraId="7B326E81">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（3）乙方应妥善做好已完工程和已购材料、设备、建筑施工图纸和全部相关资料的保护和移交工作；</w:t>
      </w:r>
    </w:p>
    <w:p w14:paraId="776EA729">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当甲方以书面形式通知乙方须从现场拆除或撤出属于乙方的或由其租赁的任何临时工程、机具设备、材料和货物时，乙方应按照要求执行。如乙方未在合理的时间内按照要求执行，甲方可自行拆除（但不对任何损失或损坏负责），并有权变卖或处理任何上述属于乙方的财产。甲方在扣除因乙方违约造成的工程损失费用及处理此类财产的费用后，将剩余金额返还乙方。</w:t>
      </w:r>
    </w:p>
    <w:p w14:paraId="3CEF4BA2">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（5）分包合同解除后【</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】日内，乙方自身的劳务人员或其劳务分包的全体人员应退场，未撤场人员发生的费用均由乙方承担。</w:t>
      </w:r>
    </w:p>
    <w:p w14:paraId="1B21A5D6">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（6）乙方应补偿甲方因分包合同解除给甲方带来的任何损失和损害。</w:t>
      </w:r>
    </w:p>
    <w:p w14:paraId="4ED7C5D1">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（7）分包合同解除后【</w:t>
      </w:r>
      <w:r>
        <w:rPr>
          <w:rFonts w:hint="eastAsia" w:ascii="仿宋_GB2312" w:hAnsi="仿宋_GB2312" w:eastAsia="仿宋_GB2312" w:cs="仿宋_GB2312"/>
          <w:sz w:val="28"/>
          <w:szCs w:val="28"/>
          <w:highlight w:val="none"/>
          <w:lang w:val="en-US" w:eastAsia="zh-CN"/>
        </w:rPr>
        <w:t>28</w:t>
      </w:r>
      <w:r>
        <w:rPr>
          <w:rFonts w:hint="eastAsia" w:ascii="仿宋_GB2312" w:hAnsi="仿宋_GB2312" w:eastAsia="仿宋_GB2312" w:cs="仿宋_GB2312"/>
          <w:sz w:val="28"/>
          <w:szCs w:val="28"/>
          <w:highlight w:val="none"/>
        </w:rPr>
        <w:t>】日内，乙方应向甲方提交结算报告和结算协议供甲方审核，结算应根据甲方签字确认的已完工程量和工程量清单中确定的单价进行计算，计算时间应截至分包合同解除之日。一旦工程竣工并在甲方对工程结算核准后的合理时间内，甲方应确认因乙方原因导致分包合同解除而给总包工程带来任何直接、间接损失和损害的费用金额。如果此金额加上在分包合同解除前已付给乙方的金额超过在分包合同解除时应付而未付给乙方的工程款额时，其差额作为乙方对甲方的负债，由甲方从乙方提交的履约保函、预付款保函中予以扣回，不足时，仍可索赔；如果此金额未超过甲方应支付给乙方的工程款额时，其差额应由甲方按分包合同付款条件支付给乙方。</w:t>
      </w:r>
    </w:p>
    <w:p w14:paraId="2B6A63BF">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19. 知识产权</w:t>
      </w:r>
    </w:p>
    <w:p w14:paraId="58AA2B6F">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 xml:space="preserve">9.1 </w:t>
      </w:r>
      <w:r>
        <w:rPr>
          <w:rFonts w:hint="eastAsia" w:ascii="仿宋_GB2312" w:hAnsi="仿宋_GB2312" w:eastAsia="仿宋_GB2312" w:cs="仿宋_GB2312"/>
          <w:sz w:val="28"/>
          <w:szCs w:val="28"/>
          <w:highlight w:val="none"/>
        </w:rPr>
        <w:t>除法律规定或合同条款另有约定外，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事先书面同意，乙方不得为了合同以外的目的而复制、使用上述文件或将之提供给任何第三方。</w:t>
      </w:r>
    </w:p>
    <w:p w14:paraId="37314144">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 xml:space="preserve">9.2 </w:t>
      </w:r>
      <w:r>
        <w:rPr>
          <w:rFonts w:hint="eastAsia" w:ascii="仿宋_GB2312" w:hAnsi="仿宋_GB2312" w:eastAsia="仿宋_GB2312" w:cs="仿宋_GB2312"/>
          <w:sz w:val="28"/>
          <w:szCs w:val="28"/>
          <w:highlight w:val="none"/>
        </w:rPr>
        <w:t>除法律规定或合同条款另有约定外，乙方为实施工程所编制的文件，除署名权以外的著作权属于甲方，乙方可因实施工程的运行、调试、维修、改造等目的而复制、使用此类文件，但不能用于与合同无关的其他事项。未经甲方事先书面同意，乙方不得为了合同以外的目的而复制、使用上述文件或将之提供给任何第三方。</w:t>
      </w:r>
    </w:p>
    <w:p w14:paraId="6C4B0082">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 xml:space="preserve">9.3 </w:t>
      </w:r>
      <w:r>
        <w:rPr>
          <w:rFonts w:hint="eastAsia" w:ascii="仿宋_GB2312" w:hAnsi="仿宋_GB2312" w:eastAsia="仿宋_GB2312" w:cs="仿宋_GB2312"/>
          <w:sz w:val="28"/>
          <w:szCs w:val="28"/>
          <w:highlight w:val="none"/>
        </w:rPr>
        <w:t>除法律规定或合同条款另有约定外，乙方在合同签订前和签订时已确定采用的专利、专有技术、技术秘密的使用费已包含在签约合同价中。</w:t>
      </w:r>
    </w:p>
    <w:p w14:paraId="08303E2D">
      <w:pPr>
        <w:spacing w:line="48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 xml:space="preserve">9.4 </w:t>
      </w:r>
      <w:r>
        <w:rPr>
          <w:rFonts w:hint="eastAsia" w:ascii="仿宋_GB2312" w:hAnsi="仿宋_GB2312" w:eastAsia="仿宋_GB2312" w:cs="仿宋_GB2312"/>
          <w:sz w:val="28"/>
          <w:szCs w:val="28"/>
          <w:highlight w:val="none"/>
        </w:rPr>
        <w:t>乙方保证乙方交付的成果不会侵犯甲方及任何第三方的知识产权，并保证甲方及甲方利益相关方免于遭受任何第三方基于本合同交付成果而提起任何诉讼。如果任何第三方基于本合同交付成果而针对甲方或甲方利益相关方提起任何诉讼，乙方应负责应诉，并承担所有费用，包括但不限于：诉讼费、律师费、鉴定费、罚金、赔偿金等，如甲方为自身及甲方利益相关方的利益应诉，并不免除乙方的前述义务，乙方应赔偿甲方因此遭受的前述全部损失，并及时公开澄清相关事实，使甲方声誉免受损害。</w:t>
      </w:r>
    </w:p>
    <w:p w14:paraId="28075022">
      <w:pPr>
        <w:pStyle w:val="6"/>
        <w:ind w:left="0" w:firstLine="562"/>
        <w:rPr>
          <w:rFonts w:hint="eastAsia" w:ascii="黑体" w:hAnsi="黑体" w:eastAsia="黑体" w:cs="黑体"/>
          <w:b/>
          <w:bCs/>
          <w:highlight w:val="none"/>
        </w:rPr>
      </w:pPr>
      <w:r>
        <w:rPr>
          <w:rFonts w:hint="eastAsia" w:ascii="黑体" w:hAnsi="黑体" w:eastAsia="黑体" w:cs="黑体"/>
          <w:b/>
          <w:bCs/>
          <w:highlight w:val="none"/>
          <w:u w:val="none"/>
        </w:rPr>
        <w:t>20. 其他约定</w:t>
      </w:r>
    </w:p>
    <w:p w14:paraId="6E4F72C4">
      <w:pPr>
        <w:spacing w:line="480" w:lineRule="exact"/>
        <w:ind w:firstLine="560"/>
        <w:jc w:val="left"/>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 xml:space="preserve">                 </w:t>
      </w:r>
    </w:p>
    <w:p w14:paraId="12207702">
      <w:pPr>
        <w:pStyle w:val="6"/>
        <w:ind w:left="0" w:firstLine="562"/>
        <w:rPr>
          <w:rFonts w:hint="default" w:ascii="黑体" w:hAnsi="黑体" w:eastAsia="黑体" w:cs="黑体"/>
          <w:b/>
          <w:bCs/>
          <w:highlight w:val="none"/>
          <w:lang w:val="en-US" w:eastAsia="zh-CN"/>
        </w:rPr>
      </w:pPr>
      <w:r>
        <w:rPr>
          <w:rFonts w:hint="eastAsia" w:ascii="黑体" w:hAnsi="黑体" w:eastAsia="黑体" w:cs="黑体"/>
          <w:b/>
          <w:bCs/>
          <w:highlight w:val="none"/>
          <w:u w:val="none"/>
          <w:lang w:val="en-US" w:eastAsia="zh-CN"/>
        </w:rPr>
        <w:t>21 附件</w:t>
      </w:r>
    </w:p>
    <w:p w14:paraId="50DF45CF">
      <w:pPr>
        <w:spacing w:line="480" w:lineRule="exact"/>
        <w:ind w:firstLine="560"/>
        <w:jc w:val="left"/>
        <w:rPr>
          <w:rFonts w:ascii="仿宋_GB2312" w:hAnsi="仿宋_GB2312" w:eastAsia="仿宋_GB2312" w:cs="仿宋_GB2312"/>
          <w:sz w:val="28"/>
          <w:szCs w:val="28"/>
          <w:highlight w:val="none"/>
        </w:rPr>
      </w:pPr>
    </w:p>
    <w:p w14:paraId="0A72964C">
      <w:pPr>
        <w:spacing w:line="480" w:lineRule="exact"/>
        <w:ind w:firstLine="5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附件1：工程量清单与计价表</w:t>
      </w:r>
    </w:p>
    <w:p w14:paraId="1184863E">
      <w:pPr>
        <w:spacing w:line="480" w:lineRule="exact"/>
        <w:ind w:firstLine="560"/>
        <w:jc w:val="left"/>
        <w:rPr>
          <w:rFonts w:ascii="仿宋_GB2312" w:hAnsi="仿宋_GB2312" w:eastAsia="仿宋_GB2312" w:cs="仿宋_GB2312"/>
          <w:color w:val="C00000"/>
          <w:sz w:val="28"/>
          <w:szCs w:val="28"/>
          <w:highlight w:val="none"/>
        </w:rPr>
      </w:pPr>
      <w:r>
        <w:rPr>
          <w:rFonts w:hint="eastAsia" w:ascii="仿宋_GB2312" w:hAnsi="仿宋_GB2312" w:eastAsia="仿宋_GB2312" w:cs="仿宋_GB2312"/>
          <w:sz w:val="28"/>
          <w:szCs w:val="28"/>
          <w:highlight w:val="none"/>
        </w:rPr>
        <w:t>附件2：授权委托书（甲方）</w:t>
      </w:r>
    </w:p>
    <w:p w14:paraId="7C2A53F4">
      <w:pPr>
        <w:spacing w:line="480" w:lineRule="exact"/>
        <w:ind w:firstLine="5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附件3：授权委托书（乙方）</w:t>
      </w:r>
    </w:p>
    <w:p w14:paraId="2F3FC44E">
      <w:pPr>
        <w:spacing w:line="480" w:lineRule="exact"/>
        <w:ind w:firstLine="5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r>
        <w:rPr>
          <w:rFonts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t>：乙方现场管理人员名单</w:t>
      </w:r>
    </w:p>
    <w:p w14:paraId="02B5880B">
      <w:pPr>
        <w:spacing w:line="480" w:lineRule="exact"/>
        <w:ind w:firstLine="5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：廉政合同书</w:t>
      </w:r>
    </w:p>
    <w:p w14:paraId="270D032D">
      <w:pPr>
        <w:spacing w:line="480" w:lineRule="exact"/>
        <w:ind w:firstLine="5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：工程质量专项管理协议书</w:t>
      </w:r>
    </w:p>
    <w:p w14:paraId="29F92DF5">
      <w:pPr>
        <w:spacing w:line="480" w:lineRule="exact"/>
        <w:ind w:firstLine="5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：施工现场安全生产管理协议</w:t>
      </w:r>
    </w:p>
    <w:p w14:paraId="44282656">
      <w:pPr>
        <w:spacing w:line="480" w:lineRule="exact"/>
        <w:ind w:firstLine="5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：项目后勤管理协议</w:t>
      </w:r>
    </w:p>
    <w:p w14:paraId="5549AC97">
      <w:pPr>
        <w:spacing w:line="480" w:lineRule="exact"/>
        <w:ind w:firstLine="5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：质量保证书</w:t>
      </w:r>
    </w:p>
    <w:p w14:paraId="65C70AC7">
      <w:pPr>
        <w:spacing w:line="480" w:lineRule="exact"/>
        <w:ind w:firstLine="5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附件1</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：农民工工作委托支付协议</w:t>
      </w:r>
    </w:p>
    <w:p w14:paraId="0D8CDE85">
      <w:pPr>
        <w:spacing w:line="480" w:lineRule="exact"/>
        <w:ind w:firstLine="56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附件1</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：施工现场消防安全管理协议</w:t>
      </w:r>
    </w:p>
    <w:p w14:paraId="3F79B37D">
      <w:pPr>
        <w:spacing w:line="480" w:lineRule="exact"/>
        <w:ind w:firstLine="56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附件1</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：施工现场临时用电安全管理协议</w:t>
      </w:r>
    </w:p>
    <w:p w14:paraId="19E2A7ED">
      <w:pPr>
        <w:spacing w:line="480" w:lineRule="exact"/>
        <w:ind w:firstLine="560"/>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附件13：建筑安装工程主要物资损耗率控制目标清单</w:t>
      </w:r>
    </w:p>
    <w:p w14:paraId="74B31800">
      <w:pPr>
        <w:spacing w:line="480" w:lineRule="exact"/>
        <w:ind w:firstLine="56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附件1</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：承诺书</w:t>
      </w:r>
    </w:p>
    <w:p w14:paraId="72CAF92F">
      <w:pPr>
        <w:spacing w:line="480" w:lineRule="exact"/>
        <w:ind w:firstLine="56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附件15：项目部现场管理制度</w:t>
      </w:r>
    </w:p>
    <w:p w14:paraId="17787B17">
      <w:pPr>
        <w:spacing w:line="480" w:lineRule="exact"/>
        <w:ind w:firstLine="560"/>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附件16：纪委监督投诉公告</w:t>
      </w:r>
    </w:p>
    <w:p w14:paraId="1ABF26E3">
      <w:pPr>
        <w:rPr>
          <w:rFonts w:hint="eastAsia"/>
          <w:highlight w:val="none"/>
          <w:u w:val="none"/>
        </w:rPr>
      </w:pPr>
      <w:r>
        <w:rPr>
          <w:rFonts w:hint="eastAsia"/>
          <w:highlight w:val="none"/>
          <w:u w:val="none"/>
        </w:rPr>
        <w:br w:type="page" w:clear="all"/>
      </w:r>
    </w:p>
    <w:p w14:paraId="6EFE9670">
      <w:pPr>
        <w:pStyle w:val="6"/>
        <w:spacing w:before="156" w:after="156"/>
        <w:ind w:left="0" w:firstLine="562"/>
        <w:rPr>
          <w:rFonts w:hint="eastAsia"/>
          <w:highlight w:val="none"/>
          <w:u w:val="none"/>
        </w:rPr>
      </w:pPr>
      <w:r>
        <w:rPr>
          <w:rFonts w:hint="eastAsia"/>
          <w:highlight w:val="none"/>
          <w:u w:val="none"/>
        </w:rPr>
        <w:t>附件</w:t>
      </w:r>
      <w:r>
        <w:rPr>
          <w:rFonts w:hint="eastAsia" w:ascii="黑体" w:hAnsi="黑体" w:eastAsia="黑体" w:cs="黑体"/>
          <w:highlight w:val="none"/>
          <w:u w:val="none"/>
        </w:rPr>
        <w:t>1</w:t>
      </w:r>
      <w:r>
        <w:rPr>
          <w:rFonts w:hint="eastAsia"/>
          <w:highlight w:val="none"/>
          <w:u w:val="none"/>
        </w:rPr>
        <w:t xml:space="preserve"> 工程量清单与计价表 </w:t>
      </w:r>
    </w:p>
    <w:tbl>
      <w:tblPr>
        <w:tblStyle w:val="4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582"/>
        <w:gridCol w:w="894"/>
        <w:gridCol w:w="955"/>
        <w:gridCol w:w="582"/>
        <w:gridCol w:w="1050"/>
        <w:gridCol w:w="1938"/>
        <w:gridCol w:w="1938"/>
        <w:gridCol w:w="583"/>
      </w:tblGrid>
      <w:tr w14:paraId="5AD68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noWrap w:val="0"/>
          </w:tcPr>
          <w:p w14:paraId="15AF9349">
            <w:pPr>
              <w:jc w:val="center"/>
            </w:pPr>
            <w:bookmarkStart w:id="79" w:name="mf_hetonggongchengliangqingdan_c30d9132-2bf0-4d5e-a388-1cc60e7e446b_1"/>
            <w:r>
              <w:t>序号</w:t>
            </w:r>
          </w:p>
          <w:p w14:paraId="62CADC85"/>
        </w:tc>
        <w:tc>
          <w:tcPr>
            <w:noWrap w:val="0"/>
          </w:tcPr>
          <w:p w14:paraId="1240E3B6">
            <w:pPr>
              <w:jc w:val="center"/>
            </w:pPr>
            <w:r>
              <w:t>工程内容</w:t>
            </w:r>
          </w:p>
          <w:p w14:paraId="7C7877B7"/>
        </w:tc>
        <w:tc>
          <w:tcPr>
            <w:noWrap w:val="0"/>
          </w:tcPr>
          <w:p w14:paraId="33DCAAEC">
            <w:pPr>
              <w:jc w:val="center"/>
            </w:pPr>
            <w:r>
              <w:t>规格/属性</w:t>
            </w:r>
          </w:p>
          <w:p w14:paraId="7D83FC0D"/>
        </w:tc>
        <w:tc>
          <w:tcPr>
            <w:noWrap w:val="0"/>
          </w:tcPr>
          <w:p w14:paraId="43E81B28">
            <w:pPr>
              <w:jc w:val="center"/>
            </w:pPr>
            <w:r>
              <w:t>单位</w:t>
            </w:r>
          </w:p>
          <w:p w14:paraId="127A66A8"/>
        </w:tc>
        <w:tc>
          <w:tcPr>
            <w:noWrap w:val="0"/>
          </w:tcPr>
          <w:p w14:paraId="16D835BA">
            <w:pPr>
              <w:jc w:val="center"/>
            </w:pPr>
            <w:r>
              <w:t>暂定工程量</w:t>
            </w:r>
          </w:p>
          <w:p w14:paraId="4C581BB5"/>
        </w:tc>
        <w:tc>
          <w:tcPr>
            <w:noWrap w:val="0"/>
          </w:tcPr>
          <w:p w14:paraId="0FD5F2BA">
            <w:pPr>
              <w:jc w:val="center"/>
            </w:pPr>
            <w:r>
              <w:t>固定不含税单价（元）</w:t>
            </w:r>
          </w:p>
          <w:p w14:paraId="3943BBE9"/>
        </w:tc>
        <w:tc>
          <w:tcPr>
            <w:noWrap w:val="0"/>
          </w:tcPr>
          <w:p w14:paraId="4C7FF7DC">
            <w:pPr>
              <w:jc w:val="center"/>
            </w:pPr>
            <w:r>
              <w:t>暂定不含税合价（元）</w:t>
            </w:r>
          </w:p>
          <w:p w14:paraId="5E30724C"/>
        </w:tc>
        <w:tc>
          <w:tcPr>
            <w:noWrap w:val="0"/>
          </w:tcPr>
          <w:p w14:paraId="360CE253">
            <w:pPr>
              <w:jc w:val="center"/>
            </w:pPr>
            <w:r>
              <w:t>备注</w:t>
            </w:r>
          </w:p>
          <w:p w14:paraId="075CC0AA"/>
        </w:tc>
      </w:tr>
      <w:tr w14:paraId="7E3CA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noWrap w:val="0"/>
          </w:tcPr>
          <w:p w14:paraId="6FAD29FB"/>
          <w:p w14:paraId="4714937C"/>
        </w:tc>
        <w:tc>
          <w:tcPr>
            <w:noWrap w:val="0"/>
          </w:tcPr>
          <w:p w14:paraId="261F7D19"/>
          <w:p w14:paraId="5877E3E8"/>
        </w:tc>
        <w:tc>
          <w:tcPr>
            <w:noWrap w:val="0"/>
          </w:tcPr>
          <w:p w14:paraId="353242DF"/>
          <w:p w14:paraId="6839822D"/>
        </w:tc>
        <w:tc>
          <w:tcPr>
            <w:noWrap w:val="0"/>
          </w:tcPr>
          <w:p w14:paraId="1CD54D04"/>
          <w:p w14:paraId="73E62675"/>
        </w:tc>
        <w:tc>
          <w:tcPr>
            <w:noWrap w:val="0"/>
          </w:tcPr>
          <w:p w14:paraId="5A6F38D6"/>
          <w:p w14:paraId="03B56C62"/>
        </w:tc>
        <w:tc>
          <w:tcPr>
            <w:noWrap w:val="0"/>
          </w:tcPr>
          <w:p w14:paraId="2BEDD698"/>
          <w:p w14:paraId="521CDAD2"/>
        </w:tc>
        <w:tc>
          <w:tcPr>
            <w:noWrap w:val="0"/>
          </w:tcPr>
          <w:p w14:paraId="7122847A"/>
          <w:p w14:paraId="4913762E"/>
        </w:tc>
        <w:tc>
          <w:tcPr>
            <w:noWrap w:val="0"/>
          </w:tcPr>
          <w:p w14:paraId="2779F7D8"/>
          <w:p w14:paraId="3A0BA357"/>
        </w:tc>
      </w:tr>
      <w:bookmarkEnd w:id="79"/>
    </w:tbl>
    <w:p w14:paraId="3599FB2A">
      <w:pPr>
        <w:rPr>
          <w:highlight w:val="yellow"/>
        </w:rPr>
      </w:pPr>
    </w:p>
    <w:tbl>
      <w:tblPr>
        <w:tblStyle w:val="4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636"/>
        <w:gridCol w:w="1229"/>
        <w:gridCol w:w="679"/>
        <w:gridCol w:w="1056"/>
        <w:gridCol w:w="1140"/>
        <w:gridCol w:w="876"/>
        <w:gridCol w:w="1068"/>
        <w:gridCol w:w="1284"/>
        <w:gridCol w:w="972"/>
      </w:tblGrid>
      <w:tr w14:paraId="5F99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Merge w:val="restart"/>
            <w:noWrap w:val="0"/>
          </w:tcPr>
          <w:p w14:paraId="6DB299D3">
            <w:pPr>
              <w:jc w:val="center"/>
              <w:rPr>
                <w:rFonts w:hint="eastAsia" w:ascii="仿宋_GB2312" w:hAnsi="仿宋_GB2312" w:eastAsia="仿宋_GB2312" w:cs="仿宋_GB2312"/>
                <w:sz w:val="21"/>
                <w:szCs w:val="21"/>
                <w:highlight w:val="none"/>
                <w:u w:val="none"/>
                <w:vertAlign w:val="baseline"/>
              </w:rPr>
            </w:pPr>
            <w:r>
              <w:rPr>
                <w:rFonts w:hint="eastAsia" w:ascii="仿宋_GB2312" w:hAnsi="仿宋_GB2312" w:eastAsia="仿宋_GB2312" w:cs="仿宋_GB2312"/>
                <w:sz w:val="21"/>
                <w:szCs w:val="21"/>
                <w:highlight w:val="none"/>
                <w:u w:val="none"/>
                <w:vertAlign w:val="baseline"/>
              </w:rPr>
              <w:t>序号</w:t>
            </w:r>
          </w:p>
        </w:tc>
        <w:tc>
          <w:tcPr>
            <w:tcW w:w="636" w:type="dxa"/>
            <w:vMerge w:val="restart"/>
            <w:noWrap w:val="0"/>
          </w:tcPr>
          <w:p w14:paraId="79DF2847">
            <w:pPr>
              <w:jc w:val="center"/>
              <w:rPr>
                <w:rFonts w:hint="eastAsia" w:ascii="仿宋_GB2312" w:hAnsi="仿宋_GB2312" w:eastAsia="仿宋_GB2312" w:cs="仿宋_GB2312"/>
                <w:sz w:val="21"/>
                <w:szCs w:val="21"/>
                <w:highlight w:val="none"/>
                <w:u w:val="none"/>
                <w:vertAlign w:val="baseline"/>
              </w:rPr>
            </w:pPr>
            <w:r>
              <w:rPr>
                <w:rFonts w:hint="eastAsia" w:ascii="仿宋_GB2312" w:hAnsi="仿宋_GB2312" w:eastAsia="仿宋_GB2312" w:cs="仿宋_GB2312"/>
                <w:sz w:val="21"/>
                <w:szCs w:val="21"/>
                <w:highlight w:val="none"/>
                <w:u w:val="none"/>
                <w:vertAlign w:val="baseline"/>
              </w:rPr>
              <w:t>项目名称</w:t>
            </w:r>
          </w:p>
        </w:tc>
        <w:tc>
          <w:tcPr>
            <w:tcW w:w="1229" w:type="dxa"/>
            <w:vMerge w:val="restart"/>
            <w:noWrap w:val="0"/>
          </w:tcPr>
          <w:p w14:paraId="46A11D58">
            <w:pPr>
              <w:jc w:val="center"/>
              <w:rPr>
                <w:rFonts w:hint="eastAsia" w:ascii="仿宋_GB2312" w:hAnsi="仿宋_GB2312" w:eastAsia="仿宋_GB2312" w:cs="仿宋_GB2312"/>
                <w:sz w:val="21"/>
                <w:szCs w:val="21"/>
                <w:highlight w:val="none"/>
                <w:u w:val="none"/>
                <w:vertAlign w:val="baseline"/>
              </w:rPr>
            </w:pPr>
            <w:r>
              <w:rPr>
                <w:rFonts w:hint="eastAsia" w:ascii="仿宋_GB2312" w:hAnsi="仿宋_GB2312" w:eastAsia="仿宋_GB2312" w:cs="仿宋_GB2312"/>
                <w:sz w:val="21"/>
                <w:szCs w:val="21"/>
                <w:highlight w:val="none"/>
                <w:u w:val="none"/>
                <w:vertAlign w:val="baseline"/>
              </w:rPr>
              <w:t>特征描述</w:t>
            </w:r>
          </w:p>
        </w:tc>
        <w:tc>
          <w:tcPr>
            <w:tcW w:w="679" w:type="dxa"/>
            <w:vMerge w:val="restart"/>
            <w:noWrap w:val="0"/>
          </w:tcPr>
          <w:p w14:paraId="6B8886C5">
            <w:pPr>
              <w:jc w:val="center"/>
              <w:rPr>
                <w:rFonts w:hint="eastAsia" w:ascii="仿宋_GB2312" w:hAnsi="仿宋_GB2312" w:eastAsia="仿宋_GB2312" w:cs="仿宋_GB2312"/>
                <w:sz w:val="21"/>
                <w:szCs w:val="21"/>
                <w:highlight w:val="none"/>
                <w:u w:val="none"/>
                <w:vertAlign w:val="baseline"/>
              </w:rPr>
            </w:pPr>
            <w:r>
              <w:rPr>
                <w:rFonts w:hint="eastAsia" w:ascii="仿宋_GB2312" w:hAnsi="仿宋_GB2312" w:eastAsia="仿宋_GB2312" w:cs="仿宋_GB2312"/>
                <w:sz w:val="21"/>
                <w:szCs w:val="21"/>
                <w:highlight w:val="none"/>
                <w:u w:val="none"/>
                <w:vertAlign w:val="baseline"/>
              </w:rPr>
              <w:t>计量单位</w:t>
            </w:r>
          </w:p>
        </w:tc>
        <w:tc>
          <w:tcPr>
            <w:tcW w:w="1056" w:type="dxa"/>
            <w:vMerge w:val="restart"/>
            <w:noWrap w:val="0"/>
          </w:tcPr>
          <w:p w14:paraId="69E2317C">
            <w:pPr>
              <w:jc w:val="center"/>
              <w:rPr>
                <w:rFonts w:hint="eastAsia" w:ascii="仿宋_GB2312" w:hAnsi="仿宋_GB2312" w:eastAsia="仿宋_GB2312" w:cs="仿宋_GB2312"/>
                <w:sz w:val="21"/>
                <w:szCs w:val="21"/>
                <w:highlight w:val="none"/>
                <w:u w:val="none"/>
                <w:vertAlign w:val="baseline"/>
              </w:rPr>
            </w:pPr>
            <w:r>
              <w:rPr>
                <w:rFonts w:hint="eastAsia" w:ascii="仿宋_GB2312" w:hAnsi="仿宋_GB2312" w:eastAsia="仿宋_GB2312" w:cs="仿宋_GB2312"/>
                <w:sz w:val="21"/>
                <w:szCs w:val="21"/>
                <w:highlight w:val="none"/>
                <w:u w:val="none"/>
                <w:vertAlign w:val="baseline"/>
              </w:rPr>
              <w:t>暂定工程量</w:t>
            </w:r>
          </w:p>
        </w:tc>
        <w:tc>
          <w:tcPr>
            <w:tcW w:w="5340" w:type="dxa"/>
            <w:gridSpan w:val="5"/>
            <w:noWrap w:val="0"/>
          </w:tcPr>
          <w:p w14:paraId="1271587A">
            <w:pPr>
              <w:jc w:val="center"/>
              <w:rPr>
                <w:rFonts w:hint="eastAsia" w:ascii="仿宋_GB2312" w:hAnsi="仿宋_GB2312" w:eastAsia="仿宋_GB2312" w:cs="仿宋_GB2312"/>
                <w:sz w:val="21"/>
                <w:szCs w:val="21"/>
                <w:highlight w:val="none"/>
                <w:u w:val="none"/>
                <w:vertAlign w:val="baseline"/>
              </w:rPr>
            </w:pPr>
            <w:r>
              <w:rPr>
                <w:rFonts w:hint="eastAsia" w:ascii="仿宋_GB2312" w:hAnsi="仿宋_GB2312" w:eastAsia="仿宋_GB2312" w:cs="仿宋_GB2312"/>
                <w:sz w:val="21"/>
                <w:szCs w:val="21"/>
                <w:highlight w:val="none"/>
                <w:u w:val="none"/>
                <w:vertAlign w:val="baseline"/>
              </w:rPr>
              <w:t>不含税价款（元）</w:t>
            </w:r>
          </w:p>
        </w:tc>
      </w:tr>
      <w:tr w14:paraId="462A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1" w:type="dxa"/>
            <w:vMerge w:val="continue"/>
            <w:noWrap w:val="0"/>
          </w:tcPr>
          <w:p w14:paraId="102BE8FA">
            <w:pPr>
              <w:jc w:val="center"/>
              <w:rPr>
                <w:rFonts w:hint="eastAsia" w:ascii="仿宋_GB2312" w:hAnsi="仿宋_GB2312" w:eastAsia="仿宋_GB2312" w:cs="仿宋_GB2312"/>
                <w:sz w:val="21"/>
                <w:szCs w:val="21"/>
                <w:highlight w:val="none"/>
                <w:vertAlign w:val="baseline"/>
              </w:rPr>
            </w:pPr>
          </w:p>
        </w:tc>
        <w:tc>
          <w:tcPr>
            <w:tcW w:w="636" w:type="dxa"/>
            <w:vMerge w:val="continue"/>
            <w:noWrap w:val="0"/>
          </w:tcPr>
          <w:p w14:paraId="77917F3C">
            <w:pPr>
              <w:jc w:val="center"/>
              <w:rPr>
                <w:rFonts w:hint="eastAsia" w:ascii="仿宋_GB2312" w:hAnsi="仿宋_GB2312" w:eastAsia="仿宋_GB2312" w:cs="仿宋_GB2312"/>
                <w:sz w:val="21"/>
                <w:szCs w:val="21"/>
                <w:highlight w:val="none"/>
                <w:vertAlign w:val="baseline"/>
              </w:rPr>
            </w:pPr>
          </w:p>
        </w:tc>
        <w:tc>
          <w:tcPr>
            <w:tcW w:w="1229" w:type="dxa"/>
            <w:vMerge w:val="continue"/>
            <w:noWrap w:val="0"/>
          </w:tcPr>
          <w:p w14:paraId="7DFF0F9D">
            <w:pPr>
              <w:jc w:val="center"/>
              <w:rPr>
                <w:rFonts w:hint="eastAsia" w:ascii="仿宋_GB2312" w:hAnsi="仿宋_GB2312" w:eastAsia="仿宋_GB2312" w:cs="仿宋_GB2312"/>
                <w:sz w:val="21"/>
                <w:szCs w:val="21"/>
                <w:highlight w:val="none"/>
                <w:vertAlign w:val="baseline"/>
              </w:rPr>
            </w:pPr>
          </w:p>
        </w:tc>
        <w:tc>
          <w:tcPr>
            <w:tcW w:w="679" w:type="dxa"/>
            <w:vMerge w:val="continue"/>
            <w:noWrap w:val="0"/>
          </w:tcPr>
          <w:p w14:paraId="0F4BAB3F">
            <w:pPr>
              <w:jc w:val="center"/>
              <w:rPr>
                <w:rFonts w:hint="eastAsia" w:ascii="仿宋_GB2312" w:hAnsi="仿宋_GB2312" w:eastAsia="仿宋_GB2312" w:cs="仿宋_GB2312"/>
                <w:sz w:val="21"/>
                <w:szCs w:val="21"/>
                <w:highlight w:val="none"/>
                <w:vertAlign w:val="baseline"/>
              </w:rPr>
            </w:pPr>
          </w:p>
        </w:tc>
        <w:tc>
          <w:tcPr>
            <w:tcW w:w="1056" w:type="dxa"/>
            <w:vMerge w:val="continue"/>
            <w:noWrap w:val="0"/>
          </w:tcPr>
          <w:p w14:paraId="594D20A4">
            <w:pPr>
              <w:jc w:val="center"/>
              <w:rPr>
                <w:rFonts w:hint="eastAsia" w:ascii="仿宋_GB2312" w:hAnsi="仿宋_GB2312" w:eastAsia="仿宋_GB2312" w:cs="仿宋_GB2312"/>
                <w:sz w:val="21"/>
                <w:szCs w:val="21"/>
                <w:highlight w:val="none"/>
                <w:vertAlign w:val="baseline"/>
              </w:rPr>
            </w:pPr>
          </w:p>
        </w:tc>
        <w:tc>
          <w:tcPr>
            <w:tcW w:w="1140" w:type="dxa"/>
            <w:noWrap w:val="0"/>
          </w:tcPr>
          <w:p w14:paraId="33EE1C24">
            <w:pPr>
              <w:jc w:val="center"/>
              <w:rPr>
                <w:rFonts w:hint="eastAsia" w:ascii="仿宋_GB2312" w:hAnsi="仿宋_GB2312" w:eastAsia="仿宋_GB2312" w:cs="仿宋_GB2312"/>
                <w:sz w:val="21"/>
                <w:szCs w:val="21"/>
                <w:highlight w:val="none"/>
                <w:u w:val="none"/>
                <w:vertAlign w:val="baseline"/>
              </w:rPr>
            </w:pPr>
            <w:r>
              <w:rPr>
                <w:rFonts w:hint="eastAsia" w:ascii="仿宋_GB2312" w:hAnsi="仿宋_GB2312" w:eastAsia="仿宋_GB2312" w:cs="仿宋_GB2312"/>
                <w:sz w:val="21"/>
                <w:szCs w:val="21"/>
                <w:highlight w:val="none"/>
                <w:u w:val="none"/>
                <w:vertAlign w:val="baseline"/>
              </w:rPr>
              <w:t>主材设备费</w:t>
            </w:r>
          </w:p>
        </w:tc>
        <w:tc>
          <w:tcPr>
            <w:tcW w:w="876" w:type="dxa"/>
            <w:noWrap w:val="0"/>
          </w:tcPr>
          <w:p w14:paraId="576F33F2">
            <w:pPr>
              <w:jc w:val="center"/>
              <w:rPr>
                <w:rFonts w:hint="eastAsia" w:ascii="仿宋_GB2312" w:hAnsi="仿宋_GB2312" w:eastAsia="仿宋_GB2312" w:cs="仿宋_GB2312"/>
                <w:sz w:val="21"/>
                <w:szCs w:val="21"/>
                <w:highlight w:val="none"/>
                <w:u w:val="none"/>
                <w:vertAlign w:val="baseline"/>
              </w:rPr>
            </w:pPr>
            <w:r>
              <w:rPr>
                <w:rFonts w:hint="eastAsia" w:ascii="仿宋_GB2312" w:hAnsi="仿宋_GB2312" w:eastAsia="仿宋_GB2312" w:cs="仿宋_GB2312"/>
                <w:sz w:val="21"/>
                <w:szCs w:val="21"/>
                <w:highlight w:val="none"/>
                <w:u w:val="none"/>
                <w:vertAlign w:val="baseline"/>
              </w:rPr>
              <w:t>安装费</w:t>
            </w:r>
          </w:p>
        </w:tc>
        <w:tc>
          <w:tcPr>
            <w:tcW w:w="1068" w:type="dxa"/>
            <w:noWrap w:val="0"/>
          </w:tcPr>
          <w:p w14:paraId="290B1BFC">
            <w:pPr>
              <w:jc w:val="center"/>
              <w:rPr>
                <w:rFonts w:hint="eastAsia" w:ascii="仿宋_GB2312" w:hAnsi="仿宋_GB2312" w:eastAsia="仿宋_GB2312" w:cs="仿宋_GB2312"/>
                <w:sz w:val="21"/>
                <w:szCs w:val="21"/>
                <w:highlight w:val="none"/>
                <w:u w:val="none"/>
                <w:vertAlign w:val="baseline"/>
              </w:rPr>
            </w:pPr>
            <w:r>
              <w:rPr>
                <w:rFonts w:hint="eastAsia" w:ascii="仿宋_GB2312" w:hAnsi="仿宋_GB2312" w:eastAsia="仿宋_GB2312" w:cs="仿宋_GB2312"/>
                <w:sz w:val="21"/>
                <w:szCs w:val="21"/>
                <w:highlight w:val="none"/>
                <w:u w:val="none"/>
                <w:vertAlign w:val="baseline"/>
              </w:rPr>
              <w:t>综合单价</w:t>
            </w:r>
          </w:p>
        </w:tc>
        <w:tc>
          <w:tcPr>
            <w:tcW w:w="1284" w:type="dxa"/>
            <w:noWrap w:val="0"/>
          </w:tcPr>
          <w:p w14:paraId="1CB8F52D">
            <w:pPr>
              <w:jc w:val="center"/>
              <w:rPr>
                <w:rFonts w:hint="eastAsia" w:ascii="仿宋_GB2312" w:hAnsi="仿宋_GB2312" w:eastAsia="仿宋_GB2312" w:cs="仿宋_GB2312"/>
                <w:sz w:val="21"/>
                <w:szCs w:val="21"/>
                <w:highlight w:val="none"/>
                <w:u w:val="none"/>
                <w:vertAlign w:val="baseline"/>
              </w:rPr>
            </w:pPr>
            <w:r>
              <w:rPr>
                <w:rFonts w:hint="eastAsia" w:ascii="仿宋_GB2312" w:hAnsi="仿宋_GB2312" w:eastAsia="仿宋_GB2312" w:cs="仿宋_GB2312"/>
                <w:sz w:val="21"/>
                <w:szCs w:val="21"/>
                <w:highlight w:val="none"/>
                <w:u w:val="none"/>
                <w:vertAlign w:val="baseline"/>
              </w:rPr>
              <w:t>其中人工费</w:t>
            </w:r>
          </w:p>
        </w:tc>
        <w:tc>
          <w:tcPr>
            <w:tcW w:w="972" w:type="dxa"/>
            <w:noWrap w:val="0"/>
          </w:tcPr>
          <w:p w14:paraId="06F2F697">
            <w:pPr>
              <w:jc w:val="center"/>
              <w:rPr>
                <w:rFonts w:hint="eastAsia" w:ascii="仿宋_GB2312" w:hAnsi="仿宋_GB2312" w:eastAsia="仿宋_GB2312" w:cs="仿宋_GB2312"/>
                <w:sz w:val="21"/>
                <w:szCs w:val="21"/>
                <w:highlight w:val="none"/>
                <w:u w:val="none"/>
                <w:vertAlign w:val="baseline"/>
              </w:rPr>
            </w:pPr>
            <w:r>
              <w:rPr>
                <w:rFonts w:hint="eastAsia" w:ascii="仿宋_GB2312" w:hAnsi="仿宋_GB2312" w:eastAsia="仿宋_GB2312" w:cs="仿宋_GB2312"/>
                <w:sz w:val="21"/>
                <w:szCs w:val="21"/>
                <w:highlight w:val="none"/>
                <w:u w:val="none"/>
                <w:vertAlign w:val="baseline"/>
              </w:rPr>
              <w:t>合价</w:t>
            </w:r>
          </w:p>
        </w:tc>
      </w:tr>
      <w:tr w14:paraId="6085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tcPr>
          <w:p w14:paraId="7931640D">
            <w:pPr>
              <w:jc w:val="center"/>
              <w:rPr>
                <w:rFonts w:hint="eastAsia" w:ascii="仿宋_GB2312" w:hAnsi="仿宋_GB2312" w:eastAsia="仿宋_GB2312" w:cs="仿宋_GB2312"/>
                <w:sz w:val="30"/>
                <w:szCs w:val="30"/>
                <w:highlight w:val="none"/>
                <w:u w:val="none"/>
                <w:vertAlign w:val="baseline"/>
              </w:rPr>
            </w:pPr>
          </w:p>
        </w:tc>
        <w:tc>
          <w:tcPr>
            <w:tcW w:w="636" w:type="dxa"/>
            <w:noWrap w:val="0"/>
          </w:tcPr>
          <w:p w14:paraId="2668FFFB">
            <w:pPr>
              <w:jc w:val="center"/>
              <w:rPr>
                <w:rFonts w:hint="eastAsia" w:ascii="仿宋_GB2312" w:hAnsi="仿宋_GB2312" w:eastAsia="仿宋_GB2312" w:cs="仿宋_GB2312"/>
                <w:sz w:val="30"/>
                <w:szCs w:val="30"/>
                <w:highlight w:val="none"/>
                <w:u w:val="none"/>
                <w:vertAlign w:val="baseline"/>
              </w:rPr>
            </w:pPr>
          </w:p>
        </w:tc>
        <w:tc>
          <w:tcPr>
            <w:tcW w:w="1229" w:type="dxa"/>
            <w:noWrap w:val="0"/>
          </w:tcPr>
          <w:p w14:paraId="681EFBB9">
            <w:pPr>
              <w:jc w:val="center"/>
              <w:rPr>
                <w:rFonts w:hint="eastAsia" w:ascii="仿宋_GB2312" w:hAnsi="仿宋_GB2312" w:eastAsia="仿宋_GB2312" w:cs="仿宋_GB2312"/>
                <w:sz w:val="30"/>
                <w:szCs w:val="30"/>
                <w:highlight w:val="none"/>
                <w:u w:val="none"/>
                <w:vertAlign w:val="baseline"/>
              </w:rPr>
            </w:pPr>
          </w:p>
        </w:tc>
        <w:tc>
          <w:tcPr>
            <w:tcW w:w="679" w:type="dxa"/>
            <w:noWrap w:val="0"/>
          </w:tcPr>
          <w:p w14:paraId="29E3E352">
            <w:pPr>
              <w:jc w:val="center"/>
              <w:rPr>
                <w:rFonts w:hint="eastAsia" w:ascii="仿宋_GB2312" w:hAnsi="仿宋_GB2312" w:eastAsia="仿宋_GB2312" w:cs="仿宋_GB2312"/>
                <w:sz w:val="30"/>
                <w:szCs w:val="30"/>
                <w:highlight w:val="none"/>
                <w:u w:val="none"/>
                <w:vertAlign w:val="baseline"/>
              </w:rPr>
            </w:pPr>
          </w:p>
        </w:tc>
        <w:tc>
          <w:tcPr>
            <w:tcW w:w="1056" w:type="dxa"/>
            <w:noWrap w:val="0"/>
          </w:tcPr>
          <w:p w14:paraId="174329B0">
            <w:pPr>
              <w:jc w:val="center"/>
              <w:rPr>
                <w:rFonts w:hint="eastAsia" w:ascii="仿宋_GB2312" w:hAnsi="仿宋_GB2312" w:eastAsia="仿宋_GB2312" w:cs="仿宋_GB2312"/>
                <w:sz w:val="30"/>
                <w:szCs w:val="30"/>
                <w:highlight w:val="none"/>
                <w:u w:val="none"/>
                <w:vertAlign w:val="baseline"/>
              </w:rPr>
            </w:pPr>
          </w:p>
        </w:tc>
        <w:tc>
          <w:tcPr>
            <w:tcW w:w="1140" w:type="dxa"/>
            <w:noWrap w:val="0"/>
          </w:tcPr>
          <w:p w14:paraId="426EC242">
            <w:pPr>
              <w:jc w:val="center"/>
              <w:rPr>
                <w:rFonts w:hint="eastAsia" w:ascii="仿宋_GB2312" w:hAnsi="仿宋_GB2312" w:eastAsia="仿宋_GB2312" w:cs="仿宋_GB2312"/>
                <w:sz w:val="30"/>
                <w:szCs w:val="30"/>
                <w:highlight w:val="none"/>
                <w:u w:val="none"/>
                <w:vertAlign w:val="baseline"/>
              </w:rPr>
            </w:pPr>
          </w:p>
        </w:tc>
        <w:tc>
          <w:tcPr>
            <w:tcW w:w="876" w:type="dxa"/>
            <w:noWrap w:val="0"/>
          </w:tcPr>
          <w:p w14:paraId="51C41F8E">
            <w:pPr>
              <w:jc w:val="center"/>
              <w:rPr>
                <w:rFonts w:hint="eastAsia" w:ascii="仿宋_GB2312" w:hAnsi="仿宋_GB2312" w:eastAsia="仿宋_GB2312" w:cs="仿宋_GB2312"/>
                <w:sz w:val="30"/>
                <w:szCs w:val="30"/>
                <w:highlight w:val="none"/>
                <w:u w:val="none"/>
                <w:vertAlign w:val="baseline"/>
              </w:rPr>
            </w:pPr>
          </w:p>
        </w:tc>
        <w:tc>
          <w:tcPr>
            <w:tcW w:w="1068" w:type="dxa"/>
            <w:noWrap w:val="0"/>
          </w:tcPr>
          <w:p w14:paraId="72409F08">
            <w:pPr>
              <w:jc w:val="center"/>
              <w:rPr>
                <w:rFonts w:hint="eastAsia" w:ascii="仿宋_GB2312" w:hAnsi="仿宋_GB2312" w:eastAsia="仿宋_GB2312" w:cs="仿宋_GB2312"/>
                <w:sz w:val="30"/>
                <w:szCs w:val="30"/>
                <w:highlight w:val="none"/>
                <w:u w:val="none"/>
                <w:vertAlign w:val="baseline"/>
              </w:rPr>
            </w:pPr>
          </w:p>
        </w:tc>
        <w:tc>
          <w:tcPr>
            <w:tcW w:w="1284" w:type="dxa"/>
            <w:noWrap w:val="0"/>
          </w:tcPr>
          <w:p w14:paraId="19AD6CB1">
            <w:pPr>
              <w:jc w:val="center"/>
              <w:rPr>
                <w:rFonts w:hint="eastAsia" w:ascii="仿宋_GB2312" w:hAnsi="仿宋_GB2312" w:eastAsia="仿宋_GB2312" w:cs="仿宋_GB2312"/>
                <w:sz w:val="30"/>
                <w:szCs w:val="30"/>
                <w:highlight w:val="none"/>
                <w:u w:val="none"/>
                <w:vertAlign w:val="baseline"/>
              </w:rPr>
            </w:pPr>
          </w:p>
        </w:tc>
        <w:tc>
          <w:tcPr>
            <w:tcW w:w="972" w:type="dxa"/>
            <w:noWrap w:val="0"/>
          </w:tcPr>
          <w:p w14:paraId="0C206473">
            <w:pPr>
              <w:jc w:val="center"/>
              <w:rPr>
                <w:rFonts w:hint="eastAsia" w:ascii="仿宋_GB2312" w:hAnsi="仿宋_GB2312" w:eastAsia="仿宋_GB2312" w:cs="仿宋_GB2312"/>
                <w:sz w:val="30"/>
                <w:szCs w:val="30"/>
                <w:highlight w:val="none"/>
                <w:u w:val="none"/>
                <w:vertAlign w:val="baseline"/>
              </w:rPr>
            </w:pPr>
          </w:p>
        </w:tc>
      </w:tr>
      <w:tr w14:paraId="4FCF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tcPr>
          <w:p w14:paraId="651E10FD">
            <w:pPr>
              <w:jc w:val="center"/>
              <w:rPr>
                <w:rFonts w:hint="eastAsia" w:ascii="仿宋_GB2312" w:hAnsi="仿宋_GB2312" w:eastAsia="仿宋_GB2312" w:cs="仿宋_GB2312"/>
                <w:sz w:val="30"/>
                <w:szCs w:val="30"/>
                <w:highlight w:val="none"/>
                <w:u w:val="none"/>
                <w:vertAlign w:val="baseline"/>
              </w:rPr>
            </w:pPr>
          </w:p>
        </w:tc>
        <w:tc>
          <w:tcPr>
            <w:tcW w:w="636" w:type="dxa"/>
            <w:noWrap w:val="0"/>
          </w:tcPr>
          <w:p w14:paraId="0E53FEE6">
            <w:pPr>
              <w:jc w:val="center"/>
              <w:rPr>
                <w:rFonts w:hint="eastAsia" w:ascii="仿宋_GB2312" w:hAnsi="仿宋_GB2312" w:eastAsia="仿宋_GB2312" w:cs="仿宋_GB2312"/>
                <w:sz w:val="30"/>
                <w:szCs w:val="30"/>
                <w:highlight w:val="none"/>
                <w:u w:val="none"/>
                <w:vertAlign w:val="baseline"/>
              </w:rPr>
            </w:pPr>
          </w:p>
        </w:tc>
        <w:tc>
          <w:tcPr>
            <w:tcW w:w="1229" w:type="dxa"/>
            <w:noWrap w:val="0"/>
          </w:tcPr>
          <w:p w14:paraId="22652296">
            <w:pPr>
              <w:jc w:val="center"/>
              <w:rPr>
                <w:rFonts w:hint="eastAsia" w:ascii="仿宋_GB2312" w:hAnsi="仿宋_GB2312" w:eastAsia="仿宋_GB2312" w:cs="仿宋_GB2312"/>
                <w:sz w:val="30"/>
                <w:szCs w:val="30"/>
                <w:highlight w:val="none"/>
                <w:u w:val="none"/>
                <w:vertAlign w:val="baseline"/>
              </w:rPr>
            </w:pPr>
          </w:p>
        </w:tc>
        <w:tc>
          <w:tcPr>
            <w:tcW w:w="679" w:type="dxa"/>
            <w:noWrap w:val="0"/>
          </w:tcPr>
          <w:p w14:paraId="4249E156">
            <w:pPr>
              <w:jc w:val="center"/>
              <w:rPr>
                <w:rFonts w:hint="eastAsia" w:ascii="仿宋_GB2312" w:hAnsi="仿宋_GB2312" w:eastAsia="仿宋_GB2312" w:cs="仿宋_GB2312"/>
                <w:sz w:val="30"/>
                <w:szCs w:val="30"/>
                <w:highlight w:val="none"/>
                <w:u w:val="none"/>
                <w:vertAlign w:val="baseline"/>
              </w:rPr>
            </w:pPr>
          </w:p>
        </w:tc>
        <w:tc>
          <w:tcPr>
            <w:tcW w:w="1056" w:type="dxa"/>
            <w:noWrap w:val="0"/>
          </w:tcPr>
          <w:p w14:paraId="1FEE9721">
            <w:pPr>
              <w:jc w:val="center"/>
              <w:rPr>
                <w:rFonts w:hint="eastAsia" w:ascii="仿宋_GB2312" w:hAnsi="仿宋_GB2312" w:eastAsia="仿宋_GB2312" w:cs="仿宋_GB2312"/>
                <w:sz w:val="30"/>
                <w:szCs w:val="30"/>
                <w:highlight w:val="none"/>
                <w:u w:val="none"/>
                <w:vertAlign w:val="baseline"/>
              </w:rPr>
            </w:pPr>
          </w:p>
        </w:tc>
        <w:tc>
          <w:tcPr>
            <w:tcW w:w="1140" w:type="dxa"/>
            <w:noWrap w:val="0"/>
          </w:tcPr>
          <w:p w14:paraId="78259AB2">
            <w:pPr>
              <w:jc w:val="center"/>
              <w:rPr>
                <w:rFonts w:hint="eastAsia" w:ascii="仿宋_GB2312" w:hAnsi="仿宋_GB2312" w:eastAsia="仿宋_GB2312" w:cs="仿宋_GB2312"/>
                <w:sz w:val="30"/>
                <w:szCs w:val="30"/>
                <w:highlight w:val="none"/>
                <w:u w:val="none"/>
                <w:vertAlign w:val="baseline"/>
              </w:rPr>
            </w:pPr>
          </w:p>
        </w:tc>
        <w:tc>
          <w:tcPr>
            <w:tcW w:w="876" w:type="dxa"/>
            <w:noWrap w:val="0"/>
          </w:tcPr>
          <w:p w14:paraId="49FE9B09">
            <w:pPr>
              <w:jc w:val="center"/>
              <w:rPr>
                <w:rFonts w:hint="eastAsia" w:ascii="仿宋_GB2312" w:hAnsi="仿宋_GB2312" w:eastAsia="仿宋_GB2312" w:cs="仿宋_GB2312"/>
                <w:sz w:val="30"/>
                <w:szCs w:val="30"/>
                <w:highlight w:val="none"/>
                <w:u w:val="none"/>
                <w:vertAlign w:val="baseline"/>
              </w:rPr>
            </w:pPr>
          </w:p>
        </w:tc>
        <w:tc>
          <w:tcPr>
            <w:tcW w:w="1068" w:type="dxa"/>
            <w:noWrap w:val="0"/>
          </w:tcPr>
          <w:p w14:paraId="11CD9179">
            <w:pPr>
              <w:jc w:val="center"/>
              <w:rPr>
                <w:rFonts w:hint="eastAsia" w:ascii="仿宋_GB2312" w:hAnsi="仿宋_GB2312" w:eastAsia="仿宋_GB2312" w:cs="仿宋_GB2312"/>
                <w:sz w:val="30"/>
                <w:szCs w:val="30"/>
                <w:highlight w:val="none"/>
                <w:u w:val="none"/>
                <w:vertAlign w:val="baseline"/>
              </w:rPr>
            </w:pPr>
          </w:p>
        </w:tc>
        <w:tc>
          <w:tcPr>
            <w:tcW w:w="1284" w:type="dxa"/>
            <w:noWrap w:val="0"/>
          </w:tcPr>
          <w:p w14:paraId="16BDBEF5">
            <w:pPr>
              <w:jc w:val="center"/>
              <w:rPr>
                <w:rFonts w:hint="eastAsia" w:ascii="仿宋_GB2312" w:hAnsi="仿宋_GB2312" w:eastAsia="仿宋_GB2312" w:cs="仿宋_GB2312"/>
                <w:sz w:val="30"/>
                <w:szCs w:val="30"/>
                <w:highlight w:val="none"/>
                <w:u w:val="none"/>
                <w:vertAlign w:val="baseline"/>
              </w:rPr>
            </w:pPr>
          </w:p>
        </w:tc>
        <w:tc>
          <w:tcPr>
            <w:tcW w:w="972" w:type="dxa"/>
            <w:noWrap w:val="0"/>
          </w:tcPr>
          <w:p w14:paraId="30F87E9E">
            <w:pPr>
              <w:jc w:val="center"/>
              <w:rPr>
                <w:rFonts w:hint="eastAsia" w:ascii="仿宋_GB2312" w:hAnsi="仿宋_GB2312" w:eastAsia="仿宋_GB2312" w:cs="仿宋_GB2312"/>
                <w:sz w:val="30"/>
                <w:szCs w:val="30"/>
                <w:highlight w:val="none"/>
                <w:u w:val="none"/>
                <w:vertAlign w:val="baseline"/>
              </w:rPr>
            </w:pPr>
          </w:p>
        </w:tc>
      </w:tr>
      <w:tr w14:paraId="3EDD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tcPr>
          <w:p w14:paraId="588A4CF7">
            <w:pPr>
              <w:jc w:val="center"/>
              <w:rPr>
                <w:rFonts w:hint="eastAsia" w:ascii="仿宋_GB2312" w:hAnsi="仿宋_GB2312" w:eastAsia="仿宋_GB2312" w:cs="仿宋_GB2312"/>
                <w:sz w:val="30"/>
                <w:szCs w:val="30"/>
                <w:highlight w:val="none"/>
                <w:u w:val="none"/>
                <w:vertAlign w:val="baseline"/>
              </w:rPr>
            </w:pPr>
          </w:p>
        </w:tc>
        <w:tc>
          <w:tcPr>
            <w:tcW w:w="636" w:type="dxa"/>
            <w:noWrap w:val="0"/>
          </w:tcPr>
          <w:p w14:paraId="5B2C5178">
            <w:pPr>
              <w:jc w:val="center"/>
              <w:rPr>
                <w:rFonts w:hint="eastAsia" w:ascii="仿宋_GB2312" w:hAnsi="仿宋_GB2312" w:eastAsia="仿宋_GB2312" w:cs="仿宋_GB2312"/>
                <w:sz w:val="30"/>
                <w:szCs w:val="30"/>
                <w:highlight w:val="none"/>
                <w:u w:val="none"/>
                <w:vertAlign w:val="baseline"/>
              </w:rPr>
            </w:pPr>
          </w:p>
        </w:tc>
        <w:tc>
          <w:tcPr>
            <w:tcW w:w="1229" w:type="dxa"/>
            <w:noWrap w:val="0"/>
          </w:tcPr>
          <w:p w14:paraId="01A51488">
            <w:pPr>
              <w:jc w:val="center"/>
              <w:rPr>
                <w:rFonts w:hint="eastAsia" w:ascii="仿宋_GB2312" w:hAnsi="仿宋_GB2312" w:eastAsia="仿宋_GB2312" w:cs="仿宋_GB2312"/>
                <w:sz w:val="30"/>
                <w:szCs w:val="30"/>
                <w:highlight w:val="none"/>
                <w:u w:val="none"/>
                <w:vertAlign w:val="baseline"/>
              </w:rPr>
            </w:pPr>
          </w:p>
        </w:tc>
        <w:tc>
          <w:tcPr>
            <w:tcW w:w="679" w:type="dxa"/>
            <w:noWrap w:val="0"/>
          </w:tcPr>
          <w:p w14:paraId="6014367F">
            <w:pPr>
              <w:jc w:val="center"/>
              <w:rPr>
                <w:rFonts w:hint="eastAsia" w:ascii="仿宋_GB2312" w:hAnsi="仿宋_GB2312" w:eastAsia="仿宋_GB2312" w:cs="仿宋_GB2312"/>
                <w:sz w:val="30"/>
                <w:szCs w:val="30"/>
                <w:highlight w:val="none"/>
                <w:u w:val="none"/>
                <w:vertAlign w:val="baseline"/>
              </w:rPr>
            </w:pPr>
          </w:p>
        </w:tc>
        <w:tc>
          <w:tcPr>
            <w:tcW w:w="1056" w:type="dxa"/>
            <w:noWrap w:val="0"/>
          </w:tcPr>
          <w:p w14:paraId="6F946B89">
            <w:pPr>
              <w:jc w:val="center"/>
              <w:rPr>
                <w:rFonts w:hint="eastAsia" w:ascii="仿宋_GB2312" w:hAnsi="仿宋_GB2312" w:eastAsia="仿宋_GB2312" w:cs="仿宋_GB2312"/>
                <w:sz w:val="30"/>
                <w:szCs w:val="30"/>
                <w:highlight w:val="none"/>
                <w:u w:val="none"/>
                <w:vertAlign w:val="baseline"/>
              </w:rPr>
            </w:pPr>
          </w:p>
        </w:tc>
        <w:tc>
          <w:tcPr>
            <w:tcW w:w="1140" w:type="dxa"/>
            <w:noWrap w:val="0"/>
          </w:tcPr>
          <w:p w14:paraId="421ABBE0">
            <w:pPr>
              <w:jc w:val="center"/>
              <w:rPr>
                <w:rFonts w:hint="eastAsia" w:ascii="仿宋_GB2312" w:hAnsi="仿宋_GB2312" w:eastAsia="仿宋_GB2312" w:cs="仿宋_GB2312"/>
                <w:sz w:val="30"/>
                <w:szCs w:val="30"/>
                <w:highlight w:val="none"/>
                <w:u w:val="none"/>
                <w:vertAlign w:val="baseline"/>
              </w:rPr>
            </w:pPr>
          </w:p>
        </w:tc>
        <w:tc>
          <w:tcPr>
            <w:tcW w:w="876" w:type="dxa"/>
            <w:noWrap w:val="0"/>
          </w:tcPr>
          <w:p w14:paraId="12955655">
            <w:pPr>
              <w:jc w:val="center"/>
              <w:rPr>
                <w:rFonts w:hint="eastAsia" w:ascii="仿宋_GB2312" w:hAnsi="仿宋_GB2312" w:eastAsia="仿宋_GB2312" w:cs="仿宋_GB2312"/>
                <w:sz w:val="30"/>
                <w:szCs w:val="30"/>
                <w:highlight w:val="none"/>
                <w:u w:val="none"/>
                <w:vertAlign w:val="baseline"/>
              </w:rPr>
            </w:pPr>
          </w:p>
        </w:tc>
        <w:tc>
          <w:tcPr>
            <w:tcW w:w="1068" w:type="dxa"/>
            <w:noWrap w:val="0"/>
          </w:tcPr>
          <w:p w14:paraId="0D9A4DB0">
            <w:pPr>
              <w:jc w:val="center"/>
              <w:rPr>
                <w:rFonts w:hint="eastAsia" w:ascii="仿宋_GB2312" w:hAnsi="仿宋_GB2312" w:eastAsia="仿宋_GB2312" w:cs="仿宋_GB2312"/>
                <w:sz w:val="30"/>
                <w:szCs w:val="30"/>
                <w:highlight w:val="none"/>
                <w:u w:val="none"/>
                <w:vertAlign w:val="baseline"/>
              </w:rPr>
            </w:pPr>
          </w:p>
        </w:tc>
        <w:tc>
          <w:tcPr>
            <w:tcW w:w="1284" w:type="dxa"/>
            <w:noWrap w:val="0"/>
          </w:tcPr>
          <w:p w14:paraId="64FD492E">
            <w:pPr>
              <w:jc w:val="center"/>
              <w:rPr>
                <w:rFonts w:hint="eastAsia" w:ascii="仿宋_GB2312" w:hAnsi="仿宋_GB2312" w:eastAsia="仿宋_GB2312" w:cs="仿宋_GB2312"/>
                <w:sz w:val="30"/>
                <w:szCs w:val="30"/>
                <w:highlight w:val="none"/>
                <w:u w:val="none"/>
                <w:vertAlign w:val="baseline"/>
              </w:rPr>
            </w:pPr>
          </w:p>
        </w:tc>
        <w:tc>
          <w:tcPr>
            <w:tcW w:w="972" w:type="dxa"/>
            <w:noWrap w:val="0"/>
          </w:tcPr>
          <w:p w14:paraId="4D4B282F">
            <w:pPr>
              <w:jc w:val="center"/>
              <w:rPr>
                <w:rFonts w:hint="eastAsia" w:ascii="仿宋_GB2312" w:hAnsi="仿宋_GB2312" w:eastAsia="仿宋_GB2312" w:cs="仿宋_GB2312"/>
                <w:sz w:val="30"/>
                <w:szCs w:val="30"/>
                <w:highlight w:val="none"/>
                <w:u w:val="none"/>
                <w:vertAlign w:val="baseline"/>
              </w:rPr>
            </w:pPr>
          </w:p>
        </w:tc>
      </w:tr>
      <w:tr w14:paraId="755D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tcPr>
          <w:p w14:paraId="4F4098EE">
            <w:pPr>
              <w:jc w:val="center"/>
              <w:rPr>
                <w:rFonts w:hint="eastAsia" w:ascii="仿宋_GB2312" w:hAnsi="仿宋_GB2312" w:eastAsia="仿宋_GB2312" w:cs="仿宋_GB2312"/>
                <w:sz w:val="30"/>
                <w:szCs w:val="30"/>
                <w:highlight w:val="none"/>
                <w:u w:val="none"/>
                <w:vertAlign w:val="baseline"/>
              </w:rPr>
            </w:pPr>
          </w:p>
        </w:tc>
        <w:tc>
          <w:tcPr>
            <w:tcW w:w="636" w:type="dxa"/>
            <w:noWrap w:val="0"/>
          </w:tcPr>
          <w:p w14:paraId="69BA094D">
            <w:pPr>
              <w:jc w:val="center"/>
              <w:rPr>
                <w:rFonts w:hint="eastAsia" w:ascii="仿宋_GB2312" w:hAnsi="仿宋_GB2312" w:eastAsia="仿宋_GB2312" w:cs="仿宋_GB2312"/>
                <w:sz w:val="30"/>
                <w:szCs w:val="30"/>
                <w:highlight w:val="none"/>
                <w:u w:val="none"/>
                <w:vertAlign w:val="baseline"/>
              </w:rPr>
            </w:pPr>
          </w:p>
        </w:tc>
        <w:tc>
          <w:tcPr>
            <w:tcW w:w="1229" w:type="dxa"/>
            <w:noWrap w:val="0"/>
          </w:tcPr>
          <w:p w14:paraId="538C05AD">
            <w:pPr>
              <w:jc w:val="center"/>
              <w:rPr>
                <w:rFonts w:hint="eastAsia" w:ascii="仿宋_GB2312" w:hAnsi="仿宋_GB2312" w:eastAsia="仿宋_GB2312" w:cs="仿宋_GB2312"/>
                <w:sz w:val="30"/>
                <w:szCs w:val="30"/>
                <w:highlight w:val="none"/>
                <w:u w:val="none"/>
                <w:vertAlign w:val="baseline"/>
              </w:rPr>
            </w:pPr>
          </w:p>
        </w:tc>
        <w:tc>
          <w:tcPr>
            <w:tcW w:w="679" w:type="dxa"/>
            <w:noWrap w:val="0"/>
          </w:tcPr>
          <w:p w14:paraId="6A3826FA">
            <w:pPr>
              <w:jc w:val="center"/>
              <w:rPr>
                <w:rFonts w:hint="eastAsia" w:ascii="仿宋_GB2312" w:hAnsi="仿宋_GB2312" w:eastAsia="仿宋_GB2312" w:cs="仿宋_GB2312"/>
                <w:sz w:val="30"/>
                <w:szCs w:val="30"/>
                <w:highlight w:val="none"/>
                <w:u w:val="none"/>
                <w:vertAlign w:val="baseline"/>
              </w:rPr>
            </w:pPr>
          </w:p>
        </w:tc>
        <w:tc>
          <w:tcPr>
            <w:tcW w:w="1056" w:type="dxa"/>
            <w:noWrap w:val="0"/>
          </w:tcPr>
          <w:p w14:paraId="174DC814">
            <w:pPr>
              <w:jc w:val="center"/>
              <w:rPr>
                <w:rFonts w:hint="eastAsia" w:ascii="仿宋_GB2312" w:hAnsi="仿宋_GB2312" w:eastAsia="仿宋_GB2312" w:cs="仿宋_GB2312"/>
                <w:sz w:val="30"/>
                <w:szCs w:val="30"/>
                <w:highlight w:val="none"/>
                <w:u w:val="none"/>
                <w:vertAlign w:val="baseline"/>
              </w:rPr>
            </w:pPr>
          </w:p>
        </w:tc>
        <w:tc>
          <w:tcPr>
            <w:tcW w:w="1140" w:type="dxa"/>
            <w:noWrap w:val="0"/>
          </w:tcPr>
          <w:p w14:paraId="5D29536C">
            <w:pPr>
              <w:jc w:val="center"/>
              <w:rPr>
                <w:rFonts w:hint="eastAsia" w:ascii="仿宋_GB2312" w:hAnsi="仿宋_GB2312" w:eastAsia="仿宋_GB2312" w:cs="仿宋_GB2312"/>
                <w:sz w:val="30"/>
                <w:szCs w:val="30"/>
                <w:highlight w:val="none"/>
                <w:u w:val="none"/>
                <w:vertAlign w:val="baseline"/>
              </w:rPr>
            </w:pPr>
          </w:p>
        </w:tc>
        <w:tc>
          <w:tcPr>
            <w:tcW w:w="876" w:type="dxa"/>
            <w:noWrap w:val="0"/>
          </w:tcPr>
          <w:p w14:paraId="7A819936">
            <w:pPr>
              <w:jc w:val="center"/>
              <w:rPr>
                <w:rFonts w:hint="eastAsia" w:ascii="仿宋_GB2312" w:hAnsi="仿宋_GB2312" w:eastAsia="仿宋_GB2312" w:cs="仿宋_GB2312"/>
                <w:sz w:val="30"/>
                <w:szCs w:val="30"/>
                <w:highlight w:val="none"/>
                <w:u w:val="none"/>
                <w:vertAlign w:val="baseline"/>
              </w:rPr>
            </w:pPr>
          </w:p>
        </w:tc>
        <w:tc>
          <w:tcPr>
            <w:tcW w:w="1068" w:type="dxa"/>
            <w:noWrap w:val="0"/>
          </w:tcPr>
          <w:p w14:paraId="214D65B7">
            <w:pPr>
              <w:jc w:val="center"/>
              <w:rPr>
                <w:rFonts w:hint="eastAsia" w:ascii="仿宋_GB2312" w:hAnsi="仿宋_GB2312" w:eastAsia="仿宋_GB2312" w:cs="仿宋_GB2312"/>
                <w:sz w:val="30"/>
                <w:szCs w:val="30"/>
                <w:highlight w:val="none"/>
                <w:u w:val="none"/>
                <w:vertAlign w:val="baseline"/>
              </w:rPr>
            </w:pPr>
          </w:p>
        </w:tc>
        <w:tc>
          <w:tcPr>
            <w:tcW w:w="1284" w:type="dxa"/>
            <w:noWrap w:val="0"/>
          </w:tcPr>
          <w:p w14:paraId="568DB38E">
            <w:pPr>
              <w:jc w:val="center"/>
              <w:rPr>
                <w:rFonts w:hint="eastAsia" w:ascii="仿宋_GB2312" w:hAnsi="仿宋_GB2312" w:eastAsia="仿宋_GB2312" w:cs="仿宋_GB2312"/>
                <w:sz w:val="30"/>
                <w:szCs w:val="30"/>
                <w:highlight w:val="none"/>
                <w:u w:val="none"/>
                <w:vertAlign w:val="baseline"/>
              </w:rPr>
            </w:pPr>
          </w:p>
        </w:tc>
        <w:tc>
          <w:tcPr>
            <w:tcW w:w="972" w:type="dxa"/>
            <w:noWrap w:val="0"/>
          </w:tcPr>
          <w:p w14:paraId="0EC992AC">
            <w:pPr>
              <w:jc w:val="center"/>
              <w:rPr>
                <w:rFonts w:hint="eastAsia" w:ascii="仿宋_GB2312" w:hAnsi="仿宋_GB2312" w:eastAsia="仿宋_GB2312" w:cs="仿宋_GB2312"/>
                <w:sz w:val="30"/>
                <w:szCs w:val="30"/>
                <w:highlight w:val="none"/>
                <w:u w:val="none"/>
                <w:vertAlign w:val="baseline"/>
              </w:rPr>
            </w:pPr>
          </w:p>
        </w:tc>
      </w:tr>
      <w:tr w14:paraId="38FB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tcPr>
          <w:p w14:paraId="1BD179B9">
            <w:pPr>
              <w:jc w:val="center"/>
              <w:rPr>
                <w:rFonts w:hint="eastAsia" w:ascii="仿宋_GB2312" w:hAnsi="仿宋_GB2312" w:eastAsia="仿宋_GB2312" w:cs="仿宋_GB2312"/>
                <w:sz w:val="30"/>
                <w:szCs w:val="30"/>
                <w:highlight w:val="none"/>
                <w:u w:val="none"/>
                <w:vertAlign w:val="baseline"/>
              </w:rPr>
            </w:pPr>
          </w:p>
        </w:tc>
        <w:tc>
          <w:tcPr>
            <w:tcW w:w="636" w:type="dxa"/>
            <w:noWrap w:val="0"/>
          </w:tcPr>
          <w:p w14:paraId="083A9678">
            <w:pPr>
              <w:jc w:val="center"/>
              <w:rPr>
                <w:rFonts w:hint="eastAsia" w:ascii="仿宋_GB2312" w:hAnsi="仿宋_GB2312" w:eastAsia="仿宋_GB2312" w:cs="仿宋_GB2312"/>
                <w:sz w:val="30"/>
                <w:szCs w:val="30"/>
                <w:highlight w:val="none"/>
                <w:u w:val="none"/>
                <w:vertAlign w:val="baseline"/>
              </w:rPr>
            </w:pPr>
          </w:p>
        </w:tc>
        <w:tc>
          <w:tcPr>
            <w:tcW w:w="1229" w:type="dxa"/>
            <w:noWrap w:val="0"/>
          </w:tcPr>
          <w:p w14:paraId="6BA49BBC">
            <w:pPr>
              <w:jc w:val="center"/>
              <w:rPr>
                <w:rFonts w:hint="eastAsia" w:ascii="仿宋_GB2312" w:hAnsi="仿宋_GB2312" w:eastAsia="仿宋_GB2312" w:cs="仿宋_GB2312"/>
                <w:sz w:val="30"/>
                <w:szCs w:val="30"/>
                <w:highlight w:val="none"/>
                <w:u w:val="none"/>
                <w:vertAlign w:val="baseline"/>
              </w:rPr>
            </w:pPr>
          </w:p>
        </w:tc>
        <w:tc>
          <w:tcPr>
            <w:tcW w:w="679" w:type="dxa"/>
            <w:noWrap w:val="0"/>
          </w:tcPr>
          <w:p w14:paraId="20A65EEA">
            <w:pPr>
              <w:jc w:val="center"/>
              <w:rPr>
                <w:rFonts w:hint="eastAsia" w:ascii="仿宋_GB2312" w:hAnsi="仿宋_GB2312" w:eastAsia="仿宋_GB2312" w:cs="仿宋_GB2312"/>
                <w:sz w:val="30"/>
                <w:szCs w:val="30"/>
                <w:highlight w:val="none"/>
                <w:u w:val="none"/>
                <w:vertAlign w:val="baseline"/>
              </w:rPr>
            </w:pPr>
          </w:p>
        </w:tc>
        <w:tc>
          <w:tcPr>
            <w:tcW w:w="1056" w:type="dxa"/>
            <w:noWrap w:val="0"/>
          </w:tcPr>
          <w:p w14:paraId="0660AA0D">
            <w:pPr>
              <w:jc w:val="center"/>
              <w:rPr>
                <w:rFonts w:hint="eastAsia" w:ascii="仿宋_GB2312" w:hAnsi="仿宋_GB2312" w:eastAsia="仿宋_GB2312" w:cs="仿宋_GB2312"/>
                <w:sz w:val="30"/>
                <w:szCs w:val="30"/>
                <w:highlight w:val="none"/>
                <w:u w:val="none"/>
                <w:vertAlign w:val="baseline"/>
              </w:rPr>
            </w:pPr>
          </w:p>
        </w:tc>
        <w:tc>
          <w:tcPr>
            <w:tcW w:w="1140" w:type="dxa"/>
            <w:noWrap w:val="0"/>
          </w:tcPr>
          <w:p w14:paraId="088A06FE">
            <w:pPr>
              <w:jc w:val="center"/>
              <w:rPr>
                <w:rFonts w:hint="eastAsia" w:ascii="仿宋_GB2312" w:hAnsi="仿宋_GB2312" w:eastAsia="仿宋_GB2312" w:cs="仿宋_GB2312"/>
                <w:sz w:val="30"/>
                <w:szCs w:val="30"/>
                <w:highlight w:val="none"/>
                <w:u w:val="none"/>
                <w:vertAlign w:val="baseline"/>
              </w:rPr>
            </w:pPr>
          </w:p>
        </w:tc>
        <w:tc>
          <w:tcPr>
            <w:tcW w:w="876" w:type="dxa"/>
            <w:noWrap w:val="0"/>
          </w:tcPr>
          <w:p w14:paraId="6167C85D">
            <w:pPr>
              <w:jc w:val="center"/>
              <w:rPr>
                <w:rFonts w:hint="eastAsia" w:ascii="仿宋_GB2312" w:hAnsi="仿宋_GB2312" w:eastAsia="仿宋_GB2312" w:cs="仿宋_GB2312"/>
                <w:sz w:val="30"/>
                <w:szCs w:val="30"/>
                <w:highlight w:val="none"/>
                <w:u w:val="none"/>
                <w:vertAlign w:val="baseline"/>
              </w:rPr>
            </w:pPr>
          </w:p>
        </w:tc>
        <w:tc>
          <w:tcPr>
            <w:tcW w:w="1068" w:type="dxa"/>
            <w:noWrap w:val="0"/>
          </w:tcPr>
          <w:p w14:paraId="4AB53335">
            <w:pPr>
              <w:jc w:val="center"/>
              <w:rPr>
                <w:rFonts w:hint="eastAsia" w:ascii="仿宋_GB2312" w:hAnsi="仿宋_GB2312" w:eastAsia="仿宋_GB2312" w:cs="仿宋_GB2312"/>
                <w:sz w:val="30"/>
                <w:szCs w:val="30"/>
                <w:highlight w:val="none"/>
                <w:u w:val="none"/>
                <w:vertAlign w:val="baseline"/>
              </w:rPr>
            </w:pPr>
          </w:p>
        </w:tc>
        <w:tc>
          <w:tcPr>
            <w:tcW w:w="1284" w:type="dxa"/>
            <w:noWrap w:val="0"/>
          </w:tcPr>
          <w:p w14:paraId="23F57715">
            <w:pPr>
              <w:jc w:val="center"/>
              <w:rPr>
                <w:rFonts w:hint="eastAsia" w:ascii="仿宋_GB2312" w:hAnsi="仿宋_GB2312" w:eastAsia="仿宋_GB2312" w:cs="仿宋_GB2312"/>
                <w:sz w:val="30"/>
                <w:szCs w:val="30"/>
                <w:highlight w:val="none"/>
                <w:u w:val="none"/>
                <w:vertAlign w:val="baseline"/>
              </w:rPr>
            </w:pPr>
          </w:p>
        </w:tc>
        <w:tc>
          <w:tcPr>
            <w:tcW w:w="972" w:type="dxa"/>
            <w:noWrap w:val="0"/>
          </w:tcPr>
          <w:p w14:paraId="301D0027">
            <w:pPr>
              <w:jc w:val="center"/>
              <w:rPr>
                <w:rFonts w:hint="eastAsia" w:ascii="仿宋_GB2312" w:hAnsi="仿宋_GB2312" w:eastAsia="仿宋_GB2312" w:cs="仿宋_GB2312"/>
                <w:sz w:val="30"/>
                <w:szCs w:val="30"/>
                <w:highlight w:val="none"/>
                <w:u w:val="none"/>
                <w:vertAlign w:val="baseline"/>
              </w:rPr>
            </w:pPr>
          </w:p>
        </w:tc>
      </w:tr>
      <w:tr w14:paraId="44D8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tcPr>
          <w:p w14:paraId="504BB614">
            <w:pPr>
              <w:jc w:val="center"/>
              <w:rPr>
                <w:rFonts w:hint="eastAsia" w:ascii="仿宋_GB2312" w:hAnsi="仿宋_GB2312" w:eastAsia="仿宋_GB2312" w:cs="仿宋_GB2312"/>
                <w:sz w:val="30"/>
                <w:szCs w:val="30"/>
                <w:highlight w:val="none"/>
                <w:u w:val="none"/>
                <w:vertAlign w:val="baseline"/>
              </w:rPr>
            </w:pPr>
          </w:p>
        </w:tc>
        <w:tc>
          <w:tcPr>
            <w:tcW w:w="636" w:type="dxa"/>
            <w:noWrap w:val="0"/>
          </w:tcPr>
          <w:p w14:paraId="3F6DD7FE">
            <w:pPr>
              <w:jc w:val="center"/>
              <w:rPr>
                <w:rFonts w:hint="eastAsia" w:ascii="仿宋_GB2312" w:hAnsi="仿宋_GB2312" w:eastAsia="仿宋_GB2312" w:cs="仿宋_GB2312"/>
                <w:sz w:val="30"/>
                <w:szCs w:val="30"/>
                <w:highlight w:val="none"/>
                <w:u w:val="none"/>
                <w:vertAlign w:val="baseline"/>
              </w:rPr>
            </w:pPr>
          </w:p>
        </w:tc>
        <w:tc>
          <w:tcPr>
            <w:tcW w:w="1229" w:type="dxa"/>
            <w:noWrap w:val="0"/>
          </w:tcPr>
          <w:p w14:paraId="3F552CDC">
            <w:pPr>
              <w:jc w:val="center"/>
              <w:rPr>
                <w:rFonts w:hint="eastAsia" w:ascii="仿宋_GB2312" w:hAnsi="仿宋_GB2312" w:eastAsia="仿宋_GB2312" w:cs="仿宋_GB2312"/>
                <w:sz w:val="30"/>
                <w:szCs w:val="30"/>
                <w:highlight w:val="none"/>
                <w:u w:val="none"/>
                <w:vertAlign w:val="baseline"/>
              </w:rPr>
            </w:pPr>
          </w:p>
        </w:tc>
        <w:tc>
          <w:tcPr>
            <w:tcW w:w="679" w:type="dxa"/>
            <w:noWrap w:val="0"/>
          </w:tcPr>
          <w:p w14:paraId="34BDFDC6">
            <w:pPr>
              <w:jc w:val="center"/>
              <w:rPr>
                <w:rFonts w:hint="eastAsia" w:ascii="仿宋_GB2312" w:hAnsi="仿宋_GB2312" w:eastAsia="仿宋_GB2312" w:cs="仿宋_GB2312"/>
                <w:sz w:val="30"/>
                <w:szCs w:val="30"/>
                <w:highlight w:val="none"/>
                <w:u w:val="none"/>
                <w:vertAlign w:val="baseline"/>
              </w:rPr>
            </w:pPr>
          </w:p>
        </w:tc>
        <w:tc>
          <w:tcPr>
            <w:tcW w:w="1056" w:type="dxa"/>
            <w:noWrap w:val="0"/>
          </w:tcPr>
          <w:p w14:paraId="5C5AC1B8">
            <w:pPr>
              <w:jc w:val="center"/>
              <w:rPr>
                <w:rFonts w:hint="eastAsia" w:ascii="仿宋_GB2312" w:hAnsi="仿宋_GB2312" w:eastAsia="仿宋_GB2312" w:cs="仿宋_GB2312"/>
                <w:sz w:val="30"/>
                <w:szCs w:val="30"/>
                <w:highlight w:val="none"/>
                <w:u w:val="none"/>
                <w:vertAlign w:val="baseline"/>
              </w:rPr>
            </w:pPr>
          </w:p>
        </w:tc>
        <w:tc>
          <w:tcPr>
            <w:tcW w:w="1140" w:type="dxa"/>
            <w:noWrap w:val="0"/>
          </w:tcPr>
          <w:p w14:paraId="3BCB6EE0">
            <w:pPr>
              <w:jc w:val="center"/>
              <w:rPr>
                <w:rFonts w:hint="eastAsia" w:ascii="仿宋_GB2312" w:hAnsi="仿宋_GB2312" w:eastAsia="仿宋_GB2312" w:cs="仿宋_GB2312"/>
                <w:sz w:val="30"/>
                <w:szCs w:val="30"/>
                <w:highlight w:val="none"/>
                <w:u w:val="none"/>
                <w:vertAlign w:val="baseline"/>
              </w:rPr>
            </w:pPr>
          </w:p>
        </w:tc>
        <w:tc>
          <w:tcPr>
            <w:tcW w:w="876" w:type="dxa"/>
            <w:noWrap w:val="0"/>
          </w:tcPr>
          <w:p w14:paraId="07661825">
            <w:pPr>
              <w:jc w:val="center"/>
              <w:rPr>
                <w:rFonts w:hint="eastAsia" w:ascii="仿宋_GB2312" w:hAnsi="仿宋_GB2312" w:eastAsia="仿宋_GB2312" w:cs="仿宋_GB2312"/>
                <w:sz w:val="30"/>
                <w:szCs w:val="30"/>
                <w:highlight w:val="none"/>
                <w:u w:val="none"/>
                <w:vertAlign w:val="baseline"/>
              </w:rPr>
            </w:pPr>
          </w:p>
        </w:tc>
        <w:tc>
          <w:tcPr>
            <w:tcW w:w="1068" w:type="dxa"/>
            <w:noWrap w:val="0"/>
          </w:tcPr>
          <w:p w14:paraId="7D8F350F">
            <w:pPr>
              <w:jc w:val="center"/>
              <w:rPr>
                <w:rFonts w:hint="eastAsia" w:ascii="仿宋_GB2312" w:hAnsi="仿宋_GB2312" w:eastAsia="仿宋_GB2312" w:cs="仿宋_GB2312"/>
                <w:sz w:val="30"/>
                <w:szCs w:val="30"/>
                <w:highlight w:val="none"/>
                <w:u w:val="none"/>
                <w:vertAlign w:val="baseline"/>
              </w:rPr>
            </w:pPr>
          </w:p>
        </w:tc>
        <w:tc>
          <w:tcPr>
            <w:tcW w:w="1284" w:type="dxa"/>
            <w:noWrap w:val="0"/>
          </w:tcPr>
          <w:p w14:paraId="6226CE2A">
            <w:pPr>
              <w:jc w:val="center"/>
              <w:rPr>
                <w:rFonts w:hint="eastAsia" w:ascii="仿宋_GB2312" w:hAnsi="仿宋_GB2312" w:eastAsia="仿宋_GB2312" w:cs="仿宋_GB2312"/>
                <w:sz w:val="30"/>
                <w:szCs w:val="30"/>
                <w:highlight w:val="none"/>
                <w:u w:val="none"/>
                <w:vertAlign w:val="baseline"/>
              </w:rPr>
            </w:pPr>
          </w:p>
        </w:tc>
        <w:tc>
          <w:tcPr>
            <w:tcW w:w="972" w:type="dxa"/>
            <w:noWrap w:val="0"/>
          </w:tcPr>
          <w:p w14:paraId="10DC4574">
            <w:pPr>
              <w:jc w:val="center"/>
              <w:rPr>
                <w:rFonts w:hint="eastAsia" w:ascii="仿宋_GB2312" w:hAnsi="仿宋_GB2312" w:eastAsia="仿宋_GB2312" w:cs="仿宋_GB2312"/>
                <w:sz w:val="30"/>
                <w:szCs w:val="30"/>
                <w:highlight w:val="none"/>
                <w:u w:val="none"/>
                <w:vertAlign w:val="baseline"/>
              </w:rPr>
            </w:pPr>
          </w:p>
        </w:tc>
      </w:tr>
      <w:tr w14:paraId="1DD4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tcPr>
          <w:p w14:paraId="2B19F10E">
            <w:pPr>
              <w:jc w:val="center"/>
              <w:rPr>
                <w:rFonts w:hint="eastAsia" w:ascii="仿宋_GB2312" w:hAnsi="仿宋_GB2312" w:eastAsia="仿宋_GB2312" w:cs="仿宋_GB2312"/>
                <w:sz w:val="30"/>
                <w:szCs w:val="30"/>
                <w:highlight w:val="none"/>
                <w:u w:val="none"/>
                <w:vertAlign w:val="baseline"/>
              </w:rPr>
            </w:pPr>
          </w:p>
        </w:tc>
        <w:tc>
          <w:tcPr>
            <w:tcW w:w="636" w:type="dxa"/>
            <w:noWrap w:val="0"/>
          </w:tcPr>
          <w:p w14:paraId="4E0EC867">
            <w:pPr>
              <w:jc w:val="center"/>
              <w:rPr>
                <w:rFonts w:hint="eastAsia" w:ascii="仿宋_GB2312" w:hAnsi="仿宋_GB2312" w:eastAsia="仿宋_GB2312" w:cs="仿宋_GB2312"/>
                <w:sz w:val="30"/>
                <w:szCs w:val="30"/>
                <w:highlight w:val="none"/>
                <w:u w:val="none"/>
                <w:vertAlign w:val="baseline"/>
              </w:rPr>
            </w:pPr>
          </w:p>
        </w:tc>
        <w:tc>
          <w:tcPr>
            <w:tcW w:w="1229" w:type="dxa"/>
            <w:noWrap w:val="0"/>
          </w:tcPr>
          <w:p w14:paraId="76B53A18">
            <w:pPr>
              <w:jc w:val="center"/>
              <w:rPr>
                <w:rFonts w:hint="eastAsia" w:ascii="仿宋_GB2312" w:hAnsi="仿宋_GB2312" w:eastAsia="仿宋_GB2312" w:cs="仿宋_GB2312"/>
                <w:sz w:val="30"/>
                <w:szCs w:val="30"/>
                <w:highlight w:val="none"/>
                <w:u w:val="none"/>
                <w:vertAlign w:val="baseline"/>
              </w:rPr>
            </w:pPr>
          </w:p>
        </w:tc>
        <w:tc>
          <w:tcPr>
            <w:tcW w:w="679" w:type="dxa"/>
            <w:noWrap w:val="0"/>
          </w:tcPr>
          <w:p w14:paraId="31A62D99">
            <w:pPr>
              <w:jc w:val="center"/>
              <w:rPr>
                <w:rFonts w:hint="eastAsia" w:ascii="仿宋_GB2312" w:hAnsi="仿宋_GB2312" w:eastAsia="仿宋_GB2312" w:cs="仿宋_GB2312"/>
                <w:sz w:val="30"/>
                <w:szCs w:val="30"/>
                <w:highlight w:val="none"/>
                <w:u w:val="none"/>
                <w:vertAlign w:val="baseline"/>
              </w:rPr>
            </w:pPr>
          </w:p>
        </w:tc>
        <w:tc>
          <w:tcPr>
            <w:tcW w:w="1056" w:type="dxa"/>
            <w:noWrap w:val="0"/>
          </w:tcPr>
          <w:p w14:paraId="7D5F1BC4">
            <w:pPr>
              <w:jc w:val="center"/>
              <w:rPr>
                <w:rFonts w:hint="eastAsia" w:ascii="仿宋_GB2312" w:hAnsi="仿宋_GB2312" w:eastAsia="仿宋_GB2312" w:cs="仿宋_GB2312"/>
                <w:sz w:val="30"/>
                <w:szCs w:val="30"/>
                <w:highlight w:val="none"/>
                <w:u w:val="none"/>
                <w:vertAlign w:val="baseline"/>
              </w:rPr>
            </w:pPr>
          </w:p>
        </w:tc>
        <w:tc>
          <w:tcPr>
            <w:tcW w:w="1140" w:type="dxa"/>
            <w:noWrap w:val="0"/>
          </w:tcPr>
          <w:p w14:paraId="6B44B2C4">
            <w:pPr>
              <w:jc w:val="center"/>
              <w:rPr>
                <w:rFonts w:hint="eastAsia" w:ascii="仿宋_GB2312" w:hAnsi="仿宋_GB2312" w:eastAsia="仿宋_GB2312" w:cs="仿宋_GB2312"/>
                <w:sz w:val="30"/>
                <w:szCs w:val="30"/>
                <w:highlight w:val="none"/>
                <w:u w:val="none"/>
                <w:vertAlign w:val="baseline"/>
              </w:rPr>
            </w:pPr>
          </w:p>
        </w:tc>
        <w:tc>
          <w:tcPr>
            <w:tcW w:w="876" w:type="dxa"/>
            <w:noWrap w:val="0"/>
          </w:tcPr>
          <w:p w14:paraId="080FEB5C">
            <w:pPr>
              <w:jc w:val="center"/>
              <w:rPr>
                <w:rFonts w:hint="eastAsia" w:ascii="仿宋_GB2312" w:hAnsi="仿宋_GB2312" w:eastAsia="仿宋_GB2312" w:cs="仿宋_GB2312"/>
                <w:sz w:val="30"/>
                <w:szCs w:val="30"/>
                <w:highlight w:val="none"/>
                <w:u w:val="none"/>
                <w:vertAlign w:val="baseline"/>
              </w:rPr>
            </w:pPr>
          </w:p>
        </w:tc>
        <w:tc>
          <w:tcPr>
            <w:tcW w:w="1068" w:type="dxa"/>
            <w:noWrap w:val="0"/>
          </w:tcPr>
          <w:p w14:paraId="3BB0A6BA">
            <w:pPr>
              <w:jc w:val="center"/>
              <w:rPr>
                <w:rFonts w:hint="eastAsia" w:ascii="仿宋_GB2312" w:hAnsi="仿宋_GB2312" w:eastAsia="仿宋_GB2312" w:cs="仿宋_GB2312"/>
                <w:sz w:val="30"/>
                <w:szCs w:val="30"/>
                <w:highlight w:val="none"/>
                <w:u w:val="none"/>
                <w:vertAlign w:val="baseline"/>
              </w:rPr>
            </w:pPr>
          </w:p>
        </w:tc>
        <w:tc>
          <w:tcPr>
            <w:tcW w:w="1284" w:type="dxa"/>
            <w:noWrap w:val="0"/>
          </w:tcPr>
          <w:p w14:paraId="78DE5507">
            <w:pPr>
              <w:jc w:val="center"/>
              <w:rPr>
                <w:rFonts w:hint="eastAsia" w:ascii="仿宋_GB2312" w:hAnsi="仿宋_GB2312" w:eastAsia="仿宋_GB2312" w:cs="仿宋_GB2312"/>
                <w:sz w:val="30"/>
                <w:szCs w:val="30"/>
                <w:highlight w:val="none"/>
                <w:u w:val="none"/>
                <w:vertAlign w:val="baseline"/>
              </w:rPr>
            </w:pPr>
          </w:p>
        </w:tc>
        <w:tc>
          <w:tcPr>
            <w:tcW w:w="972" w:type="dxa"/>
            <w:noWrap w:val="0"/>
          </w:tcPr>
          <w:p w14:paraId="5CEAC971">
            <w:pPr>
              <w:jc w:val="center"/>
              <w:rPr>
                <w:rFonts w:hint="eastAsia" w:ascii="仿宋_GB2312" w:hAnsi="仿宋_GB2312" w:eastAsia="仿宋_GB2312" w:cs="仿宋_GB2312"/>
                <w:sz w:val="30"/>
                <w:szCs w:val="30"/>
                <w:highlight w:val="none"/>
                <w:u w:val="none"/>
                <w:vertAlign w:val="baseline"/>
              </w:rPr>
            </w:pPr>
          </w:p>
        </w:tc>
      </w:tr>
      <w:tr w14:paraId="06A3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tcPr>
          <w:p w14:paraId="680DF2D8">
            <w:pPr>
              <w:jc w:val="center"/>
              <w:rPr>
                <w:rFonts w:hint="eastAsia" w:ascii="仿宋_GB2312" w:hAnsi="仿宋_GB2312" w:eastAsia="仿宋_GB2312" w:cs="仿宋_GB2312"/>
                <w:sz w:val="30"/>
                <w:szCs w:val="30"/>
                <w:highlight w:val="none"/>
                <w:u w:val="none"/>
                <w:vertAlign w:val="baseline"/>
              </w:rPr>
            </w:pPr>
          </w:p>
        </w:tc>
        <w:tc>
          <w:tcPr>
            <w:tcW w:w="636" w:type="dxa"/>
            <w:noWrap w:val="0"/>
          </w:tcPr>
          <w:p w14:paraId="1F7E1D3D">
            <w:pPr>
              <w:jc w:val="center"/>
              <w:rPr>
                <w:rFonts w:hint="eastAsia" w:ascii="仿宋_GB2312" w:hAnsi="仿宋_GB2312" w:eastAsia="仿宋_GB2312" w:cs="仿宋_GB2312"/>
                <w:sz w:val="30"/>
                <w:szCs w:val="30"/>
                <w:highlight w:val="none"/>
                <w:u w:val="none"/>
                <w:vertAlign w:val="baseline"/>
              </w:rPr>
            </w:pPr>
          </w:p>
        </w:tc>
        <w:tc>
          <w:tcPr>
            <w:tcW w:w="1229" w:type="dxa"/>
            <w:noWrap w:val="0"/>
          </w:tcPr>
          <w:p w14:paraId="3C2D494C">
            <w:pPr>
              <w:jc w:val="center"/>
              <w:rPr>
                <w:rFonts w:hint="eastAsia" w:ascii="仿宋_GB2312" w:hAnsi="仿宋_GB2312" w:eastAsia="仿宋_GB2312" w:cs="仿宋_GB2312"/>
                <w:sz w:val="30"/>
                <w:szCs w:val="30"/>
                <w:highlight w:val="none"/>
                <w:u w:val="none"/>
                <w:vertAlign w:val="baseline"/>
              </w:rPr>
            </w:pPr>
          </w:p>
        </w:tc>
        <w:tc>
          <w:tcPr>
            <w:tcW w:w="679" w:type="dxa"/>
            <w:noWrap w:val="0"/>
          </w:tcPr>
          <w:p w14:paraId="1E0339F7">
            <w:pPr>
              <w:jc w:val="center"/>
              <w:rPr>
                <w:rFonts w:hint="eastAsia" w:ascii="仿宋_GB2312" w:hAnsi="仿宋_GB2312" w:eastAsia="仿宋_GB2312" w:cs="仿宋_GB2312"/>
                <w:sz w:val="30"/>
                <w:szCs w:val="30"/>
                <w:highlight w:val="none"/>
                <w:u w:val="none"/>
                <w:vertAlign w:val="baseline"/>
              </w:rPr>
            </w:pPr>
          </w:p>
        </w:tc>
        <w:tc>
          <w:tcPr>
            <w:tcW w:w="1056" w:type="dxa"/>
            <w:noWrap w:val="0"/>
          </w:tcPr>
          <w:p w14:paraId="195D7A2D">
            <w:pPr>
              <w:jc w:val="center"/>
              <w:rPr>
                <w:rFonts w:hint="eastAsia" w:ascii="仿宋_GB2312" w:hAnsi="仿宋_GB2312" w:eastAsia="仿宋_GB2312" w:cs="仿宋_GB2312"/>
                <w:sz w:val="30"/>
                <w:szCs w:val="30"/>
                <w:highlight w:val="none"/>
                <w:u w:val="none"/>
                <w:vertAlign w:val="baseline"/>
              </w:rPr>
            </w:pPr>
          </w:p>
        </w:tc>
        <w:tc>
          <w:tcPr>
            <w:tcW w:w="1140" w:type="dxa"/>
            <w:noWrap w:val="0"/>
          </w:tcPr>
          <w:p w14:paraId="7635CF02">
            <w:pPr>
              <w:jc w:val="center"/>
              <w:rPr>
                <w:rFonts w:hint="eastAsia" w:ascii="仿宋_GB2312" w:hAnsi="仿宋_GB2312" w:eastAsia="仿宋_GB2312" w:cs="仿宋_GB2312"/>
                <w:sz w:val="30"/>
                <w:szCs w:val="30"/>
                <w:highlight w:val="none"/>
                <w:u w:val="none"/>
                <w:vertAlign w:val="baseline"/>
              </w:rPr>
            </w:pPr>
          </w:p>
        </w:tc>
        <w:tc>
          <w:tcPr>
            <w:tcW w:w="876" w:type="dxa"/>
            <w:noWrap w:val="0"/>
          </w:tcPr>
          <w:p w14:paraId="653C53AA">
            <w:pPr>
              <w:jc w:val="center"/>
              <w:rPr>
                <w:rFonts w:hint="eastAsia" w:ascii="仿宋_GB2312" w:hAnsi="仿宋_GB2312" w:eastAsia="仿宋_GB2312" w:cs="仿宋_GB2312"/>
                <w:sz w:val="30"/>
                <w:szCs w:val="30"/>
                <w:highlight w:val="none"/>
                <w:u w:val="none"/>
                <w:vertAlign w:val="baseline"/>
              </w:rPr>
            </w:pPr>
          </w:p>
        </w:tc>
        <w:tc>
          <w:tcPr>
            <w:tcW w:w="1068" w:type="dxa"/>
            <w:noWrap w:val="0"/>
          </w:tcPr>
          <w:p w14:paraId="2C0E58D6">
            <w:pPr>
              <w:jc w:val="center"/>
              <w:rPr>
                <w:rFonts w:hint="eastAsia" w:ascii="仿宋_GB2312" w:hAnsi="仿宋_GB2312" w:eastAsia="仿宋_GB2312" w:cs="仿宋_GB2312"/>
                <w:sz w:val="30"/>
                <w:szCs w:val="30"/>
                <w:highlight w:val="none"/>
                <w:u w:val="none"/>
                <w:vertAlign w:val="baseline"/>
              </w:rPr>
            </w:pPr>
          </w:p>
        </w:tc>
        <w:tc>
          <w:tcPr>
            <w:tcW w:w="1284" w:type="dxa"/>
            <w:noWrap w:val="0"/>
          </w:tcPr>
          <w:p w14:paraId="12A4DE5A">
            <w:pPr>
              <w:jc w:val="center"/>
              <w:rPr>
                <w:rFonts w:hint="eastAsia" w:ascii="仿宋_GB2312" w:hAnsi="仿宋_GB2312" w:eastAsia="仿宋_GB2312" w:cs="仿宋_GB2312"/>
                <w:sz w:val="30"/>
                <w:szCs w:val="30"/>
                <w:highlight w:val="none"/>
                <w:u w:val="none"/>
                <w:vertAlign w:val="baseline"/>
              </w:rPr>
            </w:pPr>
          </w:p>
        </w:tc>
        <w:tc>
          <w:tcPr>
            <w:tcW w:w="972" w:type="dxa"/>
            <w:noWrap w:val="0"/>
          </w:tcPr>
          <w:p w14:paraId="6AB1C8C8">
            <w:pPr>
              <w:jc w:val="center"/>
              <w:rPr>
                <w:rFonts w:hint="eastAsia" w:ascii="仿宋_GB2312" w:hAnsi="仿宋_GB2312" w:eastAsia="仿宋_GB2312" w:cs="仿宋_GB2312"/>
                <w:sz w:val="30"/>
                <w:szCs w:val="30"/>
                <w:highlight w:val="none"/>
                <w:u w:val="none"/>
                <w:vertAlign w:val="baseline"/>
              </w:rPr>
            </w:pPr>
          </w:p>
        </w:tc>
      </w:tr>
      <w:tr w14:paraId="1446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noWrap w:val="0"/>
          </w:tcPr>
          <w:p w14:paraId="5723E074">
            <w:pPr>
              <w:jc w:val="center"/>
              <w:rPr>
                <w:rFonts w:hint="eastAsia" w:ascii="仿宋_GB2312" w:hAnsi="仿宋_GB2312" w:eastAsia="仿宋_GB2312" w:cs="仿宋_GB2312"/>
                <w:sz w:val="30"/>
                <w:szCs w:val="30"/>
                <w:highlight w:val="none"/>
                <w:u w:val="none"/>
                <w:vertAlign w:val="baseline"/>
              </w:rPr>
            </w:pPr>
          </w:p>
        </w:tc>
        <w:tc>
          <w:tcPr>
            <w:tcW w:w="636" w:type="dxa"/>
            <w:noWrap w:val="0"/>
          </w:tcPr>
          <w:p w14:paraId="290A84D5">
            <w:pPr>
              <w:jc w:val="center"/>
              <w:rPr>
                <w:rFonts w:hint="eastAsia" w:ascii="仿宋_GB2312" w:hAnsi="仿宋_GB2312" w:eastAsia="仿宋_GB2312" w:cs="仿宋_GB2312"/>
                <w:sz w:val="30"/>
                <w:szCs w:val="30"/>
                <w:highlight w:val="none"/>
                <w:u w:val="none"/>
                <w:vertAlign w:val="baseline"/>
              </w:rPr>
            </w:pPr>
          </w:p>
        </w:tc>
        <w:tc>
          <w:tcPr>
            <w:tcW w:w="1229" w:type="dxa"/>
            <w:noWrap w:val="0"/>
          </w:tcPr>
          <w:p w14:paraId="35AB63D1">
            <w:pPr>
              <w:jc w:val="center"/>
              <w:rPr>
                <w:rFonts w:hint="eastAsia" w:ascii="仿宋_GB2312" w:hAnsi="仿宋_GB2312" w:eastAsia="仿宋_GB2312" w:cs="仿宋_GB2312"/>
                <w:sz w:val="30"/>
                <w:szCs w:val="30"/>
                <w:highlight w:val="none"/>
                <w:u w:val="none"/>
                <w:vertAlign w:val="baseline"/>
              </w:rPr>
            </w:pPr>
          </w:p>
        </w:tc>
        <w:tc>
          <w:tcPr>
            <w:tcW w:w="679" w:type="dxa"/>
            <w:noWrap w:val="0"/>
          </w:tcPr>
          <w:p w14:paraId="125D7700">
            <w:pPr>
              <w:jc w:val="center"/>
              <w:rPr>
                <w:rFonts w:hint="eastAsia" w:ascii="仿宋_GB2312" w:hAnsi="仿宋_GB2312" w:eastAsia="仿宋_GB2312" w:cs="仿宋_GB2312"/>
                <w:sz w:val="30"/>
                <w:szCs w:val="30"/>
                <w:highlight w:val="none"/>
                <w:u w:val="none"/>
                <w:vertAlign w:val="baseline"/>
              </w:rPr>
            </w:pPr>
          </w:p>
        </w:tc>
        <w:tc>
          <w:tcPr>
            <w:tcW w:w="1056" w:type="dxa"/>
            <w:noWrap w:val="0"/>
          </w:tcPr>
          <w:p w14:paraId="0A195170">
            <w:pPr>
              <w:jc w:val="center"/>
              <w:rPr>
                <w:rFonts w:hint="eastAsia" w:ascii="仿宋_GB2312" w:hAnsi="仿宋_GB2312" w:eastAsia="仿宋_GB2312" w:cs="仿宋_GB2312"/>
                <w:sz w:val="30"/>
                <w:szCs w:val="30"/>
                <w:highlight w:val="none"/>
                <w:u w:val="none"/>
                <w:vertAlign w:val="baseline"/>
              </w:rPr>
            </w:pPr>
          </w:p>
        </w:tc>
        <w:tc>
          <w:tcPr>
            <w:tcW w:w="1140" w:type="dxa"/>
            <w:noWrap w:val="0"/>
          </w:tcPr>
          <w:p w14:paraId="5601FB7D">
            <w:pPr>
              <w:jc w:val="center"/>
              <w:rPr>
                <w:rFonts w:hint="eastAsia" w:ascii="仿宋_GB2312" w:hAnsi="仿宋_GB2312" w:eastAsia="仿宋_GB2312" w:cs="仿宋_GB2312"/>
                <w:sz w:val="30"/>
                <w:szCs w:val="30"/>
                <w:highlight w:val="none"/>
                <w:u w:val="none"/>
                <w:vertAlign w:val="baseline"/>
              </w:rPr>
            </w:pPr>
          </w:p>
        </w:tc>
        <w:tc>
          <w:tcPr>
            <w:tcW w:w="876" w:type="dxa"/>
            <w:noWrap w:val="0"/>
          </w:tcPr>
          <w:p w14:paraId="42F30D68">
            <w:pPr>
              <w:jc w:val="center"/>
              <w:rPr>
                <w:rFonts w:hint="eastAsia" w:ascii="仿宋_GB2312" w:hAnsi="仿宋_GB2312" w:eastAsia="仿宋_GB2312" w:cs="仿宋_GB2312"/>
                <w:sz w:val="30"/>
                <w:szCs w:val="30"/>
                <w:highlight w:val="none"/>
                <w:u w:val="none"/>
                <w:vertAlign w:val="baseline"/>
              </w:rPr>
            </w:pPr>
          </w:p>
        </w:tc>
        <w:tc>
          <w:tcPr>
            <w:tcW w:w="1068" w:type="dxa"/>
            <w:noWrap w:val="0"/>
          </w:tcPr>
          <w:p w14:paraId="4475B5DD">
            <w:pPr>
              <w:jc w:val="center"/>
              <w:rPr>
                <w:rFonts w:hint="eastAsia" w:ascii="仿宋_GB2312" w:hAnsi="仿宋_GB2312" w:eastAsia="仿宋_GB2312" w:cs="仿宋_GB2312"/>
                <w:sz w:val="30"/>
                <w:szCs w:val="30"/>
                <w:highlight w:val="none"/>
                <w:u w:val="none"/>
                <w:vertAlign w:val="baseline"/>
              </w:rPr>
            </w:pPr>
          </w:p>
        </w:tc>
        <w:tc>
          <w:tcPr>
            <w:tcW w:w="1284" w:type="dxa"/>
            <w:noWrap w:val="0"/>
          </w:tcPr>
          <w:p w14:paraId="03570C57">
            <w:pPr>
              <w:jc w:val="center"/>
              <w:rPr>
                <w:rFonts w:hint="eastAsia" w:ascii="仿宋_GB2312" w:hAnsi="仿宋_GB2312" w:eastAsia="仿宋_GB2312" w:cs="仿宋_GB2312"/>
                <w:sz w:val="30"/>
                <w:szCs w:val="30"/>
                <w:highlight w:val="none"/>
                <w:u w:val="none"/>
                <w:vertAlign w:val="baseline"/>
              </w:rPr>
            </w:pPr>
          </w:p>
        </w:tc>
        <w:tc>
          <w:tcPr>
            <w:tcW w:w="972" w:type="dxa"/>
            <w:noWrap w:val="0"/>
          </w:tcPr>
          <w:p w14:paraId="452121A7">
            <w:pPr>
              <w:jc w:val="center"/>
              <w:rPr>
                <w:rFonts w:hint="eastAsia" w:ascii="仿宋_GB2312" w:hAnsi="仿宋_GB2312" w:eastAsia="仿宋_GB2312" w:cs="仿宋_GB2312"/>
                <w:sz w:val="30"/>
                <w:szCs w:val="30"/>
                <w:highlight w:val="none"/>
                <w:u w:val="none"/>
                <w:vertAlign w:val="baseline"/>
              </w:rPr>
            </w:pPr>
          </w:p>
        </w:tc>
      </w:tr>
      <w:tr w14:paraId="458C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10"/>
            <w:noWrap w:val="0"/>
          </w:tcPr>
          <w:p w14:paraId="7A848C73">
            <w:pPr>
              <w:jc w:val="both"/>
              <w:rPr>
                <w:rFonts w:hint="eastAsia" w:ascii="仿宋_GB2312" w:hAnsi="仿宋_GB2312" w:eastAsia="仿宋_GB2312" w:cs="仿宋_GB2312"/>
                <w:sz w:val="21"/>
                <w:szCs w:val="21"/>
                <w:highlight w:val="none"/>
                <w:u w:val="none"/>
                <w:vertAlign w:val="baseline"/>
              </w:rPr>
            </w:pPr>
            <w:r>
              <w:rPr>
                <w:rFonts w:hint="eastAsia" w:ascii="仿宋_GB2312" w:hAnsi="仿宋_GB2312" w:eastAsia="仿宋_GB2312" w:cs="仿宋_GB2312"/>
                <w:sz w:val="21"/>
                <w:szCs w:val="21"/>
                <w:highlight w:val="none"/>
                <w:u w:val="none"/>
                <w:vertAlign w:val="baseline"/>
              </w:rPr>
              <w:t>备注：</w:t>
            </w:r>
            <w:r>
              <w:rPr>
                <w:rFonts w:hint="eastAsia" w:ascii="仿宋_GB2312" w:hAnsi="仿宋_GB2312" w:eastAsia="仿宋_GB2312" w:cs="仿宋_GB2312"/>
                <w:sz w:val="21"/>
                <w:szCs w:val="21"/>
                <w:highlight w:val="none"/>
                <w:u w:val="none"/>
                <w:vertAlign w:val="baseline"/>
                <w:lang w:val="en-US" w:eastAsia="zh-CN"/>
              </w:rPr>
              <w:t>1</w:t>
            </w:r>
            <w:r>
              <w:rPr>
                <w:rFonts w:hint="eastAsia" w:ascii="仿宋_GB2312" w:hAnsi="仿宋_GB2312" w:eastAsia="仿宋_GB2312" w:cs="仿宋_GB2312"/>
                <w:sz w:val="21"/>
                <w:szCs w:val="21"/>
                <w:highlight w:val="none"/>
                <w:u w:val="none"/>
                <w:vertAlign w:val="baseline"/>
              </w:rPr>
              <w:t>.本单价表中工程量为暂定量，具体工程量以现场实际完成为准，乙方不得因为工程量变化调整单价。</w:t>
            </w:r>
          </w:p>
          <w:p w14:paraId="09957924">
            <w:pPr>
              <w:jc w:val="both"/>
              <w:rPr>
                <w:rFonts w:hint="eastAsia" w:ascii="仿宋_GB2312" w:hAnsi="仿宋_GB2312" w:eastAsia="仿宋_GB2312" w:cs="仿宋_GB2312"/>
                <w:sz w:val="30"/>
                <w:szCs w:val="30"/>
                <w:highlight w:val="none"/>
                <w:u w:val="none"/>
                <w:vertAlign w:val="baseline"/>
              </w:rPr>
            </w:pPr>
            <w:r>
              <w:rPr>
                <w:rFonts w:hint="eastAsia" w:ascii="仿宋_GB2312" w:hAnsi="仿宋_GB2312" w:eastAsia="仿宋_GB2312" w:cs="仿宋_GB2312"/>
                <w:sz w:val="21"/>
                <w:szCs w:val="21"/>
                <w:highlight w:val="none"/>
                <w:u w:val="none"/>
                <w:vertAlign w:val="baseline"/>
              </w:rPr>
              <w:t xml:space="preserve">      </w:t>
            </w:r>
            <w:r>
              <w:rPr>
                <w:rFonts w:hint="eastAsia" w:ascii="仿宋_GB2312" w:hAnsi="仿宋_GB2312" w:eastAsia="仿宋_GB2312" w:cs="仿宋_GB2312"/>
                <w:sz w:val="21"/>
                <w:szCs w:val="21"/>
                <w:highlight w:val="none"/>
                <w:u w:val="none"/>
                <w:vertAlign w:val="baseline"/>
                <w:lang w:val="en-US" w:eastAsia="zh-CN"/>
              </w:rPr>
              <w:t>2</w:t>
            </w:r>
            <w:r>
              <w:rPr>
                <w:rFonts w:hint="eastAsia" w:ascii="仿宋_GB2312" w:hAnsi="仿宋_GB2312" w:eastAsia="仿宋_GB2312" w:cs="仿宋_GB2312"/>
                <w:sz w:val="21"/>
                <w:szCs w:val="21"/>
                <w:highlight w:val="none"/>
                <w:u w:val="none"/>
                <w:vertAlign w:val="baseline"/>
              </w:rPr>
              <w:t>.本单价表中不含税综合单价仅不含增值税。</w:t>
            </w:r>
          </w:p>
        </w:tc>
      </w:tr>
    </w:tbl>
    <w:p w14:paraId="0BF83971">
      <w:pPr>
        <w:rPr>
          <w:rFonts w:hint="eastAsia"/>
          <w:sz w:val="30"/>
          <w:szCs w:val="30"/>
          <w:highlight w:val="none"/>
        </w:rPr>
      </w:pPr>
    </w:p>
    <w:p w14:paraId="56E8EF4C">
      <w:pPr>
        <w:pStyle w:val="6"/>
        <w:spacing w:before="156" w:after="156"/>
        <w:ind w:left="0" w:firstLine="482"/>
        <w:rPr>
          <w:rFonts w:hint="default" w:ascii="黑体" w:hAnsi="黑体" w:eastAsia="黑体" w:cs="黑体"/>
          <w:b/>
          <w:bCs/>
          <w:sz w:val="28"/>
          <w:szCs w:val="28"/>
          <w:highlight w:val="none"/>
          <w:lang w:val="en-US"/>
        </w:rPr>
      </w:pPr>
      <w:r>
        <w:rPr>
          <w:rFonts w:hint="eastAsia" w:asciiTheme="minorEastAsia" w:hAnsiTheme="minorEastAsia" w:cstheme="minorEastAsia"/>
          <w:b/>
          <w:bCs/>
          <w:sz w:val="24"/>
          <w:highlight w:val="none"/>
        </w:rPr>
        <w:br w:type="page" w:clear="all"/>
      </w:r>
      <w:r>
        <w:rPr>
          <w:rFonts w:hint="eastAsia"/>
          <w:highlight w:val="none"/>
          <w:u w:val="none"/>
          <w:lang w:val="en-US" w:eastAsia="zh-CN"/>
        </w:rPr>
        <w:t>附件2  授权委托书（甲方）</w:t>
      </w:r>
      <w:bookmarkStart w:id="80" w:name="mf_xiangmujinglishouquanweituoshu_9e093de1-2e4e-43c7-8c5c-97acd59ab0a3_1"/>
      <w:r>
        <w:rPr>
          <w:rFonts w:hint="eastAsia"/>
          <w:highlight w:val="none"/>
          <w:u w:val="single"/>
          <w:lang w:val="en-US" w:eastAsia="zh-CN"/>
        </w:rPr>
        <w:tab/>
      </w:r>
      <w:r>
        <w:rPr>
          <w:rFonts w:hint="eastAsia"/>
          <w:highlight w:val="none"/>
          <w:u w:val="single"/>
          <w:lang w:val="en-US" w:eastAsia="zh-CN"/>
        </w:rPr>
        <w:tab/>
      </w:r>
      <w:r>
        <w:rPr>
          <w:rFonts w:hint="eastAsia"/>
          <w:highlight w:val="none"/>
          <w:u w:val="single"/>
          <w:lang w:val="en-US" w:eastAsia="zh-CN"/>
        </w:rPr>
        <w:tab/>
      </w:r>
      <w:r>
        <w:rPr>
          <w:rFonts w:hint="eastAsia"/>
          <w:highlight w:val="none"/>
          <w:u w:val="single"/>
          <w:lang w:val="en-US" w:eastAsia="zh-CN"/>
        </w:rPr>
        <w:tab/>
      </w:r>
      <w:r>
        <w:rPr>
          <w:rFonts w:hint="eastAsia"/>
          <w:highlight w:val="none"/>
          <w:u w:val="single"/>
          <w:lang w:val="en-US" w:eastAsia="zh-CN"/>
        </w:rPr>
        <w:tab/>
      </w:r>
      <w:bookmarkEnd w:id="80"/>
    </w:p>
    <w:p w14:paraId="3971775C">
      <w:pPr>
        <w:spacing w:line="360" w:lineRule="auto"/>
        <w:jc w:val="center"/>
        <w:rPr>
          <w:rFonts w:hint="eastAsia" w:ascii="黑体" w:hAnsi="黑体" w:eastAsia="黑体" w:cs="黑体"/>
          <w:b/>
          <w:bCs/>
          <w:sz w:val="28"/>
          <w:szCs w:val="28"/>
          <w:highlight w:val="none"/>
          <w:u w:val="none"/>
        </w:rPr>
      </w:pPr>
    </w:p>
    <w:p w14:paraId="714C91C4">
      <w:pPr>
        <w:rPr>
          <w:rFonts w:hint="eastAsia"/>
          <w:highlight w:val="none"/>
        </w:rPr>
      </w:pPr>
      <w:r>
        <w:rPr>
          <w:rFonts w:hint="eastAsia"/>
          <w:highlight w:val="none"/>
          <w:u w:val="none"/>
        </w:rPr>
        <w:br w:type="page" w:clear="all"/>
      </w:r>
    </w:p>
    <w:p w14:paraId="15A70C89">
      <w:pPr>
        <w:pStyle w:val="6"/>
        <w:spacing w:before="156" w:after="156"/>
        <w:ind w:left="0" w:firstLine="562"/>
        <w:rPr>
          <w:highlight w:val="none"/>
        </w:rPr>
      </w:pPr>
      <w:r>
        <w:rPr>
          <w:rFonts w:hint="eastAsia"/>
          <w:highlight w:val="none"/>
          <w:u w:val="none"/>
        </w:rPr>
        <w:t>附件3  授 权 委 托 书（乙方）</w:t>
      </w:r>
      <w:bookmarkStart w:id="81" w:name="mf_yifangshouquanweituoshu_57ce34c5-fe30-470e-a7af-4e80c5b534e5_1"/>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bookmarkEnd w:id="81"/>
    </w:p>
    <w:p w14:paraId="0F7B18D8">
      <w:pPr>
        <w:spacing w:line="360" w:lineRule="auto"/>
        <w:ind w:firstLine="420"/>
        <w:rPr>
          <w:rFonts w:asciiTheme="minorEastAsia" w:hAnsiTheme="minorEastAsia" w:cstheme="minorEastAsia"/>
          <w:szCs w:val="21"/>
          <w:highlight w:val="none"/>
        </w:rPr>
      </w:pPr>
      <w:r>
        <w:rPr>
          <w:rFonts w:hint="eastAsia" w:asciiTheme="minorEastAsia" w:hAnsiTheme="minorEastAsia" w:cstheme="minorEastAsia"/>
          <w:szCs w:val="21"/>
          <w:highlight w:val="none"/>
        </w:rPr>
        <w:t xml:space="preserve"> </w:t>
      </w:r>
    </w:p>
    <w:p w14:paraId="6FA58B49">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兹授权我单位员工【</w:t>
      </w:r>
      <w:r>
        <w:rPr>
          <w:rFonts w:hint="eastAsia" w:ascii="仿宋_GB2312" w:eastAsia="仿宋_GB2312" w:hAnsiTheme="minorEastAsia" w:cstheme="minorEastAsia"/>
          <w:b w:val="0"/>
          <w:bCs w:val="0"/>
          <w:color w:val="auto"/>
          <w:sz w:val="28"/>
          <w:szCs w:val="28"/>
          <w:highlight w:val="none"/>
        </w:rPr>
        <w:t>（姓名+身份证号）</w:t>
      </w:r>
      <w:r>
        <w:rPr>
          <w:rFonts w:hint="eastAsia" w:ascii="仿宋_GB2312" w:eastAsia="仿宋_GB2312" w:hAnsiTheme="minorEastAsia" w:cstheme="minorEastAsia"/>
          <w:sz w:val="28"/>
          <w:szCs w:val="28"/>
          <w:highlight w:val="none"/>
        </w:rPr>
        <w:t>】作为我单位代理人。该委托代理人的授权范围为：作为我单位中标的【                   】工程（项目）现场负责人，负责合同谈判、签订、履行、办理结算以及合同履行过程中签署的一切文件和处理与之有关的一切事务。</w:t>
      </w:r>
    </w:p>
    <w:p w14:paraId="53328667">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该代理人与本项目有关的一切行为，均代表我单位，我单位均予承认并视同我单位行为，由我单位承担该代理人行为的全部法律责任和后果。</w:t>
      </w:r>
    </w:p>
    <w:p w14:paraId="772C4F7C">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代理人无转委托权。</w:t>
      </w:r>
    </w:p>
    <w:p w14:paraId="5738A9D5">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有效期限：自授权委托书签发之日起至分包合同履行结束。</w:t>
      </w:r>
    </w:p>
    <w:p w14:paraId="03BBD155">
      <w:pPr>
        <w:spacing w:line="480" w:lineRule="exact"/>
        <w:ind w:firstLine="560"/>
        <w:rPr>
          <w:rFonts w:ascii="仿宋_GB2312" w:eastAsia="仿宋_GB2312" w:hAnsiTheme="minorEastAsia" w:cstheme="minorEastAsia"/>
          <w:sz w:val="28"/>
          <w:szCs w:val="28"/>
          <w:highlight w:val="none"/>
        </w:rPr>
      </w:pPr>
    </w:p>
    <w:p w14:paraId="12409975">
      <w:pPr>
        <w:spacing w:line="480" w:lineRule="exact"/>
        <w:ind w:firstLine="560"/>
        <w:rPr>
          <w:rFonts w:ascii="仿宋_GB2312" w:eastAsia="仿宋_GB2312" w:hAnsiTheme="minorEastAsia" w:cstheme="minorEastAsia"/>
          <w:sz w:val="28"/>
          <w:szCs w:val="28"/>
          <w:highlight w:val="none"/>
        </w:rPr>
      </w:pPr>
    </w:p>
    <w:p w14:paraId="2527C701">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 xml:space="preserve">                               授权单位：（公章）</w:t>
      </w:r>
    </w:p>
    <w:p w14:paraId="0F103238">
      <w:pPr>
        <w:spacing w:line="480" w:lineRule="exact"/>
        <w:ind w:firstLine="560"/>
        <w:rPr>
          <w:rFonts w:ascii="仿宋_GB2312" w:eastAsia="仿宋_GB2312" w:hAnsiTheme="minorEastAsia" w:cstheme="minorEastAsia"/>
          <w:sz w:val="28"/>
          <w:szCs w:val="28"/>
          <w:highlight w:val="none"/>
        </w:rPr>
      </w:pPr>
    </w:p>
    <w:p w14:paraId="286CC1DD">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 xml:space="preserve">                               法定代表人：（签字）</w:t>
      </w:r>
    </w:p>
    <w:p w14:paraId="3EB27A3C">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 xml:space="preserve">                               委托代理人：（签字）</w:t>
      </w:r>
    </w:p>
    <w:p w14:paraId="1A69E099">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 xml:space="preserve">                                  年    月   日 </w:t>
      </w:r>
    </w:p>
    <w:p w14:paraId="563EB69D">
      <w:pPr>
        <w:spacing w:line="480" w:lineRule="exact"/>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 xml:space="preserve">附：法定代表人及委托代理人身份证正反面复印件（复印件要加盖授权单位公章）  </w:t>
      </w:r>
    </w:p>
    <w:p w14:paraId="63A837C3">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 xml:space="preserve">                    </w:t>
      </w:r>
    </w:p>
    <w:p w14:paraId="0E582271">
      <w:pPr>
        <w:spacing w:line="480" w:lineRule="exact"/>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（身份证粘贴处）</w:t>
      </w:r>
    </w:p>
    <w:p w14:paraId="4A4D5B0E">
      <w:pPr>
        <w:spacing w:line="480" w:lineRule="exact"/>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 xml:space="preserve"> </w:t>
      </w:r>
    </w:p>
    <w:p w14:paraId="74C7874D">
      <w:pPr>
        <w:spacing w:line="480" w:lineRule="exact"/>
        <w:rPr>
          <w:rFonts w:ascii="仿宋_GB2312" w:eastAsia="仿宋_GB2312" w:hAnsiTheme="minorEastAsia" w:cstheme="minorEastAsia"/>
          <w:b/>
          <w:bCs/>
          <w:sz w:val="28"/>
          <w:szCs w:val="28"/>
          <w:highlight w:val="none"/>
        </w:rPr>
      </w:pPr>
      <w:r>
        <w:rPr>
          <w:rFonts w:hint="eastAsia" w:ascii="仿宋_GB2312" w:eastAsia="仿宋_GB2312" w:hAnsiTheme="minorEastAsia" w:cstheme="minorEastAsia"/>
          <w:sz w:val="28"/>
          <w:szCs w:val="28"/>
          <w:highlight w:val="none"/>
        </w:rPr>
        <w:t xml:space="preserve">  </w:t>
      </w:r>
    </w:p>
    <w:p w14:paraId="3D681B47">
      <w:pPr>
        <w:widowControl/>
        <w:spacing w:line="480" w:lineRule="exact"/>
        <w:jc w:val="left"/>
        <w:rPr>
          <w:rFonts w:ascii="仿宋_GB2312" w:eastAsia="仿宋_GB2312" w:hAnsiTheme="minorEastAsia" w:cstheme="minorEastAsia"/>
          <w:b/>
          <w:bCs/>
          <w:sz w:val="28"/>
          <w:szCs w:val="28"/>
          <w:highlight w:val="none"/>
        </w:rPr>
      </w:pPr>
      <w:r>
        <w:rPr>
          <w:rFonts w:hint="eastAsia" w:ascii="仿宋_GB2312" w:eastAsia="仿宋_GB2312" w:hAnsiTheme="minorEastAsia" w:cstheme="minorEastAsia"/>
          <w:b/>
          <w:bCs/>
          <w:sz w:val="28"/>
          <w:szCs w:val="28"/>
          <w:highlight w:val="none"/>
        </w:rPr>
        <w:t xml:space="preserve"> </w:t>
      </w:r>
    </w:p>
    <w:p w14:paraId="7891EE3E">
      <w:pPr>
        <w:rPr>
          <w:rFonts w:asciiTheme="minorEastAsia" w:hAnsiTheme="minorEastAsia" w:cstheme="minorEastAsia"/>
          <w:b/>
          <w:bCs/>
          <w:highlight w:val="none"/>
        </w:rPr>
      </w:pPr>
      <w:r>
        <w:rPr>
          <w:rFonts w:hint="eastAsia" w:asciiTheme="minorEastAsia" w:hAnsiTheme="minorEastAsia" w:cstheme="minorEastAsia"/>
          <w:b/>
          <w:bCs/>
          <w:highlight w:val="none"/>
        </w:rPr>
        <w:br w:type="page" w:clear="all"/>
      </w:r>
    </w:p>
    <w:p w14:paraId="54CABE6F">
      <w:pPr>
        <w:pStyle w:val="6"/>
        <w:spacing w:before="156" w:after="156"/>
        <w:ind w:left="0" w:firstLine="562"/>
        <w:rPr>
          <w:rFonts w:hint="eastAsia"/>
          <w:highlight w:val="none"/>
          <w:u w:val="none"/>
        </w:rPr>
      </w:pPr>
      <w:r>
        <w:rPr>
          <w:rFonts w:hint="eastAsia"/>
          <w:highlight w:val="none"/>
          <w:u w:val="none"/>
        </w:rPr>
        <w:t>附件4  乙方现场管理人员名单</w:t>
      </w:r>
      <w:bookmarkStart w:id="82" w:name="mf_yifangxianchangguanlirenyuanmingdanbiaoge_9af0c038-9503-4cdd-925f-4bdc189d088c_1"/>
    </w:p>
    <w:tbl>
      <w:tblPr>
        <w:tblStyle w:val="4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86"/>
        <w:gridCol w:w="986"/>
        <w:gridCol w:w="1637"/>
        <w:gridCol w:w="1637"/>
        <w:gridCol w:w="1638"/>
        <w:gridCol w:w="1638"/>
      </w:tblGrid>
      <w:tr w14:paraId="1E6BB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noWrap w:val="0"/>
          </w:tcPr>
          <w:p w14:paraId="7DC3FCA6">
            <w:pPr>
              <w:jc w:val="center"/>
            </w:pPr>
            <w:r>
              <w:t>姓名</w:t>
            </w:r>
          </w:p>
          <w:p w14:paraId="52D9C364"/>
        </w:tc>
        <w:tc>
          <w:tcPr>
            <w:noWrap w:val="0"/>
          </w:tcPr>
          <w:p w14:paraId="5F16F836">
            <w:pPr>
              <w:jc w:val="center"/>
            </w:pPr>
            <w:r>
              <w:t>职务</w:t>
            </w:r>
          </w:p>
          <w:p w14:paraId="2193EFF7"/>
        </w:tc>
        <w:tc>
          <w:tcPr>
            <w:noWrap w:val="0"/>
          </w:tcPr>
          <w:p w14:paraId="0AB46CBD">
            <w:pPr>
              <w:jc w:val="center"/>
            </w:pPr>
            <w:r>
              <w:t>职责权限</w:t>
            </w:r>
          </w:p>
          <w:p w14:paraId="2ADAB3FD"/>
        </w:tc>
        <w:tc>
          <w:tcPr>
            <w:noWrap w:val="0"/>
          </w:tcPr>
          <w:p w14:paraId="35A358CE">
            <w:pPr>
              <w:jc w:val="center"/>
            </w:pPr>
            <w:r>
              <w:t>联系方式</w:t>
            </w:r>
          </w:p>
          <w:p w14:paraId="15956331"/>
        </w:tc>
        <w:tc>
          <w:tcPr>
            <w:noWrap w:val="0"/>
          </w:tcPr>
          <w:p w14:paraId="6C50C8CF">
            <w:pPr>
              <w:jc w:val="center"/>
            </w:pPr>
            <w:r>
              <w:t>通讯地址</w:t>
            </w:r>
          </w:p>
          <w:p w14:paraId="184080A1"/>
        </w:tc>
        <w:tc>
          <w:tcPr>
            <w:noWrap w:val="0"/>
          </w:tcPr>
          <w:p w14:paraId="4A84E77C">
            <w:pPr>
              <w:jc w:val="center"/>
            </w:pPr>
            <w:r>
              <w:t>电子邮箱</w:t>
            </w:r>
          </w:p>
          <w:p w14:paraId="7632962B"/>
        </w:tc>
      </w:tr>
      <w:tr w14:paraId="488F5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noWrap w:val="0"/>
          </w:tcPr>
          <w:p w14:paraId="66F000FB"/>
          <w:p w14:paraId="0045703F"/>
        </w:tc>
        <w:tc>
          <w:tcPr>
            <w:noWrap w:val="0"/>
          </w:tcPr>
          <w:p w14:paraId="37D3F0FB"/>
          <w:p w14:paraId="14F2A8F9"/>
        </w:tc>
        <w:tc>
          <w:tcPr>
            <w:noWrap w:val="0"/>
          </w:tcPr>
          <w:p w14:paraId="26F004B3"/>
          <w:p w14:paraId="4B6B7538"/>
        </w:tc>
        <w:tc>
          <w:tcPr>
            <w:noWrap w:val="0"/>
          </w:tcPr>
          <w:p w14:paraId="4483D007"/>
          <w:p w14:paraId="5000C35C"/>
        </w:tc>
        <w:tc>
          <w:tcPr>
            <w:noWrap w:val="0"/>
          </w:tcPr>
          <w:p w14:paraId="592D79E5"/>
          <w:p w14:paraId="34BE7AC7"/>
        </w:tc>
        <w:tc>
          <w:tcPr>
            <w:noWrap w:val="0"/>
          </w:tcPr>
          <w:p w14:paraId="5E43C02E"/>
          <w:p w14:paraId="0A849A5D"/>
        </w:tc>
      </w:tr>
      <w:bookmarkEnd w:id="82"/>
    </w:tbl>
    <w:p w14:paraId="414BE390">
      <w:pPr>
        <w:pStyle w:val="6"/>
        <w:spacing w:before="156" w:after="156"/>
        <w:ind w:left="0" w:firstLine="562"/>
        <w:rPr>
          <w:highlight w:val="none"/>
        </w:rPr>
      </w:pPr>
    </w:p>
    <w:p w14:paraId="5EA48ABF">
      <w:pPr>
        <w:spacing w:line="440" w:lineRule="exact"/>
        <w:jc w:val="center"/>
        <w:rPr>
          <w:rFonts w:asciiTheme="minorEastAsia" w:hAnsiTheme="minorEastAsia" w:cstheme="minorEastAsia"/>
          <w:b/>
          <w:sz w:val="30"/>
          <w:szCs w:val="30"/>
          <w:highlight w:val="none"/>
        </w:rPr>
      </w:pPr>
    </w:p>
    <w:tbl>
      <w:tblPr>
        <w:tblStyle w:val="41"/>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078"/>
        <w:gridCol w:w="1358"/>
        <w:gridCol w:w="1350"/>
        <w:gridCol w:w="1583"/>
        <w:gridCol w:w="1854"/>
      </w:tblGrid>
      <w:tr w14:paraId="02D0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noWrap w:val="0"/>
          </w:tcPr>
          <w:p w14:paraId="2E568D98">
            <w:pPr>
              <w:spacing w:line="480" w:lineRule="exact"/>
              <w:jc w:val="center"/>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姓名</w:t>
            </w:r>
          </w:p>
        </w:tc>
        <w:tc>
          <w:tcPr>
            <w:tcW w:w="1078" w:type="dxa"/>
            <w:noWrap w:val="0"/>
          </w:tcPr>
          <w:p w14:paraId="1C6D2EC8">
            <w:pPr>
              <w:spacing w:line="480" w:lineRule="exact"/>
              <w:jc w:val="center"/>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职务</w:t>
            </w:r>
          </w:p>
        </w:tc>
        <w:tc>
          <w:tcPr>
            <w:tcW w:w="1358" w:type="dxa"/>
            <w:noWrap w:val="0"/>
          </w:tcPr>
          <w:p w14:paraId="2A11F5B2">
            <w:pPr>
              <w:spacing w:line="480" w:lineRule="exact"/>
              <w:jc w:val="center"/>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职责权限</w:t>
            </w:r>
          </w:p>
        </w:tc>
        <w:tc>
          <w:tcPr>
            <w:tcW w:w="1350" w:type="dxa"/>
            <w:noWrap w:val="0"/>
          </w:tcPr>
          <w:p w14:paraId="2708BCD8">
            <w:pPr>
              <w:spacing w:line="480" w:lineRule="exact"/>
              <w:jc w:val="center"/>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联系方式</w:t>
            </w:r>
          </w:p>
        </w:tc>
        <w:tc>
          <w:tcPr>
            <w:tcW w:w="1583" w:type="dxa"/>
            <w:noWrap w:val="0"/>
          </w:tcPr>
          <w:p w14:paraId="112B8E5C">
            <w:pPr>
              <w:spacing w:line="480" w:lineRule="exact"/>
              <w:jc w:val="center"/>
              <w:rPr>
                <w:rFonts w:hint="eastAsia" w:ascii="仿宋_GB2312" w:eastAsia="仿宋_GB2312" w:hAnsiTheme="minorEastAsia" w:cstheme="minorEastAsia"/>
                <w:b/>
                <w:sz w:val="28"/>
                <w:szCs w:val="28"/>
                <w:highlight w:val="none"/>
                <w:lang w:eastAsia="zh-CN"/>
              </w:rPr>
            </w:pPr>
            <w:r>
              <w:rPr>
                <w:rFonts w:hint="eastAsia" w:ascii="仿宋_GB2312" w:eastAsia="仿宋_GB2312" w:hAnsiTheme="minorEastAsia" w:cstheme="minorEastAsia"/>
                <w:b/>
                <w:sz w:val="28"/>
                <w:szCs w:val="28"/>
                <w:highlight w:val="none"/>
                <w:lang w:val="en-US" w:eastAsia="zh-CN"/>
              </w:rPr>
              <w:t>身份证号</w:t>
            </w:r>
          </w:p>
        </w:tc>
        <w:tc>
          <w:tcPr>
            <w:tcW w:w="1854" w:type="dxa"/>
            <w:noWrap w:val="0"/>
          </w:tcPr>
          <w:p w14:paraId="3D5C6E7D">
            <w:pPr>
              <w:spacing w:line="480" w:lineRule="exact"/>
              <w:jc w:val="center"/>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电子邮箱</w:t>
            </w:r>
          </w:p>
        </w:tc>
      </w:tr>
      <w:tr w14:paraId="401D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noWrap w:val="0"/>
          </w:tcPr>
          <w:p w14:paraId="3CBB021B">
            <w:pPr>
              <w:spacing w:line="480" w:lineRule="exact"/>
              <w:jc w:val="center"/>
              <w:rPr>
                <w:rFonts w:ascii="仿宋_GB2312" w:eastAsia="仿宋_GB2312" w:hAnsiTheme="minorEastAsia" w:cstheme="minorEastAsia"/>
                <w:b/>
                <w:sz w:val="28"/>
                <w:szCs w:val="28"/>
                <w:highlight w:val="none"/>
              </w:rPr>
            </w:pPr>
          </w:p>
        </w:tc>
        <w:tc>
          <w:tcPr>
            <w:tcW w:w="1078" w:type="dxa"/>
            <w:noWrap w:val="0"/>
          </w:tcPr>
          <w:p w14:paraId="34159BDF">
            <w:pPr>
              <w:spacing w:line="480" w:lineRule="exact"/>
              <w:jc w:val="center"/>
              <w:rPr>
                <w:rFonts w:ascii="仿宋_GB2312" w:eastAsia="仿宋_GB2312" w:hAnsiTheme="minorEastAsia" w:cstheme="minorEastAsia"/>
                <w:b/>
                <w:sz w:val="28"/>
                <w:szCs w:val="28"/>
                <w:highlight w:val="none"/>
              </w:rPr>
            </w:pPr>
          </w:p>
        </w:tc>
        <w:tc>
          <w:tcPr>
            <w:tcW w:w="1358" w:type="dxa"/>
            <w:noWrap w:val="0"/>
          </w:tcPr>
          <w:p w14:paraId="0045F369">
            <w:pPr>
              <w:spacing w:line="480" w:lineRule="exact"/>
              <w:jc w:val="center"/>
              <w:rPr>
                <w:rFonts w:ascii="仿宋_GB2312" w:eastAsia="仿宋_GB2312" w:hAnsiTheme="minorEastAsia" w:cstheme="minorEastAsia"/>
                <w:b/>
                <w:sz w:val="28"/>
                <w:szCs w:val="28"/>
                <w:highlight w:val="none"/>
              </w:rPr>
            </w:pPr>
          </w:p>
        </w:tc>
        <w:tc>
          <w:tcPr>
            <w:tcW w:w="1350" w:type="dxa"/>
            <w:noWrap w:val="0"/>
          </w:tcPr>
          <w:p w14:paraId="203EB535">
            <w:pPr>
              <w:spacing w:line="480" w:lineRule="exact"/>
              <w:jc w:val="center"/>
              <w:rPr>
                <w:rFonts w:ascii="仿宋_GB2312" w:eastAsia="仿宋_GB2312" w:hAnsiTheme="minorEastAsia" w:cstheme="minorEastAsia"/>
                <w:b/>
                <w:sz w:val="28"/>
                <w:szCs w:val="28"/>
                <w:highlight w:val="none"/>
              </w:rPr>
            </w:pPr>
          </w:p>
        </w:tc>
        <w:tc>
          <w:tcPr>
            <w:tcW w:w="1583" w:type="dxa"/>
            <w:noWrap w:val="0"/>
          </w:tcPr>
          <w:p w14:paraId="0DC8C3E6">
            <w:pPr>
              <w:spacing w:line="480" w:lineRule="exact"/>
              <w:jc w:val="center"/>
              <w:rPr>
                <w:rFonts w:ascii="仿宋_GB2312" w:eastAsia="仿宋_GB2312" w:hAnsiTheme="minorEastAsia" w:cstheme="minorEastAsia"/>
                <w:b/>
                <w:sz w:val="28"/>
                <w:szCs w:val="28"/>
                <w:highlight w:val="none"/>
              </w:rPr>
            </w:pPr>
          </w:p>
        </w:tc>
        <w:tc>
          <w:tcPr>
            <w:tcW w:w="1854" w:type="dxa"/>
            <w:noWrap w:val="0"/>
          </w:tcPr>
          <w:p w14:paraId="2C844506">
            <w:pPr>
              <w:spacing w:line="480" w:lineRule="exact"/>
              <w:jc w:val="center"/>
              <w:rPr>
                <w:rFonts w:ascii="仿宋_GB2312" w:eastAsia="仿宋_GB2312" w:hAnsiTheme="minorEastAsia" w:cstheme="minorEastAsia"/>
                <w:b/>
                <w:sz w:val="28"/>
                <w:szCs w:val="28"/>
                <w:highlight w:val="none"/>
              </w:rPr>
            </w:pPr>
          </w:p>
        </w:tc>
      </w:tr>
      <w:tr w14:paraId="4D50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noWrap w:val="0"/>
          </w:tcPr>
          <w:p w14:paraId="699731B4">
            <w:pPr>
              <w:spacing w:line="480" w:lineRule="exact"/>
              <w:jc w:val="center"/>
              <w:rPr>
                <w:rFonts w:ascii="仿宋_GB2312" w:eastAsia="仿宋_GB2312" w:hAnsiTheme="minorEastAsia" w:cstheme="minorEastAsia"/>
                <w:b/>
                <w:sz w:val="28"/>
                <w:szCs w:val="28"/>
                <w:highlight w:val="none"/>
              </w:rPr>
            </w:pPr>
          </w:p>
        </w:tc>
        <w:tc>
          <w:tcPr>
            <w:tcW w:w="1078" w:type="dxa"/>
            <w:noWrap w:val="0"/>
          </w:tcPr>
          <w:p w14:paraId="39C22D9A">
            <w:pPr>
              <w:spacing w:line="480" w:lineRule="exact"/>
              <w:jc w:val="center"/>
              <w:rPr>
                <w:rFonts w:ascii="仿宋_GB2312" w:eastAsia="仿宋_GB2312" w:hAnsiTheme="minorEastAsia" w:cstheme="minorEastAsia"/>
                <w:b/>
                <w:sz w:val="28"/>
                <w:szCs w:val="28"/>
                <w:highlight w:val="none"/>
              </w:rPr>
            </w:pPr>
          </w:p>
        </w:tc>
        <w:tc>
          <w:tcPr>
            <w:tcW w:w="1358" w:type="dxa"/>
            <w:noWrap w:val="0"/>
          </w:tcPr>
          <w:p w14:paraId="40BE8295">
            <w:pPr>
              <w:spacing w:line="480" w:lineRule="exact"/>
              <w:jc w:val="center"/>
              <w:rPr>
                <w:rFonts w:ascii="仿宋_GB2312" w:eastAsia="仿宋_GB2312" w:hAnsiTheme="minorEastAsia" w:cstheme="minorEastAsia"/>
                <w:b/>
                <w:sz w:val="28"/>
                <w:szCs w:val="28"/>
                <w:highlight w:val="none"/>
              </w:rPr>
            </w:pPr>
          </w:p>
        </w:tc>
        <w:tc>
          <w:tcPr>
            <w:tcW w:w="1350" w:type="dxa"/>
            <w:noWrap w:val="0"/>
          </w:tcPr>
          <w:p w14:paraId="59449596">
            <w:pPr>
              <w:spacing w:line="480" w:lineRule="exact"/>
              <w:jc w:val="center"/>
              <w:rPr>
                <w:rFonts w:ascii="仿宋_GB2312" w:eastAsia="仿宋_GB2312" w:hAnsiTheme="minorEastAsia" w:cstheme="minorEastAsia"/>
                <w:b/>
                <w:sz w:val="28"/>
                <w:szCs w:val="28"/>
                <w:highlight w:val="none"/>
              </w:rPr>
            </w:pPr>
          </w:p>
        </w:tc>
        <w:tc>
          <w:tcPr>
            <w:tcW w:w="1583" w:type="dxa"/>
            <w:noWrap w:val="0"/>
          </w:tcPr>
          <w:p w14:paraId="4A673DCF">
            <w:pPr>
              <w:spacing w:line="480" w:lineRule="exact"/>
              <w:jc w:val="center"/>
              <w:rPr>
                <w:rFonts w:ascii="仿宋_GB2312" w:eastAsia="仿宋_GB2312" w:hAnsiTheme="minorEastAsia" w:cstheme="minorEastAsia"/>
                <w:b/>
                <w:sz w:val="28"/>
                <w:szCs w:val="28"/>
                <w:highlight w:val="none"/>
              </w:rPr>
            </w:pPr>
          </w:p>
        </w:tc>
        <w:tc>
          <w:tcPr>
            <w:tcW w:w="1854" w:type="dxa"/>
            <w:noWrap w:val="0"/>
          </w:tcPr>
          <w:p w14:paraId="49D98B08">
            <w:pPr>
              <w:spacing w:line="480" w:lineRule="exact"/>
              <w:jc w:val="center"/>
              <w:rPr>
                <w:rFonts w:ascii="仿宋_GB2312" w:eastAsia="仿宋_GB2312" w:hAnsiTheme="minorEastAsia" w:cstheme="minorEastAsia"/>
                <w:b/>
                <w:sz w:val="28"/>
                <w:szCs w:val="28"/>
                <w:highlight w:val="none"/>
              </w:rPr>
            </w:pPr>
          </w:p>
        </w:tc>
      </w:tr>
      <w:tr w14:paraId="4CD8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noWrap w:val="0"/>
          </w:tcPr>
          <w:p w14:paraId="2B397BB2">
            <w:pPr>
              <w:spacing w:line="480" w:lineRule="exact"/>
              <w:jc w:val="center"/>
              <w:rPr>
                <w:rFonts w:ascii="仿宋_GB2312" w:eastAsia="仿宋_GB2312" w:hAnsiTheme="minorEastAsia" w:cstheme="minorEastAsia"/>
                <w:b/>
                <w:sz w:val="28"/>
                <w:szCs w:val="28"/>
                <w:highlight w:val="none"/>
              </w:rPr>
            </w:pPr>
          </w:p>
        </w:tc>
        <w:tc>
          <w:tcPr>
            <w:tcW w:w="1078" w:type="dxa"/>
            <w:noWrap w:val="0"/>
          </w:tcPr>
          <w:p w14:paraId="2D665C7F">
            <w:pPr>
              <w:spacing w:line="480" w:lineRule="exact"/>
              <w:jc w:val="center"/>
              <w:rPr>
                <w:rFonts w:ascii="仿宋_GB2312" w:eastAsia="仿宋_GB2312" w:hAnsiTheme="minorEastAsia" w:cstheme="minorEastAsia"/>
                <w:b/>
                <w:sz w:val="28"/>
                <w:szCs w:val="28"/>
                <w:highlight w:val="none"/>
              </w:rPr>
            </w:pPr>
          </w:p>
        </w:tc>
        <w:tc>
          <w:tcPr>
            <w:tcW w:w="1358" w:type="dxa"/>
            <w:noWrap w:val="0"/>
          </w:tcPr>
          <w:p w14:paraId="72EE0442">
            <w:pPr>
              <w:spacing w:line="480" w:lineRule="exact"/>
              <w:jc w:val="center"/>
              <w:rPr>
                <w:rFonts w:ascii="仿宋_GB2312" w:eastAsia="仿宋_GB2312" w:hAnsiTheme="minorEastAsia" w:cstheme="minorEastAsia"/>
                <w:b/>
                <w:sz w:val="28"/>
                <w:szCs w:val="28"/>
                <w:highlight w:val="none"/>
              </w:rPr>
            </w:pPr>
          </w:p>
        </w:tc>
        <w:tc>
          <w:tcPr>
            <w:tcW w:w="1350" w:type="dxa"/>
            <w:noWrap w:val="0"/>
          </w:tcPr>
          <w:p w14:paraId="3C882B1A">
            <w:pPr>
              <w:spacing w:line="480" w:lineRule="exact"/>
              <w:jc w:val="center"/>
              <w:rPr>
                <w:rFonts w:ascii="仿宋_GB2312" w:eastAsia="仿宋_GB2312" w:hAnsiTheme="minorEastAsia" w:cstheme="minorEastAsia"/>
                <w:b/>
                <w:sz w:val="28"/>
                <w:szCs w:val="28"/>
                <w:highlight w:val="none"/>
              </w:rPr>
            </w:pPr>
          </w:p>
        </w:tc>
        <w:tc>
          <w:tcPr>
            <w:tcW w:w="1583" w:type="dxa"/>
            <w:noWrap w:val="0"/>
          </w:tcPr>
          <w:p w14:paraId="7B5C1EB0">
            <w:pPr>
              <w:spacing w:line="480" w:lineRule="exact"/>
              <w:jc w:val="center"/>
              <w:rPr>
                <w:rFonts w:ascii="仿宋_GB2312" w:eastAsia="仿宋_GB2312" w:hAnsiTheme="minorEastAsia" w:cstheme="minorEastAsia"/>
                <w:b/>
                <w:sz w:val="28"/>
                <w:szCs w:val="28"/>
                <w:highlight w:val="none"/>
              </w:rPr>
            </w:pPr>
          </w:p>
        </w:tc>
        <w:tc>
          <w:tcPr>
            <w:tcW w:w="1854" w:type="dxa"/>
            <w:noWrap w:val="0"/>
          </w:tcPr>
          <w:p w14:paraId="6829E9BC">
            <w:pPr>
              <w:spacing w:line="480" w:lineRule="exact"/>
              <w:jc w:val="center"/>
              <w:rPr>
                <w:rFonts w:ascii="仿宋_GB2312" w:eastAsia="仿宋_GB2312" w:hAnsiTheme="minorEastAsia" w:cstheme="minorEastAsia"/>
                <w:b/>
                <w:sz w:val="28"/>
                <w:szCs w:val="28"/>
                <w:highlight w:val="none"/>
              </w:rPr>
            </w:pPr>
          </w:p>
        </w:tc>
      </w:tr>
      <w:tr w14:paraId="0A43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noWrap w:val="0"/>
          </w:tcPr>
          <w:p w14:paraId="2597A301">
            <w:pPr>
              <w:spacing w:line="480" w:lineRule="exact"/>
              <w:jc w:val="center"/>
              <w:rPr>
                <w:rFonts w:ascii="仿宋_GB2312" w:eastAsia="仿宋_GB2312" w:hAnsiTheme="minorEastAsia" w:cstheme="minorEastAsia"/>
                <w:b/>
                <w:sz w:val="28"/>
                <w:szCs w:val="28"/>
                <w:highlight w:val="none"/>
              </w:rPr>
            </w:pPr>
          </w:p>
        </w:tc>
        <w:tc>
          <w:tcPr>
            <w:tcW w:w="1078" w:type="dxa"/>
            <w:noWrap w:val="0"/>
          </w:tcPr>
          <w:p w14:paraId="22C483B4">
            <w:pPr>
              <w:spacing w:line="480" w:lineRule="exact"/>
              <w:jc w:val="center"/>
              <w:rPr>
                <w:rFonts w:ascii="仿宋_GB2312" w:eastAsia="仿宋_GB2312" w:hAnsiTheme="minorEastAsia" w:cstheme="minorEastAsia"/>
                <w:b/>
                <w:sz w:val="28"/>
                <w:szCs w:val="28"/>
                <w:highlight w:val="none"/>
              </w:rPr>
            </w:pPr>
          </w:p>
        </w:tc>
        <w:tc>
          <w:tcPr>
            <w:tcW w:w="1358" w:type="dxa"/>
            <w:noWrap w:val="0"/>
          </w:tcPr>
          <w:p w14:paraId="36E77225">
            <w:pPr>
              <w:spacing w:line="480" w:lineRule="exact"/>
              <w:jc w:val="center"/>
              <w:rPr>
                <w:rFonts w:ascii="仿宋_GB2312" w:eastAsia="仿宋_GB2312" w:hAnsiTheme="minorEastAsia" w:cstheme="minorEastAsia"/>
                <w:b/>
                <w:sz w:val="28"/>
                <w:szCs w:val="28"/>
                <w:highlight w:val="none"/>
              </w:rPr>
            </w:pPr>
          </w:p>
        </w:tc>
        <w:tc>
          <w:tcPr>
            <w:tcW w:w="1350" w:type="dxa"/>
            <w:noWrap w:val="0"/>
          </w:tcPr>
          <w:p w14:paraId="1117EB8C">
            <w:pPr>
              <w:spacing w:line="480" w:lineRule="exact"/>
              <w:jc w:val="center"/>
              <w:rPr>
                <w:rFonts w:ascii="仿宋_GB2312" w:eastAsia="仿宋_GB2312" w:hAnsiTheme="minorEastAsia" w:cstheme="minorEastAsia"/>
                <w:b/>
                <w:sz w:val="28"/>
                <w:szCs w:val="28"/>
                <w:highlight w:val="none"/>
              </w:rPr>
            </w:pPr>
          </w:p>
        </w:tc>
        <w:tc>
          <w:tcPr>
            <w:tcW w:w="1583" w:type="dxa"/>
            <w:noWrap w:val="0"/>
          </w:tcPr>
          <w:p w14:paraId="202E2ABC">
            <w:pPr>
              <w:spacing w:line="480" w:lineRule="exact"/>
              <w:jc w:val="center"/>
              <w:rPr>
                <w:rFonts w:ascii="仿宋_GB2312" w:eastAsia="仿宋_GB2312" w:hAnsiTheme="minorEastAsia" w:cstheme="minorEastAsia"/>
                <w:b/>
                <w:sz w:val="28"/>
                <w:szCs w:val="28"/>
                <w:highlight w:val="none"/>
              </w:rPr>
            </w:pPr>
          </w:p>
        </w:tc>
        <w:tc>
          <w:tcPr>
            <w:tcW w:w="1854" w:type="dxa"/>
            <w:noWrap w:val="0"/>
          </w:tcPr>
          <w:p w14:paraId="1612926D">
            <w:pPr>
              <w:spacing w:line="480" w:lineRule="exact"/>
              <w:jc w:val="center"/>
              <w:rPr>
                <w:rFonts w:ascii="仿宋_GB2312" w:eastAsia="仿宋_GB2312" w:hAnsiTheme="minorEastAsia" w:cstheme="minorEastAsia"/>
                <w:b/>
                <w:sz w:val="28"/>
                <w:szCs w:val="28"/>
                <w:highlight w:val="none"/>
              </w:rPr>
            </w:pPr>
          </w:p>
        </w:tc>
      </w:tr>
      <w:tr w14:paraId="2923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noWrap w:val="0"/>
          </w:tcPr>
          <w:p w14:paraId="3B863D18">
            <w:pPr>
              <w:spacing w:line="480" w:lineRule="exact"/>
              <w:jc w:val="center"/>
              <w:rPr>
                <w:rFonts w:ascii="仿宋_GB2312" w:eastAsia="仿宋_GB2312" w:hAnsiTheme="minorEastAsia" w:cstheme="minorEastAsia"/>
                <w:b/>
                <w:sz w:val="28"/>
                <w:szCs w:val="28"/>
                <w:highlight w:val="none"/>
              </w:rPr>
            </w:pPr>
          </w:p>
        </w:tc>
        <w:tc>
          <w:tcPr>
            <w:tcW w:w="1078" w:type="dxa"/>
            <w:noWrap w:val="0"/>
          </w:tcPr>
          <w:p w14:paraId="2A895D59">
            <w:pPr>
              <w:spacing w:line="480" w:lineRule="exact"/>
              <w:jc w:val="center"/>
              <w:rPr>
                <w:rFonts w:ascii="仿宋_GB2312" w:eastAsia="仿宋_GB2312" w:hAnsiTheme="minorEastAsia" w:cstheme="minorEastAsia"/>
                <w:b/>
                <w:sz w:val="28"/>
                <w:szCs w:val="28"/>
                <w:highlight w:val="none"/>
              </w:rPr>
            </w:pPr>
          </w:p>
        </w:tc>
        <w:tc>
          <w:tcPr>
            <w:tcW w:w="1358" w:type="dxa"/>
            <w:noWrap w:val="0"/>
          </w:tcPr>
          <w:p w14:paraId="2EA8D205">
            <w:pPr>
              <w:spacing w:line="480" w:lineRule="exact"/>
              <w:jc w:val="center"/>
              <w:rPr>
                <w:rFonts w:ascii="仿宋_GB2312" w:eastAsia="仿宋_GB2312" w:hAnsiTheme="minorEastAsia" w:cstheme="minorEastAsia"/>
                <w:b/>
                <w:sz w:val="28"/>
                <w:szCs w:val="28"/>
                <w:highlight w:val="none"/>
              </w:rPr>
            </w:pPr>
          </w:p>
        </w:tc>
        <w:tc>
          <w:tcPr>
            <w:tcW w:w="1350" w:type="dxa"/>
            <w:noWrap w:val="0"/>
          </w:tcPr>
          <w:p w14:paraId="66458C58">
            <w:pPr>
              <w:spacing w:line="480" w:lineRule="exact"/>
              <w:jc w:val="center"/>
              <w:rPr>
                <w:rFonts w:ascii="仿宋_GB2312" w:eastAsia="仿宋_GB2312" w:hAnsiTheme="minorEastAsia" w:cstheme="minorEastAsia"/>
                <w:b/>
                <w:sz w:val="28"/>
                <w:szCs w:val="28"/>
                <w:highlight w:val="none"/>
              </w:rPr>
            </w:pPr>
          </w:p>
        </w:tc>
        <w:tc>
          <w:tcPr>
            <w:tcW w:w="1583" w:type="dxa"/>
            <w:noWrap w:val="0"/>
          </w:tcPr>
          <w:p w14:paraId="1FD9A906">
            <w:pPr>
              <w:spacing w:line="480" w:lineRule="exact"/>
              <w:jc w:val="center"/>
              <w:rPr>
                <w:rFonts w:ascii="仿宋_GB2312" w:eastAsia="仿宋_GB2312" w:hAnsiTheme="minorEastAsia" w:cstheme="minorEastAsia"/>
                <w:b/>
                <w:sz w:val="28"/>
                <w:szCs w:val="28"/>
                <w:highlight w:val="none"/>
              </w:rPr>
            </w:pPr>
          </w:p>
        </w:tc>
        <w:tc>
          <w:tcPr>
            <w:tcW w:w="1854" w:type="dxa"/>
            <w:noWrap w:val="0"/>
          </w:tcPr>
          <w:p w14:paraId="62A7AF0C">
            <w:pPr>
              <w:spacing w:line="480" w:lineRule="exact"/>
              <w:jc w:val="center"/>
              <w:rPr>
                <w:rFonts w:ascii="仿宋_GB2312" w:eastAsia="仿宋_GB2312" w:hAnsiTheme="minorEastAsia" w:cstheme="minorEastAsia"/>
                <w:b/>
                <w:sz w:val="28"/>
                <w:szCs w:val="28"/>
                <w:highlight w:val="none"/>
              </w:rPr>
            </w:pPr>
          </w:p>
        </w:tc>
      </w:tr>
      <w:tr w14:paraId="573C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noWrap w:val="0"/>
          </w:tcPr>
          <w:p w14:paraId="3AA491A0">
            <w:pPr>
              <w:spacing w:line="480" w:lineRule="exact"/>
              <w:jc w:val="center"/>
              <w:rPr>
                <w:rFonts w:ascii="仿宋_GB2312" w:eastAsia="仿宋_GB2312" w:hAnsiTheme="minorEastAsia" w:cstheme="minorEastAsia"/>
                <w:b/>
                <w:sz w:val="28"/>
                <w:szCs w:val="28"/>
                <w:highlight w:val="none"/>
              </w:rPr>
            </w:pPr>
          </w:p>
        </w:tc>
        <w:tc>
          <w:tcPr>
            <w:tcW w:w="1078" w:type="dxa"/>
            <w:noWrap w:val="0"/>
          </w:tcPr>
          <w:p w14:paraId="44C943F3">
            <w:pPr>
              <w:spacing w:line="480" w:lineRule="exact"/>
              <w:jc w:val="center"/>
              <w:rPr>
                <w:rFonts w:ascii="仿宋_GB2312" w:eastAsia="仿宋_GB2312" w:hAnsiTheme="minorEastAsia" w:cstheme="minorEastAsia"/>
                <w:b/>
                <w:sz w:val="28"/>
                <w:szCs w:val="28"/>
                <w:highlight w:val="none"/>
              </w:rPr>
            </w:pPr>
          </w:p>
        </w:tc>
        <w:tc>
          <w:tcPr>
            <w:tcW w:w="1358" w:type="dxa"/>
            <w:noWrap w:val="0"/>
          </w:tcPr>
          <w:p w14:paraId="050BE8D3">
            <w:pPr>
              <w:spacing w:line="480" w:lineRule="exact"/>
              <w:jc w:val="center"/>
              <w:rPr>
                <w:rFonts w:ascii="仿宋_GB2312" w:eastAsia="仿宋_GB2312" w:hAnsiTheme="minorEastAsia" w:cstheme="minorEastAsia"/>
                <w:b/>
                <w:sz w:val="28"/>
                <w:szCs w:val="28"/>
                <w:highlight w:val="none"/>
              </w:rPr>
            </w:pPr>
          </w:p>
        </w:tc>
        <w:tc>
          <w:tcPr>
            <w:tcW w:w="1350" w:type="dxa"/>
            <w:noWrap w:val="0"/>
          </w:tcPr>
          <w:p w14:paraId="685DFBE1">
            <w:pPr>
              <w:spacing w:line="480" w:lineRule="exact"/>
              <w:jc w:val="center"/>
              <w:rPr>
                <w:rFonts w:ascii="仿宋_GB2312" w:eastAsia="仿宋_GB2312" w:hAnsiTheme="minorEastAsia" w:cstheme="minorEastAsia"/>
                <w:b/>
                <w:sz w:val="28"/>
                <w:szCs w:val="28"/>
                <w:highlight w:val="none"/>
              </w:rPr>
            </w:pPr>
          </w:p>
        </w:tc>
        <w:tc>
          <w:tcPr>
            <w:tcW w:w="1583" w:type="dxa"/>
            <w:noWrap w:val="0"/>
          </w:tcPr>
          <w:p w14:paraId="62EDF490">
            <w:pPr>
              <w:spacing w:line="480" w:lineRule="exact"/>
              <w:jc w:val="center"/>
              <w:rPr>
                <w:rFonts w:ascii="仿宋_GB2312" w:eastAsia="仿宋_GB2312" w:hAnsiTheme="minorEastAsia" w:cstheme="minorEastAsia"/>
                <w:b/>
                <w:sz w:val="28"/>
                <w:szCs w:val="28"/>
                <w:highlight w:val="none"/>
              </w:rPr>
            </w:pPr>
          </w:p>
        </w:tc>
        <w:tc>
          <w:tcPr>
            <w:tcW w:w="1854" w:type="dxa"/>
            <w:noWrap w:val="0"/>
          </w:tcPr>
          <w:p w14:paraId="4679323D">
            <w:pPr>
              <w:spacing w:line="480" w:lineRule="exact"/>
              <w:jc w:val="center"/>
              <w:rPr>
                <w:rFonts w:ascii="仿宋_GB2312" w:eastAsia="仿宋_GB2312" w:hAnsiTheme="minorEastAsia" w:cstheme="minorEastAsia"/>
                <w:b/>
                <w:sz w:val="28"/>
                <w:szCs w:val="28"/>
                <w:highlight w:val="none"/>
              </w:rPr>
            </w:pPr>
          </w:p>
        </w:tc>
      </w:tr>
      <w:tr w14:paraId="3508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noWrap w:val="0"/>
          </w:tcPr>
          <w:p w14:paraId="2D269D39">
            <w:pPr>
              <w:spacing w:line="480" w:lineRule="exact"/>
              <w:jc w:val="center"/>
              <w:rPr>
                <w:rFonts w:ascii="仿宋_GB2312" w:eastAsia="仿宋_GB2312" w:hAnsiTheme="minorEastAsia" w:cstheme="minorEastAsia"/>
                <w:b/>
                <w:sz w:val="28"/>
                <w:szCs w:val="28"/>
                <w:highlight w:val="none"/>
              </w:rPr>
            </w:pPr>
          </w:p>
        </w:tc>
        <w:tc>
          <w:tcPr>
            <w:tcW w:w="1078" w:type="dxa"/>
            <w:noWrap w:val="0"/>
          </w:tcPr>
          <w:p w14:paraId="60747BB2">
            <w:pPr>
              <w:spacing w:line="480" w:lineRule="exact"/>
              <w:jc w:val="center"/>
              <w:rPr>
                <w:rFonts w:ascii="仿宋_GB2312" w:eastAsia="仿宋_GB2312" w:hAnsiTheme="minorEastAsia" w:cstheme="minorEastAsia"/>
                <w:b/>
                <w:sz w:val="28"/>
                <w:szCs w:val="28"/>
                <w:highlight w:val="none"/>
              </w:rPr>
            </w:pPr>
          </w:p>
        </w:tc>
        <w:tc>
          <w:tcPr>
            <w:tcW w:w="1358" w:type="dxa"/>
            <w:noWrap w:val="0"/>
          </w:tcPr>
          <w:p w14:paraId="2D6C62F9">
            <w:pPr>
              <w:spacing w:line="480" w:lineRule="exact"/>
              <w:jc w:val="center"/>
              <w:rPr>
                <w:rFonts w:ascii="仿宋_GB2312" w:eastAsia="仿宋_GB2312" w:hAnsiTheme="minorEastAsia" w:cstheme="minorEastAsia"/>
                <w:b/>
                <w:sz w:val="28"/>
                <w:szCs w:val="28"/>
                <w:highlight w:val="none"/>
              </w:rPr>
            </w:pPr>
          </w:p>
        </w:tc>
        <w:tc>
          <w:tcPr>
            <w:tcW w:w="1350" w:type="dxa"/>
            <w:noWrap w:val="0"/>
          </w:tcPr>
          <w:p w14:paraId="12590D30">
            <w:pPr>
              <w:spacing w:line="480" w:lineRule="exact"/>
              <w:jc w:val="center"/>
              <w:rPr>
                <w:rFonts w:ascii="仿宋_GB2312" w:eastAsia="仿宋_GB2312" w:hAnsiTheme="minorEastAsia" w:cstheme="minorEastAsia"/>
                <w:b/>
                <w:sz w:val="28"/>
                <w:szCs w:val="28"/>
                <w:highlight w:val="none"/>
              </w:rPr>
            </w:pPr>
          </w:p>
        </w:tc>
        <w:tc>
          <w:tcPr>
            <w:tcW w:w="1583" w:type="dxa"/>
            <w:noWrap w:val="0"/>
          </w:tcPr>
          <w:p w14:paraId="0E57BBC8">
            <w:pPr>
              <w:spacing w:line="480" w:lineRule="exact"/>
              <w:jc w:val="center"/>
              <w:rPr>
                <w:rFonts w:ascii="仿宋_GB2312" w:eastAsia="仿宋_GB2312" w:hAnsiTheme="minorEastAsia" w:cstheme="minorEastAsia"/>
                <w:b/>
                <w:sz w:val="28"/>
                <w:szCs w:val="28"/>
                <w:highlight w:val="none"/>
              </w:rPr>
            </w:pPr>
          </w:p>
        </w:tc>
        <w:tc>
          <w:tcPr>
            <w:tcW w:w="1854" w:type="dxa"/>
            <w:noWrap w:val="0"/>
          </w:tcPr>
          <w:p w14:paraId="3C6494E7">
            <w:pPr>
              <w:spacing w:line="480" w:lineRule="exact"/>
              <w:jc w:val="center"/>
              <w:rPr>
                <w:rFonts w:ascii="仿宋_GB2312" w:eastAsia="仿宋_GB2312" w:hAnsiTheme="minorEastAsia" w:cstheme="minorEastAsia"/>
                <w:b/>
                <w:sz w:val="28"/>
                <w:szCs w:val="28"/>
                <w:highlight w:val="none"/>
              </w:rPr>
            </w:pPr>
          </w:p>
        </w:tc>
      </w:tr>
      <w:tr w14:paraId="0EB9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noWrap w:val="0"/>
          </w:tcPr>
          <w:p w14:paraId="4C39729D">
            <w:pPr>
              <w:spacing w:line="480" w:lineRule="exact"/>
              <w:jc w:val="center"/>
              <w:rPr>
                <w:rFonts w:ascii="仿宋_GB2312" w:eastAsia="仿宋_GB2312" w:hAnsiTheme="minorEastAsia" w:cstheme="minorEastAsia"/>
                <w:b/>
                <w:sz w:val="28"/>
                <w:szCs w:val="28"/>
                <w:highlight w:val="none"/>
              </w:rPr>
            </w:pPr>
          </w:p>
        </w:tc>
        <w:tc>
          <w:tcPr>
            <w:tcW w:w="1078" w:type="dxa"/>
            <w:noWrap w:val="0"/>
          </w:tcPr>
          <w:p w14:paraId="6E7D2F8B">
            <w:pPr>
              <w:spacing w:line="480" w:lineRule="exact"/>
              <w:jc w:val="center"/>
              <w:rPr>
                <w:rFonts w:ascii="仿宋_GB2312" w:eastAsia="仿宋_GB2312" w:hAnsiTheme="minorEastAsia" w:cstheme="minorEastAsia"/>
                <w:b/>
                <w:sz w:val="28"/>
                <w:szCs w:val="28"/>
                <w:highlight w:val="none"/>
              </w:rPr>
            </w:pPr>
          </w:p>
        </w:tc>
        <w:tc>
          <w:tcPr>
            <w:tcW w:w="1358" w:type="dxa"/>
            <w:noWrap w:val="0"/>
          </w:tcPr>
          <w:p w14:paraId="40739CE4">
            <w:pPr>
              <w:spacing w:line="480" w:lineRule="exact"/>
              <w:jc w:val="center"/>
              <w:rPr>
                <w:rFonts w:ascii="仿宋_GB2312" w:eastAsia="仿宋_GB2312" w:hAnsiTheme="minorEastAsia" w:cstheme="minorEastAsia"/>
                <w:b/>
                <w:sz w:val="28"/>
                <w:szCs w:val="28"/>
                <w:highlight w:val="none"/>
              </w:rPr>
            </w:pPr>
          </w:p>
        </w:tc>
        <w:tc>
          <w:tcPr>
            <w:tcW w:w="1350" w:type="dxa"/>
            <w:noWrap w:val="0"/>
          </w:tcPr>
          <w:p w14:paraId="7E3586E0">
            <w:pPr>
              <w:spacing w:line="480" w:lineRule="exact"/>
              <w:jc w:val="center"/>
              <w:rPr>
                <w:rFonts w:ascii="仿宋_GB2312" w:eastAsia="仿宋_GB2312" w:hAnsiTheme="minorEastAsia" w:cstheme="minorEastAsia"/>
                <w:b/>
                <w:sz w:val="28"/>
                <w:szCs w:val="28"/>
                <w:highlight w:val="none"/>
              </w:rPr>
            </w:pPr>
          </w:p>
        </w:tc>
        <w:tc>
          <w:tcPr>
            <w:tcW w:w="1583" w:type="dxa"/>
            <w:noWrap w:val="0"/>
          </w:tcPr>
          <w:p w14:paraId="05339C5F">
            <w:pPr>
              <w:spacing w:line="480" w:lineRule="exact"/>
              <w:jc w:val="center"/>
              <w:rPr>
                <w:rFonts w:ascii="仿宋_GB2312" w:eastAsia="仿宋_GB2312" w:hAnsiTheme="minorEastAsia" w:cstheme="minorEastAsia"/>
                <w:b/>
                <w:sz w:val="28"/>
                <w:szCs w:val="28"/>
                <w:highlight w:val="none"/>
              </w:rPr>
            </w:pPr>
          </w:p>
        </w:tc>
        <w:tc>
          <w:tcPr>
            <w:tcW w:w="1854" w:type="dxa"/>
            <w:noWrap w:val="0"/>
          </w:tcPr>
          <w:p w14:paraId="63812402">
            <w:pPr>
              <w:spacing w:line="480" w:lineRule="exact"/>
              <w:jc w:val="center"/>
              <w:rPr>
                <w:rFonts w:ascii="仿宋_GB2312" w:eastAsia="仿宋_GB2312" w:hAnsiTheme="minorEastAsia" w:cstheme="minorEastAsia"/>
                <w:b/>
                <w:sz w:val="28"/>
                <w:szCs w:val="28"/>
                <w:highlight w:val="none"/>
              </w:rPr>
            </w:pPr>
          </w:p>
        </w:tc>
      </w:tr>
      <w:tr w14:paraId="2E1C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noWrap w:val="0"/>
          </w:tcPr>
          <w:p w14:paraId="4ED9F92F">
            <w:pPr>
              <w:spacing w:line="480" w:lineRule="exact"/>
              <w:jc w:val="center"/>
              <w:rPr>
                <w:rFonts w:ascii="仿宋_GB2312" w:eastAsia="仿宋_GB2312" w:hAnsiTheme="minorEastAsia" w:cstheme="minorEastAsia"/>
                <w:b/>
                <w:sz w:val="28"/>
                <w:szCs w:val="28"/>
                <w:highlight w:val="none"/>
              </w:rPr>
            </w:pPr>
          </w:p>
        </w:tc>
        <w:tc>
          <w:tcPr>
            <w:tcW w:w="1078" w:type="dxa"/>
            <w:noWrap w:val="0"/>
          </w:tcPr>
          <w:p w14:paraId="4626D6CE">
            <w:pPr>
              <w:spacing w:line="480" w:lineRule="exact"/>
              <w:jc w:val="center"/>
              <w:rPr>
                <w:rFonts w:ascii="仿宋_GB2312" w:eastAsia="仿宋_GB2312" w:hAnsiTheme="minorEastAsia" w:cstheme="minorEastAsia"/>
                <w:b/>
                <w:sz w:val="28"/>
                <w:szCs w:val="28"/>
                <w:highlight w:val="none"/>
              </w:rPr>
            </w:pPr>
          </w:p>
        </w:tc>
        <w:tc>
          <w:tcPr>
            <w:tcW w:w="1358" w:type="dxa"/>
            <w:noWrap w:val="0"/>
          </w:tcPr>
          <w:p w14:paraId="59CB6F16">
            <w:pPr>
              <w:spacing w:line="480" w:lineRule="exact"/>
              <w:jc w:val="center"/>
              <w:rPr>
                <w:rFonts w:ascii="仿宋_GB2312" w:eastAsia="仿宋_GB2312" w:hAnsiTheme="minorEastAsia" w:cstheme="minorEastAsia"/>
                <w:b/>
                <w:sz w:val="28"/>
                <w:szCs w:val="28"/>
                <w:highlight w:val="none"/>
              </w:rPr>
            </w:pPr>
          </w:p>
        </w:tc>
        <w:tc>
          <w:tcPr>
            <w:tcW w:w="1350" w:type="dxa"/>
            <w:noWrap w:val="0"/>
          </w:tcPr>
          <w:p w14:paraId="15AD7BFE">
            <w:pPr>
              <w:spacing w:line="480" w:lineRule="exact"/>
              <w:jc w:val="center"/>
              <w:rPr>
                <w:rFonts w:ascii="仿宋_GB2312" w:eastAsia="仿宋_GB2312" w:hAnsiTheme="minorEastAsia" w:cstheme="minorEastAsia"/>
                <w:b/>
                <w:sz w:val="28"/>
                <w:szCs w:val="28"/>
                <w:highlight w:val="none"/>
              </w:rPr>
            </w:pPr>
          </w:p>
        </w:tc>
        <w:tc>
          <w:tcPr>
            <w:tcW w:w="1583" w:type="dxa"/>
            <w:noWrap w:val="0"/>
          </w:tcPr>
          <w:p w14:paraId="0C4CF915">
            <w:pPr>
              <w:spacing w:line="480" w:lineRule="exact"/>
              <w:jc w:val="center"/>
              <w:rPr>
                <w:rFonts w:ascii="仿宋_GB2312" w:eastAsia="仿宋_GB2312" w:hAnsiTheme="minorEastAsia" w:cstheme="minorEastAsia"/>
                <w:b/>
                <w:sz w:val="28"/>
                <w:szCs w:val="28"/>
                <w:highlight w:val="none"/>
              </w:rPr>
            </w:pPr>
          </w:p>
        </w:tc>
        <w:tc>
          <w:tcPr>
            <w:tcW w:w="1854" w:type="dxa"/>
            <w:noWrap w:val="0"/>
          </w:tcPr>
          <w:p w14:paraId="0BF0999F">
            <w:pPr>
              <w:spacing w:line="480" w:lineRule="exact"/>
              <w:jc w:val="center"/>
              <w:rPr>
                <w:rFonts w:ascii="仿宋_GB2312" w:eastAsia="仿宋_GB2312" w:hAnsiTheme="minorEastAsia" w:cstheme="minorEastAsia"/>
                <w:b/>
                <w:sz w:val="28"/>
                <w:szCs w:val="28"/>
                <w:highlight w:val="none"/>
              </w:rPr>
            </w:pPr>
          </w:p>
        </w:tc>
      </w:tr>
    </w:tbl>
    <w:p w14:paraId="6CB3C1E6">
      <w:pPr>
        <w:spacing w:line="480" w:lineRule="exact"/>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备注：</w:t>
      </w:r>
    </w:p>
    <w:p w14:paraId="5796BF17">
      <w:pPr>
        <w:widowControl/>
        <w:spacing w:after="156" w:line="480" w:lineRule="exact"/>
        <w:ind w:left="505" w:hanging="505"/>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1.上表所列乙方现场管理人员，未经甲方事先书面同意，不得更换，甲方对上述人员进行现场考勤。</w:t>
      </w:r>
    </w:p>
    <w:p w14:paraId="64CCCCC1">
      <w:pPr>
        <w:widowControl/>
        <w:spacing w:after="156" w:line="480" w:lineRule="exact"/>
        <w:ind w:left="505" w:hanging="505"/>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2.上表所列乙方现场管理人员均有权代表乙方签署往来函件，履行乙方权利和义务。</w:t>
      </w:r>
    </w:p>
    <w:p w14:paraId="5A8CBD6F">
      <w:pPr>
        <w:spacing w:before="156" w:after="156" w:line="480" w:lineRule="exact"/>
        <w:ind w:left="5145" w:firstLine="504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 xml:space="preserve">      乙方（盖章）</w:t>
      </w:r>
    </w:p>
    <w:p w14:paraId="07A42415">
      <w:pPr>
        <w:spacing w:line="480" w:lineRule="exact"/>
        <w:ind w:left="5147" w:firstLine="588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 xml:space="preserve">      法定代表人</w:t>
      </w:r>
    </w:p>
    <w:p w14:paraId="5DC2CC05">
      <w:pPr>
        <w:spacing w:line="480" w:lineRule="exact"/>
        <w:ind w:left="5147"/>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或受委托人</w:t>
      </w:r>
    </w:p>
    <w:p w14:paraId="01D8F44D">
      <w:pPr>
        <w:spacing w:line="480" w:lineRule="exact"/>
        <w:ind w:left="5147" w:firstLine="588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 xml:space="preserve">      日期：    年  月    日 </w:t>
      </w:r>
    </w:p>
    <w:p w14:paraId="215CA02C">
      <w:pPr>
        <w:spacing w:line="480" w:lineRule="exact"/>
        <w:rPr>
          <w:rFonts w:ascii="仿宋_GB2312" w:eastAsia="仿宋_GB2312" w:hAnsiTheme="minorEastAsia" w:cstheme="minorEastAsia"/>
          <w:b/>
          <w:bCs/>
          <w:sz w:val="28"/>
          <w:szCs w:val="28"/>
          <w:highlight w:val="none"/>
        </w:rPr>
      </w:pPr>
    </w:p>
    <w:p w14:paraId="3E2A22D5">
      <w:pPr>
        <w:rPr>
          <w:rFonts w:asciiTheme="minorEastAsia" w:hAnsiTheme="minorEastAsia" w:cstheme="minorEastAsia"/>
          <w:b/>
          <w:bCs/>
          <w:sz w:val="24"/>
          <w:highlight w:val="none"/>
        </w:rPr>
      </w:pPr>
      <w:r>
        <w:rPr>
          <w:rFonts w:hint="eastAsia" w:asciiTheme="minorEastAsia" w:hAnsiTheme="minorEastAsia" w:cstheme="minorEastAsia"/>
          <w:b/>
          <w:bCs/>
          <w:sz w:val="24"/>
          <w:highlight w:val="none"/>
        </w:rPr>
        <w:br w:type="page" w:clear="all"/>
      </w:r>
    </w:p>
    <w:p w14:paraId="1A90C1B9">
      <w:pPr>
        <w:pStyle w:val="6"/>
        <w:spacing w:before="156" w:after="156"/>
        <w:ind w:left="0" w:firstLine="562"/>
        <w:rPr>
          <w:highlight w:val="none"/>
        </w:rPr>
      </w:pPr>
      <w:r>
        <w:rPr>
          <w:rFonts w:hint="eastAsia"/>
          <w:highlight w:val="none"/>
          <w:u w:val="none"/>
        </w:rPr>
        <w:t>附件</w:t>
      </w:r>
      <w:r>
        <w:rPr>
          <w:rFonts w:hint="eastAsia"/>
          <w:highlight w:val="none"/>
          <w:u w:val="none"/>
          <w:lang w:val="en-US" w:eastAsia="zh-CN"/>
        </w:rPr>
        <w:t>5</w:t>
      </w:r>
      <w:r>
        <w:rPr>
          <w:rFonts w:hint="eastAsia"/>
          <w:highlight w:val="none"/>
          <w:u w:val="none"/>
        </w:rPr>
        <w:t xml:space="preserve">  </w:t>
      </w:r>
      <w:r>
        <w:rPr>
          <w:rFonts w:hint="eastAsia"/>
          <w:highlight w:val="none"/>
          <w:u w:val="none"/>
          <w:lang w:val="en-US" w:eastAsia="zh-CN"/>
        </w:rPr>
        <w:t xml:space="preserve"> </w:t>
      </w:r>
      <w:r>
        <w:rPr>
          <w:rFonts w:hint="eastAsia"/>
          <w:highlight w:val="none"/>
          <w:u w:val="none"/>
        </w:rPr>
        <w:t>项目廉政合同书</w:t>
      </w:r>
    </w:p>
    <w:p w14:paraId="43AEBCCB">
      <w:pPr>
        <w:spacing w:line="480" w:lineRule="exact"/>
        <w:ind w:firstLine="562"/>
        <w:rPr>
          <w:rFonts w:ascii="仿宋_GB2312" w:hAnsi="仿宋_GB2312" w:eastAsia="仿宋_GB2312" w:cs="仿宋_GB2312"/>
          <w:b/>
          <w:color w:val="000000"/>
          <w:sz w:val="28"/>
          <w:szCs w:val="28"/>
          <w:highlight w:val="none"/>
          <w:u w:val="single"/>
        </w:rPr>
      </w:pPr>
      <w:r>
        <w:rPr>
          <w:rFonts w:hint="eastAsia" w:ascii="仿宋_GB2312" w:hAnsi="仿宋_GB2312" w:eastAsia="仿宋_GB2312" w:cs="仿宋_GB2312"/>
          <w:b/>
          <w:color w:val="000000"/>
          <w:sz w:val="28"/>
          <w:szCs w:val="28"/>
          <w:highlight w:val="none"/>
        </w:rPr>
        <w:t>承包人（全称）：【</w:t>
      </w:r>
      <w:bookmarkStart w:id="83" w:name="mf_jiafang_22d9e010-013d-4067-9a84-ea14432fbc6f_3"/>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83"/>
      <w:r>
        <w:rPr>
          <w:rFonts w:hint="eastAsia" w:ascii="仿宋_GB2312" w:hAnsi="仿宋_GB2312" w:eastAsia="仿宋_GB2312" w:cs="仿宋_GB2312"/>
          <w:b/>
          <w:color w:val="000000"/>
          <w:sz w:val="28"/>
          <w:szCs w:val="28"/>
          <w:highlight w:val="none"/>
        </w:rPr>
        <w:t>】（以下简称甲方）</w:t>
      </w:r>
    </w:p>
    <w:p w14:paraId="09F0ED80">
      <w:pPr>
        <w:spacing w:line="480" w:lineRule="exact"/>
        <w:ind w:firstLine="562"/>
        <w:rPr>
          <w:rFonts w:ascii="仿宋_GB2312" w:hAnsi="仿宋_GB2312" w:eastAsia="仿宋_GB2312" w:cs="仿宋_GB2312"/>
          <w:b/>
          <w:color w:val="000000"/>
          <w:sz w:val="28"/>
          <w:szCs w:val="28"/>
          <w:highlight w:val="none"/>
          <w:u w:val="single"/>
        </w:rPr>
      </w:pPr>
      <w:r>
        <w:rPr>
          <w:rFonts w:hint="eastAsia" w:ascii="仿宋_GB2312" w:hAnsi="仿宋_GB2312" w:eastAsia="仿宋_GB2312" w:cs="仿宋_GB2312"/>
          <w:b/>
          <w:color w:val="000000"/>
          <w:sz w:val="28"/>
          <w:szCs w:val="28"/>
          <w:highlight w:val="none"/>
        </w:rPr>
        <w:t>分包人（全称）：【</w:t>
      </w:r>
      <w:bookmarkStart w:id="84" w:name="mf_yifangmaifangchuzufanggongyingfang_f27d5062-cfa7-44db-bc55-a59e9e707656_3"/>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84"/>
      <w:r>
        <w:rPr>
          <w:rFonts w:hint="eastAsia" w:ascii="仿宋_GB2312" w:hAnsi="仿宋_GB2312" w:eastAsia="仿宋_GB2312" w:cs="仿宋_GB2312"/>
          <w:b/>
          <w:color w:val="000000"/>
          <w:sz w:val="28"/>
          <w:szCs w:val="28"/>
          <w:highlight w:val="none"/>
        </w:rPr>
        <w:t>】（以下简称乙方）</w:t>
      </w:r>
    </w:p>
    <w:p w14:paraId="7D95977A">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为确保甲方对建设单位的承诺，高效、优质共同完成施工任务，争创优质工程，保证合同双方能够高效廉洁地履行，维护双方合法权益，经双方协商，特订立如下廉政合同书。</w:t>
      </w:r>
    </w:p>
    <w:p w14:paraId="712B41FC">
      <w:pPr>
        <w:spacing w:line="480" w:lineRule="exact"/>
        <w:ind w:firstLine="560"/>
        <w:jc w:val="left"/>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第一条 甲乙双方的权利和义务</w:t>
      </w:r>
    </w:p>
    <w:p w14:paraId="20606094">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1.甲乙双方应本着“公开、公平、公正、诚信、透明”的原则开展工作，自觉遵守党和国家、工程项目所在省、市、区工程建设有关法律法规以及廉政建设的各项规定。</w:t>
      </w:r>
    </w:p>
    <w:p w14:paraId="6C613DA3">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2.甲乙双方应建立健全廉政教育制度，开展经常性教育活动，积极宣贯“合规诚信 自律清正”的廉洁从业核心理念，加强廉政教育。</w:t>
      </w:r>
    </w:p>
    <w:p w14:paraId="711BAB9C">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3.加强相互监督，发现对方有违反廉政合同书规定的行为，应及时提醒对方纠正。</w:t>
      </w:r>
    </w:p>
    <w:p w14:paraId="712C7385">
      <w:pPr>
        <w:spacing w:line="480" w:lineRule="exact"/>
        <w:ind w:firstLine="560"/>
        <w:jc w:val="left"/>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第二条 甲方的责任</w:t>
      </w:r>
    </w:p>
    <w:p w14:paraId="73C90C91">
      <w:pPr>
        <w:spacing w:line="480" w:lineRule="exact"/>
        <w:ind w:firstLine="560"/>
        <w:jc w:val="left"/>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甲方工作人员不得有以下行为：</w:t>
      </w:r>
    </w:p>
    <w:p w14:paraId="6CB801B3">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（1）为乙方多结算工程量、多签证、多付工程款等，并向乙方索要或接受贿赂、回扣、礼金、有价证券（卡）、贵重物品和好处费等；</w:t>
      </w:r>
    </w:p>
    <w:p w14:paraId="0C472B52">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（2）在乙方报销任何应由甲方或个人支付的费用；</w:t>
      </w:r>
    </w:p>
    <w:p w14:paraId="374DB215">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（3）参加有可能影响公正执行公务的超标准宴请和娱乐、健身等活动；</w:t>
      </w:r>
    </w:p>
    <w:p w14:paraId="33217BE9">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（4）接受乙方提供的通讯工具、交通工具和高档办公用品；</w:t>
      </w:r>
    </w:p>
    <w:p w14:paraId="47EE434A">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（5）要求、暗示或接受乙方为个人住房装修、婚丧嫁娶、配偶子女工作的安排以及出国（境）、旅游提供的方便；</w:t>
      </w:r>
    </w:p>
    <w:p w14:paraId="13764413">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（6）向乙方介绍或推荐配偶、子女、亲属参与的工程施工合同有关的设备、材料、工程分包、劳务等；</w:t>
      </w:r>
    </w:p>
    <w:p w14:paraId="43E32D60">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（7）向乙方推荐分包单位或要求乙方购买合同规定以外的材料、机具设备等；</w:t>
      </w:r>
    </w:p>
    <w:p w14:paraId="76EF7AC1">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（8）因乙方拒绝本人的不合理要求，而故意刁难乙方。</w:t>
      </w:r>
    </w:p>
    <w:p w14:paraId="23F43AFF">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第三条乙方的责任</w:t>
      </w:r>
    </w:p>
    <w:p w14:paraId="43856198">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乙方应当通过正常途径开展业务，不得有以下行为：</w:t>
      </w:r>
    </w:p>
    <w:p w14:paraId="2A86CBD4">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（1）为多结算工程量、多签证、多收工程款等，向甲方及其管理人员行贿或馈赠礼金、有价证券（卡）、贵重礼品；</w:t>
      </w:r>
    </w:p>
    <w:p w14:paraId="5E6CF5E9">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（2）为甲方及其工作人员报销应由甲方单位或个人支付的任何费用；</w:t>
      </w:r>
    </w:p>
    <w:p w14:paraId="11A2A906">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（3）安排甲方人员参加超标准宴请、娱乐活动及带有黄、赌性质的娱乐活动；</w:t>
      </w:r>
    </w:p>
    <w:p w14:paraId="06A28886">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（4）为甲方人员购置或提供通讯工具、交通工具和高档办公用品等；</w:t>
      </w:r>
    </w:p>
    <w:p w14:paraId="0683135C">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（5）乙方向甲方工作人员及其家属或者亲友介绍从事与甲乙双方工程有关的工程分包及材料设备、周转工具的供应、租赁等经营活动。</w:t>
      </w:r>
    </w:p>
    <w:p w14:paraId="1CFC7A9B">
      <w:pPr>
        <w:spacing w:line="480" w:lineRule="exact"/>
        <w:ind w:firstLine="560"/>
        <w:jc w:val="left"/>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第四条 违约责任</w:t>
      </w:r>
    </w:p>
    <w:p w14:paraId="0B2AC5F7">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如甲方工作人员有违反本廉政合同书的行为，由甲方纪委查处，追究相应的党纪、政务责任，涉嫌犯罪的，移交司法机关追究刑事责任；对实名举报的，甲方要立即调查，并采取有效措施保障乙方的合法权益，防止报复事件发生。</w:t>
      </w:r>
    </w:p>
    <w:p w14:paraId="76C80DCF">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2.如乙方单位或个人有违反本廉政合同书的行为，甲方视情节对乙方处以签约合同价0.5%—1%的罚款，情节较重并给甲方造成损失的，乙方另需赔偿甲方全部经济损失，并取消乙方工程分包资格。</w:t>
      </w:r>
    </w:p>
    <w:p w14:paraId="37D616A7">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u w:val="none"/>
        </w:rPr>
        <w:t>第五条 甲方举报电话：纪委书记【</w:t>
      </w:r>
      <w:bookmarkStart w:id="85" w:name="mf_jiweishujixingming_62c8a90a-9eba-4221-9b35-53d7d7d71f3e_1"/>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bookmarkEnd w:id="85"/>
      <w:r>
        <w:rPr>
          <w:rFonts w:hint="eastAsia" w:ascii="仿宋_GB2312" w:eastAsia="仿宋_GB2312" w:hAnsiTheme="minorEastAsia" w:cstheme="minorEastAsia"/>
          <w:sz w:val="28"/>
          <w:szCs w:val="28"/>
          <w:highlight w:val="none"/>
          <w:u w:val="none"/>
        </w:rPr>
        <w:t>】，纪检监察部【</w:t>
      </w:r>
      <w:bookmarkStart w:id="86" w:name="mf_jijianjianchabudianhua_f183643f-b9d4-4608-94ea-924eca564473_1"/>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bookmarkEnd w:id="86"/>
      <w:r>
        <w:rPr>
          <w:rFonts w:hint="eastAsia" w:ascii="仿宋_GB2312" w:eastAsia="仿宋_GB2312" w:hAnsiTheme="minorEastAsia" w:cstheme="minorEastAsia"/>
          <w:sz w:val="28"/>
          <w:szCs w:val="28"/>
          <w:highlight w:val="none"/>
          <w:u w:val="none"/>
        </w:rPr>
        <w:t>】。</w:t>
      </w:r>
    </w:p>
    <w:p w14:paraId="261A9AD7">
      <w:pPr>
        <w:spacing w:line="480" w:lineRule="exact"/>
        <w:ind w:firstLine="560"/>
        <w:rPr>
          <w:rFonts w:asciiTheme="minorEastAsia" w:hAnsiTheme="minorEastAsia" w:cstheme="minorEastAsia"/>
          <w:b/>
          <w:sz w:val="24"/>
          <w:highlight w:val="none"/>
        </w:rPr>
      </w:pPr>
      <w:r>
        <w:rPr>
          <w:rFonts w:hint="eastAsia" w:ascii="仿宋_GB2312" w:eastAsia="仿宋_GB2312" w:hAnsiTheme="minorEastAsia" w:cstheme="minorEastAsia"/>
          <w:sz w:val="28"/>
          <w:szCs w:val="28"/>
          <w:highlight w:val="none"/>
        </w:rPr>
        <w:t>第六条 本廉政合同书作为分包合同的附件，具有同等法律效力，本协议与合同同日生效,至甲乙双方工程合同履约完止。</w:t>
      </w:r>
      <w:r>
        <w:rPr>
          <w:rFonts w:hint="eastAsia" w:asciiTheme="minorEastAsia" w:hAnsiTheme="minorEastAsia" w:cstheme="minorEastAsia"/>
          <w:b/>
          <w:sz w:val="24"/>
          <w:highlight w:val="none"/>
        </w:rPr>
        <w:br w:type="page" w:clear="all"/>
      </w:r>
    </w:p>
    <w:p w14:paraId="41FACEDF">
      <w:pPr>
        <w:pStyle w:val="6"/>
        <w:spacing w:before="156" w:after="156"/>
        <w:ind w:left="0" w:firstLine="562"/>
        <w:rPr>
          <w:rFonts w:hint="eastAsia"/>
          <w:highlight w:val="none"/>
        </w:rPr>
      </w:pPr>
      <w:r>
        <w:rPr>
          <w:rFonts w:hint="eastAsia"/>
          <w:highlight w:val="none"/>
          <w:u w:val="none"/>
        </w:rPr>
        <w:t>附件</w:t>
      </w:r>
      <w:r>
        <w:rPr>
          <w:rFonts w:hint="eastAsia"/>
          <w:highlight w:val="none"/>
          <w:u w:val="none"/>
          <w:lang w:val="en-US" w:eastAsia="zh-CN"/>
        </w:rPr>
        <w:t>6</w:t>
      </w:r>
      <w:r>
        <w:rPr>
          <w:rFonts w:hint="eastAsia"/>
          <w:highlight w:val="none"/>
          <w:u w:val="none"/>
        </w:rPr>
        <w:t xml:space="preserve">  工程质量专项管理协议书</w:t>
      </w:r>
    </w:p>
    <w:p w14:paraId="60DBB248">
      <w:pPr>
        <w:spacing w:line="480" w:lineRule="exact"/>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工程名称：【</w:t>
      </w:r>
      <w:bookmarkStart w:id="87" w:name="mf_xiangmumingcheng_9b5eeff3-c2ad-4cc3-bf2c-5e63b0922ee5_3"/>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bookmarkEnd w:id="87"/>
      <w:r>
        <w:rPr>
          <w:rFonts w:hint="eastAsia" w:ascii="仿宋_GB2312" w:eastAsia="仿宋_GB2312" w:hAnsiTheme="minorEastAsia" w:cstheme="minorEastAsia"/>
          <w:b/>
          <w:sz w:val="28"/>
          <w:szCs w:val="28"/>
          <w:highlight w:val="none"/>
        </w:rPr>
        <w:t>】</w:t>
      </w:r>
    </w:p>
    <w:p w14:paraId="7F5D8393">
      <w:pPr>
        <w:spacing w:line="480" w:lineRule="exact"/>
        <w:rPr>
          <w:rFonts w:ascii="仿宋_GB2312" w:hAnsi="仿宋_GB2312" w:eastAsia="仿宋_GB2312" w:cs="仿宋_GB2312"/>
          <w:b/>
          <w:color w:val="000000"/>
          <w:sz w:val="28"/>
          <w:szCs w:val="28"/>
          <w:highlight w:val="none"/>
          <w:u w:val="single"/>
        </w:rPr>
      </w:pPr>
      <w:r>
        <w:rPr>
          <w:rFonts w:hint="eastAsia" w:ascii="仿宋_GB2312" w:hAnsi="仿宋_GB2312" w:eastAsia="仿宋_GB2312" w:cs="仿宋_GB2312"/>
          <w:b/>
          <w:color w:val="000000"/>
          <w:sz w:val="28"/>
          <w:szCs w:val="28"/>
          <w:highlight w:val="none"/>
        </w:rPr>
        <w:t>承包人（全称）：【</w:t>
      </w:r>
      <w:bookmarkStart w:id="88" w:name="mf_jiafang_22d9e010-013d-4067-9a84-ea14432fbc6f_4"/>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88"/>
      <w:r>
        <w:rPr>
          <w:rFonts w:hint="eastAsia" w:ascii="仿宋_GB2312" w:hAnsi="仿宋_GB2312" w:eastAsia="仿宋_GB2312" w:cs="仿宋_GB2312"/>
          <w:b/>
          <w:color w:val="000000"/>
          <w:sz w:val="28"/>
          <w:szCs w:val="28"/>
          <w:highlight w:val="none"/>
        </w:rPr>
        <w:t>】（以下简称甲方）</w:t>
      </w:r>
    </w:p>
    <w:p w14:paraId="762F1F84">
      <w:pPr>
        <w:spacing w:line="480" w:lineRule="exact"/>
        <w:rPr>
          <w:rFonts w:ascii="仿宋_GB2312" w:hAnsi="仿宋_GB2312" w:eastAsia="仿宋_GB2312" w:cs="仿宋_GB2312"/>
          <w:b/>
          <w:color w:val="000000"/>
          <w:sz w:val="28"/>
          <w:szCs w:val="28"/>
          <w:highlight w:val="none"/>
          <w:u w:val="single"/>
        </w:rPr>
      </w:pPr>
      <w:r>
        <w:rPr>
          <w:rFonts w:hint="eastAsia" w:ascii="仿宋_GB2312" w:hAnsi="仿宋_GB2312" w:eastAsia="仿宋_GB2312" w:cs="仿宋_GB2312"/>
          <w:b/>
          <w:color w:val="000000"/>
          <w:sz w:val="28"/>
          <w:szCs w:val="28"/>
          <w:highlight w:val="none"/>
        </w:rPr>
        <w:t>分包人（全称）：【</w:t>
      </w:r>
      <w:bookmarkStart w:id="89" w:name="mf_yifangmaifangchuzufanggongyingfang_f27d5062-cfa7-44db-bc55-a59e9e707656_4"/>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89"/>
      <w:r>
        <w:rPr>
          <w:rFonts w:hint="eastAsia" w:ascii="仿宋_GB2312" w:hAnsi="仿宋_GB2312" w:eastAsia="仿宋_GB2312" w:cs="仿宋_GB2312"/>
          <w:b/>
          <w:color w:val="000000"/>
          <w:sz w:val="28"/>
          <w:szCs w:val="28"/>
          <w:highlight w:val="none"/>
        </w:rPr>
        <w:t>】（以下简称乙方）</w:t>
      </w:r>
    </w:p>
    <w:p w14:paraId="11B917F9">
      <w:pPr>
        <w:spacing w:line="480" w:lineRule="exact"/>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sz w:val="28"/>
          <w:szCs w:val="28"/>
          <w:highlight w:val="none"/>
        </w:rPr>
        <w:t xml:space="preserve">   </w:t>
      </w:r>
      <w:r>
        <w:rPr>
          <w:rFonts w:hint="eastAsia" w:ascii="仿宋_GB2312" w:eastAsia="仿宋_GB2312" w:hAnsiTheme="minorEastAsia" w:cstheme="minorEastAsia"/>
          <w:bCs/>
          <w:sz w:val="28"/>
          <w:szCs w:val="28"/>
          <w:highlight w:val="none"/>
        </w:rPr>
        <w:t xml:space="preserve"> 为明确双方质量责任，加强施工质量过程管控，进一步促进分包人在质量管理和质量效果上的有效落实，提高项目质量管理水平；经双方协商一致，订立本协议：</w:t>
      </w:r>
    </w:p>
    <w:p w14:paraId="0A9BF29D">
      <w:pPr>
        <w:spacing w:line="480" w:lineRule="exact"/>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
          <w:sz w:val="28"/>
          <w:szCs w:val="28"/>
          <w:highlight w:val="none"/>
        </w:rPr>
        <w:t>第一条：甲乙双方都必须严格执行以下法律法规及规章制度。</w:t>
      </w:r>
    </w:p>
    <w:p w14:paraId="4DABC119">
      <w:pPr>
        <w:spacing w:line="480" w:lineRule="exact"/>
        <w:ind w:firstLine="42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中华人民共和国建筑法》《中华人民共和国民法典》《中华人民共和国招投标法》《建设工程质量管理条例》《建筑工程质量验收统一标准》（GB50300-2013）、《建筑工程施工质量评价标准》（GB／T50375-2016）等相关法律法规或规范性文件。</w:t>
      </w:r>
    </w:p>
    <w:p w14:paraId="7C9DD289">
      <w:pPr>
        <w:spacing w:line="480" w:lineRule="exact"/>
        <w:ind w:firstLine="490"/>
        <w:rPr>
          <w:rFonts w:ascii="仿宋_GB2312" w:eastAsia="仿宋_GB2312" w:hAnsiTheme="minorEastAsia" w:cstheme="minorEastAsia"/>
          <w:b/>
          <w:bCs/>
          <w:sz w:val="28"/>
          <w:szCs w:val="28"/>
          <w:highlight w:val="none"/>
        </w:rPr>
      </w:pPr>
      <w:r>
        <w:rPr>
          <w:rFonts w:hint="eastAsia" w:ascii="仿宋_GB2312" w:eastAsia="仿宋_GB2312" w:hAnsiTheme="minorEastAsia" w:cstheme="minorEastAsia"/>
          <w:bCs/>
          <w:sz w:val="28"/>
          <w:szCs w:val="28"/>
          <w:highlight w:val="none"/>
        </w:rPr>
        <w:t>涉及分包工程的相关标准、规范、规程等：【</w:t>
      </w:r>
      <w:r>
        <w:rPr>
          <w:rFonts w:hint="eastAsia" w:ascii="仿宋_GB2312" w:eastAsia="仿宋_GB2312" w:hAnsiTheme="minorEastAsia" w:cstheme="minorEastAsia"/>
          <w:color w:val="C00000"/>
          <w:sz w:val="28"/>
          <w:szCs w:val="28"/>
          <w:highlight w:val="none"/>
          <w:lang w:val="en-US" w:eastAsia="zh-CN"/>
        </w:rPr>
        <w:t xml:space="preserve">  </w:t>
      </w:r>
      <w:r>
        <w:rPr>
          <w:rFonts w:hint="eastAsia" w:ascii="仿宋_GB2312" w:eastAsia="仿宋_GB2312" w:hAnsiTheme="minorEastAsia" w:cstheme="minorEastAsia"/>
          <w:sz w:val="28"/>
          <w:szCs w:val="28"/>
          <w:highlight w:val="none"/>
        </w:rPr>
        <w:t>】</w:t>
      </w:r>
    </w:p>
    <w:p w14:paraId="1557DAD8">
      <w:pPr>
        <w:spacing w:line="480" w:lineRule="exact"/>
        <w:ind w:firstLine="490"/>
        <w:rPr>
          <w:rFonts w:ascii="仿宋_GB2312" w:eastAsia="仿宋_GB2312" w:hAnsiTheme="minorEastAsia" w:cstheme="minorEastAsia"/>
          <w:b/>
          <w:bCs/>
          <w:sz w:val="28"/>
          <w:szCs w:val="28"/>
          <w:highlight w:val="none"/>
        </w:rPr>
      </w:pPr>
      <w:r>
        <w:rPr>
          <w:rFonts w:hint="eastAsia" w:ascii="仿宋_GB2312" w:eastAsia="仿宋_GB2312" w:hAnsiTheme="minorEastAsia" w:cstheme="minorEastAsia"/>
          <w:bCs/>
          <w:sz w:val="28"/>
          <w:szCs w:val="28"/>
          <w:highlight w:val="none"/>
        </w:rPr>
        <w:t>公司的各项规章制度：【</w:t>
      </w:r>
      <w:r>
        <w:rPr>
          <w:rFonts w:hint="eastAsia" w:ascii="仿宋_GB2312" w:eastAsia="仿宋_GB2312" w:hAnsiTheme="minorEastAsia" w:cstheme="minorEastAsia"/>
          <w:color w:val="C00000"/>
          <w:sz w:val="28"/>
          <w:szCs w:val="28"/>
          <w:highlight w:val="none"/>
          <w:lang w:val="en-US" w:eastAsia="zh-CN"/>
        </w:rPr>
        <w:t xml:space="preserve">    </w:t>
      </w:r>
      <w:r>
        <w:rPr>
          <w:rFonts w:hint="eastAsia" w:ascii="仿宋_GB2312" w:eastAsia="仿宋_GB2312" w:hAnsiTheme="minorEastAsia" w:cstheme="minorEastAsia"/>
          <w:b/>
          <w:bCs/>
          <w:sz w:val="28"/>
          <w:szCs w:val="28"/>
          <w:highlight w:val="none"/>
        </w:rPr>
        <w:t>】</w:t>
      </w:r>
    </w:p>
    <w:p w14:paraId="522E085B">
      <w:pPr>
        <w:spacing w:line="480" w:lineRule="exact"/>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第二条：本协议的期限自分包工程开工之日起至分包工程质量保修期结束止。</w:t>
      </w:r>
    </w:p>
    <w:p w14:paraId="19C57F77">
      <w:pPr>
        <w:spacing w:line="480" w:lineRule="exact"/>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第三条：质量管理：</w:t>
      </w:r>
    </w:p>
    <w:p w14:paraId="74E7D46E">
      <w:pPr>
        <w:spacing w:line="480" w:lineRule="exact"/>
        <w:ind w:firstLine="492"/>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3.1  项目负责人及专职质量管理人员</w:t>
      </w:r>
    </w:p>
    <w:p w14:paraId="156A98B6">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甲方委派【</w:t>
      </w:r>
      <w:bookmarkStart w:id="90" w:name="mf_jiafangshoujianren_f47b10d8-de63-4758-8c6f-ee2728516594_2"/>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bookmarkEnd w:id="90"/>
      <w:r>
        <w:rPr>
          <w:rFonts w:hint="eastAsia" w:ascii="仿宋_GB2312" w:eastAsia="仿宋_GB2312" w:hAnsiTheme="minorEastAsia" w:cstheme="minorEastAsia"/>
          <w:bCs/>
          <w:sz w:val="28"/>
          <w:szCs w:val="28"/>
          <w:highlight w:val="none"/>
        </w:rPr>
        <w:t>】为甲方现场代表（身份证号：【</w:t>
      </w:r>
      <w:bookmarkStart w:id="91" w:name="mf_jiafangxiangmujinglishenfenzhenghao_855a6873-1a59-4fb7-a6d5-3a195a61973c_1"/>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bookmarkEnd w:id="91"/>
      <w:r>
        <w:rPr>
          <w:rFonts w:hint="eastAsia" w:ascii="仿宋_GB2312" w:eastAsia="仿宋_GB2312" w:hAnsiTheme="minorEastAsia" w:cstheme="minorEastAsia"/>
          <w:bCs/>
          <w:sz w:val="28"/>
          <w:szCs w:val="28"/>
          <w:highlight w:val="none"/>
        </w:rPr>
        <w:t>】）、【</w:t>
      </w:r>
      <w:bookmarkStart w:id="92" w:name="mf_jiafangzhijianyuanxingming_5b1f73a9-40b7-4eeb-ae5a-874e7e812a4b_1"/>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bookmarkEnd w:id="92"/>
      <w:r>
        <w:rPr>
          <w:rFonts w:hint="eastAsia" w:ascii="仿宋_GB2312" w:eastAsia="仿宋_GB2312" w:hAnsiTheme="minorEastAsia" w:cstheme="minorEastAsia"/>
          <w:bCs/>
          <w:sz w:val="28"/>
          <w:szCs w:val="28"/>
          <w:highlight w:val="none"/>
        </w:rPr>
        <w:t>】为质量检查员（身份证号：【</w:t>
      </w:r>
      <w:bookmarkStart w:id="93" w:name="mf_jiafangzhijianyuanshenfenzhenghao_d22d4ba2-752f-4324-b2f6-a54d759e03ab_1"/>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bookmarkEnd w:id="93"/>
      <w:r>
        <w:rPr>
          <w:rFonts w:hint="eastAsia" w:ascii="仿宋_GB2312" w:eastAsia="仿宋_GB2312" w:hAnsiTheme="minorEastAsia" w:cstheme="minorEastAsia"/>
          <w:bCs/>
          <w:sz w:val="28"/>
          <w:szCs w:val="28"/>
          <w:highlight w:val="none"/>
        </w:rPr>
        <w:t>】），代表甲方对工程质量进行全面管理。</w:t>
      </w:r>
    </w:p>
    <w:p w14:paraId="52ED037F">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乙方委派【</w:t>
      </w:r>
      <w:bookmarkStart w:id="94" w:name="mf_yifangxianchangdaibiao_d5260af5-a98f-414c-88a6-0cf55b9a01d3_2"/>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bookmarkEnd w:id="94"/>
      <w:r>
        <w:rPr>
          <w:rFonts w:hint="eastAsia" w:ascii="仿宋_GB2312" w:eastAsia="仿宋_GB2312" w:hAnsiTheme="minorEastAsia" w:cstheme="minorEastAsia"/>
          <w:bCs/>
          <w:sz w:val="28"/>
          <w:szCs w:val="28"/>
          <w:highlight w:val="none"/>
        </w:rPr>
        <w:t>】为乙方现场代表（身份证号：【</w:t>
      </w:r>
      <w:bookmarkStart w:id="95" w:name="mf_yifangxianchangdaibiaoshenfenzheng_b57e0d14-1b0c-4d3a-a37d-1614dc4f1b33_1"/>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bookmarkEnd w:id="95"/>
      <w:r>
        <w:rPr>
          <w:rFonts w:hint="eastAsia" w:ascii="仿宋_GB2312" w:eastAsia="仿宋_GB2312" w:hAnsiTheme="minorEastAsia" w:cstheme="minorEastAsia"/>
          <w:bCs/>
          <w:sz w:val="28"/>
          <w:szCs w:val="28"/>
          <w:highlight w:val="none"/>
        </w:rPr>
        <w:t>】）、【</w:t>
      </w:r>
      <w:bookmarkStart w:id="96" w:name="mf_yifangzhijianyuanxingming_5a96200b-dbff-487a-9e42-3e81849fbd57_1"/>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bookmarkEnd w:id="96"/>
      <w:r>
        <w:rPr>
          <w:rFonts w:hint="eastAsia" w:ascii="仿宋_GB2312" w:eastAsia="仿宋_GB2312" w:hAnsiTheme="minorEastAsia" w:cstheme="minorEastAsia"/>
          <w:bCs/>
          <w:sz w:val="28"/>
          <w:szCs w:val="28"/>
          <w:highlight w:val="none"/>
        </w:rPr>
        <w:t>】为质量检查员（身份证号：【</w:t>
      </w:r>
      <w:bookmarkStart w:id="97" w:name="mf_yifangzhijianyuanshenfenzhenghao_0147c7e9-c9e9-4e30-b17a-972a8e82f07a_1"/>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bookmarkEnd w:id="97"/>
      <w:r>
        <w:rPr>
          <w:rFonts w:hint="eastAsia" w:ascii="仿宋_GB2312" w:eastAsia="仿宋_GB2312" w:hAnsiTheme="minorEastAsia" w:cstheme="minorEastAsia"/>
          <w:bCs/>
          <w:sz w:val="28"/>
          <w:szCs w:val="28"/>
          <w:highlight w:val="none"/>
        </w:rPr>
        <w:t>】），代表乙方对工程质量进行全面管理。</w:t>
      </w:r>
    </w:p>
    <w:p w14:paraId="69DA460B">
      <w:pPr>
        <w:spacing w:line="480" w:lineRule="exact"/>
        <w:ind w:firstLine="49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甲方技术质量部门对工程质量的控制过程进行监督检查。</w:t>
      </w:r>
    </w:p>
    <w:p w14:paraId="5C407F97">
      <w:pPr>
        <w:spacing w:line="480" w:lineRule="exact"/>
        <w:ind w:firstLine="49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乙方进场后，不按要求配备专职质量管理人员的，限七日内改正，逾期不改的，每缺少一人，按照【5000】元/天承担违约金。乙方进行专职质量管理人员变动（更换或调离）必须得到甲方现场代表事先同意并书面确认，否则按缺少人员承担违约金。</w:t>
      </w:r>
    </w:p>
    <w:p w14:paraId="33197FEF">
      <w:pPr>
        <w:spacing w:line="480" w:lineRule="exact"/>
        <w:ind w:firstLine="492"/>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3.2  本项目质量管理目标</w:t>
      </w:r>
    </w:p>
    <w:p w14:paraId="62EA19EA">
      <w:pPr>
        <w:spacing w:line="480" w:lineRule="exact"/>
        <w:ind w:firstLine="49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3.2.1  工程质量目标：合格、创【</w:t>
      </w:r>
      <w:bookmarkStart w:id="98" w:name="mf_zhiliangyaoqiu_f5e661e6-6d47-4bb8-a892-c9303f9f7e71_1"/>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bookmarkEnd w:id="98"/>
      <w:r>
        <w:rPr>
          <w:rFonts w:hint="eastAsia" w:ascii="仿宋_GB2312" w:eastAsia="仿宋_GB2312" w:hAnsiTheme="minorEastAsia" w:cstheme="minorEastAsia"/>
          <w:bCs/>
          <w:sz w:val="28"/>
          <w:szCs w:val="28"/>
          <w:highlight w:val="none"/>
        </w:rPr>
        <w:t>】工程（如国优、鲁班奖、詹天佑奖等，最高创优目标）</w:t>
      </w:r>
    </w:p>
    <w:p w14:paraId="5F10C641">
      <w:pPr>
        <w:spacing w:line="480" w:lineRule="exact"/>
        <w:ind w:firstLine="49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3.2.2  土建质量目标：【</w:t>
      </w:r>
      <w:bookmarkStart w:id="99" w:name="mf_tujianzhiliangmubiao_68995083-ad3a-450b-a201-a5366aabdea8_1"/>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bookmarkEnd w:id="99"/>
      <w:r>
        <w:rPr>
          <w:rFonts w:hint="eastAsia" w:ascii="仿宋_GB2312" w:eastAsia="仿宋_GB2312" w:hAnsiTheme="minorEastAsia" w:cstheme="minorEastAsia"/>
          <w:bCs/>
          <w:sz w:val="28"/>
          <w:szCs w:val="28"/>
          <w:highlight w:val="none"/>
        </w:rPr>
        <w:t>】优质结构奖</w:t>
      </w:r>
    </w:p>
    <w:p w14:paraId="0AD8B6D0">
      <w:pPr>
        <w:spacing w:line="480" w:lineRule="exact"/>
        <w:ind w:firstLine="49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3.2.3  钢结构专业目标：【</w:t>
      </w:r>
      <w:bookmarkStart w:id="100" w:name="mf_gangjiegouzhuanyezhiliangmubiao_2a2c3c34-9bbf-4d56-948c-c8370fc7dcb5_1"/>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bookmarkEnd w:id="100"/>
      <w:r>
        <w:rPr>
          <w:rFonts w:hint="eastAsia" w:ascii="仿宋_GB2312" w:eastAsia="仿宋_GB2312" w:hAnsiTheme="minorEastAsia" w:cstheme="minorEastAsia"/>
          <w:bCs/>
          <w:sz w:val="28"/>
          <w:szCs w:val="28"/>
          <w:highlight w:val="none"/>
        </w:rPr>
        <w:t>】奖</w:t>
      </w:r>
    </w:p>
    <w:p w14:paraId="11302E4C">
      <w:pPr>
        <w:spacing w:line="480" w:lineRule="exact"/>
        <w:ind w:firstLine="49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3.2.4  装饰装修目标：【</w:t>
      </w:r>
      <w:bookmarkStart w:id="101" w:name="mf_zhuangshizhuangxiuzhiliangmubiao_1731e1da-8e2f-44ed-8a72-5512330aa942_1"/>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bookmarkEnd w:id="101"/>
      <w:r>
        <w:rPr>
          <w:rFonts w:hint="eastAsia" w:ascii="仿宋_GB2312" w:eastAsia="仿宋_GB2312" w:hAnsiTheme="minorEastAsia" w:cstheme="minorEastAsia"/>
          <w:bCs/>
          <w:sz w:val="28"/>
          <w:szCs w:val="28"/>
          <w:highlight w:val="none"/>
        </w:rPr>
        <w:t>】优质工程奖</w:t>
      </w:r>
    </w:p>
    <w:p w14:paraId="598AA780">
      <w:pPr>
        <w:spacing w:line="480" w:lineRule="exact"/>
        <w:ind w:firstLine="49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3.2.5  安装专业目标：【</w:t>
      </w:r>
      <w:bookmarkStart w:id="102" w:name="mf_anzhuangzhuanyezhiliangmubiao_1e071fa1-744b-4c93-a964-38c13695f5da_1"/>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bookmarkEnd w:id="102"/>
      <w:r>
        <w:rPr>
          <w:rFonts w:hint="eastAsia" w:ascii="仿宋_GB2312" w:eastAsia="仿宋_GB2312" w:hAnsiTheme="minorEastAsia" w:cstheme="minorEastAsia"/>
          <w:bCs/>
          <w:sz w:val="28"/>
          <w:szCs w:val="28"/>
          <w:highlight w:val="none"/>
        </w:rPr>
        <w:t>】奖</w:t>
      </w:r>
    </w:p>
    <w:p w14:paraId="1E79BB2F">
      <w:pPr>
        <w:spacing w:line="480" w:lineRule="exact"/>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
          <w:sz w:val="28"/>
          <w:szCs w:val="28"/>
          <w:highlight w:val="none"/>
        </w:rPr>
        <w:t>第四条：甲方责任及义务：</w:t>
      </w:r>
    </w:p>
    <w:p w14:paraId="17565B19">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4.1  甲方负责施工现场工程质量的统一管理，负责监督检查乙方在工程质量控制过程中的一切活动。</w:t>
      </w:r>
    </w:p>
    <w:p w14:paraId="3AE7CC3A">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4.2  甲方负责组织协调各单位在工程开工前，编制完成施工组织总设计及工程质量保证措施、创优策划、验收程序等，并进行现场指导。</w:t>
      </w:r>
    </w:p>
    <w:p w14:paraId="13137D8F">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4.3  甲方负责向乙方发放图纸、设计变更等。甲方为乙方提供每个楼层（按楼座或功能分区考虑）的标高、定位的基准点（线），乙方应严格按甲方提供的标高、定位的基准点（线）进行工程细部放线。</w:t>
      </w:r>
    </w:p>
    <w:p w14:paraId="10602244">
      <w:pPr>
        <w:spacing w:line="480" w:lineRule="exact"/>
        <w:ind w:firstLine="560"/>
        <w:rPr>
          <w:rFonts w:ascii="仿宋_GB2312" w:eastAsia="仿宋_GB2312" w:hAnsiTheme="minorEastAsia" w:cstheme="minorEastAsia"/>
          <w:b/>
          <w:bCs/>
          <w:sz w:val="28"/>
          <w:szCs w:val="28"/>
          <w:highlight w:val="none"/>
        </w:rPr>
      </w:pPr>
      <w:r>
        <w:rPr>
          <w:rFonts w:hint="eastAsia" w:ascii="仿宋_GB2312" w:eastAsia="仿宋_GB2312" w:hAnsiTheme="minorEastAsia" w:cstheme="minorEastAsia"/>
          <w:bCs/>
          <w:sz w:val="28"/>
          <w:szCs w:val="28"/>
          <w:highlight w:val="none"/>
        </w:rPr>
        <w:t>4.4  甲方在施工过程中，发现乙方不按设计图纸、施工方案、技术交底组织施工，违章操作，严重危害工程质量时，有权要求立即停止施工，并对乙方进行经济处罚；</w:t>
      </w:r>
      <w:r>
        <w:rPr>
          <w:rFonts w:hint="eastAsia" w:ascii="仿宋_GB2312" w:eastAsia="仿宋_GB2312" w:hAnsiTheme="minorEastAsia" w:cstheme="minorEastAsia"/>
          <w:b/>
          <w:bCs/>
          <w:sz w:val="28"/>
          <w:szCs w:val="28"/>
          <w:highlight w:val="none"/>
        </w:rPr>
        <w:t>情节严重的，甲方有权终止合同。</w:t>
      </w:r>
    </w:p>
    <w:p w14:paraId="6F223A6D">
      <w:pPr>
        <w:spacing w:line="480" w:lineRule="exact"/>
        <w:ind w:firstLine="560"/>
        <w:rPr>
          <w:rFonts w:ascii="仿宋_GB2312" w:eastAsia="仿宋_GB2312" w:hAnsiTheme="minorEastAsia" w:cstheme="minorEastAsia"/>
          <w:b/>
          <w:bCs/>
          <w:sz w:val="28"/>
          <w:szCs w:val="28"/>
          <w:highlight w:val="none"/>
        </w:rPr>
      </w:pPr>
      <w:r>
        <w:rPr>
          <w:rFonts w:hint="eastAsia" w:ascii="仿宋_GB2312" w:eastAsia="仿宋_GB2312" w:hAnsiTheme="minorEastAsia" w:cstheme="minorEastAsia"/>
          <w:bCs/>
          <w:sz w:val="28"/>
          <w:szCs w:val="28"/>
          <w:highlight w:val="none"/>
        </w:rPr>
        <w:t>4.5  经甲方质检员口头要求，或下发整改通知单后，未整改或整改后达不到合格标准的，甲方有权按照甲方项目部所制订的《工程项目质量奖罚管理规定》进行质量罚款，对质量管理较好的项目根据质量评比情况进行奖励，质量奖罚由甲方向乙方出具书面质量奖罚单。</w:t>
      </w:r>
      <w:r>
        <w:rPr>
          <w:rFonts w:hint="eastAsia" w:ascii="仿宋_GB2312" w:eastAsia="仿宋_GB2312" w:hAnsiTheme="minorEastAsia" w:cstheme="minorEastAsia"/>
          <w:b/>
          <w:bCs/>
          <w:sz w:val="28"/>
          <w:szCs w:val="28"/>
          <w:highlight w:val="none"/>
        </w:rPr>
        <w:t>对于甲方出具的罚款通知单，以罚款通知单下发之日为生效之日。</w:t>
      </w:r>
    </w:p>
    <w:p w14:paraId="4D80CA48">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4.6  甲方有权对乙方未经自检的工程拒绝验收，由此产生的费用由乙方自行承担。</w:t>
      </w:r>
    </w:p>
    <w:p w14:paraId="11AE32D7">
      <w:pPr>
        <w:spacing w:line="480" w:lineRule="exact"/>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第五条：乙方的责任及义务</w:t>
      </w:r>
    </w:p>
    <w:p w14:paraId="674DA2C8">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5.1  乙方必须遵守甲方相关质量管理制度。</w:t>
      </w:r>
    </w:p>
    <w:p w14:paraId="2DD1EA7D">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5.2  乙方在施工过程中必须严格按照设计图纸、现行有效规程、规范施工，工程质量必须达到本协议约定的质量目标。</w:t>
      </w:r>
    </w:p>
    <w:p w14:paraId="6F200230">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5.3  在工程开工前，乙方须建立健全现场质量管理体系，并将质量管理体系、质量保证措施等报甲方确认备案。乙方备案质量管理人员必须与在现场质量管理人员相符，必须持证上岗。</w:t>
      </w:r>
    </w:p>
    <w:p w14:paraId="28610AA8">
      <w:pPr>
        <w:spacing w:line="480" w:lineRule="exact"/>
        <w:ind w:firstLine="560"/>
        <w:rPr>
          <w:rFonts w:ascii="仿宋_GB2312" w:eastAsia="仿宋_GB2312" w:hAnsiTheme="minorEastAsia" w:cstheme="minorEastAsia"/>
          <w:b/>
          <w:bCs/>
          <w:sz w:val="28"/>
          <w:szCs w:val="28"/>
          <w:highlight w:val="none"/>
        </w:rPr>
      </w:pPr>
      <w:r>
        <w:rPr>
          <w:rFonts w:hint="eastAsia" w:ascii="仿宋_GB2312" w:eastAsia="仿宋_GB2312" w:hAnsiTheme="minorEastAsia" w:cstheme="minorEastAsia"/>
          <w:bCs/>
          <w:sz w:val="28"/>
          <w:szCs w:val="28"/>
          <w:highlight w:val="none"/>
        </w:rPr>
        <w:t>5.4  乙方必须按照</w:t>
      </w:r>
      <w:r>
        <w:rPr>
          <w:rFonts w:hint="eastAsia" w:ascii="仿宋_GB2312" w:eastAsia="仿宋_GB2312" w:hAnsiTheme="minorEastAsia" w:cstheme="minorEastAsia"/>
          <w:b/>
          <w:bCs/>
          <w:sz w:val="28"/>
          <w:szCs w:val="28"/>
          <w:highlight w:val="none"/>
        </w:rPr>
        <w:t>甲方的“样板引路”制度</w:t>
      </w:r>
      <w:r>
        <w:rPr>
          <w:rFonts w:hint="eastAsia" w:ascii="仿宋_GB2312" w:eastAsia="仿宋_GB2312" w:hAnsiTheme="minorEastAsia" w:cstheme="minorEastAsia"/>
          <w:bCs/>
          <w:sz w:val="28"/>
          <w:szCs w:val="28"/>
          <w:highlight w:val="none"/>
        </w:rPr>
        <w:t>进行施工，任何分项工程施工前，乙方要先做好样板，经甲方、监理或建设单位验收批准后方可大面积施工，未经验收批准不得进行大面积施工；</w:t>
      </w:r>
      <w:r>
        <w:rPr>
          <w:rFonts w:hint="eastAsia" w:ascii="仿宋_GB2312" w:eastAsia="仿宋_GB2312" w:hAnsiTheme="minorEastAsia" w:cstheme="minorEastAsia"/>
          <w:b/>
          <w:bCs/>
          <w:sz w:val="28"/>
          <w:szCs w:val="28"/>
          <w:highlight w:val="none"/>
        </w:rPr>
        <w:t>无样板验收而擅自施工的分项工程，不计入乙方工程量。</w:t>
      </w:r>
    </w:p>
    <w:p w14:paraId="3998A68F">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5.5  乙方班组进入现场施工前，乙方班组长必须对工人进行技术交底。乙方项目专业技术负责人自行组织对专项施工作业人员进行操作交底。内容应符合现行、有效的各类法规、规范及文件、甲方项目部技术质量要求，交底材料和内容应签字并交甲方项目部备案。</w:t>
      </w:r>
    </w:p>
    <w:p w14:paraId="7516EC93">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5.6  乙方在施工过程中必须严格按照施工组织设计及方案、技术交底施工，要随时接受政府、建设单位、监理、甲方的质量监督检查。</w:t>
      </w:r>
    </w:p>
    <w:p w14:paraId="53EE0FA8">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 xml:space="preserve">5.7  施工过程各阶段要严格执行自检、互检、交接检制度，逐道工序由操作和验收人员签字确认。乙方不按要求落实自检、互检、交接检制度并填报相应资料的，按照【5000】元/次承担违约金。乙方不履行质量交接检查程序，擅自进行下一道工序施工的按照【 </w:t>
      </w:r>
      <w:r>
        <w:rPr>
          <w:rFonts w:ascii="仿宋_GB2312" w:eastAsia="仿宋_GB2312" w:hAnsiTheme="minorEastAsia" w:cstheme="minorEastAsia"/>
          <w:bCs/>
          <w:sz w:val="28"/>
          <w:szCs w:val="28"/>
          <w:highlight w:val="none"/>
        </w:rPr>
        <w:t xml:space="preserve"> </w:t>
      </w:r>
      <w:r>
        <w:rPr>
          <w:rFonts w:hint="eastAsia" w:ascii="仿宋_GB2312" w:eastAsia="仿宋_GB2312" w:hAnsiTheme="minorEastAsia" w:cstheme="minorEastAsia"/>
          <w:bCs/>
          <w:sz w:val="28"/>
          <w:szCs w:val="28"/>
          <w:highlight w:val="none"/>
        </w:rPr>
        <w:t>】元/次承担违约金。</w:t>
      </w:r>
    </w:p>
    <w:p w14:paraId="5BD7D2ED">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5.8  工程的隐蔽工程、检验批等验收，乙方自检合格后，报甲方验收，乙方质检员、乙方技术人员参加验收，监理确认后签字。过程验收检验不合格时，甲方质检员行使否决权，检验验收不予通过。乙方要服从甲方质检员的意见组织返修，直至合格后，重新组织检验验收。</w:t>
      </w:r>
    </w:p>
    <w:p w14:paraId="22EA65CB">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5.9  未经验收合格，不得擅自进入下道工序施工，否则，责令其拆除并无条件重新施工，所发生的费用及损失，均由乙方承担，并对相关人员进行罚款处理。</w:t>
      </w:r>
    </w:p>
    <w:p w14:paraId="6EC37C3C">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5.10  乙方必须配合甲方和监理工程师做好验收工作，及时处理验收过程中存在的问题。</w:t>
      </w:r>
    </w:p>
    <w:p w14:paraId="4951F28D">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5.11  工程实体在具备实测实量条件后一周内乙方应完成实测实量工作，并对工程实体实测实量数据进行统计，查找问题、分析原因和制定改进措施，逐步提高实测实量合格率。对连续三次实体质量实测实量合格率低于80%的乙方要被清理出场。</w:t>
      </w:r>
    </w:p>
    <w:p w14:paraId="43D6E529">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5.12  乙方在施工过程中，必须服从甲方的质量管理，按时参加甲方组织的质量检查和质量专题会议，接受甲方的质量罚款，并对质量问题按甲方的要求及时整改，直至达到合格标准；</w:t>
      </w:r>
    </w:p>
    <w:p w14:paraId="4EF61EFC">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5.13  如出现质量问题或严重缺陷，乙方要及时通知甲方，不得隐瞒，必须按处理措施或方案进行整改，严禁私自处理。</w:t>
      </w:r>
    </w:p>
    <w:p w14:paraId="58617524">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5.14  当甲方要求对已经隐蔽的工程重新检验时，乙方应按要求进行剥离或开孔，并在检验后重新覆盖或修复。</w:t>
      </w:r>
    </w:p>
    <w:p w14:paraId="303F18BC">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5.15  乙方符合甲方《工程项目质量奖罚管理规定》奖励条款的，有权获得奖励。</w:t>
      </w:r>
    </w:p>
    <w:p w14:paraId="3255C087">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5.16  对于甲方不按协议或规范要求违章指挥，乙方有权拒绝进行施工。</w:t>
      </w:r>
    </w:p>
    <w:p w14:paraId="4694A3EF">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5.17  材料、设备进场验收必须按照要求进行验收，严禁材料、设备未经验收而进场使用。乙方施工现场的检验、试验、测量器具应按有关规定使用、管理和校验，并建立台账报甲方现场技术管理部门备案，严禁使用未经鉴定或鉴定不合格的试检验及测量设备。</w:t>
      </w:r>
    </w:p>
    <w:p w14:paraId="5EFD112F">
      <w:pPr>
        <w:spacing w:line="480" w:lineRule="exact"/>
        <w:ind w:firstLine="562"/>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第六条：违反规定的处罚细则</w:t>
      </w:r>
    </w:p>
    <w:p w14:paraId="5E8F3207">
      <w:pPr>
        <w:spacing w:line="480" w:lineRule="exact"/>
        <w:ind w:left="42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6.1  违反建设工程强制性条文规定，每次处罚2000元。</w:t>
      </w:r>
    </w:p>
    <w:p w14:paraId="7C366956">
      <w:pPr>
        <w:spacing w:line="480" w:lineRule="exact"/>
        <w:ind w:left="42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6.2  不按设计图进行施工或擅自改变设计图纸施工的，处罚5000元/次。</w:t>
      </w:r>
    </w:p>
    <w:p w14:paraId="6B7AF1A2">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6.3  违反施工方案、技术交底要求野蛮施工，处罚2000元/次。造成质量与安全隐患的按照5000元/次承担违约金，并且承担相应的经济损失。</w:t>
      </w:r>
    </w:p>
    <w:p w14:paraId="6BEE5303">
      <w:pPr>
        <w:spacing w:line="480" w:lineRule="exact"/>
        <w:ind w:left="42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6.4  分项工程（工序）未经验收而擅自进行下道工序施工的，处罚1000元/次。</w:t>
      </w:r>
    </w:p>
    <w:p w14:paraId="072B4D6C">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6.5  未落实“三检”验收制度，处罚500元/次，未经自检合格报验的，处罚500元/次。</w:t>
      </w:r>
    </w:p>
    <w:p w14:paraId="2D725FC5">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6.6  分包材料进场前必须按要求进行报验，未按程序报验或使用不合格材料的，罚款1000～5000元/次。</w:t>
      </w:r>
    </w:p>
    <w:p w14:paraId="08259F3B">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6.7  乙方违背合同约定，材料以次充好，检验弄虚作假，施工偷工减料，将不合格物资用于工程的按照5000-20000元/次承担违约金，并且承担相应经济损失。</w:t>
      </w:r>
    </w:p>
    <w:p w14:paraId="2D18DF16">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6.8  未经事先书面同意擅自修补，隐瞒施工质量问题，处罚1000～2000元/处。</w:t>
      </w:r>
    </w:p>
    <w:p w14:paraId="6D8132F3">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6.9  出现质量问题未及时按甲方要求进行整改或修复，处罚1000元/次。</w:t>
      </w:r>
    </w:p>
    <w:p w14:paraId="6172BB30">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6.10  不服从甲方及上级单位质量管理和要求，处罚2000元/次。</w:t>
      </w:r>
    </w:p>
    <w:p w14:paraId="0DF34770">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6.11  未按时参加甲方组织的验收和检查，处罚2000元/次。</w:t>
      </w:r>
    </w:p>
    <w:p w14:paraId="23D3A3B3">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6.12  对质量整改通知单必须在限定时间内整改及书面回复（回复附整改后照片），如不按要求整改或不落实整改，处罚500～2000元/次。</w:t>
      </w:r>
    </w:p>
    <w:p w14:paraId="7EEFCD60">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6.13  连续两次出现同种质量问题，每增加一次罚款金额增加1000～2000元（以甲方发出的质量整改通知单中存在的问题为准）。</w:t>
      </w:r>
    </w:p>
    <w:p w14:paraId="2F6317EE">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6.14  施工样板未经确认而大面积施工或未按照要求进行样板施工的，处罚2000元。</w:t>
      </w:r>
    </w:p>
    <w:p w14:paraId="2B95D87F">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6.15  未按规定对施工成品采取保护措施，根据损坏程度赔偿，并处罚500～1000元/处。</w:t>
      </w:r>
    </w:p>
    <w:p w14:paraId="2153112F">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6.16  甲方发出的质量整改通知单，必须及时落实整改，如发现班组反应缓慢或者不落实整改，每次处罚500～3000元。</w:t>
      </w:r>
    </w:p>
    <w:p w14:paraId="5AE3E0F7">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6.17 因质量原因出现以下情形的，乙方按照下述承担违约责任。</w:t>
      </w:r>
    </w:p>
    <w:p w14:paraId="27D1D56B">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1、被建设单位、甲方公司及其上级单位质量检查通报排名倒数后两名的，乙方按照3000～5000元/次承担违约金。同一项目，被连续通报倒数后两名的，违约金加倍。</w:t>
      </w:r>
    </w:p>
    <w:p w14:paraId="7CA9CD10">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2、被建设单位投诉到公司及其上级单位主管部门的，乙方按照10000～50000元/次承担违约金。同一项目，半年期内连续被投诉，违约金加倍。</w:t>
      </w:r>
    </w:p>
    <w:p w14:paraId="4B7C4847">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3、被新闻媒体曝光的，乙方按照20000～100000元/次承担违约金。</w:t>
      </w:r>
    </w:p>
    <w:p w14:paraId="45A5E2FC">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4、被政府主管部门行政处罚的，分包单位除按处罚金额交款外，另外按照罚款金额的两倍承担违约金。</w:t>
      </w:r>
    </w:p>
    <w:p w14:paraId="7201B2DD">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5、被政府主管部门责令停工、限制投标以及降低资质的，乙方按照100000～500000元/次承担违约金。</w:t>
      </w:r>
    </w:p>
    <w:p w14:paraId="1A3A8DCC">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6、被国家、地方政府建设主管部门在执法检查中典型通报，违反国家强制性标准，或质量较差造成恶劣影响的，乙方按照100000～500000元/次承担违约金。</w:t>
      </w:r>
    </w:p>
    <w:p w14:paraId="5F9BC429">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6.18发生质量事故的，乙方按照下述承担违约责任。</w:t>
      </w:r>
    </w:p>
    <w:p w14:paraId="694E254D">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1、特别重大质量事故</w:t>
      </w:r>
    </w:p>
    <w:p w14:paraId="0FB7340F">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特别重大质量事故的直接责任人应依法追究其刑事责任及民事责任。乙方按照500000～1000000元/次承担违约金。</w:t>
      </w:r>
    </w:p>
    <w:p w14:paraId="7FAD7EA8">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2、重大质量事故</w:t>
      </w:r>
    </w:p>
    <w:p w14:paraId="3B13C29D">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重大质量事故的直接责任人应依法追究其刑事责任及民事责任。乙方按照100000～200000元/次承担违约金。</w:t>
      </w:r>
    </w:p>
    <w:p w14:paraId="5DE409EB">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3、较大质量事故</w:t>
      </w:r>
    </w:p>
    <w:p w14:paraId="35EE9C6C">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较大质量事故的直接责任人应依法追究其民事责任，因事故造成人员死亡时应依法追究其刑事责任。乙方按照50000～200000元/次承担违约金。</w:t>
      </w:r>
    </w:p>
    <w:p w14:paraId="6EB94E01">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4、一般质量事故</w:t>
      </w:r>
    </w:p>
    <w:p w14:paraId="661F1D65">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一般质量事故的直接责任人违约金额度不应低于事故直接经济损失的5%，亦不应低于100000元。乙方按照10000～50000元/次承担违约金。</w:t>
      </w:r>
    </w:p>
    <w:p w14:paraId="031DEF32">
      <w:pPr>
        <w:spacing w:line="480" w:lineRule="exact"/>
        <w:ind w:firstLine="562"/>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注：上述罚款行为视为乙方的违约行为，罚款视为乙方应支付的违约金，甲方可选择在当期工程款中扣除，也可在最终结算后在应支付乙方工程款中扣除。</w:t>
      </w:r>
    </w:p>
    <w:p w14:paraId="3933BE6C">
      <w:pPr>
        <w:spacing w:line="480" w:lineRule="exact"/>
        <w:ind w:firstLine="56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b/>
          <w:sz w:val="28"/>
          <w:szCs w:val="28"/>
          <w:highlight w:val="none"/>
        </w:rPr>
        <w:t>第七条：</w:t>
      </w:r>
      <w:r>
        <w:rPr>
          <w:rFonts w:hint="eastAsia" w:ascii="仿宋_GB2312" w:eastAsia="仿宋_GB2312" w:hAnsiTheme="minorEastAsia" w:cstheme="minorEastAsia"/>
          <w:bCs/>
          <w:sz w:val="28"/>
          <w:szCs w:val="28"/>
          <w:highlight w:val="none"/>
        </w:rPr>
        <w:t>本协议作为附件与分包合同同时签订，自乙方于分包合同盖章之日起生效，乙方必须严格执行，由于乙方违反本协议而造成质量问题，由乙方承担经济损失。</w:t>
      </w:r>
    </w:p>
    <w:p w14:paraId="340FEF35">
      <w:pPr>
        <w:rPr>
          <w:rFonts w:asciiTheme="minorEastAsia" w:hAnsiTheme="minorEastAsia" w:cstheme="minorEastAsia"/>
          <w:szCs w:val="21"/>
          <w:highlight w:val="none"/>
        </w:rPr>
      </w:pPr>
    </w:p>
    <w:p w14:paraId="16896285">
      <w:pPr>
        <w:rPr>
          <w:rFonts w:asciiTheme="minorEastAsia" w:hAnsiTheme="minorEastAsia" w:cstheme="minorEastAsia"/>
          <w:szCs w:val="21"/>
          <w:highlight w:val="none"/>
        </w:rPr>
      </w:pPr>
    </w:p>
    <w:p w14:paraId="490B8E02">
      <w:pPr>
        <w:rPr>
          <w:rFonts w:asciiTheme="minorEastAsia" w:hAnsiTheme="minorEastAsia" w:cstheme="minorEastAsia"/>
          <w:b/>
          <w:bCs/>
          <w:sz w:val="24"/>
          <w:highlight w:val="none"/>
        </w:rPr>
      </w:pPr>
      <w:r>
        <w:rPr>
          <w:rFonts w:hint="eastAsia" w:asciiTheme="minorEastAsia" w:hAnsiTheme="minorEastAsia" w:cstheme="minorEastAsia"/>
          <w:b/>
          <w:bCs/>
          <w:sz w:val="24"/>
          <w:highlight w:val="none"/>
        </w:rPr>
        <w:br w:type="page" w:clear="all"/>
      </w:r>
    </w:p>
    <w:p w14:paraId="76901172">
      <w:pPr>
        <w:pStyle w:val="6"/>
        <w:spacing w:before="156" w:after="156"/>
        <w:ind w:left="0" w:firstLine="562"/>
        <w:rPr>
          <w:rFonts w:hint="eastAsia"/>
          <w:highlight w:val="none"/>
        </w:rPr>
      </w:pPr>
      <w:r>
        <w:rPr>
          <w:rFonts w:hint="eastAsia"/>
          <w:highlight w:val="none"/>
          <w:u w:val="none"/>
        </w:rPr>
        <w:t>附件</w:t>
      </w:r>
      <w:r>
        <w:rPr>
          <w:rFonts w:hint="eastAsia"/>
          <w:highlight w:val="none"/>
          <w:u w:val="none"/>
          <w:lang w:val="en-US" w:eastAsia="zh-CN"/>
        </w:rPr>
        <w:t>7</w:t>
      </w:r>
      <w:r>
        <w:rPr>
          <w:rFonts w:hint="eastAsia"/>
          <w:highlight w:val="none"/>
          <w:u w:val="none"/>
        </w:rPr>
        <w:t xml:space="preserve">  施工现场安全生产管理协议</w:t>
      </w:r>
    </w:p>
    <w:p w14:paraId="6EA4D668">
      <w:pPr>
        <w:spacing w:line="480" w:lineRule="exact"/>
        <w:ind w:firstLine="562"/>
        <w:rPr>
          <w:rFonts w:ascii="仿宋_GB2312" w:hAnsi="仿宋_GB2312" w:eastAsia="仿宋_GB2312" w:cs="仿宋_GB2312"/>
          <w:b/>
          <w:color w:val="000000"/>
          <w:sz w:val="28"/>
          <w:szCs w:val="28"/>
          <w:highlight w:val="none"/>
          <w:u w:val="single"/>
        </w:rPr>
      </w:pPr>
      <w:r>
        <w:rPr>
          <w:rFonts w:hint="eastAsia" w:ascii="仿宋_GB2312" w:hAnsi="仿宋_GB2312" w:eastAsia="仿宋_GB2312" w:cs="仿宋_GB2312"/>
          <w:b/>
          <w:color w:val="000000"/>
          <w:sz w:val="28"/>
          <w:szCs w:val="28"/>
          <w:highlight w:val="none"/>
        </w:rPr>
        <w:t>承包人（全称）：【</w:t>
      </w:r>
      <w:bookmarkStart w:id="103" w:name="mf_jiafang_22d9e010-013d-4067-9a84-ea14432fbc6f_5"/>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103"/>
      <w:r>
        <w:rPr>
          <w:rFonts w:hint="eastAsia" w:ascii="仿宋_GB2312" w:hAnsi="仿宋_GB2312" w:eastAsia="仿宋_GB2312" w:cs="仿宋_GB2312"/>
          <w:b/>
          <w:color w:val="000000"/>
          <w:sz w:val="28"/>
          <w:szCs w:val="28"/>
          <w:highlight w:val="none"/>
        </w:rPr>
        <w:t>】（以下简称甲方）</w:t>
      </w:r>
    </w:p>
    <w:p w14:paraId="74EA2EA5">
      <w:pPr>
        <w:spacing w:line="480" w:lineRule="exact"/>
        <w:ind w:firstLine="562"/>
        <w:rPr>
          <w:rFonts w:ascii="仿宋_GB2312" w:hAnsi="仿宋_GB2312" w:eastAsia="仿宋_GB2312" w:cs="仿宋_GB2312"/>
          <w:b/>
          <w:color w:val="000000"/>
          <w:sz w:val="28"/>
          <w:szCs w:val="28"/>
          <w:highlight w:val="none"/>
          <w:u w:val="single"/>
        </w:rPr>
      </w:pPr>
      <w:r>
        <w:rPr>
          <w:rFonts w:hint="eastAsia" w:ascii="仿宋_GB2312" w:hAnsi="仿宋_GB2312" w:eastAsia="仿宋_GB2312" w:cs="仿宋_GB2312"/>
          <w:b/>
          <w:color w:val="000000"/>
          <w:sz w:val="28"/>
          <w:szCs w:val="28"/>
          <w:highlight w:val="none"/>
        </w:rPr>
        <w:t>分包人（全称）：【</w:t>
      </w:r>
      <w:bookmarkStart w:id="104" w:name="mf_yifangmaifangchuzufanggongyingfang_f27d5062-cfa7-44db-bc55-a59e9e707656_5"/>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104"/>
      <w:r>
        <w:rPr>
          <w:rFonts w:hint="eastAsia" w:ascii="仿宋_GB2312" w:hAnsi="仿宋_GB2312" w:eastAsia="仿宋_GB2312" w:cs="仿宋_GB2312"/>
          <w:b/>
          <w:color w:val="000000"/>
          <w:sz w:val="28"/>
          <w:szCs w:val="28"/>
          <w:highlight w:val="none"/>
        </w:rPr>
        <w:t>】（以下简称乙方）</w:t>
      </w:r>
    </w:p>
    <w:p w14:paraId="5060CCAD">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工程名称：【</w:t>
      </w:r>
      <w:bookmarkStart w:id="105" w:name="mf_xiangmumingcheng_9b5eeff3-c2ad-4cc3-bf2c-5e63b0922ee5_4"/>
      <w:r>
        <w:rPr>
          <w:rFonts w:ascii="仿宋_GB2312" w:eastAsia="仿宋_GB2312" w:hAnsiTheme="minorEastAsia" w:cstheme="minorEastAsia"/>
          <w:sz w:val="28"/>
          <w:szCs w:val="28"/>
          <w:highlight w:val="none"/>
          <w:u w:val="single"/>
        </w:rPr>
        <w:tab/>
      </w:r>
      <w:r>
        <w:rPr>
          <w:rFonts w:ascii="仿宋_GB2312" w:eastAsia="仿宋_GB2312" w:hAnsiTheme="minorEastAsia" w:cstheme="minorEastAsia"/>
          <w:sz w:val="28"/>
          <w:szCs w:val="28"/>
          <w:highlight w:val="none"/>
          <w:u w:val="single"/>
        </w:rPr>
        <w:tab/>
      </w:r>
      <w:r>
        <w:rPr>
          <w:rFonts w:ascii="仿宋_GB2312" w:eastAsia="仿宋_GB2312" w:hAnsiTheme="minorEastAsia" w:cstheme="minorEastAsia"/>
          <w:sz w:val="28"/>
          <w:szCs w:val="28"/>
          <w:highlight w:val="none"/>
          <w:u w:val="single"/>
        </w:rPr>
        <w:tab/>
      </w:r>
      <w:r>
        <w:rPr>
          <w:rFonts w:ascii="仿宋_GB2312" w:eastAsia="仿宋_GB2312" w:hAnsiTheme="minorEastAsia" w:cstheme="minorEastAsia"/>
          <w:sz w:val="28"/>
          <w:szCs w:val="28"/>
          <w:highlight w:val="none"/>
          <w:u w:val="single"/>
        </w:rPr>
        <w:tab/>
      </w:r>
      <w:r>
        <w:rPr>
          <w:rFonts w:ascii="仿宋_GB2312" w:eastAsia="仿宋_GB2312" w:hAnsiTheme="minorEastAsia" w:cstheme="minorEastAsia"/>
          <w:sz w:val="28"/>
          <w:szCs w:val="28"/>
          <w:highlight w:val="none"/>
          <w:u w:val="single"/>
        </w:rPr>
        <w:tab/>
      </w:r>
      <w:bookmarkEnd w:id="105"/>
      <w:r>
        <w:rPr>
          <w:rFonts w:hint="eastAsia" w:ascii="仿宋_GB2312" w:eastAsia="仿宋_GB2312" w:hAnsiTheme="minorEastAsia" w:cstheme="minorEastAsia"/>
          <w:sz w:val="28"/>
          <w:szCs w:val="28"/>
          <w:highlight w:val="none"/>
        </w:rPr>
        <w:t>】</w:t>
      </w:r>
    </w:p>
    <w:p w14:paraId="1B0E171A">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工程地点：【</w:t>
      </w:r>
      <w:bookmarkStart w:id="106" w:name="mf_fenbaogongchengdedian_206519df-edf9-4752-a162-7d257521f4f2_2"/>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bookmarkEnd w:id="106"/>
      <w:r>
        <w:rPr>
          <w:rFonts w:hint="eastAsia" w:ascii="仿宋_GB2312" w:eastAsia="仿宋_GB2312" w:hAnsiTheme="minorEastAsia" w:cstheme="minorEastAsia"/>
          <w:sz w:val="28"/>
          <w:szCs w:val="28"/>
          <w:highlight w:val="none"/>
        </w:rPr>
        <w:t>】</w:t>
      </w:r>
    </w:p>
    <w:p w14:paraId="51F0F819">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根据现行的《中华人民共和国安全生产法》《中华人民共和国建筑法》《建筑工程安全生产管理条例》等法律、法规和建筑施工行业安全生产管理标准、规范等，甲、乙双方就本工程现场的安全生产、职业健康、文明施工管理工作达成如下协议。</w:t>
      </w:r>
    </w:p>
    <w:p w14:paraId="69512823">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一、双方权责</w:t>
      </w:r>
    </w:p>
    <w:p w14:paraId="721C1BF6">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（一）甲乙双方共同的责任：</w:t>
      </w:r>
    </w:p>
    <w:p w14:paraId="38840A77">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严格执行国家、地方有关安全生产的法律、法规，坚持“安全第一、预防为主、综合治理”的方针，全面落实国家、地方和行业管理部门有关安全生产的标准规范，严格落实各项安全生产管理措施，消除生产安全事故隐患，确保员工生命、财产安全。</w:t>
      </w:r>
    </w:p>
    <w:p w14:paraId="6557A1C9">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（二）甲方的权责</w:t>
      </w:r>
    </w:p>
    <w:p w14:paraId="78507AFE">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 对施工现场所有施工生产活动进行全面安全管理，制定全员安全生产责任制、安全生产规章制度和安全操作规程，督促乙方落实。</w:t>
      </w:r>
    </w:p>
    <w:p w14:paraId="02D0C39F">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2. 建立安全例会制度。组织召开安全生产周例会，研究、部署和落实项目安全生产有关工作。遇有特殊情况时，随时召开安全会议。</w:t>
      </w:r>
    </w:p>
    <w:p w14:paraId="755DC78B">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3. 建立安全生产检查制度。组织开展安全生产周检查工作和定期安全生产隐患排查工作，发出整改通知单，督促乙方完成整改事项。对乙方现场施工生产活动进行日常监督检查，纠正违章作业、违章指挥和违反劳动纪律的现象。</w:t>
      </w:r>
    </w:p>
    <w:p w14:paraId="56B0883A">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4. 建立安全教育培训制度。组织乙方进场工人进行入场安全教育。组织进行乙方特种作业人员月度安全教育。在节假日及季节转换时，进行专题教育。督促乙方开展每日早班会安全教育活动。督促乙方开展三级安全教育活动。收集有关安全生产教育培训资料。督促乙方清退安全生产教育培训考核不合格的人员。</w:t>
      </w:r>
    </w:p>
    <w:p w14:paraId="197F6D81">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5. 负责编制工程施工组织设计，审查乙方编制的危大工程和超危工程等安全专项方案，组织开展超危工程方案专家论证。督促乙方开展安全技术交底工作，并留存安全技术交底资料。</w:t>
      </w:r>
    </w:p>
    <w:p w14:paraId="7B5BFE84">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监督乙方按照施工组织设计和安全专项施工方案要求组织施工生产，落实安全保障措施。</w:t>
      </w:r>
    </w:p>
    <w:p w14:paraId="18C9F5DA">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6. 足额投入安全生产措施费用，督促乙方按规定足额使用安全措施费。</w:t>
      </w:r>
    </w:p>
    <w:p w14:paraId="7E4C3E02">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7. 督促乙方按照规定配齐安全管理人员，监督乙方现场代表、安全员、班组长和作业人员履行安全生产责任和义务，定期对乙方现场代表、安全员、班组长进行安全生产履职考核。为乙方专职安全生产管理人员提供办公场所。</w:t>
      </w:r>
    </w:p>
    <w:p w14:paraId="692B4DDD">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8. 编制施工现场应急救援预案，根据方案要求储备应急救援物资、设备，并定期组织演练。</w:t>
      </w:r>
    </w:p>
    <w:p w14:paraId="5FAD7071">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9. 组织基坑工程、模板工程、临时用电、机械设备、防护设施、防护用品、高处作业、脚手架等分部分项工程的安全验收，提出验收意见，督促乙方对不合格项进行整改。</w:t>
      </w:r>
    </w:p>
    <w:p w14:paraId="11F69FA2">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10. 在施工现场显要位置公布施工现场危险源，在施工现场危险作业部位设置警示标识。</w:t>
      </w:r>
    </w:p>
    <w:p w14:paraId="194B6A0F">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（三）乙方的权责</w:t>
      </w:r>
    </w:p>
    <w:p w14:paraId="3CCF15BD">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 层层落实安全生产责任，杜绝死亡、重伤、火灾、交通、职业病、食品中毒等事故。</w:t>
      </w:r>
    </w:p>
    <w:p w14:paraId="7AA76089">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2. 加强自身安全管理工作，服从甲方的管理，按照甲方的管理制度、操作规程、安全施工方案、安全策划、安全交底等开展现场的施工生产工作。若不服从甲方管理，导致事故的，承担事故主要责任。</w:t>
      </w:r>
    </w:p>
    <w:p w14:paraId="2E3C52F8">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3. 按国家有关规定配足安全管理人员，安全管理人员需持建设行政主管部门颁发的安全生产考核合格证，且注册单位与用人单位一致。安全管理人员应当先于作业人员进场并晚于施工人员退场。</w:t>
      </w:r>
    </w:p>
    <w:p w14:paraId="18598AB1">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乙方未按照建质〔2008〕91号文件规定配备专职安全管理人员的，或专职安全管理人员配备不足的，按照合同条款进行处置。乙方专职安全管理人员应当与甲方专职安全管理人员合署办公，乙方专职安全生产管理人员应当服从甲方的统一管理。</w:t>
      </w:r>
    </w:p>
    <w:p w14:paraId="4F74FDF6">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4. 新工人进场前，应当完成所有工人的三级安全教育工作，并向甲方提供教育培训档案和体检合格证明。</w:t>
      </w:r>
    </w:p>
    <w:p w14:paraId="7A560755">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工人进场前，应当向甲方提供现场管理人员和工人的花名册、特种作业人员台账。调出和调进人员应提前向甲方报告。</w:t>
      </w:r>
    </w:p>
    <w:p w14:paraId="5B5E037D">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乙方应当在新工人进场3天内，安排所有新工人接受甲方组织的入场安全教育，清退入场安全教育考核不合格的工人。未经三级安全教育和入场安全教育的工人不得进入施工现场工作，否则产生的后果由乙方承担。</w:t>
      </w:r>
    </w:p>
    <w:p w14:paraId="3B0FEE0C">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每日组织开展安全生产早班会。督促每一个班组、每一名参加当天生产活动的工人接受早班会教育。每天早班会教育活动完成后，应及时向甲方报送早班会活动相关资料。</w:t>
      </w:r>
    </w:p>
    <w:p w14:paraId="44616FC7">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工人进场前，乙方应对工人年龄、健康状况进行筛查，不得安排60周岁以</w:t>
      </w:r>
      <w:r>
        <w:rPr>
          <w:rFonts w:hint="eastAsia" w:ascii="仿宋_GB2312" w:eastAsia="仿宋_GB2312" w:hAnsiTheme="minorEastAsia" w:cstheme="minorEastAsia"/>
          <w:sz w:val="28"/>
          <w:szCs w:val="28"/>
          <w:highlight w:val="none"/>
          <w:u w:val="none"/>
        </w:rPr>
        <w:t>上</w:t>
      </w:r>
      <w:r>
        <w:rPr>
          <w:rFonts w:hint="eastAsia" w:ascii="仿宋_GB2312" w:eastAsia="仿宋_GB2312" w:hAnsiTheme="minorEastAsia" w:cstheme="minorEastAsia"/>
          <w:sz w:val="28"/>
          <w:szCs w:val="28"/>
          <w:highlight w:val="none"/>
        </w:rPr>
        <w:t>男普通工人、50周岁以上女普通工人、55周岁以上男特殊工种、45周岁以上女特殊工种、有身体残疾、有不适合施工现场作业疾病（心脏病、精神疾病、癫痫病等）的人员进入施工现场。不得安排年龄超过55周岁的工人从事登高、有限空间作业等高危险作业。为预防传染病，在进场前，需提供最近三个月内的体检报告。若因乙方筛查工作不到位或刻意隐瞒作业人员身体疾病，导致出现意外的，相应责任由乙方承担。</w:t>
      </w:r>
    </w:p>
    <w:p w14:paraId="665D89A6">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5.配备齐全各专业特种作业人员，特种作业人员数量和操作技能应当满足现场生产安全需要。不得安排无证人员从事现场特种作业，特种作业人员进场前应当主动向甲方提供特种作业人员操作证，并对证件的有效性、真实性负责。施工期间，乙方特殊工种工人应每季度体检一次，并将体检报告提供至甲方。乙方要按照甲方管理要求对工人进行安全教育培训，完善考核及签字手续，未经安全教育即进场施工的，责令停工整改的同时，按照【5000】元/人次收取违约金。</w:t>
      </w:r>
    </w:p>
    <w:p w14:paraId="0E11853F">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6. 项目负责人和安全管理人员应参加甲方组织的安全检查、巡查工作，参加甲方组织的安全生产会议，认真落实甲方做出的有关决定。在规定的期限内完成甲方发出的整改事项。</w:t>
      </w:r>
    </w:p>
    <w:p w14:paraId="3FA69C1D">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7. 进行受限空间作业、防护设施拆除、脚手架拆除作业、动火作业、爆破作业、起重机械安装、拆除及顶升作业、建（构）筑物拆除作业、电梯井内施工作业、起重吊装作业等危险作业时，应当经过甲方的批准，并办理审批手续。危险作业实施过程中，乙方应当安排专人进行全程监护，督促作业人员按章作业。</w:t>
      </w:r>
    </w:p>
    <w:p w14:paraId="413D230A">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8. 应当使用甲方提供的合格防护用品。督促所属的每一名工人规范佩戴和使用防护用品，防护用品包括安全帽、安全带、马甲、绑腿、护目镜、劳保鞋等。现场工人使用的安全帽、马甲等应当样式统一，执行甲方的标准。工人进行高处作业、电梯井作业等有高处坠落风险的作业时，乙方应当督促工人佩戴并正确使用安全带。</w:t>
      </w:r>
    </w:p>
    <w:p w14:paraId="3002C79A">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9. 加强自带起重机械、吊篮、运输工具、电箱、电缆、工具、器具等设备设施的检查和验收，不使用无合格证、不能满足规范要求、安全性能不足或存在明显安全缺陷的工具、器具、设备和设施等。</w:t>
      </w:r>
    </w:p>
    <w:p w14:paraId="61500D30">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特种设备、吊篮等必须经过具备相应资质的第三方单位进行安装检测和定期检测，检测合格后，经现场建设单位、监理单位、总承包单位、安装单位和使用单位联合验收合格后，方可投入使用。</w:t>
      </w:r>
    </w:p>
    <w:p w14:paraId="7D8E9B6F">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10. 加强工人交通安全法制观念的教育，督促工人在上、下班途中遵守交通安全法律、法规，及时发现和制止工人的交通违法和违规行为。</w:t>
      </w:r>
    </w:p>
    <w:p w14:paraId="774C670B">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11. 加强零散、突击用工安全管理，零散和突击用工进场前，应当向甲方报告，进行入场安全教育、安全作业能力审查、健康检查，未经健康检查、三级教育、入场教育和安全技术交底的人员，不得安排进入施工现场施工。零散、突击用工施工时，要安排专人进行旁站监督，要加强巡视检查。</w:t>
      </w:r>
    </w:p>
    <w:p w14:paraId="3763F381">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12. 不得超时间、超强度、超能力安排工人进行生产作业活动。应当根据甲方制定的作息时间表安排工人上、下班，禁止工人在非正常工作时段进入施工现场，应当督促工人在下班后及时离开施工现场。</w:t>
      </w:r>
    </w:p>
    <w:p w14:paraId="56FC1AD3">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加班期间，乙方应当每天安排专人负责值班，在所有工人撤场后，值班人员方可离开现场。施工现场禁止工人午休及留宿。</w:t>
      </w:r>
    </w:p>
    <w:p w14:paraId="1675B44C">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13. 负责编制合同范围内的危险性较大的工程和超过一定规模的危险性较大的分部分项工程安全专项施工方案，履行内部审核程序，将危大工程和超危工程方案报送总承包单位审查。按照超危工程方案专家论证意见，对专项方案进行修改。</w:t>
      </w:r>
    </w:p>
    <w:p w14:paraId="0E144481">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组织作业工人进行书面安全技术交底，所有作业工人均应当接受安全技术交底。安全技术交底活动应当接受甲方安全生产监督管理人员的监督。技术交底工作完成后，应当及时将相关资料（安全技术交底表、工人签名、交底图片等）交甲方留存备查。</w:t>
      </w:r>
    </w:p>
    <w:p w14:paraId="5A504834">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14. 工人作业时，应当安排专职安全管理人员在施工区域范围内进行不间断安全巡查，巡查应当以发现和制止工人的违章操作和违反劳动纪律行为为重点。巡查部位、巡查内容、巡查反馈等巡查要求应当按照甲方的要求执行。在巡查过程中，发现不能立即消除的安全隐患时，应当向甲方报告。发现危及工人安全的险情时，应当安排工人立即撤离，并立即向甲方报告。</w:t>
      </w:r>
    </w:p>
    <w:p w14:paraId="3782C524">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参加甲方组织的周检查、日巡查、季节性检查等安全检查，负责对自身所属范围内容的隐患问题进行整改，在规定的期限内完成整改，并向甲方反馈整改情况。</w:t>
      </w:r>
    </w:p>
    <w:p w14:paraId="5A444AF9">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15. 现场危大工程和超危工程实施到一定阶段时，应当向总承包单位提出验收申请，经建设单位、监理单位、总承包单位等验收合格后，方可进入下一道工序。</w:t>
      </w:r>
    </w:p>
    <w:p w14:paraId="63549F55">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16. 参加甲方组织的生产安全事故应急救援演练，掌握应急救援相关要求。</w:t>
      </w:r>
    </w:p>
    <w:p w14:paraId="5A549CC0">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17. 按照甲方的要求和施工现场的具体情况，足额使用本单位掌握的安全措施费用。</w:t>
      </w:r>
    </w:p>
    <w:p w14:paraId="041C7C75">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18. 在同一场地与其他分包单位交叉作业，有可能危及对方安全时，应主动向甲方报告，听从甲方的统一指挥，按照甲方指定的施工顺序进行施工，并安排专职安全生产管理人员进行监护。</w:t>
      </w:r>
    </w:p>
    <w:p w14:paraId="7F73E139">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19. 不得在建的建筑物内布置工人宿舍。按照甲方的生活区管理制度，配合甲方做好生活区的卫生、防火、防盗和治安管理等工作。严禁在工人生活区私自使用大功率电器、私拉乱接、破坏临时消防设施；严禁在工人宿舍区聚众赌博。</w:t>
      </w:r>
    </w:p>
    <w:p w14:paraId="2C5DEB63">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20. 食堂工作人员须持健康证上岗；每半年检查一次身体，做好饭菜留样，落实各项预防食物中毒的制度和措施。</w:t>
      </w:r>
    </w:p>
    <w:p w14:paraId="553F0915">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二、事故处理</w:t>
      </w:r>
    </w:p>
    <w:p w14:paraId="32AE1A6C">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一旦发生生产安全事故，要依据《生产安全事故报告和调查处理条例》的规定进行处理。保护事故现场，及时抢救伤员，防止事故扩大，减少事故损失。由甲方安排向有关方面报告。事故调查处理期间，配合有关部门进行事故调查，按照“四不放过”原则进行事故处理。</w:t>
      </w:r>
    </w:p>
    <w:p w14:paraId="550255A0">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事故发生后，乙方应调动一切资源，做好家属的接待和服务工作，并负责洽谈有关赔偿事宜。乙方在事故中负有责任的，乙方应赔偿甲方在安全事故中支出的各种费用和所遭受的各种损失，相关费用直接从结算价款中直接扣除。</w:t>
      </w:r>
    </w:p>
    <w:p w14:paraId="351B9630">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三、其他</w:t>
      </w:r>
    </w:p>
    <w:p w14:paraId="6D140340">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乙方不执行本协议的有关要求，由甲方按照本协议附件：《专业分包现场安全生产违约处罚细则》进行处罚，处罚由甲方管理人员发出书面告知，乙方收到书面告知后，可在7天内提出书面异议。乙方对甲方的处罚有异议时，可书面向甲方现场代表提出复议；对甲方现场代表的决定仍然有异议时，可向甲方上级安全管理部门书面申请复议，甲方上级安全管理部门的决定是最终决定。若在规定的时间内不提出书面异议，处罚自动生效，在乙方当月工程款中直接扣除。</w:t>
      </w:r>
    </w:p>
    <w:p w14:paraId="5D685B1A">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甲方鼓励乙方采取创新举措加强现场安全生产管理工作，提出改进安全生产工作的有效措施建议，乙方对项目安全生产工作有突出贡献的，由甲方进行奖励，奖励经甲方现场代表事先签字同意后，按照甲方商务、财务有关规定办理。</w:t>
      </w:r>
    </w:p>
    <w:p w14:paraId="47496C4F">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在施工过程中遇有本协议未约定情况，甲乙双方需共同遵守国家、地方的有关现行法律、法规、规范、标准等的要求，共同做好现场安全生产工作，确保生产安全。</w:t>
      </w:r>
    </w:p>
    <w:p w14:paraId="79E350D5">
      <w:pPr>
        <w:spacing w:line="480" w:lineRule="exact"/>
        <w:ind w:left="105" w:right="28" w:firstLine="48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本协议适用范围：（1）人员：甲乙双方所有进入施工现场、项目部、生活区的人员；（2）区域：工程地点围墙以内，大门处门边3米以内；（3）时间：自本协议书签字之日起至乙方完成合同约定工程量之日止。</w:t>
      </w:r>
    </w:p>
    <w:p w14:paraId="5FCAF394">
      <w:pPr>
        <w:spacing w:line="480" w:lineRule="exact"/>
        <w:ind w:left="105" w:right="28" w:firstLine="482"/>
        <w:rPr>
          <w:rFonts w:hint="eastAsia" w:ascii="仿宋_GB2312" w:eastAsia="仿宋_GB2312" w:hAnsiTheme="minorEastAsia" w:cstheme="minorEastAsia"/>
          <w:sz w:val="28"/>
          <w:szCs w:val="28"/>
          <w:highlight w:val="none"/>
          <w:lang w:eastAsia="zh-CN"/>
        </w:rPr>
      </w:pPr>
      <w:r>
        <w:rPr>
          <w:rFonts w:hint="eastAsia" w:ascii="仿宋_GB2312" w:eastAsia="仿宋_GB2312" w:hAnsiTheme="minorEastAsia" w:cstheme="minorEastAsia"/>
          <w:sz w:val="28"/>
          <w:szCs w:val="28"/>
          <w:highlight w:val="none"/>
        </w:rPr>
        <w:t>甲方现场安全生产监督管理负责人：</w:t>
      </w:r>
      <w:r>
        <w:rPr>
          <w:rFonts w:hint="eastAsia" w:ascii="仿宋_GB2312" w:eastAsia="仿宋_GB2312" w:hAnsiTheme="minorEastAsia" w:cstheme="minorEastAsia"/>
          <w:sz w:val="28"/>
          <w:szCs w:val="28"/>
          <w:highlight w:val="none"/>
          <w:lang w:eastAsia="zh-CN"/>
        </w:rPr>
        <w:t>【</w:t>
      </w:r>
      <w:bookmarkStart w:id="107" w:name="mf_anquanshengchanfuzeren_793b1794-1013-4091-a3dc-78ab3fa8a3c5_1"/>
      <w:r>
        <w:rPr>
          <w:rFonts w:hint="eastAsia" w:ascii="仿宋_GB2312" w:eastAsia="仿宋_GB2312" w:hAnsiTheme="minorEastAsia" w:cstheme="minorEastAsia"/>
          <w:sz w:val="28"/>
          <w:szCs w:val="28"/>
          <w:highlight w:val="none"/>
          <w:u w:val="single"/>
          <w:lang w:val="en-US" w:eastAsia="zh-CN"/>
        </w:rPr>
        <w:tab/>
      </w:r>
      <w:r>
        <w:rPr>
          <w:rFonts w:hint="eastAsia" w:ascii="仿宋_GB2312" w:eastAsia="仿宋_GB2312" w:hAnsiTheme="minorEastAsia" w:cstheme="minorEastAsia"/>
          <w:sz w:val="28"/>
          <w:szCs w:val="28"/>
          <w:highlight w:val="none"/>
          <w:u w:val="single"/>
          <w:lang w:val="en-US" w:eastAsia="zh-CN"/>
        </w:rPr>
        <w:tab/>
      </w:r>
      <w:r>
        <w:rPr>
          <w:rFonts w:hint="eastAsia" w:ascii="仿宋_GB2312" w:eastAsia="仿宋_GB2312" w:hAnsiTheme="minorEastAsia" w:cstheme="minorEastAsia"/>
          <w:sz w:val="28"/>
          <w:szCs w:val="28"/>
          <w:highlight w:val="none"/>
          <w:u w:val="single"/>
          <w:lang w:val="en-US" w:eastAsia="zh-CN"/>
        </w:rPr>
        <w:tab/>
      </w:r>
      <w:r>
        <w:rPr>
          <w:rFonts w:hint="eastAsia" w:ascii="仿宋_GB2312" w:eastAsia="仿宋_GB2312" w:hAnsiTheme="minorEastAsia" w:cstheme="minorEastAsia"/>
          <w:sz w:val="28"/>
          <w:szCs w:val="28"/>
          <w:highlight w:val="none"/>
          <w:u w:val="single"/>
          <w:lang w:val="en-US" w:eastAsia="zh-CN"/>
        </w:rPr>
        <w:tab/>
      </w:r>
      <w:r>
        <w:rPr>
          <w:rFonts w:hint="eastAsia" w:ascii="仿宋_GB2312" w:eastAsia="仿宋_GB2312" w:hAnsiTheme="minorEastAsia" w:cstheme="minorEastAsia"/>
          <w:sz w:val="28"/>
          <w:szCs w:val="28"/>
          <w:highlight w:val="none"/>
          <w:u w:val="single"/>
          <w:lang w:val="en-US" w:eastAsia="zh-CN"/>
        </w:rPr>
        <w:tab/>
      </w:r>
      <w:bookmarkEnd w:id="107"/>
      <w:r>
        <w:rPr>
          <w:rFonts w:hint="eastAsia" w:ascii="仿宋_GB2312" w:eastAsia="仿宋_GB2312" w:hAnsiTheme="minorEastAsia" w:cstheme="minorEastAsia"/>
          <w:sz w:val="28"/>
          <w:szCs w:val="28"/>
          <w:highlight w:val="none"/>
          <w:lang w:eastAsia="zh-CN"/>
        </w:rPr>
        <w:t>】</w:t>
      </w:r>
    </w:p>
    <w:p w14:paraId="510288CA">
      <w:pPr>
        <w:spacing w:line="480" w:lineRule="exact"/>
        <w:ind w:left="105" w:right="28" w:firstLine="482"/>
        <w:rPr>
          <w:rFonts w:hint="eastAsia" w:ascii="仿宋_GB2312" w:eastAsia="仿宋_GB2312" w:hAnsiTheme="minorEastAsia" w:cstheme="minorEastAsia"/>
          <w:sz w:val="28"/>
          <w:szCs w:val="28"/>
          <w:highlight w:val="none"/>
          <w:lang w:eastAsia="zh-CN"/>
        </w:rPr>
      </w:pPr>
      <w:r>
        <w:rPr>
          <w:rFonts w:hint="eastAsia" w:ascii="仿宋_GB2312" w:eastAsia="仿宋_GB2312" w:hAnsiTheme="minorEastAsia" w:cstheme="minorEastAsia"/>
          <w:sz w:val="28"/>
          <w:szCs w:val="28"/>
          <w:highlight w:val="none"/>
        </w:rPr>
        <w:t>乙方现场安全负责人：</w:t>
      </w:r>
      <w:r>
        <w:rPr>
          <w:rFonts w:hint="eastAsia" w:ascii="仿宋_GB2312" w:eastAsia="仿宋_GB2312" w:hAnsiTheme="minorEastAsia" w:cstheme="minorEastAsia"/>
          <w:sz w:val="28"/>
          <w:szCs w:val="28"/>
          <w:highlight w:val="none"/>
          <w:lang w:eastAsia="zh-CN"/>
        </w:rPr>
        <w:t>【</w:t>
      </w:r>
      <w:bookmarkStart w:id="108" w:name="mf_yifanganquanfuzeren_e1902216-e2e2-4238-84c7-57dd9e6c271c_1"/>
      <w:r>
        <w:rPr>
          <w:rFonts w:hint="eastAsia" w:ascii="仿宋_GB2312" w:eastAsia="仿宋_GB2312" w:hAnsiTheme="minorEastAsia" w:cstheme="minorEastAsia"/>
          <w:sz w:val="28"/>
          <w:szCs w:val="28"/>
          <w:highlight w:val="none"/>
          <w:u w:val="single"/>
          <w:lang w:val="en-US" w:eastAsia="zh-CN"/>
        </w:rPr>
        <w:tab/>
      </w:r>
      <w:r>
        <w:rPr>
          <w:rFonts w:hint="eastAsia" w:ascii="仿宋_GB2312" w:eastAsia="仿宋_GB2312" w:hAnsiTheme="minorEastAsia" w:cstheme="minorEastAsia"/>
          <w:sz w:val="28"/>
          <w:szCs w:val="28"/>
          <w:highlight w:val="none"/>
          <w:u w:val="single"/>
          <w:lang w:val="en-US" w:eastAsia="zh-CN"/>
        </w:rPr>
        <w:tab/>
      </w:r>
      <w:r>
        <w:rPr>
          <w:rFonts w:hint="eastAsia" w:ascii="仿宋_GB2312" w:eastAsia="仿宋_GB2312" w:hAnsiTheme="minorEastAsia" w:cstheme="minorEastAsia"/>
          <w:sz w:val="28"/>
          <w:szCs w:val="28"/>
          <w:highlight w:val="none"/>
          <w:u w:val="single"/>
          <w:lang w:val="en-US" w:eastAsia="zh-CN"/>
        </w:rPr>
        <w:tab/>
      </w:r>
      <w:r>
        <w:rPr>
          <w:rFonts w:hint="eastAsia" w:ascii="仿宋_GB2312" w:eastAsia="仿宋_GB2312" w:hAnsiTheme="minorEastAsia" w:cstheme="minorEastAsia"/>
          <w:sz w:val="28"/>
          <w:szCs w:val="28"/>
          <w:highlight w:val="none"/>
          <w:u w:val="single"/>
          <w:lang w:val="en-US" w:eastAsia="zh-CN"/>
        </w:rPr>
        <w:tab/>
      </w:r>
      <w:r>
        <w:rPr>
          <w:rFonts w:hint="eastAsia" w:ascii="仿宋_GB2312" w:eastAsia="仿宋_GB2312" w:hAnsiTheme="minorEastAsia" w:cstheme="minorEastAsia"/>
          <w:sz w:val="28"/>
          <w:szCs w:val="28"/>
          <w:highlight w:val="none"/>
          <w:u w:val="single"/>
          <w:lang w:val="en-US" w:eastAsia="zh-CN"/>
        </w:rPr>
        <w:tab/>
      </w:r>
      <w:bookmarkEnd w:id="108"/>
      <w:r>
        <w:rPr>
          <w:rFonts w:hint="eastAsia" w:ascii="仿宋_GB2312" w:eastAsia="仿宋_GB2312" w:hAnsiTheme="minorEastAsia" w:cstheme="minorEastAsia"/>
          <w:sz w:val="28"/>
          <w:szCs w:val="28"/>
          <w:highlight w:val="none"/>
          <w:lang w:eastAsia="zh-CN"/>
        </w:rPr>
        <w:t>】</w:t>
      </w:r>
    </w:p>
    <w:p w14:paraId="35AF7EDE">
      <w:pPr>
        <w:spacing w:line="480" w:lineRule="exact"/>
        <w:ind w:left="105" w:right="28" w:firstLine="482"/>
        <w:rPr>
          <w:rFonts w:asciiTheme="minorEastAsia" w:hAnsiTheme="minorEastAsia" w:cstheme="minorEastAsia"/>
          <w:szCs w:val="21"/>
          <w:highlight w:val="none"/>
        </w:rPr>
      </w:pPr>
      <w:r>
        <w:rPr>
          <w:rFonts w:hint="eastAsia" w:ascii="仿宋_GB2312" w:eastAsia="仿宋_GB2312" w:hAnsiTheme="minorEastAsia" w:cstheme="minorEastAsia"/>
          <w:sz w:val="28"/>
          <w:szCs w:val="28"/>
          <w:highlight w:val="none"/>
        </w:rPr>
        <w:t>本协议作为附件与分包合同同时签订。</w:t>
      </w:r>
    </w:p>
    <w:p w14:paraId="114F41F8">
      <w:pPr>
        <w:spacing w:line="360" w:lineRule="auto"/>
        <w:ind w:right="28"/>
        <w:jc w:val="center"/>
        <w:rPr>
          <w:rFonts w:ascii="仿宋_GB2312" w:eastAsia="仿宋_GB2312" w:hAnsiTheme="minorEastAsia" w:cstheme="minorEastAsia"/>
          <w:b/>
          <w:bCs/>
          <w:sz w:val="30"/>
          <w:szCs w:val="30"/>
          <w:highlight w:val="none"/>
        </w:rPr>
      </w:pPr>
      <w:r>
        <w:rPr>
          <w:rFonts w:hint="eastAsia" w:asciiTheme="minorEastAsia" w:hAnsiTheme="minorEastAsia" w:cstheme="minorEastAsia"/>
          <w:szCs w:val="21"/>
          <w:highlight w:val="none"/>
        </w:rPr>
        <w:br w:type="page" w:clear="all"/>
      </w:r>
      <w:r>
        <w:rPr>
          <w:rFonts w:hint="eastAsia" w:ascii="仿宋_GB2312" w:eastAsia="仿宋_GB2312" w:hAnsiTheme="minorEastAsia" w:cstheme="minorEastAsia"/>
          <w:b/>
          <w:bCs/>
          <w:sz w:val="30"/>
          <w:szCs w:val="30"/>
          <w:highlight w:val="none"/>
        </w:rPr>
        <w:t>专业分包现场安全生产违约责任承担细则</w:t>
      </w:r>
    </w:p>
    <w:tbl>
      <w:tblPr>
        <w:tblStyle w:val="4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245"/>
        <w:gridCol w:w="1559"/>
        <w:gridCol w:w="788"/>
      </w:tblGrid>
      <w:tr w14:paraId="3E80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11291C06">
            <w:pPr>
              <w:spacing w:line="360" w:lineRule="auto"/>
              <w:ind w:right="28"/>
              <w:jc w:val="center"/>
              <w:rPr>
                <w:rFonts w:ascii="仿宋_GB2312" w:eastAsia="仿宋_GB2312" w:hAnsiTheme="minorEastAsia" w:cstheme="minorEastAsia"/>
                <w:b/>
                <w:bCs/>
                <w:highlight w:val="none"/>
              </w:rPr>
            </w:pPr>
            <w:r>
              <w:rPr>
                <w:rFonts w:hint="eastAsia" w:ascii="仿宋_GB2312" w:eastAsia="仿宋_GB2312" w:hAnsiTheme="minorEastAsia" w:cstheme="minorEastAsia"/>
                <w:b/>
                <w:bCs/>
                <w:highlight w:val="none"/>
              </w:rPr>
              <w:t>序号</w:t>
            </w:r>
          </w:p>
        </w:tc>
        <w:tc>
          <w:tcPr>
            <w:tcW w:w="5245" w:type="dxa"/>
            <w:noWrap w:val="0"/>
            <w:vAlign w:val="center"/>
          </w:tcPr>
          <w:p w14:paraId="5762EDA2">
            <w:pPr>
              <w:spacing w:line="360" w:lineRule="auto"/>
              <w:ind w:right="28"/>
              <w:jc w:val="center"/>
              <w:rPr>
                <w:rFonts w:ascii="仿宋_GB2312" w:eastAsia="仿宋_GB2312" w:hAnsiTheme="minorEastAsia" w:cstheme="minorEastAsia"/>
                <w:b/>
                <w:bCs/>
                <w:highlight w:val="none"/>
              </w:rPr>
            </w:pPr>
            <w:r>
              <w:rPr>
                <w:rFonts w:hint="eastAsia" w:ascii="仿宋_GB2312" w:eastAsia="仿宋_GB2312" w:hAnsiTheme="minorEastAsia" w:cstheme="minorEastAsia"/>
                <w:b/>
                <w:bCs/>
                <w:highlight w:val="none"/>
              </w:rPr>
              <w:t>违约情形</w:t>
            </w:r>
          </w:p>
        </w:tc>
        <w:tc>
          <w:tcPr>
            <w:tcW w:w="1559" w:type="dxa"/>
            <w:noWrap w:val="0"/>
            <w:vAlign w:val="center"/>
          </w:tcPr>
          <w:p w14:paraId="2B1403D3">
            <w:pPr>
              <w:spacing w:line="360" w:lineRule="auto"/>
              <w:ind w:right="28"/>
              <w:jc w:val="center"/>
              <w:rPr>
                <w:rFonts w:ascii="仿宋_GB2312" w:eastAsia="仿宋_GB2312" w:hAnsiTheme="minorEastAsia" w:cstheme="minorEastAsia"/>
                <w:b/>
                <w:bCs/>
                <w:highlight w:val="none"/>
              </w:rPr>
            </w:pPr>
            <w:r>
              <w:rPr>
                <w:rFonts w:hint="eastAsia" w:ascii="仿宋_GB2312" w:eastAsia="仿宋_GB2312" w:hAnsiTheme="minorEastAsia" w:cstheme="minorEastAsia"/>
                <w:b/>
                <w:bCs/>
                <w:highlight w:val="none"/>
              </w:rPr>
              <w:t>违约金</w:t>
            </w:r>
          </w:p>
        </w:tc>
        <w:tc>
          <w:tcPr>
            <w:tcW w:w="788" w:type="dxa"/>
            <w:noWrap w:val="0"/>
            <w:vAlign w:val="center"/>
          </w:tcPr>
          <w:p w14:paraId="79FBBB15">
            <w:pPr>
              <w:spacing w:line="360" w:lineRule="auto"/>
              <w:ind w:right="28"/>
              <w:jc w:val="center"/>
              <w:rPr>
                <w:rFonts w:ascii="仿宋_GB2312" w:eastAsia="仿宋_GB2312" w:hAnsiTheme="minorEastAsia" w:cstheme="minorEastAsia"/>
                <w:b/>
                <w:bCs/>
                <w:highlight w:val="none"/>
              </w:rPr>
            </w:pPr>
            <w:r>
              <w:rPr>
                <w:rFonts w:hint="eastAsia" w:ascii="仿宋_GB2312" w:eastAsia="仿宋_GB2312" w:hAnsiTheme="minorEastAsia" w:cstheme="minorEastAsia"/>
                <w:b/>
                <w:bCs/>
                <w:highlight w:val="none"/>
              </w:rPr>
              <w:t>备注</w:t>
            </w:r>
          </w:p>
        </w:tc>
      </w:tr>
      <w:tr w14:paraId="7145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495AA0AE">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w:t>
            </w:r>
          </w:p>
        </w:tc>
        <w:tc>
          <w:tcPr>
            <w:tcW w:w="5245" w:type="dxa"/>
            <w:noWrap w:val="0"/>
          </w:tcPr>
          <w:p w14:paraId="494C6FA6">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未按照规定配齐专职安全生产管理人员</w:t>
            </w:r>
          </w:p>
        </w:tc>
        <w:tc>
          <w:tcPr>
            <w:tcW w:w="1559" w:type="dxa"/>
            <w:noWrap w:val="0"/>
            <w:vAlign w:val="center"/>
          </w:tcPr>
          <w:p w14:paraId="06D66781">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1000元/天/人</w:t>
            </w:r>
          </w:p>
        </w:tc>
        <w:tc>
          <w:tcPr>
            <w:tcW w:w="788" w:type="dxa"/>
            <w:noWrap w:val="0"/>
          </w:tcPr>
          <w:p w14:paraId="2D84B24E">
            <w:pPr>
              <w:spacing w:line="360" w:lineRule="auto"/>
              <w:ind w:right="28"/>
              <w:jc w:val="center"/>
              <w:rPr>
                <w:rFonts w:ascii="仿宋_GB2312" w:eastAsia="仿宋_GB2312" w:hAnsiTheme="minorEastAsia" w:cstheme="minorEastAsia"/>
                <w:highlight w:val="none"/>
              </w:rPr>
            </w:pPr>
          </w:p>
        </w:tc>
      </w:tr>
      <w:tr w14:paraId="7E6A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09401796">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w:t>
            </w:r>
          </w:p>
        </w:tc>
        <w:tc>
          <w:tcPr>
            <w:tcW w:w="5245" w:type="dxa"/>
            <w:noWrap w:val="0"/>
          </w:tcPr>
          <w:p w14:paraId="046BC097">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专职安全生产管理人员兼职其他工作</w:t>
            </w:r>
          </w:p>
        </w:tc>
        <w:tc>
          <w:tcPr>
            <w:tcW w:w="1559" w:type="dxa"/>
            <w:noWrap w:val="0"/>
            <w:vAlign w:val="center"/>
          </w:tcPr>
          <w:p w14:paraId="68FB068F">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2000元/次</w:t>
            </w:r>
          </w:p>
        </w:tc>
        <w:tc>
          <w:tcPr>
            <w:tcW w:w="788" w:type="dxa"/>
            <w:noWrap w:val="0"/>
          </w:tcPr>
          <w:p w14:paraId="015B94C8">
            <w:pPr>
              <w:spacing w:line="360" w:lineRule="auto"/>
              <w:ind w:right="28"/>
              <w:jc w:val="center"/>
              <w:rPr>
                <w:rFonts w:ascii="仿宋_GB2312" w:eastAsia="仿宋_GB2312" w:hAnsiTheme="minorEastAsia" w:cstheme="minorEastAsia"/>
                <w:highlight w:val="none"/>
              </w:rPr>
            </w:pPr>
          </w:p>
        </w:tc>
      </w:tr>
      <w:tr w14:paraId="2020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168BFAED">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3</w:t>
            </w:r>
          </w:p>
        </w:tc>
        <w:tc>
          <w:tcPr>
            <w:tcW w:w="5245" w:type="dxa"/>
            <w:noWrap w:val="0"/>
          </w:tcPr>
          <w:p w14:paraId="49DF7599">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安全管理人员未持有效执业资格证</w:t>
            </w:r>
          </w:p>
        </w:tc>
        <w:tc>
          <w:tcPr>
            <w:tcW w:w="1559" w:type="dxa"/>
            <w:noWrap w:val="0"/>
            <w:vAlign w:val="center"/>
          </w:tcPr>
          <w:p w14:paraId="47E64566">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1000元</w:t>
            </w:r>
          </w:p>
        </w:tc>
        <w:tc>
          <w:tcPr>
            <w:tcW w:w="788" w:type="dxa"/>
            <w:noWrap w:val="0"/>
          </w:tcPr>
          <w:p w14:paraId="771441F3">
            <w:pPr>
              <w:spacing w:line="360" w:lineRule="auto"/>
              <w:ind w:right="28"/>
              <w:jc w:val="center"/>
              <w:rPr>
                <w:rFonts w:ascii="仿宋_GB2312" w:eastAsia="仿宋_GB2312" w:hAnsiTheme="minorEastAsia" w:cstheme="minorEastAsia"/>
                <w:highlight w:val="none"/>
              </w:rPr>
            </w:pPr>
          </w:p>
        </w:tc>
      </w:tr>
      <w:tr w14:paraId="6E24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036B2A8C">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4</w:t>
            </w:r>
          </w:p>
        </w:tc>
        <w:tc>
          <w:tcPr>
            <w:tcW w:w="5245" w:type="dxa"/>
            <w:noWrap w:val="0"/>
          </w:tcPr>
          <w:p w14:paraId="6DD6C5E1">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未完成合同约定工程量，专职安全员提前退场</w:t>
            </w:r>
          </w:p>
        </w:tc>
        <w:tc>
          <w:tcPr>
            <w:tcW w:w="1559" w:type="dxa"/>
            <w:noWrap w:val="0"/>
            <w:vAlign w:val="center"/>
          </w:tcPr>
          <w:p w14:paraId="6A2FDD46">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1000元/天/人</w:t>
            </w:r>
          </w:p>
        </w:tc>
        <w:tc>
          <w:tcPr>
            <w:tcW w:w="788" w:type="dxa"/>
            <w:noWrap w:val="0"/>
          </w:tcPr>
          <w:p w14:paraId="3D9F8A6D">
            <w:pPr>
              <w:spacing w:line="360" w:lineRule="auto"/>
              <w:ind w:right="28"/>
              <w:jc w:val="center"/>
              <w:rPr>
                <w:rFonts w:ascii="仿宋_GB2312" w:eastAsia="仿宋_GB2312" w:hAnsiTheme="minorEastAsia" w:cstheme="minorEastAsia"/>
                <w:highlight w:val="none"/>
              </w:rPr>
            </w:pPr>
          </w:p>
        </w:tc>
      </w:tr>
      <w:tr w14:paraId="6832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3267600E">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5</w:t>
            </w:r>
          </w:p>
        </w:tc>
        <w:tc>
          <w:tcPr>
            <w:tcW w:w="5245" w:type="dxa"/>
            <w:noWrap w:val="0"/>
          </w:tcPr>
          <w:p w14:paraId="03407D8F">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专职安全生产管理人员未与甲方合并办公</w:t>
            </w:r>
          </w:p>
        </w:tc>
        <w:tc>
          <w:tcPr>
            <w:tcW w:w="1559" w:type="dxa"/>
            <w:noWrap w:val="0"/>
            <w:vAlign w:val="center"/>
          </w:tcPr>
          <w:p w14:paraId="7A0C0D4A">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2000元/次</w:t>
            </w:r>
          </w:p>
        </w:tc>
        <w:tc>
          <w:tcPr>
            <w:tcW w:w="788" w:type="dxa"/>
            <w:noWrap w:val="0"/>
          </w:tcPr>
          <w:p w14:paraId="2611DDEC">
            <w:pPr>
              <w:spacing w:line="360" w:lineRule="auto"/>
              <w:ind w:right="28"/>
              <w:jc w:val="center"/>
              <w:rPr>
                <w:rFonts w:ascii="仿宋_GB2312" w:eastAsia="仿宋_GB2312" w:hAnsiTheme="minorEastAsia" w:cstheme="minorEastAsia"/>
                <w:highlight w:val="none"/>
              </w:rPr>
            </w:pPr>
          </w:p>
        </w:tc>
      </w:tr>
      <w:tr w14:paraId="224E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5FFFC6C2">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6</w:t>
            </w:r>
          </w:p>
        </w:tc>
        <w:tc>
          <w:tcPr>
            <w:tcW w:w="5245" w:type="dxa"/>
            <w:noWrap w:val="0"/>
          </w:tcPr>
          <w:p w14:paraId="08D95376">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专职安全生产管理人员未按照甲方要求开展工作</w:t>
            </w:r>
          </w:p>
        </w:tc>
        <w:tc>
          <w:tcPr>
            <w:tcW w:w="1559" w:type="dxa"/>
            <w:noWrap w:val="0"/>
            <w:vAlign w:val="center"/>
          </w:tcPr>
          <w:p w14:paraId="75C58FDA">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2000元/次</w:t>
            </w:r>
          </w:p>
        </w:tc>
        <w:tc>
          <w:tcPr>
            <w:tcW w:w="788" w:type="dxa"/>
            <w:noWrap w:val="0"/>
          </w:tcPr>
          <w:p w14:paraId="6266107E">
            <w:pPr>
              <w:spacing w:line="360" w:lineRule="auto"/>
              <w:ind w:right="28"/>
              <w:jc w:val="center"/>
              <w:rPr>
                <w:rFonts w:ascii="仿宋_GB2312" w:eastAsia="仿宋_GB2312" w:hAnsiTheme="minorEastAsia" w:cstheme="minorEastAsia"/>
                <w:highlight w:val="none"/>
              </w:rPr>
            </w:pPr>
          </w:p>
        </w:tc>
      </w:tr>
      <w:tr w14:paraId="6F0B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7C50621B">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7</w:t>
            </w:r>
          </w:p>
        </w:tc>
        <w:tc>
          <w:tcPr>
            <w:tcW w:w="5245" w:type="dxa"/>
            <w:noWrap w:val="0"/>
          </w:tcPr>
          <w:p w14:paraId="61E1A6AE">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未安排专职安全生产管理人员在现场巡查</w:t>
            </w:r>
          </w:p>
        </w:tc>
        <w:tc>
          <w:tcPr>
            <w:tcW w:w="1559" w:type="dxa"/>
            <w:noWrap w:val="0"/>
            <w:vAlign w:val="center"/>
          </w:tcPr>
          <w:p w14:paraId="53DF64E0">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1000元/次</w:t>
            </w:r>
          </w:p>
        </w:tc>
        <w:tc>
          <w:tcPr>
            <w:tcW w:w="788" w:type="dxa"/>
            <w:noWrap w:val="0"/>
          </w:tcPr>
          <w:p w14:paraId="607CB171">
            <w:pPr>
              <w:spacing w:line="360" w:lineRule="auto"/>
              <w:ind w:right="28"/>
              <w:jc w:val="center"/>
              <w:rPr>
                <w:rFonts w:ascii="仿宋_GB2312" w:eastAsia="仿宋_GB2312" w:hAnsiTheme="minorEastAsia" w:cstheme="minorEastAsia"/>
                <w:highlight w:val="none"/>
              </w:rPr>
            </w:pPr>
          </w:p>
        </w:tc>
      </w:tr>
      <w:tr w14:paraId="2E78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4EF3B018">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8</w:t>
            </w:r>
          </w:p>
        </w:tc>
        <w:tc>
          <w:tcPr>
            <w:tcW w:w="5245" w:type="dxa"/>
            <w:noWrap w:val="0"/>
          </w:tcPr>
          <w:p w14:paraId="4038C0F1">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未向甲方提供进场人员名单、身份证复印件</w:t>
            </w:r>
          </w:p>
        </w:tc>
        <w:tc>
          <w:tcPr>
            <w:tcW w:w="1559" w:type="dxa"/>
            <w:noWrap w:val="0"/>
            <w:vAlign w:val="center"/>
          </w:tcPr>
          <w:p w14:paraId="59A0A5FD">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200元/人</w:t>
            </w:r>
          </w:p>
        </w:tc>
        <w:tc>
          <w:tcPr>
            <w:tcW w:w="788" w:type="dxa"/>
            <w:noWrap w:val="0"/>
          </w:tcPr>
          <w:p w14:paraId="12FA0700">
            <w:pPr>
              <w:spacing w:line="360" w:lineRule="auto"/>
              <w:ind w:right="28"/>
              <w:jc w:val="center"/>
              <w:rPr>
                <w:rFonts w:ascii="仿宋_GB2312" w:eastAsia="仿宋_GB2312" w:hAnsiTheme="minorEastAsia" w:cstheme="minorEastAsia"/>
                <w:highlight w:val="none"/>
              </w:rPr>
            </w:pPr>
          </w:p>
        </w:tc>
      </w:tr>
      <w:tr w14:paraId="1A8B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235713FA">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9</w:t>
            </w:r>
          </w:p>
        </w:tc>
        <w:tc>
          <w:tcPr>
            <w:tcW w:w="5245" w:type="dxa"/>
            <w:noWrap w:val="0"/>
          </w:tcPr>
          <w:p w14:paraId="2810518E">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未提供进场工人进行三级安全教育资料</w:t>
            </w:r>
          </w:p>
        </w:tc>
        <w:tc>
          <w:tcPr>
            <w:tcW w:w="1559" w:type="dxa"/>
            <w:noWrap w:val="0"/>
            <w:vAlign w:val="center"/>
          </w:tcPr>
          <w:p w14:paraId="48F34235">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200元/人</w:t>
            </w:r>
          </w:p>
        </w:tc>
        <w:tc>
          <w:tcPr>
            <w:tcW w:w="788" w:type="dxa"/>
            <w:noWrap w:val="0"/>
          </w:tcPr>
          <w:p w14:paraId="7F55025C">
            <w:pPr>
              <w:spacing w:line="360" w:lineRule="auto"/>
              <w:ind w:right="28"/>
              <w:jc w:val="center"/>
              <w:rPr>
                <w:rFonts w:ascii="仿宋_GB2312" w:eastAsia="仿宋_GB2312" w:hAnsiTheme="minorEastAsia" w:cstheme="minorEastAsia"/>
                <w:highlight w:val="none"/>
              </w:rPr>
            </w:pPr>
          </w:p>
        </w:tc>
      </w:tr>
      <w:tr w14:paraId="3D67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3E4BD1F6">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10</w:t>
            </w:r>
          </w:p>
        </w:tc>
        <w:tc>
          <w:tcPr>
            <w:tcW w:w="5245" w:type="dxa"/>
            <w:noWrap w:val="0"/>
          </w:tcPr>
          <w:p w14:paraId="4A93FC45">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安排超龄的工人进入现场作业</w:t>
            </w:r>
          </w:p>
        </w:tc>
        <w:tc>
          <w:tcPr>
            <w:tcW w:w="1559" w:type="dxa"/>
            <w:noWrap w:val="0"/>
            <w:vAlign w:val="center"/>
          </w:tcPr>
          <w:p w14:paraId="2CA98AB3">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500元/人</w:t>
            </w:r>
          </w:p>
        </w:tc>
        <w:tc>
          <w:tcPr>
            <w:tcW w:w="788" w:type="dxa"/>
            <w:noWrap w:val="0"/>
          </w:tcPr>
          <w:p w14:paraId="2208F006">
            <w:pPr>
              <w:spacing w:line="360" w:lineRule="auto"/>
              <w:ind w:right="28"/>
              <w:jc w:val="center"/>
              <w:rPr>
                <w:rFonts w:ascii="仿宋_GB2312" w:eastAsia="仿宋_GB2312" w:hAnsiTheme="minorEastAsia" w:cstheme="minorEastAsia"/>
                <w:highlight w:val="none"/>
              </w:rPr>
            </w:pPr>
          </w:p>
        </w:tc>
      </w:tr>
      <w:tr w14:paraId="07F0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48A3D913">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11</w:t>
            </w:r>
          </w:p>
        </w:tc>
        <w:tc>
          <w:tcPr>
            <w:tcW w:w="5245" w:type="dxa"/>
            <w:noWrap w:val="0"/>
          </w:tcPr>
          <w:p w14:paraId="6FC41D12">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特种作业人员未持有效证件</w:t>
            </w:r>
          </w:p>
        </w:tc>
        <w:tc>
          <w:tcPr>
            <w:tcW w:w="1559" w:type="dxa"/>
            <w:noWrap w:val="0"/>
            <w:vAlign w:val="center"/>
          </w:tcPr>
          <w:p w14:paraId="30CB9D1F">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2000元/人</w:t>
            </w:r>
          </w:p>
        </w:tc>
        <w:tc>
          <w:tcPr>
            <w:tcW w:w="788" w:type="dxa"/>
            <w:noWrap w:val="0"/>
          </w:tcPr>
          <w:p w14:paraId="32BF83CB">
            <w:pPr>
              <w:spacing w:line="360" w:lineRule="auto"/>
              <w:ind w:right="28"/>
              <w:jc w:val="center"/>
              <w:rPr>
                <w:rFonts w:ascii="仿宋_GB2312" w:eastAsia="仿宋_GB2312" w:hAnsiTheme="minorEastAsia" w:cstheme="minorEastAsia"/>
                <w:highlight w:val="none"/>
              </w:rPr>
            </w:pPr>
          </w:p>
        </w:tc>
      </w:tr>
      <w:tr w14:paraId="3AFE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50BA8091">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12</w:t>
            </w:r>
          </w:p>
        </w:tc>
        <w:tc>
          <w:tcPr>
            <w:tcW w:w="5245" w:type="dxa"/>
            <w:noWrap w:val="0"/>
          </w:tcPr>
          <w:p w14:paraId="1A617F6E">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不参加甲方组织的安全生产检查</w:t>
            </w:r>
          </w:p>
        </w:tc>
        <w:tc>
          <w:tcPr>
            <w:tcW w:w="1559" w:type="dxa"/>
            <w:noWrap w:val="0"/>
            <w:vAlign w:val="center"/>
          </w:tcPr>
          <w:p w14:paraId="685C614B">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1000元/次</w:t>
            </w:r>
          </w:p>
        </w:tc>
        <w:tc>
          <w:tcPr>
            <w:tcW w:w="788" w:type="dxa"/>
            <w:noWrap w:val="0"/>
          </w:tcPr>
          <w:p w14:paraId="756FCAA3">
            <w:pPr>
              <w:spacing w:line="360" w:lineRule="auto"/>
              <w:ind w:right="28"/>
              <w:jc w:val="center"/>
              <w:rPr>
                <w:rFonts w:ascii="仿宋_GB2312" w:eastAsia="仿宋_GB2312" w:hAnsiTheme="minorEastAsia" w:cstheme="minorEastAsia"/>
                <w:highlight w:val="none"/>
              </w:rPr>
            </w:pPr>
          </w:p>
        </w:tc>
      </w:tr>
      <w:tr w14:paraId="4F50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7BA51C0C">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13</w:t>
            </w:r>
          </w:p>
        </w:tc>
        <w:tc>
          <w:tcPr>
            <w:tcW w:w="5245" w:type="dxa"/>
            <w:noWrap w:val="0"/>
          </w:tcPr>
          <w:p w14:paraId="39FEAC32">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不参加甲方组织的安全会议</w:t>
            </w:r>
          </w:p>
        </w:tc>
        <w:tc>
          <w:tcPr>
            <w:tcW w:w="1559" w:type="dxa"/>
            <w:noWrap w:val="0"/>
            <w:vAlign w:val="center"/>
          </w:tcPr>
          <w:p w14:paraId="18427D41">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1000元/次</w:t>
            </w:r>
          </w:p>
        </w:tc>
        <w:tc>
          <w:tcPr>
            <w:tcW w:w="788" w:type="dxa"/>
            <w:noWrap w:val="0"/>
          </w:tcPr>
          <w:p w14:paraId="46F31C0A">
            <w:pPr>
              <w:spacing w:line="360" w:lineRule="auto"/>
              <w:ind w:right="28"/>
              <w:jc w:val="center"/>
              <w:rPr>
                <w:rFonts w:ascii="仿宋_GB2312" w:eastAsia="仿宋_GB2312" w:hAnsiTheme="minorEastAsia" w:cstheme="minorEastAsia"/>
                <w:highlight w:val="none"/>
              </w:rPr>
            </w:pPr>
          </w:p>
        </w:tc>
      </w:tr>
      <w:tr w14:paraId="61D4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1093832A">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14</w:t>
            </w:r>
          </w:p>
        </w:tc>
        <w:tc>
          <w:tcPr>
            <w:tcW w:w="5245" w:type="dxa"/>
            <w:noWrap w:val="0"/>
          </w:tcPr>
          <w:p w14:paraId="42E652B2">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未在规定的期限内，完成隐患整改（一般隐患）</w:t>
            </w:r>
          </w:p>
        </w:tc>
        <w:tc>
          <w:tcPr>
            <w:tcW w:w="1559" w:type="dxa"/>
            <w:noWrap w:val="0"/>
            <w:vAlign w:val="center"/>
          </w:tcPr>
          <w:p w14:paraId="029176E1">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500元/条</w:t>
            </w:r>
          </w:p>
        </w:tc>
        <w:tc>
          <w:tcPr>
            <w:tcW w:w="788" w:type="dxa"/>
            <w:noWrap w:val="0"/>
          </w:tcPr>
          <w:p w14:paraId="1195CDA0">
            <w:pPr>
              <w:spacing w:line="360" w:lineRule="auto"/>
              <w:ind w:right="28"/>
              <w:jc w:val="center"/>
              <w:rPr>
                <w:rFonts w:ascii="仿宋_GB2312" w:eastAsia="仿宋_GB2312" w:hAnsiTheme="minorEastAsia" w:cstheme="minorEastAsia"/>
                <w:highlight w:val="none"/>
              </w:rPr>
            </w:pPr>
          </w:p>
        </w:tc>
      </w:tr>
      <w:tr w14:paraId="1B6E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11DD6F42">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15</w:t>
            </w:r>
          </w:p>
        </w:tc>
        <w:tc>
          <w:tcPr>
            <w:tcW w:w="5245" w:type="dxa"/>
            <w:noWrap w:val="0"/>
          </w:tcPr>
          <w:p w14:paraId="66AC9601">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出现三大“攻坚”隐患</w:t>
            </w:r>
          </w:p>
        </w:tc>
        <w:tc>
          <w:tcPr>
            <w:tcW w:w="1559" w:type="dxa"/>
            <w:noWrap w:val="0"/>
            <w:vAlign w:val="center"/>
          </w:tcPr>
          <w:p w14:paraId="45531CF1">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1000元/条</w:t>
            </w:r>
          </w:p>
        </w:tc>
        <w:tc>
          <w:tcPr>
            <w:tcW w:w="788" w:type="dxa"/>
            <w:noWrap w:val="0"/>
          </w:tcPr>
          <w:p w14:paraId="03083783">
            <w:pPr>
              <w:spacing w:line="360" w:lineRule="auto"/>
              <w:ind w:right="28"/>
              <w:jc w:val="center"/>
              <w:rPr>
                <w:rFonts w:ascii="仿宋_GB2312" w:eastAsia="仿宋_GB2312" w:hAnsiTheme="minorEastAsia" w:cstheme="minorEastAsia"/>
                <w:highlight w:val="none"/>
              </w:rPr>
            </w:pPr>
          </w:p>
        </w:tc>
      </w:tr>
      <w:tr w14:paraId="71DF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10948440">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16</w:t>
            </w:r>
          </w:p>
        </w:tc>
        <w:tc>
          <w:tcPr>
            <w:tcW w:w="5245" w:type="dxa"/>
            <w:noWrap w:val="0"/>
          </w:tcPr>
          <w:p w14:paraId="1D2FBCD8">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不安排工人接受甲方入场安全教育</w:t>
            </w:r>
          </w:p>
        </w:tc>
        <w:tc>
          <w:tcPr>
            <w:tcW w:w="1559" w:type="dxa"/>
            <w:noWrap w:val="0"/>
            <w:vAlign w:val="center"/>
          </w:tcPr>
          <w:p w14:paraId="6DDCB9AD">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200元/人</w:t>
            </w:r>
          </w:p>
        </w:tc>
        <w:tc>
          <w:tcPr>
            <w:tcW w:w="788" w:type="dxa"/>
            <w:noWrap w:val="0"/>
          </w:tcPr>
          <w:p w14:paraId="5E7EA24D">
            <w:pPr>
              <w:spacing w:line="360" w:lineRule="auto"/>
              <w:ind w:right="28"/>
              <w:jc w:val="center"/>
              <w:rPr>
                <w:rFonts w:ascii="仿宋_GB2312" w:eastAsia="仿宋_GB2312" w:hAnsiTheme="minorEastAsia" w:cstheme="minorEastAsia"/>
                <w:highlight w:val="none"/>
              </w:rPr>
            </w:pPr>
          </w:p>
        </w:tc>
      </w:tr>
      <w:tr w14:paraId="7167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5E0E2545">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17</w:t>
            </w:r>
          </w:p>
        </w:tc>
        <w:tc>
          <w:tcPr>
            <w:tcW w:w="5245" w:type="dxa"/>
            <w:noWrap w:val="0"/>
          </w:tcPr>
          <w:p w14:paraId="5A3C8588">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经过入场安全教育工人安全帽未贴标识</w:t>
            </w:r>
          </w:p>
        </w:tc>
        <w:tc>
          <w:tcPr>
            <w:tcW w:w="1559" w:type="dxa"/>
            <w:noWrap w:val="0"/>
            <w:vAlign w:val="center"/>
          </w:tcPr>
          <w:p w14:paraId="6BB327A8">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50元/人</w:t>
            </w:r>
          </w:p>
        </w:tc>
        <w:tc>
          <w:tcPr>
            <w:tcW w:w="788" w:type="dxa"/>
            <w:noWrap w:val="0"/>
          </w:tcPr>
          <w:p w14:paraId="4FD4A100">
            <w:pPr>
              <w:spacing w:line="360" w:lineRule="auto"/>
              <w:ind w:right="28"/>
              <w:jc w:val="center"/>
              <w:rPr>
                <w:rFonts w:ascii="仿宋_GB2312" w:eastAsia="仿宋_GB2312" w:hAnsiTheme="minorEastAsia" w:cstheme="minorEastAsia"/>
                <w:highlight w:val="none"/>
              </w:rPr>
            </w:pPr>
          </w:p>
        </w:tc>
      </w:tr>
      <w:tr w14:paraId="4AE2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177B1CC3">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18</w:t>
            </w:r>
          </w:p>
        </w:tc>
        <w:tc>
          <w:tcPr>
            <w:tcW w:w="5245" w:type="dxa"/>
            <w:noWrap w:val="0"/>
          </w:tcPr>
          <w:p w14:paraId="54BD5891">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使用未经安全教育培训考核合格的工人</w:t>
            </w:r>
          </w:p>
        </w:tc>
        <w:tc>
          <w:tcPr>
            <w:tcW w:w="1559" w:type="dxa"/>
            <w:noWrap w:val="0"/>
            <w:vAlign w:val="center"/>
          </w:tcPr>
          <w:p w14:paraId="54D6BFB2">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1000元/人</w:t>
            </w:r>
          </w:p>
        </w:tc>
        <w:tc>
          <w:tcPr>
            <w:tcW w:w="788" w:type="dxa"/>
            <w:noWrap w:val="0"/>
          </w:tcPr>
          <w:p w14:paraId="1E3359D7">
            <w:pPr>
              <w:spacing w:line="360" w:lineRule="auto"/>
              <w:ind w:right="28"/>
              <w:jc w:val="center"/>
              <w:rPr>
                <w:rFonts w:ascii="仿宋_GB2312" w:eastAsia="仿宋_GB2312" w:hAnsiTheme="minorEastAsia" w:cstheme="minorEastAsia"/>
                <w:highlight w:val="none"/>
              </w:rPr>
            </w:pPr>
          </w:p>
        </w:tc>
      </w:tr>
      <w:tr w14:paraId="52E8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1D6407E9">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19</w:t>
            </w:r>
          </w:p>
        </w:tc>
        <w:tc>
          <w:tcPr>
            <w:tcW w:w="5245" w:type="dxa"/>
            <w:noWrap w:val="0"/>
          </w:tcPr>
          <w:p w14:paraId="41B83205">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未组织开展安全生产早班会</w:t>
            </w:r>
          </w:p>
        </w:tc>
        <w:tc>
          <w:tcPr>
            <w:tcW w:w="1559" w:type="dxa"/>
            <w:noWrap w:val="0"/>
            <w:vAlign w:val="center"/>
          </w:tcPr>
          <w:p w14:paraId="0D40A586">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2000元/次</w:t>
            </w:r>
          </w:p>
        </w:tc>
        <w:tc>
          <w:tcPr>
            <w:tcW w:w="788" w:type="dxa"/>
            <w:noWrap w:val="0"/>
          </w:tcPr>
          <w:p w14:paraId="09CCA893">
            <w:pPr>
              <w:spacing w:line="360" w:lineRule="auto"/>
              <w:ind w:right="28"/>
              <w:jc w:val="center"/>
              <w:rPr>
                <w:rFonts w:ascii="仿宋_GB2312" w:eastAsia="仿宋_GB2312" w:hAnsiTheme="minorEastAsia" w:cstheme="minorEastAsia"/>
                <w:highlight w:val="none"/>
              </w:rPr>
            </w:pPr>
          </w:p>
        </w:tc>
      </w:tr>
      <w:tr w14:paraId="73CB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0C0CFC4E">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w:t>
            </w:r>
          </w:p>
        </w:tc>
        <w:tc>
          <w:tcPr>
            <w:tcW w:w="5245" w:type="dxa"/>
            <w:noWrap w:val="0"/>
          </w:tcPr>
          <w:p w14:paraId="693BE872">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参加早班会人员不全</w:t>
            </w:r>
          </w:p>
        </w:tc>
        <w:tc>
          <w:tcPr>
            <w:tcW w:w="1559" w:type="dxa"/>
            <w:noWrap w:val="0"/>
            <w:vAlign w:val="center"/>
          </w:tcPr>
          <w:p w14:paraId="0865ACAD">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50元/人</w:t>
            </w:r>
          </w:p>
        </w:tc>
        <w:tc>
          <w:tcPr>
            <w:tcW w:w="788" w:type="dxa"/>
            <w:noWrap w:val="0"/>
          </w:tcPr>
          <w:p w14:paraId="543485F0">
            <w:pPr>
              <w:spacing w:line="360" w:lineRule="auto"/>
              <w:ind w:right="28"/>
              <w:jc w:val="center"/>
              <w:rPr>
                <w:rFonts w:ascii="仿宋_GB2312" w:eastAsia="仿宋_GB2312" w:hAnsiTheme="minorEastAsia" w:cstheme="minorEastAsia"/>
                <w:highlight w:val="none"/>
              </w:rPr>
            </w:pPr>
          </w:p>
        </w:tc>
      </w:tr>
      <w:tr w14:paraId="1B8F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127062C8">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21</w:t>
            </w:r>
          </w:p>
        </w:tc>
        <w:tc>
          <w:tcPr>
            <w:tcW w:w="5245" w:type="dxa"/>
            <w:noWrap w:val="0"/>
          </w:tcPr>
          <w:p w14:paraId="3FA98317">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未及时向甲方报送安全生产早班会资料</w:t>
            </w:r>
          </w:p>
        </w:tc>
        <w:tc>
          <w:tcPr>
            <w:tcW w:w="1559" w:type="dxa"/>
            <w:noWrap w:val="0"/>
            <w:vAlign w:val="center"/>
          </w:tcPr>
          <w:p w14:paraId="4F75BBD0">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200元/次</w:t>
            </w:r>
          </w:p>
        </w:tc>
        <w:tc>
          <w:tcPr>
            <w:tcW w:w="788" w:type="dxa"/>
            <w:noWrap w:val="0"/>
          </w:tcPr>
          <w:p w14:paraId="0291F59F">
            <w:pPr>
              <w:spacing w:line="360" w:lineRule="auto"/>
              <w:ind w:right="28"/>
              <w:jc w:val="center"/>
              <w:rPr>
                <w:rFonts w:ascii="仿宋_GB2312" w:eastAsia="仿宋_GB2312" w:hAnsiTheme="minorEastAsia" w:cstheme="minorEastAsia"/>
                <w:highlight w:val="none"/>
              </w:rPr>
            </w:pPr>
          </w:p>
        </w:tc>
      </w:tr>
      <w:tr w14:paraId="5079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70E420B7">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22</w:t>
            </w:r>
          </w:p>
        </w:tc>
        <w:tc>
          <w:tcPr>
            <w:tcW w:w="5245" w:type="dxa"/>
            <w:noWrap w:val="0"/>
          </w:tcPr>
          <w:p w14:paraId="1FD120B8">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高风险作业未经许可</w:t>
            </w:r>
          </w:p>
        </w:tc>
        <w:tc>
          <w:tcPr>
            <w:tcW w:w="1559" w:type="dxa"/>
            <w:noWrap w:val="0"/>
            <w:vAlign w:val="center"/>
          </w:tcPr>
          <w:p w14:paraId="57F92AE7">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2000元/次</w:t>
            </w:r>
          </w:p>
        </w:tc>
        <w:tc>
          <w:tcPr>
            <w:tcW w:w="788" w:type="dxa"/>
            <w:noWrap w:val="0"/>
          </w:tcPr>
          <w:p w14:paraId="30D49397">
            <w:pPr>
              <w:spacing w:line="360" w:lineRule="auto"/>
              <w:ind w:right="28"/>
              <w:jc w:val="center"/>
              <w:rPr>
                <w:rFonts w:ascii="仿宋_GB2312" w:eastAsia="仿宋_GB2312" w:hAnsiTheme="minorEastAsia" w:cstheme="minorEastAsia"/>
                <w:highlight w:val="none"/>
              </w:rPr>
            </w:pPr>
          </w:p>
        </w:tc>
      </w:tr>
      <w:tr w14:paraId="2D06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266DFEB9">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23</w:t>
            </w:r>
          </w:p>
        </w:tc>
        <w:tc>
          <w:tcPr>
            <w:tcW w:w="5245" w:type="dxa"/>
            <w:noWrap w:val="0"/>
          </w:tcPr>
          <w:p w14:paraId="72AC770D">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拆除现场防护后，未采取临时措施防护或及时恢复</w:t>
            </w:r>
          </w:p>
        </w:tc>
        <w:tc>
          <w:tcPr>
            <w:tcW w:w="1559" w:type="dxa"/>
            <w:noWrap w:val="0"/>
            <w:vAlign w:val="center"/>
          </w:tcPr>
          <w:p w14:paraId="798CD239">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2000元/次</w:t>
            </w:r>
          </w:p>
        </w:tc>
        <w:tc>
          <w:tcPr>
            <w:tcW w:w="788" w:type="dxa"/>
            <w:noWrap w:val="0"/>
          </w:tcPr>
          <w:p w14:paraId="679B4F24">
            <w:pPr>
              <w:spacing w:line="360" w:lineRule="auto"/>
              <w:ind w:right="28"/>
              <w:jc w:val="center"/>
              <w:rPr>
                <w:rFonts w:ascii="仿宋_GB2312" w:eastAsia="仿宋_GB2312" w:hAnsiTheme="minorEastAsia" w:cstheme="minorEastAsia"/>
                <w:highlight w:val="none"/>
              </w:rPr>
            </w:pPr>
          </w:p>
        </w:tc>
      </w:tr>
      <w:tr w14:paraId="3AD1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00C12094">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24</w:t>
            </w:r>
          </w:p>
        </w:tc>
        <w:tc>
          <w:tcPr>
            <w:tcW w:w="5245" w:type="dxa"/>
            <w:noWrap w:val="0"/>
          </w:tcPr>
          <w:p w14:paraId="5D27AA9B">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高风险作业未安排专人进行监护</w:t>
            </w:r>
          </w:p>
        </w:tc>
        <w:tc>
          <w:tcPr>
            <w:tcW w:w="1559" w:type="dxa"/>
            <w:noWrap w:val="0"/>
            <w:vAlign w:val="center"/>
          </w:tcPr>
          <w:p w14:paraId="39CB4CFD">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1000元</w:t>
            </w:r>
          </w:p>
        </w:tc>
        <w:tc>
          <w:tcPr>
            <w:tcW w:w="788" w:type="dxa"/>
            <w:noWrap w:val="0"/>
          </w:tcPr>
          <w:p w14:paraId="003AC447">
            <w:pPr>
              <w:spacing w:line="360" w:lineRule="auto"/>
              <w:ind w:right="28"/>
              <w:jc w:val="center"/>
              <w:rPr>
                <w:rFonts w:ascii="仿宋_GB2312" w:eastAsia="仿宋_GB2312" w:hAnsiTheme="minorEastAsia" w:cstheme="minorEastAsia"/>
                <w:highlight w:val="none"/>
              </w:rPr>
            </w:pPr>
          </w:p>
        </w:tc>
      </w:tr>
      <w:tr w14:paraId="40CE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1639B061">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25</w:t>
            </w:r>
          </w:p>
        </w:tc>
        <w:tc>
          <w:tcPr>
            <w:tcW w:w="5245" w:type="dxa"/>
            <w:noWrap w:val="0"/>
          </w:tcPr>
          <w:p w14:paraId="197804E7">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高处作业人员未佩戴和使用安全带</w:t>
            </w:r>
          </w:p>
        </w:tc>
        <w:tc>
          <w:tcPr>
            <w:tcW w:w="1559" w:type="dxa"/>
            <w:noWrap w:val="0"/>
            <w:vAlign w:val="center"/>
          </w:tcPr>
          <w:p w14:paraId="3B20837D">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500元/次</w:t>
            </w:r>
          </w:p>
        </w:tc>
        <w:tc>
          <w:tcPr>
            <w:tcW w:w="788" w:type="dxa"/>
            <w:noWrap w:val="0"/>
          </w:tcPr>
          <w:p w14:paraId="3B2DB3DC">
            <w:pPr>
              <w:spacing w:line="360" w:lineRule="auto"/>
              <w:ind w:right="28"/>
              <w:jc w:val="center"/>
              <w:rPr>
                <w:rFonts w:ascii="仿宋_GB2312" w:eastAsia="仿宋_GB2312" w:hAnsiTheme="minorEastAsia" w:cstheme="minorEastAsia"/>
                <w:highlight w:val="none"/>
              </w:rPr>
            </w:pPr>
          </w:p>
        </w:tc>
      </w:tr>
      <w:tr w14:paraId="174B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35776A52">
            <w:pPr>
              <w:spacing w:line="360" w:lineRule="auto"/>
              <w:ind w:right="28"/>
              <w:jc w:val="center"/>
              <w:rPr>
                <w:rFonts w:ascii="仿宋_GB2312" w:eastAsia="仿宋_GB2312" w:hAnsiTheme="minorEastAsia" w:cstheme="minorEastAsia"/>
                <w:b/>
                <w:bCs/>
                <w:highlight w:val="none"/>
              </w:rPr>
            </w:pPr>
            <w:r>
              <w:rPr>
                <w:rFonts w:hint="eastAsia" w:ascii="仿宋_GB2312" w:eastAsia="仿宋_GB2312" w:hAnsiTheme="minorEastAsia" w:cstheme="minorEastAsia"/>
                <w:highlight w:val="none"/>
              </w:rPr>
              <w:t>26</w:t>
            </w:r>
          </w:p>
        </w:tc>
        <w:tc>
          <w:tcPr>
            <w:tcW w:w="5245" w:type="dxa"/>
            <w:noWrap w:val="0"/>
          </w:tcPr>
          <w:p w14:paraId="3AAA8B46">
            <w:pPr>
              <w:spacing w:line="360" w:lineRule="auto"/>
              <w:ind w:right="28"/>
              <w:jc w:val="center"/>
              <w:rPr>
                <w:rFonts w:ascii="仿宋_GB2312" w:eastAsia="仿宋_GB2312" w:hAnsiTheme="minorEastAsia" w:cstheme="minorEastAsia"/>
                <w:b/>
                <w:bCs/>
                <w:highlight w:val="none"/>
              </w:rPr>
            </w:pPr>
            <w:r>
              <w:rPr>
                <w:rFonts w:hint="eastAsia" w:ascii="仿宋_GB2312" w:eastAsia="仿宋_GB2312" w:hAnsiTheme="minorEastAsia" w:cstheme="minorEastAsia"/>
                <w:highlight w:val="none"/>
              </w:rPr>
              <w:t>工人未佩戴安全帽或规范佩戴安全帽</w:t>
            </w:r>
          </w:p>
        </w:tc>
        <w:tc>
          <w:tcPr>
            <w:tcW w:w="1559" w:type="dxa"/>
            <w:noWrap w:val="0"/>
            <w:vAlign w:val="center"/>
          </w:tcPr>
          <w:p w14:paraId="4D1A43DA">
            <w:pPr>
              <w:spacing w:line="360" w:lineRule="auto"/>
              <w:ind w:right="28"/>
              <w:jc w:val="center"/>
              <w:rPr>
                <w:rFonts w:ascii="仿宋_GB2312" w:eastAsia="仿宋_GB2312" w:hAnsiTheme="minorEastAsia" w:cstheme="minorEastAsia"/>
                <w:b/>
                <w:bCs/>
                <w:highlight w:val="none"/>
              </w:rPr>
            </w:pPr>
            <w:r>
              <w:rPr>
                <w:rFonts w:hint="eastAsia" w:ascii="仿宋_GB2312" w:eastAsia="仿宋_GB2312" w:hAnsiTheme="minorEastAsia" w:cstheme="minorEastAsia"/>
                <w:highlight w:val="none"/>
              </w:rPr>
              <w:t>100元/次</w:t>
            </w:r>
          </w:p>
        </w:tc>
        <w:tc>
          <w:tcPr>
            <w:tcW w:w="788" w:type="dxa"/>
            <w:noWrap w:val="0"/>
          </w:tcPr>
          <w:p w14:paraId="272EFD59">
            <w:pPr>
              <w:spacing w:line="360" w:lineRule="auto"/>
              <w:ind w:right="28"/>
              <w:jc w:val="center"/>
              <w:rPr>
                <w:rFonts w:ascii="仿宋_GB2312" w:eastAsia="仿宋_GB2312" w:hAnsiTheme="minorEastAsia" w:cstheme="minorEastAsia"/>
                <w:b/>
                <w:bCs/>
                <w:highlight w:val="none"/>
              </w:rPr>
            </w:pPr>
          </w:p>
        </w:tc>
      </w:tr>
      <w:tr w14:paraId="585B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226015BF">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27</w:t>
            </w:r>
          </w:p>
        </w:tc>
        <w:tc>
          <w:tcPr>
            <w:tcW w:w="5245" w:type="dxa"/>
            <w:noWrap w:val="0"/>
          </w:tcPr>
          <w:p w14:paraId="01BE8039">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工人未穿马甲</w:t>
            </w:r>
          </w:p>
        </w:tc>
        <w:tc>
          <w:tcPr>
            <w:tcW w:w="1559" w:type="dxa"/>
            <w:noWrap w:val="0"/>
            <w:vAlign w:val="center"/>
          </w:tcPr>
          <w:p w14:paraId="114CC665">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50元/次</w:t>
            </w:r>
          </w:p>
        </w:tc>
        <w:tc>
          <w:tcPr>
            <w:tcW w:w="788" w:type="dxa"/>
            <w:noWrap w:val="0"/>
          </w:tcPr>
          <w:p w14:paraId="7DAA7FC8">
            <w:pPr>
              <w:spacing w:line="360" w:lineRule="auto"/>
              <w:ind w:right="28"/>
              <w:jc w:val="center"/>
              <w:rPr>
                <w:rFonts w:ascii="仿宋_GB2312" w:eastAsia="仿宋_GB2312" w:hAnsiTheme="minorEastAsia" w:cstheme="minorEastAsia"/>
                <w:highlight w:val="none"/>
              </w:rPr>
            </w:pPr>
          </w:p>
        </w:tc>
      </w:tr>
      <w:tr w14:paraId="7500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7A7445AB">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28</w:t>
            </w:r>
          </w:p>
        </w:tc>
        <w:tc>
          <w:tcPr>
            <w:tcW w:w="5245" w:type="dxa"/>
            <w:noWrap w:val="0"/>
          </w:tcPr>
          <w:p w14:paraId="598B12BC">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使用自带不合格电箱、电缆、配电盘等电气设备</w:t>
            </w:r>
          </w:p>
        </w:tc>
        <w:tc>
          <w:tcPr>
            <w:tcW w:w="1559" w:type="dxa"/>
            <w:noWrap w:val="0"/>
            <w:vAlign w:val="center"/>
          </w:tcPr>
          <w:p w14:paraId="499CFC6C">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200元/次</w:t>
            </w:r>
          </w:p>
        </w:tc>
        <w:tc>
          <w:tcPr>
            <w:tcW w:w="788" w:type="dxa"/>
            <w:noWrap w:val="0"/>
          </w:tcPr>
          <w:p w14:paraId="73E5286A">
            <w:pPr>
              <w:spacing w:line="360" w:lineRule="auto"/>
              <w:ind w:right="28"/>
              <w:jc w:val="center"/>
              <w:rPr>
                <w:rFonts w:ascii="仿宋_GB2312" w:eastAsia="仿宋_GB2312" w:hAnsiTheme="minorEastAsia" w:cstheme="minorEastAsia"/>
                <w:highlight w:val="none"/>
              </w:rPr>
            </w:pPr>
          </w:p>
        </w:tc>
      </w:tr>
      <w:tr w14:paraId="3652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55D69604">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29</w:t>
            </w:r>
          </w:p>
        </w:tc>
        <w:tc>
          <w:tcPr>
            <w:tcW w:w="5245" w:type="dxa"/>
            <w:noWrap w:val="0"/>
          </w:tcPr>
          <w:p w14:paraId="7EE0A935">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自带工具、器具、设备未经验收即使用</w:t>
            </w:r>
          </w:p>
        </w:tc>
        <w:tc>
          <w:tcPr>
            <w:tcW w:w="1559" w:type="dxa"/>
            <w:noWrap w:val="0"/>
            <w:vAlign w:val="center"/>
          </w:tcPr>
          <w:p w14:paraId="45B62E3D">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200元/次</w:t>
            </w:r>
          </w:p>
        </w:tc>
        <w:tc>
          <w:tcPr>
            <w:tcW w:w="788" w:type="dxa"/>
            <w:noWrap w:val="0"/>
          </w:tcPr>
          <w:p w14:paraId="2E0535D4">
            <w:pPr>
              <w:spacing w:line="360" w:lineRule="auto"/>
              <w:ind w:right="28"/>
              <w:jc w:val="center"/>
              <w:rPr>
                <w:rFonts w:ascii="仿宋_GB2312" w:eastAsia="仿宋_GB2312" w:hAnsiTheme="minorEastAsia" w:cstheme="minorEastAsia"/>
                <w:highlight w:val="none"/>
              </w:rPr>
            </w:pPr>
          </w:p>
        </w:tc>
      </w:tr>
      <w:tr w14:paraId="19CF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17900B11">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30</w:t>
            </w:r>
          </w:p>
        </w:tc>
        <w:tc>
          <w:tcPr>
            <w:tcW w:w="5245" w:type="dxa"/>
            <w:noWrap w:val="0"/>
          </w:tcPr>
          <w:p w14:paraId="323F0324">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使用自带安全性能明显不足的工具、器具、设备等</w:t>
            </w:r>
          </w:p>
        </w:tc>
        <w:tc>
          <w:tcPr>
            <w:tcW w:w="1559" w:type="dxa"/>
            <w:noWrap w:val="0"/>
            <w:vAlign w:val="center"/>
          </w:tcPr>
          <w:p w14:paraId="287F8D47">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500元/次</w:t>
            </w:r>
          </w:p>
        </w:tc>
        <w:tc>
          <w:tcPr>
            <w:tcW w:w="788" w:type="dxa"/>
            <w:noWrap w:val="0"/>
          </w:tcPr>
          <w:p w14:paraId="5152760E">
            <w:pPr>
              <w:spacing w:line="360" w:lineRule="auto"/>
              <w:ind w:right="28"/>
              <w:jc w:val="center"/>
              <w:rPr>
                <w:rFonts w:ascii="仿宋_GB2312" w:eastAsia="仿宋_GB2312" w:hAnsiTheme="minorEastAsia" w:cstheme="minorEastAsia"/>
                <w:highlight w:val="none"/>
              </w:rPr>
            </w:pPr>
          </w:p>
        </w:tc>
      </w:tr>
      <w:tr w14:paraId="29B2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71C97285">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31</w:t>
            </w:r>
          </w:p>
        </w:tc>
        <w:tc>
          <w:tcPr>
            <w:tcW w:w="5245" w:type="dxa"/>
            <w:noWrap w:val="0"/>
          </w:tcPr>
          <w:p w14:paraId="11D9B58A">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未安排工人接受安全技术交底</w:t>
            </w:r>
          </w:p>
        </w:tc>
        <w:tc>
          <w:tcPr>
            <w:tcW w:w="1559" w:type="dxa"/>
            <w:noWrap w:val="0"/>
            <w:vAlign w:val="center"/>
          </w:tcPr>
          <w:p w14:paraId="7BD1E1FD">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200元/人</w:t>
            </w:r>
          </w:p>
        </w:tc>
        <w:tc>
          <w:tcPr>
            <w:tcW w:w="788" w:type="dxa"/>
            <w:noWrap w:val="0"/>
          </w:tcPr>
          <w:p w14:paraId="53BB002D">
            <w:pPr>
              <w:spacing w:line="360" w:lineRule="auto"/>
              <w:ind w:right="28"/>
              <w:jc w:val="center"/>
              <w:rPr>
                <w:rFonts w:ascii="仿宋_GB2312" w:eastAsia="仿宋_GB2312" w:hAnsiTheme="minorEastAsia" w:cstheme="minorEastAsia"/>
                <w:highlight w:val="none"/>
              </w:rPr>
            </w:pPr>
          </w:p>
        </w:tc>
      </w:tr>
      <w:tr w14:paraId="753D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1723EFBB">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32</w:t>
            </w:r>
          </w:p>
        </w:tc>
        <w:tc>
          <w:tcPr>
            <w:tcW w:w="5245" w:type="dxa"/>
            <w:noWrap w:val="0"/>
          </w:tcPr>
          <w:p w14:paraId="329EB63B">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零散用工、突击用工未经入场安全教育</w:t>
            </w:r>
          </w:p>
        </w:tc>
        <w:tc>
          <w:tcPr>
            <w:tcW w:w="1559" w:type="dxa"/>
            <w:noWrap w:val="0"/>
            <w:vAlign w:val="center"/>
          </w:tcPr>
          <w:p w14:paraId="39B338B8">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200元/人</w:t>
            </w:r>
          </w:p>
        </w:tc>
        <w:tc>
          <w:tcPr>
            <w:tcW w:w="788" w:type="dxa"/>
            <w:noWrap w:val="0"/>
          </w:tcPr>
          <w:p w14:paraId="759B1CBC">
            <w:pPr>
              <w:spacing w:line="360" w:lineRule="auto"/>
              <w:ind w:right="28"/>
              <w:jc w:val="center"/>
              <w:rPr>
                <w:rFonts w:ascii="仿宋_GB2312" w:eastAsia="仿宋_GB2312" w:hAnsiTheme="minorEastAsia" w:cstheme="minorEastAsia"/>
                <w:highlight w:val="none"/>
              </w:rPr>
            </w:pPr>
          </w:p>
        </w:tc>
      </w:tr>
      <w:tr w14:paraId="6C12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7472C566">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33</w:t>
            </w:r>
          </w:p>
        </w:tc>
        <w:tc>
          <w:tcPr>
            <w:tcW w:w="5245" w:type="dxa"/>
            <w:noWrap w:val="0"/>
          </w:tcPr>
          <w:p w14:paraId="34031EB2">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零散用工、突击用工作业时，无专人监护</w:t>
            </w:r>
          </w:p>
        </w:tc>
        <w:tc>
          <w:tcPr>
            <w:tcW w:w="1559" w:type="dxa"/>
            <w:noWrap w:val="0"/>
            <w:vAlign w:val="center"/>
          </w:tcPr>
          <w:p w14:paraId="73CD224D">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1000元/次</w:t>
            </w:r>
          </w:p>
        </w:tc>
        <w:tc>
          <w:tcPr>
            <w:tcW w:w="788" w:type="dxa"/>
            <w:noWrap w:val="0"/>
          </w:tcPr>
          <w:p w14:paraId="54E357BA">
            <w:pPr>
              <w:spacing w:line="360" w:lineRule="auto"/>
              <w:ind w:right="28"/>
              <w:jc w:val="center"/>
              <w:rPr>
                <w:rFonts w:ascii="仿宋_GB2312" w:eastAsia="仿宋_GB2312" w:hAnsiTheme="minorEastAsia" w:cstheme="minorEastAsia"/>
                <w:highlight w:val="none"/>
              </w:rPr>
            </w:pPr>
          </w:p>
        </w:tc>
      </w:tr>
      <w:tr w14:paraId="34EA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010B1D33">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34</w:t>
            </w:r>
          </w:p>
        </w:tc>
        <w:tc>
          <w:tcPr>
            <w:tcW w:w="5245" w:type="dxa"/>
            <w:noWrap w:val="0"/>
          </w:tcPr>
          <w:p w14:paraId="54C6CA14">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加班时段，现场无专人值班</w:t>
            </w:r>
          </w:p>
        </w:tc>
        <w:tc>
          <w:tcPr>
            <w:tcW w:w="1559" w:type="dxa"/>
            <w:noWrap w:val="0"/>
            <w:vAlign w:val="center"/>
          </w:tcPr>
          <w:p w14:paraId="0CBBDF1B">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2000元/次</w:t>
            </w:r>
          </w:p>
        </w:tc>
        <w:tc>
          <w:tcPr>
            <w:tcW w:w="788" w:type="dxa"/>
            <w:noWrap w:val="0"/>
          </w:tcPr>
          <w:p w14:paraId="5993A0BF">
            <w:pPr>
              <w:spacing w:line="360" w:lineRule="auto"/>
              <w:ind w:right="28"/>
              <w:jc w:val="center"/>
              <w:rPr>
                <w:rFonts w:ascii="仿宋_GB2312" w:eastAsia="仿宋_GB2312" w:hAnsiTheme="minorEastAsia" w:cstheme="minorEastAsia"/>
                <w:highlight w:val="none"/>
              </w:rPr>
            </w:pPr>
          </w:p>
        </w:tc>
      </w:tr>
      <w:tr w14:paraId="2D2B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4453981B">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35</w:t>
            </w:r>
          </w:p>
        </w:tc>
        <w:tc>
          <w:tcPr>
            <w:tcW w:w="5245" w:type="dxa"/>
            <w:noWrap w:val="0"/>
          </w:tcPr>
          <w:p w14:paraId="3D217EF9">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不执行交叉作业安全管理有关规定</w:t>
            </w:r>
          </w:p>
        </w:tc>
        <w:tc>
          <w:tcPr>
            <w:tcW w:w="1559" w:type="dxa"/>
            <w:noWrap w:val="0"/>
            <w:vAlign w:val="center"/>
          </w:tcPr>
          <w:p w14:paraId="5EADE089">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1000元/次</w:t>
            </w:r>
          </w:p>
        </w:tc>
        <w:tc>
          <w:tcPr>
            <w:tcW w:w="788" w:type="dxa"/>
            <w:noWrap w:val="0"/>
          </w:tcPr>
          <w:p w14:paraId="293077F9">
            <w:pPr>
              <w:spacing w:line="360" w:lineRule="auto"/>
              <w:ind w:right="28"/>
              <w:jc w:val="center"/>
              <w:rPr>
                <w:rFonts w:ascii="仿宋_GB2312" w:eastAsia="仿宋_GB2312" w:hAnsiTheme="minorEastAsia" w:cstheme="minorEastAsia"/>
                <w:highlight w:val="none"/>
              </w:rPr>
            </w:pPr>
          </w:p>
        </w:tc>
      </w:tr>
      <w:tr w14:paraId="683D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7614B977">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36</w:t>
            </w:r>
          </w:p>
        </w:tc>
        <w:tc>
          <w:tcPr>
            <w:tcW w:w="5245" w:type="dxa"/>
            <w:noWrap w:val="0"/>
          </w:tcPr>
          <w:p w14:paraId="021A9726">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不参加甲方组织的应急演练</w:t>
            </w:r>
          </w:p>
        </w:tc>
        <w:tc>
          <w:tcPr>
            <w:tcW w:w="1559" w:type="dxa"/>
            <w:noWrap w:val="0"/>
            <w:vAlign w:val="center"/>
          </w:tcPr>
          <w:p w14:paraId="4A221122">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5000元/次</w:t>
            </w:r>
          </w:p>
        </w:tc>
        <w:tc>
          <w:tcPr>
            <w:tcW w:w="788" w:type="dxa"/>
            <w:noWrap w:val="0"/>
          </w:tcPr>
          <w:p w14:paraId="7DE40221">
            <w:pPr>
              <w:spacing w:line="360" w:lineRule="auto"/>
              <w:ind w:right="28"/>
              <w:jc w:val="center"/>
              <w:rPr>
                <w:rFonts w:ascii="仿宋_GB2312" w:eastAsia="仿宋_GB2312" w:hAnsiTheme="minorEastAsia" w:cstheme="minorEastAsia"/>
                <w:highlight w:val="none"/>
              </w:rPr>
            </w:pPr>
          </w:p>
        </w:tc>
      </w:tr>
      <w:tr w14:paraId="30F0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78E91A54">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37</w:t>
            </w:r>
          </w:p>
        </w:tc>
        <w:tc>
          <w:tcPr>
            <w:tcW w:w="5245" w:type="dxa"/>
            <w:noWrap w:val="0"/>
          </w:tcPr>
          <w:p w14:paraId="5F0E5E9D">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危大工程和超危工程，关键节点未经甲方验收，即进入下一道工序施工</w:t>
            </w:r>
          </w:p>
        </w:tc>
        <w:tc>
          <w:tcPr>
            <w:tcW w:w="1559" w:type="dxa"/>
            <w:noWrap w:val="0"/>
            <w:vAlign w:val="center"/>
          </w:tcPr>
          <w:p w14:paraId="7A98BA47">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20000元/次</w:t>
            </w:r>
          </w:p>
        </w:tc>
        <w:tc>
          <w:tcPr>
            <w:tcW w:w="788" w:type="dxa"/>
            <w:noWrap w:val="0"/>
          </w:tcPr>
          <w:p w14:paraId="29D2CF3D">
            <w:pPr>
              <w:spacing w:line="360" w:lineRule="auto"/>
              <w:ind w:right="28"/>
              <w:jc w:val="center"/>
              <w:rPr>
                <w:rFonts w:ascii="仿宋_GB2312" w:eastAsia="仿宋_GB2312" w:hAnsiTheme="minorEastAsia" w:cstheme="minorEastAsia"/>
                <w:highlight w:val="none"/>
              </w:rPr>
            </w:pPr>
          </w:p>
        </w:tc>
      </w:tr>
      <w:tr w14:paraId="5276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5901E510">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38</w:t>
            </w:r>
          </w:p>
        </w:tc>
        <w:tc>
          <w:tcPr>
            <w:tcW w:w="5245" w:type="dxa"/>
            <w:noWrap w:val="0"/>
          </w:tcPr>
          <w:p w14:paraId="1034E435">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生活区无专人负责安全管理</w:t>
            </w:r>
          </w:p>
        </w:tc>
        <w:tc>
          <w:tcPr>
            <w:tcW w:w="1559" w:type="dxa"/>
            <w:noWrap w:val="0"/>
            <w:vAlign w:val="center"/>
          </w:tcPr>
          <w:p w14:paraId="0D4A5D40">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3000元</w:t>
            </w:r>
          </w:p>
        </w:tc>
        <w:tc>
          <w:tcPr>
            <w:tcW w:w="788" w:type="dxa"/>
            <w:noWrap w:val="0"/>
          </w:tcPr>
          <w:p w14:paraId="5D7E9FA3">
            <w:pPr>
              <w:spacing w:line="360" w:lineRule="auto"/>
              <w:ind w:right="28"/>
              <w:jc w:val="center"/>
              <w:rPr>
                <w:rFonts w:ascii="仿宋_GB2312" w:eastAsia="仿宋_GB2312" w:hAnsiTheme="minorEastAsia" w:cstheme="minorEastAsia"/>
                <w:highlight w:val="none"/>
              </w:rPr>
            </w:pPr>
          </w:p>
        </w:tc>
      </w:tr>
      <w:tr w14:paraId="533D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469977BA">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39</w:t>
            </w:r>
          </w:p>
        </w:tc>
        <w:tc>
          <w:tcPr>
            <w:tcW w:w="5245" w:type="dxa"/>
            <w:noWrap w:val="0"/>
          </w:tcPr>
          <w:p w14:paraId="79BEEE93">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不执行动火作业有关规定，导致现场火灾</w:t>
            </w:r>
          </w:p>
        </w:tc>
        <w:tc>
          <w:tcPr>
            <w:tcW w:w="1559" w:type="dxa"/>
            <w:noWrap w:val="0"/>
            <w:vAlign w:val="center"/>
          </w:tcPr>
          <w:p w14:paraId="1641398A">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50000元/次</w:t>
            </w:r>
          </w:p>
        </w:tc>
        <w:tc>
          <w:tcPr>
            <w:tcW w:w="788" w:type="dxa"/>
            <w:noWrap w:val="0"/>
          </w:tcPr>
          <w:p w14:paraId="5C0B6784">
            <w:pPr>
              <w:spacing w:line="360" w:lineRule="auto"/>
              <w:ind w:right="28"/>
              <w:jc w:val="center"/>
              <w:rPr>
                <w:rFonts w:ascii="仿宋_GB2312" w:eastAsia="仿宋_GB2312" w:hAnsiTheme="minorEastAsia" w:cstheme="minorEastAsia"/>
                <w:highlight w:val="none"/>
              </w:rPr>
            </w:pPr>
          </w:p>
        </w:tc>
      </w:tr>
      <w:tr w14:paraId="1424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690CC15B">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40</w:t>
            </w:r>
          </w:p>
        </w:tc>
        <w:tc>
          <w:tcPr>
            <w:tcW w:w="5245" w:type="dxa"/>
            <w:noWrap w:val="0"/>
          </w:tcPr>
          <w:p w14:paraId="060FAF9F">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违反生活区消防管理规定，导致生活区火灾</w:t>
            </w:r>
          </w:p>
        </w:tc>
        <w:tc>
          <w:tcPr>
            <w:tcW w:w="1559" w:type="dxa"/>
            <w:noWrap w:val="0"/>
            <w:vAlign w:val="center"/>
          </w:tcPr>
          <w:p w14:paraId="668B3E09">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50000元/次</w:t>
            </w:r>
          </w:p>
        </w:tc>
        <w:tc>
          <w:tcPr>
            <w:tcW w:w="788" w:type="dxa"/>
            <w:noWrap w:val="0"/>
          </w:tcPr>
          <w:p w14:paraId="25EEEB5B">
            <w:pPr>
              <w:spacing w:line="360" w:lineRule="auto"/>
              <w:ind w:right="28"/>
              <w:jc w:val="center"/>
              <w:rPr>
                <w:rFonts w:ascii="仿宋_GB2312" w:eastAsia="仿宋_GB2312" w:hAnsiTheme="minorEastAsia" w:cstheme="minorEastAsia"/>
                <w:highlight w:val="none"/>
              </w:rPr>
            </w:pPr>
          </w:p>
        </w:tc>
      </w:tr>
      <w:tr w14:paraId="5605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1776316F">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41</w:t>
            </w:r>
          </w:p>
        </w:tc>
        <w:tc>
          <w:tcPr>
            <w:tcW w:w="5245" w:type="dxa"/>
            <w:noWrap w:val="0"/>
          </w:tcPr>
          <w:p w14:paraId="0452D325">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违反食堂卫生制度，发生食物中毒事件</w:t>
            </w:r>
          </w:p>
        </w:tc>
        <w:tc>
          <w:tcPr>
            <w:tcW w:w="1559" w:type="dxa"/>
            <w:noWrap w:val="0"/>
            <w:vAlign w:val="center"/>
          </w:tcPr>
          <w:p w14:paraId="7C41762A">
            <w:pPr>
              <w:spacing w:line="360" w:lineRule="auto"/>
              <w:ind w:right="28"/>
              <w:jc w:val="center"/>
              <w:rPr>
                <w:rFonts w:ascii="仿宋_GB2312" w:eastAsia="仿宋_GB2312" w:hAnsiTheme="minorEastAsia" w:cstheme="minorEastAsia"/>
                <w:highlight w:val="none"/>
              </w:rPr>
            </w:pPr>
            <w:r>
              <w:rPr>
                <w:rFonts w:hint="eastAsia" w:ascii="仿宋_GB2312" w:eastAsia="仿宋_GB2312" w:hAnsiTheme="minorEastAsia" w:cstheme="minorEastAsia"/>
                <w:highlight w:val="none"/>
              </w:rPr>
              <w:t>50000元/次</w:t>
            </w:r>
          </w:p>
        </w:tc>
        <w:tc>
          <w:tcPr>
            <w:tcW w:w="788" w:type="dxa"/>
            <w:noWrap w:val="0"/>
          </w:tcPr>
          <w:p w14:paraId="383F1A8E">
            <w:pPr>
              <w:spacing w:line="360" w:lineRule="auto"/>
              <w:ind w:right="28"/>
              <w:jc w:val="center"/>
              <w:rPr>
                <w:rFonts w:ascii="仿宋_GB2312" w:eastAsia="仿宋_GB2312" w:hAnsiTheme="minorEastAsia" w:cstheme="minorEastAsia"/>
                <w:highlight w:val="none"/>
              </w:rPr>
            </w:pPr>
          </w:p>
        </w:tc>
      </w:tr>
      <w:tr w14:paraId="1464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tcPr>
          <w:p w14:paraId="6BC51A6D">
            <w:pPr>
              <w:keepNext w:val="0"/>
              <w:keepLines w:val="0"/>
              <w:pageBreakBefore w:val="0"/>
              <w:widowControl w:val="0"/>
              <w:spacing w:line="440" w:lineRule="exact"/>
              <w:ind w:right="28"/>
              <w:jc w:val="center"/>
              <w:rPr>
                <w:rFonts w:hint="eastAsia"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42</w:t>
            </w:r>
          </w:p>
        </w:tc>
        <w:tc>
          <w:tcPr>
            <w:tcW w:w="5245" w:type="dxa"/>
            <w:noWrap w:val="0"/>
          </w:tcPr>
          <w:p w14:paraId="111F8719">
            <w:pPr>
              <w:keepNext w:val="0"/>
              <w:keepLines w:val="0"/>
              <w:pageBreakBefore w:val="0"/>
              <w:widowControl w:val="0"/>
              <w:spacing w:line="440" w:lineRule="exact"/>
              <w:ind w:right="28"/>
              <w:jc w:val="center"/>
              <w:rPr>
                <w:rFonts w:hint="eastAsia"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出现重大事故隐患</w:t>
            </w:r>
          </w:p>
        </w:tc>
        <w:tc>
          <w:tcPr>
            <w:tcW w:w="1559" w:type="dxa"/>
            <w:noWrap w:val="0"/>
          </w:tcPr>
          <w:p w14:paraId="5A987D1E">
            <w:pPr>
              <w:keepNext w:val="0"/>
              <w:keepLines w:val="0"/>
              <w:pageBreakBefore w:val="0"/>
              <w:widowControl w:val="0"/>
              <w:spacing w:line="440" w:lineRule="exact"/>
              <w:ind w:right="28"/>
              <w:jc w:val="center"/>
              <w:rPr>
                <w:rFonts w:hint="eastAsia"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5000元/次</w:t>
            </w:r>
          </w:p>
        </w:tc>
        <w:tc>
          <w:tcPr>
            <w:tcW w:w="788" w:type="dxa"/>
            <w:noWrap w:val="0"/>
          </w:tcPr>
          <w:p w14:paraId="4F44B019">
            <w:pPr>
              <w:spacing w:line="360" w:lineRule="auto"/>
              <w:ind w:right="28"/>
              <w:jc w:val="center"/>
              <w:rPr>
                <w:rFonts w:ascii="仿宋_GB2312" w:eastAsia="仿宋_GB2312" w:hAnsiTheme="minorEastAsia" w:cstheme="minorEastAsia"/>
                <w:highlight w:val="none"/>
              </w:rPr>
            </w:pPr>
          </w:p>
        </w:tc>
      </w:tr>
      <w:tr w14:paraId="5865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tcPr>
          <w:p w14:paraId="3A0485D6">
            <w:pPr>
              <w:keepNext w:val="0"/>
              <w:keepLines w:val="0"/>
              <w:pageBreakBefore w:val="0"/>
              <w:widowControl w:val="0"/>
              <w:spacing w:line="440" w:lineRule="exact"/>
              <w:ind w:right="28"/>
              <w:jc w:val="center"/>
              <w:rPr>
                <w:rFonts w:hint="eastAsia"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43</w:t>
            </w:r>
          </w:p>
        </w:tc>
        <w:tc>
          <w:tcPr>
            <w:tcW w:w="5245" w:type="dxa"/>
            <w:noWrap w:val="0"/>
          </w:tcPr>
          <w:p w14:paraId="37BE0A49">
            <w:pPr>
              <w:keepNext w:val="0"/>
              <w:keepLines w:val="0"/>
              <w:pageBreakBefore w:val="0"/>
              <w:widowControl w:val="0"/>
              <w:spacing w:line="440" w:lineRule="exact"/>
              <w:ind w:right="28"/>
              <w:jc w:val="center"/>
              <w:rPr>
                <w:rFonts w:hint="eastAsia"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未向甲方提供入场人员体检合格证明</w:t>
            </w:r>
          </w:p>
        </w:tc>
        <w:tc>
          <w:tcPr>
            <w:tcW w:w="1559" w:type="dxa"/>
            <w:noWrap w:val="0"/>
          </w:tcPr>
          <w:p w14:paraId="50202B04">
            <w:pPr>
              <w:keepNext w:val="0"/>
              <w:keepLines w:val="0"/>
              <w:pageBreakBefore w:val="0"/>
              <w:widowControl w:val="0"/>
              <w:spacing w:line="440" w:lineRule="exact"/>
              <w:ind w:right="28"/>
              <w:jc w:val="center"/>
              <w:rPr>
                <w:rFonts w:hint="eastAsia" w:ascii="仿宋_GB2312" w:hAnsi="仿宋_GB2312" w:eastAsia="仿宋_GB2312" w:cs="仿宋_GB2312"/>
                <w:sz w:val="21"/>
                <w:szCs w:val="21"/>
                <w:highlight w:val="none"/>
                <w:u w:val="none"/>
              </w:rPr>
            </w:pPr>
            <w:r>
              <w:rPr>
                <w:rFonts w:hint="eastAsia" w:ascii="仿宋_GB2312" w:hAnsi="仿宋_GB2312" w:eastAsia="仿宋_GB2312" w:cs="仿宋_GB2312"/>
                <w:sz w:val="21"/>
                <w:szCs w:val="21"/>
                <w:highlight w:val="none"/>
                <w:u w:val="none"/>
              </w:rPr>
              <w:t>200元/次</w:t>
            </w:r>
          </w:p>
        </w:tc>
        <w:tc>
          <w:tcPr>
            <w:tcW w:w="788" w:type="dxa"/>
            <w:noWrap w:val="0"/>
          </w:tcPr>
          <w:p w14:paraId="5579B212">
            <w:pPr>
              <w:spacing w:line="360" w:lineRule="auto"/>
              <w:ind w:right="28"/>
              <w:jc w:val="center"/>
              <w:rPr>
                <w:rFonts w:ascii="仿宋_GB2312" w:eastAsia="仿宋_GB2312" w:hAnsiTheme="minorEastAsia" w:cstheme="minorEastAsia"/>
                <w:highlight w:val="none"/>
              </w:rPr>
            </w:pPr>
          </w:p>
        </w:tc>
      </w:tr>
    </w:tbl>
    <w:p w14:paraId="2E3EAB9C">
      <w:pPr>
        <w:widowControl/>
        <w:jc w:val="center"/>
        <w:rPr>
          <w:rFonts w:asciiTheme="minorEastAsia" w:hAnsiTheme="minorEastAsia" w:cstheme="minorEastAsia"/>
          <w:b/>
          <w:bCs/>
          <w:sz w:val="24"/>
          <w:highlight w:val="none"/>
        </w:rPr>
      </w:pPr>
    </w:p>
    <w:p w14:paraId="3DBBED4A">
      <w:pPr>
        <w:widowControl/>
        <w:jc w:val="left"/>
        <w:rPr>
          <w:rFonts w:asciiTheme="minorEastAsia" w:hAnsiTheme="minorEastAsia" w:cstheme="minorEastAsia"/>
          <w:b/>
          <w:bCs/>
          <w:sz w:val="24"/>
          <w:highlight w:val="none"/>
        </w:rPr>
      </w:pPr>
      <w:r>
        <w:rPr>
          <w:rFonts w:asciiTheme="minorEastAsia" w:hAnsiTheme="minorEastAsia" w:cstheme="minorEastAsia"/>
          <w:b/>
          <w:bCs/>
          <w:sz w:val="24"/>
          <w:highlight w:val="none"/>
        </w:rPr>
        <w:br w:type="page" w:clear="all"/>
      </w:r>
    </w:p>
    <w:p w14:paraId="6BC0D9C2">
      <w:pPr>
        <w:pStyle w:val="6"/>
        <w:spacing w:before="156" w:after="156"/>
        <w:ind w:left="0" w:firstLine="562"/>
        <w:rPr>
          <w:rFonts w:hint="eastAsia"/>
          <w:highlight w:val="none"/>
          <w:lang w:val="zh-CN"/>
        </w:rPr>
      </w:pPr>
      <w:r>
        <w:rPr>
          <w:rFonts w:hint="eastAsia"/>
          <w:highlight w:val="none"/>
          <w:u w:val="none"/>
        </w:rPr>
        <w:t>附件</w:t>
      </w:r>
      <w:r>
        <w:rPr>
          <w:rFonts w:hint="eastAsia"/>
          <w:highlight w:val="none"/>
          <w:u w:val="none"/>
          <w:lang w:val="en-US" w:eastAsia="zh-CN"/>
        </w:rPr>
        <w:t>8</w:t>
      </w:r>
      <w:r>
        <w:rPr>
          <w:rFonts w:hint="eastAsia"/>
          <w:highlight w:val="none"/>
          <w:u w:val="none"/>
        </w:rPr>
        <w:t xml:space="preserve">  </w:t>
      </w:r>
      <w:r>
        <w:rPr>
          <w:rFonts w:hint="eastAsia"/>
          <w:highlight w:val="none"/>
          <w:u w:val="none"/>
          <w:lang w:val="zh-CN"/>
        </w:rPr>
        <w:t>项目后勤管理协议</w:t>
      </w:r>
    </w:p>
    <w:p w14:paraId="76342264">
      <w:pPr>
        <w:spacing w:line="480" w:lineRule="exact"/>
        <w:ind w:firstLine="562"/>
        <w:rPr>
          <w:rFonts w:ascii="仿宋_GB2312" w:hAnsi="仿宋_GB2312" w:eastAsia="仿宋_GB2312" w:cs="仿宋_GB2312"/>
          <w:b/>
          <w:color w:val="000000"/>
          <w:sz w:val="28"/>
          <w:szCs w:val="28"/>
          <w:highlight w:val="none"/>
          <w:u w:val="single"/>
        </w:rPr>
      </w:pPr>
      <w:r>
        <w:rPr>
          <w:rFonts w:hint="eastAsia" w:ascii="仿宋_GB2312" w:hAnsi="仿宋_GB2312" w:eastAsia="仿宋_GB2312" w:cs="仿宋_GB2312"/>
          <w:b/>
          <w:color w:val="000000"/>
          <w:sz w:val="28"/>
          <w:szCs w:val="28"/>
          <w:highlight w:val="none"/>
        </w:rPr>
        <w:t>承包人（全称）：【</w:t>
      </w:r>
      <w:bookmarkStart w:id="109" w:name="mf_jiafang_22d9e010-013d-4067-9a84-ea14432fbc6f_6"/>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109"/>
      <w:r>
        <w:rPr>
          <w:rFonts w:hint="eastAsia" w:ascii="仿宋_GB2312" w:hAnsi="仿宋_GB2312" w:eastAsia="仿宋_GB2312" w:cs="仿宋_GB2312"/>
          <w:b/>
          <w:color w:val="000000"/>
          <w:sz w:val="28"/>
          <w:szCs w:val="28"/>
          <w:highlight w:val="none"/>
        </w:rPr>
        <w:t>】（以下简称甲方）</w:t>
      </w:r>
    </w:p>
    <w:p w14:paraId="506AC2EF">
      <w:pPr>
        <w:spacing w:line="480" w:lineRule="exact"/>
        <w:ind w:firstLine="562"/>
        <w:rPr>
          <w:rFonts w:ascii="仿宋_GB2312" w:hAnsi="仿宋_GB2312" w:eastAsia="仿宋_GB2312" w:cs="仿宋_GB2312"/>
          <w:b/>
          <w:color w:val="000000"/>
          <w:sz w:val="28"/>
          <w:szCs w:val="28"/>
          <w:highlight w:val="none"/>
          <w:u w:val="single"/>
        </w:rPr>
      </w:pPr>
      <w:r>
        <w:rPr>
          <w:rFonts w:hint="eastAsia" w:ascii="仿宋_GB2312" w:hAnsi="仿宋_GB2312" w:eastAsia="仿宋_GB2312" w:cs="仿宋_GB2312"/>
          <w:b/>
          <w:color w:val="000000"/>
          <w:sz w:val="28"/>
          <w:szCs w:val="28"/>
          <w:highlight w:val="none"/>
        </w:rPr>
        <w:t>分包人（全称）：【</w:t>
      </w:r>
      <w:bookmarkStart w:id="110" w:name="mf_yifangmaifangchuzufanggongyingfang_f27d5062-cfa7-44db-bc55-a59e9e707656_6"/>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110"/>
      <w:r>
        <w:rPr>
          <w:rFonts w:hint="eastAsia" w:ascii="仿宋_GB2312" w:hAnsi="仿宋_GB2312" w:eastAsia="仿宋_GB2312" w:cs="仿宋_GB2312"/>
          <w:b/>
          <w:color w:val="000000"/>
          <w:sz w:val="28"/>
          <w:szCs w:val="28"/>
          <w:highlight w:val="none"/>
        </w:rPr>
        <w:t>】（以下简称乙方）</w:t>
      </w:r>
    </w:p>
    <w:p w14:paraId="66520874">
      <w:pPr>
        <w:pBdr>
          <w:top w:val="none" w:color="000000" w:sz="0" w:space="0"/>
          <w:left w:val="none" w:color="000000" w:sz="0" w:space="0"/>
          <w:bottom w:val="none" w:color="000000" w:sz="0" w:space="0"/>
          <w:right w:val="none" w:color="000000" w:sz="0" w:space="0"/>
        </w:pBdr>
        <w:spacing w:line="479" w:lineRule="atLeast"/>
        <w:ind w:left="0" w:right="0" w:firstLine="560"/>
        <w:jc w:val="both"/>
        <w:rPr>
          <w:sz w:val="22"/>
        </w:rPr>
      </w:pPr>
      <w:r>
        <w:rPr>
          <w:rFonts w:ascii="FangSong_GB2312" w:hAnsi="FangSong_GB2312" w:eastAsia="FangSong_GB2312" w:cs="FangSong_GB2312"/>
          <w:color w:val="000000"/>
          <w:sz w:val="28"/>
        </w:rPr>
        <w:t>为保证工人生活区生活质量，规范项目临设管理，明确双方权利和义务，规定如下：</w:t>
      </w:r>
    </w:p>
    <w:p w14:paraId="43659113">
      <w:pPr>
        <w:pBdr>
          <w:top w:val="none" w:color="000000" w:sz="0" w:space="0"/>
          <w:left w:val="none" w:color="000000" w:sz="0" w:space="0"/>
          <w:bottom w:val="none" w:color="000000" w:sz="0" w:space="0"/>
          <w:right w:val="none" w:color="000000" w:sz="0" w:space="0"/>
        </w:pBdr>
        <w:spacing w:line="479" w:lineRule="atLeast"/>
        <w:ind w:left="0" w:right="0" w:firstLine="280"/>
        <w:jc w:val="both"/>
        <w:rPr>
          <w:sz w:val="22"/>
        </w:rPr>
      </w:pPr>
      <w:r>
        <w:rPr>
          <w:rFonts w:ascii="FangSong_GB2312" w:hAnsi="FangSong_GB2312" w:eastAsia="FangSong_GB2312" w:cs="FangSong_GB2312"/>
          <w:color w:val="000000"/>
          <w:sz w:val="28"/>
        </w:rPr>
        <w:t>一、收费标准</w:t>
      </w:r>
    </w:p>
    <w:p w14:paraId="680D56C5">
      <w:pPr>
        <w:pBdr>
          <w:top w:val="none" w:color="000000" w:sz="0" w:space="0"/>
          <w:left w:val="none" w:color="000000" w:sz="0" w:space="0"/>
          <w:bottom w:val="none" w:color="000000" w:sz="0" w:space="0"/>
          <w:right w:val="none" w:color="000000" w:sz="0" w:space="0"/>
        </w:pBdr>
        <w:spacing w:line="479" w:lineRule="atLeast"/>
        <w:ind w:left="0" w:right="0" w:firstLine="280"/>
        <w:jc w:val="both"/>
        <w:rPr>
          <w:sz w:val="22"/>
        </w:rPr>
      </w:pPr>
      <w:r>
        <w:rPr>
          <w:rFonts w:ascii="FangSong_GB2312" w:hAnsi="FangSong_GB2312" w:eastAsia="FangSong_GB2312" w:cs="FangSong_GB2312"/>
          <w:color w:val="000000"/>
          <w:sz w:val="28"/>
        </w:rPr>
        <w:t>（1）乙方可自行配置床板床架、空调等生活设施，如需甲方提供床板床架按18元/套/月收取租金，空调按照市场租赁价每月收取租金。</w:t>
      </w:r>
    </w:p>
    <w:p w14:paraId="0C9B4E9A">
      <w:pPr>
        <w:pBdr>
          <w:top w:val="none" w:color="000000" w:sz="0" w:space="0"/>
          <w:left w:val="none" w:color="000000" w:sz="0" w:space="0"/>
          <w:bottom w:val="none" w:color="000000" w:sz="0" w:space="0"/>
          <w:right w:val="none" w:color="000000" w:sz="0" w:space="0"/>
        </w:pBdr>
        <w:spacing w:line="479" w:lineRule="atLeast"/>
        <w:ind w:left="0" w:right="0" w:firstLine="280"/>
        <w:jc w:val="both"/>
        <w:rPr>
          <w:sz w:val="22"/>
        </w:rPr>
      </w:pPr>
      <w:r>
        <w:rPr>
          <w:rFonts w:ascii="FangSong_GB2312" w:hAnsi="FangSong_GB2312" w:eastAsia="FangSong_GB2312" w:cs="FangSong_GB2312"/>
          <w:color w:val="000000"/>
          <w:sz w:val="28"/>
        </w:rPr>
        <w:t>（2）房间按标准居住免费，超标付费的原则。原则上每间标准宿舍住满5-8人的不收取租金，如乙方存在标准房间没有住满5人的，则未住满的房间按500元/间/月收取租金。租金费用由甲方后勤管理部门每月办理结算，交给商务部在乙方当月结算中扣除。</w:t>
      </w:r>
    </w:p>
    <w:p w14:paraId="0B970499">
      <w:pPr>
        <w:pBdr>
          <w:top w:val="none" w:color="000000" w:sz="0" w:space="0"/>
          <w:left w:val="none" w:color="000000" w:sz="0" w:space="0"/>
          <w:bottom w:val="none" w:color="000000" w:sz="0" w:space="0"/>
          <w:right w:val="none" w:color="000000" w:sz="0" w:space="0"/>
        </w:pBdr>
        <w:spacing w:line="479" w:lineRule="atLeast"/>
        <w:ind w:left="0" w:right="0" w:firstLine="280"/>
        <w:jc w:val="both"/>
        <w:rPr>
          <w:sz w:val="22"/>
        </w:rPr>
      </w:pPr>
      <w:r>
        <w:rPr>
          <w:rFonts w:ascii="FangSong_GB2312" w:hAnsi="FangSong_GB2312" w:eastAsia="FangSong_GB2312" w:cs="FangSong_GB2312"/>
          <w:color w:val="000000"/>
          <w:sz w:val="28"/>
        </w:rPr>
        <w:t>（3）乙方严禁发生男女混住情况，一经发现按照1000元/次进行罚款，如有夫妻住宿，甲方则提供夫妻房，房租按300元/间/月收取。</w:t>
      </w:r>
    </w:p>
    <w:p w14:paraId="3506D560">
      <w:pPr>
        <w:pBdr>
          <w:top w:val="none" w:color="000000" w:sz="0" w:space="0"/>
          <w:left w:val="none" w:color="000000" w:sz="0" w:space="0"/>
          <w:bottom w:val="none" w:color="000000" w:sz="0" w:space="0"/>
          <w:right w:val="none" w:color="000000" w:sz="0" w:space="0"/>
        </w:pBdr>
        <w:spacing w:line="479" w:lineRule="atLeast"/>
        <w:ind w:left="0" w:right="0" w:firstLine="280"/>
        <w:jc w:val="both"/>
        <w:rPr>
          <w:sz w:val="22"/>
        </w:rPr>
      </w:pPr>
      <w:r>
        <w:rPr>
          <w:rFonts w:ascii="FangSong_GB2312" w:hAnsi="FangSong_GB2312" w:eastAsia="FangSong_GB2312" w:cs="FangSong_GB2312"/>
          <w:color w:val="000000"/>
          <w:sz w:val="28"/>
        </w:rPr>
        <w:t>（4）甲方安排保洁人员打扫生活区包括厕所、淋浴间等公共区域环境卫生（不含宿舍室内），甲方按照100元/间标准收取卫生费。</w:t>
      </w:r>
    </w:p>
    <w:p w14:paraId="1E7B8DEF">
      <w:pPr>
        <w:pBdr>
          <w:top w:val="none" w:color="000000" w:sz="0" w:space="0"/>
          <w:left w:val="none" w:color="000000" w:sz="0" w:space="0"/>
          <w:bottom w:val="none" w:color="000000" w:sz="0" w:space="0"/>
          <w:right w:val="none" w:color="000000" w:sz="0" w:space="0"/>
        </w:pBdr>
        <w:spacing w:line="479" w:lineRule="atLeast"/>
        <w:ind w:left="0" w:right="0" w:firstLine="280"/>
        <w:jc w:val="both"/>
        <w:rPr>
          <w:sz w:val="22"/>
        </w:rPr>
      </w:pPr>
      <w:r>
        <w:rPr>
          <w:rFonts w:ascii="FangSong_GB2312" w:hAnsi="FangSong_GB2312" w:eastAsia="FangSong_GB2312" w:cs="FangSong_GB2312"/>
          <w:color w:val="000000"/>
          <w:sz w:val="28"/>
        </w:rPr>
        <w:t>（5）如乙方人员故意损坏临建设施及家具、家电，甲方则按照设施采购价格收取赔偿金。</w:t>
      </w:r>
    </w:p>
    <w:p w14:paraId="087A1526">
      <w:pPr>
        <w:pBdr>
          <w:top w:val="none" w:color="000000" w:sz="0" w:space="0"/>
          <w:left w:val="none" w:color="000000" w:sz="0" w:space="0"/>
          <w:bottom w:val="none" w:color="000000" w:sz="0" w:space="0"/>
          <w:right w:val="none" w:color="000000" w:sz="0" w:space="0"/>
        </w:pBdr>
        <w:spacing w:line="479" w:lineRule="atLeast"/>
        <w:ind w:left="0" w:right="0" w:firstLine="560"/>
        <w:jc w:val="both"/>
        <w:rPr>
          <w:sz w:val="22"/>
        </w:rPr>
      </w:pPr>
      <w:r>
        <w:rPr>
          <w:rFonts w:ascii="FangSong_GB2312" w:hAnsi="FangSong_GB2312" w:eastAsia="FangSong_GB2312" w:cs="FangSong_GB2312"/>
          <w:color w:val="000000"/>
          <w:sz w:val="28"/>
        </w:rPr>
        <w:t>二、甲方在工人生活区内设立工人食堂、工友超市等基础生活设施，乙方及乙方所属工人或其他关系人不得使用租用板房另行开办食堂、超市等经营性场所。</w:t>
      </w:r>
    </w:p>
    <w:p w14:paraId="5F2D1CF8">
      <w:pPr>
        <w:pBdr>
          <w:top w:val="none" w:color="000000" w:sz="0" w:space="0"/>
          <w:left w:val="none" w:color="000000" w:sz="0" w:space="0"/>
          <w:bottom w:val="none" w:color="000000" w:sz="0" w:space="0"/>
          <w:right w:val="none" w:color="000000" w:sz="0" w:space="0"/>
        </w:pBdr>
        <w:spacing w:line="479" w:lineRule="atLeast"/>
        <w:ind w:left="0" w:right="0" w:firstLine="560"/>
        <w:jc w:val="both"/>
        <w:rPr>
          <w:sz w:val="22"/>
        </w:rPr>
      </w:pPr>
      <w:r>
        <w:rPr>
          <w:rFonts w:ascii="FangSong_GB2312" w:hAnsi="FangSong_GB2312" w:eastAsia="FangSong_GB2312" w:cs="FangSong_GB2312"/>
          <w:color w:val="000000"/>
          <w:sz w:val="28"/>
        </w:rPr>
        <w:t>三、甲方在生活区内设置的安防设施、消防设施、供电设施、供水设施、卫生清洁设备器具，并负责生活区公共区域的清洁卫生工作。乙方及乙方所属工人必须共同维护设施的完好和生活区内的清洁卫生。一旦乙方所属工人有故意破坏、损坏公共设施、设备的现象，由乙方照价赔偿，且甲方有权根据事件性质和影响追加处罚，处罚标准为：【1000】元/次。屡次发生的，甲方有权提高处罚标准。</w:t>
      </w:r>
    </w:p>
    <w:p w14:paraId="37DD5887">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四、乙方须配合甲方生活区管理规定，按照工人实际进场时间登记使用，并提供乙方入住工人身份证等详细信息。严肃禁止男女混住等情形，如需使用夫妻房的，应提供入住人结婚证等证明文件。期间，如有入住工人变动的，应及时向甲方生活区管理员进行报备。工程完工后，必须及时退出房间。乙方保证入住人员无国家公安机关追逃等情况。</w:t>
      </w:r>
    </w:p>
    <w:p w14:paraId="1BDB9F58">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五、乙方在使用租用房屋的过程中，应遵守以下规定：</w:t>
      </w:r>
    </w:p>
    <w:p w14:paraId="2B612206">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1、宿舍内床应统一摆放，床上用品（被、褥）应清洁卫生叠放整齐，床下鞋盆物品摆放统一整齐，房间卫生保持清洁。</w:t>
      </w:r>
    </w:p>
    <w:p w14:paraId="588AF366">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2、房间内禁止私拉电线，乱接外接电源，严禁使用电饭锅、电炉、取暖器、电热毯等电器设备。违反规定的，一经发现将按照【2000】元/次进行处罚。屡次发现拒不整改的，甲方可提高处罚标准。</w:t>
      </w:r>
    </w:p>
    <w:p w14:paraId="3256F8E4">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3、乙方应教育和引导所属工人妥善保管个人物品和财产，有丢失或遗失的，甲方不承担任何保管、赔偿或补偿责任。</w:t>
      </w:r>
    </w:p>
    <w:p w14:paraId="5CAEE2CE">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4、严禁乙方工人在宿舍内赌博，酗酒闹事，打架斗殴。发现一次按项目管理规定进行处罚，处罚金额为【1000】元至【5000】元不等。情节严重者移交当地公安机关处理。</w:t>
      </w:r>
    </w:p>
    <w:p w14:paraId="45D49101">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5、乙方所属工人严禁赤膊、光背、穿拖鞋出现在项目部办公区域。</w:t>
      </w:r>
    </w:p>
    <w:p w14:paraId="52327AF0">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6、乙方承担租用房屋门前及走廊卫生清洁责任。各施工单位及班组按合同规定要求执行。</w:t>
      </w:r>
    </w:p>
    <w:p w14:paraId="37A53364">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六、乙方有下列情形之一的，甲方可以收回房屋：</w:t>
      </w:r>
    </w:p>
    <w:p w14:paraId="269EFA4E">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1、擅自将房屋转租、分租、转借或与他人调剂交换的；</w:t>
      </w:r>
    </w:p>
    <w:p w14:paraId="33C94E63">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2、利用房屋进行非法活动，损害公共利益的；</w:t>
      </w:r>
    </w:p>
    <w:p w14:paraId="49CEEC87">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3、未按期、足额缴纳房屋水电费的；</w:t>
      </w:r>
    </w:p>
    <w:p w14:paraId="304AF0B6">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4、使用房屋内起火做饭、使用大功率电器、乱拉乱接电线等情形严重的，或未按照甲方安全检查要求进行整改的；</w:t>
      </w:r>
    </w:p>
    <w:p w14:paraId="0763B9B2">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5、乙方所属工人在生活区范围内出现聚众赌博、打架斗殴、酗酒闹事和其他违法犯罪行为的，或因乙方或乙方所属工人其他不当行为对项目部造成负面社会影响的；</w:t>
      </w:r>
    </w:p>
    <w:p w14:paraId="7DFB46B0">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6、不服从甲方《生活区管理条例》的。</w:t>
      </w:r>
    </w:p>
    <w:p w14:paraId="15CDC40D">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 xml:space="preserve">七、违约责任 </w:t>
      </w:r>
    </w:p>
    <w:p w14:paraId="14781638">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1、乙方在居住期间不得破坏房屋，如有破坏乙方按市场价赔偿。</w:t>
      </w:r>
    </w:p>
    <w:p w14:paraId="114D5359">
      <w:pPr>
        <w:pBdr>
          <w:top w:val="none" w:color="000000" w:sz="0" w:space="0"/>
          <w:left w:val="none" w:color="000000" w:sz="0" w:space="0"/>
          <w:bottom w:val="none" w:color="000000" w:sz="0" w:space="0"/>
          <w:right w:val="none" w:color="000000" w:sz="0" w:space="0"/>
        </w:pBdr>
        <w:spacing w:line="479" w:lineRule="atLeast"/>
        <w:ind w:left="0" w:right="0" w:firstLine="700"/>
        <w:jc w:val="both"/>
        <w:rPr>
          <w:sz w:val="22"/>
        </w:rPr>
      </w:pPr>
      <w:r>
        <w:rPr>
          <w:rFonts w:ascii="FangSong_GB2312" w:hAnsi="FangSong_GB2312" w:eastAsia="FangSong_GB2312" w:cs="FangSong_GB2312"/>
          <w:color w:val="000000"/>
          <w:sz w:val="28"/>
        </w:rPr>
        <w:t>2、本规定中乙方使用期满时，乙方未经甲方事先书面同意继续使用房屋的，向甲方支付【500】元/天·间的违约金，甲方仍有终止提供临时设施的权利。</w:t>
      </w:r>
    </w:p>
    <w:p w14:paraId="4A17EFA9">
      <w:pPr>
        <w:pBdr>
          <w:top w:val="none" w:color="000000" w:sz="0" w:space="0"/>
          <w:left w:val="none" w:color="000000" w:sz="0" w:space="0"/>
          <w:bottom w:val="none" w:color="000000" w:sz="0" w:space="0"/>
          <w:right w:val="none" w:color="000000" w:sz="0" w:space="0"/>
        </w:pBdr>
        <w:spacing w:line="479" w:lineRule="atLeast"/>
        <w:ind w:left="0" w:right="0" w:firstLine="700"/>
        <w:jc w:val="both"/>
        <w:rPr>
          <w:rFonts w:ascii="FangSong_GB2312" w:hAnsi="FangSong_GB2312" w:eastAsia="FangSong_GB2312" w:cs="FangSong_GB2312"/>
          <w:color w:val="000000"/>
          <w:sz w:val="28"/>
          <w:szCs w:val="28"/>
          <w14:ligatures w14:val="none"/>
        </w:rPr>
      </w:pPr>
      <w:r>
        <w:rPr>
          <w:rFonts w:ascii="FangSong_GB2312" w:hAnsi="FangSong_GB2312" w:eastAsia="FangSong_GB2312" w:cs="FangSong_GB2312"/>
          <w:color w:val="000000"/>
          <w:sz w:val="28"/>
          <w:szCs w:val="28"/>
        </w:rPr>
        <w:t>3、在居住期间如由于乙方使用不当给甲方造成损失的，乙方承担责任并赔偿所有损失。</w:t>
      </w:r>
    </w:p>
    <w:p w14:paraId="2675916A">
      <w:pPr>
        <w:pBdr>
          <w:top w:val="none" w:color="000000" w:sz="0" w:space="0"/>
          <w:left w:val="none" w:color="000000" w:sz="0" w:space="0"/>
          <w:bottom w:val="none" w:color="000000" w:sz="0" w:space="0"/>
          <w:right w:val="none" w:color="000000" w:sz="0" w:space="0"/>
        </w:pBdr>
        <w:spacing w:line="479" w:lineRule="atLeast"/>
        <w:ind w:left="0" w:right="0" w:firstLine="700"/>
        <w:jc w:val="both"/>
        <w:rPr>
          <w:rFonts w:ascii="FangSong_GB2312" w:hAnsi="FangSong_GB2312" w:eastAsia="FangSong_GB2312" w:cs="FangSong_GB2312"/>
          <w:color w:val="000000"/>
          <w:sz w:val="28"/>
          <w:szCs w:val="28"/>
          <w14:ligatures w14:val="none"/>
        </w:rPr>
      </w:pPr>
      <w:r>
        <w:rPr>
          <w:rFonts w:ascii="FangSong_GB2312" w:hAnsi="FangSong_GB2312" w:eastAsia="FangSong_GB2312" w:cs="FangSong_GB2312"/>
          <w:color w:val="000000"/>
          <w:sz w:val="28"/>
          <w:szCs w:val="28"/>
        </w:rPr>
        <w:t>本协议作为附件与分包合同同时签订，自乙方于分包合同盖章之日起生效，乙方必须严格执行，由于乙方违反本协议而给甲方造成的一切损失，由乙方承担赔偿责任。</w:t>
      </w:r>
    </w:p>
    <w:p w14:paraId="0C599BE1">
      <w:pPr>
        <w:spacing w:line="480" w:lineRule="exact"/>
        <w:ind w:left="105" w:right="28" w:firstLine="482"/>
        <w:rPr>
          <w:rFonts w:ascii="仿宋_GB2312" w:eastAsia="仿宋_GB2312" w:hAnsiTheme="minorEastAsia" w:cstheme="minorEastAsia"/>
          <w:sz w:val="28"/>
          <w:szCs w:val="28"/>
          <w:highlight w:val="none"/>
        </w:rPr>
      </w:pPr>
    </w:p>
    <w:p w14:paraId="069702F1">
      <w:pPr>
        <w:rPr>
          <w:rFonts w:asciiTheme="minorEastAsia" w:hAnsiTheme="minorEastAsia" w:cstheme="minorEastAsia"/>
          <w:bCs/>
          <w:sz w:val="28"/>
          <w:szCs w:val="28"/>
          <w:highlight w:val="none"/>
        </w:rPr>
      </w:pPr>
      <w:r>
        <w:rPr>
          <w:rFonts w:hint="eastAsia" w:asciiTheme="minorEastAsia" w:hAnsiTheme="minorEastAsia" w:cstheme="minorEastAsia"/>
          <w:bCs/>
          <w:sz w:val="28"/>
          <w:szCs w:val="28"/>
          <w:highlight w:val="none"/>
        </w:rPr>
        <w:br w:type="page" w:clear="all"/>
      </w:r>
    </w:p>
    <w:p w14:paraId="35AAD93E">
      <w:pPr>
        <w:pStyle w:val="6"/>
        <w:spacing w:before="156" w:after="156"/>
        <w:ind w:left="0" w:firstLine="562"/>
        <w:rPr>
          <w:highlight w:val="none"/>
        </w:rPr>
      </w:pPr>
      <w:r>
        <w:rPr>
          <w:rFonts w:hint="eastAsia"/>
          <w:highlight w:val="none"/>
          <w:u w:val="none"/>
        </w:rPr>
        <w:t>附件</w:t>
      </w:r>
      <w:r>
        <w:rPr>
          <w:rFonts w:hint="eastAsia"/>
          <w:highlight w:val="none"/>
          <w:u w:val="none"/>
          <w:lang w:val="en-US" w:eastAsia="zh-CN"/>
        </w:rPr>
        <w:t>9</w:t>
      </w:r>
      <w:r>
        <w:rPr>
          <w:rFonts w:hint="eastAsia"/>
          <w:highlight w:val="none"/>
          <w:u w:val="none"/>
        </w:rPr>
        <w:t xml:space="preserve"> </w:t>
      </w:r>
      <w:r>
        <w:rPr>
          <w:rFonts w:hint="eastAsia"/>
          <w:highlight w:val="none"/>
          <w:u w:val="none"/>
          <w:lang w:val="en-US" w:eastAsia="zh-CN"/>
        </w:rPr>
        <w:t xml:space="preserve"> </w:t>
      </w:r>
      <w:r>
        <w:rPr>
          <w:rFonts w:hint="eastAsia"/>
          <w:highlight w:val="none"/>
          <w:u w:val="none"/>
        </w:rPr>
        <w:t>质量保修书</w:t>
      </w:r>
    </w:p>
    <w:p w14:paraId="7E838FF4">
      <w:pPr>
        <w:spacing w:line="480" w:lineRule="exact"/>
        <w:ind w:firstLine="562"/>
        <w:rPr>
          <w:rFonts w:ascii="仿宋_GB2312" w:hAnsi="仿宋_GB2312" w:eastAsia="仿宋_GB2312" w:cs="仿宋_GB2312"/>
          <w:b/>
          <w:color w:val="000000"/>
          <w:sz w:val="28"/>
          <w:szCs w:val="28"/>
          <w:highlight w:val="none"/>
          <w:u w:val="single"/>
        </w:rPr>
      </w:pPr>
      <w:r>
        <w:rPr>
          <w:rFonts w:hint="eastAsia" w:ascii="仿宋_GB2312" w:hAnsi="仿宋_GB2312" w:eastAsia="仿宋_GB2312" w:cs="仿宋_GB2312"/>
          <w:b/>
          <w:color w:val="000000"/>
          <w:sz w:val="28"/>
          <w:szCs w:val="28"/>
          <w:highlight w:val="none"/>
        </w:rPr>
        <w:t>承包人（全称）：【</w:t>
      </w:r>
      <w:bookmarkStart w:id="111" w:name="mf_jiafang_22d9e010-013d-4067-9a84-ea14432fbc6f_7"/>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111"/>
      <w:r>
        <w:rPr>
          <w:rFonts w:hint="eastAsia" w:ascii="仿宋_GB2312" w:hAnsi="仿宋_GB2312" w:eastAsia="仿宋_GB2312" w:cs="仿宋_GB2312"/>
          <w:b/>
          <w:color w:val="000000"/>
          <w:sz w:val="28"/>
          <w:szCs w:val="28"/>
          <w:highlight w:val="none"/>
        </w:rPr>
        <w:t>】（以下简称甲方）</w:t>
      </w:r>
    </w:p>
    <w:p w14:paraId="0506730A">
      <w:pPr>
        <w:spacing w:line="480" w:lineRule="exact"/>
        <w:ind w:firstLine="562"/>
        <w:rPr>
          <w:rFonts w:ascii="仿宋_GB2312" w:hAnsi="仿宋_GB2312" w:eastAsia="仿宋_GB2312" w:cs="仿宋_GB2312"/>
          <w:b/>
          <w:color w:val="000000"/>
          <w:sz w:val="28"/>
          <w:szCs w:val="28"/>
          <w:highlight w:val="none"/>
          <w:u w:val="single"/>
        </w:rPr>
      </w:pPr>
      <w:r>
        <w:rPr>
          <w:rFonts w:hint="eastAsia" w:ascii="仿宋_GB2312" w:hAnsi="仿宋_GB2312" w:eastAsia="仿宋_GB2312" w:cs="仿宋_GB2312"/>
          <w:b/>
          <w:color w:val="000000"/>
          <w:sz w:val="28"/>
          <w:szCs w:val="28"/>
          <w:highlight w:val="none"/>
        </w:rPr>
        <w:t>分包人（全称）：【</w:t>
      </w:r>
      <w:bookmarkStart w:id="112" w:name="mf_yifangmaifangchuzufanggongyingfang_f27d5062-cfa7-44db-bc55-a59e9e707656_7"/>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112"/>
      <w:r>
        <w:rPr>
          <w:rFonts w:hint="eastAsia" w:ascii="仿宋_GB2312" w:hAnsi="仿宋_GB2312" w:eastAsia="仿宋_GB2312" w:cs="仿宋_GB2312"/>
          <w:b/>
          <w:color w:val="000000"/>
          <w:sz w:val="28"/>
          <w:szCs w:val="28"/>
          <w:highlight w:val="none"/>
        </w:rPr>
        <w:t>】（以下简称乙方）</w:t>
      </w:r>
    </w:p>
    <w:p w14:paraId="75533646">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为保证【</w:t>
      </w:r>
      <w:bookmarkStart w:id="113" w:name="mf_xiangmumingcheng_9b5eeff3-c2ad-4cc3-bf2c-5e63b0922ee5_6"/>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r>
        <w:rPr>
          <w:rFonts w:hint="eastAsia" w:ascii="仿宋_GB2312" w:eastAsia="仿宋_GB2312" w:hAnsiTheme="minorEastAsia" w:cstheme="minorEastAsia"/>
          <w:bCs/>
          <w:sz w:val="28"/>
          <w:szCs w:val="28"/>
          <w:highlight w:val="none"/>
          <w:u w:val="single"/>
        </w:rPr>
        <w:tab/>
      </w:r>
      <w:bookmarkEnd w:id="113"/>
      <w:r>
        <w:rPr>
          <w:rFonts w:hint="eastAsia" w:ascii="仿宋_GB2312" w:eastAsia="仿宋_GB2312" w:hAnsiTheme="minorEastAsia" w:cstheme="minorEastAsia"/>
          <w:bCs/>
          <w:sz w:val="28"/>
          <w:szCs w:val="28"/>
          <w:highlight w:val="none"/>
        </w:rPr>
        <w:t>】工程（下称“本工程”）的正常使用，甲方与乙方协商一致，按《建设工程质量管理条例》及相关法律法规，就乙方的分包工程签订本质量保修书。</w:t>
      </w:r>
    </w:p>
    <w:p w14:paraId="558AEF3B">
      <w:pPr>
        <w:spacing w:line="480" w:lineRule="exact"/>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一、质量保修期</w:t>
      </w:r>
    </w:p>
    <w:p w14:paraId="32E1E42F">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本工程的质量保修期从本工程竣工验收合格之日起算。</w:t>
      </w:r>
    </w:p>
    <w:p w14:paraId="124678CF">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本工程的质量保修期不少于《建设工程质量管理条例》、相关法律法规规定及本保修书约定的质量保修期，其中：</w:t>
      </w:r>
    </w:p>
    <w:p w14:paraId="3FC731F6">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1、地基基础工程与主体结构工程的质量保修期为设计文件规定的本工程的合理使用年限；</w:t>
      </w:r>
    </w:p>
    <w:p w14:paraId="67D06010">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2、屋面、厨房、卫生间、地下室、外墙面、门窗框以及其他有防水要求工程项目的防渗漏的质量保修期为5年；</w:t>
      </w:r>
    </w:p>
    <w:p w14:paraId="0F9F4F98">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3、装修工程的质量保修期为2年；</w:t>
      </w:r>
    </w:p>
    <w:p w14:paraId="29F78B80">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4、电气管线、给排水管道、设备安装工程的质量保修期为2年；</w:t>
      </w:r>
    </w:p>
    <w:p w14:paraId="2175B41A">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5、供热系统的质量保修期为2个采暖期，供冷系统的质量保修期为2个供冷期；</w:t>
      </w:r>
    </w:p>
    <w:p w14:paraId="796E0D19">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6、室外道路、地下污水管道等工程的质量保修期为2年；</w:t>
      </w:r>
    </w:p>
    <w:p w14:paraId="73EB01E1">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7、其他工程的质量保修期按照国家《建设工程质量管理条例》及相关法律法规执行，但不得少于2年。</w:t>
      </w:r>
    </w:p>
    <w:p w14:paraId="49AEDF18">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若总承包合同或法律法规对分部分项工程有更长的质量保修期规定，则乙方应以较长的质量保修期为准承担质量保修责任。</w:t>
      </w:r>
    </w:p>
    <w:p w14:paraId="4864ABEC">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在质量保修期内，若某项经过维修，则该项的质量保修期自其维修完毕并经甲方验收合格之日起重新计算。若某项经过多次维修，则该项的质量保修期自其最后一次维修完毕并经甲方验收合格之日起重新计算。</w:t>
      </w:r>
    </w:p>
    <w:p w14:paraId="238E4ACF">
      <w:pPr>
        <w:spacing w:line="480" w:lineRule="exact"/>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二、保修范围</w:t>
      </w:r>
    </w:p>
    <w:p w14:paraId="4AC57D9A">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1、乙方承担保修责任的范围包括其依据本合同（含本合同的补充协议）所承接的施工项目和所供应的全部物料。</w:t>
      </w:r>
    </w:p>
    <w:p w14:paraId="5223F1E9">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2、除建设单位使用不当或不可抗力造成的损坏外，分包合同范围内的所有工程质量问题均属乙方的保修责任范围。</w:t>
      </w:r>
    </w:p>
    <w:p w14:paraId="6DD06FB1">
      <w:pPr>
        <w:spacing w:line="480" w:lineRule="exact"/>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三、保修费用</w:t>
      </w:r>
    </w:p>
    <w:p w14:paraId="4451766D">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1、分包工程在质量保修期内，发生质量问题，乙方应当履行保修义务。</w:t>
      </w:r>
    </w:p>
    <w:p w14:paraId="0818AD62">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2、由于分包工程质量问题造成甲方，建设单位的全部直接和间接损失，由乙方无条件承担。</w:t>
      </w:r>
    </w:p>
    <w:p w14:paraId="5D9CB6A2">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3、乙方无正当理由拒绝或者怠于履行保修义务，或者履行保修义务不符合约定，致使甲方承担侵权责任或违约责任以及连带责任的，乙方应赔偿甲方的损失。</w:t>
      </w:r>
    </w:p>
    <w:p w14:paraId="4EA91601">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4、乙方应当遵照甲方发出的维修通知，具体负责维修工作。若乙方无正当理由拒绝或者怠于履行保修义务，甲方有权自行委托第三方维修，乙方应承担全部费用；每出现一次前述行为，甲方有权要求乙方承担【</w:t>
      </w:r>
      <w:r>
        <w:rPr>
          <w:rFonts w:hint="eastAsia" w:ascii="仿宋_GB2312" w:eastAsia="仿宋_GB2312" w:hAnsiTheme="minorEastAsia" w:cstheme="minorEastAsia"/>
          <w:bCs/>
          <w:sz w:val="28"/>
          <w:szCs w:val="28"/>
          <w:highlight w:val="none"/>
          <w:lang w:val="en-US" w:eastAsia="zh-CN"/>
        </w:rPr>
        <w:t>100000</w:t>
      </w:r>
      <w:r>
        <w:rPr>
          <w:rFonts w:hint="eastAsia" w:ascii="仿宋_GB2312" w:eastAsia="仿宋_GB2312" w:hAnsiTheme="minorEastAsia" w:cstheme="minorEastAsia"/>
          <w:bCs/>
          <w:sz w:val="28"/>
          <w:szCs w:val="28"/>
          <w:highlight w:val="none"/>
        </w:rPr>
        <w:t>】元违约金。</w:t>
      </w:r>
    </w:p>
    <w:p w14:paraId="05E46154">
      <w:pPr>
        <w:spacing w:line="480" w:lineRule="exact"/>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四、保修处理时限</w:t>
      </w:r>
    </w:p>
    <w:p w14:paraId="3C210BA7">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1、分包工程出现影响本项目正常使用的质量问题时，包括但不限于渗水，漏水，给排水、供电设施和线路故障，乙方承诺在收到甲方通知后4小时内赶到现场并于12小时内完成维修。</w:t>
      </w:r>
    </w:p>
    <w:p w14:paraId="7ECE6F21">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2、发生其他紧急抢修事故的，乙方在接到甲方的通知后，应当立即到达事故现场抢修。</w:t>
      </w:r>
    </w:p>
    <w:p w14:paraId="6FA66A5E">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3、其他情况下，乙方须在甲方通知后24小时内赶到现场，并于48小时内完成通知所涉及之保修、维修项目。</w:t>
      </w:r>
    </w:p>
    <w:p w14:paraId="1DFC56BB">
      <w:pPr>
        <w:spacing w:line="480" w:lineRule="exact"/>
        <w:rPr>
          <w:rFonts w:ascii="仿宋_GB2312" w:eastAsia="仿宋_GB2312" w:hAnsiTheme="minorEastAsia" w:cstheme="minorEastAsia"/>
          <w:b/>
          <w:sz w:val="28"/>
          <w:szCs w:val="28"/>
          <w:highlight w:val="none"/>
        </w:rPr>
      </w:pPr>
      <w:r>
        <w:rPr>
          <w:rFonts w:hint="eastAsia" w:ascii="仿宋_GB2312" w:eastAsia="仿宋_GB2312" w:hAnsiTheme="minorEastAsia" w:cstheme="minorEastAsia"/>
          <w:b/>
          <w:sz w:val="28"/>
          <w:szCs w:val="28"/>
          <w:highlight w:val="none"/>
        </w:rPr>
        <w:t>五、其他约定</w:t>
      </w:r>
    </w:p>
    <w:p w14:paraId="33C3D3BA">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1、对于涉及结构安全的质量问题，乙方应当按照《建设工程质量管理条例》的规定，立即向甲方报告，并采取安全防范措施；由甲方和建设单位协商提出维修方案，由乙方负责实施。</w:t>
      </w:r>
    </w:p>
    <w:p w14:paraId="057780B7">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2、每次维修完毕后，乙方应填写维修单交甲方、建设单位签字验收。</w:t>
      </w:r>
    </w:p>
    <w:p w14:paraId="002F1C65">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 xml:space="preserve">3、质保期内，如发生下列情况之一，甲方有权自行或另行聘请第三方进行维修，由此引起的费用、损失和责任由乙方承担，甲方有权直接从质量保修金或其他应付款项中扣除，不足部分仍可向乙方追偿： </w:t>
      </w:r>
    </w:p>
    <w:p w14:paraId="7D622D03">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1）接到报修通知（口头或书面）后，明示或暗示拒不履行保修义务的；</w:t>
      </w:r>
    </w:p>
    <w:p w14:paraId="3CA3E562">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2）无正当理由，在规定的时间内未履行或未完成保修义务而又不能提供解决方案的；</w:t>
      </w:r>
    </w:p>
    <w:p w14:paraId="2835DD9C">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3）紧急情况下，不履行保修义务，将严重影响生产或生活的；</w:t>
      </w:r>
    </w:p>
    <w:p w14:paraId="5D5B8DE6">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 xml:space="preserve">4）对同一位置或部件经过三次维修仍未彻底解决问题的； </w:t>
      </w:r>
    </w:p>
    <w:p w14:paraId="063168E6">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5）因现场保修人员的服务行为引起投诉的；</w:t>
      </w:r>
    </w:p>
    <w:p w14:paraId="4FDF2BC4">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6）乙方破产或丧失相应资质，而又不能提出解决方案的；</w:t>
      </w:r>
    </w:p>
    <w:p w14:paraId="452F0BB6">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7）出现其他违反本保修书及合同约定保修义务行为的。</w:t>
      </w:r>
    </w:p>
    <w:p w14:paraId="08D8E03F">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4、无论工程质量问题是何种原因造成的，乙方均应在接到通知后，进行维修。经判定，不属乙方责任的，由责任方向乙方支付合理的材料及人工费用。</w:t>
      </w:r>
    </w:p>
    <w:p w14:paraId="03EE6C26">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5、乙方同意在质量保修期满后至本工程有效使用年限内，按甲方的要求继续提供适当维修服务，并按最优惠价格收取费用。</w:t>
      </w:r>
    </w:p>
    <w:p w14:paraId="7BFE56A7">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6、本质量保修书中约定的、乙方应当支付给甲方的各种款项，包括但不限于违约金、赔偿金和委托整改费用，甲方有权从质保金或从其他应付乙方的款项中直接扣除。如质保金金额不足，甲方有权继续要求乙方承担（包括从其他应付乙方款项中扣除或是直接向乙方追偿）。</w:t>
      </w:r>
    </w:p>
    <w:p w14:paraId="40F9ED22">
      <w:pPr>
        <w:spacing w:line="480" w:lineRule="exact"/>
        <w:ind w:firstLine="560"/>
        <w:rPr>
          <w:rFonts w:ascii="仿宋_GB2312" w:eastAsia="仿宋_GB2312" w:hAnsiTheme="minorEastAsia" w:cstheme="minorEastAsia"/>
          <w:bCs/>
          <w:sz w:val="28"/>
          <w:szCs w:val="28"/>
          <w:highlight w:val="none"/>
        </w:rPr>
      </w:pPr>
      <w:r>
        <w:rPr>
          <w:rFonts w:hint="eastAsia" w:ascii="仿宋_GB2312" w:eastAsia="仿宋_GB2312" w:hAnsiTheme="minorEastAsia" w:cstheme="minorEastAsia"/>
          <w:bCs/>
          <w:sz w:val="28"/>
          <w:szCs w:val="28"/>
          <w:highlight w:val="none"/>
        </w:rPr>
        <w:t>本质量保修书作为分包合同的附件，具有同等法律效力，与合同同日生效,至分包工程保修期满为止。</w:t>
      </w:r>
    </w:p>
    <w:p w14:paraId="12410704">
      <w:pPr>
        <w:widowControl/>
        <w:jc w:val="left"/>
        <w:rPr>
          <w:rFonts w:asciiTheme="minorEastAsia" w:hAnsiTheme="minorEastAsia" w:cstheme="minorEastAsia"/>
          <w:bCs/>
          <w:szCs w:val="21"/>
          <w:highlight w:val="none"/>
        </w:rPr>
      </w:pPr>
      <w:r>
        <w:rPr>
          <w:rFonts w:asciiTheme="minorEastAsia" w:hAnsiTheme="minorEastAsia" w:cstheme="minorEastAsia"/>
          <w:bCs/>
          <w:szCs w:val="21"/>
          <w:highlight w:val="none"/>
        </w:rPr>
        <w:br w:type="page" w:clear="all"/>
      </w:r>
    </w:p>
    <w:p w14:paraId="3268973A">
      <w:pPr>
        <w:pStyle w:val="6"/>
        <w:spacing w:before="156" w:after="156"/>
        <w:ind w:left="0" w:firstLine="562"/>
        <w:rPr>
          <w:highlight w:val="none"/>
        </w:rPr>
      </w:pPr>
      <w:r>
        <w:rPr>
          <w:rFonts w:hint="eastAsia"/>
          <w:highlight w:val="none"/>
          <w:u w:val="none"/>
        </w:rPr>
        <w:t>附件1</w:t>
      </w:r>
      <w:r>
        <w:rPr>
          <w:rFonts w:hint="eastAsia"/>
          <w:highlight w:val="none"/>
          <w:u w:val="none"/>
          <w:lang w:val="en-US" w:eastAsia="zh-CN"/>
        </w:rPr>
        <w:t>0</w:t>
      </w:r>
      <w:r>
        <w:rPr>
          <w:rFonts w:hint="eastAsia"/>
          <w:highlight w:val="none"/>
          <w:u w:val="none"/>
        </w:rPr>
        <w:t xml:space="preserve"> </w:t>
      </w:r>
      <w:r>
        <w:rPr>
          <w:rFonts w:hint="eastAsia"/>
          <w:highlight w:val="none"/>
          <w:u w:val="none"/>
          <w:lang w:val="en-US" w:eastAsia="zh-CN"/>
        </w:rPr>
        <w:t xml:space="preserve"> </w:t>
      </w:r>
      <w:r>
        <w:rPr>
          <w:rFonts w:hint="eastAsia"/>
          <w:highlight w:val="none"/>
          <w:u w:val="none"/>
        </w:rPr>
        <w:t>农民工工资委托支付协议</w:t>
      </w:r>
    </w:p>
    <w:p w14:paraId="50AD8439">
      <w:pPr>
        <w:spacing w:line="480" w:lineRule="exact"/>
        <w:ind w:firstLine="562"/>
        <w:rPr>
          <w:rFonts w:ascii="仿宋_GB2312" w:hAnsi="仿宋_GB2312" w:eastAsia="仿宋_GB2312" w:cs="仿宋_GB2312"/>
          <w:b/>
          <w:color w:val="000000"/>
          <w:sz w:val="28"/>
          <w:szCs w:val="28"/>
          <w:highlight w:val="none"/>
          <w:u w:val="single"/>
        </w:rPr>
      </w:pPr>
      <w:r>
        <w:rPr>
          <w:rFonts w:hint="eastAsia" w:ascii="仿宋_GB2312" w:hAnsi="仿宋_GB2312" w:eastAsia="仿宋_GB2312" w:cs="仿宋_GB2312"/>
          <w:b/>
          <w:color w:val="000000"/>
          <w:sz w:val="28"/>
          <w:szCs w:val="28"/>
          <w:highlight w:val="none"/>
        </w:rPr>
        <w:t>承包人（全称）：【</w:t>
      </w:r>
      <w:bookmarkStart w:id="114" w:name="mf_jiafang_22d9e010-013d-4067-9a84-ea14432fbc6f_8"/>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114"/>
      <w:r>
        <w:rPr>
          <w:rFonts w:hint="eastAsia" w:ascii="仿宋_GB2312" w:hAnsi="仿宋_GB2312" w:eastAsia="仿宋_GB2312" w:cs="仿宋_GB2312"/>
          <w:b/>
          <w:color w:val="000000"/>
          <w:sz w:val="28"/>
          <w:szCs w:val="28"/>
          <w:highlight w:val="none"/>
        </w:rPr>
        <w:t>】（以下简称甲方）</w:t>
      </w:r>
    </w:p>
    <w:p w14:paraId="438E5897">
      <w:pPr>
        <w:spacing w:line="480" w:lineRule="exact"/>
        <w:ind w:firstLine="562"/>
        <w:rPr>
          <w:rFonts w:ascii="仿宋_GB2312" w:hAnsi="仿宋_GB2312" w:eastAsia="仿宋_GB2312" w:cs="仿宋_GB2312"/>
          <w:b/>
          <w:color w:val="000000"/>
          <w:sz w:val="28"/>
          <w:szCs w:val="28"/>
          <w:highlight w:val="none"/>
          <w:u w:val="single"/>
        </w:rPr>
      </w:pPr>
      <w:r>
        <w:rPr>
          <w:rFonts w:hint="eastAsia" w:ascii="仿宋_GB2312" w:hAnsi="仿宋_GB2312" w:eastAsia="仿宋_GB2312" w:cs="仿宋_GB2312"/>
          <w:b/>
          <w:color w:val="000000"/>
          <w:sz w:val="28"/>
          <w:szCs w:val="28"/>
          <w:highlight w:val="none"/>
        </w:rPr>
        <w:t>分包人（全称）：【</w:t>
      </w:r>
      <w:bookmarkStart w:id="115" w:name="mf_yifangmaifangchuzufanggongyingfang_f27d5062-cfa7-44db-bc55-a59e9e707656_8"/>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115"/>
      <w:r>
        <w:rPr>
          <w:rFonts w:hint="eastAsia" w:ascii="仿宋_GB2312" w:hAnsi="仿宋_GB2312" w:eastAsia="仿宋_GB2312" w:cs="仿宋_GB2312"/>
          <w:b/>
          <w:color w:val="000000"/>
          <w:sz w:val="28"/>
          <w:szCs w:val="28"/>
          <w:highlight w:val="none"/>
        </w:rPr>
        <w:t>】（以下简称乙方）</w:t>
      </w:r>
    </w:p>
    <w:p w14:paraId="5A94B57B">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为保障工程建设顺利实施，保障农民工合法权益，现甲乙双方根据国家对农民工工资专项支付的相关要求，在公平公正、友好协商的基础上，就【</w:t>
      </w:r>
      <w:bookmarkStart w:id="116" w:name="mf_xiangmumingcheng_9b5eeff3-c2ad-4cc3-bf2c-5e63b0922ee5_7"/>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bookmarkEnd w:id="116"/>
      <w:r>
        <w:rPr>
          <w:rFonts w:hint="eastAsia" w:ascii="仿宋_GB2312" w:eastAsia="仿宋_GB2312" w:hAnsiTheme="minorEastAsia" w:cstheme="minorEastAsia"/>
          <w:sz w:val="28"/>
          <w:szCs w:val="28"/>
          <w:highlight w:val="none"/>
        </w:rPr>
        <w:t>】项目农民工工资委托支付事宜签订本协议。</w:t>
      </w:r>
    </w:p>
    <w:p w14:paraId="5F8FA8EE">
      <w:pPr>
        <w:spacing w:line="480" w:lineRule="exact"/>
        <w:ind w:firstLine="562"/>
        <w:rPr>
          <w:rFonts w:ascii="仿宋_GB2312" w:eastAsia="仿宋_GB2312" w:hAnsiTheme="minorEastAsia" w:cstheme="minorEastAsia"/>
          <w:b/>
          <w:bCs/>
          <w:sz w:val="28"/>
          <w:szCs w:val="28"/>
          <w:highlight w:val="none"/>
        </w:rPr>
      </w:pPr>
      <w:r>
        <w:rPr>
          <w:rFonts w:hint="eastAsia" w:ascii="仿宋_GB2312" w:eastAsia="仿宋_GB2312" w:hAnsiTheme="minorEastAsia" w:cstheme="minorEastAsia"/>
          <w:b/>
          <w:bCs/>
          <w:sz w:val="28"/>
          <w:szCs w:val="28"/>
          <w:highlight w:val="none"/>
        </w:rPr>
        <w:t>1.实名登记与考勤管理</w:t>
      </w:r>
    </w:p>
    <w:p w14:paraId="537CB4AC">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1.1 甲方委派【</w:t>
      </w:r>
      <w:bookmarkStart w:id="117" w:name="mf_jiafanglaoziyuanxingming_40461589-2cff-4257-bd35-76f90cdea1c8_1"/>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bookmarkEnd w:id="117"/>
      <w:r>
        <w:rPr>
          <w:rFonts w:hint="eastAsia" w:ascii="仿宋_GB2312" w:eastAsia="仿宋_GB2312" w:hAnsiTheme="minorEastAsia" w:cstheme="minorEastAsia"/>
          <w:sz w:val="28"/>
          <w:szCs w:val="28"/>
          <w:highlight w:val="none"/>
        </w:rPr>
        <w:t>】为本工程劳资专管员（劳务管理员），全面负责劳务实名制工资管理。</w:t>
      </w:r>
    </w:p>
    <w:p w14:paraId="490E0387">
      <w:pPr>
        <w:spacing w:line="480" w:lineRule="exact"/>
        <w:ind w:firstLine="112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乙方委派【</w:t>
      </w:r>
      <w:bookmarkStart w:id="118" w:name="mf_yifanglaozizhuanyuanxingming_09eb59d7-9353-45f2-8faf-0e04fd256a57_1"/>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bookmarkEnd w:id="118"/>
      <w:r>
        <w:rPr>
          <w:rFonts w:hint="eastAsia" w:ascii="仿宋_GB2312" w:eastAsia="仿宋_GB2312" w:hAnsiTheme="minorEastAsia" w:cstheme="minorEastAsia"/>
          <w:sz w:val="28"/>
          <w:szCs w:val="28"/>
          <w:highlight w:val="none"/>
        </w:rPr>
        <w:t>】（须与原合同授权委托书中</w:t>
      </w:r>
      <w:r>
        <w:rPr>
          <w:rFonts w:hint="eastAsia" w:ascii="仿宋_GB2312" w:eastAsia="仿宋_GB2312" w:hAnsiTheme="minorEastAsia" w:cstheme="minorEastAsia"/>
          <w:b/>
          <w:bCs/>
          <w:sz w:val="28"/>
          <w:szCs w:val="28"/>
          <w:highlight w:val="none"/>
        </w:rPr>
        <w:t>受委托人</w:t>
      </w:r>
      <w:r>
        <w:rPr>
          <w:rFonts w:hint="eastAsia" w:ascii="仿宋_GB2312" w:eastAsia="仿宋_GB2312" w:hAnsiTheme="minorEastAsia" w:cstheme="minorEastAsia"/>
          <w:sz w:val="28"/>
          <w:szCs w:val="28"/>
          <w:highlight w:val="none"/>
        </w:rPr>
        <w:t>保持一致）（身份证号【</w:t>
      </w:r>
      <w:bookmarkStart w:id="119" w:name="mf_yifanglaozizhuanyuanshenfenzhenghao_26363dce-e7ca-49d2-b6de-01ca756a3fea_1"/>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bookmarkEnd w:id="119"/>
      <w:r>
        <w:rPr>
          <w:rFonts w:hint="eastAsia" w:ascii="仿宋_GB2312" w:eastAsia="仿宋_GB2312" w:hAnsiTheme="minorEastAsia" w:cstheme="minorEastAsia"/>
          <w:sz w:val="28"/>
          <w:szCs w:val="28"/>
          <w:highlight w:val="none"/>
        </w:rPr>
        <w:t>】）为本工程项目劳资管理负责人，负责乙方农民工进退场信息登记、日常考勤、工资发放等劳务实名制工资管理工作。</w:t>
      </w:r>
    </w:p>
    <w:p w14:paraId="110EEC4E">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1.2乙方应向甲方提供如下资料并确保其真实性：农民工花名册、身份证原件及其复印件、工资卡信息（开户行和卡号）、合法劳动用工合同（或加盖乙方公章的复印件）、操作证件等资料。由甲方项目劳资专管员（劳务管理员）逐一核实、登记、建立基础信息，并办理进入施工现场的门禁（考勤）卡。</w:t>
      </w:r>
    </w:p>
    <w:p w14:paraId="1998D102">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1.3乙方须对进入工程施工现场的农民工进行登记造册，注明工种、所在班组、工资标准等，并及时报甲方审核。甲方有签订实名制管理平台电子合同要求的，乙方需无条件配合执行。</w:t>
      </w:r>
    </w:p>
    <w:p w14:paraId="7C382066">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1.4甲方应根据施工现场实际需要配备考勤刷卡系统。乙方需指派管理人员督导农民工刷卡（考勤）进出施工现场，并及时确认当期（月）考勤记录。由乙方项目劳资管理负责人对出勤统计确认，并经甲、乙双方会签，视为当期（月）农民工出勤。乙方不确认或者延迟确认的，以考勤系统数据为准，乙方对此无异议。</w:t>
      </w:r>
    </w:p>
    <w:p w14:paraId="139DDD7D">
      <w:pPr>
        <w:spacing w:line="480" w:lineRule="exact"/>
        <w:ind w:firstLine="562"/>
        <w:rPr>
          <w:rFonts w:ascii="仿宋_GB2312" w:eastAsia="仿宋_GB2312" w:hAnsiTheme="minorEastAsia" w:cstheme="minorEastAsia"/>
          <w:b/>
          <w:bCs/>
          <w:sz w:val="28"/>
          <w:szCs w:val="28"/>
          <w:highlight w:val="none"/>
        </w:rPr>
      </w:pPr>
      <w:r>
        <w:rPr>
          <w:rFonts w:hint="eastAsia" w:ascii="仿宋_GB2312" w:eastAsia="仿宋_GB2312" w:hAnsiTheme="minorEastAsia" w:cstheme="minorEastAsia"/>
          <w:b/>
          <w:bCs/>
          <w:sz w:val="28"/>
          <w:szCs w:val="28"/>
          <w:highlight w:val="none"/>
        </w:rPr>
        <w:t>2.农民工工资发放管理</w:t>
      </w:r>
    </w:p>
    <w:p w14:paraId="21885CF5">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2.1 乙方委托甲方通过《【</w:t>
      </w:r>
      <w:bookmarkStart w:id="120" w:name="mf_xiangmumingcheng_9b5eeff3-c2ad-4cc3-bf2c-5e63b0922ee5_8"/>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bookmarkEnd w:id="120"/>
      <w:r>
        <w:rPr>
          <w:rFonts w:hint="eastAsia" w:ascii="仿宋_GB2312" w:eastAsia="仿宋_GB2312" w:hAnsiTheme="minorEastAsia" w:cstheme="minorEastAsia"/>
          <w:sz w:val="28"/>
          <w:szCs w:val="28"/>
          <w:highlight w:val="none"/>
        </w:rPr>
        <w:t>】项目农民工工资专用账户》代发农民工工资，承诺每月【</w:t>
      </w:r>
      <w:r>
        <w:rPr>
          <w:rFonts w:hint="eastAsia" w:ascii="仿宋_GB2312" w:eastAsia="仿宋_GB2312" w:hAnsiTheme="minorEastAsia" w:cstheme="minorEastAsia"/>
          <w:sz w:val="28"/>
          <w:szCs w:val="28"/>
          <w:highlight w:val="none"/>
          <w:lang w:val="en-US" w:eastAsia="zh-CN"/>
        </w:rPr>
        <w:t>20</w:t>
      </w:r>
      <w:r>
        <w:rPr>
          <w:rFonts w:hint="eastAsia" w:ascii="仿宋_GB2312" w:eastAsia="仿宋_GB2312" w:hAnsiTheme="minorEastAsia" w:cstheme="minorEastAsia"/>
          <w:sz w:val="28"/>
          <w:szCs w:val="28"/>
          <w:highlight w:val="none"/>
        </w:rPr>
        <w:t>】日按时将上月施工班组及农民工本人签字确认（捺指印）的农民工工资清单报甲方项目部审核，农民工实名登记、工资金额、农民工个人银行卡申请资料等信息真实性、完整性、有效性由乙方负责。</w:t>
      </w:r>
    </w:p>
    <w:p w14:paraId="03CBB869">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2.2甲方农民工工资专用账户信息：以甲方财务部门发布的账户信息为准。</w:t>
      </w:r>
    </w:p>
    <w:p w14:paraId="216218A0">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2.3 每月【</w:t>
      </w:r>
      <w:r>
        <w:rPr>
          <w:rFonts w:hint="eastAsia" w:ascii="仿宋_GB2312" w:eastAsia="仿宋_GB2312" w:hAnsiTheme="minorEastAsia" w:cstheme="minorEastAsia"/>
          <w:sz w:val="28"/>
          <w:szCs w:val="28"/>
          <w:highlight w:val="none"/>
          <w:lang w:val="en-US" w:eastAsia="zh-CN"/>
        </w:rPr>
        <w:t>20</w:t>
      </w:r>
      <w:r>
        <w:rPr>
          <w:rFonts w:hint="eastAsia" w:ascii="仿宋_GB2312" w:eastAsia="仿宋_GB2312" w:hAnsiTheme="minorEastAsia" w:cstheme="minorEastAsia"/>
          <w:sz w:val="28"/>
          <w:szCs w:val="28"/>
          <w:highlight w:val="none"/>
        </w:rPr>
        <w:t>】日前，乙方须按劳动合同及相关约定，对照考勤记录，核算当期农民工工资（税后工资），并汇总造册，在农民工本人签字捺指印确认并由乙方项目劳资管理负责人签字并加盖公章后，提交甲方作为农民工工资发放依据。</w:t>
      </w:r>
    </w:p>
    <w:p w14:paraId="4E19FAA0">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2.4甲方根据本协议2.3条中乙方提供的农民工工资表计算出当期乙方应付农民工工资总额，乙方委托甲方通过项目农民工工资专用账户逐一向每名农民工的银行卡支付工资，乙方对此无异议。</w:t>
      </w:r>
    </w:p>
    <w:p w14:paraId="53D399EA">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如2.3条中所列当期农民工工资高于甲方当期应付款，甲方以当期应付款为限，不足部分由乙方支付，另有约定的按书面确认后的约定执行（应加盖甲方单位公章，仅由甲方人员签字、加盖甲方项目印章的对甲方不发生效力）。</w:t>
      </w:r>
    </w:p>
    <w:p w14:paraId="7F4EFEFB">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当乙方与农民工有协议先支付一定比例的部分工资，最后按节点工期一次性结算时，乙方应将双方确认的书面协议，提交一份至甲方备案，甲方将以此为依据，按照双方确认的工资表和协商比例支付农民工工资。</w:t>
      </w:r>
    </w:p>
    <w:p w14:paraId="01A76478">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2.5 甲方对支付的每笔工资，都要留存支付记录，并将支付信息传送给乙方核实。当期农民工工资发放结束后【</w:t>
      </w:r>
      <w:r>
        <w:rPr>
          <w:rFonts w:hint="eastAsia" w:ascii="仿宋_GB2312" w:eastAsia="仿宋_GB2312" w:hAnsiTheme="minorEastAsia" w:cstheme="minorEastAsia"/>
          <w:sz w:val="28"/>
          <w:szCs w:val="28"/>
          <w:highlight w:val="none"/>
          <w:lang w:val="en-US" w:eastAsia="zh-CN"/>
        </w:rPr>
        <w:t>5</w:t>
      </w:r>
      <w:r>
        <w:rPr>
          <w:rFonts w:hint="eastAsia" w:ascii="仿宋_GB2312" w:eastAsia="仿宋_GB2312" w:hAnsiTheme="minorEastAsia" w:cstheme="minorEastAsia"/>
          <w:sz w:val="28"/>
          <w:szCs w:val="28"/>
          <w:highlight w:val="none"/>
        </w:rPr>
        <w:t>】天内，由乙方向甲方提供所有农民工工资全部发放完毕的确认书。逾期不确认，视为乙方默认当期农民工工资全部发放完毕，乙方无异议。</w:t>
      </w:r>
    </w:p>
    <w:p w14:paraId="0702F13E">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2.6 甲方支付到农民工个人银行账户，即视为乙方已收到相应款项，甲乙双方进行工程结算时，乙方应无条件予以认可。所支付的农民工工资从乙方每月工程进度款中扣除，并视为已向乙方支付相应工程款。</w:t>
      </w:r>
    </w:p>
    <w:p w14:paraId="72A47BD6">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2.7 乙方承担其农民工工人相关税费（包括但不限于个人所得税、五险一金等）的代扣代缴义务，具体缴纳方式由乙方与农民工工人协商确定，由此引发的纠纷与甲方无关。</w:t>
      </w:r>
    </w:p>
    <w:p w14:paraId="5398B557">
      <w:pPr>
        <w:spacing w:line="480" w:lineRule="exact"/>
        <w:ind w:firstLine="560"/>
        <w:rPr>
          <w:rFonts w:ascii="仿宋_GB2312" w:eastAsia="仿宋_GB2312" w:hAnsiTheme="minorEastAsia" w:cstheme="minorEastAsia"/>
          <w:b/>
          <w:bCs/>
          <w:sz w:val="28"/>
          <w:szCs w:val="28"/>
          <w:highlight w:val="none"/>
        </w:rPr>
      </w:pPr>
      <w:r>
        <w:rPr>
          <w:rFonts w:hint="eastAsia" w:ascii="仿宋_GB2312" w:eastAsia="仿宋_GB2312" w:hAnsiTheme="minorEastAsia" w:cstheme="minorEastAsia"/>
          <w:sz w:val="28"/>
          <w:szCs w:val="28"/>
          <w:highlight w:val="none"/>
        </w:rPr>
        <w:t>2.8乙方农民工工人退场应及时办理退场手续，在退还门禁卡和领用物资、结算当期工资等手续后方可退场。乙方应督促农民工办理退场手续，已退场人员信息应在退场后次日完成更新上报。</w:t>
      </w:r>
    </w:p>
    <w:p w14:paraId="49B01250">
      <w:pPr>
        <w:spacing w:line="480" w:lineRule="exact"/>
        <w:ind w:firstLine="562"/>
        <w:rPr>
          <w:rFonts w:ascii="仿宋_GB2312" w:eastAsia="仿宋_GB2312" w:hAnsiTheme="minorEastAsia" w:cstheme="minorEastAsia"/>
          <w:b/>
          <w:bCs/>
          <w:sz w:val="28"/>
          <w:szCs w:val="28"/>
          <w:highlight w:val="none"/>
        </w:rPr>
      </w:pPr>
      <w:r>
        <w:rPr>
          <w:rFonts w:hint="eastAsia" w:ascii="仿宋_GB2312" w:eastAsia="仿宋_GB2312" w:hAnsiTheme="minorEastAsia" w:cstheme="minorEastAsia"/>
          <w:b/>
          <w:bCs/>
          <w:sz w:val="28"/>
          <w:szCs w:val="28"/>
          <w:highlight w:val="none"/>
        </w:rPr>
        <w:t>3.违约责任</w:t>
      </w:r>
    </w:p>
    <w:p w14:paraId="0E9F8185">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3.1 甲方未按照乙方项目劳资管理负责人确认盖章后的农民工工资表进行及时支付，由相关部门按规定进行处罚。</w:t>
      </w:r>
    </w:p>
    <w:p w14:paraId="1EDC5987">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3.2 乙方须积极按本委托协议的约定，做好劳务用工合同签订、农民工信息收集更新、工资计量等工作，并对以上信息的真实完整性负责。因乙方伪造出勤信息、提供虚假身份信息套取、高估冒算农民工工资的，一经核实，乙方需按高估冒算部分金额的两倍向甲方承担违约金，该违约金从乙方剩余工程款中扣除，且该违约金不需经乙方同意或确认。</w:t>
      </w:r>
    </w:p>
    <w:p w14:paraId="490EE6EE">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3.3 因乙方给甲方提供的资料不准确导致甲方代发工资超过或小于实际应代发工资，产生的相应后果由乙方承担。</w:t>
      </w:r>
    </w:p>
    <w:p w14:paraId="7E951EA2">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3.4 因乙方不服从实名制管理致使农民工工人登记、考勤遗漏，导致农民工工资无法通过农民工工资专用账户发放，由乙方补发工资，产生的后果由乙方承担。</w:t>
      </w:r>
    </w:p>
    <w:p w14:paraId="5ED9327E">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3.5 甲方依照本协议约定支付农民工工资后，若乙方与农民工因工资问题发生争议的，乙方应积极妥善处理，甲方有权敦促乙方及时解决相关问题，但不承担任何责任。</w:t>
      </w:r>
    </w:p>
    <w:p w14:paraId="75472894">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3.6 乙方应赔偿因此给甲方造成的损失（包括但不限于罚款、利息、律师费、诉讼费、甲方为处理相关事宜支出的合理费用等）。</w:t>
      </w:r>
    </w:p>
    <w:p w14:paraId="3342AD3F">
      <w:pPr>
        <w:spacing w:line="480" w:lineRule="exact"/>
        <w:ind w:firstLine="562"/>
        <w:rPr>
          <w:rFonts w:ascii="仿宋_GB2312" w:eastAsia="仿宋_GB2312" w:hAnsiTheme="minorEastAsia" w:cstheme="minorEastAsia"/>
          <w:b/>
          <w:bCs/>
          <w:sz w:val="28"/>
          <w:szCs w:val="28"/>
          <w:highlight w:val="none"/>
        </w:rPr>
      </w:pPr>
      <w:r>
        <w:rPr>
          <w:rFonts w:hint="eastAsia" w:ascii="仿宋_GB2312" w:eastAsia="仿宋_GB2312" w:hAnsiTheme="minorEastAsia" w:cstheme="minorEastAsia"/>
          <w:b/>
          <w:bCs/>
          <w:sz w:val="28"/>
          <w:szCs w:val="28"/>
          <w:highlight w:val="none"/>
        </w:rPr>
        <w:t>4.其他</w:t>
      </w:r>
    </w:p>
    <w:p w14:paraId="2A81E7E3">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4.1 乙方须积极配合执行甲方及甲方上级单位制定的关于推动劳务实名制工资管理的各项制度和办法。</w:t>
      </w:r>
    </w:p>
    <w:p w14:paraId="61F32969">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4.2甲乙双方对本协议及相关文件均负有保密责任，任何一方或其雇员或代理人获得的本协议及本协议所有资料和文件，未经甲方事先书面同意，不得对外透露或公开，并承诺在本协议终止后仍然有效。</w:t>
      </w:r>
    </w:p>
    <w:p w14:paraId="25C2A8BF">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本农民工工资委托支付协议作为分包合同的附件，具有同等法律效力，与合同同日生效。</w:t>
      </w:r>
    </w:p>
    <w:p w14:paraId="0EAFFA92">
      <w:pPr>
        <w:widowControl/>
        <w:jc w:val="left"/>
        <w:rPr>
          <w:rFonts w:ascii="仿宋_GB2312" w:eastAsia="仿宋_GB2312" w:hAnsiTheme="minorEastAsia" w:cstheme="minorEastAsia"/>
          <w:sz w:val="28"/>
          <w:szCs w:val="28"/>
          <w:highlight w:val="none"/>
        </w:rPr>
      </w:pPr>
      <w:r>
        <w:rPr>
          <w:rFonts w:ascii="仿宋_GB2312" w:eastAsia="仿宋_GB2312" w:hAnsiTheme="minorEastAsia" w:cstheme="minorEastAsia"/>
          <w:sz w:val="28"/>
          <w:szCs w:val="28"/>
          <w:highlight w:val="none"/>
        </w:rPr>
        <w:br w:type="page" w:clear="all"/>
      </w:r>
    </w:p>
    <w:p w14:paraId="1753EF3E">
      <w:pPr>
        <w:pStyle w:val="6"/>
        <w:spacing w:before="156" w:after="156"/>
        <w:ind w:left="0" w:firstLine="562"/>
        <w:rPr>
          <w:highlight w:val="none"/>
          <w:u w:val="none"/>
        </w:rPr>
      </w:pPr>
      <w:r>
        <w:rPr>
          <w:rFonts w:hint="eastAsia"/>
          <w:highlight w:val="none"/>
          <w:u w:val="none"/>
        </w:rPr>
        <w:t>附件1</w:t>
      </w:r>
      <w:r>
        <w:rPr>
          <w:rFonts w:hint="eastAsia"/>
          <w:highlight w:val="none"/>
          <w:u w:val="none"/>
          <w:lang w:val="en-US" w:eastAsia="zh-CN"/>
        </w:rPr>
        <w:t>1</w:t>
      </w:r>
      <w:r>
        <w:rPr>
          <w:rFonts w:hint="eastAsia"/>
          <w:highlight w:val="none"/>
          <w:u w:val="none"/>
        </w:rPr>
        <w:t xml:space="preserve"> </w:t>
      </w:r>
      <w:r>
        <w:rPr>
          <w:rFonts w:hint="eastAsia"/>
          <w:highlight w:val="none"/>
          <w:u w:val="none"/>
          <w:lang w:val="en-US" w:eastAsia="zh-CN"/>
        </w:rPr>
        <w:t xml:space="preserve"> </w:t>
      </w:r>
      <w:r>
        <w:rPr>
          <w:rFonts w:hint="eastAsia"/>
          <w:highlight w:val="none"/>
          <w:u w:val="none"/>
        </w:rPr>
        <w:t>施工现场消防安全管理协议</w:t>
      </w:r>
    </w:p>
    <w:p w14:paraId="2CECE1DA">
      <w:pPr>
        <w:spacing w:line="480" w:lineRule="exact"/>
        <w:ind w:firstLine="562"/>
        <w:rPr>
          <w:rFonts w:ascii="仿宋_GB2312" w:hAnsi="仿宋_GB2312" w:eastAsia="仿宋_GB2312" w:cs="仿宋_GB2312"/>
          <w:b/>
          <w:color w:val="000000"/>
          <w:sz w:val="28"/>
          <w:szCs w:val="28"/>
          <w:highlight w:val="none"/>
          <w:u w:val="none"/>
        </w:rPr>
      </w:pPr>
      <w:r>
        <w:rPr>
          <w:rFonts w:hint="eastAsia" w:ascii="仿宋_GB2312" w:hAnsi="仿宋_GB2312" w:eastAsia="仿宋_GB2312" w:cs="仿宋_GB2312"/>
          <w:b/>
          <w:color w:val="000000"/>
          <w:sz w:val="28"/>
          <w:szCs w:val="28"/>
          <w:highlight w:val="none"/>
          <w:u w:val="none"/>
        </w:rPr>
        <w:t>承包人（全称）：【</w:t>
      </w:r>
      <w:bookmarkStart w:id="121" w:name="mf_jiafang_22d9e010-013d-4067-9a84-ea14432fbc6f_9"/>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121"/>
      <w:r>
        <w:rPr>
          <w:rFonts w:hint="eastAsia" w:ascii="仿宋_GB2312" w:hAnsi="仿宋_GB2312" w:eastAsia="仿宋_GB2312" w:cs="仿宋_GB2312"/>
          <w:b/>
          <w:color w:val="000000"/>
          <w:sz w:val="28"/>
          <w:szCs w:val="28"/>
          <w:highlight w:val="none"/>
          <w:u w:val="none"/>
        </w:rPr>
        <w:t>】（以下简称甲方）</w:t>
      </w:r>
    </w:p>
    <w:p w14:paraId="3572871C">
      <w:pPr>
        <w:spacing w:line="480" w:lineRule="exact"/>
        <w:ind w:firstLine="562"/>
        <w:rPr>
          <w:rFonts w:ascii="仿宋_GB2312" w:hAnsi="仿宋_GB2312" w:eastAsia="仿宋_GB2312" w:cs="仿宋_GB2312"/>
          <w:b/>
          <w:color w:val="000000"/>
          <w:sz w:val="28"/>
          <w:szCs w:val="28"/>
          <w:highlight w:val="none"/>
          <w:u w:val="none"/>
        </w:rPr>
      </w:pPr>
      <w:r>
        <w:rPr>
          <w:rFonts w:hint="eastAsia" w:ascii="仿宋_GB2312" w:hAnsi="仿宋_GB2312" w:eastAsia="仿宋_GB2312" w:cs="仿宋_GB2312"/>
          <w:b/>
          <w:color w:val="000000"/>
          <w:sz w:val="28"/>
          <w:szCs w:val="28"/>
          <w:highlight w:val="none"/>
          <w:u w:val="none"/>
        </w:rPr>
        <w:t>分包人（全称）：【</w:t>
      </w:r>
      <w:bookmarkStart w:id="122" w:name="mf_yifangmaifangchuzufanggongyingfang_f27d5062-cfa7-44db-bc55-a59e9e707656_9"/>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122"/>
      <w:r>
        <w:rPr>
          <w:rFonts w:hint="eastAsia" w:ascii="仿宋_GB2312" w:hAnsi="仿宋_GB2312" w:eastAsia="仿宋_GB2312" w:cs="仿宋_GB2312"/>
          <w:b/>
          <w:color w:val="000000"/>
          <w:sz w:val="28"/>
          <w:szCs w:val="28"/>
          <w:highlight w:val="none"/>
          <w:u w:val="none"/>
        </w:rPr>
        <w:t>】（以下简称乙方）</w:t>
      </w:r>
    </w:p>
    <w:p w14:paraId="55DB2A7C">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为了加强和规范施工现场消防安全管理，落实逐级消防安全责任制，依据《中华人民共和国消防法》《机关、团体、企业、事业单位消防安全管理规定》（公安部令第61号）等法律、法规，本着“谁主管，谁负责”的原则，就【</w:t>
      </w:r>
      <w:bookmarkStart w:id="123" w:name="mf_xiangmumingcheng_9b5eeff3-c2ad-4cc3-bf2c-5e63b0922ee5_9"/>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bookmarkEnd w:id="123"/>
      <w:r>
        <w:rPr>
          <w:rFonts w:hint="eastAsia" w:ascii="仿宋_GB2312" w:eastAsia="仿宋_GB2312" w:hAnsiTheme="minorEastAsia" w:cstheme="minorEastAsia"/>
          <w:sz w:val="28"/>
          <w:szCs w:val="28"/>
          <w:highlight w:val="none"/>
          <w:u w:val="none"/>
        </w:rPr>
        <w:t>】工程消防安全管理等签订本协议书，双方应严格遵守和执行本协议书规定的权利、责任和义务，确保施工现场的消防安全。</w:t>
      </w:r>
    </w:p>
    <w:p w14:paraId="1F71B117">
      <w:pPr>
        <w:spacing w:line="480" w:lineRule="exact"/>
        <w:ind w:firstLine="562"/>
        <w:rPr>
          <w:rFonts w:ascii="仿宋_GB2312" w:eastAsia="仿宋_GB2312" w:hAnsiTheme="minorEastAsia" w:cstheme="minorEastAsia"/>
          <w:b/>
          <w:bCs/>
          <w:sz w:val="28"/>
          <w:szCs w:val="28"/>
          <w:highlight w:val="none"/>
          <w:u w:val="none"/>
        </w:rPr>
      </w:pPr>
      <w:r>
        <w:rPr>
          <w:rFonts w:hint="eastAsia" w:ascii="仿宋_GB2312" w:eastAsia="仿宋_GB2312" w:hAnsiTheme="minorEastAsia" w:cstheme="minorEastAsia"/>
          <w:b/>
          <w:bCs/>
          <w:sz w:val="28"/>
          <w:szCs w:val="28"/>
          <w:highlight w:val="none"/>
          <w:u w:val="none"/>
        </w:rPr>
        <w:t>一、甲方的权利、责任和义务</w:t>
      </w:r>
    </w:p>
    <w:p w14:paraId="0BF86C33">
      <w:pPr>
        <w:tabs>
          <w:tab w:val="left" w:pos="312"/>
        </w:tabs>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1.贯彻落实国家消防安全法规和总包的消防安全管理制度，总包单位对施工现场、生活区的消防安全负总责，对施工现场、生活区的消防安全进行全面管理、监督、检查和指导。</w:t>
      </w:r>
    </w:p>
    <w:p w14:paraId="78F3881E">
      <w:pPr>
        <w:tabs>
          <w:tab w:val="left" w:pos="312"/>
        </w:tabs>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2.运用多种形式开展经常性的消防安全宣传教育，对现场所有人员每年至少进行一次消防安全培训，并有培训记录和登记；对采用新工艺、新技术、新材料或者使用新设备有火灾危险的，要对从业人员进行专门的消防安全教育和培训；对不接受培训、教育、考核或考核不合格以及经审查有其他不符合规定要求的人员，有权拒绝其进入施工现场或清退出现场。</w:t>
      </w:r>
    </w:p>
    <w:p w14:paraId="562A32A1">
      <w:pPr>
        <w:tabs>
          <w:tab w:val="left" w:pos="312"/>
        </w:tabs>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3.建立健全各项消防安全管理制度和操作规程，并督促落实。明确逐级和岗位消防安全职责，确定现场各栋号、分包、外包单位和各职能部门、各工种和各区域、层段等各级别和岗位的消防安全责任人；建立健全施工现场各级消防安全组织机构和义务消防队组织；对重点工种人员如电气焊人员、防水作业人员进行登记，建立档案。</w:t>
      </w:r>
    </w:p>
    <w:p w14:paraId="34278099">
      <w:pPr>
        <w:tabs>
          <w:tab w:val="left" w:pos="312"/>
        </w:tabs>
        <w:spacing w:line="480" w:lineRule="exact"/>
        <w:ind w:firstLine="560"/>
        <w:rPr>
          <w:rFonts w:ascii="仿宋_GB2312" w:eastAsia="仿宋_GB2312" w:hAnsiTheme="minorEastAsia" w:cstheme="minorEastAsia"/>
          <w:strike/>
          <w:sz w:val="28"/>
          <w:szCs w:val="28"/>
          <w:highlight w:val="none"/>
          <w:u w:val="none"/>
        </w:rPr>
      </w:pPr>
      <w:r>
        <w:rPr>
          <w:rFonts w:hint="eastAsia" w:ascii="仿宋_GB2312" w:eastAsia="仿宋_GB2312" w:hAnsiTheme="minorEastAsia" w:cstheme="minorEastAsia"/>
          <w:sz w:val="28"/>
          <w:szCs w:val="28"/>
          <w:highlight w:val="none"/>
          <w:u w:val="none"/>
        </w:rPr>
        <w:t>4.严格落实有关运用明火的管理制度，做到“四不动火”。施工现场动用明火，应当按照规定事先办理审批手续；用火操作前，须对乙方电气焊工作业人员以班组或分包为单位进行用火操作交底，对乙方填写的《动火作业审批表及动火证》，由甲方项目主管负责人审批签字，并开具当天动火证。开具动火证人员必须符合甲方公司管理手册要求，其他人员代理应有书面委托；开具动火证时应严格把关，根据施工情况提出有针对性的防火措施。高层、外檐和孔洞周围作业，必须要求乙方和有关作业人员配备接挡工具，并在动火证上注明具体要求和措施。</w:t>
      </w:r>
    </w:p>
    <w:p w14:paraId="33A48DD9">
      <w:pPr>
        <w:tabs>
          <w:tab w:val="left" w:pos="312"/>
        </w:tabs>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5.负责对乙方在施工现场、生活区的用火、用电、使用易燃易爆化学危险物品、防水作业及材料存储进行审查、批准和监督、检查。做到工程内不设置宿舍和住人，不做仓库使用和存放易燃易爆化学危险物品可燃材料；对违章指挥、违规操作等违章、违纪行为进行制止、纠正，并按有关规定进行处理。</w:t>
      </w:r>
    </w:p>
    <w:p w14:paraId="00281560">
      <w:pPr>
        <w:tabs>
          <w:tab w:val="left" w:pos="312"/>
        </w:tabs>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6.负责在施工现场、生活区、办公区内，按有关规定设置、配备相应的消防设施和灭火器材，设置消防应急疏散通道和指示标志；制定整体的灭火和应急疏散预案，并至少每半年进行一次演练。</w:t>
      </w:r>
    </w:p>
    <w:p w14:paraId="52F82578">
      <w:pPr>
        <w:tabs>
          <w:tab w:val="left" w:pos="312"/>
        </w:tabs>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7.定期召开施工现场安全会议，组织防火检查，督促落实火灾隐患整改；有针对性地部署做好施工各阶段的防火工作；协调和处理本施工现场的有关消防安全问题。</w:t>
      </w:r>
    </w:p>
    <w:p w14:paraId="3BC5FF90">
      <w:pPr>
        <w:tabs>
          <w:tab w:val="left" w:pos="312"/>
        </w:tabs>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8.发生火灾，应及时报警、迅速组织扑救和人员疏散。紧急情况下甲方有权调用乙方的相关人员及物资。</w:t>
      </w:r>
    </w:p>
    <w:p w14:paraId="2CDC3F4A">
      <w:pPr>
        <w:tabs>
          <w:tab w:val="left" w:pos="312"/>
        </w:tabs>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9.积极配合各级消防监督检查机关进行消防安全检查，参与对火灾事故的调查、处理。</w:t>
      </w:r>
    </w:p>
    <w:p w14:paraId="707F2C2D">
      <w:pPr>
        <w:tabs>
          <w:tab w:val="left" w:pos="312"/>
        </w:tabs>
        <w:spacing w:line="480" w:lineRule="exact"/>
        <w:ind w:left="422"/>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b/>
          <w:bCs/>
          <w:sz w:val="28"/>
          <w:szCs w:val="28"/>
          <w:highlight w:val="none"/>
          <w:u w:val="none"/>
        </w:rPr>
        <w:t>二、乙方的权利、责任和义务</w:t>
      </w:r>
    </w:p>
    <w:p w14:paraId="1AD3F7AF">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1.贯彻落实各级政府及相关部门有关施工现场消防安全的法规和总包的消防安全管理制度，对所属施工区域、生活区宿舍、办公区的消防安全管理负全面责任。</w:t>
      </w:r>
    </w:p>
    <w:p w14:paraId="1755946C">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2.负责建立健全本单位的防火组织，明确消防安全责任人、消防安全管理人、义务消防队伍。负责在施工现场内，按有关规定设置、配备相应的消防设施和灭火器材，设置消防应急疏散通道和指示标志；按照甲方的要求提供施工人员花名册及特殊工种的证件复印件及有关资料，在本施工区域内，尤其是重点部位按规定配备相应的灭火器材，并保证灵敏有效。</w:t>
      </w:r>
    </w:p>
    <w:p w14:paraId="03F9D746">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3.电气焊等特种作业人员必须持证上岗。用火操作前，必须到甲方用火审批部门办理动火证，不得由他人代理。在操作中应确保高层、外檐和孔洞周围作业对电气焊割产生的火花、焊渣有接挡和封堵措施，并避免与易燃危险性作业同时交叉进行；要清除周围易燃可燃物，配备灭火器材、灭火用水，设专人看火监护。禁止非焊工进行电气焊操作。</w:t>
      </w:r>
    </w:p>
    <w:p w14:paraId="1666C7E7">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4.负责对本单位在施人员进行消防法规、制度、操作规程和施工现场火灾危险性教育；进行报火警、扑救初起火灾和自救逃生知识、技能教育。对施工现场采用的新工艺、新技术、新材料或使用的新设备必须了解、掌握其安全消防技术特性，经培训教育后方可上岗作业。在消防安全教育或安全活动中，可要求甲方提供帮助。</w:t>
      </w:r>
    </w:p>
    <w:p w14:paraId="007A69C3">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5.工程不准作为仓库使用，不准存放易燃、易爆化学危险物品和易燃可燃材料，不得在建设工程内设置宿舍。甲方指令乙方违反上述规定的，乙方有权拒绝。在建设工程外设置宿舍和库房的，禁止使用可燃材料做分割和围挡。严禁在宿舍内私接乱拉电线，严禁使用“热得快”、电饭锅、电褥子等大功率电热器具。乙方使用或存储易燃易爆化学危险品，应向甲方有关部门提出申请，经甲方批准和登记，并有可靠的防火安全措施后才准许使用和存储。</w:t>
      </w:r>
    </w:p>
    <w:p w14:paraId="06097C51">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6.负责所在施工区域及所属生活区宿舍内的消防安全管理，制定消防应急预案，保证所施工区域内的消防设施、器材等配置到位、完好无损、灵敏有效，确保消防应急通道畅通，并有权拒绝甲方违反消防安全法规的指令。</w:t>
      </w:r>
    </w:p>
    <w:p w14:paraId="037912E3">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7.落实日检及周检要求，进行自我防火安全检查，及时制止、纠正各种违章用火、用电和违章操作行为，在防火安全检查中发现的消防隐患及问题，应及时整改或采取必要的安全措施，并及时通报甲方有关部门共同协商解决，消除消防隐患。</w:t>
      </w:r>
    </w:p>
    <w:p w14:paraId="4E9CC8C3">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8.积极配合、服从各级消防机关、部门及甲方消防安全监督、检查和管理，对于查出的防火安全问题及时进行整改，并将整改情况书面报甲方备案。</w:t>
      </w:r>
    </w:p>
    <w:p w14:paraId="6BA50C52">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9.发生火灾事故，立即向甲方报告，并迅速组织扑救，事后积极协助有关部门进行调查，迟报或隐瞒不报造成严重后果的，要承担相应责任。</w:t>
      </w:r>
    </w:p>
    <w:p w14:paraId="54031441">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10.因乙方责任造成火灾事故，导致甲方或第三方人身伤亡和经济损失的，乙方承担全部经济损失和法律责任。</w:t>
      </w:r>
    </w:p>
    <w:p w14:paraId="633701E3">
      <w:pPr>
        <w:spacing w:line="480" w:lineRule="exact"/>
        <w:ind w:firstLine="562"/>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b/>
          <w:bCs/>
          <w:sz w:val="28"/>
          <w:szCs w:val="28"/>
          <w:highlight w:val="none"/>
          <w:u w:val="none"/>
        </w:rPr>
        <w:t>三、补充条款</w:t>
      </w:r>
    </w:p>
    <w:p w14:paraId="50695902">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补充条款如下：</w:t>
      </w:r>
    </w:p>
    <w:p w14:paraId="2248354F">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乙方认真执行甲方项目部的消防要求，如有违反规定的按甲方安全奖罚制度处罚。</w:t>
      </w:r>
    </w:p>
    <w:p w14:paraId="6A71CCF9">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本协议作为合同一部分，自合同签订之日起生效，到退场协议终止。</w:t>
      </w:r>
    </w:p>
    <w:p w14:paraId="39C8ED26">
      <w:pPr>
        <w:widowControl/>
        <w:jc w:val="left"/>
        <w:rPr>
          <w:rFonts w:asciiTheme="minorEastAsia" w:hAnsiTheme="minorEastAsia" w:cstheme="minorEastAsia"/>
          <w:szCs w:val="21"/>
          <w:highlight w:val="none"/>
          <w:u w:val="none"/>
        </w:rPr>
      </w:pPr>
      <w:r>
        <w:rPr>
          <w:rFonts w:asciiTheme="minorEastAsia" w:hAnsiTheme="minorEastAsia" w:cstheme="minorEastAsia"/>
          <w:szCs w:val="21"/>
          <w:highlight w:val="none"/>
          <w:u w:val="none"/>
        </w:rPr>
        <w:br w:type="page" w:clear="all"/>
      </w:r>
    </w:p>
    <w:p w14:paraId="297A622A">
      <w:pPr>
        <w:pStyle w:val="6"/>
        <w:spacing w:before="156" w:after="156"/>
        <w:ind w:left="0" w:firstLine="562"/>
        <w:rPr>
          <w:highlight w:val="none"/>
          <w:u w:val="none"/>
        </w:rPr>
      </w:pPr>
      <w:r>
        <w:rPr>
          <w:rFonts w:hint="eastAsia"/>
          <w:highlight w:val="none"/>
          <w:u w:val="none"/>
        </w:rPr>
        <w:t>附件1</w:t>
      </w:r>
      <w:r>
        <w:rPr>
          <w:rFonts w:hint="eastAsia"/>
          <w:highlight w:val="none"/>
          <w:u w:val="none"/>
          <w:lang w:val="en-US" w:eastAsia="zh-CN"/>
        </w:rPr>
        <w:t>2</w:t>
      </w:r>
      <w:r>
        <w:rPr>
          <w:rFonts w:hint="eastAsia"/>
          <w:highlight w:val="none"/>
          <w:u w:val="none"/>
        </w:rPr>
        <w:t xml:space="preserve">  施工现场临时用电安全管理协议</w:t>
      </w:r>
    </w:p>
    <w:p w14:paraId="580CB0F0">
      <w:pPr>
        <w:spacing w:line="480" w:lineRule="exact"/>
        <w:ind w:firstLine="562"/>
        <w:rPr>
          <w:rFonts w:ascii="仿宋_GB2312" w:hAnsi="仿宋_GB2312" w:eastAsia="仿宋_GB2312" w:cs="仿宋_GB2312"/>
          <w:b/>
          <w:color w:val="000000"/>
          <w:sz w:val="28"/>
          <w:szCs w:val="28"/>
          <w:highlight w:val="none"/>
          <w:u w:val="none"/>
        </w:rPr>
      </w:pPr>
      <w:r>
        <w:rPr>
          <w:rFonts w:hint="eastAsia" w:ascii="仿宋_GB2312" w:hAnsi="仿宋_GB2312" w:eastAsia="仿宋_GB2312" w:cs="仿宋_GB2312"/>
          <w:b/>
          <w:color w:val="000000"/>
          <w:sz w:val="28"/>
          <w:szCs w:val="28"/>
          <w:highlight w:val="none"/>
          <w:u w:val="none"/>
        </w:rPr>
        <w:t>承包人（全称）：【</w:t>
      </w:r>
      <w:bookmarkStart w:id="124" w:name="mf_jiafang_22d9e010-013d-4067-9a84-ea14432fbc6f_10"/>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124"/>
      <w:r>
        <w:rPr>
          <w:rFonts w:hint="eastAsia" w:ascii="仿宋_GB2312" w:hAnsi="仿宋_GB2312" w:eastAsia="仿宋_GB2312" w:cs="仿宋_GB2312"/>
          <w:b/>
          <w:color w:val="000000"/>
          <w:sz w:val="28"/>
          <w:szCs w:val="28"/>
          <w:highlight w:val="none"/>
          <w:u w:val="none"/>
        </w:rPr>
        <w:t>】（以下简称甲方）</w:t>
      </w:r>
    </w:p>
    <w:p w14:paraId="0C54E7FF">
      <w:pPr>
        <w:spacing w:line="480" w:lineRule="exact"/>
        <w:ind w:firstLine="562"/>
        <w:rPr>
          <w:rFonts w:ascii="仿宋_GB2312" w:hAnsi="仿宋_GB2312" w:eastAsia="仿宋_GB2312" w:cs="仿宋_GB2312"/>
          <w:b/>
          <w:color w:val="000000"/>
          <w:sz w:val="28"/>
          <w:szCs w:val="28"/>
          <w:highlight w:val="none"/>
          <w:u w:val="none"/>
        </w:rPr>
      </w:pPr>
      <w:r>
        <w:rPr>
          <w:rFonts w:hint="eastAsia" w:ascii="仿宋_GB2312" w:hAnsi="仿宋_GB2312" w:eastAsia="仿宋_GB2312" w:cs="仿宋_GB2312"/>
          <w:b/>
          <w:color w:val="000000"/>
          <w:sz w:val="28"/>
          <w:szCs w:val="28"/>
          <w:highlight w:val="none"/>
          <w:u w:val="none"/>
        </w:rPr>
        <w:t>分包人（全称）：【</w:t>
      </w:r>
      <w:bookmarkStart w:id="125" w:name="mf_yifangmaifangchuzufanggongyingfang_f27d5062-cfa7-44db-bc55-a59e9e707656_10"/>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r>
        <w:rPr>
          <w:rFonts w:hint="eastAsia" w:ascii="仿宋_GB2312" w:hAnsi="仿宋_GB2312" w:eastAsia="仿宋_GB2312" w:cs="仿宋_GB2312"/>
          <w:b/>
          <w:color w:val="000000"/>
          <w:sz w:val="28"/>
          <w:szCs w:val="28"/>
          <w:highlight w:val="none"/>
          <w:u w:val="single"/>
        </w:rPr>
        <w:tab/>
      </w:r>
      <w:bookmarkEnd w:id="125"/>
      <w:r>
        <w:rPr>
          <w:rFonts w:hint="eastAsia" w:ascii="仿宋_GB2312" w:hAnsi="仿宋_GB2312" w:eastAsia="仿宋_GB2312" w:cs="仿宋_GB2312"/>
          <w:b/>
          <w:color w:val="000000"/>
          <w:sz w:val="28"/>
          <w:szCs w:val="28"/>
          <w:highlight w:val="none"/>
          <w:u w:val="none"/>
        </w:rPr>
        <w:t>】（以下简称乙方）</w:t>
      </w:r>
    </w:p>
    <w:p w14:paraId="5CFB314C">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为了确保施工现场临时用电安全，防止触电事故的发生，依据《中华人民共和国安全生产法》《建设工程安全生产管理条例》《建设工程施工现场供用电安全规范》（GB50194-2014）、《施工现场临时用电安全技术规范》（JGJ46—2005）、《建筑施工安全检查标准》（JGJ59—2011）等有关规定，就【</w:t>
      </w:r>
      <w:bookmarkStart w:id="126" w:name="mf_xiangmumingcheng_9b5eeff3-c2ad-4cc3-bf2c-5e63b0922ee5_10"/>
      <w:r>
        <w:rPr>
          <w:rFonts w:ascii="仿宋_GB2312" w:eastAsia="仿宋_GB2312" w:hAnsiTheme="minorEastAsia" w:cstheme="minorEastAsia"/>
          <w:sz w:val="28"/>
          <w:szCs w:val="28"/>
          <w:highlight w:val="none"/>
          <w:u w:val="single"/>
        </w:rPr>
        <w:tab/>
      </w:r>
      <w:r>
        <w:rPr>
          <w:rFonts w:ascii="仿宋_GB2312" w:eastAsia="仿宋_GB2312" w:hAnsiTheme="minorEastAsia" w:cstheme="minorEastAsia"/>
          <w:sz w:val="28"/>
          <w:szCs w:val="28"/>
          <w:highlight w:val="none"/>
          <w:u w:val="single"/>
        </w:rPr>
        <w:tab/>
      </w:r>
      <w:r>
        <w:rPr>
          <w:rFonts w:ascii="仿宋_GB2312" w:eastAsia="仿宋_GB2312" w:hAnsiTheme="minorEastAsia" w:cstheme="minorEastAsia"/>
          <w:sz w:val="28"/>
          <w:szCs w:val="28"/>
          <w:highlight w:val="none"/>
          <w:u w:val="single"/>
        </w:rPr>
        <w:tab/>
      </w:r>
      <w:r>
        <w:rPr>
          <w:rFonts w:ascii="仿宋_GB2312" w:eastAsia="仿宋_GB2312" w:hAnsiTheme="minorEastAsia" w:cstheme="minorEastAsia"/>
          <w:sz w:val="28"/>
          <w:szCs w:val="28"/>
          <w:highlight w:val="none"/>
          <w:u w:val="single"/>
        </w:rPr>
        <w:tab/>
      </w:r>
      <w:r>
        <w:rPr>
          <w:rFonts w:ascii="仿宋_GB2312" w:eastAsia="仿宋_GB2312" w:hAnsiTheme="minorEastAsia" w:cstheme="minorEastAsia"/>
          <w:sz w:val="28"/>
          <w:szCs w:val="28"/>
          <w:highlight w:val="none"/>
          <w:u w:val="single"/>
        </w:rPr>
        <w:tab/>
      </w:r>
      <w:bookmarkEnd w:id="126"/>
      <w:r>
        <w:rPr>
          <w:rFonts w:hint="eastAsia" w:ascii="仿宋_GB2312" w:eastAsia="仿宋_GB2312" w:hAnsiTheme="minorEastAsia" w:cstheme="minorEastAsia"/>
          <w:sz w:val="28"/>
          <w:szCs w:val="28"/>
          <w:highlight w:val="none"/>
          <w:u w:val="none"/>
        </w:rPr>
        <w:t>】工程施工现场临时用电安全制定本协议书。甲方和乙方应当按照各自职责，对临时用电进行监督管理，严格遵守本协议书规定的权利、责任和义务，保障施工现场临时用电安全。</w:t>
      </w:r>
    </w:p>
    <w:p w14:paraId="2AAE59B3">
      <w:pPr>
        <w:spacing w:line="480" w:lineRule="exact"/>
        <w:ind w:firstLine="562"/>
        <w:rPr>
          <w:rFonts w:ascii="仿宋_GB2312" w:eastAsia="仿宋_GB2312" w:hAnsiTheme="minorEastAsia" w:cstheme="minorEastAsia"/>
          <w:b/>
          <w:bCs/>
          <w:sz w:val="28"/>
          <w:szCs w:val="28"/>
          <w:highlight w:val="none"/>
          <w:u w:val="none"/>
        </w:rPr>
      </w:pPr>
      <w:r>
        <w:rPr>
          <w:rFonts w:hint="eastAsia" w:ascii="仿宋_GB2312" w:eastAsia="仿宋_GB2312" w:hAnsiTheme="minorEastAsia" w:cstheme="minorEastAsia"/>
          <w:b/>
          <w:bCs/>
          <w:sz w:val="28"/>
          <w:szCs w:val="28"/>
          <w:highlight w:val="none"/>
          <w:u w:val="none"/>
        </w:rPr>
        <w:t>一、甲方的权利、责任和义务</w:t>
      </w:r>
    </w:p>
    <w:p w14:paraId="5042D655">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1.贯彻落实国家施工现场临时用电的有关规定。负责对施工现场临时用电进行全面监督、管理，并对施工现场临时用电进行安全检查和指导。</w:t>
      </w:r>
    </w:p>
    <w:p w14:paraId="4962086B">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2.审阅乙方临时用电申请，并把乙方临时用电安全技术措施和电气防火措施进行备案。</w:t>
      </w:r>
    </w:p>
    <w:p w14:paraId="53C56501">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3.负责提供施工电源，并把施工电源送到符合安全标准的二级配电箱。并对乙方的使用情况进行监督检查。</w:t>
      </w:r>
    </w:p>
    <w:p w14:paraId="7E208795">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4.向乙方提供电源时，应与乙方办理交接验收手续。</w:t>
      </w:r>
    </w:p>
    <w:p w14:paraId="1B63DC95">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5.按照有关临时用电标准对乙方的临时用电设备、设施进行监督和检查。发现乙方在临时用电中存在隐患必须责成乙方予以整改，并监督整改落实情况。</w:t>
      </w:r>
    </w:p>
    <w:p w14:paraId="72789173">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6.对乙方特种作业人员的花名册、操作证复印件及培训记录进行存档备案。未经安全生产教育培训和无证人员，不得允许上岗作业。</w:t>
      </w:r>
    </w:p>
    <w:p w14:paraId="36E16080">
      <w:pPr>
        <w:spacing w:line="480" w:lineRule="exact"/>
        <w:ind w:firstLine="562"/>
        <w:rPr>
          <w:rFonts w:ascii="仿宋_GB2312" w:eastAsia="仿宋_GB2312" w:hAnsiTheme="minorEastAsia" w:cstheme="minorEastAsia"/>
          <w:b/>
          <w:bCs/>
          <w:sz w:val="28"/>
          <w:szCs w:val="28"/>
          <w:highlight w:val="none"/>
          <w:u w:val="none"/>
        </w:rPr>
      </w:pPr>
      <w:r>
        <w:rPr>
          <w:rFonts w:hint="eastAsia" w:ascii="仿宋_GB2312" w:eastAsia="仿宋_GB2312" w:hAnsiTheme="minorEastAsia" w:cstheme="minorEastAsia"/>
          <w:b/>
          <w:bCs/>
          <w:sz w:val="28"/>
          <w:szCs w:val="28"/>
          <w:highlight w:val="none"/>
          <w:u w:val="none"/>
        </w:rPr>
        <w:t>二、乙方的权利、责任和义务</w:t>
      </w:r>
    </w:p>
    <w:p w14:paraId="6031F648">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1.严格执行国家施工现场临时用电的有关技术规范和安全操作规程，对施工区域内自行管辖的临时用电负全面管理责任。</w:t>
      </w:r>
    </w:p>
    <w:p w14:paraId="0AE65800">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2.向甲方提供书面的临时用电申请。设备设施需要增容时，必须重新办理用电申请手续。</w:t>
      </w:r>
    </w:p>
    <w:p w14:paraId="6EBFCCEA">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3.保证二级配电箱以下管辖区域内各种用电设备、设施完好，临时用电设施和器材必须使用正规厂家的合格产品，严禁使用假冒伪劣等不合格产品。加强日常检查与维护保养工作，严禁各种机电设备带病运行，保证临时用电符合有关安全用电标准。</w:t>
      </w:r>
    </w:p>
    <w:p w14:paraId="03D38ED3">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4.执行临时用电安全技术交底制度，对施工区域内自行管辖的操作人员进行临时用电安全技术交底，避免违章指挥、违章操作和误操作，确保安全用电。</w:t>
      </w:r>
    </w:p>
    <w:p w14:paraId="6246E28E">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5.在使用甲方提供临时电源时，对不符合临时用电标准的电源，对甲方提出整改意见。有权拒绝在不符合临时用电标准的电源上拉接电源。对甲方在安全检查中提出的关于临时用电方面存在的问题或隐患，必须按要求认真落实整改。</w:t>
      </w:r>
    </w:p>
    <w:p w14:paraId="18663AD5">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6.配置满足施工需要的特种作业人员，对特种作业人员进行上岗前的职业技能、安全生产等方面的培训，未经安全生产教育培训及培训不合格和无证人员，不得上岗作业。特种作业人员必须依照有关规定持证上岗。向甲方提供特种作业人员花名册、操作证复印件和培训记录。</w:t>
      </w:r>
    </w:p>
    <w:p w14:paraId="0CE9547E">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7.现场发生触电事故时，经主管部门鉴定属于乙方因违反上述协议和违章指挥、违章操作，对提供的电源线路设施未经甲方事先书面同意擅自拆、改、接，不服从甲方管理造成事故的，由乙方负全责。</w:t>
      </w:r>
    </w:p>
    <w:p w14:paraId="513BB2B2">
      <w:pPr>
        <w:spacing w:line="480" w:lineRule="exact"/>
        <w:ind w:firstLine="562"/>
        <w:rPr>
          <w:rFonts w:ascii="仿宋_GB2312" w:eastAsia="仿宋_GB2312" w:hAnsiTheme="minorEastAsia" w:cstheme="minorEastAsia"/>
          <w:b/>
          <w:bCs/>
          <w:sz w:val="28"/>
          <w:szCs w:val="28"/>
          <w:highlight w:val="none"/>
          <w:u w:val="none"/>
        </w:rPr>
      </w:pPr>
      <w:r>
        <w:rPr>
          <w:rFonts w:hint="eastAsia" w:ascii="仿宋_GB2312" w:eastAsia="仿宋_GB2312" w:hAnsiTheme="minorEastAsia" w:cstheme="minorEastAsia"/>
          <w:b/>
          <w:bCs/>
          <w:sz w:val="28"/>
          <w:szCs w:val="28"/>
          <w:highlight w:val="none"/>
          <w:u w:val="none"/>
        </w:rPr>
        <w:t>三、争议解决方式</w:t>
      </w:r>
    </w:p>
    <w:p w14:paraId="073CB9D2">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当甲、乙双方发生争议时，可以通过甲、乙双方上级主管部门协商解决。</w:t>
      </w:r>
    </w:p>
    <w:p w14:paraId="58E77B5C">
      <w:pPr>
        <w:spacing w:line="480" w:lineRule="exact"/>
        <w:ind w:firstLine="562"/>
        <w:rPr>
          <w:rFonts w:ascii="仿宋_GB2312" w:eastAsia="仿宋_GB2312" w:hAnsiTheme="minorEastAsia" w:cstheme="minorEastAsia"/>
          <w:b/>
          <w:bCs/>
          <w:sz w:val="28"/>
          <w:szCs w:val="28"/>
          <w:highlight w:val="none"/>
          <w:u w:val="none"/>
        </w:rPr>
      </w:pPr>
      <w:r>
        <w:rPr>
          <w:rFonts w:hint="eastAsia" w:ascii="仿宋_GB2312" w:eastAsia="仿宋_GB2312" w:hAnsiTheme="minorEastAsia" w:cstheme="minorEastAsia"/>
          <w:b/>
          <w:bCs/>
          <w:sz w:val="28"/>
          <w:szCs w:val="28"/>
          <w:highlight w:val="none"/>
          <w:u w:val="none"/>
        </w:rPr>
        <w:t>四、双方有关未尽事宜补充条款</w:t>
      </w:r>
    </w:p>
    <w:p w14:paraId="7DF816F3">
      <w:pPr>
        <w:spacing w:line="480" w:lineRule="exact"/>
        <w:ind w:firstLine="560"/>
        <w:rPr>
          <w:rFonts w:ascii="仿宋_GB2312" w:eastAsia="仿宋_GB2312" w:hAnsiTheme="minorEastAsia" w:cstheme="minorEastAsia"/>
          <w:sz w:val="28"/>
          <w:szCs w:val="28"/>
          <w:highlight w:val="none"/>
          <w:u w:val="none"/>
        </w:rPr>
      </w:pPr>
      <w:r>
        <w:rPr>
          <w:rFonts w:hint="eastAsia" w:ascii="仿宋_GB2312" w:eastAsia="仿宋_GB2312" w:hAnsiTheme="minorEastAsia" w:cstheme="minorEastAsia"/>
          <w:sz w:val="28"/>
          <w:szCs w:val="28"/>
          <w:highlight w:val="none"/>
          <w:u w:val="none"/>
        </w:rPr>
        <w:t xml:space="preserve">补充条款如下：乙方所有进入现场配电设备、设施（配电箱、电缆线、电器配件）等，必须报甲方项目部物资部、安全部验收，未经验收合格严禁使用。 </w:t>
      </w:r>
    </w:p>
    <w:p w14:paraId="1B16D681">
      <w:pPr>
        <w:spacing w:line="480" w:lineRule="exact"/>
        <w:ind w:firstLine="560"/>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u w:val="none"/>
        </w:rPr>
        <w:t>本协议作为合同一部分，自合同签订之日起生效，到退场协议终止。</w:t>
      </w:r>
    </w:p>
    <w:p w14:paraId="46C10C67">
      <w:pP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br w:type="page" w:clear="all"/>
      </w:r>
    </w:p>
    <w:p w14:paraId="24CD7351">
      <w:pPr>
        <w:pStyle w:val="6"/>
        <w:spacing w:before="156" w:after="156"/>
        <w:ind w:left="0" w:firstLine="562"/>
        <w:rPr>
          <w:rFonts w:hint="eastAsia"/>
          <w:highlight w:val="none"/>
          <w:lang w:val="en-US" w:eastAsia="zh-CN"/>
        </w:rPr>
      </w:pPr>
      <w:r>
        <w:rPr>
          <w:rFonts w:hint="eastAsia"/>
          <w:highlight w:val="none"/>
          <w:u w:val="none"/>
          <w:lang w:val="en-US" w:eastAsia="zh-CN"/>
        </w:rPr>
        <w:t>附件13：建筑安装工程主要物资损耗率控制目标清单</w:t>
      </w:r>
    </w:p>
    <w:p w14:paraId="4B34FABA">
      <w:pPr>
        <w:pStyle w:val="17"/>
        <w:rPr>
          <w:rFonts w:hint="eastAsia"/>
          <w:color w:val="auto"/>
          <w:highlight w:val="none"/>
          <w:lang w:val="en-US" w:eastAsia="zh-CN"/>
        </w:rPr>
      </w:pPr>
    </w:p>
    <w:tbl>
      <w:tblPr>
        <w:tblStyle w:val="41"/>
        <w:tblW w:w="93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8"/>
        <w:gridCol w:w="810"/>
        <w:gridCol w:w="4619"/>
        <w:gridCol w:w="1689"/>
        <w:gridCol w:w="1244"/>
      </w:tblGrid>
      <w:tr w14:paraId="2B4A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390" w:type="dxa"/>
            <w:gridSpan w:val="5"/>
            <w:tcBorders>
              <w:top w:val="single" w:color="000000" w:sz="4" w:space="0"/>
              <w:left w:val="single" w:color="000000" w:sz="4" w:space="0"/>
              <w:bottom w:val="single" w:color="000000" w:sz="4" w:space="0"/>
              <w:right w:val="single" w:color="000000" w:sz="4" w:space="0"/>
            </w:tcBorders>
            <w:noWrap/>
            <w:vAlign w:val="center"/>
          </w:tcPr>
          <w:p w14:paraId="3F177B0C">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建筑安装工程主要物资损耗率控制目标清单</w:t>
            </w:r>
          </w:p>
        </w:tc>
      </w:tr>
      <w:tr w14:paraId="0C0E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028" w:type="dxa"/>
            <w:tcBorders>
              <w:top w:val="single" w:color="000000" w:sz="4" w:space="0"/>
              <w:left w:val="single" w:color="000000" w:sz="4" w:space="0"/>
              <w:bottom w:val="single" w:color="000000" w:sz="4" w:space="0"/>
              <w:right w:val="single" w:color="000000" w:sz="4" w:space="0"/>
            </w:tcBorders>
            <w:noWrap w:val="0"/>
            <w:vAlign w:val="center"/>
          </w:tcPr>
          <w:p w14:paraId="6A90EB7C">
            <w:pPr>
              <w:spacing w:line="480" w:lineRule="exact"/>
              <w:jc w:val="both"/>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序号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D68B76D">
            <w:pPr>
              <w:spacing w:line="480" w:lineRule="exact"/>
              <w:jc w:val="both"/>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专业类别</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14:paraId="11C1FD4C">
            <w:pPr>
              <w:spacing w:line="480" w:lineRule="exact"/>
              <w:ind w:firstLine="1680"/>
              <w:jc w:val="both"/>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物资名称</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14:paraId="6AE9B44D">
            <w:pPr>
              <w:spacing w:line="480" w:lineRule="exact"/>
              <w:jc w:val="both"/>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损耗率控制目标%</w:t>
            </w:r>
          </w:p>
        </w:tc>
        <w:tc>
          <w:tcPr>
            <w:tcW w:w="1244" w:type="dxa"/>
            <w:tcBorders>
              <w:top w:val="single" w:color="000000" w:sz="4" w:space="0"/>
              <w:left w:val="single" w:color="000000" w:sz="4" w:space="0"/>
              <w:bottom w:val="single" w:color="000000" w:sz="4" w:space="0"/>
              <w:right w:val="single" w:color="000000" w:sz="4" w:space="0"/>
            </w:tcBorders>
            <w:noWrap w:val="0"/>
            <w:vAlign w:val="center"/>
          </w:tcPr>
          <w:p w14:paraId="5082A350">
            <w:pPr>
              <w:spacing w:line="480" w:lineRule="exact"/>
              <w:ind w:firstLine="280"/>
              <w:jc w:val="both"/>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备注</w:t>
            </w:r>
          </w:p>
        </w:tc>
      </w:tr>
      <w:tr w14:paraId="71DB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13F94905">
            <w:pPr>
              <w:spacing w:line="480" w:lineRule="exact"/>
              <w:ind w:firstLine="280"/>
              <w:jc w:val="left"/>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1</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424C83">
            <w:pPr>
              <w:spacing w:line="480" w:lineRule="exact"/>
              <w:jc w:val="both"/>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建筑电气工程</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7245619A">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管材（无缝、镀锌钢管、焊接钢管、电线管-KBG/JDG管等）</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7950A2B1">
            <w:pPr>
              <w:spacing w:line="480" w:lineRule="exact"/>
              <w:ind w:firstLine="560"/>
              <w:jc w:val="both"/>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3.00%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4AD620E">
            <w:pPr>
              <w:spacing w:line="480" w:lineRule="exact"/>
              <w:ind w:firstLine="560"/>
              <w:jc w:val="center"/>
              <w:rPr>
                <w:rFonts w:hint="eastAsia" w:ascii="仿宋_GB2312" w:eastAsia="仿宋_GB2312" w:hAnsiTheme="minorEastAsia" w:cstheme="minorEastAsia"/>
                <w:sz w:val="28"/>
                <w:szCs w:val="28"/>
                <w:highlight w:val="none"/>
              </w:rPr>
            </w:pPr>
          </w:p>
        </w:tc>
      </w:tr>
      <w:tr w14:paraId="61FC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1611F1F3">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2</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8F75E">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5E4D23C5">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塑料制品（PVC管、塑料线槽）</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44D315C6">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6.00%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CB2D868">
            <w:pPr>
              <w:spacing w:line="480" w:lineRule="exact"/>
              <w:ind w:firstLine="560"/>
              <w:jc w:val="center"/>
              <w:rPr>
                <w:rFonts w:hint="eastAsia" w:ascii="仿宋_GB2312" w:eastAsia="仿宋_GB2312" w:hAnsiTheme="minorEastAsia" w:cstheme="minorEastAsia"/>
                <w:sz w:val="28"/>
                <w:szCs w:val="28"/>
                <w:highlight w:val="none"/>
              </w:rPr>
            </w:pPr>
          </w:p>
        </w:tc>
      </w:tr>
      <w:tr w14:paraId="310A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52B14A30">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F4BE1">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59E3CA82">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母线槽</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4C802A06">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0.00%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F3D4EA8">
            <w:pPr>
              <w:spacing w:line="480" w:lineRule="exact"/>
              <w:ind w:firstLine="560"/>
              <w:jc w:val="center"/>
              <w:rPr>
                <w:rFonts w:hint="eastAsia" w:ascii="仿宋_GB2312" w:eastAsia="仿宋_GB2312" w:hAnsiTheme="minorEastAsia" w:cstheme="minorEastAsia"/>
                <w:sz w:val="28"/>
                <w:szCs w:val="28"/>
                <w:highlight w:val="none"/>
              </w:rPr>
            </w:pPr>
          </w:p>
        </w:tc>
      </w:tr>
      <w:tr w14:paraId="4933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4EA0CD81">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4</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8273C">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0824D76F">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电缆桥架（钢制、铝合金、玻璃钢、不锈钢）</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454A2E78">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0.50%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B2B4273">
            <w:pPr>
              <w:spacing w:line="480" w:lineRule="exact"/>
              <w:ind w:firstLine="560"/>
              <w:jc w:val="center"/>
              <w:rPr>
                <w:rFonts w:hint="eastAsia" w:ascii="仿宋_GB2312" w:eastAsia="仿宋_GB2312" w:hAnsiTheme="minorEastAsia" w:cstheme="minorEastAsia"/>
                <w:sz w:val="28"/>
                <w:szCs w:val="28"/>
                <w:highlight w:val="none"/>
              </w:rPr>
            </w:pPr>
          </w:p>
        </w:tc>
      </w:tr>
      <w:tr w14:paraId="71F9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053D9154">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5</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7B22D">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0EE22339">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绝缘导线</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251A884B">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5.00%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66D4097">
            <w:pPr>
              <w:spacing w:line="480" w:lineRule="exact"/>
              <w:ind w:firstLine="560"/>
              <w:jc w:val="center"/>
              <w:rPr>
                <w:rFonts w:hint="eastAsia" w:ascii="仿宋_GB2312" w:eastAsia="仿宋_GB2312" w:hAnsiTheme="minorEastAsia" w:cstheme="minorEastAsia"/>
                <w:sz w:val="28"/>
                <w:szCs w:val="28"/>
                <w:highlight w:val="none"/>
              </w:rPr>
            </w:pPr>
          </w:p>
        </w:tc>
      </w:tr>
      <w:tr w14:paraId="0287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7180D097">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6</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F071D">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60ACD167">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电力电缆</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2A656D67">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40AA5A1F">
            <w:pPr>
              <w:spacing w:line="480" w:lineRule="exact"/>
              <w:ind w:firstLine="560"/>
              <w:jc w:val="center"/>
              <w:rPr>
                <w:rFonts w:hint="eastAsia" w:ascii="仿宋_GB2312" w:eastAsia="仿宋_GB2312" w:hAnsiTheme="minorEastAsia" w:cstheme="minorEastAsia"/>
                <w:sz w:val="28"/>
                <w:szCs w:val="28"/>
                <w:highlight w:val="none"/>
              </w:rPr>
            </w:pPr>
          </w:p>
        </w:tc>
      </w:tr>
      <w:tr w14:paraId="4683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28DD7B13">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7</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7B1CA">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2E8592A2">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控制电缆</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06D63DA0">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1.50%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4C6C0D95">
            <w:pPr>
              <w:spacing w:line="480" w:lineRule="exact"/>
              <w:ind w:firstLine="560"/>
              <w:jc w:val="center"/>
              <w:rPr>
                <w:rFonts w:hint="eastAsia" w:ascii="仿宋_GB2312" w:eastAsia="仿宋_GB2312" w:hAnsiTheme="minorEastAsia" w:cstheme="minorEastAsia"/>
                <w:sz w:val="28"/>
                <w:szCs w:val="28"/>
                <w:highlight w:val="none"/>
              </w:rPr>
            </w:pPr>
          </w:p>
        </w:tc>
      </w:tr>
      <w:tr w14:paraId="00DB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610981D6">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8</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533E7">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7ABAA199">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型钢（角钢、圆钢等）</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7371211C">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5.00%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9342F44">
            <w:pPr>
              <w:spacing w:line="480" w:lineRule="exact"/>
              <w:ind w:firstLine="560"/>
              <w:jc w:val="center"/>
              <w:rPr>
                <w:rFonts w:hint="eastAsia" w:ascii="仿宋_GB2312" w:eastAsia="仿宋_GB2312" w:hAnsiTheme="minorEastAsia" w:cstheme="minorEastAsia"/>
                <w:sz w:val="28"/>
                <w:szCs w:val="28"/>
                <w:highlight w:val="none"/>
              </w:rPr>
            </w:pPr>
          </w:p>
        </w:tc>
      </w:tr>
      <w:tr w14:paraId="74FE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73C45867">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9</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8D18B">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7C9898DD">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照明灯具</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3FA4D268">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46BB95CF">
            <w:pPr>
              <w:spacing w:line="480" w:lineRule="exact"/>
              <w:ind w:firstLine="560"/>
              <w:jc w:val="center"/>
              <w:rPr>
                <w:rFonts w:hint="eastAsia" w:ascii="仿宋_GB2312" w:eastAsia="仿宋_GB2312" w:hAnsiTheme="minorEastAsia" w:cstheme="minorEastAsia"/>
                <w:sz w:val="28"/>
                <w:szCs w:val="28"/>
                <w:highlight w:val="none"/>
              </w:rPr>
            </w:pPr>
          </w:p>
        </w:tc>
      </w:tr>
      <w:tr w14:paraId="1F65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4A5E81F0">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10</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67EC9">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0AF53776">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开关插座、各种面板</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3BD6E074">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2.00%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C69ABB3">
            <w:pPr>
              <w:spacing w:line="480" w:lineRule="exact"/>
              <w:ind w:firstLine="560"/>
              <w:jc w:val="center"/>
              <w:rPr>
                <w:rFonts w:hint="eastAsia" w:ascii="仿宋_GB2312" w:eastAsia="仿宋_GB2312" w:hAnsiTheme="minorEastAsia" w:cstheme="minorEastAsia"/>
                <w:sz w:val="28"/>
                <w:szCs w:val="28"/>
                <w:highlight w:val="none"/>
              </w:rPr>
            </w:pPr>
          </w:p>
        </w:tc>
      </w:tr>
      <w:tr w14:paraId="147E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0C631182">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11</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50ABA">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03F4B70F">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电气成套设备（高低柜、配电箱等）</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5C643976">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0.00%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C45F6FB">
            <w:pPr>
              <w:spacing w:line="480" w:lineRule="exact"/>
              <w:ind w:firstLine="560"/>
              <w:jc w:val="center"/>
              <w:rPr>
                <w:rFonts w:hint="eastAsia" w:ascii="仿宋_GB2312" w:eastAsia="仿宋_GB2312" w:hAnsiTheme="minorEastAsia" w:cstheme="minorEastAsia"/>
                <w:sz w:val="28"/>
                <w:szCs w:val="28"/>
                <w:highlight w:val="none"/>
              </w:rPr>
            </w:pPr>
          </w:p>
        </w:tc>
      </w:tr>
      <w:tr w14:paraId="7810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707BEA48">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12</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73F887">
            <w:pPr>
              <w:spacing w:line="480" w:lineRule="exact"/>
              <w:jc w:val="both"/>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建筑给排水与采暖工程</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0AE6D4EB">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管材（无缝、焊管、镀锌管）</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5B52AB8A">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1A00A0AD">
            <w:pPr>
              <w:spacing w:line="480" w:lineRule="exact"/>
              <w:ind w:firstLine="560"/>
              <w:jc w:val="center"/>
              <w:rPr>
                <w:rFonts w:hint="eastAsia" w:ascii="仿宋_GB2312" w:eastAsia="仿宋_GB2312" w:hAnsiTheme="minorEastAsia" w:cstheme="minorEastAsia"/>
                <w:sz w:val="28"/>
                <w:szCs w:val="28"/>
                <w:highlight w:val="none"/>
              </w:rPr>
            </w:pPr>
          </w:p>
        </w:tc>
      </w:tr>
      <w:tr w14:paraId="6AEB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55E62010">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13</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D56C3">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33E6B343">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排水铸铁管（室外）</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0F1D5F0E">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42FD7485">
            <w:pPr>
              <w:spacing w:line="480" w:lineRule="exact"/>
              <w:ind w:firstLine="560"/>
              <w:jc w:val="center"/>
              <w:rPr>
                <w:rFonts w:hint="eastAsia" w:ascii="仿宋_GB2312" w:eastAsia="仿宋_GB2312" w:hAnsiTheme="minorEastAsia" w:cstheme="minorEastAsia"/>
                <w:sz w:val="28"/>
                <w:szCs w:val="28"/>
                <w:highlight w:val="none"/>
              </w:rPr>
            </w:pPr>
          </w:p>
        </w:tc>
      </w:tr>
      <w:tr w14:paraId="4B26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72E83458">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14</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4985E">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62E24309">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塑料管（PB、PPR 等）</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0F7C9E4E">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4.00%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3ACBDB3">
            <w:pPr>
              <w:spacing w:line="480" w:lineRule="exact"/>
              <w:ind w:firstLine="560"/>
              <w:jc w:val="center"/>
              <w:rPr>
                <w:rFonts w:hint="eastAsia" w:ascii="仿宋_GB2312" w:eastAsia="仿宋_GB2312" w:hAnsiTheme="minorEastAsia" w:cstheme="minorEastAsia"/>
                <w:sz w:val="28"/>
                <w:szCs w:val="28"/>
                <w:highlight w:val="none"/>
              </w:rPr>
            </w:pPr>
          </w:p>
        </w:tc>
      </w:tr>
      <w:tr w14:paraId="7419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10302C4A">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15</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B71BE">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5575A438">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塑料管（PVC 空调冷凝水管）</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4DB372BB">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4.00%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990C633">
            <w:pPr>
              <w:spacing w:line="480" w:lineRule="exact"/>
              <w:ind w:firstLine="560"/>
              <w:jc w:val="center"/>
              <w:rPr>
                <w:rFonts w:hint="eastAsia" w:ascii="仿宋_GB2312" w:eastAsia="仿宋_GB2312" w:hAnsiTheme="minorEastAsia" w:cstheme="minorEastAsia"/>
                <w:sz w:val="28"/>
                <w:szCs w:val="28"/>
                <w:highlight w:val="none"/>
              </w:rPr>
            </w:pPr>
          </w:p>
        </w:tc>
      </w:tr>
      <w:tr w14:paraId="5892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42286E30">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16</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B5C23">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5F6B0D3B">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型钢（角钢、圆钢等）</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19E2F4F1">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5.00%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4866348E">
            <w:pPr>
              <w:spacing w:line="480" w:lineRule="exact"/>
              <w:ind w:firstLine="560"/>
              <w:jc w:val="center"/>
              <w:rPr>
                <w:rFonts w:hint="eastAsia" w:ascii="仿宋_GB2312" w:eastAsia="仿宋_GB2312" w:hAnsiTheme="minorEastAsia" w:cstheme="minorEastAsia"/>
                <w:sz w:val="28"/>
                <w:szCs w:val="28"/>
                <w:highlight w:val="none"/>
              </w:rPr>
            </w:pPr>
          </w:p>
        </w:tc>
      </w:tr>
      <w:tr w14:paraId="28C9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692737A3">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17</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EDF33">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1D3FF4F4">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铸铁散热器</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4A6BD44A">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D731332">
            <w:pPr>
              <w:spacing w:line="480" w:lineRule="exact"/>
              <w:ind w:firstLine="560"/>
              <w:jc w:val="center"/>
              <w:rPr>
                <w:rFonts w:hint="eastAsia" w:ascii="仿宋_GB2312" w:eastAsia="仿宋_GB2312" w:hAnsiTheme="minorEastAsia" w:cstheme="minorEastAsia"/>
                <w:sz w:val="28"/>
                <w:szCs w:val="28"/>
                <w:highlight w:val="none"/>
              </w:rPr>
            </w:pPr>
          </w:p>
        </w:tc>
      </w:tr>
      <w:tr w14:paraId="5A6B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29C8475E">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18</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5C5A5">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2EC5FEE1">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卫生洁具、水嘴</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25455C0D">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98E48BF">
            <w:pPr>
              <w:spacing w:line="480" w:lineRule="exact"/>
              <w:ind w:firstLine="560"/>
              <w:jc w:val="center"/>
              <w:rPr>
                <w:rFonts w:hint="eastAsia" w:ascii="仿宋_GB2312" w:eastAsia="仿宋_GB2312" w:hAnsiTheme="minorEastAsia" w:cstheme="minorEastAsia"/>
                <w:sz w:val="28"/>
                <w:szCs w:val="28"/>
                <w:highlight w:val="none"/>
              </w:rPr>
            </w:pPr>
          </w:p>
        </w:tc>
      </w:tr>
      <w:tr w14:paraId="1640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7FAFDF1E">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19</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18828">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415C8745">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螺纹阀门</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54308C21">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3AD7CF0">
            <w:pPr>
              <w:spacing w:line="480" w:lineRule="exact"/>
              <w:ind w:firstLine="560"/>
              <w:jc w:val="center"/>
              <w:rPr>
                <w:rFonts w:hint="eastAsia" w:ascii="仿宋_GB2312" w:eastAsia="仿宋_GB2312" w:hAnsiTheme="minorEastAsia" w:cstheme="minorEastAsia"/>
                <w:sz w:val="28"/>
                <w:szCs w:val="28"/>
                <w:highlight w:val="none"/>
              </w:rPr>
            </w:pPr>
          </w:p>
        </w:tc>
      </w:tr>
      <w:tr w14:paraId="7B4E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3EC1261B">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20</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AB8C7">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1566972E">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保温瓦块</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385E9906">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6.00%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3A02F98">
            <w:pPr>
              <w:spacing w:line="480" w:lineRule="exact"/>
              <w:ind w:firstLine="560"/>
              <w:jc w:val="center"/>
              <w:rPr>
                <w:rFonts w:hint="eastAsia" w:ascii="仿宋_GB2312" w:eastAsia="仿宋_GB2312" w:hAnsiTheme="minorEastAsia" w:cstheme="minorEastAsia"/>
                <w:sz w:val="28"/>
                <w:szCs w:val="28"/>
                <w:highlight w:val="none"/>
              </w:rPr>
            </w:pPr>
          </w:p>
        </w:tc>
      </w:tr>
      <w:tr w14:paraId="06CA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18C90579">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21</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6CD55">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49A90621">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保温管壳</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75ED8423">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BDD763E">
            <w:pPr>
              <w:spacing w:line="480" w:lineRule="exact"/>
              <w:ind w:firstLine="560"/>
              <w:jc w:val="center"/>
              <w:rPr>
                <w:rFonts w:hint="eastAsia" w:ascii="仿宋_GB2312" w:eastAsia="仿宋_GB2312" w:hAnsiTheme="minorEastAsia" w:cstheme="minorEastAsia"/>
                <w:sz w:val="28"/>
                <w:szCs w:val="28"/>
                <w:highlight w:val="none"/>
              </w:rPr>
            </w:pPr>
          </w:p>
        </w:tc>
      </w:tr>
      <w:tr w14:paraId="27CD1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5F2E00B4">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22</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1F5AB">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01ED5379">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岩棉板、玻璃棉板</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270E4E50">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8.00%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34DB253">
            <w:pPr>
              <w:spacing w:line="480" w:lineRule="exact"/>
              <w:ind w:firstLine="560"/>
              <w:jc w:val="center"/>
              <w:rPr>
                <w:rFonts w:hint="eastAsia" w:ascii="仿宋_GB2312" w:eastAsia="仿宋_GB2312" w:hAnsiTheme="minorEastAsia" w:cstheme="minorEastAsia"/>
                <w:sz w:val="28"/>
                <w:szCs w:val="28"/>
                <w:highlight w:val="none"/>
              </w:rPr>
            </w:pPr>
          </w:p>
        </w:tc>
      </w:tr>
      <w:tr w14:paraId="7CF5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482F3047">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23</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D21AD">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146925B7">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内外涂塑管、衬塑管</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716F4736">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04F54B3">
            <w:pPr>
              <w:spacing w:line="480" w:lineRule="exact"/>
              <w:ind w:firstLine="560"/>
              <w:jc w:val="center"/>
              <w:rPr>
                <w:rFonts w:hint="eastAsia" w:ascii="仿宋_GB2312" w:eastAsia="仿宋_GB2312" w:hAnsiTheme="minorEastAsia" w:cstheme="minorEastAsia"/>
                <w:sz w:val="28"/>
                <w:szCs w:val="28"/>
                <w:highlight w:val="none"/>
              </w:rPr>
            </w:pPr>
          </w:p>
        </w:tc>
      </w:tr>
      <w:tr w14:paraId="5B73B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1F29B425">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24</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FCFFD">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0FC45276">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不锈钢管</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03722126">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D81C1C7">
            <w:pPr>
              <w:spacing w:line="480" w:lineRule="exact"/>
              <w:ind w:firstLine="560"/>
              <w:jc w:val="center"/>
              <w:rPr>
                <w:rFonts w:hint="eastAsia" w:ascii="仿宋_GB2312" w:eastAsia="仿宋_GB2312" w:hAnsiTheme="minorEastAsia" w:cstheme="minorEastAsia"/>
                <w:sz w:val="28"/>
                <w:szCs w:val="28"/>
                <w:highlight w:val="none"/>
              </w:rPr>
            </w:pPr>
          </w:p>
        </w:tc>
      </w:tr>
      <w:tr w14:paraId="2AB6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52D9591B">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25</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062E2">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0104D1D0">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铜管</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41F4E3A2">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3.60%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4BDE122D">
            <w:pPr>
              <w:spacing w:line="480" w:lineRule="exact"/>
              <w:ind w:firstLine="560"/>
              <w:jc w:val="center"/>
              <w:rPr>
                <w:rFonts w:hint="eastAsia" w:ascii="仿宋_GB2312" w:eastAsia="仿宋_GB2312" w:hAnsiTheme="minorEastAsia" w:cstheme="minorEastAsia"/>
                <w:sz w:val="28"/>
                <w:szCs w:val="28"/>
                <w:highlight w:val="none"/>
              </w:rPr>
            </w:pPr>
          </w:p>
        </w:tc>
      </w:tr>
      <w:tr w14:paraId="0BE2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42E37EFA">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26</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1571DF">
            <w:pPr>
              <w:spacing w:line="480" w:lineRule="exact"/>
              <w:jc w:val="both"/>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建筑通风与空调工程</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17C9C68F">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风管板材（共板法兰）</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4EF7F84B">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12.00%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C34B29C">
            <w:pPr>
              <w:spacing w:line="480" w:lineRule="exact"/>
              <w:ind w:firstLine="560"/>
              <w:jc w:val="center"/>
              <w:rPr>
                <w:rFonts w:hint="eastAsia" w:ascii="仿宋_GB2312" w:eastAsia="仿宋_GB2312" w:hAnsiTheme="minorEastAsia" w:cstheme="minorEastAsia"/>
                <w:sz w:val="28"/>
                <w:szCs w:val="28"/>
                <w:highlight w:val="none"/>
              </w:rPr>
            </w:pPr>
          </w:p>
        </w:tc>
      </w:tr>
      <w:tr w14:paraId="6564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3461DED7">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27</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E5614">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0B4E78E4">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风管板材（角钢法兰）</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45F7B74A">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10.00%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0BBFF94">
            <w:pPr>
              <w:spacing w:line="480" w:lineRule="exact"/>
              <w:ind w:firstLine="560"/>
              <w:jc w:val="center"/>
              <w:rPr>
                <w:rFonts w:hint="eastAsia" w:ascii="仿宋_GB2312" w:eastAsia="仿宋_GB2312" w:hAnsiTheme="minorEastAsia" w:cstheme="minorEastAsia"/>
                <w:sz w:val="28"/>
                <w:szCs w:val="28"/>
                <w:highlight w:val="none"/>
              </w:rPr>
            </w:pPr>
          </w:p>
        </w:tc>
      </w:tr>
      <w:tr w14:paraId="5D49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113E5177">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28</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1C48A">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604014C0">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不锈钢板风管</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4B75BF62">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8.00%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403B20B3">
            <w:pPr>
              <w:spacing w:line="480" w:lineRule="exact"/>
              <w:ind w:firstLine="560"/>
              <w:jc w:val="center"/>
              <w:rPr>
                <w:rFonts w:hint="eastAsia" w:ascii="仿宋_GB2312" w:eastAsia="仿宋_GB2312" w:hAnsiTheme="minorEastAsia" w:cstheme="minorEastAsia"/>
                <w:sz w:val="28"/>
                <w:szCs w:val="28"/>
                <w:highlight w:val="none"/>
              </w:rPr>
            </w:pPr>
          </w:p>
        </w:tc>
      </w:tr>
      <w:tr w14:paraId="4470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092B7BBA">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29</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4AE73">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2014EAD8">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复合风管板材</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6C783932">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16.00%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4943B35">
            <w:pPr>
              <w:spacing w:line="480" w:lineRule="exact"/>
              <w:ind w:firstLine="560"/>
              <w:jc w:val="center"/>
              <w:rPr>
                <w:rFonts w:hint="eastAsia" w:ascii="仿宋_GB2312" w:eastAsia="仿宋_GB2312" w:hAnsiTheme="minorEastAsia" w:cstheme="minorEastAsia"/>
                <w:sz w:val="28"/>
                <w:szCs w:val="28"/>
                <w:highlight w:val="none"/>
              </w:rPr>
            </w:pPr>
          </w:p>
        </w:tc>
      </w:tr>
      <w:tr w14:paraId="3C2E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4818091C">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30</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836A6">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3C1E28FE">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管材（无缝、焊管、镀锌管）</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1373DB26">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3.60%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3F4B14F">
            <w:pPr>
              <w:spacing w:line="480" w:lineRule="exact"/>
              <w:ind w:firstLine="560"/>
              <w:jc w:val="center"/>
              <w:rPr>
                <w:rFonts w:hint="eastAsia" w:ascii="仿宋_GB2312" w:eastAsia="仿宋_GB2312" w:hAnsiTheme="minorEastAsia" w:cstheme="minorEastAsia"/>
                <w:sz w:val="28"/>
                <w:szCs w:val="28"/>
                <w:highlight w:val="none"/>
              </w:rPr>
            </w:pPr>
          </w:p>
        </w:tc>
      </w:tr>
      <w:tr w14:paraId="0465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062D7DFF">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31</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4501F">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4C757402">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保温板材</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1F6F5FFA">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8.00%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F9A5940">
            <w:pPr>
              <w:spacing w:line="480" w:lineRule="exact"/>
              <w:ind w:firstLine="560"/>
              <w:jc w:val="center"/>
              <w:rPr>
                <w:rFonts w:hint="eastAsia" w:ascii="仿宋_GB2312" w:eastAsia="仿宋_GB2312" w:hAnsiTheme="minorEastAsia" w:cstheme="minorEastAsia"/>
                <w:sz w:val="28"/>
                <w:szCs w:val="28"/>
                <w:highlight w:val="none"/>
              </w:rPr>
            </w:pPr>
          </w:p>
        </w:tc>
      </w:tr>
      <w:tr w14:paraId="7C4E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63BA2194">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32</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CB2F5">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567EC91A">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保温管壳</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7A9E946E">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C5206F5">
            <w:pPr>
              <w:spacing w:line="480" w:lineRule="exact"/>
              <w:ind w:firstLine="560"/>
              <w:jc w:val="center"/>
              <w:rPr>
                <w:rFonts w:hint="eastAsia" w:ascii="仿宋_GB2312" w:eastAsia="仿宋_GB2312" w:hAnsiTheme="minorEastAsia" w:cstheme="minorEastAsia"/>
                <w:sz w:val="28"/>
                <w:szCs w:val="28"/>
                <w:highlight w:val="none"/>
              </w:rPr>
            </w:pPr>
          </w:p>
        </w:tc>
      </w:tr>
      <w:tr w14:paraId="665B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58767F21">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33</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630FD">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7A3BA12F">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岩棉板</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700CD135">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5.00%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4A549910">
            <w:pPr>
              <w:spacing w:line="480" w:lineRule="exact"/>
              <w:ind w:firstLine="560"/>
              <w:jc w:val="center"/>
              <w:rPr>
                <w:rFonts w:hint="eastAsia" w:ascii="仿宋_GB2312" w:eastAsia="仿宋_GB2312" w:hAnsiTheme="minorEastAsia" w:cstheme="minorEastAsia"/>
                <w:sz w:val="28"/>
                <w:szCs w:val="28"/>
                <w:highlight w:val="none"/>
              </w:rPr>
            </w:pPr>
          </w:p>
        </w:tc>
      </w:tr>
      <w:tr w14:paraId="1BCBC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45090F7B">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34</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F0ABF">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3309D352">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玻璃棉板</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74D28B29">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57CE01C">
            <w:pPr>
              <w:spacing w:line="480" w:lineRule="exact"/>
              <w:ind w:firstLine="560"/>
              <w:jc w:val="center"/>
              <w:rPr>
                <w:rFonts w:hint="eastAsia" w:ascii="仿宋_GB2312" w:eastAsia="仿宋_GB2312" w:hAnsiTheme="minorEastAsia" w:cstheme="minorEastAsia"/>
                <w:sz w:val="28"/>
                <w:szCs w:val="28"/>
                <w:highlight w:val="none"/>
              </w:rPr>
            </w:pPr>
          </w:p>
        </w:tc>
      </w:tr>
      <w:tr w14:paraId="5CC6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25504C9F">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35</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0F854">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196E217D">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型钢</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43BDCEF8">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5.00%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7FAAB77">
            <w:pPr>
              <w:spacing w:line="480" w:lineRule="exact"/>
              <w:ind w:firstLine="560"/>
              <w:jc w:val="center"/>
              <w:rPr>
                <w:rFonts w:hint="eastAsia" w:ascii="仿宋_GB2312" w:eastAsia="仿宋_GB2312" w:hAnsiTheme="minorEastAsia" w:cstheme="minorEastAsia"/>
                <w:sz w:val="28"/>
                <w:szCs w:val="28"/>
                <w:highlight w:val="none"/>
              </w:rPr>
            </w:pPr>
          </w:p>
        </w:tc>
      </w:tr>
      <w:tr w14:paraId="05E3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5D77D732">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36</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B95C3">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5945D8B9">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风口、风阀</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150A5DCF">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0.00%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17781F76">
            <w:pPr>
              <w:spacing w:line="480" w:lineRule="exact"/>
              <w:ind w:firstLine="560"/>
              <w:jc w:val="center"/>
              <w:rPr>
                <w:rFonts w:hint="eastAsia" w:ascii="仿宋_GB2312" w:eastAsia="仿宋_GB2312" w:hAnsiTheme="minorEastAsia" w:cstheme="minorEastAsia"/>
                <w:sz w:val="28"/>
                <w:szCs w:val="28"/>
                <w:highlight w:val="none"/>
              </w:rPr>
            </w:pPr>
          </w:p>
        </w:tc>
      </w:tr>
      <w:tr w14:paraId="1FFE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3B339280">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37</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79E51">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08CFC234">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阀门（DN50及以下）</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21CF234F">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1.00%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FEB5607">
            <w:pPr>
              <w:spacing w:line="480" w:lineRule="exact"/>
              <w:ind w:firstLine="560"/>
              <w:jc w:val="center"/>
              <w:rPr>
                <w:rFonts w:hint="eastAsia" w:ascii="仿宋_GB2312" w:eastAsia="仿宋_GB2312" w:hAnsiTheme="minorEastAsia" w:cstheme="minorEastAsia"/>
                <w:sz w:val="28"/>
                <w:szCs w:val="28"/>
                <w:highlight w:val="none"/>
              </w:rPr>
            </w:pPr>
          </w:p>
        </w:tc>
      </w:tr>
      <w:tr w14:paraId="7DA3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8" w:type="dxa"/>
            <w:tcBorders>
              <w:top w:val="single" w:color="000000" w:sz="4" w:space="0"/>
              <w:left w:val="single" w:color="000000" w:sz="4" w:space="0"/>
              <w:bottom w:val="single" w:color="000000" w:sz="4" w:space="0"/>
              <w:right w:val="single" w:color="000000" w:sz="4" w:space="0"/>
            </w:tcBorders>
            <w:noWrap/>
            <w:vAlign w:val="center"/>
          </w:tcPr>
          <w:p w14:paraId="5F780139">
            <w:pPr>
              <w:spacing w:line="480" w:lineRule="exact"/>
              <w:ind w:firstLine="280"/>
              <w:jc w:val="left"/>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38</w:t>
            </w: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FB888">
            <w:pPr>
              <w:spacing w:line="480" w:lineRule="exact"/>
              <w:ind w:firstLine="560"/>
              <w:jc w:val="center"/>
              <w:rPr>
                <w:rFonts w:hint="eastAsia" w:ascii="仿宋_GB2312" w:eastAsia="仿宋_GB2312" w:hAnsiTheme="minorEastAsia" w:cstheme="minorEastAsia"/>
                <w:sz w:val="28"/>
                <w:szCs w:val="28"/>
                <w:highlight w:val="none"/>
              </w:rPr>
            </w:pP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1072B4D6">
            <w:pPr>
              <w:spacing w:line="480" w:lineRule="exact"/>
              <w:ind w:firstLine="560"/>
              <w:jc w:val="center"/>
              <w:rPr>
                <w:rFonts w:hint="eastAsia"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lang w:val="en-US" w:eastAsia="zh-CN"/>
              </w:rPr>
              <w:t>成套设备（风机、水泵、机组等）</w:t>
            </w:r>
          </w:p>
        </w:tc>
        <w:tc>
          <w:tcPr>
            <w:tcW w:w="1689" w:type="dxa"/>
            <w:tcBorders>
              <w:top w:val="single" w:color="000000" w:sz="4" w:space="0"/>
              <w:left w:val="single" w:color="000000" w:sz="4" w:space="0"/>
              <w:bottom w:val="single" w:color="000000" w:sz="4" w:space="0"/>
              <w:right w:val="single" w:color="000000" w:sz="4" w:space="0"/>
            </w:tcBorders>
            <w:noWrap/>
            <w:vAlign w:val="center"/>
          </w:tcPr>
          <w:p w14:paraId="7BAB5352">
            <w:pPr>
              <w:spacing w:line="480" w:lineRule="exact"/>
              <w:ind w:firstLine="560"/>
              <w:jc w:val="both"/>
              <w:rPr>
                <w:rFonts w:hint="eastAsia" w:ascii="仿宋_GB2312" w:eastAsia="仿宋_GB2312" w:hAnsiTheme="minorEastAsia" w:cstheme="minorEastAsia"/>
                <w:sz w:val="28"/>
                <w:szCs w:val="28"/>
                <w:highlight w:val="none"/>
                <w:lang w:val="en-US" w:eastAsia="zh-CN"/>
              </w:rPr>
            </w:pPr>
            <w:r>
              <w:rPr>
                <w:rFonts w:hint="eastAsia" w:ascii="仿宋_GB2312" w:eastAsia="仿宋_GB2312" w:hAnsiTheme="minorEastAsia" w:cstheme="minorEastAsia"/>
                <w:sz w:val="28"/>
                <w:szCs w:val="28"/>
                <w:highlight w:val="none"/>
                <w:lang w:val="en-US" w:eastAsia="zh-CN"/>
              </w:rPr>
              <w:t>0.00%</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94CC8E6">
            <w:pPr>
              <w:spacing w:line="480" w:lineRule="exact"/>
              <w:ind w:firstLine="560"/>
              <w:jc w:val="center"/>
              <w:rPr>
                <w:rFonts w:hint="eastAsia" w:ascii="仿宋_GB2312" w:eastAsia="仿宋_GB2312" w:hAnsiTheme="minorEastAsia" w:cstheme="minorEastAsia"/>
                <w:sz w:val="28"/>
                <w:szCs w:val="28"/>
                <w:highlight w:val="none"/>
              </w:rPr>
            </w:pPr>
          </w:p>
        </w:tc>
      </w:tr>
    </w:tbl>
    <w:p w14:paraId="28688BC2">
      <w:pPr>
        <w:spacing w:line="480" w:lineRule="exact"/>
        <w:ind w:firstLine="560"/>
        <w:rPr>
          <w:rFonts w:ascii="仿宋_GB2312" w:eastAsia="仿宋_GB2312" w:hAnsiTheme="minorEastAsia" w:cstheme="minorEastAsia"/>
          <w:bCs/>
          <w:sz w:val="28"/>
          <w:szCs w:val="28"/>
          <w:highlight w:val="none"/>
          <w:u w:val="single"/>
        </w:rPr>
      </w:pPr>
      <w:r>
        <w:rPr>
          <w:rFonts w:ascii="仿宋_GB2312" w:eastAsia="仿宋_GB2312" w:hAnsiTheme="minorEastAsia" w:cstheme="minorEastAsia"/>
          <w:bCs/>
          <w:sz w:val="28"/>
          <w:szCs w:val="28"/>
          <w:highlight w:val="none"/>
          <w:u w:val="single"/>
        </w:rPr>
        <w:br w:type="page" w:clear="all"/>
      </w:r>
    </w:p>
    <w:p w14:paraId="39D8DD8D">
      <w:pPr>
        <w:pStyle w:val="6"/>
        <w:spacing w:before="156" w:after="156"/>
        <w:ind w:left="0" w:firstLine="562"/>
        <w:rPr>
          <w:highlight w:val="none"/>
        </w:rPr>
      </w:pPr>
      <w:r>
        <w:rPr>
          <w:rFonts w:hint="eastAsia"/>
          <w:highlight w:val="none"/>
          <w:u w:val="none"/>
        </w:rPr>
        <w:t>附件1</w:t>
      </w:r>
      <w:r>
        <w:rPr>
          <w:rFonts w:hint="eastAsia"/>
          <w:highlight w:val="none"/>
          <w:u w:val="none"/>
          <w:lang w:val="en-US" w:eastAsia="zh-CN"/>
        </w:rPr>
        <w:t>4</w:t>
      </w:r>
      <w:r>
        <w:rPr>
          <w:rFonts w:hint="eastAsia"/>
          <w:highlight w:val="none"/>
          <w:u w:val="none"/>
        </w:rPr>
        <w:t xml:space="preserve">  承  诺  书</w:t>
      </w:r>
    </w:p>
    <w:p w14:paraId="71E87D20">
      <w:pPr>
        <w:spacing w:line="480" w:lineRule="exact"/>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w:t>
      </w:r>
      <w:bookmarkStart w:id="127" w:name="mf_jiafang_22d9e010-013d-4067-9a84-ea14432fbc6f_11"/>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bookmarkEnd w:id="127"/>
      <w:r>
        <w:rPr>
          <w:rFonts w:hint="eastAsia" w:ascii="仿宋_GB2312" w:eastAsia="仿宋_GB2312" w:hAnsiTheme="minorEastAsia" w:cstheme="minorEastAsia"/>
          <w:sz w:val="28"/>
          <w:szCs w:val="28"/>
          <w:highlight w:val="none"/>
        </w:rPr>
        <w:t>】：</w:t>
      </w:r>
    </w:p>
    <w:p w14:paraId="055B53E6">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我公司参加贵司【</w:t>
      </w:r>
      <w:bookmarkStart w:id="128" w:name="mf_xiangmumingcheng_9b5eeff3-c2ad-4cc3-bf2c-5e63b0922ee5_11"/>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bookmarkEnd w:id="128"/>
      <w:r>
        <w:rPr>
          <w:rFonts w:hint="eastAsia" w:ascii="仿宋_GB2312" w:eastAsia="仿宋_GB2312" w:hAnsiTheme="minorEastAsia" w:cstheme="minorEastAsia"/>
          <w:sz w:val="28"/>
          <w:szCs w:val="28"/>
          <w:highlight w:val="none"/>
        </w:rPr>
        <w:t>】工程投标并已中标，为更好地完成合同约定的工作内容，我公司承诺如下：</w:t>
      </w:r>
    </w:p>
    <w:p w14:paraId="757B9D28">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1.我公司严格执行国家、当地政府部门的法规、政策及总承包单位规章制度，依法进行用工管理，不搞挂靠和接受挂靠，不使用小包工队伍和未培训的社会闲散人员。</w:t>
      </w:r>
    </w:p>
    <w:p w14:paraId="6666A34C">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2.依法与劳动者本人签订书面劳动合同，明确双方的权利和义务，并经双方签字（章）认可，合同文本同时报甲方项目部备案。</w:t>
      </w:r>
    </w:p>
    <w:p w14:paraId="01A8C238">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3.我公司对员工实施实名制管理，做好工人的基本信息采集和考勤工作，并及时报总包项目部。</w:t>
      </w:r>
    </w:p>
    <w:p w14:paraId="7AA773D8">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4.我公司使用劳务工人保证做到先培训，后上岗，持证上岗。</w:t>
      </w:r>
    </w:p>
    <w:p w14:paraId="56FB3481">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5.按时足额发放工资（包括现场施工工人及劳务用工、农民工等所有用工，以下均简称“员工工资”），不管在任何情况下，决不拖欠员工工资，每次发放员工工资经员工本人签字。</w:t>
      </w:r>
    </w:p>
    <w:p w14:paraId="79F7B89C">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6.接受贵司的监督与管理。执行贵司对用工和员工工资支付的相关规定，按时足额缴纳员工工资保障基金，做好员工工资支付工作。并将员工工资支付情况统计表报送总承包方。</w:t>
      </w:r>
    </w:p>
    <w:p w14:paraId="4677475B">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7.在有条件的地区，委托总承包方在银行开设“工资专户”，建立工资卡，由银行代发员工工资，将员工工资直接打入员工个人卡中，并接受总包方对“工资专户”资金使用情况的监督管理。</w:t>
      </w:r>
    </w:p>
    <w:p w14:paraId="229159BD">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8.发生资金矛盾时，无条件先行支付员工工资。</w:t>
      </w:r>
    </w:p>
    <w:p w14:paraId="104B5A6E">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9.若拖欠员工工资，贵司有权直接终止分包合同，并按照分包合同的约定承担违约金。</w:t>
      </w:r>
    </w:p>
    <w:p w14:paraId="64B660F4">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10.我公司严格遵守总承包方安全管理规章制度，履行安全生产协议，做好劳务工人安全教育培训工作，接受贵司安全生产监督检查并承担相应的责任。</w:t>
      </w:r>
    </w:p>
    <w:p w14:paraId="1AA7DE23">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11.我司根据贵司要求，进入施工现场的所有人员，按照总承包方规定要求，按照实名制要求做好基本信息采集工作，办理门禁卡，无门禁卡的人员，贵司有权拒绝其进入施工现场。</w:t>
      </w:r>
    </w:p>
    <w:p w14:paraId="5364C6DF">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12.在合同实施过程中因建设单位、政策性因素、不可抗力、瘟疫等其他原因造成工程停建、缓建或工期延后，我公司不向贵司提出索赔。</w:t>
      </w:r>
    </w:p>
    <w:p w14:paraId="1BF452CE">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13.我公司从贵司收取的工程款首先支付工人工资，并每月将发放的劳务人员工资回执单上报贵司，如每月不按时上报，贵司可不支付下月工程款。如果出现我方范围内农民工、供货商经济纠纷事件干扰贵司正常工作或相关部门要求贵司解决，我方将及时解决，如半天内未解决，在第三方证明下或相关政府部门要求下，贵司可直接代为垫付，由此发生的费用贵司可直接自应支付我司的款项中扣除，并且按垫付数额的2倍由我司向贵司支付违约金。</w:t>
      </w:r>
    </w:p>
    <w:p w14:paraId="6CA88C09">
      <w:pPr>
        <w:widowControl/>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14.我公司具有完成合同所有内容的垫资能力，如贵司对我公司付款不及时，我公司表示谅解，并承诺继续施工，不向贵司索赔任何费用。</w:t>
      </w:r>
    </w:p>
    <w:p w14:paraId="35619AC5">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 xml:space="preserve">15.本合同履行过程中，若由于现场实际情况、贵司或建设单位要求，需要抢工或提前完工的，我公司积极配合，不以费用未确定等任何借口拒绝或拖延执行；若我公司施工能力无法满足前述要求，贵司有权组织其他单位代我公司完成，我公司将提供配合并承担由此产生的费用（包括但不限于代为完成部分工程款（该部分工程款由贵司直接与代为完成者直接结算，我公司对结算结果完全予以认可）及贵司管理费等），此费用由贵司从我公司工程款中扣除。 </w:t>
      </w:r>
    </w:p>
    <w:p w14:paraId="1BB63EA0">
      <w:pPr>
        <w:spacing w:line="480" w:lineRule="exact"/>
        <w:ind w:firstLine="560"/>
        <w:rPr>
          <w:rFonts w:ascii="仿宋_GB2312" w:eastAsia="仿宋_GB2312" w:hAnsiTheme="minorEastAsia" w:cstheme="minorEastAsia"/>
          <w:sz w:val="28"/>
          <w:szCs w:val="28"/>
          <w:highlight w:val="none"/>
        </w:rPr>
      </w:pPr>
    </w:p>
    <w:p w14:paraId="4B18A6A7">
      <w:pPr>
        <w:spacing w:line="480" w:lineRule="exact"/>
        <w:ind w:firstLine="560"/>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特此承诺。</w:t>
      </w:r>
    </w:p>
    <w:p w14:paraId="3588E20D">
      <w:pPr>
        <w:spacing w:line="480" w:lineRule="exact"/>
        <w:ind w:right="840" w:firstLine="280"/>
        <w:jc w:val="right"/>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承诺单位（签字盖章）：</w:t>
      </w:r>
      <w:bookmarkStart w:id="129" w:name="mf_yifangmaifangchuzufanggongyingfang_f27d5062-cfa7-44db-bc55-a59e9e707656_11"/>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r>
        <w:rPr>
          <w:rFonts w:hint="eastAsia" w:ascii="仿宋_GB2312" w:eastAsia="仿宋_GB2312" w:hAnsiTheme="minorEastAsia" w:cstheme="minorEastAsia"/>
          <w:sz w:val="28"/>
          <w:szCs w:val="28"/>
          <w:highlight w:val="none"/>
          <w:u w:val="single"/>
        </w:rPr>
        <w:tab/>
      </w:r>
      <w:bookmarkEnd w:id="129"/>
    </w:p>
    <w:p w14:paraId="6B1C7EB9">
      <w:pPr>
        <w:spacing w:line="480" w:lineRule="exact"/>
        <w:ind w:right="1120"/>
        <w:jc w:val="right"/>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highlight w:val="none"/>
        </w:rPr>
        <w:t>年    月    日</w:t>
      </w:r>
    </w:p>
    <w:p w14:paraId="40152C13">
      <w:pPr>
        <w:spacing w:after="120" w:line="480" w:lineRule="exact"/>
        <w:rPr>
          <w:rFonts w:ascii="仿宋_GB2312" w:eastAsia="仿宋_GB2312" w:hAnsiTheme="minorEastAsia" w:cstheme="minorEastAsia"/>
          <w:bCs/>
          <w:sz w:val="28"/>
          <w:szCs w:val="28"/>
          <w:highlight w:val="none"/>
          <w:u w:val="single"/>
        </w:rPr>
      </w:pPr>
    </w:p>
    <w:p w14:paraId="69015F28">
      <w:pPr>
        <w:pStyle w:val="6"/>
        <w:spacing w:before="156" w:after="156"/>
        <w:ind w:left="0" w:firstLine="562"/>
        <w:rPr>
          <w:rFonts w:hint="eastAsia"/>
          <w:highlight w:val="none"/>
        </w:rPr>
      </w:pPr>
      <w:r>
        <w:rPr>
          <w:rFonts w:hint="eastAsia"/>
          <w:highlight w:val="none"/>
          <w:u w:val="none"/>
        </w:rPr>
        <w:t>附件1</w:t>
      </w:r>
      <w:r>
        <w:rPr>
          <w:rFonts w:hint="eastAsia"/>
          <w:highlight w:val="none"/>
          <w:u w:val="none"/>
          <w:lang w:val="en-US" w:eastAsia="zh-CN"/>
        </w:rPr>
        <w:t>5  项目部现场管理制度</w:t>
      </w:r>
    </w:p>
    <w:p w14:paraId="0A4E7164">
      <w:pPr>
        <w:rPr>
          <w:rFonts w:hint="default" w:ascii="仿宋_GB2312" w:eastAsia="仿宋_GB2312" w:hAnsiTheme="minorEastAsia" w:cstheme="minorEastAsia"/>
          <w:bCs/>
          <w:sz w:val="28"/>
          <w:szCs w:val="28"/>
          <w:highlight w:val="none"/>
          <w:u w:val="single"/>
          <w:lang w:val="en-US" w:eastAsia="zh-CN"/>
        </w:rPr>
      </w:pPr>
      <w:r>
        <w:rPr>
          <w:rFonts w:hint="eastAsia" w:ascii="仿宋_GB2312" w:eastAsia="仿宋_GB2312" w:hAnsiTheme="minorEastAsia" w:cstheme="minorEastAsia"/>
          <w:bCs/>
          <w:sz w:val="28"/>
          <w:szCs w:val="28"/>
          <w:highlight w:val="none"/>
          <w:u w:val="none"/>
          <w:lang w:val="en-US" w:eastAsia="zh-CN"/>
        </w:rPr>
        <w:t>【</w:t>
      </w:r>
      <w:bookmarkStart w:id="130" w:name="mf_gongsiguizhangzhidu_10d4687d-0bd7-4869-8120-1d6c7f17ce71_1"/>
      <w:r>
        <w:rPr>
          <w:rFonts w:hint="eastAsia" w:ascii="仿宋_GB2312" w:eastAsia="仿宋_GB2312" w:hAnsiTheme="minorEastAsia" w:cstheme="minorEastAsia"/>
          <w:bCs/>
          <w:sz w:val="28"/>
          <w:szCs w:val="28"/>
          <w:highlight w:val="none"/>
          <w:u w:val="single"/>
          <w:lang w:val="en-US" w:eastAsia="zh-CN"/>
        </w:rPr>
        <w:tab/>
      </w:r>
      <w:r>
        <w:rPr>
          <w:rFonts w:hint="eastAsia" w:ascii="仿宋_GB2312" w:eastAsia="仿宋_GB2312" w:hAnsiTheme="minorEastAsia" w:cstheme="minorEastAsia"/>
          <w:bCs/>
          <w:sz w:val="28"/>
          <w:szCs w:val="28"/>
          <w:highlight w:val="none"/>
          <w:u w:val="single"/>
          <w:lang w:val="en-US" w:eastAsia="zh-CN"/>
        </w:rPr>
        <w:tab/>
      </w:r>
      <w:r>
        <w:rPr>
          <w:rFonts w:hint="eastAsia" w:ascii="仿宋_GB2312" w:eastAsia="仿宋_GB2312" w:hAnsiTheme="minorEastAsia" w:cstheme="minorEastAsia"/>
          <w:bCs/>
          <w:sz w:val="28"/>
          <w:szCs w:val="28"/>
          <w:highlight w:val="none"/>
          <w:u w:val="single"/>
          <w:lang w:val="en-US" w:eastAsia="zh-CN"/>
        </w:rPr>
        <w:tab/>
      </w:r>
      <w:r>
        <w:rPr>
          <w:rFonts w:hint="eastAsia" w:ascii="仿宋_GB2312" w:eastAsia="仿宋_GB2312" w:hAnsiTheme="minorEastAsia" w:cstheme="minorEastAsia"/>
          <w:bCs/>
          <w:sz w:val="28"/>
          <w:szCs w:val="28"/>
          <w:highlight w:val="none"/>
          <w:u w:val="single"/>
          <w:lang w:val="en-US" w:eastAsia="zh-CN"/>
        </w:rPr>
        <w:tab/>
      </w:r>
      <w:r>
        <w:rPr>
          <w:rFonts w:hint="eastAsia" w:ascii="仿宋_GB2312" w:eastAsia="仿宋_GB2312" w:hAnsiTheme="minorEastAsia" w:cstheme="minorEastAsia"/>
          <w:bCs/>
          <w:sz w:val="28"/>
          <w:szCs w:val="28"/>
          <w:highlight w:val="none"/>
          <w:u w:val="single"/>
          <w:lang w:val="en-US" w:eastAsia="zh-CN"/>
        </w:rPr>
        <w:tab/>
      </w:r>
      <w:bookmarkEnd w:id="130"/>
      <w:r>
        <w:rPr>
          <w:rFonts w:hint="eastAsia" w:ascii="仿宋_GB2312" w:eastAsia="仿宋_GB2312" w:hAnsiTheme="minorEastAsia" w:cstheme="minorEastAsia"/>
          <w:bCs/>
          <w:sz w:val="28"/>
          <w:szCs w:val="28"/>
          <w:highlight w:val="none"/>
          <w:u w:val="none"/>
          <w:lang w:val="en-US" w:eastAsia="zh-CN"/>
        </w:rPr>
        <w:t>】</w:t>
      </w:r>
      <w:r>
        <w:rPr>
          <w:rFonts w:hint="default" w:ascii="仿宋_GB2312" w:eastAsia="仿宋_GB2312" w:hAnsiTheme="minorEastAsia" w:cstheme="minorEastAsia"/>
          <w:bCs/>
          <w:sz w:val="28"/>
          <w:szCs w:val="28"/>
          <w:highlight w:val="none"/>
          <w:u w:val="single"/>
          <w:lang w:val="en-US" w:eastAsia="zh-CN"/>
        </w:rPr>
        <w:br w:type="page" w:clear="all"/>
      </w:r>
    </w:p>
    <w:p w14:paraId="3A398B8B">
      <w:pPr>
        <w:keepNext w:val="0"/>
        <w:keepLines w:val="0"/>
        <w:pageBreakBefore w:val="0"/>
        <w:widowControl w:val="0"/>
        <w:pBdr>
          <w:top w:val="none" w:color="000000" w:sz="0" w:space="0"/>
          <w:left w:val="none" w:color="000000" w:sz="0" w:space="0"/>
          <w:bottom w:val="none" w:color="000000" w:sz="0" w:space="0"/>
          <w:right w:val="none" w:color="000000" w:sz="0" w:space="0"/>
        </w:pBdr>
        <w:spacing w:before="156" w:after="156" w:line="480" w:lineRule="exact"/>
        <w:ind w:right="0" w:firstLine="562"/>
        <w:rPr>
          <w:rFonts w:hint="eastAsia" w:ascii="黑体" w:hAnsi="黑体" w:eastAsia="黑体" w:cs="黑体"/>
          <w:b/>
          <w:bCs/>
          <w:sz w:val="28"/>
          <w:szCs w:val="28"/>
          <w:highlight w:val="none"/>
          <w:u w:val="none"/>
          <w:lang w:val="zh-CN" w:eastAsia="zh-CN"/>
          <w14:ligatures w14:val="none"/>
        </w:rPr>
      </w:pPr>
      <w:r>
        <w:rPr>
          <w:rFonts w:hint="eastAsia" w:ascii="黑体" w:hAnsi="黑体" w:eastAsia="黑体" w:cs="黑体"/>
          <w:b/>
          <w:bCs/>
          <w:sz w:val="28"/>
          <w:szCs w:val="28"/>
          <w:highlight w:val="none"/>
          <w:u w:val="none"/>
          <w:lang w:val="zh-CN" w:eastAsia="zh-CN"/>
        </w:rPr>
        <w:t>附件16 预付款退款保函（见索即付）</w:t>
      </w:r>
    </w:p>
    <w:p w14:paraId="06628BCE">
      <w:pPr>
        <w:pBdr>
          <w:top w:val="none" w:color="000000" w:sz="0" w:space="0"/>
          <w:left w:val="none" w:color="000000" w:sz="0" w:space="0"/>
          <w:bottom w:val="none" w:color="000000" w:sz="0" w:space="0"/>
          <w:right w:val="none" w:color="000000" w:sz="0" w:space="0"/>
        </w:pBdr>
        <w:spacing w:line="479" w:lineRule="atLeast"/>
        <w:ind w:left="0" w:right="0" w:firstLine="5280"/>
        <w:jc w:val="both"/>
        <w:rPr>
          <w:sz w:val="22"/>
        </w:rPr>
      </w:pPr>
      <w:r>
        <w:rPr>
          <w:rFonts w:ascii="仿宋" w:hAnsi="仿宋" w:eastAsia="仿宋" w:cs="仿宋"/>
          <w:color w:val="000000"/>
          <w:sz w:val="24"/>
        </w:rPr>
        <w:t>编号：</w:t>
      </w:r>
    </w:p>
    <w:p w14:paraId="3A57A8A0">
      <w:pPr>
        <w:pBdr>
          <w:top w:val="none" w:color="000000" w:sz="0" w:space="0"/>
          <w:left w:val="none" w:color="000000" w:sz="0" w:space="0"/>
          <w:bottom w:val="none" w:color="000000" w:sz="0" w:space="0"/>
          <w:right w:val="none" w:color="000000" w:sz="0" w:space="0"/>
        </w:pBdr>
        <w:spacing w:line="479" w:lineRule="atLeast"/>
        <w:ind w:left="0" w:right="0" w:firstLine="0"/>
        <w:jc w:val="both"/>
        <w:rPr>
          <w:sz w:val="22"/>
        </w:rPr>
      </w:pPr>
      <w:r>
        <w:rPr>
          <w:rFonts w:ascii="仿宋" w:hAnsi="仿宋" w:eastAsia="仿宋" w:cs="仿宋"/>
          <w:color w:val="000000"/>
          <w:sz w:val="24"/>
        </w:rPr>
        <w:t>致受益人</w:t>
      </w:r>
      <w:r>
        <w:rPr>
          <w:rFonts w:ascii="仿宋" w:hAnsi="仿宋" w:eastAsia="仿宋" w:cs="仿宋"/>
          <w:color w:val="000000"/>
          <w:sz w:val="24"/>
          <w:u w:val="single"/>
        </w:rPr>
        <w:t>                   </w:t>
      </w:r>
      <w:r>
        <w:rPr>
          <w:rFonts w:ascii="仿宋" w:hAnsi="仿宋" w:eastAsia="仿宋" w:cs="仿宋"/>
          <w:color w:val="000000"/>
          <w:sz w:val="24"/>
        </w:rPr>
        <w:t>：</w:t>
      </w:r>
    </w:p>
    <w:p w14:paraId="25D1C563">
      <w:pPr>
        <w:pBdr>
          <w:top w:val="none" w:color="000000" w:sz="0" w:space="0"/>
          <w:left w:val="none" w:color="000000" w:sz="0" w:space="0"/>
          <w:bottom w:val="none" w:color="000000" w:sz="0" w:space="0"/>
          <w:right w:val="none" w:color="000000" w:sz="0" w:space="0"/>
        </w:pBdr>
        <w:spacing w:line="479" w:lineRule="atLeast"/>
        <w:ind w:left="0" w:right="0" w:firstLine="480"/>
        <w:rPr>
          <w:sz w:val="22"/>
        </w:rPr>
      </w:pPr>
      <w:r>
        <w:rPr>
          <w:rFonts w:ascii="仿宋" w:hAnsi="仿宋" w:eastAsia="仿宋" w:cs="仿宋"/>
          <w:color w:val="000000"/>
          <w:sz w:val="24"/>
        </w:rPr>
        <w:t>鉴于</w:t>
      </w:r>
      <w:r>
        <w:rPr>
          <w:rFonts w:ascii="仿宋" w:hAnsi="仿宋" w:eastAsia="仿宋" w:cs="仿宋"/>
          <w:color w:val="000000"/>
          <w:sz w:val="24"/>
          <w:u w:val="single"/>
        </w:rPr>
        <w:t>                          </w:t>
      </w:r>
      <w:r>
        <w:rPr>
          <w:rFonts w:ascii="仿宋" w:hAnsi="仿宋" w:eastAsia="仿宋" w:cs="仿宋"/>
          <w:color w:val="000000"/>
          <w:sz w:val="24"/>
        </w:rPr>
        <w:t> （下称“被保证人”）与你方签订了编号为</w:t>
      </w:r>
      <w:r>
        <w:rPr>
          <w:rFonts w:ascii="仿宋" w:hAnsi="仿宋" w:eastAsia="仿宋" w:cs="仿宋"/>
          <w:color w:val="000000"/>
          <w:sz w:val="24"/>
          <w:u w:val="single"/>
        </w:rPr>
        <w:t>                 </w:t>
      </w:r>
      <w:r>
        <w:rPr>
          <w:rFonts w:ascii="仿宋" w:hAnsi="仿宋" w:eastAsia="仿宋" w:cs="仿宋"/>
          <w:color w:val="000000"/>
          <w:sz w:val="24"/>
        </w:rPr>
        <w:t>的</w:t>
      </w:r>
      <w:r>
        <w:rPr>
          <w:rFonts w:ascii="仿宋" w:hAnsi="仿宋" w:eastAsia="仿宋" w:cs="仿宋"/>
          <w:color w:val="000000"/>
          <w:sz w:val="24"/>
          <w:u w:val="single"/>
        </w:rPr>
        <w:t>            </w:t>
      </w:r>
      <w:r>
        <w:rPr>
          <w:rFonts w:ascii="仿宋" w:hAnsi="仿宋" w:eastAsia="仿宋" w:cs="仿宋"/>
          <w:color w:val="000000"/>
          <w:sz w:val="24"/>
        </w:rPr>
        <w:t>（合同或协议名称），并按该合同或协议约定预收你方预付款</w:t>
      </w:r>
      <w:r>
        <w:rPr>
          <w:rFonts w:ascii="仿宋" w:hAnsi="仿宋" w:eastAsia="仿宋" w:cs="仿宋"/>
          <w:color w:val="000000"/>
          <w:sz w:val="24"/>
          <w:u w:val="single"/>
        </w:rPr>
        <w:t>                                 </w:t>
      </w:r>
      <w:r>
        <w:rPr>
          <w:rFonts w:ascii="仿宋" w:hAnsi="仿宋" w:eastAsia="仿宋" w:cs="仿宋"/>
          <w:color w:val="000000"/>
          <w:sz w:val="24"/>
        </w:rPr>
        <w:t>(币种、金额、大写)。我行愿就保被保证人按上述合同或协议约定退还预付款向你方提供如下保证：</w:t>
      </w:r>
    </w:p>
    <w:p w14:paraId="0634FCA4">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一、本保函项下我行承担的保证责任最高限额为（币种、金额、大写）</w:t>
      </w:r>
    </w:p>
    <w:p w14:paraId="033012C6">
      <w:pPr>
        <w:pBdr>
          <w:top w:val="none" w:color="000000" w:sz="0" w:space="0"/>
          <w:left w:val="none" w:color="000000" w:sz="0" w:space="0"/>
          <w:bottom w:val="none" w:color="000000" w:sz="0" w:space="0"/>
          <w:right w:val="none" w:color="000000" w:sz="0" w:space="0"/>
        </w:pBdr>
        <w:spacing w:line="479" w:lineRule="atLeast"/>
        <w:ind w:left="0" w:right="0" w:firstLine="0"/>
        <w:jc w:val="both"/>
        <w:rPr>
          <w:sz w:val="22"/>
        </w:rPr>
      </w:pPr>
      <w:r>
        <w:rPr>
          <w:rFonts w:ascii="仿宋" w:hAnsi="仿宋" w:eastAsia="仿宋" w:cs="仿宋"/>
          <w:color w:val="000000"/>
          <w:sz w:val="24"/>
          <w:u w:val="single"/>
        </w:rPr>
        <w:t>                         </w:t>
      </w:r>
      <w:r>
        <w:rPr>
          <w:rFonts w:ascii="仿宋" w:hAnsi="仿宋" w:eastAsia="仿宋" w:cs="仿宋"/>
          <w:color w:val="000000"/>
          <w:sz w:val="24"/>
        </w:rPr>
        <w:t>（下称“保证金额”）。</w:t>
      </w:r>
    </w:p>
    <w:p w14:paraId="06FAF4AB">
      <w:pPr>
        <w:pBdr>
          <w:top w:val="none" w:color="000000" w:sz="0" w:space="0"/>
          <w:left w:val="none" w:color="000000" w:sz="0" w:space="0"/>
          <w:bottom w:val="none" w:color="000000" w:sz="0" w:space="0"/>
          <w:right w:val="none" w:color="000000" w:sz="0" w:space="0"/>
        </w:pBdr>
        <w:spacing w:line="479" w:lineRule="atLeast"/>
        <w:ind w:left="0" w:right="0" w:firstLine="480"/>
        <w:rPr>
          <w:sz w:val="22"/>
        </w:rPr>
      </w:pPr>
      <w:r>
        <w:rPr>
          <w:rFonts w:ascii="仿宋" w:hAnsi="仿宋" w:eastAsia="仿宋" w:cs="仿宋"/>
          <w:color w:val="000000"/>
          <w:sz w:val="24"/>
        </w:rPr>
        <w:t>二、本保函的有效期为以下第</w:t>
      </w:r>
      <w:r>
        <w:rPr>
          <w:rFonts w:ascii="仿宋" w:hAnsi="仿宋" w:eastAsia="仿宋" w:cs="仿宋"/>
          <w:color w:val="000000"/>
          <w:sz w:val="24"/>
          <w:u w:val="single"/>
        </w:rPr>
        <w:t>    </w:t>
      </w:r>
      <w:r>
        <w:rPr>
          <w:rFonts w:ascii="仿宋" w:hAnsi="仿宋" w:eastAsia="仿宋" w:cs="仿宋"/>
          <w:color w:val="000000"/>
          <w:sz w:val="24"/>
        </w:rPr>
        <w:t>种：</w:t>
      </w:r>
    </w:p>
    <w:p w14:paraId="518CD797">
      <w:pPr>
        <w:pBdr>
          <w:top w:val="none" w:color="000000" w:sz="0" w:space="0"/>
          <w:left w:val="none" w:color="000000" w:sz="0" w:space="0"/>
          <w:bottom w:val="none" w:color="000000" w:sz="0" w:space="0"/>
          <w:right w:val="none" w:color="000000" w:sz="0" w:space="0"/>
        </w:pBdr>
        <w:spacing w:line="479" w:lineRule="atLeast"/>
        <w:ind w:left="0" w:right="0" w:firstLine="480"/>
        <w:rPr>
          <w:sz w:val="22"/>
        </w:rPr>
      </w:pPr>
      <w:r>
        <w:rPr>
          <w:rFonts w:ascii="仿宋" w:hAnsi="仿宋" w:eastAsia="仿宋" w:cs="仿宋"/>
          <w:color w:val="000000"/>
          <w:sz w:val="24"/>
        </w:rPr>
        <w:t>1.本保函有效期至</w:t>
      </w:r>
      <w:r>
        <w:rPr>
          <w:rFonts w:ascii="仿宋" w:hAnsi="仿宋" w:eastAsia="仿宋" w:cs="仿宋"/>
          <w:color w:val="000000"/>
          <w:sz w:val="24"/>
          <w:u w:val="single"/>
        </w:rPr>
        <w:t>      </w:t>
      </w:r>
      <w:r>
        <w:rPr>
          <w:rFonts w:ascii="仿宋" w:hAnsi="仿宋" w:eastAsia="仿宋" w:cs="仿宋"/>
          <w:color w:val="000000"/>
          <w:sz w:val="24"/>
        </w:rPr>
        <w:t>年</w:t>
      </w:r>
      <w:r>
        <w:rPr>
          <w:rFonts w:ascii="仿宋" w:hAnsi="仿宋" w:eastAsia="仿宋" w:cs="仿宋"/>
          <w:color w:val="000000"/>
          <w:sz w:val="24"/>
          <w:u w:val="single"/>
        </w:rPr>
        <w:t>    </w:t>
      </w:r>
      <w:r>
        <w:rPr>
          <w:rFonts w:ascii="仿宋" w:hAnsi="仿宋" w:eastAsia="仿宋" w:cs="仿宋"/>
          <w:color w:val="000000"/>
          <w:sz w:val="24"/>
        </w:rPr>
        <w:t>月</w:t>
      </w:r>
      <w:r>
        <w:rPr>
          <w:rFonts w:ascii="仿宋" w:hAnsi="仿宋" w:eastAsia="仿宋" w:cs="仿宋"/>
          <w:color w:val="000000"/>
          <w:sz w:val="24"/>
          <w:u w:val="single"/>
        </w:rPr>
        <w:t>    </w:t>
      </w:r>
      <w:r>
        <w:rPr>
          <w:rFonts w:ascii="仿宋" w:hAnsi="仿宋" w:eastAsia="仿宋" w:cs="仿宋"/>
          <w:color w:val="000000"/>
          <w:sz w:val="24"/>
        </w:rPr>
        <w:t>日止。</w:t>
      </w:r>
    </w:p>
    <w:p w14:paraId="5058E6F6">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2.</w:t>
      </w:r>
      <w:r>
        <w:rPr>
          <w:rFonts w:ascii="仿宋" w:hAnsi="仿宋" w:eastAsia="仿宋" w:cs="仿宋"/>
          <w:color w:val="000000"/>
          <w:sz w:val="24"/>
          <w:u w:val="single"/>
        </w:rPr>
        <w:t>              </w:t>
      </w:r>
      <w:r>
        <w:rPr>
          <w:rFonts w:ascii="仿宋" w:hAnsi="仿宋" w:eastAsia="仿宋" w:cs="仿宋"/>
          <w:color w:val="000000"/>
          <w:sz w:val="24"/>
        </w:rPr>
        <w:t>，但最迟不超过</w:t>
      </w:r>
      <w:r>
        <w:rPr>
          <w:rFonts w:ascii="仿宋" w:hAnsi="仿宋" w:eastAsia="仿宋" w:cs="仿宋"/>
          <w:color w:val="000000"/>
          <w:sz w:val="24"/>
          <w:u w:val="single"/>
        </w:rPr>
        <w:t>      </w:t>
      </w:r>
      <w:r>
        <w:rPr>
          <w:rFonts w:ascii="仿宋" w:hAnsi="仿宋" w:eastAsia="仿宋" w:cs="仿宋"/>
          <w:color w:val="000000"/>
          <w:sz w:val="24"/>
        </w:rPr>
        <w:t>年</w:t>
      </w:r>
      <w:r>
        <w:rPr>
          <w:rFonts w:ascii="仿宋" w:hAnsi="仿宋" w:eastAsia="仿宋" w:cs="仿宋"/>
          <w:color w:val="000000"/>
          <w:sz w:val="24"/>
          <w:u w:val="single"/>
        </w:rPr>
        <w:t>    </w:t>
      </w:r>
      <w:r>
        <w:rPr>
          <w:rFonts w:ascii="仿宋" w:hAnsi="仿宋" w:eastAsia="仿宋" w:cs="仿宋"/>
          <w:color w:val="000000"/>
          <w:sz w:val="24"/>
        </w:rPr>
        <w:t>月</w:t>
      </w:r>
      <w:r>
        <w:rPr>
          <w:rFonts w:ascii="仿宋" w:hAnsi="仿宋" w:eastAsia="仿宋" w:cs="仿宋"/>
          <w:color w:val="000000"/>
          <w:sz w:val="24"/>
          <w:u w:val="single"/>
        </w:rPr>
        <w:t>    </w:t>
      </w:r>
      <w:r>
        <w:rPr>
          <w:rFonts w:ascii="仿宋" w:hAnsi="仿宋" w:eastAsia="仿宋" w:cs="仿宋"/>
          <w:color w:val="000000"/>
          <w:sz w:val="24"/>
        </w:rPr>
        <w:t>日。</w:t>
      </w:r>
    </w:p>
    <w:p w14:paraId="02D719F4">
      <w:pPr>
        <w:pBdr>
          <w:top w:val="none" w:color="000000" w:sz="0" w:space="0"/>
          <w:left w:val="none" w:color="000000" w:sz="0" w:space="0"/>
          <w:bottom w:val="none" w:color="000000" w:sz="0" w:space="0"/>
          <w:right w:val="none" w:color="000000" w:sz="0" w:space="0"/>
        </w:pBdr>
        <w:spacing w:line="479" w:lineRule="atLeast"/>
        <w:ind w:left="0" w:right="0" w:firstLine="480"/>
        <w:rPr>
          <w:sz w:val="22"/>
        </w:rPr>
      </w:pPr>
      <w:r>
        <w:rPr>
          <w:rFonts w:ascii="仿宋" w:hAnsi="仿宋" w:eastAsia="仿宋" w:cs="仿宋"/>
          <w:color w:val="000000"/>
          <w:sz w:val="24"/>
        </w:rPr>
        <w:t>三、在本保函的有效期内，我行将在收到你方提交的符合下列全部条件的书面单据后</w:t>
      </w:r>
      <w:r>
        <w:rPr>
          <w:rFonts w:ascii="仿宋" w:hAnsi="仿宋" w:eastAsia="仿宋" w:cs="仿宋"/>
          <w:color w:val="000000"/>
          <w:sz w:val="24"/>
          <w:u w:val="single"/>
        </w:rPr>
        <w:t>     </w:t>
      </w:r>
      <w:r>
        <w:rPr>
          <w:rFonts w:ascii="仿宋" w:hAnsi="仿宋" w:eastAsia="仿宋" w:cs="仿宋"/>
          <w:color w:val="000000"/>
          <w:sz w:val="24"/>
        </w:rPr>
        <w:t>个工作日内，以上述保证金额为限支付你方索赔金额：</w:t>
      </w:r>
    </w:p>
    <w:p w14:paraId="47C1A30E">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（一）本保函原件。</w:t>
      </w:r>
    </w:p>
    <w:p w14:paraId="4462196F">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（二）索赔通知。该索赔通知应同时满足以下要求：</w:t>
      </w:r>
    </w:p>
    <w:p w14:paraId="0BE6F94D">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1.列明索赔金额（币种、金额、大写）。</w:t>
      </w:r>
    </w:p>
    <w:p w14:paraId="21241D59">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2.声明被保证人违反上述合同或协议约定未向你方退还预付款。</w:t>
      </w:r>
    </w:p>
    <w:p w14:paraId="02878977">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3.声明索赔款项并未由被保证人或其代理人直接或间接地支付给你方。</w:t>
      </w:r>
    </w:p>
    <w:p w14:paraId="26836BB4">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4.应由你方法定代表人（负责人）或授权代理人签字并加盖公章。</w:t>
      </w:r>
    </w:p>
    <w:p w14:paraId="4F744707">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（三）其他单据</w:t>
      </w:r>
      <w:r>
        <w:rPr>
          <w:rFonts w:ascii="仿宋" w:hAnsi="仿宋" w:eastAsia="仿宋" w:cs="仿宋"/>
          <w:color w:val="000000"/>
          <w:sz w:val="24"/>
          <w:u w:val="single"/>
        </w:rPr>
        <w:t>                                                  </w:t>
      </w:r>
    </w:p>
    <w:p w14:paraId="267E25EE">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（四）上述单据的语言应为</w:t>
      </w:r>
      <w:r>
        <w:rPr>
          <w:rFonts w:ascii="仿宋" w:hAnsi="仿宋" w:eastAsia="仿宋" w:cs="仿宋"/>
          <w:color w:val="000000"/>
          <w:sz w:val="24"/>
          <w:u w:val="single"/>
        </w:rPr>
        <w:t>           </w:t>
      </w:r>
      <w:r>
        <w:rPr>
          <w:rFonts w:ascii="仿宋" w:hAnsi="仿宋" w:eastAsia="仿宋" w:cs="仿宋"/>
          <w:color w:val="000000"/>
          <w:sz w:val="24"/>
        </w:rPr>
        <w:t>（中文或其他语言）。</w:t>
      </w:r>
    </w:p>
    <w:p w14:paraId="5F8A938C">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（五）上述单据的交单形式应为</w:t>
      </w:r>
      <w:r>
        <w:rPr>
          <w:rFonts w:ascii="仿宋" w:hAnsi="仿宋" w:eastAsia="仿宋" w:cs="仿宋"/>
          <w:color w:val="000000"/>
          <w:sz w:val="24"/>
          <w:u w:val="single"/>
        </w:rPr>
        <w:t>            </w:t>
      </w:r>
      <w:r>
        <w:rPr>
          <w:rFonts w:ascii="仿宋" w:hAnsi="仿宋" w:eastAsia="仿宋" w:cs="仿宋"/>
          <w:color w:val="000000"/>
          <w:sz w:val="24"/>
        </w:rPr>
        <w:t>（纸质形式或电子形式）。</w:t>
      </w:r>
    </w:p>
    <w:p w14:paraId="0AF8CB8D">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1.如果采用纸质形式交单，上述单据必须在本保函有效期内到达以下地址：</w:t>
      </w:r>
      <w:r>
        <w:rPr>
          <w:rFonts w:ascii="仿宋" w:hAnsi="仿宋" w:eastAsia="仿宋" w:cs="仿宋"/>
          <w:color w:val="000000"/>
          <w:sz w:val="24"/>
          <w:u w:val="single"/>
        </w:rPr>
        <w:t>                                                       </w:t>
      </w:r>
      <w:r>
        <w:rPr>
          <w:rFonts w:ascii="仿宋" w:hAnsi="仿宋" w:eastAsia="仿宋" w:cs="仿宋"/>
          <w:color w:val="000000"/>
          <w:sz w:val="24"/>
        </w:rPr>
        <w:t>。</w:t>
      </w:r>
    </w:p>
    <w:p w14:paraId="3D6DE092">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2.如果采用电子形式交单，上述单据必须按照以下交单格式、通过以下系统在本保函有效期内到达以下电子地址：</w:t>
      </w:r>
    </w:p>
    <w:p w14:paraId="1D99E662">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交单格式：</w:t>
      </w:r>
      <w:r>
        <w:rPr>
          <w:rFonts w:ascii="仿宋" w:hAnsi="仿宋" w:eastAsia="仿宋" w:cs="仿宋"/>
          <w:color w:val="000000"/>
          <w:sz w:val="24"/>
          <w:u w:val="single"/>
        </w:rPr>
        <w:t>                                           </w:t>
      </w:r>
      <w:r>
        <w:rPr>
          <w:rFonts w:ascii="仿宋" w:hAnsi="仿宋" w:eastAsia="仿宋" w:cs="仿宋"/>
          <w:color w:val="000000"/>
          <w:sz w:val="24"/>
        </w:rPr>
        <w:t>；</w:t>
      </w:r>
    </w:p>
    <w:p w14:paraId="3D61E48D">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交单系统：</w:t>
      </w:r>
      <w:r>
        <w:rPr>
          <w:rFonts w:ascii="仿宋" w:hAnsi="仿宋" w:eastAsia="仿宋" w:cs="仿宋"/>
          <w:color w:val="000000"/>
          <w:sz w:val="24"/>
          <w:u w:val="single"/>
        </w:rPr>
        <w:t>                                           </w:t>
      </w:r>
      <w:r>
        <w:rPr>
          <w:rFonts w:ascii="仿宋" w:hAnsi="仿宋" w:eastAsia="仿宋" w:cs="仿宋"/>
          <w:color w:val="000000"/>
          <w:sz w:val="24"/>
        </w:rPr>
        <w:t>；</w:t>
      </w:r>
    </w:p>
    <w:p w14:paraId="12579376">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电子地址：</w:t>
      </w:r>
      <w:r>
        <w:rPr>
          <w:rFonts w:ascii="仿宋" w:hAnsi="仿宋" w:eastAsia="仿宋" w:cs="仿宋"/>
          <w:color w:val="000000"/>
          <w:sz w:val="24"/>
          <w:u w:val="single"/>
        </w:rPr>
        <w:t>                                           </w:t>
      </w:r>
      <w:r>
        <w:rPr>
          <w:rFonts w:ascii="仿宋" w:hAnsi="仿宋" w:eastAsia="仿宋" w:cs="仿宋"/>
          <w:color w:val="000000"/>
          <w:sz w:val="24"/>
        </w:rPr>
        <w:t>。</w:t>
      </w:r>
    </w:p>
    <w:p w14:paraId="0159D309">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（六）所有索赔通知必须在我行营业时间内到达本保函规定的地址，即每个银行营业日</w:t>
      </w:r>
      <w:r>
        <w:rPr>
          <w:rFonts w:ascii="仿宋" w:hAnsi="仿宋" w:eastAsia="仿宋" w:cs="仿宋"/>
          <w:color w:val="000000"/>
          <w:sz w:val="24"/>
          <w:u w:val="single"/>
        </w:rPr>
        <w:t>     </w:t>
      </w:r>
      <w:r>
        <w:rPr>
          <w:rFonts w:ascii="仿宋" w:hAnsi="仿宋" w:eastAsia="仿宋" w:cs="仿宋"/>
          <w:color w:val="000000"/>
          <w:sz w:val="24"/>
        </w:rPr>
        <w:t>点前，否则视为在下一个银行营业日到达。   </w:t>
      </w:r>
    </w:p>
    <w:p w14:paraId="27758B64">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四、本保函保证金额将随我行按你方索赔通知要求分次支付而相应递减。</w:t>
      </w:r>
    </w:p>
    <w:p w14:paraId="1687871B">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五、本保函项下的权利不得转让，不得设定担保。受益人未经我行书面同意转让本保函或其项下任何权利，我行在本保函项下的义务与责任全部消灭。</w:t>
      </w:r>
    </w:p>
    <w:p w14:paraId="7C68C663">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六、因本保函发生争议协商解决不成，应按以下第</w:t>
      </w:r>
      <w:r>
        <w:rPr>
          <w:rFonts w:ascii="仿宋" w:hAnsi="仿宋" w:eastAsia="仿宋" w:cs="仿宋"/>
          <w:color w:val="000000"/>
          <w:sz w:val="24"/>
          <w:u w:val="single"/>
        </w:rPr>
        <w:t>     </w:t>
      </w:r>
      <w:r>
        <w:rPr>
          <w:rFonts w:ascii="仿宋" w:hAnsi="仿宋" w:eastAsia="仿宋" w:cs="仿宋"/>
          <w:color w:val="000000"/>
          <w:sz w:val="24"/>
        </w:rPr>
        <w:t>种方式解决：</w:t>
      </w:r>
    </w:p>
    <w:p w14:paraId="60DAE2C6">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（一）向本行所在地的人民法院起诉。</w:t>
      </w:r>
    </w:p>
    <w:p w14:paraId="582C1568">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（二）提交</w:t>
      </w:r>
      <w:r>
        <w:rPr>
          <w:rFonts w:ascii="仿宋" w:hAnsi="仿宋" w:eastAsia="仿宋" w:cs="仿宋"/>
          <w:color w:val="000000"/>
          <w:sz w:val="24"/>
          <w:u w:val="single"/>
        </w:rPr>
        <w:t>            </w:t>
      </w:r>
      <w:r>
        <w:rPr>
          <w:rFonts w:ascii="仿宋" w:hAnsi="仿宋" w:eastAsia="仿宋" w:cs="仿宋"/>
          <w:color w:val="000000"/>
          <w:sz w:val="24"/>
        </w:rPr>
        <w:t>仲裁委员会（仲裁地点为</w:t>
      </w:r>
      <w:r>
        <w:rPr>
          <w:rFonts w:ascii="仿宋" w:hAnsi="仿宋" w:eastAsia="仿宋" w:cs="仿宋"/>
          <w:color w:val="000000"/>
          <w:sz w:val="24"/>
          <w:u w:val="single"/>
        </w:rPr>
        <w:t>       </w:t>
      </w:r>
      <w:r>
        <w:rPr>
          <w:rFonts w:ascii="仿宋" w:hAnsi="仿宋" w:eastAsia="仿宋" w:cs="仿宋"/>
          <w:color w:val="000000"/>
          <w:sz w:val="24"/>
        </w:rPr>
        <w:t>）,按照申请仲裁时该会现行有效的仲裁规则进行仲裁。仲裁裁决是终局的，对双方均有约束力。</w:t>
      </w:r>
    </w:p>
    <w:p w14:paraId="08F9E98F">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七、本保函有效期届满或提前终止，本保函失效，我行在本保函项下的义务与责任自动全部消灭，此后提出的任何索赔均为无效索赔，我行无义务作出任何赔付。本保函失效后，受益人应立即将本保函原件退还我行，受益人未履行上述义务，本保函仍在有效期届至或提前终止之日失效。</w:t>
      </w:r>
    </w:p>
    <w:p w14:paraId="3B1A2ACA">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八、本保函适用中华人民共和国法律。</w:t>
      </w:r>
    </w:p>
    <w:p w14:paraId="0F17541A">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九、其他条款：</w:t>
      </w:r>
      <w:r>
        <w:rPr>
          <w:rFonts w:ascii="仿宋" w:hAnsi="仿宋" w:eastAsia="仿宋" w:cs="仿宋"/>
          <w:color w:val="000000"/>
          <w:sz w:val="24"/>
          <w:u w:val="single"/>
        </w:rPr>
        <w:t>                                             </w:t>
      </w:r>
    </w:p>
    <w:p w14:paraId="317E4FCE">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十、本保函在全部满足以下条件之日生效：</w:t>
      </w:r>
    </w:p>
    <w:p w14:paraId="06D11958">
      <w:pPr>
        <w:numPr>
          <w:ilvl w:val="0"/>
          <w:numId w:val="1"/>
        </w:numPr>
        <w:pBdr>
          <w:top w:val="none" w:color="000000" w:sz="0" w:space="0"/>
          <w:left w:val="none" w:color="000000" w:sz="0" w:space="0"/>
          <w:bottom w:val="none" w:color="000000" w:sz="0" w:space="0"/>
          <w:right w:val="none" w:color="000000" w:sz="0" w:space="0"/>
        </w:pBdr>
        <w:spacing w:line="479" w:lineRule="atLeast"/>
        <w:jc w:val="both"/>
        <w:rPr>
          <w:sz w:val="22"/>
        </w:rPr>
      </w:pPr>
      <w:r>
        <w:rPr>
          <w:rFonts w:ascii="仿宋" w:hAnsi="仿宋" w:eastAsia="仿宋" w:cs="仿宋"/>
          <w:color w:val="000000"/>
          <w:sz w:val="24"/>
        </w:rPr>
        <w:t>本行负责人或授权代理人签字并加盖公章；</w:t>
      </w:r>
    </w:p>
    <w:p w14:paraId="62CA693B">
      <w:pPr>
        <w:numPr>
          <w:ilvl w:val="0"/>
          <w:numId w:val="1"/>
        </w:numPr>
        <w:pBdr>
          <w:top w:val="none" w:color="000000" w:sz="0" w:space="0"/>
          <w:left w:val="none" w:color="000000" w:sz="0" w:space="0"/>
          <w:bottom w:val="none" w:color="000000" w:sz="0" w:space="0"/>
          <w:right w:val="none" w:color="000000" w:sz="0" w:space="0"/>
        </w:pBdr>
        <w:spacing w:line="479" w:lineRule="atLeast"/>
        <w:jc w:val="both"/>
        <w:rPr>
          <w:sz w:val="22"/>
        </w:rPr>
      </w:pPr>
      <w:r>
        <w:rPr>
          <w:rFonts w:ascii="仿宋" w:hAnsi="仿宋" w:eastAsia="仿宋" w:cs="仿宋"/>
          <w:color w:val="000000"/>
          <w:sz w:val="24"/>
        </w:rPr>
        <w:t>预付款已足额支付到以下账户（账号：【</w:t>
      </w:r>
      <w:r>
        <w:rPr>
          <w:rFonts w:ascii="仿宋" w:hAnsi="仿宋" w:eastAsia="仿宋" w:cs="仿宋"/>
          <w:color w:val="000000"/>
          <w:sz w:val="24"/>
          <w:u w:val="single"/>
        </w:rPr>
        <w:t>                     </w:t>
      </w:r>
      <w:r>
        <w:rPr>
          <w:rFonts w:ascii="仿宋" w:hAnsi="仿宋" w:eastAsia="仿宋" w:cs="仿宋"/>
          <w:color w:val="000000"/>
          <w:sz w:val="24"/>
        </w:rPr>
        <w:t>】；户名：【</w:t>
      </w:r>
      <w:r>
        <w:rPr>
          <w:rFonts w:ascii="仿宋" w:hAnsi="仿宋" w:eastAsia="仿宋" w:cs="仿宋"/>
          <w:color w:val="000000"/>
          <w:sz w:val="24"/>
          <w:u w:val="single"/>
        </w:rPr>
        <w:t>       </w:t>
      </w:r>
      <w:r>
        <w:rPr>
          <w:rFonts w:ascii="仿宋" w:hAnsi="仿宋" w:eastAsia="仿宋" w:cs="仿宋"/>
          <w:color w:val="000000"/>
          <w:sz w:val="24"/>
        </w:rPr>
        <w:t>】；开户行【</w:t>
      </w:r>
      <w:r>
        <w:rPr>
          <w:rFonts w:ascii="仿宋" w:hAnsi="仿宋" w:eastAsia="仿宋" w:cs="仿宋"/>
          <w:color w:val="000000"/>
          <w:sz w:val="24"/>
          <w:u w:val="single"/>
        </w:rPr>
        <w:t>       </w:t>
      </w:r>
      <w:r>
        <w:rPr>
          <w:rFonts w:ascii="仿宋" w:hAnsi="仿宋" w:eastAsia="仿宋" w:cs="仿宋"/>
          <w:color w:val="000000"/>
          <w:sz w:val="24"/>
        </w:rPr>
        <w:t>】）。</w:t>
      </w:r>
    </w:p>
    <w:p w14:paraId="58F85292">
      <w:pPr>
        <w:pBdr>
          <w:top w:val="none" w:color="000000" w:sz="0" w:space="0"/>
          <w:left w:val="none" w:color="000000" w:sz="0" w:space="0"/>
          <w:bottom w:val="none" w:color="000000" w:sz="0" w:space="0"/>
          <w:right w:val="none" w:color="000000" w:sz="0" w:space="0"/>
        </w:pBdr>
        <w:spacing w:line="479" w:lineRule="atLeast"/>
        <w:ind w:left="0" w:right="0" w:firstLine="2640"/>
        <w:jc w:val="both"/>
        <w:rPr>
          <w:sz w:val="22"/>
        </w:rPr>
      </w:pPr>
      <w:r>
        <w:rPr>
          <w:rFonts w:ascii="仿宋" w:hAnsi="仿宋" w:eastAsia="仿宋" w:cs="仿宋"/>
          <w:color w:val="000000"/>
          <w:sz w:val="24"/>
        </w:rPr>
        <w:t> </w:t>
      </w:r>
    </w:p>
    <w:p w14:paraId="28F55E1E">
      <w:pPr>
        <w:pBdr>
          <w:top w:val="none" w:color="000000" w:sz="0" w:space="0"/>
          <w:left w:val="none" w:color="000000" w:sz="0" w:space="0"/>
          <w:bottom w:val="none" w:color="000000" w:sz="0" w:space="0"/>
          <w:right w:val="none" w:color="000000" w:sz="0" w:space="0"/>
        </w:pBdr>
        <w:spacing w:line="479" w:lineRule="atLeast"/>
        <w:ind w:left="0" w:right="0" w:firstLine="3420"/>
        <w:jc w:val="both"/>
        <w:rPr>
          <w:sz w:val="22"/>
        </w:rPr>
      </w:pPr>
      <w:r>
        <w:rPr>
          <w:rFonts w:ascii="仿宋" w:hAnsi="仿宋" w:eastAsia="仿宋" w:cs="仿宋"/>
          <w:color w:val="000000"/>
          <w:sz w:val="24"/>
        </w:rPr>
        <w:t>保证人（公章）：</w:t>
      </w:r>
    </w:p>
    <w:p w14:paraId="006A8BD0">
      <w:pPr>
        <w:pBdr>
          <w:top w:val="none" w:color="000000" w:sz="0" w:space="0"/>
          <w:left w:val="none" w:color="000000" w:sz="0" w:space="0"/>
          <w:bottom w:val="none" w:color="000000" w:sz="0" w:space="0"/>
          <w:right w:val="none" w:color="000000" w:sz="0" w:space="0"/>
        </w:pBdr>
        <w:spacing w:line="479" w:lineRule="atLeast"/>
        <w:ind w:left="0" w:right="0" w:firstLine="3420"/>
        <w:jc w:val="both"/>
        <w:rPr>
          <w:sz w:val="22"/>
        </w:rPr>
      </w:pPr>
      <w:r>
        <w:rPr>
          <w:rFonts w:ascii="仿宋" w:hAnsi="仿宋" w:eastAsia="仿宋" w:cs="仿宋"/>
          <w:color w:val="000000"/>
          <w:sz w:val="24"/>
        </w:rPr>
        <w:t>负责人或授权代理人（签字）：</w:t>
      </w:r>
    </w:p>
    <w:p w14:paraId="1075623E">
      <w:pPr>
        <w:pBdr>
          <w:top w:val="none" w:color="000000" w:sz="0" w:space="0"/>
          <w:left w:val="none" w:color="000000" w:sz="0" w:space="0"/>
          <w:bottom w:val="none" w:color="000000" w:sz="0" w:space="0"/>
          <w:right w:val="none" w:color="000000" w:sz="0" w:space="0"/>
        </w:pBdr>
        <w:spacing w:line="479" w:lineRule="atLeast"/>
        <w:ind w:left="0" w:right="0" w:firstLine="3420"/>
        <w:jc w:val="both"/>
        <w:rPr>
          <w:rFonts w:ascii="仿宋" w:hAnsi="仿宋" w:eastAsia="仿宋" w:cs="仿宋"/>
          <w:color w:val="000000"/>
          <w:sz w:val="24"/>
          <w:szCs w:val="24"/>
          <w:highlight w:val="none"/>
        </w:rPr>
      </w:pPr>
      <w:r>
        <w:rPr>
          <w:rFonts w:ascii="仿宋" w:hAnsi="仿宋" w:eastAsia="仿宋" w:cs="仿宋"/>
          <w:color w:val="000000"/>
          <w:sz w:val="24"/>
        </w:rPr>
        <w:t>签发日期       年    月    日</w:t>
      </w:r>
    </w:p>
    <w:p w14:paraId="51AAEC0F">
      <w:pPr>
        <w:pBdr>
          <w:top w:val="none" w:color="000000" w:sz="0" w:space="0"/>
          <w:left w:val="none" w:color="000000" w:sz="0" w:space="0"/>
          <w:bottom w:val="none" w:color="000000" w:sz="0" w:space="0"/>
          <w:right w:val="none" w:color="000000" w:sz="0" w:space="0"/>
        </w:pBdr>
        <w:spacing w:line="479" w:lineRule="atLeast"/>
        <w:ind w:left="0" w:right="0" w:firstLine="3420"/>
        <w:jc w:val="both"/>
        <w:rPr>
          <w:sz w:val="22"/>
          <w:szCs w:val="22"/>
        </w:rPr>
      </w:pPr>
    </w:p>
    <w:p w14:paraId="5190C7A4">
      <w:pPr>
        <w:rPr>
          <w:sz w:val="22"/>
          <w:szCs w:val="22"/>
        </w:rPr>
      </w:pPr>
      <w:r>
        <w:rPr>
          <w:sz w:val="22"/>
          <w:szCs w:val="22"/>
        </w:rPr>
        <w:br w:type="page" w:clear="all"/>
      </w:r>
    </w:p>
    <w:p w14:paraId="732AED18">
      <w:pPr>
        <w:keepNext w:val="0"/>
        <w:keepLines w:val="0"/>
        <w:pageBreakBefore w:val="0"/>
        <w:widowControl w:val="0"/>
        <w:pBdr>
          <w:top w:val="none" w:color="000000" w:sz="0" w:space="0"/>
          <w:left w:val="none" w:color="000000" w:sz="0" w:space="0"/>
          <w:bottom w:val="none" w:color="000000" w:sz="0" w:space="0"/>
          <w:right w:val="none" w:color="000000" w:sz="0" w:space="0"/>
        </w:pBdr>
        <w:spacing w:before="156" w:after="156" w:line="480" w:lineRule="exact"/>
        <w:ind w:right="0" w:firstLine="562"/>
        <w:rPr>
          <w:rFonts w:hint="eastAsia" w:ascii="黑体" w:hAnsi="黑体" w:eastAsia="黑体" w:cs="黑体"/>
          <w:b/>
          <w:bCs/>
          <w:sz w:val="28"/>
          <w:szCs w:val="28"/>
          <w:highlight w:val="none"/>
          <w:u w:val="none"/>
          <w:lang w:val="zh-CN" w:eastAsia="zh-CN"/>
          <w14:ligatures w14:val="none"/>
        </w:rPr>
      </w:pPr>
      <w:r>
        <w:rPr>
          <w:rFonts w:hint="eastAsia" w:ascii="黑体" w:hAnsi="黑体" w:eastAsia="黑体" w:cs="黑体"/>
          <w:b/>
          <w:bCs/>
          <w:sz w:val="28"/>
          <w:szCs w:val="28"/>
          <w:highlight w:val="none"/>
          <w:u w:val="none"/>
          <w:lang w:val="zh-CN" w:eastAsia="zh-CN"/>
        </w:rPr>
        <w:t>附件17 履约保函（见索即付）</w:t>
      </w:r>
    </w:p>
    <w:p w14:paraId="51998331">
      <w:pPr>
        <w:pBdr>
          <w:top w:val="none" w:color="000000" w:sz="0" w:space="0"/>
          <w:left w:val="none" w:color="000000" w:sz="0" w:space="0"/>
          <w:bottom w:val="none" w:color="000000" w:sz="0" w:space="0"/>
          <w:right w:val="none" w:color="000000" w:sz="0" w:space="0"/>
        </w:pBdr>
        <w:spacing w:line="479" w:lineRule="atLeast"/>
        <w:ind w:left="0" w:right="0" w:firstLine="7468"/>
        <w:jc w:val="both"/>
        <w:rPr>
          <w:sz w:val="22"/>
        </w:rPr>
      </w:pPr>
      <w:r>
        <w:rPr>
          <w:rFonts w:ascii="仿宋" w:hAnsi="仿宋" w:eastAsia="仿宋" w:cs="仿宋"/>
          <w:color w:val="000000"/>
          <w:sz w:val="24"/>
        </w:rPr>
        <w:t>编号：</w:t>
      </w:r>
    </w:p>
    <w:p w14:paraId="7DD39D10">
      <w:pPr>
        <w:pBdr>
          <w:top w:val="none" w:color="000000" w:sz="0" w:space="0"/>
          <w:left w:val="none" w:color="000000" w:sz="0" w:space="0"/>
          <w:bottom w:val="none" w:color="000000" w:sz="0" w:space="0"/>
          <w:right w:val="none" w:color="000000" w:sz="0" w:space="0"/>
        </w:pBdr>
        <w:spacing w:line="479" w:lineRule="atLeast"/>
        <w:ind w:left="0" w:right="0" w:firstLine="0"/>
        <w:jc w:val="both"/>
        <w:rPr>
          <w:sz w:val="22"/>
        </w:rPr>
      </w:pPr>
      <w:r>
        <w:rPr>
          <w:rFonts w:ascii="仿宋" w:hAnsi="仿宋" w:eastAsia="仿宋" w:cs="仿宋"/>
          <w:color w:val="000000"/>
          <w:sz w:val="24"/>
        </w:rPr>
        <w:t>致受益人</w:t>
      </w:r>
      <w:r>
        <w:rPr>
          <w:rFonts w:ascii="仿宋" w:hAnsi="仿宋" w:eastAsia="仿宋" w:cs="仿宋"/>
          <w:color w:val="000000"/>
          <w:sz w:val="24"/>
          <w:u w:val="single"/>
        </w:rPr>
        <w:t>                   </w:t>
      </w:r>
      <w:r>
        <w:rPr>
          <w:rFonts w:ascii="仿宋" w:hAnsi="仿宋" w:eastAsia="仿宋" w:cs="仿宋"/>
          <w:color w:val="000000"/>
          <w:sz w:val="24"/>
        </w:rPr>
        <w:t>：</w:t>
      </w:r>
    </w:p>
    <w:p w14:paraId="1881DF4F">
      <w:pPr>
        <w:pBdr>
          <w:top w:val="none" w:color="000000" w:sz="0" w:space="0"/>
          <w:left w:val="none" w:color="000000" w:sz="0" w:space="0"/>
          <w:bottom w:val="none" w:color="000000" w:sz="0" w:space="0"/>
          <w:right w:val="none" w:color="000000" w:sz="0" w:space="0"/>
        </w:pBdr>
        <w:spacing w:line="479" w:lineRule="atLeast"/>
        <w:ind w:left="0" w:right="0" w:firstLine="480"/>
        <w:rPr>
          <w:sz w:val="22"/>
        </w:rPr>
      </w:pPr>
      <w:r>
        <w:rPr>
          <w:rFonts w:ascii="仿宋" w:hAnsi="仿宋" w:eastAsia="仿宋" w:cs="仿宋"/>
          <w:color w:val="000000"/>
          <w:sz w:val="24"/>
        </w:rPr>
        <w:t>鉴于</w:t>
      </w:r>
      <w:r>
        <w:rPr>
          <w:rFonts w:ascii="仿宋" w:hAnsi="仿宋" w:eastAsia="仿宋" w:cs="仿宋"/>
          <w:color w:val="000000"/>
          <w:sz w:val="24"/>
          <w:u w:val="single"/>
        </w:rPr>
        <w:t>                       </w:t>
      </w:r>
      <w:r>
        <w:rPr>
          <w:rFonts w:ascii="仿宋" w:hAnsi="仿宋" w:eastAsia="仿宋" w:cs="仿宋"/>
          <w:color w:val="000000"/>
          <w:sz w:val="24"/>
        </w:rPr>
        <w:t>（下称“被保证人”）与你方签订了编号为</w:t>
      </w:r>
      <w:r>
        <w:rPr>
          <w:rFonts w:ascii="仿宋" w:hAnsi="仿宋" w:eastAsia="仿宋" w:cs="仿宋"/>
          <w:color w:val="000000"/>
          <w:sz w:val="24"/>
          <w:u w:val="single"/>
        </w:rPr>
        <w:t>                 </w:t>
      </w:r>
      <w:r>
        <w:rPr>
          <w:rFonts w:ascii="仿宋" w:hAnsi="仿宋" w:eastAsia="仿宋" w:cs="仿宋"/>
          <w:color w:val="000000"/>
          <w:sz w:val="24"/>
        </w:rPr>
        <w:t>的</w:t>
      </w:r>
      <w:r>
        <w:rPr>
          <w:rFonts w:ascii="仿宋" w:hAnsi="仿宋" w:eastAsia="仿宋" w:cs="仿宋"/>
          <w:color w:val="000000"/>
          <w:sz w:val="24"/>
          <w:u w:val="single"/>
        </w:rPr>
        <w:t>          </w:t>
      </w:r>
      <w:r>
        <w:rPr>
          <w:rFonts w:ascii="仿宋" w:hAnsi="仿宋" w:eastAsia="仿宋" w:cs="仿宋"/>
          <w:color w:val="000000"/>
          <w:sz w:val="24"/>
        </w:rPr>
        <w:t>（合同或协议名称），我行愿就被保证人履行上述合同或协议约定的义务向你方提供如下保证：</w:t>
      </w:r>
    </w:p>
    <w:p w14:paraId="1541382C">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一、本保函项下我行承担的保证责任最高限额为（币种、金额、大写）</w:t>
      </w:r>
    </w:p>
    <w:p w14:paraId="2B9CD69E">
      <w:pPr>
        <w:pBdr>
          <w:top w:val="none" w:color="000000" w:sz="0" w:space="0"/>
          <w:left w:val="none" w:color="000000" w:sz="0" w:space="0"/>
          <w:bottom w:val="none" w:color="000000" w:sz="0" w:space="0"/>
          <w:right w:val="none" w:color="000000" w:sz="0" w:space="0"/>
        </w:pBdr>
        <w:spacing w:line="479" w:lineRule="atLeast"/>
        <w:ind w:left="0" w:right="0" w:firstLine="0"/>
        <w:jc w:val="both"/>
        <w:rPr>
          <w:sz w:val="22"/>
        </w:rPr>
      </w:pPr>
      <w:r>
        <w:rPr>
          <w:rFonts w:ascii="仿宋" w:hAnsi="仿宋" w:eastAsia="仿宋" w:cs="仿宋"/>
          <w:color w:val="000000"/>
          <w:sz w:val="24"/>
          <w:u w:val="single"/>
        </w:rPr>
        <w:t>                         </w:t>
      </w:r>
      <w:r>
        <w:rPr>
          <w:rFonts w:ascii="仿宋" w:hAnsi="仿宋" w:eastAsia="仿宋" w:cs="仿宋"/>
          <w:color w:val="000000"/>
          <w:sz w:val="24"/>
        </w:rPr>
        <w:t>（下称“保证金额”）。</w:t>
      </w:r>
    </w:p>
    <w:p w14:paraId="261C06CA">
      <w:pPr>
        <w:pBdr>
          <w:top w:val="none" w:color="000000" w:sz="0" w:space="0"/>
          <w:left w:val="none" w:color="000000" w:sz="0" w:space="0"/>
          <w:bottom w:val="none" w:color="000000" w:sz="0" w:space="0"/>
          <w:right w:val="none" w:color="000000" w:sz="0" w:space="0"/>
        </w:pBdr>
        <w:spacing w:line="479" w:lineRule="atLeast"/>
        <w:ind w:left="0" w:right="0" w:firstLine="480"/>
        <w:rPr>
          <w:sz w:val="22"/>
        </w:rPr>
      </w:pPr>
      <w:r>
        <w:rPr>
          <w:rFonts w:ascii="仿宋" w:hAnsi="仿宋" w:eastAsia="仿宋" w:cs="仿宋"/>
          <w:color w:val="000000"/>
          <w:sz w:val="24"/>
        </w:rPr>
        <w:t>二、本保函的有效期为以下第</w:t>
      </w:r>
      <w:r>
        <w:rPr>
          <w:rFonts w:ascii="仿宋" w:hAnsi="仿宋" w:eastAsia="仿宋" w:cs="仿宋"/>
          <w:color w:val="000000"/>
          <w:sz w:val="24"/>
          <w:u w:val="single"/>
        </w:rPr>
        <w:t>    </w:t>
      </w:r>
      <w:r>
        <w:rPr>
          <w:rFonts w:ascii="仿宋" w:hAnsi="仿宋" w:eastAsia="仿宋" w:cs="仿宋"/>
          <w:color w:val="000000"/>
          <w:sz w:val="24"/>
        </w:rPr>
        <w:t>种：</w:t>
      </w:r>
    </w:p>
    <w:p w14:paraId="0A14ED6A">
      <w:pPr>
        <w:pBdr>
          <w:top w:val="none" w:color="000000" w:sz="0" w:space="0"/>
          <w:left w:val="none" w:color="000000" w:sz="0" w:space="0"/>
          <w:bottom w:val="none" w:color="000000" w:sz="0" w:space="0"/>
          <w:right w:val="none" w:color="000000" w:sz="0" w:space="0"/>
        </w:pBdr>
        <w:spacing w:line="479" w:lineRule="atLeast"/>
        <w:ind w:left="0" w:right="0" w:firstLine="480"/>
        <w:rPr>
          <w:sz w:val="22"/>
        </w:rPr>
      </w:pPr>
      <w:r>
        <w:rPr>
          <w:rFonts w:ascii="仿宋" w:hAnsi="仿宋" w:eastAsia="仿宋" w:cs="仿宋"/>
          <w:color w:val="000000"/>
          <w:sz w:val="24"/>
        </w:rPr>
        <w:t>1.本保函有效期至</w:t>
      </w:r>
      <w:r>
        <w:rPr>
          <w:rFonts w:ascii="仿宋" w:hAnsi="仿宋" w:eastAsia="仿宋" w:cs="仿宋"/>
          <w:color w:val="000000"/>
          <w:sz w:val="24"/>
          <w:u w:val="single"/>
        </w:rPr>
        <w:t>      </w:t>
      </w:r>
      <w:r>
        <w:rPr>
          <w:rFonts w:ascii="仿宋" w:hAnsi="仿宋" w:eastAsia="仿宋" w:cs="仿宋"/>
          <w:color w:val="000000"/>
          <w:sz w:val="24"/>
        </w:rPr>
        <w:t>年</w:t>
      </w:r>
      <w:r>
        <w:rPr>
          <w:rFonts w:ascii="仿宋" w:hAnsi="仿宋" w:eastAsia="仿宋" w:cs="仿宋"/>
          <w:color w:val="000000"/>
          <w:sz w:val="24"/>
          <w:u w:val="single"/>
        </w:rPr>
        <w:t>    </w:t>
      </w:r>
      <w:r>
        <w:rPr>
          <w:rFonts w:ascii="仿宋" w:hAnsi="仿宋" w:eastAsia="仿宋" w:cs="仿宋"/>
          <w:color w:val="000000"/>
          <w:sz w:val="24"/>
        </w:rPr>
        <w:t>月</w:t>
      </w:r>
      <w:r>
        <w:rPr>
          <w:rFonts w:ascii="仿宋" w:hAnsi="仿宋" w:eastAsia="仿宋" w:cs="仿宋"/>
          <w:color w:val="000000"/>
          <w:sz w:val="24"/>
          <w:u w:val="single"/>
        </w:rPr>
        <w:t>    </w:t>
      </w:r>
      <w:r>
        <w:rPr>
          <w:rFonts w:ascii="仿宋" w:hAnsi="仿宋" w:eastAsia="仿宋" w:cs="仿宋"/>
          <w:color w:val="000000"/>
          <w:sz w:val="24"/>
        </w:rPr>
        <w:t>日止。</w:t>
      </w:r>
    </w:p>
    <w:p w14:paraId="1F607108">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2.</w:t>
      </w:r>
      <w:r>
        <w:rPr>
          <w:rFonts w:ascii="仿宋" w:hAnsi="仿宋" w:eastAsia="仿宋" w:cs="仿宋"/>
          <w:color w:val="000000"/>
          <w:sz w:val="24"/>
          <w:u w:val="single"/>
        </w:rPr>
        <w:t>                     </w:t>
      </w:r>
      <w:r>
        <w:rPr>
          <w:rFonts w:ascii="仿宋" w:hAnsi="仿宋" w:eastAsia="仿宋" w:cs="仿宋"/>
          <w:color w:val="000000"/>
          <w:sz w:val="24"/>
        </w:rPr>
        <w:t>，但最迟不超过</w:t>
      </w:r>
      <w:r>
        <w:rPr>
          <w:rFonts w:ascii="仿宋" w:hAnsi="仿宋" w:eastAsia="仿宋" w:cs="仿宋"/>
          <w:color w:val="000000"/>
          <w:sz w:val="24"/>
          <w:u w:val="single"/>
        </w:rPr>
        <w:t>      </w:t>
      </w:r>
      <w:r>
        <w:rPr>
          <w:rFonts w:ascii="仿宋" w:hAnsi="仿宋" w:eastAsia="仿宋" w:cs="仿宋"/>
          <w:color w:val="000000"/>
          <w:sz w:val="24"/>
        </w:rPr>
        <w:t>年</w:t>
      </w:r>
      <w:r>
        <w:rPr>
          <w:rFonts w:ascii="仿宋" w:hAnsi="仿宋" w:eastAsia="仿宋" w:cs="仿宋"/>
          <w:color w:val="000000"/>
          <w:sz w:val="24"/>
          <w:u w:val="single"/>
        </w:rPr>
        <w:t>    </w:t>
      </w:r>
      <w:r>
        <w:rPr>
          <w:rFonts w:ascii="仿宋" w:hAnsi="仿宋" w:eastAsia="仿宋" w:cs="仿宋"/>
          <w:color w:val="000000"/>
          <w:sz w:val="24"/>
        </w:rPr>
        <w:t>月</w:t>
      </w:r>
      <w:r>
        <w:rPr>
          <w:rFonts w:ascii="仿宋" w:hAnsi="仿宋" w:eastAsia="仿宋" w:cs="仿宋"/>
          <w:color w:val="000000"/>
          <w:sz w:val="24"/>
          <w:u w:val="single"/>
        </w:rPr>
        <w:t>    </w:t>
      </w:r>
      <w:r>
        <w:rPr>
          <w:rFonts w:ascii="仿宋" w:hAnsi="仿宋" w:eastAsia="仿宋" w:cs="仿宋"/>
          <w:color w:val="000000"/>
          <w:sz w:val="24"/>
        </w:rPr>
        <w:t>日。</w:t>
      </w:r>
    </w:p>
    <w:p w14:paraId="09D134B6">
      <w:pPr>
        <w:pBdr>
          <w:top w:val="none" w:color="000000" w:sz="0" w:space="0"/>
          <w:left w:val="none" w:color="000000" w:sz="0" w:space="0"/>
          <w:bottom w:val="none" w:color="000000" w:sz="0" w:space="0"/>
          <w:right w:val="none" w:color="000000" w:sz="0" w:space="0"/>
        </w:pBdr>
        <w:spacing w:line="479" w:lineRule="atLeast"/>
        <w:ind w:left="0" w:right="0" w:firstLine="480"/>
        <w:rPr>
          <w:sz w:val="22"/>
        </w:rPr>
      </w:pPr>
      <w:r>
        <w:rPr>
          <w:rFonts w:ascii="仿宋" w:hAnsi="仿宋" w:eastAsia="仿宋" w:cs="仿宋"/>
          <w:color w:val="000000"/>
          <w:sz w:val="24"/>
        </w:rPr>
        <w:t>三、在本保函的有效期内，我行将在收到你方提交的符合下列全部条件的书面单据后</w:t>
      </w:r>
      <w:r>
        <w:rPr>
          <w:rFonts w:ascii="仿宋" w:hAnsi="仿宋" w:eastAsia="仿宋" w:cs="仿宋"/>
          <w:color w:val="000000"/>
          <w:sz w:val="24"/>
          <w:u w:val="single"/>
        </w:rPr>
        <w:t>     </w:t>
      </w:r>
      <w:r>
        <w:rPr>
          <w:rFonts w:ascii="仿宋" w:hAnsi="仿宋" w:eastAsia="仿宋" w:cs="仿宋"/>
          <w:color w:val="000000"/>
          <w:sz w:val="24"/>
        </w:rPr>
        <w:t>个工作日内，以上述保证金额为限支付你方索赔金额：</w:t>
      </w:r>
    </w:p>
    <w:p w14:paraId="04E82719">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（一）本保函原件。</w:t>
      </w:r>
    </w:p>
    <w:p w14:paraId="4BD9FD48">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（二）索赔通知。该索赔通知应同时满足以下要求：</w:t>
      </w:r>
    </w:p>
    <w:p w14:paraId="0E8FFC45">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1.列明索赔金额（币种、金额、大写）。</w:t>
      </w:r>
    </w:p>
    <w:p w14:paraId="11DDCCCF">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2.说明被保证人在哪些方面违反了基础合同项下义务。</w:t>
      </w:r>
    </w:p>
    <w:p w14:paraId="5F7B149E">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3.声明索赔款项并未由被保证人或其代理人直接或间接地支付给你方。</w:t>
      </w:r>
    </w:p>
    <w:p w14:paraId="2883C3C5">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4.由你方法定代表人（负责人）或授权代理人签字并加盖公章。</w:t>
      </w:r>
    </w:p>
    <w:p w14:paraId="6BEDB3DD">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（三）其他单据</w:t>
      </w:r>
    </w:p>
    <w:p w14:paraId="6F642AE1">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u w:val="single"/>
        </w:rPr>
        <w:t>                                                          </w:t>
      </w:r>
    </w:p>
    <w:p w14:paraId="19DD47C3">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u w:val="single"/>
        </w:rPr>
        <w:t>                                                          </w:t>
      </w:r>
    </w:p>
    <w:p w14:paraId="724D91B8">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（四）上述单据的语言应为</w:t>
      </w:r>
      <w:r>
        <w:rPr>
          <w:rFonts w:ascii="仿宋" w:hAnsi="仿宋" w:eastAsia="仿宋" w:cs="仿宋"/>
          <w:color w:val="000000"/>
          <w:sz w:val="24"/>
          <w:u w:val="single"/>
        </w:rPr>
        <w:t>           </w:t>
      </w:r>
      <w:r>
        <w:rPr>
          <w:rFonts w:ascii="仿宋" w:hAnsi="仿宋" w:eastAsia="仿宋" w:cs="仿宋"/>
          <w:color w:val="000000"/>
          <w:sz w:val="24"/>
        </w:rPr>
        <w:t>（中文或其他语言）。</w:t>
      </w:r>
    </w:p>
    <w:p w14:paraId="0F096268">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（五）上述单据的交单形式应为</w:t>
      </w:r>
      <w:r>
        <w:rPr>
          <w:rFonts w:ascii="仿宋" w:hAnsi="仿宋" w:eastAsia="仿宋" w:cs="仿宋"/>
          <w:color w:val="000000"/>
          <w:sz w:val="24"/>
          <w:u w:val="single"/>
        </w:rPr>
        <w:t>            </w:t>
      </w:r>
      <w:r>
        <w:rPr>
          <w:rFonts w:ascii="仿宋" w:hAnsi="仿宋" w:eastAsia="仿宋" w:cs="仿宋"/>
          <w:color w:val="000000"/>
          <w:sz w:val="24"/>
        </w:rPr>
        <w:t>（纸质形式或电子形式）。</w:t>
      </w:r>
    </w:p>
    <w:p w14:paraId="430CF24B">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1.如果采用纸质形式交单，上述单据必须在本保函有效期内到达以下地址：</w:t>
      </w:r>
      <w:r>
        <w:rPr>
          <w:rFonts w:ascii="仿宋" w:hAnsi="仿宋" w:eastAsia="仿宋" w:cs="仿宋"/>
          <w:color w:val="000000"/>
          <w:sz w:val="24"/>
          <w:u w:val="single"/>
        </w:rPr>
        <w:t>                                          </w:t>
      </w:r>
      <w:r>
        <w:rPr>
          <w:rFonts w:ascii="仿宋" w:hAnsi="仿宋" w:eastAsia="仿宋" w:cs="仿宋"/>
          <w:color w:val="000000"/>
          <w:sz w:val="24"/>
        </w:rPr>
        <w:t>。</w:t>
      </w:r>
    </w:p>
    <w:p w14:paraId="3F16D9F5">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2.如果采用电子形式交单，上述单据必须按照以下交单格式、通过以下系统在本保函有效期内到达以下电子地址：</w:t>
      </w:r>
    </w:p>
    <w:p w14:paraId="3E62362D">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交单格式：</w:t>
      </w:r>
      <w:r>
        <w:rPr>
          <w:rFonts w:ascii="仿宋" w:hAnsi="仿宋" w:eastAsia="仿宋" w:cs="仿宋"/>
          <w:color w:val="000000"/>
          <w:sz w:val="24"/>
          <w:u w:val="single"/>
        </w:rPr>
        <w:t>                                            </w:t>
      </w:r>
      <w:r>
        <w:rPr>
          <w:rFonts w:ascii="仿宋" w:hAnsi="仿宋" w:eastAsia="仿宋" w:cs="仿宋"/>
          <w:color w:val="000000"/>
          <w:sz w:val="24"/>
        </w:rPr>
        <w:t>；</w:t>
      </w:r>
    </w:p>
    <w:p w14:paraId="38ED24EF">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交单系统：</w:t>
      </w:r>
      <w:r>
        <w:rPr>
          <w:rFonts w:ascii="仿宋" w:hAnsi="仿宋" w:eastAsia="仿宋" w:cs="仿宋"/>
          <w:color w:val="000000"/>
          <w:sz w:val="24"/>
          <w:u w:val="single"/>
        </w:rPr>
        <w:t>                                            </w:t>
      </w:r>
      <w:r>
        <w:rPr>
          <w:rFonts w:ascii="仿宋" w:hAnsi="仿宋" w:eastAsia="仿宋" w:cs="仿宋"/>
          <w:color w:val="000000"/>
          <w:sz w:val="24"/>
        </w:rPr>
        <w:t>；</w:t>
      </w:r>
    </w:p>
    <w:p w14:paraId="1F3D2E83">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电子地址：</w:t>
      </w:r>
      <w:r>
        <w:rPr>
          <w:rFonts w:ascii="仿宋" w:hAnsi="仿宋" w:eastAsia="仿宋" w:cs="仿宋"/>
          <w:color w:val="000000"/>
          <w:sz w:val="24"/>
          <w:u w:val="single"/>
        </w:rPr>
        <w:t>                                            </w:t>
      </w:r>
      <w:r>
        <w:rPr>
          <w:rFonts w:ascii="仿宋" w:hAnsi="仿宋" w:eastAsia="仿宋" w:cs="仿宋"/>
          <w:color w:val="000000"/>
          <w:sz w:val="24"/>
        </w:rPr>
        <w:t>。</w:t>
      </w:r>
    </w:p>
    <w:p w14:paraId="751296FF">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（六）所有索赔通知必须在我行营业时间内到达本保函规定的地址，即每个银行营业日</w:t>
      </w:r>
      <w:r>
        <w:rPr>
          <w:rFonts w:ascii="仿宋" w:hAnsi="仿宋" w:eastAsia="仿宋" w:cs="仿宋"/>
          <w:color w:val="000000"/>
          <w:sz w:val="24"/>
          <w:u w:val="single"/>
        </w:rPr>
        <w:t>     </w:t>
      </w:r>
      <w:r>
        <w:rPr>
          <w:rFonts w:ascii="仿宋" w:hAnsi="仿宋" w:eastAsia="仿宋" w:cs="仿宋"/>
          <w:color w:val="000000"/>
          <w:sz w:val="24"/>
        </w:rPr>
        <w:t>点前，否则视为在下一个银行营业日到达。   </w:t>
      </w:r>
    </w:p>
    <w:p w14:paraId="2C094AF9">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四、本保函保证金额将随我行按你方索赔通知要求分次支付而相应递减。</w:t>
      </w:r>
    </w:p>
    <w:p w14:paraId="790F9520">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五、本保函项下的权利不得转让，不得设定担保。受益人未经我行书面同意转让本保函或其项下任何权利，我行在本保函项下的义务与责任全部消灭。</w:t>
      </w:r>
    </w:p>
    <w:p w14:paraId="5ED816F2">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六、因本保函发生争议协商解决不成，应按以下第</w:t>
      </w:r>
      <w:r>
        <w:rPr>
          <w:rFonts w:ascii="仿宋" w:hAnsi="仿宋" w:eastAsia="仿宋" w:cs="仿宋"/>
          <w:color w:val="000000"/>
          <w:sz w:val="24"/>
          <w:u w:val="single"/>
        </w:rPr>
        <w:t>     </w:t>
      </w:r>
      <w:r>
        <w:rPr>
          <w:rFonts w:ascii="仿宋" w:hAnsi="仿宋" w:eastAsia="仿宋" w:cs="仿宋"/>
          <w:color w:val="000000"/>
          <w:sz w:val="24"/>
        </w:rPr>
        <w:t>种方式解决：</w:t>
      </w:r>
    </w:p>
    <w:p w14:paraId="05C99F86">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（一）向本行所在地的人民法院起诉。</w:t>
      </w:r>
    </w:p>
    <w:p w14:paraId="7127D809">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（二）提交</w:t>
      </w:r>
      <w:r>
        <w:rPr>
          <w:rFonts w:ascii="仿宋" w:hAnsi="仿宋" w:eastAsia="仿宋" w:cs="仿宋"/>
          <w:color w:val="000000"/>
          <w:sz w:val="24"/>
          <w:u w:val="single"/>
        </w:rPr>
        <w:t>            </w:t>
      </w:r>
      <w:r>
        <w:rPr>
          <w:rFonts w:ascii="仿宋" w:hAnsi="仿宋" w:eastAsia="仿宋" w:cs="仿宋"/>
          <w:color w:val="000000"/>
          <w:sz w:val="24"/>
        </w:rPr>
        <w:t>仲裁委员会（仲裁地点为</w:t>
      </w:r>
      <w:r>
        <w:rPr>
          <w:rFonts w:ascii="仿宋" w:hAnsi="仿宋" w:eastAsia="仿宋" w:cs="仿宋"/>
          <w:color w:val="000000"/>
          <w:sz w:val="24"/>
          <w:u w:val="single"/>
        </w:rPr>
        <w:t>       </w:t>
      </w:r>
      <w:r>
        <w:rPr>
          <w:rFonts w:ascii="仿宋" w:hAnsi="仿宋" w:eastAsia="仿宋" w:cs="仿宋"/>
          <w:color w:val="000000"/>
          <w:sz w:val="24"/>
        </w:rPr>
        <w:t>）,按照申请仲裁时该会现行有效的仲裁规则进行仲裁。仲裁裁决是终局的，对双方均有约束力。</w:t>
      </w:r>
    </w:p>
    <w:p w14:paraId="626CB2F5">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七、本保函有效期届满或提前终止，本保函失效，我行在本保函项下的义务与责任自动全部消灭，此后提出的任何索赔均为无效索赔，我行无义务作出任何赔付。本保函失效后，受益人应立即将本保函原件退还我行，受益人未履行上述义务，本保函仍在有效期届至或提前终止之日失效。</w:t>
      </w:r>
    </w:p>
    <w:p w14:paraId="6FFA1926">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八、本保函适用中华人民共和国法律。</w:t>
      </w:r>
    </w:p>
    <w:p w14:paraId="0691B3D5">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九、其他条款：</w:t>
      </w:r>
      <w:r>
        <w:rPr>
          <w:rFonts w:ascii="仿宋" w:hAnsi="仿宋" w:eastAsia="仿宋" w:cs="仿宋"/>
          <w:color w:val="000000"/>
          <w:sz w:val="24"/>
          <w:u w:val="single"/>
        </w:rPr>
        <w:t>                                         </w:t>
      </w:r>
    </w:p>
    <w:p w14:paraId="67EBF753">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十、本保函自本行负责人或授权代理人签字并加盖公章之日起生效。</w:t>
      </w:r>
    </w:p>
    <w:p w14:paraId="0ADDDE06">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 </w:t>
      </w:r>
    </w:p>
    <w:p w14:paraId="31D68D11">
      <w:pPr>
        <w:pBdr>
          <w:top w:val="none" w:color="000000" w:sz="0" w:space="0"/>
          <w:left w:val="none" w:color="000000" w:sz="0" w:space="0"/>
          <w:bottom w:val="none" w:color="000000" w:sz="0" w:space="0"/>
          <w:right w:val="none" w:color="000000" w:sz="0" w:space="0"/>
        </w:pBdr>
        <w:spacing w:line="479" w:lineRule="atLeast"/>
        <w:ind w:left="0" w:right="0" w:firstLine="480"/>
        <w:jc w:val="both"/>
        <w:rPr>
          <w:sz w:val="22"/>
        </w:rPr>
      </w:pPr>
      <w:r>
        <w:rPr>
          <w:rFonts w:ascii="仿宋" w:hAnsi="仿宋" w:eastAsia="仿宋" w:cs="仿宋"/>
          <w:color w:val="000000"/>
          <w:sz w:val="24"/>
        </w:rPr>
        <w:t> </w:t>
      </w:r>
    </w:p>
    <w:p w14:paraId="2AADFD8E">
      <w:pPr>
        <w:pBdr>
          <w:top w:val="none" w:color="000000" w:sz="0" w:space="0"/>
          <w:left w:val="none" w:color="000000" w:sz="0" w:space="0"/>
          <w:bottom w:val="none" w:color="000000" w:sz="0" w:space="0"/>
          <w:right w:val="none" w:color="000000" w:sz="0" w:space="0"/>
        </w:pBdr>
        <w:spacing w:line="479" w:lineRule="atLeast"/>
        <w:ind w:left="0" w:right="0" w:firstLine="2640"/>
        <w:jc w:val="both"/>
        <w:rPr>
          <w:sz w:val="22"/>
        </w:rPr>
      </w:pPr>
      <w:r>
        <w:rPr>
          <w:rFonts w:ascii="仿宋" w:hAnsi="仿宋" w:eastAsia="仿宋" w:cs="仿宋"/>
          <w:color w:val="000000"/>
          <w:sz w:val="24"/>
        </w:rPr>
        <w:t> </w:t>
      </w:r>
    </w:p>
    <w:p w14:paraId="2C6C44DD">
      <w:pPr>
        <w:pBdr>
          <w:top w:val="none" w:color="000000" w:sz="0" w:space="0"/>
          <w:left w:val="none" w:color="000000" w:sz="0" w:space="0"/>
          <w:bottom w:val="none" w:color="000000" w:sz="0" w:space="0"/>
          <w:right w:val="none" w:color="000000" w:sz="0" w:space="0"/>
        </w:pBdr>
        <w:spacing w:line="479" w:lineRule="atLeast"/>
        <w:ind w:left="0" w:right="0" w:firstLine="3420"/>
        <w:jc w:val="both"/>
        <w:rPr>
          <w:sz w:val="22"/>
        </w:rPr>
      </w:pPr>
      <w:r>
        <w:rPr>
          <w:rFonts w:ascii="仿宋" w:hAnsi="仿宋" w:eastAsia="仿宋" w:cs="仿宋"/>
          <w:color w:val="000000"/>
          <w:sz w:val="24"/>
        </w:rPr>
        <w:t>保证人（公章）：</w:t>
      </w:r>
    </w:p>
    <w:p w14:paraId="41EE62FF">
      <w:pPr>
        <w:pBdr>
          <w:top w:val="none" w:color="000000" w:sz="0" w:space="0"/>
          <w:left w:val="none" w:color="000000" w:sz="0" w:space="0"/>
          <w:bottom w:val="none" w:color="000000" w:sz="0" w:space="0"/>
          <w:right w:val="none" w:color="000000" w:sz="0" w:space="0"/>
        </w:pBdr>
        <w:spacing w:line="479" w:lineRule="atLeast"/>
        <w:ind w:left="0" w:right="0" w:firstLine="3420"/>
        <w:jc w:val="both"/>
        <w:rPr>
          <w:sz w:val="22"/>
        </w:rPr>
      </w:pPr>
      <w:r>
        <w:rPr>
          <w:rFonts w:ascii="仿宋" w:hAnsi="仿宋" w:eastAsia="仿宋" w:cs="仿宋"/>
          <w:color w:val="000000"/>
          <w:sz w:val="24"/>
        </w:rPr>
        <w:t>负责人或授权代理人（签字）：</w:t>
      </w:r>
    </w:p>
    <w:p w14:paraId="29833FC9">
      <w:pPr>
        <w:pBdr>
          <w:top w:val="none" w:color="000000" w:sz="0" w:space="0"/>
          <w:left w:val="none" w:color="000000" w:sz="0" w:space="0"/>
          <w:bottom w:val="none" w:color="000000" w:sz="0" w:space="0"/>
          <w:right w:val="none" w:color="000000" w:sz="0" w:space="0"/>
        </w:pBdr>
        <w:spacing w:line="479" w:lineRule="atLeast"/>
        <w:ind w:left="0" w:right="0" w:firstLine="3420"/>
        <w:jc w:val="both"/>
        <w:rPr>
          <w:sz w:val="22"/>
        </w:rPr>
      </w:pPr>
      <w:r>
        <w:rPr>
          <w:rFonts w:ascii="仿宋" w:hAnsi="仿宋" w:eastAsia="仿宋" w:cs="仿宋"/>
          <w:color w:val="000000"/>
          <w:sz w:val="24"/>
        </w:rPr>
        <w:t>签发日期       年    月    日</w:t>
      </w:r>
    </w:p>
    <w:p w14:paraId="30A722E1">
      <w:pPr>
        <w:rPr>
          <w:rFonts w:hint="default" w:ascii="仿宋_GB2312" w:eastAsia="仿宋_GB2312" w:hAnsiTheme="minorEastAsia" w:cstheme="minorEastAsia"/>
          <w:sz w:val="32"/>
          <w:szCs w:val="32"/>
          <w:highlight w:val="none"/>
          <w:u w:val="single"/>
          <w:lang w:val="en-US" w:eastAsia="zh-CN"/>
        </w:rPr>
      </w:pPr>
      <w:r>
        <w:rPr>
          <w:rFonts w:hint="default" w:ascii="仿宋_GB2312" w:eastAsia="仿宋_GB2312" w:hAnsiTheme="minorEastAsia" w:cstheme="minorEastAsia"/>
          <w:sz w:val="32"/>
          <w:szCs w:val="32"/>
          <w:highlight w:val="none"/>
          <w:u w:val="single"/>
          <w:lang w:val="en-US" w:eastAsia="zh-CN"/>
        </w:rPr>
        <w:br w:type="page" w:clear="all"/>
      </w:r>
    </w:p>
    <w:p w14:paraId="4C20B265">
      <w:pPr>
        <w:pStyle w:val="6"/>
        <w:spacing w:before="156" w:after="156"/>
        <w:ind w:left="0" w:firstLine="562"/>
        <w:rPr>
          <w:rFonts w:hint="eastAsia"/>
          <w:highlight w:val="none"/>
          <w:lang w:val="en-US" w:eastAsia="zh-CN"/>
        </w:rPr>
      </w:pPr>
      <w:r>
        <w:rPr>
          <w:rFonts w:hint="eastAsia"/>
          <w:highlight w:val="none"/>
          <w:u w:val="none"/>
          <w:lang w:val="en-US" w:eastAsia="zh-CN"/>
        </w:rPr>
        <w:t>附件18：</w:t>
      </w:r>
    </w:p>
    <w:p w14:paraId="6AFEB58E">
      <w:pPr>
        <w:pBdr>
          <w:top w:val="none" w:color="000000" w:sz="0" w:space="0"/>
          <w:left w:val="none" w:color="000000" w:sz="0" w:space="0"/>
          <w:bottom w:val="none" w:color="000000" w:sz="0" w:space="0"/>
          <w:right w:val="none" w:color="000000" w:sz="0" w:space="0"/>
        </w:pBdr>
        <w:spacing w:line="559" w:lineRule="atLeast"/>
        <w:ind w:left="0" w:right="0" w:firstLine="0"/>
        <w:jc w:val="center"/>
        <w:rPr>
          <w:rFonts w:ascii="FangSong_GB2312" w:hAnsi="FangSong_GB2312" w:eastAsia="FangSong_GB2312" w:cs="FangSong_GB2312"/>
          <w:sz w:val="56"/>
        </w:rPr>
      </w:pPr>
      <w:r>
        <w:rPr>
          <w:rFonts w:ascii="方正小标宋简体" w:hAnsi="方正小标宋简体" w:eastAsia="方正小标宋简体" w:cs="方正小标宋简体"/>
          <w:b/>
          <w:color w:val="000000"/>
          <w:sz w:val="44"/>
        </w:rPr>
        <w:t>公告</w:t>
      </w:r>
    </w:p>
    <w:p w14:paraId="5A3CBC9E">
      <w:pPr>
        <w:pBdr>
          <w:top w:val="none" w:color="000000" w:sz="0" w:space="0"/>
          <w:left w:val="none" w:color="000000" w:sz="0" w:space="0"/>
          <w:bottom w:val="none" w:color="000000" w:sz="0" w:space="0"/>
          <w:right w:val="none" w:color="000000" w:sz="0" w:space="0"/>
        </w:pBdr>
        <w:spacing w:line="559" w:lineRule="atLeast"/>
        <w:ind w:left="0" w:right="0" w:firstLine="640"/>
        <w:jc w:val="both"/>
        <w:rPr>
          <w:rFonts w:ascii="FangSong_GB2312" w:hAnsi="FangSong_GB2312" w:eastAsia="FangSong_GB2312" w:cs="FangSong_GB2312"/>
          <w:color w:val="000000"/>
          <w:sz w:val="32"/>
          <w:szCs w:val="32"/>
          <w14:ligatures w14:val="none"/>
        </w:rPr>
      </w:pPr>
      <w:r>
        <w:rPr>
          <w:rFonts w:ascii="FangSong_GB2312" w:hAnsi="FangSong_GB2312" w:eastAsia="FangSong_GB2312" w:cs="FangSong_GB2312"/>
          <w:color w:val="000000"/>
          <w:sz w:val="32"/>
          <w:szCs w:val="32"/>
        </w:rPr>
        <w:t>为畅通问题反映渠道，方便快捷反映问题，中建三局纪委、中建三局总承包公司纪委设立多种监督投诉举报方式，现公告如下：</w:t>
      </w:r>
    </w:p>
    <w:p w14:paraId="6F1B8E1B">
      <w:pPr>
        <w:pBdr>
          <w:top w:val="none" w:color="000000" w:sz="0" w:space="0"/>
          <w:left w:val="none" w:color="000000" w:sz="0" w:space="0"/>
          <w:bottom w:val="none" w:color="000000" w:sz="0" w:space="0"/>
          <w:right w:val="none" w:color="000000" w:sz="0" w:space="0"/>
        </w:pBdr>
        <w:spacing w:line="559" w:lineRule="atLeast"/>
        <w:ind w:left="0" w:right="0" w:firstLine="643"/>
        <w:jc w:val="both"/>
        <w:rPr>
          <w:rFonts w:ascii="FangSong_GB2312" w:hAnsi="FangSong_GB2312" w:eastAsia="FangSong_GB2312" w:cs="FangSong_GB2312"/>
          <w:sz w:val="56"/>
        </w:rPr>
      </w:pPr>
      <w:r>
        <w:rPr>
          <w:rFonts w:ascii="黑体" w:hAnsi="黑体" w:eastAsia="黑体" w:cs="黑体"/>
          <w:b/>
          <w:color w:val="000000"/>
          <w:sz w:val="32"/>
        </w:rPr>
        <w:t>一、中建三局纪委</w:t>
      </w:r>
    </w:p>
    <w:p w14:paraId="71535BB4">
      <w:pPr>
        <w:pBdr>
          <w:top w:val="none" w:color="000000" w:sz="0" w:space="0"/>
          <w:left w:val="none" w:color="000000" w:sz="0" w:space="0"/>
          <w:bottom w:val="none" w:color="000000" w:sz="0" w:space="0"/>
          <w:right w:val="none" w:color="000000" w:sz="0" w:space="0"/>
        </w:pBdr>
        <w:spacing w:line="559" w:lineRule="atLeast"/>
        <w:ind w:left="0" w:right="0" w:firstLine="640"/>
        <w:jc w:val="both"/>
        <w:rPr>
          <w:rFonts w:ascii="FangSong_GB2312" w:hAnsi="FangSong_GB2312" w:eastAsia="FangSong_GB2312" w:cs="FangSong_GB2312"/>
          <w:sz w:val="56"/>
        </w:rPr>
      </w:pPr>
      <w:r>
        <w:rPr>
          <w:rFonts w:ascii="FangSong_GB2312" w:hAnsi="FangSong_GB2312" w:eastAsia="FangSong_GB2312" w:cs="FangSong_GB2312"/>
          <w:color w:val="000000"/>
          <w:sz w:val="32"/>
        </w:rPr>
        <w:t>监督投诉举报电话：027—65275683</w:t>
      </w:r>
    </w:p>
    <w:p w14:paraId="73A2E0CA">
      <w:pPr>
        <w:pBdr>
          <w:top w:val="none" w:color="000000" w:sz="0" w:space="0"/>
          <w:left w:val="none" w:color="000000" w:sz="0" w:space="0"/>
          <w:bottom w:val="none" w:color="000000" w:sz="0" w:space="0"/>
          <w:right w:val="none" w:color="000000" w:sz="0" w:space="0"/>
        </w:pBdr>
        <w:spacing w:line="559" w:lineRule="atLeast"/>
        <w:ind w:left="0" w:right="0" w:firstLine="640"/>
        <w:jc w:val="both"/>
        <w:rPr>
          <w:rFonts w:ascii="FangSong_GB2312" w:hAnsi="FangSong_GB2312" w:eastAsia="FangSong_GB2312" w:cs="FangSong_GB2312"/>
          <w:sz w:val="56"/>
        </w:rPr>
      </w:pPr>
      <w:r>
        <w:rPr>
          <w:rFonts w:ascii="FangSong_GB2312" w:hAnsi="FangSong_GB2312" w:eastAsia="FangSong_GB2312" w:cs="FangSong_GB2312"/>
          <w:color w:val="000000"/>
          <w:sz w:val="32"/>
        </w:rPr>
        <w:t>监督投诉举报邮箱：sjjwjd@cscec.com</w:t>
      </w:r>
    </w:p>
    <w:p w14:paraId="4B174AFD">
      <w:pPr>
        <w:pBdr>
          <w:top w:val="none" w:color="000000" w:sz="0" w:space="0"/>
          <w:left w:val="none" w:color="000000" w:sz="0" w:space="0"/>
          <w:bottom w:val="none" w:color="000000" w:sz="0" w:space="0"/>
          <w:right w:val="none" w:color="000000" w:sz="0" w:space="0"/>
        </w:pBdr>
        <w:spacing w:line="559" w:lineRule="atLeast"/>
        <w:ind w:left="0" w:right="0" w:firstLine="640"/>
        <w:jc w:val="both"/>
        <w:rPr>
          <w:rFonts w:ascii="FangSong_GB2312" w:hAnsi="FangSong_GB2312" w:eastAsia="FangSong_GB2312" w:cs="FangSong_GB2312"/>
          <w:sz w:val="56"/>
        </w:rPr>
      </w:pPr>
      <w:r>
        <w:rPr>
          <w:rFonts w:ascii="FangSong_GB2312" w:hAnsi="FangSong_GB2312" w:eastAsia="FangSong_GB2312" w:cs="FangSong_GB2312"/>
          <w:color w:val="000000"/>
          <w:sz w:val="32"/>
        </w:rPr>
        <w:t>监督投诉举报手机：18971178578</w:t>
      </w:r>
    </w:p>
    <w:p w14:paraId="37FD51EF">
      <w:pPr>
        <w:pBdr>
          <w:top w:val="none" w:color="000000" w:sz="0" w:space="0"/>
          <w:left w:val="none" w:color="000000" w:sz="0" w:space="0"/>
          <w:bottom w:val="none" w:color="000000" w:sz="0" w:space="0"/>
          <w:right w:val="none" w:color="000000" w:sz="0" w:space="0"/>
        </w:pBdr>
        <w:spacing w:line="559" w:lineRule="atLeast"/>
        <w:ind w:left="0" w:right="0" w:firstLine="640"/>
        <w:jc w:val="both"/>
        <w:rPr>
          <w:rFonts w:ascii="FangSong_GB2312" w:hAnsi="FangSong_GB2312" w:eastAsia="FangSong_GB2312" w:cs="FangSong_GB2312"/>
          <w:sz w:val="56"/>
        </w:rPr>
      </w:pPr>
      <w:r>
        <w:rPr>
          <w:rFonts w:ascii="FangSong_GB2312" w:hAnsi="FangSong_GB2312" w:eastAsia="FangSong_GB2312" w:cs="FangSong_GB2312"/>
          <w:color w:val="000000"/>
          <w:sz w:val="32"/>
        </w:rPr>
        <w:t>监督投诉举报二维码：</w:t>
      </w:r>
    </w:p>
    <w:p w14:paraId="673763D5">
      <w:pPr>
        <w:pBdr>
          <w:top w:val="none" w:color="000000" w:sz="0" w:space="0"/>
          <w:left w:val="none" w:color="000000" w:sz="0" w:space="0"/>
          <w:bottom w:val="none" w:color="000000" w:sz="0" w:space="0"/>
          <w:right w:val="none" w:color="000000" w:sz="0" w:space="0"/>
        </w:pBdr>
        <w:spacing w:line="559" w:lineRule="atLeast"/>
        <w:ind w:left="0" w:right="0" w:firstLine="640"/>
        <w:jc w:val="center"/>
        <w:rPr>
          <w:rFonts w:ascii="FangSong_GB2312" w:hAnsi="FangSong_GB2312" w:eastAsia="FangSong_GB2312" w:cs="FangSong_GB2312"/>
          <w:sz w:val="56"/>
        </w:rPr>
      </w:pPr>
      <w:r>
        <w:drawing>
          <wp:inline distT="0" distB="0" distL="0" distR="0">
            <wp:extent cx="2628900" cy="26289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2628900" cy="2628900"/>
                    </a:xfrm>
                    <a:prstGeom prst="rect">
                      <a:avLst/>
                    </a:prstGeom>
                  </pic:spPr>
                </pic:pic>
              </a:graphicData>
            </a:graphic>
          </wp:inline>
        </w:drawing>
      </w:r>
      <w:r>
        <w:rPr>
          <w:rFonts w:ascii="FangSong_GB2312" w:hAnsi="FangSong_GB2312" w:eastAsia="FangSong_GB2312" w:cs="FangSong_GB2312"/>
          <w:color w:val="000000"/>
          <w:sz w:val="32"/>
        </w:rPr>
        <w:t> </w:t>
      </w:r>
    </w:p>
    <w:p w14:paraId="34FA27FA">
      <w:pPr>
        <w:pBdr>
          <w:top w:val="none" w:color="000000" w:sz="0" w:space="0"/>
          <w:left w:val="none" w:color="000000" w:sz="0" w:space="0"/>
          <w:bottom w:val="none" w:color="000000" w:sz="0" w:space="0"/>
          <w:right w:val="none" w:color="000000" w:sz="0" w:space="0"/>
        </w:pBdr>
        <w:spacing w:line="559" w:lineRule="atLeast"/>
        <w:ind w:left="0" w:right="0" w:firstLine="0"/>
        <w:jc w:val="center"/>
        <w:rPr>
          <w:rFonts w:ascii="FangSong_GB2312" w:hAnsi="FangSong_GB2312" w:eastAsia="FangSong_GB2312" w:cs="FangSong_GB2312"/>
          <w:sz w:val="56"/>
        </w:rPr>
      </w:pPr>
      <w:r>
        <w:rPr>
          <w:rFonts w:ascii="Times New Roman" w:hAnsi="Times New Roman" w:eastAsia="Times New Roman" w:cs="Times New Roman"/>
          <w:color w:val="000000"/>
          <w:sz w:val="32"/>
        </w:rPr>
        <w:t> </w:t>
      </w:r>
      <w:r>
        <w:rPr>
          <w:rFonts w:ascii="FangSong_GB2312" w:hAnsi="FangSong_GB2312" w:eastAsia="FangSong_GB2312" w:cs="FangSong_GB2312"/>
          <w:color w:val="000000"/>
          <w:sz w:val="32"/>
        </w:rPr>
        <w:t>中建三局纪委</w:t>
      </w:r>
    </w:p>
    <w:p w14:paraId="21DD9050">
      <w:pPr>
        <w:pBdr>
          <w:top w:val="none" w:color="000000" w:sz="0" w:space="0"/>
          <w:left w:val="none" w:color="000000" w:sz="0" w:space="0"/>
          <w:bottom w:val="none" w:color="000000" w:sz="0" w:space="0"/>
          <w:right w:val="none" w:color="000000" w:sz="0" w:space="0"/>
        </w:pBdr>
        <w:spacing w:line="559" w:lineRule="atLeast"/>
        <w:ind w:left="0" w:right="0" w:firstLine="0"/>
        <w:jc w:val="center"/>
        <w:rPr>
          <w:rFonts w:ascii="FangSong_GB2312" w:hAnsi="FangSong_GB2312" w:eastAsia="FangSong_GB2312" w:cs="FangSong_GB2312"/>
          <w:sz w:val="56"/>
        </w:rPr>
      </w:pPr>
      <w:r>
        <w:rPr>
          <w:rFonts w:ascii="FangSong_GB2312" w:hAnsi="FangSong_GB2312" w:eastAsia="FangSong_GB2312" w:cs="FangSong_GB2312"/>
          <w:color w:val="000000"/>
          <w:sz w:val="32"/>
        </w:rPr>
        <w:t>监督投诉举报二维码“直通车”</w:t>
      </w:r>
    </w:p>
    <w:p w14:paraId="5F6BD0DC">
      <w:pPr>
        <w:pBdr>
          <w:top w:val="none" w:color="000000" w:sz="0" w:space="0"/>
          <w:left w:val="none" w:color="000000" w:sz="0" w:space="0"/>
          <w:bottom w:val="none" w:color="000000" w:sz="0" w:space="0"/>
          <w:right w:val="none" w:color="000000" w:sz="0" w:space="0"/>
        </w:pBdr>
        <w:spacing w:line="559" w:lineRule="atLeast"/>
        <w:ind w:left="0" w:right="0" w:firstLine="643"/>
        <w:jc w:val="both"/>
        <w:rPr>
          <w:rFonts w:ascii="FangSong_GB2312" w:hAnsi="FangSong_GB2312" w:eastAsia="FangSong_GB2312" w:cs="FangSong_GB2312"/>
          <w:sz w:val="56"/>
        </w:rPr>
      </w:pPr>
      <w:r>
        <w:rPr>
          <w:rFonts w:ascii="黑体" w:hAnsi="黑体" w:eastAsia="黑体" w:cs="黑体"/>
          <w:b/>
          <w:color w:val="000000"/>
          <w:sz w:val="32"/>
        </w:rPr>
        <w:t>二、中建三局总承包公司纪委</w:t>
      </w:r>
    </w:p>
    <w:p w14:paraId="0EE57D51">
      <w:pPr>
        <w:pBdr>
          <w:top w:val="none" w:color="000000" w:sz="0" w:space="0"/>
          <w:left w:val="none" w:color="000000" w:sz="0" w:space="0"/>
          <w:bottom w:val="none" w:color="000000" w:sz="0" w:space="0"/>
          <w:right w:val="none" w:color="000000" w:sz="0" w:space="0"/>
        </w:pBdr>
        <w:spacing w:line="559" w:lineRule="atLeast"/>
        <w:ind w:left="0" w:right="0" w:firstLine="640"/>
        <w:jc w:val="both"/>
        <w:rPr>
          <w:rFonts w:ascii="FangSong_GB2312" w:hAnsi="FangSong_GB2312" w:eastAsia="FangSong_GB2312" w:cs="FangSong_GB2312"/>
          <w:sz w:val="56"/>
        </w:rPr>
      </w:pPr>
      <w:r>
        <w:rPr>
          <w:rFonts w:ascii="FangSong_GB2312" w:hAnsi="FangSong_GB2312" w:eastAsia="FangSong_GB2312" w:cs="FangSong_GB2312"/>
          <w:color w:val="000000"/>
          <w:sz w:val="32"/>
        </w:rPr>
        <w:t>监督投诉举报邮箱：zbjwjd@cscec.com</w:t>
      </w:r>
    </w:p>
    <w:p w14:paraId="09D073B8">
      <w:pPr>
        <w:pBdr>
          <w:top w:val="none" w:color="000000" w:sz="0" w:space="0"/>
          <w:left w:val="none" w:color="000000" w:sz="0" w:space="0"/>
          <w:bottom w:val="none" w:color="000000" w:sz="0" w:space="0"/>
          <w:right w:val="none" w:color="000000" w:sz="0" w:space="0"/>
        </w:pBdr>
        <w:spacing w:line="559" w:lineRule="atLeast"/>
        <w:ind w:left="0" w:right="0" w:firstLine="640"/>
        <w:jc w:val="both"/>
        <w:rPr>
          <w:rFonts w:ascii="FangSong_GB2312" w:hAnsi="FangSong_GB2312" w:eastAsia="FangSong_GB2312" w:cs="FangSong_GB2312"/>
          <w:sz w:val="56"/>
        </w:rPr>
      </w:pPr>
      <w:r>
        <w:rPr>
          <w:rFonts w:ascii="FangSong_GB2312" w:hAnsi="FangSong_GB2312" w:eastAsia="FangSong_GB2312" w:cs="FangSong_GB2312"/>
          <w:color w:val="000000"/>
          <w:sz w:val="32"/>
        </w:rPr>
        <w:t>监督投诉举报二维码：</w:t>
      </w:r>
    </w:p>
    <w:p w14:paraId="4722C4BA">
      <w:pPr>
        <w:pBdr>
          <w:top w:val="none" w:color="000000" w:sz="0" w:space="0"/>
          <w:left w:val="none" w:color="000000" w:sz="0" w:space="0"/>
          <w:bottom w:val="none" w:color="000000" w:sz="0" w:space="0"/>
          <w:right w:val="none" w:color="000000" w:sz="0" w:space="0"/>
        </w:pBdr>
        <w:spacing w:line="559" w:lineRule="atLeast"/>
        <w:ind w:left="0" w:right="0" w:firstLine="640"/>
        <w:jc w:val="center"/>
        <w:rPr>
          <w:rFonts w:ascii="FangSong_GB2312" w:hAnsi="FangSong_GB2312" w:eastAsia="FangSong_GB2312" w:cs="FangSong_GB2312"/>
          <w:sz w:val="56"/>
        </w:rPr>
      </w:pPr>
      <w:r>
        <w:drawing>
          <wp:inline distT="0" distB="0" distL="0" distR="0">
            <wp:extent cx="2428875" cy="24288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2428875" cy="2428875"/>
                    </a:xfrm>
                    <a:prstGeom prst="rect">
                      <a:avLst/>
                    </a:prstGeom>
                  </pic:spPr>
                </pic:pic>
              </a:graphicData>
            </a:graphic>
          </wp:inline>
        </w:drawing>
      </w:r>
    </w:p>
    <w:p w14:paraId="3101A45F">
      <w:pPr>
        <w:pBdr>
          <w:top w:val="none" w:color="000000" w:sz="0" w:space="0"/>
          <w:left w:val="none" w:color="000000" w:sz="0" w:space="0"/>
          <w:bottom w:val="none" w:color="000000" w:sz="0" w:space="0"/>
          <w:right w:val="none" w:color="000000" w:sz="0" w:space="0"/>
        </w:pBdr>
        <w:spacing w:line="559" w:lineRule="atLeast"/>
        <w:ind w:left="0" w:right="0" w:firstLine="2560"/>
        <w:jc w:val="both"/>
        <w:rPr>
          <w:rFonts w:ascii="FangSong_GB2312" w:hAnsi="FangSong_GB2312" w:eastAsia="FangSong_GB2312" w:cs="FangSong_GB2312"/>
          <w:sz w:val="56"/>
        </w:rPr>
      </w:pPr>
      <w:r>
        <w:rPr>
          <w:rFonts w:ascii="FangSong_GB2312" w:hAnsi="FangSong_GB2312" w:eastAsia="FangSong_GB2312" w:cs="FangSong_GB2312"/>
          <w:color w:val="000000"/>
          <w:sz w:val="32"/>
        </w:rPr>
        <w:t>中建三局总承包公司纪委</w:t>
      </w:r>
    </w:p>
    <w:p w14:paraId="5B4C6CB0">
      <w:pPr>
        <w:pBdr>
          <w:top w:val="none" w:color="000000" w:sz="0" w:space="0"/>
          <w:left w:val="none" w:color="000000" w:sz="0" w:space="0"/>
          <w:bottom w:val="none" w:color="000000" w:sz="0" w:space="0"/>
          <w:right w:val="none" w:color="000000" w:sz="0" w:space="0"/>
        </w:pBdr>
        <w:spacing w:line="559" w:lineRule="atLeast"/>
        <w:ind w:left="0" w:right="0" w:firstLine="2240"/>
        <w:jc w:val="both"/>
        <w:rPr>
          <w:rFonts w:ascii="FangSong_GB2312" w:hAnsi="FangSong_GB2312" w:eastAsia="FangSong_GB2312" w:cs="FangSong_GB2312"/>
          <w:sz w:val="56"/>
        </w:rPr>
      </w:pPr>
      <w:r>
        <w:rPr>
          <w:rFonts w:ascii="FangSong_GB2312" w:hAnsi="FangSong_GB2312" w:eastAsia="FangSong_GB2312" w:cs="FangSong_GB2312"/>
          <w:color w:val="000000"/>
          <w:sz w:val="32"/>
        </w:rPr>
        <w:t>监督投诉举报二维码“直通车”</w:t>
      </w:r>
    </w:p>
    <w:p w14:paraId="03612E07">
      <w:pPr>
        <w:pBdr>
          <w:top w:val="none" w:color="000000" w:sz="0" w:space="0"/>
          <w:left w:val="none" w:color="000000" w:sz="0" w:space="0"/>
          <w:bottom w:val="none" w:color="000000" w:sz="0" w:space="0"/>
          <w:right w:val="none" w:color="000000" w:sz="0" w:space="0"/>
        </w:pBdr>
        <w:spacing w:line="559" w:lineRule="atLeast"/>
        <w:ind w:left="0" w:right="0" w:firstLine="0"/>
        <w:jc w:val="both"/>
        <w:rPr>
          <w:rFonts w:ascii="FangSong_GB2312" w:hAnsi="FangSong_GB2312" w:eastAsia="FangSong_GB2312" w:cs="FangSong_GB2312"/>
          <w:sz w:val="56"/>
        </w:rPr>
      </w:pPr>
      <w:r>
        <w:rPr>
          <w:rFonts w:ascii="FangSong_GB2312" w:hAnsi="FangSong_GB2312" w:eastAsia="FangSong_GB2312" w:cs="FangSong_GB2312"/>
          <w:color w:val="000000"/>
          <w:sz w:val="32"/>
        </w:rPr>
        <w:t> </w:t>
      </w:r>
      <w:r>
        <w:rPr>
          <w:rFonts w:ascii="黑体" w:hAnsi="黑体" w:eastAsia="黑体" w:cs="黑体"/>
          <w:b/>
          <w:color w:val="000000"/>
          <w:sz w:val="32"/>
        </w:rPr>
        <w:t>三、受理的监督投诉举报内容</w:t>
      </w:r>
    </w:p>
    <w:p w14:paraId="75C2ED23">
      <w:pPr>
        <w:pBdr>
          <w:top w:val="none" w:color="000000" w:sz="0" w:space="0"/>
          <w:left w:val="none" w:color="000000" w:sz="0" w:space="0"/>
          <w:bottom w:val="none" w:color="000000" w:sz="0" w:space="0"/>
          <w:right w:val="none" w:color="000000" w:sz="0" w:space="0"/>
        </w:pBdr>
        <w:spacing w:line="559" w:lineRule="atLeast"/>
        <w:ind w:left="0" w:right="0" w:firstLine="640"/>
        <w:jc w:val="both"/>
        <w:rPr>
          <w:rFonts w:ascii="FangSong_GB2312" w:hAnsi="FangSong_GB2312" w:eastAsia="FangSong_GB2312" w:cs="FangSong_GB2312"/>
          <w:sz w:val="56"/>
        </w:rPr>
      </w:pPr>
      <w:r>
        <w:rPr>
          <w:rFonts w:ascii="FangSong_GB2312" w:hAnsi="FangSong_GB2312" w:eastAsia="FangSong_GB2312" w:cs="FangSong_GB2312"/>
          <w:color w:val="000000"/>
          <w:sz w:val="32"/>
        </w:rPr>
        <w:t>1.中建三局总承包公司员工违规违纪违法行为；</w:t>
      </w:r>
    </w:p>
    <w:p w14:paraId="6EF05E21">
      <w:pPr>
        <w:pBdr>
          <w:top w:val="none" w:color="000000" w:sz="0" w:space="0"/>
          <w:left w:val="none" w:color="000000" w:sz="0" w:space="0"/>
          <w:bottom w:val="none" w:color="000000" w:sz="0" w:space="0"/>
          <w:right w:val="none" w:color="000000" w:sz="0" w:space="0"/>
        </w:pBdr>
        <w:spacing w:line="559" w:lineRule="atLeast"/>
        <w:ind w:left="0" w:right="0" w:firstLine="640"/>
        <w:jc w:val="both"/>
        <w:rPr>
          <w:rFonts w:ascii="FangSong_GB2312" w:hAnsi="FangSong_GB2312" w:eastAsia="FangSong_GB2312" w:cs="FangSong_GB2312"/>
          <w:sz w:val="56"/>
        </w:rPr>
      </w:pPr>
      <w:r>
        <w:rPr>
          <w:rFonts w:ascii="FangSong_GB2312" w:hAnsi="FangSong_GB2312" w:eastAsia="FangSong_GB2312" w:cs="FangSong_GB2312"/>
          <w:color w:val="000000"/>
          <w:sz w:val="32"/>
        </w:rPr>
        <w:t>2.其他诉求、意见和建议。</w:t>
      </w:r>
    </w:p>
    <w:p w14:paraId="41C7E5FE">
      <w:pPr>
        <w:pBdr>
          <w:top w:val="none" w:color="000000" w:sz="0" w:space="0"/>
          <w:left w:val="none" w:color="000000" w:sz="0" w:space="0"/>
          <w:bottom w:val="none" w:color="000000" w:sz="0" w:space="0"/>
          <w:right w:val="none" w:color="000000" w:sz="0" w:space="0"/>
        </w:pBdr>
        <w:spacing w:line="559" w:lineRule="atLeast"/>
        <w:ind w:left="0" w:right="0" w:firstLine="0"/>
        <w:jc w:val="center"/>
        <w:rPr>
          <w:rFonts w:ascii="FangSong_GB2312" w:hAnsi="FangSong_GB2312" w:eastAsia="FangSong_GB2312" w:cs="FangSong_GB2312"/>
          <w:sz w:val="56"/>
        </w:rPr>
      </w:pPr>
      <w:r>
        <w:rPr>
          <w:rFonts w:ascii="FangSong_GB2312" w:hAnsi="FangSong_GB2312" w:eastAsia="FangSong_GB2312" w:cs="FangSong_GB2312"/>
          <w:color w:val="000000"/>
          <w:sz w:val="32"/>
        </w:rPr>
        <w:t> </w:t>
      </w:r>
    </w:p>
    <w:p w14:paraId="6D37D1D7">
      <w:pPr>
        <w:pBdr>
          <w:top w:val="none" w:color="000000" w:sz="0" w:space="0"/>
          <w:left w:val="none" w:color="000000" w:sz="0" w:space="0"/>
          <w:bottom w:val="none" w:color="000000" w:sz="0" w:space="0"/>
          <w:right w:val="none" w:color="000000" w:sz="0" w:space="0"/>
        </w:pBdr>
        <w:spacing w:line="559" w:lineRule="atLeast"/>
        <w:ind w:left="0" w:right="0" w:firstLine="0"/>
        <w:jc w:val="center"/>
        <w:rPr>
          <w:rFonts w:ascii="FangSong_GB2312" w:hAnsi="FangSong_GB2312" w:eastAsia="FangSong_GB2312" w:cs="FangSong_GB2312"/>
          <w:sz w:val="56"/>
        </w:rPr>
      </w:pPr>
      <w:r>
        <w:rPr>
          <w:rFonts w:ascii="FangSong_GB2312" w:hAnsi="FangSong_GB2312" w:eastAsia="FangSong_GB2312" w:cs="FangSong_GB2312"/>
          <w:color w:val="000000"/>
          <w:sz w:val="32"/>
        </w:rPr>
        <w:t>  </w:t>
      </w:r>
    </w:p>
    <w:p w14:paraId="6887C9B8">
      <w:pPr>
        <w:pBdr>
          <w:top w:val="none" w:color="000000" w:sz="0" w:space="0"/>
          <w:left w:val="none" w:color="000000" w:sz="0" w:space="0"/>
          <w:bottom w:val="none" w:color="000000" w:sz="0" w:space="0"/>
          <w:right w:val="none" w:color="000000" w:sz="0" w:space="0"/>
        </w:pBdr>
        <w:spacing w:line="559" w:lineRule="atLeast"/>
        <w:ind w:left="0" w:right="0" w:firstLine="0"/>
        <w:jc w:val="center"/>
        <w:rPr>
          <w:rFonts w:ascii="FangSong_GB2312" w:hAnsi="FangSong_GB2312" w:eastAsia="FangSong_GB2312" w:cs="FangSong_GB2312"/>
          <w:sz w:val="56"/>
        </w:rPr>
      </w:pPr>
      <w:r>
        <w:rPr>
          <w:rFonts w:ascii="FangSong_GB2312" w:hAnsi="FangSong_GB2312" w:eastAsia="FangSong_GB2312" w:cs="FangSong_GB2312"/>
          <w:color w:val="000000"/>
          <w:sz w:val="32"/>
        </w:rPr>
        <w:t>                         中共中建三局总承包公司纪委</w:t>
      </w:r>
    </w:p>
    <w:p w14:paraId="235C7A74">
      <w:pPr>
        <w:pBdr>
          <w:top w:val="none" w:color="000000" w:sz="0" w:space="0"/>
          <w:left w:val="none" w:color="000000" w:sz="0" w:space="0"/>
          <w:bottom w:val="none" w:color="000000" w:sz="0" w:space="0"/>
          <w:right w:val="none" w:color="000000" w:sz="0" w:space="0"/>
        </w:pBdr>
        <w:spacing w:line="559" w:lineRule="atLeast"/>
        <w:ind w:left="0" w:right="0" w:firstLine="0"/>
        <w:jc w:val="center"/>
        <w:rPr>
          <w:rFonts w:ascii="FangSong_GB2312" w:hAnsi="FangSong_GB2312" w:eastAsia="FangSong_GB2312" w:cs="FangSong_GB2312"/>
          <w:sz w:val="56"/>
        </w:rPr>
      </w:pPr>
      <w:r>
        <w:rPr>
          <w:rFonts w:ascii="FangSong_GB2312" w:hAnsi="FangSong_GB2312" w:eastAsia="FangSong_GB2312" w:cs="FangSong_GB2312"/>
          <w:color w:val="000000"/>
          <w:sz w:val="32"/>
        </w:rPr>
        <w:t>                           2025年1月16日</w:t>
      </w:r>
    </w:p>
    <w:p w14:paraId="4D5B68EB">
      <w:pPr>
        <w:rPr>
          <w:rFonts w:hint="default" w:ascii="仿宋_GB2312" w:eastAsia="仿宋_GB2312" w:hAnsiTheme="minorEastAsia" w:cstheme="minorEastAsia"/>
          <w:sz w:val="32"/>
          <w:szCs w:val="32"/>
          <w:highlight w:val="none"/>
          <w:u w:val="single"/>
          <w:lang w:val="en-US" w:eastAsia="zh-CN"/>
        </w:rPr>
      </w:pPr>
    </w:p>
    <w:sectPr>
      <w:pgSz w:w="11906" w:h="16838"/>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auto"/>
    <w:pitch w:val="default"/>
    <w:sig w:usb0="E4002EFF" w:usb1="C000247B" w:usb2="00000009" w:usb3="00000000" w:csb0="200001FF" w:csb1="00000000"/>
  </w:font>
  <w:font w:name="??_GB2312">
    <w:altName w:val="Segoe Print"/>
    <w:panose1 w:val="020B0604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Arial Black">
    <w:panose1 w:val="020B0A04020102020204"/>
    <w:charset w:val="00"/>
    <w:family w:val="auto"/>
    <w:pitch w:val="default"/>
    <w:sig w:usb0="A00002AF" w:usb1="400078FB" w:usb2="00000000" w:usb3="00000000" w:csb0="6000009F" w:csb1="DFD70000"/>
  </w:font>
  <w:font w:name="楷体_GB2312">
    <w:altName w:val="楷体"/>
    <w:panose1 w:val="02010609030101010101"/>
    <w:charset w:val="00"/>
    <w:family w:val="auto"/>
    <w:pitch w:val="default"/>
    <w:sig w:usb0="00000000" w:usb1="00000000" w:usb2="00000000" w:usb3="00000000" w:csb0="00000000" w:csb1="00000000"/>
  </w:font>
  <w:font w:name="FangSong_GB2312">
    <w:altName w:val="仿宋_GB2312"/>
    <w:panose1 w:val="02010609030101010101"/>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33A47">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B84FE">
    <w:pPr>
      <w:pStyle w:val="27"/>
    </w:pPr>
    <w:r>
      <mc:AlternateContent>
        <mc:Choice Requires="wps">
          <w:drawing>
            <wp:anchor distT="0" distB="0" distL="114300" distR="114300" simplePos="0" relativeHeight="251659264" behindDoc="0" locked="0" layoutInCell="1" allowOverlap="1">
              <wp:simplePos x="0" y="0"/>
              <wp:positionH relativeFrom="margin">
                <wp:posOffset>2597150</wp:posOffset>
              </wp:positionH>
              <wp:positionV relativeFrom="paragraph">
                <wp:posOffset>2540</wp:posOffset>
              </wp:positionV>
              <wp:extent cx="438150" cy="146050"/>
              <wp:effectExtent l="0" t="0" r="0" b="6350"/>
              <wp:wrapNone/>
              <wp:docPr id="4" name="文本框 3"/>
              <wp:cNvGraphicFramePr/>
              <a:graphic xmlns:a="http://schemas.openxmlformats.org/drawingml/2006/main">
                <a:graphicData uri="http://schemas.microsoft.com/office/word/2010/wordprocessingShape">
                  <wps:wsp>
                    <wps:cNvSpPr txBox="1"/>
                    <wps:spPr bwMode="auto">
                      <a:xfrm>
                        <a:off x="0" y="0"/>
                        <a:ext cx="438149"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0003D">
                          <w:pPr>
                            <w:pStyle w:val="2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94</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文本框 3" o:spid="_x0000_s1026" o:spt="202" type="#_x0000_t202" style="position:absolute;left:0pt;margin-left:204.5pt;margin-top:0.2pt;height:11.5pt;width:34.5pt;mso-position-horizontal-relative:margin;z-index:251659264;mso-width-relative:page;mso-height-relative:page;" filled="f" stroked="f" coordsize="21600,21600" o:gfxdata="UEsDBAoAAAAAAIdO4kAAAAAAAAAAAAAAAAAEAAAAZHJzL1BLAwQUAAAACACHTuJAlDRmYtYAAAAH&#10;AQAADwAAAGRycy9kb3ducmV2LnhtbE2PS0/DMBCE70j8B2uRuFE7JYI2xOmBx41nKRLcnNgkEfY6&#10;ijdp+fcsJ7jNaFYz35abQ/BidmPqI2rIFgqEwybaHlsNu9e7sxWIRAat8RGdhm+XYFMdH5WmsHGP&#10;L27eUiu4BFNhNHREQyFlajoXTFrEwSFnn3EMhtiOrbSj2XN58HKp1IUMpkde6MzgrjvXfG2noMG/&#10;p/G+VvQx37QP9Pwkp7fb7FHr05NMXYEgd6C/Y/jFZ3SomKmOE9okvIZcrfkXYgGC4/xyxbbWsDzP&#10;QVal/M9f/QBQSwMEFAAAAAgAh07iQB+2arsvAgAASQQAAA4AAABkcnMvZTJvRG9jLnhtbK1UzW7U&#10;MBC+I/EOlu9sdtulKlGz1dJqEdJCKxXE2es4m0i2x9jeJssDwBtw4sKd5+pz8MXZFCgceuBiTeb/&#10;+2YmZ+ed0exW+dCQLfhsMuVMWUllY7cFf/9u9eyUsxCFLYUmqwq+V4GfL54+OWtdro6oJl0qz5DE&#10;hrx1Ba9jdHmWBVkrI8KEnLIwVuSNiPj026z0okV2o7Oj6fQka8mXzpNUIUB7ORj5IaN/TEKqqkaq&#10;S5I7o2wcsnqlRQSkUDcu8EXqtqqUjFdVFVRkuuBAGtOLIpA3/ZstzkS+9cLVjTy0IB7TwgNMRjQW&#10;Re9TXYoo2M43f6UyjfQUqIoTSSYbgCRGgGI2fcDNTS2cSlhAdXD3pIf/l1a+vb32rCkLPufMCoOB&#10;3339cvftx933z+y4p6d1IYfXjYNf7F5Sh6UZ9aFXbto3VCJO7CIlDrrKm54LoGPwBtX7e6pVF5mE&#10;cn58Opu/4EzCNJufTJ+nUWQiH4OdD/GVIsN6oeAek0zJxe06RLQF19Glr2Vp1Widpqktawt+coyU&#10;f1gQoS0Ce0B94wO02G26A8oNlXvg8TRsSXBy1aD4WoR4LTzWAkhwOPEKT6UJReggcVaT//Qvfe+P&#10;acHKWYs1K3j4uBNecaZfW8yx38lR8KOwGQW7MxeEzZ3hJJ1MIgJ81KNYeTIfcE/LvgpMwkrUKngc&#10;xYs4LDvuUarlMjlh85yIa3vj5GGWiRNsWKL1cA39Cv/+nZj79QdY/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UNGZi1gAAAAcBAAAPAAAAAAAAAAEAIAAAACIAAABkcnMvZG93bnJldi54bWxQSwEC&#10;FAAUAAAACACHTuJAH7Zquy8CAABJBAAADgAAAAAAAAABACAAAAAlAQAAZHJzL2Uyb0RvYy54bWxQ&#10;SwUGAAAAAAYABgBZAQAAxgUAAAAA&#10;">
              <v:fill on="f" focussize="0,0"/>
              <v:stroke on="f" weight="0.5pt"/>
              <v:imagedata o:title=""/>
              <o:lock v:ext="edit" aspectratio="f"/>
              <v:textbox inset="0mm,0mm,0mm,0mm">
                <w:txbxContent>
                  <w:p w14:paraId="57A0003D">
                    <w:pPr>
                      <w:pStyle w:val="2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94</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E0FF9">
    <w:pPr>
      <w:pStyle w:val="28"/>
      <w:pBdr>
        <w:top w:val="none" w:color="000000" w:sz="0" w:space="0"/>
      </w:pBdr>
      <w:ind w:left="63" w:right="63"/>
    </w:pPr>
    <w:r>
      <w:rPr>
        <w:rFonts w:hint="eastAsia" w:ascii="Times New Roman" w:hAnsi="Times New Roman" w:eastAsia="楷体_GB2312"/>
        <w:b/>
        <w:color w:val="000000"/>
        <w:sz w:val="21"/>
        <w:szCs w:val="21"/>
      </w:rPr>
      <w:drawing>
        <wp:anchor distT="0" distB="0" distL="114300" distR="114300" simplePos="0" relativeHeight="251662336"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1"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图片1"/>
                  <pic:cNvPicPr>
                    <a:picLocks noChangeAspect="1"/>
                  </pic:cNvPicPr>
                </pic:nvPicPr>
                <pic:blipFill>
                  <a:blip r:embed="rId1">
                    <a:clrChange>
                      <a:clrFrom>
                        <a:srgbClr val="FEFEFE">
                          <a:alpha val="99608"/>
                        </a:srgbClr>
                      </a:clrFrom>
                      <a:clrTo>
                        <a:srgbClr val="FEFEFE">
                          <a:alpha val="99608"/>
                          <a:alpha val="0"/>
                        </a:srgbClr>
                      </a:clrTo>
                    </a:clrChange>
                    <a:lum contrast="18000"/>
                  </a:blip>
                  <a:srcRect t="72632"/>
                  <a:stretch>
                    <a:fillRect/>
                  </a:stretch>
                </pic:blipFill>
                <pic:spPr>
                  <a:xfrm>
                    <a:off x="0" y="0"/>
                    <a:ext cx="377189" cy="144145"/>
                  </a:xfrm>
                  <a:prstGeom prst="rect">
                    <a:avLst/>
                  </a:prstGeom>
                </pic:spPr>
              </pic:pic>
            </a:graphicData>
          </a:graphic>
        </wp:anchor>
      </w:drawing>
    </w:r>
    <w:r>
      <w:rPr>
        <w:rFonts w:hint="eastAsia"/>
      </w:rPr>
      <w:t xml:space="preserve">                                                                                  </w:t>
    </w:r>
    <w:r>
      <w:rPr>
        <w:rFonts w:hint="eastAsia" w:asciiTheme="majorEastAsia" w:hAnsiTheme="majorEastAsia" w:eastAsiaTheme="majorEastAsia" w:cstheme="majorEastAsia"/>
        <w:b/>
        <w:color w:val="000000"/>
        <w:sz w:val="21"/>
        <w:szCs w:val="21"/>
      </w:rPr>
      <w:t>CSCEC</w:t>
    </w:r>
  </w:p>
  <w:p w14:paraId="55118B11">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0F40">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margin">
                <wp:align>center</wp:align>
              </wp:positionV>
              <wp:extent cx="6191250" cy="1267460"/>
              <wp:effectExtent l="0" t="0" r="0" b="0"/>
              <wp:wrapNone/>
              <wp:docPr id="2" name="_x0000_s2049"/>
              <wp:cNvGraphicFramePr/>
              <a:graphic xmlns:a="http://schemas.openxmlformats.org/drawingml/2006/main">
                <a:graphicData uri="http://schemas.microsoft.com/office/word/2010/wordprocessingShape">
                  <wps:wsp>
                    <wps:cNvSpPr/>
                    <wps:spPr bwMode="auto">
                      <a:xfrm rot="18900000">
                        <a:off x="0" y="0"/>
                        <a:ext cx="6191250" cy="1267460"/>
                      </a:xfrm>
                      <a:prstGeom prst="rect">
                        <a:avLst/>
                      </a:prstGeom>
                      <a:noFill/>
                      <a:ln>
                        <a:noFill/>
                      </a:ln>
                    </wps:spPr>
                    <wps:txbx>
                      <w:txbxContent>
                        <w:p w14:paraId="344D6C1B">
                          <w:pPr>
                            <w:jc w:val="center"/>
                            <w:rPr>
                              <w:rFonts w:ascii="Calibri" w:hAnsi="Calibri"/>
                              <w:color w:val="C0C0C0"/>
                              <w:sz w:val="72"/>
                              <w:szCs w:val="72"/>
                              <w14:textOutline w14:w="12700">
                                <w14:solidFill>
                                  <w14:srgbClr w14:val="000000"/>
                                </w14:solidFill>
                                <w14:bevel/>
                              </w14:textOutline>
                              <w14:textFill>
                                <w14:solidFill>
                                  <w14:srgbClr w14:val="C0C0C0">
                                    <w14:alpha w14:val="49803"/>
                                  </w14:srgbClr>
                                </w14:solidFill>
                              </w14:textFill>
                            </w:rPr>
                          </w:pPr>
                          <w:r>
                            <w:rPr>
                              <w:rFonts w:ascii="Calibri" w:hAnsi="Calibri"/>
                              <w:color w:val="C0C0C0"/>
                              <w:sz w:val="72"/>
                              <w:szCs w:val="72"/>
                              <w14:textOutline w14:w="12700">
                                <w14:solidFill>
                                  <w14:srgbClr w14:val="000000"/>
                                </w14:solidFill>
                                <w14:bevel/>
                              </w14:textOutline>
                              <w14:textFill>
                                <w14:solidFill>
                                  <w14:srgbClr w14:val="C0C0C0">
                                    <w14:alpha w14:val="49803"/>
                                  </w14:srgbClr>
                                </w14:solidFill>
                              </w14:textFill>
                            </w:rPr>
                            <w:t>安娜 20030711</w:t>
                          </w:r>
                        </w:p>
                      </w:txbxContent>
                    </wps:txbx>
                    <wps:bodyPr wrap="square" lIns="0" tIns="0" rIns="0" bIns="0" fromWordArt="1">
                      <a:prstTxWarp prst="textPlain">
                        <a:avLst>
                          <a:gd name="adj" fmla="val 50000"/>
                        </a:avLst>
                      </a:prstTxWarp>
                      <a:normAutofit/>
                    </wps:bodyPr>
                  </wps:wsp>
                </a:graphicData>
              </a:graphic>
            </wp:anchor>
          </w:drawing>
        </mc:Choice>
        <mc:Fallback>
          <w:pict>
            <v:shape id="_x0000_s2049" o:spid="_x0000_s1026" o:spt="136" type="#_x0000_t136" style="position:absolute;left:0pt;height:99.8pt;width:487.5pt;mso-position-horizontal:center;mso-position-horizontal-relative:margin;mso-position-vertical:center;mso-position-vertical-relative:margin;rotation:-2949120f;z-index:251661312;mso-width-relative:page;mso-height-relative:page;" filled="f" stroked="f" coordsize="21600,21600" o:gfxdata="UEsDBAoAAAAAAIdO4kAAAAAAAAAAAAAAAAAEAAAAZHJzL1BLAwQUAAAACACHTuJASAgl59IAAAAF&#10;AQAADwAAAGRycy9kb3ducmV2LnhtbE2PQUvEMBCF74L/IYzgzU1WcGtr0wVFj4quHvSWNmNTbCah&#10;Sbfrv3f04l4GHu/x5nv19uBHsccpDYE0rFcKBFIX7EC9hrfXh4trECkbsmYMhBq+McG2OT2pTWXD&#10;Qi+43+VecAmlymhwOcdKytQ59CatQkRi7zNM3mSWUy/tZBYu96O8VGojvRmIPzgT8c5h97WbvYb4&#10;VLii9PNy+3Ef39Ep+9ymR63Pz9bqBkTGQ/4Pwy8+o0PDTG2YySYxauAh+e+yVxZXLFsOleUGZFPL&#10;Y/rmB1BLAwQUAAAACACHTuJAeByCLQICAAAZBAAADgAAAGRycy9lMm9Eb2MueG1srZPLbtswEEX3&#10;BfoPBPe1HkjcWLAcBDBSFOjDQBJkGdAUaangq0Pakv++Q0py23STRbUQhsPB1Zw7o/XtoBU5CfCd&#10;NTUtFjklwnDbdOZQ06fH+w83lPjATMOUNaKmZ+Hp7eb9u3XvKlHa1qpGAEER46ve1bQNwVVZ5nkr&#10;NPML64TBS2lBs4BHOGQNsB7VtcrKPF9mvYXGgeXCe8xux0s6KcJbBK2UHRdby49amDCqglAsIJJv&#10;O+fpJnUrpeDhu5ReBKJqiqQhvfEjGO/jO9usWXUA5tqOTy2wt7TwikmzzuBHL1JbFhg5QvePlO44&#10;WG9lWHCrsxEkOYIURf7Km4eWOZFY0GrvLqb7/yfLv512QLqmpiUlhmkc+MuQ4/Piy/xqFf3pna+w&#10;7MHtYDp5DMm+/2obLGfHYBP6IEETsGhxcbOKEnlKIyMZkuHni+FiCIRjclmsivIaZ8HxriiXH6+W&#10;aSQZq6JaNNSBD5+E1SQGNQWcaJJlpy8+YD9YOpfEcmPvO6XSVJX5K4GFMZNFnAgwgoVhP0xUe9uc&#10;kavHZaip/3lkIChRnw26HTdnDmAO9nMgwepnXOo7iOypu9jS4/DMwE19B0TeqXlLUvNpXZrJdNb8&#10;oERqhct3YopcJ/tGvKl4Ah1VRzLQd2i+7JIPkWtEmCBxY5I903bHlfzznKp+/9G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gIJefSAAAABQEAAA8AAAAAAAAAAQAgAAAAIgAAAGRycy9kb3ducmV2&#10;LnhtbFBLAQIUABQAAAAIAIdO4kB4HIItAgIAABkEAAAOAAAAAAAAAAEAIAAAACEBAABkcnMvZTJv&#10;RG9jLnhtbFBLBQYAAAAABgAGAFkBAACVBQAAAAA=&#10;" adj="10800">
              <v:fill on="f" focussize="0,0"/>
              <v:stroke on="f"/>
              <v:imagedata o:title=""/>
              <o:lock v:ext="edit" aspectratio="f"/>
              <v:textpath on="f" fitpath="t" trim="t" xscale="f" string="" style="font-size:36pt;v-text-align:center;"/>
              <v:textbox inset="0mm,0mm,0mm,0mm">
                <w:txbxContent>
                  <w:p w14:paraId="344D6C1B">
                    <w:pPr>
                      <w:jc w:val="center"/>
                      <w:rPr>
                        <w:rFonts w:ascii="Calibri" w:hAnsi="Calibri"/>
                        <w:color w:val="C0C0C0"/>
                        <w:sz w:val="72"/>
                        <w:szCs w:val="72"/>
                        <w14:textOutline w14:w="12700">
                          <w14:solidFill>
                            <w14:srgbClr w14:val="000000"/>
                          </w14:solidFill>
                          <w14:bevel/>
                        </w14:textOutline>
                        <w14:textFill>
                          <w14:solidFill>
                            <w14:srgbClr w14:val="C0C0C0">
                              <w14:alpha w14:val="49803"/>
                            </w14:srgbClr>
                          </w14:solidFill>
                        </w14:textFill>
                      </w:rPr>
                    </w:pPr>
                    <w:r>
                      <w:rPr>
                        <w:rFonts w:ascii="Calibri" w:hAnsi="Calibri"/>
                        <w:color w:val="C0C0C0"/>
                        <w:sz w:val="72"/>
                        <w:szCs w:val="72"/>
                        <w14:textOutline w14:w="12700">
                          <w14:solidFill>
                            <w14:srgbClr w14:val="000000"/>
                          </w14:solidFill>
                          <w14:bevel/>
                        </w14:textOutline>
                        <w14:textFill>
                          <w14:solidFill>
                            <w14:srgbClr w14:val="C0C0C0">
                              <w14:alpha w14:val="49803"/>
                            </w14:srgbClr>
                          </w14:solidFill>
                        </w14:textFill>
                      </w:rPr>
                      <w:t>安娜 20030711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B0E3">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align>center</wp:align>
              </wp:positionV>
              <wp:extent cx="6191250" cy="1267460"/>
              <wp:effectExtent l="0" t="0" r="0" b="0"/>
              <wp:wrapNone/>
              <wp:docPr id="3" name="PowerPlusWaterMarkObject100012"/>
              <wp:cNvGraphicFramePr/>
              <a:graphic xmlns:a="http://schemas.openxmlformats.org/drawingml/2006/main">
                <a:graphicData uri="http://schemas.microsoft.com/office/word/2010/wordprocessingShape">
                  <wps:wsp>
                    <wps:cNvSpPr/>
                    <wps:spPr bwMode="auto">
                      <a:xfrm rot="18900000">
                        <a:off x="0" y="0"/>
                        <a:ext cx="6191250" cy="1267460"/>
                      </a:xfrm>
                      <a:prstGeom prst="rect">
                        <a:avLst/>
                      </a:prstGeom>
                      <a:noFill/>
                      <a:ln>
                        <a:noFill/>
                      </a:ln>
                    </wps:spPr>
                    <wps:txbx>
                      <w:txbxContent>
                        <w:p w14:paraId="0BE7F344">
                          <w:pPr>
                            <w:jc w:val="center"/>
                            <w:rPr>
                              <w:rFonts w:ascii="Calibri" w:hAnsi="Calibri"/>
                              <w:color w:val="C0C0C0"/>
                              <w:sz w:val="72"/>
                              <w:szCs w:val="72"/>
                              <w14:textOutline w14:w="12700">
                                <w14:solidFill>
                                  <w14:srgbClr w14:val="000000"/>
                                </w14:solidFill>
                                <w14:bevel/>
                              </w14:textOutline>
                              <w14:textFill>
                                <w14:solidFill>
                                  <w14:srgbClr w14:val="C0C0C0">
                                    <w14:alpha w14:val="49803"/>
                                  </w14:srgbClr>
                                </w14:solidFill>
                              </w14:textFill>
                            </w:rPr>
                          </w:pPr>
                          <w:r>
                            <w:rPr>
                              <w:rFonts w:ascii="Calibri" w:hAnsi="Calibri"/>
                              <w:color w:val="C0C0C0"/>
                              <w:sz w:val="72"/>
                              <w:szCs w:val="72"/>
                              <w14:textOutline w14:w="12700">
                                <w14:solidFill>
                                  <w14:srgbClr w14:val="000000"/>
                                </w14:solidFill>
                                <w14:bevel/>
                              </w14:textOutline>
                              <w14:textFill>
                                <w14:solidFill>
                                  <w14:srgbClr w14:val="C0C0C0">
                                    <w14:alpha w14:val="49803"/>
                                  </w14:srgbClr>
                                </w14:solidFill>
                              </w14:textFill>
                            </w:rPr>
                            <w:t>安娜 20030711</w:t>
                          </w:r>
                        </w:p>
                      </w:txbxContent>
                    </wps:txbx>
                    <wps:bodyPr wrap="square" lIns="0" tIns="0" rIns="0" bIns="0" fromWordArt="1">
                      <a:prstTxWarp prst="textPlain">
                        <a:avLst>
                          <a:gd name="adj" fmla="val 50000"/>
                        </a:avLst>
                      </a:prstTxWarp>
                      <a:normAutofit/>
                    </wps:bodyPr>
                  </wps:wsp>
                </a:graphicData>
              </a:graphic>
            </wp:anchor>
          </w:drawing>
        </mc:Choice>
        <mc:Fallback>
          <w:pict>
            <v:shape id="PowerPlusWaterMarkObject100012" o:spid="_x0000_s1026" o:spt="136" type="#_x0000_t136" style="position:absolute;left:0pt;height:99.8pt;width:487.5pt;mso-position-horizontal:center;mso-position-horizontal-relative:margin;mso-position-vertical:center;mso-position-vertical-relative:margin;rotation:-2949120f;z-index:251660288;mso-width-relative:page;mso-height-relative:page;" filled="f" stroked="f" coordsize="21600,21600" o:gfxdata="UEsDBAoAAAAAAIdO4kAAAAAAAAAAAAAAAAAEAAAAZHJzL1BLAwQUAAAACACHTuJASAgl59IAAAAF&#10;AQAADwAAAGRycy9kb3ducmV2LnhtbE2PQUvEMBCF74L/IYzgzU1WcGtr0wVFj4quHvSWNmNTbCah&#10;Sbfrv3f04l4GHu/x5nv19uBHsccpDYE0rFcKBFIX7EC9hrfXh4trECkbsmYMhBq+McG2OT2pTWXD&#10;Qi+43+VecAmlymhwOcdKytQ59CatQkRi7zNM3mSWUy/tZBYu96O8VGojvRmIPzgT8c5h97WbvYb4&#10;VLii9PNy+3Ef39Ep+9ymR63Pz9bqBkTGQ/4Pwy8+o0PDTG2YySYxauAh+e+yVxZXLFsOleUGZFPL&#10;Y/rmB1BLAwQUAAAACACHTuJA5JNLkBECAAArBAAADgAAAGRycy9lMm9Eb2MueG1srZNNb9swDIbv&#10;A/YfBN0X29matUacokDQYcC6BmiHnGVZit3qa5QSO/9+lOykW3fpoReDoujXfF7Sy+tBK3IQ4Dtr&#10;KlrMckqE4bbpzK6ivx5vP11S4gMzDVPWiIoehafXq48flr0rxdy2VjUCCIoYX/auom0Irswyz1uh&#10;mZ9ZJwxeSguaBTzCLmuA9aiuVTbP80XWW2gcWC68x+x6vKSTIrxF0ErZcbG2fK+FCaMqCMUCIvm2&#10;c56uUrdSCh7upfQiEFVRJA3piR/BuI7PbLVk5Q6Yazs+tcDe0sIrJs06gx89S61ZYGQP3X9SuuNg&#10;vZVhxq3ORpDkCFIU+StvHlrmRGJBq707m+7fT5b/PGyAdE1FP1NimMaBb2wvYKP2fsuCgDsGz/f1&#10;ExpZ5HlezKNjvfMlvvjgNjCdPIak7u9sgwJsH2wyY5CgCVg0vbi8wrfzPKWRmgxpBMfzCMQQCMfk&#10;orgq5hc4HY53xXzx9csiDSljZVSLFjvw4ZuwmsSgooCtJVl2+OED9oOlp5JYbuxtp1SaszL/JLAw&#10;ZrKIEwFGsDDUw0RV2+aIXD2uR0X97z0DQYn6btD/uEunAE5BfQokWL3FNb+ByJ66iy09DlsGbuo7&#10;IPJGnfYmNZ8WqJnGwJonSqRWuI4HpshFsm/Em4on0FF1JAN9g+bLLvkQuUaECRJ3KNkz7Xtc0r/P&#10;qerlH1/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gIJefSAAAABQEAAA8AAAAAAAAAAQAgAAAA&#10;IgAAAGRycy9kb3ducmV2LnhtbFBLAQIUABQAAAAIAIdO4kDkk0uQEQIAACsEAAAOAAAAAAAAAAEA&#10;IAAAACEBAABkcnMvZTJvRG9jLnhtbFBLBQYAAAAABgAGAFkBAACkBQAAAAA=&#10;" adj="10800">
              <v:fill on="f" focussize="0,0"/>
              <v:stroke on="f"/>
              <v:imagedata o:title=""/>
              <o:lock v:ext="edit" aspectratio="f"/>
              <v:textpath on="f" fitpath="t" trim="t" xscale="f" string="" style="font-size:36pt;v-text-align:center;"/>
              <v:textbox inset="0mm,0mm,0mm,0mm">
                <w:txbxContent>
                  <w:p w14:paraId="0BE7F344">
                    <w:pPr>
                      <w:jc w:val="center"/>
                      <w:rPr>
                        <w:rFonts w:ascii="Calibri" w:hAnsi="Calibri"/>
                        <w:color w:val="C0C0C0"/>
                        <w:sz w:val="72"/>
                        <w:szCs w:val="72"/>
                        <w14:textOutline w14:w="12700">
                          <w14:solidFill>
                            <w14:srgbClr w14:val="000000"/>
                          </w14:solidFill>
                          <w14:bevel/>
                        </w14:textOutline>
                        <w14:textFill>
                          <w14:solidFill>
                            <w14:srgbClr w14:val="C0C0C0">
                              <w14:alpha w14:val="49803"/>
                            </w14:srgbClr>
                          </w14:solidFill>
                        </w14:textFill>
                      </w:rPr>
                    </w:pPr>
                    <w:r>
                      <w:rPr>
                        <w:rFonts w:ascii="Calibri" w:hAnsi="Calibri"/>
                        <w:color w:val="C0C0C0"/>
                        <w:sz w:val="72"/>
                        <w:szCs w:val="72"/>
                        <w14:textOutline w14:w="12700">
                          <w14:solidFill>
                            <w14:srgbClr w14:val="000000"/>
                          </w14:solidFill>
                          <w14:bevel/>
                        </w14:textOutline>
                        <w14:textFill>
                          <w14:solidFill>
                            <w14:srgbClr w14:val="C0C0C0">
                              <w14:alpha w14:val="49803"/>
                            </w14:srgbClr>
                          </w14:solidFill>
                        </w14:textFill>
                      </w:rPr>
                      <w:t>安娜 20030711</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840" w:hanging="360"/>
      </w:pPr>
    </w:lvl>
    <w:lvl w:ilvl="1" w:tentative="0">
      <w:start w:val="1"/>
      <w:numFmt w:val="lowerLetter"/>
      <w:lvlText w:val="%2)"/>
      <w:lvlJc w:val="left"/>
      <w:pPr>
        <w:ind w:left="1320" w:hanging="420"/>
      </w:pPr>
    </w:lvl>
    <w:lvl w:ilvl="2" w:tentative="0">
      <w:start w:val="1"/>
      <w:numFmt w:val="decimal"/>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decimal"/>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decimal"/>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F93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3">
    <w:name w:val="heading 1"/>
    <w:basedOn w:val="1"/>
    <w:next w:val="1"/>
    <w:link w:val="212"/>
    <w:qFormat/>
    <w:uiPriority w:val="0"/>
    <w:pPr>
      <w:keepNext/>
      <w:keepLines/>
      <w:spacing w:before="340" w:after="330" w:line="576" w:lineRule="auto"/>
      <w:outlineLvl w:val="0"/>
    </w:pPr>
    <w:rPr>
      <w:b/>
      <w:bCs/>
      <w:sz w:val="44"/>
      <w:szCs w:val="44"/>
    </w:rPr>
  </w:style>
  <w:style w:type="paragraph" w:styleId="4">
    <w:name w:val="heading 2"/>
    <w:basedOn w:val="1"/>
    <w:next w:val="1"/>
    <w:link w:val="20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3"/>
    <w:qFormat/>
    <w:uiPriority w:val="0"/>
    <w:pPr>
      <w:keepNext/>
      <w:keepLines/>
      <w:spacing w:before="260" w:after="260" w:line="413" w:lineRule="auto"/>
      <w:outlineLvl w:val="2"/>
    </w:pPr>
    <w:rPr>
      <w:b/>
      <w:bCs/>
      <w:sz w:val="32"/>
      <w:szCs w:val="32"/>
    </w:rPr>
  </w:style>
  <w:style w:type="paragraph" w:styleId="6">
    <w:name w:val="heading 4"/>
    <w:basedOn w:val="1"/>
    <w:next w:val="1"/>
    <w:link w:val="241"/>
    <w:qFormat/>
    <w:uiPriority w:val="0"/>
    <w:pPr>
      <w:keepNext/>
      <w:keepLines/>
      <w:spacing w:before="120" w:after="120" w:line="480" w:lineRule="exact"/>
      <w:ind w:left="200"/>
      <w:jc w:val="left"/>
      <w:outlineLvl w:val="3"/>
    </w:pPr>
    <w:rPr>
      <w:rFonts w:ascii="Times New Roman" w:hAnsi="Times New Roman" w:eastAsia="黑体"/>
      <w:b/>
      <w:bCs/>
      <w:sz w:val="28"/>
      <w:szCs w:val="28"/>
    </w:rPr>
  </w:style>
  <w:style w:type="paragraph" w:styleId="7">
    <w:name w:val="heading 5"/>
    <w:basedOn w:val="1"/>
    <w:next w:val="1"/>
    <w:link w:val="214"/>
    <w:qFormat/>
    <w:uiPriority w:val="0"/>
    <w:pPr>
      <w:keepNext/>
      <w:keepLines/>
      <w:spacing w:before="280" w:after="290" w:line="372" w:lineRule="auto"/>
      <w:outlineLvl w:val="4"/>
    </w:pPr>
    <w:rPr>
      <w:b/>
      <w:bCs/>
      <w:sz w:val="28"/>
      <w:szCs w:val="28"/>
    </w:rPr>
  </w:style>
  <w:style w:type="paragraph" w:styleId="8">
    <w:name w:val="heading 6"/>
    <w:basedOn w:val="1"/>
    <w:next w:val="1"/>
    <w:link w:val="61"/>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62"/>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63"/>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64"/>
    <w:unhideWhenUsed/>
    <w:qFormat/>
    <w:uiPriority w:val="9"/>
    <w:pPr>
      <w:keepNext/>
      <w:keepLines/>
      <w:spacing w:before="320" w:after="200"/>
      <w:outlineLvl w:val="8"/>
    </w:pPr>
    <w:rPr>
      <w:rFonts w:ascii="Arial" w:hAnsi="Arial" w:eastAsia="Arial" w:cs="Arial"/>
      <w:i/>
      <w:iCs/>
      <w:sz w:val="21"/>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2">
    <w:name w:val="正文（首行缩进两字）"/>
    <w:qFormat/>
    <w:uiPriority w:val="0"/>
    <w:pPr>
      <w:widowControl w:val="0"/>
      <w:jc w:val="both"/>
    </w:pPr>
    <w:rPr>
      <w:rFonts w:hint="default" w:ascii="Times New Roman" w:hAnsi="Times New Roman" w:eastAsia="宋体" w:cs="Times New Roman"/>
      <w:sz w:val="28"/>
      <w:szCs w:val="28"/>
      <w:lang w:val="en-US" w:eastAsia="zh-CN" w:bidi="ar-SA"/>
    </w:rPr>
  </w:style>
  <w:style w:type="paragraph" w:styleId="12">
    <w:name w:val="toc 7"/>
    <w:basedOn w:val="1"/>
    <w:next w:val="1"/>
    <w:qFormat/>
    <w:uiPriority w:val="0"/>
    <w:pPr>
      <w:ind w:left="1260"/>
      <w:jc w:val="left"/>
    </w:pPr>
    <w:rPr>
      <w:rFonts w:ascii="Calibri" w:hAnsi="Calibri" w:eastAsia="宋体" w:cs="Times New Roman"/>
      <w:sz w:val="18"/>
      <w:szCs w:val="18"/>
    </w:rPr>
  </w:style>
  <w:style w:type="paragraph" w:styleId="13">
    <w:name w:val="Normal Indent"/>
    <w:basedOn w:val="1"/>
    <w:qFormat/>
    <w:uiPriority w:val="0"/>
    <w:pPr>
      <w:ind w:firstLine="880"/>
    </w:pPr>
    <w:rPr>
      <w:rFonts w:ascii="??_GB2312" w:hAnsi="??_GB2312" w:eastAsia="仿宋" w:cs="??_GB2312"/>
      <w:color w:val="FF0000"/>
      <w:szCs w:val="22"/>
    </w:rPr>
  </w:style>
  <w:style w:type="paragraph" w:styleId="14">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5">
    <w:name w:val="Document Map"/>
    <w:basedOn w:val="1"/>
    <w:link w:val="215"/>
    <w:qFormat/>
    <w:uiPriority w:val="0"/>
    <w:rPr>
      <w:rFonts w:ascii="宋体" w:hAnsi="Times New Roman" w:eastAsia="宋体" w:cs="Times New Roman"/>
      <w:sz w:val="18"/>
      <w:szCs w:val="18"/>
      <w:lang w:val="zh-CN"/>
    </w:rPr>
  </w:style>
  <w:style w:type="paragraph" w:styleId="16">
    <w:name w:val="annotation text"/>
    <w:basedOn w:val="1"/>
    <w:link w:val="209"/>
    <w:qFormat/>
    <w:uiPriority w:val="99"/>
    <w:pPr>
      <w:jc w:val="left"/>
    </w:pPr>
  </w:style>
  <w:style w:type="paragraph" w:styleId="17">
    <w:name w:val="Body Text"/>
    <w:basedOn w:val="1"/>
    <w:next w:val="1"/>
    <w:link w:val="211"/>
    <w:qFormat/>
    <w:uiPriority w:val="0"/>
    <w:pPr>
      <w:spacing w:after="60" w:line="360" w:lineRule="atLeast"/>
      <w:ind w:left="72" w:right="30"/>
      <w:jc w:val="center"/>
    </w:pPr>
    <w:rPr>
      <w:rFonts w:ascii="Times New Roman" w:hAnsi="Times New Roman"/>
      <w:sz w:val="20"/>
      <w:szCs w:val="20"/>
    </w:rPr>
  </w:style>
  <w:style w:type="paragraph" w:styleId="18">
    <w:name w:val="Body Text Indent"/>
    <w:basedOn w:val="1"/>
    <w:link w:val="216"/>
    <w:qFormat/>
    <w:uiPriority w:val="0"/>
    <w:pPr>
      <w:ind w:left="855"/>
    </w:pPr>
    <w:rPr>
      <w:rFonts w:ascii="Times New Roman" w:hAnsi="Times New Roman" w:eastAsia="宋体" w:cs="Times New Roman"/>
    </w:rPr>
  </w:style>
  <w:style w:type="paragraph" w:styleId="19">
    <w:name w:val="toc 5"/>
    <w:basedOn w:val="1"/>
    <w:next w:val="1"/>
    <w:qFormat/>
    <w:uiPriority w:val="39"/>
    <w:pPr>
      <w:tabs>
        <w:tab w:val="right" w:leader="dot" w:pos="8296"/>
      </w:tabs>
      <w:ind w:left="1050"/>
    </w:pPr>
  </w:style>
  <w:style w:type="paragraph" w:styleId="20">
    <w:name w:val="toc 3"/>
    <w:basedOn w:val="1"/>
    <w:next w:val="1"/>
    <w:qFormat/>
    <w:uiPriority w:val="39"/>
    <w:pPr>
      <w:spacing w:line="360" w:lineRule="auto"/>
      <w:ind w:left="840"/>
    </w:pPr>
    <w:rPr>
      <w:rFonts w:eastAsia="仿宋"/>
      <w:b/>
      <w:sz w:val="28"/>
    </w:rPr>
  </w:style>
  <w:style w:type="paragraph" w:styleId="21">
    <w:name w:val="Plain Text"/>
    <w:basedOn w:val="1"/>
    <w:link w:val="217"/>
    <w:qFormat/>
    <w:uiPriority w:val="0"/>
    <w:rPr>
      <w:rFonts w:ascii="宋体" w:hAnsi="Courier New" w:eastAsia="宋体" w:cs="Times New Roman"/>
      <w:szCs w:val="21"/>
      <w:lang w:val="zh-CN"/>
    </w:rPr>
  </w:style>
  <w:style w:type="paragraph" w:styleId="22">
    <w:name w:val="toc 8"/>
    <w:basedOn w:val="1"/>
    <w:next w:val="1"/>
    <w:qFormat/>
    <w:uiPriority w:val="0"/>
    <w:pPr>
      <w:ind w:left="1470"/>
      <w:jc w:val="left"/>
    </w:pPr>
    <w:rPr>
      <w:rFonts w:ascii="Calibri" w:hAnsi="Calibri" w:eastAsia="宋体" w:cs="Times New Roman"/>
      <w:sz w:val="18"/>
      <w:szCs w:val="18"/>
    </w:rPr>
  </w:style>
  <w:style w:type="paragraph" w:styleId="23">
    <w:name w:val="Date"/>
    <w:basedOn w:val="1"/>
    <w:next w:val="1"/>
    <w:link w:val="218"/>
    <w:qFormat/>
    <w:uiPriority w:val="0"/>
    <w:pPr>
      <w:ind w:left="100"/>
    </w:pPr>
    <w:rPr>
      <w:rFonts w:ascii="Times New Roman" w:hAnsi="Times New Roman" w:eastAsia="宋体" w:cs="Times New Roman"/>
      <w:lang w:val="zh-CN"/>
    </w:rPr>
  </w:style>
  <w:style w:type="paragraph" w:styleId="24">
    <w:name w:val="Body Text Indent 2"/>
    <w:basedOn w:val="1"/>
    <w:link w:val="219"/>
    <w:unhideWhenUsed/>
    <w:qFormat/>
    <w:uiPriority w:val="99"/>
    <w:pPr>
      <w:spacing w:after="120" w:line="480" w:lineRule="auto"/>
      <w:ind w:left="420"/>
    </w:pPr>
    <w:rPr>
      <w:rFonts w:ascii="Times New Roman" w:hAnsi="Times New Roman" w:eastAsia="宋体" w:cs="Times New Roman"/>
    </w:rPr>
  </w:style>
  <w:style w:type="paragraph" w:styleId="25">
    <w:name w:val="endnote text"/>
    <w:basedOn w:val="1"/>
    <w:link w:val="201"/>
    <w:semiHidden/>
    <w:unhideWhenUsed/>
    <w:uiPriority w:val="99"/>
    <w:pPr>
      <w:spacing w:after="0" w:line="240" w:lineRule="auto"/>
    </w:pPr>
    <w:rPr>
      <w:sz w:val="20"/>
    </w:rPr>
  </w:style>
  <w:style w:type="paragraph" w:styleId="26">
    <w:name w:val="Balloon Text"/>
    <w:basedOn w:val="1"/>
    <w:link w:val="220"/>
    <w:qFormat/>
    <w:uiPriority w:val="99"/>
    <w:rPr>
      <w:rFonts w:ascii="Times New Roman" w:hAnsi="Times New Roman" w:eastAsia="宋体" w:cs="Times New Roman"/>
      <w:sz w:val="18"/>
      <w:szCs w:val="18"/>
      <w:lang w:val="zh-CN"/>
    </w:rPr>
  </w:style>
  <w:style w:type="paragraph" w:styleId="27">
    <w:name w:val="footer"/>
    <w:basedOn w:val="1"/>
    <w:link w:val="221"/>
    <w:qFormat/>
    <w:uiPriority w:val="99"/>
    <w:pPr>
      <w:tabs>
        <w:tab w:val="center" w:pos="4153"/>
        <w:tab w:val="right" w:pos="8306"/>
      </w:tabs>
      <w:jc w:val="left"/>
    </w:pPr>
    <w:rPr>
      <w:sz w:val="18"/>
      <w:szCs w:val="18"/>
    </w:rPr>
  </w:style>
  <w:style w:type="paragraph" w:styleId="28">
    <w:name w:val="header"/>
    <w:basedOn w:val="1"/>
    <w:link w:val="222"/>
    <w:qFormat/>
    <w:uiPriority w:val="0"/>
    <w:pPr>
      <w:pBdr>
        <w:top w:val="none" w:color="000000" w:sz="0" w:space="1"/>
        <w:left w:val="none" w:color="000000" w:sz="0" w:space="4"/>
        <w:bottom w:val="none" w:color="000000" w:sz="0" w:space="1"/>
        <w:right w:val="none" w:color="000000" w:sz="0" w:space="4"/>
      </w:pBdr>
      <w:tabs>
        <w:tab w:val="center" w:pos="4153"/>
        <w:tab w:val="right" w:pos="8306"/>
      </w:tabs>
    </w:pPr>
    <w:rPr>
      <w:sz w:val="18"/>
    </w:rPr>
  </w:style>
  <w:style w:type="paragraph" w:styleId="29">
    <w:name w:val="toc 1"/>
    <w:basedOn w:val="1"/>
    <w:next w:val="1"/>
    <w:qFormat/>
    <w:uiPriority w:val="39"/>
  </w:style>
  <w:style w:type="paragraph" w:styleId="30">
    <w:name w:val="toc 4"/>
    <w:basedOn w:val="1"/>
    <w:next w:val="1"/>
    <w:qFormat/>
    <w:uiPriority w:val="39"/>
    <w:pPr>
      <w:tabs>
        <w:tab w:val="left" w:pos="1890"/>
        <w:tab w:val="right" w:leader="dot" w:pos="8296"/>
      </w:tabs>
      <w:spacing w:line="540" w:lineRule="exact"/>
    </w:pPr>
    <w:rPr>
      <w:rFonts w:eastAsia="仿宋"/>
      <w:sz w:val="24"/>
    </w:rPr>
  </w:style>
  <w:style w:type="paragraph" w:styleId="31">
    <w:name w:val="Subtitle"/>
    <w:basedOn w:val="1"/>
    <w:next w:val="1"/>
    <w:link w:val="223"/>
    <w:qFormat/>
    <w:uiPriority w:val="0"/>
    <w:pPr>
      <w:spacing w:before="240" w:after="60" w:line="312" w:lineRule="auto"/>
      <w:jc w:val="center"/>
      <w:outlineLvl w:val="1"/>
    </w:pPr>
    <w:rPr>
      <w:rFonts w:ascii="Cambria" w:hAnsi="Cambria" w:eastAsia="宋体" w:cs="Times New Roman"/>
      <w:b/>
      <w:bCs/>
      <w:sz w:val="32"/>
      <w:szCs w:val="32"/>
      <w:lang w:val="zh-CN"/>
    </w:rPr>
  </w:style>
  <w:style w:type="paragraph" w:styleId="32">
    <w:name w:val="footnote text"/>
    <w:basedOn w:val="1"/>
    <w:link w:val="200"/>
    <w:semiHidden/>
    <w:unhideWhenUsed/>
    <w:uiPriority w:val="99"/>
    <w:pPr>
      <w:spacing w:after="40" w:line="240" w:lineRule="auto"/>
    </w:pPr>
    <w:rPr>
      <w:sz w:val="18"/>
    </w:rPr>
  </w:style>
  <w:style w:type="paragraph" w:styleId="33">
    <w:name w:val="toc 6"/>
    <w:basedOn w:val="1"/>
    <w:next w:val="1"/>
    <w:qFormat/>
    <w:uiPriority w:val="0"/>
    <w:pPr>
      <w:ind w:left="1050"/>
      <w:jc w:val="left"/>
    </w:pPr>
    <w:rPr>
      <w:rFonts w:ascii="Calibri" w:hAnsi="Calibri" w:eastAsia="宋体" w:cs="Times New Roman"/>
      <w:sz w:val="18"/>
      <w:szCs w:val="18"/>
    </w:rPr>
  </w:style>
  <w:style w:type="paragraph" w:styleId="34">
    <w:name w:val="table of figures"/>
    <w:basedOn w:val="1"/>
    <w:next w:val="1"/>
    <w:unhideWhenUsed/>
    <w:uiPriority w:val="99"/>
    <w:pPr>
      <w:spacing w:after="0" w:afterAutospacing="0"/>
    </w:pPr>
  </w:style>
  <w:style w:type="paragraph" w:styleId="35">
    <w:name w:val="toc 2"/>
    <w:basedOn w:val="1"/>
    <w:next w:val="1"/>
    <w:qFormat/>
    <w:uiPriority w:val="0"/>
    <w:pPr>
      <w:ind w:left="210"/>
      <w:jc w:val="left"/>
    </w:pPr>
    <w:rPr>
      <w:rFonts w:ascii="Calibri" w:hAnsi="Calibri" w:eastAsia="宋体" w:cs="Times New Roman"/>
      <w:smallCaps/>
      <w:sz w:val="20"/>
      <w:szCs w:val="20"/>
    </w:rPr>
  </w:style>
  <w:style w:type="paragraph" w:styleId="36">
    <w:name w:val="toc 9"/>
    <w:basedOn w:val="1"/>
    <w:next w:val="1"/>
    <w:qFormat/>
    <w:uiPriority w:val="0"/>
    <w:pPr>
      <w:ind w:left="1680"/>
      <w:jc w:val="left"/>
    </w:pPr>
    <w:rPr>
      <w:rFonts w:ascii="Calibri" w:hAnsi="Calibri" w:eastAsia="宋体" w:cs="Times New Roman"/>
      <w:sz w:val="18"/>
      <w:szCs w:val="18"/>
    </w:rPr>
  </w:style>
  <w:style w:type="paragraph" w:styleId="37">
    <w:name w:val="Title"/>
    <w:basedOn w:val="1"/>
    <w:next w:val="1"/>
    <w:link w:val="224"/>
    <w:qFormat/>
    <w:uiPriority w:val="0"/>
    <w:pPr>
      <w:spacing w:before="240" w:after="60"/>
      <w:jc w:val="center"/>
      <w:outlineLvl w:val="0"/>
    </w:pPr>
    <w:rPr>
      <w:rFonts w:ascii="Cambria" w:hAnsi="Cambria" w:eastAsia="宋体" w:cs="Times New Roman"/>
      <w:b/>
      <w:bCs/>
      <w:sz w:val="32"/>
      <w:szCs w:val="32"/>
      <w:lang w:val="zh-CN"/>
    </w:rPr>
  </w:style>
  <w:style w:type="paragraph" w:styleId="38">
    <w:name w:val="annotation subject"/>
    <w:basedOn w:val="16"/>
    <w:next w:val="16"/>
    <w:link w:val="210"/>
    <w:qFormat/>
    <w:uiPriority w:val="0"/>
    <w:rPr>
      <w:b/>
      <w:bCs/>
    </w:rPr>
  </w:style>
  <w:style w:type="paragraph" w:styleId="39">
    <w:name w:val="Body Text First Indent 2"/>
    <w:basedOn w:val="18"/>
    <w:next w:val="40"/>
    <w:link w:val="225"/>
    <w:qFormat/>
    <w:uiPriority w:val="0"/>
    <w:pPr>
      <w:ind w:firstLine="420"/>
    </w:pPr>
    <w:rPr>
      <w:szCs w:val="20"/>
    </w:rPr>
  </w:style>
  <w:style w:type="paragraph" w:customStyle="1" w:styleId="40">
    <w:name w:val="正文格式"/>
    <w:basedOn w:val="1"/>
    <w:qFormat/>
    <w:uiPriority w:val="0"/>
    <w:rPr>
      <w:rFonts w:ascii="Times New Roman" w:hAnsi="Times New Roman" w:eastAsia="宋体" w:cs="Times New Roman"/>
      <w:sz w:val="28"/>
    </w:rPr>
  </w:style>
  <w:style w:type="table" w:styleId="42">
    <w:name w:val="Table Grid"/>
    <w:basedOn w:val="4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44">
    <w:name w:val="Strong"/>
    <w:basedOn w:val="43"/>
    <w:qFormat/>
    <w:uiPriority w:val="22"/>
    <w:rPr>
      <w:b/>
      <w:bCs/>
    </w:rPr>
  </w:style>
  <w:style w:type="character" w:styleId="45">
    <w:name w:val="endnote reference"/>
    <w:basedOn w:val="43"/>
    <w:semiHidden/>
    <w:unhideWhenUsed/>
    <w:uiPriority w:val="99"/>
    <w:rPr>
      <w:vertAlign w:val="superscript"/>
    </w:rPr>
  </w:style>
  <w:style w:type="character" w:styleId="46">
    <w:name w:val="FollowedHyperlink"/>
    <w:qFormat/>
    <w:uiPriority w:val="0"/>
    <w:rPr>
      <w:color w:val="954F72"/>
      <w:u w:val="single"/>
    </w:rPr>
  </w:style>
  <w:style w:type="character" w:styleId="47">
    <w:name w:val="Emphasis"/>
    <w:basedOn w:val="43"/>
    <w:qFormat/>
    <w:uiPriority w:val="20"/>
    <w:rPr>
      <w:i/>
      <w:iCs/>
    </w:rPr>
  </w:style>
  <w:style w:type="character" w:styleId="48">
    <w:name w:val="Hyperlink"/>
    <w:qFormat/>
    <w:uiPriority w:val="99"/>
    <w:rPr>
      <w:rFonts w:cs="Times New Roman"/>
      <w:color w:val="0000FF"/>
      <w:u w:val="single"/>
    </w:rPr>
  </w:style>
  <w:style w:type="character" w:styleId="49">
    <w:name w:val="annotation reference"/>
    <w:basedOn w:val="43"/>
    <w:qFormat/>
    <w:uiPriority w:val="99"/>
    <w:rPr>
      <w:sz w:val="21"/>
      <w:szCs w:val="21"/>
    </w:rPr>
  </w:style>
  <w:style w:type="character" w:styleId="50">
    <w:name w:val="footnote reference"/>
    <w:basedOn w:val="43"/>
    <w:unhideWhenUsed/>
    <w:uiPriority w:val="99"/>
    <w:rPr>
      <w:vertAlign w:val="superscript"/>
    </w:rPr>
  </w:style>
  <w:style w:type="character" w:customStyle="1" w:styleId="51">
    <w:name w:val="Intense Emphasis"/>
    <w:basedOn w:val="43"/>
    <w:qFormat/>
    <w:uiPriority w:val="21"/>
    <w:rPr>
      <w:i/>
      <w:iCs/>
      <w:color w:val="2E75B6" w:themeColor="accent1" w:themeShade="BF"/>
    </w:rPr>
  </w:style>
  <w:style w:type="character" w:customStyle="1" w:styleId="52">
    <w:name w:val="Intense Reference"/>
    <w:basedOn w:val="43"/>
    <w:qFormat/>
    <w:uiPriority w:val="32"/>
    <w:rPr>
      <w:b/>
      <w:bCs/>
      <w:smallCaps/>
      <w:color w:val="2E75B6" w:themeColor="accent1" w:themeShade="BF"/>
      <w:spacing w:val="5"/>
    </w:rPr>
  </w:style>
  <w:style w:type="character" w:customStyle="1" w:styleId="53">
    <w:name w:val="Subtle Emphasis"/>
    <w:basedOn w:val="43"/>
    <w:qFormat/>
    <w:uiPriority w:val="19"/>
    <w:rPr>
      <w:i/>
      <w:iCs/>
      <w:color w:val="404040" w:themeColor="text1" w:themeTint="BF"/>
      <w14:textFill>
        <w14:solidFill>
          <w14:schemeClr w14:val="tx1">
            <w14:lumMod w14:val="75000"/>
            <w14:lumOff w14:val="25000"/>
          </w14:schemeClr>
        </w14:solidFill>
      </w14:textFill>
    </w:rPr>
  </w:style>
  <w:style w:type="character" w:customStyle="1" w:styleId="54">
    <w:name w:val="Subtle Reference"/>
    <w:basedOn w:val="4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5">
    <w:name w:val="Book Title"/>
    <w:basedOn w:val="43"/>
    <w:qFormat/>
    <w:uiPriority w:val="33"/>
    <w:rPr>
      <w:b/>
      <w:bCs/>
      <w:i/>
      <w:iCs/>
      <w:spacing w:val="5"/>
    </w:rPr>
  </w:style>
  <w:style w:type="character" w:customStyle="1" w:styleId="56">
    <w:name w:val="Heading 1 Char"/>
    <w:basedOn w:val="43"/>
    <w:qFormat/>
    <w:uiPriority w:val="9"/>
    <w:rPr>
      <w:rFonts w:ascii="Arial" w:hAnsi="Arial" w:eastAsia="Arial" w:cs="Arial"/>
      <w:sz w:val="40"/>
      <w:szCs w:val="40"/>
    </w:rPr>
  </w:style>
  <w:style w:type="character" w:customStyle="1" w:styleId="57">
    <w:name w:val="Heading 2 Char"/>
    <w:basedOn w:val="43"/>
    <w:uiPriority w:val="9"/>
    <w:rPr>
      <w:rFonts w:ascii="Arial" w:hAnsi="Arial" w:eastAsia="Arial" w:cs="Arial"/>
      <w:sz w:val="34"/>
    </w:rPr>
  </w:style>
  <w:style w:type="character" w:customStyle="1" w:styleId="58">
    <w:name w:val="Heading 3 Char"/>
    <w:basedOn w:val="43"/>
    <w:qFormat/>
    <w:uiPriority w:val="9"/>
    <w:rPr>
      <w:rFonts w:ascii="Arial" w:hAnsi="Arial" w:eastAsia="Arial" w:cs="Arial"/>
      <w:sz w:val="30"/>
      <w:szCs w:val="30"/>
    </w:rPr>
  </w:style>
  <w:style w:type="character" w:customStyle="1" w:styleId="59">
    <w:name w:val="Heading 4 Char"/>
    <w:basedOn w:val="43"/>
    <w:uiPriority w:val="9"/>
    <w:rPr>
      <w:rFonts w:ascii="Arial" w:hAnsi="Arial" w:eastAsia="Arial" w:cs="Arial"/>
      <w:b/>
      <w:bCs/>
      <w:sz w:val="26"/>
      <w:szCs w:val="26"/>
    </w:rPr>
  </w:style>
  <w:style w:type="character" w:customStyle="1" w:styleId="60">
    <w:name w:val="Heading 5 Char"/>
    <w:basedOn w:val="43"/>
    <w:uiPriority w:val="9"/>
    <w:rPr>
      <w:rFonts w:ascii="Arial" w:hAnsi="Arial" w:eastAsia="Arial" w:cs="Arial"/>
      <w:b/>
      <w:bCs/>
      <w:sz w:val="24"/>
      <w:szCs w:val="24"/>
    </w:rPr>
  </w:style>
  <w:style w:type="character" w:customStyle="1" w:styleId="61">
    <w:name w:val="Heading 6 Char"/>
    <w:basedOn w:val="43"/>
    <w:link w:val="8"/>
    <w:qFormat/>
    <w:uiPriority w:val="9"/>
    <w:rPr>
      <w:rFonts w:ascii="Arial" w:hAnsi="Arial" w:eastAsia="Arial" w:cs="Arial"/>
      <w:b/>
      <w:bCs/>
      <w:sz w:val="22"/>
      <w:szCs w:val="22"/>
    </w:rPr>
  </w:style>
  <w:style w:type="character" w:customStyle="1" w:styleId="62">
    <w:name w:val="Heading 7 Char"/>
    <w:basedOn w:val="43"/>
    <w:link w:val="9"/>
    <w:qFormat/>
    <w:uiPriority w:val="9"/>
    <w:rPr>
      <w:rFonts w:ascii="Arial" w:hAnsi="Arial" w:eastAsia="Arial" w:cs="Arial"/>
      <w:b/>
      <w:bCs/>
      <w:i/>
      <w:iCs/>
      <w:sz w:val="22"/>
      <w:szCs w:val="22"/>
    </w:rPr>
  </w:style>
  <w:style w:type="character" w:customStyle="1" w:styleId="63">
    <w:name w:val="Heading 8 Char"/>
    <w:basedOn w:val="43"/>
    <w:link w:val="10"/>
    <w:qFormat/>
    <w:uiPriority w:val="9"/>
    <w:rPr>
      <w:rFonts w:ascii="Arial" w:hAnsi="Arial" w:eastAsia="Arial" w:cs="Arial"/>
      <w:i/>
      <w:iCs/>
      <w:sz w:val="22"/>
      <w:szCs w:val="22"/>
    </w:rPr>
  </w:style>
  <w:style w:type="character" w:customStyle="1" w:styleId="64">
    <w:name w:val="Heading 9 Char"/>
    <w:basedOn w:val="43"/>
    <w:link w:val="11"/>
    <w:qFormat/>
    <w:uiPriority w:val="9"/>
    <w:rPr>
      <w:rFonts w:ascii="Arial" w:hAnsi="Arial" w:eastAsia="Arial" w:cs="Arial"/>
      <w:i/>
      <w:iCs/>
      <w:sz w:val="21"/>
      <w:szCs w:val="21"/>
    </w:rPr>
  </w:style>
  <w:style w:type="paragraph" w:styleId="65">
    <w:name w:val="No Spacing"/>
    <w:qFormat/>
    <w:uiPriority w:val="1"/>
    <w:pPr>
      <w:spacing w:before="0" w:after="0" w:line="240" w:lineRule="auto"/>
    </w:pPr>
    <w:rPr>
      <w:rFonts w:hint="default" w:ascii="Calibri" w:hAnsi="Calibri" w:eastAsia="宋体" w:cs="Calibri"/>
    </w:rPr>
  </w:style>
  <w:style w:type="character" w:customStyle="1" w:styleId="66">
    <w:name w:val="Title Char"/>
    <w:basedOn w:val="43"/>
    <w:qFormat/>
    <w:uiPriority w:val="10"/>
    <w:rPr>
      <w:sz w:val="48"/>
      <w:szCs w:val="48"/>
    </w:rPr>
  </w:style>
  <w:style w:type="character" w:customStyle="1" w:styleId="67">
    <w:name w:val="Subtitle Char"/>
    <w:basedOn w:val="43"/>
    <w:qFormat/>
    <w:uiPriority w:val="11"/>
    <w:rPr>
      <w:sz w:val="24"/>
      <w:szCs w:val="24"/>
    </w:rPr>
  </w:style>
  <w:style w:type="paragraph" w:styleId="68">
    <w:name w:val="Quote"/>
    <w:basedOn w:val="1"/>
    <w:next w:val="1"/>
    <w:link w:val="69"/>
    <w:qFormat/>
    <w:uiPriority w:val="29"/>
    <w:pPr>
      <w:ind w:left="720" w:right="720"/>
    </w:pPr>
    <w:rPr>
      <w:i/>
    </w:rPr>
  </w:style>
  <w:style w:type="character" w:customStyle="1" w:styleId="69">
    <w:name w:val="Quote Char"/>
    <w:link w:val="68"/>
    <w:qFormat/>
    <w:uiPriority w:val="29"/>
    <w:rPr>
      <w:i/>
    </w:rPr>
  </w:style>
  <w:style w:type="paragraph" w:styleId="70">
    <w:name w:val="Intense Quote"/>
    <w:basedOn w:val="1"/>
    <w:next w:val="1"/>
    <w:link w:val="7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1">
    <w:name w:val="Intense Quote Char"/>
    <w:link w:val="70"/>
    <w:qFormat/>
    <w:uiPriority w:val="30"/>
    <w:rPr>
      <w:i/>
    </w:rPr>
  </w:style>
  <w:style w:type="character" w:customStyle="1" w:styleId="72">
    <w:name w:val="Header Char"/>
    <w:basedOn w:val="43"/>
    <w:qFormat/>
    <w:uiPriority w:val="99"/>
  </w:style>
  <w:style w:type="character" w:customStyle="1" w:styleId="73">
    <w:name w:val="Footer Char"/>
    <w:basedOn w:val="43"/>
    <w:qFormat/>
    <w:uiPriority w:val="99"/>
  </w:style>
  <w:style w:type="character" w:customStyle="1" w:styleId="74">
    <w:name w:val="Caption Char"/>
    <w:qFormat/>
    <w:uiPriority w:val="99"/>
  </w:style>
  <w:style w:type="table" w:customStyle="1" w:styleId="75">
    <w:name w:val="Table Grid Light"/>
    <w:basedOn w:val="4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Plain Table 1"/>
    <w:basedOn w:val="4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Plain Table 2"/>
    <w:basedOn w:val="4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Plain Table 3"/>
    <w:basedOn w:val="41"/>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Plain Table 4"/>
    <w:basedOn w:val="41"/>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Plain Table 5"/>
    <w:basedOn w:val="41"/>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1 Light"/>
    <w:basedOn w:val="4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1 Light - Accent 1"/>
    <w:basedOn w:val="41"/>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FC4E6"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1 Light - Accent 2"/>
    <w:basedOn w:val="41"/>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1 Light - Accent 3"/>
    <w:basedOn w:val="41"/>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1 Light - Accent 4"/>
    <w:basedOn w:val="41"/>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1 Light - Accent 5"/>
    <w:basedOn w:val="41"/>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blPr/>
      <w:tcPr>
        <w:tcBorders>
          <w:bottom w:val="single" w:color="91ACDC"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1 Light - Accent 6"/>
    <w:basedOn w:val="41"/>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2"/>
    <w:basedOn w:val="4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2 - Accent 1"/>
    <w:basedOn w:val="41"/>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single" w:color="68A3D8" w:themeColor="accent1" w:themeTint="EA" w:sz="12" w:space="0"/>
          <w:right w:val="nil"/>
        </w:tcBorders>
        <w:shd w:val="clear" w:color="FFFFFF" w:fill="auto"/>
      </w:tcPr>
    </w:tblStylePr>
    <w:tblStylePr w:type="lastRow">
      <w:rPr>
        <w:b/>
        <w:color w:val="404040"/>
      </w:rPr>
      <w:tblPr/>
      <w:tcPr>
        <w:tcBorders>
          <w:top w:val="single" w:color="68A3D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2 - Accent 2"/>
    <w:basedOn w:val="41"/>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2 - Accent 3"/>
    <w:basedOn w:val="41"/>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2 - Accent 4"/>
    <w:basedOn w:val="41"/>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2 - Accent 5"/>
    <w:basedOn w:val="41"/>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single" w:color="4472C4" w:themeColor="accent5" w:sz="12" w:space="0"/>
          <w:right w:val="nil"/>
        </w:tcBorders>
        <w:shd w:val="clear" w:color="FFFFFF" w:fill="auto"/>
      </w:tcPr>
    </w:tblStylePr>
    <w:tblStylePr w:type="lastRow">
      <w:rPr>
        <w:b/>
        <w:color w:val="404040"/>
      </w:rPr>
      <w:tblPr/>
      <w:tcPr>
        <w:tcBorders>
          <w:top w:val="single" w:color="4472C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2 - Accent 6"/>
    <w:basedOn w:val="41"/>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3"/>
    <w:basedOn w:val="4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3 - Accent 1"/>
    <w:basedOn w:val="41"/>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3 - Accent 2"/>
    <w:basedOn w:val="41"/>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3 - Accent 3"/>
    <w:basedOn w:val="41"/>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3 - Accent 4"/>
    <w:basedOn w:val="41"/>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0">
    <w:name w:val="Grid Table 3 - Accent 5"/>
    <w:basedOn w:val="41"/>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1">
    <w:name w:val="Grid Table 3 - Accent 6"/>
    <w:basedOn w:val="41"/>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2">
    <w:name w:val="Grid Table 4"/>
    <w:basedOn w:val="41"/>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3">
    <w:name w:val="Grid Table 4 - Accent 1"/>
    <w:basedOn w:val="41"/>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bl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blPr/>
      <w:tcPr>
        <w:tcBorders>
          <w:top w:val="single" w:color="68A3D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EEBF6" w:themeColor="accent1" w:themeTint="32" w:fill="DEEBF6" w:themeFill="accent1" w:themeFillTint="32"/>
      </w:tcPr>
    </w:tblStylePr>
    <w:tblStylePr w:type="band2Vert">
      <w:tblPr/>
    </w:tblStylePr>
    <w:tblStylePr w:type="band1Horz">
      <w:rPr>
        <w:rFonts w:ascii="Arial" w:hAnsi="Arial"/>
        <w:color w:val="404040"/>
        <w:sz w:val="22"/>
      </w:rPr>
      <w:tblPr/>
      <w:tcPr>
        <w:shd w:val="clear" w:color="DEEBF6" w:themeColor="accent1" w:themeTint="32" w:fill="DEEBF6"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4">
    <w:name w:val="Grid Table 4 - Accent 2"/>
    <w:basedOn w:val="41"/>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5">
    <w:name w:val="Grid Table 4 - Accent 3"/>
    <w:basedOn w:val="41"/>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6">
    <w:name w:val="Grid Table 4 - Accent 4"/>
    <w:basedOn w:val="41"/>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7">
    <w:name w:val="Grid Table 4 - Accent 5"/>
    <w:basedOn w:val="41"/>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8">
    <w:name w:val="Grid Table 4 - Accent 6"/>
    <w:basedOn w:val="41"/>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9">
    <w:name w:val="Grid Table 5 Dark"/>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Grid Table 5 Dark- Accent 1"/>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1EB" w:themeColor="accent1" w:themeTint="75" w:fill="B3D1EB" w:themeFill="accent1" w:themeFillTint="75"/>
      </w:tcPr>
    </w:tblStylePr>
    <w:tblStylePr w:type="band2Vert">
      <w:tblPr/>
    </w:tblStylePr>
    <w:tblStylePr w:type="band1Horz">
      <w:tblPr/>
      <w:tcPr>
        <w:shd w:val="clear" w:color="B3D1EB" w:themeColor="accent1" w:themeTint="75" w:fill="B3D1EB"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Grid Table 5 Dark - Accent 2"/>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Grid Table 5 Dark - Accent 3"/>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Grid Table 5 Dark- Accent 4"/>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Grid Table 5 Dark - Accent 5"/>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3" w:themeColor="accent5" w:themeTint="75" w:fill="A9BEE3" w:themeFill="accent5" w:themeFillTint="75"/>
      </w:tcPr>
    </w:tblStylePr>
    <w:tblStylePr w:type="band2Vert">
      <w:tblPr/>
    </w:tblStylePr>
    <w:tblStylePr w:type="band1Horz">
      <w:tblPr/>
      <w:tcPr>
        <w:shd w:val="clear" w:color="A9BEE3" w:themeColor="accent5" w:themeTint="75" w:fill="A9BEE3"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Grid Table 5 Dark - Accent 6"/>
    <w:basedOn w:val="4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Grid Table 6 Colorful"/>
    <w:basedOn w:val="4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7">
    <w:name w:val="Grid Table 6 Colorful - Accent 1"/>
    <w:basedOn w:val="41"/>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bl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Pr/>
    </w:tblStylePr>
    <w:tblStylePr w:type="firstCol">
      <w:rPr>
        <w:b/>
        <w:color w:val="ADCDEA" w:themeColor="accent1" w:themeTint="80"/>
        <w14:textFill>
          <w14:solidFill>
            <w14:schemeClr w14:val="accent1">
              <w14:lumMod w14:val="50000"/>
              <w14:lumOff w14:val="50000"/>
            </w14:schemeClr>
          </w14:solidFill>
        </w14:textFill>
      </w:rPr>
      <w:tblPr/>
    </w:tblStylePr>
    <w:tblStylePr w:type="lastCol">
      <w:rPr>
        <w:b/>
        <w:color w:val="ADCDEA" w:themeColor="accent1" w:themeTint="80"/>
        <w14:textFill>
          <w14:solidFill>
            <w14:schemeClr w14:val="accent1">
              <w14:lumMod w14:val="50000"/>
              <w14:lumOff w14:val="50000"/>
            </w14:schemeClr>
          </w14:solidFill>
        </w14:textFill>
      </w:rPr>
      <w:tbl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8">
    <w:name w:val="Grid Table 6 Colorful - Accent 2"/>
    <w:basedOn w:val="41"/>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9">
    <w:name w:val="Grid Table 6 Colorful - Accent 3"/>
    <w:basedOn w:val="41"/>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20">
    <w:name w:val="Grid Table 6 Colorful - Accent 4"/>
    <w:basedOn w:val="41"/>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21">
    <w:name w:val="Grid Table 6 Colorful - Accent 5"/>
    <w:basedOn w:val="41"/>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blPr/>
      <w:tcPr>
        <w:tcBorders>
          <w:bottom w:val="single" w:color="4472C4" w:themeColor="accent5"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22">
    <w:name w:val="Grid Table 6 Colorful - Accent 6"/>
    <w:basedOn w:val="41"/>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blPr/>
      <w:tcPr>
        <w:tcBorders>
          <w:bottom w:val="single" w:color="70AD47" w:themeColor="accent6"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54174" w:themeColor="accent5" w:themeShade="94"/>
        <w:sz w:val="22"/>
      </w:rPr>
      <w:tblPr/>
      <w:tcPr>
        <w:shd w:val="clear" w:color="E1EFD8" w:themeColor="accent6" w:themeTint="34" w:fill="E1EFD8" w:themeFill="accent6"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23">
    <w:name w:val="Grid Table 7 Colorful"/>
    <w:basedOn w:val="41"/>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24">
    <w:name w:val="Grid Table 7 Colorful - Accent 1"/>
    <w:basedOn w:val="41"/>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bl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bl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single" w:color="ACCCE9" w:themeColor="accent1" w:themeTint="80" w:sz="4" w:space="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25">
    <w:name w:val="Grid Table 7 Colorful - Accent 2"/>
    <w:basedOn w:val="41"/>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26">
    <w:name w:val="Grid Table 7 Colorful - Accent 3"/>
    <w:basedOn w:val="41"/>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27">
    <w:name w:val="Grid Table 7 Colorful - Accent 4"/>
    <w:basedOn w:val="41"/>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28">
    <w:name w:val="Grid Table 7 Colorful - Accent 5"/>
    <w:basedOn w:val="41"/>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bl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bl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bl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blPr/>
      <w:tcPr>
        <w:tcBorders>
          <w:top w:val="nil"/>
          <w:left w:val="single" w:color="95AFDD" w:themeColor="accent5" w:themeTint="90" w:sz="4" w:space="0"/>
          <w:bottom w:val="nil"/>
          <w:right w:val="nil"/>
        </w:tcBorders>
        <w:shd w:val="clear" w:color="FFFFFF" w:fill="auto"/>
      </w:tc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29">
    <w:name w:val="Grid Table 7 Colorful - Accent 6"/>
    <w:basedOn w:val="41"/>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30">
    <w:name w:val="List Table 1 Light"/>
    <w:basedOn w:val="41"/>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1 Light - Accent 1"/>
    <w:basedOn w:val="41"/>
    <w:uiPriority w:val="99"/>
    <w:pPr>
      <w:spacing w:after="0" w:line="240" w:lineRule="auto"/>
    </w:pPr>
    <w:tblPr/>
    <w:tblStylePr w:type="firstRow">
      <w:rPr>
        <w:b/>
        <w:color w:val="404040"/>
      </w:rPr>
      <w:tblPr/>
      <w:tcPr>
        <w:tcBorders>
          <w:top w:val="nil"/>
          <w:left w:val="nil"/>
          <w:bottom w:val="single" w:color="5B9BD5" w:themeColor="accent1" w:sz="4" w:space="0"/>
          <w:right w:val="nil"/>
        </w:tcBorders>
      </w:tcPr>
    </w:tblStylePr>
    <w:tblStylePr w:type="lastRow">
      <w:rPr>
        <w:b/>
        <w:color w:val="404040"/>
      </w:rPr>
      <w:tblPr/>
      <w:tcPr>
        <w:tcBorders>
          <w:top w:val="single" w:color="5B9BD5"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1" w:themeTint="40" w:fill="D5E5F4" w:themeFill="accent1" w:themeFillTint="40"/>
      </w:tcPr>
    </w:tblStylePr>
    <w:tblStylePr w:type="band2Vert">
      <w:tblPr/>
    </w:tblStylePr>
    <w:tblStylePr w:type="band1Horz">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1 Light - Accent 2"/>
    <w:basedOn w:val="41"/>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1 Light - Accent 3"/>
    <w:basedOn w:val="41"/>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1 Light - Accent 4"/>
    <w:basedOn w:val="41"/>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1 Light - Accent 5"/>
    <w:basedOn w:val="41"/>
    <w:uiPriority w:val="99"/>
    <w:pPr>
      <w:spacing w:after="0" w:line="240" w:lineRule="auto"/>
    </w:pPr>
    <w:tblPr/>
    <w:tblStylePr w:type="firstRow">
      <w:rPr>
        <w:b/>
        <w:color w:val="404040"/>
      </w:rPr>
      <w:tblPr/>
      <w:tcPr>
        <w:tcBorders>
          <w:top w:val="nil"/>
          <w:left w:val="nil"/>
          <w:bottom w:val="single" w:color="4472C4" w:themeColor="accent5" w:sz="4" w:space="0"/>
          <w:right w:val="nil"/>
        </w:tcBorders>
      </w:tcPr>
    </w:tblStylePr>
    <w:tblStylePr w:type="lastRow">
      <w:rPr>
        <w:b/>
        <w:color w:val="404040"/>
      </w:rPr>
      <w:tblPr/>
      <w:tcPr>
        <w:tcBorders>
          <w:top w:val="single" w:color="4472C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5" w:themeTint="40" w:fill="D0DBF0" w:themeFill="accent5" w:themeFillTint="40"/>
      </w:tcPr>
    </w:tblStylePr>
    <w:tblStylePr w:type="band2Vert">
      <w:tblPr/>
    </w:tblStylePr>
    <w:tblStylePr w:type="band1Horz">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1 Light - Accent 6"/>
    <w:basedOn w:val="41"/>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2"/>
    <w:basedOn w:val="41"/>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2 - Accent 1"/>
    <w:basedOn w:val="41"/>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2 - Accent 2"/>
    <w:basedOn w:val="41"/>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2 - Accent 3"/>
    <w:basedOn w:val="41"/>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2 - Accent 4"/>
    <w:basedOn w:val="41"/>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2">
    <w:name w:val="List Table 2 - Accent 5"/>
    <w:basedOn w:val="41"/>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3">
    <w:name w:val="List Table 2 - Accent 6"/>
    <w:basedOn w:val="41"/>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4">
    <w:name w:val="List Table 3"/>
    <w:basedOn w:val="41"/>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5">
    <w:name w:val="List Table 3 - Accent 1"/>
    <w:basedOn w:val="41"/>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5B9BD5" w:themeColor="accent1" w:sz="4" w:space="0"/>
          <w:right w:val="single" w:color="5B9BD5" w:themeColor="accent1" w:sz="4" w:space="0"/>
        </w:tcBorders>
      </w:tcPr>
    </w:tblStylePr>
    <w:tblStylePr w:type="band2Vert">
      <w:tblPr/>
    </w:tblStylePr>
    <w:tblStylePr w:type="band1Horz">
      <w:rPr>
        <w:rFonts w:ascii="Arial" w:hAnsi="Arial"/>
        <w:color w:val="404040"/>
        <w:sz w:val="22"/>
      </w:rPr>
      <w:tblPr/>
      <w:tcPr>
        <w:tcBorders>
          <w:top w:val="single" w:color="5B9BD5" w:themeColor="accent1" w:sz="4" w:space="0"/>
          <w:bottom w:val="single" w:color="5B9BD5"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6">
    <w:name w:val="List Table 3 - Accent 2"/>
    <w:basedOn w:val="41"/>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7">
    <w:name w:val="List Table 3 - Accent 3"/>
    <w:basedOn w:val="41"/>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8">
    <w:name w:val="List Table 3 - Accent 4"/>
    <w:basedOn w:val="41"/>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9">
    <w:name w:val="List Table 3 - Accent 5"/>
    <w:basedOn w:val="41"/>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blPr/>
      <w:tcPr>
        <w:shd w:val="clear" w:color="8EA9DB" w:themeColor="accent5" w:themeTint="9A" w:fill="8E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8EA9DB" w:themeColor="accent5" w:themeTint="9A" w:sz="4" w:space="0"/>
          <w:right w:val="single" w:color="8EA9DB" w:themeColor="accent5" w:themeTint="9A" w:sz="4" w:space="0"/>
        </w:tcBorders>
      </w:tcPr>
    </w:tblStylePr>
    <w:tblStylePr w:type="band2Vert">
      <w:tblPr/>
    </w:tblStylePr>
    <w:tblStylePr w:type="band1Horz">
      <w:rPr>
        <w:rFonts w:ascii="Arial" w:hAnsi="Arial"/>
        <w:color w:val="404040"/>
        <w:sz w:val="22"/>
      </w:rPr>
      <w:tblPr/>
      <w:tcPr>
        <w:tcBorders>
          <w:top w:val="single" w:color="8EA9DB" w:themeColor="accent5" w:themeTint="9A" w:sz="4" w:space="0"/>
          <w:bottom w:val="single" w:color="8EA9DB"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50">
    <w:name w:val="List Table 3 - Accent 6"/>
    <w:basedOn w:val="41"/>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51">
    <w:name w:val="List Table 4"/>
    <w:basedOn w:val="41"/>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52">
    <w:name w:val="List Table 4 - Accent 1"/>
    <w:basedOn w:val="41"/>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53">
    <w:name w:val="List Table 4 - Accent 2"/>
    <w:basedOn w:val="41"/>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54">
    <w:name w:val="List Table 4 - Accent 3"/>
    <w:basedOn w:val="41"/>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55">
    <w:name w:val="List Table 4 - Accent 4"/>
    <w:basedOn w:val="41"/>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56">
    <w:name w:val="List Table 4 - Accent 5"/>
    <w:basedOn w:val="41"/>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57">
    <w:name w:val="List Table 4 - Accent 6"/>
    <w:basedOn w:val="41"/>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58">
    <w:name w:val="List Table 5 Dark"/>
    <w:basedOn w:val="41"/>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59">
    <w:name w:val="List Table 5 Dark - Accent 1"/>
    <w:basedOn w:val="41"/>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themeColor="accent1"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tblStylePr w:type="neCell">
      <w:tblPr/>
    </w:tblStylePr>
    <w:tblStylePr w:type="nwCell">
      <w:tblPr/>
    </w:tblStylePr>
    <w:tblStylePr w:type="seCell">
      <w:tblPr/>
    </w:tblStylePr>
    <w:tblStylePr w:type="swCell">
      <w:tblPr/>
    </w:tblStylePr>
  </w:style>
  <w:style w:type="table" w:customStyle="1" w:styleId="160">
    <w:name w:val="List Table 5 Dark - Accent 2"/>
    <w:basedOn w:val="41"/>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61">
    <w:name w:val="List Table 5 Dark - Accent 3"/>
    <w:basedOn w:val="41"/>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62">
    <w:name w:val="List Table 5 Dark - Accent 4"/>
    <w:basedOn w:val="41"/>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63">
    <w:name w:val="List Table 5 Dark - Accent 5"/>
    <w:basedOn w:val="41"/>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8EA9DB" w:themeColor="accent5" w:themeTint="9A" w:sz="32" w:space="0"/>
          <w:right w:val="single" w:color="FFFFFF" w:themeColor="light1" w:sz="4" w:space="0"/>
        </w:tcBorders>
      </w:tcPr>
    </w:tblStylePr>
    <w:tblStylePr w:type="lastCol">
      <w:tblPr/>
      <w:tcPr>
        <w:tcBorders>
          <w:left w:val="single" w:color="FFFFFF" w:themeColor="light1" w:sz="4" w:space="0"/>
          <w:right w:val="single" w:color="8EA9DB"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Pr/>
    </w:tblStylePr>
    <w:tblStylePr w:type="nwCell">
      <w:tblPr/>
    </w:tblStylePr>
    <w:tblStylePr w:type="seCell">
      <w:tblPr/>
    </w:tblStylePr>
    <w:tblStylePr w:type="swCell">
      <w:tblPr/>
    </w:tblStylePr>
  </w:style>
  <w:style w:type="table" w:customStyle="1" w:styleId="164">
    <w:name w:val="List Table 5 Dark - Accent 6"/>
    <w:basedOn w:val="41"/>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65">
    <w:name w:val="List Table 6 Colorful"/>
    <w:basedOn w:val="41"/>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66">
    <w:name w:val="List Table 6 Colorful - Accent 1"/>
    <w:basedOn w:val="41"/>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blPr/>
      <w:tcPr>
        <w:tcBorders>
          <w:bottom w:val="single" w:color="5B9BD5" w:themeColor="accent1" w:sz="4" w:space="0"/>
        </w:tcBorders>
      </w:tcPr>
    </w:tblStylePr>
    <w:tblStylePr w:type="lastRow">
      <w:rPr>
        <w:b/>
        <w:color w:val="245B8C" w:themeColor="accent1" w:themeShade="94"/>
      </w:rPr>
      <w:tblPr/>
      <w:tcPr>
        <w:tcBorders>
          <w:top w:val="single" w:color="5B9BD5" w:themeColor="accent1" w:sz="4" w:space="0"/>
        </w:tcBorders>
      </w:tcPr>
    </w:tblStylePr>
    <w:tblStylePr w:type="firstCol">
      <w:rPr>
        <w:b/>
        <w:color w:val="245B8C" w:themeColor="accent1" w:themeShade="94"/>
      </w:rPr>
      <w:tblPr/>
    </w:tblStylePr>
    <w:tblStylePr w:type="lastCol">
      <w:rPr>
        <w:b/>
        <w:color w:val="245B8C" w:themeColor="accent1" w:themeShade="94"/>
      </w:rPr>
      <w:tbl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67">
    <w:name w:val="List Table 6 Colorful - Accent 2"/>
    <w:basedOn w:val="41"/>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8">
    <w:name w:val="List Table 6 Colorful - Accent 3"/>
    <w:basedOn w:val="41"/>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9">
    <w:name w:val="List Table 6 Colorful - Accent 4"/>
    <w:basedOn w:val="41"/>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70">
    <w:name w:val="List Table 6 Colorful - Accent 5"/>
    <w:basedOn w:val="41"/>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bl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bl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Pr/>
    </w:tblStylePr>
    <w:tblStylePr w:type="lastCol">
      <w:rPr>
        <w:b/>
        <w:color w:val="8FAADC" w:themeColor="accent5" w:themeTint="99"/>
        <w14:textFill>
          <w14:solidFill>
            <w14:schemeClr w14:val="accent5">
              <w14:lumMod w14:val="60000"/>
              <w14:lumOff w14:val="40000"/>
            </w14:schemeClr>
          </w14:solidFill>
        </w14:textFill>
      </w:rPr>
      <w:tbl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71">
    <w:name w:val="List Table 6 Colorful - Accent 6"/>
    <w:basedOn w:val="41"/>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72">
    <w:name w:val="List Table 7 Colorful"/>
    <w:basedOn w:val="41"/>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73">
    <w:name w:val="List Table 7 Colorful - Accent 1"/>
    <w:basedOn w:val="41"/>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bl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bl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bl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blPr/>
      <w:tcPr>
        <w:tcBorders>
          <w:top w:val="nil"/>
          <w:left w:val="single" w:color="5B9BD5" w:themeColor="accent1" w:sz="4" w:space="0"/>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74">
    <w:name w:val="List Table 7 Colorful - Accent 2"/>
    <w:basedOn w:val="41"/>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75">
    <w:name w:val="List Table 7 Colorful - Accent 3"/>
    <w:basedOn w:val="41"/>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76">
    <w:name w:val="List Table 7 Colorful - Accent 4"/>
    <w:basedOn w:val="41"/>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77">
    <w:name w:val="List Table 7 Colorful - Accent 5"/>
    <w:basedOn w:val="41"/>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bl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single" w:color="8EA9DB" w:themeColor="accent5" w:themeTint="9A" w:sz="4" w:space="0"/>
          <w:bottom w:val="nil"/>
          <w:right w:val="nil"/>
        </w:tcBorders>
        <w:shd w:val="clear" w:color="FFFFFF" w:fill="auto"/>
      </w:tc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78">
    <w:name w:val="List Table 7 Colorful - Accent 6"/>
    <w:basedOn w:val="41"/>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79">
    <w:name w:val="Lined - Accent"/>
    <w:basedOn w:val="41"/>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80">
    <w:name w:val="Lined - Accent 1"/>
    <w:basedOn w:val="41"/>
    <w:uiPriority w:val="99"/>
    <w:pPr>
      <w:spacing w:after="0" w:line="240" w:lineRule="auto"/>
    </w:pPr>
    <w:rPr>
      <w:color w:val="404040"/>
    </w:rPr>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81">
    <w:name w:val="Lined - Accent 2"/>
    <w:basedOn w:val="41"/>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82">
    <w:name w:val="Lined - Accent 3"/>
    <w:basedOn w:val="41"/>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83">
    <w:name w:val="Lined - Accent 4"/>
    <w:basedOn w:val="41"/>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84">
    <w:name w:val="Lined - Accent 5"/>
    <w:basedOn w:val="41"/>
    <w:uiPriority w:val="99"/>
    <w:pPr>
      <w:spacing w:after="0" w:line="240" w:lineRule="auto"/>
    </w:pPr>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85">
    <w:name w:val="Lined - Accent 6"/>
    <w:basedOn w:val="41"/>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86">
    <w:name w:val="Bordered &amp; Lined - Accent"/>
    <w:basedOn w:val="41"/>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87">
    <w:name w:val="Bordered &amp; Lined - Accent 1"/>
    <w:basedOn w:val="41"/>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88">
    <w:name w:val="Bordered &amp; Lined - Accent 2"/>
    <w:basedOn w:val="41"/>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89">
    <w:name w:val="Bordered &amp; Lined - Accent 3"/>
    <w:basedOn w:val="41"/>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90">
    <w:name w:val="Bordered &amp; Lined - Accent 4"/>
    <w:basedOn w:val="41"/>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91">
    <w:name w:val="Bordered &amp; Lined - Accent 5"/>
    <w:basedOn w:val="41"/>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92">
    <w:name w:val="Bordered &amp; Lined - Accent 6"/>
    <w:basedOn w:val="41"/>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93">
    <w:name w:val="Bordered"/>
    <w:basedOn w:val="41"/>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94">
    <w:name w:val="Bordered - Accent 1"/>
    <w:basedOn w:val="41"/>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blPr/>
      <w:tcPr>
        <w:tcBorders>
          <w:bottom w:val="single" w:color="5B9BD5" w:themeColor="accent1" w:sz="12" w:space="0"/>
        </w:tcBorders>
      </w:tcPr>
    </w:tblStylePr>
    <w:tblStylePr w:type="lastRow">
      <w:rPr>
        <w:rFonts w:ascii="Arial" w:hAnsi="Arial"/>
        <w:color w:val="404040"/>
        <w:sz w:val="22"/>
      </w:rPr>
      <w:tblPr/>
      <w:tcPr>
        <w:tcBorders>
          <w:top w:val="single" w:color="5B9BD5"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5B9BD5"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95">
    <w:name w:val="Bordered - Accent 2"/>
    <w:basedOn w:val="41"/>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96">
    <w:name w:val="Bordered - Accent 3"/>
    <w:basedOn w:val="41"/>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97">
    <w:name w:val="Bordered - Accent 4"/>
    <w:basedOn w:val="41"/>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98">
    <w:name w:val="Bordered - Accent 5"/>
    <w:basedOn w:val="41"/>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blPr/>
      <w:tcPr>
        <w:tcBorders>
          <w:bottom w:val="single" w:color="8EA9DB" w:themeColor="accent5" w:themeTint="9A" w:sz="12" w:space="0"/>
        </w:tcBorders>
      </w:tcPr>
    </w:tblStylePr>
    <w:tblStylePr w:type="lastRow">
      <w:rPr>
        <w:rFonts w:ascii="Arial" w:hAnsi="Arial"/>
        <w:color w:val="404040"/>
        <w:sz w:val="22"/>
      </w:rPr>
      <w:tblPr/>
      <w:tcPr>
        <w:tcBorders>
          <w:top w:val="single" w:color="8EA9DB"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8EA9DB"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99">
    <w:name w:val="Bordered - Accent 6"/>
    <w:basedOn w:val="41"/>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200">
    <w:name w:val="Footnote Text Char"/>
    <w:link w:val="32"/>
    <w:uiPriority w:val="99"/>
    <w:rPr>
      <w:sz w:val="18"/>
    </w:rPr>
  </w:style>
  <w:style w:type="character" w:customStyle="1" w:styleId="201">
    <w:name w:val="Endnote Text Char"/>
    <w:link w:val="25"/>
    <w:uiPriority w:val="99"/>
    <w:rPr>
      <w:sz w:val="20"/>
    </w:rPr>
  </w:style>
  <w:style w:type="paragraph" w:customStyle="1" w:styleId="202">
    <w:name w:val="TOC Heading"/>
    <w:unhideWhenUsed/>
    <w:uiPriority w:val="39"/>
    <w:rPr>
      <w:rFonts w:hint="default" w:ascii="Calibri" w:hAnsi="Calibri" w:eastAsia="宋体" w:cs="Calibri"/>
    </w:rPr>
  </w:style>
  <w:style w:type="character" w:customStyle="1" w:styleId="203">
    <w:name w:val="填空说明"/>
    <w:basedOn w:val="43"/>
    <w:qFormat/>
    <w:uiPriority w:val="1"/>
    <w:rPr>
      <w:rFonts w:ascii="Times New Roman" w:hAnsi="Times New Roman" w:eastAsia="楷体"/>
      <w:color w:val="FF0000"/>
      <w:sz w:val="24"/>
      <w:u w:val="single"/>
    </w:rPr>
  </w:style>
  <w:style w:type="paragraph" w:customStyle="1" w:styleId="204">
    <w:name w:val="_Style 2"/>
    <w:basedOn w:val="3"/>
    <w:next w:val="1"/>
    <w:qFormat/>
    <w:uiPriority w:val="0"/>
    <w:pPr>
      <w:outlineLvl w:val="9"/>
    </w:pPr>
  </w:style>
  <w:style w:type="paragraph" w:customStyle="1" w:styleId="205">
    <w:name w:val="_Style 3"/>
    <w:basedOn w:val="3"/>
    <w:next w:val="1"/>
    <w:qFormat/>
    <w:uiPriority w:val="0"/>
    <w:pPr>
      <w:outlineLvl w:val="9"/>
    </w:pPr>
  </w:style>
  <w:style w:type="paragraph" w:customStyle="1" w:styleId="206">
    <w:name w:val="修订1"/>
    <w:hidden/>
    <w:semiHidden/>
    <w:qFormat/>
    <w:uiPriority w:val="99"/>
    <w:rPr>
      <w:rFonts w:hint="default" w:asciiTheme="minorHAnsi" w:hAnsiTheme="minorHAnsi" w:eastAsiaTheme="minorEastAsia" w:cstheme="minorBidi"/>
      <w:sz w:val="21"/>
      <w:szCs w:val="24"/>
      <w:lang w:val="en-US" w:eastAsia="zh-CN" w:bidi="ar-SA"/>
    </w:rPr>
  </w:style>
  <w:style w:type="paragraph" w:styleId="207">
    <w:name w:val="List Paragraph"/>
    <w:basedOn w:val="1"/>
    <w:qFormat/>
    <w:uiPriority w:val="99"/>
    <w:pPr>
      <w:ind w:firstLine="420"/>
    </w:pPr>
  </w:style>
  <w:style w:type="character" w:customStyle="1" w:styleId="208">
    <w:name w:val="标题 2 Char"/>
    <w:basedOn w:val="43"/>
    <w:link w:val="4"/>
    <w:qFormat/>
    <w:uiPriority w:val="0"/>
    <w:rPr>
      <w:rFonts w:asciiTheme="majorHAnsi" w:hAnsiTheme="majorHAnsi" w:eastAsiaTheme="majorEastAsia" w:cstheme="majorBidi"/>
      <w:b/>
      <w:bCs/>
      <w:sz w:val="32"/>
      <w:szCs w:val="32"/>
    </w:rPr>
  </w:style>
  <w:style w:type="character" w:customStyle="1" w:styleId="209">
    <w:name w:val="批注文字 Char"/>
    <w:basedOn w:val="43"/>
    <w:link w:val="16"/>
    <w:qFormat/>
    <w:uiPriority w:val="99"/>
    <w:rPr>
      <w:sz w:val="21"/>
      <w:szCs w:val="24"/>
    </w:rPr>
  </w:style>
  <w:style w:type="character" w:customStyle="1" w:styleId="210">
    <w:name w:val="批注主题 Char"/>
    <w:basedOn w:val="209"/>
    <w:link w:val="38"/>
    <w:qFormat/>
    <w:uiPriority w:val="0"/>
    <w:rPr>
      <w:b/>
      <w:bCs/>
      <w:sz w:val="21"/>
      <w:szCs w:val="24"/>
    </w:rPr>
  </w:style>
  <w:style w:type="character" w:customStyle="1" w:styleId="211">
    <w:name w:val="正文文本 Char"/>
    <w:basedOn w:val="43"/>
    <w:link w:val="17"/>
    <w:qFormat/>
    <w:uiPriority w:val="0"/>
    <w:rPr>
      <w:rFonts w:ascii="Times New Roman" w:hAnsi="Times New Roman"/>
    </w:rPr>
  </w:style>
  <w:style w:type="character" w:customStyle="1" w:styleId="212">
    <w:name w:val="标题 1 Char"/>
    <w:basedOn w:val="43"/>
    <w:link w:val="3"/>
    <w:qFormat/>
    <w:uiPriority w:val="0"/>
    <w:rPr>
      <w:b/>
      <w:bCs/>
      <w:sz w:val="44"/>
      <w:szCs w:val="44"/>
    </w:rPr>
  </w:style>
  <w:style w:type="character" w:customStyle="1" w:styleId="213">
    <w:name w:val="标题 3 Char"/>
    <w:basedOn w:val="43"/>
    <w:link w:val="5"/>
    <w:qFormat/>
    <w:uiPriority w:val="0"/>
    <w:rPr>
      <w:b/>
      <w:bCs/>
      <w:sz w:val="32"/>
      <w:szCs w:val="32"/>
    </w:rPr>
  </w:style>
  <w:style w:type="character" w:customStyle="1" w:styleId="214">
    <w:name w:val="标题 5 Char"/>
    <w:basedOn w:val="43"/>
    <w:link w:val="7"/>
    <w:qFormat/>
    <w:uiPriority w:val="0"/>
    <w:rPr>
      <w:b/>
      <w:bCs/>
      <w:sz w:val="28"/>
      <w:szCs w:val="28"/>
    </w:rPr>
  </w:style>
  <w:style w:type="character" w:customStyle="1" w:styleId="215">
    <w:name w:val="文档结构图 Char"/>
    <w:basedOn w:val="43"/>
    <w:link w:val="15"/>
    <w:qFormat/>
    <w:uiPriority w:val="0"/>
    <w:rPr>
      <w:rFonts w:ascii="宋体" w:hAnsi="Times New Roman" w:eastAsia="宋体" w:cs="Times New Roman"/>
      <w:sz w:val="18"/>
      <w:szCs w:val="18"/>
      <w:lang w:val="zh-CN"/>
    </w:rPr>
  </w:style>
  <w:style w:type="character" w:customStyle="1" w:styleId="216">
    <w:name w:val="正文文本缩进 Char"/>
    <w:basedOn w:val="43"/>
    <w:link w:val="18"/>
    <w:qFormat/>
    <w:uiPriority w:val="0"/>
    <w:rPr>
      <w:rFonts w:ascii="Times New Roman" w:hAnsi="Times New Roman" w:eastAsia="宋体" w:cs="Times New Roman"/>
      <w:sz w:val="21"/>
      <w:szCs w:val="24"/>
    </w:rPr>
  </w:style>
  <w:style w:type="character" w:customStyle="1" w:styleId="217">
    <w:name w:val="纯文本 Char"/>
    <w:basedOn w:val="43"/>
    <w:link w:val="21"/>
    <w:qFormat/>
    <w:uiPriority w:val="0"/>
    <w:rPr>
      <w:rFonts w:ascii="宋体" w:hAnsi="Courier New" w:eastAsia="宋体" w:cs="Times New Roman"/>
      <w:sz w:val="21"/>
      <w:szCs w:val="21"/>
      <w:lang w:val="zh-CN"/>
    </w:rPr>
  </w:style>
  <w:style w:type="character" w:customStyle="1" w:styleId="218">
    <w:name w:val="日期 Char"/>
    <w:basedOn w:val="43"/>
    <w:link w:val="23"/>
    <w:qFormat/>
    <w:uiPriority w:val="0"/>
    <w:rPr>
      <w:rFonts w:ascii="Times New Roman" w:hAnsi="Times New Roman" w:eastAsia="宋体" w:cs="Times New Roman"/>
      <w:sz w:val="21"/>
      <w:szCs w:val="24"/>
      <w:lang w:val="zh-CN"/>
    </w:rPr>
  </w:style>
  <w:style w:type="character" w:customStyle="1" w:styleId="219">
    <w:name w:val="正文文本缩进 2 Char"/>
    <w:basedOn w:val="43"/>
    <w:link w:val="24"/>
    <w:qFormat/>
    <w:uiPriority w:val="99"/>
    <w:rPr>
      <w:rFonts w:ascii="Times New Roman" w:hAnsi="Times New Roman" w:eastAsia="宋体" w:cs="Times New Roman"/>
      <w:sz w:val="21"/>
      <w:szCs w:val="24"/>
    </w:rPr>
  </w:style>
  <w:style w:type="character" w:customStyle="1" w:styleId="220">
    <w:name w:val="批注框文本 Char"/>
    <w:basedOn w:val="43"/>
    <w:link w:val="26"/>
    <w:qFormat/>
    <w:uiPriority w:val="99"/>
    <w:rPr>
      <w:rFonts w:ascii="Times New Roman" w:hAnsi="Times New Roman" w:eastAsia="宋体" w:cs="Times New Roman"/>
      <w:sz w:val="18"/>
      <w:szCs w:val="18"/>
      <w:lang w:val="zh-CN"/>
    </w:rPr>
  </w:style>
  <w:style w:type="character" w:customStyle="1" w:styleId="221">
    <w:name w:val="页脚 Char"/>
    <w:basedOn w:val="43"/>
    <w:link w:val="27"/>
    <w:qFormat/>
    <w:uiPriority w:val="99"/>
    <w:rPr>
      <w:sz w:val="18"/>
      <w:szCs w:val="18"/>
    </w:rPr>
  </w:style>
  <w:style w:type="character" w:customStyle="1" w:styleId="222">
    <w:name w:val="页眉 Char"/>
    <w:basedOn w:val="43"/>
    <w:link w:val="28"/>
    <w:qFormat/>
    <w:uiPriority w:val="99"/>
    <w:rPr>
      <w:sz w:val="18"/>
      <w:szCs w:val="24"/>
    </w:rPr>
  </w:style>
  <w:style w:type="character" w:customStyle="1" w:styleId="223">
    <w:name w:val="副标题 Char"/>
    <w:basedOn w:val="43"/>
    <w:link w:val="31"/>
    <w:qFormat/>
    <w:uiPriority w:val="0"/>
    <w:rPr>
      <w:rFonts w:ascii="Cambria" w:hAnsi="Cambria" w:eastAsia="宋体" w:cs="Times New Roman"/>
      <w:b/>
      <w:bCs/>
      <w:sz w:val="32"/>
      <w:szCs w:val="32"/>
      <w:lang w:val="zh-CN"/>
    </w:rPr>
  </w:style>
  <w:style w:type="character" w:customStyle="1" w:styleId="224">
    <w:name w:val="标题 Char"/>
    <w:basedOn w:val="43"/>
    <w:link w:val="37"/>
    <w:qFormat/>
    <w:uiPriority w:val="0"/>
    <w:rPr>
      <w:rFonts w:ascii="Cambria" w:hAnsi="Cambria" w:eastAsia="宋体" w:cs="Times New Roman"/>
      <w:b/>
      <w:bCs/>
      <w:sz w:val="32"/>
      <w:szCs w:val="32"/>
      <w:lang w:val="zh-CN"/>
    </w:rPr>
  </w:style>
  <w:style w:type="character" w:customStyle="1" w:styleId="225">
    <w:name w:val="正文首行缩进 2 Char"/>
    <w:basedOn w:val="216"/>
    <w:link w:val="39"/>
    <w:qFormat/>
    <w:uiPriority w:val="0"/>
    <w:rPr>
      <w:rFonts w:ascii="Times New Roman" w:hAnsi="Times New Roman" w:eastAsia="宋体" w:cs="Times New Roman"/>
      <w:sz w:val="21"/>
      <w:szCs w:val="24"/>
    </w:rPr>
  </w:style>
  <w:style w:type="paragraph" w:customStyle="1" w:styleId="226">
    <w:name w:val="TOC 标题1"/>
    <w:basedOn w:val="3"/>
    <w:next w:val="1"/>
    <w:qFormat/>
    <w:uiPriority w:val="0"/>
    <w:pPr>
      <w:widowControl/>
      <w:spacing w:before="480" w:after="0" w:line="276" w:lineRule="auto"/>
      <w:jc w:val="left"/>
      <w:outlineLvl w:val="9"/>
    </w:pPr>
    <w:rPr>
      <w:rFonts w:ascii="Cambria" w:hAnsi="Cambria" w:eastAsia="宋体" w:cs="Times New Roman"/>
      <w:color w:val="365F91"/>
      <w:sz w:val="28"/>
      <w:szCs w:val="28"/>
      <w:lang w:val="zh-CN"/>
    </w:rPr>
  </w:style>
  <w:style w:type="paragraph" w:customStyle="1" w:styleId="227">
    <w:name w:val="修订11"/>
    <w:qFormat/>
    <w:uiPriority w:val="0"/>
    <w:rPr>
      <w:rFonts w:hint="default" w:ascii="Times New Roman" w:hAnsi="Times New Roman" w:eastAsia="宋体" w:cs="Times New Roman"/>
      <w:sz w:val="21"/>
      <w:szCs w:val="24"/>
      <w:lang w:val="en-US" w:eastAsia="zh-CN" w:bidi="ar-SA"/>
    </w:rPr>
  </w:style>
  <w:style w:type="character" w:customStyle="1" w:styleId="228">
    <w:name w:val="正文文本 Char1"/>
    <w:semiHidden/>
    <w:qFormat/>
    <w:uiPriority w:val="99"/>
    <w:rPr>
      <w:sz w:val="21"/>
      <w:szCs w:val="24"/>
    </w:rPr>
  </w:style>
  <w:style w:type="paragraph" w:customStyle="1" w:styleId="229">
    <w:name w:val="p0"/>
    <w:basedOn w:val="1"/>
    <w:qFormat/>
    <w:uiPriority w:val="0"/>
    <w:pPr>
      <w:widowControl/>
    </w:pPr>
    <w:rPr>
      <w:rFonts w:ascii="Times New Roman" w:hAnsi="Times New Roman" w:eastAsia="宋体" w:cs="Times New Roman"/>
      <w:szCs w:val="21"/>
    </w:rPr>
  </w:style>
  <w:style w:type="paragraph" w:customStyle="1" w:styleId="230">
    <w:name w:val="Char"/>
    <w:basedOn w:val="1"/>
    <w:qFormat/>
    <w:uiPriority w:val="0"/>
    <w:rPr>
      <w:rFonts w:ascii="Times New Roman" w:hAnsi="Times New Roman" w:eastAsia="宋体" w:cs="Times New Roman"/>
    </w:rPr>
  </w:style>
  <w:style w:type="paragraph" w:customStyle="1" w:styleId="231">
    <w:name w:val="Char Char"/>
    <w:basedOn w:val="1"/>
    <w:qFormat/>
    <w:uiPriority w:val="0"/>
    <w:rPr>
      <w:rFonts w:ascii="Times New Roman" w:hAnsi="Times New Roman" w:eastAsia="宋体" w:cs="Times New Roman"/>
    </w:rPr>
  </w:style>
  <w:style w:type="paragraph" w:customStyle="1" w:styleId="232">
    <w:name w:val="Char Char1"/>
    <w:basedOn w:val="1"/>
    <w:qFormat/>
    <w:uiPriority w:val="0"/>
    <w:rPr>
      <w:rFonts w:ascii="Times New Roman" w:hAnsi="Times New Roman" w:eastAsia="宋体" w:cs="Times New Roman"/>
      <w:sz w:val="32"/>
    </w:rPr>
  </w:style>
  <w:style w:type="paragraph" w:customStyle="1" w:styleId="233">
    <w:name w:val="正文1"/>
    <w:qFormat/>
    <w:uiPriority w:val="0"/>
    <w:pPr>
      <w:jc w:val="both"/>
    </w:pPr>
    <w:rPr>
      <w:rFonts w:hint="default" w:ascii="Times New Roman" w:hAnsi="Times New Roman" w:eastAsia="宋体" w:cs="Times New Roman"/>
      <w:sz w:val="21"/>
      <w:szCs w:val="21"/>
      <w:lang w:val="en-US" w:eastAsia="zh-CN" w:bidi="ar-SA"/>
    </w:rPr>
  </w:style>
  <w:style w:type="paragraph" w:customStyle="1" w:styleId="234">
    <w:name w:val="style9"/>
    <w:basedOn w:val="1"/>
    <w:qFormat/>
    <w:uiPriority w:val="0"/>
    <w:pPr>
      <w:widowControl/>
      <w:spacing w:before="100" w:beforeAutospacing="1" w:after="100" w:afterAutospacing="1" w:line="360" w:lineRule="atLeast"/>
      <w:jc w:val="left"/>
    </w:pPr>
    <w:rPr>
      <w:rFonts w:hint="eastAsia" w:ascii="宋体" w:hAnsi="宋体" w:eastAsia="宋体" w:cs="Times New Roman"/>
      <w:color w:val="000000"/>
      <w:spacing w:val="15"/>
      <w:sz w:val="24"/>
    </w:rPr>
  </w:style>
  <w:style w:type="paragraph" w:customStyle="1" w:styleId="235">
    <w:name w:val="首行缩进2字符"/>
    <w:basedOn w:val="1"/>
    <w:qFormat/>
    <w:uiPriority w:val="99"/>
    <w:pPr>
      <w:ind w:firstLine="200"/>
    </w:pPr>
    <w:rPr>
      <w:rFonts w:ascii="Times New Roman" w:hAnsi="Times New Roman" w:eastAsia="宋体" w:cs="Times New Roman"/>
    </w:rPr>
  </w:style>
  <w:style w:type="paragraph" w:customStyle="1" w:styleId="236">
    <w:name w:val="列表段落1"/>
    <w:basedOn w:val="1"/>
    <w:qFormat/>
    <w:uiPriority w:val="99"/>
    <w:pPr>
      <w:ind w:firstLine="420"/>
    </w:pPr>
    <w:rPr>
      <w:rFonts w:ascii="Times New Roman" w:hAnsi="Times New Roman" w:eastAsia="宋体" w:cs="Times New Roman"/>
    </w:rPr>
  </w:style>
  <w:style w:type="paragraph" w:customStyle="1" w:styleId="237">
    <w:name w:val="Default"/>
    <w:qFormat/>
    <w:uiPriority w:val="0"/>
    <w:pPr>
      <w:widowControl w:val="0"/>
    </w:pPr>
    <w:rPr>
      <w:rFonts w:hint="default" w:ascii="宋体" w:hAnsi="宋体" w:eastAsia="宋体" w:cs="宋体"/>
      <w:color w:val="000000"/>
      <w:sz w:val="24"/>
      <w:szCs w:val="24"/>
      <w:lang w:val="en-US" w:eastAsia="zh-CN" w:bidi="ar-SA"/>
    </w:rPr>
  </w:style>
  <w:style w:type="paragraph" w:customStyle="1" w:styleId="238">
    <w:name w:val="修订2"/>
    <w:hidden/>
    <w:semiHidden/>
    <w:qFormat/>
    <w:uiPriority w:val="99"/>
    <w:rPr>
      <w:rFonts w:hint="default" w:ascii="Times New Roman" w:hAnsi="Times New Roman" w:eastAsia="宋体" w:cs="Times New Roman"/>
      <w:sz w:val="21"/>
      <w:szCs w:val="24"/>
      <w:lang w:val="en-US" w:eastAsia="zh-CN" w:bidi="ar-SA"/>
    </w:rPr>
  </w:style>
  <w:style w:type="paragraph" w:customStyle="1" w:styleId="239">
    <w:name w:val="修订3"/>
    <w:hidden/>
    <w:semiHidden/>
    <w:qFormat/>
    <w:uiPriority w:val="99"/>
    <w:rPr>
      <w:rFonts w:hint="default" w:ascii="Times New Roman" w:hAnsi="Times New Roman" w:eastAsia="宋体" w:cs="Times New Roman"/>
      <w:sz w:val="21"/>
      <w:szCs w:val="24"/>
      <w:lang w:val="en-US" w:eastAsia="zh-CN" w:bidi="ar-SA"/>
    </w:rPr>
  </w:style>
  <w:style w:type="paragraph" w:customStyle="1" w:styleId="240">
    <w:name w:val="修订4"/>
    <w:hidden/>
    <w:semiHidden/>
    <w:qFormat/>
    <w:uiPriority w:val="99"/>
    <w:rPr>
      <w:rFonts w:hint="default" w:asciiTheme="minorHAnsi" w:hAnsiTheme="minorHAnsi" w:eastAsiaTheme="minorEastAsia" w:cstheme="minorBidi"/>
      <w:sz w:val="21"/>
      <w:szCs w:val="24"/>
      <w:lang w:val="en-US" w:eastAsia="zh-CN" w:bidi="ar-SA"/>
    </w:rPr>
  </w:style>
  <w:style w:type="character" w:customStyle="1" w:styleId="241">
    <w:name w:val="标题 4 Char"/>
    <w:basedOn w:val="43"/>
    <w:link w:val="6"/>
    <w:qFormat/>
    <w:uiPriority w:val="0"/>
    <w:rPr>
      <w:rFonts w:ascii="Times New Roman" w:hAnsi="Times New Roman" w:eastAsia="黑体"/>
      <w:b/>
      <w:bCs/>
      <w:sz w:val="28"/>
      <w:szCs w:val="28"/>
    </w:rPr>
  </w:style>
  <w:style w:type="paragraph" w:customStyle="1" w:styleId="242">
    <w:name w:val="修订5"/>
    <w:hidden/>
    <w:semiHidden/>
    <w:qFormat/>
    <w:uiPriority w:val="99"/>
    <w:rPr>
      <w:rFonts w:hint="default" w:asciiTheme="minorHAnsi" w:hAnsiTheme="minorHAnsi" w:eastAsiaTheme="minorEastAsia" w:cstheme="minorBidi"/>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font script="Hans" typeface="宋体"/>
      </a:majorFont>
      <a:minorFont>
        <a:latin typeface="Calibri"/>
        <a:ea typeface="Arial"/>
        <a:cs typeface="Arial"/>
        <a:font script="Hans" typeface="宋体"/>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EF2C5-72F4-4387-B737-DB469FA8AF0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110</Pages>
  <Words>1878</Words>
  <Characters>2020</Characters>
  <TotalTime>0</TotalTime>
  <ScaleCrop>false</ScaleCrop>
  <LinksUpToDate>false</LinksUpToDate>
  <CharactersWithSpaces>2327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2023-05-24T03:18:00Z</dcterms:created>
  <dc:creator>马云鲲</dc:creator>
  <cp:lastModifiedBy>star</cp:lastModifiedBy>
  <dcterms:modified xsi:type="dcterms:W3CDTF">2025-08-21T03:09:23Z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10EBE48664614926AD55E8F6A818E2F0_13</vt:lpwstr>
  </property>
  <property fmtid="{D5CDD505-2E9C-101B-9397-08002B2CF9AE}" pid="3" name="KSOProductBuildVer">
    <vt:lpwstr>2052-12.1.0.21915</vt:lpwstr>
  </property>
</Properties>
</file>